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F58F9" w14:textId="77777777" w:rsidR="0093217E" w:rsidRDefault="006A603A">
      <w:pPr>
        <w:spacing w:after="240" w:line="240" w:lineRule="auto"/>
        <w:jc w:val="center"/>
        <w:rPr>
          <w:rFonts w:ascii="黑体" w:eastAsia="黑体" w:hAnsi="黑体" w:cs="黑体"/>
          <w:bCs/>
          <w:sz w:val="36"/>
          <w:szCs w:val="36"/>
          <w:lang w:val="en-GB" w:bidi="ar-AE"/>
        </w:rPr>
      </w:pPr>
      <w:r>
        <w:rPr>
          <w:rFonts w:ascii="黑体" w:eastAsia="黑体" w:hAnsi="黑体" w:cs="黑体"/>
          <w:bCs/>
          <w:sz w:val="36"/>
          <w:szCs w:val="36"/>
          <w:lang w:val="en-GB" w:bidi="ar-AE"/>
        </w:rPr>
        <w:t>经营者集中简易案件公示表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050"/>
        <w:gridCol w:w="5153"/>
      </w:tblGrid>
      <w:tr w:rsidR="0093217E" w14:paraId="4E9C1C7B" w14:textId="77777777">
        <w:trPr>
          <w:trHeight w:val="430"/>
        </w:trPr>
        <w:tc>
          <w:tcPr>
            <w:tcW w:w="1555" w:type="dxa"/>
            <w:shd w:val="clear" w:color="auto" w:fill="D9D9D9"/>
            <w:vAlign w:val="center"/>
          </w:tcPr>
          <w:p w14:paraId="4164FEB5" w14:textId="77777777" w:rsidR="0093217E" w:rsidRDefault="006A603A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案件名称</w:t>
            </w:r>
          </w:p>
        </w:tc>
        <w:tc>
          <w:tcPr>
            <w:tcW w:w="7203" w:type="dxa"/>
            <w:gridSpan w:val="2"/>
            <w:vAlign w:val="center"/>
          </w:tcPr>
          <w:p w14:paraId="5A8C2CB6" w14:textId="7777777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青岛海信网络能源股份有限公司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收购石家庄科林电气股份有限公司股权案</w:t>
            </w:r>
          </w:p>
        </w:tc>
      </w:tr>
      <w:tr w:rsidR="0093217E" w14:paraId="731660CD" w14:textId="77777777">
        <w:trPr>
          <w:trHeight w:val="2468"/>
        </w:trPr>
        <w:tc>
          <w:tcPr>
            <w:tcW w:w="1555" w:type="dxa"/>
            <w:shd w:val="clear" w:color="auto" w:fill="D9D9D9"/>
            <w:vAlign w:val="center"/>
          </w:tcPr>
          <w:p w14:paraId="55FD76C5" w14:textId="7777777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交易概况（限200字内）</w:t>
            </w:r>
          </w:p>
        </w:tc>
        <w:tc>
          <w:tcPr>
            <w:tcW w:w="7203" w:type="dxa"/>
            <w:gridSpan w:val="2"/>
            <w:vAlign w:val="center"/>
          </w:tcPr>
          <w:p w14:paraId="77C24678" w14:textId="2AFD342F" w:rsidR="00E026FD" w:rsidRPr="00E026FD" w:rsidRDefault="00E026FD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2024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年</w:t>
            </w:r>
            <w:r w:rsidR="00E77EC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3月1</w:t>
            </w:r>
            <w:r w:rsidR="00E77ECC">
              <w:rPr>
                <w:rFonts w:asciiTheme="minorEastAsia" w:hAnsiTheme="minorEastAsia" w:cs="Times New Roman"/>
                <w:bCs/>
                <w:sz w:val="24"/>
                <w:szCs w:val="24"/>
              </w:rPr>
              <w:t>5</w:t>
            </w:r>
            <w:r w:rsidR="00E77EC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日，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青岛海信网络能源股份有限公司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（“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海信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网能”）与</w:t>
            </w:r>
            <w:r w:rsidR="00E77ECC" w:rsidRPr="007A3A9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李砚如、屈国旺、田晔、张国玉、刘福海、刘煜、刘宇聪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签署</w:t>
            </w:r>
            <w:r w:rsidR="00E77ECC" w:rsidRPr="007A3A9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股份转让协议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，</w:t>
            </w:r>
            <w:r w:rsidR="00E77EC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拟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收购石家庄科林电气股份有限公司（“科林电气”）</w:t>
            </w:r>
            <w:r w:rsidR="00E77ECC" w:rsidRPr="007A3A9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合计5</w:t>
            </w:r>
            <w:r w:rsidR="00E77ECC" w:rsidRPr="007A3A9F">
              <w:rPr>
                <w:rFonts w:asciiTheme="minorEastAsia" w:hAnsiTheme="minorEastAsia" w:cs="Times New Roman"/>
                <w:bCs/>
                <w:sz w:val="24"/>
                <w:szCs w:val="24"/>
              </w:rPr>
              <w:t>.1%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股权</w:t>
            </w:r>
            <w:r w:rsidR="00E77EC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。</w:t>
            </w:r>
            <w:r w:rsidR="0070657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股权交割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后，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海信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网能将持有</w:t>
            </w:r>
            <w:r w:rsidR="00DA5116">
              <w:rPr>
                <w:rFonts w:asciiTheme="minorEastAsia" w:hAnsiTheme="minorEastAsia" w:cs="Times New Roman"/>
                <w:bCs/>
                <w:sz w:val="24"/>
                <w:szCs w:val="24"/>
              </w:rPr>
              <w:t>23.52</w:t>
            </w:r>
            <w:r w:rsidR="00E77ECC">
              <w:rPr>
                <w:rFonts w:asciiTheme="minorEastAsia" w:hAnsiTheme="minorEastAsia" w:cs="Times New Roman"/>
                <w:bCs/>
                <w:sz w:val="24"/>
                <w:szCs w:val="24"/>
              </w:rPr>
              <w:t>%</w:t>
            </w:r>
            <w:r w:rsidR="00E77EC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的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表决权，后续拟通过依法进一步增持科林电气的股份并向科林电气董事会</w:t>
            </w:r>
            <w:r w:rsidR="0070657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提名多数董事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等方式，</w:t>
            </w:r>
            <w:r w:rsidR="00CF27FC" w:rsidRPr="00CF27F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最终对科林电气进行实际控制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93217E" w14:paraId="2D794168" w14:textId="77777777">
        <w:trPr>
          <w:trHeight w:val="1301"/>
        </w:trPr>
        <w:tc>
          <w:tcPr>
            <w:tcW w:w="1555" w:type="dxa"/>
            <w:vMerge w:val="restart"/>
            <w:shd w:val="clear" w:color="auto" w:fill="D9D9D9"/>
            <w:vAlign w:val="center"/>
          </w:tcPr>
          <w:p w14:paraId="3C8C9860" w14:textId="77777777" w:rsidR="0093217E" w:rsidRDefault="006A603A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参与集中的经营者简介</w:t>
            </w:r>
          </w:p>
        </w:tc>
        <w:tc>
          <w:tcPr>
            <w:tcW w:w="2050" w:type="dxa"/>
            <w:vAlign w:val="center"/>
          </w:tcPr>
          <w:p w14:paraId="78BE771C" w14:textId="77777777" w:rsidR="0093217E" w:rsidRDefault="006A603A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1、海信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网能</w:t>
            </w:r>
          </w:p>
        </w:tc>
        <w:tc>
          <w:tcPr>
            <w:tcW w:w="5153" w:type="dxa"/>
            <w:vAlign w:val="center"/>
          </w:tcPr>
          <w:p w14:paraId="3DEC5E04" w14:textId="7777777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海信网能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于2020年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1月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6日成立于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山东省青岛市，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主要业务为工业温控产品及整体解决方案提供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。</w:t>
            </w:r>
          </w:p>
          <w:p w14:paraId="2FDF8836" w14:textId="7777777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海信网能最终控制人为海信集团控股股份有限公司，主要业务包括视像与多媒体、智能家电、智能终端及系统化解决方案、地产及现代服务。</w:t>
            </w:r>
          </w:p>
        </w:tc>
      </w:tr>
      <w:tr w:rsidR="0093217E" w14:paraId="4EB1CD5A" w14:textId="77777777">
        <w:trPr>
          <w:trHeight w:val="1048"/>
        </w:trPr>
        <w:tc>
          <w:tcPr>
            <w:tcW w:w="1555" w:type="dxa"/>
            <w:vMerge/>
            <w:shd w:val="clear" w:color="auto" w:fill="D9D9D9"/>
            <w:vAlign w:val="center"/>
          </w:tcPr>
          <w:p w14:paraId="1FCEF8B1" w14:textId="77777777" w:rsidR="0093217E" w:rsidRDefault="0093217E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622763D5" w14:textId="77777777" w:rsidR="0093217E" w:rsidRDefault="006A603A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2、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科林电气</w:t>
            </w:r>
          </w:p>
        </w:tc>
        <w:tc>
          <w:tcPr>
            <w:tcW w:w="5153" w:type="dxa"/>
            <w:vAlign w:val="center"/>
          </w:tcPr>
          <w:p w14:paraId="1C2DD1CD" w14:textId="7777777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科林电气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于2000年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2日成立于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河北省石家庄市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，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为上海证券交易所上市公司，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主要业务为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变电、配电、用电、电气设备、新能源领域产品生产和销售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。</w:t>
            </w:r>
          </w:p>
          <w:p w14:paraId="24D65CC6" w14:textId="77777777" w:rsidR="0093217E" w:rsidRDefault="006A603A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科林电气最终控制人为自然人，主要业务为变电、配电、用电、电气设备、新能源领域产品生产和销售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。</w:t>
            </w:r>
          </w:p>
        </w:tc>
      </w:tr>
      <w:tr w:rsidR="0093217E" w14:paraId="230799E8" w14:textId="77777777">
        <w:trPr>
          <w:trHeight w:val="279"/>
        </w:trPr>
        <w:tc>
          <w:tcPr>
            <w:tcW w:w="1555" w:type="dxa"/>
            <w:vMerge w:val="restart"/>
            <w:shd w:val="clear" w:color="auto" w:fill="D9D9D9"/>
            <w:vAlign w:val="center"/>
          </w:tcPr>
          <w:p w14:paraId="161FE318" w14:textId="77777777" w:rsidR="0093217E" w:rsidRDefault="006A603A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7203" w:type="dxa"/>
            <w:gridSpan w:val="2"/>
            <w:vAlign w:val="center"/>
          </w:tcPr>
          <w:p w14:paraId="6057CAB0" w14:textId="77777777" w:rsidR="0093217E" w:rsidRDefault="006A603A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1、在同一相关市场，所有参与集中的经营者所占市场份额之和小于15%。</w:t>
            </w:r>
          </w:p>
        </w:tc>
      </w:tr>
      <w:tr w:rsidR="0093217E" w14:paraId="5D97E96B" w14:textId="77777777">
        <w:trPr>
          <w:trHeight w:val="330"/>
        </w:trPr>
        <w:tc>
          <w:tcPr>
            <w:tcW w:w="1555" w:type="dxa"/>
            <w:vMerge/>
            <w:shd w:val="clear" w:color="auto" w:fill="D9D9D9"/>
            <w:vAlign w:val="center"/>
          </w:tcPr>
          <w:p w14:paraId="75A81632" w14:textId="77777777" w:rsidR="0093217E" w:rsidRDefault="0093217E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gridSpan w:val="2"/>
            <w:vAlign w:val="center"/>
          </w:tcPr>
          <w:p w14:paraId="4C686FDA" w14:textId="77777777" w:rsidR="0093217E" w:rsidRDefault="006A603A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2、存在上下游关系的参与集中的经营者，在上下游市场所占的市场份额均小于25%。</w:t>
            </w:r>
          </w:p>
        </w:tc>
      </w:tr>
      <w:tr w:rsidR="0093217E" w14:paraId="437F2AD1" w14:textId="77777777">
        <w:trPr>
          <w:trHeight w:val="285"/>
        </w:trPr>
        <w:tc>
          <w:tcPr>
            <w:tcW w:w="1555" w:type="dxa"/>
            <w:vMerge/>
            <w:shd w:val="clear" w:color="auto" w:fill="D9D9D9"/>
            <w:vAlign w:val="center"/>
          </w:tcPr>
          <w:p w14:paraId="27E284F1" w14:textId="77777777" w:rsidR="0093217E" w:rsidRDefault="0093217E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gridSpan w:val="2"/>
            <w:vAlign w:val="center"/>
          </w:tcPr>
          <w:p w14:paraId="3812C793" w14:textId="77777777" w:rsidR="0093217E" w:rsidRDefault="006A603A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FE"/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93217E" w14:paraId="22A994F6" w14:textId="77777777">
        <w:trPr>
          <w:trHeight w:val="870"/>
        </w:trPr>
        <w:tc>
          <w:tcPr>
            <w:tcW w:w="1555" w:type="dxa"/>
            <w:vMerge/>
            <w:shd w:val="clear" w:color="auto" w:fill="D9D9D9"/>
            <w:vAlign w:val="center"/>
          </w:tcPr>
          <w:p w14:paraId="009A7AA8" w14:textId="77777777" w:rsidR="0093217E" w:rsidRDefault="0093217E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gridSpan w:val="2"/>
            <w:vAlign w:val="center"/>
          </w:tcPr>
          <w:p w14:paraId="416033A2" w14:textId="77777777" w:rsidR="0093217E" w:rsidRDefault="006A603A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4、参与集中的经营者在中国境外设立合营企业，合营企业不在中国境内从事经济活动。</w:t>
            </w:r>
          </w:p>
        </w:tc>
      </w:tr>
      <w:tr w:rsidR="0093217E" w14:paraId="40F1C0A3" w14:textId="77777777">
        <w:trPr>
          <w:trHeight w:val="264"/>
        </w:trPr>
        <w:tc>
          <w:tcPr>
            <w:tcW w:w="1555" w:type="dxa"/>
            <w:vMerge/>
            <w:shd w:val="clear" w:color="auto" w:fill="D9D9D9"/>
            <w:vAlign w:val="center"/>
          </w:tcPr>
          <w:p w14:paraId="5EC46EC4" w14:textId="77777777" w:rsidR="0093217E" w:rsidRDefault="0093217E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gridSpan w:val="2"/>
            <w:vAlign w:val="center"/>
          </w:tcPr>
          <w:p w14:paraId="30DA4765" w14:textId="77777777" w:rsidR="0093217E" w:rsidRDefault="006A603A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93217E" w14:paraId="24738E9B" w14:textId="77777777">
        <w:trPr>
          <w:trHeight w:val="345"/>
        </w:trPr>
        <w:tc>
          <w:tcPr>
            <w:tcW w:w="1555" w:type="dxa"/>
            <w:vMerge/>
            <w:shd w:val="clear" w:color="auto" w:fill="D9D9D9"/>
            <w:vAlign w:val="center"/>
          </w:tcPr>
          <w:p w14:paraId="157809FB" w14:textId="77777777" w:rsidR="0093217E" w:rsidRDefault="0093217E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gridSpan w:val="2"/>
            <w:vAlign w:val="center"/>
          </w:tcPr>
          <w:p w14:paraId="392390B7" w14:textId="77777777" w:rsidR="0093217E" w:rsidRDefault="006A603A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93217E" w14:paraId="0C2EF5DF" w14:textId="77777777">
        <w:trPr>
          <w:trHeight w:val="2629"/>
        </w:trPr>
        <w:tc>
          <w:tcPr>
            <w:tcW w:w="1555" w:type="dxa"/>
            <w:shd w:val="clear" w:color="auto" w:fill="D9D9D9"/>
            <w:vAlign w:val="center"/>
          </w:tcPr>
          <w:p w14:paraId="003286C9" w14:textId="77777777" w:rsidR="0093217E" w:rsidRDefault="006A603A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7203" w:type="dxa"/>
            <w:gridSpan w:val="2"/>
            <w:vAlign w:val="center"/>
          </w:tcPr>
          <w:p w14:paraId="2D698285" w14:textId="7777777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混合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集中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：</w:t>
            </w:r>
          </w:p>
          <w:p w14:paraId="43C0F651" w14:textId="546A394E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202</w:t>
            </w:r>
            <w:r w:rsidR="00C532A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年中国境内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变电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综合自动化系统市场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：</w:t>
            </w:r>
          </w:p>
          <w:p w14:paraId="5CB66D05" w14:textId="7777777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科林电气：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0-5%</w:t>
            </w:r>
          </w:p>
          <w:p w14:paraId="5D8152B9" w14:textId="5370E1F3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202</w:t>
            </w:r>
            <w:r w:rsidR="00C532A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年中国境内配电自动化产品市场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：</w:t>
            </w:r>
          </w:p>
          <w:p w14:paraId="454F715A" w14:textId="7777777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科林电气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：0-5%</w:t>
            </w:r>
          </w:p>
          <w:p w14:paraId="13BC63FD" w14:textId="03B2FA40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202</w:t>
            </w:r>
            <w:r w:rsidR="00C532A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年中国境内智能电表市场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：</w:t>
            </w:r>
          </w:p>
          <w:p w14:paraId="3D548FAA" w14:textId="7777777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科林电气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：0-5%</w:t>
            </w:r>
          </w:p>
          <w:p w14:paraId="701853C8" w14:textId="4E8CFD50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202</w:t>
            </w:r>
            <w:r w:rsidR="00C532A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年中国境内高压开关柜市场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：</w:t>
            </w:r>
          </w:p>
          <w:p w14:paraId="7053167D" w14:textId="7777777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科林电气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：0-5%</w:t>
            </w:r>
          </w:p>
          <w:p w14:paraId="3E92BCE9" w14:textId="2D1268F3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202</w:t>
            </w:r>
            <w:r w:rsidR="00C532A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年中国境内中压开关柜市场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：</w:t>
            </w:r>
          </w:p>
          <w:p w14:paraId="1E660818" w14:textId="7777777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科林电气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：0-5%</w:t>
            </w:r>
          </w:p>
          <w:p w14:paraId="4B514534" w14:textId="5AD5546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202</w:t>
            </w:r>
            <w:r w:rsidR="00C532A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年中国境内低压开关柜市场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：</w:t>
            </w:r>
          </w:p>
          <w:p w14:paraId="07D8B67C" w14:textId="7777777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科林电气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：0-5%</w:t>
            </w:r>
          </w:p>
          <w:p w14:paraId="1FDD5751" w14:textId="242369BC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202</w:t>
            </w:r>
            <w:r w:rsidR="00C532A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年中国境内环网柜市场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：</w:t>
            </w:r>
          </w:p>
          <w:p w14:paraId="096B6E9C" w14:textId="7777777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科林电气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：0-5%</w:t>
            </w:r>
          </w:p>
          <w:p w14:paraId="797F0247" w14:textId="6AA5B598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202</w:t>
            </w:r>
            <w:r w:rsidR="00C532A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年中国境内箱式变电站市场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：</w:t>
            </w:r>
          </w:p>
          <w:p w14:paraId="1887530F" w14:textId="7777777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科林电气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：0-5%</w:t>
            </w:r>
          </w:p>
          <w:p w14:paraId="1A8A2445" w14:textId="5F7D214A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202</w:t>
            </w:r>
            <w:r w:rsidR="00C532A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年中国境内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分布式光伏EPC市场：</w:t>
            </w:r>
          </w:p>
          <w:p w14:paraId="409E18EC" w14:textId="77777777" w:rsidR="0093217E" w:rsidRDefault="006A603A">
            <w:pPr>
              <w:spacing w:after="0" w:line="240" w:lineRule="auto"/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科林电气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：0-5%</w:t>
            </w:r>
          </w:p>
        </w:tc>
      </w:tr>
    </w:tbl>
    <w:p w14:paraId="009B2137" w14:textId="77777777" w:rsidR="0093217E" w:rsidRDefault="0093217E">
      <w:pPr>
        <w:spacing w:after="0" w:line="240" w:lineRule="auto"/>
        <w:rPr>
          <w:rFonts w:ascii="Times New Roman" w:eastAsia="仿宋_GB2312" w:hAnsi="Times New Roman" w:cs="Times New Roman"/>
          <w:sz w:val="24"/>
          <w:szCs w:val="24"/>
        </w:rPr>
      </w:pPr>
    </w:p>
    <w:sectPr w:rsidR="009321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A6033" w14:textId="77777777" w:rsidR="00481BD9" w:rsidRDefault="00481BD9">
      <w:pPr>
        <w:spacing w:line="240" w:lineRule="auto"/>
      </w:pPr>
      <w:r>
        <w:separator/>
      </w:r>
    </w:p>
  </w:endnote>
  <w:endnote w:type="continuationSeparator" w:id="0">
    <w:p w14:paraId="062AE55D" w14:textId="77777777" w:rsidR="00481BD9" w:rsidRDefault="00481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45E7A" w14:textId="77777777" w:rsidR="00481BD9" w:rsidRDefault="00481BD9">
      <w:pPr>
        <w:spacing w:after="0"/>
      </w:pPr>
      <w:r>
        <w:separator/>
      </w:r>
    </w:p>
  </w:footnote>
  <w:footnote w:type="continuationSeparator" w:id="0">
    <w:p w14:paraId="331F7AC3" w14:textId="77777777" w:rsidR="00481BD9" w:rsidRDefault="00481B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06F"/>
    <w:rsid w:val="AFFE06B2"/>
    <w:rsid w:val="DBBFDBA7"/>
    <w:rsid w:val="DBC317B6"/>
    <w:rsid w:val="EF7BAE8D"/>
    <w:rsid w:val="0002711F"/>
    <w:rsid w:val="000357CC"/>
    <w:rsid w:val="000418E3"/>
    <w:rsid w:val="00041E1F"/>
    <w:rsid w:val="000452B9"/>
    <w:rsid w:val="00050FAE"/>
    <w:rsid w:val="00064C29"/>
    <w:rsid w:val="00066183"/>
    <w:rsid w:val="000661E9"/>
    <w:rsid w:val="00074058"/>
    <w:rsid w:val="0007444C"/>
    <w:rsid w:val="00080E60"/>
    <w:rsid w:val="00080FB4"/>
    <w:rsid w:val="000839F2"/>
    <w:rsid w:val="00083B42"/>
    <w:rsid w:val="000860A2"/>
    <w:rsid w:val="000860C5"/>
    <w:rsid w:val="0008695F"/>
    <w:rsid w:val="00096045"/>
    <w:rsid w:val="000A36B1"/>
    <w:rsid w:val="000B5FBA"/>
    <w:rsid w:val="000C0DAA"/>
    <w:rsid w:val="000C18E5"/>
    <w:rsid w:val="000C6E3F"/>
    <w:rsid w:val="000D33F9"/>
    <w:rsid w:val="000E2884"/>
    <w:rsid w:val="000F42BF"/>
    <w:rsid w:val="000F4CEA"/>
    <w:rsid w:val="000F64E5"/>
    <w:rsid w:val="000F6C3B"/>
    <w:rsid w:val="00107898"/>
    <w:rsid w:val="00113737"/>
    <w:rsid w:val="00117612"/>
    <w:rsid w:val="001268FF"/>
    <w:rsid w:val="00131B11"/>
    <w:rsid w:val="00135D3E"/>
    <w:rsid w:val="00141EA0"/>
    <w:rsid w:val="00142266"/>
    <w:rsid w:val="00143C45"/>
    <w:rsid w:val="001440F0"/>
    <w:rsid w:val="00144A47"/>
    <w:rsid w:val="00145D52"/>
    <w:rsid w:val="00151A41"/>
    <w:rsid w:val="001560DC"/>
    <w:rsid w:val="00161B23"/>
    <w:rsid w:val="001658BD"/>
    <w:rsid w:val="00167C91"/>
    <w:rsid w:val="00170258"/>
    <w:rsid w:val="00175369"/>
    <w:rsid w:val="00182C34"/>
    <w:rsid w:val="00184940"/>
    <w:rsid w:val="00185CBE"/>
    <w:rsid w:val="001928E2"/>
    <w:rsid w:val="00197BCC"/>
    <w:rsid w:val="001A5D63"/>
    <w:rsid w:val="001A6E1C"/>
    <w:rsid w:val="001A7DC5"/>
    <w:rsid w:val="001B4797"/>
    <w:rsid w:val="001B5A55"/>
    <w:rsid w:val="001C7EBC"/>
    <w:rsid w:val="001D19DE"/>
    <w:rsid w:val="001D4D74"/>
    <w:rsid w:val="001D6FE1"/>
    <w:rsid w:val="001E62F0"/>
    <w:rsid w:val="001F1799"/>
    <w:rsid w:val="001F3AA8"/>
    <w:rsid w:val="001F666B"/>
    <w:rsid w:val="001F6B6E"/>
    <w:rsid w:val="00204A4A"/>
    <w:rsid w:val="002056BF"/>
    <w:rsid w:val="0020610A"/>
    <w:rsid w:val="00206D78"/>
    <w:rsid w:val="00210221"/>
    <w:rsid w:val="00210928"/>
    <w:rsid w:val="00212685"/>
    <w:rsid w:val="002235EE"/>
    <w:rsid w:val="00224D2A"/>
    <w:rsid w:val="00226771"/>
    <w:rsid w:val="00233AFE"/>
    <w:rsid w:val="00235728"/>
    <w:rsid w:val="00240D9B"/>
    <w:rsid w:val="00251A52"/>
    <w:rsid w:val="00253172"/>
    <w:rsid w:val="0025479B"/>
    <w:rsid w:val="00256987"/>
    <w:rsid w:val="00257D9B"/>
    <w:rsid w:val="0026037B"/>
    <w:rsid w:val="002617F7"/>
    <w:rsid w:val="00262B82"/>
    <w:rsid w:val="00266E4A"/>
    <w:rsid w:val="002677D8"/>
    <w:rsid w:val="002707F1"/>
    <w:rsid w:val="00292250"/>
    <w:rsid w:val="0029473B"/>
    <w:rsid w:val="00296730"/>
    <w:rsid w:val="002A27F3"/>
    <w:rsid w:val="002A2EBE"/>
    <w:rsid w:val="002A3188"/>
    <w:rsid w:val="002B0DA9"/>
    <w:rsid w:val="002B3632"/>
    <w:rsid w:val="002B3660"/>
    <w:rsid w:val="002B41C8"/>
    <w:rsid w:val="002B67B5"/>
    <w:rsid w:val="002D1108"/>
    <w:rsid w:val="002D1828"/>
    <w:rsid w:val="002D5A03"/>
    <w:rsid w:val="002D5CB2"/>
    <w:rsid w:val="002E08E3"/>
    <w:rsid w:val="002E1259"/>
    <w:rsid w:val="002E17F6"/>
    <w:rsid w:val="002E45BD"/>
    <w:rsid w:val="002E4B71"/>
    <w:rsid w:val="002E4B91"/>
    <w:rsid w:val="002F03DB"/>
    <w:rsid w:val="002F40F4"/>
    <w:rsid w:val="002F6C94"/>
    <w:rsid w:val="00301EC3"/>
    <w:rsid w:val="00301F10"/>
    <w:rsid w:val="0031248E"/>
    <w:rsid w:val="00322EC0"/>
    <w:rsid w:val="00334FE7"/>
    <w:rsid w:val="00343E7B"/>
    <w:rsid w:val="00370FB1"/>
    <w:rsid w:val="00371A30"/>
    <w:rsid w:val="00372313"/>
    <w:rsid w:val="0037245C"/>
    <w:rsid w:val="003731BC"/>
    <w:rsid w:val="003746A2"/>
    <w:rsid w:val="00375C89"/>
    <w:rsid w:val="003769D3"/>
    <w:rsid w:val="0038165D"/>
    <w:rsid w:val="003843CD"/>
    <w:rsid w:val="00392C5E"/>
    <w:rsid w:val="003946CF"/>
    <w:rsid w:val="00396BF2"/>
    <w:rsid w:val="003975F9"/>
    <w:rsid w:val="003A5B71"/>
    <w:rsid w:val="003A6622"/>
    <w:rsid w:val="003A75F7"/>
    <w:rsid w:val="003B450D"/>
    <w:rsid w:val="003C4608"/>
    <w:rsid w:val="003E31B4"/>
    <w:rsid w:val="003E5AE8"/>
    <w:rsid w:val="003F7EB8"/>
    <w:rsid w:val="00402E3E"/>
    <w:rsid w:val="00404933"/>
    <w:rsid w:val="00406799"/>
    <w:rsid w:val="004128D0"/>
    <w:rsid w:val="004229F7"/>
    <w:rsid w:val="00431CEF"/>
    <w:rsid w:val="004413CC"/>
    <w:rsid w:val="004430E8"/>
    <w:rsid w:val="00453600"/>
    <w:rsid w:val="004566B7"/>
    <w:rsid w:val="00457B46"/>
    <w:rsid w:val="0047142D"/>
    <w:rsid w:val="004739F7"/>
    <w:rsid w:val="00481BD9"/>
    <w:rsid w:val="00483897"/>
    <w:rsid w:val="004860C9"/>
    <w:rsid w:val="00487314"/>
    <w:rsid w:val="00491750"/>
    <w:rsid w:val="00495706"/>
    <w:rsid w:val="0049735E"/>
    <w:rsid w:val="004A19E0"/>
    <w:rsid w:val="004A1C47"/>
    <w:rsid w:val="004A40CA"/>
    <w:rsid w:val="004A445C"/>
    <w:rsid w:val="004B1972"/>
    <w:rsid w:val="004B64BA"/>
    <w:rsid w:val="004C25E2"/>
    <w:rsid w:val="004C6926"/>
    <w:rsid w:val="004E07A6"/>
    <w:rsid w:val="004E4D26"/>
    <w:rsid w:val="004F2AA1"/>
    <w:rsid w:val="004F5721"/>
    <w:rsid w:val="00501302"/>
    <w:rsid w:val="00510CEE"/>
    <w:rsid w:val="005152DE"/>
    <w:rsid w:val="00516E41"/>
    <w:rsid w:val="0052016C"/>
    <w:rsid w:val="005224B2"/>
    <w:rsid w:val="00525229"/>
    <w:rsid w:val="00532DF1"/>
    <w:rsid w:val="005341B8"/>
    <w:rsid w:val="00537F61"/>
    <w:rsid w:val="0054254B"/>
    <w:rsid w:val="00554851"/>
    <w:rsid w:val="00557B9A"/>
    <w:rsid w:val="00567BCF"/>
    <w:rsid w:val="00570552"/>
    <w:rsid w:val="00571456"/>
    <w:rsid w:val="0058102F"/>
    <w:rsid w:val="005826BA"/>
    <w:rsid w:val="005962E7"/>
    <w:rsid w:val="00597385"/>
    <w:rsid w:val="005A1B48"/>
    <w:rsid w:val="005A6702"/>
    <w:rsid w:val="005A72E3"/>
    <w:rsid w:val="005A7391"/>
    <w:rsid w:val="005B02C3"/>
    <w:rsid w:val="005B6BF8"/>
    <w:rsid w:val="005B7778"/>
    <w:rsid w:val="005C7256"/>
    <w:rsid w:val="005D2AFD"/>
    <w:rsid w:val="005D392E"/>
    <w:rsid w:val="005D7E18"/>
    <w:rsid w:val="005D7F24"/>
    <w:rsid w:val="005E03FF"/>
    <w:rsid w:val="005E20D1"/>
    <w:rsid w:val="005E419D"/>
    <w:rsid w:val="005F205B"/>
    <w:rsid w:val="006049F9"/>
    <w:rsid w:val="0061144C"/>
    <w:rsid w:val="00612EA5"/>
    <w:rsid w:val="00636D71"/>
    <w:rsid w:val="00640A81"/>
    <w:rsid w:val="006525A4"/>
    <w:rsid w:val="006539B6"/>
    <w:rsid w:val="00653BE3"/>
    <w:rsid w:val="00653F80"/>
    <w:rsid w:val="006559AF"/>
    <w:rsid w:val="006660F4"/>
    <w:rsid w:val="006821E6"/>
    <w:rsid w:val="00682EA0"/>
    <w:rsid w:val="00685F9F"/>
    <w:rsid w:val="006932FE"/>
    <w:rsid w:val="0069400F"/>
    <w:rsid w:val="00694964"/>
    <w:rsid w:val="00694F79"/>
    <w:rsid w:val="00696930"/>
    <w:rsid w:val="00697BE8"/>
    <w:rsid w:val="006A603A"/>
    <w:rsid w:val="006A7957"/>
    <w:rsid w:val="006B115A"/>
    <w:rsid w:val="006B3173"/>
    <w:rsid w:val="006B4355"/>
    <w:rsid w:val="006C07EE"/>
    <w:rsid w:val="006D6A1D"/>
    <w:rsid w:val="006E113F"/>
    <w:rsid w:val="006E3550"/>
    <w:rsid w:val="006E4C31"/>
    <w:rsid w:val="006E4E62"/>
    <w:rsid w:val="006F0341"/>
    <w:rsid w:val="006F0B1D"/>
    <w:rsid w:val="006F7CBA"/>
    <w:rsid w:val="00700B2B"/>
    <w:rsid w:val="007063A5"/>
    <w:rsid w:val="00706574"/>
    <w:rsid w:val="00711B6D"/>
    <w:rsid w:val="00717C92"/>
    <w:rsid w:val="00720EC6"/>
    <w:rsid w:val="00721D2F"/>
    <w:rsid w:val="007245BA"/>
    <w:rsid w:val="007401C7"/>
    <w:rsid w:val="0074793D"/>
    <w:rsid w:val="00754743"/>
    <w:rsid w:val="00764210"/>
    <w:rsid w:val="00764539"/>
    <w:rsid w:val="007663D6"/>
    <w:rsid w:val="00766D97"/>
    <w:rsid w:val="00770359"/>
    <w:rsid w:val="0077295A"/>
    <w:rsid w:val="00783D4E"/>
    <w:rsid w:val="007924D0"/>
    <w:rsid w:val="00792E51"/>
    <w:rsid w:val="007A167A"/>
    <w:rsid w:val="007A3A9F"/>
    <w:rsid w:val="007B09A5"/>
    <w:rsid w:val="007C3328"/>
    <w:rsid w:val="007C57AE"/>
    <w:rsid w:val="007C61EA"/>
    <w:rsid w:val="007D3E1B"/>
    <w:rsid w:val="007D75F4"/>
    <w:rsid w:val="007E263B"/>
    <w:rsid w:val="007E2E3C"/>
    <w:rsid w:val="007E3EF4"/>
    <w:rsid w:val="007E737C"/>
    <w:rsid w:val="007F3D5C"/>
    <w:rsid w:val="00807E62"/>
    <w:rsid w:val="008144B9"/>
    <w:rsid w:val="00815CF8"/>
    <w:rsid w:val="0082591A"/>
    <w:rsid w:val="00826312"/>
    <w:rsid w:val="00832324"/>
    <w:rsid w:val="00851C0B"/>
    <w:rsid w:val="00853CD4"/>
    <w:rsid w:val="008574F0"/>
    <w:rsid w:val="008634A4"/>
    <w:rsid w:val="008749D4"/>
    <w:rsid w:val="00877B74"/>
    <w:rsid w:val="00880468"/>
    <w:rsid w:val="00885778"/>
    <w:rsid w:val="00894358"/>
    <w:rsid w:val="00894A01"/>
    <w:rsid w:val="00895751"/>
    <w:rsid w:val="00895B87"/>
    <w:rsid w:val="008A764D"/>
    <w:rsid w:val="008B0DF6"/>
    <w:rsid w:val="008B1020"/>
    <w:rsid w:val="008B299D"/>
    <w:rsid w:val="008B4A2D"/>
    <w:rsid w:val="008C04D3"/>
    <w:rsid w:val="008C4425"/>
    <w:rsid w:val="008C6763"/>
    <w:rsid w:val="008C728E"/>
    <w:rsid w:val="008D144E"/>
    <w:rsid w:val="008D17B9"/>
    <w:rsid w:val="008D275F"/>
    <w:rsid w:val="008E0EE7"/>
    <w:rsid w:val="008E494F"/>
    <w:rsid w:val="009115F0"/>
    <w:rsid w:val="00911CB5"/>
    <w:rsid w:val="00924BDF"/>
    <w:rsid w:val="00930E2A"/>
    <w:rsid w:val="0093164E"/>
    <w:rsid w:val="0093217E"/>
    <w:rsid w:val="009351B5"/>
    <w:rsid w:val="00941C18"/>
    <w:rsid w:val="0094377C"/>
    <w:rsid w:val="00944117"/>
    <w:rsid w:val="00945C50"/>
    <w:rsid w:val="00950B17"/>
    <w:rsid w:val="00956C71"/>
    <w:rsid w:val="00961599"/>
    <w:rsid w:val="00972628"/>
    <w:rsid w:val="00972A08"/>
    <w:rsid w:val="00973BF3"/>
    <w:rsid w:val="0097449E"/>
    <w:rsid w:val="00976A3C"/>
    <w:rsid w:val="00983B5B"/>
    <w:rsid w:val="00983F47"/>
    <w:rsid w:val="00984070"/>
    <w:rsid w:val="009870A6"/>
    <w:rsid w:val="009912E2"/>
    <w:rsid w:val="00997D25"/>
    <w:rsid w:val="009B22A4"/>
    <w:rsid w:val="009B31FE"/>
    <w:rsid w:val="009B4F19"/>
    <w:rsid w:val="009B6540"/>
    <w:rsid w:val="009C11D1"/>
    <w:rsid w:val="009C2A3E"/>
    <w:rsid w:val="009C2D01"/>
    <w:rsid w:val="009C79E8"/>
    <w:rsid w:val="009D17A9"/>
    <w:rsid w:val="009D3341"/>
    <w:rsid w:val="009D5554"/>
    <w:rsid w:val="009D795A"/>
    <w:rsid w:val="009F0B7F"/>
    <w:rsid w:val="009F0EF1"/>
    <w:rsid w:val="009F465F"/>
    <w:rsid w:val="00A00264"/>
    <w:rsid w:val="00A0166A"/>
    <w:rsid w:val="00A056CC"/>
    <w:rsid w:val="00A0579E"/>
    <w:rsid w:val="00A168A2"/>
    <w:rsid w:val="00A20FB4"/>
    <w:rsid w:val="00A21131"/>
    <w:rsid w:val="00A2588F"/>
    <w:rsid w:val="00A34ADE"/>
    <w:rsid w:val="00A3748A"/>
    <w:rsid w:val="00A5306F"/>
    <w:rsid w:val="00A53872"/>
    <w:rsid w:val="00A63785"/>
    <w:rsid w:val="00A67952"/>
    <w:rsid w:val="00A8408C"/>
    <w:rsid w:val="00A93150"/>
    <w:rsid w:val="00A93A0F"/>
    <w:rsid w:val="00A93A1E"/>
    <w:rsid w:val="00A95159"/>
    <w:rsid w:val="00AA054C"/>
    <w:rsid w:val="00AA1DF0"/>
    <w:rsid w:val="00AA2F59"/>
    <w:rsid w:val="00AA39DE"/>
    <w:rsid w:val="00AA40B9"/>
    <w:rsid w:val="00AA4535"/>
    <w:rsid w:val="00AA5F7A"/>
    <w:rsid w:val="00AA67D2"/>
    <w:rsid w:val="00AA74DE"/>
    <w:rsid w:val="00AA7A19"/>
    <w:rsid w:val="00AB1EA5"/>
    <w:rsid w:val="00AB2BFC"/>
    <w:rsid w:val="00AC7F7E"/>
    <w:rsid w:val="00AD1C2B"/>
    <w:rsid w:val="00AD34DC"/>
    <w:rsid w:val="00AD49A1"/>
    <w:rsid w:val="00AD52B4"/>
    <w:rsid w:val="00AE085C"/>
    <w:rsid w:val="00AF0CA2"/>
    <w:rsid w:val="00AF3A86"/>
    <w:rsid w:val="00B013B6"/>
    <w:rsid w:val="00B06C1D"/>
    <w:rsid w:val="00B076CD"/>
    <w:rsid w:val="00B27C4B"/>
    <w:rsid w:val="00B30A87"/>
    <w:rsid w:val="00B32E02"/>
    <w:rsid w:val="00B345BC"/>
    <w:rsid w:val="00B35E4E"/>
    <w:rsid w:val="00B41F07"/>
    <w:rsid w:val="00B454BF"/>
    <w:rsid w:val="00B57785"/>
    <w:rsid w:val="00B64CB5"/>
    <w:rsid w:val="00B65B00"/>
    <w:rsid w:val="00B731FC"/>
    <w:rsid w:val="00B73A2C"/>
    <w:rsid w:val="00B76F96"/>
    <w:rsid w:val="00B81CDA"/>
    <w:rsid w:val="00B83CD0"/>
    <w:rsid w:val="00B8432D"/>
    <w:rsid w:val="00B9434A"/>
    <w:rsid w:val="00B97810"/>
    <w:rsid w:val="00B97A2B"/>
    <w:rsid w:val="00BB5D5F"/>
    <w:rsid w:val="00BB7E5B"/>
    <w:rsid w:val="00BC0D10"/>
    <w:rsid w:val="00BC71CF"/>
    <w:rsid w:val="00BD17F8"/>
    <w:rsid w:val="00BD22E6"/>
    <w:rsid w:val="00BE466D"/>
    <w:rsid w:val="00BE6EC5"/>
    <w:rsid w:val="00BF2251"/>
    <w:rsid w:val="00BF5029"/>
    <w:rsid w:val="00BF6087"/>
    <w:rsid w:val="00C030E4"/>
    <w:rsid w:val="00C03537"/>
    <w:rsid w:val="00C03FFC"/>
    <w:rsid w:val="00C0720C"/>
    <w:rsid w:val="00C11497"/>
    <w:rsid w:val="00C221CD"/>
    <w:rsid w:val="00C2308C"/>
    <w:rsid w:val="00C270A9"/>
    <w:rsid w:val="00C359FD"/>
    <w:rsid w:val="00C44987"/>
    <w:rsid w:val="00C47ACC"/>
    <w:rsid w:val="00C532A0"/>
    <w:rsid w:val="00C549B1"/>
    <w:rsid w:val="00C562CC"/>
    <w:rsid w:val="00C66F53"/>
    <w:rsid w:val="00C741F0"/>
    <w:rsid w:val="00C76FCE"/>
    <w:rsid w:val="00C823D7"/>
    <w:rsid w:val="00C83796"/>
    <w:rsid w:val="00C86C57"/>
    <w:rsid w:val="00C87663"/>
    <w:rsid w:val="00C90AF7"/>
    <w:rsid w:val="00C927B0"/>
    <w:rsid w:val="00C979EF"/>
    <w:rsid w:val="00CB00AA"/>
    <w:rsid w:val="00CB43D6"/>
    <w:rsid w:val="00CB654D"/>
    <w:rsid w:val="00CD0592"/>
    <w:rsid w:val="00CD06A3"/>
    <w:rsid w:val="00CD71A9"/>
    <w:rsid w:val="00CE2703"/>
    <w:rsid w:val="00CE76E9"/>
    <w:rsid w:val="00CF27FC"/>
    <w:rsid w:val="00CF3B3F"/>
    <w:rsid w:val="00D007B3"/>
    <w:rsid w:val="00D00FAD"/>
    <w:rsid w:val="00D010F2"/>
    <w:rsid w:val="00D02362"/>
    <w:rsid w:val="00D054A4"/>
    <w:rsid w:val="00D05B81"/>
    <w:rsid w:val="00D05E1E"/>
    <w:rsid w:val="00D11851"/>
    <w:rsid w:val="00D1314C"/>
    <w:rsid w:val="00D21FC7"/>
    <w:rsid w:val="00D226AE"/>
    <w:rsid w:val="00D24222"/>
    <w:rsid w:val="00D26759"/>
    <w:rsid w:val="00D3179C"/>
    <w:rsid w:val="00D3486A"/>
    <w:rsid w:val="00D350D3"/>
    <w:rsid w:val="00D373D0"/>
    <w:rsid w:val="00D407AB"/>
    <w:rsid w:val="00D42E33"/>
    <w:rsid w:val="00D4315F"/>
    <w:rsid w:val="00D6206F"/>
    <w:rsid w:val="00D67001"/>
    <w:rsid w:val="00D77EE6"/>
    <w:rsid w:val="00D80A75"/>
    <w:rsid w:val="00D850EB"/>
    <w:rsid w:val="00D91C8D"/>
    <w:rsid w:val="00D92732"/>
    <w:rsid w:val="00D92BB0"/>
    <w:rsid w:val="00D942E3"/>
    <w:rsid w:val="00D94579"/>
    <w:rsid w:val="00DA296A"/>
    <w:rsid w:val="00DA5116"/>
    <w:rsid w:val="00DB482A"/>
    <w:rsid w:val="00DB6676"/>
    <w:rsid w:val="00DC3F9E"/>
    <w:rsid w:val="00DC45CA"/>
    <w:rsid w:val="00DC6F72"/>
    <w:rsid w:val="00DD6289"/>
    <w:rsid w:val="00DD6396"/>
    <w:rsid w:val="00DF10CA"/>
    <w:rsid w:val="00DF4E78"/>
    <w:rsid w:val="00E01704"/>
    <w:rsid w:val="00E026FD"/>
    <w:rsid w:val="00E079F8"/>
    <w:rsid w:val="00E1006E"/>
    <w:rsid w:val="00E1211B"/>
    <w:rsid w:val="00E20BB3"/>
    <w:rsid w:val="00E21DA9"/>
    <w:rsid w:val="00E23793"/>
    <w:rsid w:val="00E24CCF"/>
    <w:rsid w:val="00E27B69"/>
    <w:rsid w:val="00E34720"/>
    <w:rsid w:val="00E50DFE"/>
    <w:rsid w:val="00E7463D"/>
    <w:rsid w:val="00E77ECC"/>
    <w:rsid w:val="00E81C37"/>
    <w:rsid w:val="00E82954"/>
    <w:rsid w:val="00E85637"/>
    <w:rsid w:val="00E87335"/>
    <w:rsid w:val="00E90EFD"/>
    <w:rsid w:val="00E91C35"/>
    <w:rsid w:val="00EA2905"/>
    <w:rsid w:val="00EB3068"/>
    <w:rsid w:val="00EB4025"/>
    <w:rsid w:val="00EB5689"/>
    <w:rsid w:val="00EC003A"/>
    <w:rsid w:val="00ED45B3"/>
    <w:rsid w:val="00ED4DDB"/>
    <w:rsid w:val="00EE6EB7"/>
    <w:rsid w:val="00EF64D1"/>
    <w:rsid w:val="00F01117"/>
    <w:rsid w:val="00F030A4"/>
    <w:rsid w:val="00F0519E"/>
    <w:rsid w:val="00F14845"/>
    <w:rsid w:val="00F2158E"/>
    <w:rsid w:val="00F27648"/>
    <w:rsid w:val="00F33BB5"/>
    <w:rsid w:val="00F35C37"/>
    <w:rsid w:val="00F412B4"/>
    <w:rsid w:val="00F45D26"/>
    <w:rsid w:val="00F51804"/>
    <w:rsid w:val="00F56422"/>
    <w:rsid w:val="00F64536"/>
    <w:rsid w:val="00F70505"/>
    <w:rsid w:val="00F74ED6"/>
    <w:rsid w:val="00F8134E"/>
    <w:rsid w:val="00F8299C"/>
    <w:rsid w:val="00F84B03"/>
    <w:rsid w:val="00F87331"/>
    <w:rsid w:val="00F93A43"/>
    <w:rsid w:val="00F93F1A"/>
    <w:rsid w:val="00FB0DC2"/>
    <w:rsid w:val="00FB5811"/>
    <w:rsid w:val="00FC23EB"/>
    <w:rsid w:val="00FC310C"/>
    <w:rsid w:val="00FC3693"/>
    <w:rsid w:val="00FC796A"/>
    <w:rsid w:val="00FD1E22"/>
    <w:rsid w:val="00FD4076"/>
    <w:rsid w:val="00FD5745"/>
    <w:rsid w:val="00FD7E60"/>
    <w:rsid w:val="00FE0875"/>
    <w:rsid w:val="00FE14AD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4A649"/>
  <w15:docId w15:val="{9897BB5D-EFA5-1843-B1FE-0592CE88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ody Text"/>
    <w:basedOn w:val="a"/>
    <w:link w:val="a6"/>
    <w:pPr>
      <w:spacing w:after="240" w:line="240" w:lineRule="auto"/>
      <w:jc w:val="both"/>
    </w:pPr>
    <w:rPr>
      <w:rFonts w:ascii="Times New Roman" w:eastAsia="宋体" w:hAnsi="Times New Roman" w:cs="Simplified Arabic"/>
      <w:sz w:val="24"/>
      <w:szCs w:val="24"/>
      <w:lang w:val="en-GB" w:eastAsia="en-GB" w:bidi="ar-AE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b">
    <w:name w:val="header"/>
    <w:basedOn w:val="a"/>
    <w:link w:val="ac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d">
    <w:name w:val="footnote text"/>
    <w:basedOn w:val="a"/>
    <w:link w:val="ae"/>
    <w:uiPriority w:val="99"/>
    <w:qFormat/>
    <w:pPr>
      <w:widowControl w:val="0"/>
      <w:snapToGrid w:val="0"/>
      <w:spacing w:after="0" w:line="240" w:lineRule="auto"/>
    </w:pPr>
    <w:rPr>
      <w:rFonts w:ascii="Times New Roman" w:eastAsia="宋体" w:hAnsi="Times New Roman" w:cs="Times New Roman"/>
      <w:kern w:val="2"/>
      <w:sz w:val="18"/>
      <w:szCs w:val="18"/>
      <w:lang w:bidi="ar-SA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4">
    <w:name w:val="footnote reference"/>
    <w:rPr>
      <w:vertAlign w:val="superscript"/>
    </w:rPr>
  </w:style>
  <w:style w:type="character" w:customStyle="1" w:styleId="ac">
    <w:name w:val="页眉 字符"/>
    <w:basedOn w:val="a0"/>
    <w:link w:val="ab"/>
    <w:uiPriority w:val="99"/>
  </w:style>
  <w:style w:type="character" w:customStyle="1" w:styleId="aa">
    <w:name w:val="页脚 字符"/>
    <w:basedOn w:val="a0"/>
    <w:link w:val="a9"/>
    <w:uiPriority w:val="99"/>
  </w:style>
  <w:style w:type="character" w:customStyle="1" w:styleId="ae">
    <w:name w:val="脚注文本 字符"/>
    <w:basedOn w:val="a0"/>
    <w:link w:val="ad"/>
    <w:uiPriority w:val="99"/>
    <w:rPr>
      <w:rFonts w:ascii="Times New Roman" w:eastAsia="宋体" w:hAnsi="Times New Roman" w:cs="Times New Roman"/>
      <w:kern w:val="2"/>
      <w:sz w:val="18"/>
      <w:szCs w:val="18"/>
      <w:lang w:bidi="ar-SA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BodyText1">
    <w:name w:val="Body Text 1"/>
    <w:basedOn w:val="a"/>
    <w:link w:val="BodyText1Char"/>
    <w:qFormat/>
    <w:pPr>
      <w:spacing w:after="240" w:line="240" w:lineRule="auto"/>
      <w:ind w:left="720"/>
      <w:jc w:val="both"/>
    </w:pPr>
    <w:rPr>
      <w:rFonts w:ascii="Times New Roman" w:eastAsia="宋体" w:hAnsi="Times New Roman" w:cs="Times New Roman"/>
      <w:sz w:val="24"/>
      <w:szCs w:val="24"/>
      <w:lang w:val="en-GB" w:eastAsia="en-GB" w:bidi="ar-AE"/>
    </w:rPr>
  </w:style>
  <w:style w:type="character" w:customStyle="1" w:styleId="BodyText1Char">
    <w:name w:val="Body Text 1 Char"/>
    <w:basedOn w:val="a0"/>
    <w:link w:val="BodyText1"/>
    <w:rPr>
      <w:rFonts w:ascii="Times New Roman" w:eastAsia="宋体" w:hAnsi="Times New Roman" w:cs="Times New Roman"/>
      <w:sz w:val="24"/>
      <w:szCs w:val="24"/>
      <w:lang w:val="en-GB" w:eastAsia="en-GB" w:bidi="ar-AE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0">
    <w:name w:val="批注主题 字符"/>
    <w:basedOn w:val="a4"/>
    <w:link w:val="af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sz w:val="22"/>
      <w:szCs w:val="22"/>
      <w:lang w:bidi="he-IL"/>
    </w:rPr>
  </w:style>
  <w:style w:type="character" w:customStyle="1" w:styleId="a6">
    <w:name w:val="正文文本 字符"/>
    <w:basedOn w:val="a0"/>
    <w:link w:val="a5"/>
    <w:rPr>
      <w:rFonts w:ascii="Times New Roman" w:eastAsia="宋体" w:hAnsi="Times New Roman" w:cs="Simplified Arabic"/>
      <w:sz w:val="24"/>
      <w:szCs w:val="24"/>
      <w:lang w:val="en-GB" w:eastAsia="en-GB" w:bidi="ar-AE"/>
    </w:rPr>
  </w:style>
  <w:style w:type="paragraph" w:customStyle="1" w:styleId="2">
    <w:name w:val="修订2"/>
    <w:hidden/>
    <w:uiPriority w:val="99"/>
    <w:semiHidden/>
    <w:rPr>
      <w:sz w:val="22"/>
      <w:szCs w:val="22"/>
      <w:lang w:bidi="he-IL"/>
    </w:rPr>
  </w:style>
  <w:style w:type="paragraph" w:styleId="af6">
    <w:name w:val="Revision"/>
    <w:hidden/>
    <w:uiPriority w:val="99"/>
    <w:semiHidden/>
    <w:rsid w:val="00F14845"/>
    <w:rPr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159</Words>
  <Characters>907</Characters>
  <Application>Microsoft Office Word</Application>
  <DocSecurity>0</DocSecurity>
  <Lines>7</Lines>
  <Paragraphs>2</Paragraphs>
  <ScaleCrop>false</ScaleCrop>
  <Company>King &amp; Wood Mallesons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&amp; Wood Mallesons</dc:creator>
  <cp:lastModifiedBy>胡博豪</cp:lastModifiedBy>
  <cp:revision>18</cp:revision>
  <cp:lastPrinted>2019-01-04T15:14:00Z</cp:lastPrinted>
  <dcterms:created xsi:type="dcterms:W3CDTF">2024-04-12T19:54:00Z</dcterms:created>
  <dcterms:modified xsi:type="dcterms:W3CDTF">2024-04-27T09:37:00Z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36C018CB3904C49157A21266A444092F_42</vt:lpwstr>
  </property>
</Properties>
</file>