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黑体" w:cs="Arial"/>
          <w:bCs/>
          <w:sz w:val="36"/>
          <w:szCs w:val="36"/>
        </w:rPr>
      </w:pPr>
      <w:bookmarkStart w:id="0" w:name="OLE_LINK15"/>
      <w:bookmarkStart w:id="1" w:name="OLE_LINK2"/>
      <w:bookmarkStart w:id="2" w:name="OLE_LINK1"/>
      <w:r>
        <w:rPr>
          <w:rFonts w:ascii="Arial" w:hAnsi="Arial" w:eastAsia="黑体" w:cs="Arial"/>
          <w:bCs/>
          <w:sz w:val="36"/>
          <w:szCs w:val="36"/>
        </w:rPr>
        <w:t>经营者集中简易案件公示表</w:t>
      </w:r>
      <w:bookmarkEnd w:id="0"/>
      <w:bookmarkEnd w:id="1"/>
      <w:bookmarkEnd w:id="2"/>
    </w:p>
    <w:tbl>
      <w:tblPr>
        <w:tblStyle w:val="1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12"/>
              <w:adjustRightInd w:val="0"/>
              <w:snapToGrid w:val="0"/>
              <w:spacing w:after="0"/>
              <w:rPr>
                <w:rFonts w:cs="Arial"/>
                <w:bCs/>
                <w:color w:val="000000"/>
                <w:lang w:val="en-US"/>
              </w:rPr>
            </w:pPr>
            <w:r>
              <w:rPr>
                <w:rFonts w:cs="Arial"/>
                <w:bCs/>
                <w:color w:val="000000"/>
              </w:rPr>
              <w:t>案件名称</w:t>
            </w:r>
          </w:p>
        </w:tc>
        <w:tc>
          <w:tcPr>
            <w:tcW w:w="7700" w:type="dxa"/>
            <w:gridSpan w:val="2"/>
            <w:vAlign w:val="center"/>
          </w:tcPr>
          <w:p>
            <w:pPr>
              <w:adjustRightInd w:val="0"/>
              <w:snapToGrid w:val="0"/>
              <w:spacing w:after="0"/>
              <w:rPr>
                <w:rFonts w:cs="Arial"/>
                <w:bCs/>
                <w:color w:val="000000"/>
                <w:lang w:val="en-US"/>
              </w:rPr>
            </w:pPr>
            <w:r>
              <w:rPr>
                <w:rFonts w:hint="eastAsia" w:cs="Arial"/>
                <w:bCs/>
                <w:color w:val="000000"/>
                <w:lang w:val="en-US"/>
              </w:rPr>
              <w:t>北京金隅新型建材产业化集团有限公司收购浙江杭加泽通建筑节能新材料有限公司股权案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12"/>
              <w:adjustRightInd w:val="0"/>
              <w:snapToGrid w:val="0"/>
              <w:spacing w:after="0"/>
              <w:rPr>
                <w:rFonts w:cs="Arial"/>
                <w:bCs/>
                <w:color w:val="000000"/>
                <w:lang w:val="en-US" w:eastAsia="zh-CN"/>
              </w:rPr>
            </w:pPr>
            <w:r>
              <w:rPr>
                <w:rFonts w:cs="Arial"/>
                <w:bCs/>
                <w:color w:val="000000"/>
                <w:lang w:eastAsia="zh-CN"/>
              </w:rPr>
              <w:t>交易概况（限200字内）</w:t>
            </w:r>
          </w:p>
        </w:tc>
        <w:tc>
          <w:tcPr>
            <w:tcW w:w="7700" w:type="dxa"/>
            <w:gridSpan w:val="2"/>
            <w:vAlign w:val="center"/>
          </w:tcPr>
          <w:p>
            <w:pPr>
              <w:widowControl w:val="0"/>
              <w:adjustRightInd w:val="0"/>
              <w:snapToGrid w:val="0"/>
              <w:spacing w:after="0"/>
              <w:rPr>
                <w:rFonts w:cs="Arial"/>
                <w:bCs/>
                <w:color w:val="000000"/>
                <w:lang w:val="en-US"/>
              </w:rPr>
            </w:pPr>
            <w:r>
              <w:rPr>
                <w:rFonts w:hint="eastAsia" w:cs="Arial"/>
                <w:bCs/>
                <w:color w:val="000000"/>
                <w:lang w:val="en-US"/>
              </w:rPr>
              <w:t>北京金隅新型建材产业化集团有限公司（“金隅新材”）与上海富春建业科技股份有限公司（“富春建业”）签署《股权转让协议》，金隅新材拟以其持有的两家子公司股权作价出资，收购富春建业持有的浙江杭加泽通建筑节能新材料有限公司（“杭加新材”）约5</w:t>
            </w:r>
            <w:r>
              <w:rPr>
                <w:rFonts w:cs="Arial"/>
                <w:bCs/>
                <w:color w:val="000000"/>
                <w:lang w:val="en-US"/>
              </w:rPr>
              <w:t>4</w:t>
            </w:r>
            <w:r>
              <w:rPr>
                <w:rFonts w:hint="eastAsia" w:cs="Arial"/>
                <w:bCs/>
                <w:color w:val="000000"/>
                <w:lang w:val="en-US"/>
              </w:rPr>
              <w:t>%的股权。杭加新材主要从事蒸压加气混凝土的制造与销售业务。本次交易前，杭加新材由富春建业持股1</w:t>
            </w:r>
            <w:r>
              <w:rPr>
                <w:rFonts w:cs="Arial"/>
                <w:bCs/>
                <w:color w:val="000000"/>
                <w:lang w:val="en-US"/>
              </w:rPr>
              <w:t>00%</w:t>
            </w:r>
            <w:r>
              <w:rPr>
                <w:rFonts w:hint="eastAsia" w:cs="Arial"/>
                <w:bCs/>
                <w:color w:val="000000"/>
                <w:lang w:val="en-US"/>
              </w:rPr>
              <w:t>并单独控制。本次交易后，金隅新材将持有杭加新材约5</w:t>
            </w:r>
            <w:r>
              <w:rPr>
                <w:rFonts w:cs="Arial"/>
                <w:bCs/>
                <w:color w:val="000000"/>
                <w:lang w:val="en-US"/>
              </w:rPr>
              <w:t>4%</w:t>
            </w:r>
            <w:r>
              <w:rPr>
                <w:rFonts w:hint="eastAsia" w:cs="Arial"/>
                <w:bCs/>
                <w:color w:val="000000"/>
                <w:lang w:val="en-US"/>
              </w:rPr>
              <w:t>的股权，富春建业将持有杭加新材约4</w:t>
            </w:r>
            <w:r>
              <w:rPr>
                <w:rFonts w:cs="Arial"/>
                <w:bCs/>
                <w:color w:val="000000"/>
                <w:lang w:val="en-US"/>
              </w:rPr>
              <w:t>6%</w:t>
            </w:r>
            <w:r>
              <w:rPr>
                <w:rFonts w:hint="eastAsia" w:cs="Arial"/>
                <w:bCs/>
                <w:color w:val="000000"/>
                <w:lang w:val="en-US"/>
              </w:rPr>
              <w:t>的股权，杭加新材将由金隅新材、富春建业共同控制。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12"/>
              <w:adjustRightInd w:val="0"/>
              <w:snapToGrid w:val="0"/>
              <w:spacing w:after="0"/>
              <w:rPr>
                <w:rFonts w:cs="Arial"/>
                <w:bCs/>
                <w:color w:val="000000"/>
                <w:lang w:eastAsia="zh-CN"/>
              </w:rPr>
            </w:pPr>
            <w:r>
              <w:rPr>
                <w:rFonts w:cs="Arial"/>
                <w:bCs/>
                <w:color w:val="000000"/>
                <w:lang w:eastAsia="zh-CN"/>
              </w:rPr>
              <w:t>参与集中的经营者简介（每个限</w:t>
            </w:r>
            <w:r>
              <w:rPr>
                <w:rFonts w:cs="Arial"/>
                <w:bCs/>
                <w:color w:val="000000"/>
                <w:lang w:val="en-US" w:eastAsia="zh-CN"/>
              </w:rPr>
              <w:t>100字以内</w:t>
            </w:r>
            <w:r>
              <w:rPr>
                <w:rFonts w:cs="Arial"/>
                <w:bCs/>
                <w:color w:val="000000"/>
                <w:lang w:eastAsia="zh-CN"/>
              </w:rPr>
              <w:t>）</w:t>
            </w:r>
          </w:p>
        </w:tc>
        <w:tc>
          <w:tcPr>
            <w:tcW w:w="1607" w:type="dxa"/>
            <w:vAlign w:val="center"/>
          </w:tcPr>
          <w:p>
            <w:pPr>
              <w:pStyle w:val="12"/>
              <w:adjustRightInd w:val="0"/>
              <w:snapToGrid w:val="0"/>
              <w:spacing w:after="0"/>
              <w:rPr>
                <w:rFonts w:cs="Arial"/>
                <w:bCs/>
                <w:color w:val="000000"/>
                <w:lang w:val="en-US" w:eastAsia="zh-CN"/>
              </w:rPr>
            </w:pPr>
            <w:r>
              <w:rPr>
                <w:rFonts w:hint="eastAsia" w:cs="Arial"/>
                <w:bCs/>
                <w:color w:val="000000"/>
                <w:lang w:val="en-US" w:eastAsia="zh-CN"/>
              </w:rPr>
              <w:t>1</w:t>
            </w:r>
            <w:r>
              <w:rPr>
                <w:rFonts w:cs="Arial"/>
                <w:bCs/>
                <w:color w:val="000000"/>
                <w:lang w:val="en-US" w:eastAsia="zh-CN"/>
              </w:rPr>
              <w:t>.</w:t>
            </w:r>
            <w:r>
              <w:rPr>
                <w:rFonts w:hint="eastAsia" w:cs="Arial"/>
                <w:bCs/>
                <w:color w:val="000000"/>
                <w:lang w:val="en-US" w:eastAsia="zh-CN"/>
              </w:rPr>
              <w:t xml:space="preserve"> </w:t>
            </w:r>
            <w:r>
              <w:rPr>
                <w:rFonts w:hint="eastAsia" w:cs="Arial"/>
                <w:bCs/>
                <w:color w:val="000000"/>
                <w:lang w:val="en-US"/>
              </w:rPr>
              <w:t>金隅新材</w:t>
            </w:r>
          </w:p>
        </w:tc>
        <w:tc>
          <w:tcPr>
            <w:tcW w:w="6093" w:type="dxa"/>
            <w:vAlign w:val="center"/>
          </w:tcPr>
          <w:p>
            <w:pPr>
              <w:adjustRightInd w:val="0"/>
              <w:snapToGrid w:val="0"/>
              <w:spacing w:after="0"/>
              <w:rPr>
                <w:szCs w:val="20"/>
              </w:rPr>
            </w:pPr>
            <w:r>
              <w:rPr>
                <w:rFonts w:hint="eastAsia" w:cs="Arial"/>
                <w:bCs/>
                <w:color w:val="000000"/>
                <w:lang w:val="en-US"/>
              </w:rPr>
              <w:t>金隅新材于</w:t>
            </w:r>
            <w:r>
              <w:rPr>
                <w:rFonts w:hint="eastAsia"/>
                <w:szCs w:val="20"/>
              </w:rPr>
              <w:t>1985年1月21日成立于北京市，</w:t>
            </w:r>
            <w:r>
              <w:rPr>
                <w:rFonts w:hint="eastAsia" w:cs="Arial"/>
                <w:bCs/>
                <w:color w:val="000000"/>
                <w:lang w:val="en-US"/>
              </w:rPr>
              <w:t>主要业务为</w:t>
            </w:r>
            <w:r>
              <w:rPr>
                <w:rFonts w:hint="eastAsia"/>
                <w:szCs w:val="20"/>
              </w:rPr>
              <w:t>新型绿色环保建材的制造与销售。</w:t>
            </w:r>
          </w:p>
          <w:p>
            <w:pPr>
              <w:adjustRightInd w:val="0"/>
              <w:snapToGrid w:val="0"/>
              <w:spacing w:after="0"/>
              <w:rPr>
                <w:rFonts w:cs="Arial"/>
                <w:bCs/>
                <w:color w:val="000000"/>
                <w:lang w:val="en-US"/>
              </w:rPr>
            </w:pPr>
            <w:r>
              <w:rPr>
                <w:rFonts w:hint="eastAsia"/>
                <w:szCs w:val="20"/>
              </w:rPr>
              <w:t>金隅新材的最终控制人为北京金隅集团股份有限公司，主要业务为</w:t>
            </w:r>
            <w:bookmarkStart w:id="3" w:name="_GoBack"/>
            <w:r>
              <w:rPr>
                <w:rFonts w:hint="eastAsia"/>
                <w:szCs w:val="20"/>
              </w:rPr>
              <w:t>水泥</w:t>
            </w:r>
            <w:bookmarkEnd w:id="3"/>
            <w:r>
              <w:rPr>
                <w:rFonts w:hint="eastAsia"/>
                <w:szCs w:val="20"/>
              </w:rPr>
              <w:t>、新型建材等绿色建材和地产开发及运营。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1607" w:type="dxa"/>
            <w:vAlign w:val="center"/>
          </w:tcPr>
          <w:p>
            <w:pPr>
              <w:pStyle w:val="12"/>
              <w:adjustRightInd w:val="0"/>
              <w:snapToGrid w:val="0"/>
              <w:spacing w:after="0"/>
              <w:rPr>
                <w:rFonts w:cs="Arial"/>
                <w:bCs/>
                <w:color w:val="000000"/>
                <w:lang w:val="en-US" w:eastAsia="zh-CN"/>
              </w:rPr>
            </w:pPr>
            <w:r>
              <w:rPr>
                <w:rFonts w:cs="Arial"/>
                <w:bCs/>
                <w:color w:val="000000"/>
                <w:lang w:val="en-US" w:eastAsia="zh-CN"/>
              </w:rPr>
              <w:t>2.</w:t>
            </w:r>
            <w:r>
              <w:rPr>
                <w:rFonts w:hint="eastAsia" w:cs="Arial"/>
                <w:bCs/>
                <w:color w:val="000000"/>
                <w:lang w:val="en-US" w:eastAsia="zh-CN"/>
              </w:rPr>
              <w:t xml:space="preserve"> </w:t>
            </w:r>
            <w:r>
              <w:rPr>
                <w:rFonts w:hint="eastAsia" w:cs="Arial"/>
                <w:bCs/>
                <w:color w:val="000000"/>
                <w:lang w:val="en-US"/>
              </w:rPr>
              <w:t>富春建业</w:t>
            </w:r>
          </w:p>
        </w:tc>
        <w:tc>
          <w:tcPr>
            <w:tcW w:w="6093" w:type="dxa"/>
            <w:vAlign w:val="center"/>
          </w:tcPr>
          <w:p>
            <w:pPr>
              <w:adjustRightInd w:val="0"/>
              <w:snapToGrid w:val="0"/>
              <w:spacing w:after="0"/>
              <w:rPr>
                <w:rFonts w:ascii="宋体" w:hAnsi="宋体"/>
                <w:szCs w:val="21"/>
              </w:rPr>
            </w:pPr>
            <w:r>
              <w:rPr>
                <w:rFonts w:hint="eastAsia" w:cs="Arial"/>
                <w:bCs/>
                <w:color w:val="000000"/>
                <w:lang w:val="en-US"/>
              </w:rPr>
              <w:t>富春建业于</w:t>
            </w:r>
            <w:r>
              <w:rPr>
                <w:rFonts w:hint="eastAsia"/>
              </w:rPr>
              <w:t>2007年6月25日成立于上海市，</w:t>
            </w:r>
            <w:r>
              <w:rPr>
                <w:rFonts w:hint="eastAsia" w:cs="Arial"/>
              </w:rPr>
              <w:t>主要业务为蒸压加气混凝土制品的生产、销售及研发，以及商品混凝土、商品砂浆、混凝土建筑预制构件、外加剂的生产和销售。</w:t>
            </w:r>
          </w:p>
          <w:p>
            <w:pPr>
              <w:adjustRightInd w:val="0"/>
              <w:snapToGrid w:val="0"/>
              <w:spacing w:after="0"/>
              <w:rPr>
                <w:rFonts w:cs="Arial"/>
                <w:bCs/>
                <w:color w:val="000000"/>
                <w:lang w:val="en-US"/>
              </w:rPr>
            </w:pPr>
            <w:r>
              <w:rPr>
                <w:rFonts w:hint="eastAsia" w:ascii="宋体" w:hAnsi="宋体"/>
                <w:szCs w:val="21"/>
              </w:rPr>
              <w:t>富春建业</w:t>
            </w:r>
            <w:r>
              <w:rPr>
                <w:rFonts w:hint="eastAsia"/>
              </w:rPr>
              <w:t>最终控制人为两位中国籍自然人，其通过控制的富春控股集团有限公司主要从事供应链、智能制造、医疗康养、金融等业务。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12"/>
              <w:adjustRightInd w:val="0"/>
              <w:snapToGrid w:val="0"/>
              <w:spacing w:after="0"/>
              <w:rPr>
                <w:rFonts w:cs="Arial"/>
                <w:bCs/>
                <w:color w:val="000000"/>
                <w:lang w:val="en-US" w:eastAsia="zh-CN"/>
              </w:rPr>
            </w:pPr>
            <w:r>
              <w:rPr>
                <w:rFonts w:cs="Arial"/>
                <w:bCs/>
                <w:color w:val="000000"/>
                <w:lang w:eastAsia="zh-CN"/>
              </w:rPr>
              <w:t>简易案件理由（可以单选，也可以多选）</w:t>
            </w: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A8"/>
            </w:r>
            <w:r>
              <w:rPr>
                <w:rFonts w:cs="Arial"/>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FE"/>
            </w:r>
            <w:r>
              <w:rPr>
                <w:rFonts w:cs="Arial"/>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FE"/>
            </w:r>
            <w:r>
              <w:rPr>
                <w:rFonts w:cs="Arial"/>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A8"/>
            </w:r>
            <w:r>
              <w:rPr>
                <w:rFonts w:cs="Arial"/>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A8"/>
            </w:r>
            <w:r>
              <w:rPr>
                <w:rFonts w:cs="Arial"/>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12"/>
              <w:adjustRightInd w:val="0"/>
              <w:snapToGrid w:val="0"/>
              <w:spacing w:after="0"/>
              <w:rPr>
                <w:rFonts w:cs="Arial"/>
                <w:bCs/>
                <w:color w:val="000000"/>
                <w:lang w:val="en-US" w:eastAsia="zh-CN"/>
              </w:rPr>
            </w:pPr>
          </w:p>
        </w:tc>
        <w:tc>
          <w:tcPr>
            <w:tcW w:w="7700" w:type="dxa"/>
            <w:gridSpan w:val="2"/>
            <w:vAlign w:val="center"/>
          </w:tcPr>
          <w:p>
            <w:pPr>
              <w:pStyle w:val="12"/>
              <w:adjustRightInd w:val="0"/>
              <w:snapToGrid w:val="0"/>
              <w:spacing w:after="0"/>
              <w:rPr>
                <w:rFonts w:cs="Arial"/>
                <w:bCs/>
                <w:color w:val="000000"/>
                <w:lang w:val="en-US" w:eastAsia="zh-CN"/>
              </w:rPr>
            </w:pPr>
            <w:r>
              <w:rPr>
                <w:rFonts w:cs="Arial"/>
                <w:bCs/>
                <w:color w:val="000000"/>
                <w:lang w:eastAsia="zh-CN"/>
              </w:rPr>
              <w:sym w:font="Wingdings" w:char="F0A8"/>
            </w:r>
            <w:r>
              <w:rPr>
                <w:rFonts w:cs="Arial"/>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12"/>
              <w:adjustRightInd w:val="0"/>
              <w:snapToGrid w:val="0"/>
              <w:spacing w:after="0"/>
              <w:rPr>
                <w:rFonts w:cs="Arial"/>
                <w:bCs/>
                <w:color w:val="000000"/>
                <w:lang w:val="en-US" w:eastAsia="zh-CN"/>
              </w:rPr>
            </w:pPr>
            <w:r>
              <w:rPr>
                <w:rFonts w:cs="Arial"/>
                <w:bCs/>
                <w:color w:val="000000"/>
                <w:lang w:val="en-US" w:eastAsia="zh-CN"/>
              </w:rPr>
              <w:t>备注</w:t>
            </w:r>
          </w:p>
        </w:tc>
        <w:tc>
          <w:tcPr>
            <w:tcW w:w="7700" w:type="dxa"/>
            <w:gridSpan w:val="2"/>
            <w:vAlign w:val="center"/>
          </w:tcPr>
          <w:p>
            <w:pPr>
              <w:pStyle w:val="12"/>
              <w:adjustRightInd w:val="0"/>
              <w:snapToGrid w:val="0"/>
              <w:spacing w:after="0"/>
              <w:rPr>
                <w:rFonts w:cs="Arial"/>
                <w:bCs/>
                <w:color w:val="000000"/>
                <w:u w:val="single"/>
                <w:lang w:eastAsia="zh-CN"/>
              </w:rPr>
            </w:pPr>
            <w:r>
              <w:rPr>
                <w:rFonts w:hint="eastAsia" w:cs="Arial"/>
                <w:bCs/>
                <w:color w:val="000000"/>
                <w:u w:val="single"/>
                <w:lang w:eastAsia="zh-CN"/>
              </w:rPr>
              <w:t>纵向关联：</w:t>
            </w:r>
          </w:p>
          <w:p>
            <w:pPr>
              <w:pStyle w:val="12"/>
              <w:adjustRightInd w:val="0"/>
              <w:snapToGrid w:val="0"/>
              <w:spacing w:after="0"/>
              <w:rPr>
                <w:rFonts w:cs="Arial"/>
                <w:bCs/>
                <w:color w:val="000000"/>
                <w:lang w:eastAsia="zh-CN"/>
              </w:rPr>
            </w:pPr>
            <w:r>
              <w:rPr>
                <w:rFonts w:hint="eastAsia" w:cs="Arial"/>
                <w:bCs/>
                <w:color w:val="000000"/>
                <w:lang w:eastAsia="zh-CN"/>
              </w:rPr>
              <w:t>上游：</w:t>
            </w:r>
          </w:p>
          <w:p>
            <w:pPr>
              <w:pStyle w:val="12"/>
              <w:adjustRightInd w:val="0"/>
              <w:snapToGrid w:val="0"/>
              <w:spacing w:after="0"/>
              <w:ind w:left="360"/>
              <w:rPr>
                <w:rFonts w:cs="Arial"/>
                <w:bCs/>
                <w:color w:val="000000"/>
                <w:lang w:eastAsia="zh-CN"/>
              </w:rPr>
            </w:pPr>
            <w:r>
              <w:rPr>
                <w:rFonts w:hint="eastAsia" w:cs="Arial"/>
                <w:bCs/>
                <w:color w:val="000000"/>
                <w:lang w:eastAsia="zh-CN"/>
              </w:rPr>
              <w:t>2</w:t>
            </w:r>
            <w:r>
              <w:rPr>
                <w:rFonts w:cs="Arial"/>
                <w:bCs/>
                <w:color w:val="000000"/>
                <w:lang w:eastAsia="zh-CN"/>
              </w:rPr>
              <w:t>022</w:t>
            </w:r>
            <w:r>
              <w:rPr>
                <w:rFonts w:hint="eastAsia" w:cs="Arial"/>
                <w:bCs/>
                <w:color w:val="000000"/>
                <w:lang w:eastAsia="zh-CN"/>
              </w:rPr>
              <w:t>年重庆市璧山区工厂周边200公里范围内通用水泥市场</w:t>
            </w:r>
          </w:p>
          <w:p>
            <w:pPr>
              <w:pStyle w:val="12"/>
              <w:adjustRightInd w:val="0"/>
              <w:snapToGrid w:val="0"/>
              <w:spacing w:after="0"/>
              <w:ind w:left="360"/>
              <w:rPr>
                <w:rFonts w:cs="Arial"/>
                <w:bCs/>
                <w:color w:val="000000"/>
                <w:lang w:eastAsia="zh-CN"/>
              </w:rPr>
            </w:pPr>
            <w:r>
              <w:rPr>
                <w:rFonts w:hint="eastAsia" w:cs="Arial"/>
                <w:bCs/>
                <w:color w:val="000000"/>
                <w:lang w:eastAsia="zh-CN"/>
              </w:rPr>
              <w:t>金隅新材：</w:t>
            </w:r>
            <w:r>
              <w:rPr>
                <w:rFonts w:cs="Arial"/>
                <w:bCs/>
                <w:color w:val="000000"/>
                <w:lang w:val="en-US" w:eastAsia="zh-CN"/>
              </w:rPr>
              <w:t>[5-10%]</w:t>
            </w:r>
          </w:p>
          <w:p>
            <w:pPr>
              <w:pStyle w:val="12"/>
              <w:adjustRightInd w:val="0"/>
              <w:snapToGrid w:val="0"/>
              <w:spacing w:after="0"/>
              <w:rPr>
                <w:rFonts w:cs="Arial"/>
                <w:bCs/>
                <w:color w:val="000000"/>
                <w:lang w:eastAsia="zh-CN"/>
              </w:rPr>
            </w:pPr>
            <w:r>
              <w:rPr>
                <w:rFonts w:hint="eastAsia" w:cs="Arial"/>
                <w:bCs/>
                <w:color w:val="000000"/>
                <w:lang w:eastAsia="zh-CN"/>
              </w:rPr>
              <w:t>下游：</w:t>
            </w:r>
          </w:p>
          <w:p>
            <w:pPr>
              <w:pStyle w:val="12"/>
              <w:adjustRightInd w:val="0"/>
              <w:snapToGrid w:val="0"/>
              <w:spacing w:after="0"/>
              <w:ind w:left="360"/>
              <w:rPr>
                <w:rFonts w:cs="Arial"/>
                <w:bCs/>
                <w:color w:val="000000"/>
                <w:lang w:eastAsia="zh-CN"/>
              </w:rPr>
            </w:pPr>
            <w:r>
              <w:rPr>
                <w:rFonts w:hint="eastAsia" w:cs="Arial"/>
                <w:bCs/>
                <w:color w:val="000000"/>
                <w:lang w:eastAsia="zh-CN"/>
              </w:rPr>
              <w:t>2</w:t>
            </w:r>
            <w:r>
              <w:rPr>
                <w:rFonts w:cs="Arial"/>
                <w:bCs/>
                <w:color w:val="000000"/>
                <w:lang w:eastAsia="zh-CN"/>
              </w:rPr>
              <w:t>022</w:t>
            </w:r>
            <w:r>
              <w:rPr>
                <w:rFonts w:hint="eastAsia" w:cs="Arial"/>
                <w:bCs/>
                <w:color w:val="000000"/>
                <w:lang w:eastAsia="zh-CN"/>
              </w:rPr>
              <w:t>年四川省广安市邻水县工厂周边200公里范围内蒸压加气混凝土制品市场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eastAsia="zh-CN"/>
              </w:rPr>
              <w:t>富春建业：</w:t>
            </w:r>
            <w:r>
              <w:rPr>
                <w:rFonts w:cs="Arial"/>
                <w:bCs/>
                <w:color w:val="000000"/>
                <w:lang w:val="en-US" w:eastAsia="zh-CN"/>
              </w:rPr>
              <w:t>[5-10%</w:t>
            </w:r>
            <w:r>
              <w:rPr>
                <w:rFonts w:hint="eastAsia" w:cs="Arial"/>
                <w:bCs/>
                <w:color w:val="000000"/>
                <w:lang w:val="en-US" w:eastAsia="zh-CN"/>
              </w:rPr>
              <w:t>]</w:t>
            </w:r>
          </w:p>
          <w:p>
            <w:pPr>
              <w:pStyle w:val="12"/>
              <w:adjustRightInd w:val="0"/>
              <w:snapToGrid w:val="0"/>
              <w:spacing w:after="0"/>
              <w:ind w:left="360"/>
              <w:rPr>
                <w:rFonts w:cs="Arial"/>
                <w:bCs/>
                <w:color w:val="000000"/>
                <w:lang w:eastAsia="zh-CN"/>
              </w:rPr>
            </w:pPr>
          </w:p>
          <w:p>
            <w:pPr>
              <w:pStyle w:val="12"/>
              <w:adjustRightInd w:val="0"/>
              <w:snapToGrid w:val="0"/>
              <w:spacing w:after="0"/>
              <w:rPr>
                <w:rFonts w:cs="Arial"/>
                <w:bCs/>
                <w:color w:val="000000"/>
                <w:u w:val="single"/>
                <w:lang w:val="en-US" w:eastAsia="zh-CN"/>
              </w:rPr>
            </w:pPr>
            <w:r>
              <w:rPr>
                <w:rFonts w:hint="eastAsia" w:cs="Arial"/>
                <w:bCs/>
                <w:color w:val="000000"/>
                <w:u w:val="single"/>
                <w:lang w:val="en-US" w:eastAsia="zh-CN"/>
              </w:rPr>
              <w:t>混合集中：</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w:t>
            </w:r>
            <w:r>
              <w:rPr>
                <w:rFonts w:cs="Arial"/>
                <w:bCs/>
                <w:color w:val="000000"/>
                <w:lang w:val="en-US" w:eastAsia="zh-CN"/>
              </w:rPr>
              <w:t>022</w:t>
            </w:r>
            <w:r>
              <w:rPr>
                <w:rFonts w:hint="eastAsia" w:cs="Arial"/>
                <w:bCs/>
                <w:color w:val="000000"/>
                <w:lang w:val="en-US" w:eastAsia="zh-CN"/>
              </w:rPr>
              <w:t>年北京市房山区工厂周边200公里范围内蒸压加气混凝土制品市场</w:t>
            </w:r>
          </w:p>
          <w:p>
            <w:pPr>
              <w:pStyle w:val="12"/>
              <w:adjustRightInd w:val="0"/>
              <w:snapToGrid w:val="0"/>
              <w:spacing w:after="0"/>
              <w:ind w:left="360"/>
              <w:rPr>
                <w:rFonts w:hint="default" w:cs="Arial"/>
                <w:bCs/>
                <w:color w:val="000000"/>
                <w:lang w:val="en-US" w:eastAsia="zh-CN"/>
              </w:rPr>
            </w:pPr>
            <w:r>
              <w:rPr>
                <w:rFonts w:hint="eastAsia" w:cs="Arial"/>
                <w:bCs/>
                <w:color w:val="000000"/>
                <w:lang w:val="en-US" w:eastAsia="zh-CN"/>
              </w:rPr>
              <w:t>金隅新材：</w:t>
            </w:r>
            <w:r>
              <w:rPr>
                <w:rFonts w:cs="Arial"/>
                <w:bCs/>
                <w:color w:val="000000"/>
                <w:lang w:val="en-US" w:eastAsia="zh-CN"/>
              </w:rPr>
              <w:t>[5-10%</w:t>
            </w:r>
            <w:r>
              <w:rPr>
                <w:rFonts w:hint="eastAsia" w:cs="Arial"/>
                <w:bCs/>
                <w:color w:val="000000"/>
                <w:lang w:val="en-US" w:eastAsia="zh-CN"/>
              </w:rPr>
              <w:t>]</w:t>
            </w:r>
          </w:p>
          <w:p>
            <w:pPr>
              <w:pStyle w:val="12"/>
              <w:numPr>
                <w:ilvl w:val="0"/>
                <w:numId w:val="1"/>
              </w:numPr>
              <w:adjustRightInd w:val="0"/>
              <w:snapToGrid w:val="0"/>
              <w:spacing w:after="0"/>
              <w:ind w:left="360" w:leftChars="0" w:hanging="360" w:firstLineChars="0"/>
              <w:rPr>
                <w:rFonts w:hint="eastAsia" w:cs="Arial"/>
                <w:bCs/>
                <w:color w:val="000000"/>
                <w:lang w:val="en-US" w:eastAsia="zh-CN"/>
              </w:rPr>
            </w:pPr>
            <w:r>
              <w:rPr>
                <w:rFonts w:hint="eastAsia" w:cs="Arial"/>
                <w:bCs/>
                <w:color w:val="000000"/>
                <w:lang w:val="en-US" w:eastAsia="zh-CN"/>
              </w:rPr>
              <w:t>2022年陕西省咸阳市泾阳县工厂周边200公里范围内蒸压加气混凝土制品市场</w:t>
            </w:r>
          </w:p>
          <w:p>
            <w:pPr>
              <w:pStyle w:val="12"/>
              <w:adjustRightInd w:val="0"/>
              <w:snapToGrid w:val="0"/>
              <w:spacing w:after="0"/>
              <w:ind w:left="360"/>
              <w:rPr>
                <w:rFonts w:hint="eastAsia" w:cs="Arial"/>
                <w:bCs/>
                <w:color w:val="000000"/>
                <w:lang w:val="en-US" w:eastAsia="zh-CN"/>
              </w:rPr>
            </w:pPr>
            <w:r>
              <w:rPr>
                <w:rFonts w:hint="eastAsia" w:cs="Arial"/>
                <w:bCs/>
                <w:color w:val="000000"/>
                <w:lang w:val="en-US" w:eastAsia="zh-CN"/>
              </w:rPr>
              <w:t>金隅新材：</w:t>
            </w:r>
            <w:r>
              <w:rPr>
                <w:rFonts w:cs="Arial"/>
                <w:bCs/>
                <w:color w:val="000000"/>
                <w:lang w:val="en-US" w:eastAsia="zh-CN"/>
              </w:rPr>
              <w:t>[0-5%</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2022年四川省乐山市市中区工厂周边200公里范围内蒸压加气混凝土制品市场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[5-10%</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2022年湖北省孝感市汉川市工厂周边200公里范围内蒸压加气混凝土制品市场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[5-10%</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2022年浙江省杭州市富阳区工厂周边200公里范围内蒸压加气混凝土制品市场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[0-5%</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2022年云南省昆明市嵩明县工厂周边200公里范围内蒸压加气混凝土制品市场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[0-5%</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2022年广东省清远市英德市工厂周边200公里范围内蒸压加气混凝土制品市场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[0-5%</w:t>
            </w:r>
            <w:r>
              <w:rPr>
                <w:rFonts w:hint="eastAsia" w:cs="Arial"/>
                <w:bCs/>
                <w:color w:val="000000"/>
                <w:lang w:val="en-US" w:eastAsia="zh-CN"/>
              </w:rPr>
              <w:t>]</w:t>
            </w:r>
          </w:p>
          <w:p>
            <w:pPr>
              <w:pStyle w:val="12"/>
              <w:numPr>
                <w:ilvl w:val="0"/>
                <w:numId w:val="1"/>
              </w:numPr>
              <w:adjustRightInd w:val="0"/>
              <w:snapToGrid w:val="0"/>
              <w:spacing w:after="0"/>
              <w:rPr>
                <w:rFonts w:cs="Arial"/>
                <w:bCs/>
                <w:color w:val="000000"/>
                <w:lang w:val="en-US" w:eastAsia="zh-CN"/>
              </w:rPr>
            </w:pPr>
            <w:r>
              <w:rPr>
                <w:rFonts w:hint="eastAsia" w:cs="Arial"/>
                <w:bCs/>
                <w:color w:val="000000"/>
                <w:lang w:val="en-US" w:eastAsia="zh-CN"/>
              </w:rPr>
              <w:t>2022年安徽省芜湖市弋江区工厂周边200公里范围内蒸压加气混凝土制品市场</w:t>
            </w:r>
          </w:p>
          <w:p>
            <w:pPr>
              <w:pStyle w:val="12"/>
              <w:adjustRightInd w:val="0"/>
              <w:snapToGrid w:val="0"/>
              <w:spacing w:after="0"/>
              <w:ind w:left="360"/>
              <w:rPr>
                <w:rFonts w:cs="Arial"/>
                <w:bCs/>
                <w:color w:val="000000"/>
                <w:lang w:val="en-US" w:eastAsia="zh-CN"/>
              </w:rPr>
            </w:pPr>
            <w:r>
              <w:rPr>
                <w:rFonts w:hint="eastAsia" w:cs="Arial"/>
                <w:bCs/>
                <w:color w:val="000000"/>
                <w:lang w:val="en-US" w:eastAsia="zh-CN"/>
              </w:rPr>
              <w:t>富春建业：</w:t>
            </w:r>
            <w:r>
              <w:rPr>
                <w:rFonts w:cs="Arial"/>
                <w:bCs/>
                <w:color w:val="000000"/>
                <w:lang w:val="en-US" w:eastAsia="zh-CN"/>
              </w:rPr>
              <w:t>[0-5%</w:t>
            </w:r>
            <w:r>
              <w:rPr>
                <w:rFonts w:hint="eastAsia" w:cs="Arial"/>
                <w:bCs/>
                <w:color w:val="000000"/>
                <w:lang w:val="en-US" w:eastAsia="zh-CN"/>
              </w:rPr>
              <w:t>]</w:t>
            </w:r>
          </w:p>
        </w:tc>
      </w:tr>
    </w:tbl>
    <w:p/>
    <w:sectPr>
      <w:footerReference r:id="rId5" w:type="default"/>
      <w:pgSz w:w="11906" w:h="16838"/>
      <w:pgMar w:top="1440" w:right="1440" w:bottom="1276" w:left="1440" w:header="720" w:footer="34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Simplified Arabic">
    <w:altName w:val="Times New Roman"/>
    <w:panose1 w:val="02020603050405020304"/>
    <w:charset w:val="B2"/>
    <w:family w:val="roman"/>
    <w:pitch w:val="default"/>
    <w:sig w:usb0="00000000" w:usb1="00000000" w:usb2="00000008" w:usb3="00000000" w:csb0="0000004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13"/>
          </w:pPr>
        </w:p>
      </w:tc>
      <w:tc>
        <w:tcPr>
          <w:tcW w:w="3081" w:type="dxa"/>
        </w:tcPr>
        <w:p>
          <w:pPr>
            <w:pStyle w:val="13"/>
            <w:jc w:val="center"/>
            <w:rPr>
              <w:rStyle w:val="19"/>
            </w:rPr>
          </w:pPr>
          <w:r>
            <w:rPr>
              <w:rStyle w:val="19"/>
            </w:rPr>
            <w:t xml:space="preserve">- </w:t>
          </w:r>
          <w:r>
            <w:rPr>
              <w:rStyle w:val="19"/>
            </w:rPr>
            <w:fldChar w:fldCharType="begin"/>
          </w:r>
          <w:r>
            <w:rPr>
              <w:rStyle w:val="19"/>
            </w:rPr>
            <w:instrText xml:space="preserve"> PAGE   \* MERGEFORMAT </w:instrText>
          </w:r>
          <w:r>
            <w:rPr>
              <w:rStyle w:val="19"/>
            </w:rPr>
            <w:fldChar w:fldCharType="separate"/>
          </w:r>
          <w:r>
            <w:rPr>
              <w:rStyle w:val="19"/>
              <w:lang w:val="en-US"/>
            </w:rPr>
            <w:t>2</w:t>
          </w:r>
          <w:r>
            <w:rPr>
              <w:rStyle w:val="19"/>
            </w:rPr>
            <w:fldChar w:fldCharType="end"/>
          </w:r>
          <w:r>
            <w:rPr>
              <w:rStyle w:val="19"/>
            </w:rPr>
            <w:t xml:space="preserve"> -</w:t>
          </w:r>
        </w:p>
      </w:tc>
      <w:tc>
        <w:tcPr>
          <w:tcW w:w="3081" w:type="dxa"/>
        </w:tcPr>
        <w:p>
          <w:pPr>
            <w:pStyle w:val="41"/>
          </w:pP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D41C8"/>
    <w:multiLevelType w:val="multilevel"/>
    <w:tmpl w:val="1F2D41C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3B"/>
    <w:rsid w:val="0007132F"/>
    <w:rsid w:val="0008589E"/>
    <w:rsid w:val="000A01DC"/>
    <w:rsid w:val="000C1645"/>
    <w:rsid w:val="000E77BA"/>
    <w:rsid w:val="00117D1F"/>
    <w:rsid w:val="00135175"/>
    <w:rsid w:val="001B024F"/>
    <w:rsid w:val="002059F3"/>
    <w:rsid w:val="00233330"/>
    <w:rsid w:val="00240AB4"/>
    <w:rsid w:val="002579F2"/>
    <w:rsid w:val="002615F3"/>
    <w:rsid w:val="002A342C"/>
    <w:rsid w:val="002F34B0"/>
    <w:rsid w:val="003042A5"/>
    <w:rsid w:val="0037129D"/>
    <w:rsid w:val="003B5B9B"/>
    <w:rsid w:val="003F7791"/>
    <w:rsid w:val="00444CC9"/>
    <w:rsid w:val="00460834"/>
    <w:rsid w:val="0047566D"/>
    <w:rsid w:val="004E13E3"/>
    <w:rsid w:val="004E218A"/>
    <w:rsid w:val="004F0F7A"/>
    <w:rsid w:val="004F7367"/>
    <w:rsid w:val="00546B19"/>
    <w:rsid w:val="00574D42"/>
    <w:rsid w:val="00577702"/>
    <w:rsid w:val="005A34D5"/>
    <w:rsid w:val="005D26FD"/>
    <w:rsid w:val="005E5FEA"/>
    <w:rsid w:val="0061226B"/>
    <w:rsid w:val="006216D3"/>
    <w:rsid w:val="006905FC"/>
    <w:rsid w:val="006E500B"/>
    <w:rsid w:val="007A4ACC"/>
    <w:rsid w:val="0081163B"/>
    <w:rsid w:val="0084652D"/>
    <w:rsid w:val="008C6283"/>
    <w:rsid w:val="009E3853"/>
    <w:rsid w:val="00A618BA"/>
    <w:rsid w:val="00AC149F"/>
    <w:rsid w:val="00B15F32"/>
    <w:rsid w:val="00B33A31"/>
    <w:rsid w:val="00B377BF"/>
    <w:rsid w:val="00B81651"/>
    <w:rsid w:val="00B90126"/>
    <w:rsid w:val="00BE79B9"/>
    <w:rsid w:val="00D61524"/>
    <w:rsid w:val="00D743AC"/>
    <w:rsid w:val="00D75F00"/>
    <w:rsid w:val="00D764C4"/>
    <w:rsid w:val="00DD79C7"/>
    <w:rsid w:val="00E24874"/>
    <w:rsid w:val="00EA748A"/>
    <w:rsid w:val="00EB587A"/>
    <w:rsid w:val="00EE6E17"/>
    <w:rsid w:val="00F04F27"/>
    <w:rsid w:val="00F5211B"/>
    <w:rsid w:val="00F61733"/>
    <w:rsid w:val="73EB3B5D"/>
    <w:rsid w:val="A9F7716B"/>
    <w:rsid w:val="DA7F7089"/>
    <w:rsid w:val="DFDD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240" w:lineRule="auto"/>
      <w:jc w:val="both"/>
    </w:pPr>
    <w:rPr>
      <w:rFonts w:ascii="Times New Roman" w:hAnsi="Times New Roman" w:eastAsia="宋体" w:cs="Times New Roman"/>
      <w:kern w:val="0"/>
      <w:sz w:val="24"/>
      <w:szCs w:val="24"/>
      <w:lang w:val="en-GB" w:eastAsia="zh-CN" w:bidi="ar-AE"/>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semiHidden/>
    <w:unhideWhenUsed/>
    <w:qFormat/>
    <w:uiPriority w:val="99"/>
    <w:pPr>
      <w:jc w:val="left"/>
    </w:pPr>
  </w:style>
  <w:style w:type="paragraph" w:styleId="12">
    <w:name w:val="Body Text"/>
    <w:basedOn w:val="1"/>
    <w:link w:val="39"/>
    <w:qFormat/>
    <w:uiPriority w:val="0"/>
    <w:rPr>
      <w:rFonts w:cs="Simplified Arabic"/>
      <w:lang w:eastAsia="en-GB"/>
    </w:rPr>
  </w:style>
  <w:style w:type="paragraph" w:styleId="13">
    <w:name w:val="footer"/>
    <w:link w:val="40"/>
    <w:qFormat/>
    <w:uiPriority w:val="0"/>
    <w:pPr>
      <w:spacing w:after="0" w:line="240" w:lineRule="auto"/>
    </w:pPr>
    <w:rPr>
      <w:rFonts w:ascii="Times New Roman" w:hAnsi="Times New Roman" w:eastAsia="宋体" w:cs="Times New Roman"/>
      <w:kern w:val="0"/>
      <w:sz w:val="16"/>
      <w:szCs w:val="16"/>
      <w:lang w:val="en-GB" w:eastAsia="zh-CN" w:bidi="he-IL"/>
      <w14:ligatures w14:val="none"/>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4"/>
    <w:semiHidden/>
    <w:unhideWhenUsed/>
    <w:qFormat/>
    <w:uiPriority w:val="99"/>
    <w:rPr>
      <w:b/>
      <w:bCs/>
    </w:rPr>
  </w:style>
  <w:style w:type="character" w:styleId="19">
    <w:name w:val="page number"/>
    <w:qFormat/>
    <w:uiPriority w:val="0"/>
    <w:rPr>
      <w:rFonts w:ascii="Times New Roman" w:hAnsi="Times New Roman" w:eastAsia="宋体" w:cs="Simplified Arabic"/>
      <w:sz w:val="24"/>
      <w:szCs w:val="24"/>
      <w:lang w:val="en-GB" w:bidi="ar-AE"/>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Intense Reference"/>
    <w:basedOn w:val="18"/>
    <w:qFormat/>
    <w:uiPriority w:val="32"/>
    <w:rPr>
      <w:b/>
      <w:bCs/>
      <w:smallCaps/>
      <w:color w:val="104862" w:themeColor="accent1" w:themeShade="BF"/>
      <w:spacing w:val="5"/>
    </w:rPr>
  </w:style>
  <w:style w:type="character" w:customStyle="1" w:styleId="39">
    <w:name w:val="正文文本 字符"/>
    <w:basedOn w:val="18"/>
    <w:link w:val="12"/>
    <w:qFormat/>
    <w:uiPriority w:val="0"/>
    <w:rPr>
      <w:rFonts w:ascii="Times New Roman" w:hAnsi="Times New Roman" w:eastAsia="宋体" w:cs="Simplified Arabic"/>
      <w:kern w:val="0"/>
      <w:sz w:val="24"/>
      <w:lang w:val="en-GB" w:eastAsia="en-GB" w:bidi="ar-AE"/>
      <w14:ligatures w14:val="none"/>
    </w:rPr>
  </w:style>
  <w:style w:type="character" w:customStyle="1" w:styleId="40">
    <w:name w:val="页脚 字符"/>
    <w:basedOn w:val="18"/>
    <w:link w:val="13"/>
    <w:qFormat/>
    <w:uiPriority w:val="0"/>
    <w:rPr>
      <w:rFonts w:ascii="Times New Roman" w:hAnsi="Times New Roman" w:eastAsia="宋体" w:cs="Times New Roman"/>
      <w:kern w:val="0"/>
      <w:sz w:val="16"/>
      <w:szCs w:val="16"/>
      <w:lang w:val="en-GB" w:bidi="he-IL"/>
      <w14:ligatures w14:val="none"/>
    </w:rPr>
  </w:style>
  <w:style w:type="paragraph" w:customStyle="1" w:styleId="41">
    <w:name w:val="Footer Right"/>
    <w:basedOn w:val="13"/>
    <w:qFormat/>
    <w:uiPriority w:val="0"/>
    <w:pPr>
      <w:jc w:val="right"/>
    </w:pPr>
  </w:style>
  <w:style w:type="paragraph" w:customStyle="1" w:styleId="42">
    <w:name w:val="Revision"/>
    <w:hidden/>
    <w:semiHidden/>
    <w:qFormat/>
    <w:uiPriority w:val="99"/>
    <w:pPr>
      <w:spacing w:after="0" w:line="240" w:lineRule="auto"/>
    </w:pPr>
    <w:rPr>
      <w:rFonts w:ascii="Times New Roman" w:hAnsi="Times New Roman" w:eastAsia="宋体" w:cs="Times New Roman"/>
      <w:kern w:val="0"/>
      <w:sz w:val="24"/>
      <w:szCs w:val="24"/>
      <w:lang w:val="en-GB" w:eastAsia="zh-CN" w:bidi="ar-AE"/>
      <w14:ligatures w14:val="none"/>
    </w:rPr>
  </w:style>
  <w:style w:type="character" w:customStyle="1" w:styleId="43">
    <w:name w:val="批注文字 字符"/>
    <w:basedOn w:val="18"/>
    <w:link w:val="11"/>
    <w:semiHidden/>
    <w:qFormat/>
    <w:uiPriority w:val="99"/>
    <w:rPr>
      <w:rFonts w:ascii="Times New Roman" w:hAnsi="Times New Roman" w:eastAsia="宋体" w:cs="Times New Roman"/>
      <w:kern w:val="0"/>
      <w:sz w:val="24"/>
      <w:lang w:val="en-GB" w:bidi="ar-AE"/>
      <w14:ligatures w14:val="none"/>
    </w:rPr>
  </w:style>
  <w:style w:type="character" w:customStyle="1" w:styleId="44">
    <w:name w:val="批注主题 字符"/>
    <w:basedOn w:val="43"/>
    <w:link w:val="16"/>
    <w:semiHidden/>
    <w:qFormat/>
    <w:uiPriority w:val="99"/>
    <w:rPr>
      <w:rFonts w:ascii="Times New Roman" w:hAnsi="Times New Roman" w:eastAsia="宋体" w:cs="Times New Roman"/>
      <w:b/>
      <w:bCs/>
      <w:kern w:val="0"/>
      <w:sz w:val="24"/>
      <w:lang w:val="en-GB" w:bidi="ar-AE"/>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Words>
  <Characters>1191</Characters>
  <Lines>9</Lines>
  <Paragraphs>2</Paragraphs>
  <TotalTime>37</TotalTime>
  <ScaleCrop>false</ScaleCrop>
  <LinksUpToDate>false</LinksUpToDate>
  <CharactersWithSpaces>1397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2024-01-27T09:32:00Z</dcterms:created>
  <dc:creator>guantao</dc:creator>
  <cp:lastModifiedBy>scjgj</cp:lastModifiedBy>
  <dcterms:modified xsi:type="dcterms:W3CDTF">2024-02-08T14:46:37Z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