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Cs/>
          <w:sz w:val="36"/>
          <w:szCs w:val="36"/>
        </w:rPr>
      </w:pPr>
      <w:r>
        <w:rPr>
          <w:rFonts w:eastAsia="黑体"/>
          <w:bCs/>
          <w:sz w:val="36"/>
          <w:szCs w:val="36"/>
        </w:rPr>
        <w:t>经营者集中简易案件公示表</w:t>
      </w:r>
    </w:p>
    <w:tbl>
      <w:tblPr>
        <w:tblStyle w:val="12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6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spacing w:after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上海电气集团股份有限公司与日立能源（中国）有限公司新设合营企业案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6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上海电气集团股份有限公司（</w:t>
            </w:r>
            <w:r>
              <w:rPr>
                <w:rFonts w:hint="eastAsia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上海电气</w:t>
            </w:r>
            <w:r>
              <w:rPr>
                <w:rFonts w:hint="eastAsia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）与日立能源（中国）有限公司（</w:t>
            </w:r>
            <w:r>
              <w:rPr>
                <w:rFonts w:hint="eastAsia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日立能源中国</w:t>
            </w:r>
            <w:r>
              <w:rPr>
                <w:rFonts w:hint="eastAsia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签署协议，拟在中国境内成立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一家合营企业（</w:t>
            </w:r>
            <w:r>
              <w:rPr>
                <w:rFonts w:hint="eastAsia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合营企业</w:t>
            </w:r>
            <w:r>
              <w:rPr>
                <w:rFonts w:hint="eastAsia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）。合营企业将主要从事海上风电高压直流送出系统的集成服务。</w:t>
            </w:r>
          </w:p>
          <w:p>
            <w:pPr>
              <w:widowControl w:val="0"/>
              <w:adjustRightInd w:val="0"/>
              <w:snapToGrid w:val="0"/>
              <w:spacing w:after="0"/>
              <w:rPr>
                <w:bCs/>
                <w:color w:val="000000"/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交易后，</w:t>
            </w: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上海电气与日立能源中国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将分别持有合营企业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的股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并共同</w:t>
            </w: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控制合营企业。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6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100字以内</w:t>
            </w:r>
            <w:r>
              <w:rPr>
                <w:rFonts w:cs="Times New Roman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pStyle w:val="6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t>1.上海电气</w:t>
            </w:r>
          </w:p>
        </w:tc>
        <w:tc>
          <w:tcPr>
            <w:tcW w:w="6093" w:type="dxa"/>
            <w:vAlign w:val="center"/>
          </w:tcPr>
          <w:p>
            <w:pPr>
              <w:pStyle w:val="6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上海电气于2004年3月1日成立于上海市，为上海证券交易所上市公司，主要业务为高效清洁能源装备、新能源及环保装备、工业装备和现代服务业。</w:t>
            </w:r>
          </w:p>
          <w:p>
            <w:pPr>
              <w:pStyle w:val="6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上海电气最终控制人为上海电气控股集团有限公司，主要</w:t>
            </w:r>
            <w:r>
              <w:rPr>
                <w:rFonts w:hint="eastAsia" w:cs="Times New Roman"/>
                <w:bCs/>
                <w:color w:val="000000"/>
                <w:lang w:eastAsia="zh-CN"/>
              </w:rPr>
              <w:t>从事电力工程项目总承包、设备总成套或分交，对外承包劳务，实业投资，机电产品及相关行业的设备制造销售，为国内和出口项目提供有关技术咨询及培训</w:t>
            </w:r>
            <w:r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6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6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t>2.日立能源中国</w:t>
            </w:r>
          </w:p>
        </w:tc>
        <w:tc>
          <w:tcPr>
            <w:tcW w:w="6093" w:type="dxa"/>
            <w:vAlign w:val="center"/>
          </w:tcPr>
          <w:p>
            <w:pPr>
              <w:adjustRightInd w:val="0"/>
              <w:snapToGrid w:val="0"/>
              <w:spacing w:after="0"/>
            </w:pPr>
            <w:r>
              <w:t>日立能源中国于2019年5月22日成立于北京市，为日立能源有限公司（</w:t>
            </w:r>
            <w:r>
              <w:rPr>
                <w:rFonts w:hint="eastAsia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t>日立能源</w:t>
            </w:r>
            <w:r>
              <w:rPr>
                <w:rFonts w:hint="eastAsia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t>）</w:t>
            </w:r>
            <w:r>
              <w:rPr>
                <w:lang w:val="en-US"/>
              </w:rPr>
              <w:t>的</w:t>
            </w:r>
            <w:r>
              <w:t>全资子公司，日立能源</w:t>
            </w:r>
            <w:r>
              <w:rPr>
                <w:rFonts w:hint="eastAsia"/>
              </w:rPr>
              <w:t>中国</w:t>
            </w:r>
            <w:r>
              <w:t>主要业务为电网自动化、电网接入、高压产品、变压器。</w:t>
            </w:r>
          </w:p>
          <w:p>
            <w:pPr>
              <w:adjustRightInd w:val="0"/>
              <w:snapToGrid w:val="0"/>
              <w:spacing w:after="0"/>
              <w:rPr>
                <w:bCs/>
                <w:color w:val="000000"/>
              </w:rPr>
            </w:pPr>
            <w:r>
              <w:t>日立能源中国最终控制人为株式会社日立制作所，主要业务为信息技术、能源、工业、移动、智能生活及汽车系统。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6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6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bookmarkStart w:id="0" w:name="OLE_LINK1"/>
            <w:bookmarkStart w:id="1" w:name="OLE_LINK2"/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bookmarkEnd w:id="0"/>
            <w:bookmarkEnd w:id="1"/>
            <w:r>
              <w:rPr>
                <w:rFonts w:cs="Times New Roman"/>
                <w:bCs/>
                <w:color w:val="000000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6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6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>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6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6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eastAsia="仿宋" w:cs="Times New Roman"/>
              </w:rPr>
              <w:sym w:font="Wingdings" w:char="F0FE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6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6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6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6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6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6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6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6"/>
              <w:adjustRightInd w:val="0"/>
              <w:snapToGrid w:val="0"/>
              <w:spacing w:after="0"/>
              <w:rPr>
                <w:rFonts w:cs="Times New Roman"/>
                <w:b/>
                <w:color w:val="000000"/>
                <w:lang w:eastAsia="zh-CN"/>
              </w:rPr>
            </w:pPr>
            <w:r>
              <w:rPr>
                <w:rFonts w:hint="eastAsia" w:cs="Times New Roman"/>
                <w:b/>
                <w:color w:val="000000"/>
                <w:lang w:eastAsia="zh-CN"/>
              </w:rPr>
              <w:t>混合集中：</w:t>
            </w:r>
          </w:p>
          <w:p>
            <w:pPr>
              <w:pStyle w:val="6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t>2021年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中国境内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高压直流换流站设备市场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：</w:t>
            </w:r>
          </w:p>
          <w:p>
            <w:pPr>
              <w:pStyle w:val="6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lang w:val="en-US" w:eastAsia="zh-CN"/>
              </w:rPr>
              <w:t>日立能源中国：</w:t>
            </w:r>
            <w:r>
              <w:rPr>
                <w:bCs/>
                <w:color w:val="000000"/>
                <w:lang w:val="en-US" w:eastAsia="zh-CN"/>
              </w:rPr>
              <w:t>10-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15%</w:t>
            </w:r>
          </w:p>
          <w:p>
            <w:pPr>
              <w:pStyle w:val="6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  <w:p>
            <w:pPr>
              <w:pStyle w:val="6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中国境内海上风电高压直流送出系统集成服务市场：</w:t>
            </w:r>
          </w:p>
          <w:p>
            <w:pPr>
              <w:pStyle w:val="6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合营企业（预估）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：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0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-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5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%</w:t>
            </w:r>
          </w:p>
        </w:tc>
      </w:tr>
    </w:tbl>
    <w:p>
      <w:bookmarkStart w:id="2" w:name="_GoBack"/>
      <w:bookmarkEnd w:id="2"/>
    </w:p>
    <w:sectPr>
      <w:footerReference r:id="rId3" w:type="default"/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(正文 CS 字体)">
    <w:altName w:val="DejaVu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SimSun-ExtB">
    <w:altName w:val="Unifont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nifont">
    <w:panose1 w:val="02000604000000000000"/>
    <w:charset w:val="86"/>
    <w:family w:val="auto"/>
    <w:pitch w:val="default"/>
    <w:sig w:usb0="FFFFFFFF" w:usb1="EBFFFFFF" w:usb2="E817FFFF" w:usb3="007F001F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80"/>
      <w:gridCol w:w="3081"/>
      <w:gridCol w:w="3081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80" w:type="dxa"/>
        </w:tcPr>
        <w:p>
          <w:pPr>
            <w:pStyle w:val="8"/>
          </w:pPr>
        </w:p>
      </w:tc>
      <w:tc>
        <w:tcPr>
          <w:tcW w:w="3081" w:type="dxa"/>
        </w:tcPr>
        <w:p>
          <w:pPr>
            <w:pStyle w:val="8"/>
            <w:jc w:val="center"/>
            <w:rPr>
              <w:rStyle w:val="14"/>
            </w:rPr>
          </w:pPr>
          <w:r>
            <w:rPr>
              <w:rStyle w:val="14"/>
            </w:rPr>
            <w:t xml:space="preserve">- </w:t>
          </w:r>
          <w:r>
            <w:rPr>
              <w:rStyle w:val="14"/>
            </w:rPr>
            <w:fldChar w:fldCharType="begin"/>
          </w:r>
          <w:r>
            <w:rPr>
              <w:rStyle w:val="14"/>
            </w:rPr>
            <w:instrText xml:space="preserve"> PAGE   \* MERGEFORMAT </w:instrText>
          </w:r>
          <w:r>
            <w:rPr>
              <w:rStyle w:val="14"/>
            </w:rPr>
            <w:fldChar w:fldCharType="separate"/>
          </w:r>
          <w:r>
            <w:rPr>
              <w:rStyle w:val="14"/>
              <w:lang w:val="en-US"/>
            </w:rPr>
            <w:t>1</w:t>
          </w:r>
          <w:r>
            <w:rPr>
              <w:rStyle w:val="14"/>
            </w:rPr>
            <w:fldChar w:fldCharType="end"/>
          </w:r>
          <w:r>
            <w:rPr>
              <w:rStyle w:val="14"/>
            </w:rPr>
            <w:t xml:space="preserve"> -</w:t>
          </w:r>
        </w:p>
      </w:tc>
      <w:tc>
        <w:tcPr>
          <w:tcW w:w="3081" w:type="dxa"/>
        </w:tcPr>
        <w:p>
          <w:pPr>
            <w:pStyle w:val="26"/>
          </w:pPr>
        </w:p>
      </w:tc>
    </w:tr>
  </w:tbl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D529C5"/>
    <w:multiLevelType w:val="multilevel"/>
    <w:tmpl w:val="51D529C5"/>
    <w:lvl w:ilvl="0" w:tentative="0">
      <w:start w:val="1"/>
      <w:numFmt w:val="decimal"/>
      <w:pStyle w:val="4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zOWY5YWM0MDgwMDE2ZjFjNzlkYmVlNjhmYTFlY2IifQ=="/>
  </w:docVars>
  <w:rsids>
    <w:rsidRoot w:val="005879BE"/>
    <w:rsid w:val="0005049F"/>
    <w:rsid w:val="00104911"/>
    <w:rsid w:val="00150076"/>
    <w:rsid w:val="00164333"/>
    <w:rsid w:val="00176B18"/>
    <w:rsid w:val="001927B9"/>
    <w:rsid w:val="001A43E4"/>
    <w:rsid w:val="001D6394"/>
    <w:rsid w:val="001E0517"/>
    <w:rsid w:val="002172A8"/>
    <w:rsid w:val="002212CC"/>
    <w:rsid w:val="00222A41"/>
    <w:rsid w:val="00230565"/>
    <w:rsid w:val="002333A1"/>
    <w:rsid w:val="002356D1"/>
    <w:rsid w:val="00240A4E"/>
    <w:rsid w:val="002742C6"/>
    <w:rsid w:val="00283A32"/>
    <w:rsid w:val="00297D16"/>
    <w:rsid w:val="002A378A"/>
    <w:rsid w:val="002C460E"/>
    <w:rsid w:val="0039130E"/>
    <w:rsid w:val="003A634E"/>
    <w:rsid w:val="003B381A"/>
    <w:rsid w:val="00402BDA"/>
    <w:rsid w:val="00414EDE"/>
    <w:rsid w:val="00416F59"/>
    <w:rsid w:val="00451159"/>
    <w:rsid w:val="00452383"/>
    <w:rsid w:val="004542B6"/>
    <w:rsid w:val="00462851"/>
    <w:rsid w:val="004B1D31"/>
    <w:rsid w:val="004B5108"/>
    <w:rsid w:val="004C5823"/>
    <w:rsid w:val="004F29D5"/>
    <w:rsid w:val="00503865"/>
    <w:rsid w:val="00532828"/>
    <w:rsid w:val="00544194"/>
    <w:rsid w:val="005879BE"/>
    <w:rsid w:val="0061032C"/>
    <w:rsid w:val="00620EDB"/>
    <w:rsid w:val="006346BC"/>
    <w:rsid w:val="0066220B"/>
    <w:rsid w:val="00664A4A"/>
    <w:rsid w:val="00670B43"/>
    <w:rsid w:val="006D3B44"/>
    <w:rsid w:val="007078D8"/>
    <w:rsid w:val="007257ED"/>
    <w:rsid w:val="00754F57"/>
    <w:rsid w:val="0078282D"/>
    <w:rsid w:val="007B6808"/>
    <w:rsid w:val="007C3110"/>
    <w:rsid w:val="007F7C27"/>
    <w:rsid w:val="00805BA9"/>
    <w:rsid w:val="00810960"/>
    <w:rsid w:val="00817997"/>
    <w:rsid w:val="00846F4F"/>
    <w:rsid w:val="00857F8A"/>
    <w:rsid w:val="00877927"/>
    <w:rsid w:val="00877ABC"/>
    <w:rsid w:val="0089422E"/>
    <w:rsid w:val="00896BAF"/>
    <w:rsid w:val="008B2182"/>
    <w:rsid w:val="008B69AB"/>
    <w:rsid w:val="008D7B67"/>
    <w:rsid w:val="00952B39"/>
    <w:rsid w:val="009779B9"/>
    <w:rsid w:val="009B7EBD"/>
    <w:rsid w:val="009C2726"/>
    <w:rsid w:val="009D3600"/>
    <w:rsid w:val="009F0768"/>
    <w:rsid w:val="00A94A62"/>
    <w:rsid w:val="00A94FFC"/>
    <w:rsid w:val="00AC3649"/>
    <w:rsid w:val="00AE5C62"/>
    <w:rsid w:val="00B20BF8"/>
    <w:rsid w:val="00B3729C"/>
    <w:rsid w:val="00B45049"/>
    <w:rsid w:val="00B463FD"/>
    <w:rsid w:val="00B60860"/>
    <w:rsid w:val="00B63EE8"/>
    <w:rsid w:val="00B77FA3"/>
    <w:rsid w:val="00BC7789"/>
    <w:rsid w:val="00BE6147"/>
    <w:rsid w:val="00BF2DC6"/>
    <w:rsid w:val="00BF5FC4"/>
    <w:rsid w:val="00C53CC8"/>
    <w:rsid w:val="00C86318"/>
    <w:rsid w:val="00C95CBA"/>
    <w:rsid w:val="00CF1FDE"/>
    <w:rsid w:val="00D0236B"/>
    <w:rsid w:val="00D6353C"/>
    <w:rsid w:val="00D71407"/>
    <w:rsid w:val="00D75A86"/>
    <w:rsid w:val="00D82C55"/>
    <w:rsid w:val="00DA3B93"/>
    <w:rsid w:val="00DC1C75"/>
    <w:rsid w:val="00DC3E70"/>
    <w:rsid w:val="00DC5248"/>
    <w:rsid w:val="00DE6B6E"/>
    <w:rsid w:val="00DF3912"/>
    <w:rsid w:val="00E306CB"/>
    <w:rsid w:val="00E35E6E"/>
    <w:rsid w:val="00E531E1"/>
    <w:rsid w:val="00E964F2"/>
    <w:rsid w:val="00EA562E"/>
    <w:rsid w:val="00EC0551"/>
    <w:rsid w:val="00EC5738"/>
    <w:rsid w:val="00EC5CDD"/>
    <w:rsid w:val="00ED2F7F"/>
    <w:rsid w:val="00EE78FA"/>
    <w:rsid w:val="00EF7650"/>
    <w:rsid w:val="00F8560D"/>
    <w:rsid w:val="00F923F2"/>
    <w:rsid w:val="00FA62D6"/>
    <w:rsid w:val="00FC4AA6"/>
    <w:rsid w:val="00FE6BD2"/>
    <w:rsid w:val="02C95F7F"/>
    <w:rsid w:val="39120814"/>
    <w:rsid w:val="419E3E5D"/>
    <w:rsid w:val="4FBC69BE"/>
    <w:rsid w:val="59363BE9"/>
    <w:rsid w:val="5E6655C8"/>
    <w:rsid w:val="5EA32F85"/>
    <w:rsid w:val="685609DD"/>
    <w:rsid w:val="6B6675C3"/>
    <w:rsid w:val="7CB73744"/>
    <w:rsid w:val="D77D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 (正文 CS 字体)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after="0" w:line="276" w:lineRule="auto"/>
      <w:jc w:val="center"/>
      <w:outlineLvl w:val="1"/>
    </w:pPr>
    <w:rPr>
      <w:rFonts w:eastAsia="黑体" w:cstheme="majorBidi"/>
      <w:b/>
      <w:bCs/>
      <w:color w:val="000000"/>
      <w:kern w:val="2"/>
      <w:sz w:val="30"/>
      <w:szCs w:val="32"/>
      <w:lang w:bidi="ar-SA"/>
    </w:rPr>
  </w:style>
  <w:style w:type="paragraph" w:styleId="3">
    <w:name w:val="heading 3"/>
    <w:basedOn w:val="1"/>
    <w:next w:val="1"/>
    <w:link w:val="17"/>
    <w:unhideWhenUsed/>
    <w:qFormat/>
    <w:uiPriority w:val="9"/>
    <w:pPr>
      <w:keepNext/>
      <w:keepLines/>
      <w:spacing w:after="0" w:line="276" w:lineRule="auto"/>
      <w:jc w:val="left"/>
      <w:outlineLvl w:val="2"/>
    </w:pPr>
    <w:rPr>
      <w:rFonts w:ascii="微软雅黑" w:hAnsi="微软雅黑" w:eastAsia="微软雅黑" w:cs="Times New Roman (正文 CS 字体)"/>
      <w:b/>
      <w:bCs/>
      <w:color w:val="000000"/>
      <w:kern w:val="2"/>
      <w:szCs w:val="32"/>
      <w:lang w:bidi="ar-SA"/>
    </w:rPr>
  </w:style>
  <w:style w:type="paragraph" w:styleId="4">
    <w:name w:val="heading 4"/>
    <w:basedOn w:val="1"/>
    <w:next w:val="1"/>
    <w:link w:val="19"/>
    <w:unhideWhenUsed/>
    <w:qFormat/>
    <w:uiPriority w:val="9"/>
    <w:pPr>
      <w:widowControl w:val="0"/>
      <w:numPr>
        <w:ilvl w:val="0"/>
        <w:numId w:val="1"/>
      </w:numPr>
      <w:snapToGrid w:val="0"/>
      <w:spacing w:after="0"/>
      <w:ind w:left="360" w:hanging="360"/>
      <w:outlineLvl w:val="3"/>
    </w:pPr>
    <w:rPr>
      <w:rFonts w:cs="Times New Roman (正文 CS 字体)"/>
      <w:b/>
      <w:bCs/>
      <w:color w:val="000000"/>
      <w:kern w:val="2"/>
      <w:szCs w:val="22"/>
      <w:lang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4"/>
    <w:qFormat/>
    <w:uiPriority w:val="0"/>
    <w:pPr>
      <w:spacing w:after="120"/>
    </w:pPr>
    <w:rPr>
      <w:rFonts w:cs="Simplified Arabic"/>
      <w:sz w:val="20"/>
      <w:szCs w:val="20"/>
    </w:rPr>
  </w:style>
  <w:style w:type="paragraph" w:styleId="6">
    <w:name w:val="Body Text"/>
    <w:basedOn w:val="1"/>
    <w:link w:val="23"/>
    <w:qFormat/>
    <w:uiPriority w:val="0"/>
    <w:rPr>
      <w:rFonts w:cs="Simplified Arabic"/>
      <w:lang w:eastAsia="en-GB"/>
    </w:rPr>
  </w:style>
  <w:style w:type="paragraph" w:styleId="7">
    <w:name w:val="Balloon Text"/>
    <w:basedOn w:val="1"/>
    <w:link w:val="2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8">
    <w:name w:val="footer"/>
    <w:link w:val="25"/>
    <w:qFormat/>
    <w:uiPriority w:val="0"/>
    <w:rPr>
      <w:rFonts w:ascii="Times New Roman" w:hAnsi="Times New Roman" w:eastAsia="宋体" w:cs="Times New Roman"/>
      <w:sz w:val="16"/>
      <w:szCs w:val="16"/>
      <w:lang w:val="en-GB" w:eastAsia="zh-CN" w:bidi="he-IL"/>
    </w:rPr>
  </w:style>
  <w:style w:type="paragraph" w:styleId="9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18"/>
    <w:semiHidden/>
    <w:unhideWhenUsed/>
    <w:qFormat/>
    <w:uiPriority w:val="99"/>
    <w:pPr>
      <w:snapToGrid w:val="0"/>
      <w:spacing w:after="0" w:line="276" w:lineRule="auto"/>
      <w:jc w:val="left"/>
    </w:pPr>
    <w:rPr>
      <w:rFonts w:eastAsia="SimSun-ExtB" w:cs="Times New Roman (正文 CS 字体)"/>
      <w:color w:val="000000"/>
      <w:kern w:val="2"/>
      <w:sz w:val="18"/>
      <w:szCs w:val="18"/>
      <w:lang w:bidi="ar-SA"/>
    </w:rPr>
  </w:style>
  <w:style w:type="paragraph" w:styleId="11">
    <w:name w:val="annotation subject"/>
    <w:basedOn w:val="5"/>
    <w:next w:val="5"/>
    <w:link w:val="27"/>
    <w:semiHidden/>
    <w:unhideWhenUsed/>
    <w:qFormat/>
    <w:uiPriority w:val="99"/>
    <w:pPr>
      <w:spacing w:after="240"/>
      <w:jc w:val="left"/>
    </w:pPr>
    <w:rPr>
      <w:rFonts w:cs="Times New Roman"/>
      <w:b/>
      <w:bCs/>
      <w:sz w:val="24"/>
      <w:szCs w:val="24"/>
    </w:rPr>
  </w:style>
  <w:style w:type="character" w:styleId="14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15">
    <w:name w:val="annotation reference"/>
    <w:qFormat/>
    <w:uiPriority w:val="0"/>
    <w:rPr>
      <w:rFonts w:ascii="Times New Roman" w:hAnsi="Times New Roman" w:eastAsia="宋体" w:cs="Simplified Arabic"/>
      <w:sz w:val="18"/>
      <w:szCs w:val="18"/>
      <w:lang w:val="en-GB" w:bidi="ar-AE"/>
    </w:rPr>
  </w:style>
  <w:style w:type="character" w:customStyle="1" w:styleId="16">
    <w:name w:val="标题 2 字符"/>
    <w:basedOn w:val="13"/>
    <w:link w:val="2"/>
    <w:qFormat/>
    <w:uiPriority w:val="9"/>
    <w:rPr>
      <w:rFonts w:ascii="Arial" w:hAnsi="Arial" w:eastAsia="黑体" w:cstheme="majorBidi"/>
      <w:b/>
      <w:bCs/>
      <w:sz w:val="30"/>
      <w:szCs w:val="32"/>
      <w:lang w:val="en-GB"/>
    </w:rPr>
  </w:style>
  <w:style w:type="character" w:customStyle="1" w:styleId="17">
    <w:name w:val="标题 3 字符"/>
    <w:basedOn w:val="13"/>
    <w:link w:val="3"/>
    <w:qFormat/>
    <w:uiPriority w:val="9"/>
    <w:rPr>
      <w:rFonts w:ascii="微软雅黑" w:hAnsi="微软雅黑" w:eastAsia="微软雅黑" w:cs="微软雅黑"/>
      <w:b/>
      <w:bCs/>
      <w:sz w:val="24"/>
      <w:szCs w:val="32"/>
      <w:lang w:val="en-GB"/>
    </w:rPr>
  </w:style>
  <w:style w:type="character" w:customStyle="1" w:styleId="18">
    <w:name w:val="脚注文本 字符"/>
    <w:basedOn w:val="13"/>
    <w:link w:val="10"/>
    <w:semiHidden/>
    <w:qFormat/>
    <w:uiPriority w:val="99"/>
    <w:rPr>
      <w:rFonts w:ascii="Times New Roman" w:hAnsi="Times New Roman" w:eastAsia="SimSun-ExtB" w:cs="Times New Roman"/>
      <w:kern w:val="0"/>
      <w:sz w:val="18"/>
      <w:szCs w:val="18"/>
    </w:rPr>
  </w:style>
  <w:style w:type="character" w:customStyle="1" w:styleId="19">
    <w:name w:val="标题 4 字符"/>
    <w:basedOn w:val="13"/>
    <w:link w:val="4"/>
    <w:qFormat/>
    <w:uiPriority w:val="9"/>
    <w:rPr>
      <w:rFonts w:ascii="Times New Roman" w:hAnsi="Times New Roman" w:eastAsia="宋体" w:cs="Times New Roman"/>
      <w:b/>
      <w:bCs/>
      <w:sz w:val="24"/>
    </w:rPr>
  </w:style>
  <w:style w:type="paragraph" w:customStyle="1" w:styleId="20">
    <w:name w:val="样式1"/>
    <w:basedOn w:val="10"/>
    <w:qFormat/>
    <w:uiPriority w:val="0"/>
    <w:rPr>
      <w:rFonts w:eastAsia="宋体" w:cs="Times New Roman"/>
    </w:rPr>
  </w:style>
  <w:style w:type="paragraph" w:customStyle="1" w:styleId="21">
    <w:name w:val="脚注"/>
    <w:basedOn w:val="10"/>
    <w:qFormat/>
    <w:uiPriority w:val="0"/>
    <w:pPr>
      <w:spacing w:line="240" w:lineRule="auto"/>
    </w:pPr>
    <w:rPr>
      <w:rFonts w:eastAsia="宋体" w:cs="Times New Roman"/>
    </w:rPr>
  </w:style>
  <w:style w:type="paragraph" w:styleId="22">
    <w:name w:val="List Paragraph"/>
    <w:basedOn w:val="1"/>
    <w:qFormat/>
    <w:uiPriority w:val="34"/>
    <w:pPr>
      <w:widowControl w:val="0"/>
      <w:spacing w:after="0"/>
      <w:ind w:firstLine="420" w:firstLineChars="200"/>
    </w:pPr>
    <w:rPr>
      <w:kern w:val="2"/>
      <w:szCs w:val="22"/>
      <w:lang w:val="en-US" w:bidi="ar-SA"/>
    </w:rPr>
  </w:style>
  <w:style w:type="character" w:customStyle="1" w:styleId="23">
    <w:name w:val="正文文本 字符"/>
    <w:basedOn w:val="13"/>
    <w:link w:val="6"/>
    <w:qFormat/>
    <w:uiPriority w:val="0"/>
    <w:rPr>
      <w:rFonts w:cs="Simplified Arabic"/>
      <w:color w:val="auto"/>
      <w:kern w:val="0"/>
      <w:szCs w:val="24"/>
      <w:lang w:val="en-GB" w:eastAsia="en-GB" w:bidi="ar-AE"/>
    </w:rPr>
  </w:style>
  <w:style w:type="character" w:customStyle="1" w:styleId="24">
    <w:name w:val="批注文字 字符"/>
    <w:basedOn w:val="13"/>
    <w:link w:val="5"/>
    <w:qFormat/>
    <w:uiPriority w:val="0"/>
    <w:rPr>
      <w:rFonts w:cs="Simplified Arabic"/>
      <w:color w:val="auto"/>
      <w:kern w:val="0"/>
      <w:sz w:val="20"/>
      <w:szCs w:val="20"/>
      <w:lang w:val="en-GB" w:bidi="ar-AE"/>
    </w:rPr>
  </w:style>
  <w:style w:type="character" w:customStyle="1" w:styleId="25">
    <w:name w:val="页脚 字符"/>
    <w:basedOn w:val="13"/>
    <w:link w:val="8"/>
    <w:qFormat/>
    <w:uiPriority w:val="0"/>
    <w:rPr>
      <w:rFonts w:cs="Times New Roman"/>
      <w:color w:val="auto"/>
      <w:kern w:val="0"/>
      <w:sz w:val="16"/>
      <w:szCs w:val="16"/>
      <w:lang w:val="en-GB" w:bidi="he-IL"/>
    </w:rPr>
  </w:style>
  <w:style w:type="paragraph" w:customStyle="1" w:styleId="26">
    <w:name w:val="Footer Right"/>
    <w:basedOn w:val="8"/>
    <w:qFormat/>
    <w:uiPriority w:val="0"/>
    <w:pPr>
      <w:jc w:val="right"/>
    </w:pPr>
  </w:style>
  <w:style w:type="character" w:customStyle="1" w:styleId="27">
    <w:name w:val="批注主题 字符"/>
    <w:basedOn w:val="24"/>
    <w:link w:val="11"/>
    <w:semiHidden/>
    <w:qFormat/>
    <w:uiPriority w:val="99"/>
    <w:rPr>
      <w:rFonts w:cs="Times New Roman"/>
      <w:b/>
      <w:bCs/>
      <w:color w:val="auto"/>
      <w:kern w:val="0"/>
      <w:sz w:val="20"/>
      <w:szCs w:val="24"/>
      <w:lang w:val="en-GB" w:bidi="ar-AE"/>
    </w:rPr>
  </w:style>
  <w:style w:type="paragraph" w:customStyle="1" w:styleId="28">
    <w:name w:val="修订1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character" w:customStyle="1" w:styleId="29">
    <w:name w:val="批注框文本 字符"/>
    <w:basedOn w:val="13"/>
    <w:link w:val="7"/>
    <w:semiHidden/>
    <w:qFormat/>
    <w:uiPriority w:val="99"/>
    <w:rPr>
      <w:rFonts w:cs="Times New Roman"/>
      <w:sz w:val="18"/>
      <w:szCs w:val="18"/>
      <w:lang w:val="en-GB" w:bidi="ar-AE"/>
    </w:rPr>
  </w:style>
  <w:style w:type="paragraph" w:customStyle="1" w:styleId="30">
    <w:name w:val="修订2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character" w:customStyle="1" w:styleId="31">
    <w:name w:val="页眉 字符"/>
    <w:basedOn w:val="13"/>
    <w:link w:val="9"/>
    <w:qFormat/>
    <w:uiPriority w:val="99"/>
    <w:rPr>
      <w:rFonts w:cs="Times New Roman"/>
      <w:sz w:val="18"/>
      <w:szCs w:val="18"/>
      <w:lang w:val="en-GB" w:bidi="ar-AE"/>
    </w:rPr>
  </w:style>
  <w:style w:type="paragraph" w:customStyle="1" w:styleId="32">
    <w:name w:val="修订3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customStyle="1" w:styleId="33">
    <w:name w:val="Revision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GB" w:eastAsia="zh-CN" w:bidi="ar-A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787</Characters>
  <Lines>6</Lines>
  <Paragraphs>1</Paragraphs>
  <TotalTime>3</TotalTime>
  <ScaleCrop>false</ScaleCrop>
  <LinksUpToDate>false</LinksUpToDate>
  <CharactersWithSpaces>924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2023-03-16T15:09:00Z</dcterms:created>
  <dc:creator>T&amp;D Associates</dc:creator>
  <cp:lastModifiedBy>scjgj</cp:lastModifiedBy>
  <dcterms:modified xsi:type="dcterms:W3CDTF">2023-03-16T16:46:25Z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741CF39B6ADA4D5D9154F867BED245D8</vt:lpwstr>
  </property>
</Properties>
</file>