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黑体" w:hAnsi="黑体" w:eastAsia="黑体" w:cs="黑体"/>
          <w:bCs/>
          <w:kern w:val="0"/>
          <w:sz w:val="36"/>
          <w:szCs w:val="36"/>
          <w:lang w:val="en-GB" w:bidi="ar-AE"/>
        </w:rPr>
      </w:pPr>
      <w:r>
        <w:rPr>
          <w:rFonts w:hint="eastAsia" w:ascii="黑体" w:hAnsi="黑体" w:eastAsia="黑体" w:cs="黑体"/>
          <w:bCs/>
          <w:kern w:val="0"/>
          <w:sz w:val="36"/>
          <w:szCs w:val="36"/>
          <w:lang w:val="en-GB" w:bidi="ar-AE"/>
        </w:rPr>
        <w:t>经营者集中简易案件公示表</w:t>
      </w:r>
    </w:p>
    <w:tbl>
      <w:tblPr>
        <w:tblStyle w:val="7"/>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pPr>
              <w:widowControl/>
              <w:adjustRightInd w:val="0"/>
              <w:snapToGrid w:val="0"/>
              <w:rPr>
                <w:rFonts w:ascii="宋体" w:hAnsi="宋体" w:eastAsia="宋体" w:cs="宋体"/>
                <w:bCs/>
                <w:color w:val="000000"/>
                <w:kern w:val="0"/>
                <w:sz w:val="24"/>
                <w:szCs w:val="24"/>
                <w:lang w:eastAsia="en-GB" w:bidi="ar-AE"/>
              </w:rPr>
            </w:pPr>
            <w:r>
              <w:rPr>
                <w:rFonts w:hint="eastAsia" w:ascii="宋体" w:hAnsi="宋体" w:eastAsia="宋体" w:cs="宋体"/>
                <w:bCs/>
                <w:color w:val="000000"/>
                <w:kern w:val="0"/>
                <w:sz w:val="24"/>
                <w:szCs w:val="24"/>
                <w:lang w:val="en-GB" w:eastAsia="en-GB" w:bidi="ar-AE"/>
              </w:rPr>
              <w:t>案件名称</w:t>
            </w:r>
          </w:p>
        </w:tc>
        <w:tc>
          <w:tcPr>
            <w:tcW w:w="7700" w:type="dxa"/>
            <w:gridSpan w:val="2"/>
            <w:vAlign w:val="center"/>
          </w:tcPr>
          <w:p>
            <w:pPr>
              <w:widowControl/>
              <w:adjustRightInd w:val="0"/>
              <w:snapToGrid w:val="0"/>
              <w:rPr>
                <w:rFonts w:ascii="宋体" w:hAnsi="宋体" w:eastAsia="宋体" w:cs="宋体"/>
                <w:bCs/>
                <w:color w:val="000000"/>
                <w:kern w:val="0"/>
                <w:sz w:val="24"/>
                <w:szCs w:val="24"/>
                <w:lang w:bidi="ar-AE"/>
              </w:rPr>
            </w:pPr>
            <w:r>
              <w:rPr>
                <w:rFonts w:hint="eastAsia" w:ascii="宋体" w:hAnsi="宋体" w:eastAsia="宋体" w:cs="宋体"/>
                <w:bCs/>
                <w:color w:val="000000"/>
                <w:kern w:val="0"/>
                <w:sz w:val="24"/>
                <w:szCs w:val="24"/>
                <w:lang w:bidi="ar-AE"/>
              </w:rPr>
              <w:t>中金资本运营有限公司与山东铁路发展基金有限公司新设合营企业案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pPr>
              <w:widowControl/>
              <w:adjustRightInd w:val="0"/>
              <w:snapToGrid w:val="0"/>
              <w:rPr>
                <w:rFonts w:ascii="宋体" w:hAnsi="宋体" w:eastAsia="宋体" w:cs="宋体"/>
                <w:bCs/>
                <w:color w:val="000000"/>
                <w:kern w:val="0"/>
                <w:sz w:val="24"/>
                <w:szCs w:val="24"/>
                <w:lang w:bidi="ar-AE"/>
              </w:rPr>
            </w:pPr>
            <w:r>
              <w:rPr>
                <w:rFonts w:hint="eastAsia" w:ascii="宋体" w:hAnsi="宋体" w:eastAsia="宋体" w:cs="宋体"/>
                <w:bCs/>
                <w:color w:val="000000"/>
                <w:kern w:val="0"/>
                <w:sz w:val="24"/>
                <w:szCs w:val="24"/>
                <w:lang w:val="en-GB" w:bidi="ar-AE"/>
              </w:rPr>
              <w:t>交易概况（限200字内）</w:t>
            </w:r>
          </w:p>
        </w:tc>
        <w:tc>
          <w:tcPr>
            <w:tcW w:w="7700" w:type="dxa"/>
            <w:gridSpan w:val="2"/>
            <w:vAlign w:val="center"/>
          </w:tcPr>
          <w:p>
            <w:pPr>
              <w:adjustRightInd w:val="0"/>
              <w:snapToGrid w:val="0"/>
              <w:rPr>
                <w:rFonts w:ascii="Times New Roman" w:hAnsi="Times New Roman" w:eastAsia="宋体" w:cs="宋体"/>
                <w:kern w:val="0"/>
                <w:sz w:val="24"/>
                <w:szCs w:val="24"/>
                <w:lang w:bidi="ar-AE"/>
              </w:rPr>
            </w:pPr>
            <w:r>
              <w:rPr>
                <w:rFonts w:hint="eastAsia" w:ascii="Times New Roman" w:hAnsi="Times New Roman" w:eastAsia="宋体" w:cs="宋体"/>
                <w:bCs/>
                <w:color w:val="000000"/>
                <w:kern w:val="0"/>
                <w:sz w:val="24"/>
                <w:szCs w:val="24"/>
                <w:lang w:bidi="ar-AE"/>
              </w:rPr>
              <w:t>中金资本运营有限公司</w:t>
            </w:r>
            <w:r>
              <w:rPr>
                <w:rFonts w:hint="eastAsia" w:ascii="Times New Roman" w:hAnsi="Times New Roman" w:eastAsia="宋体" w:cs="宋体"/>
                <w:kern w:val="0"/>
                <w:sz w:val="24"/>
                <w:szCs w:val="24"/>
                <w:lang w:bidi="ar-AE"/>
              </w:rPr>
              <w:t>（以下简称“</w:t>
            </w:r>
            <w:r>
              <w:rPr>
                <w:rFonts w:hint="eastAsia" w:ascii="Times New Roman" w:hAnsi="Times New Roman" w:eastAsia="宋体" w:cs="宋体"/>
                <w:bCs/>
                <w:color w:val="000000"/>
                <w:kern w:val="0"/>
                <w:sz w:val="24"/>
                <w:szCs w:val="24"/>
                <w:lang w:bidi="ar-AE"/>
              </w:rPr>
              <w:t>中金资本</w:t>
            </w:r>
            <w:r>
              <w:rPr>
                <w:rFonts w:hint="eastAsia" w:ascii="Times New Roman" w:hAnsi="Times New Roman" w:eastAsia="宋体" w:cs="宋体"/>
                <w:kern w:val="0"/>
                <w:sz w:val="24"/>
                <w:szCs w:val="24"/>
                <w:lang w:bidi="ar-AE"/>
              </w:rPr>
              <w:t>”）、</w:t>
            </w:r>
            <w:r>
              <w:rPr>
                <w:rFonts w:hint="eastAsia" w:ascii="Times New Roman" w:hAnsi="Times New Roman" w:eastAsia="宋体" w:cs="宋体"/>
                <w:bCs/>
                <w:color w:val="000000"/>
                <w:kern w:val="0"/>
                <w:sz w:val="24"/>
                <w:szCs w:val="24"/>
                <w:lang w:bidi="ar-AE"/>
              </w:rPr>
              <w:t>山东铁路发展基金有限公司</w:t>
            </w:r>
            <w:r>
              <w:rPr>
                <w:rFonts w:hint="eastAsia" w:ascii="Times New Roman" w:hAnsi="Times New Roman" w:eastAsia="宋体" w:cs="宋体"/>
                <w:kern w:val="0"/>
                <w:sz w:val="24"/>
                <w:szCs w:val="24"/>
                <w:lang w:bidi="ar-AE"/>
              </w:rPr>
              <w:t>（以下简称“山东铁发”）拟共同出资设立合营企业，合营企业主要从事中国境内私募股权投资基金业务。本次交易后，中金</w:t>
            </w:r>
            <w:r>
              <w:rPr>
                <w:rFonts w:hint="eastAsia" w:ascii="Times New Roman" w:hAnsi="Times New Roman" w:eastAsia="宋体" w:cs="宋体"/>
                <w:bCs/>
                <w:color w:val="000000"/>
                <w:kern w:val="0"/>
                <w:sz w:val="24"/>
                <w:szCs w:val="24"/>
                <w:lang w:bidi="ar-AE"/>
              </w:rPr>
              <w:t>资本</w:t>
            </w:r>
            <w:r>
              <w:rPr>
                <w:rFonts w:hint="eastAsia" w:ascii="Times New Roman" w:hAnsi="Times New Roman" w:eastAsia="宋体" w:cs="宋体"/>
                <w:kern w:val="0"/>
                <w:sz w:val="24"/>
                <w:szCs w:val="24"/>
                <w:lang w:bidi="ar-AE"/>
              </w:rPr>
              <w:t>、山东铁发将分别持有合营企业</w:t>
            </w:r>
            <w:r>
              <w:rPr>
                <w:rFonts w:ascii="Times New Roman" w:hAnsi="Times New Roman" w:eastAsia="宋体" w:cs="宋体"/>
                <w:kern w:val="0"/>
                <w:sz w:val="24"/>
                <w:szCs w:val="24"/>
                <w:lang w:bidi="ar-AE"/>
              </w:rPr>
              <w:t>1.96%</w:t>
            </w:r>
            <w:r>
              <w:rPr>
                <w:rFonts w:hint="eastAsia" w:ascii="Times New Roman" w:hAnsi="Times New Roman" w:eastAsia="宋体" w:cs="宋体"/>
                <w:kern w:val="0"/>
                <w:sz w:val="24"/>
                <w:szCs w:val="24"/>
                <w:lang w:bidi="ar-AE"/>
              </w:rPr>
              <w:t>、</w:t>
            </w:r>
            <w:r>
              <w:rPr>
                <w:rFonts w:ascii="Times New Roman" w:hAnsi="Times New Roman" w:eastAsia="宋体" w:cs="宋体"/>
                <w:kern w:val="0"/>
                <w:sz w:val="24"/>
                <w:szCs w:val="24"/>
                <w:lang w:bidi="ar-AE"/>
              </w:rPr>
              <w:t>97.85%</w:t>
            </w:r>
            <w:r>
              <w:rPr>
                <w:rFonts w:hint="eastAsia" w:ascii="Times New Roman" w:hAnsi="Times New Roman" w:eastAsia="宋体" w:cs="宋体"/>
                <w:kern w:val="0"/>
                <w:sz w:val="24"/>
                <w:szCs w:val="24"/>
                <w:lang w:bidi="ar-AE"/>
              </w:rPr>
              <w:t>的合伙份额，对合营企业实施共同控制。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widowControl/>
              <w:adjustRightInd w:val="0"/>
              <w:snapToGrid w:val="0"/>
              <w:rPr>
                <w:rFonts w:ascii="宋体" w:hAnsi="宋体" w:eastAsia="宋体" w:cs="宋体"/>
                <w:bCs/>
                <w:color w:val="000000"/>
                <w:kern w:val="0"/>
                <w:sz w:val="24"/>
                <w:szCs w:val="24"/>
                <w:lang w:bidi="ar-AE"/>
              </w:rPr>
            </w:pPr>
            <w:r>
              <w:rPr>
                <w:rFonts w:hint="eastAsia" w:ascii="宋体" w:hAnsi="宋体" w:eastAsia="宋体" w:cs="宋体"/>
                <w:bCs/>
                <w:color w:val="000000"/>
                <w:kern w:val="0"/>
                <w:sz w:val="24"/>
                <w:szCs w:val="24"/>
                <w:lang w:val="en-GB" w:bidi="ar-AE"/>
              </w:rPr>
              <w:t>参与集中的经营者简介（每个限</w:t>
            </w:r>
            <w:r>
              <w:rPr>
                <w:rFonts w:hint="eastAsia" w:ascii="宋体" w:hAnsi="宋体" w:eastAsia="宋体" w:cs="宋体"/>
                <w:bCs/>
                <w:color w:val="000000"/>
                <w:kern w:val="0"/>
                <w:sz w:val="24"/>
                <w:szCs w:val="24"/>
                <w:lang w:bidi="ar-AE"/>
              </w:rPr>
              <w:t>100字以内</w:t>
            </w:r>
            <w:r>
              <w:rPr>
                <w:rFonts w:hint="eastAsia" w:ascii="宋体" w:hAnsi="宋体" w:eastAsia="宋体" w:cs="宋体"/>
                <w:bCs/>
                <w:color w:val="000000"/>
                <w:kern w:val="0"/>
                <w:sz w:val="24"/>
                <w:szCs w:val="24"/>
                <w:lang w:val="en-GB" w:bidi="ar-AE"/>
              </w:rPr>
              <w:t>）</w:t>
            </w:r>
          </w:p>
        </w:tc>
        <w:tc>
          <w:tcPr>
            <w:tcW w:w="1607" w:type="dxa"/>
            <w:vAlign w:val="center"/>
          </w:tcPr>
          <w:p>
            <w:pPr>
              <w:widowControl/>
              <w:adjustRightInd w:val="0"/>
              <w:snapToGrid w:val="0"/>
              <w:rPr>
                <w:rFonts w:ascii="宋体" w:hAnsi="宋体" w:eastAsia="宋体" w:cs="宋体"/>
                <w:bCs/>
                <w:color w:val="000000"/>
                <w:kern w:val="0"/>
                <w:sz w:val="24"/>
                <w:szCs w:val="24"/>
                <w:lang w:val="en-GB" w:bidi="ar-AE"/>
              </w:rPr>
            </w:pPr>
            <w:r>
              <w:rPr>
                <w:rFonts w:hint="eastAsia" w:ascii="宋体" w:hAnsi="宋体" w:eastAsia="宋体" w:cs="宋体"/>
                <w:bCs/>
                <w:color w:val="000000"/>
                <w:kern w:val="0"/>
                <w:sz w:val="24"/>
                <w:szCs w:val="24"/>
                <w:lang w:bidi="ar-AE"/>
              </w:rPr>
              <w:t>1.</w:t>
            </w:r>
            <w:r>
              <w:rPr>
                <w:rFonts w:hint="eastAsia" w:ascii="Times New Roman" w:hAnsi="Times New Roman" w:eastAsia="宋体" w:cs="Simplified Arabic"/>
                <w:kern w:val="0"/>
                <w:sz w:val="24"/>
                <w:szCs w:val="24"/>
                <w:lang w:val="en-GB" w:eastAsia="en-GB" w:bidi="ar-AE"/>
              </w:rPr>
              <w:t xml:space="preserve"> </w:t>
            </w:r>
            <w:r>
              <w:rPr>
                <w:rFonts w:hint="eastAsia" w:ascii="宋体" w:hAnsi="宋体" w:eastAsia="宋体" w:cs="宋体"/>
                <w:bCs/>
                <w:color w:val="000000"/>
                <w:kern w:val="0"/>
                <w:sz w:val="24"/>
                <w:szCs w:val="24"/>
                <w:lang w:val="en-GB" w:bidi="ar-AE"/>
              </w:rPr>
              <w:t>中金资本</w:t>
            </w:r>
          </w:p>
        </w:tc>
        <w:tc>
          <w:tcPr>
            <w:tcW w:w="6093" w:type="dxa"/>
            <w:vAlign w:val="center"/>
          </w:tcPr>
          <w:p>
            <w:pPr>
              <w:widowControl/>
              <w:snapToGrid w:val="0"/>
              <w:jc w:val="left"/>
              <w:rPr>
                <w:rFonts w:ascii="宋体" w:hAnsi="宋体" w:eastAsia="宋体" w:cs="Times New Roman"/>
                <w:sz w:val="24"/>
                <w:szCs w:val="24"/>
              </w:rPr>
            </w:pPr>
            <w:r>
              <w:rPr>
                <w:rFonts w:hint="eastAsia" w:ascii="宋体" w:hAnsi="宋体" w:eastAsia="宋体" w:cs="Times New Roman"/>
                <w:sz w:val="24"/>
                <w:szCs w:val="24"/>
              </w:rPr>
              <w:t>中金资本于</w:t>
            </w:r>
            <w:r>
              <w:rPr>
                <w:rFonts w:ascii="宋体" w:hAnsi="宋体" w:eastAsia="宋体" w:cs="Times New Roman"/>
                <w:sz w:val="24"/>
                <w:szCs w:val="24"/>
              </w:rPr>
              <w:t>2017年3月6日成立于北京市，主要从事私募股权</w:t>
            </w:r>
            <w:r>
              <w:rPr>
                <w:rFonts w:hint="eastAsia" w:ascii="宋体" w:hAnsi="宋体" w:eastAsia="宋体" w:cs="Times New Roman"/>
                <w:sz w:val="24"/>
                <w:szCs w:val="24"/>
              </w:rPr>
              <w:t>投资</w:t>
            </w:r>
            <w:r>
              <w:rPr>
                <w:rFonts w:ascii="宋体" w:hAnsi="宋体" w:eastAsia="宋体" w:cs="Times New Roman"/>
                <w:sz w:val="24"/>
                <w:szCs w:val="24"/>
              </w:rPr>
              <w:t>基金业务。</w:t>
            </w:r>
          </w:p>
          <w:p>
            <w:pPr>
              <w:widowControl/>
              <w:snapToGrid w:val="0"/>
              <w:jc w:val="left"/>
              <w:rPr>
                <w:rFonts w:ascii="宋体" w:hAnsi="宋体" w:eastAsia="宋体" w:cs="Times New Roman"/>
                <w:sz w:val="24"/>
                <w:szCs w:val="24"/>
              </w:rPr>
            </w:pPr>
            <w:r>
              <w:rPr>
                <w:rFonts w:hint="eastAsia" w:ascii="宋体" w:hAnsi="宋体" w:eastAsia="宋体" w:cs="Times New Roman"/>
                <w:sz w:val="24"/>
                <w:szCs w:val="24"/>
              </w:rPr>
              <w:t>中金资本最终控制人为中国国际金融股份有限公司，主要从事投资银行、证券服务等业务。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widowControl/>
              <w:adjustRightInd w:val="0"/>
              <w:snapToGrid w:val="0"/>
              <w:rPr>
                <w:rFonts w:ascii="宋体" w:hAnsi="宋体" w:eastAsia="宋体" w:cs="宋体"/>
                <w:bCs/>
                <w:color w:val="000000"/>
                <w:kern w:val="0"/>
                <w:sz w:val="24"/>
                <w:szCs w:val="24"/>
                <w:lang w:bidi="ar-AE"/>
              </w:rPr>
            </w:pPr>
          </w:p>
        </w:tc>
        <w:tc>
          <w:tcPr>
            <w:tcW w:w="1607" w:type="dxa"/>
            <w:vAlign w:val="center"/>
          </w:tcPr>
          <w:p>
            <w:pPr>
              <w:widowControl/>
              <w:adjustRightInd w:val="0"/>
              <w:snapToGrid w:val="0"/>
              <w:rPr>
                <w:rFonts w:ascii="宋体" w:hAnsi="宋体" w:eastAsia="宋体" w:cs="宋体"/>
                <w:bCs/>
                <w:color w:val="000000"/>
                <w:kern w:val="0"/>
                <w:sz w:val="24"/>
                <w:szCs w:val="24"/>
                <w:lang w:bidi="ar-AE"/>
              </w:rPr>
            </w:pPr>
            <w:r>
              <w:rPr>
                <w:rFonts w:ascii="宋体" w:hAnsi="宋体" w:eastAsia="宋体" w:cs="宋体"/>
                <w:bCs/>
                <w:color w:val="000000"/>
                <w:kern w:val="0"/>
                <w:sz w:val="24"/>
                <w:szCs w:val="24"/>
                <w:lang w:bidi="ar-AE"/>
              </w:rPr>
              <w:t>2</w:t>
            </w:r>
            <w:r>
              <w:rPr>
                <w:rFonts w:hint="eastAsia" w:ascii="宋体" w:hAnsi="宋体" w:eastAsia="宋体" w:cs="宋体"/>
                <w:bCs/>
                <w:color w:val="000000"/>
                <w:kern w:val="0"/>
                <w:sz w:val="24"/>
                <w:szCs w:val="24"/>
                <w:lang w:bidi="ar-AE"/>
              </w:rPr>
              <w:t xml:space="preserve">. </w:t>
            </w:r>
            <w:r>
              <w:rPr>
                <w:rFonts w:hint="eastAsia" w:ascii="Times New Roman" w:hAnsi="Times New Roman" w:eastAsia="宋体" w:cs="宋体"/>
                <w:kern w:val="0"/>
                <w:sz w:val="24"/>
                <w:szCs w:val="24"/>
                <w:lang w:bidi="ar-AE"/>
              </w:rPr>
              <w:t>山东铁发</w:t>
            </w:r>
          </w:p>
        </w:tc>
        <w:tc>
          <w:tcPr>
            <w:tcW w:w="6093" w:type="dxa"/>
            <w:vAlign w:val="center"/>
          </w:tcPr>
          <w:p>
            <w:pPr>
              <w:widowControl/>
              <w:adjustRightInd w:val="0"/>
              <w:snapToGrid w:val="0"/>
              <w:rPr>
                <w:rFonts w:ascii="宋体" w:hAnsi="宋体" w:eastAsia="宋体" w:cs="宋体"/>
                <w:bCs/>
                <w:color w:val="000000"/>
                <w:kern w:val="0"/>
                <w:sz w:val="24"/>
                <w:szCs w:val="24"/>
                <w:lang w:bidi="ar-AE"/>
              </w:rPr>
            </w:pPr>
            <w:r>
              <w:rPr>
                <w:rFonts w:hint="eastAsia" w:ascii="Times New Roman" w:hAnsi="Times New Roman" w:eastAsia="宋体" w:cs="宋体"/>
                <w:kern w:val="0"/>
                <w:sz w:val="24"/>
                <w:szCs w:val="24"/>
                <w:lang w:bidi="ar-AE"/>
              </w:rPr>
              <w:t>山东铁发于</w:t>
            </w:r>
            <w:r>
              <w:rPr>
                <w:rFonts w:ascii="宋体" w:hAnsi="宋体" w:eastAsia="宋体" w:cs="宋体"/>
                <w:kern w:val="0"/>
                <w:sz w:val="24"/>
                <w:szCs w:val="24"/>
                <w:lang w:bidi="ar-AE"/>
              </w:rPr>
              <w:t>2016年10月28 日</w:t>
            </w:r>
            <w:r>
              <w:rPr>
                <w:rFonts w:hint="eastAsia" w:ascii="宋体" w:hAnsi="宋体" w:eastAsia="宋体" w:cs="宋体"/>
                <w:bCs/>
                <w:color w:val="000000"/>
                <w:kern w:val="0"/>
                <w:sz w:val="24"/>
                <w:szCs w:val="24"/>
                <w:lang w:bidi="ar-AE"/>
              </w:rPr>
              <w:t>成立于山东省济南市，主要铁路建设项目投资及管理、股权投资，基金管理等。</w:t>
            </w:r>
          </w:p>
          <w:p>
            <w:pPr>
              <w:widowControl/>
              <w:adjustRightInd w:val="0"/>
              <w:snapToGrid w:val="0"/>
              <w:rPr>
                <w:rFonts w:ascii="宋体" w:hAnsi="宋体" w:eastAsia="宋体" w:cs="宋体"/>
                <w:bCs/>
                <w:color w:val="000000"/>
                <w:kern w:val="0"/>
                <w:sz w:val="24"/>
                <w:szCs w:val="24"/>
                <w:lang w:bidi="ar-AE"/>
              </w:rPr>
            </w:pPr>
            <w:r>
              <w:rPr>
                <w:rFonts w:hint="eastAsia" w:ascii="Times New Roman" w:hAnsi="Times New Roman" w:eastAsia="宋体" w:cs="宋体"/>
                <w:kern w:val="0"/>
                <w:sz w:val="24"/>
                <w:szCs w:val="24"/>
                <w:lang w:bidi="ar-AE"/>
              </w:rPr>
              <w:t>山东铁发</w:t>
            </w:r>
            <w:r>
              <w:rPr>
                <w:rFonts w:hint="eastAsia" w:ascii="宋体" w:hAnsi="宋体" w:eastAsia="宋体" w:cs="宋体"/>
                <w:bCs/>
                <w:color w:val="000000"/>
                <w:kern w:val="0"/>
                <w:sz w:val="24"/>
                <w:szCs w:val="24"/>
                <w:lang w:bidi="ar-AE"/>
              </w:rPr>
              <w:t>最终控制人为山东高速集团有限公司，主要从事山东等地区收费路桥业务、铁路运输及物流等业务。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widowControl/>
              <w:adjustRightInd w:val="0"/>
              <w:snapToGrid w:val="0"/>
              <w:rPr>
                <w:rFonts w:ascii="宋体" w:hAnsi="宋体" w:eastAsia="宋体" w:cs="宋体"/>
                <w:bCs/>
                <w:color w:val="000000"/>
                <w:kern w:val="0"/>
                <w:sz w:val="24"/>
                <w:szCs w:val="24"/>
                <w:lang w:bidi="ar-AE"/>
              </w:rPr>
            </w:pPr>
            <w:r>
              <w:rPr>
                <w:rFonts w:hint="eastAsia" w:ascii="宋体" w:hAnsi="宋体" w:eastAsia="宋体" w:cs="宋体"/>
                <w:bCs/>
                <w:color w:val="000000"/>
                <w:kern w:val="0"/>
                <w:sz w:val="24"/>
                <w:szCs w:val="24"/>
                <w:lang w:val="en-GB" w:bidi="ar-AE"/>
              </w:rPr>
              <w:t>简易案件理由（可以单选，也可以多选）</w:t>
            </w:r>
          </w:p>
        </w:tc>
        <w:tc>
          <w:tcPr>
            <w:tcW w:w="7700" w:type="dxa"/>
            <w:gridSpan w:val="2"/>
            <w:vAlign w:val="center"/>
          </w:tcPr>
          <w:p>
            <w:pPr>
              <w:widowControl/>
              <w:adjustRightInd w:val="0"/>
              <w:snapToGrid w:val="0"/>
              <w:rPr>
                <w:rFonts w:ascii="宋体" w:hAnsi="宋体" w:eastAsia="宋体" w:cs="宋体"/>
                <w:bCs/>
                <w:color w:val="000000"/>
                <w:kern w:val="0"/>
                <w:sz w:val="24"/>
                <w:szCs w:val="24"/>
                <w:lang w:bidi="ar-AE"/>
              </w:rPr>
            </w:pPr>
            <w:r>
              <w:rPr>
                <w:rFonts w:hint="eastAsia" w:ascii="宋体" w:hAnsi="宋体" w:eastAsia="宋体" w:cs="宋体"/>
                <w:bCs/>
                <w:color w:val="000000"/>
                <w:kern w:val="0"/>
                <w:sz w:val="24"/>
                <w:szCs w:val="24"/>
                <w:lang w:val="en-GB" w:bidi="ar-AE"/>
              </w:rPr>
              <w:sym w:font="Wingdings" w:char="00FE"/>
            </w:r>
            <w:r>
              <w:rPr>
                <w:rFonts w:hint="eastAsia" w:ascii="宋体" w:hAnsi="宋体" w:eastAsia="宋体" w:cs="宋体"/>
                <w:bCs/>
                <w:color w:val="000000"/>
                <w:kern w:val="0"/>
                <w:sz w:val="24"/>
                <w:szCs w:val="24"/>
                <w:lang w:val="en-GB" w:bidi="ar-AE"/>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widowControl/>
              <w:adjustRightInd w:val="0"/>
              <w:snapToGrid w:val="0"/>
              <w:rPr>
                <w:rFonts w:ascii="宋体" w:hAnsi="宋体" w:eastAsia="宋体" w:cs="宋体"/>
                <w:bCs/>
                <w:color w:val="000000"/>
                <w:kern w:val="0"/>
                <w:sz w:val="24"/>
                <w:szCs w:val="24"/>
                <w:lang w:bidi="ar-AE"/>
              </w:rPr>
            </w:pPr>
          </w:p>
        </w:tc>
        <w:tc>
          <w:tcPr>
            <w:tcW w:w="7700" w:type="dxa"/>
            <w:gridSpan w:val="2"/>
            <w:vAlign w:val="center"/>
          </w:tcPr>
          <w:p>
            <w:pPr>
              <w:widowControl/>
              <w:adjustRightInd w:val="0"/>
              <w:snapToGrid w:val="0"/>
              <w:rPr>
                <w:rFonts w:ascii="宋体" w:hAnsi="宋体" w:eastAsia="宋体" w:cs="宋体"/>
                <w:bCs/>
                <w:color w:val="000000"/>
                <w:kern w:val="0"/>
                <w:sz w:val="24"/>
                <w:szCs w:val="24"/>
                <w:lang w:bidi="ar-AE"/>
              </w:rPr>
            </w:pPr>
            <w:r>
              <w:rPr>
                <w:rFonts w:hint="eastAsia" w:ascii="宋体" w:hAnsi="宋体" w:eastAsia="宋体" w:cs="宋体"/>
                <w:bCs/>
                <w:color w:val="000000"/>
                <w:kern w:val="0"/>
                <w:sz w:val="24"/>
                <w:szCs w:val="24"/>
                <w:lang w:val="en-GB" w:bidi="ar-AE"/>
              </w:rPr>
              <w:sym w:font="Wingdings" w:char="00A8"/>
            </w:r>
            <w:r>
              <w:rPr>
                <w:rFonts w:hint="eastAsia" w:ascii="宋体" w:hAnsi="宋体" w:eastAsia="宋体" w:cs="宋体"/>
                <w:bCs/>
                <w:color w:val="000000"/>
                <w:kern w:val="0"/>
                <w:sz w:val="24"/>
                <w:szCs w:val="24"/>
                <w:lang w:val="en-GB" w:bidi="ar-AE"/>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widowControl/>
              <w:adjustRightInd w:val="0"/>
              <w:snapToGrid w:val="0"/>
              <w:rPr>
                <w:rFonts w:ascii="宋体" w:hAnsi="宋体" w:eastAsia="宋体" w:cs="宋体"/>
                <w:bCs/>
                <w:color w:val="000000"/>
                <w:kern w:val="0"/>
                <w:sz w:val="24"/>
                <w:szCs w:val="24"/>
                <w:lang w:bidi="ar-AE"/>
              </w:rPr>
            </w:pPr>
          </w:p>
        </w:tc>
        <w:tc>
          <w:tcPr>
            <w:tcW w:w="7700" w:type="dxa"/>
            <w:gridSpan w:val="2"/>
            <w:vAlign w:val="center"/>
          </w:tcPr>
          <w:p>
            <w:pPr>
              <w:widowControl/>
              <w:adjustRightInd w:val="0"/>
              <w:snapToGrid w:val="0"/>
              <w:rPr>
                <w:rFonts w:ascii="宋体" w:hAnsi="宋体" w:eastAsia="宋体" w:cs="宋体"/>
                <w:bCs/>
                <w:color w:val="000000"/>
                <w:kern w:val="0"/>
                <w:sz w:val="24"/>
                <w:szCs w:val="24"/>
                <w:lang w:bidi="ar-AE"/>
              </w:rPr>
            </w:pPr>
            <w:r>
              <w:rPr>
                <w:rFonts w:hint="eastAsia" w:ascii="宋体" w:hAnsi="宋体" w:eastAsia="宋体" w:cs="宋体"/>
                <w:bCs/>
                <w:color w:val="000000"/>
                <w:kern w:val="0"/>
                <w:sz w:val="24"/>
                <w:szCs w:val="24"/>
                <w:lang w:val="en-GB" w:bidi="ar-AE"/>
              </w:rPr>
              <w:sym w:font="Wingdings" w:char="00A8"/>
            </w:r>
            <w:r>
              <w:rPr>
                <w:rFonts w:hint="eastAsia" w:ascii="宋体" w:hAnsi="宋体" w:eastAsia="宋体" w:cs="宋体"/>
                <w:bCs/>
                <w:color w:val="000000"/>
                <w:kern w:val="0"/>
                <w:sz w:val="24"/>
                <w:szCs w:val="24"/>
                <w:lang w:val="en-GB" w:bidi="ar-AE"/>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pPr>
              <w:widowControl/>
              <w:adjustRightInd w:val="0"/>
              <w:snapToGrid w:val="0"/>
              <w:rPr>
                <w:rFonts w:ascii="宋体" w:hAnsi="宋体" w:eastAsia="宋体" w:cs="宋体"/>
                <w:bCs/>
                <w:color w:val="000000"/>
                <w:kern w:val="0"/>
                <w:sz w:val="24"/>
                <w:szCs w:val="24"/>
                <w:lang w:bidi="ar-AE"/>
              </w:rPr>
            </w:pPr>
          </w:p>
        </w:tc>
        <w:tc>
          <w:tcPr>
            <w:tcW w:w="7700" w:type="dxa"/>
            <w:gridSpan w:val="2"/>
            <w:vAlign w:val="center"/>
          </w:tcPr>
          <w:p>
            <w:pPr>
              <w:widowControl/>
              <w:adjustRightInd w:val="0"/>
              <w:snapToGrid w:val="0"/>
              <w:rPr>
                <w:rFonts w:ascii="宋体" w:hAnsi="宋体" w:eastAsia="宋体" w:cs="宋体"/>
                <w:bCs/>
                <w:color w:val="000000"/>
                <w:kern w:val="0"/>
                <w:sz w:val="24"/>
                <w:szCs w:val="24"/>
                <w:lang w:bidi="ar-AE"/>
              </w:rPr>
            </w:pPr>
            <w:r>
              <w:rPr>
                <w:rFonts w:hint="eastAsia" w:ascii="宋体" w:hAnsi="宋体" w:eastAsia="宋体" w:cs="宋体"/>
                <w:bCs/>
                <w:color w:val="000000"/>
                <w:kern w:val="0"/>
                <w:sz w:val="24"/>
                <w:szCs w:val="24"/>
                <w:lang w:val="en-GB" w:bidi="ar-AE"/>
              </w:rPr>
              <w:sym w:font="Wingdings" w:char="00A8"/>
            </w:r>
            <w:r>
              <w:rPr>
                <w:rFonts w:hint="eastAsia" w:ascii="宋体" w:hAnsi="宋体" w:eastAsia="宋体" w:cs="宋体"/>
                <w:bCs/>
                <w:color w:val="000000"/>
                <w:kern w:val="0"/>
                <w:sz w:val="24"/>
                <w:szCs w:val="24"/>
                <w:lang w:val="en-GB" w:bidi="ar-AE"/>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widowControl/>
              <w:adjustRightInd w:val="0"/>
              <w:snapToGrid w:val="0"/>
              <w:rPr>
                <w:rFonts w:ascii="宋体" w:hAnsi="宋体" w:eastAsia="宋体" w:cs="宋体"/>
                <w:bCs/>
                <w:color w:val="000000"/>
                <w:kern w:val="0"/>
                <w:sz w:val="24"/>
                <w:szCs w:val="24"/>
                <w:lang w:bidi="ar-AE"/>
              </w:rPr>
            </w:pPr>
          </w:p>
        </w:tc>
        <w:tc>
          <w:tcPr>
            <w:tcW w:w="7700" w:type="dxa"/>
            <w:gridSpan w:val="2"/>
            <w:vAlign w:val="center"/>
          </w:tcPr>
          <w:p>
            <w:pPr>
              <w:widowControl/>
              <w:adjustRightInd w:val="0"/>
              <w:snapToGrid w:val="0"/>
              <w:rPr>
                <w:rFonts w:ascii="宋体" w:hAnsi="宋体" w:eastAsia="宋体" w:cs="宋体"/>
                <w:bCs/>
                <w:color w:val="000000"/>
                <w:kern w:val="0"/>
                <w:sz w:val="24"/>
                <w:szCs w:val="24"/>
                <w:lang w:bidi="ar-AE"/>
              </w:rPr>
            </w:pPr>
            <w:r>
              <w:rPr>
                <w:rFonts w:hint="eastAsia" w:ascii="宋体" w:hAnsi="宋体" w:eastAsia="宋体" w:cs="宋体"/>
                <w:bCs/>
                <w:color w:val="000000"/>
                <w:kern w:val="0"/>
                <w:sz w:val="24"/>
                <w:szCs w:val="24"/>
                <w:lang w:val="en-GB" w:bidi="ar-AE"/>
              </w:rPr>
              <w:sym w:font="Wingdings" w:char="00A8"/>
            </w:r>
            <w:r>
              <w:rPr>
                <w:rFonts w:hint="eastAsia" w:ascii="宋体" w:hAnsi="宋体" w:eastAsia="宋体" w:cs="宋体"/>
                <w:bCs/>
                <w:color w:val="000000"/>
                <w:kern w:val="0"/>
                <w:sz w:val="24"/>
                <w:szCs w:val="24"/>
                <w:lang w:val="en-GB" w:bidi="ar-AE"/>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widowControl/>
              <w:adjustRightInd w:val="0"/>
              <w:snapToGrid w:val="0"/>
              <w:rPr>
                <w:rFonts w:ascii="宋体" w:hAnsi="宋体" w:eastAsia="宋体" w:cs="宋体"/>
                <w:bCs/>
                <w:color w:val="000000"/>
                <w:kern w:val="0"/>
                <w:sz w:val="24"/>
                <w:szCs w:val="24"/>
                <w:lang w:bidi="ar-AE"/>
              </w:rPr>
            </w:pPr>
          </w:p>
        </w:tc>
        <w:tc>
          <w:tcPr>
            <w:tcW w:w="7700" w:type="dxa"/>
            <w:gridSpan w:val="2"/>
            <w:vAlign w:val="center"/>
          </w:tcPr>
          <w:p>
            <w:pPr>
              <w:widowControl/>
              <w:adjustRightInd w:val="0"/>
              <w:snapToGrid w:val="0"/>
              <w:rPr>
                <w:rFonts w:ascii="宋体" w:hAnsi="宋体" w:eastAsia="宋体" w:cs="宋体"/>
                <w:bCs/>
                <w:color w:val="000000"/>
                <w:kern w:val="0"/>
                <w:sz w:val="24"/>
                <w:szCs w:val="24"/>
                <w:lang w:bidi="ar-AE"/>
              </w:rPr>
            </w:pPr>
            <w:r>
              <w:rPr>
                <w:rFonts w:hint="eastAsia" w:ascii="宋体" w:hAnsi="宋体" w:eastAsia="宋体" w:cs="宋体"/>
                <w:bCs/>
                <w:color w:val="000000"/>
                <w:kern w:val="0"/>
                <w:sz w:val="24"/>
                <w:szCs w:val="24"/>
                <w:lang w:val="en-GB" w:bidi="ar-AE"/>
              </w:rPr>
              <w:sym w:font="Wingdings" w:char="00A8"/>
            </w:r>
            <w:r>
              <w:rPr>
                <w:rFonts w:hint="eastAsia" w:ascii="宋体" w:hAnsi="宋体" w:eastAsia="宋体" w:cs="宋体"/>
                <w:bCs/>
                <w:color w:val="000000"/>
                <w:kern w:val="0"/>
                <w:sz w:val="24"/>
                <w:szCs w:val="24"/>
                <w:lang w:val="en-GB" w:bidi="ar-AE"/>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D9D9D9"/>
            <w:vAlign w:val="center"/>
          </w:tcPr>
          <w:p>
            <w:pPr>
              <w:widowControl/>
              <w:adjustRightInd w:val="0"/>
              <w:snapToGrid w:val="0"/>
              <w:rPr>
                <w:rFonts w:ascii="宋体" w:hAnsi="宋体" w:eastAsia="宋体" w:cs="宋体"/>
                <w:bCs/>
                <w:color w:val="000000"/>
                <w:kern w:val="0"/>
                <w:sz w:val="24"/>
                <w:szCs w:val="24"/>
                <w:lang w:bidi="ar-AE"/>
              </w:rPr>
            </w:pPr>
            <w:r>
              <w:rPr>
                <w:rFonts w:hint="eastAsia" w:ascii="宋体" w:hAnsi="宋体" w:eastAsia="宋体" w:cs="宋体"/>
                <w:bCs/>
                <w:color w:val="000000"/>
                <w:kern w:val="0"/>
                <w:sz w:val="24"/>
                <w:szCs w:val="24"/>
                <w:lang w:bidi="ar-AE"/>
              </w:rPr>
              <w:t>备注</w:t>
            </w:r>
          </w:p>
        </w:tc>
        <w:tc>
          <w:tcPr>
            <w:tcW w:w="7700" w:type="dxa"/>
            <w:gridSpan w:val="2"/>
            <w:vAlign w:val="center"/>
          </w:tcPr>
          <w:p>
            <w:pPr>
              <w:widowControl/>
              <w:adjustRightInd w:val="0"/>
              <w:snapToGrid w:val="0"/>
              <w:rPr>
                <w:rFonts w:ascii="宋体" w:hAnsi="宋体" w:eastAsia="宋体" w:cs="宋体"/>
                <w:b/>
                <w:color w:val="000000"/>
                <w:kern w:val="0"/>
                <w:sz w:val="24"/>
                <w:szCs w:val="24"/>
                <w:lang w:val="en-GB" w:bidi="ar-AE"/>
              </w:rPr>
            </w:pPr>
            <w:r>
              <w:rPr>
                <w:rFonts w:hint="eastAsia" w:ascii="宋体" w:hAnsi="宋体" w:eastAsia="宋体" w:cs="宋体"/>
                <w:b/>
                <w:color w:val="000000"/>
                <w:kern w:val="0"/>
                <w:sz w:val="24"/>
                <w:szCs w:val="24"/>
                <w:lang w:val="en-GB" w:bidi="ar-AE"/>
              </w:rPr>
              <w:t>横向重叠：</w:t>
            </w:r>
          </w:p>
          <w:p>
            <w:pPr>
              <w:widowControl/>
              <w:adjustRightInd w:val="0"/>
              <w:snapToGrid w:val="0"/>
              <w:rPr>
                <w:rFonts w:ascii="宋体" w:hAnsi="宋体" w:eastAsia="宋体" w:cs="宋体"/>
                <w:bCs/>
                <w:color w:val="000000"/>
                <w:kern w:val="0"/>
                <w:sz w:val="24"/>
                <w:szCs w:val="24"/>
                <w:lang w:bidi="ar-AE"/>
              </w:rPr>
            </w:pPr>
            <w:r>
              <w:rPr>
                <w:rFonts w:ascii="宋体" w:hAnsi="宋体" w:eastAsia="宋体" w:cs="宋体"/>
                <w:bCs/>
                <w:color w:val="000000"/>
                <w:kern w:val="0"/>
                <w:sz w:val="24"/>
                <w:szCs w:val="24"/>
                <w:lang w:bidi="ar-AE"/>
              </w:rPr>
              <w:t>2022</w:t>
            </w:r>
            <w:r>
              <w:rPr>
                <w:rFonts w:hint="eastAsia" w:ascii="宋体" w:hAnsi="宋体" w:eastAsia="宋体" w:cs="宋体"/>
                <w:bCs/>
                <w:color w:val="000000"/>
                <w:kern w:val="0"/>
                <w:sz w:val="24"/>
                <w:szCs w:val="24"/>
                <w:lang w:bidi="ar-AE"/>
              </w:rPr>
              <w:t>年</w:t>
            </w:r>
            <w:r>
              <w:rPr>
                <w:rFonts w:hint="eastAsia" w:ascii="宋体" w:hAnsi="宋体" w:eastAsia="宋体" w:cs="宋体"/>
                <w:bCs/>
                <w:color w:val="000000"/>
                <w:kern w:val="0"/>
                <w:sz w:val="24"/>
                <w:szCs w:val="24"/>
                <w:lang w:val="en-GB" w:bidi="ar-AE"/>
              </w:rPr>
              <w:t>中国境内</w:t>
            </w:r>
            <w:r>
              <w:rPr>
                <w:rFonts w:hint="eastAsia" w:ascii="宋体" w:hAnsi="宋体" w:eastAsia="宋体" w:cs="宋体"/>
                <w:bCs/>
                <w:color w:val="000000"/>
                <w:kern w:val="0"/>
                <w:sz w:val="24"/>
                <w:szCs w:val="24"/>
                <w:lang w:bidi="ar-AE"/>
              </w:rPr>
              <w:t>私募股权投资基金市场:</w:t>
            </w:r>
          </w:p>
          <w:p>
            <w:pPr>
              <w:widowControl/>
              <w:adjustRightInd w:val="0"/>
              <w:snapToGrid w:val="0"/>
              <w:rPr>
                <w:rFonts w:ascii="宋体" w:hAnsi="宋体" w:eastAsia="宋体" w:cs="宋体"/>
                <w:bCs/>
                <w:color w:val="000000"/>
                <w:kern w:val="0"/>
                <w:sz w:val="24"/>
                <w:szCs w:val="24"/>
                <w:lang w:bidi="ar-AE"/>
              </w:rPr>
            </w:pPr>
            <w:r>
              <w:rPr>
                <w:rFonts w:hint="eastAsia" w:ascii="宋体" w:hAnsi="宋体" w:eastAsia="宋体" w:cs="宋体"/>
                <w:bCs/>
                <w:color w:val="000000"/>
                <w:kern w:val="0"/>
                <w:sz w:val="24"/>
                <w:szCs w:val="24"/>
                <w:lang w:bidi="ar-AE"/>
              </w:rPr>
              <w:t>中金资本：</w:t>
            </w:r>
            <w:r>
              <w:rPr>
                <w:rFonts w:ascii="宋体" w:hAnsi="宋体" w:eastAsia="宋体" w:cs="宋体"/>
                <w:bCs/>
                <w:color w:val="000000"/>
                <w:kern w:val="0"/>
                <w:sz w:val="24"/>
                <w:szCs w:val="24"/>
                <w:lang w:bidi="ar-AE"/>
              </w:rPr>
              <w:t>0-5%，</w:t>
            </w:r>
            <w:r>
              <w:rPr>
                <w:rFonts w:hint="eastAsia" w:ascii="宋体" w:hAnsi="宋体" w:eastAsia="宋体" w:cs="宋体"/>
                <w:kern w:val="0"/>
                <w:sz w:val="24"/>
                <w:szCs w:val="24"/>
                <w:lang w:bidi="ar-AE"/>
              </w:rPr>
              <w:t>山东铁发</w:t>
            </w:r>
            <w:r>
              <w:rPr>
                <w:rFonts w:hint="eastAsia" w:ascii="宋体" w:hAnsi="宋体" w:eastAsia="宋体" w:cs="宋体"/>
                <w:bCs/>
                <w:color w:val="000000"/>
                <w:kern w:val="0"/>
                <w:sz w:val="24"/>
                <w:szCs w:val="24"/>
                <w:lang w:bidi="ar-AE"/>
              </w:rPr>
              <w:t>:0-</w:t>
            </w:r>
            <w:r>
              <w:rPr>
                <w:rFonts w:ascii="宋体" w:hAnsi="宋体" w:eastAsia="宋体" w:cs="宋体"/>
                <w:bCs/>
                <w:color w:val="000000"/>
                <w:kern w:val="0"/>
                <w:sz w:val="24"/>
                <w:szCs w:val="24"/>
                <w:lang w:bidi="ar-AE"/>
              </w:rPr>
              <w:t>5</w:t>
            </w:r>
            <w:r>
              <w:rPr>
                <w:rFonts w:hint="eastAsia" w:ascii="宋体" w:hAnsi="宋体" w:eastAsia="宋体" w:cs="宋体"/>
                <w:bCs/>
                <w:color w:val="000000"/>
                <w:kern w:val="0"/>
                <w:sz w:val="24"/>
                <w:szCs w:val="24"/>
                <w:lang w:bidi="ar-AE"/>
              </w:rPr>
              <w:t>%</w:t>
            </w:r>
            <w:bookmarkStart w:id="0" w:name="_GoBack"/>
            <w:bookmarkEnd w:id="0"/>
            <w:r>
              <w:rPr>
                <w:rFonts w:ascii="宋体" w:hAnsi="宋体" w:eastAsia="宋体" w:cs="宋体"/>
                <w:bCs/>
                <w:color w:val="000000"/>
                <w:kern w:val="0"/>
                <w:sz w:val="24"/>
                <w:szCs w:val="24"/>
                <w:lang w:bidi="ar-AE"/>
              </w:rPr>
              <w:t>，</w:t>
            </w:r>
            <w:r>
              <w:rPr>
                <w:rFonts w:hint="eastAsia" w:ascii="宋体" w:hAnsi="宋体" w:eastAsia="宋体" w:cs="宋体"/>
                <w:bCs/>
                <w:color w:val="000000"/>
                <w:kern w:val="0"/>
                <w:sz w:val="24"/>
                <w:szCs w:val="24"/>
                <w:lang w:bidi="ar-AE"/>
              </w:rPr>
              <w:t>各方合计：</w:t>
            </w:r>
            <w:r>
              <w:rPr>
                <w:rFonts w:ascii="宋体" w:hAnsi="宋体" w:eastAsia="宋体" w:cs="宋体"/>
                <w:bCs/>
                <w:color w:val="000000"/>
                <w:kern w:val="0"/>
                <w:sz w:val="24"/>
                <w:szCs w:val="24"/>
                <w:lang w:bidi="ar-AE"/>
              </w:rPr>
              <w:t>0-5%</w:t>
            </w:r>
            <w:r>
              <w:rPr>
                <w:rFonts w:hint="eastAsia" w:ascii="宋体" w:hAnsi="宋体" w:eastAsia="宋体" w:cs="宋体"/>
                <w:bCs/>
                <w:color w:val="000000"/>
                <w:kern w:val="0"/>
                <w:sz w:val="24"/>
                <w:szCs w:val="24"/>
                <w:lang w:bidi="ar-AE"/>
              </w:rPr>
              <w:t>。</w:t>
            </w:r>
          </w:p>
        </w:tc>
      </w:tr>
    </w:tbl>
    <w:p>
      <w:pPr>
        <w:widowControl/>
        <w:adjustRightInd w:val="0"/>
        <w:snapToGrid w:val="0"/>
        <w:rPr>
          <w:rFonts w:ascii="Arial" w:hAnsi="Arial" w:eastAsia="楷体_GB2312" w:cs="Arial"/>
          <w:b/>
          <w:color w:val="000000"/>
          <w:kern w:val="0"/>
          <w:sz w:val="22"/>
          <w:lang w:val="en-GB" w:bidi="ar-AE"/>
        </w:rPr>
      </w:pPr>
    </w:p>
    <w:p>
      <w:pPr>
        <w:rPr>
          <w:lang w:val="en-GB"/>
        </w:rPr>
      </w:pPr>
    </w:p>
    <w:sectPr>
      <w:footerReference r:id="rId3" w:type="default"/>
      <w:pgSz w:w="11906" w:h="16838"/>
      <w:pgMar w:top="1440" w:right="1440" w:bottom="1276" w:left="1440" w:header="72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Simplified Arabic">
    <w:altName w:val="Times New Roman"/>
    <w:panose1 w:val="00000000000000000000"/>
    <w:charset w:val="B2"/>
    <w:family w:val="roman"/>
    <w:pitch w:val="default"/>
    <w:sig w:usb0="00000000" w:usb1="00000000" w:usb2="00000008" w:usb3="00000000" w:csb0="0000004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0" w:type="dxa"/>
      <w:tblLayout w:type="autofit"/>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tc>
        <w:tcPr>
          <w:tcW w:w="3080" w:type="dxa"/>
        </w:tcPr>
        <w:p>
          <w:pPr>
            <w:pStyle w:val="4"/>
          </w:pPr>
        </w:p>
      </w:tc>
      <w:tc>
        <w:tcPr>
          <w:tcW w:w="3081" w:type="dxa"/>
        </w:tcPr>
        <w:p>
          <w:pPr>
            <w:pStyle w:val="4"/>
            <w:jc w:val="center"/>
            <w:rPr>
              <w:rStyle w:val="9"/>
              <w:rFonts w:cs="Times New Roman"/>
            </w:rPr>
          </w:pPr>
          <w:r>
            <w:rPr>
              <w:rStyle w:val="9"/>
              <w:rFonts w:cs="Times New Roman"/>
            </w:rPr>
            <w:t xml:space="preserve">- </w:t>
          </w:r>
          <w:r>
            <w:rPr>
              <w:rStyle w:val="9"/>
              <w:rFonts w:cs="Times New Roman"/>
            </w:rPr>
            <w:fldChar w:fldCharType="begin"/>
          </w:r>
          <w:r>
            <w:rPr>
              <w:rStyle w:val="9"/>
              <w:rFonts w:cs="Times New Roman"/>
            </w:rPr>
            <w:instrText xml:space="preserve"> PAGE   \* MERGEFORMAT </w:instrText>
          </w:r>
          <w:r>
            <w:rPr>
              <w:rStyle w:val="9"/>
              <w:rFonts w:cs="Times New Roman"/>
            </w:rPr>
            <w:fldChar w:fldCharType="separate"/>
          </w:r>
          <w:r>
            <w:rPr>
              <w:rStyle w:val="9"/>
              <w:rFonts w:cs="Times New Roman"/>
              <w:lang w:val="en-US"/>
            </w:rPr>
            <w:t>2</w:t>
          </w:r>
          <w:r>
            <w:rPr>
              <w:rStyle w:val="9"/>
              <w:rFonts w:cs="Times New Roman"/>
            </w:rPr>
            <w:fldChar w:fldCharType="end"/>
          </w:r>
          <w:r>
            <w:rPr>
              <w:rStyle w:val="9"/>
              <w:rFonts w:cs="Times New Roman"/>
            </w:rPr>
            <w:t xml:space="preserve"> -</w:t>
          </w:r>
        </w:p>
      </w:tc>
      <w:tc>
        <w:tcPr>
          <w:tcW w:w="3081" w:type="dxa"/>
        </w:tcPr>
        <w:p>
          <w:pPr>
            <w:pStyle w:val="12"/>
          </w:pPr>
        </w:p>
      </w:tc>
    </w:tr>
  </w:tbl>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311"/>
    <w:rsid w:val="00015747"/>
    <w:rsid w:val="00027223"/>
    <w:rsid w:val="00043DEF"/>
    <w:rsid w:val="000C7440"/>
    <w:rsid w:val="000E179A"/>
    <w:rsid w:val="00141A00"/>
    <w:rsid w:val="0015083E"/>
    <w:rsid w:val="0021617F"/>
    <w:rsid w:val="00314DFE"/>
    <w:rsid w:val="00331CE4"/>
    <w:rsid w:val="003363B2"/>
    <w:rsid w:val="00341FE5"/>
    <w:rsid w:val="003D0839"/>
    <w:rsid w:val="00480297"/>
    <w:rsid w:val="004C42A0"/>
    <w:rsid w:val="00537C31"/>
    <w:rsid w:val="00557364"/>
    <w:rsid w:val="005A799F"/>
    <w:rsid w:val="005E12C1"/>
    <w:rsid w:val="006A6973"/>
    <w:rsid w:val="006F5B46"/>
    <w:rsid w:val="00711B4A"/>
    <w:rsid w:val="00730311"/>
    <w:rsid w:val="007339DC"/>
    <w:rsid w:val="00783A26"/>
    <w:rsid w:val="007A2BA3"/>
    <w:rsid w:val="007C4031"/>
    <w:rsid w:val="007C761D"/>
    <w:rsid w:val="007D56B5"/>
    <w:rsid w:val="007E3E19"/>
    <w:rsid w:val="007F3521"/>
    <w:rsid w:val="0080131B"/>
    <w:rsid w:val="0082305B"/>
    <w:rsid w:val="008A2800"/>
    <w:rsid w:val="008E5F31"/>
    <w:rsid w:val="009A1994"/>
    <w:rsid w:val="009C10E1"/>
    <w:rsid w:val="009D70C9"/>
    <w:rsid w:val="00A45856"/>
    <w:rsid w:val="00A60FD0"/>
    <w:rsid w:val="00A7600F"/>
    <w:rsid w:val="00AD04BD"/>
    <w:rsid w:val="00AD5B42"/>
    <w:rsid w:val="00B3097D"/>
    <w:rsid w:val="00BD27CA"/>
    <w:rsid w:val="00C44DF2"/>
    <w:rsid w:val="00C6185A"/>
    <w:rsid w:val="00CE6270"/>
    <w:rsid w:val="00D41C03"/>
    <w:rsid w:val="00D4344B"/>
    <w:rsid w:val="00D73369"/>
    <w:rsid w:val="00D90EB5"/>
    <w:rsid w:val="00DA22CB"/>
    <w:rsid w:val="00DC4179"/>
    <w:rsid w:val="00E341CD"/>
    <w:rsid w:val="00EB04F5"/>
    <w:rsid w:val="00ED04BB"/>
    <w:rsid w:val="00F96383"/>
    <w:rsid w:val="00FC43AF"/>
    <w:rsid w:val="00FE7676"/>
    <w:rsid w:val="4B5F4A7E"/>
    <w:rsid w:val="77FDA5A4"/>
    <w:rsid w:val="FF5F2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page number"/>
    <w:qFormat/>
    <w:uiPriority w:val="0"/>
    <w:rPr>
      <w:rFonts w:ascii="Times New Roman" w:hAnsi="Times New Roman" w:eastAsia="宋体" w:cs="Simplified Arabic"/>
      <w:sz w:val="24"/>
      <w:szCs w:val="24"/>
      <w:lang w:val="en-GB" w:bidi="ar-AE"/>
    </w:rPr>
  </w:style>
  <w:style w:type="character" w:styleId="10">
    <w:name w:val="annotation reference"/>
    <w:basedOn w:val="8"/>
    <w:semiHidden/>
    <w:unhideWhenUsed/>
    <w:qFormat/>
    <w:uiPriority w:val="99"/>
    <w:rPr>
      <w:sz w:val="21"/>
      <w:szCs w:val="21"/>
    </w:rPr>
  </w:style>
  <w:style w:type="character" w:customStyle="1" w:styleId="11">
    <w:name w:val="页脚 字符"/>
    <w:basedOn w:val="8"/>
    <w:link w:val="4"/>
    <w:qFormat/>
    <w:uiPriority w:val="99"/>
    <w:rPr>
      <w:sz w:val="18"/>
      <w:szCs w:val="18"/>
    </w:rPr>
  </w:style>
  <w:style w:type="paragraph" w:customStyle="1" w:styleId="12">
    <w:name w:val="Footer Right"/>
    <w:basedOn w:val="4"/>
    <w:qFormat/>
    <w:uiPriority w:val="0"/>
    <w:pPr>
      <w:widowControl/>
      <w:tabs>
        <w:tab w:val="clear" w:pos="4153"/>
        <w:tab w:val="clear" w:pos="8306"/>
      </w:tabs>
      <w:snapToGrid/>
      <w:jc w:val="right"/>
    </w:pPr>
    <w:rPr>
      <w:rFonts w:ascii="Times New Roman" w:hAnsi="Times New Roman" w:eastAsia="宋体" w:cs="Times New Roman"/>
      <w:kern w:val="0"/>
      <w:sz w:val="16"/>
      <w:szCs w:val="16"/>
      <w:lang w:val="en-GB" w:bidi="he-IL"/>
    </w:rPr>
  </w:style>
  <w:style w:type="paragraph" w:customStyle="1" w:styleId="1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页眉 字符"/>
    <w:basedOn w:val="8"/>
    <w:link w:val="5"/>
    <w:qFormat/>
    <w:uiPriority w:val="99"/>
    <w:rPr>
      <w:sz w:val="18"/>
      <w:szCs w:val="18"/>
    </w:rPr>
  </w:style>
  <w:style w:type="character" w:customStyle="1" w:styleId="15">
    <w:name w:val="批注文字 字符"/>
    <w:basedOn w:val="8"/>
    <w:link w:val="2"/>
    <w:semiHidden/>
    <w:qFormat/>
    <w:uiPriority w:val="99"/>
  </w:style>
  <w:style w:type="character" w:customStyle="1" w:styleId="16">
    <w:name w:val="批注主题 字符"/>
    <w:basedOn w:val="15"/>
    <w:link w:val="6"/>
    <w:semiHidden/>
    <w:qFormat/>
    <w:uiPriority w:val="99"/>
    <w:rPr>
      <w:b/>
      <w:bCs/>
    </w:rPr>
  </w:style>
  <w:style w:type="character" w:customStyle="1" w:styleId="17">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119</Words>
  <Characters>683</Characters>
  <Lines>5</Lines>
  <Paragraphs>1</Paragraphs>
  <TotalTime>4</TotalTime>
  <ScaleCrop>false</ScaleCrop>
  <LinksUpToDate>false</LinksUpToDate>
  <CharactersWithSpaces>801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2023-03-17T07:35:00Z</dcterms:created>
  <dc:creator>Jingya Tang (CCM)</dc:creator>
  <cp:lastModifiedBy>scjgj</cp:lastModifiedBy>
  <dcterms:modified xsi:type="dcterms:W3CDTF">2023-03-17T15:30:32Z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