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D50" w:rsidRPr="000F07A0" w:rsidRDefault="00336D50" w:rsidP="00336D50">
      <w:pPr>
        <w:jc w:val="center"/>
        <w:rPr>
          <w:rFonts w:eastAsia="黑体"/>
          <w:bCs/>
          <w:sz w:val="36"/>
          <w:szCs w:val="36"/>
        </w:rPr>
      </w:pPr>
      <w:bookmarkStart w:id="0" w:name="_GoBack"/>
      <w:bookmarkEnd w:id="0"/>
      <w:r w:rsidRPr="000F07A0">
        <w:rPr>
          <w:rFonts w:eastAsia="黑体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336D50" w:rsidRPr="000F07A0" w:rsidTr="006108D2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:rsidR="00336D50" w:rsidRPr="000F07A0" w:rsidRDefault="00336D50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/>
              </w:rPr>
            </w:pPr>
            <w:r w:rsidRPr="000F07A0">
              <w:rPr>
                <w:rFonts w:cs="Times New Roman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:rsidR="00336D50" w:rsidRPr="000F07A0" w:rsidRDefault="00336D50" w:rsidP="006108D2"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 w:rsidRPr="000F07A0">
              <w:rPr>
                <w:bCs/>
                <w:color w:val="000000"/>
                <w:lang w:val="en-US"/>
              </w:rPr>
              <w:t>太原钢铁（集团）有限公司收购巴哈多比镍冶炼印尼有限公司股权案</w:t>
            </w:r>
          </w:p>
        </w:tc>
      </w:tr>
      <w:tr w:rsidR="00336D50" w:rsidRPr="000F07A0" w:rsidTr="006108D2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:rsidR="00336D50" w:rsidRPr="000F07A0" w:rsidRDefault="00336D50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0F07A0">
              <w:rPr>
                <w:rFonts w:cs="Times New Roman"/>
                <w:bCs/>
                <w:color w:val="000000"/>
                <w:lang w:eastAsia="zh-CN"/>
              </w:rPr>
              <w:t>交易概况（限</w:t>
            </w:r>
            <w:r w:rsidRPr="000F07A0">
              <w:rPr>
                <w:rFonts w:cs="Times New Roman"/>
                <w:bCs/>
                <w:color w:val="000000"/>
                <w:lang w:eastAsia="zh-CN"/>
              </w:rPr>
              <w:t>200</w:t>
            </w:r>
            <w:r w:rsidRPr="000F07A0">
              <w:rPr>
                <w:rFonts w:cs="Times New Roman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:rsidR="00336D50" w:rsidRPr="000F07A0" w:rsidRDefault="00336D50" w:rsidP="00DE01EA"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 w:rsidRPr="000F07A0">
              <w:rPr>
                <w:lang w:val="en-US"/>
              </w:rPr>
              <w:t>本次交易涉及</w:t>
            </w:r>
            <w:r w:rsidRPr="000F07A0">
              <w:rPr>
                <w:bCs/>
                <w:color w:val="000000"/>
                <w:lang w:val="en-US"/>
              </w:rPr>
              <w:t>太原钢铁（集团）有限公司（</w:t>
            </w:r>
            <w:r w:rsidRPr="000F07A0">
              <w:rPr>
                <w:bCs/>
                <w:color w:val="000000"/>
                <w:lang w:val="en-US"/>
              </w:rPr>
              <w:t>“</w:t>
            </w:r>
            <w:r w:rsidRPr="000F07A0">
              <w:rPr>
                <w:b/>
                <w:lang w:val="en-US"/>
              </w:rPr>
              <w:t>太钢</w:t>
            </w:r>
            <w:r w:rsidRPr="000F07A0">
              <w:rPr>
                <w:bCs/>
                <w:color w:val="000000"/>
                <w:lang w:val="en-US"/>
              </w:rPr>
              <w:t>”</w:t>
            </w:r>
            <w:r w:rsidRPr="000F07A0">
              <w:rPr>
                <w:bCs/>
                <w:color w:val="000000"/>
                <w:lang w:val="en-US"/>
              </w:rPr>
              <w:t>）</w:t>
            </w:r>
            <w:r w:rsidRPr="000F07A0">
              <w:rPr>
                <w:lang w:val="en-US"/>
              </w:rPr>
              <w:t>通过一家由其控制的特殊目的公司收购</w:t>
            </w:r>
            <w:r w:rsidRPr="000F07A0">
              <w:rPr>
                <w:bCs/>
                <w:color w:val="000000"/>
                <w:lang w:val="en-US"/>
              </w:rPr>
              <w:t>巴哈多比镍冶炼印尼有限公司（</w:t>
            </w:r>
            <w:r w:rsidRPr="000F07A0">
              <w:rPr>
                <w:bCs/>
                <w:color w:val="000000"/>
                <w:lang w:val="en-US"/>
              </w:rPr>
              <w:t>“</w:t>
            </w:r>
            <w:r w:rsidRPr="000F07A0">
              <w:rPr>
                <w:b/>
                <w:lang w:val="en-US"/>
              </w:rPr>
              <w:t>目标公司</w:t>
            </w:r>
            <w:r w:rsidRPr="000F07A0">
              <w:rPr>
                <w:bCs/>
                <w:color w:val="000000"/>
                <w:lang w:val="en-US"/>
              </w:rPr>
              <w:t>”</w:t>
            </w:r>
            <w:r w:rsidRPr="000F07A0">
              <w:rPr>
                <w:bCs/>
                <w:color w:val="000000"/>
                <w:lang w:val="en-US"/>
              </w:rPr>
              <w:t>）</w:t>
            </w:r>
            <w:r w:rsidRPr="000F07A0">
              <w:rPr>
                <w:lang w:val="en-US"/>
              </w:rPr>
              <w:t>51%</w:t>
            </w:r>
            <w:r w:rsidRPr="000F07A0">
              <w:rPr>
                <w:lang w:val="en-US"/>
              </w:rPr>
              <w:t>的股权。目标公司主要从事镍铁的生产和销售业务。交易前，淡水河谷印尼有限公司（</w:t>
            </w:r>
            <w:r w:rsidRPr="000F07A0">
              <w:rPr>
                <w:lang w:val="en-US"/>
              </w:rPr>
              <w:t>“</w:t>
            </w:r>
            <w:r w:rsidRPr="000F07A0">
              <w:rPr>
                <w:b/>
                <w:lang w:val="en-US"/>
              </w:rPr>
              <w:t>PTVI</w:t>
            </w:r>
            <w:r w:rsidRPr="000F07A0">
              <w:rPr>
                <w:lang w:val="en-US"/>
              </w:rPr>
              <w:t>”</w:t>
            </w:r>
            <w:r w:rsidRPr="000F07A0">
              <w:rPr>
                <w:lang w:val="en-US"/>
              </w:rPr>
              <w:t>）持有目标公司</w:t>
            </w:r>
            <w:r w:rsidR="00DE01EA">
              <w:rPr>
                <w:lang w:val="en-US"/>
              </w:rPr>
              <w:t>100</w:t>
            </w:r>
            <w:r w:rsidRPr="000F07A0">
              <w:rPr>
                <w:lang w:val="en-US"/>
              </w:rPr>
              <w:t>%</w:t>
            </w:r>
            <w:r w:rsidRPr="000F07A0">
              <w:rPr>
                <w:lang w:val="en-US"/>
              </w:rPr>
              <w:t>的股</w:t>
            </w:r>
            <w:r w:rsidR="00DE01EA">
              <w:rPr>
                <w:rFonts w:hint="eastAsia"/>
                <w:lang w:val="en-US"/>
              </w:rPr>
              <w:t>权</w:t>
            </w:r>
            <w:r w:rsidRPr="000F07A0">
              <w:rPr>
                <w:lang w:val="en-US"/>
              </w:rPr>
              <w:t>，单独控制</w:t>
            </w:r>
            <w:r w:rsidR="000F07A0" w:rsidRPr="000F07A0">
              <w:rPr>
                <w:lang w:val="en-US"/>
              </w:rPr>
              <w:t>目标公司。交易后，太钢（通过特殊目的公司）持有目标公司</w:t>
            </w:r>
            <w:r w:rsidR="000F07A0" w:rsidRPr="000F07A0">
              <w:rPr>
                <w:lang w:val="en-US"/>
              </w:rPr>
              <w:t>51%</w:t>
            </w:r>
            <w:r w:rsidR="000F07A0" w:rsidRPr="000F07A0">
              <w:rPr>
                <w:lang w:val="en-US"/>
              </w:rPr>
              <w:t>的股</w:t>
            </w:r>
            <w:r w:rsidR="00DE01EA">
              <w:rPr>
                <w:rFonts w:hint="eastAsia"/>
                <w:lang w:val="en-US"/>
              </w:rPr>
              <w:t>权</w:t>
            </w:r>
            <w:r w:rsidR="000F07A0" w:rsidRPr="000F07A0">
              <w:rPr>
                <w:lang w:val="en-US"/>
              </w:rPr>
              <w:t>，和</w:t>
            </w:r>
            <w:r w:rsidR="000F07A0" w:rsidRPr="000F07A0">
              <w:rPr>
                <w:lang w:val="en-US"/>
              </w:rPr>
              <w:t>PTVI</w:t>
            </w:r>
            <w:r w:rsidR="000F07A0" w:rsidRPr="000F07A0">
              <w:rPr>
                <w:lang w:val="en-US"/>
              </w:rPr>
              <w:t>将共同控制目标公司。</w:t>
            </w:r>
          </w:p>
        </w:tc>
      </w:tr>
      <w:tr w:rsidR="00336D50" w:rsidRPr="000F07A0" w:rsidTr="006108D2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:rsidR="00336D50" w:rsidRPr="000F07A0" w:rsidRDefault="00336D50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0F07A0">
              <w:rPr>
                <w:rFonts w:cs="Times New Roman"/>
                <w:bCs/>
                <w:color w:val="000000"/>
                <w:lang w:eastAsia="zh-CN"/>
              </w:rPr>
              <w:t>参与集中的经营者简介（每个限</w:t>
            </w:r>
            <w:r w:rsidRPr="000F07A0">
              <w:rPr>
                <w:rFonts w:cs="Times New Roman"/>
                <w:bCs/>
                <w:color w:val="000000"/>
                <w:lang w:val="en-US" w:eastAsia="zh-CN"/>
              </w:rPr>
              <w:t>100</w:t>
            </w:r>
            <w:r w:rsidRPr="000F07A0">
              <w:rPr>
                <w:rFonts w:cs="Times New Roman"/>
                <w:bCs/>
                <w:color w:val="000000"/>
                <w:lang w:val="en-US" w:eastAsia="zh-CN"/>
              </w:rPr>
              <w:t>字以内</w:t>
            </w:r>
            <w:r w:rsidRPr="000F07A0">
              <w:rPr>
                <w:rFonts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:rsidR="00336D50" w:rsidRPr="000F07A0" w:rsidRDefault="00336D50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0F07A0">
              <w:rPr>
                <w:rFonts w:cs="Times New Roman"/>
                <w:bCs/>
                <w:color w:val="000000"/>
                <w:lang w:val="en-US" w:eastAsia="zh-CN"/>
              </w:rPr>
              <w:t>1.</w:t>
            </w:r>
            <w:r w:rsidR="000F07A0" w:rsidRPr="000F07A0">
              <w:rPr>
                <w:rFonts w:cs="Times New Roman"/>
              </w:rPr>
              <w:t xml:space="preserve"> </w:t>
            </w:r>
            <w:r w:rsidR="000F07A0" w:rsidRPr="000F07A0">
              <w:rPr>
                <w:rFonts w:cs="Times New Roman"/>
                <w:bCs/>
                <w:color w:val="000000"/>
                <w:lang w:eastAsia="zh-CN"/>
              </w:rPr>
              <w:t>太钢</w:t>
            </w:r>
          </w:p>
        </w:tc>
        <w:tc>
          <w:tcPr>
            <w:tcW w:w="6093" w:type="dxa"/>
            <w:vAlign w:val="center"/>
          </w:tcPr>
          <w:p w:rsidR="00E9519F" w:rsidRDefault="000F07A0" w:rsidP="006108D2"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太钢于</w:t>
            </w:r>
            <w:r w:rsidRPr="000F07A0">
              <w:rPr>
                <w:lang w:val="en-US"/>
              </w:rPr>
              <w:t>1997</w:t>
            </w:r>
            <w:r w:rsidRPr="000F07A0">
              <w:rPr>
                <w:lang w:val="en-US"/>
              </w:rPr>
              <w:t>年</w:t>
            </w:r>
            <w:r w:rsidRPr="000F07A0">
              <w:rPr>
                <w:lang w:val="en-US"/>
              </w:rPr>
              <w:t>12</w:t>
            </w:r>
            <w:r w:rsidRPr="000F07A0">
              <w:rPr>
                <w:lang w:val="en-US"/>
              </w:rPr>
              <w:t>月</w:t>
            </w:r>
            <w:r w:rsidRPr="000F07A0">
              <w:rPr>
                <w:lang w:val="en-US"/>
              </w:rPr>
              <w:t>5</w:t>
            </w:r>
            <w:r w:rsidRPr="000F07A0">
              <w:rPr>
                <w:lang w:val="en-US"/>
              </w:rPr>
              <w:t>日</w:t>
            </w:r>
            <w:r>
              <w:rPr>
                <w:rFonts w:hint="eastAsia"/>
                <w:lang w:val="en-US"/>
              </w:rPr>
              <w:t>成立于山西省</w:t>
            </w:r>
            <w:r w:rsidR="000B3C77">
              <w:rPr>
                <w:rFonts w:hint="eastAsia"/>
                <w:lang w:val="en-US"/>
              </w:rPr>
              <w:t>太原市</w:t>
            </w:r>
            <w:r>
              <w:rPr>
                <w:rFonts w:hint="eastAsia"/>
                <w:lang w:val="en-US"/>
              </w:rPr>
              <w:t>，</w:t>
            </w:r>
            <w:r w:rsidR="00E9519F">
              <w:rPr>
                <w:rFonts w:hint="eastAsia"/>
                <w:lang w:val="en-US"/>
              </w:rPr>
              <w:t>主要业务为</w:t>
            </w:r>
            <w:r w:rsidR="00E9519F" w:rsidRPr="00E9519F">
              <w:rPr>
                <w:rFonts w:hint="eastAsia"/>
                <w:lang w:val="en-US"/>
              </w:rPr>
              <w:t>钢铁产品的生产与销售</w:t>
            </w:r>
            <w:r w:rsidR="00E9519F">
              <w:rPr>
                <w:rFonts w:hint="eastAsia"/>
                <w:lang w:val="en-US"/>
              </w:rPr>
              <w:t>。</w:t>
            </w:r>
          </w:p>
          <w:p w:rsidR="00336D50" w:rsidRPr="00E9519F" w:rsidRDefault="00E9519F" w:rsidP="00E9519F"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太钢的最终控制人为</w:t>
            </w:r>
            <w:r w:rsidRPr="00E9519F">
              <w:rPr>
                <w:rFonts w:hint="eastAsia"/>
                <w:lang w:val="en-US"/>
              </w:rPr>
              <w:t>中国宝武钢铁集团有限公司</w:t>
            </w:r>
            <w:r>
              <w:rPr>
                <w:rFonts w:hint="eastAsia"/>
                <w:lang w:val="en-US"/>
              </w:rPr>
              <w:t>，</w:t>
            </w:r>
            <w:r w:rsidRPr="00E9519F">
              <w:rPr>
                <w:rFonts w:hint="eastAsia"/>
                <w:lang w:val="en-US"/>
              </w:rPr>
              <w:t>主要业务包括钢铁制造业、新材料产业、智慧服务业、资源环境业、产业园区业、产业金融业等六大业务板块</w:t>
            </w:r>
            <w:r>
              <w:rPr>
                <w:rFonts w:hint="eastAsia"/>
                <w:lang w:val="en-US"/>
              </w:rPr>
              <w:t>。</w:t>
            </w:r>
          </w:p>
        </w:tc>
      </w:tr>
      <w:tr w:rsidR="00336D50" w:rsidRPr="000F07A0" w:rsidTr="006108D2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:rsidR="00336D50" w:rsidRPr="000F07A0" w:rsidRDefault="00336D50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:rsidR="00336D50" w:rsidRPr="000F07A0" w:rsidRDefault="00336D50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0F07A0">
              <w:rPr>
                <w:rFonts w:cs="Times New Roman"/>
                <w:bCs/>
                <w:color w:val="000000"/>
                <w:lang w:val="en-US" w:eastAsia="zh-CN"/>
              </w:rPr>
              <w:t>2.</w:t>
            </w:r>
            <w:r w:rsidR="000F07A0" w:rsidRPr="000F07A0">
              <w:rPr>
                <w:rFonts w:cs="Times New Roman"/>
              </w:rPr>
              <w:t xml:space="preserve"> </w:t>
            </w:r>
            <w:r w:rsidR="000F07A0" w:rsidRPr="000F07A0">
              <w:rPr>
                <w:rFonts w:cs="Times New Roman"/>
                <w:bCs/>
                <w:color w:val="000000"/>
                <w:lang w:eastAsia="zh-CN"/>
              </w:rPr>
              <w:t xml:space="preserve">PTVI </w:t>
            </w:r>
          </w:p>
        </w:tc>
        <w:tc>
          <w:tcPr>
            <w:tcW w:w="6093" w:type="dxa"/>
            <w:vAlign w:val="center"/>
          </w:tcPr>
          <w:p w:rsidR="00336D50" w:rsidRPr="000F07A0" w:rsidRDefault="00AD7A2A" w:rsidP="006108D2">
            <w:pPr>
              <w:adjustRightInd w:val="0"/>
              <w:snapToGrid w:val="0"/>
              <w:spacing w:after="0"/>
            </w:pPr>
            <w:r w:rsidRPr="00AD7A2A">
              <w:rPr>
                <w:bCs/>
                <w:color w:val="000000"/>
              </w:rPr>
              <w:t>PTVI</w:t>
            </w:r>
            <w:r w:rsidR="00336D50" w:rsidRPr="000F07A0">
              <w:t>于</w:t>
            </w:r>
            <w:r>
              <w:rPr>
                <w:lang w:val="en-US"/>
              </w:rPr>
              <w:t>1968</w:t>
            </w:r>
            <w:r w:rsidR="00336D50" w:rsidRPr="000F07A0">
              <w:t>年</w:t>
            </w:r>
            <w:r>
              <w:rPr>
                <w:lang w:val="en-US"/>
              </w:rPr>
              <w:t>7</w:t>
            </w:r>
            <w:r w:rsidR="00336D50" w:rsidRPr="000F07A0">
              <w:t>月</w:t>
            </w:r>
            <w:r>
              <w:rPr>
                <w:lang w:val="en-US"/>
              </w:rPr>
              <w:t>25</w:t>
            </w:r>
            <w:r w:rsidR="00336D50" w:rsidRPr="000F07A0">
              <w:t>日成立于</w:t>
            </w:r>
            <w:r>
              <w:rPr>
                <w:rFonts w:hint="eastAsia"/>
              </w:rPr>
              <w:t>印度尼西亚</w:t>
            </w:r>
            <w:r w:rsidR="00336D50" w:rsidRPr="000F07A0">
              <w:t>，为</w:t>
            </w:r>
            <w:r w:rsidRPr="00AD7A2A">
              <w:rPr>
                <w:rFonts w:hint="eastAsia"/>
                <w:lang w:val="en-US"/>
              </w:rPr>
              <w:t>印度尼西亚证券交易所</w:t>
            </w:r>
            <w:r w:rsidR="00336D50" w:rsidRPr="000F07A0">
              <w:rPr>
                <w:lang w:val="en-US"/>
              </w:rPr>
              <w:t>上市公司，</w:t>
            </w:r>
            <w:r w:rsidR="00336D50" w:rsidRPr="000F07A0">
              <w:t>主要业务为</w:t>
            </w:r>
            <w:r w:rsidRPr="00AD7A2A">
              <w:rPr>
                <w:rFonts w:hint="eastAsia"/>
              </w:rPr>
              <w:t>镍矿开采、镍产品的生产和销售</w:t>
            </w:r>
            <w:r w:rsidR="00336D50" w:rsidRPr="000F07A0">
              <w:t>。</w:t>
            </w:r>
          </w:p>
          <w:p w:rsidR="00336D50" w:rsidRPr="000F07A0" w:rsidRDefault="00AD7A2A" w:rsidP="00AD7A2A">
            <w:pPr>
              <w:adjustRightInd w:val="0"/>
              <w:snapToGrid w:val="0"/>
              <w:spacing w:after="0"/>
              <w:rPr>
                <w:bCs/>
                <w:color w:val="000000"/>
              </w:rPr>
            </w:pPr>
            <w:r w:rsidRPr="00AD7A2A">
              <w:rPr>
                <w:bCs/>
              </w:rPr>
              <w:t>PTVI</w:t>
            </w:r>
            <w:r>
              <w:rPr>
                <w:rFonts w:hint="eastAsia"/>
                <w:bCs/>
              </w:rPr>
              <w:t>的</w:t>
            </w:r>
            <w:r w:rsidR="00336D50" w:rsidRPr="000F07A0">
              <w:t>最终控制人为</w:t>
            </w:r>
            <w:r w:rsidRPr="00AD7A2A">
              <w:rPr>
                <w:lang w:val="en-US"/>
              </w:rPr>
              <w:t>淡水河谷股份有限公司</w:t>
            </w:r>
            <w:r w:rsidR="00336D50" w:rsidRPr="000F07A0">
              <w:rPr>
                <w:lang w:val="en-US"/>
              </w:rPr>
              <w:t>，</w:t>
            </w:r>
            <w:r w:rsidRPr="00AD7A2A">
              <w:rPr>
                <w:lang w:val="en-US"/>
              </w:rPr>
              <w:t>主要业务包括采矿</w:t>
            </w:r>
            <w:r w:rsidRPr="00AD7A2A">
              <w:rPr>
                <w:rFonts w:hint="eastAsia"/>
                <w:lang w:val="en-US"/>
              </w:rPr>
              <w:t>及</w:t>
            </w:r>
            <w:r w:rsidRPr="00AD7A2A">
              <w:rPr>
                <w:lang w:val="en-US"/>
              </w:rPr>
              <w:t>相关物流。</w:t>
            </w:r>
          </w:p>
        </w:tc>
      </w:tr>
      <w:tr w:rsidR="00336D50" w:rsidRPr="000F07A0" w:rsidTr="006108D2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:rsidR="00336D50" w:rsidRPr="000F07A0" w:rsidRDefault="00336D50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0F07A0">
              <w:rPr>
                <w:rFonts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:rsidR="00336D50" w:rsidRPr="000F07A0" w:rsidRDefault="00AD7A2A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0F07A0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="00336D50" w:rsidRPr="000F07A0">
              <w:rPr>
                <w:rFonts w:cs="Times New Roman"/>
                <w:bCs/>
                <w:color w:val="000000"/>
                <w:lang w:eastAsia="zh-CN"/>
              </w:rPr>
              <w:t xml:space="preserve"> 1</w:t>
            </w:r>
            <w:r w:rsidR="00336D50" w:rsidRPr="000F07A0">
              <w:rPr>
                <w:rFonts w:cs="Times New Roman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 w:rsidR="00336D50" w:rsidRPr="000F07A0">
              <w:rPr>
                <w:rFonts w:cs="Times New Roman"/>
                <w:bCs/>
                <w:color w:val="000000"/>
                <w:lang w:eastAsia="zh-CN"/>
              </w:rPr>
              <w:t>15%</w:t>
            </w:r>
            <w:r w:rsidR="00336D50" w:rsidRPr="000F07A0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336D50" w:rsidRPr="000F07A0" w:rsidTr="006108D2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:rsidR="00336D50" w:rsidRPr="000F07A0" w:rsidRDefault="00336D50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:rsidR="00336D50" w:rsidRPr="000F07A0" w:rsidRDefault="00336D50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0F07A0"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 w:rsidRPr="000F07A0">
              <w:rPr>
                <w:rFonts w:cs="Times New Roman"/>
                <w:bCs/>
                <w:color w:val="000000"/>
                <w:lang w:eastAsia="zh-CN"/>
              </w:rPr>
              <w:t xml:space="preserve"> 2</w:t>
            </w:r>
            <w:r w:rsidRPr="000F07A0">
              <w:rPr>
                <w:rFonts w:cs="Times New Roman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 w:rsidRPr="000F07A0">
              <w:rPr>
                <w:rFonts w:cs="Times New Roman"/>
                <w:bCs/>
                <w:color w:val="000000"/>
                <w:lang w:eastAsia="zh-CN"/>
              </w:rPr>
              <w:t>25%</w:t>
            </w:r>
            <w:r w:rsidRPr="000F07A0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336D50" w:rsidRPr="000F07A0" w:rsidTr="006108D2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:rsidR="00336D50" w:rsidRPr="000F07A0" w:rsidRDefault="00336D50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:rsidR="00336D50" w:rsidRPr="000F07A0" w:rsidRDefault="00336D50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0F07A0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0F07A0">
              <w:rPr>
                <w:rFonts w:cs="Times New Roman"/>
                <w:bCs/>
                <w:color w:val="000000"/>
                <w:lang w:eastAsia="zh-CN"/>
              </w:rPr>
              <w:t xml:space="preserve">  3</w:t>
            </w:r>
            <w:r w:rsidRPr="000F07A0">
              <w:rPr>
                <w:rFonts w:cs="Times New Roman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 w:rsidRPr="000F07A0">
              <w:rPr>
                <w:rFonts w:cs="Times New Roman"/>
                <w:bCs/>
                <w:color w:val="000000"/>
                <w:lang w:eastAsia="zh-CN"/>
              </w:rPr>
              <w:t>25%</w:t>
            </w:r>
            <w:r w:rsidRPr="000F07A0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336D50" w:rsidRPr="000F07A0" w:rsidTr="006108D2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:rsidR="00336D50" w:rsidRPr="000F07A0" w:rsidRDefault="00336D50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:rsidR="00336D50" w:rsidRPr="000F07A0" w:rsidRDefault="00336D50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0F07A0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0F07A0">
              <w:rPr>
                <w:rFonts w:cs="Times New Roman"/>
                <w:bCs/>
                <w:color w:val="000000"/>
                <w:lang w:eastAsia="zh-CN"/>
              </w:rPr>
              <w:t xml:space="preserve"> 4</w:t>
            </w:r>
            <w:r w:rsidRPr="000F07A0">
              <w:rPr>
                <w:rFonts w:cs="Times New Roman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336D50" w:rsidRPr="000F07A0" w:rsidTr="006108D2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:rsidR="00336D50" w:rsidRPr="000F07A0" w:rsidRDefault="00336D50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:rsidR="00336D50" w:rsidRPr="000F07A0" w:rsidRDefault="00336D50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0F07A0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0F07A0">
              <w:rPr>
                <w:rFonts w:cs="Times New Roman"/>
                <w:bCs/>
                <w:color w:val="000000"/>
                <w:lang w:eastAsia="zh-CN"/>
              </w:rPr>
              <w:t xml:space="preserve"> 5</w:t>
            </w:r>
            <w:r w:rsidRPr="000F07A0">
              <w:rPr>
                <w:rFonts w:cs="Times New Roman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336D50" w:rsidRPr="000F07A0" w:rsidTr="006108D2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:rsidR="00336D50" w:rsidRPr="000F07A0" w:rsidRDefault="00336D50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:rsidR="00336D50" w:rsidRPr="000F07A0" w:rsidRDefault="00336D50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0F07A0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0F07A0">
              <w:rPr>
                <w:rFonts w:cs="Times New Roman"/>
                <w:bCs/>
                <w:color w:val="000000"/>
                <w:lang w:eastAsia="zh-CN"/>
              </w:rPr>
              <w:t xml:space="preserve"> 6</w:t>
            </w:r>
            <w:r w:rsidRPr="000F07A0">
              <w:rPr>
                <w:rFonts w:cs="Times New Roman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336D50" w:rsidRPr="000F07A0" w:rsidTr="006108D2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:rsidR="00336D50" w:rsidRPr="000F07A0" w:rsidRDefault="00336D50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0F07A0">
              <w:rPr>
                <w:rFonts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:rsidR="00336D50" w:rsidRPr="000F07A0" w:rsidRDefault="00336D50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lang w:eastAsia="zh-CN"/>
              </w:rPr>
            </w:pPr>
            <w:r w:rsidRPr="000F07A0">
              <w:rPr>
                <w:rFonts w:cs="Times New Roman"/>
                <w:b/>
                <w:color w:val="000000"/>
                <w:lang w:eastAsia="zh-CN"/>
              </w:rPr>
              <w:t>纵向关联：</w:t>
            </w:r>
          </w:p>
          <w:p w:rsidR="00336D50" w:rsidRPr="000F07A0" w:rsidRDefault="00336D50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0F07A0">
              <w:rPr>
                <w:rFonts w:cs="Times New Roman"/>
                <w:bCs/>
                <w:color w:val="000000"/>
                <w:lang w:eastAsia="zh-CN"/>
              </w:rPr>
              <w:t>上游：</w:t>
            </w:r>
            <w:r w:rsidR="00AD7A2A">
              <w:rPr>
                <w:rFonts w:cs="Times New Roman"/>
                <w:bCs/>
                <w:color w:val="000000"/>
                <w:lang w:val="en-US" w:eastAsia="zh-CN"/>
              </w:rPr>
              <w:t>2021</w:t>
            </w:r>
            <w:r w:rsidRPr="000F07A0">
              <w:rPr>
                <w:rFonts w:cs="Times New Roman"/>
                <w:bCs/>
                <w:color w:val="000000"/>
                <w:lang w:val="en-US" w:eastAsia="zh-CN"/>
              </w:rPr>
              <w:t>年</w:t>
            </w:r>
            <w:r w:rsidR="00AD7A2A">
              <w:rPr>
                <w:rFonts w:cs="Times New Roman" w:hint="eastAsia"/>
                <w:bCs/>
                <w:color w:val="000000"/>
                <w:lang w:eastAsia="zh-CN"/>
              </w:rPr>
              <w:t>全球</w:t>
            </w:r>
            <w:r w:rsidR="00AD7A2A">
              <w:rPr>
                <w:rFonts w:cs="Times New Roman" w:hint="eastAsia"/>
                <w:bCs/>
                <w:color w:val="000000"/>
                <w:lang w:val="en-US" w:eastAsia="zh-CN"/>
              </w:rPr>
              <w:t>镍铁</w:t>
            </w:r>
            <w:r w:rsidRPr="000F07A0">
              <w:rPr>
                <w:rFonts w:cs="Times New Roman"/>
                <w:bCs/>
                <w:color w:val="000000"/>
                <w:lang w:val="en-US" w:eastAsia="zh-CN"/>
              </w:rPr>
              <w:t>市场：</w:t>
            </w:r>
          </w:p>
          <w:p w:rsidR="00336D50" w:rsidRPr="000F07A0" w:rsidRDefault="003A0129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P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TVI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：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0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-5%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（全球）；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0-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5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%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（中国境内）</w:t>
            </w:r>
          </w:p>
          <w:p w:rsidR="00336D50" w:rsidRPr="000F07A0" w:rsidRDefault="00336D50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0F07A0">
              <w:rPr>
                <w:rFonts w:cs="Times New Roman"/>
                <w:bCs/>
                <w:color w:val="000000"/>
                <w:lang w:val="en-US" w:eastAsia="zh-CN"/>
              </w:rPr>
              <w:t>下游：</w:t>
            </w:r>
            <w:r w:rsidR="003A0129">
              <w:rPr>
                <w:rFonts w:cs="Times New Roman"/>
                <w:bCs/>
                <w:color w:val="000000"/>
                <w:lang w:val="en-US" w:eastAsia="zh-CN"/>
              </w:rPr>
              <w:t>2021</w:t>
            </w:r>
            <w:r w:rsidRPr="000F07A0">
              <w:rPr>
                <w:rFonts w:cs="Times New Roman"/>
                <w:bCs/>
                <w:color w:val="000000"/>
                <w:lang w:val="en-US" w:eastAsia="zh-CN"/>
              </w:rPr>
              <w:t>年</w:t>
            </w:r>
            <w:r w:rsidRPr="000F07A0">
              <w:rPr>
                <w:rFonts w:cs="Times New Roman"/>
                <w:bCs/>
                <w:color w:val="000000"/>
                <w:lang w:eastAsia="zh-CN"/>
              </w:rPr>
              <w:t>中国境内</w:t>
            </w:r>
            <w:r w:rsidR="003A0129">
              <w:rPr>
                <w:rFonts w:cs="Times New Roman" w:hint="eastAsia"/>
                <w:bCs/>
                <w:color w:val="000000"/>
                <w:lang w:eastAsia="zh-CN"/>
              </w:rPr>
              <w:t>不锈钢</w:t>
            </w:r>
            <w:r w:rsidRPr="000F07A0">
              <w:rPr>
                <w:rFonts w:cs="Times New Roman"/>
                <w:bCs/>
                <w:color w:val="000000"/>
                <w:lang w:val="en-US" w:eastAsia="zh-CN"/>
              </w:rPr>
              <w:t>市场：</w:t>
            </w:r>
          </w:p>
          <w:p w:rsidR="00336D50" w:rsidRPr="000F07A0" w:rsidRDefault="006B3D00" w:rsidP="006108D2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太钢</w:t>
            </w:r>
            <w:r w:rsidR="003A0129">
              <w:rPr>
                <w:rFonts w:cs="Times New Roman" w:hint="eastAsia"/>
                <w:bCs/>
                <w:color w:val="000000"/>
                <w:lang w:val="en-US" w:eastAsia="zh-CN"/>
              </w:rPr>
              <w:t>：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1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5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-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20</w:t>
            </w:r>
            <w:r>
              <w:rPr>
                <w:rFonts w:cs="Times New Roman" w:hint="eastAsia"/>
                <w:bCs/>
                <w:color w:val="000000"/>
                <w:lang w:val="en-US" w:eastAsia="zh-CN"/>
              </w:rPr>
              <w:t>%</w:t>
            </w:r>
          </w:p>
        </w:tc>
      </w:tr>
    </w:tbl>
    <w:p w:rsidR="00D95C10" w:rsidRPr="000F07A0" w:rsidRDefault="00D95C10"/>
    <w:sectPr w:rsidR="00D95C10" w:rsidRPr="000F0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40B" w:rsidRDefault="00B5740B" w:rsidP="00DE01EA">
      <w:pPr>
        <w:spacing w:after="0"/>
      </w:pPr>
      <w:r>
        <w:separator/>
      </w:r>
    </w:p>
  </w:endnote>
  <w:endnote w:type="continuationSeparator" w:id="0">
    <w:p w:rsidR="00B5740B" w:rsidRDefault="00B5740B" w:rsidP="00DE01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40B" w:rsidRDefault="00B5740B" w:rsidP="00DE01EA">
      <w:pPr>
        <w:spacing w:after="0"/>
      </w:pPr>
      <w:r>
        <w:separator/>
      </w:r>
    </w:p>
  </w:footnote>
  <w:footnote w:type="continuationSeparator" w:id="0">
    <w:p w:rsidR="00B5740B" w:rsidRDefault="00B5740B" w:rsidP="00DE01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50"/>
    <w:rsid w:val="000B3C77"/>
    <w:rsid w:val="000F07A0"/>
    <w:rsid w:val="00336D50"/>
    <w:rsid w:val="003743DF"/>
    <w:rsid w:val="003A0129"/>
    <w:rsid w:val="003F71C0"/>
    <w:rsid w:val="005D279B"/>
    <w:rsid w:val="005D6AC7"/>
    <w:rsid w:val="006B3D00"/>
    <w:rsid w:val="00AD7A2A"/>
    <w:rsid w:val="00B5740B"/>
    <w:rsid w:val="00D95C10"/>
    <w:rsid w:val="00DE01EA"/>
    <w:rsid w:val="00E9519F"/>
    <w:rsid w:val="00F02804"/>
    <w:rsid w:val="00FB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C5E7A11-78AC-4BB7-AFAA-73371864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D50"/>
    <w:pPr>
      <w:spacing w:after="240"/>
      <w:jc w:val="both"/>
    </w:pPr>
    <w:rPr>
      <w:rFonts w:ascii="Times New Roman" w:eastAsia="宋体" w:hAnsi="Times New Roman" w:cs="Times New Roman"/>
      <w:kern w:val="0"/>
      <w:sz w:val="24"/>
      <w:szCs w:val="24"/>
      <w:lang w:val="en-GB" w:bidi="ar-A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6D50"/>
    <w:rPr>
      <w:rFonts w:cs="Simplified Arabic"/>
      <w:lang w:eastAsia="en-GB"/>
    </w:rPr>
  </w:style>
  <w:style w:type="character" w:customStyle="1" w:styleId="a4">
    <w:name w:val="正文文本 字符"/>
    <w:basedOn w:val="a0"/>
    <w:link w:val="a3"/>
    <w:rsid w:val="00336D50"/>
    <w:rPr>
      <w:rFonts w:ascii="Times New Roman" w:eastAsia="宋体" w:hAnsi="Times New Roman" w:cs="Simplified Arabic"/>
      <w:kern w:val="0"/>
      <w:sz w:val="24"/>
      <w:szCs w:val="24"/>
      <w:lang w:val="en-GB" w:eastAsia="en-GB" w:bidi="ar-AE"/>
    </w:rPr>
  </w:style>
  <w:style w:type="paragraph" w:styleId="a5">
    <w:name w:val="header"/>
    <w:basedOn w:val="a"/>
    <w:link w:val="a6"/>
    <w:uiPriority w:val="99"/>
    <w:unhideWhenUsed/>
    <w:rsid w:val="00DE0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01EA"/>
    <w:rPr>
      <w:rFonts w:ascii="Times New Roman" w:eastAsia="宋体" w:hAnsi="Times New Roman" w:cs="Times New Roman"/>
      <w:kern w:val="0"/>
      <w:sz w:val="18"/>
      <w:szCs w:val="18"/>
      <w:lang w:val="en-GB" w:bidi="ar-AE"/>
    </w:rPr>
  </w:style>
  <w:style w:type="paragraph" w:styleId="a7">
    <w:name w:val="footer"/>
    <w:basedOn w:val="a"/>
    <w:link w:val="a8"/>
    <w:uiPriority w:val="99"/>
    <w:unhideWhenUsed/>
    <w:rsid w:val="00DE0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01EA"/>
    <w:rPr>
      <w:rFonts w:ascii="Times New Roman" w:eastAsia="宋体" w:hAnsi="Times New Roman" w:cs="Times New Roman"/>
      <w:kern w:val="0"/>
      <w:sz w:val="18"/>
      <w:szCs w:val="18"/>
      <w:lang w:val="en-GB" w:bidi="ar-AE"/>
    </w:rPr>
  </w:style>
  <w:style w:type="paragraph" w:styleId="a9">
    <w:name w:val="Balloon Text"/>
    <w:basedOn w:val="a"/>
    <w:link w:val="aa"/>
    <w:uiPriority w:val="99"/>
    <w:semiHidden/>
    <w:unhideWhenUsed/>
    <w:rsid w:val="00DE01EA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E01EA"/>
    <w:rPr>
      <w:rFonts w:ascii="Times New Roman" w:eastAsia="宋体" w:hAnsi="Times New Roman" w:cs="Times New Roman"/>
      <w:kern w:val="0"/>
      <w:sz w:val="18"/>
      <w:szCs w:val="18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Fangda</dc:creator>
  <cp:keywords/>
  <dc:description/>
  <cp:lastModifiedBy>Fangda</cp:lastModifiedBy>
  <cp:revision>2</cp:revision>
  <dcterms:created xsi:type="dcterms:W3CDTF">2023-01-20T05:53:00Z</dcterms:created>
  <dcterms:modified xsi:type="dcterms:W3CDTF">2023-01-27T03:08:00Z</dcterms:modified>
</cp:coreProperties>
</file>