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Cs/>
          <w:sz w:val="36"/>
          <w:szCs w:val="36"/>
        </w:rPr>
      </w:pPr>
      <w:r>
        <w:rPr>
          <w:rFonts w:eastAsia="黑体"/>
          <w:bCs/>
          <w:sz w:val="36"/>
          <w:szCs w:val="36"/>
        </w:rPr>
        <w:t>经营者集中简易案件公示表</w:t>
      </w:r>
    </w:p>
    <w:tbl>
      <w:tblPr>
        <w:tblStyle w:val="7"/>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0"/>
        <w:gridCol w:w="1607"/>
        <w:gridCol w:w="5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940"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3"/>
              <w:widowControl w:val="0"/>
              <w:autoSpaceDE w:val="0"/>
              <w:adjustRightInd w:val="0"/>
              <w:snapToGrid w:val="0"/>
              <w:spacing w:before="0" w:beforeAutospacing="0" w:after="0"/>
              <w:rPr>
                <w:rFonts w:cs="Times New Roman"/>
                <w:bCs/>
                <w:color w:val="000000"/>
              </w:rPr>
            </w:pPr>
            <w:r>
              <w:rPr>
                <w:rFonts w:cs="Times New Roman"/>
                <w:bCs/>
                <w:color w:val="000000"/>
              </w:rPr>
              <w:t>案件名称</w:t>
            </w:r>
          </w:p>
        </w:tc>
        <w:tc>
          <w:tcPr>
            <w:tcW w:w="7162" w:type="dxa"/>
            <w:gridSpan w:val="2"/>
            <w:tcBorders>
              <w:top w:val="single" w:color="auto" w:sz="4" w:space="0"/>
              <w:left w:val="single" w:color="auto" w:sz="4" w:space="0"/>
              <w:bottom w:val="single" w:color="auto" w:sz="4" w:space="0"/>
              <w:right w:val="single" w:color="auto" w:sz="4" w:space="0"/>
            </w:tcBorders>
            <w:vAlign w:val="center"/>
          </w:tcPr>
          <w:p>
            <w:pPr>
              <w:widowControl w:val="0"/>
              <w:autoSpaceDE w:val="0"/>
              <w:adjustRightInd w:val="0"/>
              <w:snapToGrid w:val="0"/>
              <w:spacing w:before="0" w:beforeAutospacing="0" w:after="0"/>
              <w:rPr>
                <w:bCs/>
                <w:color w:val="000000"/>
              </w:rPr>
            </w:pPr>
            <w:r>
              <w:rPr>
                <w:rFonts w:hint="eastAsia"/>
                <w:szCs w:val="21"/>
              </w:rPr>
              <w:t>中煤电力有限公司</w:t>
            </w:r>
            <w:r>
              <w:rPr>
                <w:szCs w:val="21"/>
              </w:rPr>
              <w:t>收购</w:t>
            </w:r>
            <w:r>
              <w:rPr>
                <w:rFonts w:hint="eastAsia"/>
                <w:szCs w:val="21"/>
              </w:rPr>
              <w:t>中电广西防城港电力有限公司</w:t>
            </w:r>
            <w:r>
              <w:rPr>
                <w:szCs w:val="21"/>
              </w:rPr>
              <w:t>股权案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940"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3"/>
              <w:widowControl w:val="0"/>
              <w:autoSpaceDE w:val="0"/>
              <w:adjustRightInd w:val="0"/>
              <w:snapToGrid w:val="0"/>
              <w:spacing w:before="0" w:beforeAutospacing="0" w:after="0"/>
              <w:rPr>
                <w:rFonts w:cs="Times New Roman"/>
                <w:bCs/>
                <w:color w:val="000000"/>
              </w:rPr>
            </w:pPr>
            <w:r>
              <w:rPr>
                <w:rFonts w:cs="Times New Roman"/>
                <w:bCs/>
                <w:color w:val="000000"/>
              </w:rPr>
              <w:t>交易概况（限200字内）</w:t>
            </w:r>
          </w:p>
        </w:tc>
        <w:tc>
          <w:tcPr>
            <w:tcW w:w="7162"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rPr>
                <w:szCs w:val="21"/>
              </w:rPr>
            </w:pPr>
            <w:r>
              <w:rPr>
                <w:rFonts w:hint="eastAsia"/>
                <w:bCs/>
                <w:color w:val="000000"/>
              </w:rPr>
              <w:t>2</w:t>
            </w:r>
            <w:r>
              <w:rPr>
                <w:rFonts w:hint="eastAsia"/>
                <w:szCs w:val="21"/>
              </w:rPr>
              <w:t>022年9月</w:t>
            </w:r>
            <w:r>
              <w:rPr>
                <w:rFonts w:hint="eastAsia"/>
                <w:szCs w:val="21"/>
                <w:lang w:val="en-US" w:eastAsia="zh-CN"/>
              </w:rPr>
              <w:t>19日</w:t>
            </w:r>
            <w:bookmarkStart w:id="0" w:name="_GoBack"/>
            <w:bookmarkEnd w:id="0"/>
            <w:r>
              <w:rPr>
                <w:rFonts w:hint="eastAsia"/>
                <w:szCs w:val="21"/>
              </w:rPr>
              <w:t>，中煤电力有限公司</w:t>
            </w:r>
            <w:r>
              <w:rPr>
                <w:rFonts w:hint="eastAsia"/>
                <w:b/>
                <w:bCs/>
                <w:szCs w:val="21"/>
              </w:rPr>
              <w:t>（以下简称中煤电力）</w:t>
            </w:r>
            <w:r>
              <w:rPr>
                <w:rFonts w:hint="eastAsia"/>
                <w:szCs w:val="21"/>
              </w:rPr>
              <w:t>与中华电力（中国）有限公司</w:t>
            </w:r>
            <w:r>
              <w:rPr>
                <w:rFonts w:hint="eastAsia"/>
                <w:b/>
                <w:bCs/>
                <w:szCs w:val="21"/>
              </w:rPr>
              <w:t>（以下简称中华电力）</w:t>
            </w:r>
            <w:r>
              <w:rPr>
                <w:rFonts w:hint="eastAsia"/>
                <w:szCs w:val="21"/>
              </w:rPr>
              <w:t>签署了《中华电力（中国）有限公司与中煤电力有限公司协商备忘录》，约定由中煤电力收购中华电力下属的中电投资有限公司、中电中国（北京）有限公司、中华电力中国发展有限公司合计持有的中电广西防城港电力有限公司</w:t>
            </w:r>
            <w:r>
              <w:rPr>
                <w:rFonts w:hint="eastAsia"/>
                <w:b/>
                <w:bCs/>
                <w:szCs w:val="21"/>
              </w:rPr>
              <w:t>（以下简称中电广西）</w:t>
            </w:r>
            <w:r>
              <w:rPr>
                <w:rFonts w:hint="eastAsia"/>
                <w:szCs w:val="21"/>
              </w:rPr>
              <w:t>70%的股权。</w:t>
            </w:r>
          </w:p>
          <w:p>
            <w:pPr>
              <w:snapToGrid w:val="0"/>
              <w:spacing w:before="0" w:beforeAutospacing="0" w:after="0"/>
              <w:rPr>
                <w:bCs/>
                <w:color w:val="000000"/>
              </w:rPr>
            </w:pPr>
            <w:r>
              <w:rPr>
                <w:rFonts w:hint="eastAsia"/>
                <w:szCs w:val="21"/>
              </w:rPr>
              <w:t>本次交易前，中电广西由中华电力单独控制；本次交易后，中煤电力持有中电广西7</w:t>
            </w:r>
            <w:r>
              <w:rPr>
                <w:szCs w:val="21"/>
              </w:rPr>
              <w:t>0</w:t>
            </w:r>
            <w:r>
              <w:rPr>
                <w:rFonts w:hint="eastAsia"/>
                <w:szCs w:val="21"/>
              </w:rPr>
              <w:t>%股权，单独控制中电广西。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940" w:type="dxa"/>
            <w:vMerge w:val="restart"/>
            <w:tcBorders>
              <w:top w:val="nil"/>
              <w:left w:val="single" w:color="auto" w:sz="4" w:space="0"/>
              <w:bottom w:val="single" w:color="auto" w:sz="4" w:space="0"/>
              <w:right w:val="single" w:color="auto" w:sz="4" w:space="0"/>
            </w:tcBorders>
            <w:shd w:val="clear" w:color="auto" w:fill="D9D9D9"/>
            <w:vAlign w:val="center"/>
          </w:tcPr>
          <w:p>
            <w:pPr>
              <w:pStyle w:val="3"/>
              <w:widowControl w:val="0"/>
              <w:autoSpaceDE w:val="0"/>
              <w:adjustRightInd w:val="0"/>
              <w:snapToGrid w:val="0"/>
              <w:spacing w:before="0" w:beforeAutospacing="0" w:after="0"/>
              <w:rPr>
                <w:rFonts w:cs="Times New Roman"/>
                <w:bCs/>
                <w:color w:val="000000"/>
              </w:rPr>
            </w:pPr>
            <w:r>
              <w:rPr>
                <w:rFonts w:cs="Times New Roman"/>
                <w:bCs/>
                <w:color w:val="000000"/>
              </w:rPr>
              <w:t>参与集中的经营者简介</w:t>
            </w:r>
          </w:p>
        </w:tc>
        <w:tc>
          <w:tcPr>
            <w:tcW w:w="1607" w:type="dxa"/>
            <w:tcBorders>
              <w:top w:val="single" w:color="auto" w:sz="4" w:space="0"/>
              <w:left w:val="single" w:color="auto" w:sz="4" w:space="0"/>
              <w:bottom w:val="single" w:color="auto" w:sz="4" w:space="0"/>
              <w:right w:val="single" w:color="auto" w:sz="4" w:space="0"/>
            </w:tcBorders>
            <w:vAlign w:val="center"/>
          </w:tcPr>
          <w:p>
            <w:pPr>
              <w:pStyle w:val="3"/>
              <w:widowControl w:val="0"/>
              <w:autoSpaceDE w:val="0"/>
              <w:adjustRightInd w:val="0"/>
              <w:snapToGrid w:val="0"/>
              <w:spacing w:before="0" w:beforeAutospacing="0" w:after="0"/>
              <w:rPr>
                <w:rFonts w:cs="Times New Roman"/>
                <w:bCs/>
                <w:color w:val="000000"/>
              </w:rPr>
            </w:pPr>
            <w:r>
              <w:rPr>
                <w:rFonts w:cs="Times New Roman"/>
                <w:bCs/>
                <w:color w:val="000000"/>
              </w:rPr>
              <w:t>1.</w:t>
            </w:r>
            <w:r>
              <w:rPr>
                <w:rFonts w:cs="Times New Roman"/>
                <w:color w:val="000000" w:themeColor="text1"/>
                <w:lang w:eastAsia="zh-Hans"/>
                <w14:textFill>
                  <w14:solidFill>
                    <w14:schemeClr w14:val="tx1"/>
                  </w14:solidFill>
                </w14:textFill>
              </w:rPr>
              <w:t xml:space="preserve"> 中煤电力</w:t>
            </w:r>
          </w:p>
        </w:tc>
        <w:tc>
          <w:tcPr>
            <w:tcW w:w="5555"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rPr>
                <w:szCs w:val="21"/>
              </w:rPr>
            </w:pPr>
            <w:r>
              <w:rPr>
                <w:rFonts w:hint="eastAsia"/>
                <w:szCs w:val="21"/>
              </w:rPr>
              <w:t>中煤电力于2020年1月21日成立于北京市，公司主要从事火电发电、新能源、综合能源及其它能源项目的投资与管理业务。</w:t>
            </w:r>
          </w:p>
          <w:p>
            <w:pPr>
              <w:snapToGrid w:val="0"/>
              <w:spacing w:before="0" w:beforeAutospacing="0" w:after="0"/>
              <w:rPr>
                <w:bCs/>
                <w:color w:val="000000"/>
              </w:rPr>
            </w:pPr>
            <w:r>
              <w:rPr>
                <w:szCs w:val="21"/>
              </w:rPr>
              <w:t>中煤电力的最终控制人是</w:t>
            </w:r>
            <w:r>
              <w:rPr>
                <w:rFonts w:hint="eastAsia"/>
                <w:szCs w:val="21"/>
              </w:rPr>
              <w:t>中国中煤能源集团有限公司，主要从事煤炭生产与销售、煤化工、火力发电等业务。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40" w:type="dxa"/>
            <w:vMerge w:val="continue"/>
            <w:tcBorders>
              <w:top w:val="nil"/>
              <w:left w:val="single" w:color="auto" w:sz="4" w:space="0"/>
              <w:bottom w:val="single" w:color="auto" w:sz="4" w:space="0"/>
              <w:right w:val="single" w:color="auto" w:sz="4" w:space="0"/>
            </w:tcBorders>
            <w:vAlign w:val="center"/>
          </w:tcPr>
          <w:p>
            <w:pPr>
              <w:spacing w:before="0" w:beforeAutospacing="0" w:after="0"/>
              <w:jc w:val="left"/>
              <w:rPr>
                <w:bCs/>
                <w:color w:val="000000"/>
              </w:rPr>
            </w:pPr>
          </w:p>
        </w:tc>
        <w:tc>
          <w:tcPr>
            <w:tcW w:w="1607" w:type="dxa"/>
            <w:tcBorders>
              <w:top w:val="single" w:color="auto" w:sz="4" w:space="0"/>
              <w:left w:val="single" w:color="auto" w:sz="4" w:space="0"/>
              <w:bottom w:val="single" w:color="auto" w:sz="4" w:space="0"/>
              <w:right w:val="single" w:color="auto" w:sz="4" w:space="0"/>
            </w:tcBorders>
            <w:vAlign w:val="center"/>
          </w:tcPr>
          <w:p>
            <w:pPr>
              <w:pStyle w:val="3"/>
              <w:widowControl w:val="0"/>
              <w:autoSpaceDE w:val="0"/>
              <w:adjustRightInd w:val="0"/>
              <w:snapToGrid w:val="0"/>
              <w:spacing w:before="0" w:beforeAutospacing="0" w:after="0"/>
              <w:rPr>
                <w:rFonts w:cs="Times New Roman"/>
                <w:bCs/>
                <w:color w:val="000000"/>
              </w:rPr>
            </w:pPr>
            <w:r>
              <w:rPr>
                <w:rFonts w:cs="Times New Roman"/>
                <w:bCs/>
                <w:color w:val="000000"/>
              </w:rPr>
              <w:t>2.</w:t>
            </w:r>
            <w:r>
              <w:rPr>
                <w:rFonts w:cs="Times New Roman"/>
                <w:color w:val="000000" w:themeColor="text1"/>
                <w:lang w:eastAsia="zh-Hans"/>
                <w14:textFill>
                  <w14:solidFill>
                    <w14:schemeClr w14:val="tx1"/>
                  </w14:solidFill>
                </w14:textFill>
              </w:rPr>
              <w:t xml:space="preserve"> 中电广西</w:t>
            </w:r>
          </w:p>
        </w:tc>
        <w:tc>
          <w:tcPr>
            <w:tcW w:w="5555"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rPr>
                <w:szCs w:val="21"/>
              </w:rPr>
            </w:pPr>
            <w:r>
              <w:rPr>
                <w:szCs w:val="21"/>
              </w:rPr>
              <w:t>中电广西</w:t>
            </w:r>
            <w:r>
              <w:rPr>
                <w:rFonts w:hint="eastAsia"/>
                <w:szCs w:val="21"/>
              </w:rPr>
              <w:t>于2005年5月29日成立于广西壮族自治区防城港市，主要从事火力发电业务。</w:t>
            </w:r>
          </w:p>
          <w:p>
            <w:pPr>
              <w:snapToGrid w:val="0"/>
              <w:spacing w:before="0" w:beforeAutospacing="0" w:after="0"/>
              <w:rPr>
                <w:szCs w:val="21"/>
              </w:rPr>
            </w:pPr>
            <w:r>
              <w:rPr>
                <w:bCs/>
                <w:color w:val="000000"/>
              </w:rPr>
              <w:t>中电广西的最终控制人是</w:t>
            </w:r>
            <w:r>
              <w:rPr>
                <w:rFonts w:hint="eastAsia"/>
                <w:bCs/>
                <w:color w:val="000000"/>
              </w:rPr>
              <w:t>英国籍自然人，主要从事火力发电、可再生能源发电等业务。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940" w:type="dxa"/>
            <w:vMerge w:val="restart"/>
            <w:tcBorders>
              <w:top w:val="nil"/>
              <w:left w:val="single" w:color="auto" w:sz="4" w:space="0"/>
              <w:bottom w:val="single" w:color="auto" w:sz="4" w:space="0"/>
              <w:right w:val="single" w:color="auto" w:sz="4" w:space="0"/>
            </w:tcBorders>
            <w:shd w:val="clear" w:color="auto" w:fill="D9D9D9"/>
            <w:vAlign w:val="center"/>
          </w:tcPr>
          <w:p>
            <w:pPr>
              <w:pStyle w:val="3"/>
              <w:widowControl w:val="0"/>
              <w:autoSpaceDE w:val="0"/>
              <w:adjustRightInd w:val="0"/>
              <w:snapToGrid w:val="0"/>
              <w:spacing w:before="0" w:beforeAutospacing="0" w:after="0"/>
              <w:rPr>
                <w:rFonts w:cs="Times New Roman"/>
                <w:bCs/>
                <w:color w:val="000000"/>
              </w:rPr>
            </w:pPr>
            <w:r>
              <w:rPr>
                <w:rFonts w:cs="Times New Roman"/>
                <w:bCs/>
                <w:color w:val="000000"/>
              </w:rPr>
              <w:t>简易案件理由（可以单选，也可以多选）</w:t>
            </w:r>
          </w:p>
        </w:tc>
        <w:tc>
          <w:tcPr>
            <w:tcW w:w="7162" w:type="dxa"/>
            <w:gridSpan w:val="2"/>
            <w:tcBorders>
              <w:top w:val="single" w:color="auto" w:sz="4" w:space="0"/>
              <w:left w:val="single" w:color="auto" w:sz="4" w:space="0"/>
              <w:bottom w:val="single" w:color="auto" w:sz="4" w:space="0"/>
              <w:right w:val="single" w:color="auto" w:sz="4" w:space="0"/>
            </w:tcBorders>
            <w:vAlign w:val="center"/>
          </w:tcPr>
          <w:p>
            <w:pPr>
              <w:pStyle w:val="3"/>
              <w:widowControl w:val="0"/>
              <w:autoSpaceDE w:val="0"/>
              <w:adjustRightInd w:val="0"/>
              <w:spacing w:before="0" w:beforeAutospacing="0" w:after="0"/>
              <w:rPr>
                <w:rFonts w:cs="Times New Roman"/>
                <w:bCs/>
                <w:color w:val="000000"/>
              </w:rPr>
            </w:pPr>
            <w:r>
              <w:rPr>
                <w:rFonts w:cs="Times New Roman"/>
                <w:lang w:val="en-GB"/>
              </w:rPr>
              <w:sym w:font="Wingdings" w:char="00FE"/>
            </w:r>
            <w:r>
              <w:rPr>
                <w:rFonts w:cs="Times New Roman"/>
                <w:lang w:val="en-GB"/>
              </w:rPr>
              <w:t xml:space="preserve"> </w:t>
            </w:r>
            <w:r>
              <w:rPr>
                <w:rFonts w:cs="Times New Roman"/>
                <w:bCs/>
                <w:color w:val="000000"/>
              </w:rPr>
              <w:t>1、在同一相关市场，所有参与集中的经营者所占市场份额之和小于15%。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940" w:type="dxa"/>
            <w:vMerge w:val="continue"/>
            <w:tcBorders>
              <w:top w:val="nil"/>
              <w:left w:val="single" w:color="auto" w:sz="4" w:space="0"/>
              <w:bottom w:val="single" w:color="auto" w:sz="4" w:space="0"/>
              <w:right w:val="single" w:color="auto" w:sz="4" w:space="0"/>
            </w:tcBorders>
            <w:vAlign w:val="center"/>
          </w:tcPr>
          <w:p>
            <w:pPr>
              <w:spacing w:before="0" w:beforeAutospacing="0" w:after="0"/>
              <w:jc w:val="left"/>
              <w:rPr>
                <w:bCs/>
                <w:color w:val="000000"/>
              </w:rPr>
            </w:pPr>
          </w:p>
        </w:tc>
        <w:tc>
          <w:tcPr>
            <w:tcW w:w="7162" w:type="dxa"/>
            <w:gridSpan w:val="2"/>
            <w:tcBorders>
              <w:top w:val="single" w:color="auto" w:sz="4" w:space="0"/>
              <w:left w:val="single" w:color="auto" w:sz="4" w:space="0"/>
              <w:bottom w:val="single" w:color="auto" w:sz="4" w:space="0"/>
              <w:right w:val="single" w:color="auto" w:sz="4" w:space="0"/>
            </w:tcBorders>
            <w:vAlign w:val="center"/>
          </w:tcPr>
          <w:p>
            <w:pPr>
              <w:pStyle w:val="3"/>
              <w:widowControl w:val="0"/>
              <w:autoSpaceDE w:val="0"/>
              <w:adjustRightInd w:val="0"/>
              <w:spacing w:before="0" w:beforeAutospacing="0" w:after="0"/>
              <w:rPr>
                <w:rFonts w:cs="Times New Roman"/>
                <w:bCs/>
                <w:color w:val="000000"/>
              </w:rPr>
            </w:pPr>
            <w:r>
              <w:rPr>
                <w:rFonts w:cs="Times New Roman"/>
                <w:lang w:val="en-GB"/>
              </w:rPr>
              <w:sym w:font="Wingdings" w:char="00FE"/>
            </w:r>
            <w:r>
              <w:rPr>
                <w:rFonts w:cs="Times New Roman"/>
                <w:bCs/>
                <w:color w:val="000000"/>
              </w:rPr>
              <w:t>2、存在上下游关系的参与集中的经营者，在上下游市场所占的市场份额均小于25%。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40" w:type="dxa"/>
            <w:vMerge w:val="continue"/>
            <w:tcBorders>
              <w:top w:val="nil"/>
              <w:left w:val="single" w:color="auto" w:sz="4" w:space="0"/>
              <w:bottom w:val="single" w:color="auto" w:sz="4" w:space="0"/>
              <w:right w:val="single" w:color="auto" w:sz="4" w:space="0"/>
            </w:tcBorders>
            <w:vAlign w:val="center"/>
          </w:tcPr>
          <w:p>
            <w:pPr>
              <w:spacing w:before="0" w:beforeAutospacing="0" w:after="0"/>
              <w:jc w:val="left"/>
              <w:rPr>
                <w:bCs/>
                <w:color w:val="000000"/>
              </w:rPr>
            </w:pPr>
          </w:p>
        </w:tc>
        <w:tc>
          <w:tcPr>
            <w:tcW w:w="7162" w:type="dxa"/>
            <w:gridSpan w:val="2"/>
            <w:tcBorders>
              <w:top w:val="single" w:color="auto" w:sz="4" w:space="0"/>
              <w:left w:val="single" w:color="auto" w:sz="4" w:space="0"/>
              <w:bottom w:val="single" w:color="auto" w:sz="4" w:space="0"/>
              <w:right w:val="single" w:color="auto" w:sz="4" w:space="0"/>
            </w:tcBorders>
            <w:vAlign w:val="center"/>
          </w:tcPr>
          <w:p>
            <w:pPr>
              <w:pStyle w:val="3"/>
              <w:widowControl w:val="0"/>
              <w:autoSpaceDE w:val="0"/>
              <w:adjustRightInd w:val="0"/>
              <w:spacing w:before="0" w:beforeAutospacing="0" w:after="0"/>
              <w:rPr>
                <w:rFonts w:cs="Times New Roman"/>
                <w:bCs/>
                <w:color w:val="000000"/>
              </w:rPr>
            </w:pPr>
            <w:r>
              <w:rPr>
                <w:rFonts w:cs="Times New Roman"/>
                <w:lang w:val="en-GB"/>
              </w:rPr>
              <w:sym w:font="Wingdings" w:char="F0A8"/>
            </w:r>
            <w:r>
              <w:rPr>
                <w:rFonts w:cs="Times New Roman"/>
                <w:bCs/>
                <w:color w:val="000000"/>
              </w:rPr>
              <w:t xml:space="preserve"> 3、不在同一相关市场、也不存在上下游关系的参与集中的经营者，在与交易有关的每个市场所占的份额均小于25%。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940" w:type="dxa"/>
            <w:vMerge w:val="continue"/>
            <w:tcBorders>
              <w:top w:val="nil"/>
              <w:left w:val="single" w:color="auto" w:sz="4" w:space="0"/>
              <w:bottom w:val="single" w:color="auto" w:sz="4" w:space="0"/>
              <w:right w:val="single" w:color="auto" w:sz="4" w:space="0"/>
            </w:tcBorders>
            <w:vAlign w:val="center"/>
          </w:tcPr>
          <w:p>
            <w:pPr>
              <w:spacing w:before="0" w:beforeAutospacing="0" w:after="0"/>
              <w:jc w:val="left"/>
              <w:rPr>
                <w:bCs/>
                <w:color w:val="000000"/>
              </w:rPr>
            </w:pPr>
          </w:p>
        </w:tc>
        <w:tc>
          <w:tcPr>
            <w:tcW w:w="7162" w:type="dxa"/>
            <w:gridSpan w:val="2"/>
            <w:tcBorders>
              <w:top w:val="single" w:color="auto" w:sz="4" w:space="0"/>
              <w:left w:val="single" w:color="auto" w:sz="4" w:space="0"/>
              <w:bottom w:val="single" w:color="auto" w:sz="4" w:space="0"/>
              <w:right w:val="single" w:color="auto" w:sz="4" w:space="0"/>
            </w:tcBorders>
            <w:vAlign w:val="center"/>
          </w:tcPr>
          <w:p>
            <w:pPr>
              <w:pStyle w:val="3"/>
              <w:widowControl w:val="0"/>
              <w:autoSpaceDE w:val="0"/>
              <w:adjustRightInd w:val="0"/>
              <w:spacing w:before="0" w:beforeAutospacing="0" w:after="0"/>
              <w:rPr>
                <w:rFonts w:cs="Times New Roman"/>
                <w:bCs/>
                <w:color w:val="000000"/>
              </w:rPr>
            </w:pPr>
            <w:r>
              <w:rPr>
                <w:rFonts w:cs="Times New Roman"/>
                <w:lang w:val="en-GB"/>
              </w:rPr>
              <w:sym w:font="Wingdings" w:char="F0A8"/>
            </w:r>
            <w:r>
              <w:rPr>
                <w:rFonts w:cs="Times New Roman"/>
                <w:bCs/>
                <w:color w:val="000000"/>
              </w:rPr>
              <w:t xml:space="preserve"> 4、参与集中的经营者在中国境外设立合营企业，合营企业不在中国境内从事经济活动。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940" w:type="dxa"/>
            <w:vMerge w:val="continue"/>
            <w:tcBorders>
              <w:top w:val="nil"/>
              <w:left w:val="single" w:color="auto" w:sz="4" w:space="0"/>
              <w:bottom w:val="single" w:color="auto" w:sz="4" w:space="0"/>
              <w:right w:val="single" w:color="auto" w:sz="4" w:space="0"/>
            </w:tcBorders>
            <w:vAlign w:val="center"/>
          </w:tcPr>
          <w:p>
            <w:pPr>
              <w:spacing w:before="0" w:beforeAutospacing="0" w:after="0"/>
              <w:jc w:val="left"/>
              <w:rPr>
                <w:bCs/>
                <w:color w:val="000000"/>
              </w:rPr>
            </w:pPr>
          </w:p>
        </w:tc>
        <w:tc>
          <w:tcPr>
            <w:tcW w:w="7162" w:type="dxa"/>
            <w:gridSpan w:val="2"/>
            <w:tcBorders>
              <w:top w:val="single" w:color="auto" w:sz="4" w:space="0"/>
              <w:left w:val="single" w:color="auto" w:sz="4" w:space="0"/>
              <w:bottom w:val="single" w:color="auto" w:sz="4" w:space="0"/>
              <w:right w:val="single" w:color="auto" w:sz="4" w:space="0"/>
            </w:tcBorders>
            <w:vAlign w:val="center"/>
          </w:tcPr>
          <w:p>
            <w:pPr>
              <w:pStyle w:val="3"/>
              <w:widowControl w:val="0"/>
              <w:autoSpaceDE w:val="0"/>
              <w:adjustRightInd w:val="0"/>
              <w:spacing w:before="0" w:beforeAutospacing="0" w:after="0"/>
              <w:rPr>
                <w:rFonts w:cs="Times New Roman"/>
                <w:bCs/>
                <w:color w:val="000000"/>
              </w:rPr>
            </w:pPr>
            <w:r>
              <w:rPr>
                <w:rFonts w:cs="Times New Roman"/>
                <w:lang w:val="en-GB"/>
              </w:rPr>
              <w:sym w:font="Wingdings" w:char="F0A8"/>
            </w:r>
            <w:r>
              <w:rPr>
                <w:rFonts w:cs="Times New Roman"/>
                <w:bCs/>
                <w:color w:val="000000"/>
              </w:rPr>
              <w:t xml:space="preserve"> 5、参与集中的经营者收购境外企业股权或资产的，该境外企业不在中国境内从事经济活动。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40" w:type="dxa"/>
            <w:vMerge w:val="continue"/>
            <w:tcBorders>
              <w:top w:val="nil"/>
              <w:left w:val="single" w:color="auto" w:sz="4" w:space="0"/>
              <w:bottom w:val="single" w:color="auto" w:sz="4" w:space="0"/>
              <w:right w:val="single" w:color="auto" w:sz="4" w:space="0"/>
            </w:tcBorders>
            <w:vAlign w:val="center"/>
          </w:tcPr>
          <w:p>
            <w:pPr>
              <w:spacing w:before="0" w:beforeAutospacing="0" w:after="0"/>
              <w:jc w:val="left"/>
              <w:rPr>
                <w:bCs/>
                <w:color w:val="000000"/>
              </w:rPr>
            </w:pPr>
          </w:p>
        </w:tc>
        <w:tc>
          <w:tcPr>
            <w:tcW w:w="7162" w:type="dxa"/>
            <w:gridSpan w:val="2"/>
            <w:tcBorders>
              <w:top w:val="single" w:color="auto" w:sz="4" w:space="0"/>
              <w:left w:val="single" w:color="auto" w:sz="4" w:space="0"/>
              <w:bottom w:val="single" w:color="auto" w:sz="4" w:space="0"/>
              <w:right w:val="single" w:color="auto" w:sz="4" w:space="0"/>
            </w:tcBorders>
            <w:vAlign w:val="center"/>
          </w:tcPr>
          <w:p>
            <w:pPr>
              <w:pStyle w:val="3"/>
              <w:widowControl w:val="0"/>
              <w:autoSpaceDE w:val="0"/>
              <w:adjustRightInd w:val="0"/>
              <w:spacing w:before="0" w:beforeAutospacing="0" w:after="0"/>
              <w:rPr>
                <w:rFonts w:cs="Times New Roman"/>
                <w:bCs/>
                <w:color w:val="000000"/>
              </w:rPr>
            </w:pPr>
            <w:r>
              <w:rPr>
                <w:rFonts w:cs="Times New Roman"/>
                <w:lang w:val="en-GB"/>
              </w:rPr>
              <w:sym w:font="Wingdings" w:char="F0A8"/>
            </w:r>
            <w:r>
              <w:rPr>
                <w:rFonts w:cs="Times New Roman"/>
                <w:bCs/>
                <w:color w:val="000000"/>
              </w:rPr>
              <w:t xml:space="preserve"> 6、由两个以上的经营者共同控制的合营企业，通过集中被其中一个或一个以上经营者控制。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940"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3"/>
              <w:widowControl w:val="0"/>
              <w:autoSpaceDE w:val="0"/>
              <w:adjustRightInd w:val="0"/>
              <w:snapToGrid w:val="0"/>
              <w:spacing w:before="0" w:beforeAutospacing="0" w:after="0"/>
              <w:rPr>
                <w:rFonts w:cs="Times New Roman"/>
                <w:bCs/>
                <w:color w:val="000000"/>
              </w:rPr>
            </w:pPr>
            <w:r>
              <w:rPr>
                <w:rFonts w:cs="Times New Roman"/>
                <w:bCs/>
                <w:color w:val="000000"/>
              </w:rPr>
              <w:t>备注</w:t>
            </w:r>
          </w:p>
        </w:tc>
        <w:tc>
          <w:tcPr>
            <w:tcW w:w="7162" w:type="dxa"/>
            <w:gridSpan w:val="2"/>
            <w:tcBorders>
              <w:top w:val="single" w:color="auto" w:sz="4" w:space="0"/>
              <w:left w:val="single" w:color="auto" w:sz="4" w:space="0"/>
              <w:bottom w:val="single" w:color="auto" w:sz="4" w:space="0"/>
              <w:right w:val="single" w:color="auto" w:sz="4" w:space="0"/>
            </w:tcBorders>
            <w:vAlign w:val="center"/>
          </w:tcPr>
          <w:p>
            <w:pPr>
              <w:pStyle w:val="3"/>
              <w:widowControl w:val="0"/>
              <w:autoSpaceDE w:val="0"/>
              <w:adjustRightInd w:val="0"/>
              <w:snapToGrid w:val="0"/>
              <w:spacing w:before="0" w:beforeAutospacing="0" w:after="0"/>
              <w:rPr>
                <w:rFonts w:cs="Times New Roman"/>
                <w:b/>
                <w:color w:val="000000"/>
              </w:rPr>
            </w:pPr>
            <w:r>
              <w:rPr>
                <w:rFonts w:cs="Times New Roman"/>
                <w:b/>
                <w:color w:val="000000"/>
              </w:rPr>
              <w:t>横向重叠：</w:t>
            </w:r>
          </w:p>
          <w:p>
            <w:pPr>
              <w:pStyle w:val="3"/>
              <w:widowControl w:val="0"/>
              <w:autoSpaceDE w:val="0"/>
              <w:adjustRightInd w:val="0"/>
              <w:snapToGrid w:val="0"/>
              <w:spacing w:before="0" w:beforeAutospacing="0" w:after="0"/>
              <w:rPr>
                <w:rFonts w:cs="Times New Roman"/>
                <w:bCs/>
                <w:color w:val="000000"/>
              </w:rPr>
            </w:pPr>
            <w:r>
              <w:rPr>
                <w:rFonts w:hint="eastAsia" w:cs="Times New Roman"/>
                <w:bCs/>
                <w:color w:val="000000"/>
              </w:rPr>
              <w:t>2</w:t>
            </w:r>
            <w:r>
              <w:rPr>
                <w:rFonts w:cs="Times New Roman"/>
                <w:bCs/>
                <w:color w:val="000000"/>
              </w:rPr>
              <w:t>021</w:t>
            </w:r>
            <w:r>
              <w:rPr>
                <w:rFonts w:hint="eastAsia" w:cs="Times New Roman"/>
                <w:bCs/>
                <w:color w:val="000000"/>
              </w:rPr>
              <w:t>年中国境内火力发电市场：</w:t>
            </w:r>
          </w:p>
          <w:p>
            <w:pPr>
              <w:pStyle w:val="3"/>
              <w:widowControl w:val="0"/>
              <w:autoSpaceDE w:val="0"/>
              <w:adjustRightInd w:val="0"/>
              <w:snapToGrid w:val="0"/>
              <w:spacing w:before="0" w:beforeAutospacing="0" w:after="0"/>
              <w:rPr>
                <w:rFonts w:cs="Times New Roman"/>
                <w:bCs/>
                <w:color w:val="000000"/>
              </w:rPr>
            </w:pPr>
            <w:r>
              <w:rPr>
                <w:rFonts w:hint="eastAsia" w:cs="Times New Roman"/>
                <w:bCs/>
                <w:color w:val="000000"/>
              </w:rPr>
              <w:t>中煤电力：0-5%，中电广西：0-5%，双方合计：0-5%。</w:t>
            </w:r>
          </w:p>
          <w:p>
            <w:pPr>
              <w:pStyle w:val="3"/>
              <w:widowControl w:val="0"/>
              <w:autoSpaceDE w:val="0"/>
              <w:adjustRightInd w:val="0"/>
              <w:snapToGrid w:val="0"/>
              <w:spacing w:before="0" w:beforeAutospacing="0" w:after="0"/>
              <w:rPr>
                <w:rFonts w:cs="Times New Roman"/>
                <w:b/>
                <w:color w:val="000000"/>
              </w:rPr>
            </w:pPr>
            <w:r>
              <w:rPr>
                <w:rFonts w:hint="eastAsia" w:cs="Times New Roman"/>
                <w:b/>
                <w:color w:val="000000"/>
              </w:rPr>
              <w:t>纵向关联：</w:t>
            </w:r>
          </w:p>
          <w:p>
            <w:pPr>
              <w:pStyle w:val="3"/>
              <w:widowControl w:val="0"/>
              <w:autoSpaceDE w:val="0"/>
              <w:adjustRightInd w:val="0"/>
              <w:snapToGrid w:val="0"/>
              <w:spacing w:before="0" w:beforeAutospacing="0" w:after="0"/>
              <w:rPr>
                <w:rFonts w:cs="Times New Roman"/>
                <w:bCs/>
                <w:color w:val="000000"/>
              </w:rPr>
            </w:pPr>
            <w:r>
              <w:rPr>
                <w:rFonts w:hint="eastAsia" w:cs="Times New Roman"/>
                <w:bCs/>
                <w:color w:val="000000"/>
              </w:rPr>
              <w:t>上游：2</w:t>
            </w:r>
            <w:r>
              <w:rPr>
                <w:rFonts w:cs="Times New Roman"/>
                <w:bCs/>
                <w:color w:val="000000"/>
              </w:rPr>
              <w:t>021</w:t>
            </w:r>
            <w:r>
              <w:rPr>
                <w:rFonts w:hint="eastAsia" w:cs="Times New Roman"/>
                <w:bCs/>
                <w:color w:val="000000"/>
              </w:rPr>
              <w:t>年中国境内动力煤市场</w:t>
            </w:r>
          </w:p>
          <w:p>
            <w:pPr>
              <w:pStyle w:val="3"/>
              <w:widowControl w:val="0"/>
              <w:autoSpaceDE w:val="0"/>
              <w:adjustRightInd w:val="0"/>
              <w:snapToGrid w:val="0"/>
              <w:spacing w:before="0" w:beforeAutospacing="0" w:after="0"/>
              <w:rPr>
                <w:rFonts w:cs="Times New Roman"/>
                <w:bCs/>
                <w:color w:val="000000"/>
              </w:rPr>
            </w:pPr>
            <w:r>
              <w:rPr>
                <w:rFonts w:hint="eastAsia" w:cs="Times New Roman"/>
                <w:bCs/>
                <w:color w:val="000000"/>
              </w:rPr>
              <w:t>中煤电力：0-5%。</w:t>
            </w:r>
          </w:p>
          <w:p>
            <w:pPr>
              <w:pStyle w:val="3"/>
              <w:widowControl w:val="0"/>
              <w:autoSpaceDE w:val="0"/>
              <w:adjustRightInd w:val="0"/>
              <w:snapToGrid w:val="0"/>
              <w:spacing w:before="0" w:beforeAutospacing="0" w:after="0"/>
              <w:rPr>
                <w:rFonts w:cs="Times New Roman"/>
                <w:bCs/>
                <w:color w:val="000000"/>
              </w:rPr>
            </w:pPr>
            <w:r>
              <w:rPr>
                <w:rFonts w:hint="eastAsia" w:cs="Times New Roman"/>
                <w:bCs/>
                <w:color w:val="000000"/>
              </w:rPr>
              <w:t>下游：2</w:t>
            </w:r>
            <w:r>
              <w:rPr>
                <w:rFonts w:cs="Times New Roman"/>
                <w:bCs/>
                <w:color w:val="000000"/>
              </w:rPr>
              <w:t>021</w:t>
            </w:r>
            <w:r>
              <w:rPr>
                <w:rFonts w:hint="eastAsia" w:cs="Times New Roman"/>
                <w:bCs/>
                <w:color w:val="000000"/>
              </w:rPr>
              <w:t>年中国境内火力发电市场：</w:t>
            </w:r>
          </w:p>
          <w:p>
            <w:pPr>
              <w:pStyle w:val="3"/>
              <w:widowControl w:val="0"/>
              <w:autoSpaceDE w:val="0"/>
              <w:adjustRightInd w:val="0"/>
              <w:snapToGrid w:val="0"/>
              <w:spacing w:before="0" w:beforeAutospacing="0" w:after="0"/>
              <w:rPr>
                <w:rFonts w:cs="Times New Roman"/>
                <w:bCs/>
                <w:color w:val="000000"/>
              </w:rPr>
            </w:pPr>
            <w:r>
              <w:rPr>
                <w:rFonts w:hint="eastAsia" w:cs="Times New Roman"/>
                <w:bCs/>
                <w:color w:val="000000"/>
              </w:rPr>
              <w:t>如上所述。</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PMingLiU">
    <w:altName w:val="文泉驿微米黑"/>
    <w:panose1 w:val="02010601000101010101"/>
    <w:charset w:val="88"/>
    <w:family w:val="roman"/>
    <w:pitch w:val="default"/>
    <w:sig w:usb0="00000000" w:usb1="00000000" w:usb2="00000016" w:usb3="00000000" w:csb0="00100001" w:csb1="00000000"/>
  </w:font>
  <w:font w:name="Simplified Arabic">
    <w:altName w:val="Times New Roman"/>
    <w:panose1 w:val="00000000000000000000"/>
    <w:charset w:val="B2"/>
    <w:family w:val="roman"/>
    <w:pitch w:val="default"/>
    <w:sig w:usb0="00000000" w:usb1="00000000" w:usb2="00000008" w:usb3="00000000" w:csb0="00000041" w:csb1="00000000"/>
  </w:font>
  <w:font w:name="仿宋_GB2312">
    <w:panose1 w:val="02010609030101010101"/>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LIwMbIwsDQ2MjIyNjZR0lEKTi0uzszPAykwrAUA/XItfSwAAAA="/>
  </w:docVars>
  <w:rsids>
    <w:rsidRoot w:val="00946093"/>
    <w:rsid w:val="001135CD"/>
    <w:rsid w:val="00143407"/>
    <w:rsid w:val="001572CC"/>
    <w:rsid w:val="00173CC9"/>
    <w:rsid w:val="00185356"/>
    <w:rsid w:val="0019288D"/>
    <w:rsid w:val="001F1174"/>
    <w:rsid w:val="00280B5F"/>
    <w:rsid w:val="002E21F5"/>
    <w:rsid w:val="002F2EB7"/>
    <w:rsid w:val="0033132B"/>
    <w:rsid w:val="0033162C"/>
    <w:rsid w:val="00382857"/>
    <w:rsid w:val="003A7638"/>
    <w:rsid w:val="003C54A5"/>
    <w:rsid w:val="004138AE"/>
    <w:rsid w:val="00440639"/>
    <w:rsid w:val="00476557"/>
    <w:rsid w:val="004778F0"/>
    <w:rsid w:val="00480535"/>
    <w:rsid w:val="00484513"/>
    <w:rsid w:val="004A4814"/>
    <w:rsid w:val="005049DB"/>
    <w:rsid w:val="005F6A14"/>
    <w:rsid w:val="006066D4"/>
    <w:rsid w:val="006152E5"/>
    <w:rsid w:val="00673C44"/>
    <w:rsid w:val="00677B09"/>
    <w:rsid w:val="00693EBA"/>
    <w:rsid w:val="00694E32"/>
    <w:rsid w:val="006E30A4"/>
    <w:rsid w:val="006E582C"/>
    <w:rsid w:val="0070258E"/>
    <w:rsid w:val="00774ACA"/>
    <w:rsid w:val="007B1B1D"/>
    <w:rsid w:val="007C1899"/>
    <w:rsid w:val="007D0852"/>
    <w:rsid w:val="007E170C"/>
    <w:rsid w:val="00822E73"/>
    <w:rsid w:val="008307D9"/>
    <w:rsid w:val="008346D5"/>
    <w:rsid w:val="00851257"/>
    <w:rsid w:val="00852CC5"/>
    <w:rsid w:val="00860E94"/>
    <w:rsid w:val="00867778"/>
    <w:rsid w:val="0088740C"/>
    <w:rsid w:val="00894482"/>
    <w:rsid w:val="008A2B82"/>
    <w:rsid w:val="008E4CE0"/>
    <w:rsid w:val="008F42A0"/>
    <w:rsid w:val="00931EFD"/>
    <w:rsid w:val="009322B4"/>
    <w:rsid w:val="00946093"/>
    <w:rsid w:val="00966D2B"/>
    <w:rsid w:val="00987DF8"/>
    <w:rsid w:val="009D2094"/>
    <w:rsid w:val="009E13E6"/>
    <w:rsid w:val="00A01DDB"/>
    <w:rsid w:val="00A13497"/>
    <w:rsid w:val="00AE1160"/>
    <w:rsid w:val="00B86150"/>
    <w:rsid w:val="00B8639E"/>
    <w:rsid w:val="00BA1731"/>
    <w:rsid w:val="00BD4DBA"/>
    <w:rsid w:val="00BD7FA0"/>
    <w:rsid w:val="00BE6D9A"/>
    <w:rsid w:val="00BF1DA3"/>
    <w:rsid w:val="00C3735D"/>
    <w:rsid w:val="00C96770"/>
    <w:rsid w:val="00CD7692"/>
    <w:rsid w:val="00D42B58"/>
    <w:rsid w:val="00D96EE0"/>
    <w:rsid w:val="00DA3245"/>
    <w:rsid w:val="00DC19E5"/>
    <w:rsid w:val="00DD0418"/>
    <w:rsid w:val="00DF301E"/>
    <w:rsid w:val="00E0602B"/>
    <w:rsid w:val="00E2436F"/>
    <w:rsid w:val="00E33EAB"/>
    <w:rsid w:val="00E420BA"/>
    <w:rsid w:val="00E44EDE"/>
    <w:rsid w:val="00E53585"/>
    <w:rsid w:val="00E56294"/>
    <w:rsid w:val="00E74D99"/>
    <w:rsid w:val="00E8623F"/>
    <w:rsid w:val="00E96EEC"/>
    <w:rsid w:val="00EB1C39"/>
    <w:rsid w:val="00EC5043"/>
    <w:rsid w:val="00EE1A8F"/>
    <w:rsid w:val="00F00BD0"/>
    <w:rsid w:val="00F2631B"/>
    <w:rsid w:val="00F7334B"/>
    <w:rsid w:val="00F80007"/>
    <w:rsid w:val="00FC7C71"/>
    <w:rsid w:val="00FD69E4"/>
    <w:rsid w:val="00FE2615"/>
    <w:rsid w:val="00FE7D14"/>
    <w:rsid w:val="5B7FD823"/>
    <w:rsid w:val="B57F3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240"/>
      <w:jc w:val="both"/>
    </w:pPr>
    <w:rPr>
      <w:rFonts w:ascii="Times New Roman" w:hAnsi="Times New Roman"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spacing w:before="0" w:beforeAutospacing="0" w:after="0"/>
      <w:jc w:val="left"/>
    </w:pPr>
    <w:rPr>
      <w:rFonts w:ascii="PMingLiU" w:hAnsi="PMingLiU" w:eastAsia="PMingLiU" w:cs="PMingLiU"/>
      <w:sz w:val="20"/>
      <w:szCs w:val="20"/>
      <w:lang w:eastAsia="zh-TW"/>
    </w:rPr>
  </w:style>
  <w:style w:type="paragraph" w:styleId="3">
    <w:name w:val="Body Text"/>
    <w:basedOn w:val="1"/>
    <w:link w:val="11"/>
    <w:unhideWhenUsed/>
    <w:qFormat/>
    <w:uiPriority w:val="99"/>
    <w:rPr>
      <w:rFonts w:cs="Simplified Arabic"/>
    </w:rPr>
  </w:style>
  <w:style w:type="paragraph" w:styleId="4">
    <w:name w:val="Balloon Text"/>
    <w:basedOn w:val="1"/>
    <w:link w:val="15"/>
    <w:semiHidden/>
    <w:unhideWhenUsed/>
    <w:qFormat/>
    <w:uiPriority w:val="99"/>
    <w:pPr>
      <w:spacing w:before="0" w:after="0"/>
    </w:pPr>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qFormat/>
    <w:uiPriority w:val="99"/>
    <w:rPr>
      <w:sz w:val="16"/>
    </w:rPr>
  </w:style>
  <w:style w:type="character" w:customStyle="1" w:styleId="11">
    <w:name w:val="正文文本 字符"/>
    <w:basedOn w:val="9"/>
    <w:link w:val="3"/>
    <w:qFormat/>
    <w:uiPriority w:val="99"/>
    <w:rPr>
      <w:rFonts w:ascii="Times New Roman" w:hAnsi="Times New Roman" w:eastAsia="宋体" w:cs="Simplified Arabic"/>
      <w:kern w:val="0"/>
      <w:sz w:val="24"/>
    </w:rPr>
  </w:style>
  <w:style w:type="paragraph" w:customStyle="1" w:styleId="12">
    <w:name w:val="修订1"/>
    <w:hidden/>
    <w:semiHidden/>
    <w:qFormat/>
    <w:uiPriority w:val="99"/>
    <w:rPr>
      <w:rFonts w:ascii="Times New Roman" w:hAnsi="Times New Roman" w:eastAsia="宋体" w:cs="Times New Roman"/>
      <w:sz w:val="24"/>
      <w:szCs w:val="24"/>
      <w:lang w:val="en-US" w:eastAsia="zh-CN" w:bidi="ar-SA"/>
    </w:rPr>
  </w:style>
  <w:style w:type="character" w:customStyle="1" w:styleId="13">
    <w:name w:val="页眉 字符"/>
    <w:basedOn w:val="9"/>
    <w:link w:val="6"/>
    <w:qFormat/>
    <w:uiPriority w:val="99"/>
    <w:rPr>
      <w:rFonts w:ascii="Times New Roman" w:hAnsi="Times New Roman" w:eastAsia="宋体" w:cs="Times New Roman"/>
      <w:kern w:val="0"/>
      <w:sz w:val="18"/>
      <w:szCs w:val="18"/>
    </w:rPr>
  </w:style>
  <w:style w:type="character" w:customStyle="1" w:styleId="14">
    <w:name w:val="页脚 字符"/>
    <w:basedOn w:val="9"/>
    <w:link w:val="5"/>
    <w:qFormat/>
    <w:uiPriority w:val="99"/>
    <w:rPr>
      <w:rFonts w:ascii="Times New Roman" w:hAnsi="Times New Roman" w:eastAsia="宋体" w:cs="Times New Roman"/>
      <w:kern w:val="0"/>
      <w:sz w:val="18"/>
      <w:szCs w:val="18"/>
    </w:rPr>
  </w:style>
  <w:style w:type="character" w:customStyle="1" w:styleId="15">
    <w:name w:val="批注框文本 字符"/>
    <w:basedOn w:val="9"/>
    <w:link w:val="4"/>
    <w:semiHidden/>
    <w:qFormat/>
    <w:uiPriority w:val="99"/>
    <w:rPr>
      <w:rFonts w:ascii="Times New Roman" w:hAnsi="Times New Roman" w:eastAsia="宋体" w:cs="Times New Roman"/>
      <w:kern w:val="0"/>
      <w:sz w:val="18"/>
      <w:szCs w:val="18"/>
    </w:rPr>
  </w:style>
  <w:style w:type="character" w:customStyle="1" w:styleId="16">
    <w:name w:val="批注文字 字符"/>
    <w:basedOn w:val="9"/>
    <w:link w:val="2"/>
    <w:qFormat/>
    <w:uiPriority w:val="0"/>
    <w:rPr>
      <w:rFonts w:ascii="PMingLiU" w:hAnsi="PMingLiU" w:eastAsia="PMingLiU" w:cs="PMingLiU"/>
      <w:kern w:val="0"/>
      <w:sz w:val="20"/>
      <w:szCs w:val="20"/>
      <w:lang w:eastAsia="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135</Words>
  <Characters>776</Characters>
  <Lines>6</Lines>
  <Paragraphs>1</Paragraphs>
  <TotalTime>736</TotalTime>
  <ScaleCrop>false</ScaleCrop>
  <LinksUpToDate>false</LinksUpToDate>
  <CharactersWithSpaces>910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2022-11-24T22:18:00Z</dcterms:created>
  <dc:creator>Sunland</dc:creator>
  <cp:lastModifiedBy>scjgj</cp:lastModifiedBy>
  <dcterms:modified xsi:type="dcterms:W3CDTF">2022-12-06T17:22:04Z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