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8183" w14:textId="6A05BDB5" w:rsidR="00CB00DF" w:rsidRPr="001C2F8F" w:rsidRDefault="00CB00DF" w:rsidP="000F398E">
      <w:pPr>
        <w:jc w:val="center"/>
        <w:rPr>
          <w:rFonts w:ascii="黑体" w:eastAsia="黑体" w:hAnsi="Times New Roman"/>
          <w:sz w:val="36"/>
          <w:szCs w:val="36"/>
        </w:rPr>
      </w:pPr>
      <w:r w:rsidRPr="001C2F8F">
        <w:rPr>
          <w:rFonts w:ascii="黑体" w:eastAsia="黑体" w:hAnsi="Times New Roman" w:hint="eastAsia"/>
          <w:sz w:val="36"/>
          <w:szCs w:val="36"/>
        </w:rPr>
        <w:t>经营者集中简易案件公示表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956"/>
        <w:gridCol w:w="5415"/>
      </w:tblGrid>
      <w:tr w:rsidR="00CB00DF" w:rsidRPr="003F475D" w14:paraId="2B60D9DE" w14:textId="77777777" w:rsidTr="00971255">
        <w:trPr>
          <w:jc w:val="center"/>
        </w:trPr>
        <w:tc>
          <w:tcPr>
            <w:tcW w:w="1779" w:type="dxa"/>
            <w:shd w:val="clear" w:color="auto" w:fill="D9D9D9"/>
            <w:vAlign w:val="center"/>
          </w:tcPr>
          <w:p w14:paraId="1C967787" w14:textId="77777777" w:rsidR="00CB00DF" w:rsidRPr="003F475D" w:rsidRDefault="00CB00DF" w:rsidP="003F475D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案件名称</w:t>
            </w:r>
          </w:p>
        </w:tc>
        <w:tc>
          <w:tcPr>
            <w:tcW w:w="7371" w:type="dxa"/>
            <w:gridSpan w:val="2"/>
          </w:tcPr>
          <w:p w14:paraId="53742FF6" w14:textId="1782B836" w:rsidR="00CB00DF" w:rsidRPr="003F475D" w:rsidRDefault="00971255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北京华熙海御科技有限公司</w:t>
            </w:r>
            <w:r w:rsidR="00652531"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与天津壹华管理咨询有限责任公司</w:t>
            </w:r>
            <w:r w:rsidR="00E3052E"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新设合营企业案</w:t>
            </w:r>
          </w:p>
        </w:tc>
      </w:tr>
      <w:tr w:rsidR="00CB00DF" w:rsidRPr="003F475D" w14:paraId="3E248B16" w14:textId="77777777" w:rsidTr="00971255">
        <w:trPr>
          <w:trHeight w:val="993"/>
          <w:jc w:val="center"/>
        </w:trPr>
        <w:tc>
          <w:tcPr>
            <w:tcW w:w="1779" w:type="dxa"/>
            <w:shd w:val="clear" w:color="auto" w:fill="D9D9D9"/>
            <w:vAlign w:val="center"/>
          </w:tcPr>
          <w:p w14:paraId="4823E4A3" w14:textId="2CD24116" w:rsidR="00CB00DF" w:rsidRPr="003F475D" w:rsidRDefault="00CB00DF" w:rsidP="003F475D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交易概况（限200字内）</w:t>
            </w:r>
          </w:p>
        </w:tc>
        <w:tc>
          <w:tcPr>
            <w:tcW w:w="7371" w:type="dxa"/>
            <w:gridSpan w:val="2"/>
          </w:tcPr>
          <w:p w14:paraId="24071104" w14:textId="54047943" w:rsidR="00CB00DF" w:rsidRPr="003F475D" w:rsidRDefault="00E3052E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合营方</w:t>
            </w:r>
            <w:r w:rsidR="00971255"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北京华熙海御科技有限公司</w:t>
            </w:r>
            <w:r w:rsidR="00652531"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（“</w:t>
            </w:r>
            <w:r w:rsidR="00971255"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华熙海御</w:t>
            </w:r>
            <w:r w:rsidR="00652531"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”）及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天津壹华管理咨询有限责任公司（“天津壹华”）签署</w:t>
            </w:r>
            <w:r w:rsidR="00A25AF8"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《合资经营合同》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，拟共同出资新设合营企业。交易后，</w:t>
            </w:r>
            <w:r w:rsidR="00971255"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华熙海御与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天津壹华将分别持有合营企业各5</w:t>
            </w:r>
            <w:r w:rsidRPr="003F475D"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0%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股权，共同控制合营企业。合营企业</w:t>
            </w:r>
            <w:r w:rsidR="00652531"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设立后，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拟</w:t>
            </w:r>
            <w:r w:rsidR="00652531"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主要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从事儿童护肤品</w:t>
            </w:r>
            <w:r w:rsidR="00652531"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儿童洗浴用品</w:t>
            </w:r>
            <w:r w:rsidR="00652531"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及少量成人护肤品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运营、销售业务。</w:t>
            </w:r>
          </w:p>
        </w:tc>
      </w:tr>
      <w:tr w:rsidR="00971255" w:rsidRPr="003F475D" w14:paraId="3FE977EA" w14:textId="77777777" w:rsidTr="003F475D">
        <w:trPr>
          <w:trHeight w:val="468"/>
          <w:jc w:val="center"/>
        </w:trPr>
        <w:tc>
          <w:tcPr>
            <w:tcW w:w="1779" w:type="dxa"/>
            <w:vMerge w:val="restart"/>
            <w:shd w:val="clear" w:color="auto" w:fill="D9D9D9"/>
            <w:vAlign w:val="center"/>
          </w:tcPr>
          <w:p w14:paraId="1AF8B385" w14:textId="77777777" w:rsidR="00971255" w:rsidRPr="003F475D" w:rsidRDefault="00971255" w:rsidP="003F475D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参与集中的</w:t>
            </w:r>
          </w:p>
          <w:p w14:paraId="520BB7B4" w14:textId="2C9F2C19" w:rsidR="00971255" w:rsidRPr="003F475D" w:rsidRDefault="00971255" w:rsidP="003F475D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经营者简介</w:t>
            </w:r>
            <w:r w:rsidR="003F475D"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（每个限100字以内）</w:t>
            </w:r>
          </w:p>
        </w:tc>
        <w:tc>
          <w:tcPr>
            <w:tcW w:w="1956" w:type="dxa"/>
            <w:vAlign w:val="center"/>
          </w:tcPr>
          <w:p w14:paraId="26934BAF" w14:textId="07D185EA" w:rsidR="00971255" w:rsidRPr="003F475D" w:rsidRDefault="00971255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1、华熙海御</w:t>
            </w:r>
          </w:p>
        </w:tc>
        <w:tc>
          <w:tcPr>
            <w:tcW w:w="5415" w:type="dxa"/>
          </w:tcPr>
          <w:p w14:paraId="27D0B62E" w14:textId="0E1A65DB" w:rsidR="003F475D" w:rsidRPr="003F475D" w:rsidRDefault="00971255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华熙海御于</w:t>
            </w:r>
            <w:r w:rsidRPr="003F475D"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2011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3F475D"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12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 w:rsidRPr="003F475D"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15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日成立于</w:t>
            </w:r>
            <w:r w:rsid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中国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北京市，主要从事医疗器械、化妆品等产品销售等业务。</w:t>
            </w:r>
          </w:p>
          <w:p w14:paraId="7BCB4380" w14:textId="5C7C6F9A" w:rsidR="00971255" w:rsidRPr="003F475D" w:rsidRDefault="00971255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华熙海御最终控制人为华熙生物科技股份有限公司，</w:t>
            </w:r>
            <w:r w:rsidR="000F398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其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主要从事护肤品、医美类透明质酸终端产品的研发及销售、</w:t>
            </w:r>
            <w:r w:rsidR="000F398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文化体育产业、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综合产业投资等业务。</w:t>
            </w:r>
          </w:p>
        </w:tc>
      </w:tr>
      <w:tr w:rsidR="00971255" w:rsidRPr="003F475D" w14:paraId="6B9F8FF0" w14:textId="77777777" w:rsidTr="003F475D">
        <w:trPr>
          <w:trHeight w:val="468"/>
          <w:jc w:val="center"/>
        </w:trPr>
        <w:tc>
          <w:tcPr>
            <w:tcW w:w="1779" w:type="dxa"/>
            <w:vMerge/>
            <w:shd w:val="clear" w:color="auto" w:fill="D9D9D9"/>
            <w:vAlign w:val="center"/>
          </w:tcPr>
          <w:p w14:paraId="494AECAB" w14:textId="77777777" w:rsidR="00971255" w:rsidRPr="003F475D" w:rsidRDefault="00971255" w:rsidP="003F475D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56" w:type="dxa"/>
            <w:vAlign w:val="center"/>
          </w:tcPr>
          <w:p w14:paraId="5A6649E4" w14:textId="66EA9162" w:rsidR="00971255" w:rsidRPr="003F475D" w:rsidRDefault="00971255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2、天津壹华</w:t>
            </w:r>
          </w:p>
        </w:tc>
        <w:tc>
          <w:tcPr>
            <w:tcW w:w="5415" w:type="dxa"/>
          </w:tcPr>
          <w:p w14:paraId="35563CE4" w14:textId="2E1269DB" w:rsidR="003F475D" w:rsidRDefault="00971255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天津壹华于2</w:t>
            </w:r>
            <w:r w:rsidRPr="003F475D"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019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年2月2</w:t>
            </w:r>
            <w:r w:rsidRPr="003F475D"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日成立于</w:t>
            </w:r>
            <w:r w:rsid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中国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天津市，主要从事企业管理咨询、股权投资等业务。</w:t>
            </w:r>
          </w:p>
          <w:p w14:paraId="212D8DA4" w14:textId="79F3D7D6" w:rsidR="00971255" w:rsidRPr="003F475D" w:rsidRDefault="00971255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天津壹华最终控制人为</w:t>
            </w:r>
            <w:r w:rsid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自然人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，</w:t>
            </w:r>
            <w:r w:rsidR="000F398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其通过天津壹华及其关联实体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主要从事艺人管理、音乐I</w:t>
            </w:r>
            <w:r w:rsidRPr="003F475D"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P</w:t>
            </w: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制作及运营、泛娱乐业务等。</w:t>
            </w:r>
          </w:p>
        </w:tc>
      </w:tr>
      <w:tr w:rsidR="00CB00DF" w:rsidRPr="003F475D" w14:paraId="7FAAD279" w14:textId="77777777" w:rsidTr="00971255">
        <w:trPr>
          <w:trHeight w:val="279"/>
          <w:jc w:val="center"/>
        </w:trPr>
        <w:tc>
          <w:tcPr>
            <w:tcW w:w="1779" w:type="dxa"/>
            <w:vMerge w:val="restart"/>
            <w:shd w:val="clear" w:color="auto" w:fill="D9D9D9"/>
            <w:vAlign w:val="center"/>
          </w:tcPr>
          <w:p w14:paraId="2A14398D" w14:textId="77777777" w:rsidR="00CB00DF" w:rsidRPr="003F475D" w:rsidRDefault="00CB00DF" w:rsidP="003F475D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简易案件理由（可以单选，也可以多选）</w:t>
            </w:r>
          </w:p>
        </w:tc>
        <w:tc>
          <w:tcPr>
            <w:tcW w:w="7371" w:type="dxa"/>
            <w:gridSpan w:val="2"/>
          </w:tcPr>
          <w:p w14:paraId="64F0A9B1" w14:textId="77777777" w:rsidR="00CB00DF" w:rsidRPr="003F475D" w:rsidRDefault="00CB00DF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□1.在同一相关市场，所有参与集中的经营者所占市场份额之和小于15%。</w:t>
            </w:r>
          </w:p>
        </w:tc>
      </w:tr>
      <w:tr w:rsidR="00CB00DF" w:rsidRPr="003F475D" w14:paraId="3642F966" w14:textId="77777777" w:rsidTr="00971255">
        <w:trPr>
          <w:trHeight w:val="330"/>
          <w:jc w:val="center"/>
        </w:trPr>
        <w:tc>
          <w:tcPr>
            <w:tcW w:w="1779" w:type="dxa"/>
            <w:vMerge/>
            <w:shd w:val="clear" w:color="auto" w:fill="D9D9D9"/>
            <w:vAlign w:val="center"/>
          </w:tcPr>
          <w:p w14:paraId="575970BB" w14:textId="77777777" w:rsidR="00CB00DF" w:rsidRPr="003F475D" w:rsidRDefault="00CB00DF" w:rsidP="003F475D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71" w:type="dxa"/>
            <w:gridSpan w:val="2"/>
          </w:tcPr>
          <w:p w14:paraId="1D468AAE" w14:textId="77777777" w:rsidR="00CB00DF" w:rsidRPr="003F475D" w:rsidRDefault="00CB00DF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□2.存在上下游关系的参与集中的经营者，在上下游市场所占的市场份额均小于25%。</w:t>
            </w:r>
          </w:p>
        </w:tc>
      </w:tr>
      <w:tr w:rsidR="00CB00DF" w:rsidRPr="003F475D" w14:paraId="13CF2442" w14:textId="77777777" w:rsidTr="00971255">
        <w:trPr>
          <w:trHeight w:val="285"/>
          <w:jc w:val="center"/>
        </w:trPr>
        <w:tc>
          <w:tcPr>
            <w:tcW w:w="1779" w:type="dxa"/>
            <w:vMerge/>
            <w:shd w:val="clear" w:color="auto" w:fill="D9D9D9"/>
            <w:vAlign w:val="center"/>
          </w:tcPr>
          <w:p w14:paraId="42667CC5" w14:textId="77777777" w:rsidR="00CB00DF" w:rsidRPr="003F475D" w:rsidRDefault="00CB00DF" w:rsidP="003F475D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71" w:type="dxa"/>
            <w:gridSpan w:val="2"/>
          </w:tcPr>
          <w:p w14:paraId="70CD6CAD" w14:textId="645ACD4B" w:rsidR="00CB00DF" w:rsidRPr="003F475D" w:rsidRDefault="00E3052E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sym w:font="Wingdings" w:char="F0FE"/>
            </w:r>
            <w:r w:rsidR="00CB00DF"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3.不在同一相关市场、也不存在上下游关系的参与集中的经营者，在与交易有关的每个市场所占的份额均小于25%。</w:t>
            </w:r>
          </w:p>
        </w:tc>
      </w:tr>
      <w:tr w:rsidR="00CB00DF" w:rsidRPr="003F475D" w14:paraId="1E348DC5" w14:textId="77777777" w:rsidTr="000F398E">
        <w:trPr>
          <w:trHeight w:val="664"/>
          <w:jc w:val="center"/>
        </w:trPr>
        <w:tc>
          <w:tcPr>
            <w:tcW w:w="1779" w:type="dxa"/>
            <w:vMerge/>
            <w:shd w:val="clear" w:color="auto" w:fill="D9D9D9"/>
            <w:vAlign w:val="center"/>
          </w:tcPr>
          <w:p w14:paraId="0CAEB1C0" w14:textId="77777777" w:rsidR="00CB00DF" w:rsidRPr="003F475D" w:rsidRDefault="00CB00DF" w:rsidP="003F475D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71" w:type="dxa"/>
            <w:gridSpan w:val="2"/>
          </w:tcPr>
          <w:p w14:paraId="24E5C7F3" w14:textId="77777777" w:rsidR="00CB00DF" w:rsidRPr="003F475D" w:rsidRDefault="00CB00DF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□4.参与集中的经营者在中国境外设立合营企业，合营企业不在中国境内从事经济活动。</w:t>
            </w:r>
          </w:p>
        </w:tc>
      </w:tr>
      <w:tr w:rsidR="00CB00DF" w:rsidRPr="003F475D" w14:paraId="1F5FD38A" w14:textId="77777777" w:rsidTr="00971255">
        <w:trPr>
          <w:trHeight w:val="264"/>
          <w:jc w:val="center"/>
        </w:trPr>
        <w:tc>
          <w:tcPr>
            <w:tcW w:w="1779" w:type="dxa"/>
            <w:vMerge/>
            <w:shd w:val="clear" w:color="auto" w:fill="D9D9D9"/>
            <w:vAlign w:val="center"/>
          </w:tcPr>
          <w:p w14:paraId="612F85E5" w14:textId="77777777" w:rsidR="00CB00DF" w:rsidRPr="003F475D" w:rsidRDefault="00CB00DF" w:rsidP="003F475D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71" w:type="dxa"/>
            <w:gridSpan w:val="2"/>
          </w:tcPr>
          <w:p w14:paraId="77309F65" w14:textId="77777777" w:rsidR="00CB00DF" w:rsidRPr="003F475D" w:rsidRDefault="00CB00DF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□5.参与集中的经营者收购境外企业股权或资产的，该境外企业不在中国境内从事经济活动。</w:t>
            </w:r>
          </w:p>
        </w:tc>
      </w:tr>
      <w:tr w:rsidR="00CB00DF" w:rsidRPr="003F475D" w14:paraId="4AEAB32D" w14:textId="77777777" w:rsidTr="00971255">
        <w:trPr>
          <w:trHeight w:val="345"/>
          <w:jc w:val="center"/>
        </w:trPr>
        <w:tc>
          <w:tcPr>
            <w:tcW w:w="1779" w:type="dxa"/>
            <w:vMerge/>
            <w:shd w:val="clear" w:color="auto" w:fill="D9D9D9"/>
            <w:vAlign w:val="center"/>
          </w:tcPr>
          <w:p w14:paraId="3A4313B3" w14:textId="77777777" w:rsidR="00CB00DF" w:rsidRPr="003F475D" w:rsidRDefault="00CB00DF" w:rsidP="003F475D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71" w:type="dxa"/>
            <w:gridSpan w:val="2"/>
          </w:tcPr>
          <w:p w14:paraId="3A578734" w14:textId="77777777" w:rsidR="00CB00DF" w:rsidRPr="003F475D" w:rsidRDefault="00CB00DF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□6.由两个以上的经营者共同控制的合营企业，通过集中被其中一个或一个以上经营者控制。</w:t>
            </w:r>
          </w:p>
        </w:tc>
      </w:tr>
      <w:tr w:rsidR="00CB00DF" w:rsidRPr="003F475D" w14:paraId="58E42B94" w14:textId="77777777" w:rsidTr="003F475D">
        <w:trPr>
          <w:trHeight w:val="3128"/>
          <w:jc w:val="center"/>
        </w:trPr>
        <w:tc>
          <w:tcPr>
            <w:tcW w:w="1779" w:type="dxa"/>
            <w:shd w:val="clear" w:color="auto" w:fill="D9D9D9"/>
            <w:vAlign w:val="center"/>
          </w:tcPr>
          <w:p w14:paraId="28E8A4A8" w14:textId="77777777" w:rsidR="00CB00DF" w:rsidRPr="003F475D" w:rsidRDefault="00CB00DF" w:rsidP="003F475D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  <w:tc>
          <w:tcPr>
            <w:tcW w:w="7371" w:type="dxa"/>
            <w:gridSpan w:val="2"/>
          </w:tcPr>
          <w:p w14:paraId="638E6D58" w14:textId="1D51700F" w:rsidR="00CB00DF" w:rsidRPr="003F475D" w:rsidRDefault="00E3052E" w:rsidP="003F475D">
            <w:pPr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F475D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混合集中：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39"/>
              <w:gridCol w:w="1768"/>
              <w:gridCol w:w="2711"/>
            </w:tblGrid>
            <w:tr w:rsidR="00E3052E" w:rsidRPr="003F475D" w14:paraId="6AB0066F" w14:textId="77777777" w:rsidTr="009957CA">
              <w:trPr>
                <w:trHeight w:val="450"/>
              </w:trPr>
              <w:tc>
                <w:tcPr>
                  <w:tcW w:w="2239" w:type="dxa"/>
                  <w:shd w:val="clear" w:color="auto" w:fill="E7E6E6" w:themeFill="background2"/>
                  <w:vAlign w:val="center"/>
                </w:tcPr>
                <w:p w14:paraId="6199AF18" w14:textId="7577E246" w:rsidR="00E3052E" w:rsidRPr="003F475D" w:rsidRDefault="00E3052E" w:rsidP="009957CA">
                  <w:pPr>
                    <w:jc w:val="center"/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相关</w:t>
                  </w:r>
                  <w:r w:rsid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商品</w:t>
                  </w:r>
                  <w:r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市场</w:t>
                  </w:r>
                </w:p>
              </w:tc>
              <w:tc>
                <w:tcPr>
                  <w:tcW w:w="1768" w:type="dxa"/>
                  <w:shd w:val="clear" w:color="auto" w:fill="E7E6E6" w:themeFill="background2"/>
                  <w:vAlign w:val="center"/>
                </w:tcPr>
                <w:p w14:paraId="5FDF0CE6" w14:textId="0BEB0B74" w:rsidR="00E3052E" w:rsidRPr="003F475D" w:rsidRDefault="00E3052E" w:rsidP="009957CA">
                  <w:pPr>
                    <w:jc w:val="center"/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相关地域市场</w:t>
                  </w:r>
                </w:p>
              </w:tc>
              <w:tc>
                <w:tcPr>
                  <w:tcW w:w="2711" w:type="dxa"/>
                  <w:shd w:val="clear" w:color="auto" w:fill="E7E6E6" w:themeFill="background2"/>
                  <w:vAlign w:val="center"/>
                </w:tcPr>
                <w:p w14:paraId="0AFEC3F3" w14:textId="1D48DD16" w:rsidR="00E3052E" w:rsidRPr="003F475D" w:rsidRDefault="00E3052E" w:rsidP="009957CA">
                  <w:pPr>
                    <w:jc w:val="center"/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2</w:t>
                  </w:r>
                  <w:r w:rsidRPr="003F475D"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021</w:t>
                  </w:r>
                  <w:r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年市场份额</w:t>
                  </w:r>
                </w:p>
              </w:tc>
            </w:tr>
            <w:tr w:rsidR="005D0521" w:rsidRPr="003F475D" w14:paraId="3159A513" w14:textId="77777777" w:rsidTr="009957CA">
              <w:trPr>
                <w:trHeight w:val="698"/>
              </w:trPr>
              <w:tc>
                <w:tcPr>
                  <w:tcW w:w="2239" w:type="dxa"/>
                  <w:vAlign w:val="center"/>
                </w:tcPr>
                <w:p w14:paraId="62B95F7D" w14:textId="44C866DB" w:rsidR="005D0521" w:rsidRPr="003F475D" w:rsidRDefault="005D0521" w:rsidP="009957CA">
                  <w:pPr>
                    <w:jc w:val="center"/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儿童护肤品市场</w:t>
                  </w:r>
                </w:p>
              </w:tc>
              <w:tc>
                <w:tcPr>
                  <w:tcW w:w="1768" w:type="dxa"/>
                  <w:vAlign w:val="center"/>
                </w:tcPr>
                <w:p w14:paraId="7C9133BF" w14:textId="1FF6362F" w:rsidR="005D0521" w:rsidRPr="003F475D" w:rsidRDefault="005D0521" w:rsidP="009957CA">
                  <w:pPr>
                    <w:jc w:val="center"/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中国境内</w:t>
                  </w:r>
                </w:p>
              </w:tc>
              <w:tc>
                <w:tcPr>
                  <w:tcW w:w="2711" w:type="dxa"/>
                  <w:vAlign w:val="center"/>
                </w:tcPr>
                <w:p w14:paraId="16313CCC" w14:textId="77777777" w:rsidR="005D0521" w:rsidRDefault="00971255" w:rsidP="009957CA">
                  <w:pPr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华熙海御</w:t>
                  </w:r>
                  <w:r w:rsidR="005D0521"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：0</w:t>
                  </w:r>
                  <w:r w:rsidR="005D0521" w:rsidRPr="003F475D"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-5%</w:t>
                  </w:r>
                </w:p>
                <w:p w14:paraId="697B1175" w14:textId="3EBD0CA9" w:rsidR="009957CA" w:rsidRPr="003F475D" w:rsidRDefault="009957CA" w:rsidP="009957CA">
                  <w:pPr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合营企业（预估）：0</w:t>
                  </w:r>
                  <w:r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-5%</w:t>
                  </w:r>
                </w:p>
              </w:tc>
            </w:tr>
            <w:tr w:rsidR="005D0521" w:rsidRPr="003F475D" w14:paraId="4C52B68D" w14:textId="77777777" w:rsidTr="009957CA">
              <w:trPr>
                <w:trHeight w:val="708"/>
              </w:trPr>
              <w:tc>
                <w:tcPr>
                  <w:tcW w:w="2239" w:type="dxa"/>
                  <w:vAlign w:val="center"/>
                </w:tcPr>
                <w:p w14:paraId="571E8F23" w14:textId="72D94275" w:rsidR="005D0521" w:rsidRPr="003F475D" w:rsidRDefault="005D0521" w:rsidP="009957CA">
                  <w:pPr>
                    <w:jc w:val="center"/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儿童洗浴用品市场</w:t>
                  </w:r>
                </w:p>
              </w:tc>
              <w:tc>
                <w:tcPr>
                  <w:tcW w:w="1768" w:type="dxa"/>
                  <w:vAlign w:val="center"/>
                </w:tcPr>
                <w:p w14:paraId="4A660542" w14:textId="438967F0" w:rsidR="005D0521" w:rsidRPr="003F475D" w:rsidRDefault="005D0521" w:rsidP="009957CA">
                  <w:pPr>
                    <w:jc w:val="center"/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中国境内</w:t>
                  </w:r>
                </w:p>
              </w:tc>
              <w:tc>
                <w:tcPr>
                  <w:tcW w:w="2711" w:type="dxa"/>
                  <w:vAlign w:val="center"/>
                </w:tcPr>
                <w:p w14:paraId="74D32FED" w14:textId="77777777" w:rsidR="005D0521" w:rsidRDefault="00971255" w:rsidP="009957CA">
                  <w:pPr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华熙海御</w:t>
                  </w:r>
                  <w:r w:rsidR="005D0521"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：0</w:t>
                  </w:r>
                  <w:r w:rsidR="005D0521" w:rsidRPr="003F475D"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-5%</w:t>
                  </w:r>
                </w:p>
                <w:p w14:paraId="46E4A31F" w14:textId="64E299B2" w:rsidR="009957CA" w:rsidRPr="003F475D" w:rsidRDefault="009957CA" w:rsidP="009957CA">
                  <w:pPr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合营企业（预估）：0</w:t>
                  </w:r>
                  <w:r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-5%</w:t>
                  </w:r>
                </w:p>
              </w:tc>
            </w:tr>
            <w:tr w:rsidR="00652531" w:rsidRPr="003F475D" w14:paraId="3881818D" w14:textId="77777777" w:rsidTr="009957CA">
              <w:trPr>
                <w:trHeight w:val="691"/>
              </w:trPr>
              <w:tc>
                <w:tcPr>
                  <w:tcW w:w="2239" w:type="dxa"/>
                  <w:vAlign w:val="center"/>
                </w:tcPr>
                <w:p w14:paraId="62048C0D" w14:textId="7D149CE9" w:rsidR="00652531" w:rsidRPr="003F475D" w:rsidRDefault="00652531" w:rsidP="009957CA">
                  <w:pPr>
                    <w:jc w:val="center"/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成人护肤品市场</w:t>
                  </w:r>
                </w:p>
              </w:tc>
              <w:tc>
                <w:tcPr>
                  <w:tcW w:w="1768" w:type="dxa"/>
                  <w:vAlign w:val="center"/>
                </w:tcPr>
                <w:p w14:paraId="637DAFAE" w14:textId="1AD48DDC" w:rsidR="00652531" w:rsidRPr="003F475D" w:rsidRDefault="00652531" w:rsidP="009957CA">
                  <w:pPr>
                    <w:jc w:val="center"/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中国境内</w:t>
                  </w:r>
                </w:p>
              </w:tc>
              <w:tc>
                <w:tcPr>
                  <w:tcW w:w="2711" w:type="dxa"/>
                  <w:vAlign w:val="center"/>
                </w:tcPr>
                <w:p w14:paraId="01B44DB5" w14:textId="77777777" w:rsidR="00652531" w:rsidRDefault="00971255" w:rsidP="009957CA">
                  <w:pPr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华熙海御</w:t>
                  </w:r>
                  <w:r w:rsidR="00652531" w:rsidRPr="003F475D"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：0</w:t>
                  </w:r>
                  <w:r w:rsidR="00652531" w:rsidRPr="003F475D"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-5%</w:t>
                  </w:r>
                </w:p>
                <w:p w14:paraId="67C981B2" w14:textId="7D15C87B" w:rsidR="009957CA" w:rsidRPr="003F475D" w:rsidRDefault="009957CA" w:rsidP="009957CA">
                  <w:pPr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合营企业（预估）：0</w:t>
                  </w:r>
                  <w:r>
                    <w:rPr>
                      <w:rFonts w:ascii="宋体" w:hAnsi="宋体" w:cs="宋体"/>
                      <w:color w:val="333333"/>
                      <w:kern w:val="0"/>
                      <w:sz w:val="24"/>
                      <w:szCs w:val="24"/>
                      <w:bdr w:val="none" w:sz="0" w:space="0" w:color="auto" w:frame="1"/>
                    </w:rPr>
                    <w:t>-5%</w:t>
                  </w:r>
                </w:p>
              </w:tc>
            </w:tr>
          </w:tbl>
          <w:p w14:paraId="00019CAC" w14:textId="0065FC58" w:rsidR="00E3052E" w:rsidRPr="003F475D" w:rsidRDefault="00E3052E" w:rsidP="003F475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55387349" w14:textId="77777777" w:rsidR="000F5E24" w:rsidRPr="00CB00DF" w:rsidRDefault="00000000"/>
    <w:sectPr w:rsidR="000F5E24" w:rsidRPr="00CB00DF" w:rsidSect="00ED21B1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1006" w14:textId="77777777" w:rsidR="00C04673" w:rsidRDefault="00C04673" w:rsidP="001C2F8F">
      <w:r>
        <w:separator/>
      </w:r>
    </w:p>
  </w:endnote>
  <w:endnote w:type="continuationSeparator" w:id="0">
    <w:p w14:paraId="65D77389" w14:textId="77777777" w:rsidR="00C04673" w:rsidRDefault="00C04673" w:rsidP="001C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1658143675"/>
      <w:docPartObj>
        <w:docPartGallery w:val="Page Numbers (Bottom of Page)"/>
        <w:docPartUnique/>
      </w:docPartObj>
    </w:sdtPr>
    <w:sdtContent>
      <w:p w14:paraId="7D312CE2" w14:textId="5B0E4C65" w:rsidR="001C2F8F" w:rsidRDefault="001C2F8F" w:rsidP="009A0B3E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500F7CBD" w14:textId="77777777" w:rsidR="001C2F8F" w:rsidRDefault="001C2F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5592" w14:textId="77777777" w:rsidR="00C04673" w:rsidRDefault="00C04673" w:rsidP="001C2F8F">
      <w:r>
        <w:separator/>
      </w:r>
    </w:p>
  </w:footnote>
  <w:footnote w:type="continuationSeparator" w:id="0">
    <w:p w14:paraId="7B08E0DF" w14:textId="77777777" w:rsidR="00C04673" w:rsidRDefault="00C04673" w:rsidP="001C2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0DF"/>
    <w:rsid w:val="00037065"/>
    <w:rsid w:val="000B17CF"/>
    <w:rsid w:val="000D7EBA"/>
    <w:rsid w:val="000F398E"/>
    <w:rsid w:val="001164CD"/>
    <w:rsid w:val="00151350"/>
    <w:rsid w:val="00155717"/>
    <w:rsid w:val="001837A3"/>
    <w:rsid w:val="001C2F8F"/>
    <w:rsid w:val="00312407"/>
    <w:rsid w:val="003C0AEB"/>
    <w:rsid w:val="003F475D"/>
    <w:rsid w:val="004F7688"/>
    <w:rsid w:val="005D0521"/>
    <w:rsid w:val="006467D8"/>
    <w:rsid w:val="00652531"/>
    <w:rsid w:val="006A531B"/>
    <w:rsid w:val="006B2C93"/>
    <w:rsid w:val="006F7693"/>
    <w:rsid w:val="00710140"/>
    <w:rsid w:val="007F2275"/>
    <w:rsid w:val="00915F0F"/>
    <w:rsid w:val="009532DF"/>
    <w:rsid w:val="00971255"/>
    <w:rsid w:val="009957CA"/>
    <w:rsid w:val="00997019"/>
    <w:rsid w:val="009A5029"/>
    <w:rsid w:val="009D38D5"/>
    <w:rsid w:val="00A25AF8"/>
    <w:rsid w:val="00A53F26"/>
    <w:rsid w:val="00AA0CC5"/>
    <w:rsid w:val="00B16AFE"/>
    <w:rsid w:val="00B65DD5"/>
    <w:rsid w:val="00BD10B6"/>
    <w:rsid w:val="00C04673"/>
    <w:rsid w:val="00C07076"/>
    <w:rsid w:val="00CB00DF"/>
    <w:rsid w:val="00CB21BE"/>
    <w:rsid w:val="00CF7670"/>
    <w:rsid w:val="00D73C72"/>
    <w:rsid w:val="00DB0D3C"/>
    <w:rsid w:val="00E0592B"/>
    <w:rsid w:val="00E3052E"/>
    <w:rsid w:val="00E31738"/>
    <w:rsid w:val="00E86786"/>
    <w:rsid w:val="00ED2F80"/>
    <w:rsid w:val="00F1624E"/>
    <w:rsid w:val="00F32F8A"/>
    <w:rsid w:val="00F810AA"/>
    <w:rsid w:val="00FB0B93"/>
    <w:rsid w:val="00FB43EC"/>
    <w:rsid w:val="00FB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68A7A"/>
  <w15:docId w15:val="{D19730D0-5D84-8E4C-B64D-75A92C0C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E30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C2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1C2F8F"/>
    <w:rPr>
      <w:rFonts w:ascii="Calibri" w:eastAsia="宋体" w:hAnsi="Calibri" w:cs="Times New Roman"/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1C2F8F"/>
  </w:style>
  <w:style w:type="paragraph" w:styleId="a7">
    <w:name w:val="header"/>
    <w:basedOn w:val="a"/>
    <w:link w:val="a8"/>
    <w:uiPriority w:val="99"/>
    <w:unhideWhenUsed/>
    <w:rsid w:val="003F47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F47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陈媚</dc:creator>
  <cp:lastModifiedBy>WJ</cp:lastModifiedBy>
  <cp:revision>13</cp:revision>
  <dcterms:created xsi:type="dcterms:W3CDTF">2018-09-29T02:33:00Z</dcterms:created>
  <dcterms:modified xsi:type="dcterms:W3CDTF">2022-12-01T08:35:00Z</dcterms:modified>
</cp:coreProperties>
</file>