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100" w:beforeAutospacing="1" w:after="100" w:afterAutospacing="1"/>
        <w:jc w:val="left"/>
        <w:rPr>
          <w:rFonts w:ascii="Times New Roman" w:hAnsi="Times New Roman"/>
          <w:b/>
          <w:szCs w:val="21"/>
        </w:rPr>
      </w:pPr>
    </w:p>
    <w:p>
      <w:pPr>
        <w:spacing w:line="440" w:lineRule="exact"/>
        <w:jc w:val="center"/>
        <w:rPr>
          <w:rFonts w:ascii="黑体" w:hAnsi="Times New Roman" w:eastAsia="黑体"/>
          <w:sz w:val="36"/>
          <w:szCs w:val="36"/>
        </w:rPr>
      </w:pPr>
      <w:r>
        <w:rPr>
          <w:rFonts w:hint="eastAsia" w:ascii="黑体" w:hAnsi="Times New Roman" w:eastAsia="黑体"/>
          <w:sz w:val="36"/>
          <w:szCs w:val="36"/>
        </w:rPr>
        <w:t>经营者集中简易案件公示表</w:t>
      </w:r>
    </w:p>
    <w:p>
      <w:pPr>
        <w:spacing w:line="440" w:lineRule="exact"/>
        <w:rPr>
          <w:rFonts w:ascii="黑体" w:hAnsi="Times New Roman" w:eastAsia="黑体"/>
          <w:sz w:val="28"/>
          <w:szCs w:val="28"/>
        </w:rPr>
      </w:pPr>
    </w:p>
    <w:p>
      <w:pPr>
        <w:spacing w:line="440" w:lineRule="exact"/>
        <w:ind w:firstLine="845" w:firstLineChars="302"/>
        <w:rPr>
          <w:rFonts w:ascii="仿宋_GB2312" w:hAnsi="Times New Roman" w:eastAsia="仿宋_GB2312"/>
          <w:sz w:val="28"/>
          <w:szCs w:val="28"/>
        </w:rPr>
      </w:pPr>
    </w:p>
    <w:tbl>
      <w:tblPr>
        <w:tblStyle w:val="8"/>
        <w:tblW w:w="8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1796"/>
        <w:gridCol w:w="5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D9D9D9"/>
            <w:vAlign w:val="center"/>
          </w:tcPr>
          <w:p>
            <w:pPr>
              <w:spacing w:line="500" w:lineRule="exact"/>
              <w:jc w:val="center"/>
              <w:rPr>
                <w:rFonts w:ascii="宋体" w:hAnsi="宋体" w:cs="宋体"/>
                <w:color w:val="333333"/>
                <w:kern w:val="0"/>
                <w:sz w:val="24"/>
                <w:szCs w:val="24"/>
              </w:rPr>
            </w:pPr>
            <w:r>
              <w:rPr>
                <w:rFonts w:hint="eastAsia" w:ascii="宋体" w:hAnsi="宋体" w:cs="宋体"/>
                <w:color w:val="333333"/>
                <w:kern w:val="0"/>
                <w:sz w:val="24"/>
                <w:szCs w:val="24"/>
              </w:rPr>
              <w:t>案件名称</w:t>
            </w:r>
          </w:p>
        </w:tc>
        <w:tc>
          <w:tcPr>
            <w:tcW w:w="6949" w:type="dxa"/>
            <w:gridSpan w:val="2"/>
            <w:vAlign w:val="center"/>
          </w:tcPr>
          <w:p>
            <w:pPr>
              <w:spacing w:line="500" w:lineRule="exact"/>
              <w:rPr>
                <w:rFonts w:ascii="宋体" w:hAnsi="宋体" w:cs="宋体"/>
                <w:color w:val="333333"/>
                <w:kern w:val="0"/>
                <w:sz w:val="24"/>
                <w:szCs w:val="24"/>
              </w:rPr>
            </w:pPr>
            <w:r>
              <w:rPr>
                <w:rFonts w:hint="eastAsia" w:ascii="宋体" w:hAnsi="宋体" w:cs="宋体"/>
                <w:color w:val="333333"/>
                <w:kern w:val="0"/>
                <w:sz w:val="24"/>
                <w:szCs w:val="24"/>
              </w:rPr>
              <w:t>北京北汽鹏龙汽车服务贸易股份有限公司收购北京伊诺盛北广广告有限公司股权案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1809" w:type="dxa"/>
            <w:shd w:val="clear" w:color="auto" w:fill="D9D9D9"/>
            <w:vAlign w:val="center"/>
          </w:tcPr>
          <w:p>
            <w:pPr>
              <w:spacing w:line="500" w:lineRule="exact"/>
              <w:jc w:val="center"/>
              <w:rPr>
                <w:rFonts w:ascii="宋体" w:hAnsi="宋体" w:cs="宋体"/>
                <w:color w:val="333333"/>
                <w:kern w:val="0"/>
                <w:sz w:val="24"/>
                <w:szCs w:val="24"/>
              </w:rPr>
            </w:pPr>
            <w:r>
              <w:rPr>
                <w:rFonts w:hint="eastAsia" w:ascii="宋体" w:hAnsi="宋体" w:cs="宋体"/>
                <w:color w:val="333333"/>
                <w:kern w:val="0"/>
                <w:sz w:val="24"/>
                <w:szCs w:val="24"/>
              </w:rPr>
              <w:t>交易概况</w:t>
            </w:r>
          </w:p>
          <w:p>
            <w:pPr>
              <w:spacing w:line="500" w:lineRule="exact"/>
              <w:jc w:val="center"/>
              <w:rPr>
                <w:rFonts w:ascii="宋体" w:hAnsi="宋体" w:cs="宋体"/>
                <w:color w:val="333333"/>
                <w:kern w:val="0"/>
                <w:sz w:val="24"/>
                <w:szCs w:val="24"/>
              </w:rPr>
            </w:pPr>
            <w:r>
              <w:rPr>
                <w:rFonts w:hint="eastAsia" w:ascii="宋体" w:hAnsi="宋体" w:cs="宋体"/>
                <w:color w:val="333333"/>
                <w:kern w:val="0"/>
                <w:sz w:val="24"/>
                <w:szCs w:val="24"/>
              </w:rPr>
              <w:t>（限200字内）</w:t>
            </w:r>
          </w:p>
        </w:tc>
        <w:tc>
          <w:tcPr>
            <w:tcW w:w="6949" w:type="dxa"/>
            <w:gridSpan w:val="2"/>
            <w:vAlign w:val="center"/>
          </w:tcPr>
          <w:p>
            <w:pPr>
              <w:spacing w:line="500" w:lineRule="exact"/>
              <w:rPr>
                <w:rFonts w:ascii="宋体" w:hAnsi="宋体" w:cs="宋体"/>
                <w:color w:val="333333"/>
                <w:kern w:val="0"/>
                <w:sz w:val="24"/>
                <w:szCs w:val="24"/>
              </w:rPr>
            </w:pPr>
            <w:r>
              <w:rPr>
                <w:rFonts w:hint="eastAsia" w:ascii="宋体" w:hAnsi="宋体" w:cs="宋体"/>
                <w:color w:val="333333"/>
                <w:kern w:val="0"/>
                <w:sz w:val="24"/>
                <w:szCs w:val="24"/>
              </w:rPr>
              <w:t>北京世纪北广广告有限公司（“世纪北广”）与北京北汽鹏龙汽车服务贸易股份有限公司（“北汽鹏龙”）签署股权转让协议，北汽鹏龙收购北京伊诺盛北广广告有限公司（“伊诺盛北广”）4</w:t>
            </w:r>
            <w:r>
              <w:rPr>
                <w:rFonts w:ascii="宋体" w:hAnsi="宋体" w:cs="宋体"/>
                <w:color w:val="333333"/>
                <w:kern w:val="0"/>
                <w:sz w:val="24"/>
                <w:szCs w:val="24"/>
              </w:rPr>
              <w:t>9</w:t>
            </w:r>
            <w:r>
              <w:rPr>
                <w:rFonts w:hint="eastAsia" w:ascii="宋体" w:hAnsi="宋体" w:cs="宋体"/>
                <w:color w:val="333333"/>
                <w:kern w:val="0"/>
                <w:sz w:val="24"/>
                <w:szCs w:val="24"/>
              </w:rPr>
              <w:t>%的股权。伊诺盛北广主要从事广告营销业务。交易前，北京汽车集团有限公司（“北汽集团”）、北京北广未来文化发展有限公司（“北京北广”）、自然人与株式会社伊诺盛分别间接或直接持有伊诺盛北广1</w:t>
            </w:r>
            <w:r>
              <w:rPr>
                <w:rFonts w:ascii="宋体" w:hAnsi="宋体" w:cs="宋体"/>
                <w:color w:val="333333"/>
                <w:kern w:val="0"/>
                <w:sz w:val="24"/>
                <w:szCs w:val="24"/>
              </w:rPr>
              <w:t>8</w:t>
            </w:r>
            <w:r>
              <w:rPr>
                <w:rFonts w:hint="eastAsia" w:ascii="宋体" w:hAnsi="宋体" w:cs="宋体"/>
                <w:color w:val="333333"/>
                <w:kern w:val="0"/>
                <w:sz w:val="24"/>
                <w:szCs w:val="24"/>
              </w:rPr>
              <w:t>%、9</w:t>
            </w:r>
            <w:r>
              <w:rPr>
                <w:rFonts w:ascii="宋体" w:hAnsi="宋体" w:cs="宋体"/>
                <w:color w:val="333333"/>
                <w:kern w:val="0"/>
                <w:sz w:val="24"/>
                <w:szCs w:val="24"/>
              </w:rPr>
              <w:t>.8</w:t>
            </w:r>
            <w:r>
              <w:rPr>
                <w:rFonts w:hint="eastAsia" w:ascii="宋体" w:hAnsi="宋体" w:cs="宋体"/>
                <w:color w:val="333333"/>
                <w:kern w:val="0"/>
                <w:sz w:val="24"/>
                <w:szCs w:val="24"/>
              </w:rPr>
              <w:t>%、9</w:t>
            </w:r>
            <w:r>
              <w:rPr>
                <w:rFonts w:ascii="宋体" w:hAnsi="宋体" w:cs="宋体"/>
                <w:color w:val="333333"/>
                <w:kern w:val="0"/>
                <w:sz w:val="24"/>
                <w:szCs w:val="24"/>
              </w:rPr>
              <w:t>.3</w:t>
            </w:r>
            <w:r>
              <w:rPr>
                <w:rFonts w:hint="eastAsia" w:ascii="宋体" w:hAnsi="宋体" w:cs="宋体"/>
                <w:color w:val="333333"/>
                <w:kern w:val="0"/>
                <w:sz w:val="24"/>
                <w:szCs w:val="24"/>
              </w:rPr>
              <w:t>%、5</w:t>
            </w:r>
            <w:r>
              <w:rPr>
                <w:rFonts w:ascii="宋体" w:hAnsi="宋体" w:cs="宋体"/>
                <w:color w:val="333333"/>
                <w:kern w:val="0"/>
                <w:sz w:val="24"/>
                <w:szCs w:val="24"/>
              </w:rPr>
              <w:t>1</w:t>
            </w:r>
            <w:r>
              <w:rPr>
                <w:rFonts w:hint="eastAsia" w:ascii="宋体" w:hAnsi="宋体" w:cs="宋体"/>
                <w:color w:val="333333"/>
                <w:kern w:val="0"/>
                <w:sz w:val="24"/>
                <w:szCs w:val="24"/>
              </w:rPr>
              <w:t>%的股权，共同控制伊诺盛北广。交易后，北汽鹏龙将持有伊诺盛北广4</w:t>
            </w:r>
            <w:r>
              <w:rPr>
                <w:rFonts w:ascii="宋体" w:hAnsi="宋体" w:cs="宋体"/>
                <w:color w:val="333333"/>
                <w:kern w:val="0"/>
                <w:sz w:val="24"/>
                <w:szCs w:val="24"/>
              </w:rPr>
              <w:t>9</w:t>
            </w:r>
            <w:r>
              <w:rPr>
                <w:rFonts w:hint="eastAsia" w:ascii="宋体" w:hAnsi="宋体" w:cs="宋体"/>
                <w:color w:val="333333"/>
                <w:kern w:val="0"/>
                <w:sz w:val="24"/>
                <w:szCs w:val="24"/>
              </w:rPr>
              <w:t>%的股权，北汽鹏龙、株式会社伊诺盛共同控制伊诺盛北广。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809" w:type="dxa"/>
            <w:vMerge w:val="restart"/>
            <w:shd w:val="clear" w:color="auto" w:fill="D9D9D9"/>
            <w:vAlign w:val="center"/>
          </w:tcPr>
          <w:p>
            <w:pPr>
              <w:spacing w:line="500" w:lineRule="exact"/>
              <w:jc w:val="center"/>
              <w:rPr>
                <w:rFonts w:ascii="宋体" w:hAnsi="宋体" w:cs="宋体"/>
                <w:color w:val="333333"/>
                <w:kern w:val="0"/>
                <w:sz w:val="24"/>
                <w:szCs w:val="24"/>
              </w:rPr>
            </w:pPr>
            <w:r>
              <w:rPr>
                <w:rFonts w:hint="eastAsia" w:ascii="宋体" w:hAnsi="宋体" w:cs="宋体"/>
                <w:color w:val="333333"/>
                <w:kern w:val="0"/>
                <w:sz w:val="24"/>
                <w:szCs w:val="24"/>
              </w:rPr>
              <w:t>参与集中的</w:t>
            </w:r>
          </w:p>
          <w:p>
            <w:pPr>
              <w:spacing w:line="500" w:lineRule="exact"/>
              <w:jc w:val="center"/>
              <w:rPr>
                <w:rFonts w:ascii="宋体" w:hAnsi="宋体" w:cs="宋体"/>
                <w:color w:val="333333"/>
                <w:kern w:val="0"/>
                <w:sz w:val="24"/>
                <w:szCs w:val="24"/>
              </w:rPr>
            </w:pPr>
            <w:r>
              <w:rPr>
                <w:rFonts w:hint="eastAsia" w:ascii="宋体" w:hAnsi="宋体" w:cs="宋体"/>
                <w:color w:val="333333"/>
                <w:kern w:val="0"/>
                <w:sz w:val="24"/>
                <w:szCs w:val="24"/>
              </w:rPr>
              <w:t>经营者简介</w:t>
            </w:r>
          </w:p>
        </w:tc>
        <w:tc>
          <w:tcPr>
            <w:tcW w:w="1796" w:type="dxa"/>
          </w:tcPr>
          <w:p>
            <w:pPr>
              <w:spacing w:line="500" w:lineRule="exact"/>
              <w:rPr>
                <w:rFonts w:ascii="宋体" w:hAnsi="宋体" w:cs="宋体"/>
                <w:color w:val="333333"/>
                <w:kern w:val="0"/>
                <w:sz w:val="24"/>
                <w:szCs w:val="24"/>
              </w:rPr>
            </w:pPr>
            <w:r>
              <w:rPr>
                <w:rFonts w:hint="eastAsia" w:ascii="宋体" w:hAnsi="宋体" w:cs="宋体"/>
                <w:color w:val="333333"/>
                <w:kern w:val="0"/>
                <w:sz w:val="24"/>
                <w:szCs w:val="24"/>
              </w:rPr>
              <w:t>北汽鹏龙</w:t>
            </w:r>
          </w:p>
        </w:tc>
        <w:tc>
          <w:tcPr>
            <w:tcW w:w="5153" w:type="dxa"/>
          </w:tcPr>
          <w:p>
            <w:pPr>
              <w:spacing w:line="500" w:lineRule="exact"/>
              <w:rPr>
                <w:rFonts w:ascii="宋体" w:hAnsi="宋体" w:cs="宋体"/>
                <w:color w:val="333333"/>
                <w:kern w:val="0"/>
                <w:sz w:val="24"/>
                <w:szCs w:val="24"/>
              </w:rPr>
            </w:pPr>
            <w:r>
              <w:rPr>
                <w:rFonts w:hint="eastAsia" w:ascii="宋体" w:hAnsi="宋体" w:cs="宋体"/>
                <w:color w:val="333333"/>
                <w:kern w:val="0"/>
                <w:sz w:val="24"/>
                <w:szCs w:val="24"/>
              </w:rPr>
              <w:t>2</w:t>
            </w:r>
            <w:r>
              <w:rPr>
                <w:rFonts w:ascii="宋体" w:hAnsi="宋体" w:cs="宋体"/>
                <w:color w:val="333333"/>
                <w:kern w:val="0"/>
                <w:sz w:val="24"/>
                <w:szCs w:val="24"/>
              </w:rPr>
              <w:t>010</w:t>
            </w:r>
            <w:r>
              <w:rPr>
                <w:rFonts w:hint="eastAsia" w:ascii="宋体" w:hAnsi="宋体" w:cs="宋体"/>
                <w:color w:val="333333"/>
                <w:kern w:val="0"/>
                <w:sz w:val="24"/>
                <w:szCs w:val="24"/>
              </w:rPr>
              <w:t>年1</w:t>
            </w:r>
            <w:r>
              <w:rPr>
                <w:rFonts w:ascii="宋体" w:hAnsi="宋体" w:cs="宋体"/>
                <w:color w:val="333333"/>
                <w:kern w:val="0"/>
                <w:sz w:val="24"/>
                <w:szCs w:val="24"/>
              </w:rPr>
              <w:t>月</w:t>
            </w:r>
            <w:r>
              <w:rPr>
                <w:rFonts w:hint="eastAsia" w:ascii="宋体" w:hAnsi="宋体" w:cs="宋体"/>
                <w:color w:val="333333"/>
                <w:kern w:val="0"/>
                <w:sz w:val="24"/>
                <w:szCs w:val="24"/>
              </w:rPr>
              <w:t>8</w:t>
            </w:r>
            <w:r>
              <w:rPr>
                <w:rFonts w:ascii="宋体" w:hAnsi="宋体" w:cs="宋体"/>
                <w:color w:val="333333"/>
                <w:kern w:val="0"/>
                <w:sz w:val="24"/>
                <w:szCs w:val="24"/>
              </w:rPr>
              <w:t>日</w:t>
            </w:r>
            <w:r>
              <w:rPr>
                <w:rFonts w:hint="eastAsia" w:ascii="宋体" w:hAnsi="宋体" w:cs="宋体"/>
                <w:color w:val="333333"/>
                <w:kern w:val="0"/>
                <w:sz w:val="24"/>
                <w:szCs w:val="24"/>
              </w:rPr>
              <w:t>成立于中国北京，主要从事汽车经销业务，且主要为梅赛德斯-奔驰、北京现代和为北京品牌汽车提供销售及相关业务。</w:t>
            </w:r>
          </w:p>
          <w:p>
            <w:pPr>
              <w:spacing w:line="500" w:lineRule="exact"/>
              <w:rPr>
                <w:rFonts w:ascii="宋体" w:hAnsi="宋体" w:cs="宋体"/>
                <w:color w:val="333333"/>
                <w:kern w:val="0"/>
                <w:sz w:val="24"/>
                <w:szCs w:val="24"/>
              </w:rPr>
            </w:pPr>
            <w:r>
              <w:rPr>
                <w:rFonts w:hint="eastAsia" w:ascii="宋体" w:hAnsi="宋体" w:cs="宋体"/>
                <w:color w:val="333333"/>
                <w:kern w:val="0"/>
                <w:sz w:val="24"/>
                <w:szCs w:val="24"/>
              </w:rPr>
              <w:t>最终控制人为北汽集团。主要从事整车制造、研发、零部件制造、金融、汽车服务贸易、通用航空、国际化业务和新能源汽车等业务。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809" w:type="dxa"/>
            <w:vMerge w:val="continue"/>
            <w:shd w:val="clear" w:color="auto" w:fill="D9D9D9"/>
            <w:vAlign w:val="center"/>
          </w:tcPr>
          <w:p>
            <w:pPr>
              <w:spacing w:line="500" w:lineRule="exact"/>
              <w:jc w:val="center"/>
              <w:rPr>
                <w:rFonts w:ascii="宋体" w:hAnsi="宋体" w:cs="宋体"/>
                <w:color w:val="333333"/>
                <w:kern w:val="0"/>
                <w:sz w:val="24"/>
                <w:szCs w:val="24"/>
              </w:rPr>
            </w:pPr>
          </w:p>
        </w:tc>
        <w:tc>
          <w:tcPr>
            <w:tcW w:w="1796" w:type="dxa"/>
          </w:tcPr>
          <w:p>
            <w:pPr>
              <w:spacing w:line="500" w:lineRule="exact"/>
              <w:rPr>
                <w:rFonts w:ascii="宋体" w:hAnsi="宋体" w:cs="宋体"/>
                <w:color w:val="333333"/>
                <w:kern w:val="0"/>
                <w:sz w:val="24"/>
                <w:szCs w:val="24"/>
              </w:rPr>
            </w:pPr>
            <w:r>
              <w:rPr>
                <w:rFonts w:hint="eastAsia" w:ascii="宋体" w:hAnsi="宋体" w:cs="宋体"/>
                <w:color w:val="333333"/>
                <w:kern w:val="0"/>
                <w:sz w:val="24"/>
                <w:szCs w:val="24"/>
              </w:rPr>
              <w:t>株式会社伊诺盛</w:t>
            </w:r>
          </w:p>
        </w:tc>
        <w:tc>
          <w:tcPr>
            <w:tcW w:w="5153" w:type="dxa"/>
            <w:vAlign w:val="center"/>
          </w:tcPr>
          <w:p>
            <w:pPr>
              <w:spacing w:line="500" w:lineRule="exact"/>
              <w:rPr>
                <w:rFonts w:ascii="宋体" w:hAnsi="宋体" w:cs="宋体"/>
                <w:color w:val="333333"/>
                <w:kern w:val="0"/>
                <w:sz w:val="24"/>
                <w:szCs w:val="24"/>
              </w:rPr>
            </w:pPr>
            <w:r>
              <w:rPr>
                <w:rFonts w:hint="eastAsia" w:ascii="宋体" w:hAnsi="宋体" w:cs="宋体"/>
                <w:color w:val="333333"/>
                <w:kern w:val="0"/>
                <w:sz w:val="24"/>
                <w:szCs w:val="24"/>
              </w:rPr>
              <w:t>2</w:t>
            </w:r>
            <w:r>
              <w:rPr>
                <w:rFonts w:ascii="宋体" w:hAnsi="宋体" w:cs="宋体"/>
                <w:color w:val="333333"/>
                <w:kern w:val="0"/>
                <w:sz w:val="24"/>
                <w:szCs w:val="24"/>
              </w:rPr>
              <w:t>005</w:t>
            </w:r>
            <w:r>
              <w:rPr>
                <w:rFonts w:hint="eastAsia" w:ascii="宋体" w:hAnsi="宋体" w:cs="宋体"/>
                <w:color w:val="333333"/>
                <w:kern w:val="0"/>
                <w:sz w:val="24"/>
                <w:szCs w:val="24"/>
              </w:rPr>
              <w:t>年5月1</w:t>
            </w:r>
            <w:r>
              <w:rPr>
                <w:rFonts w:ascii="宋体" w:hAnsi="宋体" w:cs="宋体"/>
                <w:color w:val="333333"/>
                <w:kern w:val="0"/>
                <w:sz w:val="24"/>
                <w:szCs w:val="24"/>
              </w:rPr>
              <w:t>7</w:t>
            </w:r>
            <w:r>
              <w:rPr>
                <w:rFonts w:hint="eastAsia" w:ascii="宋体" w:hAnsi="宋体" w:cs="宋体"/>
                <w:color w:val="333333"/>
                <w:kern w:val="0"/>
                <w:sz w:val="24"/>
                <w:szCs w:val="24"/>
              </w:rPr>
              <w:t>日成立于韩国首尔，为韩国证券交易所上市公司。主要从事广告代理及广告制作业务。</w:t>
            </w:r>
          </w:p>
          <w:p>
            <w:pPr>
              <w:spacing w:line="500" w:lineRule="exact"/>
              <w:rPr>
                <w:rFonts w:ascii="宋体" w:hAnsi="宋体" w:cs="宋体"/>
                <w:color w:val="333333"/>
                <w:kern w:val="0"/>
                <w:sz w:val="24"/>
                <w:szCs w:val="24"/>
              </w:rPr>
            </w:pPr>
            <w:r>
              <w:rPr>
                <w:rFonts w:hint="eastAsia" w:ascii="宋体" w:hAnsi="宋体" w:cs="宋体"/>
                <w:color w:val="333333"/>
                <w:kern w:val="0"/>
                <w:sz w:val="24"/>
                <w:szCs w:val="24"/>
              </w:rPr>
              <w:t>无最终控制人。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809" w:type="dxa"/>
            <w:vMerge w:val="continue"/>
            <w:shd w:val="clear" w:color="auto" w:fill="D9D9D9"/>
            <w:vAlign w:val="center"/>
          </w:tcPr>
          <w:p>
            <w:pPr>
              <w:spacing w:line="500" w:lineRule="exact"/>
              <w:jc w:val="center"/>
              <w:rPr>
                <w:rFonts w:ascii="宋体" w:hAnsi="宋体" w:cs="宋体"/>
                <w:color w:val="333333"/>
                <w:kern w:val="0"/>
                <w:sz w:val="24"/>
                <w:szCs w:val="24"/>
              </w:rPr>
            </w:pPr>
          </w:p>
        </w:tc>
        <w:tc>
          <w:tcPr>
            <w:tcW w:w="1796" w:type="dxa"/>
          </w:tcPr>
          <w:p>
            <w:pPr>
              <w:spacing w:line="500" w:lineRule="exact"/>
              <w:rPr>
                <w:rFonts w:ascii="宋体" w:hAnsi="宋体" w:cs="宋体"/>
                <w:color w:val="333333"/>
                <w:kern w:val="0"/>
                <w:sz w:val="24"/>
                <w:szCs w:val="24"/>
              </w:rPr>
            </w:pPr>
            <w:r>
              <w:rPr>
                <w:rFonts w:hint="eastAsia" w:ascii="宋体" w:hAnsi="宋体" w:cs="宋体"/>
                <w:color w:val="333333"/>
                <w:kern w:val="0"/>
                <w:sz w:val="24"/>
                <w:szCs w:val="24"/>
              </w:rPr>
              <w:t>伊诺盛北广</w:t>
            </w:r>
          </w:p>
        </w:tc>
        <w:tc>
          <w:tcPr>
            <w:tcW w:w="5153" w:type="dxa"/>
            <w:vAlign w:val="center"/>
          </w:tcPr>
          <w:p>
            <w:pPr>
              <w:spacing w:line="360" w:lineRule="auto"/>
              <w:rPr>
                <w:rFonts w:ascii="宋体" w:hAnsi="宋体" w:cs="宋体"/>
                <w:color w:val="333333"/>
                <w:kern w:val="0"/>
                <w:sz w:val="24"/>
                <w:szCs w:val="24"/>
              </w:rPr>
            </w:pPr>
            <w:r>
              <w:rPr>
                <w:rFonts w:hint="eastAsia" w:ascii="宋体" w:hAnsi="宋体" w:cs="宋体"/>
                <w:color w:val="333333"/>
                <w:kern w:val="0"/>
                <w:sz w:val="24"/>
                <w:szCs w:val="24"/>
              </w:rPr>
              <w:t>2</w:t>
            </w:r>
            <w:r>
              <w:rPr>
                <w:rFonts w:ascii="宋体" w:hAnsi="宋体" w:cs="宋体"/>
                <w:color w:val="333333"/>
                <w:kern w:val="0"/>
                <w:sz w:val="24"/>
                <w:szCs w:val="24"/>
              </w:rPr>
              <w:t>009</w:t>
            </w:r>
            <w:r>
              <w:rPr>
                <w:rFonts w:hint="eastAsia" w:ascii="宋体" w:hAnsi="宋体" w:cs="宋体"/>
                <w:color w:val="333333"/>
                <w:kern w:val="0"/>
                <w:sz w:val="24"/>
                <w:szCs w:val="24"/>
              </w:rPr>
              <w:t>年1</w:t>
            </w:r>
            <w:r>
              <w:rPr>
                <w:rFonts w:ascii="宋体" w:hAnsi="宋体" w:cs="宋体"/>
                <w:color w:val="333333"/>
                <w:kern w:val="0"/>
                <w:sz w:val="24"/>
                <w:szCs w:val="24"/>
              </w:rPr>
              <w:t>2</w:t>
            </w:r>
            <w:r>
              <w:rPr>
                <w:rFonts w:hint="eastAsia" w:ascii="宋体" w:hAnsi="宋体" w:cs="宋体"/>
                <w:color w:val="333333"/>
                <w:kern w:val="0"/>
                <w:sz w:val="24"/>
                <w:szCs w:val="24"/>
              </w:rPr>
              <w:t>月9日成立于中国北京。主要为北京现代汽车有限公司提供专业的媒体整合营销服务。</w:t>
            </w:r>
          </w:p>
          <w:p>
            <w:pPr>
              <w:pStyle w:val="2"/>
              <w:spacing w:line="360" w:lineRule="auto"/>
              <w:rPr>
                <w:sz w:val="24"/>
                <w:szCs w:val="24"/>
              </w:rPr>
            </w:pPr>
            <w:r>
              <w:rPr>
                <w:rFonts w:hint="eastAsia"/>
                <w:sz w:val="24"/>
                <w:szCs w:val="24"/>
              </w:rPr>
              <w:t>伊诺盛北广的最终控制人为北汽集团、株式会社伊诺盛、自然人、北京北广。其中，北汽集团的主要业务如上所述；株式会社伊诺盛的主要业务如上所述。</w:t>
            </w:r>
            <w:bookmarkStart w:id="1" w:name="_GoBack"/>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1809" w:type="dxa"/>
            <w:vMerge w:val="restart"/>
            <w:shd w:val="clear" w:color="auto" w:fill="D9D9D9"/>
            <w:vAlign w:val="center"/>
          </w:tcPr>
          <w:p>
            <w:pPr>
              <w:spacing w:line="500" w:lineRule="exact"/>
              <w:jc w:val="center"/>
              <w:rPr>
                <w:rFonts w:ascii="宋体" w:hAnsi="宋体" w:cs="宋体"/>
                <w:color w:val="333333"/>
                <w:kern w:val="0"/>
                <w:sz w:val="24"/>
                <w:szCs w:val="24"/>
              </w:rPr>
            </w:pPr>
            <w:r>
              <w:rPr>
                <w:rFonts w:hint="eastAsia" w:ascii="宋体" w:hAnsi="宋体" w:cs="宋体"/>
                <w:color w:val="333333"/>
                <w:kern w:val="0"/>
                <w:sz w:val="24"/>
                <w:szCs w:val="24"/>
              </w:rPr>
              <w:t>简易案件理由（可以单选，也可以多选）</w:t>
            </w:r>
          </w:p>
        </w:tc>
        <w:tc>
          <w:tcPr>
            <w:tcW w:w="6949" w:type="dxa"/>
            <w:gridSpan w:val="2"/>
          </w:tcPr>
          <w:p>
            <w:pPr>
              <w:spacing w:line="500" w:lineRule="exact"/>
              <w:rPr>
                <w:rFonts w:ascii="宋体" w:hAnsi="宋体" w:cs="宋体"/>
                <w:color w:val="333333"/>
                <w:kern w:val="0"/>
                <w:sz w:val="24"/>
                <w:szCs w:val="24"/>
              </w:rPr>
            </w:pPr>
            <w:r>
              <w:rPr>
                <w:rFonts w:hint="eastAsia" w:ascii="宋体" w:hAnsi="宋体" w:cs="宋体"/>
                <w:color w:val="333333"/>
                <w:kern w:val="0"/>
                <w:sz w:val="24"/>
                <w:szCs w:val="24"/>
              </w:rPr>
              <w:sym w:font="Wingdings" w:char="F0FE"/>
            </w:r>
            <w:r>
              <w:rPr>
                <w:rFonts w:hint="eastAsia" w:ascii="宋体" w:hAnsi="宋体" w:cs="宋体"/>
                <w:color w:val="333333"/>
                <w:kern w:val="0"/>
                <w:sz w:val="24"/>
                <w:szCs w:val="24"/>
              </w:rPr>
              <w:t>1.在同一相关市场，所有参与集中的经营者所占市场份额之和小于15%。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809" w:type="dxa"/>
            <w:vMerge w:val="continue"/>
            <w:shd w:val="clear" w:color="auto" w:fill="D9D9D9"/>
            <w:vAlign w:val="center"/>
          </w:tcPr>
          <w:p>
            <w:pPr>
              <w:spacing w:line="500" w:lineRule="exact"/>
              <w:jc w:val="center"/>
              <w:rPr>
                <w:rFonts w:ascii="宋体" w:hAnsi="宋体" w:cs="宋体"/>
                <w:color w:val="333333"/>
                <w:kern w:val="0"/>
                <w:sz w:val="24"/>
                <w:szCs w:val="24"/>
              </w:rPr>
            </w:pPr>
          </w:p>
        </w:tc>
        <w:tc>
          <w:tcPr>
            <w:tcW w:w="6949" w:type="dxa"/>
            <w:gridSpan w:val="2"/>
          </w:tcPr>
          <w:p>
            <w:pPr>
              <w:spacing w:line="500" w:lineRule="exact"/>
              <w:rPr>
                <w:rFonts w:ascii="宋体" w:hAnsi="宋体" w:cs="宋体"/>
                <w:color w:val="333333"/>
                <w:kern w:val="0"/>
                <w:sz w:val="24"/>
                <w:szCs w:val="24"/>
              </w:rPr>
            </w:pPr>
            <w:r>
              <w:rPr>
                <w:rFonts w:hint="eastAsia" w:ascii="宋体" w:hAnsi="宋体" w:cs="宋体"/>
                <w:color w:val="333333"/>
                <w:kern w:val="0"/>
                <w:sz w:val="24"/>
                <w:szCs w:val="24"/>
              </w:rPr>
              <w:t>□2.存在上下游关系的参与集中的经营者，在上下游市场所占的市场份额均小于25%。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809" w:type="dxa"/>
            <w:vMerge w:val="continue"/>
            <w:shd w:val="clear" w:color="auto" w:fill="D9D9D9"/>
            <w:vAlign w:val="center"/>
          </w:tcPr>
          <w:p>
            <w:pPr>
              <w:spacing w:line="500" w:lineRule="exact"/>
              <w:jc w:val="center"/>
              <w:rPr>
                <w:rFonts w:ascii="宋体" w:hAnsi="宋体" w:cs="宋体"/>
                <w:color w:val="333333"/>
                <w:kern w:val="0"/>
                <w:sz w:val="24"/>
                <w:szCs w:val="24"/>
              </w:rPr>
            </w:pPr>
          </w:p>
        </w:tc>
        <w:tc>
          <w:tcPr>
            <w:tcW w:w="6949" w:type="dxa"/>
            <w:gridSpan w:val="2"/>
          </w:tcPr>
          <w:p>
            <w:pPr>
              <w:spacing w:line="500" w:lineRule="exact"/>
              <w:rPr>
                <w:rFonts w:ascii="宋体" w:hAnsi="宋体" w:cs="宋体"/>
                <w:color w:val="333333"/>
                <w:kern w:val="0"/>
                <w:sz w:val="24"/>
                <w:szCs w:val="24"/>
              </w:rPr>
            </w:pPr>
            <w:r>
              <w:rPr>
                <w:rFonts w:hint="eastAsia" w:ascii="宋体" w:hAnsi="宋体" w:cs="宋体"/>
                <w:color w:val="333333"/>
                <w:kern w:val="0"/>
                <w:sz w:val="24"/>
                <w:szCs w:val="24"/>
              </w:rPr>
              <w:t>□3.不在同一相关市场、也不存在上下游关系的参与集中的经营者，在与交易有关的每个市场所占的份额均小于25%。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1809" w:type="dxa"/>
            <w:vMerge w:val="continue"/>
            <w:shd w:val="clear" w:color="auto" w:fill="D9D9D9"/>
            <w:vAlign w:val="center"/>
          </w:tcPr>
          <w:p>
            <w:pPr>
              <w:spacing w:line="500" w:lineRule="exact"/>
              <w:jc w:val="center"/>
              <w:rPr>
                <w:rFonts w:ascii="宋体" w:hAnsi="宋体" w:cs="宋体"/>
                <w:color w:val="333333"/>
                <w:kern w:val="0"/>
                <w:sz w:val="24"/>
                <w:szCs w:val="24"/>
              </w:rPr>
            </w:pPr>
          </w:p>
        </w:tc>
        <w:tc>
          <w:tcPr>
            <w:tcW w:w="6949" w:type="dxa"/>
            <w:gridSpan w:val="2"/>
          </w:tcPr>
          <w:p>
            <w:pPr>
              <w:spacing w:line="500" w:lineRule="exact"/>
              <w:rPr>
                <w:rFonts w:ascii="宋体" w:hAnsi="宋体" w:cs="宋体"/>
                <w:color w:val="333333"/>
                <w:kern w:val="0"/>
                <w:sz w:val="24"/>
                <w:szCs w:val="24"/>
              </w:rPr>
            </w:pPr>
            <w:r>
              <w:rPr>
                <w:rFonts w:hint="eastAsia" w:ascii="宋体" w:hAnsi="宋体" w:cs="宋体"/>
                <w:color w:val="333333"/>
                <w:kern w:val="0"/>
                <w:sz w:val="24"/>
                <w:szCs w:val="24"/>
              </w:rPr>
              <w:t>□4.参与集中的经营者在中国境外设立合营企业，合营企业不在中国境内从事经济活动。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809" w:type="dxa"/>
            <w:vMerge w:val="continue"/>
            <w:shd w:val="clear" w:color="auto" w:fill="D9D9D9"/>
            <w:vAlign w:val="center"/>
          </w:tcPr>
          <w:p>
            <w:pPr>
              <w:spacing w:line="500" w:lineRule="exact"/>
              <w:jc w:val="center"/>
              <w:rPr>
                <w:rFonts w:ascii="宋体" w:hAnsi="宋体" w:cs="宋体"/>
                <w:color w:val="333333"/>
                <w:kern w:val="0"/>
                <w:sz w:val="24"/>
                <w:szCs w:val="24"/>
              </w:rPr>
            </w:pPr>
          </w:p>
        </w:tc>
        <w:tc>
          <w:tcPr>
            <w:tcW w:w="6949" w:type="dxa"/>
            <w:gridSpan w:val="2"/>
          </w:tcPr>
          <w:p>
            <w:pPr>
              <w:spacing w:line="500" w:lineRule="exact"/>
              <w:rPr>
                <w:rFonts w:ascii="宋体" w:hAnsi="宋体" w:cs="宋体"/>
                <w:color w:val="333333"/>
                <w:kern w:val="0"/>
                <w:sz w:val="24"/>
                <w:szCs w:val="24"/>
              </w:rPr>
            </w:pPr>
            <w:r>
              <w:rPr>
                <w:rFonts w:hint="eastAsia" w:ascii="宋体" w:hAnsi="宋体" w:cs="宋体"/>
                <w:color w:val="333333"/>
                <w:kern w:val="0"/>
                <w:sz w:val="24"/>
                <w:szCs w:val="24"/>
              </w:rPr>
              <w:t>□5.参与集中的经营者收购境外企业股权或资产的，该境外企业不在中国境内从事经济活动。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809" w:type="dxa"/>
            <w:vMerge w:val="continue"/>
            <w:shd w:val="clear" w:color="auto" w:fill="D9D9D9"/>
            <w:vAlign w:val="center"/>
          </w:tcPr>
          <w:p>
            <w:pPr>
              <w:spacing w:line="500" w:lineRule="exact"/>
              <w:jc w:val="center"/>
              <w:rPr>
                <w:rFonts w:ascii="宋体" w:hAnsi="宋体" w:cs="宋体"/>
                <w:color w:val="333333"/>
                <w:kern w:val="0"/>
                <w:sz w:val="24"/>
                <w:szCs w:val="24"/>
              </w:rPr>
            </w:pPr>
          </w:p>
        </w:tc>
        <w:tc>
          <w:tcPr>
            <w:tcW w:w="6949" w:type="dxa"/>
            <w:gridSpan w:val="2"/>
          </w:tcPr>
          <w:p>
            <w:pPr>
              <w:spacing w:line="500" w:lineRule="exact"/>
              <w:rPr>
                <w:rFonts w:ascii="宋体" w:hAnsi="宋体" w:cs="宋体"/>
                <w:color w:val="333333"/>
                <w:kern w:val="0"/>
                <w:sz w:val="24"/>
                <w:szCs w:val="24"/>
              </w:rPr>
            </w:pPr>
            <w:r>
              <w:rPr>
                <w:rFonts w:hint="eastAsia" w:ascii="宋体" w:hAnsi="宋体" w:cs="宋体"/>
                <w:color w:val="333333"/>
                <w:kern w:val="0"/>
                <w:sz w:val="24"/>
                <w:szCs w:val="24"/>
              </w:rPr>
              <w:t>□6.由两个以上的经营者共同控制的合营企业，通过集中被其中一个或一个以上经营者控制。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D9D9D9"/>
            <w:vAlign w:val="center"/>
          </w:tcPr>
          <w:p>
            <w:pPr>
              <w:spacing w:line="500" w:lineRule="exact"/>
              <w:jc w:val="center"/>
              <w:rPr>
                <w:rFonts w:ascii="宋体" w:hAnsi="宋体" w:cs="宋体"/>
                <w:color w:val="333333"/>
                <w:kern w:val="0"/>
                <w:sz w:val="24"/>
                <w:szCs w:val="24"/>
              </w:rPr>
            </w:pPr>
            <w:r>
              <w:rPr>
                <w:rFonts w:hint="eastAsia" w:ascii="宋体" w:hAnsi="宋体" w:cs="宋体"/>
                <w:color w:val="333333"/>
                <w:kern w:val="0"/>
                <w:sz w:val="24"/>
                <w:szCs w:val="24"/>
              </w:rPr>
              <w:t>备注</w:t>
            </w:r>
          </w:p>
        </w:tc>
        <w:tc>
          <w:tcPr>
            <w:tcW w:w="6949" w:type="dxa"/>
            <w:gridSpan w:val="2"/>
          </w:tcPr>
          <w:p>
            <w:pPr>
              <w:spacing w:line="500" w:lineRule="exact"/>
              <w:rPr>
                <w:rFonts w:ascii="宋体" w:hAnsi="宋体" w:cs="宋体"/>
                <w:b/>
                <w:bCs/>
                <w:color w:val="333333"/>
                <w:kern w:val="0"/>
                <w:sz w:val="24"/>
                <w:szCs w:val="24"/>
              </w:rPr>
            </w:pPr>
            <w:bookmarkStart w:id="0" w:name="_Hlk107148666"/>
            <w:r>
              <w:rPr>
                <w:rFonts w:hint="eastAsia" w:ascii="宋体" w:hAnsi="宋体" w:cs="宋体"/>
                <w:b/>
                <w:bCs/>
                <w:color w:val="333333"/>
                <w:kern w:val="0"/>
                <w:sz w:val="24"/>
                <w:szCs w:val="24"/>
              </w:rPr>
              <w:t>横向重叠：</w:t>
            </w:r>
          </w:p>
          <w:p>
            <w:pPr>
              <w:widowControl/>
              <w:spacing w:line="360" w:lineRule="auto"/>
              <w:rPr>
                <w:rFonts w:ascii="宋体" w:hAnsi="宋体" w:cs="宋体"/>
                <w:color w:val="333333"/>
                <w:kern w:val="0"/>
                <w:sz w:val="24"/>
                <w:szCs w:val="24"/>
              </w:rPr>
            </w:pPr>
            <w:r>
              <w:rPr>
                <w:rFonts w:hint="eastAsia" w:ascii="宋体" w:hAnsi="宋体" w:cs="宋体"/>
                <w:color w:val="333333"/>
                <w:kern w:val="0"/>
                <w:sz w:val="24"/>
                <w:szCs w:val="24"/>
              </w:rPr>
              <w:t>2</w:t>
            </w:r>
            <w:r>
              <w:rPr>
                <w:rFonts w:ascii="宋体" w:hAnsi="宋体" w:cs="宋体"/>
                <w:color w:val="333333"/>
                <w:kern w:val="0"/>
                <w:sz w:val="24"/>
                <w:szCs w:val="24"/>
              </w:rPr>
              <w:t>021</w:t>
            </w:r>
            <w:r>
              <w:rPr>
                <w:rFonts w:hint="eastAsia" w:ascii="宋体" w:hAnsi="宋体" w:cs="宋体"/>
                <w:color w:val="333333"/>
                <w:kern w:val="0"/>
                <w:sz w:val="24"/>
                <w:szCs w:val="24"/>
              </w:rPr>
              <w:t>年中国境内广告营销传播服务市场：</w:t>
            </w:r>
          </w:p>
          <w:p>
            <w:pPr>
              <w:pStyle w:val="2"/>
              <w:spacing w:line="360" w:lineRule="auto"/>
              <w:rPr>
                <w:sz w:val="24"/>
                <w:szCs w:val="24"/>
              </w:rPr>
            </w:pPr>
            <w:r>
              <w:rPr>
                <w:rFonts w:hint="eastAsia"/>
                <w:sz w:val="24"/>
                <w:szCs w:val="24"/>
              </w:rPr>
              <w:t>伊诺盛北广：0-</w:t>
            </w:r>
            <w:r>
              <w:rPr>
                <w:sz w:val="24"/>
                <w:szCs w:val="24"/>
              </w:rPr>
              <w:t>5</w:t>
            </w:r>
            <w:r>
              <w:rPr>
                <w:rFonts w:hint="eastAsia"/>
                <w:sz w:val="24"/>
                <w:szCs w:val="24"/>
              </w:rPr>
              <w:t>%，株式会社伊诺盛：0-</w:t>
            </w:r>
            <w:r>
              <w:rPr>
                <w:sz w:val="24"/>
                <w:szCs w:val="24"/>
              </w:rPr>
              <w:t>5</w:t>
            </w:r>
            <w:r>
              <w:rPr>
                <w:rFonts w:hint="eastAsia"/>
                <w:sz w:val="24"/>
                <w:szCs w:val="24"/>
              </w:rPr>
              <w:t>%，各方合计：0-</w:t>
            </w:r>
            <w:r>
              <w:rPr>
                <w:sz w:val="24"/>
                <w:szCs w:val="24"/>
              </w:rPr>
              <w:t>5</w:t>
            </w:r>
            <w:r>
              <w:rPr>
                <w:rFonts w:hint="eastAsia"/>
                <w:sz w:val="24"/>
                <w:szCs w:val="24"/>
              </w:rPr>
              <w:t>%。</w:t>
            </w:r>
            <w:bookmarkEnd w:id="0"/>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宋简"/>
    <w:panose1 w:val="02010600030101010101"/>
    <w:charset w:val="86"/>
    <w:family w:val="auto"/>
    <w:pitch w:val="default"/>
    <w:sig w:usb0="00000000" w:usb1="00000000" w:usb2="00000016" w:usb3="00000000" w:csb0="0004000F" w:csb1="00000000"/>
  </w:font>
  <w:font w:name="等线">
    <w:altName w:val="仿宋_GB2312"/>
    <w:panose1 w:val="00000000000000000000"/>
    <w:charset w:val="86"/>
    <w:family w:val="auto"/>
    <w:pitch w:val="default"/>
    <w:sig w:usb0="00000000" w:usb1="00000000" w:usb2="00000000" w:usb3="00000000" w:csb0="00000000" w:csb1="00000000"/>
  </w:font>
  <w:font w:name="等线">
    <w:altName w:val="仿宋_GB2312"/>
    <w:panose1 w:val="00000000000000000000"/>
    <w:charset w:val="00"/>
    <w:family w:val="auto"/>
    <w:pitch w:val="default"/>
    <w:sig w:usb0="00000000" w:usb1="00000000" w:usb2="00000000" w:usb3="00000000" w:csb0="00000000" w:csb1="00000000"/>
  </w:font>
  <w:font w:name="Courier New">
    <w:altName w:val="DejaVu Sans"/>
    <w:panose1 w:val="02070309020205020404"/>
    <w:charset w:val="00"/>
    <w:family w:val="modern"/>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中宋简">
    <w:panose1 w:val="02010600000101010101"/>
    <w:charset w:val="86"/>
    <w:family w:val="auto"/>
    <w:pitch w:val="default"/>
    <w:sig w:usb0="00000001" w:usb1="080E0800" w:usb2="00000002"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0DF"/>
    <w:rsid w:val="0002743A"/>
    <w:rsid w:val="00037065"/>
    <w:rsid w:val="000A595E"/>
    <w:rsid w:val="000B0585"/>
    <w:rsid w:val="000B1670"/>
    <w:rsid w:val="000C5A2E"/>
    <w:rsid w:val="000D0A21"/>
    <w:rsid w:val="000D522A"/>
    <w:rsid w:val="000D7EBA"/>
    <w:rsid w:val="001164CD"/>
    <w:rsid w:val="0014536C"/>
    <w:rsid w:val="00155717"/>
    <w:rsid w:val="0016337D"/>
    <w:rsid w:val="001837A3"/>
    <w:rsid w:val="001B55B8"/>
    <w:rsid w:val="001B5F1F"/>
    <w:rsid w:val="001C4264"/>
    <w:rsid w:val="001D3617"/>
    <w:rsid w:val="00206350"/>
    <w:rsid w:val="0024460E"/>
    <w:rsid w:val="00267562"/>
    <w:rsid w:val="00293B86"/>
    <w:rsid w:val="0029432A"/>
    <w:rsid w:val="002D5728"/>
    <w:rsid w:val="002E7882"/>
    <w:rsid w:val="0030657F"/>
    <w:rsid w:val="003A5438"/>
    <w:rsid w:val="003B02A8"/>
    <w:rsid w:val="003B0B6A"/>
    <w:rsid w:val="003C0AEB"/>
    <w:rsid w:val="003D1422"/>
    <w:rsid w:val="003D3E93"/>
    <w:rsid w:val="003D6FF9"/>
    <w:rsid w:val="004840F6"/>
    <w:rsid w:val="004970D7"/>
    <w:rsid w:val="004C12F7"/>
    <w:rsid w:val="004E37A4"/>
    <w:rsid w:val="004F7688"/>
    <w:rsid w:val="00524F5D"/>
    <w:rsid w:val="005345F6"/>
    <w:rsid w:val="0057720F"/>
    <w:rsid w:val="0059541B"/>
    <w:rsid w:val="005A08A6"/>
    <w:rsid w:val="005B6D5A"/>
    <w:rsid w:val="005E62CA"/>
    <w:rsid w:val="006057B9"/>
    <w:rsid w:val="00605EF5"/>
    <w:rsid w:val="00606730"/>
    <w:rsid w:val="006075F8"/>
    <w:rsid w:val="00613C42"/>
    <w:rsid w:val="006233A9"/>
    <w:rsid w:val="00627646"/>
    <w:rsid w:val="006467D8"/>
    <w:rsid w:val="006543F6"/>
    <w:rsid w:val="0065667F"/>
    <w:rsid w:val="00696720"/>
    <w:rsid w:val="006A026A"/>
    <w:rsid w:val="006A31A6"/>
    <w:rsid w:val="006A3506"/>
    <w:rsid w:val="006A531B"/>
    <w:rsid w:val="006B59B8"/>
    <w:rsid w:val="006B6853"/>
    <w:rsid w:val="006B7B9E"/>
    <w:rsid w:val="006C0E54"/>
    <w:rsid w:val="006D160A"/>
    <w:rsid w:val="006F50E5"/>
    <w:rsid w:val="006F7693"/>
    <w:rsid w:val="00710140"/>
    <w:rsid w:val="0073535E"/>
    <w:rsid w:val="0075621B"/>
    <w:rsid w:val="00756D5A"/>
    <w:rsid w:val="00763A7D"/>
    <w:rsid w:val="00785680"/>
    <w:rsid w:val="00786F44"/>
    <w:rsid w:val="00787AF0"/>
    <w:rsid w:val="007979FD"/>
    <w:rsid w:val="007A14D7"/>
    <w:rsid w:val="007D29F4"/>
    <w:rsid w:val="007D5560"/>
    <w:rsid w:val="007E4E52"/>
    <w:rsid w:val="007F2275"/>
    <w:rsid w:val="007F6F06"/>
    <w:rsid w:val="00820404"/>
    <w:rsid w:val="008651B3"/>
    <w:rsid w:val="00874A27"/>
    <w:rsid w:val="008766E1"/>
    <w:rsid w:val="00893CB0"/>
    <w:rsid w:val="008A1427"/>
    <w:rsid w:val="008A7012"/>
    <w:rsid w:val="008B6F16"/>
    <w:rsid w:val="00915F0F"/>
    <w:rsid w:val="00917987"/>
    <w:rsid w:val="0092194C"/>
    <w:rsid w:val="00940E19"/>
    <w:rsid w:val="009524A1"/>
    <w:rsid w:val="009532DF"/>
    <w:rsid w:val="0095543B"/>
    <w:rsid w:val="00981A1F"/>
    <w:rsid w:val="009849A5"/>
    <w:rsid w:val="00993318"/>
    <w:rsid w:val="00997019"/>
    <w:rsid w:val="009A5029"/>
    <w:rsid w:val="009C5734"/>
    <w:rsid w:val="009D38D5"/>
    <w:rsid w:val="00A06FEB"/>
    <w:rsid w:val="00A46D26"/>
    <w:rsid w:val="00A53F26"/>
    <w:rsid w:val="00A94D39"/>
    <w:rsid w:val="00AA0CC5"/>
    <w:rsid w:val="00AC6D0C"/>
    <w:rsid w:val="00AE395B"/>
    <w:rsid w:val="00B16AFE"/>
    <w:rsid w:val="00B53775"/>
    <w:rsid w:val="00B53F3A"/>
    <w:rsid w:val="00B565BF"/>
    <w:rsid w:val="00B65DD5"/>
    <w:rsid w:val="00B70B53"/>
    <w:rsid w:val="00B81057"/>
    <w:rsid w:val="00BD10B6"/>
    <w:rsid w:val="00BD72D5"/>
    <w:rsid w:val="00BE7F90"/>
    <w:rsid w:val="00C01D69"/>
    <w:rsid w:val="00C07076"/>
    <w:rsid w:val="00C33DFE"/>
    <w:rsid w:val="00C53926"/>
    <w:rsid w:val="00C739DB"/>
    <w:rsid w:val="00C76F42"/>
    <w:rsid w:val="00C814D4"/>
    <w:rsid w:val="00C84C92"/>
    <w:rsid w:val="00CA272E"/>
    <w:rsid w:val="00CB00DF"/>
    <w:rsid w:val="00CC1DA3"/>
    <w:rsid w:val="00CE2214"/>
    <w:rsid w:val="00D252BB"/>
    <w:rsid w:val="00D3579B"/>
    <w:rsid w:val="00D73C72"/>
    <w:rsid w:val="00D8644E"/>
    <w:rsid w:val="00D92A73"/>
    <w:rsid w:val="00DC2ACC"/>
    <w:rsid w:val="00DD7B6E"/>
    <w:rsid w:val="00E054A0"/>
    <w:rsid w:val="00E0592B"/>
    <w:rsid w:val="00E25FE0"/>
    <w:rsid w:val="00E27E3E"/>
    <w:rsid w:val="00E31738"/>
    <w:rsid w:val="00E34E03"/>
    <w:rsid w:val="00E51277"/>
    <w:rsid w:val="00E86786"/>
    <w:rsid w:val="00EA42EB"/>
    <w:rsid w:val="00ED2F80"/>
    <w:rsid w:val="00ED6F4F"/>
    <w:rsid w:val="00EE1037"/>
    <w:rsid w:val="00F06384"/>
    <w:rsid w:val="00F1624E"/>
    <w:rsid w:val="00F1742E"/>
    <w:rsid w:val="00F225C8"/>
    <w:rsid w:val="00F2523C"/>
    <w:rsid w:val="00F31349"/>
    <w:rsid w:val="00F32F8A"/>
    <w:rsid w:val="00F34279"/>
    <w:rsid w:val="00F41383"/>
    <w:rsid w:val="00F810AA"/>
    <w:rsid w:val="00F861F1"/>
    <w:rsid w:val="00F87AFD"/>
    <w:rsid w:val="00F960E7"/>
    <w:rsid w:val="00FA14DB"/>
    <w:rsid w:val="00FA7619"/>
    <w:rsid w:val="00FB43EC"/>
    <w:rsid w:val="00FB4B87"/>
    <w:rsid w:val="00FB6B40"/>
    <w:rsid w:val="00FC3410"/>
    <w:rsid w:val="00FC6396"/>
    <w:rsid w:val="00FF2584"/>
    <w:rsid w:val="25BD2EAA"/>
    <w:rsid w:val="3DDE320D"/>
    <w:rsid w:val="3F4E9FD8"/>
    <w:rsid w:val="3FDFA4DA"/>
    <w:rsid w:val="47BF5305"/>
    <w:rsid w:val="4A265CBF"/>
    <w:rsid w:val="4F7EB90D"/>
    <w:rsid w:val="5DBAA300"/>
    <w:rsid w:val="5DDF953B"/>
    <w:rsid w:val="5FE73CCA"/>
    <w:rsid w:val="6DDE4FD6"/>
    <w:rsid w:val="6DEE1C09"/>
    <w:rsid w:val="6EF760C9"/>
    <w:rsid w:val="73DF6EA2"/>
    <w:rsid w:val="77B8891E"/>
    <w:rsid w:val="77DBAEED"/>
    <w:rsid w:val="77DF812F"/>
    <w:rsid w:val="793C0991"/>
    <w:rsid w:val="79B7D9A6"/>
    <w:rsid w:val="7EF1B516"/>
    <w:rsid w:val="7F7F4340"/>
    <w:rsid w:val="7FBED5A3"/>
    <w:rsid w:val="7FDF49F3"/>
    <w:rsid w:val="7FE72150"/>
    <w:rsid w:val="7FFE75C0"/>
    <w:rsid w:val="B97D91A0"/>
    <w:rsid w:val="BBD7FF27"/>
    <w:rsid w:val="BDC3CC9C"/>
    <w:rsid w:val="CDEDBA1C"/>
    <w:rsid w:val="DE7E2FCE"/>
    <w:rsid w:val="DF5F5894"/>
    <w:rsid w:val="DF777BF6"/>
    <w:rsid w:val="E7DEBB07"/>
    <w:rsid w:val="EFC6D171"/>
    <w:rsid w:val="EFF7E097"/>
    <w:rsid w:val="F77E2060"/>
    <w:rsid w:val="F7B95929"/>
    <w:rsid w:val="F7DAFF9E"/>
    <w:rsid w:val="F9FF91F1"/>
    <w:rsid w:val="FBBE9D1B"/>
    <w:rsid w:val="FF5B437D"/>
    <w:rsid w:val="FFBF8E37"/>
    <w:rsid w:val="FFDBCDE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nhideWhenUsed="0" w:uiPriority="0" w:semiHidden="0"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macro"/>
    <w:link w:val="16"/>
    <w:qFormat/>
    <w:uiPriority w:val="0"/>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eastAsia="宋体" w:cs="Courier New"/>
      <w:lang w:val="en-GB" w:eastAsia="zh-CN" w:bidi="ar-AE"/>
    </w:rPr>
  </w:style>
  <w:style w:type="paragraph" w:styleId="4">
    <w:name w:val="annotation text"/>
    <w:basedOn w:val="1"/>
    <w:link w:val="13"/>
    <w:semiHidden/>
    <w:unhideWhenUsed/>
    <w:qFormat/>
    <w:uiPriority w:val="99"/>
    <w:pPr>
      <w:jc w:val="left"/>
    </w:p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4"/>
    <w:next w:val="4"/>
    <w:link w:val="14"/>
    <w:semiHidden/>
    <w:unhideWhenUsed/>
    <w:qFormat/>
    <w:uiPriority w:val="99"/>
    <w:rPr>
      <w:b/>
      <w:bCs/>
    </w:rPr>
  </w:style>
  <w:style w:type="character" w:styleId="10">
    <w:name w:val="annotation reference"/>
    <w:basedOn w:val="9"/>
    <w:semiHidden/>
    <w:unhideWhenUsed/>
    <w:qFormat/>
    <w:uiPriority w:val="99"/>
    <w:rPr>
      <w:sz w:val="21"/>
      <w:szCs w:val="21"/>
    </w:rPr>
  </w:style>
  <w:style w:type="character" w:customStyle="1" w:styleId="11">
    <w:name w:val="页眉 字符"/>
    <w:basedOn w:val="9"/>
    <w:link w:val="6"/>
    <w:qFormat/>
    <w:uiPriority w:val="99"/>
    <w:rPr>
      <w:rFonts w:ascii="Calibri" w:hAnsi="Calibri" w:eastAsia="宋体" w:cs="Times New Roman"/>
      <w:kern w:val="2"/>
      <w:sz w:val="18"/>
      <w:szCs w:val="18"/>
    </w:rPr>
  </w:style>
  <w:style w:type="character" w:customStyle="1" w:styleId="12">
    <w:name w:val="页脚 字符"/>
    <w:basedOn w:val="9"/>
    <w:link w:val="5"/>
    <w:qFormat/>
    <w:uiPriority w:val="99"/>
    <w:rPr>
      <w:rFonts w:ascii="Calibri" w:hAnsi="Calibri" w:eastAsia="宋体" w:cs="Times New Roman"/>
      <w:kern w:val="2"/>
      <w:sz w:val="18"/>
      <w:szCs w:val="18"/>
    </w:rPr>
  </w:style>
  <w:style w:type="character" w:customStyle="1" w:styleId="13">
    <w:name w:val="批注文字 字符"/>
    <w:basedOn w:val="9"/>
    <w:link w:val="4"/>
    <w:semiHidden/>
    <w:qFormat/>
    <w:uiPriority w:val="99"/>
    <w:rPr>
      <w:rFonts w:ascii="Calibri" w:hAnsi="Calibri" w:eastAsia="宋体" w:cs="Times New Roman"/>
      <w:kern w:val="2"/>
      <w:sz w:val="21"/>
      <w:szCs w:val="22"/>
    </w:rPr>
  </w:style>
  <w:style w:type="character" w:customStyle="1" w:styleId="14">
    <w:name w:val="批注主题 字符"/>
    <w:basedOn w:val="13"/>
    <w:link w:val="7"/>
    <w:semiHidden/>
    <w:qFormat/>
    <w:uiPriority w:val="99"/>
    <w:rPr>
      <w:rFonts w:ascii="Calibri" w:hAnsi="Calibri" w:eastAsia="宋体" w:cs="Times New Roman"/>
      <w:b/>
      <w:bCs/>
      <w:kern w:val="2"/>
      <w:sz w:val="21"/>
      <w:szCs w:val="22"/>
    </w:rPr>
  </w:style>
  <w:style w:type="paragraph" w:customStyle="1" w:styleId="15">
    <w:name w:val="Revision"/>
    <w:hidden/>
    <w:semiHidden/>
    <w:qFormat/>
    <w:uiPriority w:val="99"/>
    <w:rPr>
      <w:rFonts w:ascii="Calibri" w:hAnsi="Calibri" w:eastAsia="宋体" w:cs="Times New Roman"/>
      <w:kern w:val="2"/>
      <w:sz w:val="21"/>
      <w:szCs w:val="22"/>
      <w:lang w:val="en-US" w:eastAsia="zh-CN" w:bidi="ar-SA"/>
    </w:rPr>
  </w:style>
  <w:style w:type="character" w:customStyle="1" w:styleId="16">
    <w:name w:val="宏文本 字符"/>
    <w:basedOn w:val="9"/>
    <w:link w:val="3"/>
    <w:qFormat/>
    <w:uiPriority w:val="0"/>
    <w:rPr>
      <w:rFonts w:ascii="Courier New" w:hAnsi="Courier New" w:eastAsia="宋体" w:cs="Courier New"/>
      <w:lang w:val="en-GB" w:bidi="ar-A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157</Words>
  <Characters>898</Characters>
  <Lines>7</Lines>
  <Paragraphs>2</Paragraphs>
  <TotalTime>92</TotalTime>
  <ScaleCrop>false</ScaleCrop>
  <LinksUpToDate>false</LinksUpToDate>
  <CharactersWithSpaces>1053</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2022-06-10T09:52:00Z</dcterms:created>
  <dc:creator>陈媚</dc:creator>
  <cp:lastModifiedBy>scjgj</cp:lastModifiedBy>
  <cp:lastPrinted>2022-09-28T11:10:27Z</cp:lastPrinted>
  <dcterms:modified xsi:type="dcterms:W3CDTF">2022-09-28T11:35:21Z</dcterms:modified>
  <dc:title>附件2</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