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sz w:val="36"/>
          <w:szCs w:val="36"/>
        </w:rPr>
      </w:pPr>
      <w:r>
        <w:rPr>
          <w:rFonts w:ascii="黑体" w:hAnsi="黑体" w:eastAsia="黑体"/>
          <w:sz w:val="36"/>
          <w:szCs w:val="36"/>
        </w:rPr>
        <w:t>经营者集中简易案件公示表</w:t>
      </w:r>
    </w:p>
    <w:p>
      <w:pPr>
        <w:spacing w:line="440" w:lineRule="exact"/>
        <w:jc w:val="center"/>
        <w:rPr>
          <w:rFonts w:ascii="Times New Roman" w:hAnsi="Times New Roman"/>
          <w:sz w:val="28"/>
          <w:szCs w:val="28"/>
        </w:rPr>
      </w:pP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96"/>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D9D9D9"/>
            <w:vAlign w:val="center"/>
          </w:tcPr>
          <w:p>
            <w:pPr>
              <w:spacing w:before="156" w:beforeLines="50" w:after="156" w:afterLines="50"/>
              <w:rPr>
                <w:rFonts w:asciiTheme="minorEastAsia" w:hAnsiTheme="minorEastAsia" w:eastAsiaTheme="minorEastAsia"/>
                <w:sz w:val="24"/>
                <w:szCs w:val="24"/>
              </w:rPr>
            </w:pPr>
            <w:r>
              <w:rPr>
                <w:rFonts w:asciiTheme="minorEastAsia" w:hAnsiTheme="minorEastAsia" w:eastAsiaTheme="minorEastAsia"/>
                <w:sz w:val="24"/>
                <w:szCs w:val="24"/>
              </w:rPr>
              <w:t>案件名称</w:t>
            </w:r>
          </w:p>
        </w:tc>
        <w:tc>
          <w:tcPr>
            <w:tcW w:w="6550" w:type="dxa"/>
            <w:gridSpan w:val="2"/>
            <w:shd w:val="clear" w:color="auto" w:fill="auto"/>
            <w:vAlign w:val="center"/>
          </w:tcPr>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壳牌（中国）有限公司收购河北壳牌石油销售有限公司股权案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1809" w:type="dxa"/>
            <w:shd w:val="clear" w:color="auto" w:fill="D9D9D9"/>
            <w:vAlign w:val="center"/>
          </w:tcPr>
          <w:p>
            <w:pPr>
              <w:spacing w:before="156" w:beforeLines="50" w:after="156" w:afterLines="50"/>
              <w:rPr>
                <w:rFonts w:asciiTheme="minorEastAsia" w:hAnsiTheme="minorEastAsia" w:eastAsiaTheme="minorEastAsia"/>
                <w:sz w:val="24"/>
                <w:szCs w:val="24"/>
              </w:rPr>
            </w:pPr>
            <w:r>
              <w:rPr>
                <w:rFonts w:asciiTheme="minorEastAsia" w:hAnsiTheme="minorEastAsia" w:eastAsiaTheme="minorEastAsia"/>
                <w:sz w:val="24"/>
                <w:szCs w:val="24"/>
              </w:rPr>
              <w:t>交易概况（限200字内）</w:t>
            </w:r>
          </w:p>
        </w:tc>
        <w:tc>
          <w:tcPr>
            <w:tcW w:w="6550" w:type="dxa"/>
            <w:gridSpan w:val="2"/>
            <w:vAlign w:val="center"/>
          </w:tcPr>
          <w:p>
            <w:pPr>
              <w:spacing w:before="156" w:beforeLines="50" w:after="156" w:afterLines="5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壳牌（中国）有限公司（“</w:t>
            </w:r>
            <w:r>
              <w:rPr>
                <w:rFonts w:hint="eastAsia" w:asciiTheme="minorEastAsia" w:hAnsiTheme="minorEastAsia" w:eastAsiaTheme="minorEastAsia"/>
                <w:b/>
                <w:bCs/>
                <w:color w:val="000000"/>
                <w:sz w:val="24"/>
                <w:szCs w:val="24"/>
              </w:rPr>
              <w:t>壳牌中国</w:t>
            </w:r>
            <w:r>
              <w:rPr>
                <w:rFonts w:hint="eastAsia" w:asciiTheme="minorEastAsia" w:hAnsiTheme="minorEastAsia" w:eastAsiaTheme="minorEastAsia"/>
                <w:color w:val="000000"/>
                <w:sz w:val="24"/>
                <w:szCs w:val="24"/>
              </w:rPr>
              <w:t>”），壳牌中国控股私有有限公司（与壳牌中国合称为“</w:t>
            </w:r>
            <w:r>
              <w:rPr>
                <w:rFonts w:hint="eastAsia" w:asciiTheme="minorEastAsia" w:hAnsiTheme="minorEastAsia" w:eastAsiaTheme="minorEastAsia"/>
                <w:b/>
                <w:bCs/>
                <w:color w:val="000000"/>
                <w:sz w:val="24"/>
                <w:szCs w:val="24"/>
              </w:rPr>
              <w:t>壳牌</w:t>
            </w:r>
            <w:r>
              <w:rPr>
                <w:rFonts w:hint="eastAsia" w:asciiTheme="minorEastAsia" w:hAnsiTheme="minorEastAsia" w:eastAsiaTheme="minorEastAsia"/>
                <w:color w:val="000000"/>
                <w:sz w:val="24"/>
                <w:szCs w:val="24"/>
              </w:rPr>
              <w:t>”）和天津食品集团有限公司（“</w:t>
            </w:r>
            <w:r>
              <w:rPr>
                <w:rFonts w:hint="eastAsia" w:asciiTheme="minorEastAsia" w:hAnsiTheme="minorEastAsia" w:eastAsiaTheme="minorEastAsia"/>
                <w:b/>
                <w:bCs/>
                <w:color w:val="000000"/>
                <w:sz w:val="24"/>
                <w:szCs w:val="24"/>
              </w:rPr>
              <w:t>天津食品集团</w:t>
            </w:r>
            <w:r>
              <w:rPr>
                <w:rFonts w:hint="eastAsia" w:asciiTheme="minorEastAsia" w:hAnsiTheme="minorEastAsia" w:eastAsiaTheme="minorEastAsia"/>
                <w:color w:val="000000"/>
                <w:sz w:val="24"/>
                <w:szCs w:val="24"/>
              </w:rPr>
              <w:t>”）签署了交易协议，约定壳牌将通过增资获得河北壳牌石油销售有限公司（“</w:t>
            </w:r>
            <w:r>
              <w:rPr>
                <w:rFonts w:hint="eastAsia" w:asciiTheme="minorEastAsia" w:hAnsiTheme="minorEastAsia" w:eastAsiaTheme="minorEastAsia"/>
                <w:b/>
                <w:bCs/>
                <w:color w:val="000000"/>
                <w:sz w:val="24"/>
                <w:szCs w:val="24"/>
              </w:rPr>
              <w:t>目标公司</w:t>
            </w:r>
            <w:r>
              <w:rPr>
                <w:rFonts w:hint="eastAsia" w:asciiTheme="minorEastAsia" w:hAnsiTheme="minorEastAsia" w:eastAsiaTheme="minorEastAsia"/>
                <w:color w:val="000000"/>
                <w:sz w:val="24"/>
                <w:szCs w:val="24"/>
              </w:rPr>
              <w:t>”）87%-90%的股份。目标公司在河北和山东省经营加油站，从事车用成品油的零售业务。</w:t>
            </w:r>
          </w:p>
          <w:p>
            <w:pPr>
              <w:spacing w:before="156" w:beforeLines="50" w:after="156" w:afterLines="5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交易前，壳牌和天津食品集团分别持有目标公司4</w:t>
            </w:r>
            <w:r>
              <w:rPr>
                <w:rFonts w:asciiTheme="minorEastAsia" w:hAnsiTheme="minorEastAsia" w:eastAsiaTheme="minorEastAsia"/>
                <w:color w:val="000000"/>
                <w:sz w:val="24"/>
                <w:szCs w:val="24"/>
              </w:rPr>
              <w:t>9</w:t>
            </w:r>
            <w:r>
              <w:rPr>
                <w:rFonts w:hint="eastAsia" w:asciiTheme="minorEastAsia" w:hAnsiTheme="minorEastAsia" w:eastAsiaTheme="minorEastAsia"/>
                <w:color w:val="000000"/>
                <w:sz w:val="24"/>
                <w:szCs w:val="24"/>
              </w:rPr>
              <w:t>%和5</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%的股</w:t>
            </w:r>
            <w:bookmarkStart w:id="0" w:name="_GoBack"/>
            <w:bookmarkEnd w:id="0"/>
            <w:r>
              <w:rPr>
                <w:rFonts w:hint="eastAsia" w:asciiTheme="minorEastAsia" w:hAnsiTheme="minorEastAsia" w:eastAsiaTheme="minorEastAsia"/>
                <w:color w:val="000000"/>
                <w:sz w:val="24"/>
                <w:szCs w:val="24"/>
              </w:rPr>
              <w:t>份，共同控制目标公司。交易后，目标公司将由壳牌单独控制。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spacing w:before="156" w:beforeLines="50" w:after="156" w:afterLines="50"/>
              <w:rPr>
                <w:rFonts w:asciiTheme="minorEastAsia" w:hAnsiTheme="minorEastAsia" w:eastAsiaTheme="minorEastAsia"/>
                <w:sz w:val="24"/>
                <w:szCs w:val="24"/>
              </w:rPr>
            </w:pPr>
            <w:r>
              <w:rPr>
                <w:rFonts w:asciiTheme="minorEastAsia" w:hAnsiTheme="minorEastAsia" w:eastAsiaTheme="minorEastAsia"/>
                <w:sz w:val="24"/>
                <w:szCs w:val="24"/>
              </w:rPr>
              <w:t>参与集中的经营者简介</w:t>
            </w:r>
          </w:p>
        </w:tc>
        <w:tc>
          <w:tcPr>
            <w:tcW w:w="1796" w:type="dxa"/>
            <w:vAlign w:val="center"/>
          </w:tcPr>
          <w:p>
            <w:pPr>
              <w:pStyle w:val="20"/>
              <w:numPr>
                <w:ilvl w:val="0"/>
                <w:numId w:val="1"/>
              </w:numPr>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壳牌中国</w:t>
            </w:r>
          </w:p>
        </w:tc>
        <w:tc>
          <w:tcPr>
            <w:tcW w:w="4754" w:type="dxa"/>
            <w:vAlign w:val="center"/>
          </w:tcPr>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壳牌中国1</w:t>
            </w:r>
            <w:r>
              <w:rPr>
                <w:rFonts w:asciiTheme="minorEastAsia" w:hAnsiTheme="minorEastAsia" w:eastAsiaTheme="minorEastAsia"/>
                <w:sz w:val="24"/>
                <w:szCs w:val="24"/>
              </w:rPr>
              <w:t>996</w:t>
            </w:r>
            <w:r>
              <w:rPr>
                <w:rFonts w:hint="eastAsia" w:asciiTheme="minorEastAsia" w:hAnsiTheme="minorEastAsia" w:eastAsiaTheme="minorEastAsia"/>
                <w:sz w:val="24"/>
                <w:szCs w:val="24"/>
              </w:rPr>
              <w:t>年成立于北京市，主要业务为从事和促进在石油、燃气、石油化工工业内的投资。</w:t>
            </w:r>
          </w:p>
          <w:p>
            <w:pPr>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壳牌中国的最终控制人为壳牌公众有限公司，主要业务为通过其关联实体从事精炼石油产品、天然气和可再生能源的生产和销售。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1796" w:type="dxa"/>
            <w:vAlign w:val="center"/>
          </w:tcPr>
          <w:p>
            <w:pPr>
              <w:pStyle w:val="20"/>
              <w:numPr>
                <w:ilvl w:val="0"/>
                <w:numId w:val="1"/>
              </w:numPr>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p>
        </w:tc>
        <w:tc>
          <w:tcPr>
            <w:tcW w:w="4754" w:type="dxa"/>
            <w:vAlign w:val="center"/>
          </w:tcPr>
          <w:p>
            <w:pPr>
              <w:spacing w:before="156" w:beforeLines="50" w:after="156" w:afterLines="5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年成立于河北省石家庄市，</w:t>
            </w:r>
            <w:r>
              <w:rPr>
                <w:rFonts w:hint="eastAsia" w:asciiTheme="minorEastAsia" w:hAnsiTheme="minorEastAsia" w:eastAsiaTheme="minorEastAsia"/>
                <w:color w:val="000000"/>
                <w:sz w:val="24"/>
                <w:szCs w:val="24"/>
              </w:rPr>
              <w:t>在河北省和山东省经营加油站，从事车用成品油的零售业务。</w:t>
            </w:r>
          </w:p>
          <w:p>
            <w:pPr>
              <w:spacing w:before="156" w:beforeLines="50" w:after="156" w:afterLines="5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目标公司的最终控制人是壳牌公众有限公司和天津泰达投资控股有限公司。壳牌公众有限公司</w:t>
            </w:r>
            <w:r>
              <w:rPr>
                <w:rFonts w:hint="eastAsia" w:asciiTheme="minorEastAsia" w:hAnsiTheme="minorEastAsia" w:eastAsiaTheme="minorEastAsia"/>
                <w:sz w:val="24"/>
                <w:szCs w:val="24"/>
              </w:rPr>
              <w:t>主要业务为通过其关联实体从事精炼石油产品、天然气和可再生能源的生产和销售</w:t>
            </w: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spacing w:before="156" w:beforeLines="50" w:after="156" w:afterLines="50"/>
              <w:rPr>
                <w:rFonts w:asciiTheme="minorEastAsia" w:hAnsiTheme="minorEastAsia" w:eastAsiaTheme="minorEastAsia"/>
                <w:sz w:val="24"/>
                <w:szCs w:val="24"/>
              </w:rPr>
            </w:pPr>
            <w:r>
              <w:rPr>
                <w:rFonts w:asciiTheme="minorEastAsia" w:hAnsiTheme="minorEastAsia" w:eastAsiaTheme="minorEastAsia"/>
                <w:sz w:val="24"/>
                <w:szCs w:val="24"/>
              </w:rPr>
              <w:t>简易案件理由（可以单选，也可以多选）</w:t>
            </w:r>
          </w:p>
        </w:tc>
        <w:tc>
          <w:tcPr>
            <w:tcW w:w="6550" w:type="dxa"/>
            <w:gridSpan w:val="2"/>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lang w:val="en-GB"/>
              </w:rPr>
              <w:sym w:font="Wingdings" w:char="F0A8"/>
            </w:r>
            <w:r>
              <w:rPr>
                <w:rFonts w:asciiTheme="minorEastAsia" w:hAnsiTheme="minorEastAsia" w:eastAsiaTheme="minorEastAsia"/>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6550" w:type="dxa"/>
            <w:gridSpan w:val="2"/>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sym w:font="Wingdings" w:char="F0FE"/>
            </w:r>
            <w:r>
              <w:rPr>
                <w:rFonts w:asciiTheme="minorEastAsia" w:hAnsiTheme="minorEastAsia" w:eastAsiaTheme="minorEastAsia"/>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6550" w:type="dxa"/>
            <w:gridSpan w:val="2"/>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lang w:val="en-GB"/>
              </w:rPr>
              <w:sym w:font="Wingdings" w:char="F0A8"/>
            </w:r>
            <w:r>
              <w:rPr>
                <w:rFonts w:asciiTheme="minorEastAsia" w:hAnsiTheme="minorEastAsia" w:eastAsiaTheme="minorEastAsia"/>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6550" w:type="dxa"/>
            <w:gridSpan w:val="2"/>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lang w:val="en-GB"/>
              </w:rPr>
              <w:sym w:font="Wingdings" w:char="F0A8"/>
            </w:r>
            <w:r>
              <w:rPr>
                <w:rFonts w:asciiTheme="minorEastAsia" w:hAnsiTheme="minorEastAsia" w:eastAsiaTheme="minorEastAsia"/>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6550" w:type="dxa"/>
            <w:gridSpan w:val="2"/>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lang w:val="en-GB"/>
              </w:rPr>
              <w:sym w:font="Wingdings" w:char="F0A8"/>
            </w:r>
            <w:r>
              <w:rPr>
                <w:rFonts w:asciiTheme="minorEastAsia" w:hAnsiTheme="minorEastAsia" w:eastAsiaTheme="minorEastAsia"/>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spacing w:before="156" w:beforeLines="50" w:after="156" w:afterLines="50"/>
              <w:rPr>
                <w:rFonts w:asciiTheme="minorEastAsia" w:hAnsiTheme="minorEastAsia" w:eastAsiaTheme="minorEastAsia"/>
                <w:sz w:val="24"/>
                <w:szCs w:val="24"/>
              </w:rPr>
            </w:pPr>
          </w:p>
        </w:tc>
        <w:tc>
          <w:tcPr>
            <w:tcW w:w="6550" w:type="dxa"/>
            <w:gridSpan w:val="2"/>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sym w:font="Wingdings" w:char="F0FE"/>
            </w:r>
            <w:r>
              <w:rPr>
                <w:rFonts w:asciiTheme="minorEastAsia" w:hAnsiTheme="minorEastAsia" w:eastAsiaTheme="minorEastAsia"/>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809" w:type="dxa"/>
            <w:shd w:val="clear" w:color="auto" w:fill="D9D9D9"/>
            <w:vAlign w:val="center"/>
          </w:tcPr>
          <w:p>
            <w:pPr>
              <w:spacing w:before="156" w:beforeLines="50" w:after="156" w:afterLines="50"/>
              <w:rPr>
                <w:rFonts w:asciiTheme="minorEastAsia" w:hAnsiTheme="minorEastAsia" w:eastAsiaTheme="minorEastAsia"/>
                <w:sz w:val="24"/>
                <w:szCs w:val="24"/>
              </w:rPr>
            </w:pPr>
            <w:r>
              <w:rPr>
                <w:rFonts w:asciiTheme="minorEastAsia" w:hAnsiTheme="minorEastAsia" w:eastAsiaTheme="minorEastAsia"/>
                <w:sz w:val="24"/>
                <w:szCs w:val="24"/>
              </w:rPr>
              <w:t>备注</w:t>
            </w:r>
          </w:p>
        </w:tc>
        <w:tc>
          <w:tcPr>
            <w:tcW w:w="6550" w:type="dxa"/>
            <w:gridSpan w:val="2"/>
            <w:vAlign w:val="center"/>
          </w:tcPr>
          <w:p>
            <w:pPr>
              <w:widowControl/>
              <w:snapToGrid w:val="0"/>
              <w:spacing w:before="156" w:beforeLines="50" w:after="156" w:afterLines="5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纵向关联：</w:t>
            </w:r>
          </w:p>
          <w:p>
            <w:pPr>
              <w:widowControl/>
              <w:snapToGrid w:val="0"/>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上游：2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年中国境内车用成品油批发市场：</w:t>
            </w:r>
          </w:p>
          <w:p>
            <w:pPr>
              <w:widowControl/>
              <w:snapToGrid w:val="0"/>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壳牌中国：0-</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p>
          <w:p>
            <w:pPr>
              <w:widowControl/>
              <w:snapToGrid w:val="0"/>
              <w:spacing w:before="156" w:beforeLines="50" w:after="156" w:afterLines="50"/>
              <w:rPr>
                <w:rFonts w:asciiTheme="minorEastAsia" w:hAnsiTheme="minorEastAsia" w:eastAsiaTheme="minorEastAsia"/>
                <w:sz w:val="24"/>
                <w:szCs w:val="24"/>
              </w:rPr>
            </w:pPr>
            <w:r>
              <w:rPr>
                <w:rFonts w:hint="eastAsia" w:asciiTheme="minorEastAsia" w:hAnsiTheme="minorEastAsia" w:eastAsiaTheme="minorEastAsia"/>
                <w:sz w:val="24"/>
                <w:szCs w:val="24"/>
              </w:rPr>
              <w:t>下游：</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年唐山市车用成品油零售市场：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年廊坊市车用成品油零售市场：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目标公司：0-</w:t>
            </w:r>
            <w:r>
              <w:rPr>
                <w:rFonts w:asciiTheme="minorEastAsia" w:hAnsiTheme="minorEastAsia" w:eastAsiaTheme="minorEastAsia"/>
                <w:sz w:val="24"/>
                <w:szCs w:val="24"/>
              </w:rPr>
              <w:t>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年沧州市车用成品油零售市场：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年石家庄市车用成品油零售市场：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年秦皇岛市车用成品油零售市场：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年潍坊市车用成品油零售市场：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10%</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年淄博市车用成品油零售市场：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10%</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年济南市车用成品油零售市场：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年德州市车用成品油零售市场：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p>
            <w:pPr>
              <w:pStyle w:val="20"/>
              <w:widowControl/>
              <w:numPr>
                <w:ilvl w:val="0"/>
                <w:numId w:val="2"/>
              </w:numPr>
              <w:snapToGrid w:val="0"/>
              <w:spacing w:before="156" w:beforeLines="50" w:after="156" w:afterLines="50"/>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年青岛市车用成品油零售市场：</w:t>
            </w:r>
          </w:p>
          <w:p>
            <w:pPr>
              <w:pStyle w:val="20"/>
              <w:widowControl/>
              <w:snapToGrid w:val="0"/>
              <w:spacing w:before="156" w:beforeLines="50" w:after="156" w:afterLines="50"/>
              <w:ind w:left="360"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目标公司：</w:t>
            </w:r>
            <w:r>
              <w:rPr>
                <w:rFonts w:asciiTheme="minorEastAsia" w:hAnsiTheme="minorEastAsia" w:eastAsiaTheme="minorEastAsia"/>
                <w:sz w:val="24"/>
                <w:szCs w:val="24"/>
              </w:rPr>
              <w:t>0-5%</w:t>
            </w:r>
          </w:p>
        </w:tc>
      </w:tr>
    </w:tbl>
    <w:p>
      <w:pPr>
        <w:snapToGrid w:val="0"/>
        <w:spacing w:line="240" w:lineRule="exact"/>
        <w:jc w:val="left"/>
        <w:rPr>
          <w:rFonts w:ascii="Times New Roman" w:hAnsi="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376438"/>
      <w:docPartObj>
        <w:docPartGallery w:val="AutoText"/>
      </w:docPartObj>
    </w:sdtPr>
    <w:sdtEndPr>
      <w:rPr>
        <w:rFonts w:ascii="Times New Roman" w:hAnsi="Times New Roman"/>
      </w:rPr>
    </w:sdtEndPr>
    <w:sdtContent>
      <w:sdt>
        <w:sdtPr>
          <w:id w:val="1728636285"/>
          <w:docPartObj>
            <w:docPartGallery w:val="AutoText"/>
          </w:docPartObj>
        </w:sdtPr>
        <w:sdtEndPr>
          <w:rPr>
            <w:rFonts w:ascii="Times New Roman" w:hAnsi="Times New Roman"/>
          </w:rPr>
        </w:sdtEndPr>
        <w:sdtContent>
          <w:p>
            <w:pPr>
              <w:pStyle w:val="6"/>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lang w:val="zh-CN"/>
              </w:rPr>
              <w:t>2</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lang w:val="zh-CN"/>
              </w:rPr>
              <w:t>2</w:t>
            </w:r>
            <w:r>
              <w:rPr>
                <w:rFonts w:ascii="Times New Roman" w:hAnsi="Times New Roman"/>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A4903"/>
    <w:multiLevelType w:val="multilevel"/>
    <w:tmpl w:val="1C6A49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E20B83"/>
    <w:multiLevelType w:val="multilevel"/>
    <w:tmpl w:val="3FE20B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05B69"/>
    <w:rsid w:val="00006080"/>
    <w:rsid w:val="0002587C"/>
    <w:rsid w:val="00045507"/>
    <w:rsid w:val="0005594E"/>
    <w:rsid w:val="00082738"/>
    <w:rsid w:val="00087D30"/>
    <w:rsid w:val="000917F0"/>
    <w:rsid w:val="00094095"/>
    <w:rsid w:val="000A3CA7"/>
    <w:rsid w:val="000B0EC8"/>
    <w:rsid w:val="000B768E"/>
    <w:rsid w:val="000C5BC7"/>
    <w:rsid w:val="000E7FC9"/>
    <w:rsid w:val="00100B60"/>
    <w:rsid w:val="00113543"/>
    <w:rsid w:val="00117B9E"/>
    <w:rsid w:val="00137BCF"/>
    <w:rsid w:val="001417D8"/>
    <w:rsid w:val="00165964"/>
    <w:rsid w:val="001913F9"/>
    <w:rsid w:val="00192C2C"/>
    <w:rsid w:val="00193065"/>
    <w:rsid w:val="001C1B23"/>
    <w:rsid w:val="001D5299"/>
    <w:rsid w:val="001E393B"/>
    <w:rsid w:val="0020313A"/>
    <w:rsid w:val="002128F6"/>
    <w:rsid w:val="002158DC"/>
    <w:rsid w:val="00233AB0"/>
    <w:rsid w:val="00245776"/>
    <w:rsid w:val="002601A8"/>
    <w:rsid w:val="00262658"/>
    <w:rsid w:val="00266A6B"/>
    <w:rsid w:val="0029252D"/>
    <w:rsid w:val="002E2C9F"/>
    <w:rsid w:val="002E720A"/>
    <w:rsid w:val="002F2D60"/>
    <w:rsid w:val="00302FE1"/>
    <w:rsid w:val="003048E8"/>
    <w:rsid w:val="003061D7"/>
    <w:rsid w:val="00307976"/>
    <w:rsid w:val="0031093F"/>
    <w:rsid w:val="003145BC"/>
    <w:rsid w:val="00316B15"/>
    <w:rsid w:val="0032355A"/>
    <w:rsid w:val="003C306B"/>
    <w:rsid w:val="003C75D7"/>
    <w:rsid w:val="003D3128"/>
    <w:rsid w:val="003D60DB"/>
    <w:rsid w:val="003F170C"/>
    <w:rsid w:val="004030E1"/>
    <w:rsid w:val="00427074"/>
    <w:rsid w:val="00442A8B"/>
    <w:rsid w:val="00445F6B"/>
    <w:rsid w:val="00462174"/>
    <w:rsid w:val="00473ADE"/>
    <w:rsid w:val="004B00C8"/>
    <w:rsid w:val="004B3A56"/>
    <w:rsid w:val="004C2586"/>
    <w:rsid w:val="00507D9C"/>
    <w:rsid w:val="005259DA"/>
    <w:rsid w:val="00531455"/>
    <w:rsid w:val="00557102"/>
    <w:rsid w:val="00563A4C"/>
    <w:rsid w:val="00566CC7"/>
    <w:rsid w:val="00574F2D"/>
    <w:rsid w:val="005B533D"/>
    <w:rsid w:val="005C3D32"/>
    <w:rsid w:val="005D1309"/>
    <w:rsid w:val="005D1B7F"/>
    <w:rsid w:val="005F167B"/>
    <w:rsid w:val="005F4D37"/>
    <w:rsid w:val="005F5FFA"/>
    <w:rsid w:val="006113D3"/>
    <w:rsid w:val="00616F24"/>
    <w:rsid w:val="006300C0"/>
    <w:rsid w:val="006447F2"/>
    <w:rsid w:val="00644C5B"/>
    <w:rsid w:val="0067330C"/>
    <w:rsid w:val="00675286"/>
    <w:rsid w:val="00692DA5"/>
    <w:rsid w:val="006A4D58"/>
    <w:rsid w:val="006A4F76"/>
    <w:rsid w:val="006A5728"/>
    <w:rsid w:val="006B49BF"/>
    <w:rsid w:val="006D0734"/>
    <w:rsid w:val="006E4C68"/>
    <w:rsid w:val="00720227"/>
    <w:rsid w:val="00720679"/>
    <w:rsid w:val="007364E2"/>
    <w:rsid w:val="0074694B"/>
    <w:rsid w:val="00785C5F"/>
    <w:rsid w:val="007A0249"/>
    <w:rsid w:val="007C000E"/>
    <w:rsid w:val="007C7803"/>
    <w:rsid w:val="008010AD"/>
    <w:rsid w:val="0080386C"/>
    <w:rsid w:val="008354FF"/>
    <w:rsid w:val="0084303C"/>
    <w:rsid w:val="008736FC"/>
    <w:rsid w:val="008750C5"/>
    <w:rsid w:val="008764AD"/>
    <w:rsid w:val="00877D76"/>
    <w:rsid w:val="00885D99"/>
    <w:rsid w:val="008926BD"/>
    <w:rsid w:val="00895B69"/>
    <w:rsid w:val="0089745C"/>
    <w:rsid w:val="008A7ED7"/>
    <w:rsid w:val="008C10CC"/>
    <w:rsid w:val="008F12F6"/>
    <w:rsid w:val="008F634B"/>
    <w:rsid w:val="00900557"/>
    <w:rsid w:val="009134D0"/>
    <w:rsid w:val="0092223F"/>
    <w:rsid w:val="0093344B"/>
    <w:rsid w:val="0095347A"/>
    <w:rsid w:val="009733B4"/>
    <w:rsid w:val="0097529A"/>
    <w:rsid w:val="00997099"/>
    <w:rsid w:val="009A7BF2"/>
    <w:rsid w:val="009B22D1"/>
    <w:rsid w:val="009B5555"/>
    <w:rsid w:val="009C1D9D"/>
    <w:rsid w:val="009C5ACB"/>
    <w:rsid w:val="009E544B"/>
    <w:rsid w:val="009F7FE9"/>
    <w:rsid w:val="00A317DB"/>
    <w:rsid w:val="00A43A3E"/>
    <w:rsid w:val="00A67610"/>
    <w:rsid w:val="00A73519"/>
    <w:rsid w:val="00A73EC0"/>
    <w:rsid w:val="00A77BD3"/>
    <w:rsid w:val="00AA1A78"/>
    <w:rsid w:val="00AB1BC4"/>
    <w:rsid w:val="00AD646B"/>
    <w:rsid w:val="00AE4C10"/>
    <w:rsid w:val="00B01090"/>
    <w:rsid w:val="00B1229C"/>
    <w:rsid w:val="00B34D88"/>
    <w:rsid w:val="00B357DC"/>
    <w:rsid w:val="00B55BEF"/>
    <w:rsid w:val="00B60E5E"/>
    <w:rsid w:val="00B86A6A"/>
    <w:rsid w:val="00BA0750"/>
    <w:rsid w:val="00BA16D2"/>
    <w:rsid w:val="00BA4F7F"/>
    <w:rsid w:val="00BA6F07"/>
    <w:rsid w:val="00BA7437"/>
    <w:rsid w:val="00BB2377"/>
    <w:rsid w:val="00BB3798"/>
    <w:rsid w:val="00BB4C43"/>
    <w:rsid w:val="00BC44C2"/>
    <w:rsid w:val="00BC6BEF"/>
    <w:rsid w:val="00BD3D34"/>
    <w:rsid w:val="00BD6EBE"/>
    <w:rsid w:val="00BD70DF"/>
    <w:rsid w:val="00BE148A"/>
    <w:rsid w:val="00BF0D84"/>
    <w:rsid w:val="00BF6C60"/>
    <w:rsid w:val="00BF7F17"/>
    <w:rsid w:val="00C068D5"/>
    <w:rsid w:val="00C20325"/>
    <w:rsid w:val="00C318CE"/>
    <w:rsid w:val="00C52346"/>
    <w:rsid w:val="00C76979"/>
    <w:rsid w:val="00C8184D"/>
    <w:rsid w:val="00C85BA7"/>
    <w:rsid w:val="00C9068E"/>
    <w:rsid w:val="00CD148B"/>
    <w:rsid w:val="00CD25EE"/>
    <w:rsid w:val="00CD2BEC"/>
    <w:rsid w:val="00D001A9"/>
    <w:rsid w:val="00D001F0"/>
    <w:rsid w:val="00D120FB"/>
    <w:rsid w:val="00D21777"/>
    <w:rsid w:val="00D2453A"/>
    <w:rsid w:val="00D370A7"/>
    <w:rsid w:val="00D451A4"/>
    <w:rsid w:val="00D515E7"/>
    <w:rsid w:val="00D73A38"/>
    <w:rsid w:val="00DA3B19"/>
    <w:rsid w:val="00DC70AB"/>
    <w:rsid w:val="00DD222F"/>
    <w:rsid w:val="00DE39D7"/>
    <w:rsid w:val="00DE7DBD"/>
    <w:rsid w:val="00DF4BCE"/>
    <w:rsid w:val="00E11C0D"/>
    <w:rsid w:val="00E25016"/>
    <w:rsid w:val="00E32A0C"/>
    <w:rsid w:val="00E34BA1"/>
    <w:rsid w:val="00E44B27"/>
    <w:rsid w:val="00E54B29"/>
    <w:rsid w:val="00EB0EE6"/>
    <w:rsid w:val="00EC669A"/>
    <w:rsid w:val="00ED21B1"/>
    <w:rsid w:val="00ED4254"/>
    <w:rsid w:val="00EE2784"/>
    <w:rsid w:val="00EE4AF0"/>
    <w:rsid w:val="00F16269"/>
    <w:rsid w:val="00F234B2"/>
    <w:rsid w:val="00F26A0F"/>
    <w:rsid w:val="00F3108E"/>
    <w:rsid w:val="00F418F4"/>
    <w:rsid w:val="00F41E5F"/>
    <w:rsid w:val="00F42BAC"/>
    <w:rsid w:val="00F5086B"/>
    <w:rsid w:val="00F87C1F"/>
    <w:rsid w:val="00FD4A2C"/>
    <w:rsid w:val="00FE3C66"/>
    <w:rsid w:val="00FE4CAC"/>
    <w:rsid w:val="00FF2D6D"/>
    <w:rsid w:val="27BA2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3"/>
    <w:semiHidden/>
    <w:unhideWhenUsed/>
    <w:uiPriority w:val="99"/>
    <w:rPr>
      <w:b/>
      <w:bCs/>
    </w:rPr>
  </w:style>
  <w:style w:type="paragraph" w:styleId="3">
    <w:name w:val="annotation text"/>
    <w:basedOn w:val="1"/>
    <w:link w:val="22"/>
    <w:semiHidden/>
    <w:unhideWhenUsed/>
    <w:uiPriority w:val="99"/>
    <w:pPr>
      <w:jc w:val="left"/>
    </w:pPr>
  </w:style>
  <w:style w:type="paragraph" w:styleId="4">
    <w:name w:val="endnote text"/>
    <w:basedOn w:val="1"/>
    <w:link w:val="15"/>
    <w:semiHidden/>
    <w:unhideWhenUsed/>
    <w:uiPriority w:val="99"/>
    <w:pPr>
      <w:snapToGrid w:val="0"/>
      <w:jc w:val="left"/>
    </w:pPr>
  </w:style>
  <w:style w:type="paragraph" w:styleId="5">
    <w:name w:val="Balloon Text"/>
    <w:basedOn w:val="1"/>
    <w:link w:val="18"/>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semiHidden/>
    <w:uiPriority w:val="99"/>
    <w:pPr>
      <w:snapToGrid w:val="0"/>
      <w:jc w:val="left"/>
    </w:pPr>
    <w:rPr>
      <w:rFonts w:ascii="Times New Roman" w:hAnsi="Times New Roman" w:eastAsia="PMingLiU"/>
      <w:sz w:val="20"/>
      <w:szCs w:val="20"/>
      <w:lang w:eastAsia="zh-TW"/>
    </w:rPr>
  </w:style>
  <w:style w:type="character" w:styleId="10">
    <w:name w:val="endnote reference"/>
    <w:semiHidden/>
    <w:unhideWhenUsed/>
    <w:uiPriority w:val="99"/>
    <w:rPr>
      <w:vertAlign w:val="superscript"/>
    </w:rPr>
  </w:style>
  <w:style w:type="character" w:styleId="11">
    <w:name w:val="annotation reference"/>
    <w:basedOn w:val="9"/>
    <w:unhideWhenUsed/>
    <w:uiPriority w:val="0"/>
    <w:rPr>
      <w:sz w:val="21"/>
      <w:szCs w:val="21"/>
    </w:rPr>
  </w:style>
  <w:style w:type="character" w:styleId="12">
    <w:name w:val="footnote reference"/>
    <w:semiHidden/>
    <w:unhideWhenUsed/>
    <w:uiPriority w:val="99"/>
    <w:rPr>
      <w:vertAlign w:val="superscript"/>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尾注文本 字符"/>
    <w:basedOn w:val="9"/>
    <w:link w:val="4"/>
    <w:semiHidden/>
    <w:uiPriority w:val="99"/>
  </w:style>
  <w:style w:type="character" w:customStyle="1" w:styleId="16">
    <w:name w:val="页眉 字符"/>
    <w:link w:val="7"/>
    <w:uiPriority w:val="99"/>
    <w:rPr>
      <w:sz w:val="18"/>
      <w:szCs w:val="18"/>
    </w:rPr>
  </w:style>
  <w:style w:type="character" w:customStyle="1" w:styleId="17">
    <w:name w:val="页脚 字符"/>
    <w:link w:val="6"/>
    <w:uiPriority w:val="99"/>
    <w:rPr>
      <w:sz w:val="18"/>
      <w:szCs w:val="18"/>
    </w:rPr>
  </w:style>
  <w:style w:type="character" w:customStyle="1" w:styleId="18">
    <w:name w:val="批注框文本 字符"/>
    <w:link w:val="5"/>
    <w:semiHidden/>
    <w:uiPriority w:val="99"/>
    <w:rPr>
      <w:kern w:val="2"/>
      <w:sz w:val="18"/>
      <w:szCs w:val="18"/>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34"/>
    <w:pPr>
      <w:ind w:firstLine="420" w:firstLineChars="200"/>
    </w:pPr>
  </w:style>
  <w:style w:type="character" w:customStyle="1" w:styleId="21">
    <w:name w:val="脚注文本 字符"/>
    <w:link w:val="8"/>
    <w:semiHidden/>
    <w:uiPriority w:val="99"/>
    <w:rPr>
      <w:rFonts w:ascii="Times New Roman" w:hAnsi="Times New Roman" w:eastAsia="PMingLiU"/>
      <w:kern w:val="2"/>
      <w:lang w:eastAsia="zh-TW"/>
    </w:rPr>
  </w:style>
  <w:style w:type="character" w:customStyle="1" w:styleId="22">
    <w:name w:val="批注文字 字符"/>
    <w:basedOn w:val="9"/>
    <w:link w:val="3"/>
    <w:semiHidden/>
    <w:uiPriority w:val="99"/>
    <w:rPr>
      <w:kern w:val="2"/>
      <w:sz w:val="21"/>
      <w:szCs w:val="22"/>
    </w:rPr>
  </w:style>
  <w:style w:type="character" w:customStyle="1" w:styleId="23">
    <w:name w:val="批注主题 字符"/>
    <w:basedOn w:val="22"/>
    <w:link w:val="2"/>
    <w:semiHidden/>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63693-A3FD-4DD1-8691-FA7229CA4225}">
  <ds:schemaRefs/>
</ds:datastoreItem>
</file>

<file path=docProps/app.xml><?xml version="1.0" encoding="utf-8"?>
<Properties xmlns="http://schemas.openxmlformats.org/officeDocument/2006/extended-properties" xmlns:vt="http://schemas.openxmlformats.org/officeDocument/2006/docPropsVTypes">
  <Template>Normal</Template>
  <Company>新日鐵住金株式会社</Company>
  <Pages>2</Pages>
  <Words>172</Words>
  <Characters>981</Characters>
  <Lines>8</Lines>
  <Paragraphs>2</Paragraphs>
  <TotalTime>65</TotalTime>
  <ScaleCrop>false</ScaleCrop>
  <LinksUpToDate>false</LinksUpToDate>
  <CharactersWithSpaces>1151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2021-05-07T01:42:00Z</dcterms:created>
  <dc:creator>dell</dc:creator>
  <cp:lastModifiedBy>管理人员</cp:lastModifiedBy>
  <cp:lastPrinted>2022-09-15T03:26:45Z</cp:lastPrinted>
  <dcterms:modified xsi:type="dcterms:W3CDTF">2022-09-15T04:05:33Z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