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rPr>
          <w:rFonts w:ascii="黑体" w:hAnsi="宋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ascii="黑体" w:hAnsi="宋体" w:eastAsia="黑体" w:cs="宋体"/>
          <w:bCs/>
          <w:color w:val="000000"/>
          <w:kern w:val="0"/>
          <w:sz w:val="32"/>
          <w:szCs w:val="32"/>
        </w:rPr>
        <w:t>2</w:t>
      </w:r>
    </w:p>
    <w:p>
      <w:pPr>
        <w:autoSpaceDE w:val="0"/>
        <w:autoSpaceDN w:val="0"/>
        <w:adjustRightInd w:val="0"/>
        <w:spacing w:line="560" w:lineRule="exact"/>
        <w:rPr>
          <w:rFonts w:ascii="黑体" w:hAnsi="宋体" w:eastAsia="黑体" w:cs="宋体"/>
          <w:bCs/>
          <w:color w:val="000000"/>
          <w:kern w:val="0"/>
          <w:sz w:val="32"/>
          <w:szCs w:val="32"/>
        </w:rPr>
      </w:pPr>
    </w:p>
    <w:p>
      <w:pPr>
        <w:spacing w:after="120" w:afterLines="50"/>
        <w:jc w:val="center"/>
        <w:rPr>
          <w:rFonts w:ascii="方正小标宋简体" w:hAnsi="仿宋" w:eastAsia="方正小标宋简体" w:cs="宋体"/>
          <w:kern w:val="0"/>
          <w:sz w:val="44"/>
          <w:szCs w:val="44"/>
          <w:lang w:val="zh-CN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食品加工经营场所布局要求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304"/>
        <w:gridCol w:w="1039"/>
        <w:gridCol w:w="794"/>
        <w:gridCol w:w="948"/>
        <w:gridCol w:w="697"/>
        <w:gridCol w:w="697"/>
        <w:gridCol w:w="1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4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加工经营场所使用面积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Cs w:val="21"/>
              </w:rPr>
              <w:t>㎡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不含库房和专间食品处理区占加工经营场所使用面积的比例原则</w:t>
            </w:r>
          </w:p>
        </w:tc>
        <w:tc>
          <w:tcPr>
            <w:tcW w:w="17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专间面积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（原则上不小于食品处理区面积的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10%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017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应为独立隔断的场所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4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冷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荤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类</w:t>
            </w: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冷加工糕点</w:t>
            </w:r>
          </w:p>
        </w:tc>
        <w:tc>
          <w:tcPr>
            <w:tcW w:w="3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生食类</w:t>
            </w:r>
          </w:p>
        </w:tc>
        <w:tc>
          <w:tcPr>
            <w:tcW w:w="3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其他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专间</w:t>
            </w:r>
          </w:p>
        </w:tc>
        <w:tc>
          <w:tcPr>
            <w:tcW w:w="1017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4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普通餐饮、从事食品制售活动的食品销售经营者</w:t>
            </w:r>
          </w:p>
        </w:tc>
        <w:tc>
          <w:tcPr>
            <w:tcW w:w="12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仿宋_GB2312" w:cs="Arial"/>
                <w:bCs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bookmarkStart w:id="0" w:name="_GoBack"/>
            <w:bookmarkEnd w:id="0"/>
          </w:p>
        </w:tc>
        <w:tc>
          <w:tcPr>
            <w:tcW w:w="57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1/4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（且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lang w:eastAsia="zh-CN"/>
              </w:rPr>
              <w:t>普通餐饮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食品处理区面积不小于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6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2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如与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lang w:eastAsia="zh-CN"/>
              </w:rPr>
              <w:t>冷加工糕点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共用专间，则必须≥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8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，且明确分区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) </w:t>
            </w:r>
          </w:p>
        </w:tc>
        <w:tc>
          <w:tcPr>
            <w:tcW w:w="52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如与冷食类共用专间，则必须≥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8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，且明确分区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) </w:t>
            </w:r>
          </w:p>
        </w:tc>
        <w:tc>
          <w:tcPr>
            <w:tcW w:w="386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386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/</w:t>
            </w:r>
          </w:p>
        </w:tc>
        <w:tc>
          <w:tcPr>
            <w:tcW w:w="101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1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～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（不含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，含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5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2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2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～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500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不含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，含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500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1/5</w:t>
            </w:r>
          </w:p>
        </w:tc>
        <w:tc>
          <w:tcPr>
            <w:tcW w:w="42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52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lang w:eastAsia="zh-CN"/>
              </w:rPr>
              <w:t>初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加工、烹饪、餐用具清洗消毒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41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500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～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不含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500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，含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1/6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6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52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7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lang w:eastAsia="zh-CN"/>
              </w:rPr>
              <w:t>初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加工、烹饪、餐用具清洗消毒、更衣室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1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1500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～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3000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不含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，含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3000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1/7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52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00"/>
                <w:kern w:val="0"/>
                <w:szCs w:val="21"/>
              </w:rPr>
              <w:t>&gt;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3000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1/8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52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</w:tr>
    </w:tbl>
    <w:p/>
    <w:p>
      <w:pPr>
        <w:pStyle w:val="2"/>
      </w:pPr>
    </w:p>
    <w:tbl>
      <w:tblPr>
        <w:tblStyle w:val="3"/>
        <w:tblW w:w="90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320"/>
        <w:gridCol w:w="1050"/>
        <w:gridCol w:w="797"/>
        <w:gridCol w:w="928"/>
        <w:gridCol w:w="694"/>
        <w:gridCol w:w="694"/>
        <w:gridCol w:w="1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加工经营场所使用面积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int="eastAsia" w:ascii="仿宋_GB2312" w:hAnsi="宋体" w:cs="宋体"/>
                <w:b/>
                <w:bCs/>
                <w:color w:val="000000"/>
                <w:kern w:val="0"/>
                <w:szCs w:val="21"/>
              </w:rPr>
              <w:t>㎡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不含库房和专间食品处理区占加工经营场所使用面积的比例原则</w:t>
            </w:r>
          </w:p>
        </w:tc>
        <w:tc>
          <w:tcPr>
            <w:tcW w:w="3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专间面积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（原则上不小于食品处理区面积的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10%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85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应为独立隔断的场所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3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冷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荤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类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  <w:t>冷加工糕点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生食类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其他专间</w:t>
            </w:r>
          </w:p>
        </w:tc>
        <w:tc>
          <w:tcPr>
            <w:tcW w:w="18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单位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食堂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食品处理区面积≥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30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（建筑工地食堂≥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20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/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/ 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参照相应面积的普通餐饮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集体用餐配送单位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食品处理区面积≥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150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；清洗消毒区面积≥食品处理区面积的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10%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。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/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/ 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/ 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/ 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分餐间≥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lang w:eastAsia="zh-CN"/>
              </w:rPr>
              <w:t>初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加工、切配、烹饪、餐用具清洗消毒、餐用具保洁、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lang w:eastAsia="zh-CN"/>
              </w:rPr>
              <w:t>分装（餐）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、更衣室、清洁工具存放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中央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厨房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食品处理区面积≥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300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；清洗消毒区面积≥食品处理区面积的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10%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/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≥10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/ 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≥10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冷却及内包装间≥</w:t>
            </w:r>
            <w:r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lang w:val="zh-CN"/>
              </w:rPr>
              <w:t>m</w:t>
            </w:r>
            <w:r>
              <w:rPr>
                <w:rFonts w:ascii="仿宋_GB2312" w:hAnsi="仿宋" w:eastAsia="仿宋_GB2312" w:cs="宋体"/>
                <w:kern w:val="0"/>
                <w:sz w:val="21"/>
                <w:szCs w:val="21"/>
                <w:vertAlign w:val="superscript"/>
                <w:lang w:val="zh-CN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lang w:eastAsia="zh-CN"/>
              </w:rPr>
              <w:t>初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加工、切配、烹饪、面点制作、食品冷却、食品包装、待配送食品贮存、工用具清洗消毒、食品库房、更衣室、清洁工具存放</w:t>
            </w:r>
          </w:p>
        </w:tc>
      </w:tr>
    </w:tbl>
    <w:p/>
    <w:p>
      <w:pPr>
        <w:pStyle w:val="2"/>
        <w:rPr>
          <w:kern w:val="0"/>
        </w:rPr>
      </w:pPr>
    </w:p>
    <w:p>
      <w:pPr>
        <w:pStyle w:val="2"/>
        <w:rPr>
          <w:kern w:val="0"/>
        </w:rPr>
      </w:pPr>
    </w:p>
    <w:p>
      <w:pPr>
        <w:rPr>
          <w:rFonts w:ascii="黑体" w:eastAsia="黑体" w:cs="宋体"/>
          <w:bCs/>
          <w:sz w:val="32"/>
          <w:szCs w:val="32"/>
        </w:rPr>
      </w:pPr>
      <w:r>
        <w:rPr>
          <w:rFonts w:hint="eastAsia" w:ascii="黑体" w:eastAsia="黑体" w:cs="宋体"/>
          <w:bCs/>
          <w:sz w:val="32"/>
          <w:szCs w:val="32"/>
        </w:rPr>
        <w:t>附件</w:t>
      </w:r>
      <w:r>
        <w:rPr>
          <w:rFonts w:ascii="黑体" w:eastAsia="黑体" w:cs="宋体"/>
          <w:bCs/>
          <w:sz w:val="32"/>
          <w:szCs w:val="32"/>
        </w:rPr>
        <w:t>3</w:t>
      </w:r>
    </w:p>
    <w:p>
      <w:pPr>
        <w:jc w:val="center"/>
        <w:rPr>
          <w:rFonts w:hint="eastAsia" w:ascii="方正小标宋简体" w:eastAsia="方正小标宋简体" w:cs="宋体"/>
          <w:bCs/>
          <w:sz w:val="44"/>
          <w:szCs w:val="44"/>
        </w:rPr>
      </w:pPr>
      <w:r>
        <w:rPr>
          <w:rFonts w:hint="eastAsia" w:ascii="方正小标宋简体" w:eastAsia="方正小标宋简体" w:cs="宋体"/>
          <w:bCs/>
          <w:sz w:val="44"/>
          <w:szCs w:val="44"/>
        </w:rPr>
        <w:t>实验室设置及检测项目指导原则</w:t>
      </w:r>
    </w:p>
    <w:p>
      <w:pPr>
        <w:rPr>
          <w:rFonts w:ascii="黑体" w:hAnsi="仿宋" w:eastAsia="黑体" w:cs="宋体"/>
          <w:kern w:val="0"/>
          <w:sz w:val="32"/>
          <w:szCs w:val="32"/>
          <w:lang w:val="zh-CN"/>
        </w:rPr>
      </w:pPr>
      <w:r>
        <w:rPr>
          <w:rFonts w:hint="eastAsia" w:ascii="黑体" w:hAnsi="仿宋" w:eastAsia="黑体" w:cs="宋体"/>
          <w:kern w:val="0"/>
          <w:sz w:val="32"/>
          <w:szCs w:val="32"/>
          <w:lang w:val="zh-CN"/>
        </w:rPr>
        <w:t>一、实验室基本设置</w:t>
      </w:r>
    </w:p>
    <w:p>
      <w:pPr>
        <w:spacing w:line="48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ascii="仿宋_GB2312" w:hAnsi="仿宋" w:eastAsia="仿宋_GB2312" w:cs="宋体"/>
          <w:kern w:val="0"/>
          <w:sz w:val="32"/>
          <w:szCs w:val="32"/>
          <w:lang w:val="zh-CN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单纯做理化实验的，可设置一间实验室。地面、墙壁铺设瓷砖。至少一个水池、一台冰箱。</w:t>
      </w:r>
    </w:p>
    <w:p>
      <w:pPr>
        <w:spacing w:line="48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ascii="仿宋_GB2312" w:hAnsi="仿宋" w:eastAsia="仿宋_GB2312" w:cs="宋体"/>
          <w:kern w:val="0"/>
          <w:sz w:val="32"/>
          <w:szCs w:val="32"/>
          <w:lang w:val="zh-CN"/>
        </w:rPr>
        <w:t>2.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有微生物实验的，须设立两间实验室。内间为微生物实验室（配有超净工作台），外间为实验准备间及理化实验室。地面、墙壁铺设瓷砖。至少一个水池。设有空气消毒设施。</w:t>
      </w:r>
    </w:p>
    <w:p>
      <w:pPr>
        <w:spacing w:line="48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lang w:val="zh-CN"/>
        </w:rPr>
      </w:pPr>
      <w:r>
        <w:rPr>
          <w:rFonts w:ascii="仿宋_GB2312" w:hAnsi="仿宋" w:eastAsia="仿宋_GB2312" w:cs="宋体"/>
          <w:kern w:val="0"/>
          <w:sz w:val="32"/>
          <w:szCs w:val="32"/>
          <w:lang w:val="zh-CN"/>
        </w:rPr>
        <w:t>3.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zh-CN"/>
        </w:rPr>
        <w:t>配备与检验项目相适应的仪器及设备设施。采用试剂盒进行检测的，应具备相应试剂盒。</w:t>
      </w:r>
    </w:p>
    <w:p>
      <w:pPr>
        <w:spacing w:line="480" w:lineRule="exact"/>
        <w:ind w:firstLine="640" w:firstLineChars="200"/>
        <w:rPr>
          <w:rFonts w:ascii="黑体" w:hAnsi="仿宋" w:eastAsia="黑体" w:cs="宋体"/>
          <w:kern w:val="0"/>
          <w:sz w:val="32"/>
          <w:szCs w:val="32"/>
          <w:lang w:val="zh-CN"/>
        </w:rPr>
      </w:pPr>
      <w:r>
        <w:rPr>
          <w:rFonts w:hint="eastAsia" w:ascii="黑体" w:hAnsi="仿宋" w:eastAsia="黑体" w:cs="宋体"/>
          <w:kern w:val="0"/>
          <w:sz w:val="32"/>
          <w:szCs w:val="32"/>
          <w:lang w:val="zh-CN"/>
        </w:rPr>
        <w:t>二、重点检测项目</w:t>
      </w:r>
    </w:p>
    <w:tbl>
      <w:tblPr>
        <w:tblStyle w:val="3"/>
        <w:tblW w:w="5135" w:type="pct"/>
        <w:tblInd w:w="-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4"/>
        <w:gridCol w:w="302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9" w:type="pct"/>
            <w:noWrap w:val="0"/>
            <w:vAlign w:val="top"/>
          </w:tcPr>
          <w:p>
            <w:pPr>
              <w:jc w:val="center"/>
              <w:rPr>
                <w:rFonts w:ascii="仿宋_GB2312" w:hAnsi="仿宋" w:eastAsia="仿宋_GB2312" w:cs="宋体"/>
                <w:b/>
                <w:kern w:val="0"/>
                <w:sz w:val="30"/>
                <w:szCs w:val="30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  <w:lang w:val="zh-CN"/>
              </w:rPr>
              <w:t>样品</w:t>
            </w:r>
          </w:p>
        </w:tc>
        <w:tc>
          <w:tcPr>
            <w:tcW w:w="1627" w:type="pct"/>
            <w:noWrap w:val="0"/>
            <w:vAlign w:val="top"/>
          </w:tcPr>
          <w:p>
            <w:pPr>
              <w:jc w:val="center"/>
              <w:rPr>
                <w:rFonts w:ascii="仿宋_GB2312" w:hAnsi="仿宋" w:eastAsia="仿宋_GB2312" w:cs="宋体"/>
                <w:b/>
                <w:kern w:val="0"/>
                <w:sz w:val="30"/>
                <w:szCs w:val="30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  <w:lang w:val="zh-CN"/>
              </w:rPr>
              <w:t>检测项目</w:t>
            </w:r>
          </w:p>
        </w:tc>
        <w:tc>
          <w:tcPr>
            <w:tcW w:w="2043" w:type="pct"/>
            <w:noWrap w:val="0"/>
            <w:vAlign w:val="top"/>
          </w:tcPr>
          <w:p>
            <w:pPr>
              <w:jc w:val="center"/>
              <w:rPr>
                <w:rFonts w:ascii="仿宋_GB2312" w:hAnsi="仿宋" w:eastAsia="仿宋_GB2312" w:cs="宋体"/>
                <w:b/>
                <w:kern w:val="0"/>
                <w:sz w:val="30"/>
                <w:szCs w:val="30"/>
                <w:lang w:val="zh-CN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  <w:lang w:val="zh-CN"/>
              </w:rPr>
              <w:t>设备或试剂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9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蔬菜、水果等植物性食品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农药残留检测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农药残留检测卡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9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畜禽肉及肉制品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亚硝酸盐检测、瘦肉精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亚硝酸盐快速检测盒及试纸、瘦肉精快速检测卡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29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食用油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酸价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  <w:t>、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过氧化值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spacing w:val="-1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spacing w:val="-10"/>
                <w:kern w:val="0"/>
                <w:sz w:val="28"/>
                <w:szCs w:val="28"/>
                <w:lang w:val="zh-CN"/>
              </w:rPr>
              <w:t>酸价</w:t>
            </w:r>
            <w:r>
              <w:rPr>
                <w:rFonts w:ascii="仿宋_GB2312" w:hAnsi="仿宋" w:eastAsia="仿宋_GB2312" w:cs="宋体"/>
                <w:spacing w:val="-10"/>
                <w:kern w:val="0"/>
                <w:sz w:val="28"/>
                <w:szCs w:val="28"/>
                <w:lang w:val="zh-CN"/>
              </w:rPr>
              <w:t>快检仪</w:t>
            </w:r>
            <w:r>
              <w:rPr>
                <w:rFonts w:hint="eastAsia" w:ascii="仿宋_GB2312" w:hAnsi="仿宋" w:eastAsia="仿宋_GB2312" w:cs="宋体"/>
                <w:spacing w:val="-10"/>
                <w:kern w:val="0"/>
                <w:sz w:val="28"/>
                <w:szCs w:val="28"/>
                <w:lang w:val="zh-CN"/>
              </w:rPr>
              <w:t>、食用油过氧化值检测试纸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9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水产品（养殖）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兽药残留（恩诺沙星、呋喃代谢物、孔雀石绿、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  <w:t>氯霉素、磺胺类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）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胶体金快速检测卡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9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水发产品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双氧水和甲醛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双氧水快速检测仪、水产品甲醛检测试纸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9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大米、谷物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黄曲霉毒素B1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黄曲霉毒素B1快速检测试纸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2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自制饮品、直接入口食品、热加工的半成品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菌落总数、大肠菌群、黄曲霉毒素B1（豆浆）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食品相关产品</w:t>
            </w:r>
          </w:p>
        </w:tc>
        <w:tc>
          <w:tcPr>
            <w:tcW w:w="1627" w:type="pct"/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  <w:lang w:val="zh-CN"/>
              </w:rPr>
              <w:t>大肠菌群</w:t>
            </w:r>
          </w:p>
        </w:tc>
        <w:tc>
          <w:tcPr>
            <w:tcW w:w="2043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 w:cs="宋体"/>
                <w:kern w:val="0"/>
                <w:sz w:val="28"/>
                <w:szCs w:val="28"/>
                <w:lang w:val="zh-CN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文泉驿微米黑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文泉驿微米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70528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5941060</wp:posOffset>
              </wp:positionV>
              <wp:extent cx="762000" cy="89535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5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5"/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79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5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vert" upright="true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2.7pt;margin-top:467.8pt;height:70.5pt;width:60pt;mso-position-horizontal-relative:page;mso-position-vertical-relative:page;z-index:251670528;mso-width-relative:page;mso-height-relative:page;" fillcolor="#FFFFFF" filled="t" stroked="f" coordsize="21600,21600" o:allowincell="f" o:gfxdata="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CKMZBV2wAAAAsBAAAPAAAAAAAAAAEAIAAAADgAAABkcnMvZG93bnJldi54bWxQSwEC&#10;FAAUAAAACACHTuJA29vqXKIBAAAqAwAADgAAAAAAAAABACAAAABAAQAAZHJzL2Uyb0RvYy54bWxQ&#10;SwUGAAAAAAYABgBZAQAAVAUAAAAA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5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5"/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79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5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BF0F7E"/>
    <w:rsid w:val="587B82A9"/>
    <w:rsid w:val="F4FF0B6E"/>
    <w:rsid w:val="F5BF0F7E"/>
    <w:rsid w:val="FBA5C9FB"/>
    <w:rsid w:val="FFFC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character" w:styleId="5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2023-08-31T17:20:00Z</dcterms:created>
  <dc:creator>scjgj</dc:creator>
  <cp:lastModifiedBy>scjgj</cp:lastModifiedBy>
  <cp:lastPrinted>2023-09-02T10:27:00Z</cp:lastPrinted>
  <dcterms:modified xsi:type="dcterms:W3CDTF">2023-09-07T10:15:03Z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