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  <w:lang w:val="en-US" w:eastAsia="zh-CN"/>
        </w:rPr>
        <w:t>京津冀三地关于深入落实市场监管总局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  <w:lang w:val="en-US" w:eastAsia="zh-CN"/>
        </w:rPr>
        <w:t>《广告绝对化用语执法指南》的工作指引（征求意见稿）起草说明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落实市场监管总局《广告绝对化用语执法指南》，体现包容审慎监管原则，打造统一、开放的广告市场环境，进一步激发广告市场主体活力，推动京津冀经济高质量发展，我局联合天津市市场监督管理委员会、河北省市场监督管理局起草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关于深入落实市场监管总局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广告绝对化用语执法指南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的工作指引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》（以下简称：《工作指引》），对市场监管总局《广告绝对化用语执法指南》中予以从轻、减轻或者不予行政处罚的裁量提出细化标准，有助于优化京津冀三地营商环境。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根据《中华人民共和国广告法》《中华人民共和国行政处罚法》《北京市优化营商环境条例》，以及市场监管总局《广告绝对化用语执法指南》等规定，并结合市场监管领域行政执法实践，起草了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《工作指引》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研究市场监管总局《广告绝对化用语执法指南》公告以来，京津冀三地广告监管执法实践及特点，细化广告绝对化用语问题适用从轻、减轻或者不予行政处罚的认定标准，明确适用范围。通过召开京津冀三地研讨会、征求意见、区局现场调研会等形式，充分征求京津冀三地基层意见，不断修改完善《工作指引》，形成目前的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/>
        <w:textAlignment w:val="auto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工作指引》包含不予行政处罚，从轻、减轻行政处罚，依法合规作出处理决定等三个方面内容。对如何判断“违法行为轻微”“及时改正”“初次违法”“没有造成危害后果”和“危害后果轻微”等进行了明确，同时设定了没有造成危害后果、危害后果轻微的四种例外情形，一是直接造成消费者的重大损失；二是引起群访群诉事件；三是扰乱市场秩序；四是产生其他恶劣社会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京津冀三地市场监管部门在处理涉及绝对化用语广告的投诉举报、案件查办过程中，要充分调取涉及当事人从轻、减轻或不予处罚的证据材料，符合上述规定情形的，应采取从轻、减轻或不予处罚处理方式。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8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7248"/>
    <w:rsid w:val="0003519A"/>
    <w:rsid w:val="0004096C"/>
    <w:rsid w:val="00057091"/>
    <w:rsid w:val="00071DCF"/>
    <w:rsid w:val="00094CCE"/>
    <w:rsid w:val="000A6650"/>
    <w:rsid w:val="000B6BC4"/>
    <w:rsid w:val="000D2724"/>
    <w:rsid w:val="000E6487"/>
    <w:rsid w:val="00105312"/>
    <w:rsid w:val="00105F02"/>
    <w:rsid w:val="00126053"/>
    <w:rsid w:val="00154C41"/>
    <w:rsid w:val="001663EE"/>
    <w:rsid w:val="00167D2C"/>
    <w:rsid w:val="00194F6B"/>
    <w:rsid w:val="001A04C7"/>
    <w:rsid w:val="001A369D"/>
    <w:rsid w:val="001A3F2C"/>
    <w:rsid w:val="001B6EE0"/>
    <w:rsid w:val="001E3221"/>
    <w:rsid w:val="001F1DD3"/>
    <w:rsid w:val="00216291"/>
    <w:rsid w:val="0023190E"/>
    <w:rsid w:val="0024042F"/>
    <w:rsid w:val="00266569"/>
    <w:rsid w:val="00272B7D"/>
    <w:rsid w:val="00276B40"/>
    <w:rsid w:val="00282617"/>
    <w:rsid w:val="00297794"/>
    <w:rsid w:val="002A16C8"/>
    <w:rsid w:val="002B212D"/>
    <w:rsid w:val="002B4605"/>
    <w:rsid w:val="002C475A"/>
    <w:rsid w:val="002E0F7E"/>
    <w:rsid w:val="00305BC6"/>
    <w:rsid w:val="00307A74"/>
    <w:rsid w:val="003104E8"/>
    <w:rsid w:val="003162F6"/>
    <w:rsid w:val="00330A0B"/>
    <w:rsid w:val="00344896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22656"/>
    <w:rsid w:val="00425F50"/>
    <w:rsid w:val="00433412"/>
    <w:rsid w:val="0043504E"/>
    <w:rsid w:val="00447484"/>
    <w:rsid w:val="004B66DC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A38B0"/>
    <w:rsid w:val="005B0B2F"/>
    <w:rsid w:val="005D6C88"/>
    <w:rsid w:val="00611B9B"/>
    <w:rsid w:val="006573F3"/>
    <w:rsid w:val="0066004B"/>
    <w:rsid w:val="006618C2"/>
    <w:rsid w:val="006633EA"/>
    <w:rsid w:val="006706E2"/>
    <w:rsid w:val="006839E2"/>
    <w:rsid w:val="0068746F"/>
    <w:rsid w:val="00691001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3B79"/>
    <w:rsid w:val="007356A2"/>
    <w:rsid w:val="00751496"/>
    <w:rsid w:val="007772F0"/>
    <w:rsid w:val="00787635"/>
    <w:rsid w:val="007C1B13"/>
    <w:rsid w:val="007F4F48"/>
    <w:rsid w:val="008122B4"/>
    <w:rsid w:val="0081336A"/>
    <w:rsid w:val="0087701D"/>
    <w:rsid w:val="00881767"/>
    <w:rsid w:val="008C7248"/>
    <w:rsid w:val="008E1AAC"/>
    <w:rsid w:val="008F3B45"/>
    <w:rsid w:val="008F5407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92582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A13EEE"/>
    <w:rsid w:val="00A14796"/>
    <w:rsid w:val="00A206DA"/>
    <w:rsid w:val="00A37AEE"/>
    <w:rsid w:val="00A47A35"/>
    <w:rsid w:val="00A73DFB"/>
    <w:rsid w:val="00A81DC0"/>
    <w:rsid w:val="00A8582F"/>
    <w:rsid w:val="00A8763A"/>
    <w:rsid w:val="00A90B7A"/>
    <w:rsid w:val="00AA2848"/>
    <w:rsid w:val="00AA287E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540C2"/>
    <w:rsid w:val="00B75A17"/>
    <w:rsid w:val="00BA61CC"/>
    <w:rsid w:val="00BC3F3F"/>
    <w:rsid w:val="00BC41F3"/>
    <w:rsid w:val="00BC5715"/>
    <w:rsid w:val="00BD26BF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5119"/>
    <w:rsid w:val="00D63A18"/>
    <w:rsid w:val="00D663BD"/>
    <w:rsid w:val="00DB6076"/>
    <w:rsid w:val="00DC0B71"/>
    <w:rsid w:val="00DC5652"/>
    <w:rsid w:val="00DE6A52"/>
    <w:rsid w:val="00DF7C90"/>
    <w:rsid w:val="00E01DEC"/>
    <w:rsid w:val="00E13A60"/>
    <w:rsid w:val="00E15D3C"/>
    <w:rsid w:val="00E214CB"/>
    <w:rsid w:val="00E2304C"/>
    <w:rsid w:val="00E36462"/>
    <w:rsid w:val="00E41A90"/>
    <w:rsid w:val="00E4210C"/>
    <w:rsid w:val="00E52D88"/>
    <w:rsid w:val="00E654DB"/>
    <w:rsid w:val="00E7775E"/>
    <w:rsid w:val="00E93204"/>
    <w:rsid w:val="00E9747E"/>
    <w:rsid w:val="00E979BD"/>
    <w:rsid w:val="00EB301F"/>
    <w:rsid w:val="00EB7662"/>
    <w:rsid w:val="00EC67FD"/>
    <w:rsid w:val="00ED2013"/>
    <w:rsid w:val="00EE3520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74A7"/>
    <w:rsid w:val="00FD53A1"/>
    <w:rsid w:val="00FE5574"/>
    <w:rsid w:val="00FF503A"/>
    <w:rsid w:val="00FF6108"/>
    <w:rsid w:val="0129527A"/>
    <w:rsid w:val="03FA3060"/>
    <w:rsid w:val="058E3EAC"/>
    <w:rsid w:val="077D5433"/>
    <w:rsid w:val="07860178"/>
    <w:rsid w:val="081F7F65"/>
    <w:rsid w:val="08424764"/>
    <w:rsid w:val="09362637"/>
    <w:rsid w:val="0C4F588A"/>
    <w:rsid w:val="0CC615C3"/>
    <w:rsid w:val="0E8A6FAD"/>
    <w:rsid w:val="0FA820BD"/>
    <w:rsid w:val="0FC629C5"/>
    <w:rsid w:val="134B5687"/>
    <w:rsid w:val="13980DEA"/>
    <w:rsid w:val="151B3E54"/>
    <w:rsid w:val="164E1D16"/>
    <w:rsid w:val="16D16AAF"/>
    <w:rsid w:val="1A9C5B76"/>
    <w:rsid w:val="1B8B2885"/>
    <w:rsid w:val="1BEE93C9"/>
    <w:rsid w:val="1C5C5B03"/>
    <w:rsid w:val="22E54463"/>
    <w:rsid w:val="23C16B35"/>
    <w:rsid w:val="24BF7470"/>
    <w:rsid w:val="253B527C"/>
    <w:rsid w:val="282166C5"/>
    <w:rsid w:val="288E7D26"/>
    <w:rsid w:val="292F6DB7"/>
    <w:rsid w:val="2BDD4D0A"/>
    <w:rsid w:val="2D865F48"/>
    <w:rsid w:val="2DF71A1E"/>
    <w:rsid w:val="2ECD0961"/>
    <w:rsid w:val="3484187A"/>
    <w:rsid w:val="35F0600B"/>
    <w:rsid w:val="366339D8"/>
    <w:rsid w:val="37BE90F7"/>
    <w:rsid w:val="3A627DC5"/>
    <w:rsid w:val="3B045869"/>
    <w:rsid w:val="3B4227DF"/>
    <w:rsid w:val="3B6A38BD"/>
    <w:rsid w:val="3BC44376"/>
    <w:rsid w:val="3BD31274"/>
    <w:rsid w:val="3FA941FB"/>
    <w:rsid w:val="40F92D40"/>
    <w:rsid w:val="474B6403"/>
    <w:rsid w:val="49E24CBC"/>
    <w:rsid w:val="4A1E5767"/>
    <w:rsid w:val="4C6B08FA"/>
    <w:rsid w:val="4DB11999"/>
    <w:rsid w:val="51D932D8"/>
    <w:rsid w:val="51F439AC"/>
    <w:rsid w:val="52383399"/>
    <w:rsid w:val="528666B1"/>
    <w:rsid w:val="52BE515A"/>
    <w:rsid w:val="53EE2BF6"/>
    <w:rsid w:val="579C3300"/>
    <w:rsid w:val="57B12A6A"/>
    <w:rsid w:val="57DFD8FD"/>
    <w:rsid w:val="586C5199"/>
    <w:rsid w:val="587F2CF1"/>
    <w:rsid w:val="5949476A"/>
    <w:rsid w:val="5C494AA9"/>
    <w:rsid w:val="5CFB1DCB"/>
    <w:rsid w:val="5D957FBF"/>
    <w:rsid w:val="5F8A69D7"/>
    <w:rsid w:val="604B56D0"/>
    <w:rsid w:val="60AA3E2B"/>
    <w:rsid w:val="63501466"/>
    <w:rsid w:val="68794D8B"/>
    <w:rsid w:val="68F9A195"/>
    <w:rsid w:val="6FFBCE7A"/>
    <w:rsid w:val="70E26B2F"/>
    <w:rsid w:val="71BA456B"/>
    <w:rsid w:val="721B570D"/>
    <w:rsid w:val="7387178B"/>
    <w:rsid w:val="73961F56"/>
    <w:rsid w:val="7639543A"/>
    <w:rsid w:val="79E73EE3"/>
    <w:rsid w:val="7B67772B"/>
    <w:rsid w:val="7C687172"/>
    <w:rsid w:val="7D140329"/>
    <w:rsid w:val="7D9E3026"/>
    <w:rsid w:val="7DBD7F2B"/>
    <w:rsid w:val="7DD45D86"/>
    <w:rsid w:val="7EB43EEA"/>
    <w:rsid w:val="7EF5952C"/>
    <w:rsid w:val="7EFBA728"/>
    <w:rsid w:val="7F343B67"/>
    <w:rsid w:val="7F5B8EAA"/>
    <w:rsid w:val="7F6AC9D4"/>
    <w:rsid w:val="ABE326B1"/>
    <w:rsid w:val="B8FD7BAD"/>
    <w:rsid w:val="BBCF7516"/>
    <w:rsid w:val="CEE3D0F2"/>
    <w:rsid w:val="D4FBDC1B"/>
    <w:rsid w:val="D7E6EF14"/>
    <w:rsid w:val="D9EF1544"/>
    <w:rsid w:val="DECF4F41"/>
    <w:rsid w:val="EE7DBFFF"/>
    <w:rsid w:val="EECE2018"/>
    <w:rsid w:val="EFBFE229"/>
    <w:rsid w:val="F74CC016"/>
    <w:rsid w:val="FADA59CE"/>
    <w:rsid w:val="FB708091"/>
    <w:rsid w:val="FBFF648E"/>
    <w:rsid w:val="FD7EEA50"/>
    <w:rsid w:val="FE9B47EB"/>
    <w:rsid w:val="FFEE21A6"/>
    <w:rsid w:val="FFF7D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163</Words>
  <Characters>930</Characters>
  <Lines>7</Lines>
  <Paragraphs>2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2020-12-10T08:37:00Z</dcterms:created>
  <dc:creator>yulangbai</dc:creator>
  <cp:lastModifiedBy>scjgj</cp:lastModifiedBy>
  <cp:lastPrinted>2021-11-24T03:00:00Z</cp:lastPrinted>
  <dcterms:modified xsi:type="dcterms:W3CDTF">2023-08-10T09:10:08Z</dcterms:modified>
  <dc:title>北京市市场监督管理局裁量基准（修订部分）起草说明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8481476CA4D04F8D9B8407078B4AFEA2</vt:lpwstr>
  </property>
</Properties>
</file>