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bookmarkStart w:id="0" w:name="_Toc2718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北京市检验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检测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机构资质认定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评审人员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管理办法</w:t>
      </w:r>
      <w:bookmarkEnd w:id="0"/>
    </w:p>
    <w:p>
      <w:pPr>
        <w:spacing w:beforeLines="0" w:afterLines="0" w:line="600" w:lineRule="exact"/>
        <w:ind w:left="315" w:leftChars="150" w:firstLine="42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                     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（征求意见稿）</w:t>
      </w:r>
    </w:p>
    <w:p>
      <w:pPr>
        <w:spacing w:beforeLines="0" w:afterLines="0" w:line="600" w:lineRule="exact"/>
        <w:ind w:left="315" w:leftChars="150" w:firstLine="640" w:firstLineChars="200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bookmarkStart w:id="1" w:name="_Toc31451"/>
      <w:bookmarkStart w:id="2" w:name="_Toc27889"/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 xml:space="preserve"> 总则</w:t>
      </w:r>
      <w:bookmarkEnd w:id="1"/>
      <w:bookmarkEnd w:id="2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right="0" w:rightChars="0"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3" w:name="_Toc838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第一条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目的和依据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为加强检验检测机构资质认定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评审人员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管理，规范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评审行为，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国家认监委秘书处印发的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检验检测机构资质认定评审人员管理办法（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》等规定，制定本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bookmarkEnd w:id="3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4" w:name="_Toc2785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定义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检验检测机构资质认定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评审人员包括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评审员、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技术专家和专家委员会成员。</w:t>
      </w:r>
      <w:bookmarkEnd w:id="4"/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auto"/>
        <w:kinsoku/>
        <w:wordWrap/>
        <w:overflowPunct/>
        <w:topLinePunct w:val="0"/>
        <w:autoSpaceDE/>
        <w:autoSpaceDN/>
        <w:bidi w:val="0"/>
        <w:spacing w:before="0" w:beforeLines="-2147483648" w:beforeAutospacing="0" w:after="0" w:afterLines="-2147483648" w:afterAutospacing="0"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）评审员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是指经所属单位推荐，由北京市市场监督管理局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考核和确认，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受其指派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对检验检测机构的基本条件和技术能力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评审的人员。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）技术专家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是指经所属单位推荐，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北京市市场监督管理局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指派，对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检验检测机构的技术能力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进行专业评价和指导的人员。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专家委员会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是检验检测机构资质认定的专业技术服务组织。由评审人员数据库中相关专业的资深专家组成，负责协助制定资质认定发展规划，对技术评审、人员晋级进行评定等工作。</w:t>
      </w:r>
    </w:p>
    <w:p>
      <w:pPr>
        <w:pStyle w:val="10"/>
        <w:keepNext w:val="0"/>
        <w:keepLines w:val="0"/>
        <w:pageBreakBefore w:val="0"/>
        <w:framePr w:wrap="auto" w:vAnchor="margin" w:hAnchor="text" w:yAlign="inline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5" w:name="_Toc1571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第三条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市局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北京市市场监督管理局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负责建立评审人员的培训、考核、使用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等管理制度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对检验检测机构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color w:val="auto"/>
          <w:sz w:val="32"/>
          <w:szCs w:val="32"/>
          <w:highlight w:val="none"/>
          <w:lang w:eastAsia="zh-CN"/>
        </w:rPr>
        <w:t>资质认定评审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color w:val="auto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开展有效监督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bookmarkEnd w:id="5"/>
      <w:bookmarkStart w:id="6" w:name="_Toc11308"/>
    </w:p>
    <w:p>
      <w:pPr>
        <w:pStyle w:val="10"/>
        <w:keepNext w:val="0"/>
        <w:keepLines w:val="0"/>
        <w:pageBreakBefore w:val="0"/>
        <w:framePr w:wrap="auto" w:vAnchor="margin" w:hAnchor="text" w:yAlign="inline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第四条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技术评审单位职责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】北京市计量检测科学研究院计量和检验机构资质认定评审中心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（以下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简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称评审中心）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作为专业技术评价机构，受北京市市场监督管理局委托负责评审人员培训、考核、选派等工作的组织实施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提出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建议，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负责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评审人员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数据库的建设、管理和维护。</w:t>
      </w:r>
      <w:bookmarkEnd w:id="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7" w:name="_Toc26194"/>
      <w:bookmarkStart w:id="8" w:name="_Toc412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评审人员管理</w:t>
      </w:r>
      <w:bookmarkEnd w:id="7"/>
      <w:bookmarkEnd w:id="8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strike/>
          <w:color w:val="auto"/>
          <w:sz w:val="32"/>
          <w:szCs w:val="32"/>
          <w:highlight w:val="cyan"/>
          <w:lang w:val="en-US" w:eastAsia="zh-CN"/>
        </w:rPr>
      </w:pPr>
      <w:bookmarkStart w:id="9" w:name="_Toc27568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第五条【评审员准入要求】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 w:color="000000"/>
          <w:lang w:val="en-US" w:eastAsia="zh-CN" w:bidi="ar-SA"/>
        </w:rPr>
        <w:t>评审员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能够独立承担相关领域的评审工作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并符合下列要求：</w:t>
      </w:r>
      <w:bookmarkEnd w:id="9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具有国家承认的大学本科及以上相关专业学历，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并具有相关专业中级及以上技术职称或同等水平的技术能力；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（二）熟悉检验检测专业理论知识和操作技能，从事检验检测及其相关管理工作5年及以上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auto"/>
          <w:lang w:eastAsia="zh-CN"/>
        </w:rPr>
        <w:t>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（三）熟悉资质认定相关法律、法规和部门规章，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能够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熟练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运用评审准则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特殊领域评审要求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开展评审工作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（四）熟悉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计算机操作，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熟练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使用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资质认定评审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（五）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年龄不超过65周岁，身体健康；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（六）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具有良好语言表达和交流能力；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（七）能保证参加评审的时间；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（八）无违法违规记录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第六条【技术专家准入要求】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技术专家应符合下列要求：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具有本专业领域中级及以上技术职称，且从事本专业技术工作10年及以上；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熟练掌握本专业相关检验检测方法、标准和检测仪器设备的管理、使用；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735" w:leftChars="350" w:firstLine="0" w:firstLine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年龄不超过65周岁，身体健康；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（四）具有良好语言表达和交流能力，熟悉计算机操作。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10" w:name="_Toc10713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第七条【推荐单位管理】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评审人员所属单位负责本单位推荐人员的日常管理工作，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所属单位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确保推荐人员的技术能力及所附材料内容的真实性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，保障其参加评审工作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 w:bidi="ar"/>
        </w:rPr>
        <w:t>的时间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推荐单位应为从事检验检测研究应用的科研院所、高等院校和其他行业单位。</w:t>
      </w:r>
      <w:bookmarkEnd w:id="10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11" w:name="_Toc1923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第八条【考录】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北京市市场监督管理局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根据评审环节技术需要制定考录计划，申请人经所属单位同意方可参加评审中心组织的新晋考核，评审中心对考录结果予以公示。</w:t>
      </w:r>
      <w:bookmarkEnd w:id="1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green"/>
          <w:lang w:val="en-US" w:eastAsia="zh-CN"/>
        </w:rPr>
      </w:pPr>
      <w:bookmarkStart w:id="12" w:name="_Toc23881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第九条【注册】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评审中心组织考核通过的人员进行注册工作，填写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《北京市检验检测机构资质认定评审员（专家）使用资格注册表》，报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北京市市场监督管理局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批准，注册有效期一年。已注册的评审员每年按规定时间提交《评审员及技术专家年审表》办理年审，年审通过的，注册有效期延续一年，年审不通过或逾期未办理年审的，不再予以注册。</w:t>
      </w:r>
      <w:bookmarkEnd w:id="12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13" w:name="_Toc10778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第十条【数据库管理】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评审中心建立、管理并维护评审人员数据库。按照评审领域、工作类别进行分类管理，根据评审人员资历经历、参评表现、后续教育变化和进出库情况实施动态调整，并公布评审人员信息。</w:t>
      </w:r>
      <w:bookmarkEnd w:id="13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14" w:name="_Toc1892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第十一条【继续教育】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评审中心对评审人员进行持续培训工作，培训形式包括集中授课、现场观摩、会议研讨和在线培训等。评审人员应按照要求参加培训，保证持续符合评审人员条件。</w:t>
      </w:r>
      <w:bookmarkEnd w:id="14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bookmarkStart w:id="15" w:name="_Toc17825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第十二条【确认】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北京市市场监督管理局每年对评审人员进行资格确认并予以公示。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有下列情形之一的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不再纳入评审人员数据库：</w:t>
      </w:r>
      <w:bookmarkEnd w:id="15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（一）年龄超过65周岁或身体状况不能适应相关工作的；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（二）评审人员能力范围已不在检验检测机构资质认定范围的；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（三）连续未参加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评审中心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指派的评审工作的；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（四）连续未参加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评审中心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组织的有关培训、考试的。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315" w:leftChars="150" w:firstLine="642" w:firstLineChars="20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16" w:name="_Toc14132"/>
      <w:bookmarkStart w:id="17" w:name="_Toc5468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评审人员职责和行为准则</w:t>
      </w:r>
      <w:bookmarkEnd w:id="16"/>
      <w:bookmarkEnd w:id="17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18" w:name="_Toc4546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第十三条【评审组选派】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评审组由1名评审组长和至少1名评审组员组成，由评审中心根据工作需要选派，评审组成员选派应遵循回避原则。申请资质认定机构所在地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区市场监督管理局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相关科室人员可根据实际情况现场见证评审工作。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第十四条【评审组职责】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评审组主要职责如下：</w:t>
      </w:r>
      <w:bookmarkEnd w:id="18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（一）评审组长负责技术评审的全面工作，合理分配工作任务，沟通、协调、控制技术评审过程，裁决评审工作中的分歧和其他事宜，跟踪验证整改，及时报告评审情况、报送评审材料。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（二）评审组员应服从评审组长的安排和调度，配合支持评审组长工作。在评审过程中对能够影响评审结果或需要深入调查的问题保持警觉，形成结论及时报告组长，协助评审组长完成评审工作。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（三）评审组应在规定时限内完成评审任务，认真填写评审报告，评审结论形成后不得发表与评审结论不相符的言论，应对其承担的评审内容和评审结论的真实性、符合性负责，并承担相应的法律责任。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19" w:name="_Toc7159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第十五条【行为准则】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评审人员应当恪守如下行为准则：</w:t>
      </w:r>
      <w:bookmarkEnd w:id="19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（一）坚持原则，廉洁自律，公正可靠，忠于职守；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（二）持续提升技术能力，维护资质认定工作声誉；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（三）严格遵守保密纪律；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（四）坚持团队协作。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/>
        </w:rPr>
      </w:pPr>
      <w:bookmarkStart w:id="20" w:name="_Toc30895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第十六条【禁止行为】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员禁止有下列行为：</w:t>
      </w:r>
      <w:bookmarkEnd w:id="20"/>
    </w:p>
    <w:p>
      <w:pPr>
        <w:pStyle w:val="6"/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（一）未按照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资质认定基本规范、评审准则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规定的要求和时间实施技术评审；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（二）对同一检验检测机构既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咨询又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从事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（三）与所评审检验检测机构有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利害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关系或者其评审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可能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对公正性产生影响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回避；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在评审工作中故意刁难、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态度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粗暴、吃拿卡要；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）透露工作中所知悉的国家秘密、商业秘密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技术秘密；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收受评审对象的礼品、礼金、消费卡等财物，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val="en-US" w:eastAsia="zh-CN"/>
        </w:rPr>
        <w:t>违反规定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接受宴请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  <w:lang w:eastAsia="zh-CN"/>
        </w:rPr>
        <w:t>或者</w:t>
      </w: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highlight w:val="none"/>
        </w:rPr>
        <w:t>旅游、健身、娱乐等活动安排；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）出具虚假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或不实的技术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评审结论。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21" w:name="_Toc21935"/>
      <w:bookmarkStart w:id="22" w:name="_Toc17796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评价及监督</w:t>
      </w:r>
      <w:bookmarkEnd w:id="21"/>
      <w:bookmarkEnd w:id="22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23" w:name="_Toc30116"/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sz w:val="32"/>
          <w:szCs w:val="32"/>
          <w:highlight w:val="none"/>
          <w:lang w:val="en-US" w:eastAsia="zh-CN"/>
        </w:rPr>
        <w:t>第十七条【评价】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/>
        </w:rPr>
        <w:t>北京市市场监督管理局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采取评审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对象评价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评审组内评价、监督评价等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方式对评审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员的评审行为进行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监督，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评价结果作为评审员晋级、停用的主要依据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  <w:bookmarkEnd w:id="23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对象评价通过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发放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考核意见反馈单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》、电话回访等方式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，由评审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对象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的技术能力、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态度、廉洁守纪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等方面的表现作出评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评审组内评价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通过评审组长填写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</w:rPr>
        <w:t>评审员及技术专家评审经历评价表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的方式，对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评审组成员策划准备程度、准则理解应用、技术专业判断、现场沟通协调、规范廉洁守纪、评审胜任程度等方面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的表现作出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评价。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监督评价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通过申请资质认定机构所在地市场监管局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相关科室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人员、专家委员会成员现场观察、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评审案卷审查、投诉举报调查等方式对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技术能力、工作态度、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廉洁守纪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等方面的表现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进行评价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24" w:name="_Toc32664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第十八条【约谈】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评审人员有下列情形之一的，北京市市场监督管理局或委托评审中心对其作出约谈处理：</w:t>
      </w:r>
      <w:bookmarkEnd w:id="24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（一）存在第十六条第（一）项、第（二）项、第（三）项、第（四）项规定的行为，情节较轻的；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（二）无故不参加评审中心组织的培训考核；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工作质量不达标，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评审材料因一般性评审质量问题被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多次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退回；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无故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不参加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评审中心指派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的技术评审活动。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25" w:name="_Toc14385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第十九条【暂停、停用】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员有下列情形之一的，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北京市市场监督管理局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根据情节轻重，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对其作出暂停直至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从事技术评审活动的处理：</w:t>
      </w:r>
      <w:bookmarkEnd w:id="25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不能持续符合评审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员条件；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（二）存在第十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第（一）项、第（二）项、第（三）项、第（四）项规定的行为，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情节较重或严重的；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（三）存在第十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条第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（五）项、第（六）项、第（七）项规定的行为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（四）工作质量不达标，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评审材料因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严重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评审质量问题被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多次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退回；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（五）存在其他违法违规行为，或者受到党纪政纪处分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不适宜参加技术评审工作的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59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green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资质认定评审人员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暂停从事技术评审活动期限为三个月，在暂停期满后，经整改合格并承诺遵守各项要求，可以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提出恢复申请，由北京市市场监督管理局批准后予以恢复。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598" w:firstLineChars="200"/>
        <w:jc w:val="left"/>
        <w:textAlignment w:val="auto"/>
        <w:outlineLvl w:val="1"/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</w:pPr>
      <w:bookmarkStart w:id="26" w:name="_Toc3901"/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第二十条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【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处置结果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】评审中心对涉及第十八条、第十九条行为的评审人员填写《评审人员处置表》，报北京市市场监督管理局审批，存入评审人员管理档案。</w:t>
      </w:r>
      <w:bookmarkEnd w:id="26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27" w:name="_Toc1511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第二十一条【限制】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原则上不安排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公务员、参公事业单位工作人员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参加技术评审，除司法鉴定等特殊领域经所属单位同意后可以参加，</w:t>
      </w: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评审中心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工作人员不得参加技术评审工作。任何单位和个人不得干预评审工作，如有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违规问题，按照有关规定移送相关部门处理。</w:t>
      </w:r>
      <w:bookmarkEnd w:id="27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315" w:leftChars="150" w:firstLine="640" w:firstLineChars="200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28" w:name="_Toc2175"/>
      <w:bookmarkStart w:id="29" w:name="_Toc19089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评审员分级管理</w:t>
      </w:r>
      <w:bookmarkEnd w:id="28"/>
      <w:bookmarkEnd w:id="29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30" w:name="_Toc1284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第二十二条【分级】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评审员实施分级管理制度。</w:t>
      </w:r>
      <w:bookmarkEnd w:id="3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主任评审员：具有较高的管理、技术能力，较强的组织协调、沟通交流能力，具备担任评审组长资格的人员；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中级评审员：在评审活动中配合组长能够独立完成对应专业评审工作的人员；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见习评审员：初次取得评审员资格，需要在主任评审员指导和帮助下完成评审工作的人员。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31" w:name="_Toc3038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第二十三条【晋级条件】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北京市市场监督管理局、评审中心根据评审人员队伍建设需要、评审环节数据分析结果，组织开展晋级考核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晋级考核需满足下列条件：</w:t>
      </w:r>
      <w:bookmarkEnd w:id="31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（一）中级评审员晋升主任评审员：作为中级评审员两年内参加10次及以上的现场或远程评审，其中至少2次为首次评审或复查换证评审，且年度评价结果均为满意；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（二）见习评审员晋升中级评审员：作为见习评审员两年内参加5次及以上的现场或远程评审，其中至少1次为首次评审或复查换证评审，且年度评价结果均为满意。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32" w:name="_Toc5046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第二十四条【晋级程序】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晋级考核根据申请人考核情况和工作业绩，逐级晋升。</w:t>
      </w:r>
      <w:bookmarkEnd w:id="32"/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（一）中级评审员晋升主任评审员：由专家委员会成员组成评价组，对申请人提交的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《评审员晋级考核表》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及证明资料进行初审并安排面试，面试合格人员参加见习考核，根据考核情况确定晋级意见。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（二）见习评审员晋升中级评审员：由专家委员会成员组成评价组，对申请人提交的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《评审员晋级考核表》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及证明资料进行综合评议，确定晋级意见。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（三）评价组由3名以上专家委员会成员组成，负责对晋级申报材料、面试、见习考核等进行综合评议，确定晋级意见后报北京市市场监督管理局审批。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第六章 </w:t>
      </w:r>
      <w:bookmarkStart w:id="33" w:name="_Toc10757"/>
      <w:bookmarkStart w:id="34" w:name="_Toc17445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专家委员会</w:t>
      </w:r>
      <w:bookmarkEnd w:id="33"/>
      <w:bookmarkEnd w:id="34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735" w:leftChars="35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35" w:name="_Toc22407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第二十五条【专委条件】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专家委员会成员的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聘用：</w:t>
      </w:r>
      <w:bookmarkEnd w:id="3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（一）遵守社会公德和职业操守，自愿参与委员会工作；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（二）具有评审组长工作经历；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（三）具有较强的组织、沟通、评判能力；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（四）原则上年龄不超过70周岁，根据专业领域工作需要视情况适当放宽年龄要求。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yellow"/>
          <w:lang w:val="en-US" w:eastAsia="zh-CN"/>
        </w:rPr>
      </w:pPr>
      <w:bookmarkStart w:id="36" w:name="_Toc20452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被聘用的专家，由北京市市场监督管理局发放《聘书》，聘期两年。</w:t>
      </w:r>
      <w:bookmarkEnd w:id="36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315" w:leftChars="15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37" w:name="_Toc18080"/>
      <w:bookmarkStart w:id="38" w:name="_Toc11667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第七章 附则</w:t>
      </w:r>
      <w:bookmarkEnd w:id="37"/>
      <w:bookmarkEnd w:id="38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0" w:firstLineChars="0"/>
        <w:jc w:val="both"/>
        <w:textAlignment w:val="auto"/>
        <w:outlineLvl w:val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bookmarkStart w:id="39" w:name="_Toc919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第二十六条【经费】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北京市市场监督管理局按照相关规定保障评审人员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参加评审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所需经费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</w:t>
      </w:r>
      <w:bookmarkEnd w:id="39"/>
      <w:bookmarkStart w:id="43" w:name="_GoBack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本办法涉及的考录、注册、年审、培训等环节均不收取任何费用。</w:t>
      </w:r>
      <w:bookmarkEnd w:id="43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40" w:name="_Toc1017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第二十七条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本办法由北京市市场监督管理局负责解释。</w:t>
      </w:r>
      <w:bookmarkEnd w:id="4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41" w:name="_Toc26882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第二十八条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法律、法规、规章另有规定的，从其规定。</w:t>
      </w:r>
      <w:bookmarkEnd w:id="41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2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bookmarkStart w:id="42" w:name="_Toc31566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 xml:space="preserve">第二十九条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本办法自发布之日起实施。</w:t>
      </w:r>
      <w:bookmarkEnd w:id="42"/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640" w:firstLineChars="200"/>
        <w:jc w:val="both"/>
        <w:textAlignment w:val="auto"/>
        <w:outlineLvl w:val="1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420"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附件：1.北京市检验检测机构资质认定评审员（专家）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420" w:leftChars="200"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使用资格注册表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1680" w:firstLineChars="525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2.评审员及技术专家年审表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1680" w:firstLineChars="525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考核意见反馈单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1680" w:firstLineChars="525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</w:rPr>
        <w:t>评审员及技术专家评审经历评价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lang w:eastAsia="zh-CN"/>
        </w:rPr>
        <w:t>表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1680" w:firstLineChars="564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kern w:val="0"/>
          <w:sz w:val="32"/>
          <w:szCs w:val="32"/>
          <w:highlight w:val="none"/>
          <w:lang w:val="en-US" w:eastAsia="zh-CN" w:bidi="ar"/>
        </w:rPr>
        <w:t>5.评审人员处置表</w:t>
      </w:r>
    </w:p>
    <w:p>
      <w:pPr>
        <w:keepNext w:val="0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Lines="0" w:afterLines="0" w:line="560" w:lineRule="exact"/>
        <w:ind w:left="0" w:leftChars="0" w:firstLine="1680" w:firstLineChars="52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评审员晋级考核表</w:t>
      </w:r>
    </w:p>
    <w:sectPr>
      <w:footerReference r:id="rId3" w:type="default"/>
      <w:pgSz w:w="11906" w:h="16838"/>
      <w:pgMar w:top="2098" w:right="1474" w:bottom="1701" w:left="158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D8A5F"/>
    <w:multiLevelType w:val="singleLevel"/>
    <w:tmpl w:val="7FFD8A5F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mY4NmQ5ZWUzMjdhYTBkZmUwNmE2M2M1MTcxYjEifQ=="/>
    <w:docVar w:name="KSO_WPS_MARK_KEY" w:val="1a041983-8f9e-4c09-803b-8524d80d0dae"/>
  </w:docVars>
  <w:rsids>
    <w:rsidRoot w:val="00000000"/>
    <w:rsid w:val="00381040"/>
    <w:rsid w:val="003D70D2"/>
    <w:rsid w:val="008C1B3C"/>
    <w:rsid w:val="00C30909"/>
    <w:rsid w:val="01161381"/>
    <w:rsid w:val="01536131"/>
    <w:rsid w:val="01FD01D6"/>
    <w:rsid w:val="02C80459"/>
    <w:rsid w:val="03917DCB"/>
    <w:rsid w:val="03BA6E42"/>
    <w:rsid w:val="03E420DE"/>
    <w:rsid w:val="04786A62"/>
    <w:rsid w:val="04BB6EB7"/>
    <w:rsid w:val="054E1B36"/>
    <w:rsid w:val="058C7E64"/>
    <w:rsid w:val="059E4525"/>
    <w:rsid w:val="06926441"/>
    <w:rsid w:val="07182CD3"/>
    <w:rsid w:val="0721282E"/>
    <w:rsid w:val="08C43BEE"/>
    <w:rsid w:val="0A354885"/>
    <w:rsid w:val="0A6D5F02"/>
    <w:rsid w:val="0A84757C"/>
    <w:rsid w:val="0AC868D9"/>
    <w:rsid w:val="0B0E4E77"/>
    <w:rsid w:val="0B6D97EC"/>
    <w:rsid w:val="0BCE1E26"/>
    <w:rsid w:val="0BFE313E"/>
    <w:rsid w:val="0CC2163A"/>
    <w:rsid w:val="0CF84031"/>
    <w:rsid w:val="0D224C0A"/>
    <w:rsid w:val="0D270472"/>
    <w:rsid w:val="0DAD4E1B"/>
    <w:rsid w:val="0DF92E0E"/>
    <w:rsid w:val="0E3670BE"/>
    <w:rsid w:val="0E3B2427"/>
    <w:rsid w:val="0E9426AE"/>
    <w:rsid w:val="0ECC516E"/>
    <w:rsid w:val="0EDE1004"/>
    <w:rsid w:val="0EFFEF66"/>
    <w:rsid w:val="10B219F9"/>
    <w:rsid w:val="121050B6"/>
    <w:rsid w:val="1245313A"/>
    <w:rsid w:val="12661A3D"/>
    <w:rsid w:val="128D647C"/>
    <w:rsid w:val="13A43126"/>
    <w:rsid w:val="15510320"/>
    <w:rsid w:val="1562473D"/>
    <w:rsid w:val="165E32E9"/>
    <w:rsid w:val="166253CD"/>
    <w:rsid w:val="167D0369"/>
    <w:rsid w:val="16F72C63"/>
    <w:rsid w:val="16FE6A57"/>
    <w:rsid w:val="174A00CC"/>
    <w:rsid w:val="17723D1B"/>
    <w:rsid w:val="17996410"/>
    <w:rsid w:val="18590D07"/>
    <w:rsid w:val="192021BE"/>
    <w:rsid w:val="19273F56"/>
    <w:rsid w:val="19434886"/>
    <w:rsid w:val="194F3397"/>
    <w:rsid w:val="19568AC9"/>
    <w:rsid w:val="19D11E91"/>
    <w:rsid w:val="1A002777"/>
    <w:rsid w:val="1A18186E"/>
    <w:rsid w:val="1A1F0E4F"/>
    <w:rsid w:val="1AA772E4"/>
    <w:rsid w:val="1B9FF85D"/>
    <w:rsid w:val="1BA23AE5"/>
    <w:rsid w:val="1BB7535E"/>
    <w:rsid w:val="1E3A1E06"/>
    <w:rsid w:val="1EAD4579"/>
    <w:rsid w:val="1EC91389"/>
    <w:rsid w:val="1EF02DBA"/>
    <w:rsid w:val="1F3ECF38"/>
    <w:rsid w:val="1F582C22"/>
    <w:rsid w:val="1F714C48"/>
    <w:rsid w:val="1F890F32"/>
    <w:rsid w:val="1FD5A05E"/>
    <w:rsid w:val="1FFF4656"/>
    <w:rsid w:val="20663C6F"/>
    <w:rsid w:val="206D74DC"/>
    <w:rsid w:val="20BE510A"/>
    <w:rsid w:val="218F7174"/>
    <w:rsid w:val="22391934"/>
    <w:rsid w:val="223B07F0"/>
    <w:rsid w:val="226F568C"/>
    <w:rsid w:val="23553738"/>
    <w:rsid w:val="239209EA"/>
    <w:rsid w:val="23E33939"/>
    <w:rsid w:val="241E2177"/>
    <w:rsid w:val="24B30B11"/>
    <w:rsid w:val="25280667"/>
    <w:rsid w:val="25FB7086"/>
    <w:rsid w:val="264346DD"/>
    <w:rsid w:val="26DE490C"/>
    <w:rsid w:val="26FE003E"/>
    <w:rsid w:val="27823000"/>
    <w:rsid w:val="278C389C"/>
    <w:rsid w:val="27BD4D05"/>
    <w:rsid w:val="27F33D3A"/>
    <w:rsid w:val="289E5635"/>
    <w:rsid w:val="2A42074C"/>
    <w:rsid w:val="2A7263ED"/>
    <w:rsid w:val="2AA326F6"/>
    <w:rsid w:val="2AC41A37"/>
    <w:rsid w:val="2B1010BD"/>
    <w:rsid w:val="2B7F799F"/>
    <w:rsid w:val="2B9B22FF"/>
    <w:rsid w:val="2BA21E91"/>
    <w:rsid w:val="2BF5BBBC"/>
    <w:rsid w:val="2BFE9EB2"/>
    <w:rsid w:val="2BFFD8C9"/>
    <w:rsid w:val="2C077995"/>
    <w:rsid w:val="2C3E5433"/>
    <w:rsid w:val="2C4C04DA"/>
    <w:rsid w:val="2C83526D"/>
    <w:rsid w:val="2D599E80"/>
    <w:rsid w:val="2E640773"/>
    <w:rsid w:val="2EC06629"/>
    <w:rsid w:val="2EDD0FB3"/>
    <w:rsid w:val="2F106B60"/>
    <w:rsid w:val="2F1768E9"/>
    <w:rsid w:val="2F793570"/>
    <w:rsid w:val="2F9F1C7D"/>
    <w:rsid w:val="30323EC4"/>
    <w:rsid w:val="307F0C2C"/>
    <w:rsid w:val="30E43E01"/>
    <w:rsid w:val="31B934DF"/>
    <w:rsid w:val="31EE13DB"/>
    <w:rsid w:val="320C7AB3"/>
    <w:rsid w:val="325C1FB5"/>
    <w:rsid w:val="327651E6"/>
    <w:rsid w:val="32AE63CC"/>
    <w:rsid w:val="33245F71"/>
    <w:rsid w:val="33C7D894"/>
    <w:rsid w:val="33EF143A"/>
    <w:rsid w:val="33FF872B"/>
    <w:rsid w:val="349A13A6"/>
    <w:rsid w:val="34CC7D87"/>
    <w:rsid w:val="34D75A94"/>
    <w:rsid w:val="34FD5015"/>
    <w:rsid w:val="358F054B"/>
    <w:rsid w:val="35AD54DA"/>
    <w:rsid w:val="35BFEF3F"/>
    <w:rsid w:val="363A69AC"/>
    <w:rsid w:val="364B1A21"/>
    <w:rsid w:val="365FE4ED"/>
    <w:rsid w:val="368D36C1"/>
    <w:rsid w:val="36CE4012"/>
    <w:rsid w:val="37545A7C"/>
    <w:rsid w:val="37B76DDE"/>
    <w:rsid w:val="37F75EF4"/>
    <w:rsid w:val="37FD03F1"/>
    <w:rsid w:val="382E1A0F"/>
    <w:rsid w:val="389D2CEE"/>
    <w:rsid w:val="3977FA53"/>
    <w:rsid w:val="39C9FF1C"/>
    <w:rsid w:val="3A7F7734"/>
    <w:rsid w:val="3AD251D4"/>
    <w:rsid w:val="3B2D0434"/>
    <w:rsid w:val="3B7716B5"/>
    <w:rsid w:val="3BF77ED7"/>
    <w:rsid w:val="3C0B7DA4"/>
    <w:rsid w:val="3C366FFB"/>
    <w:rsid w:val="3CF0442A"/>
    <w:rsid w:val="3CF96F0A"/>
    <w:rsid w:val="3D483969"/>
    <w:rsid w:val="3D9848F1"/>
    <w:rsid w:val="3DD93097"/>
    <w:rsid w:val="3DEF7D78"/>
    <w:rsid w:val="3DF75787"/>
    <w:rsid w:val="3E67930D"/>
    <w:rsid w:val="3E91504F"/>
    <w:rsid w:val="3ECB5071"/>
    <w:rsid w:val="3F2FA7FC"/>
    <w:rsid w:val="3F354BA6"/>
    <w:rsid w:val="3F4BD7A1"/>
    <w:rsid w:val="3FB4D437"/>
    <w:rsid w:val="3FEF3AB8"/>
    <w:rsid w:val="3FFBBCEE"/>
    <w:rsid w:val="3FFE9A7D"/>
    <w:rsid w:val="3FFF68DF"/>
    <w:rsid w:val="40104C12"/>
    <w:rsid w:val="40E1035D"/>
    <w:rsid w:val="40FC2327"/>
    <w:rsid w:val="4151705C"/>
    <w:rsid w:val="41D028AB"/>
    <w:rsid w:val="432B1D63"/>
    <w:rsid w:val="434075BC"/>
    <w:rsid w:val="43CB8542"/>
    <w:rsid w:val="43FEE67C"/>
    <w:rsid w:val="442567B2"/>
    <w:rsid w:val="45034D45"/>
    <w:rsid w:val="459A4DEE"/>
    <w:rsid w:val="466E2692"/>
    <w:rsid w:val="469A27DE"/>
    <w:rsid w:val="46D7579C"/>
    <w:rsid w:val="46DA7D28"/>
    <w:rsid w:val="473531B0"/>
    <w:rsid w:val="47AB101D"/>
    <w:rsid w:val="47BE84F1"/>
    <w:rsid w:val="47FC7B56"/>
    <w:rsid w:val="48A257FA"/>
    <w:rsid w:val="48A4239B"/>
    <w:rsid w:val="48FE51B1"/>
    <w:rsid w:val="4ABD5996"/>
    <w:rsid w:val="4AC8698A"/>
    <w:rsid w:val="4BEF1290"/>
    <w:rsid w:val="4BFEBC2C"/>
    <w:rsid w:val="4C2444BE"/>
    <w:rsid w:val="4C7973D4"/>
    <w:rsid w:val="4C883D82"/>
    <w:rsid w:val="4D221DA7"/>
    <w:rsid w:val="4D560B78"/>
    <w:rsid w:val="4D947670"/>
    <w:rsid w:val="4E63961D"/>
    <w:rsid w:val="4E895D92"/>
    <w:rsid w:val="4EE7E4EC"/>
    <w:rsid w:val="4F8C588E"/>
    <w:rsid w:val="4FEB76DC"/>
    <w:rsid w:val="500E5B9D"/>
    <w:rsid w:val="50212524"/>
    <w:rsid w:val="503C1687"/>
    <w:rsid w:val="50760AC1"/>
    <w:rsid w:val="514208D3"/>
    <w:rsid w:val="516D1B9A"/>
    <w:rsid w:val="519A433C"/>
    <w:rsid w:val="52091D7B"/>
    <w:rsid w:val="5244074B"/>
    <w:rsid w:val="525E351A"/>
    <w:rsid w:val="530E3233"/>
    <w:rsid w:val="53760DD8"/>
    <w:rsid w:val="53A83D63"/>
    <w:rsid w:val="54130CA9"/>
    <w:rsid w:val="54933C89"/>
    <w:rsid w:val="54B3D52C"/>
    <w:rsid w:val="54DF6870"/>
    <w:rsid w:val="54EC199F"/>
    <w:rsid w:val="55805CC3"/>
    <w:rsid w:val="55C86AB3"/>
    <w:rsid w:val="561D451B"/>
    <w:rsid w:val="56D7022A"/>
    <w:rsid w:val="571903F8"/>
    <w:rsid w:val="572F04A5"/>
    <w:rsid w:val="57513EE0"/>
    <w:rsid w:val="5758134C"/>
    <w:rsid w:val="575B730B"/>
    <w:rsid w:val="5795B5CA"/>
    <w:rsid w:val="57B41ECF"/>
    <w:rsid w:val="57FF7A19"/>
    <w:rsid w:val="5839086D"/>
    <w:rsid w:val="5846655B"/>
    <w:rsid w:val="58670CF0"/>
    <w:rsid w:val="58975A79"/>
    <w:rsid w:val="5939796E"/>
    <w:rsid w:val="59A85A64"/>
    <w:rsid w:val="59AF0BA0"/>
    <w:rsid w:val="59FF16C9"/>
    <w:rsid w:val="5A094754"/>
    <w:rsid w:val="5A9304C2"/>
    <w:rsid w:val="5AB71A57"/>
    <w:rsid w:val="5B570DDD"/>
    <w:rsid w:val="5B59BACE"/>
    <w:rsid w:val="5B5E33D5"/>
    <w:rsid w:val="5BBE156E"/>
    <w:rsid w:val="5BDFDC7C"/>
    <w:rsid w:val="5BFE7D1C"/>
    <w:rsid w:val="5C133668"/>
    <w:rsid w:val="5C7B393B"/>
    <w:rsid w:val="5CD85070"/>
    <w:rsid w:val="5CED54B3"/>
    <w:rsid w:val="5CFDFCFA"/>
    <w:rsid w:val="5DDB0FB5"/>
    <w:rsid w:val="5DDBA635"/>
    <w:rsid w:val="5DEE81F3"/>
    <w:rsid w:val="5E1A3955"/>
    <w:rsid w:val="5ECD61CB"/>
    <w:rsid w:val="5EDF0A98"/>
    <w:rsid w:val="5EEB45A8"/>
    <w:rsid w:val="5EFDD84A"/>
    <w:rsid w:val="5F412B4A"/>
    <w:rsid w:val="5F5D11E0"/>
    <w:rsid w:val="5F6ED4C4"/>
    <w:rsid w:val="5F7F946C"/>
    <w:rsid w:val="5FB9A15A"/>
    <w:rsid w:val="5FBB5AD0"/>
    <w:rsid w:val="5FD15E8C"/>
    <w:rsid w:val="5FD7AEAD"/>
    <w:rsid w:val="5FD7D1FF"/>
    <w:rsid w:val="5FDF3744"/>
    <w:rsid w:val="5FDFAF70"/>
    <w:rsid w:val="5FEE23C8"/>
    <w:rsid w:val="5FFD83BA"/>
    <w:rsid w:val="5FFD97C3"/>
    <w:rsid w:val="5FFF29FE"/>
    <w:rsid w:val="60BA1BBF"/>
    <w:rsid w:val="61021EFD"/>
    <w:rsid w:val="614A3B34"/>
    <w:rsid w:val="617A5F38"/>
    <w:rsid w:val="62405D3B"/>
    <w:rsid w:val="62682234"/>
    <w:rsid w:val="637B3560"/>
    <w:rsid w:val="63866355"/>
    <w:rsid w:val="639037F0"/>
    <w:rsid w:val="63BFD95A"/>
    <w:rsid w:val="63DE47C1"/>
    <w:rsid w:val="64175CC0"/>
    <w:rsid w:val="646DCF30"/>
    <w:rsid w:val="64DB4F3F"/>
    <w:rsid w:val="64FB7413"/>
    <w:rsid w:val="650D48B4"/>
    <w:rsid w:val="6595115D"/>
    <w:rsid w:val="65EC308F"/>
    <w:rsid w:val="65F20792"/>
    <w:rsid w:val="662600FF"/>
    <w:rsid w:val="66723681"/>
    <w:rsid w:val="6694184A"/>
    <w:rsid w:val="669B2BD8"/>
    <w:rsid w:val="66B81435"/>
    <w:rsid w:val="67026BE3"/>
    <w:rsid w:val="670E209F"/>
    <w:rsid w:val="67A61834"/>
    <w:rsid w:val="67BB1E1D"/>
    <w:rsid w:val="67BF3228"/>
    <w:rsid w:val="681C5653"/>
    <w:rsid w:val="681D6D94"/>
    <w:rsid w:val="6877ECE1"/>
    <w:rsid w:val="68E40CE6"/>
    <w:rsid w:val="69000BE8"/>
    <w:rsid w:val="696B1061"/>
    <w:rsid w:val="699DFDD1"/>
    <w:rsid w:val="69E75A03"/>
    <w:rsid w:val="6A0B78BE"/>
    <w:rsid w:val="6A3448B5"/>
    <w:rsid w:val="6A405FE7"/>
    <w:rsid w:val="6B5C220A"/>
    <w:rsid w:val="6B5DB24F"/>
    <w:rsid w:val="6B666B56"/>
    <w:rsid w:val="6BBB12AC"/>
    <w:rsid w:val="6C2EA5AF"/>
    <w:rsid w:val="6CB719DA"/>
    <w:rsid w:val="6D2D42F5"/>
    <w:rsid w:val="6D7D2F9A"/>
    <w:rsid w:val="6E3F46DB"/>
    <w:rsid w:val="6EF590A1"/>
    <w:rsid w:val="6F375D31"/>
    <w:rsid w:val="6F3F0568"/>
    <w:rsid w:val="6F547DC8"/>
    <w:rsid w:val="6F6E97DC"/>
    <w:rsid w:val="6F6F83B9"/>
    <w:rsid w:val="6F7F7D08"/>
    <w:rsid w:val="6FB81225"/>
    <w:rsid w:val="6FBDE688"/>
    <w:rsid w:val="6FBF955F"/>
    <w:rsid w:val="6FCF0144"/>
    <w:rsid w:val="6FE20EDA"/>
    <w:rsid w:val="6FF68F67"/>
    <w:rsid w:val="6FF7DB0D"/>
    <w:rsid w:val="6FFB078B"/>
    <w:rsid w:val="6FFD0D71"/>
    <w:rsid w:val="6FFDEDFE"/>
    <w:rsid w:val="6FFE0BC3"/>
    <w:rsid w:val="6FFE1596"/>
    <w:rsid w:val="701F3A4E"/>
    <w:rsid w:val="702D6AF5"/>
    <w:rsid w:val="705535B3"/>
    <w:rsid w:val="707FDA03"/>
    <w:rsid w:val="70B2124A"/>
    <w:rsid w:val="70CA3BF3"/>
    <w:rsid w:val="70CB40BA"/>
    <w:rsid w:val="713337FD"/>
    <w:rsid w:val="717A0E65"/>
    <w:rsid w:val="71BA5FBE"/>
    <w:rsid w:val="71C823A7"/>
    <w:rsid w:val="71D736C7"/>
    <w:rsid w:val="71FF5F93"/>
    <w:rsid w:val="727F33AE"/>
    <w:rsid w:val="72A5F81A"/>
    <w:rsid w:val="72B312A9"/>
    <w:rsid w:val="72CC4119"/>
    <w:rsid w:val="72DD7106"/>
    <w:rsid w:val="72EE22E1"/>
    <w:rsid w:val="72FFB447"/>
    <w:rsid w:val="735625CB"/>
    <w:rsid w:val="73EFD3DA"/>
    <w:rsid w:val="73FD5802"/>
    <w:rsid w:val="73FFE97B"/>
    <w:rsid w:val="74123B36"/>
    <w:rsid w:val="74273CFD"/>
    <w:rsid w:val="749D1B94"/>
    <w:rsid w:val="75EF7377"/>
    <w:rsid w:val="75F7F3F4"/>
    <w:rsid w:val="766052A4"/>
    <w:rsid w:val="767F5EDA"/>
    <w:rsid w:val="769FCD0F"/>
    <w:rsid w:val="76DD5B7F"/>
    <w:rsid w:val="76F7FC9D"/>
    <w:rsid w:val="77373813"/>
    <w:rsid w:val="773B6913"/>
    <w:rsid w:val="77626DFA"/>
    <w:rsid w:val="776B7496"/>
    <w:rsid w:val="776E1AB5"/>
    <w:rsid w:val="77843214"/>
    <w:rsid w:val="77AB61A1"/>
    <w:rsid w:val="77CCF7FC"/>
    <w:rsid w:val="77DE36F5"/>
    <w:rsid w:val="77DFE19F"/>
    <w:rsid w:val="77E3A86C"/>
    <w:rsid w:val="77EF9F19"/>
    <w:rsid w:val="77F72B3F"/>
    <w:rsid w:val="77FFCA55"/>
    <w:rsid w:val="77FFCFC6"/>
    <w:rsid w:val="77FFD6B3"/>
    <w:rsid w:val="77FFD7A7"/>
    <w:rsid w:val="78713799"/>
    <w:rsid w:val="78B20F13"/>
    <w:rsid w:val="78D64BB1"/>
    <w:rsid w:val="78DFFD66"/>
    <w:rsid w:val="78EB3B04"/>
    <w:rsid w:val="78ED5C52"/>
    <w:rsid w:val="797D43BF"/>
    <w:rsid w:val="797F7FF9"/>
    <w:rsid w:val="79FA6CA9"/>
    <w:rsid w:val="7ADCC79A"/>
    <w:rsid w:val="7AFA2DBA"/>
    <w:rsid w:val="7AFE876B"/>
    <w:rsid w:val="7B69A427"/>
    <w:rsid w:val="7B770328"/>
    <w:rsid w:val="7B7E5561"/>
    <w:rsid w:val="7B7F5A40"/>
    <w:rsid w:val="7BBF1BB1"/>
    <w:rsid w:val="7BCF4036"/>
    <w:rsid w:val="7BDF259E"/>
    <w:rsid w:val="7BE6237B"/>
    <w:rsid w:val="7BEFB870"/>
    <w:rsid w:val="7BFBC91B"/>
    <w:rsid w:val="7BFD71A0"/>
    <w:rsid w:val="7BFF073E"/>
    <w:rsid w:val="7C9E08D4"/>
    <w:rsid w:val="7CA3E458"/>
    <w:rsid w:val="7CFB8455"/>
    <w:rsid w:val="7D1868D9"/>
    <w:rsid w:val="7D1DB0BF"/>
    <w:rsid w:val="7D6E20B7"/>
    <w:rsid w:val="7D955B51"/>
    <w:rsid w:val="7DA196B0"/>
    <w:rsid w:val="7DCEF631"/>
    <w:rsid w:val="7DD9C31E"/>
    <w:rsid w:val="7DF74EE0"/>
    <w:rsid w:val="7DF94D5D"/>
    <w:rsid w:val="7DFF9F00"/>
    <w:rsid w:val="7E3FF77B"/>
    <w:rsid w:val="7E5F2B7E"/>
    <w:rsid w:val="7E77A002"/>
    <w:rsid w:val="7E871EA2"/>
    <w:rsid w:val="7E8F4979"/>
    <w:rsid w:val="7EB3BF7F"/>
    <w:rsid w:val="7EB6CD9D"/>
    <w:rsid w:val="7EB7B28C"/>
    <w:rsid w:val="7ECA6A09"/>
    <w:rsid w:val="7EEA4333"/>
    <w:rsid w:val="7EEF086B"/>
    <w:rsid w:val="7F2B3146"/>
    <w:rsid w:val="7F357191"/>
    <w:rsid w:val="7F5E215F"/>
    <w:rsid w:val="7F778AA1"/>
    <w:rsid w:val="7F7A3DAF"/>
    <w:rsid w:val="7F7F1E09"/>
    <w:rsid w:val="7F816881"/>
    <w:rsid w:val="7F9F2BFB"/>
    <w:rsid w:val="7FB9A683"/>
    <w:rsid w:val="7FBF16DA"/>
    <w:rsid w:val="7FBF7ABD"/>
    <w:rsid w:val="7FC721C2"/>
    <w:rsid w:val="7FEB0444"/>
    <w:rsid w:val="7FEFD445"/>
    <w:rsid w:val="7FF6B67B"/>
    <w:rsid w:val="7FF75FB3"/>
    <w:rsid w:val="7FFA9F2A"/>
    <w:rsid w:val="7FFB95DE"/>
    <w:rsid w:val="7FFF5196"/>
    <w:rsid w:val="7FFF561C"/>
    <w:rsid w:val="7FFF5C42"/>
    <w:rsid w:val="7FFF78D6"/>
    <w:rsid w:val="7FFFAA73"/>
    <w:rsid w:val="89AFDA16"/>
    <w:rsid w:val="8B7B0DD5"/>
    <w:rsid w:val="8D6EBC0B"/>
    <w:rsid w:val="8E7B98C0"/>
    <w:rsid w:val="8F59EEDA"/>
    <w:rsid w:val="95E915D0"/>
    <w:rsid w:val="97E953FA"/>
    <w:rsid w:val="9ABF5B0C"/>
    <w:rsid w:val="9B3DE69C"/>
    <w:rsid w:val="9BEF8261"/>
    <w:rsid w:val="9BEF8532"/>
    <w:rsid w:val="9FF38A40"/>
    <w:rsid w:val="A35BB7F3"/>
    <w:rsid w:val="A3FFFA02"/>
    <w:rsid w:val="A6F7BB0E"/>
    <w:rsid w:val="A8D1EF50"/>
    <w:rsid w:val="A9D73D4B"/>
    <w:rsid w:val="AA7D9A4A"/>
    <w:rsid w:val="ABF90FBA"/>
    <w:rsid w:val="ABFF3B55"/>
    <w:rsid w:val="AEFF4376"/>
    <w:rsid w:val="AF9523EE"/>
    <w:rsid w:val="AFEDF0E1"/>
    <w:rsid w:val="B0F786CB"/>
    <w:rsid w:val="B1477A6A"/>
    <w:rsid w:val="B1FF14B3"/>
    <w:rsid w:val="B3B692AD"/>
    <w:rsid w:val="B3DF3B0B"/>
    <w:rsid w:val="B6AB87D9"/>
    <w:rsid w:val="B6FBC5D8"/>
    <w:rsid w:val="B7AD2A86"/>
    <w:rsid w:val="B7F70B7B"/>
    <w:rsid w:val="B9DF993A"/>
    <w:rsid w:val="BA1E7452"/>
    <w:rsid w:val="BABFC302"/>
    <w:rsid w:val="BADD58A4"/>
    <w:rsid w:val="BAFFC709"/>
    <w:rsid w:val="BBFFFF98"/>
    <w:rsid w:val="BC775DC1"/>
    <w:rsid w:val="BCBD49C1"/>
    <w:rsid w:val="BCFAFD05"/>
    <w:rsid w:val="BDB70754"/>
    <w:rsid w:val="BDC99243"/>
    <w:rsid w:val="BDDF64CC"/>
    <w:rsid w:val="BDE32BD3"/>
    <w:rsid w:val="BE5E54C8"/>
    <w:rsid w:val="BEBE2A17"/>
    <w:rsid w:val="BECE2A51"/>
    <w:rsid w:val="BEFFA192"/>
    <w:rsid w:val="BF7BE297"/>
    <w:rsid w:val="BF934414"/>
    <w:rsid w:val="BFBE6F04"/>
    <w:rsid w:val="BFD2E01D"/>
    <w:rsid w:val="BFEE991A"/>
    <w:rsid w:val="BFFF01D3"/>
    <w:rsid w:val="C539CE85"/>
    <w:rsid w:val="C7DD7635"/>
    <w:rsid w:val="C7F7C6EF"/>
    <w:rsid w:val="C9EFE05E"/>
    <w:rsid w:val="CEFD1563"/>
    <w:rsid w:val="CF57C117"/>
    <w:rsid w:val="CFE50435"/>
    <w:rsid w:val="CFF17B60"/>
    <w:rsid w:val="CFF6DC28"/>
    <w:rsid w:val="CFFD8003"/>
    <w:rsid w:val="D372B40E"/>
    <w:rsid w:val="D397B3AC"/>
    <w:rsid w:val="D3DCC788"/>
    <w:rsid w:val="D4D75976"/>
    <w:rsid w:val="D67C9814"/>
    <w:rsid w:val="D7D794C6"/>
    <w:rsid w:val="D935AFCF"/>
    <w:rsid w:val="D93FF013"/>
    <w:rsid w:val="D9F771B0"/>
    <w:rsid w:val="DA7FA72E"/>
    <w:rsid w:val="DAF2A919"/>
    <w:rsid w:val="DAF6E6AE"/>
    <w:rsid w:val="DB3DF6F6"/>
    <w:rsid w:val="DC6EC198"/>
    <w:rsid w:val="DCEEF4D7"/>
    <w:rsid w:val="DD7FA9BD"/>
    <w:rsid w:val="DDBC1854"/>
    <w:rsid w:val="DDBFAFE6"/>
    <w:rsid w:val="DDF79730"/>
    <w:rsid w:val="DE7D3F37"/>
    <w:rsid w:val="DE7D5170"/>
    <w:rsid w:val="DEA718C5"/>
    <w:rsid w:val="DEF73D26"/>
    <w:rsid w:val="DF7AB66E"/>
    <w:rsid w:val="DF7F7A68"/>
    <w:rsid w:val="DF9FAE30"/>
    <w:rsid w:val="DFA70CA5"/>
    <w:rsid w:val="DFCD7311"/>
    <w:rsid w:val="DFDED5F0"/>
    <w:rsid w:val="DFDFA7EA"/>
    <w:rsid w:val="DFEF82DC"/>
    <w:rsid w:val="DFF75DE0"/>
    <w:rsid w:val="DFF7B421"/>
    <w:rsid w:val="DFFBEA01"/>
    <w:rsid w:val="DFFF78AB"/>
    <w:rsid w:val="E1FDB87A"/>
    <w:rsid w:val="E37C7233"/>
    <w:rsid w:val="E3DF494A"/>
    <w:rsid w:val="E597E0F9"/>
    <w:rsid w:val="E5ACEE5C"/>
    <w:rsid w:val="E5DBF8E0"/>
    <w:rsid w:val="E5DD5594"/>
    <w:rsid w:val="E5FD1716"/>
    <w:rsid w:val="E76E136F"/>
    <w:rsid w:val="E76E4582"/>
    <w:rsid w:val="E7959D43"/>
    <w:rsid w:val="E7DD76FA"/>
    <w:rsid w:val="E7DEB683"/>
    <w:rsid w:val="E7FA9CE1"/>
    <w:rsid w:val="E8DFD810"/>
    <w:rsid w:val="E8ED9A7A"/>
    <w:rsid w:val="E9FB1D69"/>
    <w:rsid w:val="ED7696B9"/>
    <w:rsid w:val="ED7FA205"/>
    <w:rsid w:val="EDDD4C03"/>
    <w:rsid w:val="EDDEA8A8"/>
    <w:rsid w:val="EDF6A377"/>
    <w:rsid w:val="EDFD9779"/>
    <w:rsid w:val="EEDD7B51"/>
    <w:rsid w:val="EEEE9AEA"/>
    <w:rsid w:val="EEFF1C7C"/>
    <w:rsid w:val="EF76ABA7"/>
    <w:rsid w:val="EF76FD29"/>
    <w:rsid w:val="EFA98C66"/>
    <w:rsid w:val="EFB74D24"/>
    <w:rsid w:val="EFBB9C38"/>
    <w:rsid w:val="EFFF51EA"/>
    <w:rsid w:val="F0963988"/>
    <w:rsid w:val="F0FB2E19"/>
    <w:rsid w:val="F37F9D45"/>
    <w:rsid w:val="F4EEDFB9"/>
    <w:rsid w:val="F59FC4BE"/>
    <w:rsid w:val="F5BFAA24"/>
    <w:rsid w:val="F5DFEC18"/>
    <w:rsid w:val="F5FBA327"/>
    <w:rsid w:val="F5FBD4F0"/>
    <w:rsid w:val="F5FF953B"/>
    <w:rsid w:val="F6D3B299"/>
    <w:rsid w:val="F6DF3C79"/>
    <w:rsid w:val="F6DF969F"/>
    <w:rsid w:val="F6F7D648"/>
    <w:rsid w:val="F6FE66A0"/>
    <w:rsid w:val="F7A769CA"/>
    <w:rsid w:val="F7AFC166"/>
    <w:rsid w:val="F7BACD07"/>
    <w:rsid w:val="F7DFB59A"/>
    <w:rsid w:val="F7EAFE75"/>
    <w:rsid w:val="F7EF8930"/>
    <w:rsid w:val="F7EFBF54"/>
    <w:rsid w:val="F7F64803"/>
    <w:rsid w:val="F7F7D57B"/>
    <w:rsid w:val="F7FBBB3C"/>
    <w:rsid w:val="F97776F1"/>
    <w:rsid w:val="F9ACF762"/>
    <w:rsid w:val="F9AF6A07"/>
    <w:rsid w:val="F9CD6B06"/>
    <w:rsid w:val="F9DD3F6E"/>
    <w:rsid w:val="F9FEBDAD"/>
    <w:rsid w:val="FA4A2960"/>
    <w:rsid w:val="FA5F62A6"/>
    <w:rsid w:val="FA7F4B61"/>
    <w:rsid w:val="FA8FD7D8"/>
    <w:rsid w:val="FAEAECA3"/>
    <w:rsid w:val="FAF97EFB"/>
    <w:rsid w:val="FB1E2108"/>
    <w:rsid w:val="FB3BD7B7"/>
    <w:rsid w:val="FB76D7ED"/>
    <w:rsid w:val="FB7B6CCF"/>
    <w:rsid w:val="FBDC62A5"/>
    <w:rsid w:val="FBDE851F"/>
    <w:rsid w:val="FBE3CAE4"/>
    <w:rsid w:val="FBE7B7A7"/>
    <w:rsid w:val="FBEBDED9"/>
    <w:rsid w:val="FBFCB8A0"/>
    <w:rsid w:val="FBFF044E"/>
    <w:rsid w:val="FBFF6441"/>
    <w:rsid w:val="FBFFE9F7"/>
    <w:rsid w:val="FC3B70D8"/>
    <w:rsid w:val="FC6B0511"/>
    <w:rsid w:val="FCB8758D"/>
    <w:rsid w:val="FCCF40CD"/>
    <w:rsid w:val="FCEAEAF2"/>
    <w:rsid w:val="FCEFC362"/>
    <w:rsid w:val="FD1CE8A4"/>
    <w:rsid w:val="FD4DA8E0"/>
    <w:rsid w:val="FDD3D023"/>
    <w:rsid w:val="FDD6311A"/>
    <w:rsid w:val="FDD8B33A"/>
    <w:rsid w:val="FDDFA87F"/>
    <w:rsid w:val="FDE723F9"/>
    <w:rsid w:val="FDEA94D7"/>
    <w:rsid w:val="FDEF16FC"/>
    <w:rsid w:val="FDF7A563"/>
    <w:rsid w:val="FDFE7D3B"/>
    <w:rsid w:val="FDFF3241"/>
    <w:rsid w:val="FE3C1896"/>
    <w:rsid w:val="FE6ECCEF"/>
    <w:rsid w:val="FE7FAB6F"/>
    <w:rsid w:val="FEABD3F6"/>
    <w:rsid w:val="FEDFE9C8"/>
    <w:rsid w:val="FEEF2DE1"/>
    <w:rsid w:val="FEEF6613"/>
    <w:rsid w:val="FEF4E491"/>
    <w:rsid w:val="FEF677F2"/>
    <w:rsid w:val="FEFECE26"/>
    <w:rsid w:val="FF5FF9AC"/>
    <w:rsid w:val="FF6FF903"/>
    <w:rsid w:val="FF76195C"/>
    <w:rsid w:val="FF7B8EF0"/>
    <w:rsid w:val="FF7BCB7D"/>
    <w:rsid w:val="FF8702C2"/>
    <w:rsid w:val="FF8FEB1C"/>
    <w:rsid w:val="FFB901CA"/>
    <w:rsid w:val="FFBBB187"/>
    <w:rsid w:val="FFDD5D60"/>
    <w:rsid w:val="FFDDDFD4"/>
    <w:rsid w:val="FFDE6750"/>
    <w:rsid w:val="FFDFD448"/>
    <w:rsid w:val="FFE328BA"/>
    <w:rsid w:val="FFF5D47C"/>
    <w:rsid w:val="FFFB1AFB"/>
    <w:rsid w:val="FFFDF43A"/>
    <w:rsid w:val="FFFE27DD"/>
    <w:rsid w:val="FFFEB243"/>
    <w:rsid w:val="FFFF045A"/>
    <w:rsid w:val="FF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纯文本11"/>
    <w:qFormat/>
    <w:uiPriority w:val="0"/>
    <w:pPr>
      <w:framePr w:wrap="around" w:vAnchor="margin" w:hAnchor="text" w:yAlign="top"/>
      <w:widowControl w:val="0"/>
      <w:jc w:val="both"/>
    </w:pPr>
    <w:rPr>
      <w:rFonts w:ascii="宋体" w:hAnsi="宋体" w:eastAsia="宋体" w:cs="宋体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1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12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2022-12-06T20:47:00Z</dcterms:created>
  <dc:creator>hp</dc:creator>
  <cp:lastModifiedBy>scjgj</cp:lastModifiedBy>
  <dcterms:modified xsi:type="dcterms:W3CDTF">2023-02-08T11:14:53Z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093E87AC63B2409980C0853C81C9ECA5</vt:lpwstr>
  </property>
</Properties>
</file>