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ICS</w:t>
            </w:r>
            <w:r>
              <w:rPr>
                <w:rFonts w:ascii="黑体" w:hAnsi="黑体" w:eastAsia="黑体"/>
                <w:color w:val="auto"/>
                <w:sz w:val="21"/>
                <w:szCs w:val="21"/>
                <w:highlight w:val="none"/>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ascii="黑体" w:hAnsi="黑体" w:eastAsia="黑体"/>
                <w:color w:val="auto"/>
                <w:sz w:val="21"/>
                <w:szCs w:val="21"/>
                <w:highlight w:val="none"/>
              </w:rPr>
            </w:pPr>
            <w:r>
              <w:rPr>
                <w:rFonts w:ascii="黑体" w:hAnsi="黑体" w:eastAsia="黑体"/>
                <w:color w:val="auto"/>
                <w:sz w:val="21"/>
                <w:szCs w:val="21"/>
                <w:highlight w:val="none"/>
              </w:rPr>
              <w:fldChar w:fldCharType="begin">
                <w:ffData>
                  <w:name w:val="ICS"/>
                  <w:enabled/>
                  <w:calcOnExit w:val="0"/>
                  <w:textInput>
                    <w:default w:val="点击此处添加ICS号"/>
                  </w:textInput>
                </w:ffData>
              </w:fldChar>
            </w:r>
            <w:bookmarkStart w:id="0" w:name="ICS"/>
            <w:r>
              <w:rPr>
                <w:rFonts w:ascii="黑体" w:hAnsi="黑体" w:eastAsia="黑体"/>
                <w:color w:val="auto"/>
                <w:sz w:val="21"/>
                <w:szCs w:val="21"/>
                <w:highlight w:val="none"/>
              </w:rPr>
              <w:instrText xml:space="preserve"> FORMTEXT </w:instrText>
            </w:r>
            <w:r>
              <w:rPr>
                <w:rFonts w:ascii="黑体" w:hAnsi="黑体" w:eastAsia="黑体"/>
                <w:color w:val="auto"/>
                <w:sz w:val="21"/>
                <w:szCs w:val="21"/>
                <w:highlight w:val="none"/>
              </w:rPr>
              <w:fldChar w:fldCharType="separate"/>
            </w:r>
            <w:r>
              <w:rPr>
                <w:rFonts w:ascii="黑体" w:hAnsi="黑体" w:eastAsia="黑体"/>
                <w:color w:val="auto"/>
                <w:sz w:val="21"/>
                <w:szCs w:val="21"/>
                <w:highlight w:val="none"/>
              </w:rPr>
              <w:t xml:space="preserve"> </w:t>
            </w:r>
            <w:r>
              <w:rPr>
                <w:rFonts w:ascii="黑体" w:hAnsi="黑体" w:eastAsia="黑体"/>
                <w:color w:val="auto"/>
                <w:sz w:val="21"/>
                <w:szCs w:val="21"/>
                <w:highlight w:val="none"/>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 xml:space="preserve">CCS </w:t>
            </w:r>
            <w:r>
              <w:rPr>
                <w:rFonts w:ascii="黑体" w:hAnsi="黑体" w:eastAsia="黑体"/>
                <w:color w:val="auto"/>
                <w:sz w:val="21"/>
                <w:szCs w:val="21"/>
                <w:highlight w:val="none"/>
              </w:rPr>
              <w:t xml:space="preserve"> </w:t>
            </w:r>
          </w:p>
        </w:tc>
        <w:tc>
          <w:tcPr>
            <w:tcW w:w="8855" w:type="dxa"/>
          </w:tcPr>
          <w:p>
            <w:pPr>
              <w:pStyle w:val="20"/>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p>
        </w:tc>
      </w:tr>
    </w:tbl>
    <w:tbl>
      <w:tblPr>
        <w:tblStyle w:val="31"/>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4"/>
              <w:framePr w:w="0" w:hRule="auto" w:wrap="auto" w:vAnchor="margin" w:hAnchor="text" w:xAlign="left" w:yAlign="inline"/>
              <w:rPr>
                <w:rFonts w:ascii="宋体" w:hAnsi="宋体"/>
                <w:color w:val="auto"/>
                <w:sz w:val="28"/>
                <w:szCs w:val="28"/>
                <w:highlight w:val="none"/>
              </w:rPr>
            </w:pPr>
            <w:bookmarkStart w:id="1" w:name="_Hlk26473981"/>
            <w:r>
              <w:rPr>
                <w:color w:val="auto"/>
                <w:highlight w:val="none"/>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color w:val="auto"/>
                <w:sz w:val="21"/>
                <w:szCs w:val="21"/>
                <w:highlight w:val="none"/>
              </w:rPr>
              <w:t xml:space="preserve"> </w:t>
            </w:r>
            <w:r>
              <w:rPr>
                <w:rFonts w:hint="eastAsia"/>
                <w:color w:val="auto"/>
                <w:highlight w:val="none"/>
              </w:rPr>
              <w:t>11</w:t>
            </w:r>
          </w:p>
        </w:tc>
      </w:tr>
    </w:tbl>
    <w:p>
      <w:pPr>
        <w:pStyle w:val="55"/>
        <w:framePr w:w="9639" w:h="624" w:hRule="exact" w:hSpace="181" w:vSpace="181" w:hAnchor="page" w:x="1305" w:y="2269"/>
        <w:rPr>
          <w:rFonts w:ascii="黑体" w:hAnsi="黑体" w:eastAsia="黑体"/>
          <w:b w:val="0"/>
          <w:bCs w:val="0"/>
          <w:color w:val="auto"/>
          <w:w w:val="100"/>
          <w:sz w:val="48"/>
          <w:szCs w:val="48"/>
          <w:highlight w:val="none"/>
        </w:rPr>
      </w:pPr>
      <w:r>
        <w:rPr>
          <w:rFonts w:ascii="黑体" w:eastAsia="黑体"/>
          <w:b w:val="0"/>
          <w:color w:val="auto"/>
          <w:w w:val="100"/>
          <w:sz w:val="48"/>
          <w:highlight w:val="none"/>
        </w:rPr>
        <w:fldChar w:fldCharType="begin">
          <w:ffData>
            <w:name w:val="c2"/>
            <w:enabled/>
            <w:calcOnExit w:val="0"/>
            <w:textInput/>
          </w:ffData>
        </w:fldChar>
      </w:r>
      <w:bookmarkStart w:id="2" w:name="c2"/>
      <w:r>
        <w:rPr>
          <w:rFonts w:ascii="黑体" w:eastAsia="黑体"/>
          <w:b w:val="0"/>
          <w:color w:val="auto"/>
          <w:w w:val="100"/>
          <w:sz w:val="48"/>
          <w:highlight w:val="none"/>
        </w:rPr>
        <w:instrText xml:space="preserve"> FORMTEXT </w:instrText>
      </w:r>
      <w:r>
        <w:rPr>
          <w:rFonts w:ascii="黑体" w:eastAsia="黑体"/>
          <w:b w:val="0"/>
          <w:color w:val="auto"/>
          <w:w w:val="100"/>
          <w:sz w:val="48"/>
          <w:highlight w:val="none"/>
        </w:rPr>
        <w:fldChar w:fldCharType="separate"/>
      </w:r>
      <w:r>
        <w:rPr>
          <w:rFonts w:hint="eastAsia" w:ascii="黑体" w:eastAsia="黑体"/>
          <w:b w:val="0"/>
          <w:color w:val="auto"/>
          <w:w w:val="100"/>
          <w:sz w:val="48"/>
          <w:highlight w:val="none"/>
        </w:rPr>
        <w:t>北京市</w:t>
      </w:r>
      <w:r>
        <w:rPr>
          <w:rFonts w:ascii="黑体" w:eastAsia="黑体"/>
          <w:b w:val="0"/>
          <w:color w:val="auto"/>
          <w:w w:val="100"/>
          <w:sz w:val="48"/>
          <w:highlight w:val="none"/>
        </w:rPr>
        <w:fldChar w:fldCharType="end"/>
      </w:r>
      <w:bookmarkEnd w:id="2"/>
      <w:r>
        <w:rPr>
          <w:rFonts w:hint="eastAsia" w:ascii="黑体" w:hAnsi="黑体" w:eastAsia="黑体"/>
          <w:b w:val="0"/>
          <w:bCs w:val="0"/>
          <w:color w:val="auto"/>
          <w:w w:val="100"/>
          <w:sz w:val="48"/>
          <w:szCs w:val="48"/>
          <w:highlight w:val="none"/>
        </w:rPr>
        <w:t>地方标准</w:t>
      </w:r>
    </w:p>
    <w:bookmarkEnd w:id="1"/>
    <w:p>
      <w:pPr>
        <w:pStyle w:val="200"/>
        <w:rPr>
          <w:color w:val="auto"/>
          <w:highlight w:val="none"/>
          <w:lang w:val="fr-FR"/>
        </w:rPr>
      </w:pPr>
      <w:r>
        <w:rPr>
          <w:color w:val="auto"/>
          <w:highlight w:val="none"/>
          <w:lang w:val="fr-FR"/>
        </w:rPr>
        <w:t>DB</w:t>
      </w:r>
      <w:r>
        <w:rPr>
          <w:color w:val="auto"/>
          <w:highlight w:val="none"/>
        </w:rPr>
        <w:fldChar w:fldCharType="begin">
          <w:ffData>
            <w:name w:val="文字1"/>
            <w:enabled/>
            <w:calcOnExit w:val="0"/>
            <w:textInput>
              <w:default w:val="11/T"/>
            </w:textInput>
          </w:ffData>
        </w:fldChar>
      </w:r>
      <w:r>
        <w:rPr>
          <w:color w:val="auto"/>
          <w:highlight w:val="none"/>
        </w:rPr>
        <w:instrText xml:space="preserve"> </w:instrText>
      </w:r>
      <w:bookmarkStart w:id="3" w:name="文字1"/>
      <w:r>
        <w:rPr>
          <w:color w:val="auto"/>
          <w:highlight w:val="none"/>
        </w:rPr>
        <w:instrText xml:space="preserve">FORMTEXT </w:instrText>
      </w:r>
      <w:r>
        <w:rPr>
          <w:color w:val="auto"/>
          <w:highlight w:val="none"/>
        </w:rPr>
        <w:fldChar w:fldCharType="separate"/>
      </w:r>
      <w:r>
        <w:rPr>
          <w:color w:val="auto"/>
          <w:highlight w:val="none"/>
        </w:rPr>
        <w:t>11/T</w:t>
      </w:r>
      <w:r>
        <w:rPr>
          <w:color w:val="auto"/>
          <w:highlight w:val="none"/>
        </w:rPr>
        <w:fldChar w:fldCharType="end"/>
      </w:r>
      <w:bookmarkEnd w:id="3"/>
      <w:r>
        <w:rPr>
          <w:color w:val="auto"/>
          <w:highlight w:val="none"/>
          <w:lang w:val="fr-FR"/>
        </w:rPr>
        <w:t xml:space="preserve"> </w:t>
      </w:r>
      <w:r>
        <w:rPr>
          <w:color w:val="auto"/>
          <w:highlight w:val="none"/>
        </w:rPr>
        <w:fldChar w:fldCharType="begin">
          <w:ffData>
            <w:name w:val="NSTD_CODE_F"/>
            <w:enabled/>
            <w:calcOnExit w:val="0"/>
            <w:textInput>
              <w:default w:val="XXXX"/>
            </w:textInput>
          </w:ffData>
        </w:fldChar>
      </w:r>
      <w:bookmarkStart w:id="4" w:name="NSTD_CODE_F"/>
      <w:r>
        <w:rPr>
          <w:color w:val="auto"/>
          <w:highlight w:val="none"/>
          <w:lang w:val="fr-FR"/>
        </w:rPr>
        <w:instrText xml:space="preserve"> FORMTEXT </w:instrText>
      </w:r>
      <w:r>
        <w:rPr>
          <w:color w:val="auto"/>
          <w:highlight w:val="none"/>
        </w:rPr>
        <w:fldChar w:fldCharType="separate"/>
      </w:r>
      <w:r>
        <w:rPr>
          <w:color w:val="auto"/>
          <w:highlight w:val="none"/>
          <w:lang w:val="fr-FR"/>
        </w:rPr>
        <w:t>XXXX</w:t>
      </w:r>
      <w:r>
        <w:rPr>
          <w:color w:val="auto"/>
          <w:highlight w:val="none"/>
        </w:rPr>
        <w:fldChar w:fldCharType="end"/>
      </w:r>
      <w:bookmarkEnd w:id="4"/>
      <w:r>
        <w:rPr>
          <w:rFonts w:hAnsi="黑体"/>
          <w:color w:val="auto"/>
          <w:highlight w:val="none"/>
          <w:lang w:val="fr-FR"/>
        </w:rPr>
        <w:t>—</w:t>
      </w:r>
      <w:r>
        <w:rPr>
          <w:color w:val="auto"/>
          <w:highlight w:val="none"/>
        </w:rPr>
        <w:fldChar w:fldCharType="begin">
          <w:ffData>
            <w:name w:val="NSTD_CODE_B"/>
            <w:enabled/>
            <w:calcOnExit w:val="0"/>
            <w:textInput>
              <w:default w:val="XXXX"/>
            </w:textInput>
          </w:ffData>
        </w:fldChar>
      </w:r>
      <w:bookmarkStart w:id="5" w:name="NSTD_CODE_B"/>
      <w:r>
        <w:rPr>
          <w:color w:val="auto"/>
          <w:highlight w:val="none"/>
          <w:lang w:val="fr-FR"/>
        </w:rPr>
        <w:instrText xml:space="preserve"> FORMTEXT </w:instrText>
      </w:r>
      <w:r>
        <w:rPr>
          <w:color w:val="auto"/>
          <w:highlight w:val="none"/>
        </w:rPr>
        <w:fldChar w:fldCharType="separate"/>
      </w:r>
      <w:r>
        <w:rPr>
          <w:color w:val="auto"/>
          <w:highlight w:val="none"/>
          <w:lang w:val="fr-FR"/>
        </w:rPr>
        <w:t>XXXX</w:t>
      </w:r>
      <w:r>
        <w:rPr>
          <w:color w:val="auto"/>
          <w:highlight w:val="none"/>
        </w:rPr>
        <w:fldChar w:fldCharType="end"/>
      </w:r>
      <w:bookmarkEnd w:id="5"/>
    </w:p>
    <w:p>
      <w:pPr>
        <w:pStyle w:val="201"/>
        <w:rPr>
          <w:rFonts w:hAnsi="黑体"/>
          <w:color w:val="auto"/>
          <w:highlight w:val="none"/>
        </w:rPr>
      </w:pPr>
      <w:r>
        <w:rPr>
          <w:rFonts w:hAnsi="黑体"/>
          <w:color w:val="auto"/>
          <w:highlight w:val="none"/>
        </w:rPr>
        <w:fldChar w:fldCharType="begin">
          <w:ffData>
            <w:name w:val="OSTD_CODE"/>
            <w:enabled/>
            <w:calcOnExit w:val="0"/>
            <w:textInput/>
          </w:ffData>
        </w:fldChar>
      </w:r>
      <w:bookmarkStart w:id="6" w:name="OSTD_CODE"/>
      <w:r>
        <w:rPr>
          <w:rFonts w:hAnsi="黑体"/>
          <w:color w:val="auto"/>
          <w:highlight w:val="none"/>
        </w:rPr>
        <w:instrText xml:space="preserve"> FORMTEXT </w:instrText>
      </w:r>
      <w:r>
        <w:rPr>
          <w:rFonts w:hAnsi="黑体"/>
          <w:color w:val="auto"/>
          <w:highlight w:val="none"/>
        </w:rPr>
        <w:fldChar w:fldCharType="separate"/>
      </w:r>
      <w:r>
        <w:rPr>
          <w:rFonts w:hAnsi="黑体"/>
          <w:color w:val="auto"/>
          <w:highlight w:val="none"/>
        </w:rPr>
        <w:t>     </w:t>
      </w:r>
      <w:r>
        <w:rPr>
          <w:rFonts w:hAnsi="黑体"/>
          <w:color w:val="auto"/>
          <w:highlight w:val="none"/>
        </w:rPr>
        <w:fldChar w:fldCharType="end"/>
      </w:r>
      <w:bookmarkEnd w:id="6"/>
    </w:p>
    <w:p>
      <w:pPr>
        <w:spacing w:line="240" w:lineRule="auto"/>
        <w:rPr>
          <w:rFonts w:ascii="黑体" w:hAnsi="黑体" w:eastAsia="黑体"/>
          <w:color w:val="auto"/>
          <w:kern w:val="0"/>
          <w:sz w:val="10"/>
          <w:szCs w:val="10"/>
          <w:highlight w:val="none"/>
        </w:rPr>
      </w:pPr>
      <w:r>
        <w:rPr>
          <w:rFonts w:ascii="黑体" w:hAnsi="黑体" w:eastAsia="黑体"/>
          <w:color w:val="auto"/>
          <w:kern w:val="0"/>
          <w:sz w:val="10"/>
          <w:szCs w:val="10"/>
          <w:highlight w:val="none"/>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J4NJltgAAAAMAQAADwAAAAAAAAABACAAAAA4AAAAZHJzL2Rvd25yZXYu&#10;eG1sUEsBAhQAFAAAAAgAh07iQLvgymblAQAArAMAAA4AAAAAAAAAAQAgAAAAPQEAAGRycy9lMm9E&#10;b2MueG1sUEsFBgAAAAAGAAYAWQEAAJQFAAAAAA==&#10;">
                <v:fill on="f" focussize="0,0"/>
                <v:stroke color="#000000" joinstyle="round"/>
                <v:imagedata o:title=""/>
                <o:lock v:ext="edit" aspectratio="f"/>
              </v:line>
            </w:pict>
          </mc:Fallback>
        </mc:AlternateContent>
      </w:r>
    </w:p>
    <w:p>
      <w:pPr>
        <w:pStyle w:val="55"/>
        <w:framePr w:w="9639" w:h="6976" w:hRule="exact" w:hSpace="0" w:vSpace="0" w:hAnchor="page" w:y="6408"/>
        <w:jc w:val="center"/>
        <w:rPr>
          <w:rFonts w:ascii="黑体" w:hAnsi="黑体" w:eastAsia="黑体"/>
          <w:b w:val="0"/>
          <w:bCs w:val="0"/>
          <w:color w:val="auto"/>
          <w:w w:val="100"/>
          <w:highlight w:val="none"/>
        </w:rPr>
      </w:pPr>
    </w:p>
    <w:p>
      <w:pPr>
        <w:pStyle w:val="202"/>
        <w:framePr w:h="6974" w:hRule="exact" w:wrap="around" w:x="1419" w:anchorLock="1"/>
        <w:rPr>
          <w:color w:val="auto"/>
          <w:highlight w:val="none"/>
        </w:rPr>
      </w:pPr>
      <w:r>
        <w:rPr>
          <w:rFonts w:hint="eastAsia"/>
          <w:color w:val="auto"/>
          <w:highlight w:val="none"/>
        </w:rPr>
        <w:t>城镇供水地下管线风险分析与控制</w:t>
      </w:r>
    </w:p>
    <w:p>
      <w:pPr>
        <w:pStyle w:val="202"/>
        <w:framePr w:h="6974" w:hRule="exact" w:wrap="around" w:x="1419" w:anchorLock="1"/>
        <w:rPr>
          <w:color w:val="auto"/>
          <w:highlight w:val="none"/>
        </w:rPr>
      </w:pPr>
      <w:r>
        <w:rPr>
          <w:rFonts w:hint="eastAsia"/>
          <w:color w:val="auto"/>
          <w:highlight w:val="none"/>
        </w:rPr>
        <w:t>技术导则</w:t>
      </w:r>
    </w:p>
    <w:p>
      <w:pPr>
        <w:framePr w:w="9639" w:h="6974" w:hRule="exact" w:wrap="around" w:vAnchor="page" w:hAnchor="page" w:x="1419" w:y="6408" w:anchorLock="1"/>
        <w:ind w:left="-1418"/>
        <w:rPr>
          <w:color w:val="auto"/>
          <w:highlight w:val="none"/>
        </w:rPr>
      </w:pPr>
    </w:p>
    <w:p>
      <w:pPr>
        <w:pStyle w:val="130"/>
        <w:framePr w:w="9639" w:h="6974" w:hRule="exact" w:wrap="around" w:vAnchor="page" w:hAnchor="page" w:x="1419" w:y="6408" w:anchorLock="1"/>
        <w:textAlignment w:val="bottom"/>
        <w:rPr>
          <w:rFonts w:ascii="黑体" w:hAnsi="黑体" w:eastAsia="黑体"/>
          <w:color w:val="auto"/>
          <w:szCs w:val="28"/>
          <w:highlight w:val="none"/>
        </w:rPr>
      </w:pPr>
      <w:r>
        <w:rPr>
          <w:rFonts w:hint="eastAsia" w:ascii="黑体" w:hAnsi="黑体" w:eastAsia="黑体"/>
          <w:color w:val="auto"/>
          <w:szCs w:val="28"/>
          <w:highlight w:val="none"/>
        </w:rPr>
        <w:t>Technical guidelines for risk analysis and control of urban water supply underground pipelines</w:t>
      </w:r>
    </w:p>
    <w:p>
      <w:pPr>
        <w:framePr w:w="9639" w:h="6974" w:hRule="exact" w:wrap="around" w:vAnchor="page" w:hAnchor="page" w:x="1419" w:y="6408" w:anchorLock="1"/>
        <w:spacing w:line="760" w:lineRule="exact"/>
        <w:ind w:left="-1418"/>
        <w:rPr>
          <w:color w:val="auto"/>
          <w:highlight w:val="none"/>
        </w:rPr>
      </w:pPr>
    </w:p>
    <w:p>
      <w:pPr>
        <w:pStyle w:val="130"/>
        <w:framePr w:w="9639" w:h="6974" w:hRule="exact" w:wrap="around" w:vAnchor="page" w:hAnchor="page" w:x="1419" w:y="6408" w:anchorLock="1"/>
        <w:textAlignment w:val="bottom"/>
        <w:rPr>
          <w:rFonts w:eastAsia="黑体"/>
          <w:color w:val="auto"/>
          <w:szCs w:val="28"/>
          <w:highlight w:val="none"/>
        </w:rPr>
      </w:pPr>
    </w:p>
    <w:p>
      <w:pPr>
        <w:pStyle w:val="130"/>
        <w:framePr w:w="9639" w:h="6974" w:hRule="exact" w:wrap="around" w:vAnchor="page" w:hAnchor="page" w:x="1419" w:y="6408" w:anchorLock="1"/>
        <w:spacing w:before="440" w:after="160"/>
        <w:textAlignment w:val="bottom"/>
        <w:rPr>
          <w:color w:val="auto"/>
          <w:sz w:val="24"/>
          <w:szCs w:val="28"/>
          <w:highlight w:val="none"/>
        </w:rPr>
      </w:pPr>
      <w:bookmarkStart w:id="7" w:name="下拉1"/>
      <w:r>
        <w:rPr>
          <w:rFonts w:hint="eastAsia"/>
          <w:color w:val="auto"/>
          <w:sz w:val="24"/>
          <w:szCs w:val="28"/>
          <w:highlight w:val="none"/>
        </w:rPr>
        <w:t>（</w:t>
      </w:r>
      <w:r>
        <w:rPr>
          <w:rFonts w:hint="eastAsia"/>
          <w:color w:val="auto"/>
          <w:sz w:val="24"/>
          <w:szCs w:val="28"/>
          <w:highlight w:val="none"/>
          <w:lang w:eastAsia="zh-CN"/>
        </w:rPr>
        <w:t>征求意见</w:t>
      </w:r>
      <w:r>
        <w:rPr>
          <w:rFonts w:hint="eastAsia"/>
          <w:color w:val="auto"/>
          <w:sz w:val="24"/>
          <w:szCs w:val="28"/>
          <w:highlight w:val="none"/>
        </w:rPr>
        <w:t>稿）</w:t>
      </w:r>
      <w:r>
        <w:rPr>
          <w:color w:val="auto"/>
          <w:sz w:val="24"/>
          <w:szCs w:val="28"/>
          <w:highlight w:val="none"/>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r>
        <w:rPr>
          <w:color w:val="auto"/>
          <w:sz w:val="24"/>
          <w:szCs w:val="28"/>
          <w:highlight w:val="none"/>
        </w:rPr>
        <w:instrText xml:space="preserve">FORMDROPDOWN</w:instrText>
      </w:r>
      <w:r>
        <w:rPr>
          <w:color w:val="auto"/>
          <w:sz w:val="24"/>
          <w:szCs w:val="28"/>
          <w:highlight w:val="none"/>
        </w:rPr>
        <w:fldChar w:fldCharType="separate"/>
      </w:r>
      <w:r>
        <w:rPr>
          <w:color w:val="auto"/>
          <w:sz w:val="24"/>
          <w:szCs w:val="28"/>
          <w:highlight w:val="none"/>
        </w:rPr>
        <w:fldChar w:fldCharType="end"/>
      </w:r>
      <w:bookmarkEnd w:id="7"/>
    </w:p>
    <w:p>
      <w:pPr>
        <w:pStyle w:val="130"/>
        <w:framePr w:w="9639" w:h="6974" w:hRule="exact" w:wrap="around" w:vAnchor="page" w:hAnchor="page" w:x="1419" w:y="6408" w:anchorLock="1"/>
        <w:spacing w:before="180" w:line="240" w:lineRule="atLeast"/>
        <w:textAlignment w:val="bottom"/>
        <w:rPr>
          <w:color w:val="auto"/>
          <w:sz w:val="21"/>
          <w:szCs w:val="28"/>
          <w:highlight w:val="none"/>
        </w:rPr>
      </w:pPr>
      <w:r>
        <w:rPr>
          <w:color w:val="auto"/>
          <w:sz w:val="21"/>
          <w:szCs w:val="28"/>
          <w:highlight w:val="none"/>
        </w:rPr>
        <w:fldChar w:fldCharType="begin">
          <w:ffData>
            <w:name w:val="CMPLSH_DATE"/>
            <w:enabled/>
            <w:calcOnExit w:val="0"/>
            <w:textInput/>
          </w:ffData>
        </w:fldChar>
      </w:r>
      <w:bookmarkStart w:id="8" w:name="CMPLSH_DATE"/>
      <w:r>
        <w:rPr>
          <w:color w:val="auto"/>
          <w:sz w:val="21"/>
          <w:szCs w:val="28"/>
          <w:highlight w:val="none"/>
        </w:rPr>
        <w:instrText xml:space="preserve"> FORMTEXT </w:instrText>
      </w:r>
      <w:r>
        <w:rPr>
          <w:color w:val="auto"/>
          <w:sz w:val="21"/>
          <w:szCs w:val="28"/>
          <w:highlight w:val="none"/>
        </w:rPr>
        <w:fldChar w:fldCharType="separate"/>
      </w:r>
      <w:r>
        <w:rPr>
          <w:color w:val="auto"/>
          <w:sz w:val="21"/>
          <w:szCs w:val="28"/>
          <w:highlight w:val="none"/>
        </w:rPr>
        <w:t>     </w:t>
      </w:r>
      <w:r>
        <w:rPr>
          <w:color w:val="auto"/>
          <w:sz w:val="21"/>
          <w:szCs w:val="28"/>
          <w:highlight w:val="none"/>
        </w:rPr>
        <w:fldChar w:fldCharType="end"/>
      </w:r>
      <w:bookmarkEnd w:id="8"/>
    </w:p>
    <w:p>
      <w:pPr>
        <w:pStyle w:val="130"/>
        <w:framePr w:w="9639" w:h="6974" w:hRule="exact" w:wrap="around" w:vAnchor="page" w:hAnchor="page" w:x="1419" w:y="6408" w:anchorLock="1"/>
        <w:spacing w:before="720" w:beforeLines="300" w:after="72" w:afterLines="30" w:line="240" w:lineRule="auto"/>
        <w:textAlignment w:val="bottom"/>
        <w:rPr>
          <w:b/>
          <w:color w:val="auto"/>
          <w:sz w:val="21"/>
          <w:szCs w:val="28"/>
          <w:highlight w:val="none"/>
        </w:rPr>
      </w:pPr>
    </w:p>
    <w:p>
      <w:pPr>
        <w:pStyle w:val="198"/>
        <w:framePr w:y="14176"/>
        <w:rPr>
          <w:color w:val="auto"/>
          <w:highlight w:val="none"/>
        </w:rPr>
      </w:pPr>
      <w:r>
        <w:rPr>
          <w:rFonts w:ascii="黑体"/>
          <w:color w:val="auto"/>
          <w:highlight w:val="none"/>
        </w:rPr>
        <w:fldChar w:fldCharType="begin">
          <w:ffData>
            <w:name w:val="PLSH_DATE_Y"/>
            <w:enabled/>
            <w:calcOnExit w:val="0"/>
            <w:textInput>
              <w:default w:val="XXXX"/>
              <w:maxLength w:val="4"/>
            </w:textInput>
          </w:ffData>
        </w:fldChar>
      </w:r>
      <w:bookmarkStart w:id="9" w:name="PLSH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9"/>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M"/>
            <w:enabled/>
            <w:calcOnExit w:val="0"/>
            <w:textInput>
              <w:default w:val="XX"/>
              <w:maxLength w:val="2"/>
            </w:textInput>
          </w:ffData>
        </w:fldChar>
      </w:r>
      <w:bookmarkStart w:id="10" w:name="PLSH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0"/>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D"/>
            <w:enabled/>
            <w:calcOnExit w:val="0"/>
            <w:textInput>
              <w:default w:val="XX"/>
              <w:maxLength w:val="2"/>
            </w:textInput>
          </w:ffData>
        </w:fldChar>
      </w:r>
      <w:bookmarkStart w:id="11" w:name="PLSH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1"/>
      <w:r>
        <w:rPr>
          <w:rFonts w:hint="eastAsia"/>
          <w:color w:val="auto"/>
          <w:highlight w:val="none"/>
        </w:rPr>
        <w:t>发布</w:t>
      </w:r>
    </w:p>
    <w:p>
      <w:pPr>
        <w:pStyle w:val="199"/>
        <w:framePr w:y="14176"/>
        <w:rPr>
          <w:color w:val="auto"/>
          <w:highlight w:val="none"/>
        </w:rPr>
      </w:pPr>
      <w:r>
        <w:rPr>
          <w:rFonts w:ascii="黑体"/>
          <w:color w:val="auto"/>
          <w:highlight w:val="none"/>
        </w:rPr>
        <w:fldChar w:fldCharType="begin">
          <w:ffData>
            <w:name w:val="CROT_DATE_Y"/>
            <w:enabled/>
            <w:calcOnExit w:val="0"/>
            <w:textInput>
              <w:default w:val="XXXX"/>
              <w:maxLength w:val="4"/>
            </w:textInput>
          </w:ffData>
        </w:fldChar>
      </w:r>
      <w:bookmarkStart w:id="12" w:name="CROT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2"/>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M"/>
            <w:enabled/>
            <w:calcOnExit w:val="0"/>
            <w:textInput>
              <w:default w:val="XX"/>
              <w:maxLength w:val="2"/>
            </w:textInput>
          </w:ffData>
        </w:fldChar>
      </w:r>
      <w:bookmarkStart w:id="13" w:name="CROT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3"/>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D"/>
            <w:enabled/>
            <w:calcOnExit w:val="0"/>
            <w:textInput>
              <w:default w:val="XX"/>
              <w:maxLength w:val="2"/>
            </w:textInput>
          </w:ffData>
        </w:fldChar>
      </w:r>
      <w:bookmarkStart w:id="14" w:name="CROT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4"/>
      <w:r>
        <w:rPr>
          <w:rFonts w:hint="eastAsia"/>
          <w:color w:val="auto"/>
          <w:highlight w:val="none"/>
        </w:rPr>
        <w:t>实施</w:t>
      </w:r>
    </w:p>
    <w:p>
      <w:pPr>
        <w:pStyle w:val="156"/>
        <w:framePr w:h="584" w:hRule="exact" w:hSpace="181" w:vSpace="181" w:y="15027"/>
        <w:rPr>
          <w:rFonts w:hAnsi="黑体"/>
          <w:color w:val="auto"/>
          <w:highlight w:val="none"/>
        </w:rPr>
      </w:pPr>
      <w:r>
        <w:rPr>
          <w:rFonts w:hAnsi="黑体"/>
          <w:color w:val="auto"/>
          <w:w w:val="100"/>
          <w:sz w:val="28"/>
          <w:highlight w:val="none"/>
        </w:rPr>
        <w:fldChar w:fldCharType="begin">
          <w:ffData>
            <w:name w:val="fm"/>
            <w:enabled/>
            <w:calcOnExit w:val="0"/>
            <w:textInput/>
          </w:ffData>
        </w:fldChar>
      </w:r>
      <w:bookmarkStart w:id="15" w:name="fm"/>
      <w:r>
        <w:rPr>
          <w:rFonts w:hAnsi="黑体"/>
          <w:color w:val="auto"/>
          <w:w w:val="100"/>
          <w:sz w:val="28"/>
          <w:highlight w:val="none"/>
        </w:rPr>
        <w:instrText xml:space="preserve"> FORMTEXT </w:instrText>
      </w:r>
      <w:r>
        <w:rPr>
          <w:rFonts w:hAnsi="黑体"/>
          <w:color w:val="auto"/>
          <w:w w:val="100"/>
          <w:sz w:val="28"/>
          <w:highlight w:val="none"/>
        </w:rPr>
        <w:fldChar w:fldCharType="separate"/>
      </w:r>
      <w:r>
        <w:rPr>
          <w:rFonts w:hint="eastAsia" w:hAnsi="黑体"/>
          <w:color w:val="auto"/>
          <w:w w:val="100"/>
          <w:sz w:val="28"/>
          <w:highlight w:val="none"/>
        </w:rPr>
        <w:t>北京市市场监督管理局</w:t>
      </w:r>
      <w:r>
        <w:rPr>
          <w:rFonts w:hAnsi="黑体"/>
          <w:color w:val="auto"/>
          <w:w w:val="100"/>
          <w:sz w:val="28"/>
          <w:highlight w:val="none"/>
        </w:rPr>
        <w:fldChar w:fldCharType="end"/>
      </w:r>
      <w:bookmarkEnd w:id="15"/>
      <w:r>
        <w:rPr>
          <w:rFonts w:ascii="Times New Roman"/>
          <w:color w:val="auto"/>
          <w:w w:val="100"/>
          <w:sz w:val="28"/>
          <w:highlight w:val="none"/>
        </w:rPr>
        <w:t>  </w:t>
      </w:r>
      <w:r>
        <w:rPr>
          <w:rStyle w:val="234"/>
          <w:rFonts w:hint="eastAsia" w:hAnsi="黑体"/>
          <w:color w:val="auto"/>
          <w:position w:val="0"/>
          <w:highlight w:val="none"/>
        </w:rPr>
        <w:t>发</w:t>
      </w:r>
      <w:r>
        <w:rPr>
          <w:rStyle w:val="234"/>
          <w:rFonts w:hint="eastAsia" w:hAnsi="黑体"/>
          <w:color w:val="auto"/>
          <w:spacing w:val="0"/>
          <w:position w:val="0"/>
          <w:highlight w:val="none"/>
        </w:rPr>
        <w:t>布</w:t>
      </w:r>
    </w:p>
    <w:p>
      <w:pPr>
        <w:rPr>
          <w:rFonts w:ascii="宋体" w:hAnsi="宋体"/>
          <w:color w:val="auto"/>
          <w:sz w:val="28"/>
          <w:szCs w:val="28"/>
          <w:highlight w:val="none"/>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pgBorders>
            <w:top w:val="none" w:sz="0" w:space="0"/>
            <w:left w:val="none" w:sz="0" w:space="0"/>
            <w:bottom w:val="none" w:sz="0" w:space="0"/>
            <w:right w:val="none" w:sz="0" w:space="0"/>
          </w:pgBorders>
          <w:cols w:space="425" w:num="1"/>
          <w:titlePg/>
          <w:docGrid w:linePitch="312" w:charSpace="0"/>
        </w:sectPr>
      </w:pPr>
      <w:r>
        <w:rPr>
          <w:rFonts w:hint="eastAsia" w:ascii="宋体" w:hAnsi="宋体"/>
          <w:color w:val="auto"/>
          <w:sz w:val="28"/>
          <w:szCs w:val="28"/>
          <w:highlight w:val="none"/>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qzMc+9cAAAAOAQAADwAAAAAAAAABACAAAAA4AAAAZHJzL2Rvd25yZXYueG1s&#10;UEsBAhQAFAAAAAgAh07iQFkuJZjjAQAAqgMAAA4AAAAAAAAAAQAgAAAAPAEAAGRycy9lMm9Eb2Mu&#10;eG1sUEsFBgAAAAAGAAYAWQEAAJEFAAAAAA==&#10;">
                <v:fill on="f" focussize="0,0"/>
                <v:stroke color="#000000" joinstyle="round"/>
                <v:imagedata o:title=""/>
                <o:lock v:ext="edit" aspectratio="f"/>
                <w10:anchorlock/>
              </v:line>
            </w:pict>
          </mc:Fallback>
        </mc:AlternateContent>
      </w:r>
    </w:p>
    <w:p>
      <w:pPr>
        <w:pStyle w:val="96"/>
        <w:spacing w:after="468"/>
        <w:rPr>
          <w:rFonts w:hint="eastAsia"/>
          <w:color w:val="auto"/>
          <w:spacing w:val="320"/>
          <w:highlight w:val="none"/>
        </w:rPr>
        <w:sectPr>
          <w:headerReference r:id="rId9" w:type="default"/>
          <w:footerReference r:id="rId11" w:type="default"/>
          <w:headerReference r:id="rId10" w:type="even"/>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type="lines" w:linePitch="312" w:charSpace="0"/>
        </w:sectPr>
      </w:pPr>
      <w:bookmarkStart w:id="16" w:name="BookMark1"/>
    </w:p>
    <w:p>
      <w:pPr>
        <w:pStyle w:val="96"/>
        <w:spacing w:after="468"/>
        <w:rPr>
          <w:color w:val="auto"/>
          <w:highlight w:val="none"/>
        </w:rPr>
      </w:pPr>
      <w:r>
        <w:rPr>
          <w:rFonts w:hint="eastAsia"/>
          <w:color w:val="auto"/>
          <w:spacing w:val="320"/>
          <w:highlight w:val="none"/>
        </w:rPr>
        <w:t>目</w:t>
      </w:r>
      <w:r>
        <w:rPr>
          <w:rFonts w:hint="eastAsia"/>
          <w:color w:val="auto"/>
          <w:highlight w:val="none"/>
        </w:rPr>
        <w:t>次</w:t>
      </w:r>
    </w:p>
    <w:p>
      <w:pPr>
        <w:pStyle w:val="21"/>
        <w:tabs>
          <w:tab w:val="right" w:leader="dot" w:pos="9380"/>
          <w:tab w:val="clear" w:pos="9354"/>
        </w:tabs>
        <w:adjustRightInd/>
        <w:rPr>
          <w:rFonts w:cs="宋体"/>
          <w:color w:val="auto"/>
          <w:highlight w:val="none"/>
        </w:rPr>
      </w:pPr>
      <w:r>
        <w:rPr>
          <w:rFonts w:hint="eastAsia" w:cs="宋体"/>
          <w:color w:val="auto"/>
          <w:highlight w:val="none"/>
        </w:rPr>
        <w:t>前言</w:t>
      </w:r>
      <w:r>
        <w:rPr>
          <w:rFonts w:hint="eastAsia" w:cs="宋体"/>
          <w:color w:val="auto"/>
          <w:highlight w:val="none"/>
          <w:lang w:val="en-US" w:eastAsia="zh-CN"/>
        </w:rPr>
        <w:t>...................................................................................</w:t>
      </w:r>
      <w:r>
        <w:rPr>
          <w:rFonts w:hint="eastAsia" w:cs="宋体"/>
          <w:color w:val="auto"/>
          <w:highlight w:val="none"/>
        </w:rPr>
        <w:t>Ⅱ</w:t>
      </w:r>
    </w:p>
    <w:bookmarkEnd w:id="16"/>
    <w:p>
      <w:pPr>
        <w:pStyle w:val="21"/>
        <w:rPr>
          <w:color w:val="auto"/>
        </w:rPr>
      </w:pPr>
      <w:bookmarkStart w:id="17" w:name="_Toc32614"/>
      <w:bookmarkStart w:id="18" w:name="BookMark2"/>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"1-1"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_Toc1447857754 </w:instrText>
      </w:r>
      <w:r>
        <w:rPr>
          <w:rFonts w:hint="eastAsia" w:ascii="宋体" w:hAnsi="宋体" w:eastAsia="宋体" w:cs="宋体"/>
          <w:color w:val="auto"/>
          <w:highlight w:val="none"/>
        </w:rPr>
        <w:fldChar w:fldCharType="separate"/>
      </w:r>
      <w:r>
        <w:rPr>
          <w:rFonts w:hint="eastAsia" w:ascii="黑体" w:eastAsia="黑体"/>
          <w:i w:val="0"/>
          <w:color w:val="auto"/>
        </w:rPr>
        <w:t xml:space="preserve">1 </w:t>
      </w:r>
      <w:r>
        <w:rPr>
          <w:rFonts w:hint="eastAsia"/>
          <w:color w:val="auto"/>
          <w:highlight w:val="none"/>
        </w:rPr>
        <w:t>范围</w:t>
      </w:r>
      <w:r>
        <w:rPr>
          <w:color w:val="auto"/>
        </w:rPr>
        <w:tab/>
      </w:r>
      <w:r>
        <w:rPr>
          <w:color w:val="auto"/>
        </w:rPr>
        <w:fldChar w:fldCharType="begin"/>
      </w:r>
      <w:r>
        <w:rPr>
          <w:color w:val="auto"/>
        </w:rPr>
        <w:instrText xml:space="preserve"> PAGEREF _Toc1447857754 \h </w:instrText>
      </w:r>
      <w:r>
        <w:rPr>
          <w:color w:val="auto"/>
        </w:rPr>
        <w:fldChar w:fldCharType="separate"/>
      </w:r>
      <w:r>
        <w:rPr>
          <w:color w:val="auto"/>
        </w:rPr>
        <w:t>1</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_Toc371471919 </w:instrText>
      </w:r>
      <w:r>
        <w:rPr>
          <w:rFonts w:hint="eastAsia" w:ascii="宋体" w:hAnsi="宋体" w:eastAsia="宋体" w:cs="宋体"/>
          <w:color w:val="auto"/>
          <w:highlight w:val="none"/>
        </w:rPr>
        <w:fldChar w:fldCharType="separate"/>
      </w:r>
      <w:r>
        <w:rPr>
          <w:rFonts w:hint="eastAsia" w:ascii="黑体" w:eastAsia="黑体"/>
          <w:i w:val="0"/>
          <w:color w:val="auto"/>
        </w:rPr>
        <w:t xml:space="preserve">2 </w:t>
      </w:r>
      <w:r>
        <w:rPr>
          <w:rFonts w:hint="eastAsia"/>
          <w:color w:val="auto"/>
          <w:highlight w:val="none"/>
        </w:rPr>
        <w:t>规范性引用文件</w:t>
      </w:r>
      <w:r>
        <w:rPr>
          <w:color w:val="auto"/>
        </w:rPr>
        <w:tab/>
      </w:r>
      <w:r>
        <w:rPr>
          <w:color w:val="auto"/>
        </w:rPr>
        <w:fldChar w:fldCharType="begin"/>
      </w:r>
      <w:r>
        <w:rPr>
          <w:color w:val="auto"/>
        </w:rPr>
        <w:instrText xml:space="preserve"> PAGEREF _Toc371471919 \h </w:instrText>
      </w:r>
      <w:r>
        <w:rPr>
          <w:color w:val="auto"/>
        </w:rPr>
        <w:fldChar w:fldCharType="separate"/>
      </w:r>
      <w:r>
        <w:rPr>
          <w:color w:val="auto"/>
        </w:rPr>
        <w:t>1</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_Toc922485289 </w:instrText>
      </w:r>
      <w:r>
        <w:rPr>
          <w:rFonts w:hint="eastAsia" w:ascii="宋体" w:hAnsi="宋体" w:eastAsia="宋体" w:cs="宋体"/>
          <w:color w:val="auto"/>
          <w:highlight w:val="none"/>
        </w:rPr>
        <w:fldChar w:fldCharType="separate"/>
      </w:r>
      <w:r>
        <w:rPr>
          <w:rFonts w:hint="eastAsia" w:ascii="黑体" w:eastAsia="黑体"/>
          <w:i w:val="0"/>
          <w:color w:val="auto"/>
        </w:rPr>
        <w:t xml:space="preserve">3 </w:t>
      </w:r>
      <w:r>
        <w:rPr>
          <w:rFonts w:hint="eastAsia"/>
          <w:color w:val="auto"/>
          <w:highlight w:val="none"/>
        </w:rPr>
        <w:t>术语和定义</w:t>
      </w:r>
      <w:r>
        <w:rPr>
          <w:color w:val="auto"/>
        </w:rPr>
        <w:tab/>
      </w:r>
      <w:r>
        <w:rPr>
          <w:color w:val="auto"/>
        </w:rPr>
        <w:fldChar w:fldCharType="begin"/>
      </w:r>
      <w:r>
        <w:rPr>
          <w:color w:val="auto"/>
        </w:rPr>
        <w:instrText xml:space="preserve"> PAGEREF _Toc922485289 \h </w:instrText>
      </w:r>
      <w:r>
        <w:rPr>
          <w:color w:val="auto"/>
        </w:rPr>
        <w:fldChar w:fldCharType="separate"/>
      </w:r>
      <w:r>
        <w:rPr>
          <w:color w:val="auto"/>
        </w:rPr>
        <w:t>1</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_Toc1213497802 </w:instrText>
      </w:r>
      <w:r>
        <w:rPr>
          <w:rFonts w:hint="eastAsia" w:ascii="宋体" w:hAnsi="宋体" w:eastAsia="宋体" w:cs="宋体"/>
          <w:color w:val="auto"/>
          <w:highlight w:val="none"/>
        </w:rPr>
        <w:fldChar w:fldCharType="separate"/>
      </w:r>
      <w:r>
        <w:rPr>
          <w:rFonts w:hint="eastAsia" w:ascii="黑体" w:eastAsia="黑体"/>
          <w:i w:val="0"/>
          <w:color w:val="auto"/>
        </w:rPr>
        <w:t xml:space="preserve">4 </w:t>
      </w:r>
      <w:r>
        <w:rPr>
          <w:rFonts w:hint="eastAsia"/>
          <w:color w:val="auto"/>
          <w:highlight w:val="none"/>
        </w:rPr>
        <w:t>基本要求</w:t>
      </w:r>
      <w:r>
        <w:rPr>
          <w:color w:val="auto"/>
        </w:rPr>
        <w:tab/>
      </w:r>
      <w:r>
        <w:rPr>
          <w:color w:val="auto"/>
        </w:rPr>
        <w:fldChar w:fldCharType="begin"/>
      </w:r>
      <w:r>
        <w:rPr>
          <w:color w:val="auto"/>
        </w:rPr>
        <w:instrText xml:space="preserve"> PAGEREF _Toc1213497802 \h </w:instrText>
      </w:r>
      <w:r>
        <w:rPr>
          <w:color w:val="auto"/>
        </w:rPr>
        <w:fldChar w:fldCharType="separate"/>
      </w:r>
      <w:r>
        <w:rPr>
          <w:color w:val="auto"/>
        </w:rPr>
        <w:t>3</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_Toc1482685392 </w:instrText>
      </w:r>
      <w:r>
        <w:rPr>
          <w:rFonts w:hint="eastAsia" w:ascii="宋体" w:hAnsi="宋体" w:eastAsia="宋体" w:cs="宋体"/>
          <w:color w:val="auto"/>
          <w:highlight w:val="none"/>
        </w:rPr>
        <w:fldChar w:fldCharType="separate"/>
      </w:r>
      <w:r>
        <w:rPr>
          <w:rFonts w:hint="eastAsia" w:ascii="黑体" w:eastAsia="黑体"/>
          <w:i w:val="0"/>
          <w:color w:val="auto"/>
        </w:rPr>
        <w:t xml:space="preserve">5 </w:t>
      </w:r>
      <w:r>
        <w:rPr>
          <w:rFonts w:hint="eastAsia"/>
          <w:color w:val="auto"/>
          <w:highlight w:val="none"/>
        </w:rPr>
        <w:t>分析方法</w:t>
      </w:r>
      <w:r>
        <w:rPr>
          <w:color w:val="auto"/>
        </w:rPr>
        <w:tab/>
      </w:r>
      <w:r>
        <w:rPr>
          <w:color w:val="auto"/>
        </w:rPr>
        <w:fldChar w:fldCharType="begin"/>
      </w:r>
      <w:r>
        <w:rPr>
          <w:color w:val="auto"/>
        </w:rPr>
        <w:instrText xml:space="preserve"> PAGEREF _Toc1482685392 \h </w:instrText>
      </w:r>
      <w:r>
        <w:rPr>
          <w:color w:val="auto"/>
        </w:rPr>
        <w:fldChar w:fldCharType="separate"/>
      </w:r>
      <w:r>
        <w:rPr>
          <w:color w:val="auto"/>
        </w:rPr>
        <w:t>5</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_Toc1061547624 </w:instrText>
      </w:r>
      <w:r>
        <w:rPr>
          <w:rFonts w:hint="eastAsia" w:ascii="宋体" w:hAnsi="宋体" w:eastAsia="宋体" w:cs="宋体"/>
          <w:color w:val="auto"/>
          <w:highlight w:val="none"/>
        </w:rPr>
        <w:fldChar w:fldCharType="separate"/>
      </w:r>
      <w:r>
        <w:rPr>
          <w:rFonts w:hint="eastAsia" w:ascii="黑体" w:eastAsia="黑体"/>
          <w:i w:val="0"/>
          <w:color w:val="auto"/>
        </w:rPr>
        <w:t xml:space="preserve">6 </w:t>
      </w:r>
      <w:r>
        <w:rPr>
          <w:rFonts w:hint="eastAsia"/>
          <w:color w:val="auto"/>
          <w:highlight w:val="none"/>
        </w:rPr>
        <w:t>常规风险分析</w:t>
      </w:r>
      <w:r>
        <w:rPr>
          <w:color w:val="auto"/>
        </w:rPr>
        <w:tab/>
      </w:r>
      <w:r>
        <w:rPr>
          <w:color w:val="auto"/>
        </w:rPr>
        <w:fldChar w:fldCharType="begin"/>
      </w:r>
      <w:r>
        <w:rPr>
          <w:color w:val="auto"/>
        </w:rPr>
        <w:instrText xml:space="preserve"> PAGEREF _Toc1061547624 \h </w:instrText>
      </w:r>
      <w:r>
        <w:rPr>
          <w:color w:val="auto"/>
        </w:rPr>
        <w:fldChar w:fldCharType="separate"/>
      </w:r>
      <w:r>
        <w:rPr>
          <w:color w:val="auto"/>
        </w:rPr>
        <w:t>7</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_Toc203703822 </w:instrText>
      </w:r>
      <w:r>
        <w:rPr>
          <w:rFonts w:hint="eastAsia" w:ascii="宋体" w:hAnsi="宋体" w:eastAsia="宋体" w:cs="宋体"/>
          <w:color w:val="auto"/>
          <w:highlight w:val="none"/>
        </w:rPr>
        <w:fldChar w:fldCharType="separate"/>
      </w:r>
      <w:r>
        <w:rPr>
          <w:rFonts w:hint="eastAsia" w:ascii="黑体" w:eastAsia="黑体"/>
          <w:i w:val="0"/>
          <w:color w:val="auto"/>
        </w:rPr>
        <w:t xml:space="preserve">7 </w:t>
      </w:r>
      <w:r>
        <w:rPr>
          <w:rFonts w:hint="eastAsia"/>
          <w:color w:val="auto"/>
          <w:highlight w:val="none"/>
        </w:rPr>
        <w:t>详细风险分析</w:t>
      </w:r>
      <w:r>
        <w:rPr>
          <w:color w:val="auto"/>
        </w:rPr>
        <w:tab/>
      </w:r>
      <w:r>
        <w:rPr>
          <w:color w:val="auto"/>
        </w:rPr>
        <w:fldChar w:fldCharType="begin"/>
      </w:r>
      <w:r>
        <w:rPr>
          <w:color w:val="auto"/>
        </w:rPr>
        <w:instrText xml:space="preserve"> PAGEREF _Toc203703822 \h </w:instrText>
      </w:r>
      <w:r>
        <w:rPr>
          <w:color w:val="auto"/>
        </w:rPr>
        <w:fldChar w:fldCharType="separate"/>
      </w:r>
      <w:r>
        <w:rPr>
          <w:color w:val="auto"/>
        </w:rPr>
        <w:t>10</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_Toc1897838783 </w:instrText>
      </w:r>
      <w:r>
        <w:rPr>
          <w:rFonts w:hint="eastAsia" w:ascii="宋体" w:hAnsi="宋体" w:eastAsia="宋体" w:cs="宋体"/>
          <w:color w:val="auto"/>
          <w:highlight w:val="none"/>
        </w:rPr>
        <w:fldChar w:fldCharType="separate"/>
      </w:r>
      <w:r>
        <w:rPr>
          <w:rFonts w:hint="eastAsia" w:ascii="黑体" w:hAnsi="宋体" w:eastAsia="黑体"/>
          <w:i w:val="0"/>
          <w:color w:val="auto"/>
        </w:rPr>
        <w:t xml:space="preserve">8 </w:t>
      </w:r>
      <w:r>
        <w:rPr>
          <w:rFonts w:hint="eastAsia"/>
          <w:color w:val="auto"/>
          <w:highlight w:val="none"/>
        </w:rPr>
        <w:t>专项风险分析</w:t>
      </w:r>
      <w:r>
        <w:rPr>
          <w:color w:val="auto"/>
        </w:rPr>
        <w:tab/>
      </w:r>
      <w:r>
        <w:rPr>
          <w:color w:val="auto"/>
        </w:rPr>
        <w:fldChar w:fldCharType="begin"/>
      </w:r>
      <w:r>
        <w:rPr>
          <w:color w:val="auto"/>
        </w:rPr>
        <w:instrText xml:space="preserve"> PAGEREF _Toc1897838783 \h </w:instrText>
      </w:r>
      <w:r>
        <w:rPr>
          <w:color w:val="auto"/>
        </w:rPr>
        <w:fldChar w:fldCharType="separate"/>
      </w:r>
      <w:r>
        <w:rPr>
          <w:color w:val="auto"/>
        </w:rPr>
        <w:t>12</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_Toc856238588 </w:instrText>
      </w:r>
      <w:r>
        <w:rPr>
          <w:rFonts w:hint="eastAsia" w:ascii="宋体" w:hAnsi="宋体" w:eastAsia="宋体" w:cs="宋体"/>
          <w:color w:val="auto"/>
          <w:highlight w:val="none"/>
        </w:rPr>
        <w:fldChar w:fldCharType="separate"/>
      </w:r>
      <w:r>
        <w:rPr>
          <w:rFonts w:hint="eastAsia" w:ascii="黑体" w:eastAsia="黑体"/>
          <w:i w:val="0"/>
          <w:color w:val="auto"/>
        </w:rPr>
        <w:t xml:space="preserve">9 </w:t>
      </w:r>
      <w:r>
        <w:rPr>
          <w:rFonts w:hint="eastAsia"/>
          <w:color w:val="auto"/>
          <w:highlight w:val="none"/>
        </w:rPr>
        <w:t>风险控制</w:t>
      </w:r>
      <w:r>
        <w:rPr>
          <w:color w:val="auto"/>
        </w:rPr>
        <w:tab/>
      </w:r>
      <w:r>
        <w:rPr>
          <w:color w:val="auto"/>
        </w:rPr>
        <w:fldChar w:fldCharType="begin"/>
      </w:r>
      <w:r>
        <w:rPr>
          <w:color w:val="auto"/>
        </w:rPr>
        <w:instrText xml:space="preserve"> PAGEREF _Toc856238588 \h </w:instrText>
      </w:r>
      <w:r>
        <w:rPr>
          <w:color w:val="auto"/>
        </w:rPr>
        <w:fldChar w:fldCharType="separate"/>
      </w:r>
      <w:r>
        <w:rPr>
          <w:color w:val="auto"/>
        </w:rPr>
        <w:t>13</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_Toc690494999 </w:instrText>
      </w:r>
      <w:r>
        <w:rPr>
          <w:rFonts w:hint="eastAsia" w:ascii="宋体" w:hAnsi="宋体" w:eastAsia="宋体" w:cs="宋体"/>
          <w:color w:val="auto"/>
          <w:highlight w:val="none"/>
        </w:rPr>
        <w:fldChar w:fldCharType="separate"/>
      </w:r>
      <w:r>
        <w:rPr>
          <w:rFonts w:hint="eastAsia" w:ascii="黑体" w:eastAsia="黑体"/>
          <w:i w:val="0"/>
          <w:color w:val="auto"/>
        </w:rPr>
        <w:t xml:space="preserve">10 </w:t>
      </w:r>
      <w:r>
        <w:rPr>
          <w:rFonts w:hint="eastAsia"/>
          <w:color w:val="auto"/>
          <w:highlight w:val="none"/>
          <w:lang w:eastAsia="zh-CN"/>
        </w:rPr>
        <w:t>成果</w:t>
      </w:r>
      <w:r>
        <w:rPr>
          <w:rFonts w:hint="eastAsia"/>
          <w:color w:val="auto"/>
          <w:highlight w:val="none"/>
        </w:rPr>
        <w:t>管理</w:t>
      </w:r>
      <w:r>
        <w:rPr>
          <w:color w:val="auto"/>
        </w:rPr>
        <w:tab/>
      </w:r>
      <w:r>
        <w:rPr>
          <w:color w:val="auto"/>
        </w:rPr>
        <w:fldChar w:fldCharType="begin"/>
      </w:r>
      <w:r>
        <w:rPr>
          <w:color w:val="auto"/>
        </w:rPr>
        <w:instrText xml:space="preserve"> PAGEREF _Toc690494999 \h </w:instrText>
      </w:r>
      <w:r>
        <w:rPr>
          <w:color w:val="auto"/>
        </w:rPr>
        <w:fldChar w:fldCharType="separate"/>
      </w:r>
      <w:r>
        <w:rPr>
          <w:color w:val="auto"/>
        </w:rPr>
        <w:t>14</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_Toc979818862 </w:instrText>
      </w:r>
      <w:r>
        <w:rPr>
          <w:rFonts w:hint="eastAsia" w:ascii="宋体" w:hAnsi="宋体" w:eastAsia="宋体" w:cs="宋体"/>
          <w:color w:val="auto"/>
          <w:highlight w:val="none"/>
        </w:rPr>
        <w:fldChar w:fldCharType="separate"/>
      </w:r>
      <w:r>
        <w:rPr>
          <w:rFonts w:hint="eastAsia"/>
          <w:color w:val="auto"/>
          <w:spacing w:val="100"/>
        </w:rPr>
        <w:t xml:space="preserve">附录A </w:t>
      </w:r>
      <w:r>
        <w:rPr>
          <w:color w:val="auto"/>
          <w:highlight w:val="none"/>
        </w:rPr>
        <w:t xml:space="preserve"> </w:t>
      </w:r>
      <w:r>
        <w:rPr>
          <w:rFonts w:hint="eastAsia"/>
          <w:color w:val="auto"/>
          <w:highlight w:val="none"/>
        </w:rPr>
        <w:t>（规范性）</w:t>
      </w:r>
      <w:r>
        <w:rPr>
          <w:color w:val="auto"/>
          <w:highlight w:val="none"/>
        </w:rPr>
        <w:t xml:space="preserve"> </w:t>
      </w:r>
      <w:r>
        <w:rPr>
          <w:rFonts w:hint="eastAsia"/>
          <w:color w:val="auto"/>
          <w:highlight w:val="none"/>
        </w:rPr>
        <w:t>常规风险分析指标计算权重</w:t>
      </w:r>
      <w:r>
        <w:rPr>
          <w:color w:val="auto"/>
        </w:rPr>
        <w:tab/>
      </w:r>
      <w:r>
        <w:rPr>
          <w:color w:val="auto"/>
        </w:rPr>
        <w:fldChar w:fldCharType="begin"/>
      </w:r>
      <w:r>
        <w:rPr>
          <w:color w:val="auto"/>
        </w:rPr>
        <w:instrText xml:space="preserve"> PAGEREF _Toc979818862 \h </w:instrText>
      </w:r>
      <w:r>
        <w:rPr>
          <w:color w:val="auto"/>
        </w:rPr>
        <w:fldChar w:fldCharType="separate"/>
      </w:r>
      <w:r>
        <w:rPr>
          <w:color w:val="auto"/>
        </w:rPr>
        <w:t>16</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_Toc1313640819 </w:instrText>
      </w:r>
      <w:r>
        <w:rPr>
          <w:rFonts w:hint="eastAsia" w:ascii="宋体" w:hAnsi="宋体" w:eastAsia="宋体" w:cs="宋体"/>
          <w:color w:val="auto"/>
          <w:highlight w:val="none"/>
        </w:rPr>
        <w:fldChar w:fldCharType="separate"/>
      </w:r>
      <w:r>
        <w:rPr>
          <w:rFonts w:hint="eastAsia"/>
          <w:color w:val="auto"/>
          <w:spacing w:val="100"/>
        </w:rPr>
        <w:t xml:space="preserve">附录B </w:t>
      </w:r>
      <w:r>
        <w:rPr>
          <w:color w:val="auto"/>
          <w:highlight w:val="none"/>
        </w:rPr>
        <w:t xml:space="preserve"> </w:t>
      </w:r>
      <w:r>
        <w:rPr>
          <w:rFonts w:hint="eastAsia"/>
          <w:color w:val="auto"/>
          <w:highlight w:val="none"/>
        </w:rPr>
        <w:t>（规范性）</w:t>
      </w:r>
      <w:r>
        <w:rPr>
          <w:color w:val="auto"/>
          <w:highlight w:val="none"/>
        </w:rPr>
        <w:t xml:space="preserve"> </w:t>
      </w:r>
      <w:r>
        <w:rPr>
          <w:rFonts w:hint="eastAsia"/>
          <w:color w:val="auto"/>
          <w:highlight w:val="none"/>
        </w:rPr>
        <w:t>详细风险分析指标计算权重</w:t>
      </w:r>
      <w:r>
        <w:rPr>
          <w:color w:val="auto"/>
        </w:rPr>
        <w:tab/>
      </w:r>
      <w:r>
        <w:rPr>
          <w:color w:val="auto"/>
        </w:rPr>
        <w:fldChar w:fldCharType="begin"/>
      </w:r>
      <w:r>
        <w:rPr>
          <w:color w:val="auto"/>
        </w:rPr>
        <w:instrText xml:space="preserve"> PAGEREF _Toc1313640819 \h </w:instrText>
      </w:r>
      <w:r>
        <w:rPr>
          <w:color w:val="auto"/>
        </w:rPr>
        <w:fldChar w:fldCharType="separate"/>
      </w:r>
      <w:r>
        <w:rPr>
          <w:color w:val="auto"/>
        </w:rPr>
        <w:t>17</w:t>
      </w:r>
      <w:r>
        <w:rPr>
          <w:color w:val="auto"/>
        </w:rPr>
        <w:fldChar w:fldCharType="end"/>
      </w:r>
      <w:r>
        <w:rPr>
          <w:rFonts w:hint="eastAsia" w:ascii="宋体" w:hAnsi="宋体" w:eastAsia="宋体" w:cs="宋体"/>
          <w:color w:val="auto"/>
          <w:highlight w:val="none"/>
        </w:rPr>
        <w:fldChar w:fldCharType="end"/>
      </w:r>
    </w:p>
    <w:p>
      <w:pPr>
        <w:pStyle w:val="21"/>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_Toc2082484506 </w:instrText>
      </w:r>
      <w:r>
        <w:rPr>
          <w:rFonts w:hint="eastAsia" w:ascii="宋体" w:hAnsi="宋体" w:eastAsia="宋体" w:cs="宋体"/>
          <w:color w:val="auto"/>
          <w:highlight w:val="none"/>
        </w:rPr>
        <w:fldChar w:fldCharType="separate"/>
      </w:r>
      <w:r>
        <w:rPr>
          <w:rFonts w:hint="eastAsia"/>
          <w:color w:val="auto"/>
          <w:highlight w:val="none"/>
        </w:rPr>
        <w:t>参</w:t>
      </w:r>
      <w:r>
        <w:rPr>
          <w:rFonts w:hAnsi="黑体"/>
          <w:color w:val="auto"/>
          <w:highlight w:val="none"/>
        </w:rPr>
        <w:t> </w:t>
      </w:r>
      <w:r>
        <w:rPr>
          <w:rFonts w:hint="eastAsia"/>
          <w:color w:val="auto"/>
          <w:highlight w:val="none"/>
        </w:rPr>
        <w:t>考</w:t>
      </w:r>
      <w:r>
        <w:rPr>
          <w:rFonts w:hAnsi="黑体"/>
          <w:color w:val="auto"/>
          <w:highlight w:val="none"/>
        </w:rPr>
        <w:t> </w:t>
      </w:r>
      <w:r>
        <w:rPr>
          <w:rFonts w:hint="eastAsia"/>
          <w:color w:val="auto"/>
          <w:highlight w:val="none"/>
        </w:rPr>
        <w:t>文</w:t>
      </w:r>
      <w:r>
        <w:rPr>
          <w:rFonts w:hAnsi="黑体"/>
          <w:color w:val="auto"/>
          <w:highlight w:val="none"/>
        </w:rPr>
        <w:t> </w:t>
      </w:r>
      <w:r>
        <w:rPr>
          <w:rFonts w:hint="eastAsia"/>
          <w:color w:val="auto"/>
          <w:highlight w:val="none"/>
        </w:rPr>
        <w:t>献</w:t>
      </w:r>
      <w:r>
        <w:rPr>
          <w:color w:val="auto"/>
        </w:rPr>
        <w:tab/>
      </w:r>
      <w:r>
        <w:rPr>
          <w:color w:val="auto"/>
        </w:rPr>
        <w:fldChar w:fldCharType="begin"/>
      </w:r>
      <w:r>
        <w:rPr>
          <w:color w:val="auto"/>
        </w:rPr>
        <w:instrText xml:space="preserve"> PAGEREF _Toc2082484506 \h </w:instrText>
      </w:r>
      <w:r>
        <w:rPr>
          <w:color w:val="auto"/>
        </w:rPr>
        <w:fldChar w:fldCharType="separate"/>
      </w:r>
      <w:r>
        <w:rPr>
          <w:color w:val="auto"/>
        </w:rPr>
        <w:t>18</w:t>
      </w:r>
      <w:r>
        <w:rPr>
          <w:color w:val="auto"/>
        </w:rPr>
        <w:fldChar w:fldCharType="end"/>
      </w:r>
      <w:r>
        <w:rPr>
          <w:rFonts w:hint="eastAsia" w:ascii="宋体" w:hAnsi="宋体" w:eastAsia="宋体" w:cs="宋体"/>
          <w:color w:val="auto"/>
          <w:highlight w:val="none"/>
        </w:rPr>
        <w:fldChar w:fldCharType="end"/>
      </w:r>
    </w:p>
    <w:p>
      <w:pPr>
        <w:pStyle w:val="21"/>
        <w:tabs>
          <w:tab w:val="right" w:leader="dot" w:pos="9241"/>
          <w:tab w:val="clear" w:pos="9354"/>
        </w:tabs>
        <w:adjustRightInd/>
        <w:spacing w:before="78" w:beforeLines="25" w:after="78" w:afterLines="25" w:line="240" w:lineRule="auto"/>
        <w:jc w:val="left"/>
        <w:rPr>
          <w:color w:val="auto"/>
          <w:highlight w:val="none"/>
        </w:rPr>
        <w:sectPr>
          <w:headerReference r:id="rId12" w:type="default"/>
          <w:footerReference r:id="rId13" w:type="default"/>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type="lines" w:linePitch="312" w:charSpace="0"/>
        </w:sectPr>
      </w:pPr>
      <w:r>
        <w:rPr>
          <w:rFonts w:hint="eastAsia" w:ascii="宋体" w:hAnsi="宋体" w:eastAsia="宋体" w:cs="宋体"/>
          <w:color w:val="auto"/>
          <w:highlight w:val="none"/>
        </w:rPr>
        <w:fldChar w:fldCharType="end"/>
      </w:r>
    </w:p>
    <w:p>
      <w:pPr>
        <w:pStyle w:val="182"/>
        <w:spacing w:before="312" w:beforeLines="100" w:after="686" w:afterLines="220"/>
        <w:rPr>
          <w:color w:val="auto"/>
          <w:highlight w:val="none"/>
        </w:rPr>
        <w:sectPr>
          <w:headerReference r:id="rId14" w:type="default"/>
          <w:footerReference r:id="rId15" w:type="default"/>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p>
    <w:p>
      <w:pPr>
        <w:pStyle w:val="182"/>
        <w:spacing w:before="312" w:beforeLines="100" w:after="686" w:afterLines="220"/>
        <w:rPr>
          <w:color w:val="auto"/>
          <w:highlight w:val="none"/>
        </w:rPr>
      </w:pPr>
      <w:r>
        <w:rPr>
          <w:color w:val="auto"/>
          <w:highlight w:val="none"/>
        </w:rPr>
        <w:t>前</w:t>
      </w:r>
      <w:r>
        <w:rPr>
          <w:rFonts w:hint="eastAsia"/>
          <w:color w:val="auto"/>
          <w:highlight w:val="none"/>
        </w:rPr>
        <w:t xml:space="preserve">  </w:t>
      </w:r>
      <w:r>
        <w:rPr>
          <w:color w:val="auto"/>
          <w:highlight w:val="none"/>
        </w:rPr>
        <w:t>言</w:t>
      </w:r>
      <w:bookmarkEnd w:id="17"/>
    </w:p>
    <w:p>
      <w:pPr>
        <w:pStyle w:val="235"/>
        <w:rPr>
          <w:color w:val="auto"/>
          <w:highlight w:val="none"/>
        </w:rPr>
      </w:pPr>
      <w:r>
        <w:rPr>
          <w:rFonts w:hint="eastAsia"/>
          <w:color w:val="auto"/>
          <w:highlight w:val="none"/>
        </w:rPr>
        <w:t>本文件按照GB/T 1.1—2020《标准化工作导则 第1部分：标准化文件的结构和起草规则》的规定起草。</w:t>
      </w:r>
    </w:p>
    <w:p>
      <w:pPr>
        <w:pStyle w:val="235"/>
        <w:rPr>
          <w:color w:val="auto"/>
          <w:highlight w:val="none"/>
        </w:rPr>
      </w:pPr>
      <w:r>
        <w:rPr>
          <w:rFonts w:hint="eastAsia"/>
          <w:color w:val="auto"/>
          <w:highlight w:val="none"/>
        </w:rPr>
        <w:t>本文件由北京市水务局提出并归口。</w:t>
      </w:r>
    </w:p>
    <w:p>
      <w:pPr>
        <w:pStyle w:val="235"/>
        <w:rPr>
          <w:color w:val="auto"/>
          <w:highlight w:val="none"/>
        </w:rPr>
      </w:pPr>
      <w:r>
        <w:rPr>
          <w:rFonts w:hint="eastAsia"/>
          <w:color w:val="auto"/>
          <w:highlight w:val="none"/>
        </w:rPr>
        <w:t>本文件由北京市水务局组织实施。</w:t>
      </w:r>
    </w:p>
    <w:p>
      <w:pPr>
        <w:pStyle w:val="235"/>
        <w:rPr>
          <w:color w:val="auto"/>
          <w:highlight w:val="none"/>
        </w:rPr>
      </w:pPr>
      <w:r>
        <w:rPr>
          <w:rFonts w:hint="eastAsia"/>
          <w:color w:val="auto"/>
          <w:highlight w:val="none"/>
        </w:rPr>
        <w:t>本文件起草单位：北京市供水管理事务中心、北京市市政工程设计研究总院有限公司</w:t>
      </w:r>
      <w:r>
        <w:rPr>
          <w:rFonts w:hint="eastAsia"/>
          <w:color w:val="auto"/>
          <w:highlight w:val="none"/>
          <w:lang w:eastAsia="zh-CN"/>
        </w:rPr>
        <w:t>、北京市自来水集团有限责任公司、</w:t>
      </w:r>
      <w:r>
        <w:rPr>
          <w:rFonts w:hint="eastAsia"/>
          <w:color w:val="auto"/>
          <w:highlight w:val="none"/>
          <w:lang w:val="en-US" w:eastAsia="zh-CN"/>
        </w:rPr>
        <w:t>北京工业大学</w:t>
      </w:r>
      <w:r>
        <w:rPr>
          <w:rFonts w:hint="eastAsia"/>
          <w:color w:val="auto"/>
          <w:highlight w:val="none"/>
        </w:rPr>
        <w:t>。</w:t>
      </w:r>
    </w:p>
    <w:p>
      <w:pPr>
        <w:pStyle w:val="235"/>
        <w:rPr>
          <w:color w:val="auto"/>
          <w:highlight w:val="none"/>
        </w:rPr>
      </w:pPr>
      <w:r>
        <w:rPr>
          <w:rFonts w:hint="eastAsia"/>
          <w:color w:val="auto"/>
          <w:highlight w:val="none"/>
        </w:rPr>
        <w:t>本文件主要起草人：</w:t>
      </w:r>
    </w:p>
    <w:p>
      <w:pPr>
        <w:pStyle w:val="61"/>
        <w:ind w:firstLine="420"/>
        <w:rPr>
          <w:color w:val="auto"/>
          <w:highlight w:val="none"/>
        </w:rPr>
      </w:pPr>
    </w:p>
    <w:p>
      <w:pPr>
        <w:pStyle w:val="61"/>
        <w:ind w:firstLine="420"/>
        <w:rPr>
          <w:color w:val="auto"/>
          <w:highlight w:val="none"/>
        </w:rPr>
        <w:sectPr>
          <w:headerReference r:id="rId16" w:type="default"/>
          <w:footerReference r:id="rId17" w:type="default"/>
          <w:pgSz w:w="11906" w:h="16838"/>
          <w:pgMar w:top="1928" w:right="1134" w:bottom="1134" w:left="1134" w:header="1418" w:footer="1134" w:gutter="284"/>
          <w:pgBorders>
            <w:top w:val="none" w:sz="0" w:space="0"/>
            <w:left w:val="none" w:sz="0" w:space="0"/>
            <w:bottom w:val="none" w:sz="0" w:space="0"/>
            <w:right w:val="none" w:sz="0" w:space="0"/>
          </w:pgBorders>
          <w:pgNumType w:fmt="upperRoman" w:start="2"/>
          <w:cols w:space="425" w:num="1"/>
          <w:formProt w:val="0"/>
          <w:docGrid w:type="lines" w:linePitch="312" w:charSpace="0"/>
        </w:sectPr>
      </w:pPr>
    </w:p>
    <w:p>
      <w:pPr>
        <w:pStyle w:val="61"/>
        <w:ind w:firstLine="420"/>
        <w:rPr>
          <w:color w:val="auto"/>
          <w:highlight w:val="none"/>
        </w:rPr>
        <w:sectPr>
          <w:headerReference r:id="rId18" w:type="default"/>
          <w:footerReference r:id="rId19" w:type="default"/>
          <w:pgSz w:w="11906" w:h="16838"/>
          <w:pgMar w:top="1928" w:right="1134" w:bottom="1134" w:left="1134" w:header="1418"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p>
    <w:bookmarkEnd w:id="18"/>
    <w:p>
      <w:pPr>
        <w:spacing w:line="20" w:lineRule="exact"/>
        <w:jc w:val="center"/>
        <w:rPr>
          <w:rFonts w:ascii="黑体" w:hAnsi="黑体" w:eastAsia="黑体"/>
          <w:color w:val="auto"/>
          <w:sz w:val="32"/>
          <w:szCs w:val="32"/>
          <w:highlight w:val="none"/>
        </w:rPr>
      </w:pPr>
      <w:bookmarkStart w:id="19" w:name="BookMark4"/>
    </w:p>
    <w:p>
      <w:pPr>
        <w:spacing w:line="20" w:lineRule="exact"/>
        <w:jc w:val="center"/>
        <w:rPr>
          <w:rFonts w:ascii="黑体" w:hAnsi="黑体" w:eastAsia="黑体"/>
          <w:color w:val="auto"/>
          <w:sz w:val="32"/>
          <w:szCs w:val="32"/>
          <w:highlight w:val="none"/>
        </w:rPr>
      </w:pPr>
    </w:p>
    <w:sdt>
      <w:sdtPr>
        <w:rPr>
          <w:color w:val="auto"/>
          <w:highlight w:val="none"/>
        </w:rPr>
        <w:tag w:val="NEW_STAND_NAME"/>
        <w:id w:val="595910757"/>
        <w:lock w:val="sdtLocked"/>
        <w:placeholder>
          <w:docPart w:val="1154090E925E48B98E160790B0DC6926"/>
        </w:placeholder>
      </w:sdtPr>
      <w:sdtEndPr>
        <w:rPr>
          <w:color w:val="auto"/>
          <w:highlight w:val="none"/>
        </w:rPr>
      </w:sdtEndPr>
      <w:sdtContent>
        <w:p>
          <w:pPr>
            <w:pStyle w:val="182"/>
            <w:spacing w:before="312" w:beforeLines="100" w:after="686" w:afterLines="220"/>
            <w:rPr>
              <w:color w:val="auto"/>
              <w:highlight w:val="none"/>
            </w:rPr>
          </w:pPr>
          <w:bookmarkStart w:id="20" w:name="NEW_STAND_NAME"/>
          <w:r>
            <w:rPr>
              <w:rFonts w:hint="eastAsia"/>
              <w:color w:val="auto"/>
              <w:highlight w:val="none"/>
            </w:rPr>
            <w:t>城镇供水地下管线风险分析与控制技术导则</w:t>
          </w:r>
        </w:p>
      </w:sdtContent>
    </w:sdt>
    <w:bookmarkEnd w:id="20"/>
    <w:p>
      <w:pPr>
        <w:pStyle w:val="109"/>
        <w:spacing w:before="312" w:after="312"/>
        <w:rPr>
          <w:color w:val="auto"/>
          <w:highlight w:val="none"/>
        </w:rPr>
      </w:pPr>
      <w:bookmarkStart w:id="21" w:name="_Toc26986530"/>
      <w:bookmarkStart w:id="22" w:name="_Toc97191423"/>
      <w:bookmarkStart w:id="23" w:name="_Toc26718930"/>
      <w:bookmarkStart w:id="24" w:name="_Toc12201"/>
      <w:bookmarkStart w:id="25" w:name="_Toc17233325"/>
      <w:bookmarkStart w:id="26" w:name="_Toc1261623369"/>
      <w:bookmarkStart w:id="27" w:name="_Toc17233333"/>
      <w:bookmarkStart w:id="28" w:name="_Toc1390086675"/>
      <w:bookmarkStart w:id="29" w:name="_Toc1049179190"/>
      <w:bookmarkStart w:id="30" w:name="_Toc353715217"/>
      <w:bookmarkStart w:id="31" w:name="_Toc621387634"/>
      <w:bookmarkStart w:id="32" w:name="_Toc26648465"/>
      <w:bookmarkStart w:id="33" w:name="_Toc94008778"/>
      <w:bookmarkStart w:id="34" w:name="_Toc1447857754"/>
      <w:bookmarkStart w:id="35" w:name="_Toc1324608939"/>
      <w:bookmarkStart w:id="36" w:name="_Toc1333856821"/>
      <w:bookmarkStart w:id="37" w:name="_Toc1255694268"/>
      <w:bookmarkStart w:id="38" w:name="_Toc916843582"/>
      <w:bookmarkStart w:id="39" w:name="_Toc2005935619"/>
      <w:bookmarkStart w:id="40" w:name="_Toc193608445"/>
      <w:bookmarkStart w:id="41" w:name="_Toc24884211"/>
      <w:bookmarkStart w:id="42" w:name="_Toc241433913"/>
      <w:bookmarkStart w:id="43" w:name="_Toc24884218"/>
      <w:bookmarkStart w:id="44" w:name="_Toc26986771"/>
      <w:r>
        <w:rPr>
          <w:rFonts w:hint="eastAsia"/>
          <w:color w:val="auto"/>
          <w:highlight w:val="none"/>
        </w:rPr>
        <w:t>范围</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235"/>
        <w:rPr>
          <w:color w:val="auto"/>
          <w:highlight w:val="none"/>
        </w:rPr>
      </w:pPr>
      <w:bookmarkStart w:id="45" w:name="_Toc17233334"/>
      <w:bookmarkStart w:id="46" w:name="_Toc26648466"/>
      <w:bookmarkStart w:id="47" w:name="_Toc17233326"/>
      <w:bookmarkStart w:id="48" w:name="_Toc24884219"/>
      <w:bookmarkStart w:id="49" w:name="_Toc24884212"/>
      <w:r>
        <w:rPr>
          <w:rFonts w:hint="eastAsia"/>
          <w:color w:val="auto"/>
          <w:highlight w:val="none"/>
        </w:rPr>
        <w:t>本文件规定了城镇供水地下管线风险分析的基本要求、分析方法、常规风险分析、详细风险分析、专项风险分析、风险控制、风险分析报告以及信息化管理。</w:t>
      </w:r>
    </w:p>
    <w:p>
      <w:pPr>
        <w:pStyle w:val="235"/>
        <w:rPr>
          <w:color w:val="auto"/>
          <w:highlight w:val="none"/>
        </w:rPr>
      </w:pPr>
      <w:r>
        <w:rPr>
          <w:rFonts w:hint="eastAsia"/>
          <w:color w:val="auto"/>
          <w:highlight w:val="none"/>
        </w:rPr>
        <w:t>本文件适用于管径</w:t>
      </w:r>
      <w:r>
        <w:rPr>
          <w:rFonts w:hint="default"/>
          <w:color w:val="auto"/>
          <w:highlight w:val="none"/>
          <w:lang w:val="en-US"/>
        </w:rPr>
        <w:t>大于或等于</w:t>
      </w:r>
      <w:r>
        <w:rPr>
          <w:rFonts w:hint="eastAsia"/>
          <w:color w:val="auto"/>
          <w:highlight w:val="none"/>
        </w:rPr>
        <w:t>DN</w:t>
      </w:r>
      <w:r>
        <w:rPr>
          <w:rFonts w:hint="eastAsia"/>
          <w:color w:val="auto"/>
          <w:highlight w:val="none"/>
          <w:lang w:val="en-US" w:eastAsia="zh-CN"/>
        </w:rPr>
        <w:t>2</w:t>
      </w:r>
      <w:r>
        <w:rPr>
          <w:rFonts w:hint="eastAsia"/>
          <w:color w:val="auto"/>
          <w:highlight w:val="none"/>
        </w:rPr>
        <w:t>00的城镇</w:t>
      </w:r>
      <w:r>
        <w:rPr>
          <w:rFonts w:hint="eastAsia"/>
          <w:color w:val="auto"/>
          <w:highlight w:val="none"/>
          <w:lang w:val="en-US" w:eastAsia="zh-CN"/>
        </w:rPr>
        <w:t>公共</w:t>
      </w:r>
      <w:r>
        <w:rPr>
          <w:rFonts w:hint="eastAsia"/>
          <w:color w:val="auto"/>
          <w:highlight w:val="none"/>
        </w:rPr>
        <w:t>供水地下管线风险分析与风险控制，不适用于管廊内供水管线</w:t>
      </w:r>
      <w:r>
        <w:rPr>
          <w:rFonts w:ascii="Times New Roman"/>
          <w:color w:val="auto"/>
          <w:highlight w:val="none"/>
        </w:rPr>
        <w:t>。</w:t>
      </w:r>
    </w:p>
    <w:p>
      <w:pPr>
        <w:pStyle w:val="109"/>
        <w:spacing w:before="312" w:after="312"/>
        <w:rPr>
          <w:color w:val="auto"/>
          <w:highlight w:val="none"/>
        </w:rPr>
      </w:pPr>
      <w:bookmarkStart w:id="50" w:name="_Toc1233417053"/>
      <w:bookmarkStart w:id="51" w:name="_Toc1631779783"/>
      <w:bookmarkStart w:id="52" w:name="_Toc269051526"/>
      <w:bookmarkStart w:id="53" w:name="_Toc1481416941"/>
      <w:bookmarkStart w:id="54" w:name="_Toc1841321614"/>
      <w:bookmarkStart w:id="55" w:name="_Toc26986531"/>
      <w:bookmarkStart w:id="56" w:name="_Toc26718931"/>
      <w:bookmarkStart w:id="57" w:name="_Toc26986772"/>
      <w:bookmarkStart w:id="58" w:name="_Toc1551136814"/>
      <w:bookmarkStart w:id="59" w:name="_Toc1545712478"/>
      <w:bookmarkStart w:id="60" w:name="_Toc801610836"/>
      <w:bookmarkStart w:id="61" w:name="_Toc17364"/>
      <w:bookmarkStart w:id="62" w:name="_Toc1663774213"/>
      <w:bookmarkStart w:id="63" w:name="_Toc371471919"/>
      <w:bookmarkStart w:id="64" w:name="_Toc619251614"/>
      <w:bookmarkStart w:id="65" w:name="_Toc503644001"/>
      <w:bookmarkStart w:id="66" w:name="_Toc566231473"/>
      <w:bookmarkStart w:id="67" w:name="_Toc590145250"/>
      <w:bookmarkStart w:id="68" w:name="_Toc97191424"/>
      <w:r>
        <w:rPr>
          <w:rFonts w:hint="eastAsia"/>
          <w:color w:val="auto"/>
          <w:highlight w:val="none"/>
        </w:rPr>
        <w:t>规范性引用文件</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235"/>
        <w:rPr>
          <w:rFonts w:ascii="Times New Roman"/>
          <w:color w:val="auto"/>
          <w:highlight w:val="none"/>
        </w:rPr>
      </w:pPr>
      <w:r>
        <w:rPr>
          <w:rFonts w:hint="eastAsia" w:ascii="Times New Roman"/>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235"/>
        <w:rPr>
          <w:rFonts w:ascii="Times New Roman"/>
          <w:color w:val="auto"/>
          <w:highlight w:val="none"/>
        </w:rPr>
      </w:pPr>
      <w:r>
        <w:rPr>
          <w:rFonts w:hint="eastAsia" w:ascii="Times New Roman"/>
          <w:color w:val="auto"/>
          <w:highlight w:val="none"/>
        </w:rPr>
        <w:t>GB/T 21740  基础地理信息城市数据库建设规范</w:t>
      </w:r>
    </w:p>
    <w:p>
      <w:pPr>
        <w:pStyle w:val="235"/>
        <w:rPr>
          <w:rFonts w:ascii="Times New Roman"/>
          <w:color w:val="auto"/>
          <w:highlight w:val="none"/>
        </w:rPr>
      </w:pPr>
      <w:r>
        <w:rPr>
          <w:rFonts w:hint="eastAsia" w:ascii="Times New Roman"/>
          <w:color w:val="auto"/>
          <w:highlight w:val="none"/>
        </w:rPr>
        <w:t>GB/T 22239  信息安全技术网络安全等级保护基本要求</w:t>
      </w:r>
    </w:p>
    <w:p>
      <w:pPr>
        <w:pStyle w:val="235"/>
        <w:rPr>
          <w:rFonts w:hint="eastAsia" w:ascii="Times New Roman"/>
          <w:color w:val="auto"/>
          <w:highlight w:val="none"/>
        </w:rPr>
      </w:pPr>
      <w:r>
        <w:rPr>
          <w:rFonts w:hint="eastAsia" w:ascii="Times New Roman"/>
          <w:color w:val="auto"/>
          <w:highlight w:val="none"/>
        </w:rPr>
        <w:t>GB/T 22240  信息安全技术 网络安全等级保护定级指南</w:t>
      </w:r>
    </w:p>
    <w:p>
      <w:pPr>
        <w:pStyle w:val="235"/>
        <w:rPr>
          <w:rFonts w:ascii="Times New Roman"/>
          <w:color w:val="auto"/>
          <w:highlight w:val="none"/>
        </w:rPr>
      </w:pPr>
      <w:r>
        <w:rPr>
          <w:rFonts w:hint="eastAsia" w:ascii="Times New Roman"/>
          <w:color w:val="auto"/>
          <w:highlight w:val="none"/>
        </w:rPr>
        <w:t>GB 50013  室外给水设计标准</w:t>
      </w:r>
    </w:p>
    <w:p>
      <w:pPr>
        <w:pStyle w:val="235"/>
        <w:rPr>
          <w:rFonts w:hint="default" w:ascii="Times New Roman" w:eastAsia="宋体"/>
          <w:color w:val="auto"/>
          <w:highlight w:val="none"/>
          <w:lang w:val="en-US" w:eastAsia="zh-CN"/>
        </w:rPr>
      </w:pPr>
      <w:r>
        <w:rPr>
          <w:rFonts w:hint="eastAsia" w:ascii="Times New Roman"/>
          <w:color w:val="auto"/>
          <w:highlight w:val="none"/>
          <w:lang w:val="en-US" w:eastAsia="zh-CN"/>
        </w:rPr>
        <w:t xml:space="preserve">GB 50032  </w:t>
      </w:r>
      <w:r>
        <w:rPr>
          <w:rFonts w:hint="eastAsia" w:ascii="Times New Roman"/>
          <w:color w:val="auto"/>
          <w:highlight w:val="none"/>
        </w:rPr>
        <w:t>室外给水排水和燃气热力工程抗震设计规范</w:t>
      </w:r>
      <w:r>
        <w:rPr>
          <w:rFonts w:hint="eastAsia" w:ascii="Times New Roman"/>
          <w:color w:val="auto"/>
          <w:highlight w:val="none"/>
          <w:lang w:val="en-US" w:eastAsia="zh-CN"/>
        </w:rPr>
        <w:t xml:space="preserve"> </w:t>
      </w:r>
    </w:p>
    <w:p>
      <w:pPr>
        <w:pStyle w:val="235"/>
        <w:rPr>
          <w:rFonts w:ascii="Times New Roman"/>
          <w:color w:val="auto"/>
          <w:highlight w:val="none"/>
        </w:rPr>
      </w:pPr>
      <w:r>
        <w:rPr>
          <w:rFonts w:hint="eastAsia" w:ascii="Times New Roman"/>
          <w:color w:val="auto"/>
          <w:highlight w:val="none"/>
        </w:rPr>
        <w:t>GB 50332  给水排水工程管道结构设计规范</w:t>
      </w:r>
    </w:p>
    <w:p>
      <w:pPr>
        <w:pStyle w:val="235"/>
        <w:rPr>
          <w:rFonts w:hint="default" w:ascii="Times New Roman" w:eastAsia="宋体"/>
          <w:color w:val="auto"/>
          <w:highlight w:val="none"/>
          <w:lang w:val="en-US" w:eastAsia="zh-CN"/>
        </w:rPr>
      </w:pPr>
      <w:r>
        <w:rPr>
          <w:rFonts w:hint="eastAsia" w:ascii="Times New Roman"/>
          <w:color w:val="auto"/>
          <w:highlight w:val="none"/>
          <w:lang w:val="en-US" w:eastAsia="zh-CN"/>
        </w:rPr>
        <w:t xml:space="preserve">CJJ 92  </w:t>
      </w:r>
      <w:r>
        <w:rPr>
          <w:rFonts w:hint="eastAsia" w:ascii="Times New Roman"/>
          <w:color w:val="auto"/>
          <w:highlight w:val="none"/>
        </w:rPr>
        <w:t>城镇供水管网漏损控制及评定标准</w:t>
      </w:r>
    </w:p>
    <w:p>
      <w:pPr>
        <w:pStyle w:val="235"/>
        <w:rPr>
          <w:rFonts w:ascii="Times New Roman"/>
          <w:color w:val="auto"/>
          <w:highlight w:val="none"/>
        </w:rPr>
      </w:pPr>
      <w:r>
        <w:rPr>
          <w:rFonts w:hint="eastAsia" w:ascii="Times New Roman"/>
          <w:color w:val="auto"/>
          <w:highlight w:val="none"/>
        </w:rPr>
        <w:t>CJJ/T 100  城市基础地理信息系统技术标准</w:t>
      </w:r>
    </w:p>
    <w:p>
      <w:pPr>
        <w:pStyle w:val="235"/>
        <w:rPr>
          <w:rFonts w:ascii="Times New Roman"/>
          <w:color w:val="auto"/>
          <w:highlight w:val="none"/>
        </w:rPr>
      </w:pPr>
      <w:r>
        <w:rPr>
          <w:rFonts w:hint="eastAsia" w:ascii="Times New Roman"/>
          <w:color w:val="auto"/>
          <w:highlight w:val="none"/>
        </w:rPr>
        <w:t>CJJ 207  城镇供水管网运行、维护及安全技术规程</w:t>
      </w:r>
    </w:p>
    <w:p>
      <w:pPr>
        <w:pStyle w:val="109"/>
        <w:spacing w:before="312" w:after="312"/>
        <w:rPr>
          <w:color w:val="auto"/>
          <w:highlight w:val="none"/>
        </w:rPr>
      </w:pPr>
      <w:bookmarkStart w:id="69" w:name="_Toc922485289"/>
      <w:bookmarkStart w:id="70" w:name="_Toc1462013062"/>
      <w:bookmarkStart w:id="71" w:name="_Toc97191425"/>
      <w:bookmarkStart w:id="72" w:name="_Toc1265543652"/>
      <w:bookmarkStart w:id="73" w:name="_Toc1894588247"/>
      <w:bookmarkStart w:id="74" w:name="_Toc50966688"/>
      <w:bookmarkStart w:id="75" w:name="_Toc14161"/>
      <w:bookmarkStart w:id="76" w:name="_Toc1934287905"/>
      <w:bookmarkStart w:id="77" w:name="_Toc1559091462"/>
      <w:bookmarkStart w:id="78" w:name="_Toc909102927"/>
      <w:bookmarkStart w:id="79" w:name="_Toc117776570"/>
      <w:bookmarkStart w:id="80" w:name="_Toc872839679"/>
      <w:bookmarkStart w:id="81" w:name="_Toc1269959202"/>
      <w:bookmarkStart w:id="82" w:name="_Toc1594862539"/>
      <w:bookmarkStart w:id="83" w:name="_Toc1336919868"/>
      <w:bookmarkStart w:id="84" w:name="_Toc314972267"/>
      <w:r>
        <w:rPr>
          <w:rFonts w:hint="eastAsia"/>
          <w:color w:val="auto"/>
          <w:highlight w:val="none"/>
        </w:rPr>
        <w:t>术语和定义</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sdt>
      <w:sdtPr>
        <w:rPr>
          <w:color w:val="auto"/>
          <w:highlight w:val="none"/>
        </w:rPr>
        <w:id w:val="-1"/>
        <w:placeholder>
          <w:docPart w:val="A5A01930508543CFA9166729CE42554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highlight w:val="none"/>
        </w:rPr>
      </w:sdtEndPr>
      <w:sdtContent>
        <w:p>
          <w:pPr>
            <w:pStyle w:val="61"/>
            <w:ind w:firstLine="420"/>
            <w:rPr>
              <w:color w:val="auto"/>
              <w:highlight w:val="none"/>
            </w:rPr>
          </w:pPr>
          <w:bookmarkStart w:id="85" w:name="_Toc26986532"/>
          <w:bookmarkEnd w:id="85"/>
          <w:r>
            <w:rPr>
              <w:color w:val="auto"/>
              <w:highlight w:val="none"/>
            </w:rPr>
            <w:t>下列术语和定义适用于本文件。</w:t>
          </w:r>
        </w:p>
      </w:sdtContent>
    </w:sdt>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3.1</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风险 risk</w:t>
      </w:r>
    </w:p>
    <w:p>
      <w:pPr>
        <w:spacing w:line="240" w:lineRule="auto"/>
        <w:ind w:firstLine="420" w:firstLineChars="200"/>
        <w:rPr>
          <w:color w:val="auto"/>
          <w:highlight w:val="none"/>
        </w:rPr>
      </w:pPr>
      <w:r>
        <w:rPr>
          <w:rFonts w:hint="eastAsia"/>
          <w:color w:val="auto"/>
          <w:highlight w:val="none"/>
        </w:rPr>
        <w:t>供水地下管线</w:t>
      </w:r>
      <w:r>
        <w:rPr>
          <w:rFonts w:hint="eastAsia"/>
          <w:color w:val="auto"/>
          <w:highlight w:val="none"/>
          <w:lang w:val="en-US" w:eastAsia="zh-CN"/>
        </w:rPr>
        <w:t>运行阶段</w:t>
      </w:r>
      <w:r>
        <w:rPr>
          <w:rFonts w:hint="eastAsia"/>
          <w:color w:val="auto"/>
          <w:highlight w:val="none"/>
        </w:rPr>
        <w:t>发生事故的可能性与其后果严重性的组合。</w:t>
      </w:r>
    </w:p>
    <w:p>
      <w:pPr>
        <w:pStyle w:val="61"/>
        <w:ind w:firstLine="420"/>
        <w:rPr>
          <w:color w:val="auto"/>
          <w:highlight w:val="none"/>
        </w:rPr>
      </w:pPr>
      <w:r>
        <w:rPr>
          <w:rFonts w:hint="eastAsia"/>
          <w:color w:val="auto"/>
          <w:highlight w:val="none"/>
        </w:rPr>
        <w:t>[来源</w:t>
      </w:r>
      <w:r>
        <w:rPr>
          <w:color w:val="auto"/>
          <w:highlight w:val="none"/>
        </w:rPr>
        <w:t>：</w:t>
      </w:r>
      <w:r>
        <w:rPr>
          <w:rFonts w:hint="eastAsia"/>
          <w:color w:val="auto"/>
          <w:highlight w:val="none"/>
        </w:rPr>
        <w:t>GB/T 23694-2024,3.1，有修改]</w:t>
      </w:r>
      <w:r>
        <w:rPr>
          <w:color w:val="auto"/>
          <w:highlight w:val="none"/>
        </w:rPr>
        <w:t>。</w:t>
      </w:r>
    </w:p>
    <w:p>
      <w:pPr>
        <w:pStyle w:val="228"/>
        <w:numPr>
          <w:ilvl w:val="0"/>
          <w:numId w:val="0"/>
        </w:numPr>
        <w:spacing w:before="156" w:beforeLines="50" w:after="156" w:afterLines="50"/>
        <w:rPr>
          <w:rFonts w:ascii="黑体" w:hAnsi="黑体" w:eastAsia="黑体"/>
          <w:color w:val="auto"/>
          <w:highlight w:val="none"/>
        </w:rPr>
      </w:pPr>
      <w:bookmarkStart w:id="86" w:name="_Toc1610"/>
      <w:bookmarkStart w:id="87" w:name="_Toc183072694"/>
      <w:r>
        <w:rPr>
          <w:rFonts w:hint="eastAsia" w:ascii="黑体" w:hAnsi="黑体" w:eastAsia="黑体"/>
          <w:color w:val="auto"/>
          <w:highlight w:val="none"/>
        </w:rPr>
        <w:t>3.2</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风险等级 level of risk</w:t>
      </w:r>
    </w:p>
    <w:p>
      <w:pPr>
        <w:spacing w:line="240" w:lineRule="auto"/>
        <w:ind w:firstLine="452" w:firstLineChars="200"/>
        <w:rPr>
          <w:color w:val="auto"/>
          <w:spacing w:val="8"/>
          <w:highlight w:val="none"/>
        </w:rPr>
      </w:pPr>
      <w:r>
        <w:rPr>
          <w:rFonts w:hint="eastAsia"/>
          <w:color w:val="auto"/>
          <w:spacing w:val="8"/>
          <w:highlight w:val="none"/>
        </w:rPr>
        <w:t>根据供水地下管线安全风险发生可能性及其风险损失，评定风险严重程度的级别。</w:t>
      </w:r>
    </w:p>
    <w:p>
      <w:pPr>
        <w:pStyle w:val="61"/>
        <w:ind w:firstLine="420"/>
        <w:rPr>
          <w:color w:val="auto"/>
          <w:highlight w:val="none"/>
        </w:rPr>
      </w:pPr>
      <w:r>
        <w:rPr>
          <w:rFonts w:hint="eastAsia"/>
          <w:color w:val="auto"/>
          <w:highlight w:val="none"/>
        </w:rPr>
        <w:t>[来源</w:t>
      </w:r>
      <w:r>
        <w:rPr>
          <w:color w:val="auto"/>
          <w:highlight w:val="none"/>
        </w:rPr>
        <w:t>：</w:t>
      </w:r>
      <w:r>
        <w:rPr>
          <w:rFonts w:hint="eastAsia"/>
          <w:color w:val="auto"/>
          <w:highlight w:val="none"/>
        </w:rPr>
        <w:t>GB/T 23694-2024,3.3.22，有修改]。</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3.3</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风险分析 risk analysis</w:t>
      </w:r>
    </w:p>
    <w:p>
      <w:pPr>
        <w:spacing w:line="240" w:lineRule="auto"/>
        <w:ind w:firstLine="452"/>
        <w:rPr>
          <w:color w:val="auto"/>
          <w:spacing w:val="8"/>
          <w:highlight w:val="none"/>
        </w:rPr>
      </w:pPr>
      <w:r>
        <w:rPr>
          <w:rFonts w:hint="eastAsia"/>
          <w:color w:val="auto"/>
          <w:spacing w:val="8"/>
          <w:highlight w:val="none"/>
        </w:rPr>
        <w:t>对供水地下管线风险的分析和判定的全过程。</w:t>
      </w:r>
    </w:p>
    <w:p>
      <w:pPr>
        <w:pStyle w:val="235"/>
        <w:rPr>
          <w:color w:val="auto"/>
          <w:spacing w:val="8"/>
          <w:highlight w:val="none"/>
        </w:rPr>
      </w:pPr>
      <w:r>
        <w:rPr>
          <w:rFonts w:hint="eastAsia"/>
          <w:color w:val="auto"/>
          <w:highlight w:val="none"/>
        </w:rPr>
        <w:t>[来源</w:t>
      </w:r>
      <w:r>
        <w:rPr>
          <w:color w:val="auto"/>
          <w:highlight w:val="none"/>
        </w:rPr>
        <w:t>：</w:t>
      </w:r>
      <w:r>
        <w:rPr>
          <w:rFonts w:hint="eastAsia"/>
          <w:color w:val="auto"/>
          <w:highlight w:val="none"/>
        </w:rPr>
        <w:t>GB/T 23694-2024,3.3.8，有修改]</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3.4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风险控制 risk control</w:t>
      </w:r>
    </w:p>
    <w:p>
      <w:pPr>
        <w:spacing w:line="240" w:lineRule="auto"/>
        <w:ind w:firstLine="452"/>
        <w:rPr>
          <w:color w:val="auto"/>
          <w:spacing w:val="8"/>
          <w:highlight w:val="none"/>
        </w:rPr>
      </w:pPr>
      <w:r>
        <w:rPr>
          <w:rFonts w:hint="eastAsia"/>
          <w:color w:val="auto"/>
          <w:spacing w:val="8"/>
          <w:highlight w:val="none"/>
        </w:rPr>
        <w:t>根据管线风险等级，有针对性地采取降低风险发生可能性及其损失的技术和管理措施。</w:t>
      </w:r>
    </w:p>
    <w:p>
      <w:pPr>
        <w:pStyle w:val="235"/>
        <w:rPr>
          <w:color w:val="auto"/>
          <w:spacing w:val="8"/>
          <w:highlight w:val="none"/>
        </w:rPr>
      </w:pPr>
      <w:r>
        <w:rPr>
          <w:rFonts w:hint="eastAsia"/>
          <w:color w:val="auto"/>
          <w:highlight w:val="none"/>
        </w:rPr>
        <w:t>[来源</w:t>
      </w:r>
      <w:r>
        <w:rPr>
          <w:color w:val="auto"/>
          <w:highlight w:val="none"/>
        </w:rPr>
        <w:t>：</w:t>
      </w:r>
      <w:r>
        <w:rPr>
          <w:rFonts w:hint="eastAsia"/>
          <w:color w:val="auto"/>
          <w:highlight w:val="none"/>
        </w:rPr>
        <w:t>GB/T 23694-2024,3.3.33，有修改]</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3.5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管线物理属性 pipeline physical properties</w:t>
      </w:r>
    </w:p>
    <w:p>
      <w:pPr>
        <w:spacing w:line="240" w:lineRule="auto"/>
        <w:ind w:firstLine="420" w:firstLineChars="200"/>
        <w:rPr>
          <w:color w:val="auto"/>
          <w:highlight w:val="none"/>
        </w:rPr>
      </w:pPr>
      <w:r>
        <w:rPr>
          <w:rFonts w:hint="eastAsia"/>
          <w:color w:val="auto"/>
          <w:highlight w:val="none"/>
        </w:rPr>
        <w:t>供水地下管线中与管线几何尺寸、物理状态及力学性能相关的属性，包括管材、管径、管龄等表征物理特征的参数。</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3.6 </w:t>
      </w:r>
    </w:p>
    <w:p>
      <w:pPr>
        <w:ind w:firstLine="420" w:firstLineChars="200"/>
        <w:rPr>
          <w:rFonts w:ascii="黑体" w:eastAsia="黑体"/>
          <w:color w:val="auto"/>
          <w:kern w:val="0"/>
          <w:szCs w:val="20"/>
          <w:highlight w:val="none"/>
        </w:rPr>
      </w:pPr>
      <w:r>
        <w:rPr>
          <w:rFonts w:hint="eastAsia" w:ascii="黑体" w:eastAsia="黑体"/>
          <w:color w:val="auto"/>
          <w:kern w:val="0"/>
          <w:szCs w:val="20"/>
          <w:highlight w:val="none"/>
        </w:rPr>
        <w:t>管线周边环境 pipeline surroundings</w:t>
      </w:r>
    </w:p>
    <w:p>
      <w:pPr>
        <w:spacing w:line="240" w:lineRule="auto"/>
        <w:ind w:firstLine="420" w:firstLineChars="200"/>
        <w:rPr>
          <w:color w:val="auto"/>
          <w:highlight w:val="none"/>
        </w:rPr>
      </w:pPr>
      <w:r>
        <w:rPr>
          <w:rFonts w:hint="eastAsia"/>
          <w:color w:val="auto"/>
          <w:highlight w:val="none"/>
        </w:rPr>
        <w:t>供水地下管线所在位置的道路等级、覆土深度、地面性质、土体腐蚀性、周边扰动、临时堆载等表征管线埋设环境的参数。</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3.7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lang w:eastAsia="zh-CN"/>
        </w:rPr>
        <w:t>管线运行维护</w:t>
      </w:r>
      <w:r>
        <w:rPr>
          <w:rFonts w:hint="eastAsia" w:ascii="黑体" w:eastAsia="黑体"/>
          <w:color w:val="auto"/>
          <w:kern w:val="0"/>
          <w:szCs w:val="20"/>
          <w:highlight w:val="none"/>
        </w:rPr>
        <w:t xml:space="preserve"> pipeline operation and maintenance</w:t>
      </w:r>
    </w:p>
    <w:p>
      <w:pPr>
        <w:spacing w:line="240" w:lineRule="auto"/>
        <w:ind w:firstLine="420" w:firstLineChars="200"/>
        <w:rPr>
          <w:color w:val="auto"/>
          <w:highlight w:val="none"/>
        </w:rPr>
      </w:pPr>
      <w:r>
        <w:rPr>
          <w:rFonts w:hint="eastAsia"/>
          <w:color w:val="auto"/>
          <w:highlight w:val="none"/>
        </w:rPr>
        <w:t>供水地下管线</w:t>
      </w:r>
      <w:r>
        <w:rPr>
          <w:rFonts w:hint="eastAsia"/>
          <w:color w:val="auto"/>
          <w:highlight w:val="none"/>
          <w:lang w:val="en-US" w:eastAsia="zh-CN"/>
        </w:rPr>
        <w:t>近五年漏损总次数</w:t>
      </w:r>
      <w:r>
        <w:rPr>
          <w:rFonts w:hint="eastAsia"/>
          <w:color w:val="auto"/>
          <w:highlight w:val="none"/>
        </w:rPr>
        <w:t>、运行压力稳定状态、巡检周期等表征其历史漏损情况与维护状态的参数。</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3.8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常规风险分析 routine risk analysis</w:t>
      </w:r>
    </w:p>
    <w:p>
      <w:pPr>
        <w:spacing w:line="240" w:lineRule="auto"/>
        <w:ind w:firstLine="420" w:firstLineChars="200"/>
        <w:rPr>
          <w:color w:val="auto"/>
          <w:highlight w:val="none"/>
        </w:rPr>
      </w:pPr>
      <w:r>
        <w:rPr>
          <w:rFonts w:hint="eastAsia"/>
          <w:color w:val="auto"/>
          <w:highlight w:val="none"/>
        </w:rPr>
        <w:t>利用收集的供水管线物理属性、管线周边环境和管线运维状态等数据信息，进行风险分析。</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3.9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详细风险分析 detailed risk analysis</w:t>
      </w:r>
    </w:p>
    <w:p>
      <w:pPr>
        <w:spacing w:line="240" w:lineRule="auto"/>
        <w:ind w:firstLine="420" w:firstLineChars="200"/>
        <w:rPr>
          <w:color w:val="auto"/>
          <w:highlight w:val="none"/>
        </w:rPr>
      </w:pPr>
      <w:r>
        <w:rPr>
          <w:rFonts w:hint="eastAsia"/>
          <w:color w:val="auto"/>
          <w:highlight w:val="none"/>
        </w:rPr>
        <w:t>以管线的常规风险分析的数据为基础，扩展获取管线的运维数据、竣工资料和现场调查或检测数据进行的风险分析。</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3.10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专项风险分析 special risk analysis</w:t>
      </w:r>
    </w:p>
    <w:p>
      <w:pPr>
        <w:spacing w:line="240" w:lineRule="auto"/>
        <w:ind w:firstLine="420" w:firstLineChars="200"/>
        <w:rPr>
          <w:color w:val="auto"/>
          <w:highlight w:val="none"/>
        </w:rPr>
      </w:pPr>
      <w:r>
        <w:rPr>
          <w:rFonts w:hint="eastAsia"/>
          <w:color w:val="auto"/>
          <w:highlight w:val="none"/>
        </w:rPr>
        <w:t>针对存在邻近工程建设活动影响、举办重要活动等有保护性要求的区域或存在事故灾害风险的管线，通过技术测试和现场调查等手段获取供水管线现场数据开展的风险分析。</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3.11</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lang w:val="en-US" w:eastAsia="zh-CN"/>
        </w:rPr>
        <w:t>基本</w:t>
      </w:r>
      <w:r>
        <w:rPr>
          <w:rFonts w:hint="eastAsia" w:ascii="黑体" w:eastAsia="黑体"/>
          <w:color w:val="auto"/>
          <w:kern w:val="0"/>
          <w:szCs w:val="20"/>
          <w:highlight w:val="none"/>
        </w:rPr>
        <w:t>分析单元 analysis unit</w:t>
      </w:r>
    </w:p>
    <w:p>
      <w:pPr>
        <w:spacing w:line="240" w:lineRule="auto"/>
        <w:ind w:firstLine="420" w:firstLineChars="200"/>
        <w:rPr>
          <w:color w:val="auto"/>
          <w:highlight w:val="none"/>
        </w:rPr>
      </w:pPr>
      <w:r>
        <w:rPr>
          <w:rFonts w:hint="eastAsia"/>
          <w:color w:val="auto"/>
          <w:highlight w:val="none"/>
        </w:rPr>
        <w:t>对</w:t>
      </w:r>
      <w:r>
        <w:rPr>
          <w:rFonts w:hint="eastAsia"/>
          <w:color w:val="auto"/>
          <w:highlight w:val="none"/>
          <w:lang w:eastAsia="zh-CN"/>
        </w:rPr>
        <w:t>城镇</w:t>
      </w:r>
      <w:r>
        <w:rPr>
          <w:rFonts w:hint="eastAsia"/>
          <w:color w:val="auto"/>
          <w:highlight w:val="none"/>
        </w:rPr>
        <w:t>供水地下管线进行全风险分析时，根据管线所属区域、物理属性、接口位置等因素划分的最小管线长度。</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3.12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层次分析法 analytic hierarchy process</w:t>
      </w:r>
    </w:p>
    <w:p>
      <w:pPr>
        <w:spacing w:line="240" w:lineRule="auto"/>
        <w:ind w:firstLine="420" w:firstLineChars="200"/>
        <w:rPr>
          <w:color w:val="auto"/>
          <w:highlight w:val="none"/>
        </w:rPr>
      </w:pPr>
      <w:bookmarkStart w:id="88" w:name="OLE_LINK52"/>
      <w:bookmarkStart w:id="89" w:name="OLE_LINK53"/>
      <w:r>
        <w:rPr>
          <w:rFonts w:hint="eastAsia"/>
          <w:color w:val="auto"/>
          <w:highlight w:val="none"/>
        </w:rPr>
        <w:t>将与决策有关的元素分解成目标、准则、方案等层次，在此基础上进行定性和定量分析的决策方法。</w:t>
      </w:r>
    </w:p>
    <w:p>
      <w:pPr>
        <w:pStyle w:val="235"/>
        <w:rPr>
          <w:color w:val="auto"/>
          <w:highlight w:val="none"/>
        </w:rPr>
      </w:pPr>
      <w:r>
        <w:rPr>
          <w:rFonts w:hint="eastAsia"/>
          <w:color w:val="auto"/>
          <w:highlight w:val="none"/>
        </w:rPr>
        <w:t>[来源</w:t>
      </w:r>
      <w:r>
        <w:rPr>
          <w:color w:val="auto"/>
          <w:highlight w:val="none"/>
        </w:rPr>
        <w:t>：</w:t>
      </w:r>
      <w:r>
        <w:rPr>
          <w:rFonts w:hint="eastAsia"/>
          <w:color w:val="auto"/>
          <w:highlight w:val="none"/>
        </w:rPr>
        <w:t>GB/T 44548—2024,3.1.7]</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3.13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风险发生可能性 risk probability</w:t>
      </w:r>
    </w:p>
    <w:p>
      <w:pPr>
        <w:spacing w:line="240" w:lineRule="auto"/>
        <w:ind w:firstLine="420" w:firstLineChars="200"/>
        <w:rPr>
          <w:color w:val="auto"/>
          <w:highlight w:val="none"/>
        </w:rPr>
      </w:pPr>
      <w:bookmarkStart w:id="90" w:name="_Hlk108249277"/>
      <w:r>
        <w:rPr>
          <w:rFonts w:hint="eastAsia"/>
          <w:color w:val="auto"/>
          <w:highlight w:val="none"/>
        </w:rPr>
        <w:t>供水地下管线发生风险事件的</w:t>
      </w:r>
      <w:bookmarkEnd w:id="90"/>
      <w:r>
        <w:rPr>
          <w:rFonts w:hint="eastAsia"/>
          <w:color w:val="auto"/>
          <w:highlight w:val="none"/>
        </w:rPr>
        <w:t>概率。</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3.14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失效后果严重性 failure consequence severity</w:t>
      </w:r>
    </w:p>
    <w:p>
      <w:pPr>
        <w:spacing w:line="240" w:lineRule="auto"/>
        <w:ind w:firstLine="420" w:firstLineChars="200"/>
        <w:rPr>
          <w:color w:val="auto"/>
          <w:highlight w:val="none"/>
        </w:rPr>
      </w:pPr>
      <w:r>
        <w:rPr>
          <w:rFonts w:hint="eastAsia"/>
          <w:color w:val="auto"/>
          <w:highlight w:val="none"/>
        </w:rPr>
        <w:t>由失效所引发的人员伤亡、环境恶化、经济损失以及社会影响等后果的严重程度。</w:t>
      </w:r>
    </w:p>
    <w:p>
      <w:pPr>
        <w:pStyle w:val="235"/>
        <w:rPr>
          <w:color w:val="auto"/>
          <w:highlight w:val="none"/>
        </w:rPr>
      </w:pPr>
      <w:r>
        <w:rPr>
          <w:rFonts w:hint="eastAsia"/>
          <w:color w:val="auto"/>
          <w:highlight w:val="none"/>
        </w:rPr>
        <w:t>[来源</w:t>
      </w:r>
      <w:r>
        <w:rPr>
          <w:color w:val="auto"/>
          <w:highlight w:val="none"/>
        </w:rPr>
        <w:t>：</w:t>
      </w:r>
      <w:r>
        <w:rPr>
          <w:rFonts w:hint="eastAsia"/>
          <w:color w:val="auto"/>
          <w:highlight w:val="none"/>
        </w:rPr>
        <w:t>GB/T 44548—2024,3.1.6]</w:t>
      </w:r>
    </w:p>
    <w:bookmarkEnd w:id="88"/>
    <w:bookmarkEnd w:id="89"/>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3.15 </w:t>
      </w:r>
    </w:p>
    <w:p>
      <w:pPr>
        <w:spacing w:line="240" w:lineRule="auto"/>
        <w:ind w:firstLine="420" w:firstLineChars="200"/>
        <w:rPr>
          <w:rFonts w:ascii="黑体" w:eastAsia="黑体"/>
          <w:color w:val="auto"/>
          <w:kern w:val="0"/>
          <w:szCs w:val="20"/>
          <w:highlight w:val="none"/>
        </w:rPr>
      </w:pPr>
      <w:bookmarkStart w:id="91" w:name="OLE_LINK28"/>
      <w:bookmarkStart w:id="92" w:name="OLE_LINK29"/>
      <w:r>
        <w:rPr>
          <w:rFonts w:hint="eastAsia" w:ascii="黑体" w:eastAsia="黑体"/>
          <w:color w:val="auto"/>
          <w:kern w:val="0"/>
          <w:szCs w:val="20"/>
          <w:highlight w:val="none"/>
        </w:rPr>
        <w:t>剩余承载能力</w:t>
      </w:r>
      <w:bookmarkEnd w:id="91"/>
      <w:bookmarkEnd w:id="92"/>
      <w:r>
        <w:rPr>
          <w:rFonts w:hint="eastAsia" w:ascii="黑体" w:eastAsia="黑体"/>
          <w:color w:val="auto"/>
          <w:kern w:val="0"/>
          <w:szCs w:val="20"/>
          <w:highlight w:val="none"/>
        </w:rPr>
        <w:t xml:space="preserve"> residual bearing capacity</w:t>
      </w:r>
    </w:p>
    <w:p>
      <w:pPr>
        <w:spacing w:line="240" w:lineRule="auto"/>
        <w:ind w:firstLine="420" w:firstLineChars="200"/>
        <w:rPr>
          <w:color w:val="auto"/>
          <w:highlight w:val="none"/>
        </w:rPr>
      </w:pPr>
      <w:r>
        <w:rPr>
          <w:rFonts w:hint="eastAsia"/>
          <w:color w:val="auto"/>
          <w:highlight w:val="none"/>
        </w:rPr>
        <w:t>管线</w:t>
      </w:r>
      <w:r>
        <w:rPr>
          <w:color w:val="auto"/>
          <w:highlight w:val="none"/>
        </w:rPr>
        <w:t>运行一定时间后实际具有的承载能力和整体稳定能力。</w:t>
      </w:r>
    </w:p>
    <w:p>
      <w:pPr>
        <w:pStyle w:val="228"/>
        <w:numPr>
          <w:ilvl w:val="0"/>
          <w:numId w:val="0"/>
        </w:numPr>
        <w:spacing w:before="156" w:beforeLines="50" w:after="156" w:afterLines="50"/>
        <w:rPr>
          <w:rFonts w:ascii="黑体" w:hAnsi="黑体" w:eastAsia="黑体"/>
          <w:color w:val="auto"/>
          <w:highlight w:val="none"/>
        </w:rPr>
      </w:pPr>
      <w:bookmarkStart w:id="93" w:name="OLE_LINK31"/>
      <w:r>
        <w:rPr>
          <w:rFonts w:hint="eastAsia" w:ascii="黑体" w:hAnsi="黑体" w:eastAsia="黑体"/>
          <w:color w:val="auto"/>
          <w:highlight w:val="none"/>
        </w:rPr>
        <w:t>3.16</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剩余变形能力</w:t>
      </w:r>
      <w:bookmarkEnd w:id="93"/>
      <w:r>
        <w:rPr>
          <w:rFonts w:hint="eastAsia" w:ascii="黑体" w:eastAsia="黑体"/>
          <w:color w:val="auto"/>
          <w:kern w:val="0"/>
          <w:szCs w:val="20"/>
          <w:highlight w:val="none"/>
        </w:rPr>
        <w:t xml:space="preserve"> residual deformation capacity</w:t>
      </w:r>
    </w:p>
    <w:p>
      <w:pPr>
        <w:spacing w:line="240" w:lineRule="auto"/>
        <w:ind w:firstLine="420" w:firstLineChars="200"/>
        <w:rPr>
          <w:color w:val="auto"/>
          <w:highlight w:val="none"/>
        </w:rPr>
      </w:pPr>
      <w:r>
        <w:rPr>
          <w:rFonts w:hint="eastAsia"/>
          <w:color w:val="auto"/>
          <w:highlight w:val="none"/>
        </w:rPr>
        <w:t>管线</w:t>
      </w:r>
      <w:r>
        <w:rPr>
          <w:color w:val="auto"/>
          <w:highlight w:val="none"/>
        </w:rPr>
        <w:t>运行一定时间后实际具有</w:t>
      </w:r>
      <w:r>
        <w:rPr>
          <w:rFonts w:hint="eastAsia"/>
          <w:color w:val="auto"/>
          <w:highlight w:val="none"/>
        </w:rPr>
        <w:t>允许整体或接口变形量、允许裂缝宽度等变形能力</w:t>
      </w:r>
      <w:r>
        <w:rPr>
          <w:color w:val="auto"/>
          <w:highlight w:val="none"/>
        </w:rPr>
        <w:t>。</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3.17</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剩余能力 residual capacity</w:t>
      </w:r>
    </w:p>
    <w:p>
      <w:pPr>
        <w:spacing w:line="240" w:lineRule="auto"/>
        <w:ind w:firstLine="420" w:firstLineChars="200"/>
        <w:rPr>
          <w:color w:val="auto"/>
          <w:highlight w:val="none"/>
        </w:rPr>
      </w:pPr>
      <w:r>
        <w:rPr>
          <w:color w:val="auto"/>
          <w:highlight w:val="none"/>
        </w:rPr>
        <w:t>城镇市政</w:t>
      </w:r>
      <w:r>
        <w:rPr>
          <w:rFonts w:hint="eastAsia"/>
          <w:color w:val="auto"/>
          <w:highlight w:val="none"/>
        </w:rPr>
        <w:t>管线</w:t>
      </w:r>
      <w:r>
        <w:rPr>
          <w:color w:val="auto"/>
          <w:highlight w:val="none"/>
        </w:rPr>
        <w:t>具有的安全性、使用性和耐久性冗余度，包括剩余承载能力和剩余变形能力。</w:t>
      </w:r>
    </w:p>
    <w:p>
      <w:pPr>
        <w:pStyle w:val="228"/>
        <w:numPr>
          <w:ilvl w:val="0"/>
          <w:numId w:val="0"/>
        </w:numPr>
        <w:spacing w:before="156" w:beforeLines="50" w:after="156" w:afterLines="50"/>
        <w:rPr>
          <w:rFonts w:ascii="黑体" w:hAnsi="黑体" w:eastAsia="黑体"/>
          <w:color w:val="auto"/>
          <w:highlight w:val="none"/>
        </w:rPr>
      </w:pPr>
      <w:r>
        <w:rPr>
          <w:rFonts w:hint="eastAsia" w:ascii="黑体" w:hAnsi="黑体" w:eastAsia="黑体"/>
          <w:color w:val="auto"/>
          <w:highlight w:val="none"/>
        </w:rPr>
        <w:t xml:space="preserve">3.18 </w:t>
      </w:r>
    </w:p>
    <w:p>
      <w:pPr>
        <w:spacing w:line="240" w:lineRule="auto"/>
        <w:ind w:firstLine="420" w:firstLineChars="200"/>
        <w:rPr>
          <w:rFonts w:ascii="黑体" w:eastAsia="黑体"/>
          <w:color w:val="auto"/>
          <w:kern w:val="0"/>
          <w:szCs w:val="20"/>
          <w:highlight w:val="none"/>
        </w:rPr>
      </w:pPr>
      <w:r>
        <w:rPr>
          <w:rFonts w:hint="eastAsia" w:ascii="黑体" w:eastAsia="黑体"/>
          <w:color w:val="auto"/>
          <w:kern w:val="0"/>
          <w:szCs w:val="20"/>
          <w:highlight w:val="none"/>
        </w:rPr>
        <w:t>剩余能力法 remaining ability</w:t>
      </w:r>
    </w:p>
    <w:p>
      <w:pPr>
        <w:spacing w:line="240" w:lineRule="auto"/>
        <w:ind w:firstLine="420" w:firstLineChars="200"/>
        <w:rPr>
          <w:rFonts w:ascii="黑体"/>
          <w:color w:val="auto"/>
          <w:kern w:val="0"/>
          <w:szCs w:val="20"/>
          <w:highlight w:val="none"/>
        </w:rPr>
      </w:pPr>
      <w:r>
        <w:rPr>
          <w:rFonts w:hint="eastAsia"/>
          <w:color w:val="auto"/>
          <w:highlight w:val="none"/>
        </w:rPr>
        <w:t>通过管线的实际效应的计算和检测数据，综合判定管线的剩余能力并确定风险等级的分析方法。</w:t>
      </w:r>
    </w:p>
    <w:p>
      <w:pPr>
        <w:pStyle w:val="109"/>
        <w:spacing w:before="312" w:after="312"/>
        <w:rPr>
          <w:color w:val="auto"/>
          <w:highlight w:val="none"/>
        </w:rPr>
      </w:pPr>
      <w:bookmarkStart w:id="94" w:name="_Toc659932389"/>
      <w:bookmarkStart w:id="95" w:name="_Toc1567811833"/>
      <w:bookmarkStart w:id="96" w:name="_Toc1128780098"/>
      <w:bookmarkStart w:id="97" w:name="_Toc526353939"/>
      <w:bookmarkStart w:id="98" w:name="_Toc1213497802"/>
      <w:bookmarkStart w:id="99" w:name="_Toc1589086876"/>
      <w:bookmarkStart w:id="100" w:name="_Toc652416659"/>
      <w:bookmarkStart w:id="101" w:name="_Toc530763628"/>
      <w:bookmarkStart w:id="102" w:name="_Toc2107809677"/>
      <w:bookmarkStart w:id="103" w:name="_Toc1362931024"/>
      <w:bookmarkStart w:id="104" w:name="_Toc592149316"/>
      <w:bookmarkStart w:id="105" w:name="_Toc1680467903"/>
      <w:r>
        <w:rPr>
          <w:rFonts w:hint="eastAsia"/>
          <w:color w:val="auto"/>
          <w:highlight w:val="none"/>
        </w:rPr>
        <w:t>基本要求</w:t>
      </w:r>
      <w:bookmarkEnd w:id="94"/>
      <w:bookmarkEnd w:id="95"/>
      <w:bookmarkEnd w:id="96"/>
      <w:bookmarkEnd w:id="97"/>
      <w:bookmarkEnd w:id="98"/>
      <w:bookmarkEnd w:id="99"/>
      <w:bookmarkEnd w:id="100"/>
      <w:bookmarkEnd w:id="101"/>
      <w:bookmarkEnd w:id="102"/>
      <w:bookmarkEnd w:id="103"/>
      <w:bookmarkEnd w:id="104"/>
      <w:bookmarkEnd w:id="105"/>
    </w:p>
    <w:p>
      <w:pPr>
        <w:pStyle w:val="228"/>
        <w:numPr>
          <w:ilvl w:val="0"/>
          <w:numId w:val="0"/>
        </w:numPr>
        <w:spacing w:before="156" w:beforeLines="50" w:after="156" w:afterLines="50"/>
        <w:rPr>
          <w:rFonts w:ascii="黑体" w:hAnsi="黑体" w:eastAsia="黑体"/>
          <w:color w:val="auto"/>
          <w:highlight w:val="none"/>
        </w:rPr>
      </w:pPr>
      <w:bookmarkStart w:id="106" w:name="_Toc454463237"/>
      <w:bookmarkStart w:id="107" w:name="_Toc1749224527"/>
      <w:bookmarkStart w:id="108" w:name="_Toc1118779990"/>
      <w:bookmarkStart w:id="109" w:name="_Toc458685206"/>
      <w:r>
        <w:rPr>
          <w:rFonts w:hint="eastAsia" w:ascii="黑体" w:hAnsi="黑体" w:eastAsia="黑体"/>
          <w:color w:val="auto"/>
          <w:highlight w:val="none"/>
        </w:rPr>
        <w:t>4.1  一般要求</w:t>
      </w:r>
      <w:bookmarkEnd w:id="106"/>
      <w:bookmarkEnd w:id="107"/>
      <w:bookmarkEnd w:id="108"/>
      <w:bookmarkEnd w:id="109"/>
    </w:p>
    <w:p>
      <w:pPr>
        <w:pStyle w:val="235"/>
        <w:ind w:firstLine="0" w:firstLineChars="0"/>
        <w:rPr>
          <w:color w:val="auto"/>
          <w:highlight w:val="none"/>
        </w:rPr>
      </w:pPr>
      <w:r>
        <w:rPr>
          <w:rFonts w:hint="eastAsia"/>
          <w:color w:val="auto"/>
          <w:highlight w:val="none"/>
        </w:rPr>
        <w:t>4.1.1  城镇供水地下管线安全风险分析分为常规风险分析、详细风险分析和专项风险分析。</w:t>
      </w:r>
    </w:p>
    <w:p>
      <w:pPr>
        <w:spacing w:line="240" w:lineRule="auto"/>
        <w:rPr>
          <w:rFonts w:ascii="宋体" w:hAnsi="Times New Roman"/>
          <w:color w:val="auto"/>
          <w:kern w:val="0"/>
          <w:szCs w:val="20"/>
          <w:highlight w:val="none"/>
        </w:rPr>
      </w:pPr>
      <w:r>
        <w:rPr>
          <w:rFonts w:hint="eastAsia" w:ascii="宋体" w:hAnsi="Times New Roman"/>
          <w:color w:val="auto"/>
          <w:kern w:val="0"/>
          <w:szCs w:val="20"/>
          <w:highlight w:val="none"/>
        </w:rPr>
        <w:t>4.1.2  常规风险分析适用于供水企业获取供水地下管线的安全风险基本状态，指导开展管网风险排查和漏损控制，供水管网运行管理单位应每年开展1次。</w:t>
      </w:r>
    </w:p>
    <w:p>
      <w:pPr>
        <w:spacing w:line="240" w:lineRule="auto"/>
        <w:rPr>
          <w:rFonts w:ascii="宋体" w:hAnsi="Times New Roman"/>
          <w:color w:val="auto"/>
          <w:kern w:val="0"/>
          <w:szCs w:val="20"/>
          <w:highlight w:val="none"/>
        </w:rPr>
      </w:pPr>
      <w:r>
        <w:rPr>
          <w:rFonts w:hint="eastAsia" w:ascii="宋体" w:hAnsi="Times New Roman"/>
          <w:color w:val="auto"/>
          <w:kern w:val="0"/>
          <w:szCs w:val="20"/>
          <w:highlight w:val="none"/>
        </w:rPr>
        <w:t>4.1.3  详细风险分析适用于供水企业针对常规风险</w:t>
      </w:r>
      <w:r>
        <w:rPr>
          <w:rFonts w:hint="eastAsia" w:ascii="宋体" w:hAnsi="Times New Roman"/>
          <w:color w:val="auto"/>
          <w:kern w:val="0"/>
          <w:szCs w:val="20"/>
          <w:highlight w:val="none"/>
          <w:lang w:val="en-US" w:eastAsia="zh-CN"/>
        </w:rPr>
        <w:t>分析评定为</w:t>
      </w:r>
      <w:r>
        <w:rPr>
          <w:rFonts w:hint="default" w:ascii="Times New Roman" w:hAnsi="Times New Roman"/>
          <w:color w:val="auto"/>
          <w:kern w:val="0"/>
          <w:szCs w:val="20"/>
          <w:highlight w:val="none"/>
        </w:rPr>
        <w:t>Ⅰ</w:t>
      </w:r>
      <w:r>
        <w:rPr>
          <w:rFonts w:hint="eastAsia" w:ascii="宋体" w:hAnsi="Times New Roman"/>
          <w:color w:val="auto"/>
          <w:kern w:val="0"/>
          <w:szCs w:val="20"/>
          <w:highlight w:val="none"/>
        </w:rPr>
        <w:t>级和</w:t>
      </w:r>
      <w:r>
        <w:rPr>
          <w:rFonts w:hint="default" w:ascii="Times New Roman" w:hAnsi="Times New Roman"/>
          <w:color w:val="auto"/>
          <w:kern w:val="0"/>
          <w:szCs w:val="20"/>
          <w:highlight w:val="none"/>
        </w:rPr>
        <w:t>Ⅱ</w:t>
      </w:r>
      <w:r>
        <w:rPr>
          <w:rFonts w:hint="eastAsia" w:ascii="宋体" w:hAnsi="Times New Roman"/>
          <w:color w:val="auto"/>
          <w:kern w:val="0"/>
          <w:szCs w:val="20"/>
          <w:highlight w:val="none"/>
        </w:rPr>
        <w:t>级的供水管线开展管网精细化管理，指导管网更新改造计划的制定和实施，供水管网运行管理单位应每5年开展1次。</w:t>
      </w:r>
    </w:p>
    <w:p>
      <w:pPr>
        <w:spacing w:line="240" w:lineRule="auto"/>
        <w:rPr>
          <w:rFonts w:ascii="宋体" w:hAnsi="宋体"/>
          <w:color w:val="auto"/>
          <w:kern w:val="0"/>
          <w:highlight w:val="none"/>
        </w:rPr>
      </w:pPr>
      <w:r>
        <w:rPr>
          <w:rFonts w:hint="eastAsia" w:ascii="宋体" w:hAnsi="Times New Roman"/>
          <w:color w:val="auto"/>
          <w:kern w:val="0"/>
          <w:szCs w:val="20"/>
          <w:highlight w:val="none"/>
        </w:rPr>
        <w:t>4.1.4  专项风险分析适用于对特定区域或特定条件供水管线开展安全保护、隐患消除等专项工作。遇到以下情况</w:t>
      </w:r>
      <w:r>
        <w:rPr>
          <w:rFonts w:hint="eastAsia" w:ascii="宋体" w:hAnsi="宋体"/>
          <w:color w:val="auto"/>
          <w:kern w:val="0"/>
          <w:highlight w:val="none"/>
        </w:rPr>
        <w:t>时，应适时进行专项风险分析：</w:t>
      </w:r>
    </w:p>
    <w:p>
      <w:pPr>
        <w:spacing w:line="240" w:lineRule="auto"/>
        <w:ind w:firstLine="420" w:firstLineChars="200"/>
        <w:rPr>
          <w:rFonts w:hint="eastAsia" w:ascii="宋体" w:hAnsi="宋体"/>
          <w:color w:val="auto"/>
          <w:kern w:val="0"/>
          <w:highlight w:val="none"/>
        </w:rPr>
      </w:pPr>
      <w:r>
        <w:rPr>
          <w:rFonts w:hint="eastAsia" w:ascii="宋体" w:hAnsi="宋体"/>
          <w:color w:val="auto"/>
          <w:kern w:val="0"/>
          <w:highlight w:val="none"/>
        </w:rPr>
        <w:t>—— 管线发生爆管；</w:t>
      </w:r>
    </w:p>
    <w:p>
      <w:pPr>
        <w:spacing w:line="240" w:lineRule="auto"/>
        <w:ind w:firstLine="420" w:firstLineChars="200"/>
        <w:rPr>
          <w:rFonts w:hint="eastAsia" w:ascii="宋体" w:hAnsi="宋体"/>
          <w:color w:val="auto"/>
          <w:kern w:val="0"/>
          <w:highlight w:val="none"/>
        </w:rPr>
      </w:pPr>
      <w:r>
        <w:rPr>
          <w:rFonts w:hint="eastAsia" w:ascii="宋体" w:hAnsi="宋体"/>
          <w:color w:val="auto"/>
          <w:kern w:val="0"/>
          <w:highlight w:val="none"/>
        </w:rPr>
        <w:t>——周边环境存在邻近工程建设或施工活动；</w:t>
      </w:r>
    </w:p>
    <w:p>
      <w:pPr>
        <w:spacing w:line="240" w:lineRule="auto"/>
        <w:ind w:firstLine="420" w:firstLineChars="200"/>
        <w:rPr>
          <w:rFonts w:hint="eastAsia" w:ascii="宋体" w:hAnsi="宋体"/>
          <w:color w:val="auto"/>
          <w:kern w:val="0"/>
          <w:highlight w:val="none"/>
        </w:rPr>
      </w:pPr>
      <w:r>
        <w:rPr>
          <w:rFonts w:hint="eastAsia" w:ascii="宋体" w:hAnsi="宋体"/>
          <w:color w:val="auto"/>
          <w:kern w:val="0"/>
          <w:highlight w:val="none"/>
        </w:rPr>
        <w:t>——存在管线穿越、交叉施工等可能影响管线安全的作业活动；</w:t>
      </w:r>
    </w:p>
    <w:p>
      <w:pPr>
        <w:spacing w:line="240" w:lineRule="auto"/>
        <w:ind w:firstLine="420" w:firstLineChars="200"/>
        <w:rPr>
          <w:rFonts w:ascii="宋体" w:hAnsi="宋体"/>
          <w:color w:val="auto"/>
          <w:kern w:val="0"/>
          <w:highlight w:val="none"/>
        </w:rPr>
      </w:pPr>
      <w:r>
        <w:rPr>
          <w:rFonts w:hint="eastAsia" w:ascii="宋体" w:hAnsi="宋体"/>
          <w:color w:val="auto"/>
          <w:kern w:val="0"/>
          <w:highlight w:val="none"/>
        </w:rPr>
        <w:t>—— 举办重大活动等有保护性要求的区域。</w:t>
      </w:r>
    </w:p>
    <w:p>
      <w:pPr>
        <w:spacing w:line="240" w:lineRule="auto"/>
        <w:rPr>
          <w:rFonts w:ascii="黑体" w:hAnsi="黑体" w:eastAsia="黑体" w:cs="黑体"/>
          <w:color w:val="auto"/>
          <w:kern w:val="0"/>
          <w:highlight w:val="none"/>
        </w:rPr>
      </w:pPr>
      <w:r>
        <w:rPr>
          <w:rFonts w:hint="eastAsia" w:ascii="宋体" w:hAnsi="Times New Roman"/>
          <w:color w:val="auto"/>
          <w:kern w:val="0"/>
          <w:szCs w:val="20"/>
          <w:highlight w:val="none"/>
        </w:rPr>
        <w:t>4.1.5  当不同风险分析结论不一致时，应以分析深度更高的结论为准，具体优先级由高到低依次为专项风险分析、详细风险分析、常规风险分析。</w:t>
      </w:r>
    </w:p>
    <w:p>
      <w:pPr>
        <w:pStyle w:val="237"/>
        <w:numPr>
          <w:ilvl w:val="0"/>
          <w:numId w:val="0"/>
        </w:numPr>
        <w:spacing w:before="156" w:beforeLines="50" w:after="156" w:afterLines="50"/>
        <w:rPr>
          <w:rFonts w:ascii="宋体" w:hAnsi="宋体" w:eastAsia="宋体"/>
          <w:color w:val="auto"/>
          <w:szCs w:val="21"/>
          <w:highlight w:val="none"/>
        </w:rPr>
      </w:pPr>
      <w:bookmarkStart w:id="110" w:name="_Toc1440982145"/>
      <w:bookmarkStart w:id="111" w:name="_Toc1744315094"/>
      <w:bookmarkStart w:id="112" w:name="_Toc923001572"/>
      <w:bookmarkStart w:id="113" w:name="_Toc851573729"/>
      <w:r>
        <w:rPr>
          <w:rFonts w:hint="eastAsia"/>
          <w:color w:val="auto"/>
          <w:highlight w:val="none"/>
        </w:rPr>
        <w:t xml:space="preserve">4.2  </w:t>
      </w:r>
      <w:r>
        <w:rPr>
          <w:rFonts w:hint="eastAsia" w:ascii="宋体" w:hAnsi="宋体" w:eastAsia="宋体"/>
          <w:color w:val="auto"/>
          <w:szCs w:val="21"/>
          <w:highlight w:val="none"/>
        </w:rPr>
        <w:t>城镇供水地下管线安全风险分析</w:t>
      </w:r>
      <w:r>
        <w:rPr>
          <w:rFonts w:hint="eastAsia" w:ascii="宋体" w:hAnsi="宋体" w:eastAsia="宋体"/>
          <w:color w:val="auto"/>
          <w:szCs w:val="21"/>
          <w:highlight w:val="none"/>
          <w:lang w:val="en-US" w:eastAsia="zh-CN"/>
        </w:rPr>
        <w:t>与控制流程</w:t>
      </w:r>
      <w:r>
        <w:rPr>
          <w:rFonts w:hint="eastAsia" w:ascii="宋体" w:hAnsi="宋体" w:eastAsia="宋体"/>
          <w:color w:val="auto"/>
          <w:szCs w:val="21"/>
          <w:highlight w:val="none"/>
        </w:rPr>
        <w:t>包括制定风险分析方案、调查收集既有资料、整理数据、补充调查或检测、管线安全风险分析、结果认定、提出管控措施、编制风险分析报告等内容。具体分析流程见图1。</w:t>
      </w:r>
      <w:bookmarkEnd w:id="110"/>
      <w:bookmarkEnd w:id="111"/>
      <w:bookmarkEnd w:id="112"/>
      <w:bookmarkEnd w:id="113"/>
    </w:p>
    <w:p>
      <w:pPr>
        <w:pStyle w:val="235"/>
        <w:jc w:val="center"/>
        <w:rPr>
          <w:color w:val="auto"/>
          <w:highlight w:val="none"/>
        </w:rPr>
      </w:pPr>
      <w:r>
        <w:rPr>
          <w:color w:val="auto"/>
          <w:highlight w:val="none"/>
        </w:rPr>
        <w:drawing>
          <wp:inline distT="0" distB="0" distL="114300" distR="114300">
            <wp:extent cx="3643630" cy="2801620"/>
            <wp:effectExtent l="0" t="0" r="13970" b="1778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4"/>
                    <a:stretch>
                      <a:fillRect/>
                    </a:stretch>
                  </pic:blipFill>
                  <pic:spPr>
                    <a:xfrm>
                      <a:off x="0" y="0"/>
                      <a:ext cx="3643630" cy="2801620"/>
                    </a:xfrm>
                    <a:prstGeom prst="rect">
                      <a:avLst/>
                    </a:prstGeom>
                    <a:noFill/>
                    <a:ln>
                      <a:noFill/>
                    </a:ln>
                  </pic:spPr>
                </pic:pic>
              </a:graphicData>
            </a:graphic>
          </wp:inline>
        </w:drawing>
      </w:r>
    </w:p>
    <w:p>
      <w:pPr>
        <w:pStyle w:val="235"/>
        <w:spacing w:before="157" w:beforeLines="50"/>
        <w:jc w:val="center"/>
        <w:rPr>
          <w:color w:val="auto"/>
          <w:highlight w:val="none"/>
        </w:rPr>
      </w:pPr>
      <w:r>
        <w:rPr>
          <w:rFonts w:hint="eastAsia" w:ascii="黑体" w:hAnsi="黑体" w:eastAsia="黑体"/>
          <w:color w:val="auto"/>
          <w:highlight w:val="none"/>
        </w:rPr>
        <w:t>图1 供水地下管线安全风险分析</w:t>
      </w:r>
      <w:r>
        <w:rPr>
          <w:rFonts w:hint="eastAsia" w:ascii="黑体" w:hAnsi="黑体" w:eastAsia="黑体"/>
          <w:color w:val="auto"/>
          <w:highlight w:val="none"/>
          <w:lang w:val="en-US" w:eastAsia="zh-CN"/>
        </w:rPr>
        <w:t>与控制</w:t>
      </w:r>
      <w:r>
        <w:rPr>
          <w:rFonts w:hint="eastAsia" w:ascii="黑体" w:hAnsi="黑体" w:eastAsia="黑体"/>
          <w:color w:val="auto"/>
          <w:highlight w:val="none"/>
        </w:rPr>
        <w:t>流程</w:t>
      </w:r>
    </w:p>
    <w:p>
      <w:pPr>
        <w:pStyle w:val="237"/>
        <w:numPr>
          <w:ilvl w:val="0"/>
          <w:numId w:val="0"/>
        </w:numPr>
        <w:spacing w:before="0" w:beforeLines="0" w:after="0" w:afterLines="0"/>
        <w:rPr>
          <w:rFonts w:ascii="宋体" w:hAnsi="宋体" w:eastAsia="宋体"/>
          <w:color w:val="auto"/>
          <w:szCs w:val="21"/>
          <w:highlight w:val="none"/>
        </w:rPr>
      </w:pPr>
      <w:bookmarkStart w:id="114" w:name="_Toc2018004121"/>
      <w:bookmarkStart w:id="115" w:name="_Toc2039356248"/>
      <w:bookmarkStart w:id="116" w:name="_Toc1375375165"/>
      <w:bookmarkStart w:id="117" w:name="_Toc808152999"/>
      <w:r>
        <w:rPr>
          <w:rFonts w:hint="eastAsia"/>
          <w:color w:val="auto"/>
          <w:highlight w:val="none"/>
        </w:rPr>
        <w:t xml:space="preserve">4.3  </w:t>
      </w:r>
      <w:r>
        <w:rPr>
          <w:rFonts w:hint="eastAsia" w:ascii="宋体" w:hAnsi="Times New Roman" w:eastAsia="宋体"/>
          <w:color w:val="auto"/>
          <w:szCs w:val="20"/>
          <w:highlight w:val="none"/>
        </w:rPr>
        <w:t>城镇供水地下管线安全风险分析方案应包括：</w:t>
      </w:r>
    </w:p>
    <w:p>
      <w:pPr>
        <w:pStyle w:val="235"/>
        <w:rPr>
          <w:color w:val="auto"/>
          <w:highlight w:val="none"/>
        </w:rPr>
      </w:pPr>
      <w:r>
        <w:rPr>
          <w:rFonts w:hint="eastAsia"/>
          <w:color w:val="auto"/>
          <w:highlight w:val="none"/>
        </w:rPr>
        <w:t>—— 组建分析工作小组；</w:t>
      </w:r>
    </w:p>
    <w:p>
      <w:pPr>
        <w:pStyle w:val="235"/>
        <w:rPr>
          <w:color w:val="auto"/>
          <w:highlight w:val="none"/>
        </w:rPr>
      </w:pPr>
      <w:r>
        <w:rPr>
          <w:rFonts w:hint="eastAsia"/>
          <w:color w:val="auto"/>
          <w:highlight w:val="none"/>
        </w:rPr>
        <w:t>—— 界定分析对象、范围和要求；</w:t>
      </w:r>
    </w:p>
    <w:p>
      <w:pPr>
        <w:pStyle w:val="235"/>
        <w:rPr>
          <w:color w:val="auto"/>
          <w:highlight w:val="none"/>
        </w:rPr>
      </w:pPr>
      <w:r>
        <w:rPr>
          <w:rFonts w:hint="eastAsia"/>
          <w:color w:val="auto"/>
          <w:highlight w:val="none"/>
        </w:rPr>
        <w:t>—— 划分风险分析单元；</w:t>
      </w:r>
    </w:p>
    <w:p>
      <w:pPr>
        <w:pStyle w:val="235"/>
        <w:rPr>
          <w:color w:val="auto"/>
          <w:highlight w:val="none"/>
        </w:rPr>
      </w:pPr>
      <w:r>
        <w:rPr>
          <w:rFonts w:hint="eastAsia"/>
          <w:color w:val="auto"/>
          <w:highlight w:val="none"/>
        </w:rPr>
        <w:t>—— 确定风险分析类型与主要指标体系；</w:t>
      </w:r>
    </w:p>
    <w:p>
      <w:pPr>
        <w:pStyle w:val="235"/>
        <w:rPr>
          <w:rFonts w:ascii="黑体" w:eastAsia="黑体"/>
          <w:color w:val="auto"/>
          <w:highlight w:val="none"/>
        </w:rPr>
      </w:pPr>
      <w:r>
        <w:rPr>
          <w:rFonts w:hint="eastAsia"/>
          <w:color w:val="auto"/>
          <w:highlight w:val="none"/>
        </w:rPr>
        <w:t>—— 选定风险分析方法</w:t>
      </w:r>
      <w:r>
        <w:rPr>
          <w:rFonts w:hint="eastAsia"/>
          <w:color w:val="auto"/>
          <w:highlight w:val="none"/>
          <w:lang w:eastAsia="zh-CN"/>
        </w:rPr>
        <w:t>。</w:t>
      </w:r>
    </w:p>
    <w:p>
      <w:pPr>
        <w:pStyle w:val="237"/>
        <w:numPr>
          <w:ilvl w:val="0"/>
          <w:numId w:val="0"/>
        </w:numPr>
        <w:spacing w:before="0" w:beforeLines="0" w:after="0" w:afterLines="0" w:line="400" w:lineRule="exact"/>
        <w:rPr>
          <w:rFonts w:ascii="宋体" w:hAnsi="宋体" w:eastAsia="宋体"/>
          <w:color w:val="auto"/>
          <w:szCs w:val="21"/>
          <w:highlight w:val="none"/>
        </w:rPr>
      </w:pPr>
      <w:r>
        <w:rPr>
          <w:rFonts w:hint="eastAsia"/>
          <w:color w:val="auto"/>
          <w:highlight w:val="none"/>
        </w:rPr>
        <w:t xml:space="preserve">4.4  </w:t>
      </w:r>
      <w:r>
        <w:rPr>
          <w:rFonts w:hint="eastAsia" w:ascii="宋体" w:hAnsi="Times New Roman" w:eastAsia="宋体"/>
          <w:color w:val="auto"/>
          <w:szCs w:val="20"/>
          <w:highlight w:val="none"/>
        </w:rPr>
        <w:t>城镇供水地下管线风险分析以管段为</w:t>
      </w:r>
      <w:r>
        <w:rPr>
          <w:rFonts w:hint="eastAsia" w:ascii="宋体" w:hAnsi="Times New Roman" w:eastAsia="宋体"/>
          <w:color w:val="auto"/>
          <w:szCs w:val="20"/>
          <w:highlight w:val="none"/>
          <w:lang w:val="en-US" w:eastAsia="zh-CN"/>
        </w:rPr>
        <w:t>基本</w:t>
      </w:r>
      <w:r>
        <w:rPr>
          <w:rFonts w:hint="eastAsia" w:ascii="宋体" w:hAnsi="Times New Roman" w:eastAsia="宋体"/>
          <w:color w:val="auto"/>
          <w:szCs w:val="20"/>
          <w:highlight w:val="none"/>
        </w:rPr>
        <w:t>分析单元进行划分，划分时应遵循以下原则：</w:t>
      </w:r>
      <w:bookmarkEnd w:id="114"/>
      <w:bookmarkEnd w:id="115"/>
      <w:bookmarkEnd w:id="116"/>
      <w:bookmarkEnd w:id="117"/>
    </w:p>
    <w:p>
      <w:pPr>
        <w:pStyle w:val="245"/>
        <w:spacing w:line="240" w:lineRule="auto"/>
        <w:ind w:left="850" w:leftChars="204" w:hanging="422" w:hangingChars="201"/>
        <w:jc w:val="left"/>
        <w:rPr>
          <w:rFonts w:ascii="宋体"/>
          <w:color w:val="auto"/>
          <w:kern w:val="0"/>
          <w:szCs w:val="20"/>
          <w:highlight w:val="none"/>
        </w:rPr>
      </w:pPr>
      <w:r>
        <w:rPr>
          <w:rFonts w:hint="eastAsia" w:ascii="宋体"/>
          <w:color w:val="auto"/>
          <w:kern w:val="0"/>
          <w:szCs w:val="20"/>
          <w:highlight w:val="none"/>
        </w:rPr>
        <w:t xml:space="preserve">—— </w:t>
      </w:r>
      <w:r>
        <w:rPr>
          <w:rFonts w:hint="eastAsia" w:ascii="宋体"/>
          <w:color w:val="auto"/>
          <w:kern w:val="0"/>
          <w:szCs w:val="20"/>
          <w:highlight w:val="none"/>
          <w:lang w:val="en-US" w:eastAsia="zh-CN"/>
        </w:rPr>
        <w:t>基本</w:t>
      </w:r>
      <w:r>
        <w:rPr>
          <w:rFonts w:hint="eastAsia" w:ascii="宋体"/>
          <w:color w:val="auto"/>
          <w:kern w:val="0"/>
          <w:szCs w:val="20"/>
          <w:highlight w:val="none"/>
        </w:rPr>
        <w:t>分析单元划分以管线所在的行政区域、管理分区或DMA分区为基础进行划分。</w:t>
      </w:r>
    </w:p>
    <w:p>
      <w:pPr>
        <w:pStyle w:val="245"/>
        <w:spacing w:line="240" w:lineRule="auto"/>
        <w:ind w:left="850" w:leftChars="204" w:hanging="422" w:hangingChars="201"/>
        <w:jc w:val="left"/>
        <w:rPr>
          <w:rFonts w:ascii="宋体"/>
          <w:color w:val="auto"/>
          <w:kern w:val="0"/>
          <w:szCs w:val="20"/>
          <w:highlight w:val="none"/>
        </w:rPr>
      </w:pPr>
      <w:r>
        <w:rPr>
          <w:rFonts w:hint="eastAsia" w:ascii="宋体"/>
          <w:color w:val="auto"/>
          <w:kern w:val="0"/>
          <w:szCs w:val="20"/>
          <w:highlight w:val="none"/>
        </w:rPr>
        <w:t>—— 单段管线以GIS系统基础数据以及管线变材点、变径点、管段接口等作为划分依据，对物理属性、周边环境相近的管段宜划入同一个分析单元，每个</w:t>
      </w:r>
      <w:r>
        <w:rPr>
          <w:rFonts w:hint="eastAsia" w:ascii="宋体"/>
          <w:color w:val="auto"/>
          <w:kern w:val="0"/>
          <w:szCs w:val="20"/>
          <w:highlight w:val="none"/>
          <w:lang w:val="en-US" w:eastAsia="zh-CN"/>
        </w:rPr>
        <w:t>基本</w:t>
      </w:r>
      <w:r>
        <w:rPr>
          <w:rFonts w:hint="eastAsia" w:ascii="宋体"/>
          <w:color w:val="auto"/>
          <w:kern w:val="0"/>
          <w:szCs w:val="20"/>
          <w:highlight w:val="none"/>
        </w:rPr>
        <w:t>分析单元长度不宜超过200</w:t>
      </w:r>
      <w:r>
        <w:rPr>
          <w:rFonts w:hint="eastAsia" w:ascii="宋体"/>
          <w:color w:val="auto"/>
          <w:kern w:val="0"/>
          <w:szCs w:val="20"/>
          <w:highlight w:val="none"/>
          <w:u w:val="none"/>
          <w:lang w:val="en-US" w:eastAsia="zh-CN"/>
        </w:rPr>
        <w:t>米</w:t>
      </w:r>
      <w:r>
        <w:rPr>
          <w:rFonts w:hint="eastAsia" w:ascii="宋体"/>
          <w:color w:val="auto"/>
          <w:kern w:val="0"/>
          <w:szCs w:val="20"/>
          <w:highlight w:val="none"/>
        </w:rPr>
        <w:t>。</w:t>
      </w:r>
    </w:p>
    <w:p>
      <w:pPr>
        <w:pStyle w:val="245"/>
        <w:spacing w:line="240" w:lineRule="auto"/>
        <w:ind w:left="850" w:leftChars="204" w:hanging="422" w:hangingChars="201"/>
        <w:jc w:val="left"/>
        <w:rPr>
          <w:rFonts w:ascii="宋体"/>
          <w:color w:val="auto"/>
          <w:kern w:val="0"/>
          <w:szCs w:val="20"/>
          <w:highlight w:val="none"/>
        </w:rPr>
      </w:pPr>
      <w:r>
        <w:rPr>
          <w:rFonts w:hint="eastAsia" w:ascii="宋体"/>
          <w:color w:val="auto"/>
          <w:kern w:val="0"/>
          <w:szCs w:val="20"/>
          <w:highlight w:val="none"/>
        </w:rPr>
        <w:t>—— 重大活动且有保护性要求的特定区域宜结合现场条件及受影响的区域进行</w:t>
      </w:r>
      <w:r>
        <w:rPr>
          <w:rFonts w:hint="eastAsia" w:ascii="宋体"/>
          <w:color w:val="auto"/>
          <w:kern w:val="0"/>
          <w:szCs w:val="20"/>
          <w:highlight w:val="none"/>
          <w:lang w:val="en-US" w:eastAsia="zh-CN"/>
        </w:rPr>
        <w:t>基本</w:t>
      </w:r>
      <w:r>
        <w:rPr>
          <w:rFonts w:hint="eastAsia" w:ascii="宋体"/>
          <w:color w:val="auto"/>
          <w:kern w:val="0"/>
          <w:szCs w:val="20"/>
          <w:highlight w:val="none"/>
        </w:rPr>
        <w:t>单元划分。</w:t>
      </w:r>
    </w:p>
    <w:p>
      <w:pPr>
        <w:pStyle w:val="237"/>
        <w:numPr>
          <w:ilvl w:val="0"/>
          <w:numId w:val="0"/>
        </w:numPr>
        <w:spacing w:before="156" w:beforeLines="50" w:after="156" w:afterLines="50"/>
        <w:rPr>
          <w:color w:val="auto"/>
          <w:highlight w:val="none"/>
        </w:rPr>
      </w:pPr>
      <w:bookmarkStart w:id="118" w:name="_Toc485427209"/>
      <w:bookmarkStart w:id="119" w:name="_Toc424148517"/>
      <w:bookmarkStart w:id="120" w:name="_Toc694831812"/>
      <w:bookmarkStart w:id="121" w:name="_Toc232919711"/>
      <w:r>
        <w:rPr>
          <w:rFonts w:hint="eastAsia"/>
          <w:color w:val="auto"/>
          <w:highlight w:val="none"/>
        </w:rPr>
        <w:t>4.5  资料收集</w:t>
      </w:r>
      <w:bookmarkEnd w:id="118"/>
      <w:bookmarkEnd w:id="119"/>
      <w:bookmarkEnd w:id="120"/>
      <w:bookmarkEnd w:id="121"/>
    </w:p>
    <w:p>
      <w:pPr>
        <w:rPr>
          <w:rFonts w:ascii="宋体" w:hAnsi="宋体" w:cs="宋体"/>
          <w:color w:val="auto"/>
          <w:highlight w:val="none"/>
        </w:rPr>
      </w:pPr>
      <w:r>
        <w:rPr>
          <w:rFonts w:hint="eastAsia" w:ascii="宋体" w:hAnsi="宋体" w:cs="宋体"/>
          <w:color w:val="auto"/>
          <w:kern w:val="0"/>
          <w:highlight w:val="none"/>
        </w:rPr>
        <w:t xml:space="preserve">4.5.1  </w:t>
      </w:r>
      <w:r>
        <w:rPr>
          <w:rFonts w:hint="eastAsia" w:ascii="宋体" w:hAnsi="宋体" w:cs="宋体"/>
          <w:color w:val="auto"/>
          <w:highlight w:val="none"/>
        </w:rPr>
        <w:t>常规风险分析应收集的资料包括：</w:t>
      </w:r>
    </w:p>
    <w:p>
      <w:pPr>
        <w:pStyle w:val="245"/>
        <w:spacing w:line="240" w:lineRule="auto"/>
        <w:ind w:left="850" w:leftChars="204" w:hanging="422" w:hangingChars="201"/>
        <w:jc w:val="left"/>
        <w:rPr>
          <w:color w:val="auto"/>
          <w:highlight w:val="none"/>
        </w:rPr>
      </w:pP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管线物理属性数据资料，包括管材、管径、管龄等；</w:t>
      </w:r>
    </w:p>
    <w:p>
      <w:pPr>
        <w:pStyle w:val="245"/>
        <w:spacing w:line="240" w:lineRule="auto"/>
        <w:ind w:left="850" w:leftChars="204" w:hanging="422" w:hangingChars="201"/>
        <w:jc w:val="left"/>
        <w:rPr>
          <w:color w:val="auto"/>
          <w:highlight w:val="none"/>
        </w:rPr>
      </w:pP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管线周边环境数据资料，包括管线敷设位置、道路等级、覆土深度、地面性质等；</w:t>
      </w:r>
    </w:p>
    <w:p>
      <w:pPr>
        <w:pStyle w:val="245"/>
        <w:spacing w:line="240" w:lineRule="auto"/>
        <w:ind w:left="850" w:leftChars="204" w:hanging="422" w:hangingChars="201"/>
        <w:jc w:val="left"/>
        <w:rPr>
          <w:color w:val="auto"/>
          <w:highlight w:val="none"/>
        </w:rPr>
      </w:pP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管线运行与历史维修记录，包括管线运行压力、历史漏损或爆管事件及维修情况等；</w:t>
      </w:r>
    </w:p>
    <w:p>
      <w:pPr>
        <w:pStyle w:val="235"/>
        <w:jc w:val="left"/>
        <w:rPr>
          <w:color w:val="auto"/>
          <w:highlight w:val="none"/>
        </w:rPr>
      </w:pPr>
      <w:r>
        <w:rPr>
          <w:rFonts w:hint="eastAsia"/>
          <w:color w:val="auto"/>
          <w:highlight w:val="none"/>
        </w:rPr>
        <w:t>——</w:t>
      </w:r>
      <w:r>
        <w:rPr>
          <w:rFonts w:hint="eastAsia"/>
          <w:color w:val="auto"/>
          <w:highlight w:val="none"/>
          <w:lang w:val="en-US" w:eastAsia="zh-CN"/>
        </w:rPr>
        <w:t xml:space="preserve"> </w:t>
      </w:r>
      <w:r>
        <w:rPr>
          <w:rFonts w:hint="eastAsia"/>
          <w:color w:val="auto"/>
          <w:highlight w:val="none"/>
        </w:rPr>
        <w:t>管网布局类型等其他相关资料。</w:t>
      </w:r>
    </w:p>
    <w:p>
      <w:pPr>
        <w:pStyle w:val="235"/>
        <w:ind w:firstLine="0" w:firstLineChars="0"/>
        <w:jc w:val="left"/>
        <w:rPr>
          <w:color w:val="auto"/>
          <w:highlight w:val="none"/>
        </w:rPr>
      </w:pPr>
      <w:r>
        <w:rPr>
          <w:rFonts w:hint="eastAsia" w:hAnsi="宋体" w:cs="宋体"/>
          <w:color w:val="auto"/>
          <w:highlight w:val="none"/>
        </w:rPr>
        <w:t xml:space="preserve">4.5.2  </w:t>
      </w:r>
      <w:r>
        <w:rPr>
          <w:rFonts w:hint="eastAsia"/>
          <w:color w:val="auto"/>
          <w:highlight w:val="none"/>
        </w:rPr>
        <w:t>详细风险分析除应收集常规风险分析资料之外，还应包括：</w:t>
      </w:r>
    </w:p>
    <w:p>
      <w:pPr>
        <w:pStyle w:val="235"/>
        <w:jc w:val="left"/>
        <w:rPr>
          <w:color w:val="auto"/>
          <w:highlight w:val="none"/>
        </w:rPr>
      </w:pPr>
      <w:r>
        <w:rPr>
          <w:rFonts w:hint="eastAsia"/>
          <w:color w:val="auto"/>
          <w:highlight w:val="none"/>
        </w:rPr>
        <w:t>—— 供水管线竣工验收资料；</w:t>
      </w:r>
    </w:p>
    <w:p>
      <w:pPr>
        <w:pStyle w:val="235"/>
        <w:jc w:val="left"/>
        <w:rPr>
          <w:color w:val="auto"/>
          <w:highlight w:val="none"/>
        </w:rPr>
      </w:pPr>
      <w:r>
        <w:rPr>
          <w:rFonts w:hint="eastAsia"/>
          <w:color w:val="auto"/>
          <w:highlight w:val="none"/>
        </w:rPr>
        <w:t>—— 供水管线现场调查资料；</w:t>
      </w:r>
    </w:p>
    <w:p>
      <w:pPr>
        <w:pStyle w:val="235"/>
        <w:jc w:val="left"/>
        <w:rPr>
          <w:color w:val="auto"/>
          <w:highlight w:val="none"/>
        </w:rPr>
      </w:pPr>
      <w:r>
        <w:rPr>
          <w:rFonts w:hint="eastAsia"/>
          <w:color w:val="auto"/>
          <w:highlight w:val="none"/>
        </w:rPr>
        <w:t>—— 供水管线系统历年维护、检测、监测等记录资料；</w:t>
      </w:r>
    </w:p>
    <w:p>
      <w:pPr>
        <w:pStyle w:val="235"/>
        <w:jc w:val="left"/>
        <w:rPr>
          <w:color w:val="auto"/>
          <w:highlight w:val="none"/>
        </w:rPr>
      </w:pPr>
      <w:r>
        <w:rPr>
          <w:rFonts w:hint="eastAsia"/>
          <w:color w:val="auto"/>
          <w:highlight w:val="none"/>
        </w:rPr>
        <w:t>—— 供水管线周边土体样品检测、测试资料；</w:t>
      </w:r>
    </w:p>
    <w:p>
      <w:pPr>
        <w:pStyle w:val="235"/>
        <w:jc w:val="left"/>
        <w:rPr>
          <w:color w:val="auto"/>
          <w:highlight w:val="none"/>
        </w:rPr>
      </w:pPr>
      <w:r>
        <w:rPr>
          <w:rFonts w:hint="eastAsia"/>
          <w:color w:val="auto"/>
          <w:highlight w:val="none"/>
        </w:rPr>
        <w:t>—— 供水管线运维状态，包括水压、流速（流量）等；</w:t>
      </w:r>
    </w:p>
    <w:p>
      <w:pPr>
        <w:pStyle w:val="235"/>
        <w:jc w:val="left"/>
        <w:rPr>
          <w:color w:val="auto"/>
          <w:highlight w:val="none"/>
        </w:rPr>
      </w:pPr>
      <w:r>
        <w:rPr>
          <w:rFonts w:hint="eastAsia"/>
          <w:color w:val="auto"/>
          <w:highlight w:val="none"/>
        </w:rPr>
        <w:t>—— 供水管线邻近交叉管线的影响状况；</w:t>
      </w:r>
    </w:p>
    <w:p>
      <w:pPr>
        <w:pStyle w:val="235"/>
        <w:jc w:val="left"/>
        <w:rPr>
          <w:color w:val="auto"/>
          <w:highlight w:val="none"/>
        </w:rPr>
      </w:pPr>
      <w:r>
        <w:rPr>
          <w:rFonts w:hint="eastAsia"/>
          <w:color w:val="auto"/>
          <w:highlight w:val="none"/>
        </w:rPr>
        <w:t>—— 供水管线分析周期内邻近施工及周边场地活动状况；</w:t>
      </w:r>
    </w:p>
    <w:p>
      <w:pPr>
        <w:pStyle w:val="235"/>
        <w:jc w:val="left"/>
        <w:rPr>
          <w:color w:val="auto"/>
          <w:highlight w:val="none"/>
        </w:rPr>
      </w:pPr>
      <w:r>
        <w:rPr>
          <w:rFonts w:hint="eastAsia"/>
          <w:color w:val="auto"/>
          <w:highlight w:val="none"/>
        </w:rPr>
        <w:t>—— 其他相关资料。</w:t>
      </w:r>
    </w:p>
    <w:p>
      <w:pPr>
        <w:pStyle w:val="235"/>
        <w:ind w:firstLine="0" w:firstLineChars="0"/>
        <w:jc w:val="left"/>
        <w:rPr>
          <w:color w:val="auto"/>
          <w:highlight w:val="none"/>
        </w:rPr>
      </w:pPr>
      <w:r>
        <w:rPr>
          <w:rFonts w:hint="eastAsia"/>
          <w:color w:val="auto"/>
          <w:highlight w:val="none"/>
        </w:rPr>
        <w:t>4.5.3 专项风险分析应收集的资料包括：</w:t>
      </w:r>
    </w:p>
    <w:p>
      <w:pPr>
        <w:pStyle w:val="235"/>
        <w:jc w:val="left"/>
        <w:rPr>
          <w:color w:val="auto"/>
          <w:highlight w:val="none"/>
        </w:rPr>
      </w:pPr>
      <w:r>
        <w:rPr>
          <w:rFonts w:hint="eastAsia"/>
          <w:color w:val="auto"/>
          <w:highlight w:val="none"/>
        </w:rPr>
        <w:t>—— 勘察报告、设计文件和竣工验收等；</w:t>
      </w:r>
    </w:p>
    <w:p>
      <w:pPr>
        <w:pStyle w:val="235"/>
        <w:jc w:val="left"/>
        <w:rPr>
          <w:color w:val="auto"/>
          <w:highlight w:val="none"/>
        </w:rPr>
      </w:pPr>
      <w:r>
        <w:rPr>
          <w:rFonts w:hint="eastAsia"/>
          <w:color w:val="auto"/>
          <w:highlight w:val="none"/>
        </w:rPr>
        <w:t xml:space="preserve">—— </w:t>
      </w:r>
      <w:r>
        <w:rPr>
          <w:rFonts w:hint="eastAsia"/>
          <w:color w:val="auto"/>
          <w:highlight w:val="none"/>
          <w:lang w:eastAsia="zh-CN"/>
        </w:rPr>
        <w:t>管线</w:t>
      </w:r>
      <w:r>
        <w:rPr>
          <w:rFonts w:hint="eastAsia"/>
          <w:color w:val="auto"/>
          <w:highlight w:val="none"/>
        </w:rPr>
        <w:t>运行记录、排查治理记录、维修或改造资料、发生事故统计和影响范围、外部荷载变化等运行状况资料；</w:t>
      </w:r>
    </w:p>
    <w:p>
      <w:pPr>
        <w:pStyle w:val="235"/>
        <w:jc w:val="left"/>
        <w:rPr>
          <w:color w:val="auto"/>
          <w:highlight w:val="none"/>
        </w:rPr>
      </w:pPr>
      <w:r>
        <w:rPr>
          <w:rFonts w:hint="eastAsia"/>
          <w:color w:val="auto"/>
          <w:highlight w:val="none"/>
        </w:rPr>
        <w:t xml:space="preserve">—— </w:t>
      </w:r>
      <w:r>
        <w:rPr>
          <w:rFonts w:hint="eastAsia"/>
          <w:color w:val="auto"/>
          <w:highlight w:val="none"/>
          <w:lang w:eastAsia="zh-CN"/>
        </w:rPr>
        <w:t>管线</w:t>
      </w:r>
      <w:r>
        <w:rPr>
          <w:rFonts w:hint="eastAsia"/>
          <w:color w:val="auto"/>
          <w:highlight w:val="none"/>
        </w:rPr>
        <w:t>压力、流量、泄漏状况、沉降、变形、裂缝宽度等监测资料；</w:t>
      </w:r>
    </w:p>
    <w:p>
      <w:pPr>
        <w:pStyle w:val="235"/>
        <w:jc w:val="left"/>
        <w:rPr>
          <w:color w:val="auto"/>
          <w:highlight w:val="none"/>
        </w:rPr>
      </w:pPr>
      <w:r>
        <w:rPr>
          <w:rFonts w:hint="eastAsia"/>
          <w:color w:val="auto"/>
          <w:highlight w:val="none"/>
        </w:rPr>
        <w:t>—— 一般性、专用性和验证性检测报告以及现场原位试验报告；</w:t>
      </w:r>
    </w:p>
    <w:p>
      <w:pPr>
        <w:pStyle w:val="235"/>
        <w:jc w:val="left"/>
        <w:rPr>
          <w:color w:val="auto"/>
          <w:highlight w:val="none"/>
        </w:rPr>
      </w:pPr>
      <w:r>
        <w:rPr>
          <w:rFonts w:hint="eastAsia"/>
          <w:color w:val="auto"/>
          <w:highlight w:val="none"/>
        </w:rPr>
        <w:t>—— 其他相关资料。</w:t>
      </w:r>
    </w:p>
    <w:bookmarkEnd w:id="86"/>
    <w:bookmarkEnd w:id="87"/>
    <w:p>
      <w:pPr>
        <w:pStyle w:val="109"/>
        <w:spacing w:before="312" w:after="312"/>
        <w:rPr>
          <w:color w:val="auto"/>
          <w:highlight w:val="none"/>
        </w:rPr>
      </w:pPr>
      <w:bookmarkStart w:id="122" w:name="_Toc571240905"/>
      <w:bookmarkStart w:id="123" w:name="_Toc1614608488"/>
      <w:bookmarkStart w:id="124" w:name="_Toc1482685392"/>
      <w:bookmarkStart w:id="125" w:name="_Toc749195339"/>
      <w:bookmarkStart w:id="126" w:name="_Toc183072698"/>
      <w:bookmarkStart w:id="127" w:name="_Toc25287"/>
      <w:bookmarkStart w:id="128" w:name="_Toc1867125303"/>
      <w:bookmarkStart w:id="129" w:name="_Toc950654662"/>
      <w:bookmarkStart w:id="130" w:name="_Toc1846338560"/>
      <w:bookmarkStart w:id="131" w:name="_Toc363154896"/>
      <w:bookmarkStart w:id="132" w:name="_Toc1119659003"/>
      <w:bookmarkStart w:id="133" w:name="_Toc661980950"/>
      <w:bookmarkStart w:id="134" w:name="_Hlk183965540"/>
      <w:r>
        <w:rPr>
          <w:rFonts w:hint="eastAsia"/>
          <w:color w:val="auto"/>
          <w:highlight w:val="none"/>
        </w:rPr>
        <w:t>分析方法</w:t>
      </w:r>
      <w:bookmarkEnd w:id="122"/>
      <w:bookmarkEnd w:id="123"/>
      <w:bookmarkEnd w:id="124"/>
      <w:bookmarkEnd w:id="125"/>
    </w:p>
    <w:p>
      <w:pPr>
        <w:pStyle w:val="237"/>
        <w:numPr>
          <w:ilvl w:val="0"/>
          <w:numId w:val="0"/>
        </w:numPr>
        <w:spacing w:before="156" w:beforeLines="50" w:after="156" w:afterLines="50"/>
        <w:rPr>
          <w:color w:val="auto"/>
          <w:highlight w:val="none"/>
        </w:rPr>
      </w:pPr>
      <w:r>
        <w:rPr>
          <w:rFonts w:hint="eastAsia"/>
          <w:color w:val="auto"/>
          <w:highlight w:val="none"/>
        </w:rPr>
        <w:t xml:space="preserve">5.1 </w:t>
      </w:r>
      <w:bookmarkEnd w:id="126"/>
      <w:bookmarkEnd w:id="127"/>
      <w:r>
        <w:rPr>
          <w:rFonts w:hint="eastAsia"/>
          <w:color w:val="auto"/>
          <w:highlight w:val="none"/>
        </w:rPr>
        <w:t xml:space="preserve"> </w:t>
      </w:r>
      <w:bookmarkEnd w:id="128"/>
      <w:bookmarkEnd w:id="129"/>
      <w:bookmarkEnd w:id="130"/>
      <w:bookmarkEnd w:id="131"/>
      <w:bookmarkEnd w:id="132"/>
      <w:bookmarkEnd w:id="133"/>
      <w:r>
        <w:rPr>
          <w:rFonts w:hint="eastAsia"/>
          <w:color w:val="auto"/>
          <w:highlight w:val="none"/>
        </w:rPr>
        <w:t>层次分析法</w:t>
      </w:r>
    </w:p>
    <w:p>
      <w:pPr>
        <w:spacing w:line="240" w:lineRule="auto"/>
        <w:rPr>
          <w:rFonts w:ascii="宋体" w:hAnsi="宋体" w:cs="宋体"/>
          <w:color w:val="auto"/>
          <w:kern w:val="0"/>
          <w:highlight w:val="none"/>
        </w:rPr>
      </w:pPr>
      <w:r>
        <w:rPr>
          <w:rFonts w:hint="eastAsia" w:ascii="宋体" w:hAnsi="宋体" w:cs="宋体"/>
          <w:color w:val="auto"/>
          <w:kern w:val="0"/>
          <w:highlight w:val="none"/>
        </w:rPr>
        <w:t>5.1.1  采用层次分析法时，应划分风险发生可能性和失效后果严重性两个目标值对应的准则层和指标层，并分别计算风险发生可能性和失效后果严重性的分析值。</w:t>
      </w:r>
    </w:p>
    <w:p>
      <w:pPr>
        <w:spacing w:line="240" w:lineRule="auto"/>
        <w:rPr>
          <w:rFonts w:ascii="宋体" w:hAnsi="宋体" w:cs="宋体"/>
          <w:color w:val="auto"/>
          <w:kern w:val="0"/>
          <w:highlight w:val="none"/>
        </w:rPr>
      </w:pPr>
      <w:r>
        <w:rPr>
          <w:rFonts w:hint="eastAsia" w:ascii="宋体" w:hAnsi="宋体" w:cs="宋体"/>
          <w:color w:val="auto"/>
          <w:kern w:val="0"/>
          <w:highlight w:val="none"/>
        </w:rPr>
        <w:t>5.1.2  风险发生可能性分析值应按照公式（1）计算：</w:t>
      </w:r>
    </w:p>
    <w:p>
      <w:pPr>
        <w:keepNext w:val="0"/>
        <w:keepLines w:val="0"/>
        <w:pageBreakBefore w:val="0"/>
        <w:widowControl w:val="0"/>
        <w:tabs>
          <w:tab w:val="left" w:leader="middleDot" w:pos="1134"/>
          <w:tab w:val="right" w:leader="middleDot" w:pos="4200"/>
          <w:tab w:val="right" w:leader="middleDot" w:pos="8820"/>
        </w:tabs>
        <w:kinsoku/>
        <w:wordWrap/>
        <w:overflowPunct/>
        <w:topLinePunct w:val="0"/>
        <w:autoSpaceDE/>
        <w:autoSpaceDN/>
        <w:bidi w:val="0"/>
        <w:adjustRightInd w:val="0"/>
        <w:snapToGrid/>
        <w:jc w:val="right"/>
        <w:textAlignment w:val="auto"/>
        <w:rPr>
          <w:rFonts w:hint="eastAsia" w:eastAsia="宋体"/>
          <w:color w:val="auto"/>
          <w:highlight w:val="none"/>
          <w:lang w:eastAsia="zh-CN"/>
        </w:rPr>
      </w:pPr>
      <w:r>
        <w:rPr>
          <w:rFonts w:hint="eastAsia"/>
          <w:i w:val="0"/>
          <w:color w:val="auto"/>
          <w:highlight w:val="none"/>
          <w:lang w:val="en-US" w:eastAsia="zh-CN"/>
        </w:rPr>
        <w:t xml:space="preserve">                            </w:t>
      </w:r>
      <m:oMath>
        <m:r>
          <m:rPr/>
          <w:rPr>
            <w:rFonts w:ascii="Cambria Math"/>
            <w:color w:val="auto"/>
            <w:highlight w:val="none"/>
          </w:rPr>
          <m:t>L=α</m:t>
        </m:r>
        <m:r>
          <m:rPr/>
          <w:rPr>
            <w:rFonts w:ascii="Cambria Math" w:hAnsi="Cambria Math" w:cs="Cambria Math"/>
            <w:color w:val="auto"/>
            <w:highlight w:val="none"/>
          </w:rPr>
          <m:t>⋅</m:t>
        </m:r>
        <m:nary>
          <m:naryPr>
            <m:chr m:val="∑"/>
            <m:ctrlPr>
              <w:rPr>
                <w:rFonts w:ascii="Cambria Math" w:hAnsi="Cambria Math"/>
                <w:i/>
                <w:color w:val="auto"/>
                <w:highlight w:val="none"/>
              </w:rPr>
            </m:ctrlPr>
          </m:naryPr>
          <m:sub>
            <m:r>
              <m:rPr/>
              <w:rPr>
                <w:rFonts w:ascii="Cambria Math"/>
                <w:color w:val="auto"/>
                <w:highlight w:val="none"/>
              </w:rPr>
              <m:t>i=1</m:t>
            </m:r>
            <m:ctrlPr>
              <w:rPr>
                <w:rFonts w:ascii="Cambria Math" w:hAnsi="Cambria Math"/>
                <w:i/>
                <w:color w:val="auto"/>
                <w:highlight w:val="none"/>
              </w:rPr>
            </m:ctrlPr>
          </m:sub>
          <m:sup>
            <m:sSub>
              <m:sSubPr>
                <m:ctrlPr>
                  <w:rPr>
                    <w:rFonts w:ascii="Cambria Math" w:hAnsi="Cambria Math"/>
                    <w:i/>
                    <w:color w:val="auto"/>
                    <w:highlight w:val="none"/>
                  </w:rPr>
                </m:ctrlPr>
              </m:sSubPr>
              <m:e>
                <m:r>
                  <m:rPr/>
                  <w:rPr>
                    <w:rFonts w:ascii="Cambria Math"/>
                    <w:color w:val="auto"/>
                    <w:highlight w:val="none"/>
                  </w:rPr>
                  <m:t>N</m:t>
                </m:r>
                <m:ctrlPr>
                  <w:rPr>
                    <w:rFonts w:ascii="Cambria Math" w:hAnsi="Cambria Math"/>
                    <w:i/>
                    <w:color w:val="auto"/>
                    <w:highlight w:val="none"/>
                  </w:rPr>
                </m:ctrlPr>
              </m:e>
              <m:sub>
                <m:r>
                  <m:rPr/>
                  <w:rPr>
                    <w:rFonts w:ascii="Cambria Math"/>
                    <w:color w:val="auto"/>
                    <w:highlight w:val="none"/>
                  </w:rPr>
                  <m:t>pm</m:t>
                </m:r>
                <m:ctrlPr>
                  <w:rPr>
                    <w:rFonts w:ascii="Cambria Math" w:hAnsi="Cambria Math"/>
                    <w:i/>
                    <w:color w:val="auto"/>
                    <w:highlight w:val="none"/>
                  </w:rPr>
                </m:ctrlPr>
              </m:sub>
            </m:sSub>
            <m:ctrlPr>
              <w:rPr>
                <w:rFonts w:ascii="Cambria Math" w:hAnsi="Cambria Math"/>
                <w:i/>
                <w:color w:val="auto"/>
                <w:highlight w:val="none"/>
              </w:rPr>
            </m:ctrlPr>
          </m:sup>
          <m:e>
            <m:sSub>
              <m:sSubPr>
                <m:ctrlPr>
                  <w:rPr>
                    <w:rFonts w:ascii="Cambria Math" w:hAnsi="Cambria Math"/>
                    <w:i/>
                    <w:color w:val="auto"/>
                    <w:highlight w:val="none"/>
                  </w:rPr>
                </m:ctrlPr>
              </m:sSubPr>
              <m:e>
                <m:r>
                  <m:rPr/>
                  <w:rPr>
                    <w:rFonts w:ascii="Cambria Math"/>
                    <w:color w:val="auto"/>
                    <w:highlight w:val="none"/>
                  </w:rPr>
                  <m:t>w</m:t>
                </m:r>
                <m:ctrlPr>
                  <w:rPr>
                    <w:rFonts w:ascii="Cambria Math" w:hAnsi="Cambria Math"/>
                    <w:i/>
                    <w:color w:val="auto"/>
                    <w:highlight w:val="none"/>
                  </w:rPr>
                </m:ctrlPr>
              </m:e>
              <m:sub>
                <m:r>
                  <m:rPr/>
                  <w:rPr>
                    <w:rFonts w:ascii="Cambria Math"/>
                    <w:color w:val="auto"/>
                    <w:highlight w:val="none"/>
                  </w:rPr>
                  <m:t>pi</m:t>
                </m:r>
                <m:ctrlPr>
                  <w:rPr>
                    <w:rFonts w:ascii="Cambria Math" w:hAnsi="Cambria Math"/>
                    <w:i/>
                    <w:color w:val="auto"/>
                    <w:highlight w:val="none"/>
                  </w:rPr>
                </m:ctrlPr>
              </m:sub>
            </m:sSub>
            <m:d>
              <m:dPr>
                <m:begChr m:val="["/>
                <m:endChr m:val="]"/>
                <m:ctrlPr>
                  <w:rPr>
                    <w:rFonts w:ascii="Cambria Math" w:hAnsi="Cambria Math"/>
                    <w:i/>
                    <w:color w:val="auto"/>
                    <w:highlight w:val="none"/>
                  </w:rPr>
                </m:ctrlPr>
              </m:dPr>
              <m:e>
                <m:nary>
                  <m:naryPr>
                    <m:chr m:val="∑"/>
                    <m:ctrlPr>
                      <w:rPr>
                        <w:rFonts w:ascii="Cambria Math" w:hAnsi="Cambria Math"/>
                        <w:i/>
                        <w:color w:val="auto"/>
                        <w:highlight w:val="none"/>
                      </w:rPr>
                    </m:ctrlPr>
                  </m:naryPr>
                  <m:sub>
                    <m:r>
                      <m:rPr/>
                      <w:rPr>
                        <w:rFonts w:ascii="Cambria Math"/>
                        <w:color w:val="auto"/>
                        <w:highlight w:val="none"/>
                      </w:rPr>
                      <m:t>j=1</m:t>
                    </m:r>
                    <m:ctrlPr>
                      <w:rPr>
                        <w:rFonts w:ascii="Cambria Math" w:hAnsi="Cambria Math"/>
                        <w:i/>
                        <w:color w:val="auto"/>
                        <w:highlight w:val="none"/>
                      </w:rPr>
                    </m:ctrlPr>
                  </m:sub>
                  <m:sup>
                    <m:sSub>
                      <m:sSubPr>
                        <m:ctrlPr>
                          <w:rPr>
                            <w:rFonts w:ascii="Cambria Math" w:hAnsi="Cambria Math"/>
                            <w:i/>
                            <w:color w:val="auto"/>
                            <w:highlight w:val="none"/>
                          </w:rPr>
                        </m:ctrlPr>
                      </m:sSubPr>
                      <m:e>
                        <m:r>
                          <m:rPr/>
                          <w:rPr>
                            <w:rFonts w:ascii="Cambria Math"/>
                            <w:color w:val="auto"/>
                            <w:highlight w:val="none"/>
                          </w:rPr>
                          <m:t>N</m:t>
                        </m:r>
                        <m:ctrlPr>
                          <w:rPr>
                            <w:rFonts w:ascii="Cambria Math" w:hAnsi="Cambria Math"/>
                            <w:i/>
                            <w:color w:val="auto"/>
                            <w:highlight w:val="none"/>
                          </w:rPr>
                        </m:ctrlPr>
                      </m:e>
                      <m:sub>
                        <m:r>
                          <m:rPr/>
                          <w:rPr>
                            <w:rFonts w:ascii="Cambria Math"/>
                            <w:color w:val="auto"/>
                            <w:highlight w:val="none"/>
                          </w:rPr>
                          <m:t>pn</m:t>
                        </m:r>
                        <m:ctrlPr>
                          <w:rPr>
                            <w:rFonts w:ascii="Cambria Math" w:hAnsi="Cambria Math"/>
                            <w:i/>
                            <w:color w:val="auto"/>
                            <w:highlight w:val="none"/>
                          </w:rPr>
                        </m:ctrlPr>
                      </m:sub>
                    </m:sSub>
                    <m:ctrlPr>
                      <w:rPr>
                        <w:rFonts w:ascii="Cambria Math" w:hAnsi="Cambria Math"/>
                        <w:i/>
                        <w:color w:val="auto"/>
                        <w:highlight w:val="none"/>
                      </w:rPr>
                    </m:ctrlPr>
                  </m:sup>
                  <m:e>
                    <m:sSub>
                      <m:sSubPr>
                        <m:ctrlPr>
                          <w:rPr>
                            <w:rFonts w:ascii="Cambria Math" w:hAnsi="Cambria Math"/>
                            <w:i/>
                            <w:color w:val="auto"/>
                            <w:highlight w:val="none"/>
                          </w:rPr>
                        </m:ctrlPr>
                      </m:sSubPr>
                      <m:e>
                        <m:r>
                          <m:rPr>
                            <m:nor/>
                          </m:rPr>
                          <w:rPr>
                            <w:rFonts w:hint="default" w:ascii="Times New Roman" w:hAnsi="Times New Roman" w:cs="Times New Roman"/>
                            <w:i/>
                            <w:color w:val="auto"/>
                            <w:highlight w:val="none"/>
                          </w:rPr>
                          <m:t>w</m:t>
                        </m:r>
                        <m:ctrlPr>
                          <w:rPr>
                            <w:rFonts w:ascii="Cambria Math" w:hAnsi="Cambria Math"/>
                            <w:i/>
                            <w:color w:val="auto"/>
                            <w:highlight w:val="none"/>
                          </w:rPr>
                        </m:ctrlPr>
                      </m:e>
                      <m:sub>
                        <m:r>
                          <m:rPr/>
                          <w:rPr>
                            <w:rFonts w:ascii="Cambria Math"/>
                            <w:color w:val="auto"/>
                            <w:highlight w:val="none"/>
                          </w:rPr>
                          <m:t>pj</m:t>
                        </m:r>
                        <m:ctrlPr>
                          <w:rPr>
                            <w:rFonts w:ascii="Cambria Math" w:hAnsi="Cambria Math"/>
                            <w:i/>
                            <w:color w:val="auto"/>
                            <w:highlight w:val="none"/>
                          </w:rPr>
                        </m:ctrlPr>
                      </m:sub>
                    </m:sSub>
                    <m:r>
                      <m:rPr/>
                      <w:rPr>
                        <w:rFonts w:ascii="Cambria Math"/>
                        <w:color w:val="auto"/>
                        <w:highlight w:val="none"/>
                      </w:rPr>
                      <m:t>×</m:t>
                    </m:r>
                    <m:sSub>
                      <m:sSubPr>
                        <m:ctrlPr>
                          <w:rPr>
                            <w:rFonts w:ascii="Cambria Math" w:hAnsi="Cambria Math"/>
                            <w:i/>
                            <w:color w:val="auto"/>
                            <w:highlight w:val="none"/>
                          </w:rPr>
                        </m:ctrlPr>
                      </m:sSubPr>
                      <m:e>
                        <m:r>
                          <m:rPr/>
                          <w:rPr>
                            <w:rFonts w:ascii="Cambria Math"/>
                            <w:color w:val="auto"/>
                            <w:highlight w:val="none"/>
                          </w:rPr>
                          <m:t>P</m:t>
                        </m:r>
                        <m:ctrlPr>
                          <w:rPr>
                            <w:rFonts w:ascii="Cambria Math" w:hAnsi="Cambria Math"/>
                            <w:i/>
                            <w:color w:val="auto"/>
                            <w:highlight w:val="none"/>
                          </w:rPr>
                        </m:ctrlPr>
                      </m:e>
                      <m:sub>
                        <m:r>
                          <m:rPr/>
                          <w:rPr>
                            <w:rFonts w:ascii="Cambria Math"/>
                            <w:color w:val="auto"/>
                            <w:highlight w:val="none"/>
                          </w:rPr>
                          <m:t>ij</m:t>
                        </m:r>
                        <m:ctrlPr>
                          <w:rPr>
                            <w:rFonts w:ascii="Cambria Math" w:hAnsi="Cambria Math"/>
                            <w:i/>
                            <w:color w:val="auto"/>
                            <w:highlight w:val="none"/>
                          </w:rPr>
                        </m:ctrlPr>
                      </m:sub>
                    </m:sSub>
                    <m:ctrlPr>
                      <w:rPr>
                        <w:rFonts w:ascii="Cambria Math" w:hAnsi="Cambria Math"/>
                        <w:i/>
                        <w:color w:val="auto"/>
                        <w:highlight w:val="none"/>
                      </w:rPr>
                    </m:ctrlPr>
                  </m:e>
                </m:nary>
                <m:ctrlPr>
                  <w:rPr>
                    <w:rFonts w:ascii="Cambria Math" w:hAnsi="Cambria Math"/>
                    <w:i/>
                    <w:color w:val="auto"/>
                    <w:highlight w:val="none"/>
                  </w:rPr>
                </m:ctrlPr>
              </m:e>
            </m:d>
            <m:ctrlPr>
              <w:rPr>
                <w:rFonts w:ascii="Cambria Math" w:hAnsi="Cambria Math"/>
                <w:i/>
                <w:color w:val="auto"/>
                <w:highlight w:val="none"/>
              </w:rPr>
            </m:ctrlPr>
          </m:e>
        </m:nary>
      </m:oMath>
      <w:r>
        <w:rPr>
          <w:rFonts w:hint="eastAsia" w:hAnsi="Cambria Math"/>
          <w:i w:val="0"/>
          <w:color w:val="auto"/>
          <w:highlight w:val="none"/>
          <w:lang w:val="en-US" w:eastAsia="zh-CN"/>
        </w:rPr>
        <w:tab/>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1</w:t>
      </w:r>
      <w:r>
        <w:rPr>
          <w:rFonts w:hint="eastAsia" w:ascii="宋体"/>
          <w:color w:val="auto"/>
          <w:kern w:val="0"/>
          <w:szCs w:val="20"/>
          <w:highlight w:val="none"/>
          <w:lang w:eastAsia="zh-CN"/>
        </w:rPr>
        <w:t>）</w:t>
      </w:r>
    </w:p>
    <w:p>
      <w:pPr>
        <w:spacing w:line="240" w:lineRule="auto"/>
        <w:ind w:firstLine="420" w:firstLineChars="200"/>
        <w:rPr>
          <w:color w:val="auto"/>
          <w:highlight w:val="none"/>
        </w:rPr>
      </w:pPr>
      <w:r>
        <w:rPr>
          <w:rFonts w:hint="eastAsia"/>
          <w:color w:val="auto"/>
          <w:highlight w:val="none"/>
        </w:rPr>
        <w:t>式中：</w:t>
      </w:r>
    </w:p>
    <w:p>
      <w:pPr>
        <w:ind w:firstLine="1050" w:firstLineChars="500"/>
        <w:rPr>
          <w:rFonts w:hint="eastAsia" w:ascii="宋体" w:hAnsi="宋体" w:eastAsia="宋体" w:cs="宋体"/>
          <w:color w:val="auto"/>
          <w:highlight w:val="none"/>
          <w:lang w:eastAsia="zh-CN"/>
        </w:rPr>
      </w:pPr>
      <w:r>
        <w:rPr>
          <w:rFonts w:hint="default" w:ascii="Times New Roman" w:hAnsi="Times New Roman" w:eastAsia="宋体" w:cs="Times New Roman"/>
          <w:i/>
          <w:color w:val="auto"/>
          <w:highlight w:val="none"/>
        </w:rPr>
        <w:t>L</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风险发生可能性分析值，按计算值向上取整数</w:t>
      </w:r>
      <w:r>
        <w:rPr>
          <w:rFonts w:hint="eastAsia" w:ascii="宋体" w:hAnsi="宋体" w:eastAsia="宋体" w:cs="宋体"/>
          <w:color w:val="auto"/>
          <w:highlight w:val="none"/>
          <w:lang w:eastAsia="zh-CN"/>
        </w:rPr>
        <w:t>；</w:t>
      </w:r>
    </w:p>
    <w:p>
      <w:pPr>
        <w:ind w:firstLine="1050" w:firstLineChars="500"/>
        <w:rPr>
          <w:rFonts w:hint="eastAsia" w:ascii="宋体" w:hAnsi="宋体" w:eastAsia="宋体" w:cs="宋体"/>
          <w:color w:val="auto"/>
          <w:highlight w:val="none"/>
          <w:lang w:eastAsia="zh-CN"/>
        </w:rPr>
      </w:pPr>
      <w:r>
        <w:rPr>
          <w:rFonts w:hint="default" w:ascii="Times New Roman" w:hAnsi="Times New Roman" w:eastAsia="宋体" w:cs="Times New Roman"/>
          <w:i/>
          <w:color w:val="auto"/>
          <w:highlight w:val="none"/>
        </w:rPr>
        <w:t>α</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考虑供水企业管理水平的调整系数，取值区间[0.90,1.10]，管理水平高取小值</w:t>
      </w:r>
      <w:r>
        <w:rPr>
          <w:rFonts w:hint="eastAsia" w:ascii="宋体" w:hAnsi="宋体" w:eastAsia="宋体" w:cs="宋体"/>
          <w:color w:val="auto"/>
          <w:highlight w:val="none"/>
          <w:lang w:eastAsia="zh-CN"/>
        </w:rPr>
        <w:t>；</w:t>
      </w:r>
    </w:p>
    <w:p>
      <w:pPr>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N</w:t>
      </w:r>
      <w:r>
        <w:rPr>
          <w:rFonts w:hint="default" w:ascii="Times New Roman" w:hAnsi="Times New Roman" w:eastAsia="宋体" w:cs="Times New Roman"/>
          <w:i/>
          <w:color w:val="auto"/>
          <w:highlight w:val="none"/>
          <w:vertAlign w:val="subscript"/>
        </w:rPr>
        <w:t>pm</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风险发生可能性对应的</w:t>
      </w:r>
      <w:r>
        <w:rPr>
          <w:rFonts w:hint="eastAsia" w:ascii="宋体" w:hAnsi="宋体" w:eastAsia="宋体" w:cs="宋体"/>
          <w:color w:val="auto"/>
          <w:highlight w:val="none"/>
          <w:lang w:val="en-US" w:eastAsia="zh-CN"/>
        </w:rPr>
        <w:t>准则</w:t>
      </w:r>
      <w:r>
        <w:rPr>
          <w:rFonts w:hint="eastAsia" w:ascii="宋体" w:hAnsi="宋体" w:eastAsia="宋体" w:cs="宋体"/>
          <w:color w:val="auto"/>
          <w:highlight w:val="none"/>
        </w:rPr>
        <w:t>层参数的数量；</w:t>
      </w:r>
    </w:p>
    <w:p>
      <w:pPr>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w</w:t>
      </w:r>
      <w:r>
        <w:rPr>
          <w:rFonts w:hint="default" w:ascii="Times New Roman" w:hAnsi="Times New Roman" w:eastAsia="宋体" w:cs="Times New Roman"/>
          <w:i/>
          <w:color w:val="auto"/>
          <w:highlight w:val="none"/>
          <w:vertAlign w:val="subscript"/>
        </w:rPr>
        <w:t>pi</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风险发生可能性对应的第</w:t>
      </w:r>
      <w:r>
        <w:rPr>
          <w:rFonts w:hint="default" w:ascii="Times New Roman" w:hAnsi="Times New Roman" w:eastAsia="宋体" w:cs="Times New Roman"/>
          <w:i/>
          <w:color w:val="auto"/>
          <w:highlight w:val="none"/>
        </w:rPr>
        <w:t>i</w:t>
      </w:r>
      <w:r>
        <w:rPr>
          <w:rFonts w:hint="eastAsia" w:ascii="宋体" w:hAnsi="宋体" w:eastAsia="宋体" w:cs="宋体"/>
          <w:color w:val="auto"/>
          <w:highlight w:val="none"/>
          <w:lang w:val="en-US" w:eastAsia="zh-CN"/>
        </w:rPr>
        <w:t>准则</w:t>
      </w:r>
      <w:r>
        <w:rPr>
          <w:rFonts w:hint="eastAsia" w:ascii="宋体" w:hAnsi="宋体" w:eastAsia="宋体" w:cs="宋体"/>
          <w:color w:val="auto"/>
          <w:highlight w:val="none"/>
        </w:rPr>
        <w:t>层的权重，按表A.1</w:t>
      </w:r>
      <w:r>
        <w:rPr>
          <w:rFonts w:hint="eastAsia" w:ascii="宋体" w:hAnsi="宋体" w:eastAsia="宋体" w:cs="宋体"/>
          <w:color w:val="auto"/>
          <w:highlight w:val="none"/>
          <w:lang w:val="en-US" w:eastAsia="zh-CN"/>
        </w:rPr>
        <w:t>或表B.1</w:t>
      </w:r>
      <w:r>
        <w:rPr>
          <w:rFonts w:hint="eastAsia" w:ascii="宋体" w:hAnsi="宋体" w:eastAsia="宋体" w:cs="宋体"/>
          <w:color w:val="auto"/>
          <w:highlight w:val="none"/>
        </w:rPr>
        <w:t>执行；</w:t>
      </w:r>
    </w:p>
    <w:p>
      <w:pPr>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N</w:t>
      </w:r>
      <w:r>
        <w:rPr>
          <w:rFonts w:hint="default" w:ascii="Times New Roman" w:hAnsi="Times New Roman" w:eastAsia="宋体" w:cs="Times New Roman"/>
          <w:i/>
          <w:color w:val="auto"/>
          <w:highlight w:val="none"/>
          <w:vertAlign w:val="subscript"/>
        </w:rPr>
        <w:t>pn</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风险发生可能性对应的第</w:t>
      </w:r>
      <w:r>
        <w:rPr>
          <w:rFonts w:hint="default" w:ascii="Times New Roman" w:hAnsi="Times New Roman" w:eastAsia="宋体" w:cs="Times New Roman"/>
          <w:i/>
          <w:color w:val="auto"/>
          <w:highlight w:val="none"/>
        </w:rPr>
        <w:t>i</w:t>
      </w:r>
      <w:r>
        <w:rPr>
          <w:rFonts w:hint="eastAsia" w:ascii="宋体" w:hAnsi="宋体" w:eastAsia="宋体" w:cs="宋体"/>
          <w:color w:val="auto"/>
          <w:highlight w:val="none"/>
          <w:lang w:val="en-US" w:eastAsia="zh-CN"/>
        </w:rPr>
        <w:t>准则</w:t>
      </w:r>
      <w:r>
        <w:rPr>
          <w:rFonts w:hint="eastAsia" w:ascii="宋体" w:hAnsi="宋体" w:eastAsia="宋体" w:cs="宋体"/>
          <w:color w:val="auto"/>
          <w:highlight w:val="none"/>
        </w:rPr>
        <w:t>层</w:t>
      </w:r>
      <w:r>
        <w:rPr>
          <w:rFonts w:hint="eastAsia" w:ascii="宋体" w:hAnsi="宋体" w:eastAsia="宋体" w:cs="宋体"/>
          <w:color w:val="auto"/>
          <w:highlight w:val="none"/>
          <w:lang w:val="en-US" w:eastAsia="zh-CN"/>
        </w:rPr>
        <w:t>对应指标</w:t>
      </w:r>
      <w:r>
        <w:rPr>
          <w:rFonts w:hint="eastAsia" w:ascii="宋体" w:hAnsi="宋体" w:eastAsia="宋体" w:cs="宋体"/>
          <w:color w:val="auto"/>
          <w:highlight w:val="none"/>
        </w:rPr>
        <w:t>层</w:t>
      </w:r>
      <w:r>
        <w:rPr>
          <w:rFonts w:hint="eastAsia" w:ascii="宋体" w:hAnsi="宋体" w:eastAsia="宋体" w:cs="宋体"/>
          <w:color w:val="auto"/>
          <w:highlight w:val="none"/>
          <w:lang w:val="en-US" w:eastAsia="zh-CN"/>
        </w:rPr>
        <w:t>的指标</w:t>
      </w:r>
      <w:r>
        <w:rPr>
          <w:rFonts w:hint="eastAsia" w:ascii="宋体" w:hAnsi="宋体" w:eastAsia="宋体" w:cs="宋体"/>
          <w:color w:val="auto"/>
          <w:highlight w:val="none"/>
        </w:rPr>
        <w:t>数量；</w:t>
      </w:r>
    </w:p>
    <w:p>
      <w:pPr>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w</w:t>
      </w:r>
      <w:r>
        <w:rPr>
          <w:rFonts w:hint="default" w:ascii="Times New Roman" w:hAnsi="Times New Roman" w:eastAsia="宋体" w:cs="Times New Roman"/>
          <w:i/>
          <w:color w:val="auto"/>
          <w:sz w:val="21"/>
          <w:szCs w:val="21"/>
          <w:highlight w:val="none"/>
          <w:vertAlign w:val="subscript"/>
        </w:rPr>
        <w:t>pj</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风险发生可能性对应的第</w:t>
      </w:r>
      <w:r>
        <w:rPr>
          <w:rFonts w:hint="default" w:ascii="Times New Roman" w:hAnsi="Times New Roman" w:eastAsia="宋体" w:cs="Times New Roman"/>
          <w:i/>
          <w:color w:val="auto"/>
          <w:highlight w:val="none"/>
        </w:rPr>
        <w:t>i</w:t>
      </w:r>
      <w:r>
        <w:rPr>
          <w:rFonts w:hint="eastAsia" w:ascii="宋体" w:hAnsi="宋体" w:eastAsia="宋体" w:cs="宋体"/>
          <w:color w:val="auto"/>
          <w:highlight w:val="none"/>
          <w:lang w:val="en-US" w:eastAsia="zh-CN"/>
        </w:rPr>
        <w:t>准则</w:t>
      </w:r>
      <w:r>
        <w:rPr>
          <w:rFonts w:hint="eastAsia" w:ascii="宋体" w:hAnsi="宋体" w:eastAsia="宋体" w:cs="宋体"/>
          <w:color w:val="auto"/>
          <w:highlight w:val="none"/>
        </w:rPr>
        <w:t>层第</w:t>
      </w:r>
      <w:r>
        <w:rPr>
          <w:rFonts w:hint="default" w:ascii="Times New Roman" w:hAnsi="Times New Roman" w:eastAsia="宋体" w:cs="Times New Roman"/>
          <w:i/>
          <w:color w:val="auto"/>
          <w:highlight w:val="none"/>
        </w:rPr>
        <w:t>j</w:t>
      </w:r>
      <w:r>
        <w:rPr>
          <w:rFonts w:hint="eastAsia" w:ascii="宋体" w:hAnsi="宋体" w:eastAsia="宋体" w:cs="宋体"/>
          <w:color w:val="auto"/>
          <w:highlight w:val="none"/>
          <w:lang w:val="en-US" w:eastAsia="zh-CN"/>
        </w:rPr>
        <w:t>指标</w:t>
      </w:r>
      <w:r>
        <w:rPr>
          <w:rFonts w:hint="eastAsia" w:ascii="宋体" w:hAnsi="宋体" w:eastAsia="宋体" w:cs="宋体"/>
          <w:color w:val="auto"/>
          <w:highlight w:val="none"/>
        </w:rPr>
        <w:t>层</w:t>
      </w:r>
      <w:r>
        <w:rPr>
          <w:rFonts w:hint="eastAsia" w:ascii="宋体" w:hAnsi="宋体" w:eastAsia="宋体" w:cs="宋体"/>
          <w:color w:val="auto"/>
          <w:highlight w:val="none"/>
          <w:lang w:val="en-US" w:eastAsia="zh-CN"/>
        </w:rPr>
        <w:t>的</w:t>
      </w:r>
      <w:r>
        <w:rPr>
          <w:rFonts w:hint="eastAsia" w:ascii="宋体" w:hAnsi="宋体" w:eastAsia="宋体" w:cs="宋体"/>
          <w:color w:val="auto"/>
          <w:highlight w:val="none"/>
        </w:rPr>
        <w:t>指标权重；</w:t>
      </w:r>
    </w:p>
    <w:p>
      <w:pPr>
        <w:ind w:firstLine="1050" w:firstLineChars="500"/>
        <w:rPr>
          <w:rFonts w:ascii="宋体" w:hAnsi="宋体" w:cs="宋体"/>
          <w:color w:val="auto"/>
          <w:kern w:val="0"/>
          <w:highlight w:val="none"/>
        </w:rPr>
      </w:pPr>
      <w:r>
        <w:rPr>
          <w:rFonts w:hint="default" w:ascii="Times New Roman" w:hAnsi="Times New Roman" w:eastAsia="宋体" w:cs="Times New Roman"/>
          <w:i/>
          <w:color w:val="auto"/>
          <w:highlight w:val="none"/>
        </w:rPr>
        <w:t>P</w:t>
      </w:r>
      <w:r>
        <w:rPr>
          <w:rFonts w:hint="default" w:ascii="Times New Roman" w:hAnsi="Times New Roman" w:eastAsia="宋体" w:cs="Times New Roman"/>
          <w:i/>
          <w:color w:val="auto"/>
          <w:highlight w:val="none"/>
          <w:vertAlign w:val="subscript"/>
        </w:rPr>
        <w:t>ij</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风险发生可能性对应的第</w:t>
      </w:r>
      <w:r>
        <w:rPr>
          <w:rFonts w:hint="default" w:ascii="Times New Roman" w:hAnsi="Times New Roman" w:eastAsia="宋体" w:cs="Times New Roman"/>
          <w:i/>
          <w:color w:val="auto"/>
          <w:highlight w:val="none"/>
        </w:rPr>
        <w:t>i</w:t>
      </w:r>
      <w:r>
        <w:rPr>
          <w:rFonts w:hint="eastAsia" w:ascii="宋体" w:hAnsi="宋体" w:eastAsia="宋体" w:cs="宋体"/>
          <w:color w:val="auto"/>
          <w:highlight w:val="none"/>
          <w:lang w:val="en-US" w:eastAsia="zh-CN"/>
        </w:rPr>
        <w:t>准则</w:t>
      </w:r>
      <w:r>
        <w:rPr>
          <w:rFonts w:hint="eastAsia" w:ascii="宋体" w:hAnsi="宋体" w:eastAsia="宋体" w:cs="宋体"/>
          <w:color w:val="auto"/>
          <w:highlight w:val="none"/>
        </w:rPr>
        <w:t>层第</w:t>
      </w:r>
      <w:r>
        <w:rPr>
          <w:rFonts w:hint="default" w:ascii="Times New Roman" w:hAnsi="Times New Roman" w:eastAsia="宋体" w:cs="Times New Roman"/>
          <w:i/>
          <w:color w:val="auto"/>
          <w:highlight w:val="none"/>
        </w:rPr>
        <w:t>j</w:t>
      </w:r>
      <w:r>
        <w:rPr>
          <w:rFonts w:hint="eastAsia" w:ascii="宋体" w:hAnsi="宋体" w:eastAsia="宋体" w:cs="宋体"/>
          <w:color w:val="auto"/>
          <w:highlight w:val="none"/>
          <w:lang w:val="en-US" w:eastAsia="zh-CN"/>
        </w:rPr>
        <w:t>指标</w:t>
      </w:r>
      <w:r>
        <w:rPr>
          <w:rFonts w:hint="eastAsia" w:ascii="宋体" w:hAnsi="宋体" w:eastAsia="宋体" w:cs="宋体"/>
          <w:color w:val="auto"/>
          <w:highlight w:val="none"/>
        </w:rPr>
        <w:t>层</w:t>
      </w:r>
      <w:r>
        <w:rPr>
          <w:rFonts w:hint="eastAsia" w:ascii="宋体" w:hAnsi="宋体" w:eastAsia="宋体" w:cs="宋体"/>
          <w:color w:val="auto"/>
          <w:highlight w:val="none"/>
          <w:lang w:val="en-US" w:eastAsia="zh-CN"/>
        </w:rPr>
        <w:t>指标的</w:t>
      </w:r>
      <w:r>
        <w:rPr>
          <w:rFonts w:hint="eastAsia" w:ascii="宋体" w:hAnsi="宋体" w:eastAsia="宋体" w:cs="宋体"/>
          <w:color w:val="auto"/>
          <w:highlight w:val="none"/>
        </w:rPr>
        <w:t>评分值</w:t>
      </w:r>
      <w:r>
        <w:rPr>
          <w:rFonts w:hint="eastAsia" w:ascii="宋体" w:hAnsi="宋体" w:eastAsia="宋体" w:cs="宋体"/>
          <w:color w:val="auto"/>
          <w:highlight w:val="none"/>
          <w:lang w:eastAsia="zh-CN"/>
        </w:rPr>
        <w:t>。</w:t>
      </w:r>
    </w:p>
    <w:p>
      <w:pPr>
        <w:spacing w:line="240" w:lineRule="auto"/>
        <w:rPr>
          <w:rFonts w:ascii="Times New Roman" w:hAnsi="Times New Roman" w:cs="Times New Roman"/>
          <w:i/>
          <w:color w:val="auto"/>
          <w:kern w:val="2"/>
          <w:highlight w:val="none"/>
        </w:rPr>
      </w:pPr>
      <w:r>
        <w:rPr>
          <w:rFonts w:hint="eastAsia" w:ascii="宋体" w:hAnsi="宋体" w:cs="宋体"/>
          <w:color w:val="auto"/>
          <w:kern w:val="0"/>
          <w:highlight w:val="none"/>
        </w:rPr>
        <w:t>5.1.3  失效后果严重性分析值应按照公式（2）计算：</w:t>
      </w:r>
    </w:p>
    <w:p>
      <w:pPr>
        <w:keepNext w:val="0"/>
        <w:keepLines w:val="0"/>
        <w:pageBreakBefore w:val="0"/>
        <w:widowControl w:val="0"/>
        <w:tabs>
          <w:tab w:val="right" w:leader="middleDot" w:pos="8820"/>
        </w:tabs>
        <w:kinsoku/>
        <w:wordWrap/>
        <w:overflowPunct/>
        <w:topLinePunct w:val="0"/>
        <w:autoSpaceDE/>
        <w:autoSpaceDN/>
        <w:bidi w:val="0"/>
        <w:adjustRightInd w:val="0"/>
        <w:snapToGrid/>
        <w:jc w:val="right"/>
        <w:textAlignment w:val="auto"/>
        <w:rPr>
          <w:rFonts w:hint="eastAsia" w:eastAsia="宋体"/>
          <w:color w:val="auto"/>
          <w:highlight w:val="none"/>
          <w:lang w:eastAsia="zh-CN"/>
        </w:rPr>
      </w:pPr>
      <w:r>
        <w:rPr>
          <w:rFonts w:hint="eastAsia"/>
          <w:i w:val="0"/>
          <w:color w:val="auto"/>
          <w:highlight w:val="none"/>
          <w:lang w:val="en-US" w:eastAsia="zh-CN"/>
        </w:rPr>
        <w:t xml:space="preserve">                            </w:t>
      </w:r>
      <m:oMath>
        <m:r>
          <m:rPr/>
          <w:rPr>
            <w:rFonts w:ascii="Cambria Math"/>
            <w:color w:val="auto"/>
            <w:highlight w:val="none"/>
          </w:rPr>
          <m:t>C=</m:t>
        </m:r>
        <m:nary>
          <m:naryPr>
            <m:chr m:val="∑"/>
            <m:ctrlPr>
              <w:rPr>
                <w:rFonts w:ascii="Cambria Math" w:hAnsi="Cambria Math"/>
                <w:i/>
                <w:color w:val="auto"/>
                <w:highlight w:val="none"/>
              </w:rPr>
            </m:ctrlPr>
          </m:naryPr>
          <m:sub>
            <m:r>
              <m:rPr/>
              <w:rPr>
                <w:rFonts w:ascii="Cambria Math"/>
                <w:color w:val="auto"/>
                <w:highlight w:val="none"/>
              </w:rPr>
              <m:t>i=1</m:t>
            </m:r>
            <m:ctrlPr>
              <w:rPr>
                <w:rFonts w:ascii="Cambria Math" w:hAnsi="Cambria Math"/>
                <w:i/>
                <w:color w:val="auto"/>
                <w:highlight w:val="none"/>
              </w:rPr>
            </m:ctrlPr>
          </m:sub>
          <m:sup>
            <m:sSub>
              <m:sSubPr>
                <m:ctrlPr>
                  <w:rPr>
                    <w:rFonts w:ascii="Cambria Math" w:hAnsi="Cambria Math"/>
                    <w:i/>
                    <w:color w:val="auto"/>
                    <w:highlight w:val="none"/>
                  </w:rPr>
                </m:ctrlPr>
              </m:sSubPr>
              <m:e>
                <m:r>
                  <m:rPr/>
                  <w:rPr>
                    <w:rFonts w:ascii="Cambria Math"/>
                    <w:color w:val="auto"/>
                    <w:highlight w:val="none"/>
                  </w:rPr>
                  <m:t>N</m:t>
                </m:r>
                <m:ctrlPr>
                  <w:rPr>
                    <w:rFonts w:ascii="Cambria Math" w:hAnsi="Cambria Math"/>
                    <w:i/>
                    <w:color w:val="auto"/>
                    <w:highlight w:val="none"/>
                  </w:rPr>
                </m:ctrlPr>
              </m:e>
              <m:sub>
                <m:r>
                  <m:rPr/>
                  <w:rPr>
                    <w:rFonts w:hint="default" w:ascii="Cambria Math" w:hAnsi="Cambria Math"/>
                    <w:color w:val="auto"/>
                    <w:highlight w:val="none"/>
                    <w:lang w:val="en-US" w:eastAsia="zh-CN"/>
                  </w:rPr>
                  <m:t>qn</m:t>
                </m:r>
                <m:ctrlPr>
                  <w:rPr>
                    <w:rFonts w:ascii="Cambria Math" w:hAnsi="Cambria Math"/>
                    <w:i/>
                    <w:color w:val="auto"/>
                    <w:highlight w:val="none"/>
                  </w:rPr>
                </m:ctrlPr>
              </m:sub>
            </m:sSub>
            <m:ctrlPr>
              <w:rPr>
                <w:rFonts w:ascii="Cambria Math" w:hAnsi="Cambria Math"/>
                <w:i/>
                <w:color w:val="auto"/>
                <w:highlight w:val="none"/>
              </w:rPr>
            </m:ctrlPr>
          </m:sup>
          <m:e>
            <m:sSub>
              <m:sSubPr>
                <m:ctrlPr>
                  <w:rPr>
                    <w:rFonts w:ascii="Cambria Math" w:hAnsi="Cambria Math"/>
                    <w:i/>
                    <w:color w:val="auto"/>
                    <w:highlight w:val="none"/>
                  </w:rPr>
                </m:ctrlPr>
              </m:sSubPr>
              <m:e>
                <m:r>
                  <m:rPr/>
                  <w:rPr>
                    <w:rFonts w:ascii="Cambria Math"/>
                    <w:color w:val="auto"/>
                    <w:highlight w:val="none"/>
                  </w:rPr>
                  <m:t>w</m:t>
                </m:r>
                <m:ctrlPr>
                  <w:rPr>
                    <w:rFonts w:ascii="Cambria Math" w:hAnsi="Cambria Math"/>
                    <w:i/>
                    <w:color w:val="auto"/>
                    <w:highlight w:val="none"/>
                  </w:rPr>
                </m:ctrlPr>
              </m:e>
              <m:sub>
                <m:r>
                  <m:rPr/>
                  <w:rPr>
                    <w:rFonts w:hint="default" w:ascii="Cambria Math" w:hAnsi="Cambria Math"/>
                    <w:color w:val="auto"/>
                    <w:highlight w:val="none"/>
                    <w:lang w:val="en-US" w:eastAsia="zh-CN"/>
                  </w:rPr>
                  <m:t>qi</m:t>
                </m:r>
                <m:ctrlPr>
                  <w:rPr>
                    <w:rFonts w:ascii="Cambria Math" w:hAnsi="Cambria Math"/>
                    <w:i/>
                    <w:color w:val="auto"/>
                    <w:highlight w:val="none"/>
                  </w:rPr>
                </m:ctrlPr>
              </m:sub>
            </m:sSub>
            <m:sSub>
              <m:sSubPr>
                <m:ctrlPr>
                  <w:rPr>
                    <w:rFonts w:ascii="Cambria Math" w:hAnsi="Cambria Math"/>
                    <w:i/>
                    <w:color w:val="auto"/>
                    <w:highlight w:val="none"/>
                  </w:rPr>
                </m:ctrlPr>
              </m:sSubPr>
              <m:e>
                <m:r>
                  <m:rPr>
                    <m:nor/>
                  </m:rPr>
                  <w:rPr>
                    <w:rFonts w:hint="default" w:ascii="Times New Roman" w:hAnsi="Times New Roman" w:cs="Times New Roman"/>
                    <w:i/>
                    <w:color w:val="auto"/>
                    <w:highlight w:val="none"/>
                  </w:rPr>
                  <m:t>Q</m:t>
                </m:r>
                <m:ctrlPr>
                  <w:rPr>
                    <w:rFonts w:ascii="Cambria Math" w:hAnsi="Cambria Math"/>
                    <w:i/>
                    <w:color w:val="auto"/>
                    <w:highlight w:val="none"/>
                  </w:rPr>
                </m:ctrlPr>
              </m:e>
              <m:sub>
                <m:r>
                  <m:rPr/>
                  <w:rPr>
                    <w:rFonts w:ascii="Cambria Math"/>
                    <w:color w:val="auto"/>
                    <w:highlight w:val="none"/>
                  </w:rPr>
                  <m:t>i</m:t>
                </m:r>
                <m:ctrlPr>
                  <w:rPr>
                    <w:rFonts w:ascii="Cambria Math" w:hAnsi="Cambria Math"/>
                    <w:i/>
                    <w:color w:val="auto"/>
                    <w:highlight w:val="none"/>
                  </w:rPr>
                </m:ctrlPr>
              </m:sub>
            </m:sSub>
            <m:ctrlPr>
              <w:rPr>
                <w:rFonts w:ascii="Cambria Math" w:hAnsi="Cambria Math"/>
                <w:i/>
                <w:color w:val="auto"/>
                <w:highlight w:val="none"/>
              </w:rPr>
            </m:ctrlPr>
          </m:e>
        </m:nary>
      </m:oMath>
      <w:r>
        <w:rPr>
          <w:rFonts w:hint="eastAsia" w:hAnsi="Cambria Math"/>
          <w:i w:val="0"/>
          <w:color w:val="auto"/>
          <w:highlight w:val="none"/>
          <w:lang w:val="en-US" w:eastAsia="zh-CN"/>
        </w:rPr>
        <w:tab/>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2</w:t>
      </w:r>
      <w:r>
        <w:rPr>
          <w:rFonts w:hint="eastAsia" w:ascii="宋体"/>
          <w:color w:val="auto"/>
          <w:kern w:val="0"/>
          <w:szCs w:val="20"/>
          <w:highlight w:val="none"/>
          <w:lang w:eastAsia="zh-CN"/>
        </w:rPr>
        <w:t>）</w:t>
      </w:r>
    </w:p>
    <w:p>
      <w:pPr>
        <w:spacing w:line="240" w:lineRule="auto"/>
        <w:ind w:firstLine="420" w:firstLineChars="200"/>
        <w:rPr>
          <w:color w:val="auto"/>
          <w:highlight w:val="none"/>
        </w:rPr>
      </w:pPr>
      <w:r>
        <w:rPr>
          <w:rFonts w:hint="eastAsia"/>
          <w:color w:val="auto"/>
          <w:highlight w:val="none"/>
        </w:rPr>
        <w:t>式中：</w:t>
      </w:r>
    </w:p>
    <w:p>
      <w:pPr>
        <w:spacing w:line="240" w:lineRule="auto"/>
        <w:ind w:firstLine="1050" w:firstLineChars="500"/>
        <w:rPr>
          <w:rFonts w:hint="eastAsia" w:ascii="宋体" w:hAnsi="宋体" w:eastAsia="宋体" w:cs="宋体"/>
          <w:color w:val="auto"/>
          <w:highlight w:val="none"/>
          <w:lang w:eastAsia="zh-CN"/>
        </w:rPr>
      </w:pPr>
      <w:r>
        <w:rPr>
          <w:rFonts w:hint="default" w:ascii="Times New Roman" w:hAnsi="Times New Roman" w:eastAsia="宋体" w:cs="Times New Roman"/>
          <w:i/>
          <w:color w:val="auto"/>
          <w:highlight w:val="none"/>
        </w:rPr>
        <w:t>C</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失效后果严重性分析值，按计算值向上取整数</w:t>
      </w:r>
      <w:r>
        <w:rPr>
          <w:rFonts w:hint="eastAsia" w:ascii="宋体" w:hAnsi="宋体" w:eastAsia="宋体" w:cs="宋体"/>
          <w:color w:val="auto"/>
          <w:highlight w:val="none"/>
          <w:lang w:eastAsia="zh-CN"/>
        </w:rPr>
        <w:t>；</w:t>
      </w:r>
    </w:p>
    <w:p>
      <w:pPr>
        <w:spacing w:line="240" w:lineRule="auto"/>
        <w:ind w:firstLine="1050" w:firstLineChars="500"/>
        <w:rPr>
          <w:rFonts w:hint="eastAsia" w:ascii="宋体" w:hAnsi="宋体" w:eastAsia="宋体" w:cs="宋体"/>
          <w:color w:val="auto"/>
          <w:highlight w:val="none"/>
          <w:lang w:eastAsia="zh-CN"/>
        </w:rPr>
      </w:pPr>
      <w:r>
        <w:rPr>
          <w:rFonts w:hint="default" w:ascii="Times New Roman" w:hAnsi="Times New Roman" w:eastAsia="宋体" w:cs="Times New Roman"/>
          <w:i/>
          <w:color w:val="auto"/>
          <w:highlight w:val="none"/>
        </w:rPr>
        <w:t>N</w:t>
      </w:r>
      <w:r>
        <w:rPr>
          <w:rFonts w:hint="default" w:ascii="Times New Roman" w:hAnsi="Times New Roman" w:eastAsia="宋体" w:cs="Times New Roman"/>
          <w:i/>
          <w:color w:val="auto"/>
          <w:highlight w:val="none"/>
          <w:vertAlign w:val="subscript"/>
        </w:rPr>
        <w:t>q</w:t>
      </w:r>
      <w:r>
        <w:rPr>
          <w:rFonts w:hint="default" w:ascii="Times New Roman" w:hAnsi="Times New Roman" w:cs="Times New Roman"/>
          <w:i/>
          <w:color w:val="auto"/>
          <w:highlight w:val="none"/>
          <w:vertAlign w:val="subscript"/>
          <w:lang w:val="en-US" w:eastAsia="zh-CN"/>
        </w:rPr>
        <w:t>n</w:t>
      </w:r>
      <w:r>
        <w:rPr>
          <w:rFonts w:hint="default" w:ascii="Times New Roman" w:hAnsi="Times New Roman" w:eastAsia="宋体" w:cs="Times New Roman"/>
          <w:i/>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w:t>
      </w:r>
      <w:r>
        <w:rPr>
          <w:rFonts w:hint="eastAsia" w:ascii="宋体" w:hAnsi="宋体" w:cs="宋体"/>
          <w:color w:val="auto"/>
          <w:highlight w:val="none"/>
          <w:lang w:val="en-US" w:eastAsia="zh-CN"/>
        </w:rPr>
        <w:t>指标</w:t>
      </w:r>
      <w:r>
        <w:rPr>
          <w:rFonts w:hint="eastAsia" w:ascii="宋体" w:hAnsi="宋体" w:eastAsia="宋体" w:cs="宋体"/>
          <w:color w:val="auto"/>
          <w:highlight w:val="none"/>
        </w:rPr>
        <w:t>层参数的数量</w:t>
      </w:r>
      <w:r>
        <w:rPr>
          <w:rFonts w:hint="eastAsia" w:ascii="宋体" w:hAnsi="宋体" w:eastAsia="宋体" w:cs="宋体"/>
          <w:color w:val="auto"/>
          <w:highlight w:val="none"/>
          <w:lang w:eastAsia="zh-CN"/>
        </w:rPr>
        <w:t>；</w:t>
      </w:r>
    </w:p>
    <w:p>
      <w:pPr>
        <w:spacing w:line="240" w:lineRule="auto"/>
        <w:ind w:firstLine="1050" w:firstLineChars="500"/>
        <w:rPr>
          <w:rFonts w:hint="eastAsia" w:ascii="宋体" w:hAnsi="宋体" w:eastAsia="宋体" w:cs="宋体"/>
          <w:i/>
          <w:color w:val="auto"/>
          <w:highlight w:val="none"/>
        </w:rPr>
      </w:pPr>
      <w:r>
        <w:rPr>
          <w:rFonts w:hint="default" w:ascii="Times New Roman" w:hAnsi="Times New Roman" w:eastAsia="宋体" w:cs="Times New Roman"/>
          <w:i/>
          <w:color w:val="auto"/>
          <w:highlight w:val="none"/>
        </w:rPr>
        <w:t>w</w:t>
      </w:r>
      <w:r>
        <w:rPr>
          <w:rFonts w:hint="default" w:ascii="Times New Roman" w:hAnsi="Times New Roman" w:eastAsia="宋体" w:cs="Times New Roman"/>
          <w:i/>
          <w:color w:val="auto"/>
          <w:highlight w:val="none"/>
          <w:vertAlign w:val="subscript"/>
        </w:rPr>
        <w:t>qi</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失效后果严重性第</w:t>
      </w:r>
      <w:r>
        <w:rPr>
          <w:rFonts w:hint="default" w:ascii="Times New Roman" w:hAnsi="Times New Roman" w:eastAsia="宋体" w:cs="Times New Roman"/>
          <w:i/>
          <w:color w:val="auto"/>
          <w:highlight w:val="none"/>
        </w:rPr>
        <w:t>i</w:t>
      </w:r>
      <w:r>
        <w:rPr>
          <w:rFonts w:hint="eastAsia" w:ascii="宋体" w:hAnsi="宋体" w:cs="宋体"/>
          <w:i w:val="0"/>
          <w:iCs/>
          <w:color w:val="auto"/>
          <w:highlight w:val="none"/>
          <w:lang w:val="en-US" w:eastAsia="zh-CN"/>
        </w:rPr>
        <w:t>指标</w:t>
      </w:r>
      <w:r>
        <w:rPr>
          <w:rFonts w:hint="eastAsia" w:ascii="宋体" w:hAnsi="宋体" w:eastAsia="宋体" w:cs="宋体"/>
          <w:color w:val="auto"/>
          <w:highlight w:val="none"/>
        </w:rPr>
        <w:t>的权重，按</w:t>
      </w:r>
      <w:r>
        <w:rPr>
          <w:rFonts w:hint="eastAsia" w:ascii="宋体" w:hAnsi="宋体" w:eastAsia="宋体" w:cs="宋体"/>
          <w:color w:val="auto"/>
          <w:highlight w:val="none"/>
          <w:lang w:val="en-US" w:eastAsia="zh-CN"/>
        </w:rPr>
        <w:t>表A.2或</w:t>
      </w:r>
      <w:r>
        <w:rPr>
          <w:rFonts w:hint="eastAsia" w:ascii="宋体" w:hAnsi="宋体" w:eastAsia="宋体" w:cs="宋体"/>
          <w:color w:val="auto"/>
          <w:highlight w:val="none"/>
        </w:rPr>
        <w:t>表B.</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执行；</w:t>
      </w:r>
    </w:p>
    <w:p>
      <w:pPr>
        <w:spacing w:line="240" w:lineRule="auto"/>
        <w:ind w:firstLine="1050" w:firstLineChars="500"/>
        <w:rPr>
          <w:rFonts w:hint="eastAsia" w:ascii="宋体" w:hAnsi="宋体" w:eastAsia="宋体" w:cs="宋体"/>
          <w:color w:val="auto"/>
          <w:kern w:val="0"/>
          <w:highlight w:val="none"/>
        </w:rPr>
      </w:pPr>
      <w:r>
        <w:rPr>
          <w:rFonts w:hint="default" w:ascii="Times New Roman" w:hAnsi="Times New Roman" w:eastAsia="宋体" w:cs="Times New Roman"/>
          <w:i/>
          <w:color w:val="auto"/>
          <w:highlight w:val="none"/>
        </w:rPr>
        <w:t>Q</w:t>
      </w:r>
      <w:r>
        <w:rPr>
          <w:rFonts w:hint="default" w:ascii="Times New Roman" w:hAnsi="Times New Roman" w:eastAsia="宋体" w:cs="Times New Roman"/>
          <w:i/>
          <w:color w:val="auto"/>
          <w:highlight w:val="none"/>
          <w:vertAlign w:val="subscript"/>
        </w:rPr>
        <w:t>ij</w:t>
      </w:r>
      <w:r>
        <w:rPr>
          <w:rFonts w:hint="default" w:ascii="Times New Roman" w:hAnsi="Times New Roman" w:eastAsia="宋体" w:cs="Times New Roman"/>
          <w:i/>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失效后果严重性第</w:t>
      </w:r>
      <w:r>
        <w:rPr>
          <w:rFonts w:hint="default" w:ascii="Times New Roman" w:hAnsi="Times New Roman" w:eastAsia="宋体" w:cs="Times New Roman"/>
          <w:i/>
          <w:color w:val="auto"/>
          <w:highlight w:val="none"/>
        </w:rPr>
        <w:t>i</w:t>
      </w:r>
      <w:r>
        <w:rPr>
          <w:rFonts w:hint="eastAsia" w:ascii="宋体" w:hAnsi="宋体" w:eastAsia="宋体" w:cs="宋体"/>
          <w:color w:val="auto"/>
          <w:highlight w:val="none"/>
          <w:lang w:val="en-US" w:eastAsia="zh-CN"/>
        </w:rPr>
        <w:t>指标的</w:t>
      </w:r>
      <w:r>
        <w:rPr>
          <w:rFonts w:hint="eastAsia" w:ascii="宋体" w:hAnsi="宋体" w:eastAsia="宋体" w:cs="宋体"/>
          <w:color w:val="auto"/>
          <w:highlight w:val="none"/>
        </w:rPr>
        <w:t>评分值</w:t>
      </w:r>
      <w:r>
        <w:rPr>
          <w:rFonts w:hint="eastAsia" w:ascii="宋体" w:hAnsi="宋体" w:eastAsia="宋体" w:cs="宋体"/>
          <w:color w:val="auto"/>
          <w:highlight w:val="none"/>
          <w:lang w:eastAsia="zh-CN"/>
        </w:rPr>
        <w:t>。</w:t>
      </w:r>
    </w:p>
    <w:p>
      <w:pPr>
        <w:spacing w:line="240" w:lineRule="auto"/>
        <w:rPr>
          <w:rFonts w:ascii="宋体" w:hAnsi="宋体" w:cs="宋体"/>
          <w:color w:val="auto"/>
          <w:kern w:val="0"/>
          <w:highlight w:val="none"/>
        </w:rPr>
      </w:pPr>
      <w:r>
        <w:rPr>
          <w:rFonts w:hint="eastAsia" w:ascii="宋体" w:hAnsi="宋体" w:cs="宋体"/>
          <w:color w:val="auto"/>
          <w:kern w:val="0"/>
          <w:highlight w:val="none"/>
        </w:rPr>
        <w:t>5.1.4  风险发生可能性分析指标体系包括准则层和指标层，准则层包括物理属性、周边环境、运行维修3项影响因素，指标层涉及1</w:t>
      </w:r>
      <w:r>
        <w:rPr>
          <w:rFonts w:hint="eastAsia" w:ascii="宋体" w:hAnsi="宋体" w:cs="宋体"/>
          <w:color w:val="auto"/>
          <w:kern w:val="0"/>
          <w:highlight w:val="none"/>
          <w:lang w:val="en-US" w:eastAsia="zh-CN"/>
        </w:rPr>
        <w:t>4</w:t>
      </w:r>
      <w:r>
        <w:rPr>
          <w:rFonts w:hint="eastAsia" w:ascii="宋体" w:hAnsi="宋体" w:cs="宋体"/>
          <w:color w:val="auto"/>
          <w:kern w:val="0"/>
          <w:highlight w:val="none"/>
        </w:rPr>
        <w:t>项指标，可能性分析指标体系见表1。常规风险分析包含</w:t>
      </w:r>
      <w:r>
        <w:rPr>
          <w:rFonts w:hint="eastAsia" w:ascii="宋体" w:hAnsi="宋体" w:cs="宋体"/>
          <w:color w:val="auto"/>
          <w:kern w:val="0"/>
          <w:highlight w:val="none"/>
          <w:lang w:val="en-US" w:eastAsia="zh-CN"/>
        </w:rPr>
        <w:t>8</w:t>
      </w:r>
      <w:r>
        <w:rPr>
          <w:rFonts w:hint="eastAsia" w:ascii="宋体" w:hAnsi="宋体" w:cs="宋体"/>
          <w:color w:val="auto"/>
          <w:kern w:val="0"/>
          <w:highlight w:val="none"/>
        </w:rPr>
        <w:t>项指标，详细风险分析包含1</w:t>
      </w:r>
      <w:r>
        <w:rPr>
          <w:rFonts w:hint="eastAsia" w:ascii="宋体" w:hAnsi="宋体" w:cs="宋体"/>
          <w:color w:val="auto"/>
          <w:kern w:val="0"/>
          <w:highlight w:val="none"/>
          <w:lang w:val="en-US" w:eastAsia="zh-CN"/>
        </w:rPr>
        <w:t>4</w:t>
      </w:r>
      <w:r>
        <w:rPr>
          <w:rFonts w:hint="eastAsia" w:ascii="宋体" w:hAnsi="宋体" w:cs="宋体"/>
          <w:color w:val="auto"/>
          <w:kern w:val="0"/>
          <w:highlight w:val="none"/>
        </w:rPr>
        <w:t>项指标。</w:t>
      </w:r>
    </w:p>
    <w:p>
      <w:pPr>
        <w:pStyle w:val="235"/>
        <w:spacing w:before="156" w:beforeLines="50" w:after="156" w:afterLines="50"/>
        <w:jc w:val="center"/>
        <w:rPr>
          <w:rFonts w:ascii="黑体" w:hAnsi="黑体" w:eastAsia="黑体"/>
          <w:color w:val="auto"/>
          <w:highlight w:val="none"/>
        </w:rPr>
      </w:pPr>
      <w:r>
        <w:rPr>
          <w:rFonts w:hint="eastAsia" w:ascii="黑体" w:hAnsi="黑体" w:eastAsia="黑体" w:cs="黑体"/>
          <w:color w:val="auto"/>
          <w:highlight w:val="none"/>
        </w:rPr>
        <w:t>表1 供水地下管线风险发生可能性分析指标体系</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2033"/>
        <w:gridCol w:w="1494"/>
        <w:gridCol w:w="1494"/>
        <w:gridCol w:w="14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tcBorders>
              <w:bottom w:val="single" w:color="auto" w:sz="12" w:space="0"/>
            </w:tcBorders>
            <w:vAlign w:val="center"/>
          </w:tcPr>
          <w:p>
            <w:pPr>
              <w:jc w:val="center"/>
              <w:rPr>
                <w:rFonts w:ascii="宋体" w:hAnsi="宋体" w:cs="宋体"/>
                <w:bCs/>
                <w:color w:val="auto"/>
                <w:sz w:val="18"/>
                <w:szCs w:val="18"/>
                <w:highlight w:val="none"/>
              </w:rPr>
            </w:pPr>
            <w:r>
              <w:rPr>
                <w:rFonts w:hint="eastAsia" w:ascii="宋体" w:hAnsi="宋体" w:cs="宋体"/>
                <w:bCs/>
                <w:color w:val="auto"/>
                <w:sz w:val="18"/>
                <w:szCs w:val="18"/>
                <w:highlight w:val="none"/>
              </w:rPr>
              <w:t>准则层</w:t>
            </w:r>
          </w:p>
        </w:tc>
        <w:tc>
          <w:tcPr>
            <w:tcW w:w="2033" w:type="dxa"/>
            <w:tcBorders>
              <w:bottom w:val="single" w:color="auto" w:sz="12" w:space="0"/>
            </w:tcBorders>
            <w:vAlign w:val="center"/>
          </w:tcPr>
          <w:p>
            <w:pPr>
              <w:jc w:val="center"/>
              <w:rPr>
                <w:rFonts w:ascii="宋体" w:hAnsi="宋体" w:cs="宋体"/>
                <w:bCs/>
                <w:color w:val="auto"/>
                <w:sz w:val="18"/>
                <w:szCs w:val="18"/>
                <w:highlight w:val="none"/>
              </w:rPr>
            </w:pPr>
            <w:r>
              <w:rPr>
                <w:rFonts w:hint="eastAsia" w:ascii="宋体" w:hAnsi="宋体" w:cs="宋体"/>
                <w:bCs/>
                <w:color w:val="auto"/>
                <w:sz w:val="18"/>
                <w:szCs w:val="18"/>
                <w:highlight w:val="none"/>
              </w:rPr>
              <w:t>指标层</w:t>
            </w:r>
          </w:p>
        </w:tc>
        <w:tc>
          <w:tcPr>
            <w:tcW w:w="1494" w:type="dxa"/>
            <w:tcBorders>
              <w:bottom w:val="single" w:color="auto" w:sz="12" w:space="0"/>
            </w:tcBorders>
            <w:vAlign w:val="center"/>
          </w:tcPr>
          <w:p>
            <w:pPr>
              <w:jc w:val="center"/>
              <w:rPr>
                <w:rFonts w:ascii="宋体" w:hAnsi="宋体" w:cs="宋体"/>
                <w:bCs/>
                <w:color w:val="auto"/>
                <w:sz w:val="18"/>
                <w:szCs w:val="18"/>
                <w:highlight w:val="none"/>
              </w:rPr>
            </w:pPr>
            <w:r>
              <w:rPr>
                <w:rFonts w:hint="eastAsia" w:ascii="宋体" w:hAnsi="宋体" w:cs="宋体"/>
                <w:bCs/>
                <w:color w:val="auto"/>
                <w:sz w:val="18"/>
                <w:szCs w:val="18"/>
                <w:highlight w:val="none"/>
              </w:rPr>
              <w:t>指标编号</w:t>
            </w:r>
          </w:p>
        </w:tc>
        <w:tc>
          <w:tcPr>
            <w:tcW w:w="1494" w:type="dxa"/>
            <w:tcBorders>
              <w:bottom w:val="single" w:color="auto" w:sz="12" w:space="0"/>
            </w:tcBorders>
            <w:vAlign w:val="center"/>
          </w:tcPr>
          <w:p>
            <w:pPr>
              <w:jc w:val="center"/>
              <w:rPr>
                <w:rFonts w:ascii="宋体" w:hAnsi="宋体" w:cs="宋体"/>
                <w:bCs/>
                <w:color w:val="auto"/>
                <w:sz w:val="18"/>
                <w:szCs w:val="18"/>
                <w:highlight w:val="none"/>
              </w:rPr>
            </w:pPr>
            <w:r>
              <w:rPr>
                <w:rFonts w:hint="eastAsia" w:ascii="宋体" w:hAnsi="宋体" w:cs="宋体"/>
                <w:bCs/>
                <w:color w:val="auto"/>
                <w:sz w:val="18"/>
                <w:szCs w:val="18"/>
                <w:highlight w:val="none"/>
              </w:rPr>
              <w:t>常规风险分析</w:t>
            </w:r>
          </w:p>
        </w:tc>
        <w:tc>
          <w:tcPr>
            <w:tcW w:w="1496" w:type="dxa"/>
            <w:tcBorders>
              <w:bottom w:val="single" w:color="auto" w:sz="12" w:space="0"/>
            </w:tcBorders>
            <w:vAlign w:val="center"/>
          </w:tcPr>
          <w:p>
            <w:pPr>
              <w:jc w:val="center"/>
              <w:rPr>
                <w:rFonts w:ascii="宋体" w:hAnsi="宋体" w:cs="宋体"/>
                <w:bCs/>
                <w:color w:val="auto"/>
                <w:sz w:val="18"/>
                <w:szCs w:val="18"/>
                <w:highlight w:val="none"/>
              </w:rPr>
            </w:pPr>
            <w:r>
              <w:rPr>
                <w:rFonts w:hint="eastAsia" w:ascii="宋体" w:hAnsi="宋体" w:cs="宋体"/>
                <w:bCs/>
                <w:color w:val="auto"/>
                <w:sz w:val="18"/>
                <w:szCs w:val="18"/>
                <w:highlight w:val="none"/>
              </w:rPr>
              <w:t>详细风险分析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restart"/>
            <w:tcBorders>
              <w:top w:val="single" w:color="auto" w:sz="12" w:space="0"/>
              <w:tl2br w:val="nil"/>
              <w:tr2bl w:val="nil"/>
            </w:tcBorders>
            <w:vAlign w:val="center"/>
          </w:tcPr>
          <w:p>
            <w:pPr>
              <w:pStyle w:val="246"/>
              <w:jc w:val="center"/>
              <w:rPr>
                <w:rFonts w:hint="default" w:ascii="宋体" w:hAnsi="宋体" w:cs="宋体"/>
                <w:color w:val="auto"/>
                <w:sz w:val="18"/>
                <w:szCs w:val="18"/>
                <w:highlight w:val="none"/>
              </w:rPr>
            </w:pPr>
            <w:r>
              <w:rPr>
                <w:rFonts w:ascii="宋体" w:hAnsi="宋体" w:cs="宋体"/>
                <w:color w:val="auto"/>
                <w:sz w:val="18"/>
                <w:szCs w:val="18"/>
                <w:highlight w:val="none"/>
              </w:rPr>
              <w:t>物理属性</w:t>
            </w:r>
          </w:p>
          <w:p>
            <w:pPr>
              <w:jc w:val="center"/>
              <w:rPr>
                <w:rFonts w:ascii="宋体" w:hAnsi="宋体" w:cs="宋体"/>
                <w:color w:val="auto"/>
                <w:sz w:val="18"/>
                <w:szCs w:val="18"/>
                <w:highlight w:val="none"/>
              </w:rPr>
            </w:pPr>
            <w:r>
              <w:rPr>
                <w:rFonts w:hint="eastAsia" w:ascii="宋体" w:hAnsi="宋体" w:cs="宋体"/>
                <w:color w:val="auto"/>
                <w:sz w:val="18"/>
                <w:szCs w:val="18"/>
                <w:highlight w:val="none"/>
              </w:rPr>
              <w:t>PC</w:t>
            </w:r>
          </w:p>
        </w:tc>
        <w:tc>
          <w:tcPr>
            <w:tcW w:w="2033"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管材</w:t>
            </w:r>
          </w:p>
        </w:tc>
        <w:tc>
          <w:tcPr>
            <w:tcW w:w="1494"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PC1</w:t>
            </w:r>
          </w:p>
        </w:tc>
        <w:tc>
          <w:tcPr>
            <w:tcW w:w="1494"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管径</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PC2</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管龄</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PC3</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结构安全</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PC4</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restart"/>
            <w:tcBorders>
              <w:tl2br w:val="nil"/>
              <w:tr2bl w:val="nil"/>
            </w:tcBorders>
            <w:vAlign w:val="center"/>
          </w:tcPr>
          <w:p>
            <w:pPr>
              <w:pStyle w:val="246"/>
              <w:jc w:val="center"/>
              <w:rPr>
                <w:rFonts w:hint="default" w:ascii="宋体" w:hAnsi="宋体" w:cs="宋体"/>
                <w:color w:val="auto"/>
                <w:sz w:val="18"/>
                <w:szCs w:val="18"/>
                <w:highlight w:val="none"/>
              </w:rPr>
            </w:pPr>
            <w:r>
              <w:rPr>
                <w:rFonts w:ascii="宋体" w:hAnsi="宋体" w:cs="宋体"/>
                <w:color w:val="auto"/>
                <w:sz w:val="18"/>
                <w:szCs w:val="18"/>
                <w:highlight w:val="none"/>
              </w:rPr>
              <w:t>周边环境</w:t>
            </w:r>
          </w:p>
          <w:p>
            <w:pPr>
              <w:jc w:val="center"/>
              <w:rPr>
                <w:rFonts w:ascii="宋体" w:hAnsi="宋体" w:cs="宋体"/>
                <w:color w:val="auto"/>
                <w:sz w:val="18"/>
                <w:szCs w:val="18"/>
                <w:highlight w:val="none"/>
              </w:rPr>
            </w:pPr>
            <w:r>
              <w:rPr>
                <w:rFonts w:hint="eastAsia" w:ascii="宋体" w:hAnsi="宋体" w:cs="宋体"/>
                <w:color w:val="auto"/>
                <w:sz w:val="18"/>
                <w:szCs w:val="18"/>
                <w:highlight w:val="none"/>
              </w:rPr>
              <w:t>PE</w:t>
            </w: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道路等级</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PE1</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覆土深度</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PE2</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地面性质</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PE3</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土体腐蚀性</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PE4</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周边扰动</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PE5</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临时堆载</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PE6</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restart"/>
            <w:tcBorders>
              <w:tl2br w:val="nil"/>
              <w:tr2bl w:val="nil"/>
            </w:tcBorders>
            <w:vAlign w:val="center"/>
          </w:tcPr>
          <w:p>
            <w:pPr>
              <w:pStyle w:val="246"/>
              <w:jc w:val="center"/>
              <w:rPr>
                <w:rFonts w:hint="default" w:ascii="宋体" w:hAnsi="宋体" w:cs="宋体"/>
                <w:color w:val="auto"/>
                <w:sz w:val="18"/>
                <w:szCs w:val="18"/>
                <w:highlight w:val="none"/>
              </w:rPr>
            </w:pPr>
            <w:r>
              <w:rPr>
                <w:rFonts w:ascii="宋体" w:hAnsi="宋体" w:cs="宋体"/>
                <w:color w:val="auto"/>
                <w:sz w:val="18"/>
                <w:szCs w:val="18"/>
                <w:highlight w:val="none"/>
              </w:rPr>
              <w:t>运行维修</w:t>
            </w:r>
          </w:p>
          <w:p>
            <w:pPr>
              <w:pStyle w:val="246"/>
              <w:jc w:val="center"/>
              <w:rPr>
                <w:rFonts w:hint="default" w:ascii="宋体" w:hAnsi="宋体" w:cs="宋体"/>
                <w:color w:val="auto"/>
                <w:sz w:val="18"/>
                <w:szCs w:val="18"/>
                <w:highlight w:val="none"/>
              </w:rPr>
            </w:pPr>
            <w:r>
              <w:rPr>
                <w:rFonts w:ascii="宋体" w:hAnsi="宋体" w:cs="宋体"/>
                <w:color w:val="auto"/>
                <w:sz w:val="18"/>
                <w:szCs w:val="18"/>
                <w:highlight w:val="none"/>
              </w:rPr>
              <w:t>PRM</w:t>
            </w: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近五年漏损总次数</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PRM1</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pStyle w:val="246"/>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管线运行压力</w:t>
            </w:r>
          </w:p>
        </w:tc>
        <w:tc>
          <w:tcPr>
            <w:tcW w:w="1494" w:type="dxa"/>
            <w:tcBorders>
              <w:tl2br w:val="nil"/>
              <w:tr2bl w:val="nil"/>
            </w:tcBorders>
            <w:vAlign w:val="center"/>
          </w:tcPr>
          <w:p>
            <w:pPr>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PRM</w:t>
            </w:r>
            <w:r>
              <w:rPr>
                <w:rFonts w:hint="eastAsia" w:ascii="宋体" w:hAnsi="宋体" w:cs="宋体"/>
                <w:color w:val="auto"/>
                <w:sz w:val="18"/>
                <w:szCs w:val="18"/>
                <w:highlight w:val="none"/>
                <w:lang w:val="en-US" w:eastAsia="zh-CN"/>
              </w:rPr>
              <w:t>2</w:t>
            </w:r>
          </w:p>
        </w:tc>
        <w:tc>
          <w:tcPr>
            <w:tcW w:w="1494" w:type="dxa"/>
            <w:tcBorders>
              <w:tl2br w:val="nil"/>
              <w:tr2bl w:val="nil"/>
            </w:tcBorders>
            <w:vAlign w:val="center"/>
          </w:tcPr>
          <w:p>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压力稳定状态</w:t>
            </w:r>
          </w:p>
        </w:tc>
        <w:tc>
          <w:tcPr>
            <w:tcW w:w="1494" w:type="dxa"/>
            <w:tcBorders>
              <w:tl2br w:val="nil"/>
              <w:tr2bl w:val="nil"/>
            </w:tcBorders>
            <w:vAlign w:val="center"/>
          </w:tcPr>
          <w:p>
            <w:pPr>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PRM</w:t>
            </w:r>
            <w:r>
              <w:rPr>
                <w:rFonts w:hint="eastAsia" w:ascii="宋体" w:hAnsi="宋体" w:cs="宋体"/>
                <w:color w:val="auto"/>
                <w:sz w:val="18"/>
                <w:szCs w:val="18"/>
                <w:highlight w:val="none"/>
                <w:lang w:val="en-US" w:eastAsia="zh-CN"/>
              </w:rPr>
              <w:t>3</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20" w:type="dxa"/>
            <w:vMerge w:val="continue"/>
            <w:tcBorders>
              <w:tl2br w:val="nil"/>
              <w:tr2bl w:val="nil"/>
            </w:tcBorders>
            <w:vAlign w:val="center"/>
          </w:tcPr>
          <w:p>
            <w:pPr>
              <w:jc w:val="center"/>
              <w:rPr>
                <w:rFonts w:ascii="宋体" w:hAnsi="宋体" w:cs="宋体"/>
                <w:color w:val="auto"/>
                <w:sz w:val="18"/>
                <w:szCs w:val="18"/>
                <w:highlight w:val="none"/>
              </w:rPr>
            </w:pPr>
          </w:p>
        </w:tc>
        <w:tc>
          <w:tcPr>
            <w:tcW w:w="2033"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巡检周期</w:t>
            </w:r>
          </w:p>
        </w:tc>
        <w:tc>
          <w:tcPr>
            <w:tcW w:w="1494" w:type="dxa"/>
            <w:tcBorders>
              <w:tl2br w:val="nil"/>
              <w:tr2bl w:val="nil"/>
            </w:tcBorders>
            <w:vAlign w:val="center"/>
          </w:tcPr>
          <w:p>
            <w:pPr>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PRM</w:t>
            </w:r>
            <w:r>
              <w:rPr>
                <w:rFonts w:hint="eastAsia" w:ascii="宋体" w:hAnsi="宋体" w:cs="宋体"/>
                <w:color w:val="auto"/>
                <w:sz w:val="18"/>
                <w:szCs w:val="18"/>
                <w:highlight w:val="none"/>
                <w:lang w:val="en-US" w:eastAsia="zh-CN"/>
              </w:rPr>
              <w:t>4</w:t>
            </w:r>
          </w:p>
        </w:tc>
        <w:tc>
          <w:tcPr>
            <w:tcW w:w="1494"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496"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37" w:type="dxa"/>
            <w:gridSpan w:val="5"/>
            <w:tcBorders>
              <w:tl2br w:val="nil"/>
              <w:tr2bl w:val="nil"/>
            </w:tcBorders>
            <w:vAlign w:val="center"/>
          </w:tcPr>
          <w:p>
            <w:pPr>
              <w:pStyle w:val="245"/>
              <w:jc w:val="both"/>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注：符号○表示需要，符号－表示不需要。</w:t>
            </w:r>
          </w:p>
        </w:tc>
      </w:tr>
    </w:tbl>
    <w:p>
      <w:pPr>
        <w:spacing w:line="240" w:lineRule="auto"/>
        <w:rPr>
          <w:rFonts w:ascii="宋体" w:hAnsi="宋体" w:cs="宋体"/>
          <w:color w:val="auto"/>
          <w:kern w:val="0"/>
          <w:highlight w:val="none"/>
        </w:rPr>
      </w:pPr>
    </w:p>
    <w:p>
      <w:pPr>
        <w:spacing w:line="240" w:lineRule="auto"/>
        <w:rPr>
          <w:rFonts w:ascii="宋体" w:hAnsi="宋体" w:cs="宋体"/>
          <w:color w:val="auto"/>
          <w:kern w:val="0"/>
          <w:highlight w:val="none"/>
        </w:rPr>
      </w:pPr>
      <w:r>
        <w:rPr>
          <w:rFonts w:hint="eastAsia" w:ascii="宋体" w:hAnsi="宋体" w:cs="宋体"/>
          <w:color w:val="auto"/>
          <w:kern w:val="0"/>
          <w:highlight w:val="none"/>
        </w:rPr>
        <w:t>5.1.5  失效后果严重性分析指标体系涉及6项指标，详见表2。常规风险分析包含3项指标，详细风险分析包含6项指标。</w:t>
      </w:r>
    </w:p>
    <w:p>
      <w:pPr>
        <w:pStyle w:val="235"/>
        <w:spacing w:before="156" w:beforeLines="50" w:after="156" w:afterLines="50"/>
        <w:jc w:val="center"/>
        <w:rPr>
          <w:rFonts w:ascii="黑体" w:hAnsi="黑体" w:eastAsia="黑体"/>
          <w:color w:val="auto"/>
          <w:highlight w:val="none"/>
        </w:rPr>
      </w:pPr>
      <w:r>
        <w:rPr>
          <w:rFonts w:hint="eastAsia" w:ascii="黑体" w:hAnsi="黑体" w:eastAsia="黑体" w:cs="黑体"/>
          <w:color w:val="auto"/>
          <w:highlight w:val="none"/>
        </w:rPr>
        <w:t>表2 供水地下管线失效后果严重性分析指标体系</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Layout w:type="fixed"/>
        <w:tblCellMar>
          <w:top w:w="0" w:type="dxa"/>
          <w:left w:w="108" w:type="dxa"/>
          <w:bottom w:w="0" w:type="dxa"/>
          <w:right w:w="108" w:type="dxa"/>
        </w:tblCellMar>
      </w:tblPr>
      <w:tblGrid>
        <w:gridCol w:w="2970"/>
        <w:gridCol w:w="1655"/>
        <w:gridCol w:w="1655"/>
        <w:gridCol w:w="16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bottom w:val="single" w:color="auto" w:sz="12" w:space="0"/>
            </w:tcBorders>
            <w:vAlign w:val="center"/>
          </w:tcPr>
          <w:p>
            <w:pPr>
              <w:jc w:val="center"/>
              <w:rPr>
                <w:rFonts w:ascii="宋体" w:hAnsi="宋体" w:cs="宋体"/>
                <w:b/>
                <w:color w:val="auto"/>
                <w:sz w:val="18"/>
                <w:szCs w:val="18"/>
                <w:highlight w:val="none"/>
              </w:rPr>
            </w:pPr>
            <w:r>
              <w:rPr>
                <w:rFonts w:hint="eastAsia" w:ascii="宋体" w:hAnsi="宋体" w:cs="宋体"/>
                <w:bCs/>
                <w:color w:val="auto"/>
                <w:sz w:val="18"/>
                <w:szCs w:val="18"/>
                <w:highlight w:val="none"/>
              </w:rPr>
              <w:t>指标层</w:t>
            </w:r>
          </w:p>
        </w:tc>
        <w:tc>
          <w:tcPr>
            <w:tcW w:w="1655" w:type="dxa"/>
            <w:tcBorders>
              <w:bottom w:val="single" w:color="auto" w:sz="12" w:space="0"/>
            </w:tcBorders>
            <w:vAlign w:val="center"/>
          </w:tcPr>
          <w:p>
            <w:pPr>
              <w:jc w:val="center"/>
              <w:rPr>
                <w:rFonts w:ascii="宋体" w:hAnsi="宋体" w:cs="宋体"/>
                <w:b/>
                <w:color w:val="auto"/>
                <w:sz w:val="18"/>
                <w:szCs w:val="18"/>
                <w:highlight w:val="none"/>
              </w:rPr>
            </w:pPr>
            <w:r>
              <w:rPr>
                <w:rFonts w:hint="eastAsia" w:ascii="宋体" w:hAnsi="宋体" w:cs="宋体"/>
                <w:bCs/>
                <w:color w:val="auto"/>
                <w:sz w:val="18"/>
                <w:szCs w:val="18"/>
                <w:highlight w:val="none"/>
              </w:rPr>
              <w:t>指标编号</w:t>
            </w:r>
          </w:p>
        </w:tc>
        <w:tc>
          <w:tcPr>
            <w:tcW w:w="1655" w:type="dxa"/>
            <w:tcBorders>
              <w:bottom w:val="single" w:color="auto" w:sz="12" w:space="0"/>
            </w:tcBorders>
            <w:vAlign w:val="center"/>
          </w:tcPr>
          <w:p>
            <w:pPr>
              <w:jc w:val="center"/>
              <w:rPr>
                <w:rFonts w:ascii="宋体" w:hAnsi="宋体" w:cs="宋体"/>
                <w:b/>
                <w:color w:val="auto"/>
                <w:sz w:val="18"/>
                <w:szCs w:val="18"/>
                <w:highlight w:val="none"/>
              </w:rPr>
            </w:pPr>
            <w:r>
              <w:rPr>
                <w:rFonts w:hint="eastAsia" w:ascii="宋体" w:hAnsi="宋体" w:cs="宋体"/>
                <w:bCs/>
                <w:color w:val="auto"/>
                <w:sz w:val="18"/>
                <w:szCs w:val="18"/>
                <w:highlight w:val="none"/>
              </w:rPr>
              <w:t>常规风险分析</w:t>
            </w:r>
          </w:p>
        </w:tc>
        <w:tc>
          <w:tcPr>
            <w:tcW w:w="1657" w:type="dxa"/>
            <w:tcBorders>
              <w:bottom w:val="single" w:color="auto" w:sz="12" w:space="0"/>
            </w:tcBorders>
            <w:vAlign w:val="center"/>
          </w:tcPr>
          <w:p>
            <w:pPr>
              <w:jc w:val="center"/>
              <w:rPr>
                <w:rFonts w:ascii="宋体" w:hAnsi="宋体" w:cs="宋体"/>
                <w:b/>
                <w:color w:val="auto"/>
                <w:sz w:val="18"/>
                <w:szCs w:val="18"/>
                <w:highlight w:val="none"/>
              </w:rPr>
            </w:pPr>
            <w:r>
              <w:rPr>
                <w:rFonts w:hint="eastAsia" w:ascii="宋体" w:hAnsi="宋体" w:cs="宋体"/>
                <w:bCs/>
                <w:color w:val="auto"/>
                <w:sz w:val="18"/>
                <w:szCs w:val="18"/>
                <w:highlight w:val="none"/>
              </w:rPr>
              <w:t>详细风险分析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影响用户量</w:t>
            </w:r>
          </w:p>
        </w:tc>
        <w:tc>
          <w:tcPr>
            <w:tcW w:w="1655"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NU</w:t>
            </w:r>
          </w:p>
        </w:tc>
        <w:tc>
          <w:tcPr>
            <w:tcW w:w="1655"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敷设区域</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BD</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管网布局类型</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NR</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管线漏水量</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QL</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道路及周边区域积水</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RB</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2970"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供水中断导致停止服务时长</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ST</w:t>
            </w:r>
          </w:p>
        </w:tc>
        <w:tc>
          <w:tcPr>
            <w:tcW w:w="1655"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c>
          <w:tcPr>
            <w:tcW w:w="1657" w:type="dxa"/>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454" w:hRule="exact"/>
          <w:jc w:val="center"/>
        </w:trPr>
        <w:tc>
          <w:tcPr>
            <w:tcW w:w="7937" w:type="dxa"/>
            <w:gridSpan w:val="4"/>
            <w:tcBorders>
              <w:tl2br w:val="nil"/>
              <w:tr2bl w:val="nil"/>
            </w:tcBorders>
            <w:vAlign w:val="center"/>
          </w:tcPr>
          <w:p>
            <w:pPr>
              <w:pStyle w:val="245"/>
              <w:jc w:val="both"/>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注：符号○表示需要，符号－表示不需要。</w:t>
            </w:r>
          </w:p>
        </w:tc>
      </w:tr>
    </w:tbl>
    <w:p>
      <w:pPr>
        <w:spacing w:line="240" w:lineRule="auto"/>
        <w:rPr>
          <w:rFonts w:ascii="宋体" w:hAnsi="宋体" w:cs="宋体"/>
          <w:color w:val="auto"/>
          <w:kern w:val="0"/>
          <w:highlight w:val="none"/>
        </w:rPr>
      </w:pPr>
    </w:p>
    <w:bookmarkEnd w:id="134"/>
    <w:p>
      <w:pPr>
        <w:pStyle w:val="237"/>
        <w:numPr>
          <w:ilvl w:val="0"/>
          <w:numId w:val="0"/>
        </w:numPr>
        <w:spacing w:before="156" w:beforeLines="50" w:after="156" w:afterLines="50"/>
        <w:rPr>
          <w:color w:val="auto"/>
          <w:highlight w:val="none"/>
        </w:rPr>
      </w:pPr>
      <w:bookmarkStart w:id="135" w:name="_Toc9834"/>
      <w:bookmarkStart w:id="136" w:name="_Toc183072699"/>
      <w:bookmarkStart w:id="137" w:name="_Toc1794067932"/>
      <w:bookmarkStart w:id="138" w:name="_Toc60206711"/>
      <w:bookmarkStart w:id="139" w:name="_Toc1466371208"/>
      <w:bookmarkStart w:id="140" w:name="_Toc1343020403"/>
      <w:bookmarkStart w:id="141" w:name="_Toc64860905"/>
      <w:bookmarkStart w:id="142" w:name="_Toc1179950803"/>
      <w:r>
        <w:rPr>
          <w:rFonts w:hint="eastAsia"/>
          <w:color w:val="auto"/>
          <w:highlight w:val="none"/>
        </w:rPr>
        <w:t xml:space="preserve">5.2 </w:t>
      </w:r>
      <w:bookmarkEnd w:id="135"/>
      <w:bookmarkEnd w:id="136"/>
      <w:r>
        <w:rPr>
          <w:rFonts w:hint="eastAsia"/>
          <w:color w:val="auto"/>
          <w:highlight w:val="none"/>
        </w:rPr>
        <w:t xml:space="preserve"> </w:t>
      </w:r>
      <w:bookmarkEnd w:id="137"/>
      <w:bookmarkEnd w:id="138"/>
      <w:bookmarkEnd w:id="139"/>
      <w:bookmarkEnd w:id="140"/>
      <w:bookmarkEnd w:id="141"/>
      <w:bookmarkEnd w:id="142"/>
      <w:r>
        <w:rPr>
          <w:rFonts w:hint="eastAsia"/>
          <w:color w:val="auto"/>
          <w:highlight w:val="none"/>
        </w:rPr>
        <w:t>剩余能力法</w:t>
      </w:r>
    </w:p>
    <w:p>
      <w:pPr>
        <w:spacing w:line="240" w:lineRule="auto"/>
        <w:jc w:val="left"/>
        <w:rPr>
          <w:rFonts w:ascii="宋体"/>
          <w:color w:val="auto"/>
          <w:kern w:val="0"/>
          <w:szCs w:val="20"/>
          <w:highlight w:val="none"/>
        </w:rPr>
      </w:pPr>
      <w:r>
        <w:rPr>
          <w:rFonts w:hint="eastAsia" w:ascii="宋体"/>
          <w:color w:val="auto"/>
          <w:kern w:val="0"/>
          <w:szCs w:val="20"/>
          <w:highlight w:val="none"/>
        </w:rPr>
        <w:t>5.2.1  采用剩余能力风险分析方法时，</w:t>
      </w:r>
      <w:r>
        <w:rPr>
          <w:rFonts w:hint="eastAsia" w:ascii="宋体"/>
          <w:color w:val="auto"/>
          <w:kern w:val="0"/>
          <w:szCs w:val="20"/>
          <w:highlight w:val="none"/>
          <w:lang w:eastAsia="zh-CN"/>
        </w:rPr>
        <w:t>地下</w:t>
      </w:r>
      <w:r>
        <w:rPr>
          <w:rFonts w:hint="eastAsia" w:ascii="宋体"/>
          <w:color w:val="auto"/>
          <w:kern w:val="0"/>
          <w:szCs w:val="20"/>
          <w:highlight w:val="none"/>
        </w:rPr>
        <w:t>管线的分析值应包括实际荷载效应与结构剩余承载能力分析或允许变形取值与剩余变形能力分析。分析应符合GB 50013</w:t>
      </w:r>
      <w:r>
        <w:rPr>
          <w:rFonts w:hint="eastAsia" w:ascii="宋体"/>
          <w:color w:val="auto"/>
          <w:kern w:val="0"/>
          <w:szCs w:val="20"/>
          <w:highlight w:val="none"/>
          <w:lang w:eastAsia="zh-CN"/>
        </w:rPr>
        <w:t>、</w:t>
      </w:r>
      <w:bookmarkStart w:id="143" w:name="OLE_LINK6"/>
      <w:r>
        <w:rPr>
          <w:rFonts w:hint="eastAsia" w:ascii="宋体"/>
          <w:color w:val="auto"/>
          <w:kern w:val="0"/>
          <w:szCs w:val="20"/>
          <w:highlight w:val="none"/>
        </w:rPr>
        <w:t>GB 50332</w:t>
      </w:r>
      <w:bookmarkEnd w:id="143"/>
      <w:r>
        <w:rPr>
          <w:rFonts w:hint="eastAsia" w:ascii="宋体"/>
          <w:color w:val="auto"/>
          <w:kern w:val="0"/>
          <w:szCs w:val="20"/>
          <w:highlight w:val="none"/>
        </w:rPr>
        <w:t>的有关规定。</w:t>
      </w:r>
    </w:p>
    <w:p>
      <w:pPr>
        <w:spacing w:line="240" w:lineRule="auto"/>
        <w:jc w:val="left"/>
        <w:rPr>
          <w:rFonts w:ascii="宋体"/>
          <w:color w:val="auto"/>
          <w:kern w:val="0"/>
          <w:szCs w:val="20"/>
          <w:highlight w:val="none"/>
        </w:rPr>
      </w:pPr>
      <w:r>
        <w:rPr>
          <w:rFonts w:hint="eastAsia" w:ascii="宋体"/>
          <w:color w:val="auto"/>
          <w:kern w:val="0"/>
          <w:szCs w:val="20"/>
          <w:highlight w:val="none"/>
        </w:rPr>
        <w:t>5.2.</w:t>
      </w:r>
      <w:r>
        <w:rPr>
          <w:rFonts w:hint="eastAsia" w:ascii="宋体"/>
          <w:color w:val="auto"/>
          <w:kern w:val="0"/>
          <w:szCs w:val="20"/>
          <w:highlight w:val="none"/>
          <w:lang w:val="en-US" w:eastAsia="zh-CN"/>
        </w:rPr>
        <w:t>2</w:t>
      </w:r>
      <w:r>
        <w:rPr>
          <w:rFonts w:hint="eastAsia" w:ascii="宋体"/>
          <w:color w:val="auto"/>
          <w:kern w:val="0"/>
          <w:szCs w:val="20"/>
          <w:highlight w:val="none"/>
        </w:rPr>
        <w:t xml:space="preserve">  采用</w:t>
      </w:r>
      <w:r>
        <w:rPr>
          <w:rFonts w:hint="eastAsia" w:ascii="宋体"/>
          <w:color w:val="auto"/>
          <w:kern w:val="0"/>
          <w:szCs w:val="20"/>
          <w:highlight w:val="none"/>
          <w:lang w:eastAsia="zh-CN"/>
        </w:rPr>
        <w:t>地下</w:t>
      </w:r>
      <w:r>
        <w:rPr>
          <w:rFonts w:hint="eastAsia" w:ascii="宋体"/>
          <w:color w:val="auto"/>
          <w:kern w:val="0"/>
          <w:szCs w:val="20"/>
          <w:highlight w:val="none"/>
        </w:rPr>
        <w:t>管线剩余承载能力分析时，</w:t>
      </w:r>
      <w:r>
        <w:rPr>
          <w:rFonts w:hint="eastAsia" w:ascii="宋体"/>
          <w:color w:val="auto"/>
          <w:kern w:val="0"/>
          <w:szCs w:val="20"/>
          <w:highlight w:val="none"/>
          <w:lang w:eastAsia="zh-CN"/>
        </w:rPr>
        <w:t>地下</w:t>
      </w:r>
      <w:r>
        <w:rPr>
          <w:rFonts w:hint="eastAsia" w:ascii="宋体"/>
          <w:color w:val="auto"/>
          <w:kern w:val="0"/>
          <w:szCs w:val="20"/>
          <w:highlight w:val="none"/>
        </w:rPr>
        <w:t>管线风险分析值</w:t>
      </w:r>
      <w:r>
        <w:rPr>
          <w:rFonts w:hint="default" w:ascii="Times New Roman" w:hAnsi="Times New Roman" w:cs="Times New Roman"/>
          <w:i/>
          <w:iCs/>
          <w:color w:val="auto"/>
          <w:kern w:val="0"/>
          <w:szCs w:val="20"/>
          <w:highlight w:val="none"/>
        </w:rPr>
        <w:t>R</w:t>
      </w:r>
      <w:r>
        <w:rPr>
          <w:rFonts w:hint="default" w:ascii="Times New Roman" w:hAnsi="Times New Roman" w:cs="Times New Roman"/>
          <w:i/>
          <w:iCs/>
          <w:color w:val="auto"/>
          <w:kern w:val="0"/>
          <w:szCs w:val="20"/>
          <w:highlight w:val="none"/>
          <w:vertAlign w:val="subscript"/>
        </w:rPr>
        <w:t>f</w:t>
      </w:r>
      <w:r>
        <w:rPr>
          <w:rFonts w:hint="eastAsia"/>
          <w:color w:val="auto"/>
          <w:highlight w:val="none"/>
        </w:rPr>
        <w:t>应</w:t>
      </w:r>
      <w:r>
        <w:rPr>
          <w:rFonts w:hint="eastAsia" w:ascii="宋体"/>
          <w:color w:val="auto"/>
          <w:kern w:val="0"/>
          <w:szCs w:val="20"/>
          <w:highlight w:val="none"/>
        </w:rPr>
        <w:t>按公式（3）计算：</w:t>
      </w:r>
    </w:p>
    <w:p>
      <w:pPr>
        <w:keepNext w:val="0"/>
        <w:keepLines w:val="0"/>
        <w:pageBreakBefore w:val="0"/>
        <w:widowControl w:val="0"/>
        <w:tabs>
          <w:tab w:val="right" w:leader="middleDot" w:pos="8820"/>
        </w:tabs>
        <w:kinsoku/>
        <w:wordWrap/>
        <w:overflowPunct/>
        <w:topLinePunct w:val="0"/>
        <w:autoSpaceDE/>
        <w:autoSpaceDN/>
        <w:bidi w:val="0"/>
        <w:adjustRightInd w:val="0"/>
        <w:snapToGrid/>
        <w:jc w:val="right"/>
        <w:textAlignment w:val="auto"/>
        <w:rPr>
          <w:rFonts w:hint="eastAsia" w:eastAsia="宋体"/>
          <w:color w:val="auto"/>
          <w:highlight w:val="none"/>
          <w:lang w:eastAsia="zh-CN"/>
        </w:rPr>
      </w:pPr>
      <w:r>
        <w:rPr>
          <w:rFonts w:hint="eastAsia" w:hAnsi="Cambria Math"/>
          <w:i w:val="0"/>
          <w:iCs/>
          <w:color w:val="auto"/>
          <w:highlight w:val="none"/>
          <w:lang w:val="en-US" w:eastAsia="zh-CN"/>
        </w:rPr>
        <w:t xml:space="preserve">                                </w:t>
      </w:r>
      <m:oMath>
        <m:sSub>
          <m:sSubPr>
            <m:ctrlPr>
              <w:rPr>
                <w:rFonts w:hint="eastAsia" w:ascii="Cambria Math" w:hAnsi="Cambria Math"/>
                <w:i/>
                <w:iCs/>
                <w:color w:val="auto"/>
                <w:highlight w:val="none"/>
              </w:rPr>
            </m:ctrlPr>
          </m:sSubPr>
          <m:e>
            <m:r>
              <m:rPr/>
              <w:rPr>
                <w:rFonts w:ascii="Cambria Math"/>
                <w:color w:val="auto"/>
                <w:highlight w:val="none"/>
              </w:rPr>
              <m:t>R</m:t>
            </m:r>
            <m:ctrlPr>
              <w:rPr>
                <w:rFonts w:hint="eastAsia" w:ascii="Cambria Math" w:hAnsi="Cambria Math"/>
                <w:i/>
                <w:iCs/>
                <w:color w:val="auto"/>
                <w:highlight w:val="none"/>
              </w:rPr>
            </m:ctrlPr>
          </m:e>
          <m:sub>
            <m:r>
              <m:rPr/>
              <w:rPr>
                <w:rFonts w:ascii="Cambria Math"/>
                <w:color w:val="auto"/>
                <w:highlight w:val="none"/>
              </w:rPr>
              <m:t>f</m:t>
            </m:r>
            <m:ctrlPr>
              <w:rPr>
                <w:rFonts w:hint="eastAsia" w:ascii="Cambria Math" w:hAnsi="Cambria Math"/>
                <w:i/>
                <w:iCs/>
                <w:color w:val="auto"/>
                <w:highlight w:val="none"/>
              </w:rPr>
            </m:ctrlPr>
          </m:sub>
        </m:sSub>
        <m:r>
          <m:rPr/>
          <w:rPr>
            <w:rFonts w:ascii="Cambria Math"/>
            <w:color w:val="auto"/>
            <w:highlight w:val="none"/>
          </w:rPr>
          <m:t>=</m:t>
        </m:r>
        <m:sSub>
          <m:sSubPr>
            <m:ctrlPr>
              <w:rPr>
                <w:rFonts w:ascii="Cambria Math" w:hAnsi="Cambria Math"/>
                <w:i/>
                <w:color w:val="auto"/>
                <w:highlight w:val="none"/>
              </w:rPr>
            </m:ctrlPr>
          </m:sSubPr>
          <m:e>
            <m:r>
              <m:rPr/>
              <w:rPr>
                <w:rFonts w:ascii="Cambria Math"/>
                <w:color w:val="auto"/>
                <w:highlight w:val="none"/>
              </w:rPr>
              <m:t>R</m:t>
            </m:r>
            <m:ctrlPr>
              <w:rPr>
                <w:rFonts w:ascii="Cambria Math" w:hAnsi="Cambria Math"/>
                <w:i/>
                <w:color w:val="auto"/>
                <w:highlight w:val="none"/>
              </w:rPr>
            </m:ctrlPr>
          </m:e>
          <m:sub>
            <m:r>
              <m:rPr/>
              <w:rPr>
                <w:rFonts w:ascii="Cambria Math"/>
                <w:color w:val="auto"/>
                <w:highlight w:val="none"/>
              </w:rPr>
              <m:t>p</m:t>
            </m:r>
            <m:ctrlPr>
              <w:rPr>
                <w:rFonts w:ascii="Cambria Math" w:hAnsi="Cambria Math"/>
                <w:i/>
                <w:color w:val="auto"/>
                <w:highlight w:val="none"/>
              </w:rPr>
            </m:ctrlPr>
          </m:sub>
        </m:sSub>
        <m:r>
          <m:rPr/>
          <w:rPr>
            <w:rFonts w:ascii="Cambria Math"/>
            <w:color w:val="auto"/>
            <w:highlight w:val="none"/>
          </w:rPr>
          <m:t>/</m:t>
        </m:r>
        <m:sSub>
          <m:sSubPr>
            <m:ctrlPr>
              <w:rPr>
                <w:rFonts w:ascii="Cambria Math" w:hAnsi="Cambria Math"/>
                <w:i/>
                <w:color w:val="auto"/>
                <w:highlight w:val="none"/>
              </w:rPr>
            </m:ctrlPr>
          </m:sSubPr>
          <m:e>
            <m:r>
              <m:rPr>
                <m:sty m:val="p"/>
              </m:rPr>
              <w:rPr>
                <w:rFonts w:hint="default" w:ascii="Cambria Math" w:hAnsi="Cambria Math"/>
                <w:color w:val="auto"/>
                <w:highlight w:val="none"/>
                <w:lang w:eastAsia="zh-CN"/>
              </w:rPr>
              <m:t>(</m:t>
            </m:r>
            <m:r>
              <m:rPr/>
              <w:rPr>
                <w:rFonts w:ascii="Cambria Math" w:hAnsi="Cambria Math"/>
                <w:color w:val="auto"/>
                <w:highlight w:val="none"/>
              </w:rPr>
              <m:t>γ</m:t>
            </m:r>
            <m:ctrlPr>
              <w:rPr>
                <w:rFonts w:ascii="Cambria Math" w:hAnsi="Cambria Math"/>
                <w:i/>
                <w:color w:val="auto"/>
                <w:highlight w:val="none"/>
              </w:rPr>
            </m:ctrlPr>
          </m:e>
          <m:sub>
            <m:r>
              <m:rPr/>
              <w:rPr>
                <w:rFonts w:ascii="Cambria Math"/>
                <w:color w:val="auto"/>
                <w:highlight w:val="none"/>
              </w:rPr>
              <m:t>p</m:t>
            </m:r>
            <m:ctrlPr>
              <w:rPr>
                <w:rFonts w:ascii="Cambria Math" w:hAnsi="Cambria Math"/>
                <w:i/>
                <w:color w:val="auto"/>
                <w:highlight w:val="none"/>
              </w:rPr>
            </m:ctrlPr>
          </m:sub>
        </m:sSub>
        <m:sSub>
          <m:sSubPr>
            <m:ctrlPr>
              <w:rPr>
                <w:rFonts w:ascii="Cambria Math" w:hAnsi="Cambria Math"/>
                <w:i/>
                <w:color w:val="auto"/>
                <w:highlight w:val="none"/>
              </w:rPr>
            </m:ctrlPr>
          </m:sSubPr>
          <m:e>
            <m:r>
              <m:rPr/>
              <w:rPr>
                <w:rFonts w:ascii="Cambria Math" w:hAnsi="Cambria Math"/>
                <w:color w:val="auto"/>
                <w:highlight w:val="none"/>
              </w:rPr>
              <m:t>S</m:t>
            </m:r>
            <m:ctrlPr>
              <w:rPr>
                <w:rFonts w:ascii="Cambria Math" w:hAnsi="Cambria Math"/>
                <w:i/>
                <w:color w:val="auto"/>
                <w:highlight w:val="none"/>
              </w:rPr>
            </m:ctrlPr>
          </m:e>
          <m:sub>
            <m:r>
              <m:rPr/>
              <w:rPr>
                <w:rFonts w:ascii="Cambria Math"/>
                <w:color w:val="auto"/>
                <w:highlight w:val="none"/>
              </w:rPr>
              <m:t>p</m:t>
            </m:r>
            <m:ctrlPr>
              <w:rPr>
                <w:rFonts w:ascii="Cambria Math" w:hAnsi="Cambria Math"/>
                <w:i/>
                <w:color w:val="auto"/>
                <w:highlight w:val="none"/>
              </w:rPr>
            </m:ctrlPr>
          </m:sub>
        </m:sSub>
        <m:r>
          <m:rPr>
            <m:sty m:val="p"/>
          </m:rPr>
          <w:rPr>
            <w:rFonts w:hint="default" w:ascii="Cambria Math" w:hAnsi="Cambria Math"/>
            <w:color w:val="auto"/>
            <w:highlight w:val="none"/>
            <w:lang w:eastAsia="zh-CN"/>
          </w:rPr>
          <m:t>)</m:t>
        </m:r>
      </m:oMath>
      <w:r>
        <w:rPr>
          <w:rFonts w:hint="eastAsia" w:hAnsi="Cambria Math"/>
          <w:i w:val="0"/>
          <w:color w:val="auto"/>
          <w:highlight w:val="none"/>
          <w:lang w:val="en-US" w:eastAsia="zh-CN"/>
        </w:rPr>
        <w:tab/>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3</w:t>
      </w:r>
      <w:r>
        <w:rPr>
          <w:rFonts w:hint="eastAsia" w:ascii="宋体"/>
          <w:color w:val="auto"/>
          <w:kern w:val="0"/>
          <w:szCs w:val="20"/>
          <w:highlight w:val="none"/>
          <w:lang w:eastAsia="zh-CN"/>
        </w:rPr>
        <w:t>）</w:t>
      </w:r>
    </w:p>
    <w:p>
      <w:pPr>
        <w:spacing w:line="240" w:lineRule="auto"/>
        <w:ind w:firstLine="420" w:firstLineChars="200"/>
        <w:rPr>
          <w:color w:val="auto"/>
          <w:highlight w:val="none"/>
        </w:rPr>
      </w:pPr>
      <w:r>
        <w:rPr>
          <w:color w:val="auto"/>
          <w:highlight w:val="none"/>
        </w:rPr>
        <w:t>式中：</w:t>
      </w:r>
    </w:p>
    <w:p>
      <w:pPr>
        <w:spacing w:line="240" w:lineRule="auto"/>
        <w:ind w:firstLine="1100" w:firstLineChars="500"/>
        <w:rPr>
          <w:rFonts w:hint="eastAsia" w:ascii="宋体" w:hAnsi="宋体" w:eastAsia="宋体" w:cs="宋体"/>
          <w:color w:val="auto"/>
          <w:kern w:val="0"/>
          <w:szCs w:val="20"/>
          <w:highlight w:val="none"/>
        </w:rPr>
      </w:pPr>
      <w:r>
        <w:rPr>
          <w:rFonts w:hint="default" w:ascii="Times New Roman" w:hAnsi="Times New Roman" w:eastAsia="宋体" w:cs="Times New Roman"/>
          <w:i/>
          <w:color w:val="auto"/>
          <w:sz w:val="22"/>
          <w:szCs w:val="28"/>
          <w:highlight w:val="none"/>
        </w:rPr>
        <w:t>R</w:t>
      </w:r>
      <w:r>
        <w:rPr>
          <w:rFonts w:hint="default" w:ascii="Times New Roman" w:hAnsi="Times New Roman" w:eastAsia="宋体" w:cs="Times New Roman"/>
          <w:i/>
          <w:color w:val="auto"/>
          <w:highlight w:val="none"/>
          <w:vertAlign w:val="subscript"/>
        </w:rPr>
        <w:t>f</w:t>
      </w:r>
      <w:r>
        <w:rPr>
          <w:rFonts w:hint="eastAsia" w:ascii="宋体" w:hAnsi="宋体" w:eastAsia="宋体" w:cs="宋体"/>
          <w:i/>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剩余承载能力风险</w:t>
      </w:r>
      <w:r>
        <w:rPr>
          <w:rFonts w:hint="eastAsia" w:ascii="宋体" w:hAnsi="宋体" w:eastAsia="宋体" w:cs="宋体"/>
          <w:color w:val="auto"/>
          <w:kern w:val="0"/>
          <w:szCs w:val="20"/>
          <w:highlight w:val="none"/>
          <w:lang w:val="en-US" w:eastAsia="zh-CN"/>
        </w:rPr>
        <w:t>分析</w:t>
      </w:r>
      <w:r>
        <w:rPr>
          <w:rFonts w:hint="eastAsia" w:ascii="宋体" w:hAnsi="宋体" w:eastAsia="宋体" w:cs="宋体"/>
          <w:color w:val="auto"/>
          <w:kern w:val="0"/>
          <w:szCs w:val="20"/>
          <w:highlight w:val="none"/>
        </w:rPr>
        <w:t>值；</w:t>
      </w:r>
    </w:p>
    <w:p>
      <w:pPr>
        <w:spacing w:line="240" w:lineRule="auto"/>
        <w:ind w:firstLine="1077" w:firstLineChars="513"/>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R</w:t>
      </w:r>
      <w:r>
        <w:rPr>
          <w:rFonts w:hint="default" w:ascii="Times New Roman" w:hAnsi="Times New Roman" w:eastAsia="宋体" w:cs="Times New Roman"/>
          <w:color w:val="auto"/>
          <w:highlight w:val="none"/>
          <w:vertAlign w:val="subscript"/>
        </w:rPr>
        <w:t>p</w:t>
      </w:r>
      <w:r>
        <w:rPr>
          <w:rFonts w:hint="default" w:ascii="Times New Roman" w:hAnsi="Times New Roman" w:eastAsia="宋体" w:cs="Times New Roman"/>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地下</w:t>
      </w:r>
      <w:r>
        <w:rPr>
          <w:rFonts w:hint="eastAsia" w:ascii="宋体" w:hAnsi="宋体" w:eastAsia="宋体" w:cs="宋体"/>
          <w:color w:val="auto"/>
          <w:highlight w:val="none"/>
        </w:rPr>
        <w:t>管线结构剩余承载能力允许值；</w:t>
      </w:r>
    </w:p>
    <w:p>
      <w:pPr>
        <w:spacing w:line="240" w:lineRule="auto"/>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γ</w:t>
      </w:r>
      <w:r>
        <w:rPr>
          <w:rFonts w:hint="default" w:ascii="Times New Roman" w:hAnsi="Times New Roman" w:eastAsia="宋体" w:cs="Times New Roman"/>
          <w:color w:val="auto"/>
          <w:highlight w:val="none"/>
          <w:vertAlign w:val="subscript"/>
        </w:rPr>
        <w:t>p</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地下</w:t>
      </w:r>
      <w:r>
        <w:rPr>
          <w:rFonts w:hint="eastAsia" w:ascii="宋体" w:hAnsi="宋体" w:eastAsia="宋体" w:cs="宋体"/>
          <w:color w:val="auto"/>
          <w:kern w:val="0"/>
          <w:szCs w:val="20"/>
          <w:highlight w:val="none"/>
        </w:rPr>
        <w:t>管线结构分析重要性系数，对结构安全等级为一级的</w:t>
      </w:r>
      <w:r>
        <w:rPr>
          <w:rFonts w:hint="eastAsia" w:ascii="宋体" w:hAnsi="宋体" w:eastAsia="宋体" w:cs="宋体"/>
          <w:color w:val="auto"/>
          <w:kern w:val="0"/>
          <w:szCs w:val="20"/>
          <w:highlight w:val="none"/>
          <w:lang w:eastAsia="zh-CN"/>
        </w:rPr>
        <w:t>地下</w:t>
      </w:r>
      <w:r>
        <w:rPr>
          <w:rFonts w:hint="eastAsia" w:ascii="宋体" w:hAnsi="宋体" w:eastAsia="宋体" w:cs="宋体"/>
          <w:color w:val="auto"/>
          <w:kern w:val="0"/>
          <w:szCs w:val="20"/>
          <w:highlight w:val="none"/>
        </w:rPr>
        <w:t>管线不应小于1.1，对于安全等级为二级的</w:t>
      </w:r>
      <w:r>
        <w:rPr>
          <w:rFonts w:hint="eastAsia" w:ascii="宋体" w:hAnsi="宋体" w:eastAsia="宋体" w:cs="宋体"/>
          <w:color w:val="auto"/>
          <w:kern w:val="0"/>
          <w:szCs w:val="20"/>
          <w:highlight w:val="none"/>
          <w:lang w:eastAsia="zh-CN"/>
        </w:rPr>
        <w:t>地下</w:t>
      </w:r>
      <w:r>
        <w:rPr>
          <w:rFonts w:hint="eastAsia" w:ascii="宋体" w:hAnsi="宋体" w:eastAsia="宋体" w:cs="宋体"/>
          <w:color w:val="auto"/>
          <w:kern w:val="0"/>
          <w:szCs w:val="20"/>
          <w:highlight w:val="none"/>
        </w:rPr>
        <w:t>管线不应小于1.0，对于安全等级为三级的</w:t>
      </w:r>
      <w:r>
        <w:rPr>
          <w:rFonts w:hint="eastAsia" w:ascii="宋体" w:hAnsi="宋体" w:eastAsia="宋体" w:cs="宋体"/>
          <w:color w:val="auto"/>
          <w:kern w:val="0"/>
          <w:szCs w:val="20"/>
          <w:highlight w:val="none"/>
          <w:lang w:eastAsia="zh-CN"/>
        </w:rPr>
        <w:t>地下</w:t>
      </w:r>
      <w:r>
        <w:rPr>
          <w:rFonts w:hint="eastAsia" w:ascii="宋体" w:hAnsi="宋体" w:eastAsia="宋体" w:cs="宋体"/>
          <w:color w:val="auto"/>
          <w:kern w:val="0"/>
          <w:szCs w:val="20"/>
          <w:highlight w:val="none"/>
        </w:rPr>
        <w:t>管线不应小于0.9；</w:t>
      </w:r>
    </w:p>
    <w:p>
      <w:pPr>
        <w:spacing w:line="240" w:lineRule="auto"/>
        <w:ind w:firstLine="1050" w:firstLineChars="500"/>
        <w:rPr>
          <w:rFonts w:hint="eastAsia" w:ascii="宋体" w:hAnsi="宋体" w:eastAsia="宋体" w:cs="宋体"/>
          <w:color w:val="auto"/>
          <w:highlight w:val="none"/>
        </w:rPr>
      </w:pPr>
      <w:r>
        <w:rPr>
          <w:rFonts w:hint="default" w:ascii="Times New Roman" w:hAnsi="Times New Roman" w:eastAsia="宋体" w:cs="Times New Roman"/>
          <w:i/>
          <w:color w:val="auto"/>
          <w:highlight w:val="none"/>
        </w:rPr>
        <w:t>S</w:t>
      </w:r>
      <w:r>
        <w:rPr>
          <w:rFonts w:hint="default" w:ascii="Times New Roman" w:hAnsi="Times New Roman" w:eastAsia="宋体" w:cs="Times New Roman"/>
          <w:color w:val="auto"/>
          <w:highlight w:val="none"/>
          <w:vertAlign w:val="subscript"/>
        </w:rPr>
        <w:t>p</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实际荷载效应组合或实际设计压力值</w:t>
      </w:r>
      <w:r>
        <w:rPr>
          <w:rFonts w:hint="eastAsia" w:ascii="宋体" w:hAnsi="宋体" w:eastAsia="宋体" w:cs="宋体"/>
          <w:color w:val="auto"/>
          <w:kern w:val="0"/>
          <w:szCs w:val="20"/>
          <w:highlight w:val="none"/>
        </w:rPr>
        <w:t>。</w:t>
      </w:r>
    </w:p>
    <w:p>
      <w:pPr>
        <w:spacing w:line="240" w:lineRule="auto"/>
        <w:rPr>
          <w:rFonts w:hint="eastAsia" w:ascii="宋体" w:hAnsi="宋体" w:eastAsia="宋体" w:cs="宋体"/>
          <w:color w:val="auto"/>
          <w:kern w:val="0"/>
          <w:szCs w:val="20"/>
          <w:highlight w:val="none"/>
        </w:rPr>
      </w:pPr>
      <w:r>
        <w:rPr>
          <w:rFonts w:hint="eastAsia" w:ascii="宋体" w:hAnsi="宋体" w:eastAsia="宋体" w:cs="宋体"/>
          <w:color w:val="auto"/>
          <w:kern w:val="0"/>
          <w:szCs w:val="20"/>
          <w:highlight w:val="none"/>
        </w:rPr>
        <w:t>5.2.</w:t>
      </w:r>
      <w:r>
        <w:rPr>
          <w:rFonts w:hint="eastAsia" w:ascii="宋体" w:hAnsi="宋体" w:eastAsia="宋体" w:cs="宋体"/>
          <w:color w:val="auto"/>
          <w:kern w:val="0"/>
          <w:szCs w:val="20"/>
          <w:highlight w:val="none"/>
          <w:lang w:val="en-US" w:eastAsia="zh-CN"/>
        </w:rPr>
        <w:t>3</w:t>
      </w:r>
      <w:r>
        <w:rPr>
          <w:rFonts w:hint="eastAsia" w:ascii="宋体" w:hAnsi="宋体" w:eastAsia="宋体" w:cs="宋体"/>
          <w:color w:val="auto"/>
          <w:kern w:val="0"/>
          <w:szCs w:val="20"/>
          <w:highlight w:val="none"/>
        </w:rPr>
        <w:t xml:space="preserve">  采用</w:t>
      </w:r>
      <w:r>
        <w:rPr>
          <w:rFonts w:hint="eastAsia" w:ascii="宋体" w:hAnsi="宋体" w:eastAsia="宋体" w:cs="宋体"/>
          <w:color w:val="auto"/>
          <w:kern w:val="0"/>
          <w:szCs w:val="20"/>
          <w:highlight w:val="none"/>
          <w:lang w:eastAsia="zh-CN"/>
        </w:rPr>
        <w:t>地下</w:t>
      </w:r>
      <w:r>
        <w:rPr>
          <w:rFonts w:hint="eastAsia" w:ascii="宋体" w:hAnsi="宋体" w:eastAsia="宋体" w:cs="宋体"/>
          <w:color w:val="auto"/>
          <w:kern w:val="0"/>
          <w:szCs w:val="20"/>
          <w:highlight w:val="none"/>
        </w:rPr>
        <w:t>管线剩余变形能力分析时，</w:t>
      </w:r>
      <w:r>
        <w:rPr>
          <w:rFonts w:hint="eastAsia" w:ascii="宋体" w:hAnsi="宋体" w:eastAsia="宋体" w:cs="宋体"/>
          <w:color w:val="auto"/>
          <w:kern w:val="0"/>
          <w:szCs w:val="20"/>
          <w:highlight w:val="none"/>
          <w:lang w:eastAsia="zh-CN"/>
        </w:rPr>
        <w:t>地下</w:t>
      </w:r>
      <w:r>
        <w:rPr>
          <w:rFonts w:hint="eastAsia" w:ascii="宋体" w:hAnsi="宋体" w:eastAsia="宋体" w:cs="宋体"/>
          <w:color w:val="auto"/>
          <w:kern w:val="0"/>
          <w:szCs w:val="20"/>
          <w:highlight w:val="none"/>
        </w:rPr>
        <w:t>管线风险分析值</w:t>
      </w:r>
      <m:oMath>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R</m:t>
            </m:r>
            <m:ctrlPr>
              <w:rPr>
                <w:rFonts w:hint="eastAsia" w:ascii="Cambria Math" w:hAnsi="Cambria Math" w:eastAsia="宋体" w:cs="宋体"/>
                <w:i/>
                <w:color w:val="auto"/>
                <w:highlight w:val="none"/>
              </w:rPr>
            </m:ctrlPr>
          </m:e>
          <m:sub>
            <m:r>
              <m:rPr>
                <m:sty m:val="p"/>
              </m:rPr>
              <w:rPr>
                <w:rFonts w:hint="eastAsia" w:ascii="Cambria Math" w:hAnsi="Cambria Math" w:eastAsia="宋体" w:cs="宋体"/>
                <w:color w:val="auto"/>
                <w:sz w:val="22"/>
                <w:szCs w:val="28"/>
                <w:highlight w:val="none"/>
                <w:vertAlign w:val="subscript"/>
              </w:rPr>
              <m:t>△</m:t>
            </m:r>
            <m:ctrlPr>
              <w:rPr>
                <w:rFonts w:hint="eastAsia" w:ascii="Cambria Math" w:hAnsi="Cambria Math" w:eastAsia="宋体" w:cs="宋体"/>
                <w:i/>
                <w:color w:val="auto"/>
                <w:highlight w:val="none"/>
              </w:rPr>
            </m:ctrlPr>
          </m:sub>
        </m:sSub>
      </m:oMath>
      <w:r>
        <w:rPr>
          <w:rFonts w:hint="eastAsia" w:ascii="宋体" w:hAnsi="宋体" w:eastAsia="宋体" w:cs="宋体"/>
          <w:color w:val="auto"/>
          <w:kern w:val="0"/>
          <w:highlight w:val="none"/>
        </w:rPr>
        <w:t>应</w:t>
      </w:r>
      <w:r>
        <w:rPr>
          <w:rFonts w:hint="eastAsia" w:ascii="宋体" w:hAnsi="宋体" w:eastAsia="宋体" w:cs="宋体"/>
          <w:color w:val="auto"/>
          <w:kern w:val="0"/>
          <w:szCs w:val="20"/>
          <w:highlight w:val="none"/>
        </w:rPr>
        <w:t>按公式（4）计算：</w:t>
      </w:r>
    </w:p>
    <w:p>
      <w:pPr>
        <w:keepNext w:val="0"/>
        <w:keepLines w:val="0"/>
        <w:pageBreakBefore w:val="0"/>
        <w:widowControl w:val="0"/>
        <w:tabs>
          <w:tab w:val="right" w:leader="middleDot" w:pos="8820"/>
        </w:tabs>
        <w:kinsoku/>
        <w:wordWrap/>
        <w:overflowPunct/>
        <w:topLinePunct w:val="0"/>
        <w:autoSpaceDE/>
        <w:autoSpaceDN/>
        <w:bidi w:val="0"/>
        <w:adjustRightInd w:val="0"/>
        <w:snapToGrid/>
        <w:jc w:val="right"/>
        <w:textAlignment w:val="auto"/>
        <w:rPr>
          <w:rFonts w:hint="eastAsia" w:ascii="宋体" w:hAnsi="宋体" w:eastAsia="宋体" w:cs="宋体"/>
          <w:color w:val="auto"/>
          <w:highlight w:val="none"/>
          <w:lang w:eastAsia="zh-CN"/>
        </w:rPr>
      </w:pPr>
      <w:r>
        <w:rPr>
          <w:rFonts w:hint="eastAsia" w:ascii="宋体" w:hAnsi="宋体" w:eastAsia="宋体" w:cs="宋体"/>
          <w:i w:val="0"/>
          <w:color w:val="auto"/>
          <w:highlight w:val="none"/>
          <w:lang w:val="en-US" w:eastAsia="zh-CN"/>
        </w:rPr>
        <w:t xml:space="preserve">                                </w:t>
      </w:r>
      <m:oMath>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R</m:t>
            </m:r>
            <m:ctrlPr>
              <w:rPr>
                <w:rFonts w:hint="eastAsia" w:ascii="Cambria Math" w:hAnsi="Cambria Math" w:eastAsia="宋体" w:cs="宋体"/>
                <w:i/>
                <w:color w:val="auto"/>
                <w:highlight w:val="none"/>
              </w:rPr>
            </m:ctrlPr>
          </m:e>
          <m:sub>
            <m:r>
              <m:rPr>
                <m:sty m:val="p"/>
              </m:rPr>
              <w:rPr>
                <w:rFonts w:hint="eastAsia" w:ascii="Cambria Math" w:hAnsi="Cambria Math" w:eastAsia="宋体" w:cs="宋体"/>
                <w:color w:val="auto"/>
                <w:sz w:val="22"/>
                <w:szCs w:val="28"/>
                <w:highlight w:val="none"/>
                <w:vertAlign w:val="subscript"/>
              </w:rPr>
              <m:t>△</m:t>
            </m:r>
            <m:ctrlPr>
              <w:rPr>
                <w:rFonts w:hint="eastAsia" w:ascii="Cambria Math" w:hAnsi="Cambria Math" w:eastAsia="宋体" w:cs="宋体"/>
                <w:i/>
                <w:color w:val="auto"/>
                <w:highlight w:val="none"/>
              </w:rPr>
            </m:ctrlPr>
          </m:sub>
        </m:sSub>
        <m:r>
          <m:rPr/>
          <w:rPr>
            <w:rFonts w:hint="eastAsia" w:ascii="Cambria Math" w:hAnsi="Cambria Math" w:eastAsia="宋体" w:cs="宋体"/>
            <w:color w:val="auto"/>
            <w:highlight w:val="none"/>
          </w:rPr>
          <m:t>=Δ/</m:t>
        </m:r>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Δ</m:t>
            </m:r>
            <m:ctrlPr>
              <w:rPr>
                <w:rFonts w:hint="eastAsia" w:ascii="Cambria Math" w:hAnsi="Cambria Math" w:eastAsia="宋体" w:cs="宋体"/>
                <w:i/>
                <w:color w:val="auto"/>
                <w:highlight w:val="none"/>
              </w:rPr>
            </m:ctrlPr>
          </m:e>
          <m:sub>
            <m:r>
              <m:rPr/>
              <w:rPr>
                <w:rFonts w:hint="eastAsia" w:ascii="Cambria Math" w:hAnsi="Cambria Math" w:eastAsia="宋体" w:cs="宋体"/>
                <w:color w:val="auto"/>
                <w:highlight w:val="none"/>
              </w:rPr>
              <m:t>p</m:t>
            </m:r>
            <m:ctrlPr>
              <w:rPr>
                <w:rFonts w:hint="eastAsia" w:ascii="Cambria Math" w:hAnsi="Cambria Math" w:eastAsia="宋体" w:cs="宋体"/>
                <w:i/>
                <w:color w:val="auto"/>
                <w:highlight w:val="none"/>
              </w:rPr>
            </m:ctrlPr>
          </m:sub>
        </m:sSub>
      </m:oMath>
      <w:r>
        <w:rPr>
          <w:rFonts w:hint="eastAsia" w:ascii="宋体" w:hAnsi="宋体" w:eastAsia="宋体" w:cs="宋体"/>
          <w:i w:val="0"/>
          <w:color w:val="auto"/>
          <w:highlight w:val="none"/>
          <w:lang w:val="en-US" w:eastAsia="zh-CN"/>
        </w:rPr>
        <w:tab/>
      </w:r>
      <w:r>
        <w:rPr>
          <w:rFonts w:hint="eastAsia" w:ascii="宋体" w:hAnsi="宋体" w:eastAsia="宋体" w:cs="宋体"/>
          <w:color w:val="auto"/>
          <w:kern w:val="0"/>
          <w:szCs w:val="20"/>
          <w:highlight w:val="none"/>
          <w:lang w:eastAsia="zh-CN"/>
        </w:rPr>
        <w:t>（</w:t>
      </w:r>
      <w:r>
        <w:rPr>
          <w:rFonts w:hint="eastAsia" w:ascii="宋体" w:hAnsi="宋体" w:eastAsia="宋体" w:cs="宋体"/>
          <w:color w:val="auto"/>
          <w:kern w:val="0"/>
          <w:szCs w:val="20"/>
          <w:highlight w:val="none"/>
          <w:lang w:val="en-US" w:eastAsia="zh-CN"/>
        </w:rPr>
        <w:t>4</w:t>
      </w:r>
      <w:r>
        <w:rPr>
          <w:rFonts w:hint="eastAsia" w:ascii="宋体" w:hAnsi="宋体" w:eastAsia="宋体" w:cs="宋体"/>
          <w:color w:val="auto"/>
          <w:kern w:val="0"/>
          <w:szCs w:val="20"/>
          <w:highlight w:val="none"/>
          <w:lang w:eastAsia="zh-CN"/>
        </w:rPr>
        <w:t>）</w:t>
      </w:r>
    </w:p>
    <w:p>
      <w:pPr>
        <w:spacing w:line="24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式中：</w:t>
      </w:r>
    </w:p>
    <w:p>
      <w:pPr>
        <w:spacing w:line="240" w:lineRule="auto"/>
        <w:ind w:firstLine="1100" w:firstLineChars="500"/>
        <w:rPr>
          <w:rFonts w:hint="eastAsia" w:ascii="宋体" w:hAnsi="宋体" w:eastAsia="宋体" w:cs="宋体"/>
          <w:color w:val="auto"/>
          <w:highlight w:val="none"/>
        </w:rPr>
      </w:pPr>
      <w:r>
        <w:rPr>
          <w:rFonts w:hint="default" w:ascii="Times New Roman" w:hAnsi="Times New Roman" w:eastAsia="宋体" w:cs="Times New Roman"/>
          <w:i/>
          <w:color w:val="auto"/>
          <w:sz w:val="22"/>
          <w:szCs w:val="28"/>
          <w:highlight w:val="none"/>
        </w:rPr>
        <w:t>R</w:t>
      </w:r>
      <w:r>
        <w:rPr>
          <w:rFonts w:hint="default" w:ascii="Times New Roman" w:hAnsi="Times New Roman" w:eastAsia="宋体" w:cs="Times New Roman"/>
          <w:iCs/>
          <w:color w:val="auto"/>
          <w:sz w:val="22"/>
          <w:szCs w:val="28"/>
          <w:highlight w:val="none"/>
          <w:vertAlign w:val="subscript"/>
        </w:rPr>
        <w:t>△</w:t>
      </w:r>
      <w:r>
        <w:rPr>
          <w:rFonts w:hint="eastAsia" w:ascii="宋体" w:hAnsi="宋体" w:eastAsia="宋体" w:cs="宋体"/>
          <w:i/>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剩余变形能力风险</w:t>
      </w:r>
      <w:r>
        <w:rPr>
          <w:rFonts w:hint="eastAsia" w:ascii="宋体" w:hAnsi="宋体" w:eastAsia="宋体" w:cs="宋体"/>
          <w:color w:val="auto"/>
          <w:kern w:val="0"/>
          <w:szCs w:val="20"/>
          <w:highlight w:val="none"/>
          <w:lang w:eastAsia="zh-CN"/>
        </w:rPr>
        <w:t>分析</w:t>
      </w:r>
      <w:r>
        <w:rPr>
          <w:rFonts w:hint="eastAsia" w:ascii="宋体" w:hAnsi="宋体" w:eastAsia="宋体" w:cs="宋体"/>
          <w:color w:val="auto"/>
          <w:kern w:val="0"/>
          <w:szCs w:val="20"/>
          <w:highlight w:val="none"/>
        </w:rPr>
        <w:t>值；</w:t>
      </w:r>
    </w:p>
    <w:p>
      <w:pPr>
        <w:spacing w:line="240" w:lineRule="auto"/>
        <w:ind w:firstLine="1050" w:firstLineChars="500"/>
        <w:rPr>
          <w:rFonts w:hint="eastAsia" w:ascii="宋体" w:hAnsi="宋体" w:eastAsia="宋体" w:cs="宋体"/>
          <w:color w:val="auto"/>
          <w:highlight w:val="none"/>
        </w:rPr>
      </w:pPr>
      <w:r>
        <w:rPr>
          <w:rFonts w:hint="default" w:ascii="Times New Roman" w:hAnsi="Times New Roman" w:eastAsia="宋体" w:cs="Times New Roman"/>
          <w:color w:val="auto"/>
          <w:highlight w:val="none"/>
        </w:rPr>
        <w:t>Δ</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地下</w:t>
      </w:r>
      <w:r>
        <w:rPr>
          <w:rFonts w:hint="eastAsia" w:ascii="宋体" w:hAnsi="宋体" w:eastAsia="宋体" w:cs="宋体"/>
          <w:color w:val="auto"/>
          <w:highlight w:val="none"/>
        </w:rPr>
        <w:t>管线结构剩余变形能力允许值，柔性</w:t>
      </w:r>
      <w:r>
        <w:rPr>
          <w:rFonts w:hint="eastAsia" w:ascii="宋体" w:hAnsi="宋体" w:eastAsia="宋体" w:cs="宋体"/>
          <w:color w:val="auto"/>
          <w:highlight w:val="none"/>
          <w:lang w:eastAsia="zh-CN"/>
        </w:rPr>
        <w:t>地下</w:t>
      </w:r>
      <w:r>
        <w:rPr>
          <w:rFonts w:hint="eastAsia" w:ascii="宋体" w:hAnsi="宋体" w:eastAsia="宋体" w:cs="宋体"/>
          <w:color w:val="auto"/>
          <w:highlight w:val="none"/>
        </w:rPr>
        <w:t>管线竖向变形或刚性</w:t>
      </w:r>
      <w:r>
        <w:rPr>
          <w:rFonts w:hint="eastAsia" w:ascii="宋体" w:hAnsi="宋体" w:eastAsia="宋体" w:cs="宋体"/>
          <w:color w:val="auto"/>
          <w:highlight w:val="none"/>
          <w:lang w:eastAsia="zh-CN"/>
        </w:rPr>
        <w:t>地下</w:t>
      </w:r>
      <w:r>
        <w:rPr>
          <w:rFonts w:hint="eastAsia" w:ascii="宋体" w:hAnsi="宋体" w:eastAsia="宋体" w:cs="宋体"/>
          <w:color w:val="auto"/>
          <w:highlight w:val="none"/>
        </w:rPr>
        <w:t>管线裂缝宽度，以及接口轴向位移和转角的允许值；</w:t>
      </w:r>
    </w:p>
    <w:p>
      <w:pPr>
        <w:spacing w:line="240" w:lineRule="auto"/>
        <w:ind w:firstLine="1050" w:firstLineChars="500"/>
        <w:rPr>
          <w:rFonts w:hint="eastAsia" w:ascii="宋体" w:hAnsi="宋体" w:eastAsia="宋体" w:cs="宋体"/>
          <w:color w:val="auto"/>
          <w:kern w:val="0"/>
          <w:highlight w:val="none"/>
        </w:rPr>
      </w:pPr>
      <w:r>
        <w:rPr>
          <w:rFonts w:hint="default" w:ascii="Times New Roman" w:hAnsi="Times New Roman" w:eastAsia="宋体" w:cs="Times New Roman"/>
          <w:color w:val="auto"/>
          <w:highlight w:val="none"/>
        </w:rPr>
        <w:t>Δ</w:t>
      </w:r>
      <w:r>
        <w:rPr>
          <w:rFonts w:hint="default" w:ascii="Times New Roman" w:hAnsi="Times New Roman" w:eastAsia="宋体" w:cs="Times New Roman"/>
          <w:color w:val="auto"/>
          <w:highlight w:val="none"/>
          <w:vertAlign w:val="subscript"/>
        </w:rPr>
        <w:t>p</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对应Δ的实际荷载效应变形值。 </w:t>
      </w:r>
    </w:p>
    <w:p>
      <w:pPr>
        <w:pStyle w:val="109"/>
        <w:spacing w:before="312" w:after="312"/>
        <w:rPr>
          <w:color w:val="auto"/>
          <w:highlight w:val="none"/>
        </w:rPr>
      </w:pPr>
      <w:bookmarkStart w:id="144" w:name="_Toc54220707"/>
      <w:bookmarkStart w:id="145" w:name="_Toc1462273656"/>
      <w:bookmarkStart w:id="146" w:name="_Toc1061547624"/>
      <w:bookmarkStart w:id="147" w:name="_Toc1028043426"/>
      <w:r>
        <w:rPr>
          <w:rFonts w:hint="eastAsia"/>
          <w:color w:val="auto"/>
          <w:highlight w:val="none"/>
        </w:rPr>
        <w:t>常规风险分析</w:t>
      </w:r>
      <w:bookmarkEnd w:id="144"/>
      <w:bookmarkEnd w:id="145"/>
      <w:bookmarkEnd w:id="146"/>
      <w:bookmarkEnd w:id="147"/>
    </w:p>
    <w:p>
      <w:pPr>
        <w:pStyle w:val="237"/>
        <w:numPr>
          <w:ilvl w:val="0"/>
          <w:numId w:val="0"/>
        </w:numPr>
        <w:spacing w:before="156" w:beforeLines="50" w:after="156" w:afterLines="50"/>
        <w:rPr>
          <w:color w:val="auto"/>
          <w:highlight w:val="none"/>
        </w:rPr>
      </w:pPr>
      <w:r>
        <w:rPr>
          <w:rFonts w:hint="eastAsia"/>
          <w:color w:val="auto"/>
          <w:highlight w:val="none"/>
        </w:rPr>
        <w:t xml:space="preserve">6.1 分析方法 </w:t>
      </w:r>
    </w:p>
    <w:p>
      <w:pPr>
        <w:spacing w:line="240" w:lineRule="auto"/>
        <w:rPr>
          <w:rFonts w:ascii="宋体"/>
          <w:color w:val="auto"/>
          <w:kern w:val="0"/>
          <w:szCs w:val="20"/>
          <w:highlight w:val="none"/>
        </w:rPr>
      </w:pPr>
      <w:r>
        <w:rPr>
          <w:rFonts w:hint="eastAsia" w:ascii="宋体"/>
          <w:color w:val="auto"/>
          <w:kern w:val="0"/>
          <w:szCs w:val="20"/>
          <w:highlight w:val="none"/>
        </w:rPr>
        <w:t>6.1.1  常规风险分析应采用层次分析法。</w:t>
      </w:r>
    </w:p>
    <w:p>
      <w:pPr>
        <w:spacing w:line="240" w:lineRule="auto"/>
        <w:rPr>
          <w:rFonts w:ascii="宋体"/>
          <w:color w:val="auto"/>
          <w:kern w:val="0"/>
          <w:szCs w:val="20"/>
          <w:highlight w:val="none"/>
        </w:rPr>
      </w:pPr>
      <w:r>
        <w:rPr>
          <w:rFonts w:hint="eastAsia" w:ascii="宋体"/>
          <w:color w:val="auto"/>
          <w:kern w:val="0"/>
          <w:szCs w:val="20"/>
          <w:highlight w:val="none"/>
        </w:rPr>
        <w:t>6.1.2  常规风险分析应包括风险发生可能性</w:t>
      </w:r>
      <w:r>
        <w:rPr>
          <w:rFonts w:hint="eastAsia" w:ascii="宋体"/>
          <w:color w:val="auto"/>
          <w:kern w:val="0"/>
          <w:szCs w:val="20"/>
          <w:highlight w:val="none"/>
          <w:lang w:eastAsia="zh-CN"/>
        </w:rPr>
        <w:t>分析</w:t>
      </w:r>
      <w:r>
        <w:rPr>
          <w:rFonts w:hint="eastAsia" w:ascii="宋体"/>
          <w:color w:val="auto"/>
          <w:kern w:val="0"/>
          <w:szCs w:val="20"/>
          <w:highlight w:val="none"/>
        </w:rPr>
        <w:t>、</w:t>
      </w:r>
      <w:r>
        <w:rPr>
          <w:rFonts w:hint="eastAsia" w:ascii="宋体"/>
          <w:color w:val="auto"/>
          <w:kern w:val="0"/>
          <w:szCs w:val="20"/>
          <w:highlight w:val="none"/>
          <w:lang w:eastAsia="zh-CN"/>
        </w:rPr>
        <w:t>失效后果严重性分析</w:t>
      </w:r>
      <w:r>
        <w:rPr>
          <w:rFonts w:hint="eastAsia" w:ascii="宋体"/>
          <w:color w:val="auto"/>
          <w:kern w:val="0"/>
          <w:szCs w:val="20"/>
          <w:highlight w:val="none"/>
        </w:rPr>
        <w:t>及其组合。</w:t>
      </w:r>
    </w:p>
    <w:p>
      <w:pPr>
        <w:pStyle w:val="237"/>
        <w:numPr>
          <w:ilvl w:val="0"/>
          <w:numId w:val="0"/>
        </w:numPr>
        <w:spacing w:before="156" w:beforeLines="50" w:after="156" w:afterLines="50"/>
        <w:rPr>
          <w:color w:val="auto"/>
          <w:highlight w:val="none"/>
        </w:rPr>
      </w:pPr>
      <w:r>
        <w:rPr>
          <w:rFonts w:hint="eastAsia"/>
          <w:color w:val="auto"/>
          <w:highlight w:val="none"/>
        </w:rPr>
        <w:t>6.2  风险发生可能性分析</w:t>
      </w:r>
    </w:p>
    <w:p>
      <w:pPr>
        <w:spacing w:line="240" w:lineRule="auto"/>
        <w:rPr>
          <w:rFonts w:ascii="黑体" w:hAnsi="黑体" w:eastAsia="黑体" w:cs="黑体"/>
          <w:color w:val="auto"/>
          <w:highlight w:val="none"/>
        </w:rPr>
      </w:pPr>
      <w:r>
        <w:rPr>
          <w:rFonts w:hint="eastAsia" w:ascii="宋体"/>
          <w:color w:val="auto"/>
          <w:kern w:val="0"/>
          <w:szCs w:val="20"/>
          <w:highlight w:val="none"/>
        </w:rPr>
        <w:t>6.2.1  风险发生可能性分析的管线物理属性准则层</w:t>
      </w:r>
      <w:bookmarkStart w:id="198" w:name="_GoBack"/>
      <w:r>
        <w:rPr>
          <w:rFonts w:hint="eastAsia" w:ascii="宋体"/>
          <w:color w:val="auto"/>
          <w:kern w:val="0"/>
          <w:szCs w:val="20"/>
          <w:highlight w:val="none"/>
          <w:lang w:val="en-US" w:eastAsia="zh-CN"/>
        </w:rPr>
        <w:t>下</w:t>
      </w:r>
      <w:bookmarkEnd w:id="198"/>
      <w:r>
        <w:rPr>
          <w:rFonts w:hint="eastAsia" w:ascii="宋体"/>
          <w:color w:val="auto"/>
          <w:kern w:val="0"/>
          <w:szCs w:val="20"/>
          <w:highlight w:val="none"/>
          <w:lang w:val="en-US" w:eastAsia="zh-CN"/>
        </w:rPr>
        <w:t>管材、管径、管龄</w:t>
      </w:r>
      <w:r>
        <w:rPr>
          <w:rFonts w:hint="eastAsia" w:ascii="宋体"/>
          <w:color w:val="auto"/>
          <w:kern w:val="0"/>
          <w:szCs w:val="20"/>
          <w:highlight w:val="none"/>
        </w:rPr>
        <w:t>指标应按表3～表5分别进行评分。</w:t>
      </w:r>
    </w:p>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表3 管线物理属性准则层下指标评分值——管材</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1221"/>
        <w:gridCol w:w="1221"/>
        <w:gridCol w:w="1221"/>
        <w:gridCol w:w="1832"/>
        <w:gridCol w:w="1221"/>
        <w:gridCol w:w="1221"/>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管材</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球墨铸铁</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钢管</w:t>
            </w:r>
          </w:p>
        </w:tc>
        <w:tc>
          <w:tcPr>
            <w:tcW w:w="1701"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预应力混凝土管</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塑料管材</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灰口铸铁</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134"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134"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tc>
        <w:tc>
          <w:tcPr>
            <w:tcW w:w="1701"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35</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35</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bl>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表4 管线物理属性准则层下指标评分值——管径（</w:t>
      </w:r>
      <w:r>
        <w:rPr>
          <w:rFonts w:hint="eastAsia" w:ascii="黑体" w:hAnsi="黑体" w:eastAsia="黑体"/>
          <w:color w:val="auto"/>
          <w:highlight w:val="none"/>
          <w:lang w:val="en-US" w:eastAsia="zh-CN"/>
        </w:rPr>
        <w:t>毫米</w:t>
      </w:r>
      <w:r>
        <w:rPr>
          <w:rFonts w:hint="eastAsia" w:ascii="黑体" w:hAnsi="黑体" w:eastAsia="黑体"/>
          <w:color w:val="auto"/>
          <w:highlight w:val="none"/>
        </w:rPr>
        <w:t>）</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587"/>
        <w:gridCol w:w="1587"/>
        <w:gridCol w:w="1587"/>
        <w:gridCol w:w="1589"/>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管径</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2</w:t>
            </w:r>
            <w:r>
              <w:rPr>
                <w:rFonts w:hint="eastAsia" w:ascii="宋体" w:hAnsi="宋体" w:cs="宋体"/>
                <w:color w:val="auto"/>
                <w:sz w:val="18"/>
                <w:szCs w:val="18"/>
                <w:highlight w:val="none"/>
              </w:rPr>
              <w:t>00,600)</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[600,800)</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[800,1200)</w:t>
            </w:r>
          </w:p>
        </w:tc>
        <w:tc>
          <w:tcPr>
            <w:tcW w:w="1589"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≥1200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32</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18</w:t>
            </w:r>
          </w:p>
        </w:tc>
        <w:tc>
          <w:tcPr>
            <w:tcW w:w="1589"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r>
    </w:tbl>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表5 管线物理属性准则层下指标评分值——管龄（年）</w:t>
      </w:r>
    </w:p>
    <w:tbl>
      <w:tblPr>
        <w:tblStyle w:val="31"/>
        <w:tblW w:w="7938"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134"/>
        <w:gridCol w:w="1134"/>
        <w:gridCol w:w="1134"/>
        <w:gridCol w:w="1134"/>
        <w:gridCol w:w="1134"/>
        <w:gridCol w:w="1134"/>
        <w:gridCol w:w="1134"/>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管龄</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＜10</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w:t>
            </w:r>
            <w:r>
              <w:rPr>
                <w:rFonts w:hint="eastAsia" w:ascii="宋体" w:hAnsi="宋体" w:cs="宋体"/>
                <w:color w:val="auto"/>
                <w:sz w:val="18"/>
                <w:szCs w:val="18"/>
                <w:highlight w:val="none"/>
                <w:lang w:val="en-US" w:eastAsia="zh-CN"/>
              </w:rPr>
              <w:t>20</w:t>
            </w:r>
            <w:r>
              <w:rPr>
                <w:rFonts w:hint="eastAsia" w:ascii="宋体" w:hAnsi="宋体" w:cs="宋体"/>
                <w:color w:val="auto"/>
                <w:sz w:val="18"/>
                <w:szCs w:val="18"/>
                <w:highlight w:val="none"/>
              </w:rPr>
              <w:t>)</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[2</w:t>
            </w:r>
            <w:r>
              <w:rPr>
                <w:rFonts w:hint="eastAsia" w:ascii="宋体" w:hAnsi="宋体" w:cs="宋体"/>
                <w:color w:val="auto"/>
                <w:sz w:val="18"/>
                <w:szCs w:val="18"/>
                <w:highlight w:val="none"/>
                <w:lang w:val="en-US" w:eastAsia="zh-CN"/>
              </w:rPr>
              <w:t>0</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30</w:t>
            </w:r>
            <w:r>
              <w:rPr>
                <w:rFonts w:hint="eastAsia" w:ascii="宋体" w:hAnsi="宋体" w:cs="宋体"/>
                <w:color w:val="auto"/>
                <w:sz w:val="18"/>
                <w:szCs w:val="18"/>
                <w:highlight w:val="none"/>
              </w:rPr>
              <w:t>)</w:t>
            </w:r>
          </w:p>
        </w:tc>
        <w:tc>
          <w:tcPr>
            <w:tcW w:w="1134"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30</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4</w:t>
            </w:r>
            <w:r>
              <w:rPr>
                <w:rFonts w:hint="eastAsia" w:ascii="宋体" w:hAnsi="宋体" w:cs="宋体"/>
                <w:color w:val="auto"/>
                <w:sz w:val="18"/>
                <w:szCs w:val="18"/>
                <w:highlight w:val="none"/>
              </w:rPr>
              <w:t>0)</w:t>
            </w:r>
          </w:p>
        </w:tc>
        <w:tc>
          <w:tcPr>
            <w:tcW w:w="1134" w:type="dxa"/>
            <w:tcBorders>
              <w:bottom w:val="single" w:color="auto" w:sz="12" w:space="0"/>
            </w:tcBorders>
            <w:vAlign w:val="center"/>
          </w:tcPr>
          <w:p>
            <w:pPr>
              <w:pStyle w:val="245"/>
              <w:rPr>
                <w:rFonts w:hint="eastAsia"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40</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5</w:t>
            </w:r>
            <w:r>
              <w:rPr>
                <w:rFonts w:hint="eastAsia" w:ascii="宋体" w:hAnsi="宋体" w:cs="宋体"/>
                <w:color w:val="auto"/>
                <w:sz w:val="18"/>
                <w:szCs w:val="18"/>
                <w:highlight w:val="none"/>
              </w:rPr>
              <w:t>0)</w:t>
            </w:r>
          </w:p>
        </w:tc>
        <w:tc>
          <w:tcPr>
            <w:tcW w:w="1134" w:type="dxa"/>
            <w:tcBorders>
              <w:bottom w:val="single" w:color="auto" w:sz="12" w:space="0"/>
            </w:tcBorders>
            <w:vAlign w:val="center"/>
          </w:tcPr>
          <w:p>
            <w:pPr>
              <w:pStyle w:val="245"/>
              <w:rPr>
                <w:rFonts w:hint="eastAsia"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5</w:t>
            </w:r>
            <w:r>
              <w:rPr>
                <w:rFonts w:hint="eastAsia" w:ascii="宋体" w:hAnsi="宋体" w:cs="宋体"/>
                <w:color w:val="auto"/>
                <w:sz w:val="18"/>
                <w:szCs w:val="18"/>
                <w:highlight w:val="none"/>
              </w:rPr>
              <w:t>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34"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c>
          <w:tcPr>
            <w:tcW w:w="1134"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1134" w:type="dxa"/>
            <w:tcBorders>
              <w:top w:val="single" w:color="auto" w:sz="12" w:space="0"/>
              <w:tl2br w:val="nil"/>
              <w:tr2bl w:val="nil"/>
            </w:tcBorders>
            <w:vAlign w:val="center"/>
          </w:tcPr>
          <w:p>
            <w:pPr>
              <w:pStyle w:val="245"/>
              <w:rPr>
                <w:rFonts w:hint="eastAsia"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p>
            <w:pPr>
              <w:pStyle w:val="245"/>
              <w:rPr>
                <w:rFonts w:hint="default" w:ascii="宋体" w:hAnsi="宋体" w:cs="宋体"/>
                <w:color w:val="auto"/>
                <w:sz w:val="18"/>
                <w:szCs w:val="18"/>
                <w:highlight w:val="none"/>
                <w:lang w:val="en-US" w:eastAsia="zh-CN"/>
              </w:rPr>
            </w:pPr>
          </w:p>
        </w:tc>
        <w:tc>
          <w:tcPr>
            <w:tcW w:w="1134" w:type="dxa"/>
            <w:tcBorders>
              <w:top w:val="single" w:color="auto" w:sz="12" w:space="0"/>
              <w:tl2br w:val="nil"/>
              <w:tr2bl w:val="nil"/>
            </w:tcBorders>
            <w:vAlign w:val="center"/>
          </w:tcPr>
          <w:p>
            <w:pPr>
              <w:pStyle w:val="245"/>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35</w:t>
            </w:r>
          </w:p>
        </w:tc>
        <w:tc>
          <w:tcPr>
            <w:tcW w:w="1134" w:type="dxa"/>
            <w:tcBorders>
              <w:top w:val="single" w:color="auto" w:sz="12" w:space="0"/>
              <w:tl2br w:val="nil"/>
              <w:tr2bl w:val="nil"/>
            </w:tcBorders>
            <w:vAlign w:val="center"/>
          </w:tcPr>
          <w:p>
            <w:pPr>
              <w:pStyle w:val="245"/>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bl>
    <w:p>
      <w:pPr>
        <w:spacing w:line="240" w:lineRule="auto"/>
        <w:rPr>
          <w:rFonts w:ascii="宋体"/>
          <w:color w:val="auto"/>
          <w:kern w:val="0"/>
          <w:szCs w:val="20"/>
          <w:highlight w:val="none"/>
        </w:rPr>
      </w:pPr>
      <w:r>
        <w:rPr>
          <w:rFonts w:hint="eastAsia" w:ascii="宋体"/>
          <w:color w:val="auto"/>
          <w:kern w:val="0"/>
          <w:szCs w:val="20"/>
          <w:highlight w:val="none"/>
        </w:rPr>
        <w:t>6.2.2  风险发生可能性分析的管线周边环境准则层</w:t>
      </w:r>
      <w:r>
        <w:rPr>
          <w:rFonts w:hint="eastAsia" w:ascii="宋体"/>
          <w:color w:val="auto"/>
          <w:kern w:val="0"/>
          <w:szCs w:val="20"/>
          <w:highlight w:val="none"/>
          <w:lang w:val="en-US" w:eastAsia="zh-CN"/>
        </w:rPr>
        <w:t>下道路等级、覆土深度、地面性质</w:t>
      </w:r>
      <w:r>
        <w:rPr>
          <w:rFonts w:hint="eastAsia" w:ascii="宋体"/>
          <w:color w:val="auto"/>
          <w:kern w:val="0"/>
          <w:szCs w:val="20"/>
          <w:highlight w:val="none"/>
        </w:rPr>
        <w:t>指标应按表6～表8分别进行评分。</w:t>
      </w:r>
    </w:p>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表6 管线周边环境准则层下指标评分值——道路等级</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270"/>
        <w:gridCol w:w="1270"/>
        <w:gridCol w:w="1270"/>
        <w:gridCol w:w="1270"/>
        <w:gridCol w:w="1270"/>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道路等级</w:t>
            </w:r>
          </w:p>
        </w:tc>
        <w:tc>
          <w:tcPr>
            <w:tcW w:w="1270" w:type="dxa"/>
            <w:tcBorders>
              <w:bottom w:val="single" w:color="auto" w:sz="12" w:space="0"/>
            </w:tcBorders>
            <w:vAlign w:val="center"/>
          </w:tcPr>
          <w:p>
            <w:pPr>
              <w:pStyle w:val="245"/>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非道路</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支路</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次干路</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主干路</w:t>
            </w:r>
          </w:p>
        </w:tc>
        <w:tc>
          <w:tcPr>
            <w:tcW w:w="1270" w:type="dxa"/>
            <w:tcBorders>
              <w:bottom w:val="single" w:color="auto" w:sz="12" w:space="0"/>
            </w:tcBorders>
            <w:vAlign w:val="center"/>
          </w:tcPr>
          <w:p>
            <w:pPr>
              <w:pStyle w:val="245"/>
              <w:rPr>
                <w:rFonts w:hint="eastAsia" w:ascii="宋体" w:hAnsi="宋体" w:cs="宋体"/>
                <w:color w:val="auto"/>
                <w:sz w:val="18"/>
                <w:szCs w:val="18"/>
                <w:highlight w:val="none"/>
              </w:rPr>
            </w:pPr>
            <w:r>
              <w:rPr>
                <w:rFonts w:hint="eastAsia" w:ascii="宋体" w:hAnsi="宋体" w:cs="宋体"/>
                <w:color w:val="auto"/>
                <w:sz w:val="18"/>
                <w:szCs w:val="18"/>
                <w:highlight w:val="none"/>
              </w:rPr>
              <w:t>快速路</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270"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tc>
        <w:tc>
          <w:tcPr>
            <w:tcW w:w="1270"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35</w:t>
            </w:r>
          </w:p>
        </w:tc>
        <w:tc>
          <w:tcPr>
            <w:tcW w:w="1270" w:type="dxa"/>
            <w:tcBorders>
              <w:top w:val="single" w:color="auto" w:sz="12" w:space="0"/>
              <w:tl2br w:val="nil"/>
              <w:tr2bl w:val="nil"/>
            </w:tcBorders>
            <w:vAlign w:val="center"/>
          </w:tcPr>
          <w:p>
            <w:pPr>
              <w:pStyle w:val="245"/>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c>
          <w:tcPr>
            <w:tcW w:w="1270" w:type="dxa"/>
            <w:tcBorders>
              <w:top w:val="single" w:color="auto" w:sz="12" w:space="0"/>
              <w:tl2br w:val="nil"/>
              <w:tr2bl w:val="nil"/>
            </w:tcBorders>
            <w:vAlign w:val="center"/>
          </w:tcPr>
          <w:p>
            <w:pPr>
              <w:pStyle w:val="245"/>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p>
            <w:pPr>
              <w:pStyle w:val="245"/>
              <w:rPr>
                <w:rFonts w:hint="default" w:ascii="宋体" w:hAnsi="宋体" w:cs="宋体"/>
                <w:color w:val="auto"/>
                <w:sz w:val="18"/>
                <w:szCs w:val="18"/>
                <w:highlight w:val="none"/>
                <w:lang w:val="en-US" w:eastAsia="zh-CN"/>
              </w:rPr>
            </w:pPr>
          </w:p>
        </w:tc>
      </w:tr>
    </w:tbl>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表7 管线周边环境准则层下指标评分值——覆土深度（</w:t>
      </w:r>
      <w:r>
        <w:rPr>
          <w:rFonts w:hint="eastAsia" w:ascii="黑体" w:hAnsi="黑体" w:eastAsia="黑体"/>
          <w:color w:val="auto"/>
          <w:highlight w:val="none"/>
          <w:u w:val="dotted"/>
          <w:lang w:val="en-US" w:eastAsia="zh-CN"/>
        </w:rPr>
        <w:t>米</w:t>
      </w:r>
      <w:r>
        <w:rPr>
          <w:rFonts w:hint="eastAsia" w:ascii="黑体" w:hAnsi="黑体" w:eastAsia="黑体"/>
          <w:color w:val="auto"/>
          <w:highlight w:val="none"/>
        </w:rPr>
        <w:t>）</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587"/>
        <w:gridCol w:w="1587"/>
        <w:gridCol w:w="1587"/>
        <w:gridCol w:w="1589"/>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覆土深度</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0.8</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[0.8,1.5)</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[1.5,3)</w:t>
            </w:r>
          </w:p>
        </w:tc>
        <w:tc>
          <w:tcPr>
            <w:tcW w:w="1589"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≥3</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45</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25</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18</w:t>
            </w:r>
          </w:p>
        </w:tc>
        <w:tc>
          <w:tcPr>
            <w:tcW w:w="1589"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r>
    </w:tbl>
    <w:p>
      <w:pPr>
        <w:pStyle w:val="235"/>
        <w:spacing w:before="156" w:beforeLines="50" w:after="156" w:afterLines="50"/>
        <w:jc w:val="center"/>
        <w:rPr>
          <w:rFonts w:ascii="黑体" w:hAnsi="黑体" w:eastAsia="黑体"/>
          <w:color w:val="auto"/>
          <w:highlight w:val="none"/>
        </w:rPr>
      </w:pPr>
      <w:r>
        <w:rPr>
          <w:rFonts w:hint="eastAsia" w:ascii="黑体" w:hAnsi="黑体" w:eastAsia="黑体"/>
          <w:color w:val="auto"/>
          <w:highlight w:val="none"/>
        </w:rPr>
        <w:t>表8 管线周边环境准则层下指标评分值——地面性质</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270"/>
        <w:gridCol w:w="1270"/>
        <w:gridCol w:w="1270"/>
        <w:gridCol w:w="1270"/>
        <w:gridCol w:w="1270"/>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地面性质</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绿化带</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人行道</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非机动车道</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机动车道</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交叉路口</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270"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18</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32</w:t>
            </w:r>
          </w:p>
        </w:tc>
        <w:tc>
          <w:tcPr>
            <w:tcW w:w="1270"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45</w:t>
            </w:r>
          </w:p>
        </w:tc>
      </w:tr>
    </w:tbl>
    <w:p>
      <w:pPr>
        <w:spacing w:line="240" w:lineRule="auto"/>
        <w:rPr>
          <w:rFonts w:ascii="宋体"/>
          <w:color w:val="auto"/>
          <w:kern w:val="0"/>
          <w:szCs w:val="20"/>
          <w:highlight w:val="none"/>
        </w:rPr>
      </w:pPr>
      <w:r>
        <w:rPr>
          <w:rFonts w:hint="eastAsia" w:ascii="宋体"/>
          <w:color w:val="auto"/>
          <w:kern w:val="0"/>
          <w:szCs w:val="20"/>
          <w:highlight w:val="none"/>
        </w:rPr>
        <w:t>6.2.3  风险发生可能性分析的</w:t>
      </w:r>
      <w:r>
        <w:rPr>
          <w:rFonts w:hint="eastAsia" w:ascii="宋体"/>
          <w:color w:val="auto"/>
          <w:kern w:val="0"/>
          <w:szCs w:val="20"/>
          <w:highlight w:val="none"/>
          <w:lang w:eastAsia="zh-CN"/>
        </w:rPr>
        <w:t>管线运行维护</w:t>
      </w:r>
      <w:r>
        <w:rPr>
          <w:rFonts w:hint="eastAsia" w:ascii="宋体"/>
          <w:color w:val="auto"/>
          <w:kern w:val="0"/>
          <w:szCs w:val="20"/>
          <w:highlight w:val="none"/>
        </w:rPr>
        <w:t>准则层</w:t>
      </w:r>
      <w:r>
        <w:rPr>
          <w:rFonts w:hint="eastAsia" w:ascii="宋体" w:hAnsi="Calibri"/>
          <w:i w:val="0"/>
          <w:color w:val="auto"/>
          <w:kern w:val="0"/>
          <w:sz w:val="21"/>
          <w:szCs w:val="20"/>
          <w:highlight w:val="none"/>
          <w:lang w:eastAsia="zh-CN"/>
        </w:rPr>
        <w:t>下近五年漏损总次数</w:t>
      </w:r>
      <w:r>
        <w:rPr>
          <w:rFonts w:hint="eastAsia" w:ascii="宋体"/>
          <w:i w:val="0"/>
          <w:color w:val="auto"/>
          <w:kern w:val="0"/>
          <w:sz w:val="21"/>
          <w:szCs w:val="20"/>
          <w:highlight w:val="none"/>
          <w:lang w:eastAsia="zh-CN"/>
        </w:rPr>
        <w:t>、管线运行压力</w:t>
      </w:r>
      <w:r>
        <w:rPr>
          <w:rFonts w:hint="eastAsia" w:ascii="宋体"/>
          <w:color w:val="auto"/>
          <w:kern w:val="0"/>
          <w:szCs w:val="20"/>
          <w:highlight w:val="none"/>
        </w:rPr>
        <w:t>指标应按表9～表</w:t>
      </w:r>
      <w:r>
        <w:rPr>
          <w:rFonts w:hint="eastAsia" w:ascii="宋体"/>
          <w:color w:val="auto"/>
          <w:kern w:val="0"/>
          <w:szCs w:val="20"/>
          <w:highlight w:val="none"/>
          <w:lang w:val="en-US" w:eastAsia="zh-CN"/>
        </w:rPr>
        <w:t>10</w:t>
      </w:r>
      <w:r>
        <w:rPr>
          <w:rFonts w:hint="eastAsia" w:ascii="宋体"/>
          <w:color w:val="auto"/>
          <w:kern w:val="0"/>
          <w:szCs w:val="20"/>
          <w:highlight w:val="none"/>
        </w:rPr>
        <w:t>分别进行评分。</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 xml:space="preserve">表9 </w:t>
      </w:r>
      <w:r>
        <w:rPr>
          <w:rFonts w:hint="eastAsia" w:ascii="黑体" w:hAnsi="黑体" w:eastAsia="黑体" w:cs="黑体"/>
          <w:color w:val="auto"/>
          <w:highlight w:val="none"/>
          <w:lang w:eastAsia="zh-CN"/>
        </w:rPr>
        <w:t>管线运行维护</w:t>
      </w:r>
      <w:r>
        <w:rPr>
          <w:rFonts w:hint="eastAsia" w:ascii="黑体" w:hAnsi="黑体" w:eastAsia="黑体" w:cs="黑体"/>
          <w:color w:val="auto"/>
          <w:highlight w:val="none"/>
        </w:rPr>
        <w:t>准则层下指标评分值——</w:t>
      </w:r>
      <w:r>
        <w:rPr>
          <w:rFonts w:hint="eastAsia" w:ascii="黑体" w:hAnsi="黑体" w:eastAsia="黑体" w:cs="黑体"/>
          <w:color w:val="auto"/>
          <w:highlight w:val="none"/>
          <w:lang w:val="en-US" w:eastAsia="zh-CN"/>
        </w:rPr>
        <w:t>近五年漏损总次数</w:t>
      </w:r>
      <w:r>
        <w:rPr>
          <w:rFonts w:hint="eastAsia" w:ascii="黑体" w:hAnsi="黑体" w:eastAsia="黑体" w:cs="黑体"/>
          <w:color w:val="auto"/>
          <w:highlight w:val="none"/>
          <w:lang w:val="en"/>
        </w:rPr>
        <w:t>（</w:t>
      </w:r>
      <w:r>
        <w:rPr>
          <w:rFonts w:hint="eastAsia" w:ascii="黑体" w:hAnsi="黑体" w:eastAsia="黑体" w:cs="黑体"/>
          <w:color w:val="auto"/>
          <w:highlight w:val="none"/>
        </w:rPr>
        <w:t>次</w:t>
      </w:r>
      <w:r>
        <w:rPr>
          <w:rFonts w:hint="eastAsia" w:ascii="黑体" w:hAnsi="黑体" w:eastAsia="黑体" w:cs="黑体"/>
          <w:color w:val="auto"/>
          <w:highlight w:val="none"/>
          <w:lang w:val="en"/>
        </w:rPr>
        <w:t>）</w:t>
      </w:r>
    </w:p>
    <w:tbl>
      <w:tblPr>
        <w:tblStyle w:val="31"/>
        <w:tblW w:w="7938"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587"/>
        <w:gridCol w:w="1587"/>
        <w:gridCol w:w="1590"/>
        <w:gridCol w:w="1587"/>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89" w:hRule="exact"/>
          <w:jc w:val="center"/>
        </w:trPr>
        <w:tc>
          <w:tcPr>
            <w:tcW w:w="1587" w:type="dxa"/>
            <w:tcBorders>
              <w:bottom w:val="single" w:color="auto" w:sz="12" w:space="0"/>
            </w:tcBorders>
            <w:vAlign w:val="center"/>
          </w:tcPr>
          <w:p>
            <w:pPr>
              <w:pStyle w:val="245"/>
              <w:keepNext w:val="0"/>
              <w:keepLines w:val="0"/>
              <w:pageBreakBefore w:val="0"/>
              <w:widowControl w:val="0"/>
              <w:kinsoku/>
              <w:wordWrap/>
              <w:overflowPunct/>
              <w:topLinePunct w:val="0"/>
              <w:autoSpaceDE/>
              <w:autoSpaceDN/>
              <w:bidi w:val="0"/>
              <w:adjustRightInd w:val="0"/>
              <w:snapToGrid/>
              <w:spacing w:line="260" w:lineRule="exact"/>
              <w:textAlignment w:val="auto"/>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近五年漏损总次数</w:t>
            </w:r>
          </w:p>
        </w:tc>
        <w:tc>
          <w:tcPr>
            <w:tcW w:w="1587" w:type="dxa"/>
            <w:tcBorders>
              <w:bottom w:val="single" w:color="auto" w:sz="12" w:space="0"/>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0</w:t>
            </w:r>
          </w:p>
        </w:tc>
        <w:tc>
          <w:tcPr>
            <w:tcW w:w="1587" w:type="dxa"/>
            <w:tcBorders>
              <w:bottom w:val="single" w:color="auto" w:sz="12" w:space="0"/>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1</w:t>
            </w:r>
          </w:p>
        </w:tc>
        <w:tc>
          <w:tcPr>
            <w:tcW w:w="1590" w:type="dxa"/>
            <w:tcBorders>
              <w:bottom w:val="single" w:color="auto" w:sz="12" w:space="0"/>
            </w:tcBorders>
            <w:vAlign w:val="center"/>
          </w:tcPr>
          <w:p>
            <w:pPr>
              <w:pStyle w:val="245"/>
              <w:rPr>
                <w:rFonts w:hint="eastAsia" w:ascii="宋体" w:hAnsi="宋体" w:cs="宋体"/>
                <w:color w:val="auto"/>
                <w:sz w:val="18"/>
                <w:szCs w:val="18"/>
                <w:highlight w:val="none"/>
                <w:lang w:val="e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2</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4</w:t>
            </w:r>
            <w:r>
              <w:rPr>
                <w:rFonts w:hint="eastAsia" w:ascii="宋体" w:hAnsi="宋体" w:cs="宋体"/>
                <w:color w:val="auto"/>
                <w:sz w:val="18"/>
                <w:szCs w:val="18"/>
                <w:highlight w:val="none"/>
              </w:rPr>
              <w:t>)</w:t>
            </w:r>
          </w:p>
        </w:tc>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
              </w:rPr>
              <w:t>＞</w:t>
            </w:r>
            <w:r>
              <w:rPr>
                <w:rFonts w:hint="eastAsia" w:ascii="宋体" w:hAnsi="宋体" w:cs="宋体"/>
                <w:color w:val="auto"/>
                <w:sz w:val="18"/>
                <w:szCs w:val="18"/>
                <w:highlight w:val="none"/>
              </w:rPr>
              <w:t>4</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87"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587"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tc>
        <w:tc>
          <w:tcPr>
            <w:tcW w:w="159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30</w:t>
            </w:r>
          </w:p>
        </w:tc>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4</w:t>
            </w:r>
            <w:r>
              <w:rPr>
                <w:rFonts w:hint="eastAsia" w:ascii="宋体" w:hAnsi="宋体" w:cs="宋体"/>
                <w:color w:val="auto"/>
                <w:sz w:val="18"/>
                <w:szCs w:val="18"/>
                <w:highlight w:val="none"/>
              </w:rPr>
              <w:t>5</w:t>
            </w:r>
          </w:p>
        </w:tc>
      </w:tr>
    </w:tbl>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w:t>
      </w:r>
      <w:r>
        <w:rPr>
          <w:rFonts w:hint="eastAsia" w:ascii="黑体" w:hAnsi="黑体" w:eastAsia="黑体" w:cs="黑体"/>
          <w:color w:val="auto"/>
          <w:highlight w:val="none"/>
          <w:lang w:val="en-US" w:eastAsia="zh-CN"/>
        </w:rPr>
        <w:t>10</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eastAsia="zh-CN"/>
        </w:rPr>
        <w:t>管线运行维护</w:t>
      </w:r>
      <w:r>
        <w:rPr>
          <w:rFonts w:hint="eastAsia" w:ascii="黑体" w:hAnsi="黑体" w:eastAsia="黑体" w:cs="黑体"/>
          <w:color w:val="auto"/>
          <w:highlight w:val="none"/>
        </w:rPr>
        <w:t>准则层下指标评分值——</w:t>
      </w:r>
      <w:r>
        <w:rPr>
          <w:rFonts w:hint="eastAsia" w:ascii="黑体" w:hAnsi="黑体" w:eastAsia="黑体" w:cs="黑体"/>
          <w:color w:val="auto"/>
          <w:highlight w:val="none"/>
          <w:lang w:val="en-US" w:eastAsia="zh-CN"/>
        </w:rPr>
        <w:t>管线运行压力</w:t>
      </w:r>
      <w:r>
        <w:rPr>
          <w:rFonts w:hint="eastAsia" w:ascii="黑体" w:hAnsi="黑体" w:eastAsia="黑体" w:cs="黑体"/>
          <w:color w:val="auto"/>
          <w:highlight w:val="none"/>
          <w:lang w:val="en"/>
        </w:rPr>
        <w:t>（</w:t>
      </w:r>
      <w:r>
        <w:rPr>
          <w:rFonts w:hint="eastAsia" w:ascii="黑体" w:hAnsi="黑体" w:eastAsia="黑体" w:cs="黑体"/>
          <w:color w:val="auto"/>
          <w:highlight w:val="none"/>
          <w:lang w:val="en-US" w:eastAsia="zh-CN"/>
        </w:rPr>
        <w:t>兆帕</w:t>
      </w:r>
      <w:r>
        <w:rPr>
          <w:rFonts w:hint="eastAsia" w:ascii="黑体" w:hAnsi="黑体" w:eastAsia="黑体" w:cs="黑体"/>
          <w:color w:val="auto"/>
          <w:highlight w:val="none"/>
          <w:lang w:val="en"/>
        </w:rPr>
        <w:t>）</w:t>
      </w:r>
    </w:p>
    <w:tbl>
      <w:tblPr>
        <w:tblStyle w:val="30"/>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587"/>
        <w:gridCol w:w="1270"/>
        <w:gridCol w:w="1270"/>
        <w:gridCol w:w="1270"/>
        <w:gridCol w:w="1270"/>
        <w:gridCol w:w="1270"/>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管线运行压力</w:t>
            </w:r>
          </w:p>
        </w:tc>
        <w:tc>
          <w:tcPr>
            <w:tcW w:w="1270" w:type="dxa"/>
            <w:tcBorders>
              <w:bottom w:val="single" w:color="auto" w:sz="12" w:space="0"/>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0.</w:t>
            </w:r>
            <w:r>
              <w:rPr>
                <w:rFonts w:hint="eastAsia" w:ascii="宋体" w:hAnsi="宋体" w:cs="宋体"/>
                <w:color w:val="auto"/>
                <w:sz w:val="18"/>
                <w:szCs w:val="18"/>
                <w:highlight w:val="none"/>
                <w:lang w:val="en-US" w:eastAsia="zh-CN"/>
              </w:rPr>
              <w:t>25</w:t>
            </w:r>
          </w:p>
        </w:tc>
        <w:tc>
          <w:tcPr>
            <w:tcW w:w="1270" w:type="dxa"/>
            <w:tcBorders>
              <w:bottom w:val="single" w:color="auto" w:sz="12" w:space="0"/>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0.25</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0.3</w:t>
            </w:r>
            <w:r>
              <w:rPr>
                <w:rFonts w:hint="eastAsia" w:ascii="宋体" w:hAnsi="宋体" w:cs="宋体"/>
                <w:color w:val="auto"/>
                <w:sz w:val="18"/>
                <w:szCs w:val="18"/>
                <w:highlight w:val="none"/>
              </w:rPr>
              <w:t>)</w:t>
            </w:r>
          </w:p>
        </w:tc>
        <w:tc>
          <w:tcPr>
            <w:tcW w:w="1270" w:type="dxa"/>
            <w:tcBorders>
              <w:bottom w:val="single" w:color="auto" w:sz="12" w:space="0"/>
            </w:tcBorders>
            <w:vAlign w:val="center"/>
          </w:tcPr>
          <w:p>
            <w:pPr>
              <w:pStyle w:val="245"/>
              <w:rPr>
                <w:rFonts w:hint="eastAsia" w:ascii="宋体" w:hAnsi="宋体" w:cs="宋体"/>
                <w:color w:val="auto"/>
                <w:sz w:val="18"/>
                <w:szCs w:val="18"/>
                <w:highlight w:val="none"/>
                <w:lang w:val="en"/>
              </w:rPr>
            </w:pPr>
            <w:r>
              <w:rPr>
                <w:rFonts w:hint="eastAsia" w:ascii="宋体" w:hAnsi="宋体" w:cs="宋体"/>
                <w:color w:val="auto"/>
                <w:sz w:val="18"/>
                <w:szCs w:val="18"/>
                <w:highlight w:val="none"/>
              </w:rPr>
              <w:t>[0.</w:t>
            </w:r>
            <w:r>
              <w:rPr>
                <w:rFonts w:hint="eastAsia" w:ascii="宋体" w:hAnsi="宋体" w:cs="宋体"/>
                <w:color w:val="auto"/>
                <w:sz w:val="18"/>
                <w:szCs w:val="18"/>
                <w:highlight w:val="none"/>
                <w:lang w:val="en-US" w:eastAsia="zh-CN"/>
              </w:rPr>
              <w:t>3</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0.35</w:t>
            </w:r>
            <w:r>
              <w:rPr>
                <w:rFonts w:hint="eastAsia" w:ascii="宋体" w:hAnsi="宋体" w:cs="宋体"/>
                <w:color w:val="auto"/>
                <w:sz w:val="18"/>
                <w:szCs w:val="18"/>
                <w:highlight w:val="none"/>
              </w:rPr>
              <w:t>)</w:t>
            </w:r>
          </w:p>
        </w:tc>
        <w:tc>
          <w:tcPr>
            <w:tcW w:w="1270" w:type="dxa"/>
            <w:tcBorders>
              <w:bottom w:val="single" w:color="auto" w:sz="12" w:space="0"/>
            </w:tcBorders>
            <w:vAlign w:val="center"/>
          </w:tcPr>
          <w:p>
            <w:pPr>
              <w:pStyle w:val="245"/>
              <w:rPr>
                <w:rFonts w:hint="eastAsia" w:ascii="宋体" w:hAnsi="宋体" w:cs="宋体"/>
                <w:color w:val="auto"/>
                <w:sz w:val="18"/>
                <w:szCs w:val="18"/>
                <w:highlight w:val="none"/>
                <w:lang w:val="e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0.35</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0.4</w:t>
            </w:r>
            <w:r>
              <w:rPr>
                <w:rFonts w:hint="eastAsia" w:ascii="宋体" w:hAnsi="宋体" w:cs="宋体"/>
                <w:color w:val="auto"/>
                <w:sz w:val="18"/>
                <w:szCs w:val="18"/>
                <w:highlight w:val="none"/>
              </w:rPr>
              <w:t>)</w:t>
            </w:r>
          </w:p>
        </w:tc>
        <w:tc>
          <w:tcPr>
            <w:tcW w:w="1270"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
              </w:rPr>
              <w:t>＞</w:t>
            </w:r>
            <w:r>
              <w:rPr>
                <w:rFonts w:hint="eastAsia" w:ascii="宋体" w:hAnsi="宋体" w:cs="宋体"/>
                <w:color w:val="auto"/>
                <w:sz w:val="18"/>
                <w:szCs w:val="18"/>
                <w:highlight w:val="none"/>
                <w:lang w:val="en-US" w:eastAsia="zh-CN"/>
              </w:rPr>
              <w:t>0.</w:t>
            </w:r>
            <w:r>
              <w:rPr>
                <w:rFonts w:hint="eastAsia" w:ascii="宋体" w:hAnsi="宋体" w:cs="宋体"/>
                <w:color w:val="auto"/>
                <w:sz w:val="18"/>
                <w:szCs w:val="18"/>
                <w:highlight w:val="none"/>
              </w:rPr>
              <w:t>4</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587"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270"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tc>
        <w:tc>
          <w:tcPr>
            <w:tcW w:w="1270"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30</w:t>
            </w:r>
          </w:p>
        </w:tc>
        <w:tc>
          <w:tcPr>
            <w:tcW w:w="1270" w:type="dxa"/>
            <w:tcBorders>
              <w:top w:val="single" w:color="auto" w:sz="12" w:space="0"/>
              <w:tl2br w:val="nil"/>
              <w:tr2bl w:val="nil"/>
            </w:tcBorders>
            <w:vAlign w:val="center"/>
          </w:tcPr>
          <w:p>
            <w:pPr>
              <w:pStyle w:val="245"/>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35</w:t>
            </w:r>
          </w:p>
        </w:tc>
        <w:tc>
          <w:tcPr>
            <w:tcW w:w="1270"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4</w:t>
            </w:r>
            <w:r>
              <w:rPr>
                <w:rFonts w:hint="eastAsia" w:ascii="宋体" w:hAnsi="宋体" w:cs="宋体"/>
                <w:color w:val="auto"/>
                <w:sz w:val="18"/>
                <w:szCs w:val="18"/>
                <w:highlight w:val="none"/>
              </w:rPr>
              <w:t>5</w:t>
            </w:r>
          </w:p>
        </w:tc>
      </w:tr>
    </w:tbl>
    <w:p>
      <w:pPr>
        <w:spacing w:line="240" w:lineRule="auto"/>
        <w:rPr>
          <w:color w:val="auto"/>
          <w:highlight w:val="none"/>
        </w:rPr>
      </w:pPr>
      <w:r>
        <w:rPr>
          <w:rFonts w:hint="eastAsia" w:ascii="宋体"/>
          <w:color w:val="auto"/>
          <w:kern w:val="0"/>
          <w:szCs w:val="20"/>
          <w:highlight w:val="none"/>
        </w:rPr>
        <w:t>6.2.4  供水地下管线风险发生可能性分析值应按照公式（1）进行计算，其中，物理属性、周边环境和运行维修准则层及其指标层各影响因素权重应按表A.1进行取值。</w:t>
      </w:r>
    </w:p>
    <w:p>
      <w:pPr>
        <w:pStyle w:val="237"/>
        <w:numPr>
          <w:ilvl w:val="0"/>
          <w:numId w:val="0"/>
        </w:numPr>
        <w:spacing w:before="156" w:beforeLines="50" w:after="156" w:afterLines="50"/>
        <w:rPr>
          <w:color w:val="auto"/>
          <w:highlight w:val="none"/>
        </w:rPr>
      </w:pPr>
      <w:r>
        <w:rPr>
          <w:rFonts w:hint="eastAsia"/>
          <w:color w:val="auto"/>
          <w:highlight w:val="none"/>
        </w:rPr>
        <w:t>6.3  失效后果严重性分析</w:t>
      </w:r>
    </w:p>
    <w:p>
      <w:pPr>
        <w:spacing w:line="240" w:lineRule="auto"/>
        <w:rPr>
          <w:rFonts w:ascii="黑体" w:hAnsi="黑体" w:eastAsia="黑体" w:cs="黑体"/>
          <w:color w:val="auto"/>
          <w:highlight w:val="none"/>
        </w:rPr>
      </w:pPr>
      <w:r>
        <w:rPr>
          <w:rFonts w:hint="eastAsia" w:ascii="宋体" w:hAnsi="宋体" w:cs="宋体"/>
          <w:color w:val="auto"/>
          <w:kern w:val="0"/>
          <w:szCs w:val="20"/>
          <w:highlight w:val="none"/>
        </w:rPr>
        <w:t xml:space="preserve">6.3.1  </w:t>
      </w:r>
      <w:r>
        <w:rPr>
          <w:rFonts w:hint="eastAsia" w:ascii="宋体" w:hAnsi="宋体" w:cs="宋体"/>
          <w:color w:val="auto"/>
          <w:kern w:val="0"/>
          <w:highlight w:val="none"/>
        </w:rPr>
        <w:t>常规风险分析的失效后果严重性分析应按表1</w:t>
      </w:r>
      <w:r>
        <w:rPr>
          <w:rFonts w:hint="eastAsia" w:ascii="宋体" w:hAnsi="宋体" w:cs="宋体"/>
          <w:color w:val="auto"/>
          <w:kern w:val="0"/>
          <w:highlight w:val="none"/>
          <w:lang w:val="en-US" w:eastAsia="zh-CN"/>
        </w:rPr>
        <w:t>1</w:t>
      </w:r>
      <w:r>
        <w:rPr>
          <w:rFonts w:hint="eastAsia" w:ascii="宋体" w:hAnsi="宋体" w:cs="宋体"/>
          <w:color w:val="auto"/>
          <w:kern w:val="0"/>
          <w:highlight w:val="none"/>
        </w:rPr>
        <w:t>进行评分。</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w:t>
      </w:r>
      <w:r>
        <w:rPr>
          <w:rFonts w:hint="eastAsia" w:ascii="黑体" w:hAnsi="黑体" w:eastAsia="黑体" w:cs="黑体"/>
          <w:color w:val="auto"/>
          <w:highlight w:val="none"/>
          <w:lang w:val="en-US" w:eastAsia="zh-CN"/>
        </w:rPr>
        <w:t>11</w:t>
      </w:r>
      <w:r>
        <w:rPr>
          <w:rFonts w:hint="eastAsia" w:ascii="黑体" w:hAnsi="黑体" w:eastAsia="黑体" w:cs="黑体"/>
          <w:color w:val="auto"/>
          <w:highlight w:val="none"/>
        </w:rPr>
        <w:t xml:space="preserve"> 常规风险分析的失效后果严重性分析指标评分值</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385"/>
        <w:gridCol w:w="1638"/>
        <w:gridCol w:w="546"/>
        <w:gridCol w:w="1092"/>
        <w:gridCol w:w="1092"/>
        <w:gridCol w:w="546"/>
        <w:gridCol w:w="1638"/>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影响用户量</w:t>
            </w:r>
          </w:p>
        </w:tc>
        <w:tc>
          <w:tcPr>
            <w:tcW w:w="1638"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≤500</w:t>
            </w:r>
          </w:p>
        </w:tc>
        <w:tc>
          <w:tcPr>
            <w:tcW w:w="1638" w:type="dxa"/>
            <w:gridSpan w:val="2"/>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(500,1000]</w:t>
            </w:r>
          </w:p>
        </w:tc>
        <w:tc>
          <w:tcPr>
            <w:tcW w:w="1638" w:type="dxa"/>
            <w:gridSpan w:val="2"/>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(1000,2000]</w:t>
            </w:r>
          </w:p>
        </w:tc>
        <w:tc>
          <w:tcPr>
            <w:tcW w:w="1638" w:type="dxa"/>
            <w:tcBorders>
              <w:bottom w:val="single" w:color="auto"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2000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top w:val="single" w:color="auto"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638" w:type="dxa"/>
            <w:tcBorders>
              <w:top w:val="single" w:color="auto"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638" w:type="dxa"/>
            <w:gridSpan w:val="2"/>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21</w:t>
            </w:r>
          </w:p>
        </w:tc>
        <w:tc>
          <w:tcPr>
            <w:tcW w:w="1638" w:type="dxa"/>
            <w:gridSpan w:val="2"/>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37</w:t>
            </w:r>
          </w:p>
        </w:tc>
        <w:tc>
          <w:tcPr>
            <w:tcW w:w="1638" w:type="dxa"/>
            <w:tcBorders>
              <w:top w:val="single" w:color="auto"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敷设区域</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一般区域</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重点区域临近区</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重点区域</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2184" w:type="dxa"/>
            <w:gridSpan w:val="2"/>
            <w:tcBorders>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2184" w:type="dxa"/>
            <w:gridSpan w:val="2"/>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25</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45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管网布局类型</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形成环状管网且有多路供水</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形成环状管网仅有单路供水</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未形成环状管网</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385"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2184" w:type="dxa"/>
            <w:gridSpan w:val="2"/>
            <w:tcBorders>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2184" w:type="dxa"/>
            <w:gridSpan w:val="2"/>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32</w:t>
            </w:r>
          </w:p>
        </w:tc>
        <w:tc>
          <w:tcPr>
            <w:tcW w:w="2184" w:type="dxa"/>
            <w:gridSpan w:val="2"/>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45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7937" w:type="dxa"/>
            <w:gridSpan w:val="7"/>
            <w:tcBorders>
              <w:tl2br w:val="nil"/>
              <w:tr2bl w:val="nil"/>
            </w:tcBorders>
            <w:vAlign w:val="center"/>
          </w:tcPr>
          <w:p>
            <w:pPr>
              <w:pStyle w:val="245"/>
              <w:spacing w:line="240" w:lineRule="auto"/>
              <w:jc w:val="both"/>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注：</w:t>
            </w:r>
            <w:r>
              <w:rPr>
                <w:rFonts w:hint="eastAsia" w:ascii="黑体" w:hAnsi="黑体" w:eastAsia="黑体" w:cs="黑体"/>
                <w:color w:val="auto"/>
                <w:sz w:val="18"/>
                <w:szCs w:val="18"/>
                <w:highlight w:val="none"/>
                <w:lang w:val="en-US" w:eastAsia="zh-CN"/>
              </w:rPr>
              <w:t>重点区域是指是指因政治、外交、安保或城市功能需要，对供水安全保障有极高要求，一旦发生供水事故将产生重大政治影响、社会影响或经济损失的区域，包括天安门地区、阅兵路线及周边、重大活动保障驻地、使馆区、党政军重点单位、城市核心区、城市副中心等；</w:t>
            </w:r>
            <w:r>
              <w:rPr>
                <w:rFonts w:hint="eastAsia" w:ascii="黑体" w:hAnsi="黑体" w:eastAsia="黑体" w:cs="黑体"/>
                <w:color w:val="auto"/>
                <w:sz w:val="18"/>
                <w:szCs w:val="18"/>
                <w:highlight w:val="none"/>
              </w:rPr>
              <w:t>重点区域邻近区是指与重点区域相联系并受其影响的一定范围的区域；一般区域是指除重点区域和重点区域邻近区以外的地区。</w:t>
            </w:r>
          </w:p>
        </w:tc>
      </w:tr>
    </w:tbl>
    <w:p>
      <w:pPr>
        <w:spacing w:line="240" w:lineRule="auto"/>
        <w:rPr>
          <w:rFonts w:ascii="宋体" w:hAnsi="宋体" w:cs="宋体"/>
          <w:color w:val="auto"/>
          <w:kern w:val="0"/>
          <w:highlight w:val="none"/>
        </w:rPr>
      </w:pPr>
      <w:r>
        <w:rPr>
          <w:rFonts w:hint="eastAsia" w:ascii="宋体" w:hAnsi="宋体" w:cs="宋体"/>
          <w:color w:val="auto"/>
          <w:kern w:val="0"/>
          <w:szCs w:val="20"/>
          <w:highlight w:val="none"/>
        </w:rPr>
        <w:t xml:space="preserve">6.3.2  </w:t>
      </w:r>
      <w:r>
        <w:rPr>
          <w:rFonts w:hint="eastAsia" w:ascii="宋体" w:hAnsi="宋体" w:cs="宋体"/>
          <w:color w:val="auto"/>
          <w:kern w:val="0"/>
          <w:highlight w:val="none"/>
        </w:rPr>
        <w:t>供水地下管线失效后果严重性分析应按照公式（2）进行计算，各分项权重应按表A.2进行取值。</w:t>
      </w:r>
    </w:p>
    <w:p>
      <w:pPr>
        <w:pStyle w:val="237"/>
        <w:numPr>
          <w:ilvl w:val="0"/>
          <w:numId w:val="0"/>
        </w:numPr>
        <w:spacing w:before="156" w:beforeLines="50" w:after="156" w:afterLines="50"/>
        <w:rPr>
          <w:color w:val="auto"/>
          <w:highlight w:val="none"/>
        </w:rPr>
      </w:pPr>
      <w:r>
        <w:rPr>
          <w:rFonts w:hint="eastAsia"/>
          <w:color w:val="auto"/>
          <w:highlight w:val="none"/>
        </w:rPr>
        <w:t>6.4  风险分析等级</w:t>
      </w:r>
    </w:p>
    <w:p>
      <w:pPr>
        <w:spacing w:line="240" w:lineRule="auto"/>
        <w:rPr>
          <w:rFonts w:ascii="宋体"/>
          <w:color w:val="auto"/>
          <w:kern w:val="0"/>
          <w:szCs w:val="20"/>
          <w:highlight w:val="none"/>
        </w:rPr>
      </w:pPr>
      <w:r>
        <w:rPr>
          <w:rFonts w:hint="eastAsia" w:ascii="宋体"/>
          <w:color w:val="auto"/>
          <w:kern w:val="0"/>
          <w:szCs w:val="20"/>
          <w:highlight w:val="none"/>
        </w:rPr>
        <w:t>6.4.1  供水地下管线安全风险分析等级</w:t>
      </w:r>
      <w:r>
        <w:rPr>
          <w:rFonts w:hint="eastAsia" w:ascii="宋体"/>
          <w:i/>
          <w:iCs/>
          <w:color w:val="auto"/>
          <w:kern w:val="0"/>
          <w:szCs w:val="20"/>
          <w:highlight w:val="none"/>
        </w:rPr>
        <w:t>R</w:t>
      </w:r>
      <w:r>
        <w:rPr>
          <w:rFonts w:hint="eastAsia" w:ascii="宋体"/>
          <w:i/>
          <w:iCs/>
          <w:color w:val="auto"/>
          <w:kern w:val="0"/>
          <w:szCs w:val="20"/>
          <w:highlight w:val="none"/>
          <w:vertAlign w:val="subscript"/>
        </w:rPr>
        <w:t>1</w:t>
      </w:r>
      <w:r>
        <w:rPr>
          <w:rFonts w:hint="eastAsia" w:ascii="宋体"/>
          <w:color w:val="auto"/>
          <w:kern w:val="0"/>
          <w:szCs w:val="20"/>
          <w:highlight w:val="none"/>
        </w:rPr>
        <w:t>应按公式（5）计算：</w:t>
      </w:r>
    </w:p>
    <w:p>
      <w:pPr>
        <w:keepNext w:val="0"/>
        <w:keepLines w:val="0"/>
        <w:pageBreakBefore w:val="0"/>
        <w:widowControl w:val="0"/>
        <w:tabs>
          <w:tab w:val="right" w:leader="middleDot" w:pos="8820"/>
        </w:tabs>
        <w:kinsoku/>
        <w:wordWrap/>
        <w:overflowPunct/>
        <w:topLinePunct w:val="0"/>
        <w:autoSpaceDE/>
        <w:autoSpaceDN/>
        <w:bidi w:val="0"/>
        <w:adjustRightInd w:val="0"/>
        <w:snapToGrid/>
        <w:jc w:val="right"/>
        <w:textAlignment w:val="auto"/>
        <w:rPr>
          <w:rFonts w:hint="eastAsia" w:ascii="宋体" w:hAnsi="宋体" w:eastAsia="宋体" w:cs="宋体"/>
          <w:color w:val="auto"/>
          <w:kern w:val="0"/>
          <w:szCs w:val="20"/>
          <w:highlight w:val="none"/>
          <w:lang w:eastAsia="zh-CN"/>
        </w:rPr>
      </w:pPr>
      <w:r>
        <w:rPr>
          <w:rFonts w:hint="eastAsia" w:hAnsi="Cambria Math"/>
          <w:i w:val="0"/>
          <w:color w:val="auto"/>
          <w:highlight w:val="none"/>
          <w:lang w:val="en-US" w:eastAsia="zh-CN"/>
        </w:rPr>
        <w:t xml:space="preserve">                         </w:t>
      </w:r>
      <w:r>
        <w:rPr>
          <w:rFonts w:hint="eastAsia" w:ascii="宋体" w:hAnsi="宋体" w:eastAsia="宋体" w:cs="宋体"/>
          <w:i w:val="0"/>
          <w:color w:val="auto"/>
          <w:highlight w:val="none"/>
          <w:lang w:val="en-US" w:eastAsia="zh-CN"/>
        </w:rPr>
        <w:t xml:space="preserve">        </w:t>
      </w:r>
      <m:oMath>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R</m:t>
            </m:r>
            <m:ctrlPr>
              <w:rPr>
                <w:rFonts w:hint="eastAsia" w:ascii="Cambria Math" w:hAnsi="Cambria Math" w:eastAsia="宋体" w:cs="宋体"/>
                <w:i/>
                <w:color w:val="auto"/>
                <w:highlight w:val="none"/>
              </w:rPr>
            </m:ctrlPr>
          </m:e>
          <m:sub>
            <m:r>
              <m:rPr/>
              <w:rPr>
                <w:rFonts w:hint="eastAsia" w:ascii="Cambria Math" w:hAnsi="Cambria Math" w:eastAsia="宋体" w:cs="宋体"/>
                <w:color w:val="auto"/>
                <w:highlight w:val="none"/>
              </w:rPr>
              <m:t>1</m:t>
            </m:r>
            <m:ctrlPr>
              <w:rPr>
                <w:rFonts w:hint="eastAsia" w:ascii="Cambria Math" w:hAnsi="Cambria Math" w:eastAsia="宋体" w:cs="宋体"/>
                <w:i/>
                <w:color w:val="auto"/>
                <w:highlight w:val="none"/>
              </w:rPr>
            </m:ctrlPr>
          </m:sub>
        </m:sSub>
        <m:r>
          <m:rPr/>
          <w:rPr>
            <w:rFonts w:hint="eastAsia" w:ascii="Cambria Math" w:hAnsi="Cambria Math" w:eastAsia="宋体" w:cs="宋体"/>
            <w:color w:val="auto"/>
            <w:highlight w:val="none"/>
          </w:rPr>
          <m:t>=f</m:t>
        </m:r>
        <m:d>
          <m:dPr>
            <m:ctrlPr>
              <w:rPr>
                <w:rFonts w:hint="eastAsia" w:ascii="Cambria Math" w:hAnsi="Cambria Math" w:eastAsia="宋体" w:cs="宋体"/>
                <w:i/>
                <w:color w:val="auto"/>
                <w:highlight w:val="none"/>
              </w:rPr>
            </m:ctrlPr>
          </m:dPr>
          <m:e>
            <m:r>
              <m:rPr/>
              <w:rPr>
                <w:rFonts w:hint="eastAsia" w:ascii="Cambria Math" w:hAnsi="Cambria Math" w:eastAsia="宋体" w:cs="宋体"/>
                <w:color w:val="auto"/>
                <w:highlight w:val="none"/>
              </w:rPr>
              <m:t>L,</m:t>
            </m:r>
            <m:r>
              <m:rPr>
                <m:sty m:val="p"/>
              </m:rPr>
              <w:rPr>
                <w:rFonts w:hint="eastAsia" w:ascii="Cambria Math" w:hAnsi="Cambria Math" w:eastAsia="宋体" w:cs="宋体"/>
                <w:color w:val="auto"/>
                <w:highlight w:val="none"/>
              </w:rPr>
              <m:t>C</m:t>
            </m:r>
            <m:ctrlPr>
              <w:rPr>
                <w:rFonts w:hint="eastAsia" w:ascii="Cambria Math" w:hAnsi="Cambria Math" w:eastAsia="宋体" w:cs="宋体"/>
                <w:color w:val="auto"/>
                <w:highlight w:val="none"/>
              </w:rPr>
            </m:ctrlPr>
          </m:e>
        </m:d>
      </m:oMath>
      <w:r>
        <w:rPr>
          <w:rFonts w:hint="eastAsia" w:ascii="宋体" w:hAnsi="宋体" w:eastAsia="宋体" w:cs="宋体"/>
          <w:i w:val="0"/>
          <w:color w:val="auto"/>
          <w:highlight w:val="none"/>
          <w:lang w:val="en-US" w:eastAsia="zh-CN"/>
        </w:rPr>
        <w:tab/>
      </w:r>
      <w:r>
        <w:rPr>
          <w:rFonts w:hint="eastAsia" w:ascii="宋体" w:hAnsi="宋体" w:eastAsia="宋体" w:cs="宋体"/>
          <w:color w:val="auto"/>
          <w:kern w:val="0"/>
          <w:szCs w:val="20"/>
          <w:highlight w:val="none"/>
          <w:lang w:eastAsia="zh-CN"/>
        </w:rPr>
        <w:t>（</w:t>
      </w:r>
      <w:r>
        <w:rPr>
          <w:rFonts w:hint="eastAsia" w:ascii="宋体" w:hAnsi="宋体" w:eastAsia="宋体" w:cs="宋体"/>
          <w:color w:val="auto"/>
          <w:kern w:val="0"/>
          <w:szCs w:val="20"/>
          <w:highlight w:val="none"/>
          <w:lang w:val="en-US" w:eastAsia="zh-CN"/>
        </w:rPr>
        <w:t>5</w:t>
      </w:r>
      <w:r>
        <w:rPr>
          <w:rFonts w:hint="eastAsia" w:ascii="宋体" w:hAnsi="宋体" w:eastAsia="宋体" w:cs="宋体"/>
          <w:color w:val="auto"/>
          <w:kern w:val="0"/>
          <w:szCs w:val="20"/>
          <w:highlight w:val="none"/>
          <w:lang w:eastAsia="zh-CN"/>
        </w:rPr>
        <w:t>）</w:t>
      </w:r>
    </w:p>
    <w:p>
      <w:pPr>
        <w:spacing w:line="24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式中：</w:t>
      </w:r>
    </w:p>
    <w:p>
      <w:pPr>
        <w:ind w:firstLine="1050" w:firstLineChars="500"/>
        <w:rPr>
          <w:rFonts w:hint="eastAsia" w:ascii="宋体" w:hAnsi="宋体" w:eastAsia="宋体" w:cs="宋体"/>
          <w:i/>
          <w:color w:val="auto"/>
          <w:highlight w:val="none"/>
          <w:lang w:eastAsia="zh-CN"/>
        </w:rPr>
      </w:pPr>
      <w:r>
        <w:rPr>
          <w:rFonts w:hint="default" w:ascii="Times New Roman" w:hAnsi="Times New Roman" w:eastAsia="宋体" w:cs="Times New Roman"/>
          <w:i/>
          <w:iCs/>
          <w:color w:val="auto"/>
          <w:kern w:val="0"/>
          <w:szCs w:val="20"/>
          <w:highlight w:val="none"/>
        </w:rPr>
        <w:t>R</w:t>
      </w:r>
      <w:r>
        <w:rPr>
          <w:rFonts w:hint="default" w:ascii="Times New Roman" w:hAnsi="Times New Roman" w:eastAsia="宋体" w:cs="Times New Roman"/>
          <w:i/>
          <w:iCs/>
          <w:color w:val="auto"/>
          <w:kern w:val="0"/>
          <w:szCs w:val="20"/>
          <w:highlight w:val="none"/>
          <w:vertAlign w:val="subscript"/>
        </w:rPr>
        <w:t>1</w:t>
      </w:r>
      <w:r>
        <w:rPr>
          <w:rFonts w:hint="eastAsia" w:ascii="宋体" w:hAnsi="宋体" w:eastAsia="宋体" w:cs="宋体"/>
          <w:i/>
          <w:iCs/>
          <w:color w:val="auto"/>
          <w:kern w:val="0"/>
          <w:szCs w:val="20"/>
          <w:highlight w:val="none"/>
          <w:vertAlign w:val="subscript"/>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供水地下管线安全风险分析等级</w:t>
      </w:r>
      <w:r>
        <w:rPr>
          <w:rFonts w:hint="eastAsia" w:ascii="宋体" w:hAnsi="宋体" w:eastAsia="宋体" w:cs="宋体"/>
          <w:color w:val="auto"/>
          <w:highlight w:val="none"/>
          <w:lang w:eastAsia="zh-CN"/>
        </w:rPr>
        <w:t>；</w:t>
      </w:r>
    </w:p>
    <w:p>
      <w:pPr>
        <w:ind w:firstLine="1050" w:firstLineChars="500"/>
        <w:rPr>
          <w:rFonts w:hint="eastAsia" w:ascii="宋体" w:hAnsi="宋体" w:eastAsia="宋体" w:cs="宋体"/>
          <w:color w:val="auto"/>
          <w:highlight w:val="none"/>
          <w:lang w:eastAsia="zh-CN"/>
        </w:rPr>
      </w:pPr>
      <w:r>
        <w:rPr>
          <w:rFonts w:hint="default" w:ascii="Times New Roman" w:hAnsi="Times New Roman" w:eastAsia="宋体" w:cs="Times New Roman"/>
          <w:i/>
          <w:color w:val="auto"/>
          <w:highlight w:val="none"/>
        </w:rPr>
        <w:t>L</w:t>
      </w:r>
      <w:r>
        <w:rPr>
          <w:rFonts w:hint="default" w:ascii="Times New Roman" w:hAnsi="Times New Roman" w:eastAsia="宋体" w:cs="Times New Roman"/>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风险发生可能性分析值，按计算值向上取整数</w:t>
      </w:r>
      <w:r>
        <w:rPr>
          <w:rFonts w:hint="eastAsia" w:ascii="宋体" w:hAnsi="宋体" w:eastAsia="宋体" w:cs="宋体"/>
          <w:color w:val="auto"/>
          <w:highlight w:val="none"/>
          <w:lang w:eastAsia="zh-CN"/>
        </w:rPr>
        <w:t>；</w:t>
      </w:r>
    </w:p>
    <w:p>
      <w:pPr>
        <w:ind w:firstLine="1050" w:firstLineChars="500"/>
        <w:rPr>
          <w:rFonts w:hint="eastAsia" w:ascii="宋体" w:hAnsi="宋体" w:eastAsia="宋体" w:cs="宋体"/>
          <w:color w:val="auto"/>
          <w:kern w:val="0"/>
          <w:szCs w:val="20"/>
          <w:highlight w:val="none"/>
          <w:lang w:eastAsia="zh-CN"/>
        </w:rPr>
      </w:pPr>
      <w:r>
        <w:rPr>
          <w:rFonts w:hint="default" w:ascii="Times New Roman" w:hAnsi="Times New Roman" w:eastAsia="宋体" w:cs="Times New Roman"/>
          <w:i/>
          <w:color w:val="auto"/>
          <w:highlight w:val="none"/>
        </w:rPr>
        <w:t>C</w:t>
      </w:r>
      <w:r>
        <w:rPr>
          <w:rFonts w:hint="default" w:ascii="Times New Roman" w:hAnsi="Times New Roman" w:eastAsia="宋体" w:cs="Times New Roman"/>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失效后果严重性分析值，按计算值向上取整数</w:t>
      </w:r>
      <w:r>
        <w:rPr>
          <w:rFonts w:hint="eastAsia" w:ascii="宋体" w:hAnsi="宋体" w:eastAsia="宋体" w:cs="宋体"/>
          <w:color w:val="auto"/>
          <w:highlight w:val="none"/>
          <w:lang w:eastAsia="zh-CN"/>
        </w:rPr>
        <w:t>。</w:t>
      </w:r>
    </w:p>
    <w:p>
      <w:pPr>
        <w:spacing w:line="240" w:lineRule="auto"/>
        <w:rPr>
          <w:rFonts w:ascii="黑体" w:hAnsi="黑体" w:eastAsia="黑体" w:cs="黑体"/>
          <w:color w:val="auto"/>
          <w:highlight w:val="none"/>
        </w:rPr>
      </w:pPr>
      <w:r>
        <w:rPr>
          <w:rFonts w:hint="eastAsia" w:ascii="宋体"/>
          <w:color w:val="auto"/>
          <w:kern w:val="0"/>
          <w:szCs w:val="20"/>
          <w:highlight w:val="none"/>
        </w:rPr>
        <w:t>6.4.2  风险发生可能性等级应按表1</w:t>
      </w:r>
      <w:r>
        <w:rPr>
          <w:rFonts w:hint="eastAsia" w:ascii="宋体"/>
          <w:color w:val="auto"/>
          <w:kern w:val="0"/>
          <w:szCs w:val="20"/>
          <w:highlight w:val="none"/>
          <w:lang w:val="en-US" w:eastAsia="zh-CN"/>
        </w:rPr>
        <w:t>2</w:t>
      </w:r>
      <w:r>
        <w:rPr>
          <w:rFonts w:hint="eastAsia" w:ascii="宋体"/>
          <w:color w:val="auto"/>
          <w:kern w:val="0"/>
          <w:szCs w:val="20"/>
          <w:highlight w:val="none"/>
        </w:rPr>
        <w:t>确定，失效后果严重性等级应按表1</w:t>
      </w:r>
      <w:r>
        <w:rPr>
          <w:rFonts w:hint="eastAsia" w:ascii="宋体"/>
          <w:color w:val="auto"/>
          <w:kern w:val="0"/>
          <w:szCs w:val="20"/>
          <w:highlight w:val="none"/>
          <w:lang w:val="en-US" w:eastAsia="zh-CN"/>
        </w:rPr>
        <w:t>3</w:t>
      </w:r>
      <w:r>
        <w:rPr>
          <w:rFonts w:hint="eastAsia" w:ascii="宋体"/>
          <w:color w:val="auto"/>
          <w:kern w:val="0"/>
          <w:szCs w:val="20"/>
          <w:highlight w:val="none"/>
        </w:rPr>
        <w:t>确定，级数越高越严重。</w:t>
      </w:r>
      <w:bookmarkStart w:id="148" w:name="OLE_LINK19"/>
      <w:bookmarkStart w:id="149" w:name="OLE_LINK20"/>
    </w:p>
    <w:bookmarkEnd w:id="148"/>
    <w:bookmarkEnd w:id="149"/>
    <w:p>
      <w:pPr>
        <w:pStyle w:val="235"/>
        <w:spacing w:before="156" w:beforeLines="50" w:after="156" w:afterLines="50"/>
        <w:ind w:firstLine="0" w:firstLineChars="0"/>
        <w:jc w:val="center"/>
        <w:rPr>
          <w:rFonts w:hint="eastAsia"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2</w:t>
      </w:r>
      <w:r>
        <w:rPr>
          <w:rFonts w:hint="eastAsia" w:ascii="黑体" w:hAnsi="黑体" w:eastAsia="黑体" w:cs="黑体"/>
          <w:color w:val="auto"/>
          <w:highlight w:val="none"/>
        </w:rPr>
        <w:t xml:space="preserve"> 风险发生可能性等级</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213"/>
        <w:gridCol w:w="971"/>
        <w:gridCol w:w="1605"/>
        <w:gridCol w:w="1580"/>
        <w:gridCol w:w="1568"/>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2162" w:type="dxa"/>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发生可能性等级</w:t>
            </w:r>
          </w:p>
        </w:tc>
        <w:tc>
          <w:tcPr>
            <w:tcW w:w="948" w:type="dxa"/>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P1级</w:t>
            </w:r>
          </w:p>
        </w:tc>
        <w:tc>
          <w:tcPr>
            <w:tcW w:w="1567" w:type="dxa"/>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P2级</w:t>
            </w:r>
          </w:p>
        </w:tc>
        <w:tc>
          <w:tcPr>
            <w:tcW w:w="1543" w:type="dxa"/>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P3级</w:t>
            </w:r>
          </w:p>
        </w:tc>
        <w:tc>
          <w:tcPr>
            <w:tcW w:w="1531" w:type="dxa"/>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P4级</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2162" w:type="dxa"/>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发生可能性得分</w:t>
            </w:r>
          </w:p>
        </w:tc>
        <w:tc>
          <w:tcPr>
            <w:tcW w:w="948" w:type="dxa"/>
            <w:tcBorders>
              <w:top w:val="single" w:color="auto" w:sz="12" w:space="0"/>
              <w:tl2br w:val="nil"/>
              <w:tr2bl w:val="nil"/>
            </w:tcBorders>
            <w:vAlign w:val="center"/>
          </w:tcPr>
          <w:p>
            <w:pPr>
              <w:jc w:val="center"/>
              <w:rPr>
                <w:rFonts w:hint="default" w:ascii="宋体" w:hAnsi="宋体" w:eastAsia="宋体" w:cs="宋体"/>
                <w:color w:val="auto"/>
                <w:sz w:val="18"/>
                <w:szCs w:val="18"/>
                <w:highlight w:val="none"/>
                <w:lang w:val="en-US" w:eastAsia="zh-CN"/>
              </w:rPr>
            </w:pPr>
            <w:r>
              <w:rPr>
                <w:rFonts w:hint="default" w:ascii="Times New Roman" w:hAnsi="Times New Roman" w:cs="Times New Roman"/>
                <w:i/>
                <w:iCs w:val="0"/>
                <w:color w:val="auto"/>
                <w:sz w:val="18"/>
                <w:szCs w:val="18"/>
                <w:highlight w:val="none"/>
              </w:rPr>
              <w:t>L</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18</w:t>
            </w:r>
          </w:p>
        </w:tc>
        <w:tc>
          <w:tcPr>
            <w:tcW w:w="1567" w:type="dxa"/>
            <w:tcBorders>
              <w:top w:val="single" w:color="auto" w:sz="12" w:space="0"/>
              <w:tl2br w:val="nil"/>
              <w:tr2bl w:val="nil"/>
            </w:tcBorders>
            <w:vAlign w:val="center"/>
          </w:tcPr>
          <w:p>
            <w:pPr>
              <w:jc w:val="center"/>
              <w:rPr>
                <w:rFonts w:hint="default" w:ascii="宋体" w:hAnsi="宋体" w:eastAsia="宋体" w:cs="宋体"/>
                <w:iCs/>
                <w:color w:val="auto"/>
                <w:sz w:val="18"/>
                <w:szCs w:val="18"/>
                <w:highlight w:val="none"/>
                <w:lang w:val="en-US" w:eastAsia="zh-CN"/>
              </w:rPr>
            </w:pPr>
            <w:r>
              <w:rPr>
                <w:rFonts w:hint="eastAsia" w:ascii="宋体" w:hAnsi="宋体" w:cs="宋体"/>
                <w:i w:val="0"/>
                <w:iCs/>
                <w:color w:val="auto"/>
                <w:sz w:val="18"/>
                <w:szCs w:val="18"/>
                <w:highlight w:val="none"/>
                <w:lang w:val="en-US" w:eastAsia="zh-CN"/>
              </w:rPr>
              <w:t>18</w:t>
            </w:r>
            <w:r>
              <w:rPr>
                <w:rFonts w:hint="eastAsia" w:ascii="宋体" w:hAnsi="宋体" w:cs="宋体"/>
                <w:i w:val="0"/>
                <w:iCs/>
                <w:color w:val="auto"/>
                <w:sz w:val="18"/>
                <w:szCs w:val="18"/>
                <w:highlight w:val="none"/>
              </w:rPr>
              <w:t xml:space="preserve"> ≤</w:t>
            </w:r>
            <w:r>
              <w:rPr>
                <w:rFonts w:hint="eastAsia" w:ascii="宋体" w:hAnsi="宋体" w:cs="宋体"/>
                <w:i/>
                <w:color w:val="auto"/>
                <w:sz w:val="18"/>
                <w:szCs w:val="18"/>
                <w:highlight w:val="none"/>
              </w:rPr>
              <w:t xml:space="preserve"> </w:t>
            </w:r>
            <w:r>
              <w:rPr>
                <w:rFonts w:hint="default" w:ascii="Times New Roman" w:hAnsi="Times New Roman" w:cs="Times New Roman"/>
                <w:i/>
                <w:iCs w:val="0"/>
                <w:color w:val="auto"/>
                <w:sz w:val="18"/>
                <w:szCs w:val="18"/>
                <w:highlight w:val="none"/>
              </w:rPr>
              <w:t>L</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25</w:t>
            </w:r>
          </w:p>
        </w:tc>
        <w:tc>
          <w:tcPr>
            <w:tcW w:w="1543" w:type="dxa"/>
            <w:tcBorders>
              <w:top w:val="single" w:color="auto" w:sz="12" w:space="0"/>
              <w:tl2br w:val="nil"/>
              <w:tr2bl w:val="nil"/>
            </w:tcBorders>
            <w:vAlign w:val="center"/>
          </w:tcPr>
          <w:p>
            <w:pPr>
              <w:jc w:val="center"/>
              <w:rPr>
                <w:rFonts w:hint="default" w:ascii="宋体" w:hAnsi="宋体" w:eastAsia="宋体" w:cs="宋体"/>
                <w:iCs/>
                <w:color w:val="auto"/>
                <w:sz w:val="18"/>
                <w:szCs w:val="18"/>
                <w:highlight w:val="none"/>
                <w:lang w:val="en-US" w:eastAsia="zh-CN"/>
              </w:rPr>
            </w:pPr>
            <w:r>
              <w:rPr>
                <w:rFonts w:hint="eastAsia" w:ascii="宋体" w:hAnsi="宋体" w:cs="宋体"/>
                <w:i w:val="0"/>
                <w:iCs/>
                <w:color w:val="auto"/>
                <w:sz w:val="18"/>
                <w:szCs w:val="18"/>
                <w:highlight w:val="none"/>
                <w:lang w:val="en-US" w:eastAsia="zh-CN"/>
              </w:rPr>
              <w:t xml:space="preserve">25 </w:t>
            </w:r>
            <w:r>
              <w:rPr>
                <w:rFonts w:hint="eastAsia" w:ascii="宋体" w:hAnsi="宋体" w:cs="宋体"/>
                <w:i w:val="0"/>
                <w:iCs/>
                <w:color w:val="auto"/>
                <w:sz w:val="18"/>
                <w:szCs w:val="18"/>
                <w:highlight w:val="none"/>
              </w:rPr>
              <w:t>≤</w:t>
            </w:r>
            <w:r>
              <w:rPr>
                <w:rFonts w:hint="eastAsia" w:ascii="宋体" w:hAnsi="宋体" w:cs="宋体"/>
                <w:i/>
                <w:color w:val="auto"/>
                <w:sz w:val="18"/>
                <w:szCs w:val="18"/>
                <w:highlight w:val="none"/>
              </w:rPr>
              <w:t xml:space="preserve"> </w:t>
            </w:r>
            <w:r>
              <w:rPr>
                <w:rFonts w:hint="default" w:ascii="Times New Roman" w:hAnsi="Times New Roman" w:cs="Times New Roman"/>
                <w:i/>
                <w:iCs w:val="0"/>
                <w:color w:val="auto"/>
                <w:sz w:val="18"/>
                <w:szCs w:val="18"/>
                <w:highlight w:val="none"/>
              </w:rPr>
              <w:t>L</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w:t>
            </w:r>
            <w:r>
              <w:rPr>
                <w:rFonts w:hint="eastAsia" w:ascii="宋体" w:hAnsi="宋体" w:cs="宋体"/>
                <w:i/>
                <w:color w:val="auto"/>
                <w:sz w:val="18"/>
                <w:szCs w:val="18"/>
                <w:highlight w:val="none"/>
              </w:rPr>
              <w:t xml:space="preserve"> </w:t>
            </w:r>
            <w:r>
              <w:rPr>
                <w:rFonts w:hint="eastAsia" w:ascii="宋体" w:hAnsi="宋体" w:cs="宋体"/>
                <w:i w:val="0"/>
                <w:iCs/>
                <w:color w:val="auto"/>
                <w:sz w:val="18"/>
                <w:szCs w:val="18"/>
                <w:highlight w:val="none"/>
                <w:lang w:val="en-US" w:eastAsia="zh-CN"/>
              </w:rPr>
              <w:t>29</w:t>
            </w:r>
          </w:p>
        </w:tc>
        <w:tc>
          <w:tcPr>
            <w:tcW w:w="1531" w:type="dxa"/>
            <w:tcBorders>
              <w:top w:val="single" w:color="auto" w:sz="12" w:space="0"/>
              <w:tl2br w:val="nil"/>
              <w:tr2bl w:val="nil"/>
            </w:tcBorders>
            <w:vAlign w:val="center"/>
          </w:tcPr>
          <w:p>
            <w:pPr>
              <w:jc w:val="center"/>
              <w:rPr>
                <w:rFonts w:hint="default" w:ascii="宋体" w:hAnsi="宋体" w:eastAsia="宋体" w:cs="宋体"/>
                <w:iCs/>
                <w:color w:val="auto"/>
                <w:sz w:val="18"/>
                <w:szCs w:val="18"/>
                <w:highlight w:val="none"/>
                <w:lang w:val="en-US" w:eastAsia="zh-CN"/>
              </w:rPr>
            </w:pPr>
            <w:r>
              <w:rPr>
                <w:rFonts w:hint="default" w:ascii="Times New Roman" w:hAnsi="Times New Roman" w:cs="Times New Roman"/>
                <w:i/>
                <w:color w:val="auto"/>
                <w:sz w:val="18"/>
                <w:szCs w:val="18"/>
                <w:highlight w:val="none"/>
              </w:rPr>
              <w:t>L</w:t>
            </w:r>
            <w:r>
              <w:rPr>
                <w:rFonts w:hint="eastAsia" w:ascii="宋体" w:hAnsi="宋体" w:cs="宋体"/>
                <w:i/>
                <w:color w:val="auto"/>
                <w:sz w:val="18"/>
                <w:szCs w:val="18"/>
                <w:highlight w:val="none"/>
                <w:lang w:val="en-US" w:eastAsia="zh-CN"/>
              </w:rPr>
              <w:t xml:space="preserve"> </w:t>
            </w:r>
            <w:r>
              <w:rPr>
                <w:rFonts w:hint="eastAsia" w:ascii="宋体" w:hAnsi="宋体" w:cs="宋体"/>
                <w:i w:val="0"/>
                <w:iCs/>
                <w:color w:val="auto"/>
                <w:sz w:val="18"/>
                <w:szCs w:val="18"/>
                <w:highlight w:val="none"/>
                <w:lang w:val="en-US" w:eastAsia="zh-CN"/>
              </w:rPr>
              <w:t>≥ 29</w:t>
            </w:r>
          </w:p>
        </w:tc>
      </w:tr>
    </w:tbl>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3</w:t>
      </w:r>
      <w:r>
        <w:rPr>
          <w:rFonts w:hint="eastAsia" w:ascii="黑体" w:hAnsi="黑体" w:eastAsia="黑体" w:cs="黑体"/>
          <w:color w:val="auto"/>
          <w:highlight w:val="none"/>
        </w:rPr>
        <w:t xml:space="preserve"> 失效后果严重性等级</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213"/>
        <w:gridCol w:w="971"/>
        <w:gridCol w:w="1605"/>
        <w:gridCol w:w="1580"/>
        <w:gridCol w:w="1568"/>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2213" w:type="dxa"/>
            <w:tcBorders>
              <w:bottom w:val="single" w:color="auto" w:sz="12" w:space="0"/>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失效后果严重性等级</w:t>
            </w:r>
          </w:p>
        </w:tc>
        <w:tc>
          <w:tcPr>
            <w:tcW w:w="971" w:type="dxa"/>
            <w:tcBorders>
              <w:bottom w:val="single" w:color="auto" w:sz="12" w:space="0"/>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Q1级</w:t>
            </w:r>
          </w:p>
        </w:tc>
        <w:tc>
          <w:tcPr>
            <w:tcW w:w="1605" w:type="dxa"/>
            <w:tcBorders>
              <w:bottom w:val="single" w:color="auto" w:sz="12" w:space="0"/>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Q2级</w:t>
            </w:r>
          </w:p>
        </w:tc>
        <w:tc>
          <w:tcPr>
            <w:tcW w:w="1580" w:type="dxa"/>
            <w:tcBorders>
              <w:bottom w:val="single" w:color="auto" w:sz="12" w:space="0"/>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Q3级</w:t>
            </w:r>
          </w:p>
        </w:tc>
        <w:tc>
          <w:tcPr>
            <w:tcW w:w="1568" w:type="dxa"/>
            <w:tcBorders>
              <w:bottom w:val="single" w:color="auto" w:sz="12" w:space="0"/>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Q4级</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2213" w:type="dxa"/>
            <w:tcBorders>
              <w:top w:val="single" w:color="auto" w:sz="12" w:space="0"/>
              <w:tl2br w:val="nil"/>
              <w:tr2bl w:val="nil"/>
            </w:tcBorders>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失效后果严重性得分</w:t>
            </w:r>
          </w:p>
        </w:tc>
        <w:tc>
          <w:tcPr>
            <w:tcW w:w="971" w:type="dxa"/>
            <w:tcBorders>
              <w:top w:val="single" w:color="auto" w:sz="12" w:space="0"/>
              <w:tl2br w:val="nil"/>
              <w:tr2bl w:val="nil"/>
            </w:tcBorders>
            <w:vAlign w:val="center"/>
          </w:tcPr>
          <w:p>
            <w:pPr>
              <w:spacing w:line="300" w:lineRule="exact"/>
              <w:jc w:val="center"/>
              <w:rPr>
                <w:rFonts w:hint="default" w:ascii="宋体" w:hAnsi="宋体" w:eastAsia="宋体" w:cs="宋体"/>
                <w:color w:val="auto"/>
                <w:sz w:val="18"/>
                <w:szCs w:val="18"/>
                <w:highlight w:val="none"/>
                <w:lang w:val="en-US" w:eastAsia="zh-CN"/>
              </w:rPr>
            </w:pPr>
            <w:r>
              <w:rPr>
                <w:rFonts w:hint="default" w:ascii="Times New Roman" w:hAnsi="Times New Roman" w:cs="Times New Roman"/>
                <w:i/>
                <w:iCs w:val="0"/>
                <w:color w:val="auto"/>
                <w:sz w:val="18"/>
                <w:szCs w:val="18"/>
                <w:highlight w:val="none"/>
              </w:rPr>
              <w:t xml:space="preserve">C </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 xml:space="preserve"> </w:t>
            </w:r>
            <w:r>
              <w:rPr>
                <w:rFonts w:hint="eastAsia" w:ascii="宋体" w:hAnsi="宋体" w:cs="宋体"/>
                <w:color w:val="auto"/>
                <w:sz w:val="18"/>
                <w:szCs w:val="18"/>
                <w:highlight w:val="none"/>
                <w:lang w:val="en-US" w:eastAsia="zh-CN"/>
              </w:rPr>
              <w:t>12</w:t>
            </w:r>
          </w:p>
        </w:tc>
        <w:tc>
          <w:tcPr>
            <w:tcW w:w="1605" w:type="dxa"/>
            <w:tcBorders>
              <w:top w:val="single" w:color="auto" w:sz="12" w:space="0"/>
              <w:tl2br w:val="nil"/>
              <w:tr2bl w:val="nil"/>
            </w:tcBorders>
            <w:vAlign w:val="center"/>
          </w:tcPr>
          <w:p>
            <w:pPr>
              <w:spacing w:line="300" w:lineRule="exact"/>
              <w:jc w:val="center"/>
              <w:rPr>
                <w:rFonts w:hint="default" w:ascii="宋体" w:hAnsi="宋体" w:eastAsia="宋体" w:cs="宋体"/>
                <w:iCs/>
                <w:color w:val="auto"/>
                <w:sz w:val="18"/>
                <w:szCs w:val="18"/>
                <w:highlight w:val="none"/>
                <w:lang w:val="en-US" w:eastAsia="zh-CN"/>
              </w:rPr>
            </w:pPr>
            <w:r>
              <w:rPr>
                <w:rFonts w:hint="eastAsia" w:ascii="宋体" w:hAnsi="宋体" w:cs="宋体"/>
                <w:i w:val="0"/>
                <w:iCs/>
                <w:color w:val="auto"/>
                <w:sz w:val="18"/>
                <w:szCs w:val="18"/>
                <w:highlight w:val="none"/>
                <w:lang w:val="en-US" w:eastAsia="zh-CN"/>
              </w:rPr>
              <w:t>12</w:t>
            </w:r>
            <w:r>
              <w:rPr>
                <w:rFonts w:hint="eastAsia" w:ascii="宋体" w:hAnsi="宋体" w:cs="宋体"/>
                <w:i w:val="0"/>
                <w:iCs/>
                <w:color w:val="auto"/>
                <w:sz w:val="18"/>
                <w:szCs w:val="18"/>
                <w:highlight w:val="none"/>
              </w:rPr>
              <w:t xml:space="preserve"> ≤ </w:t>
            </w:r>
            <w:r>
              <w:rPr>
                <w:rFonts w:hint="default" w:ascii="Times New Roman" w:hAnsi="Times New Roman" w:cs="Times New Roman"/>
                <w:i/>
                <w:iCs w:val="0"/>
                <w:color w:val="auto"/>
                <w:sz w:val="18"/>
                <w:szCs w:val="18"/>
                <w:highlight w:val="none"/>
              </w:rPr>
              <w:t xml:space="preserve">C </w:t>
            </w:r>
            <w:r>
              <w:rPr>
                <w:rFonts w:hint="eastAsia" w:ascii="宋体" w:hAnsi="宋体" w:cs="宋体"/>
                <w:color w:val="auto"/>
                <w:sz w:val="18"/>
                <w:szCs w:val="18"/>
                <w:highlight w:val="none"/>
                <w:lang w:val="en-US" w:eastAsia="zh-CN"/>
              </w:rPr>
              <w:t>＜</w:t>
            </w:r>
            <w:r>
              <w:rPr>
                <w:rFonts w:hint="eastAsia" w:ascii="宋体" w:hAnsi="宋体" w:cs="宋体"/>
                <w:iCs/>
                <w:color w:val="auto"/>
                <w:sz w:val="18"/>
                <w:szCs w:val="18"/>
                <w:highlight w:val="none"/>
              </w:rPr>
              <w:t xml:space="preserve"> </w:t>
            </w:r>
            <w:r>
              <w:rPr>
                <w:rFonts w:hint="eastAsia" w:ascii="宋体" w:hAnsi="宋体" w:cs="宋体"/>
                <w:iCs/>
                <w:color w:val="auto"/>
                <w:sz w:val="18"/>
                <w:szCs w:val="18"/>
                <w:highlight w:val="none"/>
                <w:lang w:val="en-US" w:eastAsia="zh-CN"/>
              </w:rPr>
              <w:t>17</w:t>
            </w:r>
          </w:p>
        </w:tc>
        <w:tc>
          <w:tcPr>
            <w:tcW w:w="1580" w:type="dxa"/>
            <w:tcBorders>
              <w:top w:val="single" w:color="auto" w:sz="12" w:space="0"/>
              <w:tl2br w:val="nil"/>
              <w:tr2bl w:val="nil"/>
            </w:tcBorders>
            <w:vAlign w:val="center"/>
          </w:tcPr>
          <w:p>
            <w:pPr>
              <w:spacing w:line="300" w:lineRule="exact"/>
              <w:jc w:val="center"/>
              <w:rPr>
                <w:rFonts w:hint="default" w:ascii="宋体" w:hAnsi="宋体" w:eastAsia="宋体" w:cs="宋体"/>
                <w:iCs/>
                <w:color w:val="auto"/>
                <w:sz w:val="18"/>
                <w:szCs w:val="18"/>
                <w:highlight w:val="none"/>
                <w:lang w:val="en-US" w:eastAsia="zh-CN"/>
              </w:rPr>
            </w:pPr>
            <w:r>
              <w:rPr>
                <w:rFonts w:hint="eastAsia" w:ascii="宋体" w:hAnsi="宋体" w:cs="宋体"/>
                <w:i w:val="0"/>
                <w:iCs/>
                <w:color w:val="auto"/>
                <w:sz w:val="18"/>
                <w:szCs w:val="18"/>
                <w:highlight w:val="none"/>
                <w:lang w:val="en-US" w:eastAsia="zh-CN"/>
              </w:rPr>
              <w:t>17</w:t>
            </w:r>
            <w:r>
              <w:rPr>
                <w:rFonts w:hint="eastAsia" w:ascii="宋体" w:hAnsi="宋体" w:cs="宋体"/>
                <w:i w:val="0"/>
                <w:iCs/>
                <w:color w:val="auto"/>
                <w:sz w:val="18"/>
                <w:szCs w:val="18"/>
                <w:highlight w:val="none"/>
              </w:rPr>
              <w:t xml:space="preserve"> ≤ </w:t>
            </w:r>
            <w:r>
              <w:rPr>
                <w:rFonts w:hint="default" w:ascii="Times New Roman" w:hAnsi="Times New Roman" w:cs="Times New Roman"/>
                <w:i/>
                <w:iCs w:val="0"/>
                <w:color w:val="auto"/>
                <w:sz w:val="18"/>
                <w:szCs w:val="18"/>
                <w:highlight w:val="none"/>
              </w:rPr>
              <w:t>C</w:t>
            </w:r>
            <w:r>
              <w:rPr>
                <w:rFonts w:hint="eastAsia" w:ascii="宋体" w:hAnsi="宋体" w:cs="宋体"/>
                <w:i w:val="0"/>
                <w:iCs/>
                <w:color w:val="auto"/>
                <w:sz w:val="18"/>
                <w:szCs w:val="18"/>
                <w:highlight w:val="none"/>
              </w:rPr>
              <w:t xml:space="preserve"> </w:t>
            </w:r>
            <w:r>
              <w:rPr>
                <w:rFonts w:hint="eastAsia" w:ascii="宋体" w:hAnsi="宋体" w:cs="宋体"/>
                <w:color w:val="auto"/>
                <w:sz w:val="18"/>
                <w:szCs w:val="18"/>
                <w:highlight w:val="none"/>
                <w:lang w:val="en-US" w:eastAsia="zh-CN"/>
              </w:rPr>
              <w:t>＜</w:t>
            </w:r>
            <w:r>
              <w:rPr>
                <w:rFonts w:hint="eastAsia" w:ascii="宋体" w:hAnsi="宋体" w:cs="宋体"/>
                <w:iCs/>
                <w:color w:val="auto"/>
                <w:sz w:val="18"/>
                <w:szCs w:val="18"/>
                <w:highlight w:val="none"/>
              </w:rPr>
              <w:t xml:space="preserve"> </w:t>
            </w:r>
            <w:r>
              <w:rPr>
                <w:rFonts w:hint="eastAsia" w:ascii="宋体" w:hAnsi="宋体" w:cs="宋体"/>
                <w:iCs/>
                <w:color w:val="auto"/>
                <w:sz w:val="18"/>
                <w:szCs w:val="18"/>
                <w:highlight w:val="none"/>
                <w:lang w:val="en-US" w:eastAsia="zh-CN"/>
              </w:rPr>
              <w:t>23</w:t>
            </w:r>
          </w:p>
        </w:tc>
        <w:tc>
          <w:tcPr>
            <w:tcW w:w="1568" w:type="dxa"/>
            <w:tcBorders>
              <w:top w:val="single" w:color="auto" w:sz="12" w:space="0"/>
              <w:tl2br w:val="nil"/>
              <w:tr2bl w:val="nil"/>
            </w:tcBorders>
            <w:vAlign w:val="center"/>
          </w:tcPr>
          <w:p>
            <w:pPr>
              <w:spacing w:line="300" w:lineRule="exact"/>
              <w:jc w:val="center"/>
              <w:rPr>
                <w:rFonts w:hint="default" w:ascii="宋体" w:hAnsi="宋体" w:eastAsia="宋体" w:cs="宋体"/>
                <w:iCs/>
                <w:color w:val="auto"/>
                <w:sz w:val="18"/>
                <w:szCs w:val="18"/>
                <w:highlight w:val="none"/>
                <w:lang w:val="en-US" w:eastAsia="zh-CN"/>
              </w:rPr>
            </w:pPr>
            <w:r>
              <w:rPr>
                <w:rFonts w:hint="default" w:ascii="Times New Roman" w:hAnsi="Times New Roman" w:cs="Times New Roman"/>
                <w:i/>
                <w:iCs w:val="0"/>
                <w:color w:val="auto"/>
                <w:sz w:val="18"/>
                <w:szCs w:val="18"/>
                <w:highlight w:val="none"/>
              </w:rPr>
              <w:t>C</w:t>
            </w:r>
            <w:r>
              <w:rPr>
                <w:rFonts w:hint="eastAsia" w:ascii="宋体" w:hAnsi="宋体" w:cs="宋体"/>
                <w:i w:val="0"/>
                <w:iCs/>
                <w:color w:val="auto"/>
                <w:sz w:val="18"/>
                <w:szCs w:val="18"/>
                <w:highlight w:val="none"/>
              </w:rPr>
              <w:t xml:space="preserve"> </w:t>
            </w:r>
            <w:r>
              <w:rPr>
                <w:rFonts w:hint="eastAsia" w:ascii="宋体" w:hAnsi="宋体" w:cs="宋体"/>
                <w:i/>
                <w:color w:val="auto"/>
                <w:sz w:val="18"/>
                <w:szCs w:val="18"/>
                <w:highlight w:val="none"/>
                <w:lang w:val="en-US" w:eastAsia="zh-CN"/>
              </w:rPr>
              <w:t>≥</w:t>
            </w:r>
            <w:r>
              <w:rPr>
                <w:rFonts w:hint="eastAsia" w:ascii="宋体" w:hAnsi="宋体" w:cs="宋体"/>
                <w:iCs/>
                <w:color w:val="auto"/>
                <w:sz w:val="18"/>
                <w:szCs w:val="18"/>
                <w:highlight w:val="none"/>
              </w:rPr>
              <w:t xml:space="preserve"> </w:t>
            </w:r>
            <w:r>
              <w:rPr>
                <w:rFonts w:hint="eastAsia" w:ascii="宋体" w:hAnsi="宋体" w:cs="宋体"/>
                <w:iCs/>
                <w:color w:val="auto"/>
                <w:sz w:val="18"/>
                <w:szCs w:val="18"/>
                <w:highlight w:val="none"/>
                <w:lang w:val="en-US" w:eastAsia="zh-CN"/>
              </w:rPr>
              <w:t>23</w:t>
            </w:r>
          </w:p>
        </w:tc>
      </w:tr>
    </w:tbl>
    <w:p>
      <w:pPr>
        <w:spacing w:line="240" w:lineRule="auto"/>
        <w:jc w:val="left"/>
        <w:rPr>
          <w:rFonts w:hint="eastAsia" w:ascii="宋体"/>
          <w:color w:val="auto"/>
          <w:kern w:val="0"/>
          <w:szCs w:val="20"/>
          <w:highlight w:val="none"/>
        </w:rPr>
      </w:pPr>
      <w:r>
        <w:rPr>
          <w:rFonts w:hint="eastAsia" w:ascii="宋体"/>
          <w:color w:val="auto"/>
          <w:kern w:val="0"/>
          <w:szCs w:val="20"/>
          <w:highlight w:val="none"/>
        </w:rPr>
        <w:t>6.4.3  风险分析等级R</w:t>
      </w:r>
      <w:r>
        <w:rPr>
          <w:rFonts w:hint="eastAsia" w:ascii="宋体"/>
          <w:color w:val="auto"/>
          <w:kern w:val="0"/>
          <w:szCs w:val="20"/>
          <w:highlight w:val="none"/>
          <w:vertAlign w:val="subscript"/>
        </w:rPr>
        <w:t>1</w:t>
      </w:r>
      <w:r>
        <w:rPr>
          <w:rFonts w:hint="eastAsia" w:ascii="宋体"/>
          <w:color w:val="auto"/>
          <w:kern w:val="0"/>
          <w:szCs w:val="20"/>
          <w:highlight w:val="none"/>
        </w:rPr>
        <w:t>根据风险发生可能性及失效后果严重性的组合，按表1</w:t>
      </w:r>
      <w:r>
        <w:rPr>
          <w:rFonts w:hint="eastAsia" w:ascii="宋体"/>
          <w:color w:val="auto"/>
          <w:kern w:val="0"/>
          <w:szCs w:val="20"/>
          <w:highlight w:val="none"/>
          <w:lang w:val="en-US" w:eastAsia="zh-CN"/>
        </w:rPr>
        <w:t>4</w:t>
      </w:r>
      <w:r>
        <w:rPr>
          <w:rFonts w:hint="eastAsia" w:ascii="宋体"/>
          <w:color w:val="auto"/>
          <w:kern w:val="0"/>
          <w:szCs w:val="20"/>
          <w:highlight w:val="none"/>
        </w:rPr>
        <w:t>将风险等级划分为四级，分别为：重大风险（I级）、较大风险（Ⅱ级）、一般风险（Ⅲ级）、低风险（Ⅳ级）。</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4</w:t>
      </w:r>
      <w:r>
        <w:rPr>
          <w:rFonts w:hint="eastAsia" w:ascii="黑体" w:hAnsi="黑体" w:eastAsia="黑体" w:cs="黑体"/>
          <w:color w:val="auto"/>
          <w:highlight w:val="none"/>
        </w:rPr>
        <w:t xml:space="preserve"> 供水地下管线安全风险分析等级</w:t>
      </w:r>
    </w:p>
    <w:tbl>
      <w:tblPr>
        <w:tblStyle w:val="30"/>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783"/>
        <w:gridCol w:w="1537"/>
        <w:gridCol w:w="1537"/>
        <w:gridCol w:w="1537"/>
        <w:gridCol w:w="154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vMerge w:val="restart"/>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风险发生可能性</w:t>
            </w:r>
            <w:r>
              <w:rPr>
                <w:rFonts w:hint="eastAsia" w:ascii="宋体" w:hAnsi="宋体" w:cs="宋体"/>
                <w:color w:val="auto"/>
                <w:sz w:val="18"/>
                <w:szCs w:val="18"/>
                <w:highlight w:val="none"/>
                <w:lang w:eastAsia="zh-CN"/>
              </w:rPr>
              <w:t>等级</w:t>
            </w:r>
            <w:r>
              <w:rPr>
                <w:rFonts w:hint="eastAsia" w:ascii="宋体" w:hAnsi="宋体" w:cs="宋体"/>
                <w:color w:val="auto"/>
                <w:sz w:val="18"/>
                <w:szCs w:val="18"/>
                <w:highlight w:val="none"/>
              </w:rPr>
              <w:t xml:space="preserve"> </w:t>
            </w:r>
            <w:r>
              <w:rPr>
                <w:rFonts w:hint="eastAsia" w:ascii="宋体" w:hAnsi="宋体" w:cs="宋体"/>
                <w:i/>
                <w:iCs/>
                <w:color w:val="auto"/>
                <w:sz w:val="18"/>
                <w:szCs w:val="18"/>
                <w:highlight w:val="none"/>
              </w:rPr>
              <w:t>L</w:t>
            </w:r>
          </w:p>
        </w:tc>
        <w:tc>
          <w:tcPr>
            <w:tcW w:w="3876" w:type="pct"/>
            <w:gridSpan w:val="4"/>
            <w:tcBorders>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失效后果严重性</w:t>
            </w:r>
            <w:r>
              <w:rPr>
                <w:rFonts w:hint="eastAsia" w:ascii="宋体" w:hAnsi="宋体" w:cs="宋体"/>
                <w:color w:val="auto"/>
                <w:sz w:val="18"/>
                <w:szCs w:val="18"/>
                <w:highlight w:val="none"/>
                <w:lang w:eastAsia="zh-CN"/>
              </w:rPr>
              <w:t>等级</w:t>
            </w:r>
            <w:r>
              <w:rPr>
                <w:rFonts w:hint="eastAsia" w:ascii="宋体" w:hAnsi="宋体" w:cs="宋体"/>
                <w:i/>
                <w:iCs/>
                <w:color w:val="auto"/>
                <w:sz w:val="18"/>
                <w:szCs w:val="18"/>
                <w:highlight w:val="none"/>
              </w:rPr>
              <w:t>C</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vMerge w:val="continue"/>
            <w:vAlign w:val="center"/>
          </w:tcPr>
          <w:p>
            <w:pPr>
              <w:jc w:val="center"/>
              <w:rPr>
                <w:rFonts w:ascii="宋体" w:hAnsi="宋体" w:cs="宋体"/>
                <w:color w:val="auto"/>
                <w:sz w:val="18"/>
                <w:szCs w:val="18"/>
                <w:highlight w:val="none"/>
              </w:rPr>
            </w:pPr>
          </w:p>
        </w:tc>
        <w:tc>
          <w:tcPr>
            <w:tcW w:w="968" w:type="pct"/>
            <w:tcBorders>
              <w:top w:val="single" w:color="auto" w:sz="12" w:space="0"/>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Q4</w:t>
            </w:r>
          </w:p>
        </w:tc>
        <w:tc>
          <w:tcPr>
            <w:tcW w:w="968" w:type="pct"/>
            <w:tcBorders>
              <w:top w:val="single" w:color="auto" w:sz="12" w:space="0"/>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Q3</w:t>
            </w:r>
          </w:p>
        </w:tc>
        <w:tc>
          <w:tcPr>
            <w:tcW w:w="968" w:type="pct"/>
            <w:tcBorders>
              <w:top w:val="single" w:color="auto" w:sz="12" w:space="0"/>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Q2</w:t>
            </w:r>
          </w:p>
        </w:tc>
        <w:tc>
          <w:tcPr>
            <w:tcW w:w="971" w:type="pct"/>
            <w:tcBorders>
              <w:top w:val="single" w:color="auto" w:sz="12" w:space="0"/>
              <w:bottom w:val="single" w:color="auto" w:sz="12" w:space="0"/>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Q1</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vMerge w:val="continue"/>
            <w:tcBorders>
              <w:bottom w:val="single" w:color="auto" w:sz="12" w:space="0"/>
            </w:tcBorders>
            <w:vAlign w:val="center"/>
          </w:tcPr>
          <w:p>
            <w:pPr>
              <w:jc w:val="center"/>
              <w:rPr>
                <w:rFonts w:ascii="宋体" w:hAnsi="宋体" w:cs="宋体"/>
                <w:color w:val="auto"/>
                <w:sz w:val="18"/>
                <w:szCs w:val="18"/>
                <w:highlight w:val="none"/>
              </w:rPr>
            </w:pPr>
          </w:p>
        </w:tc>
        <w:tc>
          <w:tcPr>
            <w:tcW w:w="3876" w:type="pct"/>
            <w:gridSpan w:val="4"/>
            <w:tcBorders>
              <w:top w:val="single" w:color="auto" w:sz="12" w:space="0"/>
              <w:bottom w:val="single" w:color="auto" w:sz="12" w:space="0"/>
            </w:tcBorders>
            <w:vAlign w:val="center"/>
          </w:tcPr>
          <w:p>
            <w:pPr>
              <w:jc w:val="center"/>
              <w:rPr>
                <w:rFonts w:ascii="宋体" w:hAnsi="宋体" w:cs="宋体"/>
                <w:color w:val="auto"/>
                <w:sz w:val="18"/>
                <w:szCs w:val="18"/>
                <w:highlight w:val="none"/>
                <w:vertAlign w:val="subscript"/>
              </w:rPr>
            </w:pPr>
            <w:r>
              <w:rPr>
                <w:rFonts w:hint="eastAsia" w:ascii="宋体" w:hAnsi="宋体" w:cs="宋体"/>
                <w:color w:val="auto"/>
                <w:sz w:val="18"/>
                <w:szCs w:val="18"/>
                <w:highlight w:val="none"/>
              </w:rPr>
              <w:t>风险等级R</w:t>
            </w:r>
            <w:r>
              <w:rPr>
                <w:rFonts w:hint="eastAsia" w:ascii="宋体" w:hAnsi="宋体" w:cs="宋体"/>
                <w:color w:val="auto"/>
                <w:sz w:val="18"/>
                <w:szCs w:val="18"/>
                <w:highlight w:val="none"/>
                <w:vertAlign w:val="subscript"/>
              </w:rPr>
              <w:t>1</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P4</w:t>
            </w:r>
          </w:p>
        </w:tc>
        <w:tc>
          <w:tcPr>
            <w:tcW w:w="968" w:type="pct"/>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I级</w:t>
            </w:r>
          </w:p>
        </w:tc>
        <w:tc>
          <w:tcPr>
            <w:tcW w:w="968" w:type="pct"/>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968" w:type="pct"/>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971" w:type="pct"/>
            <w:tcBorders>
              <w:top w:val="single" w:color="auto" w:sz="12" w:space="0"/>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P3</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Ⅲ级</w:t>
            </w:r>
          </w:p>
        </w:tc>
        <w:tc>
          <w:tcPr>
            <w:tcW w:w="971"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Ⅲ级</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P2</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Ⅲ级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Ⅲ级</w:t>
            </w:r>
          </w:p>
        </w:tc>
        <w:tc>
          <w:tcPr>
            <w:tcW w:w="971"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Ⅳ级</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123"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P1</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Ⅲ级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Ⅳ级</w:t>
            </w:r>
          </w:p>
        </w:tc>
        <w:tc>
          <w:tcPr>
            <w:tcW w:w="968"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Ⅳ级</w:t>
            </w:r>
          </w:p>
        </w:tc>
        <w:tc>
          <w:tcPr>
            <w:tcW w:w="971" w:type="pct"/>
            <w:tcBorders>
              <w:tl2br w:val="nil"/>
              <w:tr2bl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Ⅳ级</w:t>
            </w:r>
          </w:p>
        </w:tc>
      </w:tr>
    </w:tbl>
    <w:p>
      <w:pPr>
        <w:spacing w:line="240" w:lineRule="auto"/>
        <w:rPr>
          <w:rFonts w:hint="eastAsia" w:ascii="宋体"/>
          <w:color w:val="auto"/>
          <w:kern w:val="0"/>
          <w:szCs w:val="20"/>
          <w:highlight w:val="none"/>
        </w:rPr>
      </w:pPr>
      <w:r>
        <w:rPr>
          <w:rFonts w:hint="eastAsia" w:ascii="宋体"/>
          <w:color w:val="auto"/>
          <w:kern w:val="0"/>
          <w:szCs w:val="20"/>
          <w:highlight w:val="none"/>
        </w:rPr>
        <w:t>6.4.4 风险分析工作完成后，应编制供水地下管线运行安全风险分析图，按照风险等级I-Ⅳ级，分别采用红色、橙色、黄色、蓝色表示。</w:t>
      </w:r>
    </w:p>
    <w:p>
      <w:pPr>
        <w:pStyle w:val="109"/>
        <w:spacing w:before="312" w:after="312"/>
        <w:rPr>
          <w:color w:val="auto"/>
          <w:highlight w:val="none"/>
        </w:rPr>
      </w:pPr>
      <w:bookmarkStart w:id="150" w:name="_Toc203703822"/>
      <w:bookmarkStart w:id="151" w:name="_Toc1038892372"/>
      <w:bookmarkStart w:id="152" w:name="_Toc333839351"/>
      <w:bookmarkStart w:id="153" w:name="_Toc721781487"/>
      <w:r>
        <w:rPr>
          <w:rFonts w:hint="eastAsia"/>
          <w:color w:val="auto"/>
          <w:highlight w:val="none"/>
        </w:rPr>
        <w:t>详细风险分析</w:t>
      </w:r>
      <w:bookmarkEnd w:id="150"/>
      <w:bookmarkEnd w:id="151"/>
      <w:bookmarkEnd w:id="152"/>
      <w:bookmarkEnd w:id="153"/>
    </w:p>
    <w:p>
      <w:pPr>
        <w:pStyle w:val="237"/>
        <w:numPr>
          <w:ilvl w:val="0"/>
          <w:numId w:val="0"/>
        </w:numPr>
        <w:spacing w:before="156" w:beforeLines="50" w:after="156" w:afterLines="50"/>
        <w:rPr>
          <w:color w:val="auto"/>
          <w:highlight w:val="none"/>
        </w:rPr>
      </w:pPr>
      <w:r>
        <w:rPr>
          <w:rFonts w:hint="eastAsia" w:hAnsi="黑体" w:cs="黑体"/>
          <w:color w:val="auto"/>
          <w:highlight w:val="none"/>
        </w:rPr>
        <w:t xml:space="preserve">7.1  </w:t>
      </w:r>
      <w:r>
        <w:rPr>
          <w:rFonts w:hint="eastAsia"/>
          <w:color w:val="auto"/>
          <w:highlight w:val="none"/>
        </w:rPr>
        <w:t>分析方法</w:t>
      </w:r>
    </w:p>
    <w:p>
      <w:pPr>
        <w:spacing w:line="240" w:lineRule="auto"/>
        <w:rPr>
          <w:rFonts w:ascii="宋体"/>
          <w:color w:val="auto"/>
          <w:kern w:val="0"/>
          <w:szCs w:val="20"/>
          <w:highlight w:val="none"/>
        </w:rPr>
      </w:pPr>
      <w:r>
        <w:rPr>
          <w:rFonts w:hint="eastAsia" w:ascii="宋体"/>
          <w:color w:val="auto"/>
          <w:kern w:val="0"/>
          <w:szCs w:val="20"/>
          <w:highlight w:val="none"/>
        </w:rPr>
        <w:t>7.1.1  详细风险分析采用层次分析法。</w:t>
      </w:r>
    </w:p>
    <w:p>
      <w:pPr>
        <w:spacing w:line="240" w:lineRule="auto"/>
        <w:rPr>
          <w:rFonts w:ascii="宋体"/>
          <w:color w:val="auto"/>
          <w:kern w:val="0"/>
          <w:szCs w:val="20"/>
          <w:highlight w:val="none"/>
        </w:rPr>
      </w:pPr>
      <w:r>
        <w:rPr>
          <w:rFonts w:hint="eastAsia" w:ascii="宋体"/>
          <w:color w:val="auto"/>
          <w:kern w:val="0"/>
          <w:szCs w:val="20"/>
          <w:highlight w:val="none"/>
        </w:rPr>
        <w:t>7.1.2  详细风险分析应包括风险发生可能性分析、失效后果严重性分析及其组合。</w:t>
      </w:r>
    </w:p>
    <w:p>
      <w:pPr>
        <w:spacing w:before="156" w:beforeLines="50" w:after="156" w:afterLines="50" w:line="240" w:lineRule="auto"/>
        <w:rPr>
          <w:rFonts w:ascii="黑体" w:hAnsi="黑体" w:eastAsia="黑体" w:cs="黑体"/>
          <w:color w:val="auto"/>
          <w:kern w:val="0"/>
          <w:highlight w:val="none"/>
        </w:rPr>
      </w:pPr>
      <w:r>
        <w:rPr>
          <w:rFonts w:hint="eastAsia" w:ascii="黑体" w:hAnsi="黑体" w:eastAsia="黑体" w:cs="黑体"/>
          <w:color w:val="auto"/>
          <w:kern w:val="0"/>
          <w:szCs w:val="20"/>
          <w:highlight w:val="none"/>
        </w:rPr>
        <w:t xml:space="preserve">7.2  </w:t>
      </w:r>
      <w:r>
        <w:rPr>
          <w:rFonts w:hint="eastAsia" w:ascii="黑体" w:hAnsi="黑体" w:eastAsia="黑体" w:cs="黑体"/>
          <w:color w:val="auto"/>
          <w:kern w:val="0"/>
          <w:highlight w:val="none"/>
        </w:rPr>
        <w:t>风险发生可能性分析</w:t>
      </w:r>
    </w:p>
    <w:p>
      <w:pPr>
        <w:spacing w:line="240" w:lineRule="auto"/>
        <w:jc w:val="left"/>
        <w:rPr>
          <w:rFonts w:ascii="宋体"/>
          <w:color w:val="auto"/>
          <w:kern w:val="0"/>
          <w:szCs w:val="20"/>
          <w:highlight w:val="none"/>
        </w:rPr>
      </w:pPr>
      <w:r>
        <w:rPr>
          <w:rFonts w:hint="eastAsia" w:ascii="宋体"/>
          <w:color w:val="auto"/>
          <w:kern w:val="0"/>
          <w:szCs w:val="20"/>
          <w:highlight w:val="none"/>
        </w:rPr>
        <w:t>7.2.1  供水地下管线物理属性</w:t>
      </w:r>
      <w:r>
        <w:rPr>
          <w:rFonts w:hint="eastAsia" w:ascii="宋体"/>
          <w:color w:val="auto"/>
          <w:kern w:val="0"/>
          <w:szCs w:val="20"/>
          <w:highlight w:val="none"/>
          <w:lang w:eastAsia="zh-CN"/>
        </w:rPr>
        <w:t>准则层下</w:t>
      </w:r>
      <w:r>
        <w:rPr>
          <w:rFonts w:hint="eastAsia" w:ascii="宋体"/>
          <w:color w:val="auto"/>
          <w:kern w:val="0"/>
          <w:szCs w:val="20"/>
          <w:highlight w:val="none"/>
        </w:rPr>
        <w:t>管材、管径、管龄指标应按表3～表5进行评分。</w:t>
      </w:r>
    </w:p>
    <w:p>
      <w:pPr>
        <w:spacing w:line="240" w:lineRule="auto"/>
        <w:jc w:val="left"/>
        <w:rPr>
          <w:rFonts w:hint="eastAsia" w:ascii="宋体"/>
          <w:color w:val="auto"/>
          <w:kern w:val="0"/>
          <w:szCs w:val="20"/>
          <w:highlight w:val="none"/>
        </w:rPr>
      </w:pPr>
      <w:r>
        <w:rPr>
          <w:rFonts w:hint="eastAsia" w:ascii="宋体"/>
          <w:color w:val="auto"/>
          <w:kern w:val="0"/>
          <w:szCs w:val="20"/>
          <w:highlight w:val="none"/>
        </w:rPr>
        <w:t>7.2.2  供水地下管线物理属性</w:t>
      </w:r>
      <w:r>
        <w:rPr>
          <w:rFonts w:hint="eastAsia" w:ascii="宋体"/>
          <w:color w:val="auto"/>
          <w:kern w:val="0"/>
          <w:szCs w:val="20"/>
          <w:highlight w:val="none"/>
          <w:lang w:eastAsia="zh-CN"/>
        </w:rPr>
        <w:t>准则层下</w:t>
      </w:r>
      <w:r>
        <w:rPr>
          <w:rFonts w:hint="eastAsia" w:ascii="宋体"/>
          <w:color w:val="auto"/>
          <w:kern w:val="0"/>
          <w:szCs w:val="20"/>
          <w:highlight w:val="none"/>
          <w:lang w:val="en-US" w:eastAsia="zh-CN"/>
        </w:rPr>
        <w:t>结构安全</w:t>
      </w:r>
      <w:r>
        <w:rPr>
          <w:rFonts w:hint="eastAsia" w:ascii="宋体"/>
          <w:color w:val="auto"/>
          <w:kern w:val="0"/>
          <w:szCs w:val="20"/>
          <w:highlight w:val="none"/>
        </w:rPr>
        <w:t>指标应</w:t>
      </w:r>
      <w:r>
        <w:rPr>
          <w:rFonts w:hint="eastAsia" w:ascii="宋体"/>
          <w:color w:val="auto"/>
          <w:kern w:val="0"/>
          <w:szCs w:val="20"/>
          <w:highlight w:val="none"/>
          <w:lang w:val="en-US" w:eastAsia="zh-CN"/>
        </w:rPr>
        <w:t>依据GB 50332的规定，结合管线实际受力条件，分别计算管线应力安全系数和管线变形率，并分别</w:t>
      </w:r>
      <w:r>
        <w:rPr>
          <w:rFonts w:hint="eastAsia" w:ascii="宋体"/>
          <w:color w:val="auto"/>
          <w:kern w:val="0"/>
          <w:szCs w:val="20"/>
          <w:highlight w:val="none"/>
        </w:rPr>
        <w:t>按表1</w:t>
      </w:r>
      <w:r>
        <w:rPr>
          <w:rFonts w:hint="eastAsia" w:ascii="宋体"/>
          <w:color w:val="auto"/>
          <w:kern w:val="0"/>
          <w:szCs w:val="20"/>
          <w:highlight w:val="none"/>
          <w:lang w:val="en-US" w:eastAsia="zh-CN"/>
        </w:rPr>
        <w:t>5、表16</w:t>
      </w:r>
      <w:r>
        <w:rPr>
          <w:rFonts w:hint="eastAsia" w:ascii="宋体"/>
          <w:color w:val="auto"/>
          <w:kern w:val="0"/>
          <w:szCs w:val="20"/>
          <w:highlight w:val="none"/>
        </w:rPr>
        <w:t>进行评分</w:t>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并取两者的最大值作为结构安全指标的评分值</w:t>
      </w:r>
      <w:r>
        <w:rPr>
          <w:rFonts w:hint="eastAsia" w:ascii="宋体"/>
          <w:color w:val="auto"/>
          <w:kern w:val="0"/>
          <w:szCs w:val="20"/>
          <w:highlight w:val="none"/>
        </w:rPr>
        <w:t>。</w:t>
      </w:r>
    </w:p>
    <w:p>
      <w:pPr>
        <w:pStyle w:val="235"/>
        <w:spacing w:before="156" w:beforeLines="50" w:after="156" w:afterLines="50"/>
        <w:jc w:val="center"/>
        <w:rPr>
          <w:rFonts w:hint="default" w:ascii="黑体" w:hAnsi="黑体" w:eastAsia="黑体" w:cs="黑体"/>
          <w:color w:val="auto"/>
          <w:highlight w:val="none"/>
          <w:lang w:val="en-US"/>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5</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val="en-US" w:eastAsia="zh-CN"/>
        </w:rPr>
        <w:t>管线应力安全系数</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701"/>
        <w:gridCol w:w="1559"/>
        <w:gridCol w:w="1559"/>
        <w:gridCol w:w="1559"/>
        <w:gridCol w:w="1559"/>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1" w:type="dxa"/>
            <w:tcBorders>
              <w:bottom w:val="single" w:color="000000" w:sz="12" w:space="0"/>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eastAsia="zh-CN"/>
              </w:rPr>
              <w:t>管线</w:t>
            </w:r>
            <w:r>
              <w:rPr>
                <w:rFonts w:hint="eastAsia" w:ascii="宋体" w:hAnsi="宋体" w:cs="宋体"/>
                <w:color w:val="auto"/>
                <w:sz w:val="18"/>
                <w:szCs w:val="18"/>
                <w:highlight w:val="none"/>
                <w:lang w:val="en-US" w:eastAsia="zh-CN"/>
              </w:rPr>
              <w:t>应力安全系数FDFSHSSSSSFSFFSFFFFS数FS</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＜1.</w:t>
            </w:r>
            <w:r>
              <w:rPr>
                <w:rFonts w:hint="eastAsia" w:ascii="宋体" w:hAnsi="宋体" w:cs="宋体"/>
                <w:color w:val="auto"/>
                <w:sz w:val="18"/>
                <w:szCs w:val="18"/>
                <w:highlight w:val="none"/>
              </w:rPr>
              <w:t>2</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1.</w:t>
            </w:r>
            <w:r>
              <w:rPr>
                <w:rFonts w:hint="eastAsia" w:ascii="宋体" w:hAnsi="宋体" w:cs="宋体"/>
                <w:color w:val="auto"/>
                <w:sz w:val="18"/>
                <w:szCs w:val="18"/>
                <w:highlight w:val="none"/>
              </w:rPr>
              <w:t>2,</w:t>
            </w:r>
            <w:r>
              <w:rPr>
                <w:rFonts w:hint="eastAsia" w:ascii="宋体" w:hAnsi="宋体" w:cs="宋体"/>
                <w:color w:val="auto"/>
                <w:sz w:val="18"/>
                <w:szCs w:val="18"/>
                <w:highlight w:val="none"/>
                <w:lang w:val="en-US" w:eastAsia="zh-CN"/>
              </w:rPr>
              <w:t>1.8</w:t>
            </w:r>
            <w:r>
              <w:rPr>
                <w:rFonts w:hint="eastAsia" w:ascii="宋体" w:hAnsi="宋体" w:cs="宋体"/>
                <w:color w:val="auto"/>
                <w:sz w:val="18"/>
                <w:szCs w:val="18"/>
                <w:highlight w:val="none"/>
              </w:rPr>
              <w:t>)</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1.8</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2.4</w:t>
            </w:r>
            <w:r>
              <w:rPr>
                <w:rFonts w:hint="eastAsia" w:ascii="宋体" w:hAnsi="宋体" w:cs="宋体"/>
                <w:color w:val="auto"/>
                <w:sz w:val="18"/>
                <w:szCs w:val="18"/>
                <w:highlight w:val="none"/>
              </w:rPr>
              <w:t>)</w:t>
            </w:r>
          </w:p>
        </w:tc>
        <w:tc>
          <w:tcPr>
            <w:tcW w:w="1559" w:type="dxa"/>
            <w:tcBorders>
              <w:bottom w:val="single" w:color="000000" w:sz="12" w:space="0"/>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2.4</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1"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59" w:type="dxa"/>
            <w:tcBorders>
              <w:top w:val="single" w:color="000000"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45</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25</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r>
    </w:tbl>
    <w:p>
      <w:pPr>
        <w:spacing w:line="240" w:lineRule="auto"/>
        <w:jc w:val="left"/>
        <w:rPr>
          <w:rFonts w:hint="eastAsia" w:ascii="宋体"/>
          <w:color w:val="auto"/>
          <w:kern w:val="0"/>
          <w:szCs w:val="20"/>
          <w:highlight w:val="none"/>
        </w:rPr>
      </w:pP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6</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val="en-US" w:eastAsia="zh-CN"/>
        </w:rPr>
        <w:t>管线</w:t>
      </w:r>
      <w:r>
        <w:rPr>
          <w:rFonts w:hint="eastAsia" w:ascii="黑体" w:hAnsi="黑体" w:eastAsia="黑体" w:cs="黑体"/>
          <w:color w:val="auto"/>
          <w:highlight w:val="none"/>
        </w:rPr>
        <w:t>变形率（%）</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701"/>
        <w:gridCol w:w="1559"/>
        <w:gridCol w:w="1559"/>
        <w:gridCol w:w="1559"/>
        <w:gridCol w:w="1559"/>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1"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管线</w:t>
            </w:r>
            <w:r>
              <w:rPr>
                <w:rFonts w:hint="eastAsia" w:ascii="宋体" w:hAnsi="宋体" w:cs="宋体"/>
                <w:color w:val="auto"/>
                <w:sz w:val="18"/>
                <w:szCs w:val="18"/>
                <w:highlight w:val="none"/>
              </w:rPr>
              <w:t>变形率</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2</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[2,3)</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[3,4.5)</w:t>
            </w:r>
          </w:p>
        </w:tc>
        <w:tc>
          <w:tcPr>
            <w:tcW w:w="155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≥4.5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1"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59" w:type="dxa"/>
            <w:tcBorders>
              <w:top w:val="single" w:color="000000"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13</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29</w:t>
            </w:r>
          </w:p>
        </w:tc>
        <w:tc>
          <w:tcPr>
            <w:tcW w:w="1559"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bl>
    <w:p>
      <w:pPr>
        <w:spacing w:line="240" w:lineRule="auto"/>
        <w:jc w:val="left"/>
        <w:rPr>
          <w:rFonts w:ascii="宋体"/>
          <w:color w:val="auto"/>
          <w:kern w:val="0"/>
          <w:szCs w:val="20"/>
          <w:highlight w:val="none"/>
        </w:rPr>
      </w:pPr>
      <w:r>
        <w:rPr>
          <w:rFonts w:hint="eastAsia" w:ascii="宋体"/>
          <w:color w:val="auto"/>
          <w:kern w:val="0"/>
          <w:szCs w:val="20"/>
          <w:highlight w:val="none"/>
        </w:rPr>
        <w:t>7.2.3  供水地下管线周边环境</w:t>
      </w:r>
      <w:r>
        <w:rPr>
          <w:rFonts w:hint="eastAsia" w:ascii="宋体"/>
          <w:color w:val="auto"/>
          <w:kern w:val="0"/>
          <w:szCs w:val="20"/>
          <w:highlight w:val="none"/>
          <w:lang w:eastAsia="zh-CN"/>
        </w:rPr>
        <w:t>准则层下</w:t>
      </w:r>
      <w:r>
        <w:rPr>
          <w:rFonts w:hint="eastAsia" w:ascii="宋体"/>
          <w:color w:val="auto"/>
          <w:kern w:val="0"/>
          <w:szCs w:val="20"/>
          <w:highlight w:val="none"/>
        </w:rPr>
        <w:t>道路等级、覆土深度、地面性质指标应按表6～表8进行评分。</w:t>
      </w:r>
    </w:p>
    <w:p>
      <w:pPr>
        <w:spacing w:line="240" w:lineRule="auto"/>
        <w:jc w:val="left"/>
        <w:rPr>
          <w:rFonts w:ascii="宋体"/>
          <w:color w:val="auto"/>
          <w:kern w:val="0"/>
          <w:szCs w:val="20"/>
          <w:highlight w:val="none"/>
        </w:rPr>
      </w:pPr>
      <w:r>
        <w:rPr>
          <w:rFonts w:hint="eastAsia" w:ascii="宋体"/>
          <w:color w:val="auto"/>
          <w:kern w:val="0"/>
          <w:szCs w:val="20"/>
          <w:highlight w:val="none"/>
        </w:rPr>
        <w:t>7.2.4  供水地下管线周边环境准则层下土体腐蚀性</w:t>
      </w:r>
      <w:r>
        <w:rPr>
          <w:rFonts w:hint="eastAsia" w:ascii="宋体"/>
          <w:color w:val="auto"/>
          <w:kern w:val="0"/>
          <w:szCs w:val="20"/>
          <w:highlight w:val="none"/>
          <w:lang w:eastAsia="zh-CN"/>
        </w:rPr>
        <w:t>、</w:t>
      </w:r>
      <w:r>
        <w:rPr>
          <w:rFonts w:hint="eastAsia" w:ascii="宋体"/>
          <w:color w:val="auto"/>
          <w:kern w:val="0"/>
          <w:szCs w:val="20"/>
          <w:highlight w:val="none"/>
        </w:rPr>
        <w:t>周边扰动</w:t>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临时堆载</w:t>
      </w:r>
      <w:r>
        <w:rPr>
          <w:rFonts w:hint="eastAsia" w:ascii="宋体"/>
          <w:color w:val="auto"/>
          <w:kern w:val="0"/>
          <w:szCs w:val="20"/>
          <w:highlight w:val="none"/>
        </w:rPr>
        <w:t>指标应按表1</w:t>
      </w:r>
      <w:r>
        <w:rPr>
          <w:rFonts w:hint="eastAsia" w:ascii="宋体"/>
          <w:color w:val="auto"/>
          <w:kern w:val="0"/>
          <w:szCs w:val="20"/>
          <w:highlight w:val="none"/>
          <w:lang w:val="en-US" w:eastAsia="zh-CN"/>
        </w:rPr>
        <w:t>7</w:t>
      </w:r>
      <w:r>
        <w:rPr>
          <w:rFonts w:hint="eastAsia" w:ascii="宋体"/>
          <w:color w:val="auto"/>
          <w:kern w:val="0"/>
          <w:szCs w:val="20"/>
          <w:highlight w:val="none"/>
        </w:rPr>
        <w:t>～表1</w:t>
      </w:r>
      <w:r>
        <w:rPr>
          <w:rFonts w:hint="eastAsia" w:ascii="宋体"/>
          <w:color w:val="auto"/>
          <w:kern w:val="0"/>
          <w:szCs w:val="20"/>
          <w:highlight w:val="none"/>
          <w:lang w:val="en-US" w:eastAsia="zh-CN"/>
        </w:rPr>
        <w:t>9</w:t>
      </w:r>
      <w:r>
        <w:rPr>
          <w:rFonts w:hint="eastAsia" w:ascii="宋体"/>
          <w:color w:val="auto"/>
          <w:kern w:val="0"/>
          <w:szCs w:val="20"/>
          <w:highlight w:val="none"/>
        </w:rPr>
        <w:t>进行评分。</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7</w:t>
      </w:r>
      <w:r>
        <w:rPr>
          <w:rFonts w:hint="eastAsia" w:ascii="黑体" w:hAnsi="黑体" w:eastAsia="黑体" w:cs="黑体"/>
          <w:color w:val="auto"/>
          <w:highlight w:val="none"/>
        </w:rPr>
        <w:t xml:space="preserve"> 管线周边环境准则层</w:t>
      </w:r>
      <w:r>
        <w:rPr>
          <w:rFonts w:hint="eastAsia" w:ascii="黑体" w:hAnsi="黑体" w:eastAsia="黑体" w:cs="黑体"/>
          <w:color w:val="auto"/>
          <w:highlight w:val="none"/>
          <w:lang w:val="en-US" w:eastAsia="zh-CN"/>
        </w:rPr>
        <w:t>下</w:t>
      </w:r>
      <w:r>
        <w:rPr>
          <w:rFonts w:hint="eastAsia" w:ascii="黑体" w:hAnsi="黑体" w:eastAsia="黑体" w:cs="黑体"/>
          <w:color w:val="auto"/>
          <w:highlight w:val="none"/>
        </w:rPr>
        <w:t>指标评分值——土体腐蚀性</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787"/>
        <w:gridCol w:w="716"/>
        <w:gridCol w:w="1211"/>
        <w:gridCol w:w="935"/>
        <w:gridCol w:w="1142"/>
        <w:gridCol w:w="2066"/>
        <w:gridCol w:w="1080"/>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787"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指标</w:t>
            </w:r>
          </w:p>
        </w:tc>
        <w:tc>
          <w:tcPr>
            <w:tcW w:w="2862" w:type="dxa"/>
            <w:gridSpan w:val="3"/>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土壤电阻率（</w:t>
            </w:r>
            <w:r>
              <w:rPr>
                <w:rFonts w:hint="eastAsia" w:ascii="宋体" w:hAnsi="宋体" w:cs="宋体"/>
                <w:color w:val="auto"/>
                <w:sz w:val="18"/>
                <w:szCs w:val="18"/>
                <w:highlight w:val="none"/>
                <w:lang w:val="en-US" w:eastAsia="zh-CN"/>
              </w:rPr>
              <w:t>欧姆</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厘米</w:t>
            </w:r>
            <w:r>
              <w:rPr>
                <w:rFonts w:hint="eastAsia" w:ascii="宋体" w:hAnsi="宋体" w:cs="宋体"/>
                <w:color w:val="auto"/>
                <w:sz w:val="18"/>
                <w:szCs w:val="18"/>
                <w:highlight w:val="none"/>
              </w:rPr>
              <w:t>）</w:t>
            </w:r>
          </w:p>
        </w:tc>
        <w:tc>
          <w:tcPr>
            <w:tcW w:w="4288" w:type="dxa"/>
            <w:gridSpan w:val="3"/>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土壤pH值</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787"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特征值</w:t>
            </w:r>
          </w:p>
        </w:tc>
        <w:tc>
          <w:tcPr>
            <w:tcW w:w="716"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＜500</w:t>
            </w:r>
          </w:p>
        </w:tc>
        <w:tc>
          <w:tcPr>
            <w:tcW w:w="1211"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[500,10000]</w:t>
            </w:r>
          </w:p>
        </w:tc>
        <w:tc>
          <w:tcPr>
            <w:tcW w:w="935"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10000</w:t>
            </w:r>
          </w:p>
        </w:tc>
        <w:tc>
          <w:tcPr>
            <w:tcW w:w="1142"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＜5或＞8.5</w:t>
            </w:r>
          </w:p>
        </w:tc>
        <w:tc>
          <w:tcPr>
            <w:tcW w:w="2066"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[5,6.5] 或 [7.5,8.5]</w:t>
            </w:r>
          </w:p>
        </w:tc>
        <w:tc>
          <w:tcPr>
            <w:tcW w:w="1080"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(6.5,7.5)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787"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716" w:type="dxa"/>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23</w:t>
            </w:r>
          </w:p>
        </w:tc>
        <w:tc>
          <w:tcPr>
            <w:tcW w:w="1211" w:type="dxa"/>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13</w:t>
            </w:r>
          </w:p>
        </w:tc>
        <w:tc>
          <w:tcPr>
            <w:tcW w:w="935" w:type="dxa"/>
            <w:tcBorders>
              <w:tl2br w:val="nil"/>
              <w:tr2bl w:val="nil"/>
            </w:tcBorders>
            <w:vAlign w:val="center"/>
          </w:tcPr>
          <w:p>
            <w:pPr>
              <w:pStyle w:val="245"/>
              <w:rPr>
                <w:rFonts w:hint="eastAsia"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3</w:t>
            </w:r>
          </w:p>
        </w:tc>
        <w:tc>
          <w:tcPr>
            <w:tcW w:w="1142" w:type="dxa"/>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22</w:t>
            </w:r>
          </w:p>
        </w:tc>
        <w:tc>
          <w:tcPr>
            <w:tcW w:w="2066" w:type="dxa"/>
            <w:tcBorders>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14</w:t>
            </w:r>
          </w:p>
        </w:tc>
        <w:tc>
          <w:tcPr>
            <w:tcW w:w="1080" w:type="dxa"/>
            <w:tcBorders>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1</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7937" w:type="dxa"/>
            <w:gridSpan w:val="7"/>
            <w:tcBorders>
              <w:tl2br w:val="nil"/>
              <w:tr2bl w:val="nil"/>
            </w:tcBorders>
            <w:vAlign w:val="center"/>
          </w:tcPr>
          <w:p>
            <w:pPr>
              <w:pStyle w:val="245"/>
              <w:spacing w:line="240" w:lineRule="auto"/>
              <w:jc w:val="both"/>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注：土体腐蚀性评分值根据上述两项分项指标评分值累加得到。土壤电阻率介于500</w:t>
            </w:r>
            <w:r>
              <w:rPr>
                <w:rFonts w:hint="eastAsia" w:ascii="黑体" w:hAnsi="黑体" w:eastAsia="黑体" w:cs="黑体"/>
                <w:color w:val="auto"/>
                <w:sz w:val="18"/>
                <w:szCs w:val="18"/>
                <w:highlight w:val="none"/>
                <w:lang w:val="en-US" w:eastAsia="zh-CN"/>
              </w:rPr>
              <w:t>-</w:t>
            </w:r>
            <w:r>
              <w:rPr>
                <w:rFonts w:hint="eastAsia" w:ascii="黑体" w:hAnsi="黑体" w:eastAsia="黑体" w:cs="黑体"/>
                <w:color w:val="auto"/>
                <w:sz w:val="18"/>
                <w:szCs w:val="18"/>
                <w:highlight w:val="none"/>
              </w:rPr>
              <w:t>10000之间的评分值可以采用插值向上取整后获得。</w:t>
            </w:r>
          </w:p>
        </w:tc>
      </w:tr>
    </w:tbl>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8</w:t>
      </w:r>
      <w:r>
        <w:rPr>
          <w:rFonts w:hint="eastAsia" w:ascii="黑体" w:hAnsi="黑体" w:eastAsia="黑体" w:cs="黑体"/>
          <w:color w:val="auto"/>
          <w:highlight w:val="none"/>
        </w:rPr>
        <w:t xml:space="preserve"> 管线周边环境准则层</w:t>
      </w:r>
      <w:r>
        <w:rPr>
          <w:rFonts w:hint="eastAsia" w:ascii="黑体" w:hAnsi="黑体" w:eastAsia="黑体" w:cs="黑体"/>
          <w:color w:val="auto"/>
          <w:highlight w:val="none"/>
          <w:lang w:val="en-US" w:eastAsia="zh-CN"/>
        </w:rPr>
        <w:t>下</w:t>
      </w:r>
      <w:r>
        <w:rPr>
          <w:rFonts w:hint="eastAsia" w:ascii="黑体" w:hAnsi="黑体" w:eastAsia="黑体" w:cs="黑体"/>
          <w:color w:val="auto"/>
          <w:highlight w:val="none"/>
        </w:rPr>
        <w:t>指标评分值——周边扰动（</w:t>
      </w:r>
      <w:r>
        <w:rPr>
          <w:rFonts w:hint="eastAsia" w:ascii="黑体" w:hAnsi="黑体" w:eastAsia="黑体" w:cs="黑体"/>
          <w:color w:val="auto"/>
          <w:highlight w:val="none"/>
          <w:u w:val="dotted"/>
          <w:lang w:val="en-US" w:eastAsia="zh-CN"/>
        </w:rPr>
        <w:t>米</w:t>
      </w:r>
      <w:r>
        <w:rPr>
          <w:rFonts w:hint="eastAsia" w:ascii="黑体" w:hAnsi="黑体" w:eastAsia="黑体" w:cs="黑体"/>
          <w:color w:val="auto"/>
          <w:highlight w:val="none"/>
        </w:rPr>
        <w:t>）</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998"/>
        <w:gridCol w:w="1484"/>
        <w:gridCol w:w="1484"/>
        <w:gridCol w:w="1484"/>
        <w:gridCol w:w="1487"/>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589" w:hRule="exact"/>
          <w:jc w:val="center"/>
        </w:trPr>
        <w:tc>
          <w:tcPr>
            <w:tcW w:w="1998" w:type="dxa"/>
            <w:tcBorders>
              <w:bottom w:val="single" w:color="000000" w:sz="12" w:space="0"/>
            </w:tcBorders>
            <w:vAlign w:val="center"/>
          </w:tcPr>
          <w:p>
            <w:pPr>
              <w:spacing w:line="24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周边扰动与管线最小水平距离</w:t>
            </w:r>
          </w:p>
        </w:tc>
        <w:tc>
          <w:tcPr>
            <w:tcW w:w="1484"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1484"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[5,10)</w:t>
            </w:r>
          </w:p>
        </w:tc>
        <w:tc>
          <w:tcPr>
            <w:tcW w:w="1484"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[10,20)</w:t>
            </w:r>
          </w:p>
        </w:tc>
        <w:tc>
          <w:tcPr>
            <w:tcW w:w="1487"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≥20</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998" w:type="dxa"/>
            <w:tcBorders>
              <w:top w:val="single" w:color="000000" w:sz="12" w:space="0"/>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484" w:type="dxa"/>
            <w:tcBorders>
              <w:top w:val="single" w:color="000000" w:sz="12" w:space="0"/>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c>
          <w:tcPr>
            <w:tcW w:w="1484" w:type="dxa"/>
            <w:tcBorders>
              <w:top w:val="single" w:color="000000" w:sz="12" w:space="0"/>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32</w:t>
            </w:r>
          </w:p>
        </w:tc>
        <w:tc>
          <w:tcPr>
            <w:tcW w:w="1484" w:type="dxa"/>
            <w:tcBorders>
              <w:top w:val="single" w:color="000000" w:sz="12" w:space="0"/>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tc>
        <w:tc>
          <w:tcPr>
            <w:tcW w:w="1487" w:type="dxa"/>
            <w:tcBorders>
              <w:top w:val="single" w:color="000000" w:sz="12" w:space="0"/>
              <w:tl2br w:val="nil"/>
              <w:tr2bl w:val="nil"/>
            </w:tcBorders>
            <w:vAlign w:val="center"/>
          </w:tcPr>
          <w:p>
            <w:pPr>
              <w:pStyle w:val="245"/>
              <w:spacing w:line="240" w:lineRule="exact"/>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r>
    </w:tbl>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表1</w:t>
      </w:r>
      <w:r>
        <w:rPr>
          <w:rFonts w:hint="eastAsia" w:ascii="黑体" w:hAnsi="黑体" w:eastAsia="黑体" w:cs="黑体"/>
          <w:color w:val="auto"/>
          <w:highlight w:val="none"/>
          <w:lang w:val="en-US" w:eastAsia="zh-CN"/>
        </w:rPr>
        <w:t>9</w:t>
      </w:r>
      <w:r>
        <w:rPr>
          <w:rFonts w:hint="eastAsia" w:ascii="黑体" w:hAnsi="黑体" w:eastAsia="黑体" w:cs="黑体"/>
          <w:color w:val="auto"/>
          <w:highlight w:val="none"/>
        </w:rPr>
        <w:t xml:space="preserve"> 管线周边环境准则层</w:t>
      </w:r>
      <w:r>
        <w:rPr>
          <w:rFonts w:hint="eastAsia" w:ascii="黑体" w:hAnsi="黑体" w:eastAsia="黑体" w:cs="黑体"/>
          <w:color w:val="auto"/>
          <w:highlight w:val="none"/>
          <w:lang w:val="en-US" w:eastAsia="zh-CN"/>
        </w:rPr>
        <w:t>下</w:t>
      </w:r>
      <w:r>
        <w:rPr>
          <w:rFonts w:hint="eastAsia" w:ascii="黑体" w:hAnsi="黑体" w:eastAsia="黑体" w:cs="黑体"/>
          <w:color w:val="auto"/>
          <w:highlight w:val="none"/>
        </w:rPr>
        <w:t>指标评分值——临时堆载（</w:t>
      </w:r>
      <w:r>
        <w:rPr>
          <w:rFonts w:hint="eastAsia" w:ascii="黑体" w:hAnsi="黑体" w:eastAsia="黑体" w:cs="黑体"/>
          <w:color w:val="auto"/>
          <w:highlight w:val="none"/>
          <w:lang w:val="en-US" w:eastAsia="zh-CN"/>
        </w:rPr>
        <w:t>千牛/平方米</w:t>
      </w:r>
      <w:r>
        <w:rPr>
          <w:rFonts w:hint="eastAsia" w:ascii="黑体" w:hAnsi="黑体" w:eastAsia="黑体" w:cs="黑体"/>
          <w:color w:val="auto"/>
          <w:highlight w:val="none"/>
        </w:rPr>
        <w:t>）</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2021"/>
        <w:gridCol w:w="1478"/>
        <w:gridCol w:w="1478"/>
        <w:gridCol w:w="1478"/>
        <w:gridCol w:w="1482"/>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2021"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临时堆载</w:t>
            </w:r>
          </w:p>
        </w:tc>
        <w:tc>
          <w:tcPr>
            <w:tcW w:w="1478"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1478"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[5,10)</w:t>
            </w:r>
          </w:p>
        </w:tc>
        <w:tc>
          <w:tcPr>
            <w:tcW w:w="1478"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[10,20)</w:t>
            </w:r>
          </w:p>
        </w:tc>
        <w:tc>
          <w:tcPr>
            <w:tcW w:w="1482"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≥20</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2021"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478" w:type="dxa"/>
            <w:tcBorders>
              <w:top w:val="single" w:color="000000"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478"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21</w:t>
            </w:r>
          </w:p>
        </w:tc>
        <w:tc>
          <w:tcPr>
            <w:tcW w:w="1478"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29</w:t>
            </w:r>
          </w:p>
        </w:tc>
        <w:tc>
          <w:tcPr>
            <w:tcW w:w="1482"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bl>
    <w:p>
      <w:pPr>
        <w:spacing w:line="240" w:lineRule="auto"/>
        <w:jc w:val="left"/>
        <w:rPr>
          <w:rFonts w:ascii="宋体"/>
          <w:color w:val="auto"/>
          <w:kern w:val="0"/>
          <w:szCs w:val="20"/>
          <w:highlight w:val="none"/>
        </w:rPr>
      </w:pPr>
      <w:r>
        <w:rPr>
          <w:rFonts w:hint="eastAsia" w:ascii="宋体"/>
          <w:color w:val="auto"/>
          <w:kern w:val="0"/>
          <w:szCs w:val="20"/>
          <w:highlight w:val="none"/>
        </w:rPr>
        <w:t>7.2.5  供水地下</w:t>
      </w:r>
      <w:r>
        <w:rPr>
          <w:rFonts w:hint="eastAsia" w:ascii="宋体"/>
          <w:color w:val="auto"/>
          <w:kern w:val="0"/>
          <w:szCs w:val="20"/>
          <w:highlight w:val="none"/>
          <w:lang w:eastAsia="zh-CN"/>
        </w:rPr>
        <w:t>管线运行维护</w:t>
      </w:r>
      <w:r>
        <w:rPr>
          <w:rFonts w:hint="eastAsia" w:ascii="宋体"/>
          <w:color w:val="auto"/>
          <w:kern w:val="0"/>
          <w:szCs w:val="20"/>
          <w:highlight w:val="none"/>
        </w:rPr>
        <w:t>准则层下</w:t>
      </w:r>
      <w:r>
        <w:rPr>
          <w:rFonts w:hint="eastAsia" w:ascii="宋体"/>
          <w:color w:val="auto"/>
          <w:kern w:val="0"/>
          <w:szCs w:val="20"/>
          <w:highlight w:val="none"/>
          <w:lang w:val="en-US" w:eastAsia="zh-CN"/>
        </w:rPr>
        <w:t>近五年漏损总次数</w:t>
      </w:r>
      <w:r>
        <w:rPr>
          <w:rFonts w:hint="eastAsia" w:ascii="宋体"/>
          <w:color w:val="auto"/>
          <w:kern w:val="0"/>
          <w:szCs w:val="20"/>
          <w:highlight w:val="none"/>
          <w:lang w:eastAsia="zh-CN"/>
        </w:rPr>
        <w:t>、</w:t>
      </w:r>
      <w:r>
        <w:rPr>
          <w:rFonts w:hint="eastAsia" w:ascii="宋体"/>
          <w:color w:val="auto"/>
          <w:kern w:val="0"/>
          <w:szCs w:val="20"/>
          <w:highlight w:val="none"/>
          <w:lang w:val="en-US" w:eastAsia="zh-CN"/>
        </w:rPr>
        <w:t>管线运行压力</w:t>
      </w:r>
      <w:r>
        <w:rPr>
          <w:rFonts w:hint="eastAsia" w:ascii="宋体"/>
          <w:color w:val="auto"/>
          <w:kern w:val="0"/>
          <w:szCs w:val="20"/>
          <w:highlight w:val="none"/>
        </w:rPr>
        <w:t>指标应按表9～表</w:t>
      </w:r>
      <w:r>
        <w:rPr>
          <w:rFonts w:hint="eastAsia" w:ascii="宋体"/>
          <w:color w:val="auto"/>
          <w:kern w:val="0"/>
          <w:szCs w:val="20"/>
          <w:highlight w:val="none"/>
          <w:lang w:val="en-US" w:eastAsia="zh-CN"/>
        </w:rPr>
        <w:t>10</w:t>
      </w:r>
      <w:r>
        <w:rPr>
          <w:rFonts w:hint="eastAsia" w:ascii="宋体"/>
          <w:color w:val="auto"/>
          <w:kern w:val="0"/>
          <w:szCs w:val="20"/>
          <w:highlight w:val="none"/>
        </w:rPr>
        <w:t>进行评分。</w:t>
      </w:r>
    </w:p>
    <w:p>
      <w:pPr>
        <w:spacing w:line="240" w:lineRule="auto"/>
        <w:jc w:val="left"/>
        <w:rPr>
          <w:rFonts w:ascii="宋体"/>
          <w:color w:val="auto"/>
          <w:kern w:val="0"/>
          <w:szCs w:val="20"/>
          <w:highlight w:val="none"/>
        </w:rPr>
      </w:pPr>
      <w:r>
        <w:rPr>
          <w:rFonts w:hint="eastAsia" w:ascii="宋体"/>
          <w:color w:val="auto"/>
          <w:kern w:val="0"/>
          <w:szCs w:val="20"/>
          <w:highlight w:val="none"/>
        </w:rPr>
        <w:t>7.2.6  供水地下</w:t>
      </w:r>
      <w:r>
        <w:rPr>
          <w:rFonts w:hint="eastAsia" w:ascii="宋体"/>
          <w:color w:val="auto"/>
          <w:kern w:val="0"/>
          <w:szCs w:val="20"/>
          <w:highlight w:val="none"/>
          <w:lang w:eastAsia="zh-CN"/>
        </w:rPr>
        <w:t>管线运行维护</w:t>
      </w:r>
      <w:r>
        <w:rPr>
          <w:rFonts w:hint="eastAsia" w:ascii="宋体"/>
          <w:color w:val="auto"/>
          <w:kern w:val="0"/>
          <w:szCs w:val="20"/>
          <w:highlight w:val="none"/>
        </w:rPr>
        <w:t>准则层下水压稳定状态</w:t>
      </w:r>
      <w:r>
        <w:rPr>
          <w:rFonts w:hint="eastAsia" w:ascii="宋体"/>
          <w:color w:val="auto"/>
          <w:kern w:val="0"/>
          <w:szCs w:val="20"/>
          <w:highlight w:val="none"/>
          <w:lang w:eastAsia="zh-CN"/>
        </w:rPr>
        <w:t>、</w:t>
      </w:r>
      <w:r>
        <w:rPr>
          <w:rFonts w:hint="eastAsia" w:ascii="宋体"/>
          <w:color w:val="auto"/>
          <w:kern w:val="0"/>
          <w:szCs w:val="20"/>
          <w:highlight w:val="none"/>
        </w:rPr>
        <w:t>巡检周期指标应按表</w:t>
      </w:r>
      <w:r>
        <w:rPr>
          <w:rFonts w:hint="eastAsia" w:ascii="宋体"/>
          <w:color w:val="auto"/>
          <w:kern w:val="0"/>
          <w:szCs w:val="20"/>
          <w:highlight w:val="none"/>
          <w:lang w:val="en-US" w:eastAsia="zh-CN"/>
        </w:rPr>
        <w:t>20</w:t>
      </w:r>
      <w:r>
        <w:rPr>
          <w:rFonts w:hint="eastAsia" w:ascii="宋体"/>
          <w:color w:val="auto"/>
          <w:kern w:val="0"/>
          <w:szCs w:val="20"/>
          <w:highlight w:val="none"/>
        </w:rPr>
        <w:t>～表</w:t>
      </w:r>
      <w:r>
        <w:rPr>
          <w:rFonts w:hint="eastAsia" w:ascii="宋体"/>
          <w:color w:val="auto"/>
          <w:kern w:val="0"/>
          <w:szCs w:val="20"/>
          <w:highlight w:val="none"/>
          <w:lang w:val="en-US" w:eastAsia="zh-CN"/>
        </w:rPr>
        <w:t>21</w:t>
      </w:r>
      <w:r>
        <w:rPr>
          <w:rFonts w:hint="eastAsia" w:ascii="宋体"/>
          <w:color w:val="auto"/>
          <w:kern w:val="0"/>
          <w:szCs w:val="20"/>
          <w:highlight w:val="none"/>
        </w:rPr>
        <w:t>进行评分。</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w:t>
      </w:r>
      <w:r>
        <w:rPr>
          <w:rFonts w:hint="eastAsia" w:ascii="黑体" w:hAnsi="黑体" w:eastAsia="黑体" w:cs="黑体"/>
          <w:color w:val="auto"/>
          <w:highlight w:val="none"/>
          <w:lang w:val="en-US" w:eastAsia="zh-CN"/>
        </w:rPr>
        <w:t>20</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eastAsia="zh-CN"/>
        </w:rPr>
        <w:t>管线运行维护</w:t>
      </w:r>
      <w:r>
        <w:rPr>
          <w:rFonts w:hint="eastAsia" w:ascii="黑体" w:hAnsi="黑体" w:eastAsia="黑体" w:cs="黑体"/>
          <w:color w:val="auto"/>
          <w:highlight w:val="none"/>
        </w:rPr>
        <w:t>准则层</w:t>
      </w:r>
      <w:r>
        <w:rPr>
          <w:rFonts w:hint="eastAsia" w:ascii="黑体" w:hAnsi="黑体" w:eastAsia="黑体" w:cs="黑体"/>
          <w:color w:val="auto"/>
          <w:highlight w:val="none"/>
          <w:lang w:val="en-US" w:eastAsia="zh-CN"/>
        </w:rPr>
        <w:t>下</w:t>
      </w:r>
      <w:r>
        <w:rPr>
          <w:rFonts w:hint="eastAsia" w:ascii="黑体" w:hAnsi="黑体" w:eastAsia="黑体" w:cs="黑体"/>
          <w:color w:val="auto"/>
          <w:highlight w:val="none"/>
        </w:rPr>
        <w:t>指标评分值——水压稳定状态（%）</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908"/>
        <w:gridCol w:w="1507"/>
        <w:gridCol w:w="1507"/>
        <w:gridCol w:w="1507"/>
        <w:gridCol w:w="1508"/>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9"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水压稳定状态</w:t>
            </w:r>
          </w:p>
        </w:tc>
        <w:tc>
          <w:tcPr>
            <w:tcW w:w="1350"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w:t>
            </w:r>
          </w:p>
        </w:tc>
        <w:tc>
          <w:tcPr>
            <w:tcW w:w="1350"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[10,20)</w:t>
            </w:r>
          </w:p>
        </w:tc>
        <w:tc>
          <w:tcPr>
            <w:tcW w:w="1350"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[20,30)</w:t>
            </w:r>
          </w:p>
        </w:tc>
        <w:tc>
          <w:tcPr>
            <w:tcW w:w="1350"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≥30</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9"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350" w:type="dxa"/>
            <w:tcBorders>
              <w:top w:val="single" w:color="000000" w:sz="12" w:space="0"/>
              <w:tl2br w:val="nil"/>
              <w:tr2bl w:val="nil"/>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350"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18</w:t>
            </w:r>
          </w:p>
        </w:tc>
        <w:tc>
          <w:tcPr>
            <w:tcW w:w="1350"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32</w:t>
            </w:r>
          </w:p>
        </w:tc>
        <w:tc>
          <w:tcPr>
            <w:tcW w:w="1350"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397" w:hRule="atLeast"/>
          <w:jc w:val="center"/>
        </w:trPr>
        <w:tc>
          <w:tcPr>
            <w:tcW w:w="7109" w:type="dxa"/>
            <w:gridSpan w:val="5"/>
            <w:tcBorders>
              <w:tl2br w:val="nil"/>
              <w:tr2bl w:val="nil"/>
            </w:tcBorders>
            <w:vAlign w:val="center"/>
          </w:tcPr>
          <w:p>
            <w:pPr>
              <w:pStyle w:val="245"/>
              <w:spacing w:line="240" w:lineRule="auto"/>
              <w:jc w:val="both"/>
              <w:rPr>
                <w:color w:val="auto"/>
                <w:highlight w:val="none"/>
              </w:rPr>
            </w:pPr>
            <w:r>
              <w:rPr>
                <w:rFonts w:hint="eastAsia" w:ascii="黑体" w:hAnsi="黑体" w:eastAsia="黑体" w:cs="黑体"/>
                <w:color w:val="auto"/>
                <w:sz w:val="18"/>
                <w:szCs w:val="18"/>
                <w:highlight w:val="none"/>
              </w:rPr>
              <w:t>注：水压稳定状态可根据前一年供水压力监测记录中，管线位置处最大压差（每天最高水压与最低水压的差值）超过80kPa的天数占全年天数的比例。</w:t>
            </w:r>
          </w:p>
        </w:tc>
      </w:tr>
    </w:tbl>
    <w:p>
      <w:pPr>
        <w:pStyle w:val="235"/>
        <w:spacing w:before="156" w:beforeLines="50" w:after="156" w:afterLines="50"/>
        <w:jc w:val="center"/>
        <w:rPr>
          <w:rFonts w:hint="eastAsia" w:ascii="黑体" w:hAnsi="黑体" w:eastAsia="黑体" w:cs="黑体"/>
          <w:color w:val="auto"/>
          <w:highlight w:val="none"/>
          <w:lang w:eastAsia="zh-CN"/>
        </w:rPr>
      </w:pPr>
      <w:r>
        <w:rPr>
          <w:rFonts w:hint="eastAsia" w:ascii="黑体" w:hAnsi="黑体" w:eastAsia="黑体" w:cs="黑体"/>
          <w:color w:val="auto"/>
          <w:highlight w:val="none"/>
        </w:rPr>
        <w:t>表</w:t>
      </w:r>
      <w:r>
        <w:rPr>
          <w:rFonts w:hint="eastAsia" w:ascii="黑体" w:hAnsi="黑体" w:eastAsia="黑体" w:cs="黑体"/>
          <w:color w:val="auto"/>
          <w:highlight w:val="none"/>
          <w:lang w:val="en-US" w:eastAsia="zh-CN"/>
        </w:rPr>
        <w:t>21</w:t>
      </w:r>
      <w:r>
        <w:rPr>
          <w:rFonts w:hint="eastAsia" w:ascii="黑体" w:hAnsi="黑体" w:eastAsia="黑体" w:cs="黑体"/>
          <w:color w:val="auto"/>
          <w:highlight w:val="none"/>
        </w:rPr>
        <w:t xml:space="preserve"> </w:t>
      </w:r>
      <w:r>
        <w:rPr>
          <w:rFonts w:hint="eastAsia" w:ascii="黑体" w:hAnsi="黑体" w:eastAsia="黑体" w:cs="黑体"/>
          <w:color w:val="auto"/>
          <w:highlight w:val="none"/>
          <w:lang w:eastAsia="zh-CN"/>
        </w:rPr>
        <w:t>管线运行维护</w:t>
      </w:r>
      <w:r>
        <w:rPr>
          <w:rFonts w:hint="eastAsia" w:ascii="黑体" w:hAnsi="黑体" w:eastAsia="黑体" w:cs="黑体"/>
          <w:color w:val="auto"/>
          <w:highlight w:val="none"/>
        </w:rPr>
        <w:t>准则层</w:t>
      </w:r>
      <w:r>
        <w:rPr>
          <w:rFonts w:hint="eastAsia" w:ascii="黑体" w:hAnsi="黑体" w:eastAsia="黑体" w:cs="黑体"/>
          <w:color w:val="auto"/>
          <w:highlight w:val="none"/>
          <w:lang w:val="en-US" w:eastAsia="zh-CN"/>
        </w:rPr>
        <w:t>下</w:t>
      </w:r>
      <w:r>
        <w:rPr>
          <w:rFonts w:hint="eastAsia" w:ascii="黑体" w:hAnsi="黑体" w:eastAsia="黑体" w:cs="黑体"/>
          <w:color w:val="auto"/>
          <w:highlight w:val="none"/>
        </w:rPr>
        <w:t>指标评分值——巡检周期</w:t>
      </w:r>
      <w:r>
        <w:rPr>
          <w:rFonts w:hint="eastAsia" w:ascii="黑体" w:hAnsi="黑体" w:eastAsia="黑体" w:cs="黑体"/>
          <w:color w:val="auto"/>
          <w:highlight w:val="none"/>
          <w:lang w:eastAsia="zh-CN"/>
        </w:rPr>
        <w:t>（</w:t>
      </w:r>
      <w:r>
        <w:rPr>
          <w:rFonts w:hint="eastAsia" w:ascii="黑体" w:hAnsi="黑体" w:eastAsia="黑体" w:cs="黑体"/>
          <w:color w:val="auto"/>
          <w:highlight w:val="none"/>
          <w:lang w:val="en-US" w:eastAsia="zh-CN"/>
        </w:rPr>
        <w:t>天</w:t>
      </w:r>
      <w:r>
        <w:rPr>
          <w:rFonts w:hint="eastAsia" w:ascii="黑体" w:hAnsi="黑体" w:eastAsia="黑体" w:cs="黑体"/>
          <w:color w:val="auto"/>
          <w:highlight w:val="none"/>
          <w:lang w:eastAsia="zh-CN"/>
        </w:rPr>
        <w:t>）</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2621"/>
        <w:gridCol w:w="1772"/>
        <w:gridCol w:w="1772"/>
        <w:gridCol w:w="1772"/>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5"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巡检周期</w:t>
            </w:r>
          </w:p>
        </w:tc>
        <w:tc>
          <w:tcPr>
            <w:tcW w:w="1152" w:type="dxa"/>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3</w:t>
            </w:r>
          </w:p>
        </w:tc>
        <w:tc>
          <w:tcPr>
            <w:tcW w:w="1152" w:type="dxa"/>
            <w:tcBorders>
              <w:bottom w:val="single" w:color="000000" w:sz="12" w:space="0"/>
            </w:tcBorders>
            <w:vAlign w:val="center"/>
          </w:tcPr>
          <w:p>
            <w:pPr>
              <w:pStyle w:val="245"/>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3</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7</w:t>
            </w:r>
            <w:r>
              <w:rPr>
                <w:rFonts w:hint="eastAsia" w:ascii="宋体" w:hAnsi="宋体" w:cs="宋体"/>
                <w:color w:val="auto"/>
                <w:sz w:val="18"/>
                <w:szCs w:val="18"/>
                <w:highlight w:val="none"/>
              </w:rPr>
              <w:t>)</w:t>
            </w:r>
          </w:p>
        </w:tc>
        <w:tc>
          <w:tcPr>
            <w:tcW w:w="1152" w:type="dxa"/>
            <w:tcBorders>
              <w:bottom w:val="single" w:color="000000" w:sz="12" w:space="0"/>
            </w:tcBorders>
            <w:vAlign w:val="center"/>
          </w:tcPr>
          <w:p>
            <w:pPr>
              <w:pStyle w:val="245"/>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7</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705"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152"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1152"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21</w:t>
            </w:r>
          </w:p>
        </w:tc>
        <w:tc>
          <w:tcPr>
            <w:tcW w:w="1152" w:type="dxa"/>
            <w:tcBorders>
              <w:top w:val="single" w:color="000000" w:sz="12" w:space="0"/>
              <w:tl2br w:val="nil"/>
              <w:tr2bl w:val="nil"/>
            </w:tcBorders>
            <w:vAlign w:val="center"/>
          </w:tcPr>
          <w:p>
            <w:pPr>
              <w:pStyle w:val="245"/>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bl>
    <w:p>
      <w:pPr>
        <w:spacing w:line="240" w:lineRule="auto"/>
        <w:rPr>
          <w:rFonts w:ascii="宋体"/>
          <w:color w:val="auto"/>
          <w:kern w:val="0"/>
          <w:szCs w:val="20"/>
          <w:highlight w:val="none"/>
        </w:rPr>
      </w:pPr>
      <w:r>
        <w:rPr>
          <w:rFonts w:hint="eastAsia" w:ascii="宋体"/>
          <w:color w:val="auto"/>
          <w:kern w:val="0"/>
          <w:szCs w:val="20"/>
          <w:highlight w:val="none"/>
        </w:rPr>
        <w:t>7.2.7  供水地下管线风险发生可能性分析值应按照公式（1）进行计算，其中，物理属性、周边环境和运行维修准则层及其指标层各影响因素权重应按表B.1进行取值。</w:t>
      </w:r>
    </w:p>
    <w:p>
      <w:pPr>
        <w:pStyle w:val="237"/>
        <w:numPr>
          <w:ilvl w:val="0"/>
          <w:numId w:val="0"/>
        </w:numPr>
        <w:spacing w:before="156" w:beforeLines="50" w:after="156" w:afterLines="50"/>
        <w:outlineLvl w:val="9"/>
        <w:rPr>
          <w:rFonts w:hAnsi="黑体" w:cs="黑体"/>
          <w:color w:val="auto"/>
          <w:kern w:val="2"/>
          <w:szCs w:val="24"/>
          <w:highlight w:val="none"/>
        </w:rPr>
      </w:pPr>
      <w:r>
        <w:rPr>
          <w:rFonts w:hint="eastAsia" w:hAnsi="黑体" w:cs="黑体"/>
          <w:color w:val="auto"/>
          <w:kern w:val="2"/>
          <w:szCs w:val="24"/>
          <w:highlight w:val="none"/>
        </w:rPr>
        <w:t>7.3  失效后果严重性分析</w:t>
      </w:r>
    </w:p>
    <w:p>
      <w:pPr>
        <w:spacing w:line="240" w:lineRule="auto"/>
        <w:jc w:val="left"/>
        <w:rPr>
          <w:rFonts w:ascii="宋体"/>
          <w:color w:val="auto"/>
          <w:kern w:val="0"/>
          <w:szCs w:val="20"/>
          <w:highlight w:val="none"/>
        </w:rPr>
      </w:pPr>
      <w:r>
        <w:rPr>
          <w:rFonts w:hint="eastAsia" w:ascii="宋体"/>
          <w:color w:val="auto"/>
          <w:kern w:val="0"/>
          <w:szCs w:val="20"/>
          <w:highlight w:val="none"/>
        </w:rPr>
        <w:t>7.3.1  详细风险分析的失效后果严重性分析指标应按表1</w:t>
      </w:r>
      <w:r>
        <w:rPr>
          <w:rFonts w:hint="eastAsia" w:ascii="宋体"/>
          <w:color w:val="auto"/>
          <w:kern w:val="0"/>
          <w:szCs w:val="20"/>
          <w:highlight w:val="none"/>
          <w:lang w:val="en-US" w:eastAsia="zh-CN"/>
        </w:rPr>
        <w:t>1</w:t>
      </w:r>
      <w:r>
        <w:rPr>
          <w:rFonts w:hint="eastAsia" w:ascii="宋体"/>
          <w:color w:val="auto"/>
          <w:kern w:val="0"/>
          <w:szCs w:val="20"/>
          <w:highlight w:val="none"/>
        </w:rPr>
        <w:t>和表2</w:t>
      </w:r>
      <w:r>
        <w:rPr>
          <w:rFonts w:hint="eastAsia" w:ascii="宋体"/>
          <w:color w:val="auto"/>
          <w:kern w:val="0"/>
          <w:szCs w:val="20"/>
          <w:highlight w:val="none"/>
          <w:lang w:val="en-US" w:eastAsia="zh-CN"/>
        </w:rPr>
        <w:t>2</w:t>
      </w:r>
      <w:r>
        <w:rPr>
          <w:rFonts w:hint="eastAsia" w:ascii="宋体"/>
          <w:color w:val="auto"/>
          <w:kern w:val="0"/>
          <w:szCs w:val="20"/>
          <w:highlight w:val="none"/>
        </w:rPr>
        <w:t>进行评分。</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表2</w:t>
      </w:r>
      <w:r>
        <w:rPr>
          <w:rFonts w:hint="eastAsia" w:ascii="黑体" w:hAnsi="黑体" w:eastAsia="黑体" w:cs="黑体"/>
          <w:color w:val="auto"/>
          <w:highlight w:val="none"/>
          <w:lang w:val="en-US" w:eastAsia="zh-CN"/>
        </w:rPr>
        <w:t>2</w:t>
      </w:r>
      <w:r>
        <w:rPr>
          <w:rFonts w:hint="eastAsia" w:ascii="黑体" w:hAnsi="黑体" w:eastAsia="黑体" w:cs="黑体"/>
          <w:color w:val="auto"/>
          <w:highlight w:val="none"/>
        </w:rPr>
        <w:t xml:space="preserve"> 详细风险分析的失效后果严重性分析指标的评分值</w:t>
      </w:r>
    </w:p>
    <w:tbl>
      <w:tblPr>
        <w:tblStyle w:val="31"/>
        <w:tblW w:w="7937"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fixed"/>
        <w:tblCellMar>
          <w:top w:w="0" w:type="dxa"/>
          <w:left w:w="108" w:type="dxa"/>
          <w:bottom w:w="0" w:type="dxa"/>
          <w:right w:w="108" w:type="dxa"/>
        </w:tblCellMar>
      </w:tblPr>
      <w:tblGrid>
        <w:gridCol w:w="1812"/>
        <w:gridCol w:w="1437"/>
        <w:gridCol w:w="1538"/>
        <w:gridCol w:w="1680"/>
        <w:gridCol w:w="1470"/>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559" w:hRule="exact"/>
          <w:jc w:val="center"/>
        </w:trPr>
        <w:tc>
          <w:tcPr>
            <w:tcW w:w="1948" w:type="dxa"/>
            <w:tcBorders>
              <w:bottom w:val="single" w:color="000000" w:sz="12" w:space="0"/>
            </w:tcBorders>
            <w:vAlign w:val="center"/>
          </w:tcPr>
          <w:p>
            <w:pPr>
              <w:pStyle w:val="245"/>
              <w:spacing w:line="240" w:lineRule="exact"/>
              <w:rPr>
                <w:rFonts w:hint="eastAsia" w:ascii="宋体" w:hAnsi="宋体" w:cs="宋体"/>
                <w:color w:val="auto"/>
                <w:sz w:val="18"/>
                <w:szCs w:val="18"/>
                <w:highlight w:val="none"/>
              </w:rPr>
            </w:pPr>
            <w:r>
              <w:rPr>
                <w:rFonts w:hint="eastAsia" w:ascii="宋体" w:hAnsi="宋体" w:cs="宋体"/>
                <w:color w:val="auto"/>
                <w:sz w:val="18"/>
                <w:szCs w:val="18"/>
                <w:highlight w:val="none"/>
              </w:rPr>
              <w:t>管线漏水量</w:t>
            </w:r>
          </w:p>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立方米</w:t>
            </w:r>
            <w:r>
              <w:rPr>
                <w:rFonts w:hint="eastAsia" w:ascii="宋体" w:hAnsi="宋体" w:cs="宋体"/>
                <w:color w:val="auto"/>
                <w:sz w:val="18"/>
                <w:szCs w:val="18"/>
                <w:highlight w:val="none"/>
              </w:rPr>
              <w:t>/</w:t>
            </w:r>
            <w:r>
              <w:rPr>
                <w:rFonts w:hint="eastAsia" w:ascii="宋体" w:hAnsi="宋体" w:cs="宋体"/>
                <w:color w:val="auto"/>
                <w:sz w:val="18"/>
                <w:szCs w:val="18"/>
                <w:highlight w:val="none"/>
                <w:lang w:val="en-US" w:eastAsia="zh-CN"/>
              </w:rPr>
              <w:t>小时</w:t>
            </w:r>
            <w:r>
              <w:rPr>
                <w:rFonts w:hint="eastAsia" w:ascii="宋体" w:hAnsi="宋体" w:cs="宋体"/>
                <w:color w:val="auto"/>
                <w:sz w:val="18"/>
                <w:szCs w:val="18"/>
                <w:highlight w:val="none"/>
              </w:rPr>
              <w:t>)</w:t>
            </w:r>
          </w:p>
        </w:tc>
        <w:tc>
          <w:tcPr>
            <w:tcW w:w="1541"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QL≤300</w:t>
            </w:r>
          </w:p>
        </w:tc>
        <w:tc>
          <w:tcPr>
            <w:tcW w:w="1650"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300</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QL≤2000</w:t>
            </w:r>
          </w:p>
        </w:tc>
        <w:tc>
          <w:tcPr>
            <w:tcW w:w="1804"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2000</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QL≤5000</w:t>
            </w:r>
          </w:p>
        </w:tc>
        <w:tc>
          <w:tcPr>
            <w:tcW w:w="1576" w:type="dxa"/>
            <w:tcBorders>
              <w:bottom w:val="single" w:color="000000" w:sz="12" w:space="0"/>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QL</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5000</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948" w:type="dxa"/>
            <w:tcBorders>
              <w:top w:val="single" w:color="000000" w:sz="12" w:space="0"/>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41" w:type="dxa"/>
            <w:tcBorders>
              <w:top w:val="single" w:color="000000" w:sz="12" w:space="0"/>
              <w:tl2br w:val="nil"/>
              <w:tr2bl w:val="nil"/>
            </w:tcBorders>
            <w:vAlign w:val="center"/>
          </w:tcPr>
          <w:p>
            <w:pPr>
              <w:pStyle w:val="245"/>
              <w:spacing w:line="240" w:lineRule="exact"/>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650" w:type="dxa"/>
            <w:tcBorders>
              <w:top w:val="single" w:color="000000" w:sz="12" w:space="0"/>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13</w:t>
            </w:r>
          </w:p>
        </w:tc>
        <w:tc>
          <w:tcPr>
            <w:tcW w:w="1804" w:type="dxa"/>
            <w:tcBorders>
              <w:top w:val="single" w:color="000000" w:sz="12" w:space="0"/>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29</w:t>
            </w:r>
          </w:p>
        </w:tc>
        <w:tc>
          <w:tcPr>
            <w:tcW w:w="1576" w:type="dxa"/>
            <w:tcBorders>
              <w:top w:val="single" w:color="000000" w:sz="12" w:space="0"/>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45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621" w:hRule="exact"/>
          <w:jc w:val="center"/>
        </w:trPr>
        <w:tc>
          <w:tcPr>
            <w:tcW w:w="1948"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道路及周边区域积水</w:t>
            </w:r>
          </w:p>
        </w:tc>
        <w:tc>
          <w:tcPr>
            <w:tcW w:w="1541"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积水且道路未断交</w:t>
            </w:r>
          </w:p>
        </w:tc>
        <w:tc>
          <w:tcPr>
            <w:tcW w:w="1650"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积水且道路断交0.5</w:t>
            </w:r>
            <w:r>
              <w:rPr>
                <w:rFonts w:hint="eastAsia" w:ascii="宋体" w:hAnsi="宋体" w:cs="宋体"/>
                <w:color w:val="auto"/>
                <w:sz w:val="18"/>
                <w:szCs w:val="18"/>
                <w:highlight w:val="none"/>
                <w:lang w:val="en-US" w:eastAsia="zh-CN"/>
              </w:rPr>
              <w:t>小时</w:t>
            </w:r>
            <w:r>
              <w:rPr>
                <w:rFonts w:hint="eastAsia" w:ascii="宋体" w:hAnsi="宋体" w:cs="宋体"/>
                <w:color w:val="auto"/>
                <w:sz w:val="18"/>
                <w:szCs w:val="18"/>
                <w:highlight w:val="none"/>
              </w:rPr>
              <w:t>以内</w:t>
            </w:r>
          </w:p>
        </w:tc>
        <w:tc>
          <w:tcPr>
            <w:tcW w:w="1804"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积水且道路断交0.5</w:t>
            </w:r>
            <w:r>
              <w:rPr>
                <w:rFonts w:hint="eastAsia" w:ascii="宋体" w:hAnsi="宋体" w:cs="宋体"/>
                <w:color w:val="auto"/>
                <w:sz w:val="18"/>
                <w:szCs w:val="18"/>
                <w:highlight w:val="none"/>
                <w:lang w:val="en-US" w:eastAsia="zh-CN"/>
              </w:rPr>
              <w:t>小时</w:t>
            </w:r>
            <w:r>
              <w:rPr>
                <w:rFonts w:hint="eastAsia" w:ascii="宋体" w:hAnsi="宋体" w:cs="宋体"/>
                <w:color w:val="auto"/>
                <w:sz w:val="18"/>
                <w:szCs w:val="18"/>
                <w:highlight w:val="none"/>
              </w:rPr>
              <w:t>～2小时</w:t>
            </w:r>
          </w:p>
        </w:tc>
        <w:tc>
          <w:tcPr>
            <w:tcW w:w="1576"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积水且道路断交2小时以上</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PrEx>
        <w:trPr>
          <w:trHeight w:val="454" w:hRule="exact"/>
          <w:jc w:val="center"/>
        </w:trPr>
        <w:tc>
          <w:tcPr>
            <w:tcW w:w="1948"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41" w:type="dxa"/>
            <w:tcBorders>
              <w:tl2br w:val="nil"/>
              <w:tr2bl w:val="nil"/>
            </w:tcBorders>
            <w:vAlign w:val="center"/>
          </w:tcPr>
          <w:p>
            <w:pPr>
              <w:pStyle w:val="245"/>
              <w:spacing w:line="240" w:lineRule="exact"/>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650" w:type="dxa"/>
            <w:tcBorders>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22</w:t>
            </w:r>
          </w:p>
        </w:tc>
        <w:tc>
          <w:tcPr>
            <w:tcW w:w="1804" w:type="dxa"/>
            <w:tcBorders>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34</w:t>
            </w:r>
          </w:p>
        </w:tc>
        <w:tc>
          <w:tcPr>
            <w:tcW w:w="1576" w:type="dxa"/>
            <w:tcBorders>
              <w:tl2br w:val="nil"/>
              <w:tr2bl w:val="nil"/>
            </w:tcBorders>
            <w:vAlign w:val="center"/>
          </w:tcPr>
          <w:p>
            <w:pPr>
              <w:pStyle w:val="245"/>
              <w:spacing w:line="240" w:lineRule="exact"/>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45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622" w:hRule="exact"/>
          <w:jc w:val="center"/>
        </w:trPr>
        <w:tc>
          <w:tcPr>
            <w:tcW w:w="1948" w:type="dxa"/>
            <w:tcBorders>
              <w:tl2br w:val="nil"/>
              <w:tr2bl w:val="nil"/>
            </w:tcBorders>
            <w:vAlign w:val="center"/>
          </w:tcPr>
          <w:p>
            <w:pPr>
              <w:pStyle w:val="245"/>
              <w:spacing w:line="240" w:lineRule="exact"/>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rPr>
              <w:t>供水中断导致停止服务时长</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小时）</w:t>
            </w:r>
          </w:p>
        </w:tc>
        <w:tc>
          <w:tcPr>
            <w:tcW w:w="1541"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i w:val="0"/>
                <w:iCs w:val="0"/>
                <w:color w:val="auto"/>
                <w:sz w:val="18"/>
                <w:szCs w:val="18"/>
                <w:highlight w:val="none"/>
              </w:rPr>
              <w:t>ST</w:t>
            </w:r>
            <w:r>
              <w:rPr>
                <w:rFonts w:hint="eastAsia" w:ascii="宋体" w:hAnsi="宋体" w:cs="宋体"/>
                <w:color w:val="auto"/>
                <w:sz w:val="18"/>
                <w:szCs w:val="18"/>
                <w:highlight w:val="none"/>
              </w:rPr>
              <w:t>≤12</w:t>
            </w:r>
          </w:p>
        </w:tc>
        <w:tc>
          <w:tcPr>
            <w:tcW w:w="1650"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12</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ST≤24</w:t>
            </w:r>
          </w:p>
        </w:tc>
        <w:tc>
          <w:tcPr>
            <w:tcW w:w="1804"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24</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ST≤36</w:t>
            </w:r>
          </w:p>
        </w:tc>
        <w:tc>
          <w:tcPr>
            <w:tcW w:w="1576"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ST</w:t>
            </w:r>
            <w:r>
              <w:rPr>
                <w:rFonts w:hint="eastAsia" w:ascii="宋体" w:hAnsi="宋体" w:cs="宋体"/>
                <w:color w:val="auto"/>
                <w:sz w:val="18"/>
                <w:szCs w:val="18"/>
                <w:highlight w:val="none"/>
                <w:lang w:val="en-US" w:eastAsia="zh-CN"/>
              </w:rPr>
              <w:t>＞</w:t>
            </w:r>
            <w:r>
              <w:rPr>
                <w:rFonts w:hint="eastAsia" w:ascii="宋体" w:hAnsi="宋体" w:cs="宋体"/>
                <w:color w:val="auto"/>
                <w:sz w:val="18"/>
                <w:szCs w:val="18"/>
                <w:highlight w:val="none"/>
              </w:rPr>
              <w:t>36</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948"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评分值</w:t>
            </w:r>
          </w:p>
        </w:tc>
        <w:tc>
          <w:tcPr>
            <w:tcW w:w="1541" w:type="dxa"/>
            <w:tcBorders>
              <w:tl2br w:val="nil"/>
              <w:tr2bl w:val="nil"/>
            </w:tcBorders>
            <w:vAlign w:val="center"/>
          </w:tcPr>
          <w:p>
            <w:pPr>
              <w:pStyle w:val="245"/>
              <w:spacing w:line="240" w:lineRule="exact"/>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5</w:t>
            </w:r>
          </w:p>
        </w:tc>
        <w:tc>
          <w:tcPr>
            <w:tcW w:w="1650" w:type="dxa"/>
            <w:tcBorders>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21</w:t>
            </w:r>
          </w:p>
        </w:tc>
        <w:tc>
          <w:tcPr>
            <w:tcW w:w="1804" w:type="dxa"/>
            <w:tcBorders>
              <w:tl2br w:val="nil"/>
              <w:tr2bl w:val="nil"/>
            </w:tcBorders>
            <w:vAlign w:val="center"/>
          </w:tcPr>
          <w:p>
            <w:pPr>
              <w:pStyle w:val="245"/>
              <w:spacing w:line="240" w:lineRule="exact"/>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37</w:t>
            </w:r>
          </w:p>
        </w:tc>
        <w:tc>
          <w:tcPr>
            <w:tcW w:w="1576" w:type="dxa"/>
            <w:tcBorders>
              <w:tl2br w:val="nil"/>
              <w:tr2bl w:val="nil"/>
            </w:tcBorders>
            <w:vAlign w:val="center"/>
          </w:tcPr>
          <w:p>
            <w:pPr>
              <w:pStyle w:val="245"/>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45</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992" w:hRule="exact"/>
          <w:jc w:val="center"/>
        </w:trPr>
        <w:tc>
          <w:tcPr>
            <w:tcW w:w="8519" w:type="dxa"/>
            <w:gridSpan w:val="5"/>
            <w:tcBorders>
              <w:tl2br w:val="nil"/>
              <w:tr2bl w:val="nil"/>
            </w:tcBorders>
            <w:vAlign w:val="center"/>
          </w:tcPr>
          <w:p>
            <w:pPr>
              <w:pStyle w:val="245"/>
              <w:spacing w:line="240" w:lineRule="auto"/>
              <w:jc w:val="left"/>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注：1.管线漏水量为从发现漏水开始计算的每小时漏水量；</w:t>
            </w:r>
          </w:p>
          <w:p>
            <w:pPr>
              <w:pStyle w:val="245"/>
              <w:spacing w:line="240" w:lineRule="auto"/>
              <w:ind w:firstLine="360" w:firstLineChars="200"/>
              <w:jc w:val="left"/>
              <w:rPr>
                <w:rFonts w:ascii="黑体" w:hAnsi="黑体" w:eastAsia="黑体" w:cs="黑体"/>
                <w:color w:val="auto"/>
                <w:sz w:val="18"/>
                <w:szCs w:val="18"/>
                <w:highlight w:val="none"/>
              </w:rPr>
            </w:pPr>
            <w:r>
              <w:rPr>
                <w:rFonts w:hint="eastAsia" w:ascii="黑体" w:hAnsi="黑体" w:eastAsia="黑体" w:cs="黑体"/>
                <w:color w:val="auto"/>
                <w:sz w:val="18"/>
                <w:szCs w:val="18"/>
                <w:highlight w:val="none"/>
              </w:rPr>
              <w:t>2.根据GB 51222，积水是指路段积水平均深度大于15</w:t>
            </w:r>
            <w:r>
              <w:rPr>
                <w:rFonts w:hint="eastAsia" w:ascii="黑体" w:hAnsi="黑体" w:eastAsia="黑体" w:cs="黑体"/>
                <w:color w:val="auto"/>
                <w:sz w:val="18"/>
                <w:szCs w:val="18"/>
                <w:highlight w:val="none"/>
                <w:lang w:val="en-US" w:eastAsia="zh-CN"/>
              </w:rPr>
              <w:t>厘米</w:t>
            </w:r>
            <w:r>
              <w:rPr>
                <w:rFonts w:hint="eastAsia" w:ascii="黑体" w:hAnsi="黑体" w:eastAsia="黑体" w:cs="黑体"/>
                <w:color w:val="auto"/>
                <w:sz w:val="18"/>
                <w:szCs w:val="18"/>
                <w:highlight w:val="none"/>
              </w:rPr>
              <w:t>；道路中心雨停后积水时间大于1</w:t>
            </w:r>
            <w:r>
              <w:rPr>
                <w:rFonts w:hint="eastAsia" w:ascii="黑体" w:hAnsi="黑体" w:eastAsia="黑体" w:cs="黑体"/>
                <w:color w:val="auto"/>
                <w:sz w:val="18"/>
                <w:szCs w:val="18"/>
                <w:highlight w:val="none"/>
                <w:lang w:val="en-US" w:eastAsia="zh-CN"/>
              </w:rPr>
              <w:t>小时</w:t>
            </w:r>
            <w:r>
              <w:rPr>
                <w:rFonts w:hint="eastAsia" w:ascii="黑体" w:hAnsi="黑体" w:eastAsia="黑体" w:cs="黑体"/>
                <w:color w:val="auto"/>
                <w:sz w:val="18"/>
                <w:szCs w:val="18"/>
                <w:highlight w:val="none"/>
              </w:rPr>
              <w:t>。</w:t>
            </w:r>
          </w:p>
        </w:tc>
      </w:tr>
    </w:tbl>
    <w:p>
      <w:pPr>
        <w:spacing w:line="240" w:lineRule="auto"/>
        <w:jc w:val="left"/>
        <w:rPr>
          <w:rFonts w:ascii="宋体"/>
          <w:color w:val="auto"/>
          <w:kern w:val="0"/>
          <w:szCs w:val="20"/>
          <w:highlight w:val="none"/>
        </w:rPr>
      </w:pPr>
      <w:r>
        <w:rPr>
          <w:rFonts w:hint="eastAsia" w:ascii="宋体"/>
          <w:color w:val="auto"/>
          <w:kern w:val="0"/>
          <w:szCs w:val="20"/>
          <w:highlight w:val="none"/>
        </w:rPr>
        <w:t>7.3.2  供水地下管线失效后果严重性分析应按照公式（2）进行计算，各分项权重应按表B.2进行取值。</w:t>
      </w:r>
    </w:p>
    <w:p>
      <w:pPr>
        <w:spacing w:line="240" w:lineRule="auto"/>
        <w:jc w:val="left"/>
        <w:rPr>
          <w:rFonts w:ascii="宋体"/>
          <w:color w:val="auto"/>
          <w:kern w:val="0"/>
          <w:szCs w:val="20"/>
          <w:highlight w:val="none"/>
        </w:rPr>
      </w:pPr>
      <w:r>
        <w:rPr>
          <w:rFonts w:hint="eastAsia" w:ascii="宋体"/>
          <w:color w:val="auto"/>
          <w:kern w:val="0"/>
          <w:szCs w:val="20"/>
          <w:highlight w:val="none"/>
        </w:rPr>
        <w:t>7.3.3  供水地下管线安全风险分析等级</w:t>
      </w:r>
      <w:r>
        <w:rPr>
          <w:rFonts w:hint="default" w:ascii="Times New Roman" w:hAnsi="Times New Roman" w:cs="Times New Roman"/>
          <w:color w:val="auto"/>
          <w:kern w:val="0"/>
          <w:szCs w:val="20"/>
          <w:highlight w:val="none"/>
        </w:rPr>
        <w:t>R</w:t>
      </w:r>
      <w:r>
        <w:rPr>
          <w:rFonts w:hint="default" w:ascii="Times New Roman" w:hAnsi="Times New Roman" w:cs="Times New Roman"/>
          <w:color w:val="auto"/>
          <w:kern w:val="0"/>
          <w:szCs w:val="20"/>
          <w:highlight w:val="none"/>
          <w:vertAlign w:val="subscript"/>
        </w:rPr>
        <w:t>1</w:t>
      </w:r>
      <w:r>
        <w:rPr>
          <w:rFonts w:hint="eastAsia" w:ascii="宋体"/>
          <w:color w:val="auto"/>
          <w:kern w:val="0"/>
          <w:szCs w:val="20"/>
          <w:highlight w:val="none"/>
        </w:rPr>
        <w:t>应按公式（5）计算。</w:t>
      </w:r>
    </w:p>
    <w:p>
      <w:pPr>
        <w:spacing w:line="240" w:lineRule="auto"/>
        <w:jc w:val="left"/>
        <w:rPr>
          <w:rFonts w:ascii="宋体"/>
          <w:color w:val="auto"/>
          <w:kern w:val="0"/>
          <w:szCs w:val="20"/>
          <w:highlight w:val="none"/>
        </w:rPr>
      </w:pPr>
      <w:r>
        <w:rPr>
          <w:rFonts w:hint="eastAsia" w:ascii="宋体"/>
          <w:color w:val="auto"/>
          <w:kern w:val="0"/>
          <w:szCs w:val="20"/>
          <w:highlight w:val="none"/>
        </w:rPr>
        <w:t>7.3.4  风险发生可能性等级应按表1</w:t>
      </w:r>
      <w:r>
        <w:rPr>
          <w:rFonts w:hint="eastAsia" w:ascii="宋体"/>
          <w:color w:val="auto"/>
          <w:kern w:val="0"/>
          <w:szCs w:val="20"/>
          <w:highlight w:val="none"/>
          <w:lang w:val="en-US" w:eastAsia="zh-CN"/>
        </w:rPr>
        <w:t>2</w:t>
      </w:r>
      <w:r>
        <w:rPr>
          <w:rFonts w:hint="eastAsia" w:ascii="宋体"/>
          <w:color w:val="auto"/>
          <w:kern w:val="0"/>
          <w:szCs w:val="20"/>
          <w:highlight w:val="none"/>
        </w:rPr>
        <w:t>确定，失效后果严重性的等级应按表1</w:t>
      </w:r>
      <w:r>
        <w:rPr>
          <w:rFonts w:hint="eastAsia" w:ascii="宋体"/>
          <w:color w:val="auto"/>
          <w:kern w:val="0"/>
          <w:szCs w:val="20"/>
          <w:highlight w:val="none"/>
          <w:lang w:val="en-US" w:eastAsia="zh-CN"/>
        </w:rPr>
        <w:t>3</w:t>
      </w:r>
      <w:r>
        <w:rPr>
          <w:rFonts w:hint="eastAsia" w:ascii="宋体"/>
          <w:color w:val="auto"/>
          <w:kern w:val="0"/>
          <w:szCs w:val="20"/>
          <w:highlight w:val="none"/>
        </w:rPr>
        <w:t>确定。</w:t>
      </w:r>
    </w:p>
    <w:p>
      <w:pPr>
        <w:spacing w:line="240" w:lineRule="auto"/>
        <w:jc w:val="left"/>
        <w:rPr>
          <w:rFonts w:ascii="宋体"/>
          <w:color w:val="auto"/>
          <w:kern w:val="0"/>
          <w:szCs w:val="20"/>
          <w:highlight w:val="none"/>
        </w:rPr>
      </w:pPr>
      <w:r>
        <w:rPr>
          <w:rFonts w:hint="eastAsia" w:ascii="宋体"/>
          <w:color w:val="auto"/>
          <w:kern w:val="0"/>
          <w:szCs w:val="20"/>
          <w:highlight w:val="none"/>
        </w:rPr>
        <w:t>7.3.5  风险分析等级</w:t>
      </w:r>
      <w:r>
        <w:rPr>
          <w:rFonts w:hint="default" w:ascii="Times New Roman" w:hAnsi="Times New Roman"/>
          <w:color w:val="auto"/>
          <w:kern w:val="0"/>
          <w:szCs w:val="20"/>
          <w:highlight w:val="none"/>
        </w:rPr>
        <w:t>R</w:t>
      </w:r>
      <w:r>
        <w:rPr>
          <w:rFonts w:hint="default" w:ascii="Times New Roman" w:hAnsi="Times New Roman"/>
          <w:color w:val="auto"/>
          <w:kern w:val="0"/>
          <w:szCs w:val="20"/>
          <w:highlight w:val="none"/>
          <w:vertAlign w:val="subscript"/>
        </w:rPr>
        <w:t>1</w:t>
      </w:r>
      <w:r>
        <w:rPr>
          <w:rFonts w:hint="eastAsia" w:ascii="宋体"/>
          <w:color w:val="auto"/>
          <w:kern w:val="0"/>
          <w:szCs w:val="20"/>
          <w:highlight w:val="none"/>
        </w:rPr>
        <w:t>应按表1</w:t>
      </w:r>
      <w:r>
        <w:rPr>
          <w:rFonts w:hint="eastAsia" w:ascii="宋体"/>
          <w:color w:val="auto"/>
          <w:kern w:val="0"/>
          <w:szCs w:val="20"/>
          <w:highlight w:val="none"/>
          <w:lang w:val="en-US" w:eastAsia="zh-CN"/>
        </w:rPr>
        <w:t>4</w:t>
      </w:r>
      <w:r>
        <w:rPr>
          <w:rFonts w:hint="eastAsia" w:ascii="宋体"/>
          <w:color w:val="auto"/>
          <w:kern w:val="0"/>
          <w:szCs w:val="20"/>
          <w:highlight w:val="none"/>
        </w:rPr>
        <w:t>划分，应编制供水地下管线运行安全风险分析图，按照风险等级Ⅰ-Ⅳ级，分别采用红色、橙色、黄色、蓝色表示。</w:t>
      </w:r>
    </w:p>
    <w:p>
      <w:pPr>
        <w:pStyle w:val="109"/>
        <w:spacing w:before="312" w:after="312"/>
        <w:rPr>
          <w:rFonts w:ascii="宋体" w:hAnsi="宋体"/>
          <w:color w:val="auto"/>
          <w:highlight w:val="none"/>
        </w:rPr>
      </w:pPr>
      <w:bookmarkStart w:id="154" w:name="_Toc1125999280"/>
      <w:bookmarkStart w:id="155" w:name="_Toc440160514"/>
      <w:bookmarkStart w:id="156" w:name="_Toc1322434022"/>
      <w:bookmarkStart w:id="157" w:name="_Toc1897838783"/>
      <w:r>
        <w:rPr>
          <w:rFonts w:hint="eastAsia"/>
          <w:color w:val="auto"/>
          <w:highlight w:val="none"/>
        </w:rPr>
        <w:t>专项风险分析</w:t>
      </w:r>
      <w:bookmarkEnd w:id="154"/>
      <w:bookmarkEnd w:id="155"/>
      <w:bookmarkEnd w:id="156"/>
      <w:bookmarkEnd w:id="157"/>
    </w:p>
    <w:bookmarkEnd w:id="19"/>
    <w:p>
      <w:pPr>
        <w:pStyle w:val="237"/>
        <w:numPr>
          <w:ilvl w:val="0"/>
          <w:numId w:val="0"/>
        </w:numPr>
        <w:spacing w:before="156" w:beforeLines="50" w:after="156" w:afterLines="50"/>
        <w:outlineLvl w:val="9"/>
        <w:rPr>
          <w:rFonts w:hAnsi="黑体" w:cs="黑体"/>
          <w:color w:val="auto"/>
          <w:kern w:val="2"/>
          <w:szCs w:val="24"/>
          <w:highlight w:val="none"/>
        </w:rPr>
      </w:pPr>
      <w:bookmarkStart w:id="158" w:name="_Toc21342"/>
      <w:bookmarkStart w:id="159" w:name="BookMark5"/>
      <w:r>
        <w:rPr>
          <w:rFonts w:hint="eastAsia" w:hAnsi="黑体" w:cs="黑体"/>
          <w:color w:val="auto"/>
          <w:kern w:val="2"/>
          <w:szCs w:val="24"/>
          <w:highlight w:val="none"/>
        </w:rPr>
        <w:t>8.1  专项风险分析要求</w:t>
      </w:r>
    </w:p>
    <w:p>
      <w:pPr>
        <w:spacing w:line="240" w:lineRule="auto"/>
        <w:rPr>
          <w:rFonts w:hint="eastAsia" w:ascii="宋体"/>
          <w:color w:val="auto"/>
          <w:kern w:val="0"/>
          <w:szCs w:val="20"/>
          <w:highlight w:val="none"/>
        </w:rPr>
      </w:pPr>
      <w:r>
        <w:rPr>
          <w:rFonts w:hint="eastAsia" w:ascii="宋体"/>
          <w:color w:val="auto"/>
          <w:kern w:val="0"/>
          <w:szCs w:val="20"/>
          <w:highlight w:val="none"/>
        </w:rPr>
        <w:t>8.1.1  专项风险分析</w:t>
      </w:r>
      <w:r>
        <w:rPr>
          <w:rFonts w:hint="eastAsia" w:ascii="宋体"/>
          <w:color w:val="auto"/>
          <w:kern w:val="0"/>
          <w:szCs w:val="20"/>
          <w:highlight w:val="none"/>
          <w:lang w:val="en-US" w:eastAsia="zh-CN"/>
        </w:rPr>
        <w:t>宜</w:t>
      </w:r>
      <w:r>
        <w:rPr>
          <w:rFonts w:hint="eastAsia" w:ascii="宋体"/>
          <w:color w:val="auto"/>
          <w:kern w:val="0"/>
          <w:szCs w:val="20"/>
          <w:highlight w:val="none"/>
        </w:rPr>
        <w:t>采用剩余能力法进行分析。</w:t>
      </w:r>
    </w:p>
    <w:p>
      <w:pPr>
        <w:spacing w:line="240" w:lineRule="auto"/>
        <w:rPr>
          <w:rFonts w:ascii="宋体"/>
          <w:color w:val="auto"/>
          <w:kern w:val="0"/>
          <w:szCs w:val="20"/>
          <w:highlight w:val="none"/>
        </w:rPr>
      </w:pPr>
      <w:r>
        <w:rPr>
          <w:rFonts w:hint="eastAsia" w:ascii="宋体"/>
          <w:color w:val="auto"/>
          <w:kern w:val="0"/>
          <w:szCs w:val="20"/>
          <w:highlight w:val="none"/>
        </w:rPr>
        <w:t>8.1.2  剩余能力法应以供水地下管线工程设计文件、竣工资料、管线检测监测数据和历次改造与维修记录为基本依据。</w:t>
      </w:r>
    </w:p>
    <w:p>
      <w:pPr>
        <w:spacing w:line="240" w:lineRule="auto"/>
        <w:rPr>
          <w:rFonts w:hint="eastAsia" w:ascii="宋体"/>
          <w:color w:val="auto"/>
          <w:kern w:val="0"/>
          <w:szCs w:val="20"/>
          <w:highlight w:val="none"/>
        </w:rPr>
      </w:pPr>
      <w:r>
        <w:rPr>
          <w:rFonts w:hint="eastAsia" w:ascii="宋体"/>
          <w:color w:val="auto"/>
          <w:kern w:val="0"/>
          <w:szCs w:val="20"/>
          <w:highlight w:val="none"/>
        </w:rPr>
        <w:t>8</w:t>
      </w:r>
      <w:r>
        <w:rPr>
          <w:rFonts w:ascii="宋体"/>
          <w:color w:val="auto"/>
          <w:kern w:val="0"/>
          <w:szCs w:val="20"/>
          <w:highlight w:val="none"/>
        </w:rPr>
        <w:t>.1.3  剩余能力</w:t>
      </w:r>
      <w:r>
        <w:rPr>
          <w:rFonts w:hint="eastAsia" w:ascii="宋体"/>
          <w:color w:val="auto"/>
          <w:kern w:val="0"/>
          <w:szCs w:val="20"/>
          <w:highlight w:val="none"/>
          <w:lang w:eastAsia="zh-CN"/>
        </w:rPr>
        <w:t>分析</w:t>
      </w:r>
      <w:r>
        <w:rPr>
          <w:rFonts w:ascii="宋体"/>
          <w:color w:val="auto"/>
          <w:kern w:val="0"/>
          <w:szCs w:val="20"/>
          <w:highlight w:val="none"/>
        </w:rPr>
        <w:t>法应根据</w:t>
      </w:r>
      <w:r>
        <w:rPr>
          <w:rFonts w:hint="eastAsia" w:ascii="宋体"/>
          <w:color w:val="auto"/>
          <w:kern w:val="0"/>
          <w:szCs w:val="20"/>
          <w:highlight w:val="none"/>
          <w:lang w:eastAsia="zh-CN"/>
        </w:rPr>
        <w:t>管线</w:t>
      </w:r>
      <w:r>
        <w:rPr>
          <w:rFonts w:ascii="宋体"/>
          <w:color w:val="auto"/>
          <w:kern w:val="0"/>
          <w:szCs w:val="20"/>
          <w:highlight w:val="none"/>
        </w:rPr>
        <w:t>的结构类型、使用年限</w:t>
      </w:r>
      <w:r>
        <w:rPr>
          <w:rFonts w:hint="eastAsia" w:ascii="宋体"/>
          <w:color w:val="auto"/>
          <w:kern w:val="0"/>
          <w:szCs w:val="20"/>
          <w:highlight w:val="none"/>
          <w:lang w:eastAsia="zh-CN"/>
        </w:rPr>
        <w:t>、</w:t>
      </w:r>
      <w:r>
        <w:rPr>
          <w:rFonts w:ascii="宋体"/>
          <w:color w:val="auto"/>
          <w:kern w:val="0"/>
          <w:szCs w:val="20"/>
          <w:highlight w:val="none"/>
        </w:rPr>
        <w:t>荷载条件和维修记录选择单一指标或多个指标进行</w:t>
      </w:r>
      <w:r>
        <w:rPr>
          <w:rFonts w:hint="eastAsia" w:ascii="宋体"/>
          <w:color w:val="auto"/>
          <w:kern w:val="0"/>
          <w:szCs w:val="20"/>
          <w:highlight w:val="none"/>
          <w:lang w:eastAsia="zh-CN"/>
        </w:rPr>
        <w:t>分析</w:t>
      </w:r>
      <w:r>
        <w:rPr>
          <w:rFonts w:ascii="宋体"/>
          <w:color w:val="auto"/>
          <w:kern w:val="0"/>
          <w:szCs w:val="20"/>
          <w:highlight w:val="none"/>
        </w:rPr>
        <w:t>。</w:t>
      </w:r>
    </w:p>
    <w:p>
      <w:pPr>
        <w:spacing w:line="240" w:lineRule="auto"/>
        <w:rPr>
          <w:rFonts w:ascii="宋体"/>
          <w:color w:val="auto"/>
          <w:kern w:val="0"/>
          <w:szCs w:val="20"/>
          <w:highlight w:val="none"/>
        </w:rPr>
      </w:pPr>
      <w:r>
        <w:rPr>
          <w:rFonts w:hint="eastAsia" w:ascii="宋体"/>
          <w:color w:val="auto"/>
          <w:kern w:val="0"/>
          <w:szCs w:val="20"/>
          <w:highlight w:val="none"/>
        </w:rPr>
        <w:t>8.1.</w:t>
      </w:r>
      <w:r>
        <w:rPr>
          <w:rFonts w:ascii="宋体"/>
          <w:color w:val="auto"/>
          <w:kern w:val="0"/>
          <w:szCs w:val="20"/>
          <w:highlight w:val="none"/>
        </w:rPr>
        <w:t>4</w:t>
      </w:r>
      <w:r>
        <w:rPr>
          <w:rFonts w:hint="eastAsia" w:ascii="宋体"/>
          <w:color w:val="auto"/>
          <w:kern w:val="0"/>
          <w:szCs w:val="20"/>
          <w:highlight w:val="none"/>
        </w:rPr>
        <w:t xml:space="preserve">  实际荷载效应分析应满足以下要求：</w:t>
      </w:r>
    </w:p>
    <w:p>
      <w:pPr>
        <w:spacing w:line="240" w:lineRule="auto"/>
        <w:ind w:firstLine="420" w:firstLineChars="200"/>
        <w:rPr>
          <w:rFonts w:ascii="宋体"/>
          <w:color w:val="auto"/>
          <w:kern w:val="0"/>
          <w:szCs w:val="20"/>
          <w:highlight w:val="none"/>
        </w:rPr>
      </w:pPr>
      <w:r>
        <w:rPr>
          <w:rFonts w:hint="eastAsia" w:ascii="宋体"/>
          <w:color w:val="auto"/>
          <w:kern w:val="0"/>
          <w:szCs w:val="20"/>
          <w:highlight w:val="none"/>
        </w:rPr>
        <w:t>—— 实际荷载效应为包括外部荷载和内部介质压力及其沿线产生不利影响的组合作用效应；</w:t>
      </w:r>
    </w:p>
    <w:p>
      <w:pPr>
        <w:spacing w:line="240" w:lineRule="auto"/>
        <w:ind w:firstLine="420" w:firstLineChars="200"/>
        <w:rPr>
          <w:rFonts w:ascii="宋体"/>
          <w:color w:val="auto"/>
          <w:kern w:val="0"/>
          <w:szCs w:val="20"/>
          <w:highlight w:val="none"/>
        </w:rPr>
      </w:pPr>
      <w:r>
        <w:rPr>
          <w:rFonts w:hint="eastAsia" w:ascii="宋体"/>
          <w:color w:val="auto"/>
          <w:kern w:val="0"/>
          <w:szCs w:val="20"/>
          <w:highlight w:val="none"/>
        </w:rPr>
        <w:t>—— 外部荷载应为</w:t>
      </w:r>
      <w:r>
        <w:rPr>
          <w:rFonts w:hint="eastAsia" w:ascii="宋体"/>
          <w:color w:val="auto"/>
          <w:kern w:val="0"/>
          <w:szCs w:val="20"/>
          <w:highlight w:val="none"/>
          <w:lang w:eastAsia="zh-CN"/>
        </w:rPr>
        <w:t>管线</w:t>
      </w:r>
      <w:r>
        <w:rPr>
          <w:rFonts w:hint="eastAsia" w:ascii="宋体"/>
          <w:color w:val="auto"/>
          <w:kern w:val="0"/>
          <w:szCs w:val="20"/>
          <w:highlight w:val="none"/>
        </w:rPr>
        <w:t>运行时的实际荷载作用；</w:t>
      </w:r>
    </w:p>
    <w:p>
      <w:pPr>
        <w:spacing w:line="240" w:lineRule="auto"/>
        <w:ind w:firstLine="420" w:firstLineChars="200"/>
        <w:rPr>
          <w:rFonts w:ascii="宋体"/>
          <w:color w:val="auto"/>
          <w:kern w:val="0"/>
          <w:szCs w:val="20"/>
          <w:highlight w:val="none"/>
        </w:rPr>
      </w:pPr>
      <w:r>
        <w:rPr>
          <w:rFonts w:hint="eastAsia" w:ascii="宋体"/>
          <w:color w:val="auto"/>
          <w:kern w:val="0"/>
          <w:szCs w:val="20"/>
          <w:highlight w:val="none"/>
        </w:rPr>
        <w:t>—— 内部介质压力应为</w:t>
      </w:r>
      <w:r>
        <w:rPr>
          <w:rFonts w:hint="eastAsia" w:ascii="宋体"/>
          <w:color w:val="auto"/>
          <w:kern w:val="0"/>
          <w:szCs w:val="20"/>
          <w:highlight w:val="none"/>
          <w:lang w:eastAsia="zh-CN"/>
        </w:rPr>
        <w:t>管线</w:t>
      </w:r>
      <w:r>
        <w:rPr>
          <w:rFonts w:hint="eastAsia" w:ascii="宋体"/>
          <w:color w:val="auto"/>
          <w:kern w:val="0"/>
          <w:szCs w:val="20"/>
          <w:highlight w:val="none"/>
        </w:rPr>
        <w:t>运行时的实际压力；</w:t>
      </w:r>
    </w:p>
    <w:p>
      <w:pPr>
        <w:spacing w:line="240" w:lineRule="auto"/>
        <w:ind w:firstLine="420" w:firstLineChars="200"/>
        <w:rPr>
          <w:rFonts w:ascii="宋体"/>
          <w:color w:val="auto"/>
          <w:kern w:val="0"/>
          <w:szCs w:val="20"/>
          <w:highlight w:val="none"/>
        </w:rPr>
      </w:pPr>
      <w:r>
        <w:rPr>
          <w:rFonts w:hint="eastAsia" w:ascii="宋体"/>
          <w:color w:val="auto"/>
          <w:kern w:val="0"/>
          <w:szCs w:val="20"/>
          <w:highlight w:val="none"/>
        </w:rPr>
        <w:t>—— 沿线产生的不利影响因素应包括实际流速、沿线环境腐蚀性增加、新建临近地下工程和管线、临近基坑支护等；</w:t>
      </w:r>
    </w:p>
    <w:p>
      <w:pPr>
        <w:spacing w:line="240" w:lineRule="auto"/>
        <w:ind w:firstLine="420" w:firstLineChars="200"/>
        <w:rPr>
          <w:rFonts w:ascii="宋体"/>
          <w:color w:val="auto"/>
          <w:kern w:val="0"/>
          <w:szCs w:val="20"/>
          <w:highlight w:val="none"/>
        </w:rPr>
      </w:pPr>
      <w:bookmarkStart w:id="160" w:name="OLE_LINK9"/>
      <w:r>
        <w:rPr>
          <w:rFonts w:hint="eastAsia" w:ascii="宋体"/>
          <w:color w:val="auto"/>
          <w:kern w:val="0"/>
          <w:szCs w:val="20"/>
          <w:highlight w:val="none"/>
        </w:rPr>
        <w:t>——</w:t>
      </w:r>
      <w:bookmarkEnd w:id="160"/>
      <w:r>
        <w:rPr>
          <w:rFonts w:hint="eastAsia" w:ascii="宋体"/>
          <w:color w:val="auto"/>
          <w:kern w:val="0"/>
          <w:szCs w:val="20"/>
          <w:highlight w:val="none"/>
        </w:rPr>
        <w:t xml:space="preserve"> </w:t>
      </w:r>
      <w:r>
        <w:rPr>
          <w:rFonts w:hint="eastAsia" w:ascii="宋体"/>
          <w:color w:val="auto"/>
          <w:kern w:val="0"/>
          <w:szCs w:val="20"/>
          <w:highlight w:val="none"/>
          <w:lang w:eastAsia="zh-CN"/>
        </w:rPr>
        <w:t>管线</w:t>
      </w:r>
      <w:r>
        <w:rPr>
          <w:rFonts w:hint="eastAsia" w:ascii="宋体"/>
          <w:color w:val="auto"/>
          <w:kern w:val="0"/>
          <w:szCs w:val="20"/>
          <w:highlight w:val="none"/>
        </w:rPr>
        <w:t>的风险</w:t>
      </w:r>
      <w:r>
        <w:rPr>
          <w:rFonts w:hint="eastAsia" w:ascii="宋体"/>
          <w:color w:val="auto"/>
          <w:kern w:val="0"/>
          <w:szCs w:val="20"/>
          <w:highlight w:val="none"/>
          <w:lang w:eastAsia="zh-CN"/>
        </w:rPr>
        <w:t>分析</w:t>
      </w:r>
      <w:r>
        <w:rPr>
          <w:rFonts w:hint="eastAsia" w:ascii="宋体"/>
          <w:color w:val="auto"/>
          <w:kern w:val="0"/>
          <w:szCs w:val="20"/>
          <w:highlight w:val="none"/>
        </w:rPr>
        <w:t>重要性系数宜取相应</w:t>
      </w:r>
      <w:r>
        <w:rPr>
          <w:rFonts w:hint="eastAsia" w:ascii="宋体"/>
          <w:color w:val="auto"/>
          <w:kern w:val="0"/>
          <w:szCs w:val="20"/>
          <w:highlight w:val="none"/>
          <w:lang w:eastAsia="zh-CN"/>
        </w:rPr>
        <w:t>管线</w:t>
      </w:r>
      <w:r>
        <w:rPr>
          <w:rFonts w:hint="eastAsia" w:ascii="宋体"/>
          <w:color w:val="auto"/>
          <w:kern w:val="0"/>
          <w:szCs w:val="20"/>
          <w:highlight w:val="none"/>
        </w:rPr>
        <w:t>标准规定的结构重要性系数，有实际经验时可与委托单位根据具体情况共同确定。</w:t>
      </w:r>
    </w:p>
    <w:p>
      <w:pPr>
        <w:spacing w:line="240" w:lineRule="auto"/>
        <w:rPr>
          <w:rFonts w:hint="eastAsia" w:ascii="宋体"/>
          <w:color w:val="auto"/>
          <w:kern w:val="0"/>
          <w:szCs w:val="20"/>
          <w:highlight w:val="none"/>
        </w:rPr>
      </w:pPr>
      <w:r>
        <w:rPr>
          <w:rFonts w:hint="eastAsia" w:ascii="宋体"/>
          <w:color w:val="auto"/>
          <w:kern w:val="0"/>
          <w:szCs w:val="20"/>
          <w:highlight w:val="none"/>
        </w:rPr>
        <w:t>8</w:t>
      </w:r>
      <w:r>
        <w:rPr>
          <w:rFonts w:ascii="宋体"/>
          <w:color w:val="auto"/>
          <w:kern w:val="0"/>
          <w:szCs w:val="20"/>
          <w:highlight w:val="none"/>
        </w:rPr>
        <w:t>.1.</w:t>
      </w:r>
      <w:r>
        <w:rPr>
          <w:rFonts w:hint="eastAsia" w:ascii="宋体"/>
          <w:color w:val="auto"/>
          <w:kern w:val="0"/>
          <w:szCs w:val="20"/>
          <w:highlight w:val="none"/>
          <w:lang w:val="en-US" w:eastAsia="zh-CN"/>
        </w:rPr>
        <w:t>5</w:t>
      </w:r>
      <w:r>
        <w:rPr>
          <w:rFonts w:ascii="宋体"/>
          <w:color w:val="auto"/>
          <w:kern w:val="0"/>
          <w:szCs w:val="20"/>
          <w:highlight w:val="none"/>
        </w:rPr>
        <w:t xml:space="preserve">  </w:t>
      </w:r>
      <w:r>
        <w:rPr>
          <w:rFonts w:hint="eastAsia" w:ascii="宋体"/>
          <w:color w:val="auto"/>
          <w:kern w:val="0"/>
          <w:szCs w:val="20"/>
          <w:highlight w:val="none"/>
          <w:lang w:eastAsia="zh-CN"/>
        </w:rPr>
        <w:t>管线</w:t>
      </w:r>
      <w:r>
        <w:rPr>
          <w:rFonts w:ascii="宋体"/>
          <w:color w:val="auto"/>
          <w:kern w:val="0"/>
          <w:szCs w:val="20"/>
          <w:highlight w:val="none"/>
        </w:rPr>
        <w:t>的实际效应和剩余能力计算时，</w:t>
      </w:r>
      <w:r>
        <w:rPr>
          <w:rFonts w:hint="eastAsia" w:ascii="宋体"/>
          <w:color w:val="auto"/>
          <w:kern w:val="0"/>
          <w:szCs w:val="20"/>
          <w:highlight w:val="none"/>
        </w:rPr>
        <w:t>对于特殊工况和非标准的管件，应采用有限元等数值模拟计算的方式。</w:t>
      </w:r>
    </w:p>
    <w:p>
      <w:pPr>
        <w:spacing w:line="240" w:lineRule="auto"/>
        <w:rPr>
          <w:rFonts w:hint="eastAsia" w:ascii="宋体"/>
          <w:color w:val="auto"/>
          <w:kern w:val="0"/>
          <w:szCs w:val="20"/>
          <w:highlight w:val="none"/>
        </w:rPr>
      </w:pPr>
      <w:r>
        <w:rPr>
          <w:rFonts w:ascii="宋体"/>
          <w:color w:val="auto"/>
          <w:kern w:val="0"/>
          <w:szCs w:val="20"/>
          <w:highlight w:val="none"/>
        </w:rPr>
        <w:t>8.1.</w:t>
      </w:r>
      <w:r>
        <w:rPr>
          <w:rFonts w:hint="eastAsia" w:ascii="宋体"/>
          <w:color w:val="auto"/>
          <w:kern w:val="0"/>
          <w:szCs w:val="20"/>
          <w:highlight w:val="none"/>
          <w:lang w:val="en-US" w:eastAsia="zh-CN"/>
        </w:rPr>
        <w:t>6</w:t>
      </w:r>
      <w:r>
        <w:rPr>
          <w:rFonts w:ascii="宋体"/>
          <w:color w:val="auto"/>
          <w:kern w:val="0"/>
          <w:szCs w:val="20"/>
          <w:highlight w:val="none"/>
        </w:rPr>
        <w:t xml:space="preserve">  </w:t>
      </w:r>
      <w:r>
        <w:rPr>
          <w:rFonts w:hint="eastAsia" w:ascii="宋体"/>
          <w:color w:val="auto"/>
          <w:kern w:val="0"/>
          <w:szCs w:val="20"/>
          <w:highlight w:val="none"/>
          <w:lang w:eastAsia="zh-CN"/>
        </w:rPr>
        <w:t>管线</w:t>
      </w:r>
      <w:r>
        <w:rPr>
          <w:rFonts w:hint="eastAsia" w:ascii="宋体"/>
          <w:color w:val="auto"/>
          <w:kern w:val="0"/>
          <w:szCs w:val="20"/>
          <w:highlight w:val="none"/>
        </w:rPr>
        <w:t>的纵向承载能力或变形能力应进行抗震验算，计算的方法应符合GB</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50032的有关规定。</w:t>
      </w:r>
    </w:p>
    <w:p>
      <w:pPr>
        <w:pStyle w:val="237"/>
        <w:numPr>
          <w:ilvl w:val="0"/>
          <w:numId w:val="0"/>
        </w:numPr>
        <w:spacing w:before="156" w:beforeLines="50" w:after="156" w:afterLines="50"/>
        <w:outlineLvl w:val="9"/>
        <w:rPr>
          <w:rFonts w:hAnsi="黑体" w:cs="黑体"/>
          <w:color w:val="auto"/>
          <w:kern w:val="2"/>
          <w:szCs w:val="24"/>
          <w:highlight w:val="none"/>
        </w:rPr>
      </w:pPr>
      <w:r>
        <w:rPr>
          <w:rFonts w:hint="eastAsia" w:hAnsi="黑体" w:cs="黑体"/>
          <w:color w:val="auto"/>
          <w:kern w:val="2"/>
          <w:szCs w:val="24"/>
          <w:highlight w:val="none"/>
        </w:rPr>
        <w:t>8.2  专项风险分析等级判定</w:t>
      </w:r>
    </w:p>
    <w:p>
      <w:pPr>
        <w:spacing w:line="240" w:lineRule="auto"/>
        <w:rPr>
          <w:rFonts w:ascii="宋体"/>
          <w:color w:val="auto"/>
          <w:kern w:val="0"/>
          <w:szCs w:val="20"/>
          <w:highlight w:val="none"/>
        </w:rPr>
      </w:pPr>
      <w:r>
        <w:rPr>
          <w:rFonts w:hint="eastAsia" w:ascii="宋体"/>
          <w:color w:val="auto"/>
          <w:kern w:val="0"/>
          <w:szCs w:val="20"/>
          <w:highlight w:val="none"/>
        </w:rPr>
        <w:t>8.2.1  风险分析等级R</w:t>
      </w:r>
      <w:r>
        <w:rPr>
          <w:rFonts w:hint="eastAsia" w:ascii="宋体"/>
          <w:color w:val="auto"/>
          <w:kern w:val="0"/>
          <w:szCs w:val="20"/>
          <w:highlight w:val="none"/>
          <w:vertAlign w:val="subscript"/>
        </w:rPr>
        <w:t>2</w:t>
      </w:r>
      <w:r>
        <w:rPr>
          <w:rFonts w:hint="eastAsia" w:ascii="宋体"/>
          <w:color w:val="auto"/>
          <w:kern w:val="0"/>
          <w:szCs w:val="20"/>
          <w:highlight w:val="none"/>
        </w:rPr>
        <w:t>根据剩余承载能力风险分析值或剩余变形能力风险分析值，结合管径，按表2</w:t>
      </w:r>
      <w:r>
        <w:rPr>
          <w:rFonts w:hint="eastAsia" w:ascii="宋体"/>
          <w:color w:val="auto"/>
          <w:kern w:val="0"/>
          <w:szCs w:val="20"/>
          <w:highlight w:val="none"/>
          <w:lang w:val="en-US" w:eastAsia="zh-CN"/>
        </w:rPr>
        <w:t>3</w:t>
      </w:r>
      <w:r>
        <w:rPr>
          <w:rFonts w:hint="eastAsia" w:ascii="宋体"/>
          <w:color w:val="auto"/>
          <w:kern w:val="0"/>
          <w:szCs w:val="20"/>
          <w:highlight w:val="none"/>
        </w:rPr>
        <w:t>将风险等级划分为四级，分别为：重大风险（I级）、较大风险（Ⅱ级）、一般风险（Ⅲ级）、低风险（Ⅳ级）。</w:t>
      </w:r>
    </w:p>
    <w:p>
      <w:pPr>
        <w:pStyle w:val="235"/>
        <w:spacing w:before="156" w:beforeLines="50" w:after="156" w:afterLines="50"/>
        <w:jc w:val="center"/>
        <w:rPr>
          <w:rFonts w:ascii="黑体" w:hAnsi="黑体" w:eastAsia="黑体" w:cs="黑体"/>
          <w:color w:val="auto"/>
          <w:highlight w:val="none"/>
        </w:rPr>
      </w:pPr>
      <w:r>
        <w:rPr>
          <w:rFonts w:hint="eastAsia" w:ascii="黑体" w:hAnsi="黑体" w:eastAsia="黑体" w:cs="黑体"/>
          <w:color w:val="auto"/>
          <w:highlight w:val="none"/>
        </w:rPr>
        <w:t>表2</w:t>
      </w:r>
      <w:r>
        <w:rPr>
          <w:rFonts w:hint="eastAsia" w:ascii="黑体" w:hAnsi="黑体" w:eastAsia="黑体" w:cs="黑体"/>
          <w:color w:val="auto"/>
          <w:highlight w:val="none"/>
          <w:lang w:val="en-US" w:eastAsia="zh-CN"/>
        </w:rPr>
        <w:t>3</w:t>
      </w:r>
      <w:r>
        <w:rPr>
          <w:rFonts w:hint="eastAsia" w:ascii="黑体" w:hAnsi="黑体" w:eastAsia="黑体" w:cs="黑体"/>
          <w:color w:val="auto"/>
          <w:highlight w:val="none"/>
        </w:rPr>
        <w:t xml:space="preserve"> 供水地下管线安全风险分析等级</w:t>
      </w:r>
    </w:p>
    <w:tbl>
      <w:tblPr>
        <w:tblStyle w:val="31"/>
        <w:tblW w:w="8025"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Layout w:type="autofit"/>
        <w:tblCellMar>
          <w:top w:w="0" w:type="dxa"/>
          <w:left w:w="108" w:type="dxa"/>
          <w:bottom w:w="0" w:type="dxa"/>
          <w:right w:w="108" w:type="dxa"/>
        </w:tblCellMar>
      </w:tblPr>
      <w:tblGrid>
        <w:gridCol w:w="1571"/>
        <w:gridCol w:w="1319"/>
        <w:gridCol w:w="1878"/>
        <w:gridCol w:w="1878"/>
        <w:gridCol w:w="1379"/>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571" w:type="dxa"/>
            <w:vMerge w:val="restart"/>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管径（mm）</w:t>
            </w:r>
          </w:p>
        </w:tc>
        <w:tc>
          <w:tcPr>
            <w:tcW w:w="6454" w:type="dxa"/>
            <w:gridSpan w:val="4"/>
            <w:tcBorders>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风险分析等级R</w:t>
            </w:r>
            <w:r>
              <w:rPr>
                <w:rFonts w:hint="eastAsia" w:ascii="宋体" w:hAnsi="宋体" w:cs="宋体"/>
                <w:color w:val="auto"/>
                <w:sz w:val="18"/>
                <w:szCs w:val="18"/>
                <w:highlight w:val="none"/>
                <w:vertAlign w:val="subscript"/>
              </w:rPr>
              <w:t>2</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571" w:type="dxa"/>
            <w:vMerge w:val="continue"/>
            <w:tcBorders>
              <w:top w:val="single" w:color="000000" w:sz="12" w:space="0"/>
              <w:bottom w:val="single" w:color="000000" w:sz="12" w:space="0"/>
            </w:tcBorders>
            <w:vAlign w:val="center"/>
          </w:tcPr>
          <w:p>
            <w:pPr>
              <w:pStyle w:val="245"/>
              <w:rPr>
                <w:rFonts w:ascii="宋体" w:hAnsi="宋体" w:cs="宋体"/>
                <w:color w:val="auto"/>
                <w:sz w:val="18"/>
                <w:szCs w:val="18"/>
                <w:highlight w:val="none"/>
              </w:rPr>
            </w:pPr>
          </w:p>
        </w:tc>
        <w:tc>
          <w:tcPr>
            <w:tcW w:w="1319" w:type="dxa"/>
            <w:tcBorders>
              <w:top w:val="single" w:color="000000" w:sz="12" w:space="0"/>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I级</w:t>
            </w:r>
          </w:p>
        </w:tc>
        <w:tc>
          <w:tcPr>
            <w:tcW w:w="1878" w:type="dxa"/>
            <w:tcBorders>
              <w:top w:val="single" w:color="000000" w:sz="12" w:space="0"/>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Ⅱ级</w:t>
            </w:r>
          </w:p>
        </w:tc>
        <w:tc>
          <w:tcPr>
            <w:tcW w:w="1878" w:type="dxa"/>
            <w:tcBorders>
              <w:top w:val="single" w:color="000000" w:sz="12" w:space="0"/>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Ⅲ级</w:t>
            </w:r>
          </w:p>
        </w:tc>
        <w:tc>
          <w:tcPr>
            <w:tcW w:w="1379" w:type="dxa"/>
            <w:tcBorders>
              <w:top w:val="single" w:color="000000" w:sz="12" w:space="0"/>
              <w:bottom w:val="single" w:color="000000" w:sz="12" w:space="0"/>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Ⅳ级</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571"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1000≤管径</w:t>
            </w:r>
          </w:p>
        </w:tc>
        <w:tc>
          <w:tcPr>
            <w:tcW w:w="1319"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＜0.94</w:t>
            </w:r>
          </w:p>
        </w:tc>
        <w:tc>
          <w:tcPr>
            <w:tcW w:w="1878"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0.94≤</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＜0.96</w:t>
            </w:r>
          </w:p>
        </w:tc>
        <w:tc>
          <w:tcPr>
            <w:tcW w:w="1878"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0.96≤</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＜0.98</w:t>
            </w:r>
          </w:p>
        </w:tc>
        <w:tc>
          <w:tcPr>
            <w:tcW w:w="1379" w:type="dxa"/>
            <w:tcBorders>
              <w:top w:val="single" w:color="000000" w:sz="12" w:space="0"/>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≥0.98</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PrEx>
        <w:trPr>
          <w:trHeight w:val="454" w:hRule="exact"/>
          <w:jc w:val="center"/>
        </w:trPr>
        <w:tc>
          <w:tcPr>
            <w:tcW w:w="1571"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600≤管径＜1000</w:t>
            </w:r>
          </w:p>
        </w:tc>
        <w:tc>
          <w:tcPr>
            <w:tcW w:w="1319"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＜0.91</w:t>
            </w:r>
          </w:p>
        </w:tc>
        <w:tc>
          <w:tcPr>
            <w:tcW w:w="1878"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0.91≤</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＜0.94</w:t>
            </w:r>
          </w:p>
        </w:tc>
        <w:tc>
          <w:tcPr>
            <w:tcW w:w="1878"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0.94≤</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＜0.97</w:t>
            </w:r>
          </w:p>
        </w:tc>
        <w:tc>
          <w:tcPr>
            <w:tcW w:w="1379"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≥0.97</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4" w:space="0"/>
          </w:tblBorders>
          <w:tblCellMar>
            <w:top w:w="0" w:type="dxa"/>
            <w:left w:w="108" w:type="dxa"/>
            <w:bottom w:w="0" w:type="dxa"/>
            <w:right w:w="108" w:type="dxa"/>
          </w:tblCellMar>
        </w:tblPrEx>
        <w:trPr>
          <w:trHeight w:val="454" w:hRule="exact"/>
          <w:jc w:val="center"/>
        </w:trPr>
        <w:tc>
          <w:tcPr>
            <w:tcW w:w="1571"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2</w:t>
            </w:r>
            <w:r>
              <w:rPr>
                <w:rFonts w:hint="eastAsia" w:ascii="宋体" w:hAnsi="宋体" w:cs="宋体"/>
                <w:color w:val="auto"/>
                <w:sz w:val="18"/>
                <w:szCs w:val="18"/>
                <w:highlight w:val="none"/>
              </w:rPr>
              <w:t>00≤管径＜600</w:t>
            </w:r>
          </w:p>
        </w:tc>
        <w:tc>
          <w:tcPr>
            <w:tcW w:w="1319"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＜0.88</w:t>
            </w:r>
          </w:p>
        </w:tc>
        <w:tc>
          <w:tcPr>
            <w:tcW w:w="1878"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0.88≤</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＜0.92</w:t>
            </w:r>
          </w:p>
        </w:tc>
        <w:tc>
          <w:tcPr>
            <w:tcW w:w="1878"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color w:val="auto"/>
                <w:sz w:val="18"/>
                <w:szCs w:val="18"/>
                <w:highlight w:val="none"/>
              </w:rPr>
              <w:t>0.92≤</w:t>
            </w: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＜0.96</w:t>
            </w:r>
          </w:p>
        </w:tc>
        <w:tc>
          <w:tcPr>
            <w:tcW w:w="1379" w:type="dxa"/>
            <w:tcBorders>
              <w:tl2br w:val="nil"/>
              <w:tr2bl w:val="nil"/>
            </w:tcBorders>
            <w:vAlign w:val="center"/>
          </w:tcPr>
          <w:p>
            <w:pPr>
              <w:pStyle w:val="245"/>
              <w:rPr>
                <w:rFonts w:ascii="宋体" w:hAnsi="宋体" w:cs="宋体"/>
                <w:color w:val="auto"/>
                <w:sz w:val="18"/>
                <w:szCs w:val="18"/>
                <w:highlight w:val="none"/>
              </w:rPr>
            </w:pPr>
            <w:r>
              <w:rPr>
                <w:rFonts w:hint="eastAsia" w:ascii="宋体" w:hAnsi="宋体" w:cs="宋体"/>
                <w:i/>
                <w:color w:val="auto"/>
                <w:sz w:val="18"/>
                <w:szCs w:val="18"/>
                <w:highlight w:val="none"/>
              </w:rPr>
              <w:t>R</w:t>
            </w:r>
            <w:r>
              <w:rPr>
                <w:rFonts w:hint="eastAsia" w:ascii="宋体" w:hAnsi="宋体" w:cs="宋体"/>
                <w:i/>
                <w:color w:val="auto"/>
                <w:sz w:val="18"/>
                <w:szCs w:val="18"/>
                <w:highlight w:val="none"/>
                <w:vertAlign w:val="subscript"/>
              </w:rPr>
              <w:t>f</w:t>
            </w:r>
            <w:r>
              <w:rPr>
                <w:rFonts w:hint="eastAsia" w:ascii="宋体" w:hAnsi="宋体" w:cs="宋体"/>
                <w:iCs/>
                <w:color w:val="auto"/>
                <w:sz w:val="18"/>
                <w:szCs w:val="18"/>
                <w:highlight w:val="none"/>
              </w:rPr>
              <w:t>（</w:t>
            </w:r>
            <w:r>
              <w:rPr>
                <w:rFonts w:hint="eastAsia" w:ascii="宋体" w:hAnsi="宋体" w:cs="宋体"/>
                <w:i/>
                <w:color w:val="auto"/>
                <w:sz w:val="18"/>
                <w:szCs w:val="18"/>
                <w:highlight w:val="none"/>
              </w:rPr>
              <w:t>R</w:t>
            </w:r>
            <w:r>
              <w:rPr>
                <w:rFonts w:hint="eastAsia" w:ascii="宋体" w:hAnsi="宋体" w:cs="宋体"/>
                <w:iCs/>
                <w:color w:val="auto"/>
                <w:sz w:val="18"/>
                <w:szCs w:val="18"/>
                <w:highlight w:val="none"/>
                <w:vertAlign w:val="subscript"/>
              </w:rPr>
              <w:t>△</w:t>
            </w:r>
            <w:r>
              <w:rPr>
                <w:rFonts w:hint="eastAsia" w:ascii="宋体" w:hAnsi="宋体" w:cs="宋体"/>
                <w:iCs/>
                <w:color w:val="auto"/>
                <w:sz w:val="18"/>
                <w:szCs w:val="18"/>
                <w:highlight w:val="none"/>
              </w:rPr>
              <w:t>）</w:t>
            </w:r>
            <w:r>
              <w:rPr>
                <w:rFonts w:hint="eastAsia" w:ascii="宋体" w:hAnsi="宋体" w:cs="宋体"/>
                <w:color w:val="auto"/>
                <w:sz w:val="18"/>
                <w:szCs w:val="18"/>
                <w:highlight w:val="none"/>
              </w:rPr>
              <w:t>≥0.96</w:t>
            </w:r>
          </w:p>
        </w:tc>
      </w:tr>
    </w:tbl>
    <w:p>
      <w:pPr>
        <w:spacing w:line="240" w:lineRule="auto"/>
        <w:rPr>
          <w:rFonts w:ascii="宋体"/>
          <w:color w:val="auto"/>
          <w:kern w:val="0"/>
          <w:szCs w:val="20"/>
          <w:highlight w:val="none"/>
        </w:rPr>
      </w:pPr>
      <w:r>
        <w:rPr>
          <w:rFonts w:hint="eastAsia" w:ascii="宋体"/>
          <w:color w:val="auto"/>
          <w:kern w:val="0"/>
          <w:szCs w:val="20"/>
          <w:highlight w:val="none"/>
        </w:rPr>
        <w:t>8.2.2  应编制供水地下管线运行安全风险分析图，按照风险等级</w:t>
      </w:r>
      <w:r>
        <w:rPr>
          <w:rFonts w:hint="eastAsia" w:ascii="宋体" w:hAnsi="宋体" w:cs="宋体"/>
          <w:color w:val="auto"/>
          <w:kern w:val="0"/>
          <w:szCs w:val="20"/>
          <w:highlight w:val="none"/>
        </w:rPr>
        <w:t>Ⅰ</w:t>
      </w:r>
      <w:r>
        <w:rPr>
          <w:rFonts w:hint="eastAsia" w:ascii="宋体"/>
          <w:color w:val="auto"/>
          <w:kern w:val="0"/>
          <w:szCs w:val="20"/>
          <w:highlight w:val="none"/>
        </w:rPr>
        <w:t>-</w:t>
      </w:r>
      <w:r>
        <w:rPr>
          <w:rFonts w:hint="eastAsia" w:ascii="宋体" w:hAnsi="宋体" w:cs="宋体"/>
          <w:color w:val="auto"/>
          <w:kern w:val="0"/>
          <w:szCs w:val="20"/>
          <w:highlight w:val="none"/>
        </w:rPr>
        <w:t>Ⅳ</w:t>
      </w:r>
      <w:r>
        <w:rPr>
          <w:rFonts w:hint="eastAsia" w:ascii="宋体"/>
          <w:color w:val="auto"/>
          <w:kern w:val="0"/>
          <w:szCs w:val="20"/>
          <w:highlight w:val="none"/>
        </w:rPr>
        <w:t>级，分别采用红色、橙色、黄色、蓝色表示。</w:t>
      </w:r>
    </w:p>
    <w:p>
      <w:pPr>
        <w:pStyle w:val="109"/>
        <w:spacing w:before="312" w:after="312"/>
        <w:rPr>
          <w:color w:val="auto"/>
          <w:highlight w:val="none"/>
        </w:rPr>
      </w:pPr>
      <w:bookmarkStart w:id="161" w:name="_Toc28158"/>
      <w:bookmarkStart w:id="162" w:name="_Toc856238588"/>
      <w:bookmarkStart w:id="163" w:name="_Toc410975091"/>
      <w:bookmarkStart w:id="164" w:name="_Toc289839135"/>
      <w:bookmarkStart w:id="165" w:name="_Toc1683321196"/>
      <w:r>
        <w:rPr>
          <w:rFonts w:hint="eastAsia"/>
          <w:color w:val="auto"/>
          <w:highlight w:val="none"/>
        </w:rPr>
        <w:fldChar w:fldCharType="begin"/>
      </w:r>
      <w:r>
        <w:rPr>
          <w:rFonts w:hint="eastAsia"/>
          <w:color w:val="auto"/>
          <w:highlight w:val="none"/>
        </w:rPr>
        <w:instrText xml:space="preserve"> HYPERLINK \l "_Toc108349666" </w:instrText>
      </w:r>
      <w:r>
        <w:rPr>
          <w:rFonts w:hint="eastAsia"/>
          <w:color w:val="auto"/>
          <w:highlight w:val="none"/>
        </w:rPr>
        <w:fldChar w:fldCharType="separate"/>
      </w:r>
      <w:r>
        <w:rPr>
          <w:rFonts w:hint="eastAsia"/>
          <w:color w:val="auto"/>
          <w:highlight w:val="none"/>
        </w:rPr>
        <w:t>风险</w:t>
      </w:r>
      <w:r>
        <w:rPr>
          <w:rFonts w:hint="eastAsia"/>
          <w:color w:val="auto"/>
          <w:highlight w:val="none"/>
        </w:rPr>
        <w:fldChar w:fldCharType="end"/>
      </w:r>
      <w:r>
        <w:rPr>
          <w:rFonts w:hint="eastAsia"/>
          <w:color w:val="auto"/>
          <w:highlight w:val="none"/>
        </w:rPr>
        <w:t>控制</w:t>
      </w:r>
      <w:bookmarkEnd w:id="161"/>
      <w:bookmarkEnd w:id="162"/>
      <w:bookmarkEnd w:id="163"/>
      <w:bookmarkEnd w:id="164"/>
      <w:bookmarkEnd w:id="165"/>
    </w:p>
    <w:p>
      <w:pPr>
        <w:pStyle w:val="237"/>
        <w:numPr>
          <w:ilvl w:val="0"/>
          <w:numId w:val="0"/>
        </w:numPr>
        <w:spacing w:before="156" w:beforeLines="50" w:after="156" w:afterLines="50"/>
        <w:outlineLvl w:val="9"/>
        <w:rPr>
          <w:rFonts w:hint="eastAsia" w:hAnsi="黑体" w:eastAsia="黑体" w:cs="黑体"/>
          <w:color w:val="auto"/>
          <w:kern w:val="2"/>
          <w:szCs w:val="24"/>
          <w:highlight w:val="none"/>
          <w:lang w:val="en-US" w:eastAsia="zh-CN"/>
        </w:rPr>
      </w:pPr>
      <w:r>
        <w:rPr>
          <w:rFonts w:hint="eastAsia" w:hAnsi="黑体" w:cs="黑体"/>
          <w:color w:val="auto"/>
          <w:kern w:val="2"/>
          <w:szCs w:val="24"/>
          <w:highlight w:val="none"/>
        </w:rPr>
        <w:t xml:space="preserve">9.1  </w:t>
      </w:r>
      <w:r>
        <w:rPr>
          <w:rFonts w:hint="eastAsia" w:hAnsi="黑体" w:cs="黑体"/>
          <w:color w:val="auto"/>
          <w:kern w:val="2"/>
          <w:szCs w:val="24"/>
          <w:highlight w:val="none"/>
          <w:lang w:val="en-US" w:eastAsia="zh-CN"/>
        </w:rPr>
        <w:t>基本要求</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9.1.1  城镇供水地下管线分级管理应遵循以下原则：</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 保障供水安全和公众生命财产安全；</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 依据管线重要性和风险等级实施差异化管控；</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 聚焦高风险、隐患突出的管段，实施优先治理；</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 根据管网运行状态和环境变化定期复核分级，实现从排查到销号的闭环管理；</w:t>
      </w:r>
    </w:p>
    <w:p>
      <w:pPr>
        <w:keepNext w:val="0"/>
        <w:keepLines w:val="0"/>
        <w:pageBreakBefore w:val="0"/>
        <w:widowControl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 运用地理信息系统、分区计量和物联网监测等数字化手段，提升分级管理的精准性与效能。</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9.1.2  供水管网运行管理单位应建立管线风险等级台账，并纳入现有供水管网信息化管理系统，实施动态更新。</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s="Times New Roman"/>
          <w:color w:val="auto"/>
          <w:kern w:val="0"/>
          <w:szCs w:val="20"/>
          <w:highlight w:val="none"/>
          <w:lang w:eastAsia="zh-CN"/>
        </w:rPr>
      </w:pPr>
      <w:r>
        <w:rPr>
          <w:rFonts w:hint="eastAsia" w:ascii="宋体" w:cs="Times New Roman"/>
          <w:color w:val="auto"/>
          <w:kern w:val="0"/>
          <w:szCs w:val="20"/>
          <w:highlight w:val="none"/>
          <w:lang w:val="en-US" w:eastAsia="zh-CN"/>
        </w:rPr>
        <w:t>9.1.3  根据风险分析结果，供水管网运行管理单位应制定年度维修、更新改造计划和相应的管理措施。供水管网运行管理应按照</w:t>
      </w:r>
      <w:r>
        <w:rPr>
          <w:rFonts w:hint="eastAsia" w:ascii="宋体" w:cs="Times New Roman"/>
          <w:color w:val="auto"/>
          <w:kern w:val="0"/>
          <w:szCs w:val="20"/>
          <w:highlight w:val="none"/>
        </w:rPr>
        <w:t>CJJ 207要求</w:t>
      </w:r>
      <w:r>
        <w:rPr>
          <w:rFonts w:hint="eastAsia" w:ascii="宋体" w:cs="Times New Roman"/>
          <w:color w:val="auto"/>
          <w:kern w:val="0"/>
          <w:szCs w:val="20"/>
          <w:highlight w:val="none"/>
          <w:lang w:eastAsia="zh-CN"/>
        </w:rPr>
        <w:t>执行。</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default"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9.1.4  供水地下管线更新改造应与“道路新建、大修工程”同步实施，</w:t>
      </w:r>
      <w:r>
        <w:rPr>
          <w:rFonts w:hint="eastAsia" w:ascii="宋体"/>
          <w:color w:val="auto"/>
          <w:kern w:val="0"/>
          <w:szCs w:val="20"/>
          <w:highlight w:val="none"/>
        </w:rPr>
        <w:t>供水管网运行管理单位</w:t>
      </w:r>
      <w:r>
        <w:rPr>
          <w:rFonts w:hint="eastAsia" w:ascii="宋体" w:cs="Times New Roman"/>
          <w:color w:val="auto"/>
          <w:kern w:val="0"/>
          <w:szCs w:val="20"/>
          <w:highlight w:val="none"/>
          <w:lang w:val="en-US" w:eastAsia="zh-CN"/>
        </w:rPr>
        <w:t>应依据道路工程实施进度，倒排工期，确保供水管线改造与道路主体工程同步设计、同步施工、同步投入使用。</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9.1.5  供水管网运行管理单位应按照</w:t>
      </w:r>
      <w:r>
        <w:rPr>
          <w:rFonts w:hint="eastAsia" w:ascii="宋体" w:cs="Times New Roman"/>
          <w:color w:val="auto"/>
          <w:kern w:val="0"/>
          <w:szCs w:val="20"/>
          <w:highlight w:val="none"/>
        </w:rPr>
        <w:t>CJJ 207要求</w:t>
      </w:r>
      <w:r>
        <w:rPr>
          <w:rFonts w:hint="eastAsia" w:ascii="宋体" w:cs="Times New Roman"/>
          <w:color w:val="auto"/>
          <w:kern w:val="0"/>
          <w:szCs w:val="20"/>
          <w:highlight w:val="none"/>
          <w:lang w:val="en-US" w:eastAsia="zh-CN"/>
        </w:rPr>
        <w:t>制定管网的应急预案，储备应急物资，定期组织应急演练。</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lang w:val="en-US" w:eastAsia="zh-CN"/>
        </w:rPr>
        <w:t>9.1.6  管体结构良好、仅存在功能性缺陷的管段，供水管网运行管理单位宜采用非结构性修复，实施</w:t>
      </w:r>
      <w:r>
        <w:rPr>
          <w:rFonts w:hint="eastAsia" w:ascii="宋体"/>
          <w:color w:val="auto"/>
          <w:kern w:val="0"/>
          <w:szCs w:val="20"/>
          <w:highlight w:val="none"/>
        </w:rPr>
        <w:t>功能性改造</w:t>
      </w:r>
      <w:r>
        <w:rPr>
          <w:rFonts w:hint="eastAsia" w:ascii="宋体" w:cs="Times New Roman"/>
          <w:color w:val="auto"/>
          <w:kern w:val="0"/>
          <w:szCs w:val="20"/>
          <w:highlight w:val="none"/>
          <w:lang w:val="en-US" w:eastAsia="zh-CN"/>
        </w:rPr>
        <w:t>。</w:t>
      </w:r>
    </w:p>
    <w:p>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left"/>
        <w:textAlignment w:val="auto"/>
        <w:rPr>
          <w:rFonts w:hint="eastAsia" w:ascii="宋体"/>
          <w:color w:val="auto"/>
          <w:kern w:val="0"/>
          <w:szCs w:val="20"/>
          <w:highlight w:val="none"/>
        </w:rPr>
      </w:pPr>
      <w:r>
        <w:rPr>
          <w:rFonts w:hint="eastAsia" w:ascii="宋体" w:cs="Times New Roman"/>
          <w:color w:val="auto"/>
          <w:kern w:val="0"/>
          <w:szCs w:val="20"/>
          <w:highlight w:val="none"/>
          <w:lang w:val="en-US" w:eastAsia="zh-CN"/>
        </w:rPr>
        <w:t>9.1.7  有严重结构性缺陷的管段，供水管网运行管理单位应实施结构性修复。隐患点少时宜局部修复，普遍存在隐患的管段宜整体修复或采取管段更换。</w:t>
      </w:r>
      <w:r>
        <w:rPr>
          <w:rFonts w:hint="eastAsia" w:ascii="宋体"/>
          <w:color w:val="auto"/>
          <w:kern w:val="0"/>
          <w:szCs w:val="20"/>
          <w:highlight w:val="none"/>
          <w:lang w:eastAsia="zh-CN"/>
        </w:rPr>
        <w:t>管线修复时</w:t>
      </w:r>
      <w:r>
        <w:rPr>
          <w:rFonts w:hint="eastAsia" w:ascii="宋体"/>
          <w:color w:val="auto"/>
          <w:kern w:val="0"/>
          <w:szCs w:val="20"/>
          <w:highlight w:val="none"/>
        </w:rPr>
        <w:t>应</w:t>
      </w:r>
      <w:r>
        <w:rPr>
          <w:rFonts w:hint="eastAsia" w:ascii="宋体"/>
          <w:color w:val="auto"/>
          <w:kern w:val="0"/>
          <w:szCs w:val="20"/>
          <w:highlight w:val="none"/>
          <w:lang w:eastAsia="zh-CN"/>
        </w:rPr>
        <w:t>优先</w:t>
      </w:r>
      <w:r>
        <w:rPr>
          <w:rFonts w:hint="eastAsia" w:ascii="宋体"/>
          <w:color w:val="auto"/>
          <w:kern w:val="0"/>
          <w:szCs w:val="20"/>
          <w:highlight w:val="none"/>
        </w:rPr>
        <w:t>选择非开挖修复技术。</w:t>
      </w:r>
    </w:p>
    <w:p>
      <w:pPr>
        <w:pStyle w:val="235"/>
        <w:keepNext w:val="0"/>
        <w:keepLines w:val="0"/>
        <w:pageBreakBefore w:val="0"/>
        <w:widowControl/>
        <w:kinsoku/>
        <w:wordWrap/>
        <w:overflowPunct/>
        <w:topLinePunct w:val="0"/>
        <w:autoSpaceDE w:val="0"/>
        <w:autoSpaceDN w:val="0"/>
        <w:bidi w:val="0"/>
        <w:adjustRightInd/>
        <w:snapToGrid/>
        <w:spacing w:line="240" w:lineRule="auto"/>
        <w:ind w:firstLine="0" w:firstLineChars="0"/>
        <w:jc w:val="left"/>
        <w:textAlignment w:val="auto"/>
        <w:rPr>
          <w:rFonts w:hint="eastAsia"/>
          <w:color w:val="auto"/>
          <w:highlight w:val="none"/>
          <w:lang w:val="en-US" w:eastAsia="zh-CN"/>
        </w:rPr>
      </w:pPr>
      <w:r>
        <w:rPr>
          <w:rFonts w:hint="eastAsia" w:hAnsi="Calibri"/>
          <w:color w:val="auto"/>
          <w:highlight w:val="none"/>
          <w:lang w:val="en-US" w:eastAsia="zh-CN"/>
        </w:rPr>
        <w:t>9.1.8  应定期开展管网维修抢修车辆、工具设备、器材等的检查保养，确保设备处于完好、充足</w:t>
      </w:r>
      <w:r>
        <w:rPr>
          <w:rFonts w:hint="eastAsia"/>
          <w:color w:val="auto"/>
          <w:highlight w:val="none"/>
          <w:lang w:val="en-US" w:eastAsia="zh-CN"/>
        </w:rPr>
        <w:t>的状态。</w:t>
      </w:r>
    </w:p>
    <w:p>
      <w:pPr>
        <w:pStyle w:val="237"/>
        <w:numPr>
          <w:ilvl w:val="0"/>
          <w:numId w:val="0"/>
        </w:numPr>
        <w:spacing w:before="156" w:beforeLines="50" w:after="156" w:afterLines="50"/>
        <w:outlineLvl w:val="9"/>
        <w:rPr>
          <w:rFonts w:hint="eastAsia" w:hAnsi="黑体" w:cs="黑体"/>
          <w:color w:val="auto"/>
          <w:kern w:val="2"/>
          <w:szCs w:val="24"/>
          <w:highlight w:val="none"/>
        </w:rPr>
      </w:pPr>
      <w:r>
        <w:rPr>
          <w:rFonts w:hint="eastAsia" w:hAnsi="黑体" w:cs="黑体"/>
          <w:color w:val="auto"/>
          <w:kern w:val="2"/>
          <w:szCs w:val="24"/>
          <w:highlight w:val="none"/>
        </w:rPr>
        <w:t xml:space="preserve">9.2 </w:t>
      </w:r>
      <w:r>
        <w:rPr>
          <w:rFonts w:hint="eastAsia" w:hAnsi="黑体" w:cs="黑体"/>
          <w:color w:val="auto"/>
          <w:kern w:val="2"/>
          <w:szCs w:val="24"/>
          <w:highlight w:val="none"/>
          <w:lang w:val="en-US" w:eastAsia="zh-CN"/>
        </w:rPr>
        <w:t xml:space="preserve"> </w:t>
      </w:r>
      <w:r>
        <w:rPr>
          <w:rFonts w:hint="eastAsia" w:hAnsi="黑体" w:cs="黑体"/>
          <w:color w:val="auto"/>
          <w:kern w:val="2"/>
          <w:szCs w:val="24"/>
          <w:highlight w:val="none"/>
        </w:rPr>
        <w:t>风险控制措施</w:t>
      </w:r>
    </w:p>
    <w:p>
      <w:pPr>
        <w:pStyle w:val="245"/>
        <w:keepNext w:val="0"/>
        <w:keepLines w:val="0"/>
        <w:pageBreakBefore w:val="0"/>
        <w:widowControl w:val="0"/>
        <w:kinsoku/>
        <w:wordWrap/>
        <w:overflowPunct/>
        <w:topLinePunct w:val="0"/>
        <w:autoSpaceDE/>
        <w:autoSpaceDN/>
        <w:bidi w:val="0"/>
        <w:adjustRightInd w:val="0"/>
        <w:snapToGrid/>
        <w:spacing w:beforeLines="0" w:afterLines="0" w:line="240" w:lineRule="auto"/>
        <w:ind w:left="0" w:leftChars="0" w:firstLine="0" w:firstLineChars="0"/>
        <w:jc w:val="left"/>
        <w:textAlignment w:val="auto"/>
        <w:rPr>
          <w:rFonts w:hint="eastAsia" w:ascii="宋体" w:eastAsia="宋体"/>
          <w:color w:val="auto"/>
          <w:highlight w:val="none"/>
          <w:lang w:val="en-US" w:eastAsia="zh-CN"/>
        </w:rPr>
      </w:pPr>
      <w:r>
        <w:rPr>
          <w:rFonts w:hint="eastAsia" w:ascii="宋体" w:eastAsia="宋体"/>
          <w:color w:val="auto"/>
          <w:highlight w:val="none"/>
          <w:lang w:val="en-US" w:eastAsia="zh-CN"/>
        </w:rPr>
        <w:t>9.2.1  Ⅳ级风险控制措施</w:t>
      </w:r>
    </w:p>
    <w:p>
      <w:pPr>
        <w:pStyle w:val="245"/>
        <w:keepNext w:val="0"/>
        <w:keepLines w:val="0"/>
        <w:pageBreakBefore w:val="0"/>
        <w:widowControl w:val="0"/>
        <w:kinsoku/>
        <w:wordWrap/>
        <w:overflowPunct/>
        <w:topLinePunct w:val="0"/>
        <w:autoSpaceDE/>
        <w:autoSpaceDN/>
        <w:bidi w:val="0"/>
        <w:adjustRightInd w:val="0"/>
        <w:snapToGrid/>
        <w:spacing w:beforeLines="0" w:afterLines="0" w:line="240" w:lineRule="auto"/>
        <w:ind w:left="0" w:leftChars="0" w:firstLine="420" w:firstLineChars="200"/>
        <w:jc w:val="left"/>
        <w:textAlignment w:val="auto"/>
        <w:rPr>
          <w:rFonts w:hint="eastAsia" w:ascii="宋体" w:cs="Times New Roman"/>
          <w:color w:val="auto"/>
          <w:kern w:val="0"/>
          <w:szCs w:val="20"/>
          <w:highlight w:val="none"/>
          <w:lang w:val="en-US" w:eastAsia="zh-CN"/>
        </w:rPr>
      </w:pPr>
      <w:r>
        <w:rPr>
          <w:rFonts w:hint="eastAsia" w:ascii="宋体" w:cs="Times New Roman"/>
          <w:color w:val="auto"/>
          <w:kern w:val="0"/>
          <w:szCs w:val="20"/>
          <w:highlight w:val="none"/>
        </w:rPr>
        <w:t>——</w:t>
      </w:r>
      <w:r>
        <w:rPr>
          <w:rFonts w:hint="eastAsia" w:ascii="宋体" w:cs="Times New Roman"/>
          <w:color w:val="auto"/>
          <w:kern w:val="0"/>
          <w:szCs w:val="20"/>
          <w:highlight w:val="none"/>
          <w:lang w:val="en-US" w:eastAsia="zh-CN"/>
        </w:rPr>
        <w:t xml:space="preserve"> 供水管网运行管理单位应</w:t>
      </w:r>
      <w:r>
        <w:rPr>
          <w:rFonts w:hint="eastAsia" w:ascii="宋体" w:cs="Times New Roman"/>
          <w:color w:val="auto"/>
          <w:kern w:val="0"/>
          <w:szCs w:val="20"/>
          <w:highlight w:val="none"/>
        </w:rPr>
        <w:t>严格落实CJJ 207要求，做好管线</w:t>
      </w:r>
      <w:r>
        <w:rPr>
          <w:rFonts w:hint="eastAsia" w:ascii="宋体" w:cs="Times New Roman"/>
          <w:color w:val="auto"/>
          <w:kern w:val="0"/>
          <w:szCs w:val="20"/>
          <w:highlight w:val="none"/>
          <w:lang w:eastAsia="zh-CN"/>
        </w:rPr>
        <w:t>及附属设施</w:t>
      </w:r>
      <w:r>
        <w:rPr>
          <w:rFonts w:hint="eastAsia" w:ascii="宋体" w:cs="Times New Roman"/>
          <w:color w:val="auto"/>
          <w:kern w:val="0"/>
          <w:szCs w:val="20"/>
          <w:highlight w:val="none"/>
        </w:rPr>
        <w:t>的日常</w:t>
      </w:r>
      <w:r>
        <w:rPr>
          <w:rFonts w:hint="eastAsia" w:ascii="宋体" w:cs="Times New Roman"/>
          <w:color w:val="auto"/>
          <w:kern w:val="0"/>
          <w:szCs w:val="20"/>
          <w:highlight w:val="none"/>
          <w:lang w:eastAsia="zh-CN"/>
        </w:rPr>
        <w:t>巡检及</w:t>
      </w:r>
      <w:r>
        <w:rPr>
          <w:rFonts w:hint="eastAsia" w:ascii="宋体" w:cs="Times New Roman"/>
          <w:color w:val="auto"/>
          <w:kern w:val="0"/>
          <w:szCs w:val="20"/>
          <w:highlight w:val="none"/>
        </w:rPr>
        <w:t>维护</w:t>
      </w:r>
      <w:r>
        <w:rPr>
          <w:rFonts w:hint="eastAsia" w:ascii="宋体" w:cs="Times New Roman"/>
          <w:color w:val="auto"/>
          <w:kern w:val="0"/>
          <w:szCs w:val="20"/>
          <w:highlight w:val="none"/>
          <w:lang w:eastAsia="zh-CN"/>
        </w:rPr>
        <w:t>，</w:t>
      </w:r>
      <w:r>
        <w:rPr>
          <w:rFonts w:hint="eastAsia" w:ascii="宋体" w:cs="Times New Roman"/>
          <w:color w:val="auto"/>
          <w:kern w:val="0"/>
          <w:szCs w:val="20"/>
          <w:highlight w:val="none"/>
          <w:lang w:val="en-US" w:eastAsia="zh-CN"/>
        </w:rPr>
        <w:t>每周巡检不应少于1次，并做好相应记录。</w:t>
      </w:r>
    </w:p>
    <w:p>
      <w:pPr>
        <w:pStyle w:val="245"/>
        <w:keepNext w:val="0"/>
        <w:keepLines w:val="0"/>
        <w:pageBreakBefore w:val="0"/>
        <w:widowControl w:val="0"/>
        <w:kinsoku/>
        <w:wordWrap/>
        <w:overflowPunct/>
        <w:topLinePunct w:val="0"/>
        <w:autoSpaceDE/>
        <w:autoSpaceDN/>
        <w:bidi w:val="0"/>
        <w:adjustRightInd w:val="0"/>
        <w:snapToGrid/>
        <w:spacing w:beforeLines="0" w:afterLines="0" w:line="240" w:lineRule="auto"/>
        <w:ind w:left="0" w:leftChars="0" w:firstLine="420" w:firstLineChars="200"/>
        <w:jc w:val="left"/>
        <w:textAlignment w:val="auto"/>
        <w:rPr>
          <w:rFonts w:hint="eastAsia" w:ascii="宋体" w:cs="Times New Roman"/>
          <w:color w:val="auto"/>
          <w:kern w:val="0"/>
          <w:szCs w:val="20"/>
          <w:highlight w:val="none"/>
          <w:lang w:eastAsia="zh-CN"/>
        </w:rPr>
      </w:pPr>
      <w:r>
        <w:rPr>
          <w:rFonts w:hint="eastAsia" w:ascii="宋体" w:cs="Times New Roman"/>
          <w:color w:val="auto"/>
          <w:kern w:val="0"/>
          <w:szCs w:val="20"/>
          <w:highlight w:val="none"/>
        </w:rPr>
        <w:t>——</w:t>
      </w:r>
      <w:r>
        <w:rPr>
          <w:rFonts w:hint="eastAsia" w:ascii="宋体" w:cs="Times New Roman"/>
          <w:color w:val="auto"/>
          <w:kern w:val="0"/>
          <w:szCs w:val="20"/>
          <w:highlight w:val="none"/>
          <w:lang w:val="en-US" w:eastAsia="zh-CN"/>
        </w:rPr>
        <w:t xml:space="preserve"> 供水管网运行管理单位应将巡检信息纳入现有供水管网信息化管理系统，并动态更新。</w:t>
      </w:r>
    </w:p>
    <w:p>
      <w:pPr>
        <w:pStyle w:val="235"/>
        <w:keepNext w:val="0"/>
        <w:keepLines w:val="0"/>
        <w:pageBreakBefore w:val="0"/>
        <w:kinsoku/>
        <w:wordWrap/>
        <w:overflowPunct/>
        <w:topLinePunct w:val="0"/>
        <w:bidi w:val="0"/>
        <w:snapToGrid/>
        <w:spacing w:beforeLines="0" w:afterLines="0"/>
        <w:ind w:left="0" w:leftChars="0" w:firstLine="0" w:firstLineChars="0"/>
        <w:jc w:val="left"/>
        <w:textAlignment w:val="auto"/>
        <w:rPr>
          <w:rFonts w:hint="default"/>
          <w:color w:val="auto"/>
          <w:highlight w:val="none"/>
          <w:lang w:val="en-US" w:eastAsia="zh-CN"/>
        </w:rPr>
      </w:pPr>
      <w:r>
        <w:rPr>
          <w:rFonts w:hint="eastAsia"/>
          <w:color w:val="auto"/>
          <w:highlight w:val="none"/>
          <w:lang w:val="en-US" w:eastAsia="zh-CN"/>
        </w:rPr>
        <w:t>9.2.2  Ⅲ级风险</w:t>
      </w:r>
      <w:r>
        <w:rPr>
          <w:rFonts w:hint="eastAsia" w:ascii="宋体" w:eastAsia="宋体"/>
          <w:color w:val="auto"/>
          <w:highlight w:val="none"/>
          <w:lang w:val="en-US" w:eastAsia="zh-CN"/>
        </w:rPr>
        <w:t>控制措施</w:t>
      </w:r>
    </w:p>
    <w:p>
      <w:pPr>
        <w:pStyle w:val="237"/>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val="en-US" w:eastAsia="zh-CN"/>
        </w:rPr>
      </w:pPr>
      <w:r>
        <w:rPr>
          <w:rFonts w:hint="eastAsia" w:ascii="宋体" w:eastAsia="宋体"/>
          <w:color w:val="auto"/>
          <w:highlight w:val="none"/>
        </w:rPr>
        <w:t xml:space="preserve">—— </w:t>
      </w:r>
      <w:r>
        <w:rPr>
          <w:rFonts w:hint="eastAsia" w:ascii="宋体" w:eastAsia="宋体"/>
          <w:color w:val="auto"/>
          <w:highlight w:val="none"/>
          <w:lang w:eastAsia="zh-CN"/>
        </w:rPr>
        <w:t>应</w:t>
      </w:r>
      <w:r>
        <w:rPr>
          <w:rFonts w:hint="eastAsia" w:ascii="宋体" w:eastAsia="宋体"/>
          <w:color w:val="auto"/>
          <w:highlight w:val="none"/>
        </w:rPr>
        <w:t>在</w:t>
      </w:r>
      <w:r>
        <w:rPr>
          <w:rFonts w:hint="eastAsia" w:ascii="宋体" w:eastAsia="宋体"/>
          <w:color w:val="auto"/>
          <w:highlight w:val="none"/>
          <w:lang w:val="en-US" w:eastAsia="zh-CN"/>
        </w:rPr>
        <w:t>Ⅳ级风险</w:t>
      </w:r>
      <w:r>
        <w:rPr>
          <w:rFonts w:hint="eastAsia" w:ascii="宋体" w:eastAsia="宋体"/>
          <w:color w:val="auto"/>
          <w:highlight w:val="none"/>
          <w:lang w:eastAsia="zh-CN"/>
        </w:rPr>
        <w:t>控制管理</w:t>
      </w:r>
      <w:r>
        <w:rPr>
          <w:rFonts w:hint="eastAsia" w:ascii="宋体" w:eastAsia="宋体"/>
          <w:color w:val="auto"/>
          <w:highlight w:val="none"/>
        </w:rPr>
        <w:t>的基础上，增加巡检频次</w:t>
      </w:r>
      <w:r>
        <w:rPr>
          <w:rFonts w:hint="eastAsia" w:ascii="宋体" w:eastAsia="宋体"/>
          <w:color w:val="auto"/>
          <w:highlight w:val="none"/>
          <w:lang w:eastAsia="zh-CN"/>
        </w:rPr>
        <w:t>，</w:t>
      </w:r>
      <w:r>
        <w:rPr>
          <w:rFonts w:hint="eastAsia" w:ascii="宋体" w:eastAsia="宋体"/>
          <w:color w:val="auto"/>
          <w:highlight w:val="none"/>
          <w:lang w:val="en-US" w:eastAsia="zh-CN"/>
        </w:rPr>
        <w:t>关注周边施工活动影响，并做好相应记录；</w:t>
      </w:r>
    </w:p>
    <w:p>
      <w:pPr>
        <w:pStyle w:val="235"/>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eastAsia="zh-CN"/>
        </w:rPr>
      </w:pPr>
      <w:r>
        <w:rPr>
          <w:rFonts w:hint="eastAsia" w:ascii="宋体" w:eastAsia="宋体"/>
          <w:color w:val="auto"/>
          <w:highlight w:val="none"/>
        </w:rPr>
        <w:t xml:space="preserve">—— </w:t>
      </w:r>
      <w:r>
        <w:rPr>
          <w:rFonts w:hint="eastAsia"/>
          <w:color w:val="auto"/>
          <w:highlight w:val="none"/>
        </w:rPr>
        <w:t>宜对Ⅲ级风险管线进行周期漏失监测，感知管线漏水情况，尽早排查处置</w:t>
      </w:r>
      <w:r>
        <w:rPr>
          <w:rFonts w:hint="eastAsia"/>
          <w:color w:val="auto"/>
          <w:highlight w:val="none"/>
          <w:lang w:eastAsia="zh-CN"/>
        </w:rPr>
        <w:t>，</w:t>
      </w:r>
      <w:r>
        <w:rPr>
          <w:rFonts w:hint="eastAsia" w:ascii="宋体" w:eastAsia="宋体"/>
          <w:color w:val="auto"/>
          <w:highlight w:val="none"/>
        </w:rPr>
        <w:t>必要时</w:t>
      </w:r>
      <w:r>
        <w:rPr>
          <w:rFonts w:hint="eastAsia" w:ascii="宋体" w:eastAsia="宋体"/>
          <w:color w:val="auto"/>
          <w:highlight w:val="none"/>
          <w:lang w:eastAsia="zh-CN"/>
        </w:rPr>
        <w:t>应</w:t>
      </w:r>
      <w:r>
        <w:rPr>
          <w:rFonts w:hint="eastAsia" w:ascii="宋体" w:eastAsia="宋体"/>
          <w:color w:val="auto"/>
          <w:highlight w:val="none"/>
        </w:rPr>
        <w:t>增设流量计、压力计等实时监测设备，</w:t>
      </w:r>
      <w:r>
        <w:rPr>
          <w:rFonts w:hint="eastAsia" w:ascii="宋体" w:eastAsia="宋体"/>
          <w:color w:val="auto"/>
          <w:highlight w:val="none"/>
          <w:lang w:eastAsia="zh-CN"/>
        </w:rPr>
        <w:t>监测数据</w:t>
      </w:r>
      <w:r>
        <w:rPr>
          <w:rFonts w:hint="eastAsia" w:ascii="宋体" w:eastAsia="宋体"/>
          <w:color w:val="auto"/>
          <w:highlight w:val="none"/>
        </w:rPr>
        <w:t>接入现有供水管网信息化管理系统</w:t>
      </w:r>
      <w:r>
        <w:rPr>
          <w:rFonts w:hint="eastAsia" w:ascii="宋体" w:eastAsia="宋体"/>
          <w:color w:val="auto"/>
          <w:highlight w:val="none"/>
          <w:lang w:eastAsia="zh-CN"/>
        </w:rPr>
        <w:t>；</w:t>
      </w:r>
    </w:p>
    <w:p>
      <w:pPr>
        <w:pStyle w:val="237"/>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val="en-US" w:eastAsia="zh-CN"/>
        </w:rPr>
      </w:pPr>
      <w:r>
        <w:rPr>
          <w:rFonts w:hint="eastAsia" w:ascii="宋体" w:eastAsia="宋体"/>
          <w:color w:val="auto"/>
          <w:highlight w:val="none"/>
        </w:rPr>
        <w:t>——</w:t>
      </w:r>
      <w:r>
        <w:rPr>
          <w:rFonts w:hint="eastAsia" w:ascii="宋体" w:eastAsia="宋体"/>
          <w:color w:val="auto"/>
          <w:highlight w:val="none"/>
          <w:lang w:val="en-US" w:eastAsia="zh-CN"/>
        </w:rPr>
        <w:t xml:space="preserve"> 应将管线纳入年度维修计划，对轻微缺陷的管线进行主动修复。</w:t>
      </w:r>
    </w:p>
    <w:p>
      <w:pPr>
        <w:pStyle w:val="237"/>
        <w:keepNext w:val="0"/>
        <w:keepLines w:val="0"/>
        <w:pageBreakBefore w:val="0"/>
        <w:widowControl/>
        <w:numPr>
          <w:ilvl w:val="0"/>
          <w:numId w:val="0"/>
        </w:numPr>
        <w:kinsoku/>
        <w:wordWrap/>
        <w:overflowPunct/>
        <w:topLinePunct w:val="0"/>
        <w:bidi w:val="0"/>
        <w:adjustRightInd/>
        <w:snapToGrid/>
        <w:spacing w:beforeLines="0" w:afterLines="0"/>
        <w:jc w:val="left"/>
        <w:textAlignment w:val="auto"/>
        <w:outlineLvl w:val="9"/>
        <w:rPr>
          <w:rFonts w:hint="eastAsia" w:ascii="宋体" w:eastAsia="宋体"/>
          <w:color w:val="auto"/>
          <w:highlight w:val="none"/>
          <w:lang w:val="en-US" w:eastAsia="zh-CN"/>
        </w:rPr>
      </w:pPr>
      <w:r>
        <w:rPr>
          <w:rFonts w:hint="eastAsia" w:ascii="宋体" w:eastAsia="宋体"/>
          <w:color w:val="auto"/>
          <w:highlight w:val="none"/>
          <w:lang w:val="en-US" w:eastAsia="zh-CN"/>
        </w:rPr>
        <w:t>9.2.3 Ⅱ级风险控制措施</w:t>
      </w:r>
    </w:p>
    <w:p>
      <w:pPr>
        <w:pStyle w:val="235"/>
        <w:spacing w:beforeLines="0" w:afterLines="0"/>
        <w:rPr>
          <w:rFonts w:hint="eastAsia"/>
          <w:color w:val="auto"/>
          <w:highlight w:val="none"/>
          <w:lang w:val="en-US" w:eastAsia="zh-CN"/>
        </w:rPr>
      </w:pPr>
      <w:r>
        <w:rPr>
          <w:rFonts w:hint="eastAsia" w:ascii="宋体" w:eastAsia="宋体"/>
          <w:color w:val="auto"/>
          <w:highlight w:val="none"/>
        </w:rPr>
        <w:t xml:space="preserve">—— </w:t>
      </w:r>
      <w:r>
        <w:rPr>
          <w:rFonts w:hint="eastAsia"/>
          <w:color w:val="auto"/>
          <w:highlight w:val="none"/>
          <w:lang w:val="en-US" w:eastAsia="zh-CN"/>
        </w:rPr>
        <w:t>应</w:t>
      </w:r>
      <w:r>
        <w:rPr>
          <w:rFonts w:hint="eastAsia" w:ascii="宋体" w:eastAsia="宋体"/>
          <w:color w:val="auto"/>
          <w:highlight w:val="none"/>
        </w:rPr>
        <w:t>在</w:t>
      </w:r>
      <w:r>
        <w:rPr>
          <w:rFonts w:hint="eastAsia"/>
          <w:color w:val="auto"/>
          <w:highlight w:val="none"/>
          <w:lang w:val="en-US" w:eastAsia="zh-CN"/>
        </w:rPr>
        <w:t>Ⅲ级风险控制管理的</w:t>
      </w:r>
      <w:r>
        <w:rPr>
          <w:rFonts w:hint="eastAsia" w:ascii="宋体" w:eastAsia="宋体"/>
          <w:color w:val="auto"/>
          <w:highlight w:val="none"/>
        </w:rPr>
        <w:t>基础上，</w:t>
      </w:r>
      <w:r>
        <w:rPr>
          <w:rFonts w:hint="eastAsia"/>
          <w:color w:val="auto"/>
          <w:highlight w:val="none"/>
          <w:lang w:val="en-US" w:eastAsia="zh-CN"/>
        </w:rPr>
        <w:t>加密巡检频次，做好相关记录，并监督施工单位</w:t>
      </w:r>
      <w:r>
        <w:rPr>
          <w:rFonts w:hint="eastAsia" w:ascii="宋体" w:eastAsia="宋体"/>
          <w:color w:val="auto"/>
          <w:highlight w:val="none"/>
        </w:rPr>
        <w:t>对周边施工活动实行全过程</w:t>
      </w:r>
      <w:r>
        <w:rPr>
          <w:rFonts w:hint="eastAsia"/>
          <w:color w:val="auto"/>
          <w:highlight w:val="none"/>
          <w:lang w:eastAsia="zh-CN"/>
        </w:rPr>
        <w:t>监测</w:t>
      </w:r>
      <w:r>
        <w:rPr>
          <w:rFonts w:hint="eastAsia" w:ascii="宋体" w:eastAsia="宋体"/>
          <w:color w:val="auto"/>
          <w:highlight w:val="none"/>
        </w:rPr>
        <w:t>，</w:t>
      </w:r>
      <w:r>
        <w:rPr>
          <w:rFonts w:hint="eastAsia"/>
          <w:color w:val="auto"/>
          <w:highlight w:val="none"/>
          <w:lang w:val="en-US" w:eastAsia="zh-CN"/>
        </w:rPr>
        <w:t>设置物理隔离与警示标识，</w:t>
      </w:r>
      <w:r>
        <w:rPr>
          <w:rFonts w:hint="eastAsia" w:ascii="宋体" w:eastAsia="宋体"/>
          <w:color w:val="auto"/>
          <w:highlight w:val="none"/>
        </w:rPr>
        <w:t>防止因第三方施工导致</w:t>
      </w:r>
      <w:r>
        <w:rPr>
          <w:rFonts w:hint="eastAsia"/>
          <w:color w:val="auto"/>
          <w:highlight w:val="none"/>
          <w:lang w:eastAsia="zh-CN"/>
        </w:rPr>
        <w:t>管线</w:t>
      </w:r>
      <w:r>
        <w:rPr>
          <w:rFonts w:hint="eastAsia" w:ascii="宋体" w:eastAsia="宋体"/>
          <w:color w:val="auto"/>
          <w:highlight w:val="none"/>
        </w:rPr>
        <w:t>风险加剧</w:t>
      </w:r>
      <w:r>
        <w:rPr>
          <w:rFonts w:hint="eastAsia"/>
          <w:color w:val="auto"/>
          <w:highlight w:val="none"/>
          <w:lang w:eastAsia="zh-CN"/>
        </w:rPr>
        <w:t>；</w:t>
      </w:r>
    </w:p>
    <w:p>
      <w:pPr>
        <w:pStyle w:val="235"/>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eastAsia="zh-CN"/>
        </w:rPr>
      </w:pPr>
      <w:r>
        <w:rPr>
          <w:rFonts w:hint="eastAsia" w:ascii="宋体" w:eastAsia="宋体"/>
          <w:color w:val="auto"/>
          <w:highlight w:val="none"/>
        </w:rPr>
        <w:t>—— 应在关键节点增设</w:t>
      </w:r>
      <w:r>
        <w:rPr>
          <w:rFonts w:hint="eastAsia" w:ascii="宋体" w:eastAsia="宋体"/>
          <w:color w:val="auto"/>
          <w:highlight w:val="none"/>
          <w:lang w:eastAsia="zh-CN"/>
        </w:rPr>
        <w:t>水压和流量等</w:t>
      </w:r>
      <w:r>
        <w:rPr>
          <w:rFonts w:hint="eastAsia" w:ascii="宋体" w:eastAsia="宋体"/>
          <w:color w:val="auto"/>
          <w:highlight w:val="none"/>
        </w:rPr>
        <w:t>实时监测设备，对风险管线进行长期漏失监测，实时感知管线漏水情况，增强实时监控与</w:t>
      </w:r>
      <w:r>
        <w:rPr>
          <w:rFonts w:hint="eastAsia" w:ascii="宋体" w:eastAsia="宋体"/>
          <w:color w:val="auto"/>
          <w:highlight w:val="none"/>
          <w:lang w:eastAsia="zh-CN"/>
        </w:rPr>
        <w:t>预警</w:t>
      </w:r>
      <w:r>
        <w:rPr>
          <w:rFonts w:hint="eastAsia" w:ascii="宋体" w:eastAsia="宋体"/>
          <w:color w:val="auto"/>
          <w:highlight w:val="none"/>
        </w:rPr>
        <w:t>分析</w:t>
      </w:r>
      <w:r>
        <w:rPr>
          <w:rFonts w:hint="eastAsia" w:ascii="宋体" w:eastAsia="宋体"/>
          <w:color w:val="auto"/>
          <w:highlight w:val="none"/>
          <w:lang w:eastAsia="zh-CN"/>
        </w:rPr>
        <w:t>，</w:t>
      </w:r>
      <w:r>
        <w:rPr>
          <w:rFonts w:hint="eastAsia" w:ascii="宋体" w:eastAsia="宋体"/>
          <w:color w:val="auto"/>
          <w:highlight w:val="none"/>
        </w:rPr>
        <w:t>及时排查处置</w:t>
      </w:r>
      <w:r>
        <w:rPr>
          <w:rFonts w:hint="eastAsia" w:ascii="宋体" w:eastAsia="宋体"/>
          <w:color w:val="auto"/>
          <w:highlight w:val="none"/>
          <w:lang w:eastAsia="zh-CN"/>
        </w:rPr>
        <w:t>；</w:t>
      </w:r>
    </w:p>
    <w:p>
      <w:pPr>
        <w:pStyle w:val="235"/>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 xml:space="preserve"> 应按照管线自身情况，对Ⅱ级风险管段进行功能性或结构性修复；</w:t>
      </w:r>
    </w:p>
    <w:p>
      <w:pPr>
        <w:pStyle w:val="235"/>
        <w:spacing w:beforeLines="0" w:afterLines="0"/>
        <w:rPr>
          <w:rFonts w:hint="eastAsia" w:ascii="宋体" w:eastAsia="宋体"/>
          <w:color w:val="auto"/>
          <w:highlight w:val="none"/>
        </w:rPr>
      </w:pPr>
      <w:r>
        <w:rPr>
          <w:rFonts w:hint="eastAsia" w:ascii="宋体" w:eastAsia="宋体"/>
          <w:color w:val="auto"/>
          <w:highlight w:val="none"/>
        </w:rPr>
        <w:t xml:space="preserve">—— </w:t>
      </w:r>
      <w:r>
        <w:rPr>
          <w:rFonts w:hint="eastAsia"/>
          <w:color w:val="auto"/>
          <w:highlight w:val="none"/>
        </w:rPr>
        <w:t>道路管理部门下达的道路新建、大修计划范围内涉及的Ⅱ级风险管线，直接纳入更新改造计划</w:t>
      </w:r>
      <w:r>
        <w:rPr>
          <w:rFonts w:hint="eastAsia"/>
          <w:color w:val="auto"/>
          <w:highlight w:val="none"/>
          <w:lang w:eastAsia="zh-CN"/>
        </w:rPr>
        <w:t>，适时</w:t>
      </w:r>
      <w:r>
        <w:rPr>
          <w:rFonts w:hint="eastAsia"/>
          <w:color w:val="auto"/>
          <w:highlight w:val="none"/>
        </w:rPr>
        <w:t>启动更新改造工作程序，明确改造时限</w:t>
      </w:r>
      <w:r>
        <w:rPr>
          <w:rFonts w:hint="eastAsia"/>
          <w:color w:val="auto"/>
          <w:highlight w:val="none"/>
          <w:lang w:eastAsia="zh-CN"/>
        </w:rPr>
        <w:t>。</w:t>
      </w:r>
    </w:p>
    <w:p>
      <w:pPr>
        <w:pStyle w:val="237"/>
        <w:keepNext w:val="0"/>
        <w:keepLines w:val="0"/>
        <w:pageBreakBefore w:val="0"/>
        <w:widowControl/>
        <w:numPr>
          <w:ilvl w:val="0"/>
          <w:numId w:val="0"/>
        </w:numPr>
        <w:kinsoku/>
        <w:wordWrap/>
        <w:overflowPunct/>
        <w:topLinePunct w:val="0"/>
        <w:bidi w:val="0"/>
        <w:adjustRightInd/>
        <w:snapToGrid/>
        <w:spacing w:beforeLines="0" w:afterLines="0"/>
        <w:jc w:val="left"/>
        <w:textAlignment w:val="auto"/>
        <w:outlineLvl w:val="9"/>
        <w:rPr>
          <w:rFonts w:hint="default" w:ascii="宋体" w:eastAsia="宋体"/>
          <w:color w:val="auto"/>
          <w:highlight w:val="none"/>
          <w:lang w:val="en-US" w:eastAsia="zh-CN"/>
        </w:rPr>
      </w:pPr>
      <w:r>
        <w:rPr>
          <w:rFonts w:hint="eastAsia" w:ascii="宋体" w:eastAsia="宋体"/>
          <w:color w:val="auto"/>
          <w:highlight w:val="none"/>
          <w:lang w:val="en-US" w:eastAsia="zh-CN"/>
        </w:rPr>
        <w:t>9.2.4 Ⅰ级风险控制措施</w:t>
      </w:r>
    </w:p>
    <w:p>
      <w:pPr>
        <w:pStyle w:val="235"/>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val="en-US" w:eastAsia="zh-CN"/>
        </w:rPr>
      </w:pPr>
      <w:r>
        <w:rPr>
          <w:rFonts w:hint="eastAsia" w:ascii="宋体" w:eastAsia="宋体"/>
          <w:color w:val="auto"/>
          <w:highlight w:val="none"/>
        </w:rPr>
        <w:t xml:space="preserve">—— </w:t>
      </w:r>
      <w:r>
        <w:rPr>
          <w:rFonts w:hint="eastAsia"/>
          <w:color w:val="auto"/>
          <w:highlight w:val="none"/>
        </w:rPr>
        <w:t>应将其列入</w:t>
      </w:r>
      <w:r>
        <w:rPr>
          <w:rFonts w:hint="eastAsia"/>
          <w:color w:val="auto"/>
          <w:highlight w:val="none"/>
          <w:lang w:eastAsia="zh-CN"/>
        </w:rPr>
        <w:t>供水地下管线更新</w:t>
      </w:r>
      <w:r>
        <w:rPr>
          <w:rFonts w:hint="eastAsia"/>
          <w:color w:val="auto"/>
          <w:highlight w:val="none"/>
        </w:rPr>
        <w:t>改造计划，立即启动更新改造工作程序，明确改造时限，从根本上消除隐患</w:t>
      </w:r>
      <w:r>
        <w:rPr>
          <w:rFonts w:hint="eastAsia"/>
          <w:color w:val="auto"/>
          <w:highlight w:val="none"/>
          <w:lang w:eastAsia="zh-CN"/>
        </w:rPr>
        <w:t>；</w:t>
      </w:r>
    </w:p>
    <w:p>
      <w:pPr>
        <w:pStyle w:val="235"/>
        <w:keepNext w:val="0"/>
        <w:keepLines w:val="0"/>
        <w:pageBreakBefore w:val="0"/>
        <w:widowControl/>
        <w:numPr>
          <w:ilvl w:val="0"/>
          <w:numId w:val="0"/>
        </w:numPr>
        <w:kinsoku/>
        <w:wordWrap/>
        <w:overflowPunct/>
        <w:topLinePunct w:val="0"/>
        <w:bidi w:val="0"/>
        <w:adjustRightInd/>
        <w:snapToGrid/>
        <w:spacing w:beforeLines="0" w:afterLines="0"/>
        <w:ind w:firstLine="420" w:firstLineChars="200"/>
        <w:jc w:val="left"/>
        <w:textAlignment w:val="auto"/>
        <w:outlineLvl w:val="9"/>
        <w:rPr>
          <w:rFonts w:hint="eastAsia" w:ascii="宋体"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 xml:space="preserve"> </w:t>
      </w:r>
      <w:r>
        <w:rPr>
          <w:rFonts w:hint="eastAsia"/>
          <w:color w:val="auto"/>
          <w:highlight w:val="none"/>
          <w:lang w:eastAsia="zh-CN"/>
        </w:rPr>
        <w:t>改造完成前</w:t>
      </w:r>
      <w:r>
        <w:rPr>
          <w:rFonts w:hint="eastAsia" w:ascii="宋体" w:eastAsia="宋体"/>
          <w:color w:val="auto"/>
          <w:highlight w:val="none"/>
        </w:rPr>
        <w:t>，</w:t>
      </w:r>
      <w:r>
        <w:rPr>
          <w:rFonts w:hint="eastAsia"/>
          <w:color w:val="auto"/>
          <w:highlight w:val="none"/>
          <w:lang w:eastAsia="zh-CN"/>
        </w:rPr>
        <w:t>应</w:t>
      </w:r>
      <w:r>
        <w:rPr>
          <w:rFonts w:hint="eastAsia"/>
          <w:color w:val="auto"/>
          <w:highlight w:val="none"/>
        </w:rPr>
        <w:t>在</w:t>
      </w:r>
      <w:r>
        <w:rPr>
          <w:rFonts w:hint="eastAsia" w:ascii="宋体" w:eastAsia="宋体"/>
          <w:color w:val="auto"/>
          <w:highlight w:val="none"/>
          <w:lang w:val="en-US" w:eastAsia="zh-CN"/>
        </w:rPr>
        <w:t>Ⅱ</w:t>
      </w:r>
      <w:r>
        <w:rPr>
          <w:rFonts w:hint="eastAsia"/>
          <w:color w:val="auto"/>
          <w:highlight w:val="none"/>
        </w:rPr>
        <w:t>级风险控制管理的基础上，</w:t>
      </w:r>
      <w:r>
        <w:rPr>
          <w:rFonts w:hint="eastAsia" w:ascii="宋体" w:eastAsia="宋体"/>
          <w:color w:val="auto"/>
          <w:highlight w:val="none"/>
          <w:lang w:eastAsia="zh-CN"/>
        </w:rPr>
        <w:t>加装压力监测、</w:t>
      </w:r>
      <w:r>
        <w:rPr>
          <w:rFonts w:hint="eastAsia"/>
          <w:color w:val="auto"/>
          <w:highlight w:val="none"/>
          <w:lang w:eastAsia="zh-CN"/>
        </w:rPr>
        <w:t>管线</w:t>
      </w:r>
      <w:r>
        <w:rPr>
          <w:rFonts w:hint="eastAsia" w:ascii="宋体" w:eastAsia="宋体"/>
          <w:color w:val="auto"/>
          <w:highlight w:val="none"/>
          <w:lang w:eastAsia="zh-CN"/>
        </w:rPr>
        <w:t>沉降及位移监测、视频监控、智能漏水声监测仪等设施设备，</w:t>
      </w:r>
      <w:r>
        <w:rPr>
          <w:rFonts w:hint="eastAsia" w:ascii="宋体" w:eastAsia="宋体"/>
          <w:color w:val="auto"/>
          <w:highlight w:val="none"/>
        </w:rPr>
        <w:t>对风险管线</w:t>
      </w:r>
      <w:r>
        <w:rPr>
          <w:rFonts w:hint="eastAsia"/>
          <w:color w:val="auto"/>
          <w:highlight w:val="none"/>
        </w:rPr>
        <w:t>做好</w:t>
      </w:r>
      <w:r>
        <w:rPr>
          <w:rFonts w:hint="eastAsia"/>
          <w:color w:val="auto"/>
          <w:highlight w:val="none"/>
          <w:lang w:eastAsia="zh-CN"/>
        </w:rPr>
        <w:t>长期</w:t>
      </w:r>
      <w:r>
        <w:rPr>
          <w:rFonts w:hint="eastAsia"/>
          <w:color w:val="auto"/>
          <w:highlight w:val="none"/>
        </w:rPr>
        <w:t>运行监控，实时感知管线运行状态，及时排查处置，降低管线运行风险</w:t>
      </w:r>
      <w:r>
        <w:rPr>
          <w:rFonts w:hint="eastAsia" w:ascii="宋体" w:eastAsia="宋体"/>
          <w:color w:val="auto"/>
          <w:highlight w:val="none"/>
          <w:lang w:eastAsia="zh-CN"/>
        </w:rPr>
        <w:t>；</w:t>
      </w:r>
    </w:p>
    <w:p>
      <w:pPr>
        <w:pStyle w:val="235"/>
        <w:ind w:firstLine="420" w:firstLineChars="200"/>
        <w:rPr>
          <w:rFonts w:hint="eastAsia" w:ascii="宋体"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 xml:space="preserve"> </w:t>
      </w:r>
      <w:r>
        <w:rPr>
          <w:rFonts w:hint="eastAsia"/>
          <w:color w:val="auto"/>
          <w:highlight w:val="none"/>
          <w:lang w:eastAsia="zh-CN"/>
        </w:rPr>
        <w:t>对Ⅰ级风险管段保护范围内的施工作业，应加强巡查密度，监督施工单位按要求落实保护措施。</w:t>
      </w:r>
    </w:p>
    <w:p>
      <w:pPr>
        <w:pStyle w:val="237"/>
        <w:numPr>
          <w:ilvl w:val="0"/>
          <w:numId w:val="0"/>
        </w:numPr>
        <w:spacing w:before="156" w:beforeLines="50" w:after="156" w:afterLines="50"/>
        <w:outlineLvl w:val="9"/>
        <w:rPr>
          <w:rFonts w:hAnsi="黑体" w:cs="黑体"/>
          <w:color w:val="auto"/>
          <w:kern w:val="2"/>
          <w:szCs w:val="24"/>
          <w:highlight w:val="none"/>
        </w:rPr>
      </w:pPr>
      <w:r>
        <w:rPr>
          <w:rFonts w:hint="eastAsia" w:hAnsi="黑体" w:cs="黑体"/>
          <w:color w:val="auto"/>
          <w:kern w:val="2"/>
          <w:szCs w:val="24"/>
          <w:highlight w:val="none"/>
        </w:rPr>
        <w:t>9.3  风险再分析</w:t>
      </w:r>
    </w:p>
    <w:p>
      <w:pPr>
        <w:spacing w:line="240" w:lineRule="auto"/>
        <w:ind w:firstLine="420" w:firstLineChars="200"/>
        <w:rPr>
          <w:rFonts w:ascii="宋体"/>
          <w:color w:val="auto"/>
          <w:kern w:val="0"/>
          <w:szCs w:val="20"/>
          <w:highlight w:val="none"/>
        </w:rPr>
      </w:pPr>
      <w:r>
        <w:rPr>
          <w:rFonts w:hint="eastAsia" w:ascii="宋体"/>
          <w:color w:val="auto"/>
          <w:kern w:val="0"/>
          <w:szCs w:val="20"/>
          <w:highlight w:val="none"/>
        </w:rPr>
        <w:t>采用风险控制措施后，应</w:t>
      </w:r>
      <w:r>
        <w:rPr>
          <w:rFonts w:hint="eastAsia" w:ascii="宋体"/>
          <w:color w:val="auto"/>
          <w:kern w:val="0"/>
          <w:szCs w:val="20"/>
          <w:highlight w:val="none"/>
          <w:lang w:eastAsia="zh-CN"/>
        </w:rPr>
        <w:t>分析</w:t>
      </w:r>
      <w:r>
        <w:rPr>
          <w:rFonts w:hint="eastAsia" w:ascii="宋体"/>
          <w:color w:val="auto"/>
          <w:kern w:val="0"/>
          <w:szCs w:val="20"/>
          <w:highlight w:val="none"/>
          <w:lang w:val="en-US" w:eastAsia="zh-CN"/>
        </w:rPr>
        <w:t>供水地下</w:t>
      </w:r>
      <w:r>
        <w:rPr>
          <w:rFonts w:hint="eastAsia" w:ascii="宋体"/>
          <w:color w:val="auto"/>
          <w:kern w:val="0"/>
          <w:szCs w:val="20"/>
          <w:highlight w:val="none"/>
        </w:rPr>
        <w:t>管线安全风险控制措施的</w:t>
      </w:r>
      <w:r>
        <w:rPr>
          <w:rFonts w:hint="eastAsia" w:ascii="宋体"/>
          <w:color w:val="auto"/>
          <w:kern w:val="0"/>
          <w:szCs w:val="20"/>
          <w:highlight w:val="none"/>
          <w:lang w:eastAsia="zh-CN"/>
        </w:rPr>
        <w:t>实施</w:t>
      </w:r>
      <w:r>
        <w:rPr>
          <w:rFonts w:hint="eastAsia" w:ascii="宋体"/>
          <w:color w:val="auto"/>
          <w:kern w:val="0"/>
          <w:szCs w:val="20"/>
          <w:highlight w:val="none"/>
        </w:rPr>
        <w:t>效果。采用管理和控制措施后的风险等级更新评定应</w:t>
      </w:r>
      <w:r>
        <w:rPr>
          <w:rFonts w:hint="eastAsia" w:ascii="宋体"/>
          <w:color w:val="auto"/>
          <w:kern w:val="0"/>
          <w:szCs w:val="20"/>
          <w:highlight w:val="none"/>
          <w:lang w:val="en-US" w:eastAsia="zh-CN"/>
        </w:rPr>
        <w:t>按更新后的指标重新计算，当采用新方法或新技术时，可</w:t>
      </w:r>
      <w:r>
        <w:rPr>
          <w:rFonts w:hint="eastAsia" w:ascii="宋体"/>
          <w:color w:val="auto"/>
          <w:kern w:val="0"/>
          <w:szCs w:val="20"/>
          <w:highlight w:val="none"/>
        </w:rPr>
        <w:t>按公式（6）</w:t>
      </w:r>
      <w:r>
        <w:rPr>
          <w:rFonts w:hint="eastAsia" w:ascii="宋体"/>
          <w:color w:val="auto"/>
          <w:kern w:val="0"/>
          <w:szCs w:val="20"/>
          <w:highlight w:val="none"/>
          <w:lang w:val="en-US" w:eastAsia="zh-CN"/>
        </w:rPr>
        <w:t>进行</w:t>
      </w:r>
      <w:r>
        <w:rPr>
          <w:rFonts w:hint="eastAsia" w:ascii="宋体"/>
          <w:color w:val="auto"/>
          <w:kern w:val="0"/>
          <w:szCs w:val="20"/>
          <w:highlight w:val="none"/>
        </w:rPr>
        <w:t>计算。</w:t>
      </w:r>
    </w:p>
    <w:p>
      <w:pPr>
        <w:keepNext w:val="0"/>
        <w:keepLines w:val="0"/>
        <w:pageBreakBefore w:val="0"/>
        <w:widowControl w:val="0"/>
        <w:tabs>
          <w:tab w:val="right" w:leader="middleDot" w:pos="8820"/>
        </w:tabs>
        <w:kinsoku/>
        <w:wordWrap/>
        <w:overflowPunct/>
        <w:topLinePunct w:val="0"/>
        <w:autoSpaceDE/>
        <w:autoSpaceDN/>
        <w:bidi w:val="0"/>
        <w:adjustRightInd w:val="0"/>
        <w:snapToGrid/>
        <w:jc w:val="right"/>
        <w:textAlignment w:val="auto"/>
        <w:rPr>
          <w:rFonts w:hint="eastAsia" w:ascii="宋体" w:hAnsi="宋体" w:eastAsia="宋体" w:cs="宋体"/>
          <w:color w:val="auto"/>
          <w:kern w:val="0"/>
          <w:szCs w:val="20"/>
          <w:highlight w:val="none"/>
          <w:lang w:eastAsia="zh-CN"/>
        </w:rPr>
      </w:pPr>
      <w:r>
        <w:rPr>
          <w:rFonts w:hint="eastAsia" w:hAnsi="Cambria Math"/>
          <w:i w:val="0"/>
          <w:color w:val="auto"/>
          <w:highlight w:val="none"/>
          <w:lang w:val="en-US" w:eastAsia="zh-CN"/>
        </w:rPr>
        <w:t xml:space="preserve">                     </w:t>
      </w:r>
      <w:r>
        <w:rPr>
          <w:rFonts w:hint="eastAsia" w:ascii="宋体" w:hAnsi="宋体" w:eastAsia="宋体" w:cs="宋体"/>
          <w:i w:val="0"/>
          <w:color w:val="auto"/>
          <w:highlight w:val="none"/>
          <w:lang w:val="en-US" w:eastAsia="zh-CN"/>
        </w:rPr>
        <w:t xml:space="preserve">       </w:t>
      </w:r>
      <m:oMath>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R</m:t>
            </m:r>
            <m:ctrlPr>
              <w:rPr>
                <w:rFonts w:hint="eastAsia" w:ascii="Cambria Math" w:hAnsi="Cambria Math" w:eastAsia="宋体" w:cs="宋体"/>
                <w:i/>
                <w:color w:val="auto"/>
                <w:highlight w:val="none"/>
              </w:rPr>
            </m:ctrlPr>
          </m:e>
          <m:sub>
            <m:r>
              <m:rPr/>
              <w:rPr>
                <w:rFonts w:hint="eastAsia" w:ascii="Cambria Math" w:hAnsi="Cambria Math" w:eastAsia="宋体" w:cs="宋体"/>
                <w:color w:val="auto"/>
                <w:highlight w:val="none"/>
              </w:rPr>
              <m:t>a</m:t>
            </m:r>
            <m:ctrlPr>
              <w:rPr>
                <w:rFonts w:hint="eastAsia" w:ascii="Cambria Math" w:hAnsi="Cambria Math" w:eastAsia="宋体" w:cs="宋体"/>
                <w:i/>
                <w:color w:val="auto"/>
                <w:highlight w:val="none"/>
              </w:rPr>
            </m:ctrlPr>
          </m:sub>
        </m:sSub>
        <m:r>
          <m:rPr/>
          <w:rPr>
            <w:rFonts w:hint="eastAsia" w:ascii="Cambria Math" w:hAnsi="Cambria Math" w:eastAsia="宋体" w:cs="宋体"/>
            <w:color w:val="auto"/>
            <w:highlight w:val="none"/>
          </w:rPr>
          <m:t>=f</m:t>
        </m:r>
        <m:d>
          <m:dPr>
            <m:ctrlPr>
              <w:rPr>
                <w:rFonts w:hint="eastAsia" w:ascii="Cambria Math" w:hAnsi="Cambria Math" w:eastAsia="宋体" w:cs="宋体"/>
                <w:i/>
                <w:color w:val="auto"/>
                <w:highlight w:val="none"/>
              </w:rPr>
            </m:ctrlPr>
          </m:dPr>
          <m:e>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λ</m:t>
                </m:r>
                <m:ctrlPr>
                  <w:rPr>
                    <w:rFonts w:hint="eastAsia" w:ascii="Cambria Math" w:hAnsi="Cambria Math" w:eastAsia="宋体" w:cs="宋体"/>
                    <w:i/>
                    <w:color w:val="auto"/>
                    <w:highlight w:val="none"/>
                  </w:rPr>
                </m:ctrlPr>
              </m:e>
              <m:sub>
                <m:r>
                  <m:rPr/>
                  <w:rPr>
                    <w:rFonts w:hint="eastAsia" w:ascii="Cambria Math" w:hAnsi="Cambria Math" w:eastAsia="宋体" w:cs="宋体"/>
                    <w:color w:val="auto"/>
                    <w:highlight w:val="none"/>
                  </w:rPr>
                  <m:t>l</m:t>
                </m:r>
                <m:ctrlPr>
                  <w:rPr>
                    <w:rFonts w:hint="eastAsia" w:ascii="Cambria Math" w:hAnsi="Cambria Math" w:eastAsia="宋体" w:cs="宋体"/>
                    <w:i/>
                    <w:color w:val="auto"/>
                    <w:highlight w:val="none"/>
                  </w:rPr>
                </m:ctrlPr>
              </m:sub>
            </m:sSub>
            <m:r>
              <m:rPr/>
              <w:rPr>
                <w:rFonts w:hint="eastAsia" w:ascii="Cambria Math" w:hAnsi="Cambria Math" w:eastAsia="宋体" w:cs="宋体"/>
                <w:color w:val="auto"/>
                <w:highlight w:val="none"/>
              </w:rPr>
              <m:t>×L,</m:t>
            </m:r>
            <m:sSub>
              <m:sSubPr>
                <m:ctrlPr>
                  <w:rPr>
                    <w:rFonts w:hint="eastAsia" w:ascii="Cambria Math" w:hAnsi="Cambria Math" w:eastAsia="宋体" w:cs="宋体"/>
                    <w:i/>
                    <w:color w:val="auto"/>
                    <w:highlight w:val="none"/>
                  </w:rPr>
                </m:ctrlPr>
              </m:sSubPr>
              <m:e>
                <m:r>
                  <m:rPr/>
                  <w:rPr>
                    <w:rFonts w:hint="eastAsia" w:ascii="Cambria Math" w:hAnsi="Cambria Math" w:eastAsia="宋体" w:cs="宋体"/>
                    <w:color w:val="auto"/>
                    <w:highlight w:val="none"/>
                  </w:rPr>
                  <m:t>λ</m:t>
                </m:r>
                <m:ctrlPr>
                  <w:rPr>
                    <w:rFonts w:hint="eastAsia" w:ascii="Cambria Math" w:hAnsi="Cambria Math" w:eastAsia="宋体" w:cs="宋体"/>
                    <w:i/>
                    <w:color w:val="auto"/>
                    <w:highlight w:val="none"/>
                  </w:rPr>
                </m:ctrlPr>
              </m:e>
              <m:sub>
                <m:r>
                  <m:rPr/>
                  <w:rPr>
                    <w:rFonts w:hint="eastAsia" w:ascii="Cambria Math" w:hAnsi="Cambria Math" w:eastAsia="宋体" w:cs="宋体"/>
                    <w:color w:val="auto"/>
                    <w:highlight w:val="none"/>
                  </w:rPr>
                  <m:t>c</m:t>
                </m:r>
                <m:ctrlPr>
                  <w:rPr>
                    <w:rFonts w:hint="eastAsia" w:ascii="Cambria Math" w:hAnsi="Cambria Math" w:eastAsia="宋体" w:cs="宋体"/>
                    <w:i/>
                    <w:color w:val="auto"/>
                    <w:highlight w:val="none"/>
                  </w:rPr>
                </m:ctrlPr>
              </m:sub>
            </m:sSub>
            <m:r>
              <m:rPr/>
              <w:rPr>
                <w:rFonts w:hint="eastAsia" w:ascii="Cambria Math" w:hAnsi="Cambria Math" w:eastAsia="宋体" w:cs="宋体"/>
                <w:color w:val="auto"/>
                <w:highlight w:val="none"/>
              </w:rPr>
              <m:t>×C</m:t>
            </m:r>
            <m:ctrlPr>
              <w:rPr>
                <w:rFonts w:hint="eastAsia" w:ascii="Cambria Math" w:hAnsi="Cambria Math" w:eastAsia="宋体" w:cs="宋体"/>
                <w:i/>
                <w:color w:val="auto"/>
                <w:highlight w:val="none"/>
              </w:rPr>
            </m:ctrlPr>
          </m:e>
        </m:d>
      </m:oMath>
      <w:r>
        <w:rPr>
          <w:rFonts w:hint="eastAsia" w:ascii="宋体" w:hAnsi="宋体" w:eastAsia="宋体" w:cs="宋体"/>
          <w:color w:val="auto"/>
          <w:kern w:val="0"/>
          <w:szCs w:val="20"/>
          <w:highlight w:val="none"/>
          <w:lang w:val="en-US" w:eastAsia="zh-CN"/>
        </w:rPr>
        <w:tab/>
      </w:r>
      <w:r>
        <w:rPr>
          <w:rFonts w:hint="eastAsia" w:ascii="宋体" w:hAnsi="宋体" w:eastAsia="宋体" w:cs="宋体"/>
          <w:color w:val="auto"/>
          <w:kern w:val="0"/>
          <w:szCs w:val="20"/>
          <w:highlight w:val="none"/>
          <w:lang w:eastAsia="zh-CN"/>
        </w:rPr>
        <w:t>（</w:t>
      </w:r>
      <w:r>
        <w:rPr>
          <w:rFonts w:hint="eastAsia" w:ascii="宋体" w:hAnsi="宋体" w:eastAsia="宋体" w:cs="宋体"/>
          <w:color w:val="auto"/>
          <w:kern w:val="0"/>
          <w:szCs w:val="20"/>
          <w:highlight w:val="none"/>
          <w:lang w:val="en-US" w:eastAsia="zh-CN"/>
        </w:rPr>
        <w:t>6</w:t>
      </w:r>
      <w:r>
        <w:rPr>
          <w:rFonts w:hint="eastAsia" w:ascii="宋体" w:hAnsi="宋体" w:eastAsia="宋体" w:cs="宋体"/>
          <w:color w:val="auto"/>
          <w:kern w:val="0"/>
          <w:szCs w:val="20"/>
          <w:highlight w:val="none"/>
          <w:lang w:eastAsia="zh-CN"/>
        </w:rPr>
        <w:t>）</w:t>
      </w:r>
    </w:p>
    <w:p>
      <w:pPr>
        <w:spacing w:line="240" w:lineRule="auto"/>
        <w:ind w:firstLine="420" w:firstLineChars="200"/>
        <w:rPr>
          <w:rFonts w:hint="eastAsia" w:ascii="宋体" w:hAnsi="宋体" w:eastAsia="宋体" w:cs="宋体"/>
          <w:iCs/>
          <w:color w:val="auto"/>
          <w:highlight w:val="none"/>
        </w:rPr>
      </w:pPr>
      <w:r>
        <w:rPr>
          <w:rFonts w:hint="eastAsia" w:ascii="宋体" w:hAnsi="宋体" w:eastAsia="宋体" w:cs="宋体"/>
          <w:iCs/>
          <w:color w:val="auto"/>
          <w:highlight w:val="none"/>
        </w:rPr>
        <w:t>式中：</w:t>
      </w:r>
    </w:p>
    <w:p>
      <w:pPr>
        <w:spacing w:line="240" w:lineRule="auto"/>
        <w:ind w:firstLine="840" w:firstLineChars="400"/>
        <w:rPr>
          <w:rFonts w:hint="eastAsia" w:ascii="宋体" w:hAnsi="宋体" w:eastAsia="宋体" w:cs="宋体"/>
          <w:i/>
          <w:color w:val="auto"/>
          <w:sz w:val="36"/>
          <w:szCs w:val="44"/>
          <w:highlight w:val="none"/>
        </w:rPr>
      </w:pPr>
      <w:r>
        <w:rPr>
          <w:rFonts w:hint="default" w:ascii="Times New Roman" w:hAnsi="Times New Roman" w:eastAsia="宋体" w:cs="Times New Roman"/>
          <w:i/>
          <w:color w:val="auto"/>
          <w:highlight w:val="none"/>
        </w:rPr>
        <w:t>R</w:t>
      </w:r>
      <w:r>
        <w:rPr>
          <w:rFonts w:hint="default" w:ascii="Times New Roman" w:hAnsi="Times New Roman" w:eastAsia="宋体" w:cs="Times New Roman"/>
          <w:i/>
          <w:color w:val="auto"/>
          <w:highlight w:val="none"/>
          <w:vertAlign w:val="subscript"/>
          <w:lang w:val="en-US" w:eastAsia="zh-CN"/>
        </w:rPr>
        <w:t>a</w:t>
      </w:r>
      <w:r>
        <w:rPr>
          <w:rFonts w:hint="eastAsia" w:ascii="宋体" w:hAnsi="宋体" w:eastAsia="宋体" w:cs="宋体"/>
          <w:i/>
          <w:color w:val="auto"/>
          <w:highlight w:val="none"/>
          <w:vertAlign w:val="subscript"/>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采取控制措施后的风险等级，可参考表1</w:t>
      </w:r>
      <w:r>
        <w:rPr>
          <w:rFonts w:hint="eastAsia" w:ascii="宋体" w:hAnsi="宋体" w:eastAsia="宋体" w:cs="宋体"/>
          <w:color w:val="auto"/>
          <w:kern w:val="0"/>
          <w:szCs w:val="20"/>
          <w:highlight w:val="none"/>
          <w:lang w:val="en-US" w:eastAsia="zh-CN"/>
        </w:rPr>
        <w:t>4</w:t>
      </w:r>
      <w:r>
        <w:rPr>
          <w:rFonts w:hint="eastAsia" w:ascii="宋体" w:hAnsi="宋体" w:eastAsia="宋体" w:cs="宋体"/>
          <w:color w:val="auto"/>
          <w:kern w:val="0"/>
          <w:szCs w:val="20"/>
          <w:highlight w:val="none"/>
        </w:rPr>
        <w:t>或表2</w:t>
      </w:r>
      <w:r>
        <w:rPr>
          <w:rFonts w:hint="eastAsia" w:ascii="宋体" w:hAnsi="宋体" w:eastAsia="宋体" w:cs="宋体"/>
          <w:color w:val="auto"/>
          <w:kern w:val="0"/>
          <w:szCs w:val="20"/>
          <w:highlight w:val="none"/>
          <w:lang w:val="en-US" w:eastAsia="zh-CN"/>
        </w:rPr>
        <w:t>3</w:t>
      </w:r>
      <w:r>
        <w:rPr>
          <w:rFonts w:hint="eastAsia" w:ascii="宋体" w:hAnsi="宋体" w:eastAsia="宋体" w:cs="宋体"/>
          <w:color w:val="auto"/>
          <w:kern w:val="0"/>
          <w:szCs w:val="20"/>
          <w:highlight w:val="none"/>
        </w:rPr>
        <w:t>确定；</w:t>
      </w:r>
    </w:p>
    <w:p>
      <w:pPr>
        <w:spacing w:line="240" w:lineRule="auto"/>
        <w:ind w:firstLine="840" w:firstLineChars="400"/>
        <w:rPr>
          <w:rFonts w:hint="eastAsia" w:ascii="宋体" w:hAnsi="宋体" w:eastAsia="宋体" w:cs="宋体"/>
          <w:color w:val="auto"/>
          <w:kern w:val="0"/>
          <w:szCs w:val="20"/>
          <w:highlight w:val="none"/>
        </w:rPr>
      </w:pPr>
      <w:r>
        <w:rPr>
          <w:rFonts w:hint="default" w:ascii="Times New Roman" w:hAnsi="Times New Roman" w:eastAsia="宋体" w:cs="Times New Roman"/>
          <w:i/>
          <w:color w:val="auto"/>
          <w:highlight w:val="none"/>
        </w:rPr>
        <w:t>λ</w:t>
      </w:r>
      <w:r>
        <w:rPr>
          <w:rFonts w:hint="default" w:ascii="Times New Roman" w:hAnsi="Times New Roman" w:eastAsia="宋体" w:cs="Times New Roman"/>
          <w:i/>
          <w:color w:val="auto"/>
          <w:highlight w:val="none"/>
          <w:vertAlign w:val="subscript"/>
        </w:rPr>
        <w:t>l</w:t>
      </w:r>
      <w:r>
        <w:rPr>
          <w:rFonts w:hint="eastAsia" w:ascii="宋体" w:hAnsi="宋体" w:eastAsia="宋体" w:cs="宋体"/>
          <w:i/>
          <w:color w:val="auto"/>
          <w:highlight w:val="none"/>
          <w:vertAlign w:val="subscript"/>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采用控制措施后的风险发生可能性缓解系数，应根据已实施控制措施的整体有效性进行经验取值，取值区间[0.6,1.0]；</w:t>
      </w:r>
    </w:p>
    <w:p>
      <w:pPr>
        <w:spacing w:line="240" w:lineRule="auto"/>
        <w:ind w:firstLine="840" w:firstLineChars="400"/>
        <w:rPr>
          <w:rFonts w:hint="eastAsia" w:ascii="宋体" w:hAnsi="宋体" w:eastAsia="宋体" w:cs="宋体"/>
          <w:color w:val="auto"/>
          <w:kern w:val="0"/>
          <w:szCs w:val="20"/>
          <w:highlight w:val="none"/>
          <w:lang w:val="en-US" w:eastAsia="zh-CN"/>
        </w:rPr>
      </w:pPr>
      <w:r>
        <w:rPr>
          <w:rFonts w:hint="default" w:ascii="Times New Roman" w:hAnsi="Times New Roman" w:eastAsia="宋体" w:cs="Times New Roman"/>
          <w:i/>
          <w:iCs/>
          <w:color w:val="auto"/>
          <w:kern w:val="0"/>
          <w:szCs w:val="20"/>
          <w:highlight w:val="none"/>
          <w:lang w:val="en-US" w:eastAsia="zh-CN"/>
        </w:rPr>
        <w:t>L</w:t>
      </w:r>
      <w:r>
        <w:rPr>
          <w:rFonts w:hint="eastAsia" w:ascii="宋体" w:hAnsi="宋体" w:eastAsia="宋体" w:cs="宋体"/>
          <w:color w:val="auto"/>
          <w:kern w:val="0"/>
          <w:szCs w:val="20"/>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风险发生可能性分析值，按计算值向上取整数；</w:t>
      </w:r>
    </w:p>
    <w:p>
      <w:pPr>
        <w:spacing w:line="240" w:lineRule="auto"/>
        <w:ind w:firstLine="840" w:firstLineChars="400"/>
        <w:rPr>
          <w:rFonts w:hint="eastAsia" w:ascii="宋体" w:hAnsi="宋体" w:eastAsia="宋体" w:cs="宋体"/>
          <w:color w:val="auto"/>
          <w:kern w:val="0"/>
          <w:szCs w:val="20"/>
          <w:highlight w:val="none"/>
          <w:lang w:eastAsia="zh-CN"/>
        </w:rPr>
      </w:pPr>
      <w:r>
        <w:rPr>
          <w:rFonts w:hint="default" w:ascii="Times New Roman" w:hAnsi="Times New Roman" w:eastAsia="宋体" w:cs="Times New Roman"/>
          <w:i/>
          <w:color w:val="auto"/>
          <w:highlight w:val="none"/>
        </w:rPr>
        <w:t>λc</w:t>
      </w:r>
      <w:r>
        <w:rPr>
          <w:rFonts w:hint="eastAsia" w:ascii="宋体" w:hAnsi="宋体" w:eastAsia="宋体" w:cs="宋体"/>
          <w:i/>
          <w:color w:val="auto"/>
          <w:highlight w:val="none"/>
          <w:lang w:val="en-US" w:eastAsia="zh-CN"/>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kern w:val="0"/>
          <w:szCs w:val="20"/>
          <w:highlight w:val="none"/>
        </w:rPr>
        <w:t>采用控制措施后的失效后果影响缓解系数，应根据已实施控制措施的整体有效性进行经验取值，取值区间[0.6,1.0]</w:t>
      </w:r>
      <w:bookmarkStart w:id="166" w:name="_Toc31580"/>
      <w:r>
        <w:rPr>
          <w:rFonts w:hint="eastAsia" w:ascii="宋体" w:hAnsi="宋体" w:eastAsia="宋体" w:cs="宋体"/>
          <w:color w:val="auto"/>
          <w:kern w:val="0"/>
          <w:szCs w:val="20"/>
          <w:highlight w:val="none"/>
          <w:lang w:eastAsia="zh-CN"/>
        </w:rPr>
        <w:t>；</w:t>
      </w:r>
    </w:p>
    <w:p>
      <w:pPr>
        <w:spacing w:line="240" w:lineRule="auto"/>
        <w:ind w:firstLine="840" w:firstLineChars="400"/>
        <w:rPr>
          <w:rFonts w:hint="eastAsia" w:ascii="宋体" w:hAnsi="宋体" w:eastAsia="宋体" w:cs="宋体"/>
          <w:color w:val="auto"/>
          <w:kern w:val="0"/>
          <w:szCs w:val="20"/>
          <w:highlight w:val="none"/>
          <w:lang w:val="en-US" w:eastAsia="zh-CN"/>
        </w:rPr>
      </w:pPr>
      <w:r>
        <w:rPr>
          <w:rFonts w:hint="default" w:ascii="Times New Roman" w:hAnsi="Times New Roman" w:eastAsia="宋体" w:cs="Times New Roman"/>
          <w:i/>
          <w:color w:val="auto"/>
          <w:highlight w:val="none"/>
        </w:rPr>
        <w:t>C</w:t>
      </w:r>
      <w:r>
        <w:rPr>
          <w:rFonts w:hint="default" w:ascii="Times New Roman" w:hAnsi="Times New Roman" w:eastAsia="宋体" w:cs="Times New Roman"/>
          <w:color w:val="auto"/>
          <w:highlight w:val="non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失效后果严重性分析值，按计算值向上取整数</w:t>
      </w:r>
      <w:r>
        <w:rPr>
          <w:rFonts w:hint="eastAsia" w:ascii="宋体" w:hAnsi="宋体" w:eastAsia="宋体" w:cs="宋体"/>
          <w:color w:val="auto"/>
          <w:highlight w:val="none"/>
          <w:lang w:eastAsia="zh-CN"/>
        </w:rPr>
        <w:t>。</w:t>
      </w:r>
      <w:r>
        <w:rPr>
          <w:rFonts w:hint="eastAsia" w:ascii="宋体" w:hAnsi="宋体" w:eastAsia="宋体" w:cs="宋体"/>
          <w:color w:val="auto"/>
          <w:kern w:val="0"/>
          <w:szCs w:val="20"/>
          <w:highlight w:val="none"/>
          <w:lang w:val="en-US" w:eastAsia="zh-CN"/>
        </w:rPr>
        <w:t xml:space="preserve"> </w:t>
      </w:r>
    </w:p>
    <w:bookmarkEnd w:id="166"/>
    <w:p>
      <w:pPr>
        <w:pStyle w:val="109"/>
        <w:spacing w:before="312" w:after="312"/>
        <w:rPr>
          <w:color w:val="auto"/>
          <w:highlight w:val="none"/>
        </w:rPr>
      </w:pPr>
      <w:bookmarkStart w:id="167" w:name="_Toc690494999"/>
      <w:bookmarkStart w:id="168" w:name="_Toc313789749"/>
      <w:bookmarkStart w:id="169" w:name="_Toc1326601503"/>
      <w:bookmarkStart w:id="170" w:name="_Toc511978619"/>
      <w:r>
        <w:rPr>
          <w:rFonts w:hint="eastAsia"/>
          <w:color w:val="auto"/>
          <w:highlight w:val="none"/>
          <w:lang w:eastAsia="zh-CN"/>
        </w:rPr>
        <w:t>成果</w:t>
      </w:r>
      <w:r>
        <w:rPr>
          <w:rFonts w:hint="eastAsia"/>
          <w:color w:val="auto"/>
          <w:highlight w:val="none"/>
        </w:rPr>
        <w:t>管理</w:t>
      </w:r>
      <w:bookmarkEnd w:id="167"/>
      <w:bookmarkEnd w:id="168"/>
      <w:bookmarkEnd w:id="169"/>
      <w:bookmarkEnd w:id="170"/>
    </w:p>
    <w:p>
      <w:pPr>
        <w:pStyle w:val="237"/>
        <w:numPr>
          <w:ilvl w:val="0"/>
          <w:numId w:val="0"/>
        </w:numPr>
        <w:spacing w:before="156" w:beforeLines="50" w:after="156" w:afterLines="50"/>
        <w:outlineLvl w:val="9"/>
        <w:rPr>
          <w:rFonts w:hint="eastAsia" w:hAnsi="黑体" w:cs="黑体"/>
          <w:color w:val="auto"/>
          <w:kern w:val="2"/>
          <w:szCs w:val="24"/>
          <w:highlight w:val="none"/>
          <w:lang w:val="en-US" w:eastAsia="zh-CN"/>
        </w:rPr>
      </w:pPr>
      <w:r>
        <w:rPr>
          <w:rFonts w:hint="eastAsia" w:hAnsi="黑体" w:cs="黑体"/>
          <w:color w:val="auto"/>
          <w:kern w:val="2"/>
          <w:szCs w:val="24"/>
          <w:highlight w:val="none"/>
          <w:lang w:val="en-US" w:eastAsia="zh-CN"/>
        </w:rPr>
        <w:t>10.1  报告编制</w:t>
      </w:r>
    </w:p>
    <w:p>
      <w:pPr>
        <w:spacing w:line="240" w:lineRule="auto"/>
        <w:jc w:val="left"/>
        <w:rPr>
          <w:rFonts w:ascii="宋体"/>
          <w:color w:val="auto"/>
          <w:kern w:val="0"/>
          <w:szCs w:val="20"/>
          <w:highlight w:val="none"/>
        </w:rPr>
      </w:pPr>
      <w:r>
        <w:rPr>
          <w:rFonts w:hint="eastAsia" w:ascii="宋体" w:hAnsi="Calibri" w:cs="Times New Roman"/>
          <w:color w:val="auto"/>
          <w:kern w:val="0"/>
          <w:szCs w:val="20"/>
          <w:highlight w:val="none"/>
          <w:lang w:val="en-US" w:eastAsia="zh-CN"/>
        </w:rPr>
        <w:t>1</w:t>
      </w:r>
      <w:r>
        <w:rPr>
          <w:rFonts w:hint="eastAsia" w:ascii="宋体" w:cs="Times New Roman"/>
          <w:color w:val="auto"/>
          <w:kern w:val="0"/>
          <w:szCs w:val="20"/>
          <w:highlight w:val="none"/>
          <w:lang w:val="en-US" w:eastAsia="zh-CN"/>
        </w:rPr>
        <w:t>0</w:t>
      </w:r>
      <w:r>
        <w:rPr>
          <w:rFonts w:hint="eastAsia" w:ascii="宋体" w:hAnsi="Calibri" w:cs="Times New Roman"/>
          <w:color w:val="auto"/>
          <w:kern w:val="0"/>
          <w:szCs w:val="20"/>
          <w:highlight w:val="none"/>
          <w:lang w:val="en-US" w:eastAsia="zh-CN"/>
        </w:rPr>
        <w:t xml:space="preserve">.1.1  </w:t>
      </w:r>
      <w:r>
        <w:rPr>
          <w:rFonts w:hint="eastAsia" w:ascii="宋体"/>
          <w:color w:val="auto"/>
          <w:kern w:val="0"/>
          <w:szCs w:val="20"/>
          <w:highlight w:val="none"/>
        </w:rPr>
        <w:t>供水管网运行管理单位应编制风险分析</w:t>
      </w:r>
      <w:r>
        <w:rPr>
          <w:rFonts w:hint="eastAsia" w:ascii="宋体"/>
          <w:color w:val="auto"/>
          <w:kern w:val="0"/>
          <w:szCs w:val="20"/>
          <w:highlight w:val="none"/>
          <w:lang w:eastAsia="zh-CN"/>
        </w:rPr>
        <w:t>与控制</w:t>
      </w:r>
      <w:r>
        <w:rPr>
          <w:rFonts w:hint="eastAsia" w:ascii="宋体"/>
          <w:color w:val="auto"/>
          <w:kern w:val="0"/>
          <w:szCs w:val="20"/>
          <w:highlight w:val="none"/>
        </w:rPr>
        <w:t>报告，报告应包括以下内容：</w:t>
      </w:r>
    </w:p>
    <w:p>
      <w:pPr>
        <w:spacing w:line="240" w:lineRule="auto"/>
        <w:ind w:firstLine="420" w:firstLineChars="200"/>
        <w:jc w:val="left"/>
        <w:rPr>
          <w:rFonts w:ascii="宋体"/>
          <w:color w:val="auto"/>
          <w:kern w:val="0"/>
          <w:szCs w:val="20"/>
          <w:highlight w:val="none"/>
        </w:rPr>
      </w:pPr>
      <w:r>
        <w:rPr>
          <w:rFonts w:hint="eastAsia" w:ascii="宋体"/>
          <w:color w:val="auto"/>
          <w:kern w:val="0"/>
          <w:szCs w:val="20"/>
          <w:highlight w:val="none"/>
        </w:rPr>
        <w:t>——</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分析工作的依据，分析的范围、目标、类型；</w:t>
      </w:r>
    </w:p>
    <w:p>
      <w:pPr>
        <w:spacing w:line="240" w:lineRule="auto"/>
        <w:ind w:firstLine="420" w:firstLineChars="200"/>
        <w:jc w:val="left"/>
        <w:rPr>
          <w:rFonts w:ascii="宋体"/>
          <w:color w:val="auto"/>
          <w:kern w:val="0"/>
          <w:szCs w:val="20"/>
          <w:highlight w:val="none"/>
        </w:rPr>
      </w:pPr>
      <w:r>
        <w:rPr>
          <w:rFonts w:hint="eastAsia" w:ascii="宋体"/>
          <w:color w:val="auto"/>
          <w:kern w:val="0"/>
          <w:szCs w:val="20"/>
          <w:highlight w:val="none"/>
        </w:rPr>
        <w:t>——</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分析小组的人员和分工；</w:t>
      </w:r>
    </w:p>
    <w:p>
      <w:pPr>
        <w:spacing w:line="240" w:lineRule="auto"/>
        <w:ind w:firstLine="420" w:firstLineChars="200"/>
        <w:jc w:val="left"/>
        <w:rPr>
          <w:rFonts w:ascii="宋体"/>
          <w:color w:val="auto"/>
          <w:kern w:val="0"/>
          <w:szCs w:val="20"/>
          <w:highlight w:val="none"/>
        </w:rPr>
      </w:pPr>
      <w:r>
        <w:rPr>
          <w:rFonts w:hint="eastAsia" w:ascii="宋体"/>
          <w:color w:val="auto"/>
          <w:kern w:val="0"/>
          <w:szCs w:val="20"/>
          <w:highlight w:val="none"/>
        </w:rPr>
        <w:t>——</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分析单元的划分原则、单元数量，分析的数据资料来源；</w:t>
      </w:r>
    </w:p>
    <w:p>
      <w:pPr>
        <w:spacing w:line="240" w:lineRule="auto"/>
        <w:ind w:firstLine="420" w:firstLineChars="200"/>
        <w:jc w:val="left"/>
        <w:rPr>
          <w:rFonts w:ascii="宋体"/>
          <w:color w:val="auto"/>
          <w:kern w:val="0"/>
          <w:szCs w:val="20"/>
          <w:highlight w:val="none"/>
        </w:rPr>
      </w:pPr>
      <w:r>
        <w:rPr>
          <w:rFonts w:hint="eastAsia" w:ascii="宋体"/>
          <w:color w:val="auto"/>
          <w:kern w:val="0"/>
          <w:szCs w:val="20"/>
          <w:highlight w:val="none"/>
        </w:rPr>
        <w:t>——</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分析方法和结论；</w:t>
      </w:r>
    </w:p>
    <w:p>
      <w:pPr>
        <w:spacing w:line="240" w:lineRule="auto"/>
        <w:ind w:firstLine="420" w:firstLineChars="200"/>
        <w:jc w:val="left"/>
        <w:rPr>
          <w:rFonts w:hint="eastAsia" w:ascii="宋体"/>
          <w:color w:val="auto"/>
          <w:kern w:val="0"/>
          <w:szCs w:val="20"/>
          <w:highlight w:val="none"/>
          <w:lang w:val="en-US" w:eastAsia="zh-CN"/>
        </w:rPr>
      </w:pPr>
      <w:r>
        <w:rPr>
          <w:rFonts w:hint="eastAsia" w:ascii="宋体"/>
          <w:color w:val="auto"/>
          <w:kern w:val="0"/>
          <w:szCs w:val="20"/>
          <w:highlight w:val="none"/>
        </w:rPr>
        <w:t>——</w:t>
      </w:r>
      <w:r>
        <w:rPr>
          <w:rFonts w:hint="eastAsia" w:ascii="宋体"/>
          <w:color w:val="auto"/>
          <w:kern w:val="0"/>
          <w:szCs w:val="20"/>
          <w:highlight w:val="none"/>
          <w:lang w:val="en-US" w:eastAsia="zh-CN"/>
        </w:rPr>
        <w:t xml:space="preserve"> </w:t>
      </w:r>
      <w:r>
        <w:rPr>
          <w:rFonts w:hint="eastAsia" w:ascii="宋体"/>
          <w:color w:val="auto"/>
          <w:kern w:val="0"/>
          <w:szCs w:val="20"/>
          <w:highlight w:val="none"/>
        </w:rPr>
        <w:t>风险控制措施等。</w:t>
      </w:r>
    </w:p>
    <w:p>
      <w:pPr>
        <w:pStyle w:val="235"/>
        <w:ind w:firstLine="0" w:firstLineChars="0"/>
        <w:rPr>
          <w:rFonts w:hint="eastAsia" w:ascii="宋体" w:hAnsi="宋体"/>
          <w:color w:val="auto"/>
          <w:kern w:val="0"/>
          <w:szCs w:val="20"/>
          <w:highlight w:val="none"/>
        </w:rPr>
      </w:pPr>
      <w:r>
        <w:rPr>
          <w:rFonts w:hint="eastAsia"/>
          <w:color w:val="auto"/>
          <w:highlight w:val="none"/>
          <w:lang w:val="en-US" w:eastAsia="zh-CN"/>
        </w:rPr>
        <w:t xml:space="preserve">10.1.2  </w:t>
      </w:r>
      <w:r>
        <w:rPr>
          <w:rFonts w:hint="eastAsia" w:ascii="宋体" w:hAnsi="宋体"/>
          <w:color w:val="auto"/>
          <w:kern w:val="0"/>
          <w:szCs w:val="20"/>
          <w:highlight w:val="none"/>
        </w:rPr>
        <w:t>风险分析与控制报告应由高级职称以上</w:t>
      </w:r>
      <w:r>
        <w:rPr>
          <w:rFonts w:hint="eastAsia" w:ascii="宋体" w:hAnsi="宋体"/>
          <w:color w:val="auto"/>
          <w:kern w:val="0"/>
          <w:szCs w:val="20"/>
          <w:highlight w:val="none"/>
          <w:lang w:eastAsia="zh-CN"/>
        </w:rPr>
        <w:t>的</w:t>
      </w:r>
      <w:r>
        <w:rPr>
          <w:rFonts w:hint="eastAsia" w:ascii="宋体" w:hAnsi="宋体"/>
          <w:color w:val="auto"/>
          <w:kern w:val="0"/>
          <w:szCs w:val="20"/>
          <w:highlight w:val="none"/>
        </w:rPr>
        <w:t>人员</w:t>
      </w:r>
      <w:r>
        <w:rPr>
          <w:rFonts w:hint="eastAsia" w:ascii="宋体" w:hAnsi="宋体"/>
          <w:color w:val="auto"/>
          <w:kern w:val="0"/>
          <w:szCs w:val="20"/>
          <w:highlight w:val="none"/>
          <w:lang w:eastAsia="zh-CN"/>
        </w:rPr>
        <w:t>编写</w:t>
      </w:r>
      <w:r>
        <w:rPr>
          <w:rFonts w:hint="eastAsia" w:ascii="宋体" w:hAnsi="宋体"/>
          <w:color w:val="auto"/>
          <w:kern w:val="0"/>
          <w:szCs w:val="20"/>
          <w:highlight w:val="none"/>
        </w:rPr>
        <w:t>，</w:t>
      </w:r>
      <w:r>
        <w:rPr>
          <w:rFonts w:hint="eastAsia" w:ascii="宋体" w:hAnsi="宋体"/>
          <w:color w:val="auto"/>
          <w:kern w:val="0"/>
          <w:szCs w:val="20"/>
          <w:highlight w:val="none"/>
          <w:lang w:eastAsia="zh-CN"/>
        </w:rPr>
        <w:t>经相关</w:t>
      </w:r>
      <w:r>
        <w:rPr>
          <w:rFonts w:hint="eastAsia" w:ascii="宋体" w:hAnsi="宋体"/>
          <w:color w:val="auto"/>
          <w:kern w:val="0"/>
          <w:szCs w:val="20"/>
          <w:highlight w:val="none"/>
        </w:rPr>
        <w:t>负责人</w:t>
      </w:r>
      <w:r>
        <w:rPr>
          <w:rFonts w:hint="eastAsia" w:ascii="宋体" w:hAnsi="宋体"/>
          <w:color w:val="auto"/>
          <w:kern w:val="0"/>
          <w:szCs w:val="20"/>
          <w:highlight w:val="none"/>
          <w:lang w:eastAsia="zh-CN"/>
        </w:rPr>
        <w:t>审核、</w:t>
      </w:r>
      <w:r>
        <w:rPr>
          <w:rFonts w:hint="eastAsia" w:ascii="宋体" w:hAnsi="宋体"/>
          <w:color w:val="auto"/>
          <w:kern w:val="0"/>
          <w:szCs w:val="20"/>
          <w:highlight w:val="none"/>
        </w:rPr>
        <w:t>签字，</w:t>
      </w:r>
      <w:r>
        <w:rPr>
          <w:rFonts w:hint="eastAsia" w:ascii="宋体" w:hAnsi="宋体"/>
          <w:color w:val="auto"/>
          <w:kern w:val="0"/>
          <w:szCs w:val="20"/>
          <w:highlight w:val="none"/>
          <w:lang w:eastAsia="zh-CN"/>
        </w:rPr>
        <w:t>并加盖公章</w:t>
      </w:r>
      <w:r>
        <w:rPr>
          <w:rFonts w:hint="eastAsia" w:ascii="宋体" w:hAnsi="宋体"/>
          <w:color w:val="auto"/>
          <w:kern w:val="0"/>
          <w:szCs w:val="20"/>
          <w:highlight w:val="none"/>
        </w:rPr>
        <w:t>。</w:t>
      </w:r>
    </w:p>
    <w:p>
      <w:pPr>
        <w:pStyle w:val="235"/>
        <w:ind w:firstLine="0" w:firstLineChars="0"/>
        <w:rPr>
          <w:rFonts w:hint="default" w:ascii="宋体" w:hAnsi="宋体" w:eastAsia="宋体"/>
          <w:color w:val="auto"/>
          <w:kern w:val="0"/>
          <w:szCs w:val="20"/>
          <w:highlight w:val="none"/>
          <w:lang w:val="en-US" w:eastAsia="zh-CN"/>
        </w:rPr>
      </w:pPr>
      <w:r>
        <w:rPr>
          <w:rFonts w:hint="eastAsia" w:hAnsi="宋体"/>
          <w:color w:val="auto"/>
          <w:kern w:val="0"/>
          <w:szCs w:val="20"/>
          <w:highlight w:val="none"/>
          <w:lang w:val="en-US" w:eastAsia="zh-CN"/>
        </w:rPr>
        <w:t xml:space="preserve">10.1.3  </w:t>
      </w:r>
      <w:r>
        <w:rPr>
          <w:rFonts w:hint="eastAsia" w:ascii="宋体" w:hAnsi="宋体"/>
          <w:color w:val="auto"/>
          <w:kern w:val="0"/>
          <w:szCs w:val="20"/>
          <w:highlight w:val="none"/>
        </w:rPr>
        <w:t>供水地下管线风险分析</w:t>
      </w:r>
      <w:r>
        <w:rPr>
          <w:rFonts w:hint="eastAsia" w:ascii="宋体" w:hAnsi="宋体"/>
          <w:color w:val="auto"/>
          <w:kern w:val="0"/>
          <w:szCs w:val="20"/>
          <w:highlight w:val="none"/>
          <w:lang w:eastAsia="zh-CN"/>
        </w:rPr>
        <w:t>与控制</w:t>
      </w:r>
      <w:r>
        <w:rPr>
          <w:rFonts w:hint="eastAsia" w:ascii="宋体" w:hAnsi="宋体"/>
          <w:color w:val="auto"/>
          <w:kern w:val="0"/>
          <w:szCs w:val="20"/>
          <w:highlight w:val="none"/>
        </w:rPr>
        <w:t>报告应作为技术文档存档。</w:t>
      </w:r>
    </w:p>
    <w:p>
      <w:pPr>
        <w:pStyle w:val="237"/>
        <w:numPr>
          <w:ilvl w:val="0"/>
          <w:numId w:val="0"/>
        </w:numPr>
        <w:spacing w:before="156" w:beforeLines="50" w:after="156" w:afterLines="50"/>
        <w:outlineLvl w:val="9"/>
        <w:rPr>
          <w:rFonts w:hAnsi="黑体" w:cs="黑体"/>
          <w:color w:val="auto"/>
          <w:kern w:val="2"/>
          <w:szCs w:val="24"/>
          <w:highlight w:val="none"/>
        </w:rPr>
      </w:pPr>
      <w:r>
        <w:rPr>
          <w:rFonts w:hint="eastAsia" w:hAnsi="黑体" w:cs="黑体"/>
          <w:color w:val="auto"/>
          <w:kern w:val="2"/>
          <w:szCs w:val="24"/>
          <w:highlight w:val="none"/>
        </w:rPr>
        <w:t>1</w:t>
      </w:r>
      <w:r>
        <w:rPr>
          <w:rFonts w:hint="eastAsia" w:hAnsi="黑体" w:cs="黑体"/>
          <w:color w:val="auto"/>
          <w:kern w:val="2"/>
          <w:szCs w:val="24"/>
          <w:highlight w:val="none"/>
          <w:lang w:val="en-US" w:eastAsia="zh-CN"/>
        </w:rPr>
        <w:t>0</w:t>
      </w:r>
      <w:r>
        <w:rPr>
          <w:rFonts w:hint="eastAsia" w:hAnsi="黑体" w:cs="黑体"/>
          <w:color w:val="auto"/>
          <w:kern w:val="2"/>
          <w:szCs w:val="24"/>
          <w:highlight w:val="none"/>
        </w:rPr>
        <w:t>.</w:t>
      </w:r>
      <w:r>
        <w:rPr>
          <w:rFonts w:hint="eastAsia" w:hAnsi="黑体" w:cs="黑体"/>
          <w:color w:val="auto"/>
          <w:kern w:val="2"/>
          <w:szCs w:val="24"/>
          <w:highlight w:val="none"/>
          <w:lang w:val="en-US" w:eastAsia="zh-CN"/>
        </w:rPr>
        <w:t>2</w:t>
      </w:r>
      <w:r>
        <w:rPr>
          <w:rFonts w:hint="eastAsia" w:hAnsi="黑体" w:cs="黑体"/>
          <w:color w:val="auto"/>
          <w:kern w:val="2"/>
          <w:szCs w:val="24"/>
          <w:highlight w:val="none"/>
        </w:rPr>
        <w:t xml:space="preserve">  档案管理</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hint="eastAsia" w:ascii="宋体"/>
          <w:color w:val="auto"/>
          <w:kern w:val="0"/>
          <w:szCs w:val="20"/>
          <w:highlight w:val="none"/>
        </w:rPr>
        <w:t xml:space="preserve">.1  </w:t>
      </w:r>
      <w:r>
        <w:rPr>
          <w:rFonts w:ascii="宋体"/>
          <w:color w:val="auto"/>
          <w:kern w:val="0"/>
          <w:szCs w:val="20"/>
          <w:highlight w:val="none"/>
        </w:rPr>
        <w:t>供水管网风险</w:t>
      </w:r>
      <w:r>
        <w:rPr>
          <w:rFonts w:hint="eastAsia" w:ascii="宋体"/>
          <w:color w:val="auto"/>
          <w:kern w:val="0"/>
          <w:szCs w:val="20"/>
          <w:highlight w:val="none"/>
        </w:rPr>
        <w:t>分析</w:t>
      </w:r>
      <w:r>
        <w:rPr>
          <w:rFonts w:ascii="宋体"/>
          <w:color w:val="auto"/>
          <w:kern w:val="0"/>
          <w:szCs w:val="20"/>
          <w:highlight w:val="none"/>
        </w:rPr>
        <w:t>信息</w:t>
      </w:r>
      <w:r>
        <w:rPr>
          <w:rFonts w:hint="eastAsia" w:ascii="宋体"/>
          <w:color w:val="auto"/>
          <w:kern w:val="0"/>
          <w:szCs w:val="20"/>
          <w:highlight w:val="none"/>
          <w:lang w:eastAsia="zh-CN"/>
        </w:rPr>
        <w:t>应</w:t>
      </w:r>
      <w:r>
        <w:rPr>
          <w:rFonts w:ascii="宋体"/>
          <w:color w:val="auto"/>
          <w:kern w:val="0"/>
          <w:szCs w:val="20"/>
          <w:highlight w:val="none"/>
        </w:rPr>
        <w:t>纳入</w:t>
      </w:r>
      <w:r>
        <w:rPr>
          <w:rFonts w:hint="eastAsia" w:ascii="宋体"/>
          <w:color w:val="auto"/>
          <w:kern w:val="0"/>
          <w:szCs w:val="20"/>
          <w:highlight w:val="none"/>
        </w:rPr>
        <w:t>供水管网信息化管理系统</w:t>
      </w:r>
      <w:r>
        <w:rPr>
          <w:rFonts w:ascii="宋体"/>
          <w:color w:val="auto"/>
          <w:kern w:val="0"/>
          <w:szCs w:val="20"/>
          <w:highlight w:val="none"/>
        </w:rPr>
        <w:t>，基础材料、数据整理报告、</w:t>
      </w:r>
      <w:r>
        <w:rPr>
          <w:rFonts w:hint="eastAsia" w:ascii="宋体"/>
          <w:color w:val="auto"/>
          <w:kern w:val="0"/>
          <w:szCs w:val="20"/>
          <w:highlight w:val="none"/>
          <w:lang w:eastAsia="zh-CN"/>
        </w:rPr>
        <w:t>分析</w:t>
      </w:r>
      <w:r>
        <w:rPr>
          <w:rFonts w:ascii="宋体"/>
          <w:color w:val="auto"/>
          <w:kern w:val="0"/>
          <w:szCs w:val="20"/>
          <w:highlight w:val="none"/>
        </w:rPr>
        <w:t>报告等</w:t>
      </w:r>
      <w:r>
        <w:rPr>
          <w:rFonts w:hint="eastAsia" w:ascii="宋体"/>
          <w:color w:val="auto"/>
          <w:kern w:val="0"/>
          <w:szCs w:val="20"/>
          <w:highlight w:val="none"/>
          <w:lang w:eastAsia="zh-CN"/>
        </w:rPr>
        <w:t>应</w:t>
      </w:r>
      <w:r>
        <w:rPr>
          <w:rFonts w:ascii="宋体"/>
          <w:color w:val="auto"/>
          <w:kern w:val="0"/>
          <w:szCs w:val="20"/>
          <w:highlight w:val="none"/>
        </w:rPr>
        <w:t xml:space="preserve">建立电子档案。 </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ascii="宋体"/>
          <w:color w:val="auto"/>
          <w:kern w:val="0"/>
          <w:szCs w:val="20"/>
          <w:highlight w:val="none"/>
        </w:rPr>
        <w:t xml:space="preserve"> </w:t>
      </w:r>
      <w:r>
        <w:rPr>
          <w:rFonts w:hint="eastAsia" w:ascii="宋体"/>
          <w:color w:val="auto"/>
          <w:kern w:val="0"/>
          <w:szCs w:val="20"/>
          <w:highlight w:val="none"/>
        </w:rPr>
        <w:t xml:space="preserve"> </w:t>
      </w:r>
      <w:r>
        <w:rPr>
          <w:rFonts w:ascii="宋体"/>
          <w:color w:val="auto"/>
          <w:kern w:val="0"/>
          <w:szCs w:val="20"/>
          <w:highlight w:val="none"/>
        </w:rPr>
        <w:t>应将更新后管网基础资料录入</w:t>
      </w:r>
      <w:r>
        <w:rPr>
          <w:rFonts w:hint="eastAsia" w:ascii="宋体"/>
          <w:color w:val="auto"/>
          <w:kern w:val="0"/>
          <w:szCs w:val="20"/>
          <w:highlight w:val="none"/>
        </w:rPr>
        <w:t>供水管网信息化管理系统</w:t>
      </w:r>
      <w:r>
        <w:rPr>
          <w:rFonts w:ascii="宋体"/>
          <w:color w:val="auto"/>
          <w:kern w:val="0"/>
          <w:szCs w:val="20"/>
          <w:highlight w:val="none"/>
        </w:rPr>
        <w:t xml:space="preserve">。 </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ascii="宋体"/>
          <w:color w:val="auto"/>
          <w:kern w:val="0"/>
          <w:szCs w:val="20"/>
          <w:highlight w:val="none"/>
        </w:rPr>
        <w:t xml:space="preserve"> </w:t>
      </w:r>
      <w:r>
        <w:rPr>
          <w:rFonts w:hint="eastAsia" w:ascii="宋体"/>
          <w:color w:val="auto"/>
          <w:kern w:val="0"/>
          <w:szCs w:val="20"/>
          <w:highlight w:val="none"/>
        </w:rPr>
        <w:t xml:space="preserve"> </w:t>
      </w:r>
      <w:r>
        <w:rPr>
          <w:rFonts w:ascii="宋体"/>
          <w:color w:val="auto"/>
          <w:kern w:val="0"/>
          <w:szCs w:val="20"/>
          <w:highlight w:val="none"/>
        </w:rPr>
        <w:t xml:space="preserve">应对新建管网、管网抢修、开叉接驳等所有开挖见管的情况进行现场测量复核，更新 GIS 系统数据。 </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hint="eastAsia" w:ascii="宋体"/>
          <w:color w:val="auto"/>
          <w:kern w:val="0"/>
          <w:szCs w:val="20"/>
          <w:highlight w:val="none"/>
        </w:rPr>
        <w:t>.</w:t>
      </w:r>
      <w:r>
        <w:rPr>
          <w:rFonts w:hint="eastAsia" w:ascii="宋体"/>
          <w:color w:val="auto"/>
          <w:kern w:val="0"/>
          <w:szCs w:val="20"/>
          <w:highlight w:val="none"/>
          <w:lang w:val="en-US" w:eastAsia="zh-CN"/>
        </w:rPr>
        <w:t>4</w:t>
      </w:r>
      <w:r>
        <w:rPr>
          <w:rFonts w:ascii="宋体"/>
          <w:color w:val="auto"/>
          <w:kern w:val="0"/>
          <w:szCs w:val="20"/>
          <w:highlight w:val="none"/>
        </w:rPr>
        <w:t xml:space="preserve"> </w:t>
      </w:r>
      <w:r>
        <w:rPr>
          <w:rFonts w:hint="eastAsia" w:ascii="宋体"/>
          <w:color w:val="auto"/>
          <w:kern w:val="0"/>
          <w:szCs w:val="20"/>
          <w:highlight w:val="none"/>
        </w:rPr>
        <w:t xml:space="preserve"> </w:t>
      </w:r>
      <w:r>
        <w:rPr>
          <w:rFonts w:ascii="宋体"/>
          <w:color w:val="auto"/>
          <w:kern w:val="0"/>
          <w:szCs w:val="20"/>
          <w:highlight w:val="none"/>
        </w:rPr>
        <w:t>供水管网风险</w:t>
      </w:r>
      <w:r>
        <w:rPr>
          <w:rFonts w:hint="eastAsia" w:ascii="宋体"/>
          <w:color w:val="auto"/>
          <w:kern w:val="0"/>
          <w:szCs w:val="20"/>
          <w:highlight w:val="none"/>
          <w:lang w:eastAsia="zh-CN"/>
        </w:rPr>
        <w:t>分析</w:t>
      </w:r>
      <w:r>
        <w:rPr>
          <w:rFonts w:ascii="宋体"/>
          <w:color w:val="auto"/>
          <w:kern w:val="0"/>
          <w:szCs w:val="20"/>
          <w:highlight w:val="none"/>
        </w:rPr>
        <w:t>过程中，对涉密的信息资料及成果资料</w:t>
      </w:r>
      <w:r>
        <w:rPr>
          <w:rFonts w:hint="eastAsia" w:ascii="宋体"/>
          <w:color w:val="auto"/>
          <w:kern w:val="0"/>
          <w:szCs w:val="20"/>
          <w:highlight w:val="none"/>
          <w:lang w:eastAsia="zh-CN"/>
        </w:rPr>
        <w:t>应执行</w:t>
      </w:r>
      <w:r>
        <w:rPr>
          <w:rFonts w:ascii="宋体"/>
          <w:color w:val="auto"/>
          <w:kern w:val="0"/>
          <w:szCs w:val="20"/>
          <w:highlight w:val="none"/>
        </w:rPr>
        <w:t>保密</w:t>
      </w:r>
      <w:r>
        <w:rPr>
          <w:rFonts w:hint="eastAsia" w:ascii="宋体"/>
          <w:color w:val="auto"/>
          <w:kern w:val="0"/>
          <w:szCs w:val="20"/>
          <w:highlight w:val="none"/>
          <w:lang w:eastAsia="zh-CN"/>
        </w:rPr>
        <w:t>相关规定与要求</w:t>
      </w:r>
      <w:r>
        <w:rPr>
          <w:rFonts w:ascii="宋体"/>
          <w:color w:val="auto"/>
          <w:kern w:val="0"/>
          <w:szCs w:val="20"/>
          <w:highlight w:val="none"/>
        </w:rPr>
        <w:t>。</w:t>
      </w:r>
    </w:p>
    <w:p>
      <w:pPr>
        <w:pStyle w:val="237"/>
        <w:numPr>
          <w:ilvl w:val="0"/>
          <w:numId w:val="0"/>
        </w:numPr>
        <w:spacing w:before="156" w:beforeLines="50" w:after="156" w:afterLines="50"/>
        <w:outlineLvl w:val="9"/>
        <w:rPr>
          <w:rFonts w:hint="eastAsia" w:hAnsi="黑体" w:eastAsia="黑体" w:cs="黑体"/>
          <w:color w:val="auto"/>
          <w:kern w:val="2"/>
          <w:szCs w:val="24"/>
          <w:highlight w:val="none"/>
          <w:lang w:eastAsia="zh-CN"/>
        </w:rPr>
      </w:pPr>
      <w:r>
        <w:rPr>
          <w:rFonts w:hint="eastAsia" w:hAnsi="黑体" w:cs="黑体"/>
          <w:color w:val="auto"/>
          <w:kern w:val="2"/>
          <w:szCs w:val="24"/>
          <w:highlight w:val="none"/>
        </w:rPr>
        <w:t>1</w:t>
      </w:r>
      <w:r>
        <w:rPr>
          <w:rFonts w:hint="eastAsia" w:hAnsi="黑体" w:cs="黑体"/>
          <w:color w:val="auto"/>
          <w:kern w:val="2"/>
          <w:szCs w:val="24"/>
          <w:highlight w:val="none"/>
          <w:lang w:val="en-US" w:eastAsia="zh-CN"/>
        </w:rPr>
        <w:t>0</w:t>
      </w:r>
      <w:r>
        <w:rPr>
          <w:rFonts w:hint="eastAsia" w:hAnsi="黑体" w:cs="黑体"/>
          <w:color w:val="auto"/>
          <w:kern w:val="2"/>
          <w:szCs w:val="24"/>
          <w:highlight w:val="none"/>
        </w:rPr>
        <w:t>.</w:t>
      </w:r>
      <w:r>
        <w:rPr>
          <w:rFonts w:hint="eastAsia" w:hAnsi="黑体" w:cs="黑体"/>
          <w:color w:val="auto"/>
          <w:kern w:val="2"/>
          <w:szCs w:val="24"/>
          <w:highlight w:val="none"/>
          <w:lang w:val="en-US" w:eastAsia="zh-CN"/>
        </w:rPr>
        <w:t>3</w:t>
      </w:r>
      <w:r>
        <w:rPr>
          <w:rFonts w:hint="eastAsia" w:hAnsi="黑体" w:cs="黑体"/>
          <w:color w:val="auto"/>
          <w:kern w:val="2"/>
          <w:szCs w:val="24"/>
          <w:highlight w:val="none"/>
        </w:rPr>
        <w:t xml:space="preserve">  信息化</w:t>
      </w:r>
      <w:r>
        <w:rPr>
          <w:rFonts w:hint="eastAsia" w:hAnsi="黑体" w:cs="黑体"/>
          <w:color w:val="auto"/>
          <w:kern w:val="2"/>
          <w:szCs w:val="24"/>
          <w:highlight w:val="none"/>
          <w:lang w:eastAsia="zh-CN"/>
        </w:rPr>
        <w:t>管理</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1</w:t>
      </w:r>
      <w:r>
        <w:rPr>
          <w:rFonts w:hint="eastAsia" w:ascii="宋体"/>
          <w:color w:val="auto"/>
          <w:kern w:val="0"/>
          <w:szCs w:val="20"/>
          <w:highlight w:val="none"/>
        </w:rPr>
        <w:t xml:space="preserve">  供水管网风险分析信息化管理的内容除应包括风险分析</w:t>
      </w:r>
      <w:r>
        <w:rPr>
          <w:rFonts w:hint="eastAsia" w:ascii="宋体"/>
          <w:color w:val="auto"/>
          <w:kern w:val="0"/>
          <w:szCs w:val="20"/>
          <w:highlight w:val="none"/>
          <w:lang w:eastAsia="zh-CN"/>
        </w:rPr>
        <w:t>与控制</w:t>
      </w:r>
      <w:r>
        <w:rPr>
          <w:rFonts w:hint="eastAsia" w:ascii="宋体"/>
          <w:color w:val="auto"/>
          <w:kern w:val="0"/>
          <w:szCs w:val="20"/>
          <w:highlight w:val="none"/>
        </w:rPr>
        <w:t>报告、风险分析图</w:t>
      </w:r>
      <w:r>
        <w:rPr>
          <w:rFonts w:hint="eastAsia" w:ascii="宋体"/>
          <w:color w:val="auto"/>
          <w:kern w:val="0"/>
          <w:szCs w:val="20"/>
          <w:highlight w:val="none"/>
          <w:lang w:eastAsia="zh-CN"/>
        </w:rPr>
        <w:t>等</w:t>
      </w:r>
      <w:r>
        <w:rPr>
          <w:rFonts w:hint="eastAsia" w:ascii="宋体"/>
          <w:color w:val="auto"/>
          <w:kern w:val="0"/>
          <w:szCs w:val="20"/>
          <w:highlight w:val="none"/>
        </w:rPr>
        <w:t>安全风险分析成果外，还应包括</w:t>
      </w:r>
      <w:r>
        <w:rPr>
          <w:rFonts w:hint="eastAsia" w:ascii="宋体"/>
          <w:color w:val="auto"/>
          <w:kern w:val="0"/>
          <w:szCs w:val="20"/>
          <w:highlight w:val="none"/>
          <w:lang w:eastAsia="zh-CN"/>
        </w:rPr>
        <w:t>管线</w:t>
      </w:r>
      <w:r>
        <w:rPr>
          <w:rFonts w:hint="eastAsia" w:ascii="宋体"/>
          <w:color w:val="auto"/>
          <w:kern w:val="0"/>
          <w:szCs w:val="20"/>
          <w:highlight w:val="none"/>
        </w:rPr>
        <w:t>的物理属性、周边环境资料、运行维护资料、事故影像资料和现场抢修资料等。</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2</w:t>
      </w:r>
      <w:r>
        <w:rPr>
          <w:rFonts w:hint="eastAsia" w:ascii="宋体"/>
          <w:color w:val="auto"/>
          <w:kern w:val="0"/>
          <w:szCs w:val="20"/>
          <w:highlight w:val="none"/>
        </w:rPr>
        <w:t xml:space="preserve">  风险分析等级为Ⅰ、Ⅱ级时，压力、流量、变形等在线监测数据应纳入</w:t>
      </w:r>
      <w:r>
        <w:rPr>
          <w:rFonts w:hint="eastAsia" w:ascii="宋体"/>
          <w:color w:val="auto"/>
          <w:kern w:val="0"/>
          <w:szCs w:val="20"/>
          <w:highlight w:val="none"/>
          <w:lang w:eastAsia="zh-CN"/>
        </w:rPr>
        <w:t>现有</w:t>
      </w:r>
      <w:r>
        <w:rPr>
          <w:rFonts w:hint="eastAsia" w:ascii="宋体"/>
          <w:color w:val="auto"/>
          <w:kern w:val="0"/>
          <w:szCs w:val="20"/>
          <w:highlight w:val="none"/>
        </w:rPr>
        <w:t>供水管网信息化管理系统，实现实时监测预警。</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 xml:space="preserve">  </w:t>
      </w:r>
      <w:r>
        <w:rPr>
          <w:rFonts w:hint="eastAsia" w:ascii="宋体"/>
          <w:color w:val="auto"/>
          <w:kern w:val="0"/>
          <w:szCs w:val="20"/>
          <w:highlight w:val="none"/>
          <w:lang w:eastAsia="zh-CN"/>
        </w:rPr>
        <w:t>供水管网</w:t>
      </w:r>
      <w:r>
        <w:rPr>
          <w:rFonts w:hint="eastAsia" w:ascii="宋体"/>
          <w:color w:val="auto"/>
          <w:kern w:val="0"/>
          <w:szCs w:val="20"/>
          <w:highlight w:val="none"/>
        </w:rPr>
        <w:t>信息化管理系统应具备数据输入、编辑、查询、统计、分析等基本功能</w:t>
      </w:r>
      <w:r>
        <w:rPr>
          <w:rFonts w:hint="eastAsia" w:ascii="宋体"/>
          <w:color w:val="auto"/>
          <w:kern w:val="0"/>
          <w:szCs w:val="20"/>
          <w:highlight w:val="none"/>
          <w:lang w:eastAsia="zh-CN"/>
        </w:rPr>
        <w:t>，</w:t>
      </w:r>
      <w:r>
        <w:rPr>
          <w:rFonts w:hint="eastAsia" w:ascii="宋体"/>
          <w:color w:val="auto"/>
          <w:kern w:val="0"/>
          <w:szCs w:val="20"/>
          <w:highlight w:val="none"/>
        </w:rPr>
        <w:t>宜具备三维可视化、数据交换服务等应用功能。</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4</w:t>
      </w:r>
      <w:r>
        <w:rPr>
          <w:rFonts w:hint="eastAsia" w:ascii="宋体"/>
          <w:color w:val="auto"/>
          <w:kern w:val="0"/>
          <w:szCs w:val="20"/>
          <w:highlight w:val="none"/>
        </w:rPr>
        <w:t xml:space="preserve">  供水管网信息化管理系统数据库的构建应符合GB/T 21740的有关规定。</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5</w:t>
      </w:r>
      <w:r>
        <w:rPr>
          <w:rFonts w:hint="eastAsia" w:ascii="宋体"/>
          <w:color w:val="auto"/>
          <w:kern w:val="0"/>
          <w:szCs w:val="20"/>
          <w:highlight w:val="none"/>
        </w:rPr>
        <w:t xml:space="preserve">  供水管网信息化管理系统信息交换与应用服务应符合CJJ/T 100的有关规定。</w:t>
      </w:r>
    </w:p>
    <w:p>
      <w:pPr>
        <w:spacing w:line="240" w:lineRule="auto"/>
        <w:jc w:val="left"/>
        <w:rPr>
          <w:rFonts w:ascii="宋体"/>
          <w:color w:val="auto"/>
          <w:kern w:val="0"/>
          <w:szCs w:val="20"/>
          <w:highlight w:val="none"/>
        </w:rPr>
      </w:pPr>
      <w:r>
        <w:rPr>
          <w:rFonts w:hint="eastAsia" w:ascii="宋体"/>
          <w:color w:val="auto"/>
          <w:kern w:val="0"/>
          <w:szCs w:val="20"/>
          <w:highlight w:val="none"/>
        </w:rPr>
        <w:t>1</w:t>
      </w:r>
      <w:r>
        <w:rPr>
          <w:rFonts w:hint="eastAsia" w:ascii="宋体"/>
          <w:color w:val="auto"/>
          <w:kern w:val="0"/>
          <w:szCs w:val="20"/>
          <w:highlight w:val="none"/>
          <w:lang w:val="en-US" w:eastAsia="zh-CN"/>
        </w:rPr>
        <w:t>0</w:t>
      </w:r>
      <w:r>
        <w:rPr>
          <w:rFonts w:hint="eastAsia" w:ascii="宋体"/>
          <w:color w:val="auto"/>
          <w:kern w:val="0"/>
          <w:szCs w:val="20"/>
          <w:highlight w:val="none"/>
        </w:rPr>
        <w:t>.</w:t>
      </w:r>
      <w:r>
        <w:rPr>
          <w:rFonts w:hint="eastAsia" w:ascii="宋体"/>
          <w:color w:val="auto"/>
          <w:kern w:val="0"/>
          <w:szCs w:val="20"/>
          <w:highlight w:val="none"/>
          <w:lang w:val="en-US" w:eastAsia="zh-CN"/>
        </w:rPr>
        <w:t>3</w:t>
      </w:r>
      <w:r>
        <w:rPr>
          <w:rFonts w:hint="eastAsia" w:ascii="宋体"/>
          <w:color w:val="auto"/>
          <w:kern w:val="0"/>
          <w:szCs w:val="20"/>
          <w:highlight w:val="none"/>
        </w:rPr>
        <w:t>.</w:t>
      </w:r>
      <w:r>
        <w:rPr>
          <w:rFonts w:hint="eastAsia" w:ascii="宋体"/>
          <w:color w:val="auto"/>
          <w:kern w:val="0"/>
          <w:szCs w:val="20"/>
          <w:highlight w:val="none"/>
          <w:lang w:val="en-US" w:eastAsia="zh-CN"/>
        </w:rPr>
        <w:t>6</w:t>
      </w:r>
      <w:r>
        <w:rPr>
          <w:rFonts w:hint="eastAsia" w:ascii="宋体"/>
          <w:color w:val="auto"/>
          <w:kern w:val="0"/>
          <w:szCs w:val="20"/>
          <w:highlight w:val="none"/>
        </w:rPr>
        <w:t xml:space="preserve">  供水管网信息化管理系统的安全设计应符合GB/T 22239、GB/T 22240的要求。 </w:t>
      </w:r>
    </w:p>
    <w:p>
      <w:pPr>
        <w:spacing w:line="240" w:lineRule="auto"/>
        <w:jc w:val="left"/>
        <w:rPr>
          <w:rFonts w:ascii="宋体"/>
          <w:color w:val="auto"/>
          <w:kern w:val="0"/>
          <w:szCs w:val="20"/>
          <w:highlight w:val="none"/>
        </w:rPr>
        <w:sectPr>
          <w:headerReference r:id="rId20" w:type="default"/>
          <w:footerReference r:id="rId21" w:type="default"/>
          <w:pgSz w:w="11906" w:h="16838"/>
          <w:pgMar w:top="1928" w:right="1134" w:bottom="1134" w:left="1134" w:header="1418" w:footer="1134" w:gutter="284"/>
          <w:pgBorders>
            <w:top w:val="none" w:sz="0" w:space="0"/>
            <w:left w:val="none" w:sz="0" w:space="0"/>
            <w:bottom w:val="none" w:sz="0" w:space="0"/>
            <w:right w:val="none" w:sz="0" w:space="0"/>
          </w:pgBorders>
          <w:pgNumType w:fmt="decimal" w:start="1"/>
          <w:cols w:space="425" w:num="1"/>
          <w:formProt w:val="0"/>
          <w:docGrid w:type="lines" w:linePitch="312" w:charSpace="0"/>
        </w:sectPr>
      </w:pPr>
    </w:p>
    <w:bookmarkEnd w:id="158"/>
    <w:bookmarkEnd w:id="159"/>
    <w:p>
      <w:pPr>
        <w:pStyle w:val="81"/>
        <w:spacing w:after="156"/>
        <w:rPr>
          <w:color w:val="auto"/>
          <w:highlight w:val="none"/>
        </w:rPr>
      </w:pPr>
      <w:bookmarkStart w:id="171" w:name="_Toc1175170814"/>
      <w:bookmarkStart w:id="172" w:name="_Toc1130691357"/>
      <w:bookmarkStart w:id="173" w:name="_Toc974170830"/>
      <w:bookmarkStart w:id="174" w:name="_Toc133688866"/>
      <w:bookmarkStart w:id="175" w:name="_Toc720260847"/>
      <w:bookmarkStart w:id="176" w:name="_Toc908084545"/>
      <w:bookmarkStart w:id="177" w:name="_Toc1094868686"/>
      <w:bookmarkStart w:id="178" w:name="_Toc879384856"/>
      <w:bookmarkStart w:id="179" w:name="_Toc1962320946"/>
      <w:bookmarkStart w:id="180" w:name="_Toc1396504812"/>
      <w:bookmarkStart w:id="181" w:name="_Toc742711089"/>
      <w:bookmarkStart w:id="182" w:name="_Toc19235046"/>
      <w:bookmarkStart w:id="183" w:name="_Toc1444698537"/>
      <w:bookmarkStart w:id="184" w:name="_Toc893439457"/>
      <w:bookmarkStart w:id="185" w:name="_Toc979818862"/>
      <w:bookmarkStart w:id="186" w:name="BookMark8"/>
      <w:r>
        <w:rPr>
          <w:color w:val="auto"/>
          <w:highlight w:val="none"/>
        </w:rPr>
        <w:br w:type="textWrapping"/>
      </w:r>
      <w:r>
        <w:rPr>
          <w:rFonts w:hint="eastAsia"/>
          <w:color w:val="auto"/>
          <w:highlight w:val="none"/>
        </w:rPr>
        <w:t>（规范性）</w:t>
      </w:r>
      <w:r>
        <w:rPr>
          <w:color w:val="auto"/>
          <w:highlight w:val="none"/>
        </w:rPr>
        <w:br w:type="textWrapping"/>
      </w:r>
      <w:bookmarkEnd w:id="171"/>
      <w:bookmarkEnd w:id="172"/>
      <w:bookmarkEnd w:id="173"/>
      <w:bookmarkEnd w:id="174"/>
      <w:bookmarkEnd w:id="175"/>
      <w:bookmarkEnd w:id="176"/>
      <w:bookmarkEnd w:id="177"/>
      <w:bookmarkEnd w:id="178"/>
      <w:bookmarkEnd w:id="179"/>
      <w:bookmarkEnd w:id="180"/>
      <w:bookmarkEnd w:id="181"/>
      <w:r>
        <w:rPr>
          <w:rFonts w:hint="eastAsia"/>
          <w:color w:val="auto"/>
          <w:highlight w:val="none"/>
        </w:rPr>
        <w:t>常规风险分析指标计算权重</w:t>
      </w:r>
      <w:bookmarkEnd w:id="182"/>
      <w:bookmarkEnd w:id="183"/>
      <w:bookmarkEnd w:id="184"/>
      <w:bookmarkEnd w:id="185"/>
    </w:p>
    <w:p>
      <w:pPr>
        <w:spacing w:line="240" w:lineRule="auto"/>
        <w:rPr>
          <w:color w:val="auto"/>
          <w:highlight w:val="none"/>
        </w:rPr>
      </w:pPr>
      <w:r>
        <w:rPr>
          <w:rFonts w:hint="eastAsia"/>
          <w:color w:val="auto"/>
          <w:highlight w:val="none"/>
        </w:rPr>
        <w:t>常规风险分析的风险发生可能性分析指标和失效后果严重性分析指标的计算权重见表A.1和表A.2。</w:t>
      </w:r>
    </w:p>
    <w:p>
      <w:pPr>
        <w:pStyle w:val="82"/>
        <w:keepNext w:val="0"/>
        <w:keepLines w:val="0"/>
        <w:pageBreakBefore w:val="0"/>
        <w:widowControl/>
        <w:kinsoku/>
        <w:wordWrap/>
        <w:overflowPunct/>
        <w:topLinePunct w:val="0"/>
        <w:autoSpaceDE/>
        <w:autoSpaceDN/>
        <w:bidi w:val="0"/>
        <w:adjustRightInd w:val="0"/>
        <w:snapToGrid w:val="0"/>
        <w:spacing w:before="156" w:after="156" w:line="240" w:lineRule="auto"/>
        <w:textAlignment w:val="baseline"/>
        <w:rPr>
          <w:color w:val="auto"/>
          <w:highlight w:val="none"/>
        </w:rPr>
      </w:pPr>
      <w:r>
        <w:rPr>
          <w:rFonts w:hint="eastAsia"/>
          <w:color w:val="auto"/>
          <w:highlight w:val="none"/>
        </w:rPr>
        <w:t>风险发生可能性分析指标计算权重</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1747"/>
        <w:gridCol w:w="1747"/>
        <w:gridCol w:w="2221"/>
        <w:gridCol w:w="2222"/>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3494" w:type="dxa"/>
            <w:gridSpan w:val="2"/>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准则层</w:t>
            </w:r>
          </w:p>
        </w:tc>
        <w:tc>
          <w:tcPr>
            <w:tcW w:w="4443" w:type="dxa"/>
            <w:gridSpan w:val="2"/>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指标层</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00" w:hRule="atLeast"/>
          <w:jc w:val="center"/>
        </w:trPr>
        <w:tc>
          <w:tcPr>
            <w:tcW w:w="1747"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影响因素</w:t>
            </w:r>
          </w:p>
        </w:tc>
        <w:tc>
          <w:tcPr>
            <w:tcW w:w="1747"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权重</w:t>
            </w:r>
          </w:p>
        </w:tc>
        <w:tc>
          <w:tcPr>
            <w:tcW w:w="2221"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影响因素</w:t>
            </w:r>
          </w:p>
        </w:tc>
        <w:tc>
          <w:tcPr>
            <w:tcW w:w="2222"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权重</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restart"/>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物理属性</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PC</w:t>
            </w:r>
          </w:p>
        </w:tc>
        <w:tc>
          <w:tcPr>
            <w:tcW w:w="1747" w:type="dxa"/>
            <w:vMerge w:val="restart"/>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lang w:val="en-US" w:eastAsia="zh-CN"/>
              </w:rPr>
              <w:t>0.4</w:t>
            </w:r>
          </w:p>
        </w:tc>
        <w:tc>
          <w:tcPr>
            <w:tcW w:w="2221"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管材</w:t>
            </w:r>
          </w:p>
        </w:tc>
        <w:tc>
          <w:tcPr>
            <w:tcW w:w="2222"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40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管径</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15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管龄</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45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周边环境</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PE</w:t>
            </w:r>
          </w:p>
        </w:tc>
        <w:tc>
          <w:tcPr>
            <w:tcW w:w="1747"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lang w:val="en-US" w:eastAsia="zh-CN"/>
              </w:rPr>
              <w:t>0.25</w:t>
            </w: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道路等级</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0.30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覆土深度</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0.40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地面性质</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0.30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运行维修</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PRM</w:t>
            </w:r>
          </w:p>
        </w:tc>
        <w:tc>
          <w:tcPr>
            <w:tcW w:w="1747"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lang w:val="en-US" w:eastAsia="zh-CN"/>
              </w:rPr>
              <w:t>0.35</w:t>
            </w: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ind w:firstLine="0" w:firstLineChars="0"/>
              <w:textAlignment w:val="auto"/>
              <w:rPr>
                <w:rFonts w:hint="eastAsia"/>
                <w:color w:val="auto"/>
                <w:highlight w:val="none"/>
              </w:rPr>
            </w:pPr>
            <w:r>
              <w:rPr>
                <w:rFonts w:hint="eastAsia"/>
                <w:color w:val="auto"/>
                <w:highlight w:val="none"/>
                <w:lang w:val="en-US" w:eastAsia="zh-CN"/>
              </w:rPr>
              <w:t>近五年</w:t>
            </w:r>
            <w:r>
              <w:rPr>
                <w:rFonts w:hint="eastAsia"/>
                <w:color w:val="auto"/>
                <w:highlight w:val="none"/>
              </w:rPr>
              <w:t>漏损</w:t>
            </w:r>
            <w:r>
              <w:rPr>
                <w:rFonts w:hint="eastAsia"/>
                <w:color w:val="auto"/>
                <w:highlight w:val="none"/>
                <w:lang w:val="en-US" w:eastAsia="zh-CN"/>
              </w:rPr>
              <w:t>总</w:t>
            </w:r>
            <w:r>
              <w:rPr>
                <w:rFonts w:hint="eastAsia"/>
                <w:color w:val="auto"/>
                <w:highlight w:val="none"/>
              </w:rPr>
              <w:t>次数</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0.6</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397" w:hRule="atLeast"/>
          <w:jc w:val="center"/>
        </w:trPr>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747"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2221"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ascii="宋体" w:hAnsi="宋体" w:cs="宋体"/>
                <w:color w:val="auto"/>
                <w:sz w:val="18"/>
                <w:szCs w:val="18"/>
                <w:highlight w:val="none"/>
                <w:lang w:val="en-US" w:eastAsia="zh-CN"/>
              </w:rPr>
              <w:t>管</w:t>
            </w:r>
            <w:r>
              <w:rPr>
                <w:rFonts w:hint="eastAsia" w:hAnsi="宋体" w:cs="宋体"/>
                <w:color w:val="auto"/>
                <w:sz w:val="18"/>
                <w:szCs w:val="18"/>
                <w:highlight w:val="none"/>
                <w:lang w:val="en-US" w:eastAsia="zh-CN"/>
              </w:rPr>
              <w:t>线</w:t>
            </w:r>
            <w:r>
              <w:rPr>
                <w:rFonts w:hint="eastAsia" w:ascii="宋体" w:hAnsi="宋体" w:cs="宋体"/>
                <w:color w:val="auto"/>
                <w:sz w:val="18"/>
                <w:szCs w:val="18"/>
                <w:highlight w:val="none"/>
                <w:lang w:val="en-US" w:eastAsia="zh-CN"/>
              </w:rPr>
              <w:t>运行压力</w:t>
            </w:r>
          </w:p>
        </w:tc>
        <w:tc>
          <w:tcPr>
            <w:tcW w:w="222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lang w:val="en-US" w:eastAsia="zh-CN"/>
              </w:rPr>
              <w:t>0.4</w:t>
            </w:r>
          </w:p>
        </w:tc>
      </w:tr>
    </w:tbl>
    <w:p>
      <w:pPr>
        <w:spacing w:line="240" w:lineRule="auto"/>
        <w:rPr>
          <w:color w:val="auto"/>
          <w:highlight w:val="none"/>
        </w:rPr>
      </w:pPr>
    </w:p>
    <w:p>
      <w:pPr>
        <w:pStyle w:val="82"/>
        <w:keepNext w:val="0"/>
        <w:keepLines w:val="0"/>
        <w:pageBreakBefore w:val="0"/>
        <w:widowControl/>
        <w:kinsoku/>
        <w:wordWrap/>
        <w:overflowPunct/>
        <w:topLinePunct w:val="0"/>
        <w:autoSpaceDE/>
        <w:autoSpaceDN/>
        <w:bidi w:val="0"/>
        <w:adjustRightInd w:val="0"/>
        <w:snapToGrid w:val="0"/>
        <w:spacing w:before="156" w:after="156" w:line="240" w:lineRule="auto"/>
        <w:textAlignment w:val="baseline"/>
        <w:rPr>
          <w:color w:val="auto"/>
          <w:highlight w:val="none"/>
        </w:rPr>
      </w:pPr>
      <w:r>
        <w:rPr>
          <w:rFonts w:hint="eastAsia"/>
          <w:color w:val="auto"/>
          <w:highlight w:val="none"/>
        </w:rPr>
        <w:t>失效后果严重性分析指标计算权重</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1681"/>
        <w:gridCol w:w="2099"/>
        <w:gridCol w:w="1956"/>
        <w:gridCol w:w="2201"/>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81" w:type="dxa"/>
            <w:tcBorders>
              <w:bottom w:val="single" w:color="auto" w:sz="12" w:space="0"/>
            </w:tcBorders>
            <w:vAlign w:val="center"/>
          </w:tcPr>
          <w:p>
            <w:pPr>
              <w:pStyle w:val="183"/>
              <w:spacing w:line="278" w:lineRule="auto"/>
              <w:rPr>
                <w:color w:val="auto"/>
                <w:highlight w:val="none"/>
              </w:rPr>
            </w:pPr>
            <w:r>
              <w:rPr>
                <w:rFonts w:hint="eastAsia"/>
                <w:color w:val="auto"/>
                <w:highlight w:val="none"/>
              </w:rPr>
              <w:t>指标层</w:t>
            </w:r>
          </w:p>
        </w:tc>
        <w:tc>
          <w:tcPr>
            <w:tcW w:w="2099" w:type="dxa"/>
            <w:tcBorders>
              <w:bottom w:val="single" w:color="auto" w:sz="12" w:space="0"/>
            </w:tcBorders>
            <w:vAlign w:val="center"/>
          </w:tcPr>
          <w:p>
            <w:pPr>
              <w:pStyle w:val="183"/>
              <w:spacing w:line="278" w:lineRule="auto"/>
              <w:rPr>
                <w:color w:val="auto"/>
                <w:highlight w:val="none"/>
              </w:rPr>
            </w:pPr>
            <w:r>
              <w:rPr>
                <w:rFonts w:hint="eastAsia"/>
                <w:color w:val="auto"/>
                <w:highlight w:val="none"/>
              </w:rPr>
              <w:t>影响用户量NU</w:t>
            </w:r>
          </w:p>
        </w:tc>
        <w:tc>
          <w:tcPr>
            <w:tcW w:w="1956" w:type="dxa"/>
            <w:tcBorders>
              <w:bottom w:val="single" w:color="auto" w:sz="12" w:space="0"/>
            </w:tcBorders>
            <w:vAlign w:val="center"/>
          </w:tcPr>
          <w:p>
            <w:pPr>
              <w:pStyle w:val="183"/>
              <w:spacing w:line="278" w:lineRule="auto"/>
              <w:rPr>
                <w:color w:val="auto"/>
                <w:highlight w:val="none"/>
              </w:rPr>
            </w:pPr>
            <w:r>
              <w:rPr>
                <w:rFonts w:hint="eastAsia"/>
                <w:color w:val="auto"/>
                <w:highlight w:val="none"/>
              </w:rPr>
              <w:t>敷设区域BD</w:t>
            </w:r>
          </w:p>
        </w:tc>
        <w:tc>
          <w:tcPr>
            <w:tcW w:w="2201" w:type="dxa"/>
            <w:tcBorders>
              <w:bottom w:val="single" w:color="auto" w:sz="12" w:space="0"/>
            </w:tcBorders>
            <w:vAlign w:val="center"/>
          </w:tcPr>
          <w:p>
            <w:pPr>
              <w:pStyle w:val="183"/>
              <w:spacing w:line="278" w:lineRule="auto"/>
              <w:rPr>
                <w:color w:val="auto"/>
                <w:highlight w:val="none"/>
              </w:rPr>
            </w:pPr>
            <w:r>
              <w:rPr>
                <w:rFonts w:hint="eastAsia"/>
                <w:color w:val="auto"/>
                <w:highlight w:val="none"/>
              </w:rPr>
              <w:t>管线布局类型NR</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81" w:type="dxa"/>
            <w:tcBorders>
              <w:top w:val="single" w:color="auto" w:sz="12" w:space="0"/>
              <w:tl2br w:val="nil"/>
              <w:tr2bl w:val="nil"/>
            </w:tcBorders>
            <w:vAlign w:val="center"/>
          </w:tcPr>
          <w:p>
            <w:pPr>
              <w:pStyle w:val="183"/>
              <w:spacing w:line="278" w:lineRule="auto"/>
              <w:rPr>
                <w:color w:val="auto"/>
                <w:highlight w:val="none"/>
              </w:rPr>
            </w:pPr>
            <w:r>
              <w:rPr>
                <w:rFonts w:hint="eastAsia"/>
                <w:color w:val="auto"/>
                <w:highlight w:val="none"/>
              </w:rPr>
              <w:t>权重</w:t>
            </w:r>
          </w:p>
        </w:tc>
        <w:tc>
          <w:tcPr>
            <w:tcW w:w="2099" w:type="dxa"/>
            <w:tcBorders>
              <w:top w:val="single" w:color="auto" w:sz="12" w:space="0"/>
              <w:tl2br w:val="nil"/>
              <w:tr2bl w:val="nil"/>
            </w:tcBorders>
            <w:vAlign w:val="center"/>
          </w:tcPr>
          <w:p>
            <w:pPr>
              <w:pStyle w:val="183"/>
              <w:spacing w:line="278" w:lineRule="auto"/>
              <w:rPr>
                <w:color w:val="auto"/>
                <w:highlight w:val="none"/>
              </w:rPr>
            </w:pPr>
            <w:r>
              <w:rPr>
                <w:rFonts w:hint="eastAsia"/>
                <w:color w:val="auto"/>
                <w:highlight w:val="none"/>
              </w:rPr>
              <w:t>0.45</w:t>
            </w:r>
          </w:p>
        </w:tc>
        <w:tc>
          <w:tcPr>
            <w:tcW w:w="1956" w:type="dxa"/>
            <w:tcBorders>
              <w:top w:val="single" w:color="auto" w:sz="12" w:space="0"/>
              <w:tl2br w:val="nil"/>
              <w:tr2bl w:val="nil"/>
            </w:tcBorders>
            <w:vAlign w:val="center"/>
          </w:tcPr>
          <w:p>
            <w:pPr>
              <w:pStyle w:val="183"/>
              <w:spacing w:line="278" w:lineRule="auto"/>
              <w:rPr>
                <w:color w:val="auto"/>
                <w:highlight w:val="none"/>
              </w:rPr>
            </w:pPr>
            <w:r>
              <w:rPr>
                <w:rFonts w:hint="eastAsia"/>
                <w:color w:val="auto"/>
                <w:highlight w:val="none"/>
              </w:rPr>
              <w:t>0.30</w:t>
            </w:r>
          </w:p>
        </w:tc>
        <w:tc>
          <w:tcPr>
            <w:tcW w:w="2201" w:type="dxa"/>
            <w:tcBorders>
              <w:top w:val="single" w:color="auto" w:sz="12" w:space="0"/>
              <w:tl2br w:val="nil"/>
              <w:tr2bl w:val="nil"/>
            </w:tcBorders>
            <w:vAlign w:val="center"/>
          </w:tcPr>
          <w:p>
            <w:pPr>
              <w:pStyle w:val="183"/>
              <w:spacing w:line="278" w:lineRule="auto"/>
              <w:rPr>
                <w:color w:val="auto"/>
                <w:highlight w:val="none"/>
              </w:rPr>
            </w:pPr>
            <w:r>
              <w:rPr>
                <w:rFonts w:hint="eastAsia"/>
                <w:color w:val="auto"/>
                <w:highlight w:val="none"/>
              </w:rPr>
              <w:t>0.25</w:t>
            </w:r>
          </w:p>
        </w:tc>
      </w:tr>
    </w:tbl>
    <w:p>
      <w:pPr>
        <w:pStyle w:val="61"/>
        <w:ind w:firstLine="420"/>
        <w:rPr>
          <w:color w:val="auto"/>
          <w:highlight w:val="none"/>
        </w:rPr>
      </w:pPr>
    </w:p>
    <w:bookmarkEnd w:id="186"/>
    <w:p>
      <w:pPr>
        <w:pStyle w:val="81"/>
        <w:spacing w:after="156"/>
        <w:rPr>
          <w:color w:val="auto"/>
          <w:highlight w:val="none"/>
        </w:rPr>
      </w:pPr>
      <w:r>
        <w:rPr>
          <w:rFonts w:hint="eastAsia" w:hAnsi="黑体" w:cs="黑体"/>
          <w:color w:val="auto"/>
          <w:highlight w:val="none"/>
        </w:rPr>
        <w:br w:type="page"/>
      </w:r>
      <w:bookmarkStart w:id="187" w:name="_Toc1250438918"/>
      <w:bookmarkStart w:id="188" w:name="_Toc457014990"/>
      <w:bookmarkStart w:id="189" w:name="_Toc1313640819"/>
      <w:bookmarkStart w:id="190" w:name="_Toc1563860652"/>
      <w:bookmarkStart w:id="191" w:name="_Toc77609160"/>
      <w:r>
        <w:rPr>
          <w:color w:val="auto"/>
          <w:highlight w:val="none"/>
        </w:rPr>
        <w:br w:type="textWrapping"/>
      </w:r>
      <w:r>
        <w:rPr>
          <w:rFonts w:hint="eastAsia"/>
          <w:color w:val="auto"/>
          <w:highlight w:val="none"/>
        </w:rPr>
        <w:t>（规范性）</w:t>
      </w:r>
      <w:r>
        <w:rPr>
          <w:color w:val="auto"/>
          <w:highlight w:val="none"/>
        </w:rPr>
        <w:br w:type="textWrapping"/>
      </w:r>
      <w:bookmarkEnd w:id="187"/>
      <w:r>
        <w:rPr>
          <w:rFonts w:hint="eastAsia"/>
          <w:color w:val="auto"/>
          <w:highlight w:val="none"/>
        </w:rPr>
        <w:t>详细风险分析指标计算权重</w:t>
      </w:r>
      <w:bookmarkEnd w:id="188"/>
      <w:bookmarkEnd w:id="189"/>
      <w:bookmarkEnd w:id="190"/>
      <w:bookmarkEnd w:id="191"/>
    </w:p>
    <w:p>
      <w:pPr>
        <w:pStyle w:val="61"/>
        <w:ind w:firstLine="420"/>
        <w:rPr>
          <w:color w:val="auto"/>
          <w:highlight w:val="none"/>
        </w:rPr>
      </w:pPr>
      <w:r>
        <w:rPr>
          <w:rFonts w:hint="eastAsia"/>
          <w:color w:val="auto"/>
          <w:highlight w:val="none"/>
        </w:rPr>
        <w:t>详细风险分析的风险发生可能性分析指标和失效后果严重性分析指标的计算权重见表B.1和表B.2。</w:t>
      </w:r>
    </w:p>
    <w:p>
      <w:pPr>
        <w:spacing w:before="156" w:beforeLines="50" w:after="156" w:afterLines="50" w:line="240" w:lineRule="auto"/>
        <w:jc w:val="center"/>
        <w:rPr>
          <w:rFonts w:ascii="宋体" w:hAnsi="宋体" w:cs="宋体"/>
          <w:color w:val="auto"/>
          <w:highlight w:val="none"/>
        </w:rPr>
      </w:pPr>
      <w:r>
        <w:rPr>
          <w:rFonts w:hint="eastAsia" w:ascii="黑体" w:hAnsi="Times New Roman" w:eastAsia="黑体"/>
          <w:color w:val="auto"/>
          <w:kern w:val="21"/>
          <w:szCs w:val="20"/>
          <w:highlight w:val="none"/>
        </w:rPr>
        <w:t>表B.1 风险发生可能性分析指标计算权重</w:t>
      </w:r>
    </w:p>
    <w:tbl>
      <w:tblPr>
        <w:tblStyle w:val="31"/>
        <w:tblW w:w="793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2261"/>
        <w:gridCol w:w="1061"/>
        <w:gridCol w:w="3232"/>
        <w:gridCol w:w="138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3322" w:type="dxa"/>
            <w:gridSpan w:val="2"/>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准则层</w:t>
            </w:r>
          </w:p>
        </w:tc>
        <w:tc>
          <w:tcPr>
            <w:tcW w:w="4615" w:type="dxa"/>
            <w:gridSpan w:val="2"/>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指标层</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影响因素</w:t>
            </w:r>
          </w:p>
        </w:tc>
        <w:tc>
          <w:tcPr>
            <w:tcW w:w="1061"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权重</w:t>
            </w:r>
          </w:p>
        </w:tc>
        <w:tc>
          <w:tcPr>
            <w:tcW w:w="3232"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影响因素</w:t>
            </w:r>
          </w:p>
        </w:tc>
        <w:tc>
          <w:tcPr>
            <w:tcW w:w="1383" w:type="dxa"/>
            <w:tcBorders>
              <w:top w:val="single" w:color="auto" w:sz="12" w:space="0"/>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权重</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restart"/>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物理属性</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PC</w:t>
            </w:r>
          </w:p>
        </w:tc>
        <w:tc>
          <w:tcPr>
            <w:tcW w:w="1061" w:type="dxa"/>
            <w:vMerge w:val="restart"/>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40</w:t>
            </w:r>
          </w:p>
        </w:tc>
        <w:tc>
          <w:tcPr>
            <w:tcW w:w="3232"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管材</w:t>
            </w:r>
          </w:p>
        </w:tc>
        <w:tc>
          <w:tcPr>
            <w:tcW w:w="1383"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0.</w:t>
            </w:r>
            <w:r>
              <w:rPr>
                <w:rFonts w:hint="eastAsia"/>
                <w:color w:val="auto"/>
                <w:highlight w:val="none"/>
                <w:lang w:val="en-US" w:eastAsia="zh-CN"/>
              </w:rPr>
              <w:t>30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管径</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管龄</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35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lang w:val="en-US" w:eastAsia="zh-CN"/>
              </w:rPr>
              <w:t>结构安全</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0.2</w:t>
            </w:r>
            <w:r>
              <w:rPr>
                <w:rFonts w:hint="eastAsia"/>
                <w:color w:val="auto"/>
                <w:highlight w:val="none"/>
                <w:lang w:val="en-US" w:eastAsia="zh-CN"/>
              </w:rPr>
              <w:t>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周边环境</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PE</w:t>
            </w:r>
          </w:p>
        </w:tc>
        <w:tc>
          <w:tcPr>
            <w:tcW w:w="1061"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25</w:t>
            </w: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道路等级</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0.20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覆土深度</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0.15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地面性质</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0.15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土体腐蚀性</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0.20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周边扰动</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0.15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临时堆载</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0.15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运行维修</w:t>
            </w:r>
          </w:p>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PRM</w:t>
            </w:r>
          </w:p>
        </w:tc>
        <w:tc>
          <w:tcPr>
            <w:tcW w:w="1061" w:type="dxa"/>
            <w:vMerge w:val="restart"/>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35</w:t>
            </w: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lang w:val="en-US" w:eastAsia="zh-CN"/>
              </w:rPr>
              <w:t>近五年漏损总次数</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w:t>
            </w:r>
            <w:r>
              <w:rPr>
                <w:rFonts w:hint="eastAsia"/>
                <w:color w:val="auto"/>
                <w:highlight w:val="none"/>
                <w:lang w:val="en-US" w:eastAsia="zh-CN"/>
              </w:rPr>
              <w:t>2</w:t>
            </w:r>
            <w:r>
              <w:rPr>
                <w:rFonts w:hint="eastAsia"/>
                <w:color w:val="auto"/>
                <w:highlight w:val="none"/>
              </w:rPr>
              <w:t>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color w:val="auto"/>
                <w:highlight w:val="none"/>
              </w:rPr>
            </w:pPr>
            <w:r>
              <w:rPr>
                <w:rFonts w:hint="eastAsia" w:ascii="宋体" w:hAnsi="宋体" w:cs="宋体"/>
                <w:color w:val="auto"/>
                <w:sz w:val="18"/>
                <w:szCs w:val="18"/>
                <w:highlight w:val="none"/>
                <w:lang w:val="en-US" w:eastAsia="zh-CN"/>
              </w:rPr>
              <w:t>管</w:t>
            </w:r>
            <w:r>
              <w:rPr>
                <w:rFonts w:hint="eastAsia" w:hAnsi="宋体" w:cs="宋体"/>
                <w:color w:val="auto"/>
                <w:sz w:val="18"/>
                <w:szCs w:val="18"/>
                <w:highlight w:val="none"/>
                <w:lang w:val="en-US" w:eastAsia="zh-CN"/>
              </w:rPr>
              <w:t>线</w:t>
            </w:r>
            <w:r>
              <w:rPr>
                <w:rFonts w:hint="eastAsia" w:ascii="宋体" w:hAnsi="宋体" w:cs="宋体"/>
                <w:color w:val="auto"/>
                <w:sz w:val="18"/>
                <w:szCs w:val="18"/>
                <w:highlight w:val="none"/>
                <w:lang w:val="en-US" w:eastAsia="zh-CN"/>
              </w:rPr>
              <w:t>运行压力</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eastAsia="宋体"/>
                <w:color w:val="auto"/>
                <w:highlight w:val="none"/>
                <w:lang w:val="en-US" w:eastAsia="zh-CN"/>
              </w:rPr>
            </w:pPr>
            <w:r>
              <w:rPr>
                <w:rFonts w:hint="eastAsia"/>
                <w:color w:val="auto"/>
                <w:highlight w:val="none"/>
                <w:lang w:val="en-US" w:eastAsia="zh-CN"/>
              </w:rPr>
              <w:t>0.20</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水压稳定状态</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w:t>
            </w:r>
            <w:r>
              <w:rPr>
                <w:rFonts w:hint="eastAsia"/>
                <w:color w:val="auto"/>
                <w:highlight w:val="none"/>
                <w:lang w:val="en-US" w:eastAsia="zh-CN"/>
              </w:rPr>
              <w:t>2</w:t>
            </w:r>
            <w:r>
              <w:rPr>
                <w:rFonts w:hint="eastAsia"/>
                <w:color w:val="auto"/>
                <w:highlight w:val="none"/>
              </w:rPr>
              <w:t>5</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22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1061" w:type="dxa"/>
            <w:vMerge w:val="continue"/>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p>
        </w:tc>
        <w:tc>
          <w:tcPr>
            <w:tcW w:w="3232"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巡检周期</w:t>
            </w:r>
          </w:p>
        </w:tc>
        <w:tc>
          <w:tcPr>
            <w:tcW w:w="1383" w:type="dxa"/>
            <w:tcBorders>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0.30</w:t>
            </w:r>
          </w:p>
        </w:tc>
      </w:tr>
    </w:tbl>
    <w:p>
      <w:pPr>
        <w:spacing w:before="156" w:beforeLines="50" w:after="156" w:afterLines="50" w:line="240" w:lineRule="auto"/>
        <w:jc w:val="center"/>
        <w:rPr>
          <w:rFonts w:hint="eastAsia" w:ascii="黑体" w:hAnsi="Times New Roman" w:eastAsia="黑体"/>
          <w:color w:val="auto"/>
          <w:kern w:val="21"/>
          <w:szCs w:val="20"/>
          <w:highlight w:val="none"/>
        </w:rPr>
      </w:pPr>
      <w:r>
        <w:rPr>
          <w:rFonts w:hint="eastAsia" w:ascii="黑体" w:hAnsi="Times New Roman" w:eastAsia="黑体"/>
          <w:color w:val="auto"/>
          <w:kern w:val="21"/>
          <w:szCs w:val="20"/>
          <w:highlight w:val="none"/>
        </w:rPr>
        <w:t>表B.2 失效后果严重性分析指标计算权重</w:t>
      </w:r>
    </w:p>
    <w:tbl>
      <w:tblPr>
        <w:tblStyle w:val="31"/>
        <w:tblpPr w:leftFromText="180" w:rightFromText="180" w:vertAnchor="text" w:horzAnchor="page" w:tblpX="2247" w:tblpY="187"/>
        <w:tblOverlap w:val="never"/>
        <w:tblW w:w="7950"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1004"/>
        <w:gridCol w:w="1131"/>
        <w:gridCol w:w="1188"/>
        <w:gridCol w:w="1158"/>
        <w:gridCol w:w="1133"/>
        <w:gridCol w:w="1133"/>
        <w:gridCol w:w="1203"/>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800" w:hRule="atLeast"/>
        </w:trPr>
        <w:tc>
          <w:tcPr>
            <w:tcW w:w="1004"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指标层</w:t>
            </w:r>
          </w:p>
        </w:tc>
        <w:tc>
          <w:tcPr>
            <w:tcW w:w="1131"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影响用户量NU</w:t>
            </w:r>
          </w:p>
        </w:tc>
        <w:tc>
          <w:tcPr>
            <w:tcW w:w="1188" w:type="dxa"/>
            <w:tcBorders>
              <w:bottom w:val="single" w:color="auto" w:sz="12" w:space="0"/>
            </w:tcBorders>
            <w:vAlign w:val="center"/>
          </w:tcPr>
          <w:p>
            <w:pPr>
              <w:pStyle w:val="183"/>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rPr>
                <w:rFonts w:hint="eastAsia"/>
                <w:color w:val="auto"/>
                <w:highlight w:val="none"/>
              </w:rPr>
            </w:pPr>
            <w:r>
              <w:rPr>
                <w:rFonts w:hint="eastAsia"/>
                <w:color w:val="auto"/>
                <w:highlight w:val="none"/>
              </w:rPr>
              <w:t>敷设区域</w:t>
            </w:r>
          </w:p>
          <w:p>
            <w:pPr>
              <w:pStyle w:val="183"/>
              <w:keepNext w:val="0"/>
              <w:keepLines w:val="0"/>
              <w:pageBreakBefore w:val="0"/>
              <w:widowControl/>
              <w:kinsoku/>
              <w:wordWrap/>
              <w:overflowPunct/>
              <w:topLinePunct w:val="0"/>
              <w:autoSpaceDE/>
              <w:autoSpaceDN/>
              <w:bidi w:val="0"/>
              <w:adjustRightInd/>
              <w:snapToGrid/>
              <w:spacing w:before="0" w:beforeLines="0" w:after="0" w:afterLines="0" w:line="240" w:lineRule="auto"/>
              <w:textAlignment w:val="auto"/>
              <w:rPr>
                <w:color w:val="auto"/>
                <w:highlight w:val="none"/>
              </w:rPr>
            </w:pPr>
            <w:r>
              <w:rPr>
                <w:rFonts w:hint="eastAsia"/>
                <w:color w:val="auto"/>
                <w:highlight w:val="none"/>
              </w:rPr>
              <w:t>BD</w:t>
            </w:r>
          </w:p>
        </w:tc>
        <w:tc>
          <w:tcPr>
            <w:tcW w:w="1158"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管线布局类型NR</w:t>
            </w:r>
          </w:p>
        </w:tc>
        <w:tc>
          <w:tcPr>
            <w:tcW w:w="1133"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管线漏水量QL</w:t>
            </w:r>
          </w:p>
        </w:tc>
        <w:tc>
          <w:tcPr>
            <w:tcW w:w="1133"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道路及周边区域积水RB</w:t>
            </w:r>
          </w:p>
        </w:tc>
        <w:tc>
          <w:tcPr>
            <w:tcW w:w="1203" w:type="dxa"/>
            <w:tcBorders>
              <w:bottom w:val="single" w:color="auto" w:sz="12" w:space="0"/>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供水中断或停止服务ST</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454" w:hRule="atLeast"/>
        </w:trPr>
        <w:tc>
          <w:tcPr>
            <w:tcW w:w="1004"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rFonts w:hint="eastAsia" w:eastAsia="宋体"/>
                <w:color w:val="auto"/>
                <w:highlight w:val="none"/>
                <w:lang w:val="en-US" w:eastAsia="zh-CN"/>
              </w:rPr>
            </w:pPr>
            <w:r>
              <w:rPr>
                <w:rFonts w:hint="eastAsia"/>
                <w:color w:val="auto"/>
                <w:highlight w:val="none"/>
                <w:lang w:val="en-US" w:eastAsia="zh-CN"/>
              </w:rPr>
              <w:t>权重</w:t>
            </w:r>
          </w:p>
        </w:tc>
        <w:tc>
          <w:tcPr>
            <w:tcW w:w="1131"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0.20</w:t>
            </w:r>
          </w:p>
        </w:tc>
        <w:tc>
          <w:tcPr>
            <w:tcW w:w="1188"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rFonts w:hint="eastAsia" w:eastAsia="宋体"/>
                <w:color w:val="auto"/>
                <w:highlight w:val="none"/>
                <w:lang w:val="en-US" w:eastAsia="zh-CN"/>
              </w:rPr>
            </w:pPr>
            <w:r>
              <w:rPr>
                <w:rFonts w:hint="eastAsia"/>
                <w:color w:val="auto"/>
                <w:highlight w:val="none"/>
              </w:rPr>
              <w:t>0.10</w:t>
            </w:r>
          </w:p>
        </w:tc>
        <w:tc>
          <w:tcPr>
            <w:tcW w:w="1158"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0.15</w:t>
            </w:r>
          </w:p>
        </w:tc>
        <w:tc>
          <w:tcPr>
            <w:tcW w:w="1133"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0.15</w:t>
            </w:r>
          </w:p>
        </w:tc>
        <w:tc>
          <w:tcPr>
            <w:tcW w:w="1133"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0.15</w:t>
            </w:r>
          </w:p>
        </w:tc>
        <w:tc>
          <w:tcPr>
            <w:tcW w:w="1203" w:type="dxa"/>
            <w:tcBorders>
              <w:top w:val="single" w:color="auto" w:sz="12" w:space="0"/>
              <w:tl2br w:val="nil"/>
              <w:tr2bl w:val="nil"/>
            </w:tcBorders>
            <w:vAlign w:val="center"/>
          </w:tcPr>
          <w:p>
            <w:pPr>
              <w:pStyle w:val="183"/>
              <w:keepNext w:val="0"/>
              <w:keepLines w:val="0"/>
              <w:pageBreakBefore w:val="0"/>
              <w:widowControl/>
              <w:kinsoku/>
              <w:wordWrap/>
              <w:overflowPunct/>
              <w:topLinePunct w:val="0"/>
              <w:autoSpaceDE w:val="0"/>
              <w:autoSpaceDN w:val="0"/>
              <w:bidi w:val="0"/>
              <w:adjustRightInd/>
              <w:snapToGrid/>
              <w:spacing w:before="157" w:beforeLines="50" w:after="157" w:afterLines="50" w:line="240" w:lineRule="auto"/>
              <w:textAlignment w:val="auto"/>
              <w:rPr>
                <w:color w:val="auto"/>
                <w:highlight w:val="none"/>
              </w:rPr>
            </w:pPr>
            <w:r>
              <w:rPr>
                <w:rFonts w:hint="eastAsia"/>
                <w:color w:val="auto"/>
                <w:highlight w:val="none"/>
              </w:rPr>
              <w:t>0.25</w:t>
            </w:r>
          </w:p>
        </w:tc>
      </w:tr>
    </w:tbl>
    <w:p>
      <w:pPr>
        <w:pStyle w:val="182"/>
        <w:spacing w:before="312" w:beforeLines="100" w:after="686" w:afterLines="220"/>
        <w:rPr>
          <w:rFonts w:hint="eastAsia"/>
          <w:color w:val="auto"/>
          <w:highlight w:val="none"/>
        </w:rPr>
      </w:pPr>
    </w:p>
    <w:p>
      <w:pPr>
        <w:pStyle w:val="182"/>
        <w:spacing w:before="312" w:beforeLines="100" w:after="686" w:afterLines="220"/>
        <w:rPr>
          <w:rFonts w:hint="eastAsia"/>
          <w:color w:val="auto"/>
          <w:highlight w:val="none"/>
        </w:rPr>
      </w:pPr>
    </w:p>
    <w:p>
      <w:pPr>
        <w:pStyle w:val="247"/>
        <w:autoSpaceDE w:val="0"/>
        <w:autoSpaceDN w:val="0"/>
        <w:spacing w:line="240" w:lineRule="auto"/>
        <w:rPr>
          <w:color w:val="auto"/>
          <w:highlight w:val="none"/>
        </w:rPr>
      </w:pPr>
      <w:bookmarkStart w:id="192" w:name="_Toc2082484506"/>
      <w:bookmarkStart w:id="193" w:name="_Toc17878131"/>
      <w:bookmarkStart w:id="194" w:name="BKCKWX"/>
      <w:bookmarkStart w:id="195" w:name="_Toc935844315"/>
      <w:bookmarkStart w:id="196" w:name="_Toc2044446473"/>
      <w:bookmarkStart w:id="197" w:name="_Toc11816683"/>
      <w:r>
        <w:rPr>
          <w:rFonts w:hint="eastAsia"/>
          <w:color w:val="auto"/>
          <w:highlight w:val="none"/>
        </w:rPr>
        <w:t>参</w:t>
      </w:r>
      <w:r>
        <w:rPr>
          <w:rFonts w:hAnsi="黑体"/>
          <w:color w:val="auto"/>
          <w:highlight w:val="none"/>
        </w:rPr>
        <w:t> </w:t>
      </w:r>
      <w:r>
        <w:rPr>
          <w:rFonts w:hint="eastAsia"/>
          <w:color w:val="auto"/>
          <w:highlight w:val="none"/>
        </w:rPr>
        <w:t>考</w:t>
      </w:r>
      <w:r>
        <w:rPr>
          <w:rFonts w:hAnsi="黑体"/>
          <w:color w:val="auto"/>
          <w:highlight w:val="none"/>
        </w:rPr>
        <w:t> </w:t>
      </w:r>
      <w:r>
        <w:rPr>
          <w:rFonts w:hint="eastAsia"/>
          <w:color w:val="auto"/>
          <w:highlight w:val="none"/>
        </w:rPr>
        <w:t>文</w:t>
      </w:r>
      <w:r>
        <w:rPr>
          <w:rFonts w:hAnsi="黑体"/>
          <w:color w:val="auto"/>
          <w:highlight w:val="none"/>
        </w:rPr>
        <w:t> </w:t>
      </w:r>
      <w:r>
        <w:rPr>
          <w:rFonts w:hint="eastAsia"/>
          <w:color w:val="auto"/>
          <w:highlight w:val="none"/>
        </w:rPr>
        <w:t>献</w:t>
      </w:r>
      <w:bookmarkEnd w:id="192"/>
      <w:bookmarkEnd w:id="193"/>
      <w:bookmarkEnd w:id="194"/>
      <w:bookmarkEnd w:id="195"/>
    </w:p>
    <w:bookmarkEnd w:id="196"/>
    <w:bookmarkEnd w:id="197"/>
    <w:p>
      <w:pPr>
        <w:pStyle w:val="235"/>
        <w:rPr>
          <w:color w:val="auto"/>
          <w:highlight w:val="none"/>
        </w:rPr>
      </w:pPr>
      <w:r>
        <w:rPr>
          <w:rFonts w:hint="eastAsia"/>
          <w:color w:val="auto"/>
          <w:highlight w:val="none"/>
        </w:rPr>
        <w:t xml:space="preserve">[1] GB/T 23694-2024 风险管理 术语 </w:t>
      </w:r>
    </w:p>
    <w:p>
      <w:pPr>
        <w:pStyle w:val="235"/>
        <w:rPr>
          <w:rFonts w:hint="eastAsia"/>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 GB/T 27512-20</w:t>
      </w:r>
      <w:r>
        <w:rPr>
          <w:rFonts w:hint="eastAsia"/>
          <w:color w:val="auto"/>
          <w:highlight w:val="none"/>
          <w:lang w:val="en-US" w:eastAsia="zh-CN"/>
        </w:rPr>
        <w:t>25</w:t>
      </w:r>
      <w:r>
        <w:rPr>
          <w:rFonts w:hint="eastAsia"/>
          <w:color w:val="auto"/>
          <w:highlight w:val="none"/>
        </w:rPr>
        <w:t xml:space="preserve"> 埋地管道风险评估方法</w:t>
      </w:r>
    </w:p>
    <w:p>
      <w:pPr>
        <w:pStyle w:val="235"/>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 GB/T 27921-2023 风险管理 风险评估技术</w:t>
      </w:r>
    </w:p>
    <w:p>
      <w:pPr>
        <w:pStyle w:val="235"/>
        <w:rPr>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 GB/T 44548-2024 城市热力管道安全风险评估方法</w:t>
      </w:r>
    </w:p>
    <w:p>
      <w:pPr>
        <w:pStyle w:val="235"/>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 GB 50032-2003 室外给水排水和燃气热力工程抗震设计规范</w:t>
      </w:r>
    </w:p>
    <w:p>
      <w:pPr>
        <w:pStyle w:val="235"/>
        <w:rPr>
          <w:rFonts w:hint="eastAsia"/>
          <w:color w:val="auto"/>
          <w:highlight w:val="none"/>
        </w:rPr>
      </w:pPr>
      <w:r>
        <w:rPr>
          <w:rFonts w:hint="eastAsia"/>
          <w:color w:val="auto"/>
          <w:highlight w:val="none"/>
          <w:lang w:val="en-US" w:eastAsia="zh-CN"/>
        </w:rPr>
        <w:t xml:space="preserve">[6] </w:t>
      </w:r>
      <w:r>
        <w:rPr>
          <w:rFonts w:hint="eastAsia" w:ascii="宋体"/>
          <w:color w:val="auto"/>
          <w:highlight w:val="none"/>
          <w:lang w:val="en-US" w:eastAsia="zh-CN"/>
        </w:rPr>
        <w:t>GB 51222</w:t>
      </w:r>
      <w:r>
        <w:rPr>
          <w:rFonts w:hint="eastAsia"/>
          <w:color w:val="auto"/>
          <w:highlight w:val="none"/>
          <w:lang w:val="en-US" w:eastAsia="zh-CN"/>
        </w:rPr>
        <w:t>-2017</w:t>
      </w:r>
      <w:r>
        <w:rPr>
          <w:rFonts w:hint="eastAsia" w:ascii="宋体"/>
          <w:color w:val="auto"/>
          <w:highlight w:val="none"/>
          <w:lang w:val="en-US" w:eastAsia="zh-CN"/>
        </w:rPr>
        <w:t xml:space="preserve"> </w:t>
      </w:r>
      <w:r>
        <w:rPr>
          <w:rFonts w:hint="eastAsia" w:ascii="宋体"/>
          <w:color w:val="auto"/>
          <w:highlight w:val="none"/>
        </w:rPr>
        <w:t>城镇内涝防治技术规范</w:t>
      </w:r>
      <w:r>
        <w:rPr>
          <w:rFonts w:hint="eastAsia" w:ascii="宋体"/>
          <w:color w:val="auto"/>
          <w:highlight w:val="none"/>
          <w:lang w:val="en-US" w:eastAsia="zh-CN"/>
        </w:rPr>
        <w:t xml:space="preserve"> </w:t>
      </w:r>
    </w:p>
    <w:p>
      <w:pPr>
        <w:pStyle w:val="235"/>
        <w:rPr>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 DB11/T 1478-2024 生产经营单位安全生产风险评估与管控</w:t>
      </w:r>
    </w:p>
    <w:p>
      <w:pPr>
        <w:pStyle w:val="235"/>
        <w:rPr>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 DB31/T 1332-2021 城市供水管网安全风险评估技术规范</w:t>
      </w:r>
    </w:p>
    <w:p>
      <w:pPr>
        <w:pStyle w:val="235"/>
        <w:rPr>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 xml:space="preserve">] T/CECS 1120-2022 城镇市政管道结构安全风险评估标准 </w:t>
      </w:r>
    </w:p>
    <w:p>
      <w:pPr>
        <w:pStyle w:val="61"/>
        <w:ind w:firstLine="0" w:firstLineChars="0"/>
        <w:jc w:val="center"/>
        <w:rPr>
          <w:color w:val="auto"/>
          <w:highlight w:val="none"/>
        </w:rPr>
      </w:pPr>
    </w:p>
    <w:sectPr>
      <w:pgSz w:w="11906" w:h="16838"/>
      <w:pgMar w:top="1928" w:right="1134" w:bottom="1134" w:left="1134" w:header="1418" w:footer="1134" w:gutter="284"/>
      <w:pgBorders>
        <w:top w:val="none" w:sz="0" w:space="0"/>
        <w:left w:val="none" w:sz="0" w:space="0"/>
        <w:bottom w:val="none" w:sz="0" w:space="0"/>
        <w:right w:val="none" w:sz="0" w:space="0"/>
      </w:pgBorders>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Cambria Math">
    <w:panose1 w:val="02040503050406030204"/>
    <w:charset w:val="00"/>
    <w:family w:val="roman"/>
    <w:pitch w:val="default"/>
    <w:sig w:usb0="E00002FF" w:usb1="420024FF" w:usb2="00000000" w:usb3="00000000" w:csb0="2000019F" w:csb1="00000000"/>
  </w:font>
  <w:font w:name="文泉驿微米黑">
    <w:panose1 w:val="020B0606030804020204"/>
    <w:charset w:val="86"/>
    <w:family w:val="auto"/>
    <w:pitch w:val="default"/>
    <w:sig w:usb0="E10002EF" w:usb1="6BDFFCFB" w:usb2="00800036" w:usb3="00000000" w:csb0="603E019F" w:csb1="DFD70000"/>
  </w:font>
  <w:font w:name="䡡湄楮札䍓ⵆ潮瑳">
    <w:panose1 w:val="02010609000101010101"/>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等线 Light">
    <w:altName w:val="书体坊王学勤钢笔行书"/>
    <w:panose1 w:val="00000000000000000000"/>
    <w:charset w:val="00"/>
    <w:family w:val="auto"/>
    <w:pitch w:val="default"/>
    <w:sig w:usb0="00000000" w:usb1="00000000" w:usb2="00000000" w:usb3="00000000" w:csb0="00000000" w:csb1="00000000"/>
  </w:font>
  <w:font w:name="书体坊王学勤钢笔行书">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fldChar w:fldCharType="begin"/>
    </w:r>
    <w:r>
      <w:instrText xml:space="preserve">PAGE   \* MERGEFORMAT</w:instrText>
    </w:r>
    <w:r>
      <w:fldChar w:fldCharType="separate"/>
    </w:r>
    <w:r>
      <w:rPr>
        <w:lang w:val="zh-CN"/>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7"/>
                          </w:pPr>
                          <w:r>
                            <w:fldChar w:fldCharType="begin"/>
                          </w:r>
                          <w:r>
                            <w:instrText xml:space="preserve">PAGE   \* MERGEFORMAT</w:instrText>
                          </w:r>
                          <w:r>
                            <w:fldChar w:fldCharType="separate"/>
                          </w:r>
                          <w:r>
                            <w:rPr>
                              <w:lang w:val="zh-CN"/>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DIm4LAIAAFU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odcsCxv9YHmEjuJ5u9wHCJh0jaL0Spy1QrelypwnI7bzn/sU9fg3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BcMibgsAgAAVQQAAA4AAAAAAAAAAQAgAAAANQEAAGRy&#10;cy9lMm9Eb2MueG1sUEsFBgAAAAAGAAYAWQEAANMFAAAAAA==&#10;">
              <v:fill on="f" focussize="0,0"/>
              <v:stroke on="f" weight="0.5pt"/>
              <v:imagedata o:title=""/>
              <o:lock v:ext="edit" aspectratio="f"/>
              <v:textbox inset="0mm,0mm,0mm,0mm" style="mso-fit-shape-to-text:t;">
                <w:txbxContent>
                  <w:p>
                    <w:pPr>
                      <w:pStyle w:val="57"/>
                    </w:pPr>
                    <w:r>
                      <w:fldChar w:fldCharType="begin"/>
                    </w:r>
                    <w:r>
                      <w:instrText xml:space="preserve">PAGE   \* MERGEFORMAT</w:instrText>
                    </w:r>
                    <w:r>
                      <w:fldChar w:fldCharType="separate"/>
                    </w:r>
                    <w:r>
                      <w:rPr>
                        <w:lang w:val="zh-CN"/>
                      </w:rP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DB11/T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DB11/T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DB11/T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DB11/T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9"/>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4"/>
      <w:suff w:val="nothing"/>
      <w:lvlText w:val="%1%2.%3　"/>
      <w:lvlJc w:val="left"/>
      <w:pPr>
        <w:ind w:left="0" w:firstLine="0"/>
      </w:pPr>
    </w:lvl>
    <w:lvl w:ilvl="3" w:tentative="0">
      <w:start w:val="1"/>
      <w:numFmt w:val="decimal"/>
      <w:pStyle w:val="123"/>
      <w:suff w:val="nothing"/>
      <w:lvlText w:val="%1%2.%3.%4　"/>
      <w:lvlJc w:val="left"/>
      <w:pPr>
        <w:ind w:left="0" w:firstLine="0"/>
      </w:pPr>
    </w:lvl>
    <w:lvl w:ilvl="4" w:tentative="0">
      <w:start w:val="1"/>
      <w:numFmt w:val="decimal"/>
      <w:pStyle w:val="158"/>
      <w:suff w:val="nothing"/>
      <w:lvlText w:val="%1%2.%3.%4.%5　"/>
      <w:lvlJc w:val="left"/>
      <w:pPr>
        <w:ind w:left="0" w:firstLine="0"/>
      </w:pPr>
    </w:lvl>
    <w:lvl w:ilvl="5" w:tentative="0">
      <w:start w:val="1"/>
      <w:numFmt w:val="decimal"/>
      <w:pStyle w:val="160"/>
      <w:suff w:val="nothing"/>
      <w:lvlText w:val="%1%2.%3.%4.%5.%6　"/>
      <w:lvlJc w:val="left"/>
      <w:pPr>
        <w:ind w:left="0" w:firstLine="0"/>
      </w:pPr>
    </w:lvl>
    <w:lvl w:ilvl="6" w:tentative="0">
      <w:start w:val="1"/>
      <w:numFmt w:val="decimal"/>
      <w:pStyle w:val="163"/>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5"/>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4"/>
      <w:lvlText w:val="%1"/>
      <w:lvlJc w:val="left"/>
      <w:pPr>
        <w:ind w:left="425" w:hanging="425"/>
      </w:pPr>
      <w:rPr>
        <w:rFonts w:hint="eastAsia"/>
      </w:rPr>
    </w:lvl>
    <w:lvl w:ilvl="1" w:tentative="0">
      <w:start w:val="1"/>
      <w:numFmt w:val="decimal"/>
      <w:pStyle w:val="205"/>
      <w:suff w:val="nothing"/>
      <w:lvlText w:val="%10.%2 "/>
      <w:lvlJc w:val="left"/>
      <w:pPr>
        <w:ind w:left="0" w:firstLine="0"/>
      </w:pPr>
      <w:rPr>
        <w:rFonts w:hint="eastAsia" w:ascii="黑体" w:eastAsia="黑体" w:hAnsiTheme="minorHAnsi"/>
        <w:b w:val="0"/>
        <w:i w:val="0"/>
        <w:sz w:val="21"/>
      </w:rPr>
    </w:lvl>
    <w:lvl w:ilvl="2" w:tentative="0">
      <w:start w:val="1"/>
      <w:numFmt w:val="decimal"/>
      <w:pStyle w:val="206"/>
      <w:suff w:val="nothing"/>
      <w:lvlText w:val="%10.%2.%3 "/>
      <w:lvlJc w:val="left"/>
      <w:pPr>
        <w:ind w:left="0" w:firstLine="0"/>
      </w:pPr>
      <w:rPr>
        <w:rFonts w:hint="eastAsia" w:ascii="黑体" w:eastAsia="黑体" w:hAnsiTheme="minorHAnsi"/>
        <w:b w:val="0"/>
        <w:i w:val="0"/>
        <w:sz w:val="21"/>
      </w:rPr>
    </w:lvl>
    <w:lvl w:ilvl="3" w:tentative="0">
      <w:start w:val="1"/>
      <w:numFmt w:val="decimal"/>
      <w:pStyle w:val="207"/>
      <w:suff w:val="nothing"/>
      <w:lvlText w:val="%10.%2.%3.%4 "/>
      <w:lvlJc w:val="left"/>
      <w:pPr>
        <w:ind w:left="0" w:firstLine="0"/>
      </w:pPr>
      <w:rPr>
        <w:rFonts w:hint="eastAsia" w:ascii="黑体" w:eastAsia="黑体" w:hAnsiTheme="minorHAnsi"/>
        <w:b w:val="0"/>
        <w:i w:val="0"/>
        <w:sz w:val="21"/>
      </w:rPr>
    </w:lvl>
    <w:lvl w:ilvl="4" w:tentative="0">
      <w:start w:val="1"/>
      <w:numFmt w:val="decimal"/>
      <w:pStyle w:val="208"/>
      <w:suff w:val="nothing"/>
      <w:lvlText w:val="%10.%2.%3.%4.%5 "/>
      <w:lvlJc w:val="left"/>
      <w:pPr>
        <w:ind w:left="0" w:firstLine="0"/>
      </w:pPr>
      <w:rPr>
        <w:rFonts w:hint="eastAsia" w:ascii="黑体" w:eastAsia="黑体" w:hAnsiTheme="minorHAnsi"/>
        <w:b w:val="0"/>
        <w:i w:val="0"/>
        <w:sz w:val="21"/>
      </w:rPr>
    </w:lvl>
    <w:lvl w:ilvl="5" w:tentative="0">
      <w:start w:val="1"/>
      <w:numFmt w:val="decimal"/>
      <w:pStyle w:val="209"/>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6"/>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5"/>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0"/>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7"/>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2"/>
      <w:lvlText w:val=""/>
      <w:lvlJc w:val="left"/>
      <w:pPr>
        <w:ind w:left="851" w:hanging="431"/>
      </w:pPr>
      <w:rPr>
        <w:rFonts w:hint="default" w:ascii="Symbol" w:hAnsi="Symbol"/>
        <w:sz w:val="21"/>
      </w:rPr>
    </w:lvl>
    <w:lvl w:ilvl="2" w:tentative="0">
      <w:start w:val="1"/>
      <w:numFmt w:val="bullet"/>
      <w:pStyle w:val="177"/>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6"/>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9"/>
      <w:lvlText w:val="%1)"/>
      <w:lvlJc w:val="left"/>
      <w:pPr>
        <w:tabs>
          <w:tab w:val="left" w:pos="851"/>
        </w:tabs>
        <w:ind w:left="851" w:hanging="426"/>
      </w:pPr>
      <w:rPr>
        <w:rFonts w:hint="eastAsia" w:ascii="宋体" w:hAnsi="Times New Roman" w:eastAsia="宋体"/>
        <w:sz w:val="21"/>
      </w:rPr>
    </w:lvl>
    <w:lvl w:ilvl="1" w:tentative="0">
      <w:start w:val="1"/>
      <w:numFmt w:val="decimal"/>
      <w:pStyle w:val="114"/>
      <w:lvlText w:val="%2)"/>
      <w:lvlJc w:val="left"/>
      <w:pPr>
        <w:tabs>
          <w:tab w:val="left" w:pos="1276"/>
        </w:tabs>
        <w:ind w:left="1276" w:hanging="425"/>
      </w:pPr>
      <w:rPr>
        <w:rFonts w:hint="eastAsia" w:ascii="宋体" w:hAnsi="Times New Roman" w:eastAsia="宋体"/>
        <w:sz w:val="21"/>
      </w:rPr>
    </w:lvl>
    <w:lvl w:ilvl="2" w:tentative="0">
      <w:start w:val="1"/>
      <w:numFmt w:val="decimal"/>
      <w:pStyle w:val="122"/>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3"/>
      <w:lvlText w:val="%1"/>
      <w:lvlJc w:val="left"/>
      <w:pPr>
        <w:ind w:left="420" w:hanging="420"/>
      </w:pPr>
      <w:rPr>
        <w:rFonts w:hint="eastAsia"/>
      </w:rPr>
    </w:lvl>
    <w:lvl w:ilvl="1" w:tentative="0">
      <w:start w:val="1"/>
      <w:numFmt w:val="decimal"/>
      <w:pStyle w:val="88"/>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8"/>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1"/>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9"/>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4"/>
      <w:suff w:val="space"/>
      <w:lvlText w:val="%1"/>
      <w:lvlJc w:val="left"/>
      <w:pPr>
        <w:ind w:left="425" w:hanging="425"/>
      </w:pPr>
      <w:rPr>
        <w:rFonts w:hint="eastAsia"/>
      </w:rPr>
    </w:lvl>
    <w:lvl w:ilvl="1" w:tentative="0">
      <w:start w:val="1"/>
      <w:numFmt w:val="decimal"/>
      <w:pStyle w:val="8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6"/>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248"/>
      <w:suff w:val="nothing"/>
      <w:lvlText w:val="表%1.%2　"/>
      <w:lvlJc w:val="left"/>
      <w:pPr>
        <w:ind w:left="567" w:hanging="567"/>
      </w:pPr>
      <w:rPr>
        <w:rFonts w:hint="eastAsia"/>
        <w:color w:val="FF0000"/>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1">
    <w:nsid w:val="644622F9"/>
    <w:multiLevelType w:val="multilevel"/>
    <w:tmpl w:val="644622F9"/>
    <w:lvl w:ilvl="0" w:tentative="0">
      <w:start w:val="1"/>
      <w:numFmt w:val="upperRoman"/>
      <w:pStyle w:val="237"/>
      <w:lvlText w:val="%1)"/>
      <w:lvlJc w:val="left"/>
      <w:pPr>
        <w:tabs>
          <w:tab w:val="left" w:pos="851"/>
        </w:tabs>
        <w:ind w:left="851" w:hanging="426"/>
      </w:pPr>
      <w:rPr>
        <w:rFonts w:hint="eastAsia" w:ascii="宋体" w:hAnsi="Times New Roman" w:eastAsia="宋体"/>
        <w:sz w:val="21"/>
      </w:rPr>
    </w:lvl>
    <w:lvl w:ilvl="1" w:tentative="0">
      <w:start w:val="1"/>
      <w:numFmt w:val="lowerLetter"/>
      <w:pStyle w:val="238"/>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24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4"/>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81"/>
      <w:suff w:val="nothing"/>
      <w:lvlText w:val="附录%1"/>
      <w:lvlJc w:val="left"/>
      <w:pPr>
        <w:ind w:left="0" w:firstLine="0"/>
      </w:pPr>
      <w:rPr>
        <w:rFonts w:hint="eastAsia"/>
        <w:spacing w:val="100"/>
      </w:rPr>
    </w:lvl>
    <w:lvl w:ilvl="1" w:tentative="0">
      <w:start w:val="1"/>
      <w:numFmt w:val="decimal"/>
      <w:pStyle w:val="83"/>
      <w:suff w:val="nothing"/>
      <w:lvlText w:val="%1.%2　"/>
      <w:lvlJc w:val="left"/>
      <w:pPr>
        <w:ind w:left="0" w:firstLine="0"/>
      </w:pPr>
      <w:rPr>
        <w:rFonts w:hint="eastAsia" w:ascii="黑体" w:eastAsia="黑体"/>
        <w:b w:val="0"/>
        <w:i w:val="0"/>
        <w:sz w:val="21"/>
      </w:rPr>
    </w:lvl>
    <w:lvl w:ilvl="2" w:tentative="0">
      <w:start w:val="1"/>
      <w:numFmt w:val="decimal"/>
      <w:pStyle w:val="84"/>
      <w:suff w:val="nothing"/>
      <w:lvlText w:val="%1.%2.%3　"/>
      <w:lvlJc w:val="left"/>
      <w:pPr>
        <w:ind w:left="0" w:firstLine="0"/>
      </w:pPr>
      <w:rPr>
        <w:rFonts w:hint="eastAsia" w:ascii="黑体" w:eastAsia="黑体"/>
        <w:b w:val="0"/>
        <w:i w:val="0"/>
        <w:sz w:val="21"/>
      </w:rPr>
    </w:lvl>
    <w:lvl w:ilvl="3" w:tentative="0">
      <w:start w:val="1"/>
      <w:numFmt w:val="decimal"/>
      <w:pStyle w:val="86"/>
      <w:suff w:val="nothing"/>
      <w:lvlText w:val="%1.%2.%3.%4　"/>
      <w:lvlJc w:val="left"/>
      <w:pPr>
        <w:ind w:left="0" w:firstLine="0"/>
      </w:pPr>
      <w:rPr>
        <w:rFonts w:hint="eastAsia" w:ascii="黑体" w:eastAsia="黑体"/>
        <w:b w:val="0"/>
        <w:i w:val="0"/>
        <w:sz w:val="21"/>
      </w:rPr>
    </w:lvl>
    <w:lvl w:ilvl="4" w:tentative="0">
      <w:start w:val="1"/>
      <w:numFmt w:val="decimal"/>
      <w:pStyle w:val="87"/>
      <w:suff w:val="nothing"/>
      <w:lvlText w:val="%1.%2.%3.%4.%5　"/>
      <w:lvlJc w:val="left"/>
      <w:pPr>
        <w:ind w:left="0" w:firstLine="0"/>
      </w:pPr>
      <w:rPr>
        <w:rFonts w:hint="eastAsia" w:ascii="黑体" w:eastAsia="黑体"/>
        <w:b w:val="0"/>
        <w:i w:val="0"/>
        <w:sz w:val="21"/>
      </w:rPr>
    </w:lvl>
    <w:lvl w:ilvl="5" w:tentative="0">
      <w:start w:val="1"/>
      <w:numFmt w:val="decimal"/>
      <w:pStyle w:val="8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3"/>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2"/>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8"/>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7"/>
      <w:suff w:val="nothing"/>
      <w:lvlText w:val="%1"/>
      <w:lvlJc w:val="left"/>
      <w:pPr>
        <w:ind w:left="0" w:firstLine="0"/>
      </w:pPr>
      <w:rPr>
        <w:rFonts w:hint="eastAsia"/>
      </w:rPr>
    </w:lvl>
    <w:lvl w:ilvl="1" w:tentative="0">
      <w:start w:val="1"/>
      <w:numFmt w:val="decimal"/>
      <w:pStyle w:val="109"/>
      <w:suff w:val="nothing"/>
      <w:lvlText w:val="%1%2　"/>
      <w:lvlJc w:val="left"/>
      <w:pPr>
        <w:ind w:left="0" w:firstLine="0"/>
      </w:pPr>
      <w:rPr>
        <w:rFonts w:hint="eastAsia" w:ascii="黑体" w:eastAsia="黑体"/>
        <w:b w:val="0"/>
        <w:i w:val="0"/>
        <w:sz w:val="21"/>
      </w:rPr>
    </w:lvl>
    <w:lvl w:ilvl="2" w:tentative="0">
      <w:start w:val="1"/>
      <w:numFmt w:val="decimal"/>
      <w:pStyle w:val="110"/>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pStyle w:val="99"/>
      <w:suff w:val="nothing"/>
      <w:lvlText w:val="%1%2.%3.%4.%5　"/>
      <w:lvlJc w:val="left"/>
      <w:pPr>
        <w:ind w:left="0" w:firstLine="0"/>
      </w:pPr>
      <w:rPr>
        <w:rFonts w:hint="eastAsia" w:ascii="黑体" w:eastAsia="黑体"/>
        <w:b w:val="0"/>
        <w:i w:val="0"/>
        <w:sz w:val="21"/>
      </w:rPr>
    </w:lvl>
    <w:lvl w:ilvl="5" w:tentative="0">
      <w:start w:val="1"/>
      <w:numFmt w:val="decimal"/>
      <w:pStyle w:val="103"/>
      <w:suff w:val="nothing"/>
      <w:lvlText w:val="%1%2.%3.%4.%5.%6　"/>
      <w:lvlJc w:val="left"/>
      <w:pPr>
        <w:ind w:left="0" w:firstLine="0"/>
      </w:pPr>
      <w:rPr>
        <w:rFonts w:hint="eastAsia" w:ascii="黑体" w:eastAsia="黑体"/>
        <w:b w:val="0"/>
        <w:i w:val="0"/>
        <w:sz w:val="21"/>
      </w:rPr>
    </w:lvl>
    <w:lvl w:ilvl="6" w:tentative="0">
      <w:start w:val="1"/>
      <w:numFmt w:val="decimal"/>
      <w:pStyle w:val="108"/>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4"/>
      <w:lvlText w:val="%1注："/>
      <w:lvlJc w:val="left"/>
      <w:pPr>
        <w:ind w:left="800"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20"/>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4"/>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17"/>
  </w:num>
  <w:num w:numId="17">
    <w:abstractNumId w:val="30"/>
  </w:num>
  <w:num w:numId="18">
    <w:abstractNumId w:val="15"/>
  </w:num>
  <w:num w:numId="19">
    <w:abstractNumId w:val="1"/>
  </w:num>
  <w:num w:numId="20">
    <w:abstractNumId w:val="10"/>
  </w:num>
  <w:num w:numId="21">
    <w:abstractNumId w:val="31"/>
  </w:num>
  <w:num w:numId="22">
    <w:abstractNumId w:val="6"/>
  </w:num>
  <w:num w:numId="23">
    <w:abstractNumId w:val="27"/>
  </w:num>
  <w:num w:numId="24">
    <w:abstractNumId w:val="29"/>
  </w:num>
  <w:num w:numId="25">
    <w:abstractNumId w:val="2"/>
  </w:num>
  <w:num w:numId="26">
    <w:abstractNumId w:val="4"/>
  </w:num>
  <w:num w:numId="27">
    <w:abstractNumId w:val="14"/>
  </w:num>
  <w:num w:numId="28">
    <w:abstractNumId w:val="25"/>
  </w:num>
  <w:num w:numId="29">
    <w:abstractNumId w:val="23"/>
  </w:num>
  <w:num w:numId="30">
    <w:abstractNumId w:val="21"/>
  </w:num>
  <w:num w:numId="31">
    <w:abstractNumId w:val="22"/>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dit="forms" w:enforcement="0"/>
  <w:defaultTabStop w:val="88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EF595D"/>
    <w:rsid w:val="0000040A"/>
    <w:rsid w:val="000008F2"/>
    <w:rsid w:val="00000A94"/>
    <w:rsid w:val="00000E33"/>
    <w:rsid w:val="00001972"/>
    <w:rsid w:val="00001D9A"/>
    <w:rsid w:val="00007B3A"/>
    <w:rsid w:val="000107E0"/>
    <w:rsid w:val="00011FDE"/>
    <w:rsid w:val="00012FFD"/>
    <w:rsid w:val="000137F9"/>
    <w:rsid w:val="00014162"/>
    <w:rsid w:val="00014340"/>
    <w:rsid w:val="00016A9C"/>
    <w:rsid w:val="0001738D"/>
    <w:rsid w:val="000201C3"/>
    <w:rsid w:val="00022184"/>
    <w:rsid w:val="00022762"/>
    <w:rsid w:val="000238E0"/>
    <w:rsid w:val="000249DB"/>
    <w:rsid w:val="0002595E"/>
    <w:rsid w:val="000303C3"/>
    <w:rsid w:val="000331D3"/>
    <w:rsid w:val="000346A5"/>
    <w:rsid w:val="000359C3"/>
    <w:rsid w:val="00035A7D"/>
    <w:rsid w:val="000365ED"/>
    <w:rsid w:val="00040B58"/>
    <w:rsid w:val="0004249A"/>
    <w:rsid w:val="00043282"/>
    <w:rsid w:val="00043E88"/>
    <w:rsid w:val="00044286"/>
    <w:rsid w:val="00047F28"/>
    <w:rsid w:val="000503AA"/>
    <w:rsid w:val="000506A1"/>
    <w:rsid w:val="00051235"/>
    <w:rsid w:val="000515DD"/>
    <w:rsid w:val="0005265A"/>
    <w:rsid w:val="000539DD"/>
    <w:rsid w:val="00053BD3"/>
    <w:rsid w:val="000556ED"/>
    <w:rsid w:val="00055FE2"/>
    <w:rsid w:val="0005616F"/>
    <w:rsid w:val="00060C2E"/>
    <w:rsid w:val="00061033"/>
    <w:rsid w:val="000619E9"/>
    <w:rsid w:val="000622D4"/>
    <w:rsid w:val="0006357D"/>
    <w:rsid w:val="00066BA9"/>
    <w:rsid w:val="00067F1E"/>
    <w:rsid w:val="00071CC0"/>
    <w:rsid w:val="00073C8C"/>
    <w:rsid w:val="00074C55"/>
    <w:rsid w:val="00076871"/>
    <w:rsid w:val="00077B64"/>
    <w:rsid w:val="00080A1C"/>
    <w:rsid w:val="00082317"/>
    <w:rsid w:val="000827A0"/>
    <w:rsid w:val="0008345B"/>
    <w:rsid w:val="00083D2C"/>
    <w:rsid w:val="000846C2"/>
    <w:rsid w:val="00086AA1"/>
    <w:rsid w:val="00087A77"/>
    <w:rsid w:val="00090CA6"/>
    <w:rsid w:val="00092B8A"/>
    <w:rsid w:val="00092FB0"/>
    <w:rsid w:val="000934C5"/>
    <w:rsid w:val="00093D25"/>
    <w:rsid w:val="00093DAB"/>
    <w:rsid w:val="00094D73"/>
    <w:rsid w:val="00094E59"/>
    <w:rsid w:val="00096D63"/>
    <w:rsid w:val="000A0B60"/>
    <w:rsid w:val="000A0EB8"/>
    <w:rsid w:val="000A1225"/>
    <w:rsid w:val="000A19FC"/>
    <w:rsid w:val="000A296B"/>
    <w:rsid w:val="000A58C3"/>
    <w:rsid w:val="000A59A7"/>
    <w:rsid w:val="000A7273"/>
    <w:rsid w:val="000A7311"/>
    <w:rsid w:val="000B060F"/>
    <w:rsid w:val="000B1592"/>
    <w:rsid w:val="000B1FF2"/>
    <w:rsid w:val="000B3CDA"/>
    <w:rsid w:val="000B6A0B"/>
    <w:rsid w:val="000B7DFD"/>
    <w:rsid w:val="000C0F6C"/>
    <w:rsid w:val="000C11DB"/>
    <w:rsid w:val="000C1492"/>
    <w:rsid w:val="000C2FBD"/>
    <w:rsid w:val="000C4B41"/>
    <w:rsid w:val="000C57D6"/>
    <w:rsid w:val="000C6362"/>
    <w:rsid w:val="000C7666"/>
    <w:rsid w:val="000D0A9C"/>
    <w:rsid w:val="000D1795"/>
    <w:rsid w:val="000D2A32"/>
    <w:rsid w:val="000D329A"/>
    <w:rsid w:val="000D4B9C"/>
    <w:rsid w:val="000D4EB6"/>
    <w:rsid w:val="000D753B"/>
    <w:rsid w:val="000E4C9E"/>
    <w:rsid w:val="000E6FD7"/>
    <w:rsid w:val="000F06E1"/>
    <w:rsid w:val="000F0E3C"/>
    <w:rsid w:val="000F19D5"/>
    <w:rsid w:val="000F4AEA"/>
    <w:rsid w:val="000F633F"/>
    <w:rsid w:val="000F67E9"/>
    <w:rsid w:val="000F79F1"/>
    <w:rsid w:val="00104926"/>
    <w:rsid w:val="00105C27"/>
    <w:rsid w:val="00110BC2"/>
    <w:rsid w:val="001125E6"/>
    <w:rsid w:val="00112B49"/>
    <w:rsid w:val="00113B1E"/>
    <w:rsid w:val="0011711C"/>
    <w:rsid w:val="0012059C"/>
    <w:rsid w:val="00120816"/>
    <w:rsid w:val="00124E4F"/>
    <w:rsid w:val="001260B7"/>
    <w:rsid w:val="001265CB"/>
    <w:rsid w:val="001321C6"/>
    <w:rsid w:val="001325C4"/>
    <w:rsid w:val="00133010"/>
    <w:rsid w:val="001338EE"/>
    <w:rsid w:val="00133AAE"/>
    <w:rsid w:val="00135323"/>
    <w:rsid w:val="001356C4"/>
    <w:rsid w:val="00137CEF"/>
    <w:rsid w:val="00140AA5"/>
    <w:rsid w:val="00141114"/>
    <w:rsid w:val="00142969"/>
    <w:rsid w:val="00142E17"/>
    <w:rsid w:val="001446C2"/>
    <w:rsid w:val="00145710"/>
    <w:rsid w:val="001457E7"/>
    <w:rsid w:val="00145D9D"/>
    <w:rsid w:val="00146388"/>
    <w:rsid w:val="001529E5"/>
    <w:rsid w:val="00153C7E"/>
    <w:rsid w:val="00155709"/>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DD8"/>
    <w:rsid w:val="0017340B"/>
    <w:rsid w:val="00173FB1"/>
    <w:rsid w:val="00176DFD"/>
    <w:rsid w:val="0017721D"/>
    <w:rsid w:val="001852C9"/>
    <w:rsid w:val="00190087"/>
    <w:rsid w:val="001913C4"/>
    <w:rsid w:val="0019348F"/>
    <w:rsid w:val="00193A07"/>
    <w:rsid w:val="00194B40"/>
    <w:rsid w:val="00194C95"/>
    <w:rsid w:val="00195C34"/>
    <w:rsid w:val="00196EF5"/>
    <w:rsid w:val="001A1A53"/>
    <w:rsid w:val="001A234A"/>
    <w:rsid w:val="001A4CF3"/>
    <w:rsid w:val="001A7A02"/>
    <w:rsid w:val="001B06E8"/>
    <w:rsid w:val="001B5FA6"/>
    <w:rsid w:val="001B71D0"/>
    <w:rsid w:val="001B71EE"/>
    <w:rsid w:val="001C04A8"/>
    <w:rsid w:val="001C22B5"/>
    <w:rsid w:val="001C2C03"/>
    <w:rsid w:val="001C3800"/>
    <w:rsid w:val="001C42F7"/>
    <w:rsid w:val="001C4620"/>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4F38"/>
    <w:rsid w:val="001E5680"/>
    <w:rsid w:val="001E66BD"/>
    <w:rsid w:val="001E73AB"/>
    <w:rsid w:val="001F05A1"/>
    <w:rsid w:val="001F092D"/>
    <w:rsid w:val="001F143A"/>
    <w:rsid w:val="001F1605"/>
    <w:rsid w:val="001F2508"/>
    <w:rsid w:val="001F4816"/>
    <w:rsid w:val="001F4EE9"/>
    <w:rsid w:val="001F69B4"/>
    <w:rsid w:val="001F77C7"/>
    <w:rsid w:val="00200183"/>
    <w:rsid w:val="00200333"/>
    <w:rsid w:val="0020107D"/>
    <w:rsid w:val="0020279A"/>
    <w:rsid w:val="00202AA4"/>
    <w:rsid w:val="002031F7"/>
    <w:rsid w:val="002040E6"/>
    <w:rsid w:val="0020527B"/>
    <w:rsid w:val="00205F2C"/>
    <w:rsid w:val="002072B6"/>
    <w:rsid w:val="0021088A"/>
    <w:rsid w:val="00210B15"/>
    <w:rsid w:val="002142EA"/>
    <w:rsid w:val="002204BB"/>
    <w:rsid w:val="00221B79"/>
    <w:rsid w:val="00221C6B"/>
    <w:rsid w:val="002253A1"/>
    <w:rsid w:val="00225CF8"/>
    <w:rsid w:val="0022794E"/>
    <w:rsid w:val="00232C79"/>
    <w:rsid w:val="00233D64"/>
    <w:rsid w:val="0023482A"/>
    <w:rsid w:val="002359CB"/>
    <w:rsid w:val="00236F65"/>
    <w:rsid w:val="00243540"/>
    <w:rsid w:val="0024497B"/>
    <w:rsid w:val="0024515B"/>
    <w:rsid w:val="00246021"/>
    <w:rsid w:val="0024666E"/>
    <w:rsid w:val="00247F52"/>
    <w:rsid w:val="00250B25"/>
    <w:rsid w:val="00250BBE"/>
    <w:rsid w:val="002515C2"/>
    <w:rsid w:val="0025194F"/>
    <w:rsid w:val="00256028"/>
    <w:rsid w:val="0026148A"/>
    <w:rsid w:val="002615F9"/>
    <w:rsid w:val="00262696"/>
    <w:rsid w:val="00263D25"/>
    <w:rsid w:val="002643C3"/>
    <w:rsid w:val="00264A0C"/>
    <w:rsid w:val="00266EEB"/>
    <w:rsid w:val="00267EF4"/>
    <w:rsid w:val="00270CB8"/>
    <w:rsid w:val="00272B08"/>
    <w:rsid w:val="002750F7"/>
    <w:rsid w:val="002771AC"/>
    <w:rsid w:val="00281BB8"/>
    <w:rsid w:val="00281E9E"/>
    <w:rsid w:val="0028213E"/>
    <w:rsid w:val="00282405"/>
    <w:rsid w:val="00282811"/>
    <w:rsid w:val="00285170"/>
    <w:rsid w:val="00285361"/>
    <w:rsid w:val="002854B3"/>
    <w:rsid w:val="00292D60"/>
    <w:rsid w:val="00293B30"/>
    <w:rsid w:val="00294D34"/>
    <w:rsid w:val="00294E3B"/>
    <w:rsid w:val="00296193"/>
    <w:rsid w:val="00296C66"/>
    <w:rsid w:val="00296EBE"/>
    <w:rsid w:val="002974E3"/>
    <w:rsid w:val="002A084B"/>
    <w:rsid w:val="002A1260"/>
    <w:rsid w:val="002A1589"/>
    <w:rsid w:val="002A1608"/>
    <w:rsid w:val="002A25DC"/>
    <w:rsid w:val="002A32B7"/>
    <w:rsid w:val="002A3AAB"/>
    <w:rsid w:val="002A4CEA"/>
    <w:rsid w:val="002A5977"/>
    <w:rsid w:val="002A5A13"/>
    <w:rsid w:val="002A6F46"/>
    <w:rsid w:val="002A757F"/>
    <w:rsid w:val="002A7F44"/>
    <w:rsid w:val="002B0C40"/>
    <w:rsid w:val="002B1966"/>
    <w:rsid w:val="002B4508"/>
    <w:rsid w:val="002B5779"/>
    <w:rsid w:val="002B7332"/>
    <w:rsid w:val="002B7797"/>
    <w:rsid w:val="002B7F51"/>
    <w:rsid w:val="002C09E7"/>
    <w:rsid w:val="002C1E06"/>
    <w:rsid w:val="002C1E1C"/>
    <w:rsid w:val="002C3F07"/>
    <w:rsid w:val="002C5278"/>
    <w:rsid w:val="002C7EBB"/>
    <w:rsid w:val="002D06C1"/>
    <w:rsid w:val="002D42B5"/>
    <w:rsid w:val="002D4F1A"/>
    <w:rsid w:val="002D6EC6"/>
    <w:rsid w:val="002D79AC"/>
    <w:rsid w:val="002E039D"/>
    <w:rsid w:val="002E2290"/>
    <w:rsid w:val="002E4D5A"/>
    <w:rsid w:val="002E6326"/>
    <w:rsid w:val="002F1D64"/>
    <w:rsid w:val="002F30E0"/>
    <w:rsid w:val="002F35E4"/>
    <w:rsid w:val="002F3730"/>
    <w:rsid w:val="002F3835"/>
    <w:rsid w:val="002F38E1"/>
    <w:rsid w:val="002F7AF6"/>
    <w:rsid w:val="00300E63"/>
    <w:rsid w:val="00301C60"/>
    <w:rsid w:val="00302F5F"/>
    <w:rsid w:val="0030441D"/>
    <w:rsid w:val="00306063"/>
    <w:rsid w:val="00306759"/>
    <w:rsid w:val="003133FF"/>
    <w:rsid w:val="00313B85"/>
    <w:rsid w:val="00317988"/>
    <w:rsid w:val="003221B4"/>
    <w:rsid w:val="0032258D"/>
    <w:rsid w:val="00322E62"/>
    <w:rsid w:val="00324D13"/>
    <w:rsid w:val="00324D2A"/>
    <w:rsid w:val="00324EDD"/>
    <w:rsid w:val="0033316B"/>
    <w:rsid w:val="003331E4"/>
    <w:rsid w:val="00336C64"/>
    <w:rsid w:val="00337162"/>
    <w:rsid w:val="0034194F"/>
    <w:rsid w:val="003434E1"/>
    <w:rsid w:val="003441DA"/>
    <w:rsid w:val="00344605"/>
    <w:rsid w:val="003463DE"/>
    <w:rsid w:val="003474AA"/>
    <w:rsid w:val="00350D1D"/>
    <w:rsid w:val="00351569"/>
    <w:rsid w:val="00352C83"/>
    <w:rsid w:val="00353BBF"/>
    <w:rsid w:val="003615D2"/>
    <w:rsid w:val="0036429C"/>
    <w:rsid w:val="00364A53"/>
    <w:rsid w:val="003654CB"/>
    <w:rsid w:val="00365AA9"/>
    <w:rsid w:val="00365F86"/>
    <w:rsid w:val="00365F87"/>
    <w:rsid w:val="00366B48"/>
    <w:rsid w:val="00366E89"/>
    <w:rsid w:val="00367B5B"/>
    <w:rsid w:val="003705F4"/>
    <w:rsid w:val="00370D58"/>
    <w:rsid w:val="00371316"/>
    <w:rsid w:val="003718A8"/>
    <w:rsid w:val="00376713"/>
    <w:rsid w:val="0037712E"/>
    <w:rsid w:val="003800C8"/>
    <w:rsid w:val="00381815"/>
    <w:rsid w:val="003819AF"/>
    <w:rsid w:val="003820E9"/>
    <w:rsid w:val="00382DE7"/>
    <w:rsid w:val="0038371C"/>
    <w:rsid w:val="00384FFC"/>
    <w:rsid w:val="003867DB"/>
    <w:rsid w:val="003872FC"/>
    <w:rsid w:val="00387ADC"/>
    <w:rsid w:val="00390020"/>
    <w:rsid w:val="003903D6"/>
    <w:rsid w:val="00390EE6"/>
    <w:rsid w:val="0039118F"/>
    <w:rsid w:val="00392AD7"/>
    <w:rsid w:val="003938D9"/>
    <w:rsid w:val="00394376"/>
    <w:rsid w:val="003943FF"/>
    <w:rsid w:val="00395700"/>
    <w:rsid w:val="00395B29"/>
    <w:rsid w:val="003974EB"/>
    <w:rsid w:val="00397CC5"/>
    <w:rsid w:val="003A1582"/>
    <w:rsid w:val="003A4077"/>
    <w:rsid w:val="003A7E36"/>
    <w:rsid w:val="003B09AD"/>
    <w:rsid w:val="003B1F18"/>
    <w:rsid w:val="003B46C5"/>
    <w:rsid w:val="003B5BF0"/>
    <w:rsid w:val="003B60BF"/>
    <w:rsid w:val="003B6BE3"/>
    <w:rsid w:val="003C010C"/>
    <w:rsid w:val="003C0A6C"/>
    <w:rsid w:val="003C14F8"/>
    <w:rsid w:val="003C5A43"/>
    <w:rsid w:val="003D0519"/>
    <w:rsid w:val="003D0BF2"/>
    <w:rsid w:val="003D0FF6"/>
    <w:rsid w:val="003D262C"/>
    <w:rsid w:val="003D6B86"/>
    <w:rsid w:val="003D6D61"/>
    <w:rsid w:val="003D79C6"/>
    <w:rsid w:val="003E091D"/>
    <w:rsid w:val="003E1C53"/>
    <w:rsid w:val="003E2A69"/>
    <w:rsid w:val="003E2D49"/>
    <w:rsid w:val="003E2FD4"/>
    <w:rsid w:val="003E49F6"/>
    <w:rsid w:val="003E4ACF"/>
    <w:rsid w:val="003E660F"/>
    <w:rsid w:val="003E71A3"/>
    <w:rsid w:val="003F0841"/>
    <w:rsid w:val="003F23D3"/>
    <w:rsid w:val="003F3D63"/>
    <w:rsid w:val="003F3F08"/>
    <w:rsid w:val="003F49F1"/>
    <w:rsid w:val="003F4EFC"/>
    <w:rsid w:val="003F6272"/>
    <w:rsid w:val="003F7883"/>
    <w:rsid w:val="00400E72"/>
    <w:rsid w:val="00401400"/>
    <w:rsid w:val="00404869"/>
    <w:rsid w:val="0040487C"/>
    <w:rsid w:val="00405884"/>
    <w:rsid w:val="004058AE"/>
    <w:rsid w:val="00407D39"/>
    <w:rsid w:val="00411881"/>
    <w:rsid w:val="00413263"/>
    <w:rsid w:val="0041477A"/>
    <w:rsid w:val="00414AB0"/>
    <w:rsid w:val="004167A3"/>
    <w:rsid w:val="0042292C"/>
    <w:rsid w:val="00423FEF"/>
    <w:rsid w:val="00431788"/>
    <w:rsid w:val="00432DAA"/>
    <w:rsid w:val="00434305"/>
    <w:rsid w:val="00435DF7"/>
    <w:rsid w:val="00437D3E"/>
    <w:rsid w:val="0044083F"/>
    <w:rsid w:val="00441AE7"/>
    <w:rsid w:val="00445574"/>
    <w:rsid w:val="004467FB"/>
    <w:rsid w:val="00452D6B"/>
    <w:rsid w:val="004537D5"/>
    <w:rsid w:val="00454484"/>
    <w:rsid w:val="0045517B"/>
    <w:rsid w:val="00463B77"/>
    <w:rsid w:val="00463C7B"/>
    <w:rsid w:val="004644A6"/>
    <w:rsid w:val="004659BD"/>
    <w:rsid w:val="00470775"/>
    <w:rsid w:val="00470C3A"/>
    <w:rsid w:val="00471268"/>
    <w:rsid w:val="004746B1"/>
    <w:rsid w:val="0047583F"/>
    <w:rsid w:val="00475DE8"/>
    <w:rsid w:val="00481C44"/>
    <w:rsid w:val="00484936"/>
    <w:rsid w:val="00485C89"/>
    <w:rsid w:val="00486BE3"/>
    <w:rsid w:val="004905E4"/>
    <w:rsid w:val="00490A89"/>
    <w:rsid w:val="00490AB4"/>
    <w:rsid w:val="0049191C"/>
    <w:rsid w:val="00492F02"/>
    <w:rsid w:val="004939AE"/>
    <w:rsid w:val="004A12DF"/>
    <w:rsid w:val="004A17E6"/>
    <w:rsid w:val="004A1BA8"/>
    <w:rsid w:val="004A4272"/>
    <w:rsid w:val="004A4B57"/>
    <w:rsid w:val="004A63FA"/>
    <w:rsid w:val="004B0272"/>
    <w:rsid w:val="004B18E3"/>
    <w:rsid w:val="004B2701"/>
    <w:rsid w:val="004B2E1B"/>
    <w:rsid w:val="004B3AA8"/>
    <w:rsid w:val="004B3E93"/>
    <w:rsid w:val="004B4120"/>
    <w:rsid w:val="004C1D53"/>
    <w:rsid w:val="004C1FBC"/>
    <w:rsid w:val="004C3F1D"/>
    <w:rsid w:val="004C458D"/>
    <w:rsid w:val="004C4DCB"/>
    <w:rsid w:val="004C5393"/>
    <w:rsid w:val="004C6E7C"/>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423"/>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14A8"/>
    <w:rsid w:val="00511A1F"/>
    <w:rsid w:val="00512F6E"/>
    <w:rsid w:val="00513038"/>
    <w:rsid w:val="00514174"/>
    <w:rsid w:val="00516088"/>
    <w:rsid w:val="00516B0B"/>
    <w:rsid w:val="005205A2"/>
    <w:rsid w:val="00520901"/>
    <w:rsid w:val="00521E86"/>
    <w:rsid w:val="005220EC"/>
    <w:rsid w:val="00523F95"/>
    <w:rsid w:val="00524D65"/>
    <w:rsid w:val="00525911"/>
    <w:rsid w:val="00525B16"/>
    <w:rsid w:val="00533D04"/>
    <w:rsid w:val="00534804"/>
    <w:rsid w:val="00534BDF"/>
    <w:rsid w:val="005354EA"/>
    <w:rsid w:val="0053585F"/>
    <w:rsid w:val="00535EC4"/>
    <w:rsid w:val="00535ED9"/>
    <w:rsid w:val="0053692B"/>
    <w:rsid w:val="00541853"/>
    <w:rsid w:val="00543BDA"/>
    <w:rsid w:val="005441CC"/>
    <w:rsid w:val="00544668"/>
    <w:rsid w:val="005479DA"/>
    <w:rsid w:val="00547BCC"/>
    <w:rsid w:val="0055013B"/>
    <w:rsid w:val="00551F6F"/>
    <w:rsid w:val="005523A3"/>
    <w:rsid w:val="0055490D"/>
    <w:rsid w:val="00555044"/>
    <w:rsid w:val="00561475"/>
    <w:rsid w:val="00563C0E"/>
    <w:rsid w:val="0056487B"/>
    <w:rsid w:val="00564FB9"/>
    <w:rsid w:val="0056531D"/>
    <w:rsid w:val="005736A8"/>
    <w:rsid w:val="00573D9E"/>
    <w:rsid w:val="00575ACD"/>
    <w:rsid w:val="00575ADE"/>
    <w:rsid w:val="005801E3"/>
    <w:rsid w:val="00581802"/>
    <w:rsid w:val="005836A8"/>
    <w:rsid w:val="0058409C"/>
    <w:rsid w:val="00584262"/>
    <w:rsid w:val="00586630"/>
    <w:rsid w:val="0058740C"/>
    <w:rsid w:val="00587ADD"/>
    <w:rsid w:val="00591E27"/>
    <w:rsid w:val="005924EA"/>
    <w:rsid w:val="0059562E"/>
    <w:rsid w:val="00596160"/>
    <w:rsid w:val="005966E2"/>
    <w:rsid w:val="00597007"/>
    <w:rsid w:val="005A0966"/>
    <w:rsid w:val="005A11B7"/>
    <w:rsid w:val="005A260B"/>
    <w:rsid w:val="005A4A1B"/>
    <w:rsid w:val="005A7830"/>
    <w:rsid w:val="005A7FCE"/>
    <w:rsid w:val="005B0F3F"/>
    <w:rsid w:val="005B3859"/>
    <w:rsid w:val="005B3CB1"/>
    <w:rsid w:val="005B4903"/>
    <w:rsid w:val="005B4DFB"/>
    <w:rsid w:val="005B51CE"/>
    <w:rsid w:val="005B5885"/>
    <w:rsid w:val="005B5CD7"/>
    <w:rsid w:val="005B6CF6"/>
    <w:rsid w:val="005B7422"/>
    <w:rsid w:val="005C1531"/>
    <w:rsid w:val="005C1E00"/>
    <w:rsid w:val="005C29B8"/>
    <w:rsid w:val="005C5BFD"/>
    <w:rsid w:val="005C5F21"/>
    <w:rsid w:val="005C7156"/>
    <w:rsid w:val="005C7E00"/>
    <w:rsid w:val="005D0C75"/>
    <w:rsid w:val="005D4171"/>
    <w:rsid w:val="005D6A95"/>
    <w:rsid w:val="005D6B2C"/>
    <w:rsid w:val="005D6D9C"/>
    <w:rsid w:val="005E2335"/>
    <w:rsid w:val="005E34CA"/>
    <w:rsid w:val="005E3C18"/>
    <w:rsid w:val="005E6812"/>
    <w:rsid w:val="005E7629"/>
    <w:rsid w:val="005E7881"/>
    <w:rsid w:val="005E78E0"/>
    <w:rsid w:val="005F0D9C"/>
    <w:rsid w:val="005F284E"/>
    <w:rsid w:val="005F33C7"/>
    <w:rsid w:val="005F4712"/>
    <w:rsid w:val="005F5AC7"/>
    <w:rsid w:val="006015CE"/>
    <w:rsid w:val="00604784"/>
    <w:rsid w:val="00606419"/>
    <w:rsid w:val="00607D29"/>
    <w:rsid w:val="00612952"/>
    <w:rsid w:val="00614CC1"/>
    <w:rsid w:val="00615A9D"/>
    <w:rsid w:val="00617387"/>
    <w:rsid w:val="006205D6"/>
    <w:rsid w:val="006252D8"/>
    <w:rsid w:val="006259BC"/>
    <w:rsid w:val="0062636B"/>
    <w:rsid w:val="006270AC"/>
    <w:rsid w:val="00632182"/>
    <w:rsid w:val="006323BE"/>
    <w:rsid w:val="00632AE0"/>
    <w:rsid w:val="00633C17"/>
    <w:rsid w:val="00634D9E"/>
    <w:rsid w:val="006350ED"/>
    <w:rsid w:val="00636E3E"/>
    <w:rsid w:val="006379F7"/>
    <w:rsid w:val="00637E4D"/>
    <w:rsid w:val="00640620"/>
    <w:rsid w:val="00641A1F"/>
    <w:rsid w:val="006422FA"/>
    <w:rsid w:val="00645904"/>
    <w:rsid w:val="00650019"/>
    <w:rsid w:val="00651ACB"/>
    <w:rsid w:val="00651C47"/>
    <w:rsid w:val="00652AB2"/>
    <w:rsid w:val="00653FED"/>
    <w:rsid w:val="00654EC0"/>
    <w:rsid w:val="0065525B"/>
    <w:rsid w:val="00655D4F"/>
    <w:rsid w:val="00656D29"/>
    <w:rsid w:val="00662DA9"/>
    <w:rsid w:val="006640E5"/>
    <w:rsid w:val="006646F1"/>
    <w:rsid w:val="00664929"/>
    <w:rsid w:val="00664F62"/>
    <w:rsid w:val="006655E1"/>
    <w:rsid w:val="006676DD"/>
    <w:rsid w:val="00672060"/>
    <w:rsid w:val="00672BFD"/>
    <w:rsid w:val="006770F4"/>
    <w:rsid w:val="00677A84"/>
    <w:rsid w:val="0068026D"/>
    <w:rsid w:val="0068073A"/>
    <w:rsid w:val="00680A27"/>
    <w:rsid w:val="006816A4"/>
    <w:rsid w:val="006819B8"/>
    <w:rsid w:val="00682E58"/>
    <w:rsid w:val="006840A6"/>
    <w:rsid w:val="006850CD"/>
    <w:rsid w:val="00685AAB"/>
    <w:rsid w:val="00686144"/>
    <w:rsid w:val="0068678C"/>
    <w:rsid w:val="00695D22"/>
    <w:rsid w:val="006A07AA"/>
    <w:rsid w:val="006A25E5"/>
    <w:rsid w:val="006A2B46"/>
    <w:rsid w:val="006A336D"/>
    <w:rsid w:val="006A37B9"/>
    <w:rsid w:val="006A54EF"/>
    <w:rsid w:val="006A61D9"/>
    <w:rsid w:val="006B2672"/>
    <w:rsid w:val="006B54BF"/>
    <w:rsid w:val="006B5F44"/>
    <w:rsid w:val="006B5F90"/>
    <w:rsid w:val="006B62E4"/>
    <w:rsid w:val="006B6FA3"/>
    <w:rsid w:val="006C0390"/>
    <w:rsid w:val="006C1BBA"/>
    <w:rsid w:val="006C2079"/>
    <w:rsid w:val="006C5A62"/>
    <w:rsid w:val="006C5D68"/>
    <w:rsid w:val="006C6976"/>
    <w:rsid w:val="006C6DD0"/>
    <w:rsid w:val="006D04EA"/>
    <w:rsid w:val="006D0AB7"/>
    <w:rsid w:val="006D16C4"/>
    <w:rsid w:val="006D2234"/>
    <w:rsid w:val="006D3E96"/>
    <w:rsid w:val="006D4515"/>
    <w:rsid w:val="006D4BB1"/>
    <w:rsid w:val="006D6593"/>
    <w:rsid w:val="006E23EA"/>
    <w:rsid w:val="006E2A72"/>
    <w:rsid w:val="006F03A8"/>
    <w:rsid w:val="006F2ACA"/>
    <w:rsid w:val="006F2ADC"/>
    <w:rsid w:val="006F2BFE"/>
    <w:rsid w:val="006F31E9"/>
    <w:rsid w:val="006F6284"/>
    <w:rsid w:val="007002C5"/>
    <w:rsid w:val="0070280A"/>
    <w:rsid w:val="00704205"/>
    <w:rsid w:val="00704387"/>
    <w:rsid w:val="00707669"/>
    <w:rsid w:val="0071044E"/>
    <w:rsid w:val="00711CBA"/>
    <w:rsid w:val="00711FB5"/>
    <w:rsid w:val="00712A01"/>
    <w:rsid w:val="00714F58"/>
    <w:rsid w:val="00722FBF"/>
    <w:rsid w:val="00722FC2"/>
    <w:rsid w:val="00724879"/>
    <w:rsid w:val="00724E1B"/>
    <w:rsid w:val="00725949"/>
    <w:rsid w:val="0072633F"/>
    <w:rsid w:val="00727FA2"/>
    <w:rsid w:val="007322D9"/>
    <w:rsid w:val="00732BC0"/>
    <w:rsid w:val="00734A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C8E"/>
    <w:rsid w:val="00765EFB"/>
    <w:rsid w:val="007671CA"/>
    <w:rsid w:val="00767207"/>
    <w:rsid w:val="00767C61"/>
    <w:rsid w:val="0077008A"/>
    <w:rsid w:val="00772171"/>
    <w:rsid w:val="00773C1F"/>
    <w:rsid w:val="00774B2A"/>
    <w:rsid w:val="00774DA4"/>
    <w:rsid w:val="00776599"/>
    <w:rsid w:val="0078114B"/>
    <w:rsid w:val="00781939"/>
    <w:rsid w:val="00781DD2"/>
    <w:rsid w:val="00782730"/>
    <w:rsid w:val="00783ECF"/>
    <w:rsid w:val="0078413A"/>
    <w:rsid w:val="0079167E"/>
    <w:rsid w:val="00794B4E"/>
    <w:rsid w:val="007959E8"/>
    <w:rsid w:val="00795E9C"/>
    <w:rsid w:val="007A0521"/>
    <w:rsid w:val="007A2E12"/>
    <w:rsid w:val="007A3475"/>
    <w:rsid w:val="007A41C8"/>
    <w:rsid w:val="007A53CB"/>
    <w:rsid w:val="007A54CE"/>
    <w:rsid w:val="007A6FD9"/>
    <w:rsid w:val="007A7FFA"/>
    <w:rsid w:val="007B04EB"/>
    <w:rsid w:val="007B0D4F"/>
    <w:rsid w:val="007B15EA"/>
    <w:rsid w:val="007B5A3D"/>
    <w:rsid w:val="007B5B95"/>
    <w:rsid w:val="007B68EA"/>
    <w:rsid w:val="007B7453"/>
    <w:rsid w:val="007C1E8B"/>
    <w:rsid w:val="007C2D89"/>
    <w:rsid w:val="007C4593"/>
    <w:rsid w:val="007C5309"/>
    <w:rsid w:val="007C6069"/>
    <w:rsid w:val="007D06C4"/>
    <w:rsid w:val="007D1352"/>
    <w:rsid w:val="007D2508"/>
    <w:rsid w:val="007D346A"/>
    <w:rsid w:val="007D3EA2"/>
    <w:rsid w:val="007D6518"/>
    <w:rsid w:val="007D76BD"/>
    <w:rsid w:val="007E0BF1"/>
    <w:rsid w:val="007E4FDD"/>
    <w:rsid w:val="007F04B8"/>
    <w:rsid w:val="007F0ED8"/>
    <w:rsid w:val="007F0F63"/>
    <w:rsid w:val="007F75CE"/>
    <w:rsid w:val="008013A4"/>
    <w:rsid w:val="00802372"/>
    <w:rsid w:val="008027CE"/>
    <w:rsid w:val="00802F42"/>
    <w:rsid w:val="00803BD5"/>
    <w:rsid w:val="00804383"/>
    <w:rsid w:val="00804BB7"/>
    <w:rsid w:val="00804D41"/>
    <w:rsid w:val="00805202"/>
    <w:rsid w:val="008101FA"/>
    <w:rsid w:val="00810221"/>
    <w:rsid w:val="00810257"/>
    <w:rsid w:val="008104F5"/>
    <w:rsid w:val="00811072"/>
    <w:rsid w:val="00811369"/>
    <w:rsid w:val="00815419"/>
    <w:rsid w:val="00815E73"/>
    <w:rsid w:val="008163C8"/>
    <w:rsid w:val="008164A1"/>
    <w:rsid w:val="00817243"/>
    <w:rsid w:val="00817325"/>
    <w:rsid w:val="008200D5"/>
    <w:rsid w:val="008209E6"/>
    <w:rsid w:val="00823303"/>
    <w:rsid w:val="008233B2"/>
    <w:rsid w:val="00823A9F"/>
    <w:rsid w:val="00823C85"/>
    <w:rsid w:val="00823F6B"/>
    <w:rsid w:val="00824707"/>
    <w:rsid w:val="00825138"/>
    <w:rsid w:val="0082613C"/>
    <w:rsid w:val="008269DD"/>
    <w:rsid w:val="00830621"/>
    <w:rsid w:val="00830757"/>
    <w:rsid w:val="008325EE"/>
    <w:rsid w:val="0083348C"/>
    <w:rsid w:val="008373D3"/>
    <w:rsid w:val="00840617"/>
    <w:rsid w:val="00840F84"/>
    <w:rsid w:val="00842A47"/>
    <w:rsid w:val="00843C13"/>
    <w:rsid w:val="008454F8"/>
    <w:rsid w:val="00850757"/>
    <w:rsid w:val="0085173A"/>
    <w:rsid w:val="00855E36"/>
    <w:rsid w:val="00856316"/>
    <w:rsid w:val="008603CE"/>
    <w:rsid w:val="008620FC"/>
    <w:rsid w:val="008627A5"/>
    <w:rsid w:val="0086286B"/>
    <w:rsid w:val="00863E05"/>
    <w:rsid w:val="00865ACA"/>
    <w:rsid w:val="00865D28"/>
    <w:rsid w:val="00865F85"/>
    <w:rsid w:val="00867C10"/>
    <w:rsid w:val="00870439"/>
    <w:rsid w:val="00870DA1"/>
    <w:rsid w:val="00871B20"/>
    <w:rsid w:val="0087455E"/>
    <w:rsid w:val="00883F93"/>
    <w:rsid w:val="00884DB3"/>
    <w:rsid w:val="00885A9D"/>
    <w:rsid w:val="008864F6"/>
    <w:rsid w:val="008868D9"/>
    <w:rsid w:val="00886E34"/>
    <w:rsid w:val="0089049D"/>
    <w:rsid w:val="008928C9"/>
    <w:rsid w:val="008930CB"/>
    <w:rsid w:val="008938DC"/>
    <w:rsid w:val="00893FD1"/>
    <w:rsid w:val="00894836"/>
    <w:rsid w:val="00895172"/>
    <w:rsid w:val="00895680"/>
    <w:rsid w:val="00896DFF"/>
    <w:rsid w:val="0089762C"/>
    <w:rsid w:val="008A1893"/>
    <w:rsid w:val="008A233E"/>
    <w:rsid w:val="008A3215"/>
    <w:rsid w:val="008A57E6"/>
    <w:rsid w:val="008A6F81"/>
    <w:rsid w:val="008A769A"/>
    <w:rsid w:val="008B0C9C"/>
    <w:rsid w:val="008B166D"/>
    <w:rsid w:val="008B17F4"/>
    <w:rsid w:val="008B3615"/>
    <w:rsid w:val="008B4AC4"/>
    <w:rsid w:val="008B4E2B"/>
    <w:rsid w:val="008B50C8"/>
    <w:rsid w:val="008B5281"/>
    <w:rsid w:val="008B7E05"/>
    <w:rsid w:val="008C1797"/>
    <w:rsid w:val="008C219C"/>
    <w:rsid w:val="008C475E"/>
    <w:rsid w:val="008C619A"/>
    <w:rsid w:val="008D0CE8"/>
    <w:rsid w:val="008D2B0A"/>
    <w:rsid w:val="008D2D1D"/>
    <w:rsid w:val="008D453D"/>
    <w:rsid w:val="008D53AD"/>
    <w:rsid w:val="008D562B"/>
    <w:rsid w:val="008D5733"/>
    <w:rsid w:val="008D622B"/>
    <w:rsid w:val="008D666C"/>
    <w:rsid w:val="008D7B54"/>
    <w:rsid w:val="008E099E"/>
    <w:rsid w:val="008E0C9D"/>
    <w:rsid w:val="008E1345"/>
    <w:rsid w:val="008E1648"/>
    <w:rsid w:val="008E1B3E"/>
    <w:rsid w:val="008E2319"/>
    <w:rsid w:val="008E4BB6"/>
    <w:rsid w:val="008E5518"/>
    <w:rsid w:val="008E6A84"/>
    <w:rsid w:val="008F0CDC"/>
    <w:rsid w:val="008F17A3"/>
    <w:rsid w:val="008F1ED3"/>
    <w:rsid w:val="008F23A5"/>
    <w:rsid w:val="008F30CB"/>
    <w:rsid w:val="008F4C29"/>
    <w:rsid w:val="008F6397"/>
    <w:rsid w:val="008F70BD"/>
    <w:rsid w:val="008F788F"/>
    <w:rsid w:val="008F7EA2"/>
    <w:rsid w:val="00900A04"/>
    <w:rsid w:val="00902722"/>
    <w:rsid w:val="009027BC"/>
    <w:rsid w:val="00902CC1"/>
    <w:rsid w:val="009042AB"/>
    <w:rsid w:val="009045D3"/>
    <w:rsid w:val="009062E6"/>
    <w:rsid w:val="00911BE5"/>
    <w:rsid w:val="009134FF"/>
    <w:rsid w:val="00913CA9"/>
    <w:rsid w:val="009145AE"/>
    <w:rsid w:val="009146CE"/>
    <w:rsid w:val="00914CA7"/>
    <w:rsid w:val="00915C3E"/>
    <w:rsid w:val="009161A8"/>
    <w:rsid w:val="0091736A"/>
    <w:rsid w:val="009245F5"/>
    <w:rsid w:val="009249EC"/>
    <w:rsid w:val="0092717F"/>
    <w:rsid w:val="009273B3"/>
    <w:rsid w:val="009305B5"/>
    <w:rsid w:val="009429D5"/>
    <w:rsid w:val="00942ADB"/>
    <w:rsid w:val="00942BF1"/>
    <w:rsid w:val="00944450"/>
    <w:rsid w:val="00945180"/>
    <w:rsid w:val="00945428"/>
    <w:rsid w:val="0094607B"/>
    <w:rsid w:val="00951E36"/>
    <w:rsid w:val="00953604"/>
    <w:rsid w:val="0095496B"/>
    <w:rsid w:val="0095503D"/>
    <w:rsid w:val="00955625"/>
    <w:rsid w:val="0095725D"/>
    <w:rsid w:val="009608B7"/>
    <w:rsid w:val="00961054"/>
    <w:rsid w:val="009610DC"/>
    <w:rsid w:val="00961490"/>
    <w:rsid w:val="0096381A"/>
    <w:rsid w:val="00965236"/>
    <w:rsid w:val="00965E04"/>
    <w:rsid w:val="009664E9"/>
    <w:rsid w:val="009674AD"/>
    <w:rsid w:val="00970CDC"/>
    <w:rsid w:val="00971E65"/>
    <w:rsid w:val="009750AB"/>
    <w:rsid w:val="00975E4F"/>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A7605"/>
    <w:rsid w:val="009B0739"/>
    <w:rsid w:val="009B09E0"/>
    <w:rsid w:val="009B0BC5"/>
    <w:rsid w:val="009B1247"/>
    <w:rsid w:val="009B372A"/>
    <w:rsid w:val="009B46F9"/>
    <w:rsid w:val="009B6029"/>
    <w:rsid w:val="009B6971"/>
    <w:rsid w:val="009C27F1"/>
    <w:rsid w:val="009C3152"/>
    <w:rsid w:val="009C47DD"/>
    <w:rsid w:val="009C4CFA"/>
    <w:rsid w:val="009C5070"/>
    <w:rsid w:val="009D112C"/>
    <w:rsid w:val="009D1C70"/>
    <w:rsid w:val="009D47FA"/>
    <w:rsid w:val="009D4C5B"/>
    <w:rsid w:val="009D50D2"/>
    <w:rsid w:val="009D6BCA"/>
    <w:rsid w:val="009E0F62"/>
    <w:rsid w:val="009E4A58"/>
    <w:rsid w:val="009E4CF1"/>
    <w:rsid w:val="009E5A2D"/>
    <w:rsid w:val="009E5AB2"/>
    <w:rsid w:val="009E6219"/>
    <w:rsid w:val="009E7BFC"/>
    <w:rsid w:val="009F03B3"/>
    <w:rsid w:val="009F5719"/>
    <w:rsid w:val="00A0096C"/>
    <w:rsid w:val="00A01757"/>
    <w:rsid w:val="00A028C0"/>
    <w:rsid w:val="00A02BAE"/>
    <w:rsid w:val="00A06A6B"/>
    <w:rsid w:val="00A07E47"/>
    <w:rsid w:val="00A129D0"/>
    <w:rsid w:val="00A12C33"/>
    <w:rsid w:val="00A138BA"/>
    <w:rsid w:val="00A14C8E"/>
    <w:rsid w:val="00A153D9"/>
    <w:rsid w:val="00A15F09"/>
    <w:rsid w:val="00A169B6"/>
    <w:rsid w:val="00A2122A"/>
    <w:rsid w:val="00A2271D"/>
    <w:rsid w:val="00A237D5"/>
    <w:rsid w:val="00A251EA"/>
    <w:rsid w:val="00A25AB6"/>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3332"/>
    <w:rsid w:val="00A53DF2"/>
    <w:rsid w:val="00A55BD6"/>
    <w:rsid w:val="00A55D50"/>
    <w:rsid w:val="00A55DCA"/>
    <w:rsid w:val="00A57142"/>
    <w:rsid w:val="00A571E4"/>
    <w:rsid w:val="00A60539"/>
    <w:rsid w:val="00A648CD"/>
    <w:rsid w:val="00A64B29"/>
    <w:rsid w:val="00A6537A"/>
    <w:rsid w:val="00A67866"/>
    <w:rsid w:val="00A70B07"/>
    <w:rsid w:val="00A723F8"/>
    <w:rsid w:val="00A73959"/>
    <w:rsid w:val="00A75B3A"/>
    <w:rsid w:val="00A77CCB"/>
    <w:rsid w:val="00A8162D"/>
    <w:rsid w:val="00A83D8D"/>
    <w:rsid w:val="00A8446B"/>
    <w:rsid w:val="00A8473F"/>
    <w:rsid w:val="00A862D6"/>
    <w:rsid w:val="00A86F86"/>
    <w:rsid w:val="00A8715E"/>
    <w:rsid w:val="00A91C36"/>
    <w:rsid w:val="00A9295B"/>
    <w:rsid w:val="00A93B09"/>
    <w:rsid w:val="00A94247"/>
    <w:rsid w:val="00A952D7"/>
    <w:rsid w:val="00A963F7"/>
    <w:rsid w:val="00A96725"/>
    <w:rsid w:val="00A96AD8"/>
    <w:rsid w:val="00AA052C"/>
    <w:rsid w:val="00AA1E45"/>
    <w:rsid w:val="00AA3540"/>
    <w:rsid w:val="00AA4286"/>
    <w:rsid w:val="00AA456B"/>
    <w:rsid w:val="00AA57F5"/>
    <w:rsid w:val="00AA672E"/>
    <w:rsid w:val="00AA6EC9"/>
    <w:rsid w:val="00AB262D"/>
    <w:rsid w:val="00AB41D5"/>
    <w:rsid w:val="00AB6309"/>
    <w:rsid w:val="00AB6C5F"/>
    <w:rsid w:val="00AB7129"/>
    <w:rsid w:val="00AC1A8A"/>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46B1"/>
    <w:rsid w:val="00AE5EB4"/>
    <w:rsid w:val="00AF0C18"/>
    <w:rsid w:val="00AF47C5"/>
    <w:rsid w:val="00AF5398"/>
    <w:rsid w:val="00B01570"/>
    <w:rsid w:val="00B03194"/>
    <w:rsid w:val="00B043D7"/>
    <w:rsid w:val="00B049AF"/>
    <w:rsid w:val="00B07242"/>
    <w:rsid w:val="00B10502"/>
    <w:rsid w:val="00B10534"/>
    <w:rsid w:val="00B113DB"/>
    <w:rsid w:val="00B11D8A"/>
    <w:rsid w:val="00B12981"/>
    <w:rsid w:val="00B137DE"/>
    <w:rsid w:val="00B147DD"/>
    <w:rsid w:val="00B14BA9"/>
    <w:rsid w:val="00B156FD"/>
    <w:rsid w:val="00B21F61"/>
    <w:rsid w:val="00B261F1"/>
    <w:rsid w:val="00B265BC"/>
    <w:rsid w:val="00B31FB1"/>
    <w:rsid w:val="00B33952"/>
    <w:rsid w:val="00B33C5E"/>
    <w:rsid w:val="00B33E1C"/>
    <w:rsid w:val="00B342F4"/>
    <w:rsid w:val="00B34369"/>
    <w:rsid w:val="00B346C7"/>
    <w:rsid w:val="00B34DC2"/>
    <w:rsid w:val="00B367D5"/>
    <w:rsid w:val="00B378E5"/>
    <w:rsid w:val="00B42C39"/>
    <w:rsid w:val="00B4346D"/>
    <w:rsid w:val="00B440F4"/>
    <w:rsid w:val="00B447A5"/>
    <w:rsid w:val="00B453AE"/>
    <w:rsid w:val="00B4654C"/>
    <w:rsid w:val="00B46AF0"/>
    <w:rsid w:val="00B47293"/>
    <w:rsid w:val="00B50E50"/>
    <w:rsid w:val="00B52120"/>
    <w:rsid w:val="00B533BA"/>
    <w:rsid w:val="00B54ABC"/>
    <w:rsid w:val="00B54DDE"/>
    <w:rsid w:val="00B56FBE"/>
    <w:rsid w:val="00B5786E"/>
    <w:rsid w:val="00B60ACF"/>
    <w:rsid w:val="00B62B58"/>
    <w:rsid w:val="00B65149"/>
    <w:rsid w:val="00B66567"/>
    <w:rsid w:val="00B66F52"/>
    <w:rsid w:val="00B66FE5"/>
    <w:rsid w:val="00B7281E"/>
    <w:rsid w:val="00B72880"/>
    <w:rsid w:val="00B7504E"/>
    <w:rsid w:val="00B7572E"/>
    <w:rsid w:val="00B758BF"/>
    <w:rsid w:val="00B75DE8"/>
    <w:rsid w:val="00B763F2"/>
    <w:rsid w:val="00B77EC8"/>
    <w:rsid w:val="00B827A6"/>
    <w:rsid w:val="00B831CE"/>
    <w:rsid w:val="00B86677"/>
    <w:rsid w:val="00B87131"/>
    <w:rsid w:val="00B87A44"/>
    <w:rsid w:val="00B90B3A"/>
    <w:rsid w:val="00B939B1"/>
    <w:rsid w:val="00B96D40"/>
    <w:rsid w:val="00B97386"/>
    <w:rsid w:val="00BA263B"/>
    <w:rsid w:val="00BA42B2"/>
    <w:rsid w:val="00BA58D4"/>
    <w:rsid w:val="00BA5B9E"/>
    <w:rsid w:val="00BA68A6"/>
    <w:rsid w:val="00BA7C9A"/>
    <w:rsid w:val="00BB203B"/>
    <w:rsid w:val="00BB5F8F"/>
    <w:rsid w:val="00BB6491"/>
    <w:rsid w:val="00BB657A"/>
    <w:rsid w:val="00BC1A4E"/>
    <w:rsid w:val="00BC4790"/>
    <w:rsid w:val="00BC5DC7"/>
    <w:rsid w:val="00BC6B8B"/>
    <w:rsid w:val="00BC73D8"/>
    <w:rsid w:val="00BD1B0B"/>
    <w:rsid w:val="00BD52D7"/>
    <w:rsid w:val="00BD5AD2"/>
    <w:rsid w:val="00BD5CB1"/>
    <w:rsid w:val="00BD7062"/>
    <w:rsid w:val="00BE22F3"/>
    <w:rsid w:val="00BE414D"/>
    <w:rsid w:val="00BE5B52"/>
    <w:rsid w:val="00BE7B8D"/>
    <w:rsid w:val="00BF01D6"/>
    <w:rsid w:val="00BF0993"/>
    <w:rsid w:val="00BF10A9"/>
    <w:rsid w:val="00BF1703"/>
    <w:rsid w:val="00BF231C"/>
    <w:rsid w:val="00BF51E5"/>
    <w:rsid w:val="00BF74A6"/>
    <w:rsid w:val="00C0075F"/>
    <w:rsid w:val="00C013AD"/>
    <w:rsid w:val="00C03263"/>
    <w:rsid w:val="00C04904"/>
    <w:rsid w:val="00C05549"/>
    <w:rsid w:val="00C056B3"/>
    <w:rsid w:val="00C103E5"/>
    <w:rsid w:val="00C13319"/>
    <w:rsid w:val="00C13EE9"/>
    <w:rsid w:val="00C140A4"/>
    <w:rsid w:val="00C16D22"/>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2FB9"/>
    <w:rsid w:val="00C6329F"/>
    <w:rsid w:val="00C63340"/>
    <w:rsid w:val="00C643F9"/>
    <w:rsid w:val="00C64E95"/>
    <w:rsid w:val="00C66C51"/>
    <w:rsid w:val="00C71372"/>
    <w:rsid w:val="00C72410"/>
    <w:rsid w:val="00C72857"/>
    <w:rsid w:val="00C7287F"/>
    <w:rsid w:val="00C75645"/>
    <w:rsid w:val="00C80CB8"/>
    <w:rsid w:val="00C819F8"/>
    <w:rsid w:val="00C8248C"/>
    <w:rsid w:val="00C84E33"/>
    <w:rsid w:val="00C86D6F"/>
    <w:rsid w:val="00C87070"/>
    <w:rsid w:val="00C905FC"/>
    <w:rsid w:val="00C92D03"/>
    <w:rsid w:val="00C9319C"/>
    <w:rsid w:val="00C9435D"/>
    <w:rsid w:val="00C94DF2"/>
    <w:rsid w:val="00C96741"/>
    <w:rsid w:val="00C97797"/>
    <w:rsid w:val="00CA2D1B"/>
    <w:rsid w:val="00CA375D"/>
    <w:rsid w:val="00CA662A"/>
    <w:rsid w:val="00CA722A"/>
    <w:rsid w:val="00CA7AFD"/>
    <w:rsid w:val="00CA7C3C"/>
    <w:rsid w:val="00CB0189"/>
    <w:rsid w:val="00CB0BA2"/>
    <w:rsid w:val="00CB1A42"/>
    <w:rsid w:val="00CB1B0C"/>
    <w:rsid w:val="00CB2C0B"/>
    <w:rsid w:val="00CB517D"/>
    <w:rsid w:val="00CC038D"/>
    <w:rsid w:val="00CC08DB"/>
    <w:rsid w:val="00CC39FF"/>
    <w:rsid w:val="00CC3C2F"/>
    <w:rsid w:val="00CC4112"/>
    <w:rsid w:val="00CC4AC8"/>
    <w:rsid w:val="00CC5233"/>
    <w:rsid w:val="00CC5DE6"/>
    <w:rsid w:val="00CC6E4E"/>
    <w:rsid w:val="00CC6FE8"/>
    <w:rsid w:val="00CC7202"/>
    <w:rsid w:val="00CD2808"/>
    <w:rsid w:val="00CD28BF"/>
    <w:rsid w:val="00CD4092"/>
    <w:rsid w:val="00CD4725"/>
    <w:rsid w:val="00CD4A20"/>
    <w:rsid w:val="00CD50A1"/>
    <w:rsid w:val="00CD519E"/>
    <w:rsid w:val="00CD561D"/>
    <w:rsid w:val="00CE0C4F"/>
    <w:rsid w:val="00CE11B8"/>
    <w:rsid w:val="00CE29A0"/>
    <w:rsid w:val="00CE30EA"/>
    <w:rsid w:val="00CE69A4"/>
    <w:rsid w:val="00CF048A"/>
    <w:rsid w:val="00CF155A"/>
    <w:rsid w:val="00CF2947"/>
    <w:rsid w:val="00CF686F"/>
    <w:rsid w:val="00CF6E60"/>
    <w:rsid w:val="00CF7BCA"/>
    <w:rsid w:val="00CF7C84"/>
    <w:rsid w:val="00D008FD"/>
    <w:rsid w:val="00D011C1"/>
    <w:rsid w:val="00D0321C"/>
    <w:rsid w:val="00D035EC"/>
    <w:rsid w:val="00D06A4F"/>
    <w:rsid w:val="00D06AB1"/>
    <w:rsid w:val="00D072ED"/>
    <w:rsid w:val="00D07A16"/>
    <w:rsid w:val="00D1067E"/>
    <w:rsid w:val="00D10F50"/>
    <w:rsid w:val="00D11272"/>
    <w:rsid w:val="00D123FA"/>
    <w:rsid w:val="00D126F5"/>
    <w:rsid w:val="00D1489E"/>
    <w:rsid w:val="00D160B2"/>
    <w:rsid w:val="00D20737"/>
    <w:rsid w:val="00D210EE"/>
    <w:rsid w:val="00D21E81"/>
    <w:rsid w:val="00D223DE"/>
    <w:rsid w:val="00D25E37"/>
    <w:rsid w:val="00D2661A"/>
    <w:rsid w:val="00D27582"/>
    <w:rsid w:val="00D27EC4"/>
    <w:rsid w:val="00D30DBB"/>
    <w:rsid w:val="00D32719"/>
    <w:rsid w:val="00D33333"/>
    <w:rsid w:val="00D33457"/>
    <w:rsid w:val="00D352A2"/>
    <w:rsid w:val="00D37A78"/>
    <w:rsid w:val="00D4162B"/>
    <w:rsid w:val="00D4514F"/>
    <w:rsid w:val="00D451E2"/>
    <w:rsid w:val="00D45E89"/>
    <w:rsid w:val="00D45E8D"/>
    <w:rsid w:val="00D466AE"/>
    <w:rsid w:val="00D4734F"/>
    <w:rsid w:val="00D51BF3"/>
    <w:rsid w:val="00D57093"/>
    <w:rsid w:val="00D64ACE"/>
    <w:rsid w:val="00D66846"/>
    <w:rsid w:val="00D66A00"/>
    <w:rsid w:val="00D675FB"/>
    <w:rsid w:val="00D71F25"/>
    <w:rsid w:val="00D72A9C"/>
    <w:rsid w:val="00D74531"/>
    <w:rsid w:val="00D7453A"/>
    <w:rsid w:val="00D77031"/>
    <w:rsid w:val="00D84941"/>
    <w:rsid w:val="00D84FA1"/>
    <w:rsid w:val="00D851F0"/>
    <w:rsid w:val="00D86DB7"/>
    <w:rsid w:val="00D90DAA"/>
    <w:rsid w:val="00D91A44"/>
    <w:rsid w:val="00D926D0"/>
    <w:rsid w:val="00D93030"/>
    <w:rsid w:val="00D950E1"/>
    <w:rsid w:val="00D952A6"/>
    <w:rsid w:val="00D97C31"/>
    <w:rsid w:val="00D97F99"/>
    <w:rsid w:val="00DA03BE"/>
    <w:rsid w:val="00DA1E08"/>
    <w:rsid w:val="00DA24F8"/>
    <w:rsid w:val="00DA28E8"/>
    <w:rsid w:val="00DA3160"/>
    <w:rsid w:val="00DA38D3"/>
    <w:rsid w:val="00DA3932"/>
    <w:rsid w:val="00DA3AFC"/>
    <w:rsid w:val="00DA5191"/>
    <w:rsid w:val="00DA64F8"/>
    <w:rsid w:val="00DA6C15"/>
    <w:rsid w:val="00DB0258"/>
    <w:rsid w:val="00DB38EE"/>
    <w:rsid w:val="00DB3DD6"/>
    <w:rsid w:val="00DB498B"/>
    <w:rsid w:val="00DB66CA"/>
    <w:rsid w:val="00DB6BCA"/>
    <w:rsid w:val="00DB73F7"/>
    <w:rsid w:val="00DC0321"/>
    <w:rsid w:val="00DC3067"/>
    <w:rsid w:val="00DC370B"/>
    <w:rsid w:val="00DC48AB"/>
    <w:rsid w:val="00DC5B90"/>
    <w:rsid w:val="00DC5C84"/>
    <w:rsid w:val="00DD00FF"/>
    <w:rsid w:val="00DD0551"/>
    <w:rsid w:val="00DD0619"/>
    <w:rsid w:val="00DD07FB"/>
    <w:rsid w:val="00DD25C6"/>
    <w:rsid w:val="00DD4FE5"/>
    <w:rsid w:val="00DD54B0"/>
    <w:rsid w:val="00DD57EE"/>
    <w:rsid w:val="00DD6BCC"/>
    <w:rsid w:val="00DE0A4B"/>
    <w:rsid w:val="00DE2410"/>
    <w:rsid w:val="00DE2939"/>
    <w:rsid w:val="00DE6E81"/>
    <w:rsid w:val="00DE703F"/>
    <w:rsid w:val="00DE7595"/>
    <w:rsid w:val="00DF0A4D"/>
    <w:rsid w:val="00DF0C0E"/>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1723"/>
    <w:rsid w:val="00E23D99"/>
    <w:rsid w:val="00E24647"/>
    <w:rsid w:val="00E247DB"/>
    <w:rsid w:val="00E2552F"/>
    <w:rsid w:val="00E31046"/>
    <w:rsid w:val="00E3137A"/>
    <w:rsid w:val="00E32A74"/>
    <w:rsid w:val="00E32CCF"/>
    <w:rsid w:val="00E33704"/>
    <w:rsid w:val="00E34A98"/>
    <w:rsid w:val="00E352EF"/>
    <w:rsid w:val="00E35D1E"/>
    <w:rsid w:val="00E364F9"/>
    <w:rsid w:val="00E365FA"/>
    <w:rsid w:val="00E36789"/>
    <w:rsid w:val="00E37E1C"/>
    <w:rsid w:val="00E42300"/>
    <w:rsid w:val="00E44A83"/>
    <w:rsid w:val="00E502C1"/>
    <w:rsid w:val="00E502DD"/>
    <w:rsid w:val="00E50D3A"/>
    <w:rsid w:val="00E51387"/>
    <w:rsid w:val="00E51AD5"/>
    <w:rsid w:val="00E51E68"/>
    <w:rsid w:val="00E52EFD"/>
    <w:rsid w:val="00E5408A"/>
    <w:rsid w:val="00E541F7"/>
    <w:rsid w:val="00E56800"/>
    <w:rsid w:val="00E60C63"/>
    <w:rsid w:val="00E62FF9"/>
    <w:rsid w:val="00E635D6"/>
    <w:rsid w:val="00E639BC"/>
    <w:rsid w:val="00E664CC"/>
    <w:rsid w:val="00E66B56"/>
    <w:rsid w:val="00E67A6F"/>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A21"/>
    <w:rsid w:val="00EA58D1"/>
    <w:rsid w:val="00EA61BC"/>
    <w:rsid w:val="00EA681A"/>
    <w:rsid w:val="00EA735B"/>
    <w:rsid w:val="00EA74AC"/>
    <w:rsid w:val="00EA750A"/>
    <w:rsid w:val="00EB17DE"/>
    <w:rsid w:val="00EB1E69"/>
    <w:rsid w:val="00EB2086"/>
    <w:rsid w:val="00EB5EDF"/>
    <w:rsid w:val="00EB60FE"/>
    <w:rsid w:val="00EB74DB"/>
    <w:rsid w:val="00EC5359"/>
    <w:rsid w:val="00EC562A"/>
    <w:rsid w:val="00EC7DBB"/>
    <w:rsid w:val="00ED067A"/>
    <w:rsid w:val="00ED2B50"/>
    <w:rsid w:val="00EE0350"/>
    <w:rsid w:val="00EE0719"/>
    <w:rsid w:val="00EE0E80"/>
    <w:rsid w:val="00EE54A6"/>
    <w:rsid w:val="00EE613F"/>
    <w:rsid w:val="00EE7295"/>
    <w:rsid w:val="00EE7869"/>
    <w:rsid w:val="00EF054A"/>
    <w:rsid w:val="00EF0620"/>
    <w:rsid w:val="00EF3235"/>
    <w:rsid w:val="00EF595D"/>
    <w:rsid w:val="00EF5D57"/>
    <w:rsid w:val="00EF7E72"/>
    <w:rsid w:val="00F06106"/>
    <w:rsid w:val="00F06D37"/>
    <w:rsid w:val="00F074F2"/>
    <w:rsid w:val="00F07B9D"/>
    <w:rsid w:val="00F11586"/>
    <w:rsid w:val="00F1183B"/>
    <w:rsid w:val="00F11C9F"/>
    <w:rsid w:val="00F12263"/>
    <w:rsid w:val="00F1409D"/>
    <w:rsid w:val="00F14214"/>
    <w:rsid w:val="00F157A9"/>
    <w:rsid w:val="00F2152A"/>
    <w:rsid w:val="00F2521C"/>
    <w:rsid w:val="00F25BB6"/>
    <w:rsid w:val="00F26B7E"/>
    <w:rsid w:val="00F27633"/>
    <w:rsid w:val="00F27A3B"/>
    <w:rsid w:val="00F27EB8"/>
    <w:rsid w:val="00F3150C"/>
    <w:rsid w:val="00F32FF0"/>
    <w:rsid w:val="00F33817"/>
    <w:rsid w:val="00F346A2"/>
    <w:rsid w:val="00F420D5"/>
    <w:rsid w:val="00F451EA"/>
    <w:rsid w:val="00F45447"/>
    <w:rsid w:val="00F456C6"/>
    <w:rsid w:val="00F4577B"/>
    <w:rsid w:val="00F46496"/>
    <w:rsid w:val="00F474D0"/>
    <w:rsid w:val="00F50179"/>
    <w:rsid w:val="00F515EE"/>
    <w:rsid w:val="00F534EE"/>
    <w:rsid w:val="00F56511"/>
    <w:rsid w:val="00F601A7"/>
    <w:rsid w:val="00F6194E"/>
    <w:rsid w:val="00F623AC"/>
    <w:rsid w:val="00F6412A"/>
    <w:rsid w:val="00F65893"/>
    <w:rsid w:val="00F66A4A"/>
    <w:rsid w:val="00F67DC4"/>
    <w:rsid w:val="00F70FFF"/>
    <w:rsid w:val="00F71E22"/>
    <w:rsid w:val="00F72142"/>
    <w:rsid w:val="00F72AE7"/>
    <w:rsid w:val="00F767E2"/>
    <w:rsid w:val="00F81141"/>
    <w:rsid w:val="00F82AF6"/>
    <w:rsid w:val="00F833BA"/>
    <w:rsid w:val="00F84FD0"/>
    <w:rsid w:val="00F859A8"/>
    <w:rsid w:val="00F86D87"/>
    <w:rsid w:val="00F9108B"/>
    <w:rsid w:val="00F91349"/>
    <w:rsid w:val="00F93A8A"/>
    <w:rsid w:val="00F95248"/>
    <w:rsid w:val="00F956A9"/>
    <w:rsid w:val="00F96230"/>
    <w:rsid w:val="00F963ED"/>
    <w:rsid w:val="00F966CF"/>
    <w:rsid w:val="00F96CAE"/>
    <w:rsid w:val="00F97C99"/>
    <w:rsid w:val="00FA4DAC"/>
    <w:rsid w:val="00FA662D"/>
    <w:rsid w:val="00FA73B1"/>
    <w:rsid w:val="00FB0CB9"/>
    <w:rsid w:val="00FB231D"/>
    <w:rsid w:val="00FB3B37"/>
    <w:rsid w:val="00FB45F1"/>
    <w:rsid w:val="00FB4A72"/>
    <w:rsid w:val="00FB54E8"/>
    <w:rsid w:val="00FB697A"/>
    <w:rsid w:val="00FB7054"/>
    <w:rsid w:val="00FC17B7"/>
    <w:rsid w:val="00FC2CB7"/>
    <w:rsid w:val="00FC4090"/>
    <w:rsid w:val="00FC55B4"/>
    <w:rsid w:val="00FD00E6"/>
    <w:rsid w:val="00FD09A1"/>
    <w:rsid w:val="00FD2A7C"/>
    <w:rsid w:val="00FD4D39"/>
    <w:rsid w:val="00FD59EB"/>
    <w:rsid w:val="00FD7299"/>
    <w:rsid w:val="00FE1FBE"/>
    <w:rsid w:val="00FE3901"/>
    <w:rsid w:val="00FE39D3"/>
    <w:rsid w:val="00FE4BCE"/>
    <w:rsid w:val="00FE54AE"/>
    <w:rsid w:val="00FE576A"/>
    <w:rsid w:val="00FE6187"/>
    <w:rsid w:val="00FE7E79"/>
    <w:rsid w:val="00FF040B"/>
    <w:rsid w:val="00FF115D"/>
    <w:rsid w:val="00FF3E7D"/>
    <w:rsid w:val="00FF5B99"/>
    <w:rsid w:val="00FF730C"/>
    <w:rsid w:val="00FF73F4"/>
    <w:rsid w:val="00FF7CE4"/>
    <w:rsid w:val="00FF7E39"/>
    <w:rsid w:val="04FF56CC"/>
    <w:rsid w:val="075C73C2"/>
    <w:rsid w:val="07DD7599"/>
    <w:rsid w:val="07F38F61"/>
    <w:rsid w:val="09D7532D"/>
    <w:rsid w:val="0A56D5E1"/>
    <w:rsid w:val="0B552AA6"/>
    <w:rsid w:val="0B7D0D94"/>
    <w:rsid w:val="0BFEF181"/>
    <w:rsid w:val="0D3EBA3F"/>
    <w:rsid w:val="0D7D1AF9"/>
    <w:rsid w:val="0DBE5DCA"/>
    <w:rsid w:val="0DFF66DB"/>
    <w:rsid w:val="0E2C2B37"/>
    <w:rsid w:val="0EAF446E"/>
    <w:rsid w:val="0EDFD27C"/>
    <w:rsid w:val="0EE61890"/>
    <w:rsid w:val="0F7F5E58"/>
    <w:rsid w:val="0FE85A7F"/>
    <w:rsid w:val="0FFEBC85"/>
    <w:rsid w:val="0FFF7FA2"/>
    <w:rsid w:val="13EF9006"/>
    <w:rsid w:val="13FF6196"/>
    <w:rsid w:val="155B96B0"/>
    <w:rsid w:val="157D0918"/>
    <w:rsid w:val="15D3AB6B"/>
    <w:rsid w:val="15E622DA"/>
    <w:rsid w:val="15FD33A6"/>
    <w:rsid w:val="172F4A43"/>
    <w:rsid w:val="17303EA1"/>
    <w:rsid w:val="17B32F59"/>
    <w:rsid w:val="17CFF280"/>
    <w:rsid w:val="199A3E8B"/>
    <w:rsid w:val="1AFF7168"/>
    <w:rsid w:val="1B5D487E"/>
    <w:rsid w:val="1B761CBB"/>
    <w:rsid w:val="1B7BC23E"/>
    <w:rsid w:val="1BBFCA6F"/>
    <w:rsid w:val="1BCDE436"/>
    <w:rsid w:val="1BD62EB8"/>
    <w:rsid w:val="1BEB5107"/>
    <w:rsid w:val="1BF63C7F"/>
    <w:rsid w:val="1BF748C5"/>
    <w:rsid w:val="1BFEFFC4"/>
    <w:rsid w:val="1CDD4D0C"/>
    <w:rsid w:val="1D7C6595"/>
    <w:rsid w:val="1D7D2510"/>
    <w:rsid w:val="1D8BB90F"/>
    <w:rsid w:val="1DA82F09"/>
    <w:rsid w:val="1DCFC914"/>
    <w:rsid w:val="1DF7C734"/>
    <w:rsid w:val="1DFBA674"/>
    <w:rsid w:val="1E2C58E8"/>
    <w:rsid w:val="1E2F901D"/>
    <w:rsid w:val="1E7B571D"/>
    <w:rsid w:val="1ED68B00"/>
    <w:rsid w:val="1EE74FC5"/>
    <w:rsid w:val="1EFF0A7C"/>
    <w:rsid w:val="1EFF60E5"/>
    <w:rsid w:val="1EFFDB52"/>
    <w:rsid w:val="1F64BD15"/>
    <w:rsid w:val="1F6EF633"/>
    <w:rsid w:val="1F6F926D"/>
    <w:rsid w:val="1F7C6510"/>
    <w:rsid w:val="1F7E4E4C"/>
    <w:rsid w:val="1F9D3FA9"/>
    <w:rsid w:val="1FBCAA0D"/>
    <w:rsid w:val="1FCB9ADE"/>
    <w:rsid w:val="1FDA08A3"/>
    <w:rsid w:val="1FE79A35"/>
    <w:rsid w:val="1FE843EC"/>
    <w:rsid w:val="1FED315F"/>
    <w:rsid w:val="1FF5A8D3"/>
    <w:rsid w:val="1FFD61DA"/>
    <w:rsid w:val="1FFE6470"/>
    <w:rsid w:val="1FFF3A92"/>
    <w:rsid w:val="1FFFF280"/>
    <w:rsid w:val="20B305B0"/>
    <w:rsid w:val="214E26F2"/>
    <w:rsid w:val="22DFCFEB"/>
    <w:rsid w:val="2367BD53"/>
    <w:rsid w:val="23AE9B17"/>
    <w:rsid w:val="23F97D10"/>
    <w:rsid w:val="24CB33FB"/>
    <w:rsid w:val="24EF6C74"/>
    <w:rsid w:val="24FFAE34"/>
    <w:rsid w:val="26B6639B"/>
    <w:rsid w:val="26F30591"/>
    <w:rsid w:val="279F592A"/>
    <w:rsid w:val="27AFCD66"/>
    <w:rsid w:val="27B76DBA"/>
    <w:rsid w:val="27B9C6ED"/>
    <w:rsid w:val="27F83009"/>
    <w:rsid w:val="27FC9230"/>
    <w:rsid w:val="29A7798B"/>
    <w:rsid w:val="29BBD0B9"/>
    <w:rsid w:val="29C5438F"/>
    <w:rsid w:val="29FB2B9C"/>
    <w:rsid w:val="2A4F1BC3"/>
    <w:rsid w:val="2A5A28D5"/>
    <w:rsid w:val="2A9E8DCF"/>
    <w:rsid w:val="2AB7688F"/>
    <w:rsid w:val="2ADFF749"/>
    <w:rsid w:val="2AEB7E8F"/>
    <w:rsid w:val="2AF4D878"/>
    <w:rsid w:val="2B7E0390"/>
    <w:rsid w:val="2BB75882"/>
    <w:rsid w:val="2BF4A676"/>
    <w:rsid w:val="2BFB87F5"/>
    <w:rsid w:val="2CFF407A"/>
    <w:rsid w:val="2DCF003E"/>
    <w:rsid w:val="2DF70AAE"/>
    <w:rsid w:val="2DF72C75"/>
    <w:rsid w:val="2DFBFC0F"/>
    <w:rsid w:val="2DFF6DF2"/>
    <w:rsid w:val="2E5B9D67"/>
    <w:rsid w:val="2E7F4414"/>
    <w:rsid w:val="2E9F821A"/>
    <w:rsid w:val="2EDD5DD3"/>
    <w:rsid w:val="2EEF139C"/>
    <w:rsid w:val="2EFDBD9E"/>
    <w:rsid w:val="2EFF1D56"/>
    <w:rsid w:val="2EFFDB4D"/>
    <w:rsid w:val="2F36504B"/>
    <w:rsid w:val="2F5132EC"/>
    <w:rsid w:val="2F76BDD8"/>
    <w:rsid w:val="2F77BE05"/>
    <w:rsid w:val="2F77E843"/>
    <w:rsid w:val="2FA55939"/>
    <w:rsid w:val="2FB75179"/>
    <w:rsid w:val="2FCD580E"/>
    <w:rsid w:val="2FD3AD44"/>
    <w:rsid w:val="2FE20370"/>
    <w:rsid w:val="2FE66C8C"/>
    <w:rsid w:val="2FF22B24"/>
    <w:rsid w:val="2FF3857B"/>
    <w:rsid w:val="2FFDE435"/>
    <w:rsid w:val="32FF1722"/>
    <w:rsid w:val="339FC0CD"/>
    <w:rsid w:val="33BF1596"/>
    <w:rsid w:val="33DA1E85"/>
    <w:rsid w:val="33DB7DB1"/>
    <w:rsid w:val="33EF76E0"/>
    <w:rsid w:val="33FF66CE"/>
    <w:rsid w:val="33FF785D"/>
    <w:rsid w:val="340864AC"/>
    <w:rsid w:val="34313AAC"/>
    <w:rsid w:val="34AD64D1"/>
    <w:rsid w:val="34FBCDF0"/>
    <w:rsid w:val="353E5031"/>
    <w:rsid w:val="35416D85"/>
    <w:rsid w:val="35562B08"/>
    <w:rsid w:val="359166D4"/>
    <w:rsid w:val="359F4862"/>
    <w:rsid w:val="35ED7ECA"/>
    <w:rsid w:val="35EF4A39"/>
    <w:rsid w:val="35F70030"/>
    <w:rsid w:val="35F7CEBE"/>
    <w:rsid w:val="365F97E5"/>
    <w:rsid w:val="3697B2F5"/>
    <w:rsid w:val="36ABC0D0"/>
    <w:rsid w:val="36FD0485"/>
    <w:rsid w:val="372746B9"/>
    <w:rsid w:val="373D7109"/>
    <w:rsid w:val="373F50F7"/>
    <w:rsid w:val="373FD33E"/>
    <w:rsid w:val="375FC49B"/>
    <w:rsid w:val="377716A7"/>
    <w:rsid w:val="377B5683"/>
    <w:rsid w:val="37BFEB9B"/>
    <w:rsid w:val="37ECF091"/>
    <w:rsid w:val="37F3C29A"/>
    <w:rsid w:val="37FBDB57"/>
    <w:rsid w:val="37FF2402"/>
    <w:rsid w:val="37FF3781"/>
    <w:rsid w:val="37FF8887"/>
    <w:rsid w:val="393ECA8B"/>
    <w:rsid w:val="3954CCA3"/>
    <w:rsid w:val="395E016C"/>
    <w:rsid w:val="39BFCCA6"/>
    <w:rsid w:val="39DF98B8"/>
    <w:rsid w:val="39E6975D"/>
    <w:rsid w:val="39FE54A7"/>
    <w:rsid w:val="39FFBC5D"/>
    <w:rsid w:val="3A5D8BAC"/>
    <w:rsid w:val="3AFA2388"/>
    <w:rsid w:val="3B7E684D"/>
    <w:rsid w:val="3B9FEC01"/>
    <w:rsid w:val="3BBBB0BC"/>
    <w:rsid w:val="3BBFDF5F"/>
    <w:rsid w:val="3BCF1B6E"/>
    <w:rsid w:val="3BCFF300"/>
    <w:rsid w:val="3BDE71DD"/>
    <w:rsid w:val="3BDF7EBE"/>
    <w:rsid w:val="3BDFECE4"/>
    <w:rsid w:val="3BED19DD"/>
    <w:rsid w:val="3BF18315"/>
    <w:rsid w:val="3BF38D83"/>
    <w:rsid w:val="3BF665FE"/>
    <w:rsid w:val="3BF753BA"/>
    <w:rsid w:val="3BFE00F8"/>
    <w:rsid w:val="3BFF8315"/>
    <w:rsid w:val="3BFFD233"/>
    <w:rsid w:val="3C7351F2"/>
    <w:rsid w:val="3C79DD03"/>
    <w:rsid w:val="3CF61143"/>
    <w:rsid w:val="3CFFE6F5"/>
    <w:rsid w:val="3D1E207E"/>
    <w:rsid w:val="3D6FB42C"/>
    <w:rsid w:val="3D6FF036"/>
    <w:rsid w:val="3D7764A1"/>
    <w:rsid w:val="3D987FF5"/>
    <w:rsid w:val="3DAE5AF6"/>
    <w:rsid w:val="3DAF106B"/>
    <w:rsid w:val="3DBDA993"/>
    <w:rsid w:val="3DD5E7F6"/>
    <w:rsid w:val="3DDF33E0"/>
    <w:rsid w:val="3DEF0C1C"/>
    <w:rsid w:val="3DEF3BCB"/>
    <w:rsid w:val="3DEF8179"/>
    <w:rsid w:val="3DEFA4A5"/>
    <w:rsid w:val="3DEFE7AD"/>
    <w:rsid w:val="3DF7E7CE"/>
    <w:rsid w:val="3DFACA8F"/>
    <w:rsid w:val="3DFC3FF2"/>
    <w:rsid w:val="3DFFC14E"/>
    <w:rsid w:val="3E6FE50B"/>
    <w:rsid w:val="3E77C37D"/>
    <w:rsid w:val="3E7DAF23"/>
    <w:rsid w:val="3E93D6C0"/>
    <w:rsid w:val="3E9A42DA"/>
    <w:rsid w:val="3EAD1971"/>
    <w:rsid w:val="3EBB0FBB"/>
    <w:rsid w:val="3EBFD0C5"/>
    <w:rsid w:val="3ED3F3DB"/>
    <w:rsid w:val="3EDA4D7D"/>
    <w:rsid w:val="3EE38D89"/>
    <w:rsid w:val="3EEEF36C"/>
    <w:rsid w:val="3EEFB842"/>
    <w:rsid w:val="3EF70F49"/>
    <w:rsid w:val="3EF9F658"/>
    <w:rsid w:val="3EFE5282"/>
    <w:rsid w:val="3EFF6BFA"/>
    <w:rsid w:val="3F0F9656"/>
    <w:rsid w:val="3F286F60"/>
    <w:rsid w:val="3F37E10C"/>
    <w:rsid w:val="3F5F0980"/>
    <w:rsid w:val="3F5F39EE"/>
    <w:rsid w:val="3F671DF0"/>
    <w:rsid w:val="3F6B7332"/>
    <w:rsid w:val="3F6F5477"/>
    <w:rsid w:val="3F6FE384"/>
    <w:rsid w:val="3F720ED7"/>
    <w:rsid w:val="3F739603"/>
    <w:rsid w:val="3F765F2B"/>
    <w:rsid w:val="3F7E4D62"/>
    <w:rsid w:val="3F7F310B"/>
    <w:rsid w:val="3F97322C"/>
    <w:rsid w:val="3F975415"/>
    <w:rsid w:val="3F99B4E2"/>
    <w:rsid w:val="3FA214F7"/>
    <w:rsid w:val="3FA6178A"/>
    <w:rsid w:val="3FBDC4AC"/>
    <w:rsid w:val="3FBF95FB"/>
    <w:rsid w:val="3FBFB899"/>
    <w:rsid w:val="3FBFF3D8"/>
    <w:rsid w:val="3FC10BD2"/>
    <w:rsid w:val="3FC6622E"/>
    <w:rsid w:val="3FC9FB65"/>
    <w:rsid w:val="3FCB4299"/>
    <w:rsid w:val="3FD54B93"/>
    <w:rsid w:val="3FDBF934"/>
    <w:rsid w:val="3FDE0028"/>
    <w:rsid w:val="3FDE55AC"/>
    <w:rsid w:val="3FDFF3DE"/>
    <w:rsid w:val="3FE38DAD"/>
    <w:rsid w:val="3FE5106A"/>
    <w:rsid w:val="3FE53B97"/>
    <w:rsid w:val="3FE6A7B9"/>
    <w:rsid w:val="3FEF0655"/>
    <w:rsid w:val="3FEFA0FA"/>
    <w:rsid w:val="3FEFAAB3"/>
    <w:rsid w:val="3FF372D2"/>
    <w:rsid w:val="3FF72713"/>
    <w:rsid w:val="3FF73850"/>
    <w:rsid w:val="3FF74E47"/>
    <w:rsid w:val="3FF7ADBC"/>
    <w:rsid w:val="3FF7E138"/>
    <w:rsid w:val="3FFA0BC3"/>
    <w:rsid w:val="3FFA16FF"/>
    <w:rsid w:val="3FFB721A"/>
    <w:rsid w:val="3FFB7519"/>
    <w:rsid w:val="3FFBFC67"/>
    <w:rsid w:val="3FFD296B"/>
    <w:rsid w:val="3FFD7E86"/>
    <w:rsid w:val="3FFD87EF"/>
    <w:rsid w:val="3FFDE49F"/>
    <w:rsid w:val="3FFEE5D6"/>
    <w:rsid w:val="3FFF149C"/>
    <w:rsid w:val="3FFF661C"/>
    <w:rsid w:val="3FFF7E66"/>
    <w:rsid w:val="3FFF93A6"/>
    <w:rsid w:val="3FFFAD13"/>
    <w:rsid w:val="40A25FF2"/>
    <w:rsid w:val="41BDB561"/>
    <w:rsid w:val="41FDBDCC"/>
    <w:rsid w:val="43948DE0"/>
    <w:rsid w:val="43BF25F8"/>
    <w:rsid w:val="43FA3058"/>
    <w:rsid w:val="461B07E2"/>
    <w:rsid w:val="463F6497"/>
    <w:rsid w:val="46DD1D6D"/>
    <w:rsid w:val="474B7B64"/>
    <w:rsid w:val="476DF38C"/>
    <w:rsid w:val="47EF1E52"/>
    <w:rsid w:val="47F70BB8"/>
    <w:rsid w:val="47FF0AF2"/>
    <w:rsid w:val="499F7B7B"/>
    <w:rsid w:val="4A7DF6EB"/>
    <w:rsid w:val="4B033781"/>
    <w:rsid w:val="4B8FC5FC"/>
    <w:rsid w:val="4BC81D1D"/>
    <w:rsid w:val="4BCD7426"/>
    <w:rsid w:val="4BD33F0A"/>
    <w:rsid w:val="4BD39FAC"/>
    <w:rsid w:val="4BFB7B23"/>
    <w:rsid w:val="4BFB8108"/>
    <w:rsid w:val="4BFD49A3"/>
    <w:rsid w:val="4C6E4E44"/>
    <w:rsid w:val="4C8E6362"/>
    <w:rsid w:val="4CBEFCE5"/>
    <w:rsid w:val="4CDF398C"/>
    <w:rsid w:val="4D9F56BF"/>
    <w:rsid w:val="4DA918AF"/>
    <w:rsid w:val="4DBFA0F9"/>
    <w:rsid w:val="4DDF5698"/>
    <w:rsid w:val="4DEB154D"/>
    <w:rsid w:val="4DFB32F9"/>
    <w:rsid w:val="4E4DB15D"/>
    <w:rsid w:val="4E5D6AA7"/>
    <w:rsid w:val="4E6D7873"/>
    <w:rsid w:val="4E7A0C5B"/>
    <w:rsid w:val="4EDBD7EB"/>
    <w:rsid w:val="4EE322A4"/>
    <w:rsid w:val="4EFF2394"/>
    <w:rsid w:val="4F0FDE33"/>
    <w:rsid w:val="4F1EEC93"/>
    <w:rsid w:val="4F79310F"/>
    <w:rsid w:val="4F9E13B7"/>
    <w:rsid w:val="4F9FA7C0"/>
    <w:rsid w:val="4FB72F33"/>
    <w:rsid w:val="4FBE4ADD"/>
    <w:rsid w:val="4FD78A37"/>
    <w:rsid w:val="4FEE22F3"/>
    <w:rsid w:val="4FF54AE8"/>
    <w:rsid w:val="4FF69BC6"/>
    <w:rsid w:val="4FF7F11E"/>
    <w:rsid w:val="4FF8E161"/>
    <w:rsid w:val="4FFDA76D"/>
    <w:rsid w:val="4FFE3C5F"/>
    <w:rsid w:val="4FFF6A91"/>
    <w:rsid w:val="4FFFF863"/>
    <w:rsid w:val="51EFAEB5"/>
    <w:rsid w:val="52BBEDD5"/>
    <w:rsid w:val="52F8021F"/>
    <w:rsid w:val="53235275"/>
    <w:rsid w:val="5351449C"/>
    <w:rsid w:val="5386F9FA"/>
    <w:rsid w:val="53B5F95E"/>
    <w:rsid w:val="53CDCCB3"/>
    <w:rsid w:val="53FF7534"/>
    <w:rsid w:val="5561DFDB"/>
    <w:rsid w:val="557F4A6A"/>
    <w:rsid w:val="557FF392"/>
    <w:rsid w:val="55DE50F0"/>
    <w:rsid w:val="55FD1FB4"/>
    <w:rsid w:val="56CFCA29"/>
    <w:rsid w:val="56EF4CCF"/>
    <w:rsid w:val="56EF8791"/>
    <w:rsid w:val="56F9675F"/>
    <w:rsid w:val="56FD0C51"/>
    <w:rsid w:val="56FD817A"/>
    <w:rsid w:val="56FDF8CC"/>
    <w:rsid w:val="56FF057D"/>
    <w:rsid w:val="56FF2276"/>
    <w:rsid w:val="56FF2DB7"/>
    <w:rsid w:val="56FFCE89"/>
    <w:rsid w:val="57122D2A"/>
    <w:rsid w:val="571E361B"/>
    <w:rsid w:val="572EE8A9"/>
    <w:rsid w:val="57479FC5"/>
    <w:rsid w:val="5757ABD4"/>
    <w:rsid w:val="576B12C1"/>
    <w:rsid w:val="577A131C"/>
    <w:rsid w:val="577EE8AA"/>
    <w:rsid w:val="577FDC9C"/>
    <w:rsid w:val="579F4006"/>
    <w:rsid w:val="57BF2E52"/>
    <w:rsid w:val="57C34E28"/>
    <w:rsid w:val="57DF4D37"/>
    <w:rsid w:val="57E7A2ED"/>
    <w:rsid w:val="57EE4792"/>
    <w:rsid w:val="57EEC6D8"/>
    <w:rsid w:val="57F91EDE"/>
    <w:rsid w:val="57FBCCB0"/>
    <w:rsid w:val="57FD9AD8"/>
    <w:rsid w:val="57FE7483"/>
    <w:rsid w:val="57FF72C4"/>
    <w:rsid w:val="58A9A1A3"/>
    <w:rsid w:val="58E7BCC0"/>
    <w:rsid w:val="58EB554A"/>
    <w:rsid w:val="595E4D5E"/>
    <w:rsid w:val="59BD9814"/>
    <w:rsid w:val="59DB161A"/>
    <w:rsid w:val="59ED9357"/>
    <w:rsid w:val="59FF557F"/>
    <w:rsid w:val="5A89ACE7"/>
    <w:rsid w:val="5A97DB59"/>
    <w:rsid w:val="5A9E97A0"/>
    <w:rsid w:val="5ADFD230"/>
    <w:rsid w:val="5AEAE9CA"/>
    <w:rsid w:val="5AF5467F"/>
    <w:rsid w:val="5AF7857E"/>
    <w:rsid w:val="5AFB8FDF"/>
    <w:rsid w:val="5B075047"/>
    <w:rsid w:val="5B857E0A"/>
    <w:rsid w:val="5B8E1615"/>
    <w:rsid w:val="5BB77E91"/>
    <w:rsid w:val="5BBCF1E5"/>
    <w:rsid w:val="5BBDE825"/>
    <w:rsid w:val="5BBE8FBC"/>
    <w:rsid w:val="5BBFF8D1"/>
    <w:rsid w:val="5BBFFE9E"/>
    <w:rsid w:val="5BC6A984"/>
    <w:rsid w:val="5BE73456"/>
    <w:rsid w:val="5BF06B87"/>
    <w:rsid w:val="5BF07B83"/>
    <w:rsid w:val="5BF66587"/>
    <w:rsid w:val="5BFBD29E"/>
    <w:rsid w:val="5BFD3A0E"/>
    <w:rsid w:val="5BFF2DF5"/>
    <w:rsid w:val="5BFF889B"/>
    <w:rsid w:val="5BFFD936"/>
    <w:rsid w:val="5C681549"/>
    <w:rsid w:val="5C73EF19"/>
    <w:rsid w:val="5CB7E470"/>
    <w:rsid w:val="5CE2836C"/>
    <w:rsid w:val="5CF7CF29"/>
    <w:rsid w:val="5D1F0C5A"/>
    <w:rsid w:val="5D58A1D5"/>
    <w:rsid w:val="5D7A62DC"/>
    <w:rsid w:val="5D7ECD40"/>
    <w:rsid w:val="5D7FD2CF"/>
    <w:rsid w:val="5DADC2E6"/>
    <w:rsid w:val="5DB83534"/>
    <w:rsid w:val="5DBD0161"/>
    <w:rsid w:val="5DCDA1F9"/>
    <w:rsid w:val="5DCE50D8"/>
    <w:rsid w:val="5DDCB4C1"/>
    <w:rsid w:val="5DF5FCA7"/>
    <w:rsid w:val="5DF9AAD4"/>
    <w:rsid w:val="5DFDC8D5"/>
    <w:rsid w:val="5DFE619B"/>
    <w:rsid w:val="5DFFACBF"/>
    <w:rsid w:val="5E5FA163"/>
    <w:rsid w:val="5EA3AD01"/>
    <w:rsid w:val="5EB71A50"/>
    <w:rsid w:val="5EBE7BA1"/>
    <w:rsid w:val="5ECB0AFF"/>
    <w:rsid w:val="5ED78802"/>
    <w:rsid w:val="5EEDC176"/>
    <w:rsid w:val="5EEE6F0F"/>
    <w:rsid w:val="5EF503A3"/>
    <w:rsid w:val="5EF708AE"/>
    <w:rsid w:val="5EFC2FC0"/>
    <w:rsid w:val="5EFD13A5"/>
    <w:rsid w:val="5EFED62A"/>
    <w:rsid w:val="5F19787B"/>
    <w:rsid w:val="5F282028"/>
    <w:rsid w:val="5F3719CC"/>
    <w:rsid w:val="5F3BF457"/>
    <w:rsid w:val="5F518DC9"/>
    <w:rsid w:val="5F54C413"/>
    <w:rsid w:val="5F575775"/>
    <w:rsid w:val="5F5FE942"/>
    <w:rsid w:val="5F6FB3E3"/>
    <w:rsid w:val="5F76CE7F"/>
    <w:rsid w:val="5F7B4AB7"/>
    <w:rsid w:val="5F7B8E51"/>
    <w:rsid w:val="5F7C8A3F"/>
    <w:rsid w:val="5F7D1531"/>
    <w:rsid w:val="5F7FA8AA"/>
    <w:rsid w:val="5F86B21B"/>
    <w:rsid w:val="5F87803F"/>
    <w:rsid w:val="5F9D77A3"/>
    <w:rsid w:val="5F9E3B95"/>
    <w:rsid w:val="5FB2A438"/>
    <w:rsid w:val="5FB6DDB1"/>
    <w:rsid w:val="5FB71C38"/>
    <w:rsid w:val="5FBD02D0"/>
    <w:rsid w:val="5FBD59B9"/>
    <w:rsid w:val="5FBE93E6"/>
    <w:rsid w:val="5FBF1998"/>
    <w:rsid w:val="5FCF062A"/>
    <w:rsid w:val="5FDB2B2A"/>
    <w:rsid w:val="5FDE34E7"/>
    <w:rsid w:val="5FE61D93"/>
    <w:rsid w:val="5FE79AA9"/>
    <w:rsid w:val="5FEB8C60"/>
    <w:rsid w:val="5FEBAD2E"/>
    <w:rsid w:val="5FEDB93A"/>
    <w:rsid w:val="5FEFD6C3"/>
    <w:rsid w:val="5FF3C64F"/>
    <w:rsid w:val="5FF49677"/>
    <w:rsid w:val="5FF6F213"/>
    <w:rsid w:val="5FF779CB"/>
    <w:rsid w:val="5FF7E130"/>
    <w:rsid w:val="5FF7FABE"/>
    <w:rsid w:val="5FFA0EBC"/>
    <w:rsid w:val="5FFBF249"/>
    <w:rsid w:val="5FFC32D9"/>
    <w:rsid w:val="5FFD3199"/>
    <w:rsid w:val="5FFD408B"/>
    <w:rsid w:val="5FFDEA3D"/>
    <w:rsid w:val="5FFE411C"/>
    <w:rsid w:val="5FFE8DAE"/>
    <w:rsid w:val="5FFF389A"/>
    <w:rsid w:val="5FFF3EC3"/>
    <w:rsid w:val="5FFF7FED"/>
    <w:rsid w:val="5FFF8632"/>
    <w:rsid w:val="5FFFA45A"/>
    <w:rsid w:val="5FFFA9EC"/>
    <w:rsid w:val="5FFFC08E"/>
    <w:rsid w:val="612A66AB"/>
    <w:rsid w:val="634B74A6"/>
    <w:rsid w:val="639ADAF3"/>
    <w:rsid w:val="639F6643"/>
    <w:rsid w:val="63DDA2E0"/>
    <w:rsid w:val="63DE6F30"/>
    <w:rsid w:val="64475192"/>
    <w:rsid w:val="646F89D4"/>
    <w:rsid w:val="647D5CC2"/>
    <w:rsid w:val="64D145DE"/>
    <w:rsid w:val="653F1444"/>
    <w:rsid w:val="65533B9F"/>
    <w:rsid w:val="65732613"/>
    <w:rsid w:val="65C31B63"/>
    <w:rsid w:val="65DB4BF6"/>
    <w:rsid w:val="65E76E66"/>
    <w:rsid w:val="65F77389"/>
    <w:rsid w:val="66CB4083"/>
    <w:rsid w:val="66EBD428"/>
    <w:rsid w:val="66EF548D"/>
    <w:rsid w:val="66EFD5E2"/>
    <w:rsid w:val="66FB97BB"/>
    <w:rsid w:val="66FFB40F"/>
    <w:rsid w:val="66FFEFC0"/>
    <w:rsid w:val="670BC967"/>
    <w:rsid w:val="676F57A3"/>
    <w:rsid w:val="677E9747"/>
    <w:rsid w:val="67B25C29"/>
    <w:rsid w:val="67B76228"/>
    <w:rsid w:val="67BF24C9"/>
    <w:rsid w:val="67F162CF"/>
    <w:rsid w:val="67F91566"/>
    <w:rsid w:val="67FD0289"/>
    <w:rsid w:val="67FE310C"/>
    <w:rsid w:val="67FE919D"/>
    <w:rsid w:val="67FF539A"/>
    <w:rsid w:val="67FFF407"/>
    <w:rsid w:val="697C3D91"/>
    <w:rsid w:val="69D752A1"/>
    <w:rsid w:val="6A6E6DB8"/>
    <w:rsid w:val="6A6F0A8C"/>
    <w:rsid w:val="6A73D589"/>
    <w:rsid w:val="6A77DB5D"/>
    <w:rsid w:val="6AD7F16D"/>
    <w:rsid w:val="6AEF5177"/>
    <w:rsid w:val="6AFE181A"/>
    <w:rsid w:val="6B517335"/>
    <w:rsid w:val="6B5F301E"/>
    <w:rsid w:val="6B750BA8"/>
    <w:rsid w:val="6BA1D7FE"/>
    <w:rsid w:val="6BAFA8AE"/>
    <w:rsid w:val="6BB61E53"/>
    <w:rsid w:val="6BB87747"/>
    <w:rsid w:val="6BBFEC02"/>
    <w:rsid w:val="6BDFF49D"/>
    <w:rsid w:val="6BEC2458"/>
    <w:rsid w:val="6BEFEB99"/>
    <w:rsid w:val="6BF521C1"/>
    <w:rsid w:val="6BFBAB78"/>
    <w:rsid w:val="6BFBFDD1"/>
    <w:rsid w:val="6BFF59BF"/>
    <w:rsid w:val="6C1DB22F"/>
    <w:rsid w:val="6C5E172B"/>
    <w:rsid w:val="6CEF6DDF"/>
    <w:rsid w:val="6D1DD3E7"/>
    <w:rsid w:val="6D6A452F"/>
    <w:rsid w:val="6D6B29C6"/>
    <w:rsid w:val="6D6FD31D"/>
    <w:rsid w:val="6D7E160B"/>
    <w:rsid w:val="6DB42DDE"/>
    <w:rsid w:val="6DB74B09"/>
    <w:rsid w:val="6DBD11C6"/>
    <w:rsid w:val="6DDADDD9"/>
    <w:rsid w:val="6DDBF9D4"/>
    <w:rsid w:val="6DE74189"/>
    <w:rsid w:val="6DEF2C10"/>
    <w:rsid w:val="6DEFCD24"/>
    <w:rsid w:val="6DEFD80A"/>
    <w:rsid w:val="6DF35556"/>
    <w:rsid w:val="6DF6F6A0"/>
    <w:rsid w:val="6DFEF61D"/>
    <w:rsid w:val="6DFF643B"/>
    <w:rsid w:val="6DFF68EC"/>
    <w:rsid w:val="6DFF6955"/>
    <w:rsid w:val="6DFF9E4D"/>
    <w:rsid w:val="6DFFAB3D"/>
    <w:rsid w:val="6E7D8561"/>
    <w:rsid w:val="6E7F5CF3"/>
    <w:rsid w:val="6EA321A1"/>
    <w:rsid w:val="6EB2FCB8"/>
    <w:rsid w:val="6EB9AC2F"/>
    <w:rsid w:val="6EBD54AC"/>
    <w:rsid w:val="6EDFDB98"/>
    <w:rsid w:val="6EEBCFC5"/>
    <w:rsid w:val="6EEF886A"/>
    <w:rsid w:val="6EF5DC3A"/>
    <w:rsid w:val="6EFBD441"/>
    <w:rsid w:val="6EFD9EB0"/>
    <w:rsid w:val="6F2B9996"/>
    <w:rsid w:val="6F6BFAE0"/>
    <w:rsid w:val="6F6C12A3"/>
    <w:rsid w:val="6F6F443C"/>
    <w:rsid w:val="6F73023F"/>
    <w:rsid w:val="6F7B2283"/>
    <w:rsid w:val="6F7E24D5"/>
    <w:rsid w:val="6F8F7728"/>
    <w:rsid w:val="6F97EF3A"/>
    <w:rsid w:val="6F9D601F"/>
    <w:rsid w:val="6F9DAAF1"/>
    <w:rsid w:val="6FA71DBC"/>
    <w:rsid w:val="6FBB4876"/>
    <w:rsid w:val="6FBFAA5E"/>
    <w:rsid w:val="6FC54255"/>
    <w:rsid w:val="6FCE72EB"/>
    <w:rsid w:val="6FD5FA53"/>
    <w:rsid w:val="6FD92566"/>
    <w:rsid w:val="6FD96B25"/>
    <w:rsid w:val="6FDB0B83"/>
    <w:rsid w:val="6FDED81F"/>
    <w:rsid w:val="6FDF918D"/>
    <w:rsid w:val="6FEBB6AD"/>
    <w:rsid w:val="6FEF40B8"/>
    <w:rsid w:val="6FEF7236"/>
    <w:rsid w:val="6FEF7F8E"/>
    <w:rsid w:val="6FF4590D"/>
    <w:rsid w:val="6FF68DDB"/>
    <w:rsid w:val="6FF71AC0"/>
    <w:rsid w:val="6FF73CDD"/>
    <w:rsid w:val="6FF7AD1E"/>
    <w:rsid w:val="6FF7D399"/>
    <w:rsid w:val="6FF7F4BF"/>
    <w:rsid w:val="6FFE7211"/>
    <w:rsid w:val="6FFE9E6D"/>
    <w:rsid w:val="6FFF3689"/>
    <w:rsid w:val="6FFF61B8"/>
    <w:rsid w:val="6FFF69CC"/>
    <w:rsid w:val="6FFF8832"/>
    <w:rsid w:val="6FFF9954"/>
    <w:rsid w:val="6FFFF124"/>
    <w:rsid w:val="701D68BA"/>
    <w:rsid w:val="70325634"/>
    <w:rsid w:val="70F2F1E2"/>
    <w:rsid w:val="71BFADF2"/>
    <w:rsid w:val="71C54335"/>
    <w:rsid w:val="71DE9D4C"/>
    <w:rsid w:val="71DF293B"/>
    <w:rsid w:val="71EEDB63"/>
    <w:rsid w:val="71EF1A5D"/>
    <w:rsid w:val="71FE0881"/>
    <w:rsid w:val="726F4479"/>
    <w:rsid w:val="726FF88F"/>
    <w:rsid w:val="72851BFC"/>
    <w:rsid w:val="72AFA6E7"/>
    <w:rsid w:val="72E84AE2"/>
    <w:rsid w:val="72EF1648"/>
    <w:rsid w:val="72FADEA6"/>
    <w:rsid w:val="733668C8"/>
    <w:rsid w:val="736ED95C"/>
    <w:rsid w:val="739128CA"/>
    <w:rsid w:val="73BBF8DC"/>
    <w:rsid w:val="73C53850"/>
    <w:rsid w:val="73DB423E"/>
    <w:rsid w:val="73EBA667"/>
    <w:rsid w:val="73F699CF"/>
    <w:rsid w:val="73F97AAE"/>
    <w:rsid w:val="73FBC607"/>
    <w:rsid w:val="73FE8C73"/>
    <w:rsid w:val="73FE91EE"/>
    <w:rsid w:val="73FF8F34"/>
    <w:rsid w:val="73FFD35D"/>
    <w:rsid w:val="747F2118"/>
    <w:rsid w:val="747F533F"/>
    <w:rsid w:val="74BF5E2C"/>
    <w:rsid w:val="74C19E10"/>
    <w:rsid w:val="74FD1E93"/>
    <w:rsid w:val="752FF42E"/>
    <w:rsid w:val="75320FEF"/>
    <w:rsid w:val="7568E127"/>
    <w:rsid w:val="756C0A2A"/>
    <w:rsid w:val="756F464A"/>
    <w:rsid w:val="75921518"/>
    <w:rsid w:val="75B75320"/>
    <w:rsid w:val="75B77442"/>
    <w:rsid w:val="75C8A24F"/>
    <w:rsid w:val="75DFF2B6"/>
    <w:rsid w:val="75EBDBE4"/>
    <w:rsid w:val="75EF4A50"/>
    <w:rsid w:val="75EF80B3"/>
    <w:rsid w:val="75F5D41C"/>
    <w:rsid w:val="75FA4558"/>
    <w:rsid w:val="75FD3E83"/>
    <w:rsid w:val="75FF8BD9"/>
    <w:rsid w:val="763FD95B"/>
    <w:rsid w:val="768F6201"/>
    <w:rsid w:val="76BD8943"/>
    <w:rsid w:val="76BF1305"/>
    <w:rsid w:val="76BF6624"/>
    <w:rsid w:val="76CFB965"/>
    <w:rsid w:val="76EBA15E"/>
    <w:rsid w:val="76EDDB40"/>
    <w:rsid w:val="76FA1574"/>
    <w:rsid w:val="76FB0C5A"/>
    <w:rsid w:val="76FB5036"/>
    <w:rsid w:val="76FDAC7D"/>
    <w:rsid w:val="76FE5E37"/>
    <w:rsid w:val="76FE71A5"/>
    <w:rsid w:val="76FE98C8"/>
    <w:rsid w:val="76FF9B2F"/>
    <w:rsid w:val="76FFCA66"/>
    <w:rsid w:val="772448CC"/>
    <w:rsid w:val="772F7F42"/>
    <w:rsid w:val="773D34D1"/>
    <w:rsid w:val="773FE614"/>
    <w:rsid w:val="775997DD"/>
    <w:rsid w:val="775F0A5B"/>
    <w:rsid w:val="776BB544"/>
    <w:rsid w:val="777EDD44"/>
    <w:rsid w:val="77B3C660"/>
    <w:rsid w:val="77B604A1"/>
    <w:rsid w:val="77BF1FBC"/>
    <w:rsid w:val="77BFBCBA"/>
    <w:rsid w:val="77CF6240"/>
    <w:rsid w:val="77CFDDAB"/>
    <w:rsid w:val="77DAA203"/>
    <w:rsid w:val="77DB3A7A"/>
    <w:rsid w:val="77E7E510"/>
    <w:rsid w:val="77EB4AE7"/>
    <w:rsid w:val="77ECC9B6"/>
    <w:rsid w:val="77EFD681"/>
    <w:rsid w:val="77F3F76E"/>
    <w:rsid w:val="77FB3573"/>
    <w:rsid w:val="77FD0BA5"/>
    <w:rsid w:val="77FD48DF"/>
    <w:rsid w:val="77FDCCB2"/>
    <w:rsid w:val="77FE7636"/>
    <w:rsid w:val="77FECD2B"/>
    <w:rsid w:val="77FF02BC"/>
    <w:rsid w:val="77FF5426"/>
    <w:rsid w:val="77FFDCC2"/>
    <w:rsid w:val="77FFF99A"/>
    <w:rsid w:val="78B77E39"/>
    <w:rsid w:val="78EF290F"/>
    <w:rsid w:val="78F4317E"/>
    <w:rsid w:val="78FFB1C8"/>
    <w:rsid w:val="79137F89"/>
    <w:rsid w:val="797FAB21"/>
    <w:rsid w:val="798C63B0"/>
    <w:rsid w:val="799FF460"/>
    <w:rsid w:val="79A92038"/>
    <w:rsid w:val="79B2CEFC"/>
    <w:rsid w:val="79BB2EF8"/>
    <w:rsid w:val="79D71E57"/>
    <w:rsid w:val="79ED6EC9"/>
    <w:rsid w:val="79F10F36"/>
    <w:rsid w:val="79F53ADF"/>
    <w:rsid w:val="79F55491"/>
    <w:rsid w:val="79FB94A6"/>
    <w:rsid w:val="79FDDE4F"/>
    <w:rsid w:val="79FFDA0A"/>
    <w:rsid w:val="79FFF544"/>
    <w:rsid w:val="7A3F71AD"/>
    <w:rsid w:val="7A69B86C"/>
    <w:rsid w:val="7A733EC8"/>
    <w:rsid w:val="7A7E889C"/>
    <w:rsid w:val="7A9667F5"/>
    <w:rsid w:val="7A976268"/>
    <w:rsid w:val="7AA1BE1A"/>
    <w:rsid w:val="7AA702ED"/>
    <w:rsid w:val="7ABBEDD8"/>
    <w:rsid w:val="7ABF1DB6"/>
    <w:rsid w:val="7ABF649A"/>
    <w:rsid w:val="7AD37DFF"/>
    <w:rsid w:val="7AD53EE7"/>
    <w:rsid w:val="7AD702F5"/>
    <w:rsid w:val="7AF7C2F0"/>
    <w:rsid w:val="7AFB01B8"/>
    <w:rsid w:val="7AFB36E9"/>
    <w:rsid w:val="7AFDD68F"/>
    <w:rsid w:val="7B4909FD"/>
    <w:rsid w:val="7B4E32A4"/>
    <w:rsid w:val="7B5922C1"/>
    <w:rsid w:val="7B5D6582"/>
    <w:rsid w:val="7B7532A6"/>
    <w:rsid w:val="7B7CDD45"/>
    <w:rsid w:val="7B7E6769"/>
    <w:rsid w:val="7B7EDE9B"/>
    <w:rsid w:val="7B9CD172"/>
    <w:rsid w:val="7B9E56D1"/>
    <w:rsid w:val="7BA3F1D5"/>
    <w:rsid w:val="7BAE9A4B"/>
    <w:rsid w:val="7BB1E236"/>
    <w:rsid w:val="7BB6C651"/>
    <w:rsid w:val="7BBB6ED2"/>
    <w:rsid w:val="7BBF7F1D"/>
    <w:rsid w:val="7BBFC9D7"/>
    <w:rsid w:val="7BBFD62B"/>
    <w:rsid w:val="7BC7666F"/>
    <w:rsid w:val="7BCBF0B0"/>
    <w:rsid w:val="7BD8F297"/>
    <w:rsid w:val="7BDF41EA"/>
    <w:rsid w:val="7BDF43BF"/>
    <w:rsid w:val="7BDF46B9"/>
    <w:rsid w:val="7BDFF586"/>
    <w:rsid w:val="7BE91730"/>
    <w:rsid w:val="7BEDD14F"/>
    <w:rsid w:val="7BEE918C"/>
    <w:rsid w:val="7BEEBD75"/>
    <w:rsid w:val="7BEF1ED9"/>
    <w:rsid w:val="7BEF2FE9"/>
    <w:rsid w:val="7BF5DEEB"/>
    <w:rsid w:val="7BF65CB9"/>
    <w:rsid w:val="7BF79C47"/>
    <w:rsid w:val="7BF7C914"/>
    <w:rsid w:val="7BF927B7"/>
    <w:rsid w:val="7BFB3384"/>
    <w:rsid w:val="7BFCED3F"/>
    <w:rsid w:val="7BFCF3DD"/>
    <w:rsid w:val="7BFD0C76"/>
    <w:rsid w:val="7BFD7772"/>
    <w:rsid w:val="7BFD85C2"/>
    <w:rsid w:val="7BFDDCCA"/>
    <w:rsid w:val="7BFEADCA"/>
    <w:rsid w:val="7BFF2AB1"/>
    <w:rsid w:val="7BFF4943"/>
    <w:rsid w:val="7BFF68AB"/>
    <w:rsid w:val="7BFF6EFD"/>
    <w:rsid w:val="7BFFEDE7"/>
    <w:rsid w:val="7CCE71F9"/>
    <w:rsid w:val="7CD39A29"/>
    <w:rsid w:val="7CDA21C4"/>
    <w:rsid w:val="7CEBFE33"/>
    <w:rsid w:val="7CEC8B6A"/>
    <w:rsid w:val="7CED7696"/>
    <w:rsid w:val="7CEF5C0F"/>
    <w:rsid w:val="7CF426F6"/>
    <w:rsid w:val="7CF5AE9E"/>
    <w:rsid w:val="7CF667C5"/>
    <w:rsid w:val="7CFBE457"/>
    <w:rsid w:val="7CFF58B5"/>
    <w:rsid w:val="7D3F4914"/>
    <w:rsid w:val="7D53731E"/>
    <w:rsid w:val="7D6F880A"/>
    <w:rsid w:val="7D7FBE44"/>
    <w:rsid w:val="7D8EA402"/>
    <w:rsid w:val="7DA71BE8"/>
    <w:rsid w:val="7DAD3294"/>
    <w:rsid w:val="7DB34D03"/>
    <w:rsid w:val="7DBD7162"/>
    <w:rsid w:val="7DBEAF65"/>
    <w:rsid w:val="7DBEDF1A"/>
    <w:rsid w:val="7DBFA342"/>
    <w:rsid w:val="7DC65375"/>
    <w:rsid w:val="7DCF6537"/>
    <w:rsid w:val="7DDD0F17"/>
    <w:rsid w:val="7DDE0520"/>
    <w:rsid w:val="7DDEE879"/>
    <w:rsid w:val="7DDF4F10"/>
    <w:rsid w:val="7DE32690"/>
    <w:rsid w:val="7DE7592C"/>
    <w:rsid w:val="7DED8D0D"/>
    <w:rsid w:val="7DF11046"/>
    <w:rsid w:val="7DF253F8"/>
    <w:rsid w:val="7DF3460D"/>
    <w:rsid w:val="7DF72A87"/>
    <w:rsid w:val="7DF90E9B"/>
    <w:rsid w:val="7DFA46C7"/>
    <w:rsid w:val="7DFAAD62"/>
    <w:rsid w:val="7DFBC01E"/>
    <w:rsid w:val="7DFBD32E"/>
    <w:rsid w:val="7DFE1D38"/>
    <w:rsid w:val="7DFE8DE7"/>
    <w:rsid w:val="7DFEDDE3"/>
    <w:rsid w:val="7DFF2BCD"/>
    <w:rsid w:val="7DFF2F71"/>
    <w:rsid w:val="7DFFAD84"/>
    <w:rsid w:val="7E12FD44"/>
    <w:rsid w:val="7E379AF4"/>
    <w:rsid w:val="7E3FF1D8"/>
    <w:rsid w:val="7E740020"/>
    <w:rsid w:val="7E7B9966"/>
    <w:rsid w:val="7E7BEFAB"/>
    <w:rsid w:val="7E7F3D78"/>
    <w:rsid w:val="7E7F5A65"/>
    <w:rsid w:val="7E7FE5DD"/>
    <w:rsid w:val="7E7FF6F4"/>
    <w:rsid w:val="7E938655"/>
    <w:rsid w:val="7E9F9FFB"/>
    <w:rsid w:val="7EB010B4"/>
    <w:rsid w:val="7EBABFF0"/>
    <w:rsid w:val="7EBF3C8B"/>
    <w:rsid w:val="7EBF9607"/>
    <w:rsid w:val="7EBFC89C"/>
    <w:rsid w:val="7EBFFAA5"/>
    <w:rsid w:val="7EBFFE0A"/>
    <w:rsid w:val="7ECE1C64"/>
    <w:rsid w:val="7ECFE3E0"/>
    <w:rsid w:val="7ED6DBC8"/>
    <w:rsid w:val="7EE84BD6"/>
    <w:rsid w:val="7EEE1E6E"/>
    <w:rsid w:val="7EEFF368"/>
    <w:rsid w:val="7EF51859"/>
    <w:rsid w:val="7EF528FB"/>
    <w:rsid w:val="7EF5AFB9"/>
    <w:rsid w:val="7EF669CB"/>
    <w:rsid w:val="7EF74422"/>
    <w:rsid w:val="7EF7D34C"/>
    <w:rsid w:val="7EF90DC9"/>
    <w:rsid w:val="7EFB197C"/>
    <w:rsid w:val="7EFB98A1"/>
    <w:rsid w:val="7EFBC2B9"/>
    <w:rsid w:val="7EFD9F1A"/>
    <w:rsid w:val="7EFE1401"/>
    <w:rsid w:val="7EFE7D77"/>
    <w:rsid w:val="7EFF197B"/>
    <w:rsid w:val="7EFF223F"/>
    <w:rsid w:val="7EFF36B8"/>
    <w:rsid w:val="7EFF6EC9"/>
    <w:rsid w:val="7EFFB848"/>
    <w:rsid w:val="7EFFDC99"/>
    <w:rsid w:val="7F170AC0"/>
    <w:rsid w:val="7F1B2AF3"/>
    <w:rsid w:val="7F1B7DD8"/>
    <w:rsid w:val="7F21E473"/>
    <w:rsid w:val="7F2F5631"/>
    <w:rsid w:val="7F329CAA"/>
    <w:rsid w:val="7F36298A"/>
    <w:rsid w:val="7F3D216D"/>
    <w:rsid w:val="7F3E45DB"/>
    <w:rsid w:val="7F3FB534"/>
    <w:rsid w:val="7F4BE50D"/>
    <w:rsid w:val="7F54171E"/>
    <w:rsid w:val="7F572519"/>
    <w:rsid w:val="7F59F091"/>
    <w:rsid w:val="7F5AC54A"/>
    <w:rsid w:val="7F5E3842"/>
    <w:rsid w:val="7F5F0EE9"/>
    <w:rsid w:val="7F669597"/>
    <w:rsid w:val="7F687A31"/>
    <w:rsid w:val="7F6EADC0"/>
    <w:rsid w:val="7F72C47B"/>
    <w:rsid w:val="7F74B154"/>
    <w:rsid w:val="7F769207"/>
    <w:rsid w:val="7F778D36"/>
    <w:rsid w:val="7F7C9107"/>
    <w:rsid w:val="7F7D0CC7"/>
    <w:rsid w:val="7F7DA365"/>
    <w:rsid w:val="7F7E2B85"/>
    <w:rsid w:val="7F7EE517"/>
    <w:rsid w:val="7F7F1100"/>
    <w:rsid w:val="7F7F14D8"/>
    <w:rsid w:val="7F7F8F77"/>
    <w:rsid w:val="7F7FE80D"/>
    <w:rsid w:val="7F7FF008"/>
    <w:rsid w:val="7F972340"/>
    <w:rsid w:val="7F979553"/>
    <w:rsid w:val="7F9BFC09"/>
    <w:rsid w:val="7F9D0005"/>
    <w:rsid w:val="7F9D7956"/>
    <w:rsid w:val="7F9D98EB"/>
    <w:rsid w:val="7F9F46D2"/>
    <w:rsid w:val="7F9FD18C"/>
    <w:rsid w:val="7FAB1B2D"/>
    <w:rsid w:val="7FAB87B6"/>
    <w:rsid w:val="7FAD4B7D"/>
    <w:rsid w:val="7FB35F60"/>
    <w:rsid w:val="7FB66027"/>
    <w:rsid w:val="7FB785AA"/>
    <w:rsid w:val="7FB79AB3"/>
    <w:rsid w:val="7FB7D812"/>
    <w:rsid w:val="7FBA2FAA"/>
    <w:rsid w:val="7FBAFCE9"/>
    <w:rsid w:val="7FBE233C"/>
    <w:rsid w:val="7FBE2543"/>
    <w:rsid w:val="7FBF5725"/>
    <w:rsid w:val="7FBFA662"/>
    <w:rsid w:val="7FBFBC03"/>
    <w:rsid w:val="7FBFFFC7"/>
    <w:rsid w:val="7FC43299"/>
    <w:rsid w:val="7FCF5F2E"/>
    <w:rsid w:val="7FD23486"/>
    <w:rsid w:val="7FD3B4C3"/>
    <w:rsid w:val="7FD5AB16"/>
    <w:rsid w:val="7FD5C7CB"/>
    <w:rsid w:val="7FD7BFDD"/>
    <w:rsid w:val="7FD9A8F2"/>
    <w:rsid w:val="7FDB457E"/>
    <w:rsid w:val="7FDCA9FD"/>
    <w:rsid w:val="7FDD6D02"/>
    <w:rsid w:val="7FDDC03C"/>
    <w:rsid w:val="7FDE3D96"/>
    <w:rsid w:val="7FDEE6B7"/>
    <w:rsid w:val="7FDF228E"/>
    <w:rsid w:val="7FDFBD6F"/>
    <w:rsid w:val="7FDFF372"/>
    <w:rsid w:val="7FE622A2"/>
    <w:rsid w:val="7FE7375A"/>
    <w:rsid w:val="7FE76C04"/>
    <w:rsid w:val="7FE936D3"/>
    <w:rsid w:val="7FEE0350"/>
    <w:rsid w:val="7FEEE07B"/>
    <w:rsid w:val="7FEEE92E"/>
    <w:rsid w:val="7FEF3729"/>
    <w:rsid w:val="7FEF4EAA"/>
    <w:rsid w:val="7FEF5273"/>
    <w:rsid w:val="7FEF56DD"/>
    <w:rsid w:val="7FEF8C6C"/>
    <w:rsid w:val="7FEFBAEF"/>
    <w:rsid w:val="7FF1F2BC"/>
    <w:rsid w:val="7FF30BE2"/>
    <w:rsid w:val="7FF31014"/>
    <w:rsid w:val="7FF37940"/>
    <w:rsid w:val="7FF3B2F2"/>
    <w:rsid w:val="7FF3F782"/>
    <w:rsid w:val="7FF572D9"/>
    <w:rsid w:val="7FF5E19E"/>
    <w:rsid w:val="7FF6992A"/>
    <w:rsid w:val="7FF6B65C"/>
    <w:rsid w:val="7FF7A349"/>
    <w:rsid w:val="7FF7A654"/>
    <w:rsid w:val="7FF7C9A7"/>
    <w:rsid w:val="7FF7CB0C"/>
    <w:rsid w:val="7FF7E277"/>
    <w:rsid w:val="7FF85CB1"/>
    <w:rsid w:val="7FF90872"/>
    <w:rsid w:val="7FF9D61B"/>
    <w:rsid w:val="7FFA47E3"/>
    <w:rsid w:val="7FFB22AA"/>
    <w:rsid w:val="7FFB273B"/>
    <w:rsid w:val="7FFB3844"/>
    <w:rsid w:val="7FFB5919"/>
    <w:rsid w:val="7FFB7982"/>
    <w:rsid w:val="7FFB9693"/>
    <w:rsid w:val="7FFBD176"/>
    <w:rsid w:val="7FFC1329"/>
    <w:rsid w:val="7FFCE951"/>
    <w:rsid w:val="7FFCEA3A"/>
    <w:rsid w:val="7FFCFFD4"/>
    <w:rsid w:val="7FFD3323"/>
    <w:rsid w:val="7FFD3890"/>
    <w:rsid w:val="7FFDC964"/>
    <w:rsid w:val="7FFE0D58"/>
    <w:rsid w:val="7FFE6675"/>
    <w:rsid w:val="7FFEA891"/>
    <w:rsid w:val="7FFF1380"/>
    <w:rsid w:val="7FFF185E"/>
    <w:rsid w:val="7FFF1ECD"/>
    <w:rsid w:val="7FFF1F07"/>
    <w:rsid w:val="7FFF35AC"/>
    <w:rsid w:val="7FFF41B9"/>
    <w:rsid w:val="7FFF43ED"/>
    <w:rsid w:val="7FFF553A"/>
    <w:rsid w:val="7FFF6BE6"/>
    <w:rsid w:val="7FFF8372"/>
    <w:rsid w:val="7FFFA9A9"/>
    <w:rsid w:val="7FFFAD55"/>
    <w:rsid w:val="7FFFBAB8"/>
    <w:rsid w:val="7FFFD528"/>
    <w:rsid w:val="7FFFD5AB"/>
    <w:rsid w:val="7FFFDE11"/>
    <w:rsid w:val="85FE524F"/>
    <w:rsid w:val="877F942A"/>
    <w:rsid w:val="877FBA26"/>
    <w:rsid w:val="87F6B586"/>
    <w:rsid w:val="87F9DB7A"/>
    <w:rsid w:val="89FF840C"/>
    <w:rsid w:val="8BF6ADD8"/>
    <w:rsid w:val="8DDE23A1"/>
    <w:rsid w:val="8DFFA83A"/>
    <w:rsid w:val="8F1E921C"/>
    <w:rsid w:val="8F3F8CB4"/>
    <w:rsid w:val="8FBB234B"/>
    <w:rsid w:val="8FBCCD2D"/>
    <w:rsid w:val="8FBFE90D"/>
    <w:rsid w:val="8FD7D866"/>
    <w:rsid w:val="959A566D"/>
    <w:rsid w:val="95AFBD1B"/>
    <w:rsid w:val="96DFDAB6"/>
    <w:rsid w:val="97D4D1AD"/>
    <w:rsid w:val="97F37385"/>
    <w:rsid w:val="97FE258D"/>
    <w:rsid w:val="97FED9A1"/>
    <w:rsid w:val="97FF4EDB"/>
    <w:rsid w:val="97FF88F6"/>
    <w:rsid w:val="987B5471"/>
    <w:rsid w:val="995F9575"/>
    <w:rsid w:val="99FFC9D4"/>
    <w:rsid w:val="9AE50785"/>
    <w:rsid w:val="9B376B95"/>
    <w:rsid w:val="9BFA0BBE"/>
    <w:rsid w:val="9BFF41C9"/>
    <w:rsid w:val="9CDFDDCB"/>
    <w:rsid w:val="9D01ADFD"/>
    <w:rsid w:val="9DFE0147"/>
    <w:rsid w:val="9E957CD1"/>
    <w:rsid w:val="9EF799EE"/>
    <w:rsid w:val="9EFFD1FF"/>
    <w:rsid w:val="9F691D71"/>
    <w:rsid w:val="9F730192"/>
    <w:rsid w:val="9F7E2CF2"/>
    <w:rsid w:val="9F7F3173"/>
    <w:rsid w:val="9FA9B7B6"/>
    <w:rsid w:val="9FABBE90"/>
    <w:rsid w:val="9FBFB265"/>
    <w:rsid w:val="9FC76946"/>
    <w:rsid w:val="9FDDF224"/>
    <w:rsid w:val="9FDF26A4"/>
    <w:rsid w:val="9FEDD706"/>
    <w:rsid w:val="9FEF3F40"/>
    <w:rsid w:val="9FF7F62B"/>
    <w:rsid w:val="9FFC8444"/>
    <w:rsid w:val="9FFD25F0"/>
    <w:rsid w:val="9FFD31EC"/>
    <w:rsid w:val="9FFD4F6E"/>
    <w:rsid w:val="9FFF13CC"/>
    <w:rsid w:val="9FFF3216"/>
    <w:rsid w:val="9FFF9889"/>
    <w:rsid w:val="A397BA88"/>
    <w:rsid w:val="A5AEF8C6"/>
    <w:rsid w:val="A5EC8808"/>
    <w:rsid w:val="A77CE476"/>
    <w:rsid w:val="A7BF8C57"/>
    <w:rsid w:val="A7D74034"/>
    <w:rsid w:val="A7F700AA"/>
    <w:rsid w:val="A7FF4F89"/>
    <w:rsid w:val="A7FFDA52"/>
    <w:rsid w:val="A8BD975B"/>
    <w:rsid w:val="A9F7DBB2"/>
    <w:rsid w:val="A9FF3BB4"/>
    <w:rsid w:val="AA6F28F2"/>
    <w:rsid w:val="AA9FDF1C"/>
    <w:rsid w:val="AAB5B1FA"/>
    <w:rsid w:val="AAFF3500"/>
    <w:rsid w:val="AB7FDD34"/>
    <w:rsid w:val="ABF8B2D4"/>
    <w:rsid w:val="ABFE7BF1"/>
    <w:rsid w:val="ABFE9A92"/>
    <w:rsid w:val="ACEDFB4D"/>
    <w:rsid w:val="AD59F7FE"/>
    <w:rsid w:val="AD9AEDA7"/>
    <w:rsid w:val="ADB753B8"/>
    <w:rsid w:val="ADBEF17E"/>
    <w:rsid w:val="ADD563AA"/>
    <w:rsid w:val="ADE947FE"/>
    <w:rsid w:val="ADFB3A8C"/>
    <w:rsid w:val="ADFF802F"/>
    <w:rsid w:val="AE5A4628"/>
    <w:rsid w:val="AE924DA2"/>
    <w:rsid w:val="AEBC10C4"/>
    <w:rsid w:val="AEDD6374"/>
    <w:rsid w:val="AEE71823"/>
    <w:rsid w:val="AEEE0554"/>
    <w:rsid w:val="AEEF6039"/>
    <w:rsid w:val="AEFF8B0C"/>
    <w:rsid w:val="AF3B4B78"/>
    <w:rsid w:val="AF3BB80F"/>
    <w:rsid w:val="AF5E4E4F"/>
    <w:rsid w:val="AF6BD65D"/>
    <w:rsid w:val="AF77948B"/>
    <w:rsid w:val="AFB2B496"/>
    <w:rsid w:val="AFB73BA3"/>
    <w:rsid w:val="AFBDB995"/>
    <w:rsid w:val="AFCF72E0"/>
    <w:rsid w:val="AFD799BD"/>
    <w:rsid w:val="AFD7BDF7"/>
    <w:rsid w:val="AFD7F9AB"/>
    <w:rsid w:val="AFDD08F4"/>
    <w:rsid w:val="AFDDAB20"/>
    <w:rsid w:val="AFDE4472"/>
    <w:rsid w:val="AFDF009D"/>
    <w:rsid w:val="AFE59AEA"/>
    <w:rsid w:val="AFEDB605"/>
    <w:rsid w:val="AFEE4E60"/>
    <w:rsid w:val="AFF64486"/>
    <w:rsid w:val="AFF7D7C7"/>
    <w:rsid w:val="AFFCA00E"/>
    <w:rsid w:val="AFFCE44C"/>
    <w:rsid w:val="AFFE7DA2"/>
    <w:rsid w:val="AFFF04C2"/>
    <w:rsid w:val="AFFF95EB"/>
    <w:rsid w:val="AFFFDCA0"/>
    <w:rsid w:val="AFFFFF77"/>
    <w:rsid w:val="B1FBBB21"/>
    <w:rsid w:val="B2B1A37B"/>
    <w:rsid w:val="B3BEE4A0"/>
    <w:rsid w:val="B3F73C41"/>
    <w:rsid w:val="B3FB0024"/>
    <w:rsid w:val="B3FE0A62"/>
    <w:rsid w:val="B3FF84DE"/>
    <w:rsid w:val="B56DA9CD"/>
    <w:rsid w:val="B57E4D49"/>
    <w:rsid w:val="B5B5A667"/>
    <w:rsid w:val="B5DA482E"/>
    <w:rsid w:val="B65F4224"/>
    <w:rsid w:val="B677AD34"/>
    <w:rsid w:val="B6DFE2BB"/>
    <w:rsid w:val="B6FDC328"/>
    <w:rsid w:val="B73FC3BC"/>
    <w:rsid w:val="B76F5AFD"/>
    <w:rsid w:val="B775871F"/>
    <w:rsid w:val="B7784A68"/>
    <w:rsid w:val="B77FBEF8"/>
    <w:rsid w:val="B79EB45C"/>
    <w:rsid w:val="B7AF5293"/>
    <w:rsid w:val="B7AF6693"/>
    <w:rsid w:val="B7D9D9CE"/>
    <w:rsid w:val="B7DD5A79"/>
    <w:rsid w:val="B7DFCA1E"/>
    <w:rsid w:val="B7FA95F4"/>
    <w:rsid w:val="B7FD3046"/>
    <w:rsid w:val="B7FF307A"/>
    <w:rsid w:val="B7FF758C"/>
    <w:rsid w:val="B8BFA282"/>
    <w:rsid w:val="B99D4FB1"/>
    <w:rsid w:val="B9BFD117"/>
    <w:rsid w:val="B9DFFC69"/>
    <w:rsid w:val="B9F69AEF"/>
    <w:rsid w:val="B9FF5476"/>
    <w:rsid w:val="BA8DFE49"/>
    <w:rsid w:val="BADFEDC8"/>
    <w:rsid w:val="BAE7EA20"/>
    <w:rsid w:val="BAFC495E"/>
    <w:rsid w:val="BAFEDFAA"/>
    <w:rsid w:val="BB72EB15"/>
    <w:rsid w:val="BBB5BE0A"/>
    <w:rsid w:val="BBBF6433"/>
    <w:rsid w:val="BBCF224A"/>
    <w:rsid w:val="BBD38C12"/>
    <w:rsid w:val="BBDB8AA1"/>
    <w:rsid w:val="BBDE2834"/>
    <w:rsid w:val="BBF5B41A"/>
    <w:rsid w:val="BBFE8A17"/>
    <w:rsid w:val="BBFF0EF7"/>
    <w:rsid w:val="BC1BEDDF"/>
    <w:rsid w:val="BC5F616C"/>
    <w:rsid w:val="BC7E431F"/>
    <w:rsid w:val="BCBF8434"/>
    <w:rsid w:val="BD2395F3"/>
    <w:rsid w:val="BD2DB9A3"/>
    <w:rsid w:val="BD5B09A3"/>
    <w:rsid w:val="BD7F20AC"/>
    <w:rsid w:val="BDAB4307"/>
    <w:rsid w:val="BDBFFCE7"/>
    <w:rsid w:val="BDD8B88D"/>
    <w:rsid w:val="BDDB16F3"/>
    <w:rsid w:val="BDDEBB28"/>
    <w:rsid w:val="BDDEECEA"/>
    <w:rsid w:val="BDEB6AC8"/>
    <w:rsid w:val="BDEE625C"/>
    <w:rsid w:val="BDF664EE"/>
    <w:rsid w:val="BDFECDCC"/>
    <w:rsid w:val="BDFF52B4"/>
    <w:rsid w:val="BE4F21CE"/>
    <w:rsid w:val="BE5F0F8D"/>
    <w:rsid w:val="BE5F5039"/>
    <w:rsid w:val="BE5FE4A7"/>
    <w:rsid w:val="BE67FE84"/>
    <w:rsid w:val="BE6E2458"/>
    <w:rsid w:val="BE7E3896"/>
    <w:rsid w:val="BE7F19DB"/>
    <w:rsid w:val="BE7F5318"/>
    <w:rsid w:val="BE7FD773"/>
    <w:rsid w:val="BEBB8BBA"/>
    <w:rsid w:val="BEBEB97B"/>
    <w:rsid w:val="BEBF5AD8"/>
    <w:rsid w:val="BEDD2FD7"/>
    <w:rsid w:val="BEDF7465"/>
    <w:rsid w:val="BEDFE53F"/>
    <w:rsid w:val="BEF7E091"/>
    <w:rsid w:val="BEFE608D"/>
    <w:rsid w:val="BEFF9CF7"/>
    <w:rsid w:val="BF1D041E"/>
    <w:rsid w:val="BF1E8BCE"/>
    <w:rsid w:val="BF1F3E88"/>
    <w:rsid w:val="BF1FA264"/>
    <w:rsid w:val="BF2F347B"/>
    <w:rsid w:val="BF2F78F5"/>
    <w:rsid w:val="BF4FDA2B"/>
    <w:rsid w:val="BF5BD46F"/>
    <w:rsid w:val="BF69A0FA"/>
    <w:rsid w:val="BF6F3B52"/>
    <w:rsid w:val="BF6FDA77"/>
    <w:rsid w:val="BF7B177F"/>
    <w:rsid w:val="BF7CB899"/>
    <w:rsid w:val="BF7F4F58"/>
    <w:rsid w:val="BF7F915F"/>
    <w:rsid w:val="BF7FAB7C"/>
    <w:rsid w:val="BF8E100C"/>
    <w:rsid w:val="BF8F5749"/>
    <w:rsid w:val="BF97FD36"/>
    <w:rsid w:val="BF9F3C4D"/>
    <w:rsid w:val="BF9F41F7"/>
    <w:rsid w:val="BFA6CC79"/>
    <w:rsid w:val="BFA7CFE1"/>
    <w:rsid w:val="BFBF5A2A"/>
    <w:rsid w:val="BFBF83CC"/>
    <w:rsid w:val="BFC3463F"/>
    <w:rsid w:val="BFCE4088"/>
    <w:rsid w:val="BFCF7129"/>
    <w:rsid w:val="BFD1F6CF"/>
    <w:rsid w:val="BFDBDBF7"/>
    <w:rsid w:val="BFDDE650"/>
    <w:rsid w:val="BFDE415D"/>
    <w:rsid w:val="BFDE718C"/>
    <w:rsid w:val="BFDEF7FF"/>
    <w:rsid w:val="BFDFA6E6"/>
    <w:rsid w:val="BFE1771D"/>
    <w:rsid w:val="BFE3A87B"/>
    <w:rsid w:val="BFE82241"/>
    <w:rsid w:val="BFE9C9A8"/>
    <w:rsid w:val="BFEB9C99"/>
    <w:rsid w:val="BFED302F"/>
    <w:rsid w:val="BFEE3851"/>
    <w:rsid w:val="BFEFF494"/>
    <w:rsid w:val="BFF122F2"/>
    <w:rsid w:val="BFF32327"/>
    <w:rsid w:val="BFF38B5F"/>
    <w:rsid w:val="BFF5F72C"/>
    <w:rsid w:val="BFF76563"/>
    <w:rsid w:val="BFF78BA1"/>
    <w:rsid w:val="BFF7E26E"/>
    <w:rsid w:val="BFF90A13"/>
    <w:rsid w:val="BFFC264B"/>
    <w:rsid w:val="BFFD3563"/>
    <w:rsid w:val="BFFD3DDA"/>
    <w:rsid w:val="BFFD41CC"/>
    <w:rsid w:val="BFFD5CE0"/>
    <w:rsid w:val="BFFDE990"/>
    <w:rsid w:val="BFFED4A6"/>
    <w:rsid w:val="BFFEF2FF"/>
    <w:rsid w:val="BFFF23F2"/>
    <w:rsid w:val="BFFF2B67"/>
    <w:rsid w:val="BFFF352B"/>
    <w:rsid w:val="BFFF8619"/>
    <w:rsid w:val="BFFFAC8E"/>
    <w:rsid w:val="C2ADF274"/>
    <w:rsid w:val="C3F70CE5"/>
    <w:rsid w:val="C5716961"/>
    <w:rsid w:val="C5FFADF3"/>
    <w:rsid w:val="C67E1D2E"/>
    <w:rsid w:val="C6FF1E90"/>
    <w:rsid w:val="C7698C3E"/>
    <w:rsid w:val="C77B37EC"/>
    <w:rsid w:val="C7B3A401"/>
    <w:rsid w:val="C7DE4626"/>
    <w:rsid w:val="C7E70D8C"/>
    <w:rsid w:val="CA6DD745"/>
    <w:rsid w:val="CAFFEE5F"/>
    <w:rsid w:val="CB6F351F"/>
    <w:rsid w:val="CBB78732"/>
    <w:rsid w:val="CBBF87C4"/>
    <w:rsid w:val="CBDA6947"/>
    <w:rsid w:val="CBFAD695"/>
    <w:rsid w:val="CBFDA55B"/>
    <w:rsid w:val="CBFF86E9"/>
    <w:rsid w:val="CC665B9F"/>
    <w:rsid w:val="CCEF968D"/>
    <w:rsid w:val="CD67F0FE"/>
    <w:rsid w:val="CD6FFCEF"/>
    <w:rsid w:val="CD7E9D9E"/>
    <w:rsid w:val="CDF71FEA"/>
    <w:rsid w:val="CDFB7EB0"/>
    <w:rsid w:val="CDFFAEA7"/>
    <w:rsid w:val="CE3C4474"/>
    <w:rsid w:val="CEAD039A"/>
    <w:rsid w:val="CEDD0826"/>
    <w:rsid w:val="CEDF28CF"/>
    <w:rsid w:val="CEFD3E9A"/>
    <w:rsid w:val="CEFFC106"/>
    <w:rsid w:val="CF776293"/>
    <w:rsid w:val="CF79A929"/>
    <w:rsid w:val="CF7B955D"/>
    <w:rsid w:val="CF83711C"/>
    <w:rsid w:val="CF9D6453"/>
    <w:rsid w:val="CFBB6CBD"/>
    <w:rsid w:val="CFBFE5F1"/>
    <w:rsid w:val="CFCD8759"/>
    <w:rsid w:val="CFDA9B4A"/>
    <w:rsid w:val="CFDFECEE"/>
    <w:rsid w:val="CFE940C7"/>
    <w:rsid w:val="CFEBB348"/>
    <w:rsid w:val="CFEDD4CE"/>
    <w:rsid w:val="CFEF8121"/>
    <w:rsid w:val="CFEFFC5C"/>
    <w:rsid w:val="CFF59E33"/>
    <w:rsid w:val="CFFBF70F"/>
    <w:rsid w:val="CFFE31DF"/>
    <w:rsid w:val="CFFE8405"/>
    <w:rsid w:val="CFFFA03D"/>
    <w:rsid w:val="CFFFC5D9"/>
    <w:rsid w:val="CFFFECC9"/>
    <w:rsid w:val="D06DC856"/>
    <w:rsid w:val="D1FA918A"/>
    <w:rsid w:val="D2A78D35"/>
    <w:rsid w:val="D2EFCACC"/>
    <w:rsid w:val="D2FD8883"/>
    <w:rsid w:val="D373D5CA"/>
    <w:rsid w:val="D39F02D9"/>
    <w:rsid w:val="D3BE7747"/>
    <w:rsid w:val="D3F792C0"/>
    <w:rsid w:val="D3FAC0A6"/>
    <w:rsid w:val="D3FDAA6D"/>
    <w:rsid w:val="D497F500"/>
    <w:rsid w:val="D4DF175C"/>
    <w:rsid w:val="D57D3533"/>
    <w:rsid w:val="D57F945C"/>
    <w:rsid w:val="D5F3CFB1"/>
    <w:rsid w:val="D5FB4727"/>
    <w:rsid w:val="D5FF7C6A"/>
    <w:rsid w:val="D64EA05F"/>
    <w:rsid w:val="D69F40F7"/>
    <w:rsid w:val="D6AB72D9"/>
    <w:rsid w:val="D6F74A37"/>
    <w:rsid w:val="D6FDDCC6"/>
    <w:rsid w:val="D6FFA3F0"/>
    <w:rsid w:val="D71F9FCC"/>
    <w:rsid w:val="D76B464D"/>
    <w:rsid w:val="D77E369B"/>
    <w:rsid w:val="D77F14F2"/>
    <w:rsid w:val="D79DD15A"/>
    <w:rsid w:val="D7AF6797"/>
    <w:rsid w:val="D7BF23F8"/>
    <w:rsid w:val="D7D73A99"/>
    <w:rsid w:val="D7ED372B"/>
    <w:rsid w:val="D7F1FE30"/>
    <w:rsid w:val="D7F935FA"/>
    <w:rsid w:val="D7FBA8B8"/>
    <w:rsid w:val="D7FBD0A4"/>
    <w:rsid w:val="D7FD0C14"/>
    <w:rsid w:val="D7FFE496"/>
    <w:rsid w:val="D93BEA2A"/>
    <w:rsid w:val="D9AEFFAC"/>
    <w:rsid w:val="D9DE5C60"/>
    <w:rsid w:val="D9E7B6C8"/>
    <w:rsid w:val="D9FB5883"/>
    <w:rsid w:val="D9FF091A"/>
    <w:rsid w:val="DA2C4EB3"/>
    <w:rsid w:val="DAB8F9F3"/>
    <w:rsid w:val="DABCD441"/>
    <w:rsid w:val="DAF3361A"/>
    <w:rsid w:val="DAF7B5B5"/>
    <w:rsid w:val="DAFDAFFA"/>
    <w:rsid w:val="DB0F99C1"/>
    <w:rsid w:val="DB3DED52"/>
    <w:rsid w:val="DB5F9121"/>
    <w:rsid w:val="DB6F35C6"/>
    <w:rsid w:val="DBB66540"/>
    <w:rsid w:val="DBBD225B"/>
    <w:rsid w:val="DBE9BF4C"/>
    <w:rsid w:val="DBF2C6C1"/>
    <w:rsid w:val="DBFDB840"/>
    <w:rsid w:val="DC77A0EE"/>
    <w:rsid w:val="DCBE1C3C"/>
    <w:rsid w:val="DCFFEB0C"/>
    <w:rsid w:val="DD6FB7DB"/>
    <w:rsid w:val="DD7F5449"/>
    <w:rsid w:val="DD844695"/>
    <w:rsid w:val="DDBD4986"/>
    <w:rsid w:val="DDBFA700"/>
    <w:rsid w:val="DDDB1873"/>
    <w:rsid w:val="DDE66171"/>
    <w:rsid w:val="DDEFEF48"/>
    <w:rsid w:val="DDFF396D"/>
    <w:rsid w:val="DE1E2E99"/>
    <w:rsid w:val="DE2E21E4"/>
    <w:rsid w:val="DE2FFA9D"/>
    <w:rsid w:val="DE3853C0"/>
    <w:rsid w:val="DE46A94C"/>
    <w:rsid w:val="DEAF5D86"/>
    <w:rsid w:val="DEAFC114"/>
    <w:rsid w:val="DEBEA136"/>
    <w:rsid w:val="DEBFAC51"/>
    <w:rsid w:val="DEBFD0E6"/>
    <w:rsid w:val="DEC7E192"/>
    <w:rsid w:val="DEDD4B64"/>
    <w:rsid w:val="DEEB7839"/>
    <w:rsid w:val="DEEB82BB"/>
    <w:rsid w:val="DEEF9153"/>
    <w:rsid w:val="DEF31980"/>
    <w:rsid w:val="DEF78B55"/>
    <w:rsid w:val="DEFD7988"/>
    <w:rsid w:val="DEFF6F78"/>
    <w:rsid w:val="DF0F965E"/>
    <w:rsid w:val="DF3EA961"/>
    <w:rsid w:val="DF41E8F2"/>
    <w:rsid w:val="DF4F494F"/>
    <w:rsid w:val="DF558036"/>
    <w:rsid w:val="DF5F748A"/>
    <w:rsid w:val="DF61642C"/>
    <w:rsid w:val="DF65A7B1"/>
    <w:rsid w:val="DF74F67A"/>
    <w:rsid w:val="DF7608C9"/>
    <w:rsid w:val="DF7A1B7E"/>
    <w:rsid w:val="DF7B37E5"/>
    <w:rsid w:val="DF7EE8B0"/>
    <w:rsid w:val="DF7F4485"/>
    <w:rsid w:val="DF7F6B65"/>
    <w:rsid w:val="DF9EC547"/>
    <w:rsid w:val="DF9F6274"/>
    <w:rsid w:val="DF9FA4B5"/>
    <w:rsid w:val="DFA7D166"/>
    <w:rsid w:val="DFAFFC84"/>
    <w:rsid w:val="DFB5C73F"/>
    <w:rsid w:val="DFB7795D"/>
    <w:rsid w:val="DFBAE87B"/>
    <w:rsid w:val="DFBCD5D6"/>
    <w:rsid w:val="DFBF5068"/>
    <w:rsid w:val="DFBFD79C"/>
    <w:rsid w:val="DFBFE2CB"/>
    <w:rsid w:val="DFDDA946"/>
    <w:rsid w:val="DFDF4F5A"/>
    <w:rsid w:val="DFE7CE08"/>
    <w:rsid w:val="DFEC7C63"/>
    <w:rsid w:val="DFEEBDA4"/>
    <w:rsid w:val="DFF3B2B1"/>
    <w:rsid w:val="DFF60B08"/>
    <w:rsid w:val="DFF67CC8"/>
    <w:rsid w:val="DFF69664"/>
    <w:rsid w:val="DFF6B4B1"/>
    <w:rsid w:val="DFF78F0A"/>
    <w:rsid w:val="DFFB9539"/>
    <w:rsid w:val="DFFD9642"/>
    <w:rsid w:val="DFFDBC5F"/>
    <w:rsid w:val="DFFF0DAF"/>
    <w:rsid w:val="DFFF344C"/>
    <w:rsid w:val="DFFF4367"/>
    <w:rsid w:val="DFFF6119"/>
    <w:rsid w:val="DFFF655F"/>
    <w:rsid w:val="DFFF6C07"/>
    <w:rsid w:val="DFFF6F84"/>
    <w:rsid w:val="E0CDF625"/>
    <w:rsid w:val="E2ADCD47"/>
    <w:rsid w:val="E2BF9487"/>
    <w:rsid w:val="E2D3921B"/>
    <w:rsid w:val="E3BB3FD1"/>
    <w:rsid w:val="E3BBBDAF"/>
    <w:rsid w:val="E3DF1505"/>
    <w:rsid w:val="E49B7424"/>
    <w:rsid w:val="E4F2D113"/>
    <w:rsid w:val="E4F8A5C5"/>
    <w:rsid w:val="E4FF8F12"/>
    <w:rsid w:val="E57798A3"/>
    <w:rsid w:val="E6DFF180"/>
    <w:rsid w:val="E6FE745A"/>
    <w:rsid w:val="E6FF4BC3"/>
    <w:rsid w:val="E6FFE13E"/>
    <w:rsid w:val="E75644D3"/>
    <w:rsid w:val="E77ACE03"/>
    <w:rsid w:val="E77E28F9"/>
    <w:rsid w:val="E77FC793"/>
    <w:rsid w:val="E7BD5DD8"/>
    <w:rsid w:val="E7BD9A7C"/>
    <w:rsid w:val="E7BF7837"/>
    <w:rsid w:val="E7DF1ECD"/>
    <w:rsid w:val="E7DFBDA3"/>
    <w:rsid w:val="E7FD9190"/>
    <w:rsid w:val="E7FE939F"/>
    <w:rsid w:val="E7FFC3E8"/>
    <w:rsid w:val="E8520451"/>
    <w:rsid w:val="E97E2A37"/>
    <w:rsid w:val="E9B7347E"/>
    <w:rsid w:val="E9BF51DC"/>
    <w:rsid w:val="E9C74EF6"/>
    <w:rsid w:val="E9DF8A4C"/>
    <w:rsid w:val="E9FEA9DE"/>
    <w:rsid w:val="EA4799F1"/>
    <w:rsid w:val="EA59D70D"/>
    <w:rsid w:val="EABF202B"/>
    <w:rsid w:val="EABF86F6"/>
    <w:rsid w:val="EAE6B56A"/>
    <w:rsid w:val="EAEF7243"/>
    <w:rsid w:val="EAF3A24B"/>
    <w:rsid w:val="EAFDFFB5"/>
    <w:rsid w:val="EB3D2395"/>
    <w:rsid w:val="EB3FCFF5"/>
    <w:rsid w:val="EB572270"/>
    <w:rsid w:val="EB5E318E"/>
    <w:rsid w:val="EB6F1302"/>
    <w:rsid w:val="EB7F645E"/>
    <w:rsid w:val="EBA8191A"/>
    <w:rsid w:val="EBBF0ABC"/>
    <w:rsid w:val="EBEA7CC3"/>
    <w:rsid w:val="EBED2C44"/>
    <w:rsid w:val="EBF39FB8"/>
    <w:rsid w:val="EBF9A9E9"/>
    <w:rsid w:val="EBFB5627"/>
    <w:rsid w:val="EBFBFC71"/>
    <w:rsid w:val="EBFF453E"/>
    <w:rsid w:val="EBFF6748"/>
    <w:rsid w:val="EBFF81F9"/>
    <w:rsid w:val="EBFF9DE5"/>
    <w:rsid w:val="EC9F381C"/>
    <w:rsid w:val="ECBF3A8F"/>
    <w:rsid w:val="ECF7F065"/>
    <w:rsid w:val="ECF9A88F"/>
    <w:rsid w:val="ECFB903B"/>
    <w:rsid w:val="ECFE1C49"/>
    <w:rsid w:val="ED2E06F9"/>
    <w:rsid w:val="ED3B0757"/>
    <w:rsid w:val="ED4FF24F"/>
    <w:rsid w:val="ED66DBDB"/>
    <w:rsid w:val="ED6F9373"/>
    <w:rsid w:val="EDBFA966"/>
    <w:rsid w:val="EDE93FEA"/>
    <w:rsid w:val="EDEC56B5"/>
    <w:rsid w:val="EDF75367"/>
    <w:rsid w:val="EDF77F1E"/>
    <w:rsid w:val="EDF7E43C"/>
    <w:rsid w:val="EDFF0950"/>
    <w:rsid w:val="EDFF67A1"/>
    <w:rsid w:val="EE1B414C"/>
    <w:rsid w:val="EE2BA060"/>
    <w:rsid w:val="EE67DFFC"/>
    <w:rsid w:val="EE7F71A3"/>
    <w:rsid w:val="EE82211F"/>
    <w:rsid w:val="EEB496EB"/>
    <w:rsid w:val="EEC19D42"/>
    <w:rsid w:val="EEE76196"/>
    <w:rsid w:val="EEE76809"/>
    <w:rsid w:val="EEEB7360"/>
    <w:rsid w:val="EEF239EB"/>
    <w:rsid w:val="EEF72B0A"/>
    <w:rsid w:val="EEF734D6"/>
    <w:rsid w:val="EEF751F0"/>
    <w:rsid w:val="EEF7F6FA"/>
    <w:rsid w:val="EEF90A18"/>
    <w:rsid w:val="EEFBF6ED"/>
    <w:rsid w:val="EEFD0E9E"/>
    <w:rsid w:val="EF57E9EE"/>
    <w:rsid w:val="EF65BD91"/>
    <w:rsid w:val="EF775CF6"/>
    <w:rsid w:val="EF77CB11"/>
    <w:rsid w:val="EF795D01"/>
    <w:rsid w:val="EF7D9CCB"/>
    <w:rsid w:val="EF7DDEF2"/>
    <w:rsid w:val="EF7EBCE0"/>
    <w:rsid w:val="EF7F0FFB"/>
    <w:rsid w:val="EF7F75F7"/>
    <w:rsid w:val="EF7FD531"/>
    <w:rsid w:val="EF935FD5"/>
    <w:rsid w:val="EF966C19"/>
    <w:rsid w:val="EF97AF92"/>
    <w:rsid w:val="EF9E64C5"/>
    <w:rsid w:val="EF9F2094"/>
    <w:rsid w:val="EF9F8387"/>
    <w:rsid w:val="EF9F8EE8"/>
    <w:rsid w:val="EF9FB8A9"/>
    <w:rsid w:val="EFA050BB"/>
    <w:rsid w:val="EFB3CAE1"/>
    <w:rsid w:val="EFB7EFB2"/>
    <w:rsid w:val="EFB95EB1"/>
    <w:rsid w:val="EFBE6290"/>
    <w:rsid w:val="EFBF2475"/>
    <w:rsid w:val="EFCB945C"/>
    <w:rsid w:val="EFDF71B8"/>
    <w:rsid w:val="EFDF9022"/>
    <w:rsid w:val="EFDF9ABF"/>
    <w:rsid w:val="EFDFE3DE"/>
    <w:rsid w:val="EFDFF6E5"/>
    <w:rsid w:val="EFE5CEFE"/>
    <w:rsid w:val="EFE6658E"/>
    <w:rsid w:val="EFECC103"/>
    <w:rsid w:val="EFF21D07"/>
    <w:rsid w:val="EFF2FFF6"/>
    <w:rsid w:val="EFF35AD9"/>
    <w:rsid w:val="EFF5A196"/>
    <w:rsid w:val="EFF68EE9"/>
    <w:rsid w:val="EFF6DC40"/>
    <w:rsid w:val="EFF779D3"/>
    <w:rsid w:val="EFF88E71"/>
    <w:rsid w:val="EFF93750"/>
    <w:rsid w:val="EFFCA32A"/>
    <w:rsid w:val="EFFE18C6"/>
    <w:rsid w:val="EFFE9D3D"/>
    <w:rsid w:val="EFFF291B"/>
    <w:rsid w:val="EFFFFAD0"/>
    <w:rsid w:val="F07C9B75"/>
    <w:rsid w:val="F1EF4057"/>
    <w:rsid w:val="F1F72554"/>
    <w:rsid w:val="F273143B"/>
    <w:rsid w:val="F2E76AE5"/>
    <w:rsid w:val="F2F77B8B"/>
    <w:rsid w:val="F2FD18A4"/>
    <w:rsid w:val="F2FF3D51"/>
    <w:rsid w:val="F34BED48"/>
    <w:rsid w:val="F35FFD01"/>
    <w:rsid w:val="F37E50A6"/>
    <w:rsid w:val="F37F41F0"/>
    <w:rsid w:val="F3A3FADE"/>
    <w:rsid w:val="F3BF5BE8"/>
    <w:rsid w:val="F3BFCC4F"/>
    <w:rsid w:val="F3CF0234"/>
    <w:rsid w:val="F3DF8556"/>
    <w:rsid w:val="F3DF9491"/>
    <w:rsid w:val="F3E75256"/>
    <w:rsid w:val="F3E8B66A"/>
    <w:rsid w:val="F3FE4131"/>
    <w:rsid w:val="F3FF5386"/>
    <w:rsid w:val="F40A962E"/>
    <w:rsid w:val="F4F751A2"/>
    <w:rsid w:val="F559EF1F"/>
    <w:rsid w:val="F55FC4AF"/>
    <w:rsid w:val="F57AEECB"/>
    <w:rsid w:val="F57D717A"/>
    <w:rsid w:val="F57EB211"/>
    <w:rsid w:val="F5978EA3"/>
    <w:rsid w:val="F59990F2"/>
    <w:rsid w:val="F5B65755"/>
    <w:rsid w:val="F5BC0E31"/>
    <w:rsid w:val="F5BDC49E"/>
    <w:rsid w:val="F5BF305D"/>
    <w:rsid w:val="F5DB38C3"/>
    <w:rsid w:val="F5E791AE"/>
    <w:rsid w:val="F5FF2C2A"/>
    <w:rsid w:val="F5FF5E6B"/>
    <w:rsid w:val="F64FB667"/>
    <w:rsid w:val="F67B5F84"/>
    <w:rsid w:val="F69FF8AC"/>
    <w:rsid w:val="F6A35A4D"/>
    <w:rsid w:val="F6AE3CBE"/>
    <w:rsid w:val="F6B78D0C"/>
    <w:rsid w:val="F6BAC8AC"/>
    <w:rsid w:val="F6BFAB32"/>
    <w:rsid w:val="F6D76BB7"/>
    <w:rsid w:val="F6DA8FBE"/>
    <w:rsid w:val="F6DFB831"/>
    <w:rsid w:val="F6EF743B"/>
    <w:rsid w:val="F6EFC9C2"/>
    <w:rsid w:val="F6FE22A2"/>
    <w:rsid w:val="F6FF0599"/>
    <w:rsid w:val="F6FF0B12"/>
    <w:rsid w:val="F6FFA1B1"/>
    <w:rsid w:val="F6FFBFEC"/>
    <w:rsid w:val="F6FFFBA7"/>
    <w:rsid w:val="F75EE279"/>
    <w:rsid w:val="F75F7DB3"/>
    <w:rsid w:val="F7672259"/>
    <w:rsid w:val="F76D27F0"/>
    <w:rsid w:val="F7757DCE"/>
    <w:rsid w:val="F77B19CE"/>
    <w:rsid w:val="F77CA9C4"/>
    <w:rsid w:val="F77DEA3A"/>
    <w:rsid w:val="F77EB98B"/>
    <w:rsid w:val="F77F97E0"/>
    <w:rsid w:val="F77FDDFD"/>
    <w:rsid w:val="F79D1DF6"/>
    <w:rsid w:val="F79F1D35"/>
    <w:rsid w:val="F79F91DA"/>
    <w:rsid w:val="F7B9FE07"/>
    <w:rsid w:val="F7BFFF55"/>
    <w:rsid w:val="F7C8CBA5"/>
    <w:rsid w:val="F7CEA592"/>
    <w:rsid w:val="F7CF0DDF"/>
    <w:rsid w:val="F7D61B1A"/>
    <w:rsid w:val="F7D7E7B9"/>
    <w:rsid w:val="F7DAF18F"/>
    <w:rsid w:val="F7DE39B2"/>
    <w:rsid w:val="F7E842E8"/>
    <w:rsid w:val="F7EB8865"/>
    <w:rsid w:val="F7EC1B28"/>
    <w:rsid w:val="F7EEC0E1"/>
    <w:rsid w:val="F7EEC545"/>
    <w:rsid w:val="F7EF5537"/>
    <w:rsid w:val="F7F08B9A"/>
    <w:rsid w:val="F7F70A07"/>
    <w:rsid w:val="F7F8BDCD"/>
    <w:rsid w:val="F7F91E16"/>
    <w:rsid w:val="F7F97C32"/>
    <w:rsid w:val="F7FB8FFA"/>
    <w:rsid w:val="F7FBBA54"/>
    <w:rsid w:val="F7FBF9AC"/>
    <w:rsid w:val="F7FD72F7"/>
    <w:rsid w:val="F7FE2615"/>
    <w:rsid w:val="F7FE4F87"/>
    <w:rsid w:val="F7FF04F3"/>
    <w:rsid w:val="F7FF3366"/>
    <w:rsid w:val="F7FF63B2"/>
    <w:rsid w:val="F7FF7FFB"/>
    <w:rsid w:val="F855B38E"/>
    <w:rsid w:val="F8773B28"/>
    <w:rsid w:val="F8F5E0C9"/>
    <w:rsid w:val="F8F70044"/>
    <w:rsid w:val="F8F9315A"/>
    <w:rsid w:val="F94FCF82"/>
    <w:rsid w:val="F9530DB3"/>
    <w:rsid w:val="F9BD8186"/>
    <w:rsid w:val="F9DF4060"/>
    <w:rsid w:val="F9DF865F"/>
    <w:rsid w:val="F9DFB385"/>
    <w:rsid w:val="F9FD2229"/>
    <w:rsid w:val="FA6E3812"/>
    <w:rsid w:val="FA7DED80"/>
    <w:rsid w:val="FAB84226"/>
    <w:rsid w:val="FABA5EB1"/>
    <w:rsid w:val="FABB2581"/>
    <w:rsid w:val="FABF3BA3"/>
    <w:rsid w:val="FAC739AB"/>
    <w:rsid w:val="FAC9CA27"/>
    <w:rsid w:val="FADFCCBE"/>
    <w:rsid w:val="FAEFBDBE"/>
    <w:rsid w:val="FAFCDFE3"/>
    <w:rsid w:val="FAFDD469"/>
    <w:rsid w:val="FB2D74C1"/>
    <w:rsid w:val="FB3F1903"/>
    <w:rsid w:val="FB4F87C1"/>
    <w:rsid w:val="FB4FA50E"/>
    <w:rsid w:val="FB593D00"/>
    <w:rsid w:val="FB5BE264"/>
    <w:rsid w:val="FB5DF713"/>
    <w:rsid w:val="FB5F30C7"/>
    <w:rsid w:val="FB6D5253"/>
    <w:rsid w:val="FB72EABE"/>
    <w:rsid w:val="FB764355"/>
    <w:rsid w:val="FB771526"/>
    <w:rsid w:val="FB79AE51"/>
    <w:rsid w:val="FB7A6483"/>
    <w:rsid w:val="FB7AF415"/>
    <w:rsid w:val="FB7B910D"/>
    <w:rsid w:val="FB7B9898"/>
    <w:rsid w:val="FB7F0476"/>
    <w:rsid w:val="FB9F5357"/>
    <w:rsid w:val="FB9F682E"/>
    <w:rsid w:val="FB9F7D03"/>
    <w:rsid w:val="FBAF8263"/>
    <w:rsid w:val="FBAFD8A9"/>
    <w:rsid w:val="FBB52268"/>
    <w:rsid w:val="FBBE5CF6"/>
    <w:rsid w:val="FBBF614B"/>
    <w:rsid w:val="FBBFB115"/>
    <w:rsid w:val="FBBFC0E4"/>
    <w:rsid w:val="FBBFEF0A"/>
    <w:rsid w:val="FBCB436A"/>
    <w:rsid w:val="FBD109D4"/>
    <w:rsid w:val="FBD79016"/>
    <w:rsid w:val="FBD7A16A"/>
    <w:rsid w:val="FBD7C8AF"/>
    <w:rsid w:val="FBDD85A2"/>
    <w:rsid w:val="FBDEC530"/>
    <w:rsid w:val="FBDF0242"/>
    <w:rsid w:val="FBE9B2CC"/>
    <w:rsid w:val="FBF5E3C6"/>
    <w:rsid w:val="FBF66098"/>
    <w:rsid w:val="FBF79C7E"/>
    <w:rsid w:val="FBF7A6EA"/>
    <w:rsid w:val="FBF7D988"/>
    <w:rsid w:val="FBF9DBBB"/>
    <w:rsid w:val="FBFA07FD"/>
    <w:rsid w:val="FBFB0380"/>
    <w:rsid w:val="FBFC977E"/>
    <w:rsid w:val="FBFD100D"/>
    <w:rsid w:val="FBFD843D"/>
    <w:rsid w:val="FBFD9DDD"/>
    <w:rsid w:val="FBFDCC04"/>
    <w:rsid w:val="FBFE6872"/>
    <w:rsid w:val="FBFE87E9"/>
    <w:rsid w:val="FBFE88B4"/>
    <w:rsid w:val="FBFEC519"/>
    <w:rsid w:val="FBFEE2B8"/>
    <w:rsid w:val="FBFF9397"/>
    <w:rsid w:val="FBFFC55C"/>
    <w:rsid w:val="FC525F03"/>
    <w:rsid w:val="FC5B51C9"/>
    <w:rsid w:val="FC5DFD83"/>
    <w:rsid w:val="FC6B3821"/>
    <w:rsid w:val="FC6F8C02"/>
    <w:rsid w:val="FC7BF04D"/>
    <w:rsid w:val="FC9F2EAE"/>
    <w:rsid w:val="FCA399A4"/>
    <w:rsid w:val="FCBDF3F6"/>
    <w:rsid w:val="FCCDEDD7"/>
    <w:rsid w:val="FCCF20C4"/>
    <w:rsid w:val="FCECFB4D"/>
    <w:rsid w:val="FCF5D730"/>
    <w:rsid w:val="FCFBA593"/>
    <w:rsid w:val="FCFEFC9C"/>
    <w:rsid w:val="FCFFE123"/>
    <w:rsid w:val="FD37906D"/>
    <w:rsid w:val="FD3E6970"/>
    <w:rsid w:val="FD3F38AC"/>
    <w:rsid w:val="FD5741C6"/>
    <w:rsid w:val="FD5FD477"/>
    <w:rsid w:val="FD6FC42D"/>
    <w:rsid w:val="FD6FCA6A"/>
    <w:rsid w:val="FD7B0D7F"/>
    <w:rsid w:val="FD95E69D"/>
    <w:rsid w:val="FD97F112"/>
    <w:rsid w:val="FDADB632"/>
    <w:rsid w:val="FDAF26D1"/>
    <w:rsid w:val="FDAF6B81"/>
    <w:rsid w:val="FDBB110C"/>
    <w:rsid w:val="FDBD5C61"/>
    <w:rsid w:val="FDBE92F9"/>
    <w:rsid w:val="FDBF4894"/>
    <w:rsid w:val="FDBFDB97"/>
    <w:rsid w:val="FDBFE6B0"/>
    <w:rsid w:val="FDCF0B24"/>
    <w:rsid w:val="FDD35279"/>
    <w:rsid w:val="FDD7955D"/>
    <w:rsid w:val="FDDA8B27"/>
    <w:rsid w:val="FDDF355F"/>
    <w:rsid w:val="FDDF6989"/>
    <w:rsid w:val="FDE7021B"/>
    <w:rsid w:val="FDE73891"/>
    <w:rsid w:val="FDE94762"/>
    <w:rsid w:val="FDEA03DD"/>
    <w:rsid w:val="FDEC6D41"/>
    <w:rsid w:val="FDEDC0FE"/>
    <w:rsid w:val="FDEEA357"/>
    <w:rsid w:val="FDF19FD4"/>
    <w:rsid w:val="FDF40FD9"/>
    <w:rsid w:val="FDF5868F"/>
    <w:rsid w:val="FDF7C357"/>
    <w:rsid w:val="FDF9180A"/>
    <w:rsid w:val="FDF9F1BE"/>
    <w:rsid w:val="FDFAEA59"/>
    <w:rsid w:val="FDFBD149"/>
    <w:rsid w:val="FDFF1BCD"/>
    <w:rsid w:val="FDFF3777"/>
    <w:rsid w:val="FDFF7714"/>
    <w:rsid w:val="FDFF7DC4"/>
    <w:rsid w:val="FE39D0A2"/>
    <w:rsid w:val="FE3FA692"/>
    <w:rsid w:val="FE3FD5B2"/>
    <w:rsid w:val="FE4D1750"/>
    <w:rsid w:val="FE5FCDD8"/>
    <w:rsid w:val="FE630FF7"/>
    <w:rsid w:val="FE6CD434"/>
    <w:rsid w:val="FE6F1097"/>
    <w:rsid w:val="FE7B9003"/>
    <w:rsid w:val="FE7FB7B6"/>
    <w:rsid w:val="FE7FD3BE"/>
    <w:rsid w:val="FE9508DA"/>
    <w:rsid w:val="FEB39428"/>
    <w:rsid w:val="FEBAD164"/>
    <w:rsid w:val="FEBB3949"/>
    <w:rsid w:val="FEBC66E3"/>
    <w:rsid w:val="FEBDA08C"/>
    <w:rsid w:val="FEBF3DF6"/>
    <w:rsid w:val="FEBF63B3"/>
    <w:rsid w:val="FECF792C"/>
    <w:rsid w:val="FEE5ACC7"/>
    <w:rsid w:val="FEE5CF7F"/>
    <w:rsid w:val="FEE79588"/>
    <w:rsid w:val="FEEB0C42"/>
    <w:rsid w:val="FEED886D"/>
    <w:rsid w:val="FEEDC2ED"/>
    <w:rsid w:val="FEEF2A34"/>
    <w:rsid w:val="FEEF7A1D"/>
    <w:rsid w:val="FEEFAD4D"/>
    <w:rsid w:val="FEF33F16"/>
    <w:rsid w:val="FEF54FDB"/>
    <w:rsid w:val="FEF58253"/>
    <w:rsid w:val="FEF639D9"/>
    <w:rsid w:val="FEF77F8A"/>
    <w:rsid w:val="FEF78CA6"/>
    <w:rsid w:val="FEF7C419"/>
    <w:rsid w:val="FEFB3180"/>
    <w:rsid w:val="FEFB419C"/>
    <w:rsid w:val="FEFB6FE2"/>
    <w:rsid w:val="FEFB8EF3"/>
    <w:rsid w:val="FEFBE04D"/>
    <w:rsid w:val="FEFD2E21"/>
    <w:rsid w:val="FEFDCC78"/>
    <w:rsid w:val="FEFDD0EE"/>
    <w:rsid w:val="FEFDD685"/>
    <w:rsid w:val="FEFF2431"/>
    <w:rsid w:val="FEFF3608"/>
    <w:rsid w:val="FEFFD291"/>
    <w:rsid w:val="FEFFD9B8"/>
    <w:rsid w:val="FEFFDDE9"/>
    <w:rsid w:val="FEFFFF88"/>
    <w:rsid w:val="FF1F0BB7"/>
    <w:rsid w:val="FF1F4689"/>
    <w:rsid w:val="FF2DC07D"/>
    <w:rsid w:val="FF355A76"/>
    <w:rsid w:val="FF3E908A"/>
    <w:rsid w:val="FF3F0DD5"/>
    <w:rsid w:val="FF3F5C67"/>
    <w:rsid w:val="FF4F2DF3"/>
    <w:rsid w:val="FF531125"/>
    <w:rsid w:val="FF578B4E"/>
    <w:rsid w:val="FF581CDF"/>
    <w:rsid w:val="FF597122"/>
    <w:rsid w:val="FF5B17C1"/>
    <w:rsid w:val="FF5F9651"/>
    <w:rsid w:val="FF64F610"/>
    <w:rsid w:val="FF6E9BBC"/>
    <w:rsid w:val="FF6F4D57"/>
    <w:rsid w:val="FF6FAFEA"/>
    <w:rsid w:val="FF76A3B5"/>
    <w:rsid w:val="FF76E3CF"/>
    <w:rsid w:val="FF777F94"/>
    <w:rsid w:val="FF7A64DD"/>
    <w:rsid w:val="FF7B002A"/>
    <w:rsid w:val="FF7B9C02"/>
    <w:rsid w:val="FF7D6675"/>
    <w:rsid w:val="FF7DEEB9"/>
    <w:rsid w:val="FF7DF580"/>
    <w:rsid w:val="FF7EC65F"/>
    <w:rsid w:val="FF7F1D4C"/>
    <w:rsid w:val="FF87F9C0"/>
    <w:rsid w:val="FF93E08B"/>
    <w:rsid w:val="FF9BDE0D"/>
    <w:rsid w:val="FF9CADAA"/>
    <w:rsid w:val="FF9D5FEC"/>
    <w:rsid w:val="FF9D8069"/>
    <w:rsid w:val="FF9F4B80"/>
    <w:rsid w:val="FF9FC041"/>
    <w:rsid w:val="FFA86FC5"/>
    <w:rsid w:val="FFA91885"/>
    <w:rsid w:val="FFAC9323"/>
    <w:rsid w:val="FFAFF514"/>
    <w:rsid w:val="FFB16D6A"/>
    <w:rsid w:val="FFB22AF1"/>
    <w:rsid w:val="FFB2303B"/>
    <w:rsid w:val="FFB3E923"/>
    <w:rsid w:val="FFB5DBD7"/>
    <w:rsid w:val="FFB6439C"/>
    <w:rsid w:val="FFB68D02"/>
    <w:rsid w:val="FFB6DA14"/>
    <w:rsid w:val="FFB74046"/>
    <w:rsid w:val="FFB7955C"/>
    <w:rsid w:val="FFBA1C4B"/>
    <w:rsid w:val="FFBA75FB"/>
    <w:rsid w:val="FFBD6A45"/>
    <w:rsid w:val="FFBDB1C9"/>
    <w:rsid w:val="FFBE08CE"/>
    <w:rsid w:val="FFBF23AF"/>
    <w:rsid w:val="FFBF4C1F"/>
    <w:rsid w:val="FFBF8128"/>
    <w:rsid w:val="FFBFE379"/>
    <w:rsid w:val="FFC7FFBB"/>
    <w:rsid w:val="FFCB371D"/>
    <w:rsid w:val="FFCDE61F"/>
    <w:rsid w:val="FFCDE76A"/>
    <w:rsid w:val="FFCE7494"/>
    <w:rsid w:val="FFCEE59A"/>
    <w:rsid w:val="FFCFA8DE"/>
    <w:rsid w:val="FFD7B962"/>
    <w:rsid w:val="FFDBED97"/>
    <w:rsid w:val="FFDD23CC"/>
    <w:rsid w:val="FFDD401B"/>
    <w:rsid w:val="FFDD55DE"/>
    <w:rsid w:val="FFDD93EB"/>
    <w:rsid w:val="FFDE5AC5"/>
    <w:rsid w:val="FFDF041E"/>
    <w:rsid w:val="FFDF8D26"/>
    <w:rsid w:val="FFDFE197"/>
    <w:rsid w:val="FFE4DE31"/>
    <w:rsid w:val="FFE64320"/>
    <w:rsid w:val="FFE7186D"/>
    <w:rsid w:val="FFE7CCA8"/>
    <w:rsid w:val="FFEB94BB"/>
    <w:rsid w:val="FFEBA813"/>
    <w:rsid w:val="FFEBE4A8"/>
    <w:rsid w:val="FFEC32DF"/>
    <w:rsid w:val="FFEC5E81"/>
    <w:rsid w:val="FFED55AF"/>
    <w:rsid w:val="FFEE2D8D"/>
    <w:rsid w:val="FFEE8D66"/>
    <w:rsid w:val="FFEFD589"/>
    <w:rsid w:val="FFEFED40"/>
    <w:rsid w:val="FFF00922"/>
    <w:rsid w:val="FFF34265"/>
    <w:rsid w:val="FFF36177"/>
    <w:rsid w:val="FFF3E6C8"/>
    <w:rsid w:val="FFF3FF90"/>
    <w:rsid w:val="FFF4C067"/>
    <w:rsid w:val="FFF52BB2"/>
    <w:rsid w:val="FFF52FF3"/>
    <w:rsid w:val="FFF541BF"/>
    <w:rsid w:val="FFF65703"/>
    <w:rsid w:val="FFF6A252"/>
    <w:rsid w:val="FFF6CE03"/>
    <w:rsid w:val="FFF717D8"/>
    <w:rsid w:val="FFF724F7"/>
    <w:rsid w:val="FFF76742"/>
    <w:rsid w:val="FFF76B22"/>
    <w:rsid w:val="FFF78890"/>
    <w:rsid w:val="FFF7BB49"/>
    <w:rsid w:val="FFF95B23"/>
    <w:rsid w:val="FFF9EB36"/>
    <w:rsid w:val="FFF9FD50"/>
    <w:rsid w:val="FFFA9104"/>
    <w:rsid w:val="FFFAC401"/>
    <w:rsid w:val="FFFB0378"/>
    <w:rsid w:val="FFFBC2B4"/>
    <w:rsid w:val="FFFC23AC"/>
    <w:rsid w:val="FFFC8D92"/>
    <w:rsid w:val="FFFD3397"/>
    <w:rsid w:val="FFFD8EAA"/>
    <w:rsid w:val="FFFE2B3E"/>
    <w:rsid w:val="FFFE3164"/>
    <w:rsid w:val="FFFE8C32"/>
    <w:rsid w:val="FFFEA8DB"/>
    <w:rsid w:val="FFFEBBF7"/>
    <w:rsid w:val="FFFEE272"/>
    <w:rsid w:val="FFFF104C"/>
    <w:rsid w:val="FFFF12B3"/>
    <w:rsid w:val="FFFF3D0C"/>
    <w:rsid w:val="FFFF6D65"/>
    <w:rsid w:val="FFFFA304"/>
    <w:rsid w:val="FFFFC1E6"/>
    <w:rsid w:val="FFFFE516"/>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qFormat/>
    <w:uiPriority w:val="0"/>
    <w:pPr>
      <w:keepNext/>
      <w:keepLines/>
      <w:spacing w:before="260" w:after="260" w:line="416" w:lineRule="auto"/>
      <w:outlineLvl w:val="2"/>
    </w:pPr>
    <w:rPr>
      <w:b/>
      <w:bCs/>
      <w:sz w:val="32"/>
      <w:szCs w:val="32"/>
    </w:rPr>
  </w:style>
  <w:style w:type="paragraph" w:styleId="5">
    <w:name w:val="heading 4"/>
    <w:basedOn w:val="1"/>
    <w:next w:val="1"/>
    <w:link w:val="4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3"/>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4"/>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5"/>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6"/>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7"/>
    <w:qFormat/>
    <w:uiPriority w:val="0"/>
    <w:pPr>
      <w:keepNext/>
      <w:keepLines/>
      <w:adjustRightInd/>
      <w:spacing w:before="240" w:after="64" w:line="320" w:lineRule="auto"/>
      <w:outlineLvl w:val="8"/>
    </w:pPr>
    <w:rPr>
      <w:rFonts w:ascii="Arial" w:hAnsi="Arial" w:eastAsia="黑体"/>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239"/>
    <w:semiHidden/>
    <w:unhideWhenUsed/>
    <w:qFormat/>
    <w:uiPriority w:val="99"/>
    <w:pPr>
      <w:jc w:val="left"/>
    </w:pPr>
  </w:style>
  <w:style w:type="paragraph" w:styleId="15">
    <w:name w:val="Body Text"/>
    <w:basedOn w:val="1"/>
    <w:link w:val="91"/>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Balloon Text"/>
    <w:basedOn w:val="1"/>
    <w:link w:val="50"/>
    <w:semiHidden/>
    <w:unhideWhenUsed/>
    <w:qFormat/>
    <w:uiPriority w:val="99"/>
    <w:rPr>
      <w:sz w:val="18"/>
      <w:szCs w:val="18"/>
    </w:rPr>
  </w:style>
  <w:style w:type="paragraph" w:styleId="19">
    <w:name w:val="footer"/>
    <w:basedOn w:val="1"/>
    <w:link w:val="49"/>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8"/>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pPr>
      <w:tabs>
        <w:tab w:val="right" w:leader="dot" w:pos="9354"/>
      </w:tabs>
    </w:pPr>
    <w:rPr>
      <w:rFonts w:ascii="宋体" w:hAns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4"/>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index 7"/>
    <w:basedOn w:val="1"/>
    <w:next w:val="1"/>
    <w:qFormat/>
    <w:uiPriority w:val="0"/>
    <w:pPr>
      <w:adjustRightInd/>
      <w:spacing w:line="240" w:lineRule="auto"/>
      <w:ind w:left="1470" w:hanging="210"/>
      <w:jc w:val="left"/>
    </w:pPr>
    <w:rPr>
      <w:sz w:val="20"/>
      <w:szCs w:val="20"/>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Title"/>
    <w:basedOn w:val="1"/>
    <w:link w:val="53"/>
    <w:qFormat/>
    <w:uiPriority w:val="0"/>
    <w:pPr>
      <w:spacing w:before="240" w:after="60"/>
      <w:jc w:val="center"/>
      <w:outlineLvl w:val="0"/>
    </w:pPr>
    <w:rPr>
      <w:rFonts w:ascii="Arial" w:hAnsi="Arial" w:cs="Arial"/>
      <w:b/>
      <w:bCs/>
      <w:sz w:val="32"/>
      <w:szCs w:val="32"/>
    </w:rPr>
  </w:style>
  <w:style w:type="paragraph" w:styleId="29">
    <w:name w:val="annotation subject"/>
    <w:basedOn w:val="14"/>
    <w:next w:val="14"/>
    <w:link w:val="240"/>
    <w:semiHidden/>
    <w:unhideWhenUsed/>
    <w:qFormat/>
    <w:uiPriority w:val="99"/>
    <w:rPr>
      <w:b/>
      <w:bCs/>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rPr>
      <w:rFonts w:ascii="宋体" w:hAnsi="Times New Roman" w:eastAsia="宋体"/>
      <w:sz w:val="18"/>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annotation reference"/>
    <w:basedOn w:val="32"/>
    <w:semiHidden/>
    <w:unhideWhenUsed/>
    <w:qFormat/>
    <w:uiPriority w:val="99"/>
    <w:rPr>
      <w:sz w:val="21"/>
      <w:szCs w:val="21"/>
    </w:rPr>
  </w:style>
  <w:style w:type="character" w:styleId="38">
    <w:name w:val="footnote reference"/>
    <w:semiHidden/>
    <w:qFormat/>
    <w:uiPriority w:val="0"/>
    <w:rPr>
      <w:rFonts w:ascii="宋体" w:hAnsi="宋体" w:eastAsia="宋体" w:cs="Times New Roman"/>
      <w:spacing w:val="0"/>
      <w:sz w:val="18"/>
      <w:vertAlign w:val="superscript"/>
    </w:rPr>
  </w:style>
  <w:style w:type="character" w:customStyle="1" w:styleId="39">
    <w:name w:val="标题 1 Char"/>
    <w:link w:val="2"/>
    <w:qFormat/>
    <w:uiPriority w:val="0"/>
    <w:rPr>
      <w:b/>
      <w:bCs/>
      <w:kern w:val="44"/>
      <w:sz w:val="44"/>
      <w:szCs w:val="44"/>
    </w:rPr>
  </w:style>
  <w:style w:type="character" w:customStyle="1" w:styleId="40">
    <w:name w:val="标题 2 Char"/>
    <w:link w:val="3"/>
    <w:qFormat/>
    <w:uiPriority w:val="0"/>
    <w:rPr>
      <w:rFonts w:ascii="Arial" w:hAnsi="Arial" w:eastAsia="黑体"/>
      <w:b/>
      <w:bCs/>
      <w:kern w:val="2"/>
      <w:sz w:val="32"/>
      <w:szCs w:val="32"/>
    </w:rPr>
  </w:style>
  <w:style w:type="character" w:customStyle="1" w:styleId="41">
    <w:name w:val="标题 3 Char"/>
    <w:link w:val="4"/>
    <w:qFormat/>
    <w:uiPriority w:val="0"/>
    <w:rPr>
      <w:b/>
      <w:bCs/>
      <w:kern w:val="2"/>
      <w:sz w:val="32"/>
      <w:szCs w:val="32"/>
    </w:rPr>
  </w:style>
  <w:style w:type="character" w:customStyle="1" w:styleId="42">
    <w:name w:val="标题 4 Char"/>
    <w:link w:val="5"/>
    <w:qFormat/>
    <w:uiPriority w:val="0"/>
    <w:rPr>
      <w:rFonts w:ascii="Arial" w:hAnsi="Arial" w:eastAsia="黑体"/>
      <w:b/>
      <w:bCs/>
      <w:kern w:val="2"/>
      <w:sz w:val="28"/>
      <w:szCs w:val="28"/>
    </w:rPr>
  </w:style>
  <w:style w:type="character" w:customStyle="1" w:styleId="43">
    <w:name w:val="标题 5 Char"/>
    <w:link w:val="6"/>
    <w:qFormat/>
    <w:uiPriority w:val="0"/>
    <w:rPr>
      <w:b/>
      <w:bCs/>
      <w:kern w:val="2"/>
      <w:sz w:val="28"/>
      <w:szCs w:val="28"/>
    </w:rPr>
  </w:style>
  <w:style w:type="character" w:customStyle="1" w:styleId="44">
    <w:name w:val="标题 6 Char"/>
    <w:link w:val="7"/>
    <w:qFormat/>
    <w:uiPriority w:val="0"/>
    <w:rPr>
      <w:rFonts w:ascii="Arial" w:hAnsi="Arial" w:eastAsia="黑体"/>
      <w:b/>
      <w:bCs/>
      <w:kern w:val="2"/>
      <w:sz w:val="24"/>
      <w:szCs w:val="24"/>
    </w:rPr>
  </w:style>
  <w:style w:type="character" w:customStyle="1" w:styleId="45">
    <w:name w:val="标题 7 Char"/>
    <w:link w:val="8"/>
    <w:qFormat/>
    <w:uiPriority w:val="0"/>
    <w:rPr>
      <w:b/>
      <w:bCs/>
      <w:kern w:val="2"/>
      <w:sz w:val="24"/>
      <w:szCs w:val="24"/>
    </w:rPr>
  </w:style>
  <w:style w:type="character" w:customStyle="1" w:styleId="46">
    <w:name w:val="标题 8 Char"/>
    <w:link w:val="9"/>
    <w:qFormat/>
    <w:uiPriority w:val="0"/>
    <w:rPr>
      <w:rFonts w:ascii="Arial" w:hAnsi="Arial" w:eastAsia="黑体"/>
      <w:kern w:val="2"/>
      <w:sz w:val="24"/>
      <w:szCs w:val="24"/>
    </w:rPr>
  </w:style>
  <w:style w:type="character" w:customStyle="1" w:styleId="47">
    <w:name w:val="标题 9 Char"/>
    <w:link w:val="10"/>
    <w:qFormat/>
    <w:uiPriority w:val="0"/>
    <w:rPr>
      <w:rFonts w:ascii="Arial" w:hAnsi="Arial" w:eastAsia="黑体"/>
      <w:kern w:val="2"/>
      <w:sz w:val="21"/>
      <w:szCs w:val="21"/>
    </w:rPr>
  </w:style>
  <w:style w:type="character" w:customStyle="1" w:styleId="48">
    <w:name w:val="页眉 Char"/>
    <w:link w:val="20"/>
    <w:qFormat/>
    <w:uiPriority w:val="99"/>
    <w:rPr>
      <w:kern w:val="2"/>
      <w:sz w:val="18"/>
      <w:szCs w:val="18"/>
    </w:rPr>
  </w:style>
  <w:style w:type="character" w:customStyle="1" w:styleId="49">
    <w:name w:val="页脚 Char"/>
    <w:link w:val="19"/>
    <w:qFormat/>
    <w:uiPriority w:val="99"/>
    <w:rPr>
      <w:rFonts w:ascii="宋体"/>
      <w:kern w:val="2"/>
      <w:sz w:val="18"/>
      <w:szCs w:val="18"/>
    </w:rPr>
  </w:style>
  <w:style w:type="character" w:customStyle="1" w:styleId="50">
    <w:name w:val="批注框文本 Char"/>
    <w:link w:val="18"/>
    <w:semiHidden/>
    <w:qFormat/>
    <w:uiPriority w:val="99"/>
    <w:rPr>
      <w:kern w:val="2"/>
      <w:sz w:val="18"/>
      <w:szCs w:val="18"/>
    </w:rPr>
  </w:style>
  <w:style w:type="paragraph" w:styleId="51">
    <w:name w:val="Quote"/>
    <w:basedOn w:val="1"/>
    <w:next w:val="1"/>
    <w:link w:val="52"/>
    <w:qFormat/>
    <w:uiPriority w:val="29"/>
    <w:rPr>
      <w:i/>
      <w:iCs/>
      <w:color w:val="000000"/>
    </w:rPr>
  </w:style>
  <w:style w:type="character" w:customStyle="1" w:styleId="52">
    <w:name w:val="引用 Char"/>
    <w:link w:val="51"/>
    <w:qFormat/>
    <w:uiPriority w:val="29"/>
    <w:rPr>
      <w:i/>
      <w:iCs/>
      <w:color w:val="000000"/>
      <w:kern w:val="2"/>
      <w:sz w:val="21"/>
      <w:szCs w:val="21"/>
    </w:rPr>
  </w:style>
  <w:style w:type="character" w:customStyle="1" w:styleId="53">
    <w:name w:val="标题 Char"/>
    <w:link w:val="28"/>
    <w:qFormat/>
    <w:uiPriority w:val="0"/>
    <w:rPr>
      <w:rFonts w:ascii="Arial" w:hAnsi="Arial" w:cs="Arial"/>
      <w:b/>
      <w:bCs/>
      <w:kern w:val="2"/>
      <w:sz w:val="32"/>
      <w:szCs w:val="32"/>
    </w:rPr>
  </w:style>
  <w:style w:type="paragraph" w:customStyle="1" w:styleId="54">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6">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7">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8">
    <w:name w:val="标准书眉一"/>
    <w:qFormat/>
    <w:uiPriority w:val="0"/>
    <w:pPr>
      <w:jc w:val="both"/>
    </w:pPr>
    <w:rPr>
      <w:rFonts w:ascii="Times New Roman" w:hAnsi="Times New Roman" w:eastAsia="宋体" w:cs="Times New Roman"/>
      <w:lang w:val="en-US" w:eastAsia="zh-CN" w:bidi="ar-SA"/>
    </w:rPr>
  </w:style>
  <w:style w:type="paragraph" w:customStyle="1" w:styleId="59">
    <w:name w:val="标准文件_ICS"/>
    <w:basedOn w:val="1"/>
    <w:qFormat/>
    <w:uiPriority w:val="0"/>
    <w:pPr>
      <w:spacing w:line="0" w:lineRule="atLeast"/>
    </w:pPr>
    <w:rPr>
      <w:rFonts w:ascii="黑体" w:hAnsi="宋体" w:eastAsia="黑体"/>
    </w:rPr>
  </w:style>
  <w:style w:type="paragraph" w:customStyle="1" w:styleId="60">
    <w:name w:val="标准文件_标准正文"/>
    <w:basedOn w:val="1"/>
    <w:next w:val="61"/>
    <w:qFormat/>
    <w:uiPriority w:val="0"/>
    <w:pPr>
      <w:snapToGrid w:val="0"/>
      <w:ind w:firstLine="200" w:firstLineChars="200"/>
    </w:pPr>
    <w:rPr>
      <w:kern w:val="0"/>
    </w:rPr>
  </w:style>
  <w:style w:type="paragraph" w:customStyle="1" w:styleId="61">
    <w:name w:val="标准文件_段"/>
    <w:link w:val="18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2">
    <w:name w:val="标准文件_版本"/>
    <w:basedOn w:val="60"/>
    <w:qFormat/>
    <w:uiPriority w:val="0"/>
    <w:pPr>
      <w:adjustRightInd/>
      <w:snapToGrid/>
      <w:ind w:firstLine="0" w:firstLineChars="0"/>
    </w:pPr>
    <w:rPr>
      <w:rFonts w:ascii="宋体" w:hAnsi="宋体"/>
      <w:kern w:val="2"/>
    </w:rPr>
  </w:style>
  <w:style w:type="paragraph" w:customStyle="1" w:styleId="63">
    <w:name w:val="标准文件_标准部门"/>
    <w:basedOn w:val="1"/>
    <w:qFormat/>
    <w:uiPriority w:val="0"/>
    <w:pPr>
      <w:jc w:val="center"/>
    </w:pPr>
    <w:rPr>
      <w:rFonts w:ascii="黑体" w:eastAsia="黑体"/>
      <w:kern w:val="0"/>
      <w:sz w:val="44"/>
    </w:rPr>
  </w:style>
  <w:style w:type="paragraph" w:customStyle="1" w:styleId="64">
    <w:name w:val="标准文件_标准代替"/>
    <w:basedOn w:val="1"/>
    <w:next w:val="1"/>
    <w:qFormat/>
    <w:uiPriority w:val="0"/>
    <w:pPr>
      <w:spacing w:line="310" w:lineRule="exact"/>
      <w:jc w:val="right"/>
    </w:pPr>
    <w:rPr>
      <w:rFonts w:ascii="宋体" w:hAnsi="宋体"/>
      <w:kern w:val="0"/>
    </w:rPr>
  </w:style>
  <w:style w:type="paragraph" w:customStyle="1" w:styleId="65">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6">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7">
    <w:name w:val="标准文件_页眉偶数页"/>
    <w:basedOn w:val="66"/>
    <w:next w:val="1"/>
    <w:qFormat/>
    <w:uiPriority w:val="0"/>
    <w:pPr>
      <w:jc w:val="left"/>
    </w:pPr>
  </w:style>
  <w:style w:type="paragraph" w:customStyle="1" w:styleId="68">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9">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0">
    <w:name w:val="标准文件_二级条标题"/>
    <w:next w:val="61"/>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1">
    <w:name w:val="标准文件_发布"/>
    <w:qFormat/>
    <w:uiPriority w:val="0"/>
    <w:rPr>
      <w:rFonts w:ascii="黑体" w:eastAsia="黑体"/>
      <w:spacing w:val="0"/>
      <w:w w:val="100"/>
      <w:position w:val="3"/>
      <w:sz w:val="28"/>
    </w:rPr>
  </w:style>
  <w:style w:type="paragraph" w:customStyle="1" w:styleId="72">
    <w:name w:val="标准文件_方框数字列项"/>
    <w:basedOn w:val="61"/>
    <w:qFormat/>
    <w:uiPriority w:val="0"/>
    <w:pPr>
      <w:numPr>
        <w:ilvl w:val="0"/>
        <w:numId w:val="3"/>
      </w:numPr>
      <w:ind w:firstLine="0" w:firstLineChars="0"/>
    </w:pPr>
  </w:style>
  <w:style w:type="paragraph" w:customStyle="1" w:styleId="73">
    <w:name w:val="标准文件_封面标准编号"/>
    <w:basedOn w:val="1"/>
    <w:next w:val="64"/>
    <w:qFormat/>
    <w:uiPriority w:val="0"/>
    <w:pPr>
      <w:spacing w:line="310" w:lineRule="exact"/>
      <w:jc w:val="right"/>
    </w:pPr>
    <w:rPr>
      <w:rFonts w:ascii="黑体" w:eastAsia="黑体"/>
      <w:kern w:val="0"/>
      <w:sz w:val="28"/>
    </w:rPr>
  </w:style>
  <w:style w:type="paragraph" w:customStyle="1" w:styleId="74">
    <w:name w:val="标准文件_封面标准分类号"/>
    <w:basedOn w:val="1"/>
    <w:qFormat/>
    <w:uiPriority w:val="0"/>
    <w:rPr>
      <w:rFonts w:ascii="黑体" w:eastAsia="黑体"/>
      <w:b/>
      <w:kern w:val="0"/>
      <w:sz w:val="28"/>
    </w:rPr>
  </w:style>
  <w:style w:type="paragraph" w:customStyle="1" w:styleId="75">
    <w:name w:val="标准文件_封面标准名称"/>
    <w:basedOn w:val="1"/>
    <w:qFormat/>
    <w:uiPriority w:val="0"/>
    <w:pPr>
      <w:spacing w:line="240" w:lineRule="auto"/>
      <w:jc w:val="center"/>
    </w:pPr>
    <w:rPr>
      <w:rFonts w:ascii="黑体" w:eastAsia="黑体"/>
      <w:kern w:val="0"/>
      <w:sz w:val="52"/>
    </w:rPr>
  </w:style>
  <w:style w:type="paragraph" w:customStyle="1" w:styleId="76">
    <w:name w:val="标准文件_封面标准英文名称"/>
    <w:basedOn w:val="1"/>
    <w:qFormat/>
    <w:uiPriority w:val="0"/>
    <w:pPr>
      <w:spacing w:line="240" w:lineRule="auto"/>
      <w:jc w:val="center"/>
    </w:pPr>
    <w:rPr>
      <w:rFonts w:ascii="黑体" w:eastAsia="黑体"/>
      <w:b/>
      <w:sz w:val="28"/>
    </w:rPr>
  </w:style>
  <w:style w:type="paragraph" w:customStyle="1" w:styleId="77">
    <w:name w:val="标准文件_封面发布日期"/>
    <w:basedOn w:val="1"/>
    <w:qFormat/>
    <w:uiPriority w:val="0"/>
    <w:pPr>
      <w:spacing w:line="310" w:lineRule="exact"/>
    </w:pPr>
    <w:rPr>
      <w:rFonts w:ascii="黑体" w:eastAsia="黑体"/>
      <w:kern w:val="0"/>
      <w:sz w:val="28"/>
    </w:rPr>
  </w:style>
  <w:style w:type="paragraph" w:customStyle="1" w:styleId="78">
    <w:name w:val="标准文件_封面密级"/>
    <w:basedOn w:val="1"/>
    <w:qFormat/>
    <w:uiPriority w:val="0"/>
    <w:rPr>
      <w:rFonts w:eastAsia="黑体"/>
      <w:sz w:val="32"/>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封面抬头"/>
    <w:basedOn w:val="61"/>
    <w:qFormat/>
    <w:uiPriority w:val="0"/>
    <w:pPr>
      <w:adjustRightInd w:val="0"/>
      <w:spacing w:line="800" w:lineRule="exact"/>
      <w:ind w:firstLine="0" w:firstLineChars="0"/>
      <w:jc w:val="distribute"/>
    </w:pPr>
    <w:rPr>
      <w:rFonts w:ascii="黑体" w:eastAsia="黑体"/>
      <w:b/>
      <w:sz w:val="64"/>
    </w:rPr>
  </w:style>
  <w:style w:type="paragraph" w:customStyle="1" w:styleId="81">
    <w:name w:val="标准文件_附录标识"/>
    <w:next w:val="61"/>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2">
    <w:name w:val="标准文件_附录表标题"/>
    <w:next w:val="61"/>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3">
    <w:name w:val="标准文件_附录一级条标题"/>
    <w:next w:val="61"/>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4">
    <w:name w:val="标准文件_附录二级条标题"/>
    <w:basedOn w:val="83"/>
    <w:next w:val="61"/>
    <w:qFormat/>
    <w:uiPriority w:val="0"/>
    <w:pPr>
      <w:widowControl/>
      <w:numPr>
        <w:ilvl w:val="2"/>
      </w:numPr>
      <w:wordWrap w:val="0"/>
      <w:overflowPunct w:val="0"/>
      <w:autoSpaceDE w:val="0"/>
      <w:autoSpaceDN w:val="0"/>
      <w:textAlignment w:val="baseline"/>
      <w:outlineLvl w:val="3"/>
    </w:pPr>
  </w:style>
  <w:style w:type="paragraph" w:customStyle="1" w:styleId="85">
    <w:name w:val="标准文件_附录公式"/>
    <w:basedOn w:val="60"/>
    <w:next w:val="60"/>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6">
    <w:name w:val="标准文件_附录三级条标题"/>
    <w:next w:val="61"/>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61"/>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图标题"/>
    <w:next w:val="61"/>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9">
    <w:name w:val="标准文件_附录五级条标题"/>
    <w:next w:val="61"/>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0">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1">
    <w:name w:val="正文文本 Char"/>
    <w:link w:val="15"/>
    <w:qFormat/>
    <w:uiPriority w:val="0"/>
    <w:rPr>
      <w:kern w:val="2"/>
      <w:sz w:val="21"/>
      <w:szCs w:val="21"/>
    </w:rPr>
  </w:style>
  <w:style w:type="paragraph" w:customStyle="1" w:styleId="92">
    <w:name w:val="标准文件_附录章标题"/>
    <w:next w:val="61"/>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3">
    <w:name w:val="标准文件_公式后的破折号"/>
    <w:basedOn w:val="61"/>
    <w:next w:val="61"/>
    <w:qFormat/>
    <w:uiPriority w:val="0"/>
    <w:pPr>
      <w:ind w:left="488" w:leftChars="200" w:hanging="289" w:hangingChars="290"/>
    </w:pPr>
  </w:style>
  <w:style w:type="paragraph" w:customStyle="1" w:styleId="94">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5">
    <w:name w:val="标准文件_目次、标准名称标题"/>
    <w:basedOn w:val="94"/>
    <w:next w:val="61"/>
    <w:qFormat/>
    <w:uiPriority w:val="0"/>
    <w:pPr>
      <w:spacing w:line="460" w:lineRule="exact"/>
      <w:ind w:left="0" w:firstLine="0"/>
    </w:pPr>
  </w:style>
  <w:style w:type="paragraph" w:customStyle="1" w:styleId="96">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7">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8">
    <w:name w:val="标准文件_破折号列项（二级）"/>
    <w:basedOn w:val="97"/>
    <w:qFormat/>
    <w:uiPriority w:val="0"/>
    <w:pPr>
      <w:numPr>
        <w:numId w:val="10"/>
      </w:numPr>
    </w:pPr>
  </w:style>
  <w:style w:type="paragraph" w:customStyle="1" w:styleId="99">
    <w:name w:val="标准文件_三级条标题"/>
    <w:basedOn w:val="70"/>
    <w:next w:val="61"/>
    <w:qFormat/>
    <w:uiPriority w:val="0"/>
    <w:pPr>
      <w:widowControl/>
      <w:numPr>
        <w:ilvl w:val="4"/>
      </w:numPr>
      <w:outlineLvl w:val="3"/>
    </w:pPr>
  </w:style>
  <w:style w:type="character" w:customStyle="1" w:styleId="100">
    <w:name w:val="不明显参考1"/>
    <w:qFormat/>
    <w:uiPriority w:val="31"/>
    <w:rPr>
      <w:smallCaps/>
      <w:color w:val="C0504D"/>
      <w:u w:val="single"/>
    </w:rPr>
  </w:style>
  <w:style w:type="paragraph" w:customStyle="1" w:styleId="101">
    <w:name w:val="标准文件_示例后续"/>
    <w:basedOn w:val="1"/>
    <w:qFormat/>
    <w:uiPriority w:val="0"/>
    <w:pPr>
      <w:adjustRightInd/>
      <w:spacing w:line="240" w:lineRule="auto"/>
      <w:ind w:firstLine="200" w:firstLineChars="200"/>
    </w:pPr>
    <w:rPr>
      <w:sz w:val="18"/>
      <w:szCs w:val="24"/>
    </w:rPr>
  </w:style>
  <w:style w:type="paragraph" w:customStyle="1" w:styleId="102">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3">
    <w:name w:val="标准文件_四级条标题"/>
    <w:next w:val="61"/>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4">
    <w:name w:val="脚注文本 Char"/>
    <w:link w:val="23"/>
    <w:semiHidden/>
    <w:qFormat/>
    <w:uiPriority w:val="0"/>
    <w:rPr>
      <w:rFonts w:ascii="宋体"/>
      <w:kern w:val="2"/>
      <w:sz w:val="18"/>
      <w:szCs w:val="18"/>
    </w:rPr>
  </w:style>
  <w:style w:type="paragraph" w:customStyle="1" w:styleId="105">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6">
    <w:name w:val="标准文件_图表脚注"/>
    <w:basedOn w:val="1"/>
    <w:next w:val="61"/>
    <w:qFormat/>
    <w:uiPriority w:val="0"/>
    <w:pPr>
      <w:numPr>
        <w:ilvl w:val="0"/>
        <w:numId w:val="12"/>
      </w:numPr>
      <w:spacing w:line="240" w:lineRule="auto"/>
      <w:jc w:val="left"/>
    </w:pPr>
    <w:rPr>
      <w:rFonts w:ascii="宋体" w:hAnsi="宋体"/>
      <w:sz w:val="18"/>
    </w:rPr>
  </w:style>
  <w:style w:type="character" w:customStyle="1" w:styleId="107">
    <w:name w:val="标准文件_图表脚注内容"/>
    <w:qFormat/>
    <w:uiPriority w:val="0"/>
    <w:rPr>
      <w:rFonts w:ascii="宋体" w:hAnsi="宋体" w:eastAsia="宋体" w:cs="Times New Roman"/>
      <w:spacing w:val="0"/>
      <w:sz w:val="18"/>
      <w:vertAlign w:val="superscript"/>
    </w:rPr>
  </w:style>
  <w:style w:type="paragraph" w:customStyle="1" w:styleId="108">
    <w:name w:val="标准文件_五级条标题"/>
    <w:next w:val="61"/>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9">
    <w:name w:val="标准文件_章标题"/>
    <w:next w:val="61"/>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0">
    <w:name w:val="标准文件_一级条标题"/>
    <w:basedOn w:val="109"/>
    <w:next w:val="61"/>
    <w:qFormat/>
    <w:uiPriority w:val="0"/>
    <w:pPr>
      <w:numPr>
        <w:ilvl w:val="2"/>
      </w:numPr>
      <w:spacing w:before="50" w:beforeLines="50" w:after="50" w:afterLines="50"/>
      <w:ind w:left="0"/>
      <w:outlineLvl w:val="1"/>
    </w:pPr>
  </w:style>
  <w:style w:type="paragraph" w:customStyle="1" w:styleId="111">
    <w:name w:val="标准文件_一致程度"/>
    <w:basedOn w:val="1"/>
    <w:qFormat/>
    <w:uiPriority w:val="0"/>
    <w:pPr>
      <w:spacing w:line="440" w:lineRule="exact"/>
      <w:jc w:val="center"/>
    </w:pPr>
    <w:rPr>
      <w:sz w:val="28"/>
    </w:rPr>
  </w:style>
  <w:style w:type="paragraph" w:customStyle="1" w:styleId="112">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3">
    <w:name w:val="标准文件_英文图表脚注"/>
    <w:basedOn w:val="60"/>
    <w:qFormat/>
    <w:uiPriority w:val="0"/>
    <w:pPr>
      <w:widowControl/>
      <w:adjustRightInd/>
      <w:snapToGrid/>
      <w:spacing w:line="240" w:lineRule="auto"/>
      <w:ind w:left="79" w:hanging="79" w:hangingChars="80"/>
    </w:pPr>
    <w:rPr>
      <w:rFonts w:ascii="宋体" w:hAnsi="宋体"/>
    </w:rPr>
  </w:style>
  <w:style w:type="paragraph" w:customStyle="1" w:styleId="114">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5">
    <w:name w:val="标准文件_英文注："/>
    <w:basedOn w:val="1"/>
    <w:next w:val="61"/>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6">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7">
    <w:name w:val="标准文件_正文表标题"/>
    <w:next w:val="61"/>
    <w:qFormat/>
    <w:uiPriority w:val="0"/>
    <w:p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公式"/>
    <w:basedOn w:val="1"/>
    <w:next w:val="60"/>
    <w:qFormat/>
    <w:uiPriority w:val="0"/>
    <w:pPr>
      <w:tabs>
        <w:tab w:val="center" w:pos="4678"/>
        <w:tab w:val="right" w:leader="middleDot" w:pos="9356"/>
      </w:tabs>
      <w:spacing w:line="240" w:lineRule="auto"/>
    </w:pPr>
    <w:rPr>
      <w:rFonts w:ascii="宋体" w:hAnsi="宋体"/>
    </w:rPr>
  </w:style>
  <w:style w:type="paragraph" w:customStyle="1" w:styleId="119">
    <w:name w:val="标准文件_正文图标题"/>
    <w:next w:val="61"/>
    <w:qFormat/>
    <w:uiPriority w:val="0"/>
    <w:pPr>
      <w:numPr>
        <w:ilvl w:val="0"/>
        <w:numId w:val="16"/>
      </w:numPr>
      <w:spacing w:before="50" w:beforeLines="50" w:after="50" w:afterLines="50"/>
      <w:jc w:val="center"/>
    </w:pPr>
    <w:rPr>
      <w:rFonts w:ascii="黑体" w:hAnsi="Times New Roman" w:eastAsia="黑体" w:cs="Times New Roman"/>
      <w:sz w:val="21"/>
      <w:lang w:val="en-US" w:eastAsia="zh-CN" w:bidi="ar-SA"/>
    </w:rPr>
  </w:style>
  <w:style w:type="paragraph" w:customStyle="1" w:styleId="120">
    <w:name w:val="标准文件_正文英文表标题"/>
    <w:next w:val="61"/>
    <w:qFormat/>
    <w:uiPriority w:val="0"/>
    <w:pPr>
      <w:numPr>
        <w:ilvl w:val="0"/>
        <w:numId w:val="17"/>
      </w:numPr>
      <w:jc w:val="center"/>
    </w:pPr>
    <w:rPr>
      <w:rFonts w:ascii="黑体" w:hAnsi="Times New Roman" w:eastAsia="黑体" w:cs="Times New Roman"/>
      <w:sz w:val="21"/>
      <w:lang w:val="en-US" w:eastAsia="zh-CN" w:bidi="ar-SA"/>
    </w:rPr>
  </w:style>
  <w:style w:type="paragraph" w:customStyle="1" w:styleId="121">
    <w:name w:val="标准文件_正文英文图标题"/>
    <w:next w:val="61"/>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3">
    <w:name w:val="二级无标题条"/>
    <w:basedOn w:val="1"/>
    <w:qFormat/>
    <w:uiPriority w:val="0"/>
    <w:pPr>
      <w:numPr>
        <w:ilvl w:val="3"/>
        <w:numId w:val="19"/>
      </w:numPr>
      <w:adjustRightInd/>
      <w:spacing w:line="240" w:lineRule="auto"/>
    </w:pPr>
    <w:rPr>
      <w:rFonts w:ascii="宋体" w:hAnsi="宋体"/>
      <w:szCs w:val="24"/>
    </w:rPr>
  </w:style>
  <w:style w:type="paragraph" w:customStyle="1" w:styleId="124">
    <w:name w:val="发布部门"/>
    <w:next w:val="61"/>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6">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9">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0">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1">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2">
    <w:name w:val="封面正文"/>
    <w:qFormat/>
    <w:uiPriority w:val="0"/>
    <w:pPr>
      <w:jc w:val="both"/>
    </w:pPr>
    <w:rPr>
      <w:rFonts w:ascii="Times New Roman" w:hAnsi="Times New Roman" w:eastAsia="宋体" w:cs="Times New Roman"/>
      <w:lang w:val="en-US" w:eastAsia="zh-CN" w:bidi="ar-SA"/>
    </w:rPr>
  </w:style>
  <w:style w:type="paragraph" w:customStyle="1" w:styleId="133">
    <w:name w:val="附录二级无标题条"/>
    <w:basedOn w:val="1"/>
    <w:next w:val="61"/>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4">
    <w:name w:val="附录三级无标题条"/>
    <w:basedOn w:val="133"/>
    <w:next w:val="61"/>
    <w:qFormat/>
    <w:uiPriority w:val="0"/>
    <w:pPr>
      <w:outlineLvl w:val="4"/>
    </w:pPr>
  </w:style>
  <w:style w:type="paragraph" w:customStyle="1" w:styleId="135">
    <w:name w:val="附录四级无标题条"/>
    <w:basedOn w:val="134"/>
    <w:next w:val="61"/>
    <w:qFormat/>
    <w:uiPriority w:val="0"/>
    <w:pPr>
      <w:outlineLvl w:val="5"/>
    </w:pPr>
  </w:style>
  <w:style w:type="paragraph" w:customStyle="1" w:styleId="136">
    <w:name w:val="附录图"/>
    <w:next w:val="61"/>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7">
    <w:name w:val="标准文件_一级项"/>
    <w:qFormat/>
    <w:uiPriority w:val="0"/>
    <w:pPr>
      <w:numPr>
        <w:ilvl w:val="0"/>
        <w:numId w:val="20"/>
      </w:numPr>
    </w:pPr>
    <w:rPr>
      <w:rFonts w:ascii="宋体" w:hAnsi="Times New Roman" w:eastAsia="宋体" w:cs="Times New Roman"/>
      <w:sz w:val="21"/>
      <w:lang w:val="en-US" w:eastAsia="zh-CN" w:bidi="ar-SA"/>
    </w:rPr>
  </w:style>
  <w:style w:type="paragraph" w:customStyle="1" w:styleId="138">
    <w:name w:val="附录五级无标题条"/>
    <w:basedOn w:val="135"/>
    <w:next w:val="61"/>
    <w:qFormat/>
    <w:uiPriority w:val="0"/>
    <w:pPr>
      <w:outlineLvl w:val="6"/>
    </w:pPr>
  </w:style>
  <w:style w:type="paragraph" w:customStyle="1" w:styleId="139">
    <w:name w:val="附录性质"/>
    <w:basedOn w:val="1"/>
    <w:qFormat/>
    <w:uiPriority w:val="0"/>
    <w:pPr>
      <w:widowControl/>
      <w:adjustRightInd/>
      <w:jc w:val="center"/>
    </w:pPr>
    <w:rPr>
      <w:rFonts w:ascii="黑体" w:eastAsia="黑体"/>
    </w:rPr>
  </w:style>
  <w:style w:type="paragraph" w:customStyle="1" w:styleId="140">
    <w:name w:val="附录一级无标题条"/>
    <w:basedOn w:val="92"/>
    <w:next w:val="61"/>
    <w:qFormat/>
    <w:uiPriority w:val="0"/>
    <w:pPr>
      <w:autoSpaceDN w:val="0"/>
      <w:outlineLvl w:val="2"/>
    </w:pPr>
    <w:rPr>
      <w:rFonts w:ascii="宋体" w:hAnsi="宋体" w:eastAsia="宋体"/>
    </w:rPr>
  </w:style>
  <w:style w:type="character" w:customStyle="1" w:styleId="141">
    <w:name w:val="个人答复风格"/>
    <w:qFormat/>
    <w:uiPriority w:val="0"/>
    <w:rPr>
      <w:rFonts w:ascii="Arial" w:hAnsi="Arial" w:eastAsia="宋体" w:cs="Arial"/>
      <w:color w:val="auto"/>
      <w:spacing w:val="0"/>
      <w:sz w:val="20"/>
    </w:rPr>
  </w:style>
  <w:style w:type="character" w:customStyle="1" w:styleId="142">
    <w:name w:val="个人撰写风格"/>
    <w:qFormat/>
    <w:uiPriority w:val="0"/>
    <w:rPr>
      <w:rFonts w:ascii="Arial" w:hAnsi="Arial" w:eastAsia="宋体" w:cs="Arial"/>
      <w:color w:val="auto"/>
      <w:spacing w:val="0"/>
      <w:sz w:val="20"/>
    </w:rPr>
  </w:style>
  <w:style w:type="paragraph" w:customStyle="1" w:styleId="143">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4">
    <w:name w:val="列项——"/>
    <w:qFormat/>
    <w:uiPriority w:val="0"/>
    <w:pPr>
      <w:widowControl w:val="0"/>
      <w:numPr>
        <w:ilvl w:val="0"/>
        <w:numId w:val="21"/>
      </w:numPr>
      <w:jc w:val="both"/>
    </w:pPr>
    <w:rPr>
      <w:rFonts w:ascii="宋体" w:hAnsi="宋体" w:eastAsia="宋体" w:cs="Times New Roman"/>
      <w:sz w:val="21"/>
      <w:lang w:val="en-US" w:eastAsia="zh-CN" w:bidi="ar-SA"/>
    </w:rPr>
  </w:style>
  <w:style w:type="paragraph" w:customStyle="1" w:styleId="145">
    <w:name w:val="列项·"/>
    <w:basedOn w:val="61"/>
    <w:qFormat/>
    <w:uiPriority w:val="0"/>
    <w:pPr>
      <w:tabs>
        <w:tab w:val="left" w:pos="840"/>
      </w:tabs>
    </w:pPr>
  </w:style>
  <w:style w:type="paragraph" w:customStyle="1" w:styleId="14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7">
    <w:name w:val="目录 21"/>
    <w:basedOn w:val="1"/>
    <w:next w:val="1"/>
    <w:semiHidden/>
    <w:qFormat/>
    <w:uiPriority w:val="0"/>
    <w:pPr>
      <w:adjustRightInd/>
      <w:spacing w:line="240" w:lineRule="auto"/>
      <w:jc w:val="left"/>
    </w:pPr>
    <w:rPr>
      <w:bCs/>
      <w:iCs/>
    </w:rPr>
  </w:style>
  <w:style w:type="paragraph" w:customStyle="1" w:styleId="148">
    <w:name w:val="目录 31"/>
    <w:basedOn w:val="1"/>
    <w:next w:val="1"/>
    <w:semiHidden/>
    <w:qFormat/>
    <w:uiPriority w:val="0"/>
    <w:pPr>
      <w:spacing w:line="240" w:lineRule="auto"/>
    </w:pPr>
    <w:rPr>
      <w:rFonts w:ascii="宋体" w:hAnsi="宋体"/>
      <w:iCs/>
    </w:rPr>
  </w:style>
  <w:style w:type="paragraph" w:customStyle="1" w:styleId="149">
    <w:name w:val="目录 41"/>
    <w:basedOn w:val="1"/>
    <w:next w:val="1"/>
    <w:semiHidden/>
    <w:qFormat/>
    <w:uiPriority w:val="0"/>
    <w:pPr>
      <w:adjustRightInd/>
      <w:spacing w:line="240" w:lineRule="auto"/>
      <w:jc w:val="left"/>
    </w:pPr>
  </w:style>
  <w:style w:type="paragraph" w:customStyle="1" w:styleId="150">
    <w:name w:val="目录 51"/>
    <w:basedOn w:val="1"/>
    <w:next w:val="1"/>
    <w:semiHidden/>
    <w:qFormat/>
    <w:uiPriority w:val="0"/>
    <w:pPr>
      <w:spacing w:line="240" w:lineRule="auto"/>
    </w:pPr>
    <w:rPr>
      <w:rFonts w:ascii="宋体" w:hAnsi="宋体"/>
    </w:rPr>
  </w:style>
  <w:style w:type="paragraph" w:customStyle="1" w:styleId="151">
    <w:name w:val="目录 61"/>
    <w:basedOn w:val="1"/>
    <w:next w:val="1"/>
    <w:semiHidden/>
    <w:qFormat/>
    <w:uiPriority w:val="0"/>
    <w:pPr>
      <w:adjustRightInd/>
      <w:spacing w:line="240" w:lineRule="auto"/>
      <w:jc w:val="left"/>
    </w:pPr>
  </w:style>
  <w:style w:type="paragraph" w:customStyle="1" w:styleId="152">
    <w:name w:val="目录 71"/>
    <w:basedOn w:val="151"/>
    <w:semiHidden/>
    <w:qFormat/>
    <w:uiPriority w:val="0"/>
    <w:pPr>
      <w:ind w:left="1260"/>
    </w:pPr>
  </w:style>
  <w:style w:type="paragraph" w:customStyle="1" w:styleId="153">
    <w:name w:val="目录 81"/>
    <w:basedOn w:val="152"/>
    <w:semiHidden/>
    <w:qFormat/>
    <w:uiPriority w:val="0"/>
    <w:pPr>
      <w:ind w:left="1470"/>
    </w:pPr>
  </w:style>
  <w:style w:type="paragraph" w:customStyle="1" w:styleId="154">
    <w:name w:val="目录 91"/>
    <w:basedOn w:val="153"/>
    <w:semiHidden/>
    <w:qFormat/>
    <w:uiPriority w:val="0"/>
    <w:pPr>
      <w:ind w:left="1680"/>
    </w:pPr>
  </w:style>
  <w:style w:type="paragraph" w:customStyle="1" w:styleId="15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6">
    <w:name w:val="其他发布部门"/>
    <w:basedOn w:val="124"/>
    <w:qFormat/>
    <w:uiPriority w:val="0"/>
    <w:pPr>
      <w:spacing w:line="0" w:lineRule="atLeast"/>
    </w:pPr>
    <w:rPr>
      <w:rFonts w:ascii="黑体" w:eastAsia="黑体"/>
      <w:b w:val="0"/>
    </w:rPr>
  </w:style>
  <w:style w:type="paragraph" w:customStyle="1" w:styleId="157">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8">
    <w:name w:val="三级无标题条"/>
    <w:basedOn w:val="1"/>
    <w:qFormat/>
    <w:uiPriority w:val="0"/>
    <w:pPr>
      <w:numPr>
        <w:ilvl w:val="4"/>
        <w:numId w:val="19"/>
      </w:numPr>
      <w:adjustRightInd/>
      <w:spacing w:line="240" w:lineRule="auto"/>
    </w:pPr>
    <w:rPr>
      <w:rFonts w:ascii="宋体" w:hAnsi="宋体"/>
      <w:szCs w:val="24"/>
    </w:rPr>
  </w:style>
  <w:style w:type="paragraph" w:customStyle="1" w:styleId="159">
    <w:name w:val="实施日期"/>
    <w:basedOn w:val="125"/>
    <w:qFormat/>
    <w:uiPriority w:val="0"/>
    <w:pPr>
      <w:framePr w:hSpace="0" w:xAlign="right"/>
      <w:jc w:val="right"/>
    </w:pPr>
  </w:style>
  <w:style w:type="paragraph" w:customStyle="1" w:styleId="160">
    <w:name w:val="四级无标题条"/>
    <w:basedOn w:val="1"/>
    <w:qFormat/>
    <w:uiPriority w:val="0"/>
    <w:pPr>
      <w:numPr>
        <w:ilvl w:val="5"/>
        <w:numId w:val="19"/>
      </w:numPr>
      <w:adjustRightInd/>
      <w:spacing w:line="240" w:lineRule="auto"/>
    </w:pPr>
    <w:rPr>
      <w:rFonts w:ascii="宋体" w:hAnsi="宋体"/>
      <w:szCs w:val="24"/>
    </w:rPr>
  </w:style>
  <w:style w:type="paragraph" w:customStyle="1" w:styleId="161">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2">
    <w:name w:val="无标题条"/>
    <w:next w:val="61"/>
    <w:qFormat/>
    <w:uiPriority w:val="0"/>
    <w:pPr>
      <w:jc w:val="both"/>
    </w:pPr>
    <w:rPr>
      <w:rFonts w:ascii="宋体" w:hAnsi="宋体" w:eastAsia="宋体" w:cs="Times New Roman"/>
      <w:sz w:val="21"/>
      <w:lang w:val="en-US" w:eastAsia="zh-CN" w:bidi="ar-SA"/>
    </w:rPr>
  </w:style>
  <w:style w:type="paragraph" w:customStyle="1" w:styleId="163">
    <w:name w:val="五级无标题条"/>
    <w:basedOn w:val="1"/>
    <w:qFormat/>
    <w:uiPriority w:val="0"/>
    <w:pPr>
      <w:numPr>
        <w:ilvl w:val="6"/>
        <w:numId w:val="19"/>
      </w:numPr>
      <w:adjustRightInd/>
    </w:pPr>
    <w:rPr>
      <w:szCs w:val="24"/>
    </w:rPr>
  </w:style>
  <w:style w:type="paragraph" w:customStyle="1" w:styleId="164">
    <w:name w:val="一级无标题条"/>
    <w:basedOn w:val="1"/>
    <w:qFormat/>
    <w:uiPriority w:val="0"/>
    <w:pPr>
      <w:numPr>
        <w:ilvl w:val="2"/>
        <w:numId w:val="19"/>
      </w:numPr>
      <w:adjustRightInd/>
      <w:spacing w:before="10" w:after="10" w:line="240" w:lineRule="auto"/>
    </w:pPr>
    <w:rPr>
      <w:rFonts w:ascii="宋体" w:hAnsi="宋体"/>
      <w:szCs w:val="24"/>
    </w:rPr>
  </w:style>
  <w:style w:type="paragraph" w:customStyle="1" w:styleId="165">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6">
    <w:name w:val="注×:后续"/>
    <w:basedOn w:val="165"/>
    <w:qFormat/>
    <w:uiPriority w:val="0"/>
    <w:pPr>
      <w:ind w:left="1406" w:leftChars="0" w:hanging="499" w:firstLineChars="0"/>
    </w:pPr>
  </w:style>
  <w:style w:type="paragraph" w:customStyle="1" w:styleId="167">
    <w:name w:val="标准文件_一级无标题"/>
    <w:basedOn w:val="110"/>
    <w:qFormat/>
    <w:uiPriority w:val="0"/>
    <w:pPr>
      <w:spacing w:before="0" w:beforeLines="0" w:after="0" w:afterLines="0"/>
      <w:outlineLvl w:val="9"/>
    </w:pPr>
    <w:rPr>
      <w:rFonts w:ascii="宋体" w:eastAsia="宋体"/>
    </w:rPr>
  </w:style>
  <w:style w:type="paragraph" w:customStyle="1" w:styleId="168">
    <w:name w:val="标准文件_五级无标题"/>
    <w:basedOn w:val="108"/>
    <w:qFormat/>
    <w:uiPriority w:val="0"/>
    <w:pPr>
      <w:spacing w:before="0" w:beforeLines="0" w:after="0" w:afterLines="0"/>
      <w:outlineLvl w:val="9"/>
    </w:pPr>
    <w:rPr>
      <w:rFonts w:ascii="宋体" w:eastAsia="宋体"/>
    </w:rPr>
  </w:style>
  <w:style w:type="paragraph" w:customStyle="1" w:styleId="169">
    <w:name w:val="标准文件_三级无标题"/>
    <w:basedOn w:val="99"/>
    <w:qFormat/>
    <w:uiPriority w:val="0"/>
    <w:pPr>
      <w:spacing w:before="0" w:beforeLines="0" w:after="0" w:afterLines="0"/>
      <w:outlineLvl w:val="9"/>
    </w:pPr>
    <w:rPr>
      <w:rFonts w:ascii="宋体" w:eastAsia="宋体"/>
    </w:rPr>
  </w:style>
  <w:style w:type="paragraph" w:customStyle="1" w:styleId="170">
    <w:name w:val="标准文件_二级无标题"/>
    <w:basedOn w:val="70"/>
    <w:qFormat/>
    <w:uiPriority w:val="0"/>
    <w:pPr>
      <w:spacing w:before="0" w:beforeLines="0" w:after="0" w:afterLines="0"/>
      <w:outlineLvl w:val="9"/>
    </w:pPr>
    <w:rPr>
      <w:rFonts w:ascii="宋体" w:eastAsia="宋体"/>
    </w:rPr>
  </w:style>
  <w:style w:type="paragraph" w:customStyle="1" w:styleId="171">
    <w:name w:val="标准_四级无标题"/>
    <w:basedOn w:val="103"/>
    <w:next w:val="61"/>
    <w:qFormat/>
    <w:uiPriority w:val="0"/>
    <w:rPr>
      <w:rFonts w:eastAsia="宋体"/>
    </w:rPr>
  </w:style>
  <w:style w:type="paragraph" w:customStyle="1" w:styleId="172">
    <w:name w:val="标准文件_四级无标题"/>
    <w:basedOn w:val="103"/>
    <w:qFormat/>
    <w:uiPriority w:val="0"/>
    <w:pPr>
      <w:spacing w:before="0" w:beforeLines="0" w:after="0" w:afterLines="0"/>
      <w:outlineLvl w:val="9"/>
    </w:pPr>
    <w:rPr>
      <w:rFonts w:ascii="宋体" w:hAnsi="黑体" w:eastAsia="宋体"/>
      <w:szCs w:val="52"/>
    </w:rPr>
  </w:style>
  <w:style w:type="paragraph" w:customStyle="1" w:styleId="173">
    <w:name w:val="标准文件_大写罗马数字编号列项"/>
    <w:basedOn w:val="61"/>
    <w:qFormat/>
    <w:uiPriority w:val="0"/>
    <w:pPr>
      <w:tabs>
        <w:tab w:val="left" w:pos="851"/>
      </w:tabs>
      <w:ind w:left="851" w:firstLine="0" w:firstLineChars="0"/>
    </w:pPr>
    <w:rPr>
      <w:rFonts w:ascii="Times New Roman" w:cs="Arial"/>
      <w:szCs w:val="28"/>
    </w:rPr>
  </w:style>
  <w:style w:type="paragraph" w:customStyle="1" w:styleId="174">
    <w:name w:val="标准文件_小写罗马数字编号列项"/>
    <w:basedOn w:val="61"/>
    <w:qFormat/>
    <w:uiPriority w:val="0"/>
    <w:pPr>
      <w:numPr>
        <w:ilvl w:val="0"/>
        <w:numId w:val="22"/>
      </w:numPr>
      <w:ind w:firstLine="0" w:firstLineChars="0"/>
    </w:pPr>
    <w:rPr>
      <w:rFonts w:cs="Arial"/>
      <w:szCs w:val="28"/>
    </w:rPr>
  </w:style>
  <w:style w:type="paragraph" w:customStyle="1" w:styleId="175">
    <w:name w:val="标准文件_附录标题"/>
    <w:basedOn w:val="81"/>
    <w:qFormat/>
    <w:uiPriority w:val="0"/>
    <w:pPr>
      <w:numPr>
        <w:numId w:val="0"/>
      </w:numPr>
      <w:spacing w:after="280"/>
      <w:outlineLvl w:val="9"/>
    </w:pPr>
  </w:style>
  <w:style w:type="paragraph" w:customStyle="1" w:styleId="176">
    <w:name w:val="标准文件_二级项"/>
    <w:qFormat/>
    <w:uiPriority w:val="0"/>
    <w:rPr>
      <w:rFonts w:ascii="宋体" w:hAnsi="Times New Roman" w:eastAsia="宋体" w:cs="Times New Roman"/>
      <w:sz w:val="21"/>
      <w:lang w:val="en-US" w:eastAsia="zh-CN" w:bidi="ar-SA"/>
    </w:rPr>
  </w:style>
  <w:style w:type="paragraph" w:customStyle="1" w:styleId="177">
    <w:name w:val="标准文件_三级项"/>
    <w:basedOn w:val="1"/>
    <w:qFormat/>
    <w:uiPriority w:val="0"/>
    <w:pPr>
      <w:numPr>
        <w:ilvl w:val="2"/>
        <w:numId w:val="20"/>
      </w:numPr>
      <w:spacing w:line="536870612" w:lineRule="auto"/>
    </w:pPr>
    <w:rPr>
      <w:rFonts w:ascii="Times New Roman" w:hAnsi="Times New Roman"/>
    </w:rPr>
  </w:style>
  <w:style w:type="paragraph" w:customStyle="1" w:styleId="178">
    <w:name w:val="图表脚注说明"/>
    <w:basedOn w:val="1"/>
    <w:next w:val="61"/>
    <w:qFormat/>
    <w:uiPriority w:val="0"/>
    <w:pPr>
      <w:numPr>
        <w:ilvl w:val="0"/>
        <w:numId w:val="23"/>
      </w:numPr>
      <w:adjustRightInd/>
      <w:spacing w:line="240" w:lineRule="auto"/>
    </w:pPr>
    <w:rPr>
      <w:rFonts w:ascii="宋体" w:hAnsi="Times New Roman"/>
      <w:sz w:val="18"/>
      <w:szCs w:val="18"/>
    </w:rPr>
  </w:style>
  <w:style w:type="paragraph" w:customStyle="1" w:styleId="179">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0">
    <w:name w:val="标准文件_索引字母"/>
    <w:next w:val="61"/>
    <w:qFormat/>
    <w:uiPriority w:val="0"/>
    <w:pPr>
      <w:jc w:val="center"/>
    </w:pPr>
    <w:rPr>
      <w:rFonts w:ascii="宋体" w:hAnsi="宋体" w:eastAsia="Times New Roman" w:cs="Times New Roman"/>
      <w:b/>
      <w:kern w:val="2"/>
      <w:sz w:val="21"/>
      <w:lang w:val="en-US" w:eastAsia="zh-CN" w:bidi="ar-SA"/>
    </w:rPr>
  </w:style>
  <w:style w:type="paragraph" w:customStyle="1" w:styleId="181">
    <w:name w:val="标准文件_附录前"/>
    <w:next w:val="61"/>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2">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3">
    <w:name w:val="标准文件_表格"/>
    <w:basedOn w:val="61"/>
    <w:qFormat/>
    <w:uiPriority w:val="0"/>
    <w:pPr>
      <w:ind w:firstLine="0" w:firstLineChars="0"/>
      <w:jc w:val="center"/>
    </w:pPr>
    <w:rPr>
      <w:sz w:val="18"/>
    </w:rPr>
  </w:style>
  <w:style w:type="paragraph" w:customStyle="1" w:styleId="184">
    <w:name w:val="标准文件_注："/>
    <w:next w:val="61"/>
    <w:qFormat/>
    <w:uiPriority w:val="0"/>
    <w:pPr>
      <w:widowControl w:val="0"/>
      <w:numPr>
        <w:ilvl w:val="0"/>
        <w:numId w:val="24"/>
      </w:numPr>
      <w:autoSpaceDE w:val="0"/>
      <w:autoSpaceDN w:val="0"/>
      <w:ind w:left="737"/>
      <w:jc w:val="both"/>
    </w:pPr>
    <w:rPr>
      <w:rFonts w:ascii="宋体" w:hAnsi="Times New Roman" w:eastAsia="宋体" w:cs="Times New Roman"/>
      <w:sz w:val="18"/>
      <w:szCs w:val="18"/>
      <w:lang w:val="en-US" w:eastAsia="zh-CN" w:bidi="ar-SA"/>
    </w:rPr>
  </w:style>
  <w:style w:type="paragraph" w:customStyle="1" w:styleId="185">
    <w:name w:val="标准文件_注×："/>
    <w:qFormat/>
    <w:uiPriority w:val="0"/>
    <w:pPr>
      <w:widowControl w:val="0"/>
      <w:numPr>
        <w:ilvl w:val="0"/>
        <w:numId w:val="25"/>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示例："/>
    <w:next w:val="187"/>
    <w:qFormat/>
    <w:uiPriority w:val="0"/>
    <w:pPr>
      <w:widowControl w:val="0"/>
      <w:numPr>
        <w:ilvl w:val="0"/>
        <w:numId w:val="26"/>
      </w:numPr>
      <w:jc w:val="both"/>
    </w:pPr>
    <w:rPr>
      <w:rFonts w:ascii="宋体" w:hAnsi="Times New Roman" w:eastAsia="宋体" w:cs="Times New Roman"/>
      <w:sz w:val="18"/>
      <w:szCs w:val="18"/>
      <w:lang w:val="en-US" w:eastAsia="zh-CN" w:bidi="ar-SA"/>
    </w:rPr>
  </w:style>
  <w:style w:type="paragraph" w:customStyle="1" w:styleId="187">
    <w:name w:val="标准文件_示例内容"/>
    <w:basedOn w:val="61"/>
    <w:qFormat/>
    <w:uiPriority w:val="0"/>
    <w:pPr>
      <w:ind w:firstLine="420"/>
    </w:pPr>
    <w:rPr>
      <w:sz w:val="18"/>
    </w:rPr>
  </w:style>
  <w:style w:type="paragraph" w:customStyle="1" w:styleId="188">
    <w:name w:val="标准文件_示例×："/>
    <w:basedOn w:val="1"/>
    <w:next w:val="187"/>
    <w:qFormat/>
    <w:uiPriority w:val="0"/>
    <w:pPr>
      <w:widowControl/>
      <w:numPr>
        <w:ilvl w:val="0"/>
        <w:numId w:val="27"/>
      </w:numPr>
      <w:adjustRightInd/>
      <w:spacing w:line="240" w:lineRule="auto"/>
    </w:pPr>
    <w:rPr>
      <w:rFonts w:ascii="宋体" w:hAnsi="Times New Roman"/>
      <w:kern w:val="0"/>
      <w:sz w:val="18"/>
      <w:szCs w:val="18"/>
    </w:rPr>
  </w:style>
  <w:style w:type="character" w:customStyle="1" w:styleId="189">
    <w:name w:val="标准文件_段 Char"/>
    <w:link w:val="61"/>
    <w:qFormat/>
    <w:uiPriority w:val="0"/>
    <w:rPr>
      <w:rFonts w:ascii="宋体" w:hAnsi="Times New Roman"/>
      <w:sz w:val="21"/>
    </w:rPr>
  </w:style>
  <w:style w:type="paragraph" w:customStyle="1" w:styleId="190">
    <w:name w:val="标准文件_表格续"/>
    <w:basedOn w:val="61"/>
    <w:next w:val="61"/>
    <w:qFormat/>
    <w:uiPriority w:val="0"/>
    <w:pPr>
      <w:jc w:val="center"/>
    </w:pPr>
    <w:rPr>
      <w:rFonts w:ascii="黑体" w:hAnsi="黑体" w:eastAsia="黑体"/>
    </w:rPr>
  </w:style>
  <w:style w:type="character" w:styleId="191">
    <w:name w:val="Placeholder Text"/>
    <w:basedOn w:val="32"/>
    <w:semiHidden/>
    <w:qFormat/>
    <w:uiPriority w:val="99"/>
    <w:rPr>
      <w:color w:val="808080"/>
    </w:rPr>
  </w:style>
  <w:style w:type="paragraph" w:customStyle="1" w:styleId="192">
    <w:name w:val="标准文件_二级项2"/>
    <w:basedOn w:val="61"/>
    <w:qFormat/>
    <w:uiPriority w:val="0"/>
    <w:pPr>
      <w:numPr>
        <w:ilvl w:val="1"/>
        <w:numId w:val="20"/>
      </w:numPr>
      <w:ind w:firstLine="0" w:firstLineChars="0"/>
    </w:pPr>
  </w:style>
  <w:style w:type="paragraph" w:customStyle="1" w:styleId="193">
    <w:name w:val="标准文件_三级项2"/>
    <w:basedOn w:val="61"/>
    <w:qFormat/>
    <w:uiPriority w:val="0"/>
    <w:pPr>
      <w:numPr>
        <w:ilvl w:val="0"/>
        <w:numId w:val="28"/>
      </w:numPr>
      <w:spacing w:line="300" w:lineRule="exact"/>
      <w:ind w:firstLineChars="0"/>
    </w:pPr>
    <w:rPr>
      <w:rFonts w:ascii="Times New Roman"/>
    </w:rPr>
  </w:style>
  <w:style w:type="paragraph" w:customStyle="1" w:styleId="194">
    <w:name w:val="标准文件_一级项2"/>
    <w:basedOn w:val="61"/>
    <w:qFormat/>
    <w:uiPriority w:val="0"/>
    <w:pPr>
      <w:numPr>
        <w:ilvl w:val="0"/>
        <w:numId w:val="29"/>
      </w:numPr>
      <w:spacing w:line="300" w:lineRule="exact"/>
      <w:ind w:firstLineChars="0"/>
    </w:pPr>
    <w:rPr>
      <w:rFonts w:ascii="Times New Roman"/>
    </w:rPr>
  </w:style>
  <w:style w:type="paragraph" w:customStyle="1" w:styleId="195">
    <w:name w:val="标准文件_提示"/>
    <w:basedOn w:val="61"/>
    <w:next w:val="61"/>
    <w:qFormat/>
    <w:uiPriority w:val="0"/>
    <w:pPr>
      <w:ind w:firstLine="420"/>
    </w:pPr>
    <w:rPr>
      <w:rFonts w:ascii="黑体" w:eastAsia="黑体"/>
    </w:rPr>
  </w:style>
  <w:style w:type="character" w:customStyle="1" w:styleId="196">
    <w:name w:val="标准文件_来源"/>
    <w:basedOn w:val="32"/>
    <w:qFormat/>
    <w:uiPriority w:val="1"/>
    <w:rPr>
      <w:rFonts w:eastAsia="宋体"/>
      <w:sz w:val="21"/>
    </w:rPr>
  </w:style>
  <w:style w:type="paragraph" w:customStyle="1" w:styleId="197">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8">
    <w:name w:val="其他发布日期"/>
    <w:basedOn w:val="125"/>
    <w:qFormat/>
    <w:uiPriority w:val="0"/>
    <w:pPr>
      <w:framePr w:w="3997" w:h="471" w:hRule="exact" w:hSpace="0" w:vSpace="181" w:vAnchor="page" w:hAnchor="page" w:x="1419" w:y="14097"/>
    </w:pPr>
  </w:style>
  <w:style w:type="paragraph" w:customStyle="1" w:styleId="199">
    <w:name w:val="其他实施日期"/>
    <w:basedOn w:val="159"/>
    <w:qFormat/>
    <w:uiPriority w:val="0"/>
    <w:pPr>
      <w:framePr w:w="3997" w:h="471" w:hRule="exact" w:vSpace="181" w:vAnchor="page" w:hAnchor="page" w:x="7089" w:y="14097"/>
    </w:pPr>
  </w:style>
  <w:style w:type="paragraph" w:customStyle="1" w:styleId="200">
    <w:name w:val="标准文件_文件编号"/>
    <w:basedOn w:val="61"/>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1">
    <w:name w:val="标准文件_替换文件编号"/>
    <w:basedOn w:val="200"/>
    <w:qFormat/>
    <w:uiPriority w:val="0"/>
    <w:pPr>
      <w:spacing w:before="57"/>
    </w:pPr>
    <w:rPr>
      <w:sz w:val="21"/>
    </w:rPr>
  </w:style>
  <w:style w:type="paragraph" w:customStyle="1" w:styleId="202">
    <w:name w:val="标准文件_文件名称"/>
    <w:basedOn w:val="61"/>
    <w:next w:val="61"/>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3">
    <w:name w:val="标准文件_附录图标号"/>
    <w:basedOn w:val="61"/>
    <w:next w:val="61"/>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4">
    <w:name w:val="标准文件_附录表标号"/>
    <w:basedOn w:val="61"/>
    <w:next w:val="61"/>
    <w:qFormat/>
    <w:uiPriority w:val="0"/>
    <w:pPr>
      <w:numPr>
        <w:ilvl w:val="0"/>
        <w:numId w:val="5"/>
      </w:numPr>
      <w:spacing w:line="14" w:lineRule="exact"/>
      <w:ind w:firstLine="0" w:firstLineChars="0"/>
      <w:jc w:val="center"/>
    </w:pPr>
    <w:rPr>
      <w:rFonts w:eastAsia="黑体"/>
      <w:vanish/>
      <w:sz w:val="2"/>
    </w:rPr>
  </w:style>
  <w:style w:type="paragraph" w:customStyle="1" w:styleId="205">
    <w:name w:val="标准文件_引言一级条标题"/>
    <w:basedOn w:val="61"/>
    <w:next w:val="61"/>
    <w:qFormat/>
    <w:uiPriority w:val="0"/>
    <w:pPr>
      <w:numPr>
        <w:ilvl w:val="1"/>
        <w:numId w:val="8"/>
      </w:numPr>
      <w:spacing w:before="50" w:beforeLines="50" w:after="50" w:afterLines="50"/>
      <w:ind w:firstLineChars="0"/>
    </w:pPr>
    <w:rPr>
      <w:rFonts w:ascii="黑体" w:eastAsia="黑体"/>
    </w:rPr>
  </w:style>
  <w:style w:type="paragraph" w:customStyle="1" w:styleId="206">
    <w:name w:val="标准文件_引言二级条标题"/>
    <w:basedOn w:val="61"/>
    <w:next w:val="61"/>
    <w:qFormat/>
    <w:uiPriority w:val="0"/>
    <w:pPr>
      <w:numPr>
        <w:ilvl w:val="2"/>
        <w:numId w:val="8"/>
      </w:numPr>
      <w:spacing w:before="50" w:beforeLines="50" w:after="50" w:afterLines="50"/>
      <w:ind w:firstLineChars="0"/>
    </w:pPr>
    <w:rPr>
      <w:rFonts w:ascii="黑体" w:eastAsia="黑体"/>
    </w:rPr>
  </w:style>
  <w:style w:type="paragraph" w:customStyle="1" w:styleId="207">
    <w:name w:val="标准文件_引言三级条标题"/>
    <w:basedOn w:val="61"/>
    <w:next w:val="61"/>
    <w:qFormat/>
    <w:uiPriority w:val="0"/>
    <w:pPr>
      <w:numPr>
        <w:ilvl w:val="3"/>
        <w:numId w:val="8"/>
      </w:numPr>
      <w:spacing w:before="50" w:beforeLines="50" w:after="50" w:afterLines="50"/>
      <w:ind w:firstLineChars="0"/>
    </w:pPr>
    <w:rPr>
      <w:rFonts w:ascii="黑体" w:eastAsia="黑体"/>
    </w:rPr>
  </w:style>
  <w:style w:type="paragraph" w:customStyle="1" w:styleId="208">
    <w:name w:val="标准文件_引言四级条标题"/>
    <w:basedOn w:val="61"/>
    <w:next w:val="61"/>
    <w:qFormat/>
    <w:uiPriority w:val="0"/>
    <w:pPr>
      <w:numPr>
        <w:ilvl w:val="4"/>
        <w:numId w:val="8"/>
      </w:numPr>
      <w:spacing w:before="50" w:beforeLines="50" w:after="50" w:afterLines="50"/>
      <w:ind w:firstLineChars="0"/>
    </w:pPr>
    <w:rPr>
      <w:rFonts w:ascii="黑体" w:eastAsia="黑体"/>
    </w:rPr>
  </w:style>
  <w:style w:type="paragraph" w:customStyle="1" w:styleId="209">
    <w:name w:val="标准文件_引言五级条标题"/>
    <w:basedOn w:val="61"/>
    <w:next w:val="61"/>
    <w:qFormat/>
    <w:uiPriority w:val="0"/>
    <w:pPr>
      <w:numPr>
        <w:ilvl w:val="5"/>
        <w:numId w:val="8"/>
      </w:numPr>
      <w:spacing w:before="50" w:beforeLines="50" w:after="50" w:afterLines="50"/>
      <w:ind w:firstLineChars="0"/>
    </w:pPr>
    <w:rPr>
      <w:rFonts w:ascii="黑体" w:eastAsia="黑体"/>
    </w:rPr>
  </w:style>
  <w:style w:type="paragraph" w:customStyle="1" w:styleId="210">
    <w:name w:val="标准文件_注后"/>
    <w:basedOn w:val="61"/>
    <w:qFormat/>
    <w:uiPriority w:val="0"/>
    <w:pPr>
      <w:ind w:left="811" w:firstLine="0" w:firstLineChars="0"/>
    </w:pPr>
    <w:rPr>
      <w:sz w:val="18"/>
    </w:rPr>
  </w:style>
  <w:style w:type="paragraph" w:customStyle="1" w:styleId="211">
    <w:name w:val="标准文件_注X后"/>
    <w:basedOn w:val="61"/>
    <w:qFormat/>
    <w:uiPriority w:val="0"/>
    <w:pPr>
      <w:ind w:left="811" w:firstLine="0" w:firstLineChars="0"/>
    </w:pPr>
    <w:rPr>
      <w:sz w:val="18"/>
    </w:rPr>
  </w:style>
  <w:style w:type="paragraph" w:customStyle="1" w:styleId="212">
    <w:name w:val="标准文件_示例后"/>
    <w:basedOn w:val="61"/>
    <w:qFormat/>
    <w:uiPriority w:val="0"/>
    <w:pPr>
      <w:ind w:left="964" w:firstLine="0" w:firstLineChars="0"/>
    </w:pPr>
    <w:rPr>
      <w:sz w:val="18"/>
    </w:rPr>
  </w:style>
  <w:style w:type="paragraph" w:customStyle="1" w:styleId="213">
    <w:name w:val="标准文件_示例X后"/>
    <w:basedOn w:val="61"/>
    <w:link w:val="214"/>
    <w:qFormat/>
    <w:uiPriority w:val="0"/>
    <w:pPr>
      <w:ind w:left="1049" w:firstLine="0" w:firstLineChars="0"/>
    </w:pPr>
    <w:rPr>
      <w:sz w:val="18"/>
    </w:rPr>
  </w:style>
  <w:style w:type="character" w:customStyle="1" w:styleId="214">
    <w:name w:val="标准文件_示例X后 字符"/>
    <w:basedOn w:val="189"/>
    <w:link w:val="213"/>
    <w:qFormat/>
    <w:uiPriority w:val="0"/>
    <w:rPr>
      <w:rFonts w:ascii="宋体" w:hAnsi="Times New Roman"/>
      <w:sz w:val="18"/>
    </w:rPr>
  </w:style>
  <w:style w:type="paragraph" w:customStyle="1" w:styleId="215">
    <w:name w:val="标准文件_索引项"/>
    <w:basedOn w:val="61"/>
    <w:next w:val="61"/>
    <w:qFormat/>
    <w:uiPriority w:val="0"/>
    <w:pPr>
      <w:tabs>
        <w:tab w:val="right" w:leader="dot" w:pos="9356"/>
      </w:tabs>
      <w:ind w:left="210" w:hanging="210" w:firstLineChars="0"/>
      <w:jc w:val="left"/>
    </w:pPr>
  </w:style>
  <w:style w:type="paragraph" w:customStyle="1" w:styleId="216">
    <w:name w:val="标准文件_附录一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二级无标题"/>
    <w:basedOn w:val="84"/>
    <w:qFormat/>
    <w:uiPriority w:val="0"/>
    <w:pPr>
      <w:spacing w:before="0" w:beforeLines="0" w:after="0" w:afterLines="0" w:line="276" w:lineRule="auto"/>
      <w:outlineLvl w:val="9"/>
    </w:pPr>
    <w:rPr>
      <w:rFonts w:ascii="宋体" w:eastAsia="宋体"/>
    </w:rPr>
  </w:style>
  <w:style w:type="paragraph" w:customStyle="1" w:styleId="218">
    <w:name w:val="标准文件_附录三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四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五级无标题"/>
    <w:basedOn w:val="89"/>
    <w:qFormat/>
    <w:uiPriority w:val="0"/>
    <w:pPr>
      <w:spacing w:before="0" w:beforeLines="0" w:after="0" w:afterLines="0" w:line="276" w:lineRule="auto"/>
      <w:outlineLvl w:val="9"/>
    </w:pPr>
    <w:rPr>
      <w:rFonts w:ascii="宋体" w:eastAsia="宋体"/>
    </w:rPr>
  </w:style>
  <w:style w:type="paragraph" w:customStyle="1" w:styleId="221">
    <w:name w:val="标准文件_引言一级无标题"/>
    <w:basedOn w:val="205"/>
    <w:next w:val="61"/>
    <w:qFormat/>
    <w:uiPriority w:val="0"/>
    <w:pPr>
      <w:spacing w:before="0" w:beforeLines="0" w:after="0" w:afterLines="0" w:line="276" w:lineRule="auto"/>
    </w:pPr>
    <w:rPr>
      <w:rFonts w:ascii="宋体" w:eastAsia="宋体"/>
    </w:rPr>
  </w:style>
  <w:style w:type="paragraph" w:customStyle="1" w:styleId="222">
    <w:name w:val="标准文件_引言二级无标题"/>
    <w:basedOn w:val="206"/>
    <w:next w:val="61"/>
    <w:qFormat/>
    <w:uiPriority w:val="0"/>
    <w:pPr>
      <w:spacing w:before="0" w:beforeLines="0" w:after="0" w:afterLines="0" w:line="276" w:lineRule="auto"/>
    </w:pPr>
    <w:rPr>
      <w:rFonts w:ascii="宋体" w:eastAsia="宋体"/>
    </w:rPr>
  </w:style>
  <w:style w:type="paragraph" w:customStyle="1" w:styleId="223">
    <w:name w:val="标准文件_引言三级无标题"/>
    <w:basedOn w:val="207"/>
    <w:qFormat/>
    <w:uiPriority w:val="0"/>
    <w:pPr>
      <w:spacing w:before="0" w:beforeLines="0" w:after="0" w:afterLines="0" w:line="276" w:lineRule="auto"/>
    </w:pPr>
    <w:rPr>
      <w:rFonts w:ascii="宋体" w:eastAsia="宋体"/>
    </w:rPr>
  </w:style>
  <w:style w:type="paragraph" w:customStyle="1" w:styleId="224">
    <w:name w:val="标准文件_引言四级无标题"/>
    <w:basedOn w:val="208"/>
    <w:next w:val="61"/>
    <w:qFormat/>
    <w:uiPriority w:val="0"/>
    <w:pPr>
      <w:spacing w:before="0" w:beforeLines="0" w:after="0" w:afterLines="0" w:line="276" w:lineRule="auto"/>
    </w:pPr>
    <w:rPr>
      <w:rFonts w:ascii="宋体" w:eastAsia="宋体"/>
    </w:rPr>
  </w:style>
  <w:style w:type="paragraph" w:customStyle="1" w:styleId="225">
    <w:name w:val="标准文件_引言五级无标题"/>
    <w:basedOn w:val="209"/>
    <w:next w:val="61"/>
    <w:qFormat/>
    <w:uiPriority w:val="0"/>
    <w:pPr>
      <w:spacing w:before="0" w:beforeLines="0" w:after="0" w:afterLines="0" w:line="276" w:lineRule="auto"/>
    </w:pPr>
    <w:rPr>
      <w:rFonts w:ascii="宋体" w:eastAsia="宋体"/>
    </w:rPr>
  </w:style>
  <w:style w:type="paragraph" w:customStyle="1" w:styleId="226">
    <w:name w:val="标准文件_索引标题"/>
    <w:basedOn w:val="68"/>
    <w:next w:val="61"/>
    <w:qFormat/>
    <w:uiPriority w:val="0"/>
    <w:rPr>
      <w:rFonts w:hAnsi="黑体"/>
    </w:rPr>
  </w:style>
  <w:style w:type="paragraph" w:customStyle="1" w:styleId="227">
    <w:name w:val="标准文件_脚注内容"/>
    <w:basedOn w:val="61"/>
    <w:qFormat/>
    <w:uiPriority w:val="0"/>
    <w:pPr>
      <w:ind w:left="400" w:leftChars="200" w:hanging="200" w:hangingChars="200"/>
    </w:pPr>
    <w:rPr>
      <w:sz w:val="15"/>
    </w:rPr>
  </w:style>
  <w:style w:type="paragraph" w:customStyle="1" w:styleId="228">
    <w:name w:val="标准文件_术语条一"/>
    <w:basedOn w:val="167"/>
    <w:next w:val="61"/>
    <w:qFormat/>
    <w:uiPriority w:val="0"/>
  </w:style>
  <w:style w:type="paragraph" w:customStyle="1" w:styleId="229">
    <w:name w:val="标准文件_术语条二"/>
    <w:basedOn w:val="170"/>
    <w:next w:val="61"/>
    <w:qFormat/>
    <w:uiPriority w:val="0"/>
  </w:style>
  <w:style w:type="paragraph" w:customStyle="1" w:styleId="230">
    <w:name w:val="标准文件_术语条三"/>
    <w:basedOn w:val="169"/>
    <w:next w:val="61"/>
    <w:qFormat/>
    <w:uiPriority w:val="0"/>
  </w:style>
  <w:style w:type="paragraph" w:customStyle="1" w:styleId="231">
    <w:name w:val="标准文件_术语条四"/>
    <w:basedOn w:val="172"/>
    <w:next w:val="61"/>
    <w:qFormat/>
    <w:uiPriority w:val="0"/>
  </w:style>
  <w:style w:type="paragraph" w:customStyle="1" w:styleId="232">
    <w:name w:val="标准文件_术语条五"/>
    <w:basedOn w:val="168"/>
    <w:next w:val="61"/>
    <w:qFormat/>
    <w:uiPriority w:val="0"/>
  </w:style>
  <w:style w:type="paragraph" w:customStyle="1" w:styleId="23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4">
    <w:name w:val="发布"/>
    <w:basedOn w:val="32"/>
    <w:qFormat/>
    <w:uiPriority w:val="0"/>
    <w:rPr>
      <w:rFonts w:ascii="黑体" w:eastAsia="黑体"/>
      <w:spacing w:val="85"/>
      <w:w w:val="100"/>
      <w:position w:val="3"/>
      <w:sz w:val="28"/>
      <w:szCs w:val="28"/>
    </w:rPr>
  </w:style>
  <w:style w:type="paragraph" w:customStyle="1" w:styleId="235">
    <w:name w:val="段"/>
    <w:link w:val="236"/>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6">
    <w:name w:val="段 Char"/>
    <w:link w:val="235"/>
    <w:qFormat/>
    <w:uiPriority w:val="0"/>
    <w:rPr>
      <w:rFonts w:ascii="宋体" w:hAnsi="Times New Roman"/>
      <w:sz w:val="21"/>
    </w:rPr>
  </w:style>
  <w:style w:type="paragraph" w:customStyle="1" w:styleId="237">
    <w:name w:val="章标题"/>
    <w:next w:val="235"/>
    <w:qFormat/>
    <w:uiPriority w:val="0"/>
    <w:pPr>
      <w:numPr>
        <w:ilvl w:val="0"/>
        <w:numId w:val="30"/>
      </w:numPr>
      <w:spacing w:beforeLines="100" w:afterLines="100"/>
      <w:jc w:val="both"/>
      <w:outlineLvl w:val="1"/>
    </w:pPr>
    <w:rPr>
      <w:rFonts w:ascii="黑体" w:hAnsi="Times New Roman" w:eastAsia="黑体" w:cs="Times New Roman"/>
      <w:sz w:val="21"/>
      <w:lang w:val="en-US" w:eastAsia="zh-CN" w:bidi="ar-SA"/>
    </w:rPr>
  </w:style>
  <w:style w:type="paragraph" w:customStyle="1" w:styleId="238">
    <w:name w:val="一级无"/>
    <w:basedOn w:val="1"/>
    <w:qFormat/>
    <w:uiPriority w:val="0"/>
    <w:pPr>
      <w:widowControl/>
      <w:numPr>
        <w:ilvl w:val="1"/>
        <w:numId w:val="30"/>
      </w:numPr>
      <w:adjustRightInd/>
      <w:spacing w:before="120" w:after="120" w:line="240" w:lineRule="auto"/>
      <w:jc w:val="left"/>
      <w:outlineLvl w:val="2"/>
    </w:pPr>
    <w:rPr>
      <w:rFonts w:ascii="宋体" w:hAnsi="Times New Roman" w:eastAsia="黑体"/>
      <w:kern w:val="0"/>
    </w:rPr>
  </w:style>
  <w:style w:type="character" w:customStyle="1" w:styleId="239">
    <w:name w:val="批注文字 Char"/>
    <w:basedOn w:val="32"/>
    <w:link w:val="14"/>
    <w:semiHidden/>
    <w:qFormat/>
    <w:uiPriority w:val="99"/>
    <w:rPr>
      <w:kern w:val="2"/>
      <w:sz w:val="21"/>
      <w:szCs w:val="21"/>
    </w:rPr>
  </w:style>
  <w:style w:type="character" w:customStyle="1" w:styleId="240">
    <w:name w:val="批注主题 Char"/>
    <w:basedOn w:val="239"/>
    <w:link w:val="29"/>
    <w:semiHidden/>
    <w:qFormat/>
    <w:uiPriority w:val="99"/>
    <w:rPr>
      <w:b/>
      <w:bCs/>
      <w:kern w:val="2"/>
      <w:sz w:val="21"/>
      <w:szCs w:val="21"/>
    </w:rPr>
  </w:style>
  <w:style w:type="paragraph" w:customStyle="1" w:styleId="241">
    <w:name w:val="修订1"/>
    <w:hidden/>
    <w:semiHidden/>
    <w:qFormat/>
    <w:uiPriority w:val="99"/>
    <w:rPr>
      <w:rFonts w:ascii="Calibri" w:hAnsi="Calibri" w:eastAsia="宋体" w:cs="Times New Roman"/>
      <w:kern w:val="2"/>
      <w:sz w:val="21"/>
      <w:szCs w:val="21"/>
      <w:lang w:val="en-US" w:eastAsia="zh-CN" w:bidi="ar-SA"/>
    </w:rPr>
  </w:style>
  <w:style w:type="paragraph" w:customStyle="1" w:styleId="242">
    <w:name w:val="修订2"/>
    <w:hidden/>
    <w:unhideWhenUsed/>
    <w:qFormat/>
    <w:uiPriority w:val="99"/>
    <w:rPr>
      <w:rFonts w:ascii="Calibri" w:hAnsi="Calibri" w:eastAsia="宋体" w:cs="Times New Roman"/>
      <w:kern w:val="2"/>
      <w:sz w:val="21"/>
      <w:szCs w:val="21"/>
      <w:lang w:val="en-US" w:eastAsia="zh-CN" w:bidi="ar-SA"/>
    </w:rPr>
  </w:style>
  <w:style w:type="paragraph" w:customStyle="1" w:styleId="243">
    <w:name w:val="修订3"/>
    <w:hidden/>
    <w:semiHidden/>
    <w:qFormat/>
    <w:uiPriority w:val="99"/>
    <w:rPr>
      <w:rFonts w:ascii="Calibri" w:hAnsi="Calibri" w:eastAsia="宋体" w:cs="Times New Roman"/>
      <w:kern w:val="2"/>
      <w:sz w:val="21"/>
      <w:szCs w:val="21"/>
      <w:lang w:val="en-US" w:eastAsia="zh-CN" w:bidi="ar-SA"/>
    </w:rPr>
  </w:style>
  <w:style w:type="paragraph" w:customStyle="1" w:styleId="244">
    <w:name w:val="正文表标题"/>
    <w:next w:val="235"/>
    <w:qFormat/>
    <w:uiPriority w:val="0"/>
    <w:pPr>
      <w:numPr>
        <w:ilvl w:val="0"/>
        <w:numId w:val="31"/>
      </w:numPr>
      <w:spacing w:beforeLines="50" w:afterLines="50"/>
      <w:ind w:left="2411"/>
      <w:jc w:val="center"/>
    </w:pPr>
    <w:rPr>
      <w:rFonts w:ascii="黑体" w:hAnsi="Times New Roman" w:eastAsia="黑体" w:cs="Times New Roman"/>
      <w:sz w:val="21"/>
      <w:lang w:val="en-US" w:eastAsia="zh-CN" w:bidi="ar-SA"/>
    </w:rPr>
  </w:style>
  <w:style w:type="paragraph" w:customStyle="1" w:styleId="245">
    <w:name w:val="图表"/>
    <w:basedOn w:val="1"/>
    <w:qFormat/>
    <w:uiPriority w:val="0"/>
    <w:pPr>
      <w:jc w:val="center"/>
    </w:pPr>
  </w:style>
  <w:style w:type="paragraph" w:customStyle="1" w:styleId="246">
    <w:name w:val="表格文字"/>
    <w:basedOn w:val="1"/>
    <w:qFormat/>
    <w:uiPriority w:val="0"/>
    <w:rPr>
      <w:rFonts w:hint="eastAsia"/>
    </w:rPr>
  </w:style>
  <w:style w:type="paragraph" w:customStyle="1" w:styleId="247">
    <w:name w:val="参考文献"/>
    <w:basedOn w:val="1"/>
    <w:next w:val="23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248">
    <w:name w:val="附录表标题"/>
    <w:basedOn w:val="1"/>
    <w:next w:val="235"/>
    <w:qFormat/>
    <w:uiPriority w:val="0"/>
    <w:pPr>
      <w:numPr>
        <w:ilvl w:val="1"/>
        <w:numId w:val="32"/>
      </w:numPr>
      <w:spacing w:beforeLines="50" w:afterLines="50"/>
      <w:ind w:left="0" w:firstLine="0"/>
      <w:jc w:val="center"/>
    </w:pPr>
    <w:rPr>
      <w:rFonts w:ascii="黑体" w:eastAsia="黑体"/>
    </w:rPr>
  </w:style>
  <w:style w:type="paragraph" w:styleId="249">
    <w:name w:val="List Paragraph"/>
    <w:basedOn w:val="1"/>
    <w:qFormat/>
    <w:uiPriority w:val="99"/>
    <w:pPr>
      <w:ind w:firstLine="420" w:firstLineChars="200"/>
    </w:pPr>
  </w:style>
  <w:style w:type="paragraph" w:customStyle="1" w:styleId="250">
    <w:name w:val="终结线"/>
    <w:basedOn w:val="1"/>
    <w:qFormat/>
    <w:uiPriority w:val="0"/>
    <w:pPr>
      <w:framePr w:hSpace="181" w:vSpace="181" w:wrap="around" w:vAnchor="text" w:hAnchor="margin" w:xAlign="center" w:y="285"/>
    </w:pPr>
  </w:style>
  <w:style w:type="paragraph" w:customStyle="1" w:styleId="25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252">
    <w:name w:val="标准书眉_偶数页"/>
    <w:basedOn w:val="251"/>
    <w:next w:val="1"/>
    <w:qFormat/>
    <w:uiPriority w:val="0"/>
    <w:pPr>
      <w:jc w:val="left"/>
    </w:pPr>
  </w:style>
  <w:style w:type="paragraph" w:customStyle="1" w:styleId="25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254">
    <w:name w:val="标准书脚_偶数页"/>
    <w:qFormat/>
    <w:uiPriority w:val="0"/>
    <w:pPr>
      <w:spacing w:before="120"/>
      <w:ind w:left="221"/>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glossaryDocument" Target="glossary/document.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image" Target="media/image1.tiff"/><Relationship Id="rId22" Type="http://schemas.openxmlformats.org/officeDocument/2006/relationships/theme" Target="theme/theme1.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154090E925E48B98E160790B0DC6926"/>
        <w:style w:val=""/>
        <w:category>
          <w:name w:val="常规"/>
          <w:gallery w:val="placeholder"/>
        </w:category>
        <w:types>
          <w:type w:val="bbPlcHdr"/>
        </w:types>
        <w:behaviors>
          <w:behavior w:val="content"/>
        </w:behaviors>
        <w:description w:val=""/>
        <w:guid w:val="{B8A0B9E5-9590-4DA4-9CFF-425D4E7A66B2}"/>
      </w:docPartPr>
      <w:docPartBody>
        <w:p>
          <w:pPr>
            <w:pStyle w:val="5"/>
          </w:pPr>
          <w:r>
            <w:rPr>
              <w:rStyle w:val="4"/>
              <w:rFonts w:hint="eastAsia"/>
            </w:rPr>
            <w:t>单击或点击此处输入文字。</w:t>
          </w:r>
        </w:p>
      </w:docPartBody>
    </w:docPart>
    <w:docPart>
      <w:docPartPr>
        <w:name w:val="A5A01930508543CFA9166729CE425546"/>
        <w:style w:val=""/>
        <w:category>
          <w:name w:val="常规"/>
          <w:gallery w:val="placeholder"/>
        </w:category>
        <w:types>
          <w:type w:val="bbPlcHdr"/>
        </w:types>
        <w:behaviors>
          <w:behavior w:val="content"/>
        </w:behaviors>
        <w:description w:val=""/>
        <w:guid w:val="{54B4DB22-403B-47D8-B053-742A82ACD1AB}"/>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4F0"/>
    <w:rsid w:val="0002280F"/>
    <w:rsid w:val="000D6C4C"/>
    <w:rsid w:val="000E7923"/>
    <w:rsid w:val="001265B8"/>
    <w:rsid w:val="00145FC4"/>
    <w:rsid w:val="0020279A"/>
    <w:rsid w:val="00297FE4"/>
    <w:rsid w:val="002B2C31"/>
    <w:rsid w:val="002E0528"/>
    <w:rsid w:val="003041BF"/>
    <w:rsid w:val="00313269"/>
    <w:rsid w:val="003222C1"/>
    <w:rsid w:val="00332CBE"/>
    <w:rsid w:val="003821DE"/>
    <w:rsid w:val="003C7BB3"/>
    <w:rsid w:val="00467818"/>
    <w:rsid w:val="004803CF"/>
    <w:rsid w:val="00491E05"/>
    <w:rsid w:val="004C4DCB"/>
    <w:rsid w:val="004C6FA0"/>
    <w:rsid w:val="004E4423"/>
    <w:rsid w:val="004F4E91"/>
    <w:rsid w:val="004F5BCE"/>
    <w:rsid w:val="005A436A"/>
    <w:rsid w:val="005E14F0"/>
    <w:rsid w:val="005E4078"/>
    <w:rsid w:val="00602E6A"/>
    <w:rsid w:val="0068073A"/>
    <w:rsid w:val="00690A5D"/>
    <w:rsid w:val="006B416A"/>
    <w:rsid w:val="00743558"/>
    <w:rsid w:val="00784BE4"/>
    <w:rsid w:val="008E1076"/>
    <w:rsid w:val="009D6F17"/>
    <w:rsid w:val="00A2769D"/>
    <w:rsid w:val="00A55DCA"/>
    <w:rsid w:val="00B03019"/>
    <w:rsid w:val="00B5511E"/>
    <w:rsid w:val="00B848A8"/>
    <w:rsid w:val="00B85A0D"/>
    <w:rsid w:val="00BB377D"/>
    <w:rsid w:val="00C1532A"/>
    <w:rsid w:val="00C904D9"/>
    <w:rsid w:val="00D74BF6"/>
    <w:rsid w:val="00E65435"/>
    <w:rsid w:val="00EA7A46"/>
    <w:rsid w:val="00EB62D0"/>
    <w:rsid w:val="00EF5DE7"/>
    <w:rsid w:val="00F40CE7"/>
    <w:rsid w:val="00F62990"/>
    <w:rsid w:val="00F752C1"/>
    <w:rsid w:val="00FA2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154090E925E48B98E160790B0DC692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340929DFF3AB47AEBE538906A8EB620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5A01930508543CFA9166729CE425546"/>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77ad50f4-7072-45a7-aa53-5b451f48b5ca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7E780A81</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f3712cb4-53b7-42f3-a109-1b8589f94bfb</errorID>
      <errorWord xmlns="http://schemas.wps.cn/vas-ai-hub/contract-review">管龄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管理</item>
      </candidateList>
      <explain xmlns="http://schemas.wps.cn/vas-ai-hub/contract-review"/>
      <paraID xmlns="http://schemas.wps.cn/vas-ai-hub/contract-review">5BE0C6C7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7586c1e6-a69b-4f6e-9e04-9a643ddbfafa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74F7076C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b1b461a1-cea7-4c06-ac67-319d614d0be8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541160EB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9a0f2529-421a-4f5f-b974-bc0ea22345a8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6459AC53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8d7e64d0-ca0e-424c-bcf2-3c834d484dbf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33557544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04ffbe9f-f3f6-40cb-b7f2-f89f28f91b76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4F5EC0B1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d2168dd1-11e8-42a9-918b-5c4362f75576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 99F550D</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8ea28971-2665-4b7a-931a-2967184b7a1c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4F6730F6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448eed78-998a-4303-ba27-cacf3d936da2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186D147</paraID>
      <start xmlns="http://schemas.wps.cn/vas-ai-hub/contract-review">44</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8a64a99d-976d-4432-a64b-73ea4f678d97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2965425A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4a198534-bfcd-48b2-9842-252d361ccb54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761552B5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c1ae0277-02f4-4613-9d36-7f6de6a51282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7DB67743</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3b19cca6-c6a9-4447-a78c-635752c39d0f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59959F34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995b7165-317b-4357-af56-759db114f83b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1FFFA256</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99758e86-a485-4a07-9efb-1c1f9e63e52d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6559AF42</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5e415a6d-b453-4c1f-afbe-5138b88eaf4e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6B6736A4</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15679950-40eb-440a-8bc3-d114144a402c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7CAA650E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c5af7173-0cf3-49af-8211-6ef9d3189f78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1DCEB1EB</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2b65fdfd-896a-45e8-b53f-4dc5cf24cba2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4CD815DE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398189ec-cc46-4739-a0b3-bf85934eb580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413C097E</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b7d6e8c0-2c5a-4f1b-9e9d-dad85f084dbc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413C097E</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80880f0c-e2df-4ff0-99df-edde28afec1f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762C0D50</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8c63439f-6ce0-4236-af10-5192bfc23a76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762C0D50</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be083bd5-9367-461f-bc6d-0aaa36c62b76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3D77B855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11c6ce0f-4394-4cef-a6b8-2cfb46865855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3D77B855</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303b87b5-fbf8-4c06-8369-2c4174e72dcd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549AC296</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3c499c0f-f022-4a77-9a20-51be54ed9a19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549AC296</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e9afd015-1be8-4120-9240-5658e8af8359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48523B25</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295f1564-5e1d-44b6-8816-8c335d5aaeff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48523B25</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ecbbb1d9-7af9-481f-bb86-b82960240ea9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1AB45AF</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faeb5e08-ac7c-4bef-8ab4-5be6dc1ab137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 1AB45AF</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3db6ebdd-e383-4063-9f46-f10b6b39f672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55CD8284</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b5ccb02d-fe8b-4842-b03b-f7042963c141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55CD8284</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93e5cb7e-05c2-4345-89a2-30fba2da97b8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6FE86003</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7d96014e-f3bd-4abf-86b6-8ba75c9341fd</errorID>
      <errorWord xmlns="http://schemas.wps.cn/vas-ai-hub/contract-review">管龄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管理</item>
      </candidateList>
      <explain xmlns="http://schemas.wps.cn/vas-ai-hub/contract-review"/>
      <paraID xmlns="http://schemas.wps.cn/vas-ai-hub/contract-review">6AAC18DF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28fc2d4b-2c8f-4229-b493-9b6f3c1483c7</errorID>
      <errorWord xmlns="http://schemas.wps.cn/vas-ai-hub/contract-review">管龄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管理</item>
      </candidateList>
      <explain xmlns="http://schemas.wps.cn/vas-ai-hub/contract-review"/>
      <paraID xmlns="http://schemas.wps.cn/vas-ai-hub/contract-review">264DEAC0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b7059d-628b-40fa-ae26-6b9bbc37f3b3}">
  <ds:schemaRefs/>
</ds:datastoreItem>
</file>

<file path=docProps/app.xml><?xml version="1.0" encoding="utf-8"?>
<Properties xmlns="http://schemas.openxmlformats.org/officeDocument/2006/extended-properties" xmlns:vt="http://schemas.openxmlformats.org/officeDocument/2006/docPropsVTypes">
  <Template>Normal.dotm</Template>
  <Company>PCMI</Company>
  <Pages>24</Pages>
  <Words>10750</Words>
  <Characters>12793</Characters>
  <Lines>122</Lines>
  <Paragraphs>34</Paragraphs>
  <TotalTime>240</TotalTime>
  <ScaleCrop>false</ScaleCrop>
  <LinksUpToDate>false</LinksUpToDate>
  <CharactersWithSpaces>13586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2025-11-10T23:01:00Z</dcterms:created>
  <dc:creator>litieg</dc:creator>
  <cp:lastModifiedBy>shuiwuju</cp:lastModifiedBy>
  <cp:lastPrinted>2026-05-22T03:00:00Z</cp:lastPrinted>
  <dcterms:modified xsi:type="dcterms:W3CDTF">2026-09-17T17:07:42Z</dcterms:modified>
  <dc:title>地方标准</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2052-11.8.2.1132</vt:lpwstr>
  </property>
  <property fmtid="{D5CDD505-2E9C-101B-9397-08002B2CF9AE}" pid="15" name="ICV">
    <vt:lpwstr>5C3C5F16505C30F1EA73AB6A8BE2BFAE</vt:lpwstr>
  </property>
  <property fmtid="{D5CDD505-2E9C-101B-9397-08002B2CF9AE}" pid="16" name="KSOTemplateDocerSaveRecord">
    <vt:lpwstr>eyJoZGlkIjoiNDBhNWFlNDE1OTVmMjg5MTQwNjBlZjQzOTgyODZiODciLCJ1c2VySWQiOiIxNzUwODA3NDM0In0=</vt:lpwstr>
  </property>
</Properties>
</file>