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CB871C">
      <w:pPr>
        <w:rPr>
          <w:b/>
          <w:sz w:val="28"/>
          <w:szCs w:val="28"/>
        </w:rPr>
      </w:pPr>
      <w:r>
        <w:rPr>
          <w:b/>
          <w:sz w:val="28"/>
          <w:szCs w:val="28"/>
        </w:rPr>
        <w:t>UG</w:t>
      </w:r>
    </w:p>
    <w:p w14:paraId="330B36DB">
      <w:pPr>
        <w:ind w:firstLine="2940" w:firstLineChars="1400"/>
        <w:rPr>
          <w:rFonts w:eastAsia="黑体"/>
          <w:sz w:val="48"/>
          <w:szCs w:val="48"/>
        </w:rPr>
      </w:pPr>
      <w:r>
        <mc:AlternateContent>
          <mc:Choice Requires="wps">
            <w:drawing>
              <wp:anchor distT="0" distB="0" distL="114300" distR="114300" simplePos="0" relativeHeight="251664384" behindDoc="0" locked="0" layoutInCell="1" allowOverlap="1">
                <wp:simplePos x="0" y="0"/>
                <wp:positionH relativeFrom="column">
                  <wp:posOffset>4711700</wp:posOffset>
                </wp:positionH>
                <wp:positionV relativeFrom="paragraph">
                  <wp:posOffset>-396240</wp:posOffset>
                </wp:positionV>
                <wp:extent cx="1981835" cy="1167765"/>
                <wp:effectExtent l="0" t="0" r="0" b="0"/>
                <wp:wrapNone/>
                <wp:docPr id="124" name="文本框 124"/>
                <wp:cNvGraphicFramePr/>
                <a:graphic xmlns:a="http://schemas.openxmlformats.org/drawingml/2006/main">
                  <a:graphicData uri="http://schemas.microsoft.com/office/word/2010/wordprocessingShape">
                    <wps:wsp>
                      <wps:cNvSpPr txBox="1">
                        <a:spLocks noChangeArrowheads="1"/>
                      </wps:cNvSpPr>
                      <wps:spPr bwMode="auto">
                        <a:xfrm>
                          <a:off x="0" y="0"/>
                          <a:ext cx="1981835" cy="1167765"/>
                        </a:xfrm>
                        <a:prstGeom prst="rect">
                          <a:avLst/>
                        </a:prstGeom>
                        <a:noFill/>
                        <a:ln>
                          <a:noFill/>
                        </a:ln>
                        <a:effectLst/>
                      </wps:spPr>
                      <wps:txbx>
                        <w:txbxContent>
                          <w:p w14:paraId="2E9C88EC">
                            <w:pPr>
                              <w:rPr>
                                <w:rFonts w:hint="eastAsia" w:ascii="Adobe 黑体 Std R" w:hAnsi="Adobe 黑体 Std R" w:eastAsia="Adobe 黑体 Std R"/>
                                <w:sz w:val="144"/>
                                <w:szCs w:val="144"/>
                              </w:rPr>
                            </w:pPr>
                            <w:r>
                              <w:rPr>
                                <w:rFonts w:ascii="Adobe 黑体 Std R" w:hAnsi="Adobe 黑体 Std R" w:eastAsia="Adobe 黑体 Std R"/>
                                <w:sz w:val="144"/>
                                <w:szCs w:val="144"/>
                              </w:rPr>
                              <w:t>D</w:t>
                            </w:r>
                            <w:r>
                              <w:rPr>
                                <w:rFonts w:hint="eastAsia" w:ascii="Adobe 黑体 Std R" w:hAnsi="Adobe 黑体 Std R" w:eastAsia="Adobe 黑体 Std R"/>
                                <w:sz w:val="144"/>
                                <w:szCs w:val="144"/>
                              </w:rPr>
                              <w:t>B</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371pt;margin-top:-31.2pt;height:91.95pt;width:156.05pt;z-index:251664384;mso-width-relative:page;mso-height-relative:page;" filled="f" stroked="f" coordsize="21600,21600" o:gfxdata="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27th3Z&#10;AAAADAEAAA8AAAAAAAAAAQAgAAAAIgAAAGRycy9kb3ducmV2LnhtbFBLAQIUABQAAAAIAIdO4kBa&#10;j/MUHwIAACgEAAAOAAAAAAAAAAEAIAAAACgBAABkcnMvZTJvRG9jLnhtbFBLBQYAAAAABgAGAFkB&#10;AAC5BQAAAAA=&#10;">
                <v:fill on="f" focussize="0,0"/>
                <v:stroke on="f"/>
                <v:imagedata o:title=""/>
                <o:lock v:ext="edit" aspectratio="f"/>
                <v:textbox>
                  <w:txbxContent>
                    <w:p w14:paraId="2E9C88EC">
                      <w:pPr>
                        <w:rPr>
                          <w:rFonts w:hint="eastAsia" w:ascii="Adobe 黑体 Std R" w:hAnsi="Adobe 黑体 Std R" w:eastAsia="Adobe 黑体 Std R"/>
                          <w:sz w:val="144"/>
                          <w:szCs w:val="144"/>
                        </w:rPr>
                      </w:pPr>
                      <w:r>
                        <w:rPr>
                          <w:rFonts w:ascii="Adobe 黑体 Std R" w:hAnsi="Adobe 黑体 Std R" w:eastAsia="Adobe 黑体 Std R"/>
                          <w:sz w:val="144"/>
                          <w:szCs w:val="144"/>
                        </w:rPr>
                        <w:t>D</w:t>
                      </w:r>
                      <w:r>
                        <w:rPr>
                          <w:rFonts w:hint="eastAsia" w:ascii="Adobe 黑体 Std R" w:hAnsi="Adobe 黑体 Std R" w:eastAsia="Adobe 黑体 Std R"/>
                          <w:sz w:val="144"/>
                          <w:szCs w:val="144"/>
                        </w:rPr>
                        <w:t>B</w:t>
                      </w:r>
                    </w:p>
                  </w:txbxContent>
                </v:textbox>
              </v:shape>
            </w:pict>
          </mc:Fallback>
        </mc:AlternateContent>
      </w:r>
      <w:r>
        <w:rPr>
          <w:rFonts w:eastAsia="黑体"/>
          <w:sz w:val="48"/>
          <w:szCs w:val="48"/>
        </w:rPr>
        <w:t>北京市地方标准</w:t>
      </w:r>
    </w:p>
    <w:p w14:paraId="504448CC">
      <w:pPr>
        <w:rPr>
          <w:b/>
          <w:szCs w:val="21"/>
        </w:rPr>
      </w:pPr>
    </w:p>
    <w:p w14:paraId="66A9A0C2">
      <w:pPr>
        <w:ind w:firstLine="2108" w:firstLineChars="1000"/>
        <w:rPr>
          <w:b/>
          <w:szCs w:val="21"/>
        </w:rPr>
      </w:pPr>
      <w:r>
        <w:rPr>
          <w:b/>
          <w:szCs w:val="21"/>
        </w:rPr>
        <w:t xml:space="preserve">                             </w:t>
      </w:r>
    </w:p>
    <w:p w14:paraId="14892CD6">
      <w:pPr>
        <w:ind w:firstLine="2319" w:firstLineChars="1100"/>
        <w:jc w:val="right"/>
        <w:rPr>
          <w:b/>
          <w:szCs w:val="21"/>
        </w:rPr>
      </w:pPr>
    </w:p>
    <w:p w14:paraId="6D89D8F8">
      <w:pPr>
        <w:ind w:firstLine="2319" w:firstLineChars="1100"/>
        <w:jc w:val="right"/>
        <w:rPr>
          <w:b/>
          <w:snapToGrid w:val="0"/>
          <w:kern w:val="0"/>
          <w:szCs w:val="21"/>
        </w:rPr>
      </w:pPr>
      <w:r>
        <w:rPr>
          <w:b/>
          <w:szCs w:val="21"/>
        </w:rPr>
        <w:t xml:space="preserve">  </w:t>
      </w:r>
      <w:r>
        <w:rPr>
          <w:b/>
          <w:snapToGrid w:val="0"/>
          <w:kern w:val="0"/>
          <w:szCs w:val="21"/>
        </w:rPr>
        <w:t>编  号：</w:t>
      </w:r>
      <w:r>
        <w:rPr>
          <w:rFonts w:hint="eastAsia"/>
          <w:b/>
          <w:snapToGrid w:val="0"/>
          <w:kern w:val="0"/>
          <w:szCs w:val="21"/>
        </w:rPr>
        <w:t>DB11/T xxxx-</w:t>
      </w:r>
      <w:r>
        <w:rPr>
          <w:b/>
          <w:snapToGrid w:val="0"/>
          <w:kern w:val="0"/>
          <w:szCs w:val="21"/>
        </w:rPr>
        <w:t>20</w:t>
      </w:r>
      <w:r>
        <w:rPr>
          <w:rFonts w:hint="eastAsia"/>
          <w:b/>
          <w:snapToGrid w:val="0"/>
          <w:kern w:val="0"/>
          <w:szCs w:val="21"/>
        </w:rPr>
        <w:t>2</w:t>
      </w:r>
      <w:r>
        <w:rPr>
          <w:b/>
          <w:snapToGrid w:val="0"/>
          <w:kern w:val="0"/>
          <w:szCs w:val="21"/>
        </w:rPr>
        <w:t>X</w:t>
      </w:r>
    </w:p>
    <w:p w14:paraId="5C558A05">
      <w:pPr>
        <w:jc w:val="center"/>
        <w:rPr>
          <w:b/>
          <w:szCs w:val="21"/>
        </w:rPr>
      </w:pPr>
      <w:r>
        <w:rPr>
          <w:rFonts w:hint="eastAsia"/>
          <w:b/>
          <w:szCs w:val="21"/>
        </w:rPr>
        <w:t xml:space="preserve">                                                              </w:t>
      </w:r>
      <w:r>
        <w:rPr>
          <w:b/>
          <w:szCs w:val="21"/>
        </w:rPr>
        <w:t>备案号：J×－20</w:t>
      </w:r>
      <w:r>
        <w:rPr>
          <w:rFonts w:hint="eastAsia"/>
          <w:b/>
          <w:szCs w:val="21"/>
        </w:rPr>
        <w:t>2</w:t>
      </w:r>
      <w:r>
        <w:rPr>
          <w:b/>
          <w:szCs w:val="21"/>
        </w:rPr>
        <w:t>×</w:t>
      </w:r>
    </w:p>
    <w:p w14:paraId="589CB942">
      <w:pPr>
        <w:rPr>
          <w:sz w:val="28"/>
          <w:szCs w:val="28"/>
        </w:rPr>
      </w:pPr>
      <w:r>
        <mc:AlternateContent>
          <mc:Choice Requires="wps">
            <w:drawing>
              <wp:anchor distT="0" distB="0" distL="114300" distR="114300" simplePos="0" relativeHeight="251661312" behindDoc="0" locked="0" layoutInCell="1" allowOverlap="1">
                <wp:simplePos x="0" y="0"/>
                <wp:positionH relativeFrom="column">
                  <wp:posOffset>-19050</wp:posOffset>
                </wp:positionH>
                <wp:positionV relativeFrom="paragraph">
                  <wp:posOffset>49530</wp:posOffset>
                </wp:positionV>
                <wp:extent cx="6112510" cy="0"/>
                <wp:effectExtent l="0" t="4445" r="0" b="5080"/>
                <wp:wrapNone/>
                <wp:docPr id="123" name="直接连接符 123"/>
                <wp:cNvGraphicFramePr/>
                <a:graphic xmlns:a="http://schemas.openxmlformats.org/drawingml/2006/main">
                  <a:graphicData uri="http://schemas.microsoft.com/office/word/2010/wordprocessingShape">
                    <wps:wsp>
                      <wps:cNvCnPr>
                        <a:cxnSpLocks noChangeShapeType="1"/>
                      </wps:cNvCnPr>
                      <wps:spPr bwMode="auto">
                        <a:xfrm>
                          <a:off x="0" y="0"/>
                          <a:ext cx="611251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1.5pt;margin-top:3.9pt;height:0pt;width:481.3pt;z-index:251661312;mso-width-relative:page;mso-height-relative:page;" filled="f" stroked="t" coordsize="21600,21600" o:gfxdata="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AD15qbU&#10;AAAABgEAAA8AAAAAAAAAAQAgAAAAIgAAAGRycy9kb3ducmV2LnhtbFBLAQIUABQAAAAIAIdO4kBw&#10;a2LG6wEAALwDAAAOAAAAAAAAAAEAIAAAACMBAABkcnMvZTJvRG9jLnhtbFBLBQYAAAAABgAGAFkB&#10;AACABQAAAAA=&#10;">
                <v:fill on="f" focussize="0,0"/>
                <v:stroke color="#000000" joinstyle="round"/>
                <v:imagedata o:title=""/>
                <o:lock v:ext="edit" aspectratio="f"/>
              </v:line>
            </w:pict>
          </mc:Fallback>
        </mc:AlternateContent>
      </w:r>
    </w:p>
    <w:p w14:paraId="0F7BF1D8">
      <w:pPr>
        <w:rPr>
          <w:sz w:val="28"/>
          <w:szCs w:val="28"/>
        </w:rPr>
      </w:pPr>
    </w:p>
    <w:p w14:paraId="20F9AF48">
      <w:pPr>
        <w:rPr>
          <w:sz w:val="28"/>
          <w:szCs w:val="28"/>
        </w:rPr>
      </w:pPr>
    </w:p>
    <w:p w14:paraId="25C61F65">
      <w:pPr>
        <w:pStyle w:val="26"/>
        <w:spacing w:line="240" w:lineRule="auto"/>
        <w:rPr>
          <w:rFonts w:ascii="Times New Roman"/>
          <w:sz w:val="44"/>
          <w:szCs w:val="44"/>
        </w:rPr>
      </w:pPr>
      <w:bookmarkStart w:id="0" w:name="_Toc15565"/>
      <w:bookmarkStart w:id="1" w:name="_Toc32112"/>
      <w:bookmarkStart w:id="2" w:name="_Toc17698"/>
      <w:bookmarkStart w:id="3" w:name="_Toc15593"/>
      <w:bookmarkStart w:id="4" w:name="_Toc8386"/>
      <w:bookmarkStart w:id="5" w:name="_Toc25416"/>
      <w:bookmarkStart w:id="6" w:name="_Toc18275"/>
      <w:bookmarkStart w:id="7" w:name="_Toc32579"/>
      <w:r>
        <w:rPr>
          <w:rFonts w:hint="eastAsia" w:hAnsi="黑体" w:cs="黑体"/>
          <w:szCs w:val="52"/>
        </w:rPr>
        <w:t>建设工程施工现场安全防护、场容卫生及消防保卫标准 第4部分：</w:t>
      </w:r>
      <w:bookmarkEnd w:id="0"/>
      <w:bookmarkEnd w:id="1"/>
      <w:bookmarkEnd w:id="2"/>
      <w:bookmarkEnd w:id="3"/>
      <w:bookmarkEnd w:id="4"/>
      <w:bookmarkEnd w:id="5"/>
      <w:bookmarkEnd w:id="6"/>
      <w:bookmarkEnd w:id="7"/>
      <w:r>
        <w:rPr>
          <w:rFonts w:hint="eastAsia" w:hAnsi="黑体" w:cs="黑体"/>
          <w:szCs w:val="52"/>
        </w:rPr>
        <w:t>消防安全</w:t>
      </w:r>
    </w:p>
    <w:p w14:paraId="3CAF2F0C">
      <w:pPr>
        <w:ind w:left="-420" w:leftChars="-200"/>
        <w:jc w:val="center"/>
        <w:rPr>
          <w:sz w:val="28"/>
          <w:szCs w:val="28"/>
        </w:rPr>
      </w:pPr>
      <w:r>
        <w:rPr>
          <w:b/>
          <w:bCs/>
          <w:sz w:val="36"/>
          <w:szCs w:val="36"/>
        </w:rPr>
        <w:t>Construction site safety protection, site capacity sanitation and fire protection standards for construction projects—Part 4: Fire safety</w:t>
      </w:r>
    </w:p>
    <w:p w14:paraId="27ACB288">
      <w:pPr>
        <w:jc w:val="center"/>
        <w:rPr>
          <w:kern w:val="0"/>
          <w:sz w:val="28"/>
          <w:szCs w:val="28"/>
        </w:rPr>
      </w:pPr>
      <w:r>
        <w:rPr>
          <w:rFonts w:eastAsia="黑体"/>
          <w:kern w:val="0"/>
          <w:sz w:val="28"/>
          <w:szCs w:val="28"/>
        </w:rPr>
        <w:t>（</w:t>
      </w:r>
      <w:r>
        <w:rPr>
          <w:rFonts w:hint="eastAsia" w:eastAsia="黑体"/>
          <w:kern w:val="0"/>
          <w:sz w:val="28"/>
          <w:szCs w:val="28"/>
        </w:rPr>
        <w:t>征求意见稿</w:t>
      </w:r>
      <w:r>
        <w:rPr>
          <w:rFonts w:eastAsia="黑体"/>
          <w:kern w:val="0"/>
          <w:sz w:val="28"/>
          <w:szCs w:val="28"/>
        </w:rPr>
        <w:t>）</w:t>
      </w:r>
    </w:p>
    <w:p w14:paraId="2749D6B6">
      <w:pPr>
        <w:rPr>
          <w:sz w:val="28"/>
          <w:szCs w:val="28"/>
        </w:rPr>
      </w:pPr>
    </w:p>
    <w:p w14:paraId="56BECCA6">
      <w:pPr>
        <w:rPr>
          <w:sz w:val="28"/>
          <w:szCs w:val="28"/>
        </w:rPr>
      </w:pPr>
    </w:p>
    <w:p w14:paraId="70BDCF8C">
      <w:pPr>
        <w:jc w:val="center"/>
        <w:rPr>
          <w:rFonts w:eastAsia="黑体"/>
          <w:b/>
          <w:sz w:val="28"/>
          <w:szCs w:val="28"/>
        </w:rPr>
      </w:pPr>
      <w:r>
        <w:rPr>
          <w:rFonts w:eastAsia="黑体"/>
          <w:b/>
          <w:sz w:val="28"/>
          <w:szCs w:val="28"/>
        </w:rPr>
        <w:t>20</w:t>
      </w:r>
      <w:r>
        <w:rPr>
          <w:rFonts w:hint="eastAsia" w:eastAsia="黑体"/>
          <w:b/>
          <w:sz w:val="28"/>
          <w:szCs w:val="28"/>
        </w:rPr>
        <w:t>2</w:t>
      </w:r>
      <w:r>
        <w:rPr>
          <w:rFonts w:eastAsia="黑体"/>
          <w:b/>
          <w:sz w:val="28"/>
          <w:szCs w:val="28"/>
        </w:rPr>
        <w:t>×</w:t>
      </w:r>
      <w:r>
        <w:rPr>
          <w:rFonts w:hint="eastAsia" w:eastAsia="黑体"/>
          <w:b/>
          <w:sz w:val="28"/>
          <w:szCs w:val="28"/>
        </w:rPr>
        <w:t>－</w:t>
      </w:r>
      <w:r>
        <w:rPr>
          <w:rFonts w:eastAsia="黑体"/>
          <w:b/>
          <w:sz w:val="28"/>
          <w:szCs w:val="28"/>
        </w:rPr>
        <w:t>××</w:t>
      </w:r>
      <w:r>
        <w:rPr>
          <w:rFonts w:hint="eastAsia" w:eastAsia="黑体"/>
          <w:b/>
          <w:sz w:val="28"/>
          <w:szCs w:val="28"/>
        </w:rPr>
        <w:t>－</w:t>
      </w:r>
      <w:r>
        <w:rPr>
          <w:rFonts w:eastAsia="黑体"/>
          <w:b/>
          <w:sz w:val="28"/>
          <w:szCs w:val="28"/>
        </w:rPr>
        <w:t>××</w:t>
      </w:r>
      <w:r>
        <w:rPr>
          <w:rFonts w:hint="eastAsia" w:eastAsia="黑体"/>
          <w:b/>
          <w:sz w:val="28"/>
          <w:szCs w:val="28"/>
        </w:rPr>
        <w:t>发布</w:t>
      </w:r>
      <w:r>
        <w:rPr>
          <w:rFonts w:eastAsia="黑体"/>
          <w:b/>
          <w:sz w:val="28"/>
          <w:szCs w:val="28"/>
        </w:rPr>
        <w:t xml:space="preserve">                         20</w:t>
      </w:r>
      <w:r>
        <w:rPr>
          <w:rFonts w:hint="eastAsia" w:eastAsia="黑体"/>
          <w:b/>
          <w:sz w:val="28"/>
          <w:szCs w:val="28"/>
        </w:rPr>
        <w:t>2</w:t>
      </w:r>
      <w:r>
        <w:rPr>
          <w:rFonts w:eastAsia="黑体"/>
          <w:b/>
          <w:sz w:val="28"/>
          <w:szCs w:val="28"/>
        </w:rPr>
        <w:t>×</w:t>
      </w:r>
      <w:r>
        <w:rPr>
          <w:rFonts w:hint="eastAsia" w:eastAsia="黑体"/>
          <w:b/>
          <w:sz w:val="28"/>
          <w:szCs w:val="28"/>
        </w:rPr>
        <w:t>－</w:t>
      </w:r>
      <w:r>
        <w:rPr>
          <w:rFonts w:eastAsia="黑体"/>
          <w:b/>
          <w:sz w:val="28"/>
          <w:szCs w:val="28"/>
        </w:rPr>
        <w:t>××</w:t>
      </w:r>
      <w:r>
        <w:rPr>
          <w:rFonts w:hint="eastAsia" w:eastAsia="黑体"/>
          <w:b/>
          <w:sz w:val="28"/>
          <w:szCs w:val="28"/>
        </w:rPr>
        <w:t>－</w:t>
      </w:r>
      <w:r>
        <w:rPr>
          <w:rFonts w:eastAsia="黑体"/>
          <w:b/>
          <w:sz w:val="28"/>
          <w:szCs w:val="28"/>
        </w:rPr>
        <w:t>××</w:t>
      </w:r>
      <w:r>
        <w:rPr>
          <w:rFonts w:hint="eastAsia" w:eastAsia="黑体"/>
          <w:b/>
          <w:sz w:val="28"/>
          <w:szCs w:val="28"/>
        </w:rPr>
        <w:t>实施</w:t>
      </w:r>
    </w:p>
    <w:p w14:paraId="3CD0267F">
      <w:pPr>
        <w:rPr>
          <w:sz w:val="28"/>
          <w:szCs w:val="28"/>
        </w:rPr>
      </w:pPr>
      <w:r>
        <w:rPr>
          <w:rFonts w:ascii="Plotter" w:hAnsi="Plotter" w:cs="Plotter"/>
        </w:rPr>
        <mc:AlternateContent>
          <mc:Choice Requires="wps">
            <w:drawing>
              <wp:anchor distT="0" distB="0" distL="114300" distR="114300" simplePos="0" relativeHeight="251662336" behindDoc="0" locked="0" layoutInCell="1" allowOverlap="1">
                <wp:simplePos x="0" y="0"/>
                <wp:positionH relativeFrom="column">
                  <wp:posOffset>-66040</wp:posOffset>
                </wp:positionH>
                <wp:positionV relativeFrom="paragraph">
                  <wp:posOffset>24765</wp:posOffset>
                </wp:positionV>
                <wp:extent cx="6200775" cy="0"/>
                <wp:effectExtent l="0" t="4445" r="0" b="5080"/>
                <wp:wrapNone/>
                <wp:docPr id="70" name="直接连接符 70"/>
                <wp:cNvGraphicFramePr/>
                <a:graphic xmlns:a="http://schemas.openxmlformats.org/drawingml/2006/main">
                  <a:graphicData uri="http://schemas.microsoft.com/office/word/2010/wordprocessingShape">
                    <wps:wsp>
                      <wps:cNvCnPr>
                        <a:cxnSpLocks noChangeShapeType="1"/>
                      </wps:cNvCnPr>
                      <wps:spPr bwMode="auto">
                        <a:xfrm>
                          <a:off x="0" y="0"/>
                          <a:ext cx="6200775"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5.2pt;margin-top:1.95pt;height:0pt;width:488.25pt;z-index:251662336;mso-width-relative:page;mso-height-relative:page;" filled="f" stroked="t" coordsize="21600,21600" o:gfxdata="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MGxYCvV&#10;AAAABwEAAA8AAAAAAAAAAQAgAAAAIgAAAGRycy9kb3ducmV2LnhtbFBLAQIUABQAAAAIAIdO4kAL&#10;/fQf6gEAALoDAAAOAAAAAAAAAAEAIAAAACQBAABkcnMvZTJvRG9jLnhtbFBLBQYAAAAABgAGAFkB&#10;AACABQAAAAA=&#10;">
                <v:fill on="f" focussize="0,0"/>
                <v:stroke color="#000000" joinstyle="round"/>
                <v:imagedata o:title=""/>
                <o:lock v:ext="edit" aspectratio="f"/>
              </v:line>
            </w:pict>
          </mc:Fallback>
        </mc:AlternateContent>
      </w:r>
    </w:p>
    <w:p w14:paraId="18619AB3">
      <w:pPr>
        <w:ind w:firstLine="2570" w:firstLineChars="800"/>
        <w:rPr>
          <w:rFonts w:ascii="黑体" w:eastAsia="黑体"/>
          <w:b/>
          <w:sz w:val="32"/>
          <w:szCs w:val="32"/>
        </w:rPr>
      </w:pPr>
      <w:r>
        <w:rPr>
          <w:rFonts w:hint="eastAsia" w:ascii="黑体" w:eastAsia="黑体"/>
          <w:b/>
          <w:kern w:val="0"/>
          <w:sz w:val="32"/>
          <w:szCs w:val="32"/>
        </w:rPr>
        <mc:AlternateContent>
          <mc:Choice Requires="wps">
            <w:drawing>
              <wp:anchor distT="45720" distB="45720" distL="114300" distR="114300" simplePos="0" relativeHeight="251663360" behindDoc="0" locked="0" layoutInCell="1" allowOverlap="1">
                <wp:simplePos x="0" y="0"/>
                <wp:positionH relativeFrom="column">
                  <wp:posOffset>3838575</wp:posOffset>
                </wp:positionH>
                <wp:positionV relativeFrom="paragraph">
                  <wp:posOffset>152400</wp:posOffset>
                </wp:positionV>
                <wp:extent cx="1410970" cy="487680"/>
                <wp:effectExtent l="0" t="0" r="0" b="0"/>
                <wp:wrapSquare wrapText="bothSides"/>
                <wp:docPr id="80" name="文本框 80"/>
                <wp:cNvGraphicFramePr/>
                <a:graphic xmlns:a="http://schemas.openxmlformats.org/drawingml/2006/main">
                  <a:graphicData uri="http://schemas.microsoft.com/office/word/2010/wordprocessingShape">
                    <wps:wsp>
                      <wps:cNvSpPr txBox="1">
                        <a:spLocks noChangeArrowheads="1"/>
                      </wps:cNvSpPr>
                      <wps:spPr bwMode="auto">
                        <a:xfrm>
                          <a:off x="0" y="0"/>
                          <a:ext cx="1410970" cy="487680"/>
                        </a:xfrm>
                        <a:prstGeom prst="rect">
                          <a:avLst/>
                        </a:prstGeom>
                        <a:noFill/>
                        <a:ln w="9525">
                          <a:noFill/>
                          <a:miter lim="800000"/>
                        </a:ln>
                        <a:effectLst/>
                      </wps:spPr>
                      <wps:txbx>
                        <w:txbxContent>
                          <w:p w14:paraId="45421A86">
                            <w:r>
                              <w:rPr>
                                <w:rFonts w:ascii="黑体" w:eastAsia="黑体"/>
                                <w:b/>
                                <w:sz w:val="32"/>
                                <w:szCs w:val="32"/>
                              </w:rPr>
                              <w:t>联合</w:t>
                            </w:r>
                            <w:r>
                              <w:rPr>
                                <w:rFonts w:hint="eastAsia" w:ascii="黑体" w:eastAsia="黑体"/>
                                <w:b/>
                                <w:sz w:val="32"/>
                                <w:szCs w:val="32"/>
                              </w:rPr>
                              <w:t>发布</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302.25pt;margin-top:12pt;height:38.4pt;width:111.1pt;mso-wrap-distance-bottom:3.6pt;mso-wrap-distance-left:9pt;mso-wrap-distance-right:9pt;mso-wrap-distance-top:3.6pt;z-index:251663360;mso-width-relative:page;mso-height-relative:margin;mso-height-percent:200;" filled="f" stroked="f" coordsize="21600,21600" o:gfxdata="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b1eRldcAAAAKAQAADwAAAAAAAAABACAAAAAiAAAAZHJzL2Rvd25yZXYueG1sUEsBAhQAFAAA&#10;AAgAh07iQJidhUQpAgAAOQQAAA4AAAAAAAAAAQAgAAAAJgEAAGRycy9lMm9Eb2MueG1sUEsFBgAA&#10;AAAGAAYAWQEAAMEFAAAAAA==&#10;">
                <v:fill on="f" focussize="0,0"/>
                <v:stroke on="f" miterlimit="8" joinstyle="miter"/>
                <v:imagedata o:title=""/>
                <o:lock v:ext="edit" aspectratio="f"/>
                <v:textbox style="mso-fit-shape-to-text:t;">
                  <w:txbxContent>
                    <w:p w14:paraId="45421A86">
                      <w:r>
                        <w:rPr>
                          <w:rFonts w:ascii="黑体" w:eastAsia="黑体"/>
                          <w:b/>
                          <w:sz w:val="32"/>
                          <w:szCs w:val="32"/>
                        </w:rPr>
                        <w:t>联合</w:t>
                      </w:r>
                      <w:r>
                        <w:rPr>
                          <w:rFonts w:hint="eastAsia" w:ascii="黑体" w:eastAsia="黑体"/>
                          <w:b/>
                          <w:sz w:val="32"/>
                          <w:szCs w:val="32"/>
                        </w:rPr>
                        <w:t>发布</w:t>
                      </w:r>
                    </w:p>
                  </w:txbxContent>
                </v:textbox>
                <w10:wrap type="square"/>
              </v:shape>
            </w:pict>
          </mc:Fallback>
        </mc:AlternateContent>
      </w:r>
      <w:r>
        <w:rPr>
          <w:rFonts w:hint="eastAsia" w:ascii="黑体" w:eastAsia="黑体"/>
          <w:b/>
          <w:spacing w:val="0"/>
          <w:w w:val="78"/>
          <w:kern w:val="0"/>
          <w:sz w:val="32"/>
          <w:szCs w:val="32"/>
          <w:fitText w:val="3259" w:id="1588022425"/>
        </w:rPr>
        <w:t>北京市住房和城乡建设委员会</w:t>
      </w:r>
    </w:p>
    <w:p w14:paraId="73788038">
      <w:pPr>
        <w:jc w:val="center"/>
        <w:rPr>
          <w:rFonts w:ascii="黑体" w:eastAsia="黑体"/>
          <w:b/>
          <w:sz w:val="32"/>
          <w:szCs w:val="32"/>
        </w:rPr>
      </w:pPr>
      <w:r>
        <w:rPr>
          <w:rFonts w:hint="eastAsia" w:ascii="黑体" w:eastAsia="黑体"/>
          <w:b/>
          <w:sz w:val="32"/>
          <w:szCs w:val="32"/>
        </w:rPr>
        <w:t xml:space="preserve">               北京市市场监督管理局</w:t>
      </w:r>
    </w:p>
    <w:p w14:paraId="70DBD136">
      <w:pPr>
        <w:jc w:val="center"/>
        <w:rPr>
          <w:rFonts w:eastAsia="黑体"/>
          <w:b/>
          <w:sz w:val="32"/>
          <w:szCs w:val="32"/>
        </w:rPr>
        <w:sectPr>
          <w:headerReference r:id="rId3" w:type="default"/>
          <w:pgSz w:w="11906" w:h="16838"/>
          <w:pgMar w:top="1440" w:right="1689" w:bottom="1440" w:left="1397" w:header="851" w:footer="1474" w:gutter="0"/>
          <w:pgNumType w:start="1"/>
          <w:cols w:space="720" w:num="1"/>
          <w:titlePg/>
          <w:docGrid w:type="lines" w:linePitch="312" w:charSpace="0"/>
        </w:sectPr>
      </w:pPr>
    </w:p>
    <w:p w14:paraId="3BF601F9">
      <w:pPr>
        <w:jc w:val="center"/>
        <w:rPr>
          <w:rFonts w:eastAsia="黑体"/>
          <w:b/>
          <w:sz w:val="32"/>
          <w:szCs w:val="32"/>
        </w:rPr>
      </w:pPr>
      <w:r>
        <w:rPr>
          <w:rFonts w:eastAsia="黑体"/>
          <w:b/>
          <w:sz w:val="32"/>
          <w:szCs w:val="32"/>
        </w:rPr>
        <w:t>北京市地方标准</w:t>
      </w:r>
    </w:p>
    <w:p w14:paraId="67B682F3">
      <w:pPr>
        <w:jc w:val="center"/>
        <w:rPr>
          <w:rFonts w:eastAsia="黑体"/>
          <w:b/>
          <w:sz w:val="32"/>
          <w:szCs w:val="32"/>
        </w:rPr>
      </w:pPr>
    </w:p>
    <w:p w14:paraId="5FCA87C8">
      <w:pPr>
        <w:jc w:val="center"/>
        <w:rPr>
          <w:rFonts w:eastAsia="黑体"/>
          <w:b/>
          <w:sz w:val="32"/>
          <w:szCs w:val="32"/>
        </w:rPr>
      </w:pPr>
    </w:p>
    <w:p w14:paraId="77C7E5E2">
      <w:pPr>
        <w:jc w:val="center"/>
        <w:rPr>
          <w:rFonts w:eastAsia="黑体"/>
          <w:b/>
          <w:sz w:val="32"/>
          <w:szCs w:val="32"/>
        </w:rPr>
      </w:pPr>
    </w:p>
    <w:p w14:paraId="4ACB1453">
      <w:pPr>
        <w:pStyle w:val="26"/>
        <w:spacing w:line="240" w:lineRule="auto"/>
        <w:rPr>
          <w:rFonts w:ascii="Times New Roman"/>
          <w:sz w:val="44"/>
          <w:szCs w:val="44"/>
        </w:rPr>
      </w:pPr>
      <w:r>
        <w:rPr>
          <w:rFonts w:hint="eastAsia" w:ascii="Times New Roman"/>
          <w:sz w:val="44"/>
          <w:szCs w:val="44"/>
        </w:rPr>
        <w:t>建设工程施工现场安全防护、场容卫生及消防保卫标准 第4部分：消防安全</w:t>
      </w:r>
    </w:p>
    <w:p w14:paraId="6BD78C7E">
      <w:pPr>
        <w:jc w:val="center"/>
        <w:rPr>
          <w:rFonts w:eastAsia="黑体"/>
          <w:b/>
          <w:sz w:val="32"/>
          <w:szCs w:val="32"/>
        </w:rPr>
      </w:pPr>
      <w:r>
        <w:rPr>
          <w:rFonts w:hint="eastAsia"/>
          <w:sz w:val="32"/>
          <w:szCs w:val="32"/>
        </w:rPr>
        <w:t>Construction site safety protection, site capacity sanitation and fire protection standards for construction projects—Part 4: Fire safety</w:t>
      </w:r>
    </w:p>
    <w:p w14:paraId="47359D88">
      <w:pPr>
        <w:jc w:val="center"/>
        <w:rPr>
          <w:rFonts w:eastAsia="黑体"/>
          <w:b/>
          <w:szCs w:val="21"/>
        </w:rPr>
      </w:pPr>
      <w:bookmarkStart w:id="8" w:name="_Toc13134"/>
      <w:bookmarkStart w:id="9" w:name="_Toc3786"/>
      <w:bookmarkStart w:id="10" w:name="_Toc18263"/>
      <w:bookmarkStart w:id="11" w:name="_Toc14508"/>
      <w:r>
        <w:rPr>
          <w:rFonts w:hint="eastAsia" w:eastAsia="黑体"/>
          <w:b/>
          <w:szCs w:val="21"/>
        </w:rPr>
        <w:t xml:space="preserve"> </w:t>
      </w:r>
      <w:bookmarkStart w:id="12" w:name="_Toc6560"/>
      <w:bookmarkStart w:id="13" w:name="_Toc26741"/>
      <w:bookmarkStart w:id="14" w:name="_Toc7441"/>
      <w:bookmarkStart w:id="15" w:name="_Toc18859"/>
    </w:p>
    <w:p w14:paraId="6EE949A3">
      <w:pPr>
        <w:jc w:val="center"/>
        <w:rPr>
          <w:rFonts w:eastAsia="黑体"/>
          <w:b/>
          <w:szCs w:val="21"/>
        </w:rPr>
      </w:pPr>
    </w:p>
    <w:p w14:paraId="06BAED40">
      <w:pPr>
        <w:jc w:val="center"/>
        <w:rPr>
          <w:rFonts w:eastAsia="黑体"/>
          <w:b/>
          <w:szCs w:val="21"/>
        </w:rPr>
      </w:pPr>
    </w:p>
    <w:p w14:paraId="4C2C6D9E">
      <w:pPr>
        <w:jc w:val="center"/>
        <w:rPr>
          <w:rFonts w:hint="eastAsia" w:ascii="黑体" w:hAnsi="黑体" w:eastAsia="黑体" w:cs="黑体"/>
          <w:b/>
          <w:sz w:val="28"/>
          <w:szCs w:val="28"/>
        </w:rPr>
      </w:pPr>
      <w:r>
        <w:rPr>
          <w:rFonts w:hint="eastAsia" w:ascii="黑体" w:hAnsi="黑体" w:eastAsia="黑体" w:cs="黑体"/>
          <w:b/>
          <w:sz w:val="28"/>
          <w:szCs w:val="28"/>
        </w:rPr>
        <w:t>编  号：DB11/T XXX-202X</w:t>
      </w:r>
      <w:bookmarkEnd w:id="8"/>
      <w:bookmarkEnd w:id="9"/>
      <w:bookmarkEnd w:id="10"/>
      <w:bookmarkEnd w:id="11"/>
      <w:bookmarkEnd w:id="12"/>
      <w:bookmarkEnd w:id="13"/>
      <w:bookmarkEnd w:id="14"/>
      <w:bookmarkEnd w:id="15"/>
    </w:p>
    <w:p w14:paraId="5F76172B">
      <w:pPr>
        <w:ind w:firstLine="2811" w:firstLineChars="1000"/>
        <w:rPr>
          <w:rFonts w:hint="eastAsia" w:ascii="黑体" w:hAnsi="黑体" w:eastAsia="黑体" w:cs="黑体"/>
          <w:b/>
          <w:sz w:val="28"/>
          <w:szCs w:val="28"/>
        </w:rPr>
      </w:pPr>
      <w:r>
        <w:rPr>
          <w:rFonts w:hint="eastAsia" w:ascii="黑体" w:hAnsi="黑体" w:eastAsia="黑体" w:cs="黑体"/>
          <w:b/>
          <w:sz w:val="28"/>
          <w:szCs w:val="28"/>
        </w:rPr>
        <w:t>备案号：J</w:t>
      </w:r>
      <w:r>
        <w:rPr>
          <w:rFonts w:hint="eastAsia" w:ascii="黑体" w:hAnsi="黑体" w:eastAsia="黑体" w:cs="黑体"/>
          <w:sz w:val="28"/>
          <w:szCs w:val="28"/>
        </w:rPr>
        <w:t>×</w:t>
      </w:r>
      <w:r>
        <w:rPr>
          <w:rFonts w:hint="eastAsia" w:ascii="黑体" w:hAnsi="黑体" w:eastAsia="黑体" w:cs="黑体"/>
          <w:b/>
          <w:sz w:val="28"/>
          <w:szCs w:val="28"/>
        </w:rPr>
        <w:t xml:space="preserve">   -201</w:t>
      </w:r>
      <w:r>
        <w:rPr>
          <w:rFonts w:hint="eastAsia" w:ascii="黑体" w:hAnsi="黑体" w:eastAsia="黑体" w:cs="黑体"/>
          <w:sz w:val="28"/>
          <w:szCs w:val="28"/>
        </w:rPr>
        <w:t>×</w:t>
      </w:r>
    </w:p>
    <w:p w14:paraId="5063C57B">
      <w:pPr>
        <w:rPr>
          <w:szCs w:val="21"/>
        </w:rPr>
      </w:pPr>
    </w:p>
    <w:p w14:paraId="1E9BD900">
      <w:pPr>
        <w:ind w:firstLine="2520" w:firstLineChars="1200"/>
        <w:rPr>
          <w:szCs w:val="21"/>
        </w:rPr>
      </w:pPr>
    </w:p>
    <w:p w14:paraId="5BE09C41">
      <w:pPr>
        <w:ind w:firstLine="2520" w:firstLineChars="1200"/>
        <w:rPr>
          <w:szCs w:val="21"/>
        </w:rPr>
      </w:pPr>
      <w:r>
        <w:rPr>
          <w:szCs w:val="21"/>
        </w:rPr>
        <w:t>主编</w:t>
      </w:r>
      <w:r>
        <w:rPr>
          <w:rFonts w:hint="eastAsia"/>
          <w:szCs w:val="21"/>
        </w:rPr>
        <w:t>单位</w:t>
      </w:r>
      <w:r>
        <w:rPr>
          <w:szCs w:val="21"/>
        </w:rPr>
        <w:t>：</w:t>
      </w:r>
      <w:r>
        <w:rPr>
          <w:rFonts w:hint="eastAsia"/>
          <w:szCs w:val="21"/>
        </w:rPr>
        <w:t>北京住总第六开发建设有限公司</w:t>
      </w:r>
    </w:p>
    <w:p w14:paraId="52D75FD9">
      <w:pPr>
        <w:pStyle w:val="17"/>
        <w:spacing w:line="240" w:lineRule="auto"/>
        <w:ind w:firstLine="3570" w:firstLineChars="17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中国建筑第二工程局有限公司</w:t>
      </w:r>
    </w:p>
    <w:p w14:paraId="2B84F9CD">
      <w:pPr>
        <w:pStyle w:val="17"/>
        <w:spacing w:line="24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 xml:space="preserve">                              北京城建集团有限责任公司</w:t>
      </w:r>
    </w:p>
    <w:p w14:paraId="276FEB84">
      <w:pPr>
        <w:pStyle w:val="17"/>
        <w:spacing w:line="240" w:lineRule="auto"/>
        <w:ind w:firstLine="3570" w:firstLineChars="17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北京建工集团有限责任公司</w:t>
      </w:r>
    </w:p>
    <w:p w14:paraId="0BAAE9B8">
      <w:pPr>
        <w:pStyle w:val="17"/>
        <w:spacing w:line="240" w:lineRule="auto"/>
        <w:ind w:firstLine="3570" w:firstLineChars="1700"/>
        <w:rPr>
          <w:rFonts w:eastAsiaTheme="minorEastAsia"/>
          <w:szCs w:val="21"/>
        </w:rPr>
      </w:pPr>
      <w:r>
        <w:rPr>
          <w:rFonts w:hint="eastAsia" w:asciiTheme="minorEastAsia" w:hAnsiTheme="minorEastAsia" w:eastAsiaTheme="minorEastAsia" w:cstheme="minorEastAsia"/>
          <w:color w:val="auto"/>
          <w:sz w:val="21"/>
          <w:szCs w:val="21"/>
        </w:rPr>
        <w:t>北京城建科技促进会</w:t>
      </w:r>
    </w:p>
    <w:p w14:paraId="36D4E540">
      <w:pPr>
        <w:ind w:firstLine="2520" w:firstLineChars="1200"/>
        <w:rPr>
          <w:szCs w:val="21"/>
        </w:rPr>
      </w:pPr>
      <w:r>
        <w:rPr>
          <w:szCs w:val="21"/>
        </w:rPr>
        <w:t>批准部门：北京市</w:t>
      </w:r>
      <w:r>
        <w:rPr>
          <w:rFonts w:hint="eastAsia"/>
          <w:szCs w:val="21"/>
        </w:rPr>
        <w:t>市场监督管理</w:t>
      </w:r>
      <w:r>
        <w:rPr>
          <w:szCs w:val="21"/>
        </w:rPr>
        <w:t>局</w:t>
      </w:r>
    </w:p>
    <w:p w14:paraId="206BA4F0">
      <w:pPr>
        <w:ind w:firstLine="3570" w:firstLineChars="1700"/>
        <w:rPr>
          <w:szCs w:val="21"/>
        </w:rPr>
      </w:pPr>
    </w:p>
    <w:p w14:paraId="5CA3591D">
      <w:pPr>
        <w:ind w:firstLine="2520" w:firstLineChars="1200"/>
        <w:rPr>
          <w:szCs w:val="21"/>
        </w:rPr>
      </w:pPr>
      <w:r>
        <w:rPr>
          <w:szCs w:val="21"/>
        </w:rPr>
        <w:t>施行日期：20</w:t>
      </w:r>
      <w:r>
        <w:rPr>
          <w:rFonts w:hint="eastAsia"/>
          <w:szCs w:val="21"/>
        </w:rPr>
        <w:t>2</w:t>
      </w:r>
      <w:r>
        <w:rPr>
          <w:szCs w:val="21"/>
        </w:rPr>
        <w:t>×年×月×日</w:t>
      </w:r>
    </w:p>
    <w:p w14:paraId="019E83C8">
      <w:pPr>
        <w:rPr>
          <w:rFonts w:eastAsia="黑体"/>
          <w:b/>
          <w:sz w:val="32"/>
          <w:szCs w:val="32"/>
        </w:rPr>
      </w:pPr>
    </w:p>
    <w:p w14:paraId="393245C1">
      <w:pPr>
        <w:rPr>
          <w:rFonts w:eastAsia="黑体"/>
          <w:b/>
          <w:sz w:val="32"/>
          <w:szCs w:val="32"/>
        </w:rPr>
      </w:pPr>
    </w:p>
    <w:p w14:paraId="58AADC7F">
      <w:pPr>
        <w:rPr>
          <w:rFonts w:eastAsia="黑体"/>
          <w:b/>
          <w:sz w:val="32"/>
          <w:szCs w:val="32"/>
        </w:rPr>
      </w:pPr>
    </w:p>
    <w:p w14:paraId="2DD9E235">
      <w:pPr>
        <w:rPr>
          <w:rFonts w:eastAsia="黑体"/>
          <w:b/>
          <w:sz w:val="32"/>
          <w:szCs w:val="32"/>
        </w:rPr>
      </w:pPr>
    </w:p>
    <w:p w14:paraId="1AC7DE94">
      <w:pPr>
        <w:jc w:val="center"/>
        <w:rPr>
          <w:rFonts w:eastAsia="黑体"/>
          <w:szCs w:val="21"/>
        </w:rPr>
        <w:sectPr>
          <w:footerReference r:id="rId5" w:type="first"/>
          <w:footerReference r:id="rId4" w:type="default"/>
          <w:pgSz w:w="11906" w:h="16838"/>
          <w:pgMar w:top="1440" w:right="1689" w:bottom="1440" w:left="1397" w:header="851" w:footer="1474" w:gutter="0"/>
          <w:pgNumType w:start="1"/>
          <w:cols w:space="720" w:num="1"/>
          <w:titlePg/>
          <w:docGrid w:type="lines" w:linePitch="312" w:charSpace="0"/>
        </w:sectPr>
      </w:pPr>
      <w:r>
        <w:rPr>
          <w:rFonts w:eastAsia="黑体"/>
          <w:szCs w:val="21"/>
        </w:rPr>
        <w:t>20</w:t>
      </w:r>
      <w:r>
        <w:rPr>
          <w:rFonts w:hint="eastAsia" w:eastAsia="黑体"/>
          <w:szCs w:val="21"/>
        </w:rPr>
        <w:t>2</w:t>
      </w:r>
      <w:r>
        <w:rPr>
          <w:rFonts w:eastAsia="黑体"/>
          <w:b/>
          <w:sz w:val="28"/>
          <w:szCs w:val="28"/>
        </w:rPr>
        <w:t>×</w:t>
      </w:r>
      <w:r>
        <w:rPr>
          <w:rFonts w:eastAsia="黑体"/>
          <w:szCs w:val="21"/>
        </w:rPr>
        <w:t xml:space="preserve"> 北京</w:t>
      </w:r>
    </w:p>
    <w:p w14:paraId="00B286A5">
      <w:pPr>
        <w:overflowPunct w:val="0"/>
        <w:autoSpaceDE w:val="0"/>
        <w:autoSpaceDN w:val="0"/>
        <w:adjustRightInd w:val="0"/>
        <w:snapToGrid w:val="0"/>
        <w:spacing w:line="360" w:lineRule="auto"/>
        <w:jc w:val="center"/>
        <w:rPr>
          <w:rFonts w:eastAsia="新宋体"/>
          <w:b/>
          <w:color w:val="000000"/>
          <w:sz w:val="28"/>
          <w:szCs w:val="28"/>
        </w:rPr>
      </w:pPr>
      <w:r>
        <w:rPr>
          <w:rFonts w:eastAsia="新宋体"/>
          <w:b/>
          <w:color w:val="000000"/>
          <w:sz w:val="28"/>
          <w:szCs w:val="28"/>
        </w:rPr>
        <w:t>前 言</w:t>
      </w:r>
    </w:p>
    <w:p w14:paraId="5BE4283A">
      <w:pPr>
        <w:snapToGrid w:val="0"/>
        <w:spacing w:line="360" w:lineRule="auto"/>
        <w:ind w:firstLine="420" w:firstLineChars="200"/>
        <w:rPr>
          <w:color w:val="000000"/>
        </w:rPr>
      </w:pPr>
      <w:r>
        <w:rPr>
          <w:rFonts w:hint="eastAsia"/>
          <w:color w:val="000000"/>
        </w:rPr>
        <w:t>根据北京市市场监督管理局《关于印发2025年北京市地方标准制定项目计划的通知》（京市监发〔2025〕1 号）的要求，标准编制组经广泛调查研究，认真总结实践经验，参考有关国内外先进标准，并在广泛征求意见的基础上，制定本规程。</w:t>
      </w:r>
    </w:p>
    <w:p w14:paraId="5AE8336E">
      <w:pPr>
        <w:snapToGrid w:val="0"/>
        <w:spacing w:line="360" w:lineRule="auto"/>
        <w:ind w:firstLine="420" w:firstLineChars="200"/>
        <w:rPr>
          <w:color w:val="000000"/>
        </w:rPr>
      </w:pPr>
      <w:r>
        <w:rPr>
          <w:color w:val="000000"/>
        </w:rPr>
        <w:t>本标准的主要内容：</w:t>
      </w:r>
      <w:r>
        <w:rPr>
          <w:rFonts w:hint="eastAsia"/>
          <w:color w:val="000000"/>
        </w:rPr>
        <w:t>1总则；2术语；3基本规定；4防护设施；5脚手架；6施工用电；7消防安全。</w:t>
      </w:r>
    </w:p>
    <w:p w14:paraId="1909D9A8">
      <w:pPr>
        <w:snapToGrid w:val="0"/>
        <w:spacing w:line="360" w:lineRule="auto"/>
        <w:ind w:firstLine="420" w:firstLineChars="200"/>
        <w:rPr>
          <w:color w:val="000000"/>
        </w:rPr>
      </w:pPr>
      <w:r>
        <w:rPr>
          <w:rFonts w:hint="eastAsia" w:asciiTheme="minorEastAsia" w:hAnsiTheme="minorEastAsia" w:eastAsiaTheme="minorEastAsia" w:cstheme="minorEastAsia"/>
          <w:szCs w:val="21"/>
        </w:rPr>
        <w:t>本标准由北京市住房和城乡建设委员会和北京市市场监督管理局共同负责管理，北京市住房和城乡建设委员会归口、组织实施并组织编制单位对本标准的具体内容进行解释。执行过程中如有意见或建议，请寄送北京城建科技促进会（地址：北京市西城区广莲路1号建工大厦9层，邮编：100055；电话：010-63989087电子邮箱：cjhbzb@163.com）。</w:t>
      </w:r>
      <w:r>
        <w:rPr>
          <w:color w:val="000000"/>
        </w:rPr>
        <w:t xml:space="preserve"> </w:t>
      </w:r>
    </w:p>
    <w:p w14:paraId="29EFBB94">
      <w:pPr>
        <w:pStyle w:val="17"/>
        <w:rPr>
          <w:rFonts w:hint="eastAsia" w:asciiTheme="minorEastAsia" w:hAnsiTheme="minorEastAsia" w:eastAsiaTheme="minorEastAsia" w:cstheme="minorEastAsia"/>
          <w:color w:val="auto"/>
          <w:sz w:val="21"/>
          <w:szCs w:val="21"/>
          <w:lang w:val="zh-CN"/>
        </w:rPr>
      </w:pPr>
    </w:p>
    <w:p w14:paraId="6CFBE36C">
      <w:pPr>
        <w:pStyle w:val="17"/>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zh-CN"/>
        </w:rPr>
        <w:t>本</w:t>
      </w:r>
      <w:r>
        <w:rPr>
          <w:rFonts w:hint="eastAsia" w:asciiTheme="minorEastAsia" w:hAnsiTheme="minorEastAsia" w:eastAsiaTheme="minorEastAsia" w:cstheme="minorEastAsia"/>
          <w:color w:val="auto"/>
          <w:sz w:val="21"/>
          <w:szCs w:val="21"/>
        </w:rPr>
        <w:t>标准</w:t>
      </w:r>
      <w:r>
        <w:rPr>
          <w:rFonts w:hint="eastAsia" w:asciiTheme="minorEastAsia" w:hAnsiTheme="minorEastAsia" w:eastAsiaTheme="minorEastAsia" w:cstheme="minorEastAsia"/>
          <w:color w:val="auto"/>
          <w:sz w:val="21"/>
          <w:szCs w:val="21"/>
          <w:lang w:val="zh-CN"/>
        </w:rPr>
        <w:t>主编单位</w:t>
      </w:r>
      <w:r>
        <w:rPr>
          <w:rFonts w:hint="eastAsia" w:asciiTheme="minorEastAsia" w:hAnsiTheme="minorEastAsia" w:eastAsiaTheme="minorEastAsia" w:cstheme="minorEastAsia"/>
          <w:color w:val="auto"/>
          <w:sz w:val="21"/>
          <w:szCs w:val="21"/>
        </w:rPr>
        <w:t>：北京住总第六开发建设有限公司</w:t>
      </w:r>
    </w:p>
    <w:p w14:paraId="16508B17">
      <w:pPr>
        <w:pStyle w:val="17"/>
        <w:ind w:firstLine="2100" w:firstLineChars="10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中国建筑第二工程局有限公司</w:t>
      </w:r>
    </w:p>
    <w:p w14:paraId="2AF4B7B7">
      <w:pPr>
        <w:pStyle w:val="17"/>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 xml:space="preserve">                北京城建集团有限责任公司</w:t>
      </w:r>
    </w:p>
    <w:p w14:paraId="0938B077">
      <w:pPr>
        <w:pStyle w:val="17"/>
        <w:ind w:firstLine="2100" w:firstLineChars="10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北京建工集团有限责任公司</w:t>
      </w:r>
    </w:p>
    <w:p w14:paraId="5ED6758F">
      <w:pPr>
        <w:pStyle w:val="17"/>
        <w:ind w:firstLine="2100" w:firstLineChars="100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北京城建科技促进会</w:t>
      </w:r>
    </w:p>
    <w:p w14:paraId="6468CEDB">
      <w:pPr>
        <w:pStyle w:val="6"/>
        <w:spacing w:after="0"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本</w:t>
      </w:r>
      <w:r>
        <w:rPr>
          <w:rFonts w:hint="eastAsia" w:asciiTheme="minorEastAsia" w:hAnsiTheme="minorEastAsia" w:eastAsiaTheme="minorEastAsia" w:cstheme="minorEastAsia"/>
          <w:szCs w:val="21"/>
          <w:lang w:val="en-US"/>
        </w:rPr>
        <w:t>标准</w:t>
      </w:r>
      <w:r>
        <w:rPr>
          <w:rFonts w:hint="eastAsia" w:asciiTheme="minorEastAsia" w:hAnsiTheme="minorEastAsia" w:eastAsiaTheme="minorEastAsia" w:cstheme="minorEastAsia"/>
          <w:szCs w:val="21"/>
        </w:rPr>
        <w:t>参编单位：北京城建十六建筑工程有限责任公司</w:t>
      </w:r>
    </w:p>
    <w:p w14:paraId="23D49495">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北京城建七建设工程有限公司</w:t>
      </w:r>
    </w:p>
    <w:p w14:paraId="2D54D69F">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中国新兴建筑工程有限责任公司</w:t>
      </w:r>
    </w:p>
    <w:p w14:paraId="2ABA57F9">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中国建筑第八工程局有限公司</w:t>
      </w:r>
    </w:p>
    <w:p w14:paraId="49CDA680">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北京安泰德科技有限公司</w:t>
      </w:r>
    </w:p>
    <w:p w14:paraId="71795B6E">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北京中冶和坤天冕工程技术有限公司</w:t>
      </w:r>
    </w:p>
    <w:p w14:paraId="57B5907B">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北京住总集团有限责任公司</w:t>
      </w:r>
    </w:p>
    <w:p w14:paraId="6B74B2E5">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中建三局集团有限公司</w:t>
      </w:r>
    </w:p>
    <w:p w14:paraId="76FFF0D3">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中国建筑第四工程局有限公司</w:t>
      </w:r>
    </w:p>
    <w:p w14:paraId="53C6D5BF">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中国建筑第五工程局有限公司</w:t>
      </w:r>
    </w:p>
    <w:p w14:paraId="0E02ED69">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中铁建工集团有限公司</w:t>
      </w:r>
    </w:p>
    <w:p w14:paraId="215A93A3">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中国新兴建设开发有限责任公司</w:t>
      </w:r>
    </w:p>
    <w:p w14:paraId="2ADE9A6D">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北京市大兴区建设集团有限公司</w:t>
      </w:r>
    </w:p>
    <w:p w14:paraId="38D702A4">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中交一公局集团有限公司</w:t>
      </w:r>
    </w:p>
    <w:p w14:paraId="2B8D2C84">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中铁十八局集团有限公司</w:t>
      </w:r>
    </w:p>
    <w:p w14:paraId="61F17CBF">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北京兴坤建筑有限公司</w:t>
      </w:r>
    </w:p>
    <w:p w14:paraId="084B9F74">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北京博大经开建设有限公司</w:t>
      </w:r>
    </w:p>
    <w:p w14:paraId="5830E67A">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北京城建一建设发展有限责任公司</w:t>
      </w:r>
    </w:p>
    <w:p w14:paraId="6706BF25">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中国建筑土木建设有限公司</w:t>
      </w:r>
    </w:p>
    <w:p w14:paraId="08DFCCB4">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北京城建六建设集团有限公司</w:t>
      </w:r>
    </w:p>
    <w:p w14:paraId="0CBCDC34">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中航天建设工程集团有限公司</w:t>
      </w:r>
    </w:p>
    <w:p w14:paraId="44585CF4">
      <w:pPr>
        <w:pStyle w:val="6"/>
        <w:spacing w:after="0" w:line="360" w:lineRule="auto"/>
        <w:ind w:firstLine="2100" w:firstLineChars="1000"/>
        <w:rPr>
          <w:rFonts w:hint="eastAsia" w:asciiTheme="minorEastAsia" w:hAnsiTheme="minorEastAsia" w:eastAsiaTheme="minorEastAsia" w:cstheme="minorEastAsia"/>
          <w:szCs w:val="21"/>
          <w:lang w:val="en-US"/>
        </w:rPr>
      </w:pPr>
      <w:r>
        <w:rPr>
          <w:rFonts w:hint="eastAsia" w:asciiTheme="minorEastAsia" w:hAnsiTheme="minorEastAsia" w:eastAsiaTheme="minorEastAsia" w:cstheme="minorEastAsia"/>
          <w:szCs w:val="21"/>
          <w:lang w:val="en-US"/>
        </w:rPr>
        <w:t>中航建设集团有限公司</w:t>
      </w:r>
    </w:p>
    <w:p w14:paraId="0CF2E0F9">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北京城建亚泰建设集团有限公司</w:t>
      </w:r>
    </w:p>
    <w:p w14:paraId="5CAD6C40">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北京市第三建筑工程有限公司</w:t>
      </w:r>
    </w:p>
    <w:p w14:paraId="041EAB25">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中北华宇建筑工程公司</w:t>
      </w:r>
    </w:p>
    <w:p w14:paraId="27986064">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北京长安建筑工程有限公司</w:t>
      </w:r>
    </w:p>
    <w:p w14:paraId="1BB6ADC7">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北京建工土木工程有限公司</w:t>
      </w:r>
    </w:p>
    <w:p w14:paraId="4A356FC7">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中昊欣源建设集团有限公司</w:t>
      </w:r>
    </w:p>
    <w:p w14:paraId="7F0DFFE1">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北京建工一建工程建设有限公司</w:t>
      </w:r>
    </w:p>
    <w:p w14:paraId="571E4BBB">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北京城建华晟交通建设有限公司</w:t>
      </w:r>
    </w:p>
    <w:p w14:paraId="404C1B7A">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北京双圆工程咨询监理有限公司</w:t>
      </w:r>
    </w:p>
    <w:p w14:paraId="42C6E94B">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北京恒溢源建设工程有限公司</w:t>
      </w:r>
    </w:p>
    <w:p w14:paraId="63F0B125">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北京达三江电器厂</w:t>
      </w:r>
    </w:p>
    <w:p w14:paraId="23C8BC8C">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北京房修一建筑工程有限公司</w:t>
      </w:r>
    </w:p>
    <w:p w14:paraId="66F6141C">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北京兴电国际工程管理有限公司</w:t>
      </w:r>
    </w:p>
    <w:p w14:paraId="096E5A6E">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北京城建北方集团有限公司</w:t>
      </w:r>
    </w:p>
    <w:p w14:paraId="698FE2C8">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北京建工远大建设有限公司</w:t>
      </w:r>
    </w:p>
    <w:p w14:paraId="4FFC1508">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北京大唐首邑建筑集团有限责任公司</w:t>
      </w:r>
    </w:p>
    <w:p w14:paraId="14BFAFD9">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戴工建设集团有限公司</w:t>
      </w:r>
    </w:p>
    <w:p w14:paraId="18C9C671">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中坝建工(北京)有限公司</w:t>
      </w:r>
    </w:p>
    <w:p w14:paraId="0FCE8FC8">
      <w:pPr>
        <w:pStyle w:val="6"/>
        <w:spacing w:after="0" w:line="360" w:lineRule="auto"/>
        <w:ind w:firstLine="2100" w:firstLineChars="10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中新合创建设集团有限公司</w:t>
      </w:r>
    </w:p>
    <w:p w14:paraId="026E9E03">
      <w:pPr>
        <w:spacing w:line="360" w:lineRule="auto"/>
        <w:ind w:firstLine="420" w:firstLineChars="200"/>
        <w:rPr>
          <w:szCs w:val="24"/>
        </w:rPr>
      </w:pPr>
      <w:r>
        <w:rPr>
          <w:rFonts w:hint="eastAsia" w:asciiTheme="minorEastAsia" w:hAnsiTheme="minorEastAsia" w:eastAsiaTheme="minorEastAsia" w:cstheme="minorEastAsia"/>
          <w:szCs w:val="21"/>
        </w:rPr>
        <w:t>本标准主要起草人员：</w:t>
      </w:r>
      <w:r>
        <w:rPr>
          <w:rFonts w:hint="eastAsia" w:asciiTheme="minorEastAsia" w:hAnsiTheme="minorEastAsia" w:eastAsiaTheme="minorEastAsia" w:cstheme="minorEastAsia"/>
          <w:szCs w:val="21"/>
          <w:lang w:val="zh-CN"/>
        </w:rPr>
        <w:t>刘文政</w:t>
      </w:r>
      <w:r>
        <w:rPr>
          <w:rFonts w:hint="eastAsia" w:asciiTheme="minorEastAsia" w:hAnsiTheme="minorEastAsia" w:eastAsiaTheme="minorEastAsia" w:cstheme="minorEastAsia"/>
          <w:szCs w:val="21"/>
        </w:rPr>
        <w:t xml:space="preserve">  张兴波  卢希峰  张静涛  </w:t>
      </w:r>
      <w:r>
        <w:rPr>
          <w:rFonts w:hint="eastAsia"/>
          <w:szCs w:val="24"/>
        </w:rPr>
        <w:t>萧  宏  王攀峰  邵  腾</w:t>
      </w:r>
    </w:p>
    <w:p w14:paraId="68B08EF6">
      <w:pPr>
        <w:spacing w:line="360" w:lineRule="auto"/>
        <w:ind w:firstLine="420" w:firstLineChars="200"/>
        <w:rPr>
          <w:szCs w:val="24"/>
        </w:rPr>
      </w:pPr>
      <w:r>
        <w:rPr>
          <w:rFonts w:hint="eastAsia"/>
          <w:szCs w:val="24"/>
        </w:rPr>
        <w:t xml:space="preserve">                    曹彦平  郝  栋  尹  强  侯  博  李爱华  崔长坡  百世健  </w:t>
      </w:r>
    </w:p>
    <w:p w14:paraId="58696436">
      <w:pPr>
        <w:spacing w:line="360" w:lineRule="auto"/>
        <w:ind w:firstLine="2520" w:firstLineChars="1200"/>
        <w:rPr>
          <w:szCs w:val="24"/>
        </w:rPr>
      </w:pPr>
      <w:r>
        <w:rPr>
          <w:rFonts w:hint="eastAsia"/>
          <w:szCs w:val="24"/>
        </w:rPr>
        <w:t xml:space="preserve">桑兆龙  何海琦  郭  峰  刘叶语  吉祖友  张兴振  李  琨  </w:t>
      </w:r>
    </w:p>
    <w:p w14:paraId="5E364B39">
      <w:pPr>
        <w:spacing w:line="360" w:lineRule="auto"/>
        <w:ind w:firstLine="2520" w:firstLineChars="1200"/>
        <w:rPr>
          <w:szCs w:val="24"/>
        </w:rPr>
      </w:pPr>
      <w:r>
        <w:rPr>
          <w:rFonts w:hint="eastAsia"/>
          <w:szCs w:val="24"/>
        </w:rPr>
        <w:t xml:space="preserve">徐健桐  齐向勇  任长宁  李永伟  相建诚  姚  骥  李  城  </w:t>
      </w:r>
    </w:p>
    <w:p w14:paraId="63F0C137">
      <w:pPr>
        <w:spacing w:line="360" w:lineRule="auto"/>
        <w:ind w:firstLine="2520" w:firstLineChars="1200"/>
        <w:rPr>
          <w:szCs w:val="24"/>
        </w:rPr>
      </w:pPr>
      <w:r>
        <w:rPr>
          <w:rFonts w:hint="eastAsia"/>
          <w:szCs w:val="24"/>
        </w:rPr>
        <w:t xml:space="preserve">艾玉宁  颜钢文  贠  杰  左  君  许博思  符建超  刘龙江  </w:t>
      </w:r>
    </w:p>
    <w:p w14:paraId="26315052">
      <w:pPr>
        <w:spacing w:line="360" w:lineRule="auto"/>
        <w:ind w:firstLine="2520" w:firstLineChars="1200"/>
        <w:rPr>
          <w:szCs w:val="24"/>
        </w:rPr>
      </w:pPr>
      <w:r>
        <w:rPr>
          <w:rFonts w:hint="eastAsia"/>
          <w:szCs w:val="24"/>
        </w:rPr>
        <w:t xml:space="preserve">谢会雪  王念念  闫满义  张广宇  董海峰  吴学勇  王广齐  </w:t>
      </w:r>
    </w:p>
    <w:p w14:paraId="4CE31E7F">
      <w:pPr>
        <w:spacing w:line="360" w:lineRule="auto"/>
        <w:ind w:firstLine="2520" w:firstLineChars="1200"/>
        <w:rPr>
          <w:szCs w:val="24"/>
        </w:rPr>
      </w:pPr>
      <w:r>
        <w:rPr>
          <w:rFonts w:hint="eastAsia"/>
          <w:szCs w:val="24"/>
        </w:rPr>
        <w:t xml:space="preserve">高月龙  齐丛林  张剑平  刘  浩  潘建国  陈燕鹏  吴志刚  </w:t>
      </w:r>
    </w:p>
    <w:p w14:paraId="4015DDA1">
      <w:pPr>
        <w:spacing w:line="360" w:lineRule="auto"/>
        <w:ind w:firstLine="2520" w:firstLineChars="1200"/>
        <w:rPr>
          <w:szCs w:val="24"/>
        </w:rPr>
      </w:pPr>
      <w:r>
        <w:rPr>
          <w:rFonts w:hint="eastAsia"/>
          <w:szCs w:val="24"/>
        </w:rPr>
        <w:t xml:space="preserve">胡雷嵩  李世泉  李兆祥  王一川  袁勇军  许世宁  牛慧斌  </w:t>
      </w:r>
    </w:p>
    <w:p w14:paraId="21E44E1E">
      <w:pPr>
        <w:spacing w:line="360" w:lineRule="auto"/>
        <w:ind w:firstLine="2520" w:firstLineChars="1200"/>
        <w:rPr>
          <w:szCs w:val="24"/>
        </w:rPr>
      </w:pPr>
      <w:r>
        <w:rPr>
          <w:rFonts w:hint="eastAsia"/>
          <w:szCs w:val="24"/>
        </w:rPr>
        <w:t xml:space="preserve">唐  平  周卫新  苏志国  肖鸿宇  姚常胜  冀  超  王  涛  </w:t>
      </w:r>
    </w:p>
    <w:p w14:paraId="4E95AC90">
      <w:pPr>
        <w:spacing w:line="360" w:lineRule="auto"/>
        <w:ind w:firstLine="2520" w:firstLineChars="1200"/>
        <w:rPr>
          <w:szCs w:val="24"/>
        </w:rPr>
      </w:pPr>
      <w:r>
        <w:rPr>
          <w:rFonts w:hint="eastAsia"/>
          <w:szCs w:val="24"/>
        </w:rPr>
        <w:t>傅  永  田树玲  徐  耕  张井华  吕银龙  王晓彬 张江辉</w:t>
      </w:r>
    </w:p>
    <w:p w14:paraId="5F09FE15">
      <w:pPr>
        <w:spacing w:line="360" w:lineRule="auto"/>
        <w:ind w:firstLine="2520" w:firstLineChars="1200"/>
        <w:rPr>
          <w:szCs w:val="24"/>
        </w:rPr>
      </w:pPr>
      <w:r>
        <w:rPr>
          <w:rFonts w:hint="eastAsia"/>
          <w:szCs w:val="24"/>
        </w:rPr>
        <w:t xml:space="preserve">郝爱梅  姜  辉  李晓亮  翟瑞刚  卢  浩  郑芳草  刘亚辉  </w:t>
      </w:r>
    </w:p>
    <w:p w14:paraId="1D654971">
      <w:pPr>
        <w:spacing w:line="360" w:lineRule="auto"/>
        <w:ind w:firstLine="2520" w:firstLineChars="1200"/>
        <w:rPr>
          <w:szCs w:val="24"/>
        </w:rPr>
      </w:pPr>
      <w:r>
        <w:rPr>
          <w:rFonts w:hint="eastAsia"/>
          <w:szCs w:val="24"/>
        </w:rPr>
        <w:t xml:space="preserve">仲泓韦  徐  达  王  军  李  军  谷学东  吕海生  刘汝超  </w:t>
      </w:r>
    </w:p>
    <w:p w14:paraId="51BF3769">
      <w:pPr>
        <w:spacing w:line="360" w:lineRule="auto"/>
        <w:ind w:firstLine="2520" w:firstLineChars="1200"/>
        <w:rPr>
          <w:szCs w:val="24"/>
        </w:rPr>
      </w:pPr>
      <w:r>
        <w:rPr>
          <w:rFonts w:hint="eastAsia"/>
          <w:szCs w:val="24"/>
        </w:rPr>
        <w:t xml:space="preserve">任  皓  </w:t>
      </w:r>
      <w:r>
        <w:rPr>
          <w:szCs w:val="24"/>
        </w:rPr>
        <w:t>丁</w:t>
      </w:r>
      <w:r>
        <w:rPr>
          <w:rFonts w:hint="eastAsia"/>
          <w:szCs w:val="24"/>
        </w:rPr>
        <w:t xml:space="preserve">  </w:t>
      </w:r>
      <w:r>
        <w:rPr>
          <w:szCs w:val="24"/>
        </w:rPr>
        <w:t>波</w:t>
      </w:r>
      <w:r>
        <w:rPr>
          <w:rFonts w:hint="eastAsia"/>
          <w:szCs w:val="24"/>
        </w:rPr>
        <w:t xml:space="preserve">  谢军勇  彭  冬  孟祥义  张宝晖  周海新  </w:t>
      </w:r>
    </w:p>
    <w:p w14:paraId="2FBD9C4D">
      <w:pPr>
        <w:spacing w:line="360" w:lineRule="auto"/>
        <w:ind w:firstLine="2520" w:firstLineChars="1200"/>
        <w:rPr>
          <w:szCs w:val="24"/>
        </w:rPr>
      </w:pPr>
      <w:r>
        <w:rPr>
          <w:rFonts w:hint="eastAsia"/>
          <w:szCs w:val="24"/>
        </w:rPr>
        <w:t xml:space="preserve">孙志远  李小霞  金  辉  徐  莹  吕  镇  姚  兵  曹  鹏  </w:t>
      </w:r>
    </w:p>
    <w:p w14:paraId="1821F1B1">
      <w:pPr>
        <w:spacing w:line="360" w:lineRule="auto"/>
        <w:ind w:firstLine="2520" w:firstLineChars="1200"/>
        <w:rPr>
          <w:szCs w:val="24"/>
        </w:rPr>
      </w:pPr>
      <w:r>
        <w:rPr>
          <w:rFonts w:hint="eastAsia"/>
          <w:szCs w:val="24"/>
        </w:rPr>
        <w:t xml:space="preserve">王海鱼  许  桥  韩  菁  王  舰  韩建超  姚  震  郝  雪  </w:t>
      </w:r>
    </w:p>
    <w:p w14:paraId="6941E439">
      <w:pPr>
        <w:spacing w:line="360" w:lineRule="auto"/>
        <w:ind w:firstLine="2520" w:firstLineChars="1200"/>
        <w:rPr>
          <w:szCs w:val="24"/>
        </w:rPr>
      </w:pPr>
      <w:r>
        <w:rPr>
          <w:szCs w:val="24"/>
        </w:rPr>
        <w:t>常宏友</w:t>
      </w:r>
      <w:r>
        <w:rPr>
          <w:rFonts w:hint="eastAsia"/>
          <w:szCs w:val="24"/>
        </w:rPr>
        <w:t xml:space="preserve">  </w:t>
      </w:r>
      <w:r>
        <w:rPr>
          <w:szCs w:val="24"/>
        </w:rPr>
        <w:t>王伟娟</w:t>
      </w:r>
      <w:r>
        <w:rPr>
          <w:rFonts w:hint="eastAsia"/>
          <w:szCs w:val="24"/>
        </w:rPr>
        <w:t xml:space="preserve">  杨又申  王东齐  刘兴旺  刘  强  </w:t>
      </w:r>
      <w:r>
        <w:rPr>
          <w:szCs w:val="24"/>
        </w:rPr>
        <w:t>李</w:t>
      </w:r>
      <w:r>
        <w:rPr>
          <w:rFonts w:hint="eastAsia"/>
          <w:szCs w:val="24"/>
        </w:rPr>
        <w:t xml:space="preserve">  </w:t>
      </w:r>
      <w:r>
        <w:rPr>
          <w:szCs w:val="24"/>
        </w:rPr>
        <w:t>苗</w:t>
      </w:r>
      <w:r>
        <w:rPr>
          <w:rFonts w:hint="eastAsia"/>
          <w:szCs w:val="24"/>
        </w:rPr>
        <w:t xml:space="preserve"> </w:t>
      </w:r>
    </w:p>
    <w:p w14:paraId="1FDD3F24">
      <w:pPr>
        <w:spacing w:line="360" w:lineRule="auto"/>
        <w:ind w:firstLine="2520" w:firstLineChars="1200"/>
        <w:rPr>
          <w:szCs w:val="24"/>
        </w:rPr>
      </w:pPr>
      <w:r>
        <w:rPr>
          <w:szCs w:val="24"/>
        </w:rPr>
        <w:t>冯</w:t>
      </w:r>
      <w:r>
        <w:rPr>
          <w:rFonts w:hint="eastAsia"/>
          <w:szCs w:val="24"/>
        </w:rPr>
        <w:t xml:space="preserve">  </w:t>
      </w:r>
      <w:r>
        <w:rPr>
          <w:szCs w:val="24"/>
        </w:rPr>
        <w:t>宗</w:t>
      </w:r>
      <w:r>
        <w:rPr>
          <w:rFonts w:hint="eastAsia"/>
          <w:szCs w:val="24"/>
        </w:rPr>
        <w:t xml:space="preserve">  孙  华  张宏岩  高伟杰  牛洪军  庞金武  刘宝权  </w:t>
      </w:r>
    </w:p>
    <w:p w14:paraId="05CC1928">
      <w:pPr>
        <w:spacing w:line="360" w:lineRule="auto"/>
        <w:ind w:firstLine="2520" w:firstLineChars="1200"/>
        <w:rPr>
          <w:szCs w:val="24"/>
        </w:rPr>
      </w:pPr>
      <w:r>
        <w:rPr>
          <w:rFonts w:hint="eastAsia"/>
          <w:szCs w:val="24"/>
        </w:rPr>
        <w:t xml:space="preserve">杨  余  刘树涛  刘  鹏  申  楠  张亚静  陈  波  张  泰  </w:t>
      </w:r>
    </w:p>
    <w:p w14:paraId="01EDB52E">
      <w:pPr>
        <w:spacing w:line="360" w:lineRule="auto"/>
        <w:ind w:firstLine="420" w:firstLineChars="200"/>
        <w:rPr>
          <w:rFonts w:hint="eastAsia" w:asciiTheme="minorEastAsia" w:hAnsiTheme="minorEastAsia" w:eastAsiaTheme="minorEastAsia"/>
          <w:bCs/>
          <w:sz w:val="24"/>
        </w:rPr>
      </w:pPr>
      <w:r>
        <w:rPr>
          <w:rFonts w:hint="eastAsia" w:asciiTheme="minorEastAsia" w:hAnsiTheme="minorEastAsia" w:eastAsiaTheme="minorEastAsia" w:cstheme="minorEastAsia"/>
          <w:szCs w:val="21"/>
        </w:rPr>
        <w:t>本标准主要审查人员：</w:t>
      </w:r>
    </w:p>
    <w:p w14:paraId="174C482E">
      <w:pPr>
        <w:rPr>
          <w:rFonts w:hint="eastAsia" w:ascii="黑体" w:hAnsi="黑体" w:eastAsia="黑体" w:cs="黑体"/>
          <w:sz w:val="28"/>
          <w:szCs w:val="28"/>
        </w:rPr>
      </w:pPr>
    </w:p>
    <w:p w14:paraId="6479D577">
      <w:pPr>
        <w:rPr>
          <w:rFonts w:hint="eastAsia" w:ascii="黑体" w:hAnsi="黑体" w:eastAsia="黑体" w:cs="黑体"/>
          <w:sz w:val="28"/>
          <w:szCs w:val="28"/>
        </w:rPr>
      </w:pPr>
      <w:r>
        <w:rPr>
          <w:rFonts w:hint="eastAsia" w:ascii="黑体" w:hAnsi="黑体" w:eastAsia="黑体" w:cs="黑体"/>
          <w:sz w:val="28"/>
          <w:szCs w:val="28"/>
        </w:rPr>
        <w:br w:type="page"/>
      </w:r>
    </w:p>
    <w:p w14:paraId="30FF3563">
      <w:pPr>
        <w:tabs>
          <w:tab w:val="left" w:pos="3097"/>
          <w:tab w:val="center" w:pos="4454"/>
        </w:tabs>
        <w:jc w:val="center"/>
        <w:rPr>
          <w:rFonts w:hint="eastAsia" w:ascii="黑体" w:hAnsi="黑体" w:eastAsia="黑体" w:cs="黑体"/>
          <w:sz w:val="28"/>
          <w:szCs w:val="28"/>
        </w:rPr>
      </w:pPr>
      <w:r>
        <w:rPr>
          <w:rFonts w:hint="eastAsia" w:ascii="黑体" w:hAnsi="黑体" w:eastAsia="黑体" w:cs="黑体"/>
          <w:sz w:val="28"/>
          <w:szCs w:val="28"/>
        </w:rPr>
        <w:t>目次</w:t>
      </w:r>
    </w:p>
    <w:p w14:paraId="49AFD3CE">
      <w:pPr>
        <w:pStyle w:val="12"/>
        <w:tabs>
          <w:tab w:val="right" w:leader="dot" w:pos="8788"/>
        </w:tabs>
      </w:pPr>
      <w:r>
        <w:rPr>
          <w:rFonts w:eastAsia="黑体"/>
          <w:bCs/>
          <w:szCs w:val="21"/>
        </w:rPr>
        <w:fldChar w:fldCharType="begin"/>
      </w:r>
      <w:r>
        <w:rPr>
          <w:rFonts w:eastAsia="黑体"/>
          <w:bCs/>
          <w:szCs w:val="21"/>
        </w:rPr>
        <w:instrText xml:space="preserve">TOC \o "1-2" \h \u </w:instrText>
      </w:r>
      <w:r>
        <w:rPr>
          <w:rFonts w:eastAsia="黑体"/>
          <w:bCs/>
          <w:szCs w:val="21"/>
        </w:rPr>
        <w:fldChar w:fldCharType="separate"/>
      </w:r>
      <w:r>
        <w:fldChar w:fldCharType="begin"/>
      </w:r>
      <w:r>
        <w:instrText xml:space="preserve"> HYPERLINK \l "_Toc2455" </w:instrText>
      </w:r>
      <w:r>
        <w:fldChar w:fldCharType="separate"/>
      </w:r>
      <w:r>
        <w:rPr>
          <w:rFonts w:eastAsia="黑体"/>
          <w:bCs/>
          <w:szCs w:val="28"/>
        </w:rPr>
        <w:t>1</w:t>
      </w:r>
      <w:r>
        <w:rPr>
          <w:rFonts w:hint="eastAsia" w:eastAsia="黑体"/>
          <w:bCs/>
          <w:szCs w:val="28"/>
        </w:rPr>
        <w:t xml:space="preserve">  </w:t>
      </w:r>
      <w:r>
        <w:rPr>
          <w:rFonts w:eastAsia="黑体"/>
          <w:szCs w:val="28"/>
        </w:rPr>
        <w:t>总则</w:t>
      </w:r>
      <w:r>
        <w:tab/>
      </w:r>
      <w:r>
        <w:fldChar w:fldCharType="begin"/>
      </w:r>
      <w:r>
        <w:instrText xml:space="preserve"> PAGEREF _Toc2455 \h </w:instrText>
      </w:r>
      <w:r>
        <w:fldChar w:fldCharType="separate"/>
      </w:r>
      <w:r>
        <w:t>1</w:t>
      </w:r>
      <w:r>
        <w:fldChar w:fldCharType="end"/>
      </w:r>
      <w:r>
        <w:fldChar w:fldCharType="end"/>
      </w:r>
    </w:p>
    <w:p w14:paraId="795D728E">
      <w:pPr>
        <w:pStyle w:val="12"/>
        <w:tabs>
          <w:tab w:val="right" w:leader="dot" w:pos="8788"/>
        </w:tabs>
      </w:pPr>
      <w:r>
        <w:fldChar w:fldCharType="begin"/>
      </w:r>
      <w:r>
        <w:instrText xml:space="preserve"> HYPERLINK \l "_Toc19466" </w:instrText>
      </w:r>
      <w:r>
        <w:fldChar w:fldCharType="separate"/>
      </w:r>
      <w:r>
        <w:rPr>
          <w:rFonts w:eastAsia="黑体"/>
          <w:bCs/>
          <w:szCs w:val="28"/>
        </w:rPr>
        <w:t>2</w:t>
      </w:r>
      <w:r>
        <w:rPr>
          <w:rFonts w:hint="eastAsia" w:eastAsia="黑体"/>
          <w:bCs/>
          <w:szCs w:val="28"/>
        </w:rPr>
        <w:t xml:space="preserve">  </w:t>
      </w:r>
      <w:r>
        <w:rPr>
          <w:rFonts w:eastAsia="黑体"/>
          <w:szCs w:val="28"/>
        </w:rPr>
        <w:t>术语</w:t>
      </w:r>
      <w:r>
        <w:tab/>
      </w:r>
      <w:r>
        <w:fldChar w:fldCharType="begin"/>
      </w:r>
      <w:r>
        <w:instrText xml:space="preserve"> PAGEREF _Toc19466 \h </w:instrText>
      </w:r>
      <w:r>
        <w:fldChar w:fldCharType="separate"/>
      </w:r>
      <w:r>
        <w:t>2</w:t>
      </w:r>
      <w:r>
        <w:fldChar w:fldCharType="end"/>
      </w:r>
      <w:r>
        <w:fldChar w:fldCharType="end"/>
      </w:r>
    </w:p>
    <w:p w14:paraId="1100A0EF">
      <w:pPr>
        <w:pStyle w:val="12"/>
        <w:tabs>
          <w:tab w:val="right" w:leader="dot" w:pos="8788"/>
        </w:tabs>
      </w:pPr>
      <w:r>
        <w:fldChar w:fldCharType="begin"/>
      </w:r>
      <w:r>
        <w:instrText xml:space="preserve"> HYPERLINK \l "_Toc17068" </w:instrText>
      </w:r>
      <w:r>
        <w:fldChar w:fldCharType="separate"/>
      </w:r>
      <w:r>
        <w:rPr>
          <w:rFonts w:eastAsia="黑体"/>
          <w:bCs/>
          <w:szCs w:val="28"/>
        </w:rPr>
        <w:t xml:space="preserve">3  </w:t>
      </w:r>
      <w:r>
        <w:rPr>
          <w:rFonts w:eastAsia="黑体"/>
          <w:szCs w:val="28"/>
        </w:rPr>
        <w:t>基本规定</w:t>
      </w:r>
      <w:r>
        <w:tab/>
      </w:r>
      <w:r>
        <w:fldChar w:fldCharType="begin"/>
      </w:r>
      <w:r>
        <w:instrText xml:space="preserve"> PAGEREF _Toc17068 \h </w:instrText>
      </w:r>
      <w:r>
        <w:fldChar w:fldCharType="separate"/>
      </w:r>
      <w:r>
        <w:t>4</w:t>
      </w:r>
      <w:r>
        <w:fldChar w:fldCharType="end"/>
      </w:r>
      <w:r>
        <w:fldChar w:fldCharType="end"/>
      </w:r>
    </w:p>
    <w:p w14:paraId="602AA14D">
      <w:pPr>
        <w:pStyle w:val="12"/>
        <w:tabs>
          <w:tab w:val="right" w:leader="dot" w:pos="8788"/>
        </w:tabs>
      </w:pPr>
      <w:r>
        <w:fldChar w:fldCharType="begin"/>
      </w:r>
      <w:r>
        <w:instrText xml:space="preserve"> HYPERLINK \l "_Toc17993" </w:instrText>
      </w:r>
      <w:r>
        <w:fldChar w:fldCharType="separate"/>
      </w:r>
      <w:r>
        <w:rPr>
          <w:rFonts w:eastAsia="黑体"/>
          <w:szCs w:val="28"/>
        </w:rPr>
        <w:t>4</w:t>
      </w:r>
      <w:r>
        <w:rPr>
          <w:rFonts w:hint="eastAsia" w:eastAsia="黑体"/>
          <w:szCs w:val="28"/>
        </w:rPr>
        <w:t xml:space="preserve">  </w:t>
      </w:r>
      <w:r>
        <w:rPr>
          <w:rFonts w:eastAsia="黑体"/>
          <w:bCs/>
          <w:szCs w:val="28"/>
        </w:rPr>
        <w:t>防护设施</w:t>
      </w:r>
      <w:r>
        <w:tab/>
      </w:r>
      <w:r>
        <w:fldChar w:fldCharType="begin"/>
      </w:r>
      <w:r>
        <w:instrText xml:space="preserve"> PAGEREF _Toc17993 \h </w:instrText>
      </w:r>
      <w:r>
        <w:fldChar w:fldCharType="separate"/>
      </w:r>
      <w:r>
        <w:t>5</w:t>
      </w:r>
      <w:r>
        <w:fldChar w:fldCharType="end"/>
      </w:r>
      <w:r>
        <w:fldChar w:fldCharType="end"/>
      </w:r>
    </w:p>
    <w:p w14:paraId="5E7AF4D1">
      <w:pPr>
        <w:pStyle w:val="13"/>
        <w:tabs>
          <w:tab w:val="right" w:leader="dot" w:pos="8788"/>
        </w:tabs>
      </w:pPr>
      <w:r>
        <w:fldChar w:fldCharType="begin"/>
      </w:r>
      <w:r>
        <w:instrText xml:space="preserve"> HYPERLINK \l "_Toc24727" </w:instrText>
      </w:r>
      <w:r>
        <w:fldChar w:fldCharType="separate"/>
      </w:r>
      <w:r>
        <w:rPr>
          <w:szCs w:val="24"/>
        </w:rPr>
        <w:t>4.1  一般规定</w:t>
      </w:r>
      <w:r>
        <w:tab/>
      </w:r>
      <w:r>
        <w:fldChar w:fldCharType="begin"/>
      </w:r>
      <w:r>
        <w:instrText xml:space="preserve"> PAGEREF _Toc24727 \h </w:instrText>
      </w:r>
      <w:r>
        <w:fldChar w:fldCharType="separate"/>
      </w:r>
      <w:r>
        <w:t>5</w:t>
      </w:r>
      <w:r>
        <w:fldChar w:fldCharType="end"/>
      </w:r>
      <w:r>
        <w:fldChar w:fldCharType="end"/>
      </w:r>
    </w:p>
    <w:p w14:paraId="2E0EDAB5">
      <w:pPr>
        <w:pStyle w:val="13"/>
        <w:tabs>
          <w:tab w:val="right" w:leader="dot" w:pos="8788"/>
        </w:tabs>
      </w:pPr>
      <w:r>
        <w:fldChar w:fldCharType="begin"/>
      </w:r>
      <w:r>
        <w:instrText xml:space="preserve"> HYPERLINK \l "_Toc20267" </w:instrText>
      </w:r>
      <w:r>
        <w:fldChar w:fldCharType="separate"/>
      </w:r>
      <w:r>
        <w:rPr>
          <w:szCs w:val="24"/>
        </w:rPr>
        <w:t>4.2  临边安全防护</w:t>
      </w:r>
      <w:r>
        <w:tab/>
      </w:r>
      <w:r>
        <w:fldChar w:fldCharType="begin"/>
      </w:r>
      <w:r>
        <w:instrText xml:space="preserve"> PAGEREF _Toc20267 \h </w:instrText>
      </w:r>
      <w:r>
        <w:fldChar w:fldCharType="separate"/>
      </w:r>
      <w:r>
        <w:t>5</w:t>
      </w:r>
      <w:r>
        <w:fldChar w:fldCharType="end"/>
      </w:r>
      <w:r>
        <w:fldChar w:fldCharType="end"/>
      </w:r>
    </w:p>
    <w:p w14:paraId="0AE910FF">
      <w:pPr>
        <w:pStyle w:val="13"/>
        <w:tabs>
          <w:tab w:val="right" w:leader="dot" w:pos="8788"/>
        </w:tabs>
      </w:pPr>
      <w:r>
        <w:fldChar w:fldCharType="begin"/>
      </w:r>
      <w:r>
        <w:instrText xml:space="preserve"> HYPERLINK \l "_Toc1063" </w:instrText>
      </w:r>
      <w:r>
        <w:fldChar w:fldCharType="separate"/>
      </w:r>
      <w:r>
        <w:rPr>
          <w:szCs w:val="24"/>
        </w:rPr>
        <w:t>4.3  洞口安全防护</w:t>
      </w:r>
      <w:r>
        <w:tab/>
      </w:r>
      <w:r>
        <w:fldChar w:fldCharType="begin"/>
      </w:r>
      <w:r>
        <w:instrText xml:space="preserve"> PAGEREF _Toc1063 \h </w:instrText>
      </w:r>
      <w:r>
        <w:fldChar w:fldCharType="separate"/>
      </w:r>
      <w:r>
        <w:t>11</w:t>
      </w:r>
      <w:r>
        <w:fldChar w:fldCharType="end"/>
      </w:r>
      <w:r>
        <w:fldChar w:fldCharType="end"/>
      </w:r>
    </w:p>
    <w:p w14:paraId="2A3DC5CE">
      <w:pPr>
        <w:pStyle w:val="13"/>
        <w:tabs>
          <w:tab w:val="right" w:leader="dot" w:pos="8788"/>
        </w:tabs>
      </w:pPr>
      <w:r>
        <w:fldChar w:fldCharType="begin"/>
      </w:r>
      <w:r>
        <w:instrText xml:space="preserve"> HYPERLINK \l "_Toc30581" </w:instrText>
      </w:r>
      <w:r>
        <w:fldChar w:fldCharType="separate"/>
      </w:r>
      <w:r>
        <w:rPr>
          <w:szCs w:val="24"/>
        </w:rPr>
        <w:t>4.4  操作平台安全防护</w:t>
      </w:r>
      <w:r>
        <w:tab/>
      </w:r>
      <w:r>
        <w:fldChar w:fldCharType="begin"/>
      </w:r>
      <w:r>
        <w:instrText xml:space="preserve"> PAGEREF _Toc30581 \h </w:instrText>
      </w:r>
      <w:r>
        <w:fldChar w:fldCharType="separate"/>
      </w:r>
      <w:r>
        <w:t>20</w:t>
      </w:r>
      <w:r>
        <w:fldChar w:fldCharType="end"/>
      </w:r>
      <w:r>
        <w:fldChar w:fldCharType="end"/>
      </w:r>
    </w:p>
    <w:p w14:paraId="1EDA2809">
      <w:pPr>
        <w:pStyle w:val="13"/>
        <w:tabs>
          <w:tab w:val="right" w:leader="dot" w:pos="8788"/>
        </w:tabs>
      </w:pPr>
      <w:r>
        <w:fldChar w:fldCharType="begin"/>
      </w:r>
      <w:r>
        <w:instrText xml:space="preserve"> HYPERLINK \l "_Toc27002" </w:instrText>
      </w:r>
      <w:r>
        <w:fldChar w:fldCharType="separate"/>
      </w:r>
      <w:r>
        <w:rPr>
          <w:szCs w:val="24"/>
        </w:rPr>
        <w:t>4.5  装配施工安全防护</w:t>
      </w:r>
      <w:r>
        <w:tab/>
      </w:r>
      <w:r>
        <w:fldChar w:fldCharType="begin"/>
      </w:r>
      <w:r>
        <w:instrText xml:space="preserve"> PAGEREF _Toc27002 \h </w:instrText>
      </w:r>
      <w:r>
        <w:fldChar w:fldCharType="separate"/>
      </w:r>
      <w:r>
        <w:t>29</w:t>
      </w:r>
      <w:r>
        <w:fldChar w:fldCharType="end"/>
      </w:r>
      <w:r>
        <w:fldChar w:fldCharType="end"/>
      </w:r>
    </w:p>
    <w:p w14:paraId="323E9D97">
      <w:pPr>
        <w:pStyle w:val="13"/>
        <w:tabs>
          <w:tab w:val="right" w:leader="dot" w:pos="8788"/>
        </w:tabs>
      </w:pPr>
      <w:r>
        <w:fldChar w:fldCharType="begin"/>
      </w:r>
      <w:r>
        <w:instrText xml:space="preserve"> HYPERLINK \l "_Toc26514" </w:instrText>
      </w:r>
      <w:r>
        <w:fldChar w:fldCharType="separate"/>
      </w:r>
      <w:r>
        <w:rPr>
          <w:szCs w:val="24"/>
        </w:rPr>
        <w:t>4.6  交叉作业安全防护</w:t>
      </w:r>
      <w:r>
        <w:tab/>
      </w:r>
      <w:r>
        <w:fldChar w:fldCharType="begin"/>
      </w:r>
      <w:r>
        <w:instrText xml:space="preserve"> PAGEREF _Toc26514 \h </w:instrText>
      </w:r>
      <w:r>
        <w:fldChar w:fldCharType="separate"/>
      </w:r>
      <w:r>
        <w:t>38</w:t>
      </w:r>
      <w:r>
        <w:fldChar w:fldCharType="end"/>
      </w:r>
      <w:r>
        <w:fldChar w:fldCharType="end"/>
      </w:r>
    </w:p>
    <w:p w14:paraId="273065CD">
      <w:pPr>
        <w:pStyle w:val="13"/>
        <w:tabs>
          <w:tab w:val="right" w:leader="dot" w:pos="8788"/>
        </w:tabs>
      </w:pPr>
      <w:r>
        <w:fldChar w:fldCharType="begin"/>
      </w:r>
      <w:r>
        <w:instrText xml:space="preserve"> HYPERLINK \l "_Toc2305" </w:instrText>
      </w:r>
      <w:r>
        <w:fldChar w:fldCharType="separate"/>
      </w:r>
      <w:r>
        <w:rPr>
          <w:szCs w:val="24"/>
        </w:rPr>
        <w:t>4.7  施工机械安全防护</w:t>
      </w:r>
      <w:r>
        <w:tab/>
      </w:r>
      <w:r>
        <w:fldChar w:fldCharType="begin"/>
      </w:r>
      <w:r>
        <w:instrText xml:space="preserve"> PAGEREF _Toc2305 \h </w:instrText>
      </w:r>
      <w:r>
        <w:fldChar w:fldCharType="separate"/>
      </w:r>
      <w:r>
        <w:t>41</w:t>
      </w:r>
      <w:r>
        <w:fldChar w:fldCharType="end"/>
      </w:r>
      <w:r>
        <w:fldChar w:fldCharType="end"/>
      </w:r>
    </w:p>
    <w:p w14:paraId="06BE28F1">
      <w:pPr>
        <w:pStyle w:val="13"/>
        <w:tabs>
          <w:tab w:val="right" w:leader="dot" w:pos="8788"/>
        </w:tabs>
      </w:pPr>
      <w:r>
        <w:fldChar w:fldCharType="begin"/>
      </w:r>
      <w:r>
        <w:instrText xml:space="preserve"> HYPERLINK \l "_Toc18686" </w:instrText>
      </w:r>
      <w:r>
        <w:fldChar w:fldCharType="separate"/>
      </w:r>
      <w:r>
        <w:rPr>
          <w:szCs w:val="24"/>
        </w:rPr>
        <w:t>4.8  有限空间</w:t>
      </w:r>
      <w:r>
        <w:rPr>
          <w:rFonts w:hint="eastAsia"/>
          <w:szCs w:val="24"/>
        </w:rPr>
        <w:t>作业</w:t>
      </w:r>
      <w:r>
        <w:rPr>
          <w:szCs w:val="24"/>
        </w:rPr>
        <w:t>安全防护</w:t>
      </w:r>
      <w:r>
        <w:tab/>
      </w:r>
      <w:r>
        <w:fldChar w:fldCharType="begin"/>
      </w:r>
      <w:r>
        <w:instrText xml:space="preserve"> PAGEREF _Toc18686 \h </w:instrText>
      </w:r>
      <w:r>
        <w:fldChar w:fldCharType="separate"/>
      </w:r>
      <w:r>
        <w:t>42</w:t>
      </w:r>
      <w:r>
        <w:fldChar w:fldCharType="end"/>
      </w:r>
      <w:r>
        <w:fldChar w:fldCharType="end"/>
      </w:r>
    </w:p>
    <w:p w14:paraId="48355342">
      <w:pPr>
        <w:pStyle w:val="13"/>
        <w:tabs>
          <w:tab w:val="right" w:leader="dot" w:pos="8788"/>
        </w:tabs>
      </w:pPr>
      <w:r>
        <w:fldChar w:fldCharType="begin"/>
      </w:r>
      <w:r>
        <w:instrText xml:space="preserve"> HYPERLINK \l "_Toc30168" </w:instrText>
      </w:r>
      <w:r>
        <w:fldChar w:fldCharType="separate"/>
      </w:r>
      <w:r>
        <w:rPr>
          <w:szCs w:val="24"/>
        </w:rPr>
        <w:t>4.9  拆除</w:t>
      </w:r>
      <w:r>
        <w:rPr>
          <w:rFonts w:hint="eastAsia"/>
          <w:szCs w:val="24"/>
        </w:rPr>
        <w:t>作业</w:t>
      </w:r>
      <w:r>
        <w:rPr>
          <w:szCs w:val="24"/>
        </w:rPr>
        <w:t>安全防护</w:t>
      </w:r>
      <w:r>
        <w:tab/>
      </w:r>
      <w:r>
        <w:fldChar w:fldCharType="begin"/>
      </w:r>
      <w:r>
        <w:instrText xml:space="preserve"> PAGEREF _Toc30168 \h </w:instrText>
      </w:r>
      <w:r>
        <w:fldChar w:fldCharType="separate"/>
      </w:r>
      <w:r>
        <w:t>43</w:t>
      </w:r>
      <w:r>
        <w:fldChar w:fldCharType="end"/>
      </w:r>
      <w:r>
        <w:fldChar w:fldCharType="end"/>
      </w:r>
    </w:p>
    <w:p w14:paraId="40C7DD2C">
      <w:pPr>
        <w:pStyle w:val="12"/>
        <w:tabs>
          <w:tab w:val="right" w:leader="dot" w:pos="8788"/>
        </w:tabs>
      </w:pPr>
      <w:r>
        <w:fldChar w:fldCharType="begin"/>
      </w:r>
      <w:r>
        <w:instrText xml:space="preserve"> HYPERLINK \l "_Toc23498" </w:instrText>
      </w:r>
      <w:r>
        <w:fldChar w:fldCharType="separate"/>
      </w:r>
      <w:r>
        <w:rPr>
          <w:rFonts w:hint="eastAsia" w:eastAsia="黑体"/>
          <w:kern w:val="44"/>
          <w:szCs w:val="28"/>
        </w:rPr>
        <w:t>5</w:t>
      </w:r>
      <w:r>
        <w:rPr>
          <w:rFonts w:eastAsia="黑体"/>
          <w:kern w:val="44"/>
          <w:szCs w:val="28"/>
        </w:rPr>
        <w:t xml:space="preserve"> 脚手架</w:t>
      </w:r>
      <w:r>
        <w:tab/>
      </w:r>
      <w:r>
        <w:fldChar w:fldCharType="begin"/>
      </w:r>
      <w:r>
        <w:instrText xml:space="preserve"> PAGEREF _Toc23498 \h </w:instrText>
      </w:r>
      <w:r>
        <w:fldChar w:fldCharType="separate"/>
      </w:r>
      <w:r>
        <w:t>45</w:t>
      </w:r>
      <w:r>
        <w:fldChar w:fldCharType="end"/>
      </w:r>
      <w:r>
        <w:fldChar w:fldCharType="end"/>
      </w:r>
    </w:p>
    <w:p w14:paraId="4E7CC4CA">
      <w:pPr>
        <w:pStyle w:val="13"/>
        <w:tabs>
          <w:tab w:val="right" w:leader="dot" w:pos="8788"/>
        </w:tabs>
      </w:pPr>
      <w:r>
        <w:fldChar w:fldCharType="begin"/>
      </w:r>
      <w:r>
        <w:instrText xml:space="preserve"> HYPERLINK \l "_Toc2981" </w:instrText>
      </w:r>
      <w:r>
        <w:fldChar w:fldCharType="separate"/>
      </w:r>
      <w:r>
        <w:rPr>
          <w:rFonts w:hint="eastAsia"/>
          <w:bCs/>
          <w:szCs w:val="24"/>
        </w:rPr>
        <w:t>5</w:t>
      </w:r>
      <w:r>
        <w:rPr>
          <w:bCs/>
          <w:szCs w:val="24"/>
        </w:rPr>
        <w:t>.1 一般规定</w:t>
      </w:r>
      <w:r>
        <w:tab/>
      </w:r>
      <w:r>
        <w:fldChar w:fldCharType="begin"/>
      </w:r>
      <w:r>
        <w:instrText xml:space="preserve"> PAGEREF _Toc2981 \h </w:instrText>
      </w:r>
      <w:r>
        <w:fldChar w:fldCharType="separate"/>
      </w:r>
      <w:r>
        <w:t>45</w:t>
      </w:r>
      <w:r>
        <w:fldChar w:fldCharType="end"/>
      </w:r>
      <w:r>
        <w:fldChar w:fldCharType="end"/>
      </w:r>
    </w:p>
    <w:p w14:paraId="23965120">
      <w:pPr>
        <w:pStyle w:val="13"/>
        <w:tabs>
          <w:tab w:val="right" w:leader="dot" w:pos="8788"/>
        </w:tabs>
      </w:pPr>
      <w:r>
        <w:fldChar w:fldCharType="begin"/>
      </w:r>
      <w:r>
        <w:instrText xml:space="preserve"> HYPERLINK \l "_Toc8564" </w:instrText>
      </w:r>
      <w:r>
        <w:fldChar w:fldCharType="separate"/>
      </w:r>
      <w:r>
        <w:rPr>
          <w:rFonts w:hint="eastAsia"/>
          <w:bCs/>
          <w:szCs w:val="24"/>
        </w:rPr>
        <w:t>5</w:t>
      </w:r>
      <w:r>
        <w:rPr>
          <w:bCs/>
          <w:szCs w:val="24"/>
        </w:rPr>
        <w:t>.2 材料与构配件</w:t>
      </w:r>
      <w:r>
        <w:tab/>
      </w:r>
      <w:r>
        <w:fldChar w:fldCharType="begin"/>
      </w:r>
      <w:r>
        <w:instrText xml:space="preserve"> PAGEREF _Toc8564 \h </w:instrText>
      </w:r>
      <w:r>
        <w:fldChar w:fldCharType="separate"/>
      </w:r>
      <w:r>
        <w:t>45</w:t>
      </w:r>
      <w:r>
        <w:fldChar w:fldCharType="end"/>
      </w:r>
      <w:r>
        <w:fldChar w:fldCharType="end"/>
      </w:r>
    </w:p>
    <w:p w14:paraId="58B30700">
      <w:pPr>
        <w:pStyle w:val="13"/>
        <w:tabs>
          <w:tab w:val="right" w:leader="dot" w:pos="8788"/>
        </w:tabs>
      </w:pPr>
      <w:r>
        <w:fldChar w:fldCharType="begin"/>
      </w:r>
      <w:r>
        <w:instrText xml:space="preserve"> HYPERLINK \l "_Toc20630" </w:instrText>
      </w:r>
      <w:r>
        <w:fldChar w:fldCharType="separate"/>
      </w:r>
      <w:r>
        <w:rPr>
          <w:rFonts w:hint="eastAsia"/>
          <w:bCs/>
          <w:szCs w:val="24"/>
        </w:rPr>
        <w:t>5</w:t>
      </w:r>
      <w:r>
        <w:rPr>
          <w:bCs/>
          <w:szCs w:val="24"/>
        </w:rPr>
        <w:t>.</w:t>
      </w:r>
      <w:r>
        <w:rPr>
          <w:rFonts w:hint="eastAsia"/>
          <w:bCs/>
          <w:szCs w:val="24"/>
        </w:rPr>
        <w:t>3</w:t>
      </w:r>
      <w:r>
        <w:rPr>
          <w:bCs/>
          <w:szCs w:val="24"/>
        </w:rPr>
        <w:t xml:space="preserve"> 搭设、使用与拆除</w:t>
      </w:r>
      <w:r>
        <w:tab/>
      </w:r>
      <w:r>
        <w:fldChar w:fldCharType="begin"/>
      </w:r>
      <w:r>
        <w:instrText xml:space="preserve"> PAGEREF _Toc20630 \h </w:instrText>
      </w:r>
      <w:r>
        <w:fldChar w:fldCharType="separate"/>
      </w:r>
      <w:r>
        <w:t>46</w:t>
      </w:r>
      <w:r>
        <w:fldChar w:fldCharType="end"/>
      </w:r>
      <w:r>
        <w:fldChar w:fldCharType="end"/>
      </w:r>
    </w:p>
    <w:p w14:paraId="672064B0">
      <w:pPr>
        <w:pStyle w:val="13"/>
        <w:tabs>
          <w:tab w:val="right" w:leader="dot" w:pos="8788"/>
        </w:tabs>
      </w:pPr>
      <w:r>
        <w:fldChar w:fldCharType="begin"/>
      </w:r>
      <w:r>
        <w:instrText xml:space="preserve"> HYPERLINK \l "_Toc3956" </w:instrText>
      </w:r>
      <w:r>
        <w:fldChar w:fldCharType="separate"/>
      </w:r>
      <w:r>
        <w:rPr>
          <w:rFonts w:hint="eastAsia"/>
          <w:bCs/>
          <w:szCs w:val="24"/>
        </w:rPr>
        <w:t>5</w:t>
      </w:r>
      <w:r>
        <w:rPr>
          <w:bCs/>
          <w:szCs w:val="24"/>
        </w:rPr>
        <w:t>.</w:t>
      </w:r>
      <w:r>
        <w:rPr>
          <w:rFonts w:hint="eastAsia"/>
          <w:bCs/>
          <w:szCs w:val="24"/>
        </w:rPr>
        <w:t>4</w:t>
      </w:r>
      <w:r>
        <w:rPr>
          <w:bCs/>
          <w:szCs w:val="24"/>
        </w:rPr>
        <w:t xml:space="preserve"> 检查与验收</w:t>
      </w:r>
      <w:r>
        <w:tab/>
      </w:r>
      <w:r>
        <w:fldChar w:fldCharType="begin"/>
      </w:r>
      <w:r>
        <w:instrText xml:space="preserve"> PAGEREF _Toc3956 \h </w:instrText>
      </w:r>
      <w:r>
        <w:fldChar w:fldCharType="separate"/>
      </w:r>
      <w:r>
        <w:t>51</w:t>
      </w:r>
      <w:r>
        <w:fldChar w:fldCharType="end"/>
      </w:r>
      <w:r>
        <w:fldChar w:fldCharType="end"/>
      </w:r>
    </w:p>
    <w:p w14:paraId="60C39E09">
      <w:pPr>
        <w:pStyle w:val="12"/>
        <w:tabs>
          <w:tab w:val="right" w:leader="dot" w:pos="8788"/>
        </w:tabs>
      </w:pPr>
      <w:r>
        <w:fldChar w:fldCharType="begin"/>
      </w:r>
      <w:r>
        <w:instrText xml:space="preserve"> HYPERLINK \l "_Toc21565" </w:instrText>
      </w:r>
      <w:r>
        <w:fldChar w:fldCharType="separate"/>
      </w:r>
      <w:r>
        <w:rPr>
          <w:rFonts w:hint="eastAsia" w:eastAsia="黑体"/>
        </w:rPr>
        <w:t>6</w:t>
      </w:r>
      <w:r>
        <w:rPr>
          <w:rFonts w:hint="eastAsia" w:ascii="黑体" w:hAnsi="黑体" w:eastAsia="黑体" w:cs="黑体"/>
        </w:rPr>
        <w:t xml:space="preserve"> </w:t>
      </w:r>
      <w:r>
        <w:rPr>
          <w:rFonts w:hint="eastAsia" w:ascii="黑体" w:hAnsi="黑体" w:eastAsia="黑体" w:cs="黑体"/>
          <w:spacing w:val="-20"/>
        </w:rPr>
        <w:t>施工用电</w:t>
      </w:r>
      <w:r>
        <w:tab/>
      </w:r>
      <w:r>
        <w:fldChar w:fldCharType="begin"/>
      </w:r>
      <w:r>
        <w:instrText xml:space="preserve"> PAGEREF _Toc21565 \h </w:instrText>
      </w:r>
      <w:r>
        <w:fldChar w:fldCharType="separate"/>
      </w:r>
      <w:r>
        <w:t>54</w:t>
      </w:r>
      <w:r>
        <w:fldChar w:fldCharType="end"/>
      </w:r>
      <w:r>
        <w:fldChar w:fldCharType="end"/>
      </w:r>
    </w:p>
    <w:p w14:paraId="4B92A0E7">
      <w:pPr>
        <w:pStyle w:val="13"/>
        <w:tabs>
          <w:tab w:val="right" w:leader="dot" w:pos="8788"/>
        </w:tabs>
      </w:pPr>
      <w:r>
        <w:fldChar w:fldCharType="begin"/>
      </w:r>
      <w:r>
        <w:instrText xml:space="preserve"> HYPERLINK \l "_Toc3876" </w:instrText>
      </w:r>
      <w:r>
        <w:fldChar w:fldCharType="separate"/>
      </w:r>
      <w:r>
        <w:rPr>
          <w:rFonts w:hint="eastAsia"/>
          <w:kern w:val="0"/>
          <w:szCs w:val="24"/>
        </w:rPr>
        <w:t>6</w:t>
      </w:r>
      <w:r>
        <w:rPr>
          <w:kern w:val="0"/>
          <w:szCs w:val="24"/>
        </w:rPr>
        <w:t>.1</w:t>
      </w:r>
      <w:r>
        <w:rPr>
          <w:bCs/>
          <w:kern w:val="0"/>
          <w:szCs w:val="24"/>
        </w:rPr>
        <w:t xml:space="preserve"> </w:t>
      </w:r>
      <w:r>
        <w:rPr>
          <w:rFonts w:hint="eastAsia"/>
          <w:kern w:val="0"/>
          <w:szCs w:val="24"/>
        </w:rPr>
        <w:t>一般规定</w:t>
      </w:r>
      <w:r>
        <w:tab/>
      </w:r>
      <w:r>
        <w:fldChar w:fldCharType="begin"/>
      </w:r>
      <w:r>
        <w:instrText xml:space="preserve"> PAGEREF _Toc3876 \h </w:instrText>
      </w:r>
      <w:r>
        <w:fldChar w:fldCharType="separate"/>
      </w:r>
      <w:r>
        <w:t>54</w:t>
      </w:r>
      <w:r>
        <w:fldChar w:fldCharType="end"/>
      </w:r>
      <w:r>
        <w:fldChar w:fldCharType="end"/>
      </w:r>
    </w:p>
    <w:p w14:paraId="53338B65">
      <w:pPr>
        <w:pStyle w:val="13"/>
        <w:tabs>
          <w:tab w:val="right" w:leader="dot" w:pos="8788"/>
        </w:tabs>
      </w:pPr>
      <w:r>
        <w:fldChar w:fldCharType="begin"/>
      </w:r>
      <w:r>
        <w:instrText xml:space="preserve"> HYPERLINK \l "_Toc23130" </w:instrText>
      </w:r>
      <w:r>
        <w:fldChar w:fldCharType="separate"/>
      </w:r>
      <w:r>
        <w:rPr>
          <w:rFonts w:hint="eastAsia"/>
          <w:bCs/>
          <w:szCs w:val="24"/>
        </w:rPr>
        <w:t>6</w:t>
      </w:r>
      <w:r>
        <w:rPr>
          <w:bCs/>
          <w:szCs w:val="24"/>
        </w:rPr>
        <w:t>.2</w:t>
      </w:r>
      <w:r>
        <w:rPr>
          <w:szCs w:val="24"/>
        </w:rPr>
        <w:t xml:space="preserve"> </w:t>
      </w:r>
      <w:r>
        <w:rPr>
          <w:bCs/>
          <w:szCs w:val="24"/>
        </w:rPr>
        <w:t>供电系统</w:t>
      </w:r>
      <w:r>
        <w:tab/>
      </w:r>
      <w:r>
        <w:fldChar w:fldCharType="begin"/>
      </w:r>
      <w:r>
        <w:instrText xml:space="preserve"> PAGEREF _Toc23130 \h </w:instrText>
      </w:r>
      <w:r>
        <w:fldChar w:fldCharType="separate"/>
      </w:r>
      <w:r>
        <w:t>56</w:t>
      </w:r>
      <w:r>
        <w:fldChar w:fldCharType="end"/>
      </w:r>
      <w:r>
        <w:fldChar w:fldCharType="end"/>
      </w:r>
    </w:p>
    <w:p w14:paraId="7B77747C">
      <w:pPr>
        <w:pStyle w:val="13"/>
        <w:tabs>
          <w:tab w:val="right" w:leader="dot" w:pos="8788"/>
        </w:tabs>
      </w:pPr>
      <w:r>
        <w:fldChar w:fldCharType="begin"/>
      </w:r>
      <w:r>
        <w:instrText xml:space="preserve"> HYPERLINK \l "_Toc32236" </w:instrText>
      </w:r>
      <w:r>
        <w:fldChar w:fldCharType="separate"/>
      </w:r>
      <w:r>
        <w:rPr>
          <w:rFonts w:hint="eastAsia"/>
          <w:bCs/>
          <w:szCs w:val="24"/>
        </w:rPr>
        <w:t>6.3 配电系统</w:t>
      </w:r>
      <w:r>
        <w:tab/>
      </w:r>
      <w:r>
        <w:fldChar w:fldCharType="begin"/>
      </w:r>
      <w:r>
        <w:instrText xml:space="preserve"> PAGEREF _Toc32236 \h </w:instrText>
      </w:r>
      <w:r>
        <w:fldChar w:fldCharType="separate"/>
      </w:r>
      <w:r>
        <w:t>57</w:t>
      </w:r>
      <w:r>
        <w:fldChar w:fldCharType="end"/>
      </w:r>
      <w:r>
        <w:fldChar w:fldCharType="end"/>
      </w:r>
    </w:p>
    <w:p w14:paraId="30BCAE3C">
      <w:pPr>
        <w:pStyle w:val="13"/>
        <w:tabs>
          <w:tab w:val="right" w:leader="dot" w:pos="8788"/>
        </w:tabs>
      </w:pPr>
      <w:r>
        <w:fldChar w:fldCharType="begin"/>
      </w:r>
      <w:r>
        <w:instrText xml:space="preserve"> HYPERLINK \l "_Toc22730" </w:instrText>
      </w:r>
      <w:r>
        <w:fldChar w:fldCharType="separate"/>
      </w:r>
      <w:r>
        <w:rPr>
          <w:rFonts w:hint="eastAsia"/>
          <w:bCs/>
          <w:szCs w:val="24"/>
        </w:rPr>
        <w:t>6.4 布线系统</w:t>
      </w:r>
      <w:r>
        <w:tab/>
      </w:r>
      <w:r>
        <w:fldChar w:fldCharType="begin"/>
      </w:r>
      <w:r>
        <w:instrText xml:space="preserve"> PAGEREF _Toc22730 \h </w:instrText>
      </w:r>
      <w:r>
        <w:fldChar w:fldCharType="separate"/>
      </w:r>
      <w:r>
        <w:t>63</w:t>
      </w:r>
      <w:r>
        <w:fldChar w:fldCharType="end"/>
      </w:r>
      <w:r>
        <w:fldChar w:fldCharType="end"/>
      </w:r>
    </w:p>
    <w:p w14:paraId="517510EF">
      <w:pPr>
        <w:pStyle w:val="13"/>
        <w:tabs>
          <w:tab w:val="right" w:leader="dot" w:pos="8788"/>
        </w:tabs>
      </w:pPr>
      <w:r>
        <w:fldChar w:fldCharType="begin"/>
      </w:r>
      <w:r>
        <w:instrText xml:space="preserve"> HYPERLINK \l "_Toc14303" </w:instrText>
      </w:r>
      <w:r>
        <w:fldChar w:fldCharType="separate"/>
      </w:r>
      <w:r>
        <w:rPr>
          <w:rFonts w:hint="eastAsia"/>
          <w:bCs/>
          <w:szCs w:val="24"/>
        </w:rPr>
        <w:t>6</w:t>
      </w:r>
      <w:r>
        <w:rPr>
          <w:bCs/>
          <w:szCs w:val="24"/>
        </w:rPr>
        <w:t>.5 用电设施设备</w:t>
      </w:r>
      <w:r>
        <w:tab/>
      </w:r>
      <w:r>
        <w:fldChar w:fldCharType="begin"/>
      </w:r>
      <w:r>
        <w:instrText xml:space="preserve"> PAGEREF _Toc14303 \h </w:instrText>
      </w:r>
      <w:r>
        <w:fldChar w:fldCharType="separate"/>
      </w:r>
      <w:r>
        <w:t>68</w:t>
      </w:r>
      <w:r>
        <w:fldChar w:fldCharType="end"/>
      </w:r>
      <w:r>
        <w:fldChar w:fldCharType="end"/>
      </w:r>
    </w:p>
    <w:p w14:paraId="13177233">
      <w:pPr>
        <w:pStyle w:val="13"/>
        <w:tabs>
          <w:tab w:val="right" w:leader="dot" w:pos="8788"/>
        </w:tabs>
      </w:pPr>
      <w:r>
        <w:fldChar w:fldCharType="begin"/>
      </w:r>
      <w:r>
        <w:instrText xml:space="preserve"> HYPERLINK \l "_Toc19009" </w:instrText>
      </w:r>
      <w:r>
        <w:fldChar w:fldCharType="separate"/>
      </w:r>
      <w:r>
        <w:rPr>
          <w:rFonts w:hint="eastAsia"/>
          <w:bCs/>
          <w:szCs w:val="24"/>
        </w:rPr>
        <w:t>6</w:t>
      </w:r>
      <w:r>
        <w:rPr>
          <w:bCs/>
          <w:szCs w:val="24"/>
        </w:rPr>
        <w:t>.6 办公区、生活区用电</w:t>
      </w:r>
      <w:r>
        <w:tab/>
      </w:r>
      <w:r>
        <w:fldChar w:fldCharType="begin"/>
      </w:r>
      <w:r>
        <w:instrText xml:space="preserve"> PAGEREF _Toc19009 \h </w:instrText>
      </w:r>
      <w:r>
        <w:fldChar w:fldCharType="separate"/>
      </w:r>
      <w:r>
        <w:t>72</w:t>
      </w:r>
      <w:r>
        <w:fldChar w:fldCharType="end"/>
      </w:r>
      <w:r>
        <w:fldChar w:fldCharType="end"/>
      </w:r>
    </w:p>
    <w:p w14:paraId="0584CC0C">
      <w:pPr>
        <w:pStyle w:val="13"/>
        <w:tabs>
          <w:tab w:val="right" w:leader="dot" w:pos="8788"/>
        </w:tabs>
      </w:pPr>
      <w:r>
        <w:fldChar w:fldCharType="begin"/>
      </w:r>
      <w:r>
        <w:instrText xml:space="preserve"> HYPERLINK \l "_Toc18473" </w:instrText>
      </w:r>
      <w:r>
        <w:fldChar w:fldCharType="separate"/>
      </w:r>
      <w:r>
        <w:rPr>
          <w:rFonts w:hint="eastAsia"/>
          <w:bCs/>
          <w:szCs w:val="24"/>
        </w:rPr>
        <w:t>6.7 施工照明</w:t>
      </w:r>
      <w:r>
        <w:tab/>
      </w:r>
      <w:r>
        <w:fldChar w:fldCharType="begin"/>
      </w:r>
      <w:r>
        <w:instrText xml:space="preserve"> PAGEREF _Toc18473 \h </w:instrText>
      </w:r>
      <w:r>
        <w:fldChar w:fldCharType="separate"/>
      </w:r>
      <w:r>
        <w:t>73</w:t>
      </w:r>
      <w:r>
        <w:fldChar w:fldCharType="end"/>
      </w:r>
      <w:r>
        <w:fldChar w:fldCharType="end"/>
      </w:r>
    </w:p>
    <w:p w14:paraId="5294A0B4">
      <w:pPr>
        <w:pStyle w:val="13"/>
        <w:tabs>
          <w:tab w:val="right" w:leader="dot" w:pos="8788"/>
        </w:tabs>
      </w:pPr>
      <w:r>
        <w:fldChar w:fldCharType="begin"/>
      </w:r>
      <w:r>
        <w:instrText xml:space="preserve"> HYPERLINK \l "_Toc9076" </w:instrText>
      </w:r>
      <w:r>
        <w:fldChar w:fldCharType="separate"/>
      </w:r>
      <w:r>
        <w:rPr>
          <w:rFonts w:hint="eastAsia"/>
          <w:bCs/>
          <w:szCs w:val="24"/>
        </w:rPr>
        <w:t>6.8 施工用电智能管理系统</w:t>
      </w:r>
      <w:r>
        <w:tab/>
      </w:r>
      <w:r>
        <w:fldChar w:fldCharType="begin"/>
      </w:r>
      <w:r>
        <w:instrText xml:space="preserve"> PAGEREF _Toc9076 \h </w:instrText>
      </w:r>
      <w:r>
        <w:fldChar w:fldCharType="separate"/>
      </w:r>
      <w:r>
        <w:t>76</w:t>
      </w:r>
      <w:r>
        <w:fldChar w:fldCharType="end"/>
      </w:r>
      <w:r>
        <w:fldChar w:fldCharType="end"/>
      </w:r>
    </w:p>
    <w:p w14:paraId="2AE60A02">
      <w:pPr>
        <w:pStyle w:val="13"/>
        <w:tabs>
          <w:tab w:val="right" w:leader="dot" w:pos="8788"/>
        </w:tabs>
      </w:pPr>
      <w:r>
        <w:fldChar w:fldCharType="begin"/>
      </w:r>
      <w:r>
        <w:instrText xml:space="preserve"> HYPERLINK \l "_Toc30205" </w:instrText>
      </w:r>
      <w:r>
        <w:fldChar w:fldCharType="separate"/>
      </w:r>
      <w:r>
        <w:rPr>
          <w:rFonts w:hint="eastAsia"/>
          <w:bCs/>
          <w:szCs w:val="24"/>
        </w:rPr>
        <w:t>6.9 防雷</w:t>
      </w:r>
      <w:r>
        <w:tab/>
      </w:r>
      <w:r>
        <w:fldChar w:fldCharType="begin"/>
      </w:r>
      <w:r>
        <w:instrText xml:space="preserve"> PAGEREF _Toc30205 \h </w:instrText>
      </w:r>
      <w:r>
        <w:fldChar w:fldCharType="separate"/>
      </w:r>
      <w:r>
        <w:t>77</w:t>
      </w:r>
      <w:r>
        <w:fldChar w:fldCharType="end"/>
      </w:r>
      <w:r>
        <w:fldChar w:fldCharType="end"/>
      </w:r>
    </w:p>
    <w:p w14:paraId="561AC8CA">
      <w:pPr>
        <w:pStyle w:val="13"/>
        <w:tabs>
          <w:tab w:val="right" w:leader="dot" w:pos="8788"/>
        </w:tabs>
      </w:pPr>
      <w:r>
        <w:fldChar w:fldCharType="begin"/>
      </w:r>
      <w:r>
        <w:instrText xml:space="preserve"> HYPERLINK \l "_Toc26325" </w:instrText>
      </w:r>
      <w:r>
        <w:fldChar w:fldCharType="separate"/>
      </w:r>
      <w:r>
        <w:rPr>
          <w:rFonts w:hint="eastAsia"/>
          <w:bCs/>
          <w:szCs w:val="24"/>
        </w:rPr>
        <w:t>6.10 电气设施设备检验与验收</w:t>
      </w:r>
      <w:r>
        <w:tab/>
      </w:r>
      <w:r>
        <w:fldChar w:fldCharType="begin"/>
      </w:r>
      <w:r>
        <w:instrText xml:space="preserve"> PAGEREF _Toc26325 \h </w:instrText>
      </w:r>
      <w:r>
        <w:fldChar w:fldCharType="separate"/>
      </w:r>
      <w:r>
        <w:t>78</w:t>
      </w:r>
      <w:r>
        <w:fldChar w:fldCharType="end"/>
      </w:r>
      <w:r>
        <w:fldChar w:fldCharType="end"/>
      </w:r>
    </w:p>
    <w:p w14:paraId="5C95D3F5">
      <w:pPr>
        <w:pStyle w:val="13"/>
        <w:tabs>
          <w:tab w:val="right" w:leader="dot" w:pos="8788"/>
        </w:tabs>
      </w:pPr>
      <w:r>
        <w:fldChar w:fldCharType="begin"/>
      </w:r>
      <w:r>
        <w:instrText xml:space="preserve"> HYPERLINK \l "_Toc23013" </w:instrText>
      </w:r>
      <w:r>
        <w:fldChar w:fldCharType="separate"/>
      </w:r>
      <w:r>
        <w:rPr>
          <w:rFonts w:hint="eastAsia"/>
          <w:bCs/>
          <w:szCs w:val="24"/>
        </w:rPr>
        <w:t>6.11 电气设施、设备维护与拆除</w:t>
      </w:r>
      <w:r>
        <w:tab/>
      </w:r>
      <w:r>
        <w:fldChar w:fldCharType="begin"/>
      </w:r>
      <w:r>
        <w:instrText xml:space="preserve"> PAGEREF _Toc23013 \h </w:instrText>
      </w:r>
      <w:r>
        <w:fldChar w:fldCharType="separate"/>
      </w:r>
      <w:r>
        <w:t>80</w:t>
      </w:r>
      <w:r>
        <w:fldChar w:fldCharType="end"/>
      </w:r>
      <w:r>
        <w:fldChar w:fldCharType="end"/>
      </w:r>
    </w:p>
    <w:p w14:paraId="7AF15164">
      <w:pPr>
        <w:pStyle w:val="13"/>
        <w:tabs>
          <w:tab w:val="right" w:leader="dot" w:pos="8788"/>
        </w:tabs>
      </w:pPr>
      <w:r>
        <w:fldChar w:fldCharType="begin"/>
      </w:r>
      <w:r>
        <w:instrText xml:space="preserve"> HYPERLINK \l "_Toc23069" </w:instrText>
      </w:r>
      <w:r>
        <w:fldChar w:fldCharType="separate"/>
      </w:r>
      <w:r>
        <w:rPr>
          <w:rFonts w:hint="eastAsia"/>
          <w:bCs/>
          <w:szCs w:val="24"/>
        </w:rPr>
        <w:t>6</w:t>
      </w:r>
      <w:r>
        <w:rPr>
          <w:bCs/>
          <w:szCs w:val="24"/>
        </w:rPr>
        <w:t>.12</w:t>
      </w:r>
      <w:r>
        <w:rPr>
          <w:szCs w:val="24"/>
        </w:rPr>
        <w:t xml:space="preserve"> </w:t>
      </w:r>
      <w:r>
        <w:rPr>
          <w:bCs/>
          <w:szCs w:val="24"/>
        </w:rPr>
        <w:t>外电线路防护</w:t>
      </w:r>
      <w:r>
        <w:tab/>
      </w:r>
      <w:r>
        <w:fldChar w:fldCharType="begin"/>
      </w:r>
      <w:r>
        <w:instrText xml:space="preserve"> PAGEREF _Toc23069 \h </w:instrText>
      </w:r>
      <w:r>
        <w:fldChar w:fldCharType="separate"/>
      </w:r>
      <w:r>
        <w:t>81</w:t>
      </w:r>
      <w:r>
        <w:fldChar w:fldCharType="end"/>
      </w:r>
      <w:r>
        <w:fldChar w:fldCharType="end"/>
      </w:r>
    </w:p>
    <w:p w14:paraId="16CC5F0B">
      <w:pPr>
        <w:pStyle w:val="12"/>
        <w:tabs>
          <w:tab w:val="right" w:leader="dot" w:pos="8788"/>
        </w:tabs>
      </w:pPr>
      <w:r>
        <w:fldChar w:fldCharType="begin"/>
      </w:r>
      <w:r>
        <w:instrText xml:space="preserve"> HYPERLINK \l "_Toc24556" </w:instrText>
      </w:r>
      <w:r>
        <w:fldChar w:fldCharType="separate"/>
      </w:r>
      <w:r>
        <w:rPr>
          <w:rFonts w:hint="eastAsia"/>
          <w:bCs/>
          <w:kern w:val="0"/>
          <w:szCs w:val="28"/>
        </w:rPr>
        <w:t>7</w:t>
      </w:r>
      <w:r>
        <w:rPr>
          <w:kern w:val="44"/>
          <w:szCs w:val="28"/>
        </w:rPr>
        <w:t xml:space="preserve"> </w:t>
      </w:r>
      <w:r>
        <w:rPr>
          <w:rFonts w:eastAsia="黑体"/>
          <w:szCs w:val="28"/>
        </w:rPr>
        <w:t>消防安全</w:t>
      </w:r>
      <w:r>
        <w:tab/>
      </w:r>
      <w:r>
        <w:fldChar w:fldCharType="begin"/>
      </w:r>
      <w:r>
        <w:instrText xml:space="preserve"> PAGEREF _Toc24556 \h </w:instrText>
      </w:r>
      <w:r>
        <w:fldChar w:fldCharType="separate"/>
      </w:r>
      <w:r>
        <w:t>84</w:t>
      </w:r>
      <w:r>
        <w:fldChar w:fldCharType="end"/>
      </w:r>
      <w:r>
        <w:fldChar w:fldCharType="end"/>
      </w:r>
    </w:p>
    <w:p w14:paraId="3966EA42">
      <w:pPr>
        <w:pStyle w:val="13"/>
        <w:tabs>
          <w:tab w:val="right" w:leader="dot" w:pos="8788"/>
        </w:tabs>
      </w:pPr>
      <w:r>
        <w:fldChar w:fldCharType="begin"/>
      </w:r>
      <w:r>
        <w:instrText xml:space="preserve"> HYPERLINK \l "_Toc28765" </w:instrText>
      </w:r>
      <w:r>
        <w:fldChar w:fldCharType="separate"/>
      </w:r>
      <w:r>
        <w:rPr>
          <w:rFonts w:hint="eastAsia"/>
          <w:szCs w:val="24"/>
        </w:rPr>
        <w:t>7</w:t>
      </w:r>
      <w:r>
        <w:rPr>
          <w:szCs w:val="24"/>
        </w:rPr>
        <w:t xml:space="preserve">.1 </w:t>
      </w:r>
      <w:r>
        <w:rPr>
          <w:rFonts w:hint="eastAsia" w:ascii="宋体" w:hAnsi="宋体" w:cs="宋体"/>
          <w:szCs w:val="24"/>
        </w:rPr>
        <w:t>一般规定</w:t>
      </w:r>
      <w:r>
        <w:tab/>
      </w:r>
      <w:r>
        <w:fldChar w:fldCharType="begin"/>
      </w:r>
      <w:r>
        <w:instrText xml:space="preserve"> PAGEREF _Toc28765 \h </w:instrText>
      </w:r>
      <w:r>
        <w:fldChar w:fldCharType="separate"/>
      </w:r>
      <w:r>
        <w:t>84</w:t>
      </w:r>
      <w:r>
        <w:fldChar w:fldCharType="end"/>
      </w:r>
      <w:r>
        <w:fldChar w:fldCharType="end"/>
      </w:r>
    </w:p>
    <w:p w14:paraId="3C35C7D5">
      <w:pPr>
        <w:pStyle w:val="13"/>
        <w:tabs>
          <w:tab w:val="right" w:leader="dot" w:pos="8788"/>
        </w:tabs>
      </w:pPr>
      <w:r>
        <w:fldChar w:fldCharType="begin"/>
      </w:r>
      <w:r>
        <w:instrText xml:space="preserve"> HYPERLINK \l "_Toc21533" </w:instrText>
      </w:r>
      <w:r>
        <w:fldChar w:fldCharType="separate"/>
      </w:r>
      <w:r>
        <w:rPr>
          <w:rFonts w:hint="eastAsia"/>
          <w:szCs w:val="24"/>
        </w:rPr>
        <w:t>7</w:t>
      </w:r>
      <w:r>
        <w:rPr>
          <w:szCs w:val="24"/>
        </w:rPr>
        <w:t xml:space="preserve">.2 </w:t>
      </w:r>
      <w:r>
        <w:rPr>
          <w:rFonts w:hint="eastAsia"/>
          <w:szCs w:val="24"/>
        </w:rPr>
        <w:t>消防</w:t>
      </w:r>
      <w:r>
        <w:rPr>
          <w:szCs w:val="24"/>
        </w:rPr>
        <w:t>平面布置</w:t>
      </w:r>
      <w:r>
        <w:tab/>
      </w:r>
      <w:r>
        <w:fldChar w:fldCharType="begin"/>
      </w:r>
      <w:r>
        <w:instrText xml:space="preserve"> PAGEREF _Toc21533 \h </w:instrText>
      </w:r>
      <w:r>
        <w:fldChar w:fldCharType="separate"/>
      </w:r>
      <w:r>
        <w:t>84</w:t>
      </w:r>
      <w:r>
        <w:fldChar w:fldCharType="end"/>
      </w:r>
      <w:r>
        <w:fldChar w:fldCharType="end"/>
      </w:r>
    </w:p>
    <w:p w14:paraId="764018C2">
      <w:pPr>
        <w:pStyle w:val="13"/>
        <w:tabs>
          <w:tab w:val="right" w:leader="dot" w:pos="8788"/>
        </w:tabs>
      </w:pPr>
      <w:r>
        <w:fldChar w:fldCharType="begin"/>
      </w:r>
      <w:r>
        <w:instrText xml:space="preserve"> HYPERLINK \l "_Toc14741" </w:instrText>
      </w:r>
      <w:r>
        <w:fldChar w:fldCharType="separate"/>
      </w:r>
      <w:r>
        <w:rPr>
          <w:rFonts w:hint="eastAsia"/>
          <w:szCs w:val="24"/>
        </w:rPr>
        <w:t>7</w:t>
      </w:r>
      <w:r>
        <w:rPr>
          <w:szCs w:val="24"/>
        </w:rPr>
        <w:t>.3 消防设施</w:t>
      </w:r>
      <w:r>
        <w:rPr>
          <w:rFonts w:hint="eastAsia"/>
          <w:szCs w:val="24"/>
        </w:rPr>
        <w:t>器材</w:t>
      </w:r>
      <w:r>
        <w:tab/>
      </w:r>
      <w:r>
        <w:fldChar w:fldCharType="begin"/>
      </w:r>
      <w:r>
        <w:instrText xml:space="preserve"> PAGEREF _Toc14741 \h </w:instrText>
      </w:r>
      <w:r>
        <w:fldChar w:fldCharType="separate"/>
      </w:r>
      <w:r>
        <w:t>85</w:t>
      </w:r>
      <w:r>
        <w:fldChar w:fldCharType="end"/>
      </w:r>
      <w:r>
        <w:fldChar w:fldCharType="end"/>
      </w:r>
    </w:p>
    <w:p w14:paraId="1402B747">
      <w:pPr>
        <w:pStyle w:val="13"/>
        <w:tabs>
          <w:tab w:val="right" w:leader="dot" w:pos="8788"/>
        </w:tabs>
      </w:pPr>
      <w:r>
        <w:fldChar w:fldCharType="begin"/>
      </w:r>
      <w:r>
        <w:instrText xml:space="preserve"> HYPERLINK \l "_Toc10041" </w:instrText>
      </w:r>
      <w:r>
        <w:fldChar w:fldCharType="separate"/>
      </w:r>
      <w:r>
        <w:rPr>
          <w:rFonts w:hint="eastAsia"/>
          <w:bCs/>
          <w:szCs w:val="24"/>
        </w:rPr>
        <w:t>7</w:t>
      </w:r>
      <w:r>
        <w:rPr>
          <w:bCs/>
          <w:szCs w:val="24"/>
        </w:rPr>
        <w:t>.4</w:t>
      </w:r>
      <w:r>
        <w:rPr>
          <w:rFonts w:hint="eastAsia"/>
          <w:bCs/>
          <w:szCs w:val="24"/>
        </w:rPr>
        <w:t xml:space="preserve"> 临时用房、设施防火</w:t>
      </w:r>
      <w:r>
        <w:tab/>
      </w:r>
      <w:r>
        <w:fldChar w:fldCharType="begin"/>
      </w:r>
      <w:r>
        <w:instrText xml:space="preserve"> PAGEREF _Toc10041 \h </w:instrText>
      </w:r>
      <w:r>
        <w:fldChar w:fldCharType="separate"/>
      </w:r>
      <w:r>
        <w:t>86</w:t>
      </w:r>
      <w:r>
        <w:fldChar w:fldCharType="end"/>
      </w:r>
      <w:r>
        <w:fldChar w:fldCharType="end"/>
      </w:r>
    </w:p>
    <w:p w14:paraId="473DC861">
      <w:pPr>
        <w:pStyle w:val="13"/>
        <w:tabs>
          <w:tab w:val="right" w:leader="dot" w:pos="8788"/>
        </w:tabs>
      </w:pPr>
      <w:r>
        <w:fldChar w:fldCharType="begin"/>
      </w:r>
      <w:r>
        <w:instrText xml:space="preserve"> HYPERLINK \l "_Toc21399" </w:instrText>
      </w:r>
      <w:r>
        <w:fldChar w:fldCharType="separate"/>
      </w:r>
      <w:r>
        <w:rPr>
          <w:rFonts w:hint="eastAsia"/>
          <w:szCs w:val="24"/>
        </w:rPr>
        <w:t>7</w:t>
      </w:r>
      <w:r>
        <w:rPr>
          <w:szCs w:val="24"/>
        </w:rPr>
        <w:t>.</w:t>
      </w:r>
      <w:r>
        <w:rPr>
          <w:rFonts w:hint="eastAsia"/>
          <w:szCs w:val="24"/>
        </w:rPr>
        <w:t>5 动火作业</w:t>
      </w:r>
      <w:r>
        <w:tab/>
      </w:r>
      <w:r>
        <w:fldChar w:fldCharType="begin"/>
      </w:r>
      <w:r>
        <w:instrText xml:space="preserve"> PAGEREF _Toc21399 \h </w:instrText>
      </w:r>
      <w:r>
        <w:fldChar w:fldCharType="separate"/>
      </w:r>
      <w:r>
        <w:t>87</w:t>
      </w:r>
      <w:r>
        <w:fldChar w:fldCharType="end"/>
      </w:r>
      <w:r>
        <w:fldChar w:fldCharType="end"/>
      </w:r>
    </w:p>
    <w:p w14:paraId="283D03D0">
      <w:pPr>
        <w:pStyle w:val="13"/>
        <w:tabs>
          <w:tab w:val="right" w:leader="dot" w:pos="8788"/>
        </w:tabs>
      </w:pPr>
      <w:r>
        <w:fldChar w:fldCharType="begin"/>
      </w:r>
      <w:r>
        <w:instrText xml:space="preserve"> HYPERLINK \l "_Toc16466" </w:instrText>
      </w:r>
      <w:r>
        <w:fldChar w:fldCharType="separate"/>
      </w:r>
      <w:r>
        <w:rPr>
          <w:rFonts w:hint="eastAsia"/>
          <w:bCs/>
          <w:szCs w:val="24"/>
        </w:rPr>
        <w:t>7</w:t>
      </w:r>
      <w:r>
        <w:rPr>
          <w:bCs/>
          <w:szCs w:val="24"/>
        </w:rPr>
        <w:t>.</w:t>
      </w:r>
      <w:r>
        <w:rPr>
          <w:rFonts w:hint="eastAsia"/>
          <w:bCs/>
          <w:szCs w:val="24"/>
        </w:rPr>
        <w:t>6 可燃物及易燃易爆危险品</w:t>
      </w:r>
      <w:r>
        <w:tab/>
      </w:r>
      <w:r>
        <w:fldChar w:fldCharType="begin"/>
      </w:r>
      <w:r>
        <w:instrText xml:space="preserve"> PAGEREF _Toc16466 \h </w:instrText>
      </w:r>
      <w:r>
        <w:fldChar w:fldCharType="separate"/>
      </w:r>
      <w:r>
        <w:t>88</w:t>
      </w:r>
      <w:r>
        <w:fldChar w:fldCharType="end"/>
      </w:r>
      <w:r>
        <w:fldChar w:fldCharType="end"/>
      </w:r>
    </w:p>
    <w:p w14:paraId="47C7FC7B">
      <w:pPr>
        <w:pStyle w:val="12"/>
        <w:tabs>
          <w:tab w:val="right" w:leader="dot" w:pos="8788"/>
        </w:tabs>
      </w:pPr>
      <w:r>
        <w:fldChar w:fldCharType="begin"/>
      </w:r>
      <w:r>
        <w:instrText xml:space="preserve"> HYPERLINK \l "_Toc28558" </w:instrText>
      </w:r>
      <w:r>
        <w:fldChar w:fldCharType="separate"/>
      </w:r>
      <w:r>
        <w:rPr>
          <w:rFonts w:hint="eastAsia"/>
          <w:b/>
        </w:rPr>
        <w:t>附录</w:t>
      </w:r>
      <w:r>
        <w:rPr>
          <w:b/>
        </w:rPr>
        <w:t>A</w:t>
      </w:r>
      <w:r>
        <w:rPr>
          <w:bCs/>
        </w:rPr>
        <w:t xml:space="preserve"> </w:t>
      </w:r>
      <w:r>
        <w:rPr>
          <w:rFonts w:hint="eastAsia"/>
          <w:b/>
        </w:rPr>
        <w:t>施工用电工程记录</w:t>
      </w:r>
      <w:r>
        <w:tab/>
      </w:r>
      <w:r>
        <w:fldChar w:fldCharType="begin"/>
      </w:r>
      <w:r>
        <w:instrText xml:space="preserve"> PAGEREF _Toc28558 \h </w:instrText>
      </w:r>
      <w:r>
        <w:fldChar w:fldCharType="separate"/>
      </w:r>
      <w:r>
        <w:t>90</w:t>
      </w:r>
      <w:r>
        <w:fldChar w:fldCharType="end"/>
      </w:r>
      <w:r>
        <w:fldChar w:fldCharType="end"/>
      </w:r>
    </w:p>
    <w:p w14:paraId="5E2DE42E">
      <w:pPr>
        <w:pStyle w:val="12"/>
        <w:tabs>
          <w:tab w:val="right" w:leader="dot" w:pos="8788"/>
        </w:tabs>
      </w:pPr>
      <w:r>
        <w:fldChar w:fldCharType="begin"/>
      </w:r>
      <w:r>
        <w:instrText xml:space="preserve"> HYPERLINK \l "_Toc24769" </w:instrText>
      </w:r>
      <w:r>
        <w:fldChar w:fldCharType="separate"/>
      </w:r>
      <w:r>
        <w:rPr>
          <w:rFonts w:hint="eastAsia" w:ascii="黑体" w:hAnsi="黑体" w:eastAsia="黑体"/>
          <w:szCs w:val="30"/>
        </w:rPr>
        <w:t>本标准用词说明</w:t>
      </w:r>
      <w:r>
        <w:tab/>
      </w:r>
      <w:r>
        <w:fldChar w:fldCharType="begin"/>
      </w:r>
      <w:r>
        <w:instrText xml:space="preserve"> PAGEREF _Toc24769 \h </w:instrText>
      </w:r>
      <w:r>
        <w:fldChar w:fldCharType="separate"/>
      </w:r>
      <w:r>
        <w:t>97</w:t>
      </w:r>
      <w:r>
        <w:fldChar w:fldCharType="end"/>
      </w:r>
      <w:r>
        <w:fldChar w:fldCharType="end"/>
      </w:r>
    </w:p>
    <w:p w14:paraId="2197AF53">
      <w:pPr>
        <w:pStyle w:val="12"/>
        <w:tabs>
          <w:tab w:val="right" w:leader="dot" w:pos="8788"/>
        </w:tabs>
      </w:pPr>
      <w:r>
        <w:fldChar w:fldCharType="begin"/>
      </w:r>
      <w:r>
        <w:instrText xml:space="preserve"> HYPERLINK \l "_Toc13029" </w:instrText>
      </w:r>
      <w:r>
        <w:fldChar w:fldCharType="separate"/>
      </w:r>
      <w:r>
        <w:rPr>
          <w:rFonts w:hint="eastAsia" w:ascii="黑体" w:hAnsi="黑体" w:eastAsia="黑体" w:cs="黑体"/>
          <w:bCs/>
          <w:szCs w:val="28"/>
        </w:rPr>
        <w:t>引用标准名录</w:t>
      </w:r>
      <w:r>
        <w:tab/>
      </w:r>
      <w:r>
        <w:fldChar w:fldCharType="begin"/>
      </w:r>
      <w:r>
        <w:instrText xml:space="preserve"> PAGEREF _Toc13029 \h </w:instrText>
      </w:r>
      <w:r>
        <w:fldChar w:fldCharType="separate"/>
      </w:r>
      <w:r>
        <w:t>98</w:t>
      </w:r>
      <w:r>
        <w:fldChar w:fldCharType="end"/>
      </w:r>
      <w:r>
        <w:fldChar w:fldCharType="end"/>
      </w:r>
    </w:p>
    <w:p w14:paraId="532DCB3C">
      <w:pPr>
        <w:pStyle w:val="12"/>
        <w:tabs>
          <w:tab w:val="right" w:leader="dot" w:pos="8788"/>
        </w:tabs>
      </w:pPr>
      <w:r>
        <w:rPr>
          <w:rFonts w:hint="eastAsia" w:eastAsia="黑体"/>
          <w:bCs/>
          <w:szCs w:val="21"/>
        </w:rPr>
        <w:t>附：</w:t>
      </w:r>
      <w:r>
        <w:fldChar w:fldCharType="begin"/>
      </w:r>
      <w:r>
        <w:instrText xml:space="preserve"> HYPERLINK \l "_Toc9199" </w:instrText>
      </w:r>
      <w:r>
        <w:fldChar w:fldCharType="separate"/>
      </w:r>
      <w:r>
        <w:rPr>
          <w:rFonts w:hint="eastAsia" w:ascii="黑体" w:hAnsi="黑体" w:eastAsia="黑体" w:cs="黑体"/>
          <w:szCs w:val="32"/>
        </w:rPr>
        <w:t>条文说明</w:t>
      </w:r>
      <w:r>
        <w:tab/>
      </w:r>
      <w:r>
        <w:fldChar w:fldCharType="begin"/>
      </w:r>
      <w:r>
        <w:instrText xml:space="preserve"> PAGEREF _Toc9199 \h </w:instrText>
      </w:r>
      <w:r>
        <w:fldChar w:fldCharType="separate"/>
      </w:r>
      <w:r>
        <w:t>100</w:t>
      </w:r>
      <w:r>
        <w:fldChar w:fldCharType="end"/>
      </w:r>
      <w:r>
        <w:fldChar w:fldCharType="end"/>
      </w:r>
    </w:p>
    <w:p w14:paraId="1EDA8C99">
      <w:pPr>
        <w:rPr>
          <w:rFonts w:eastAsia="黑体"/>
          <w:bCs/>
          <w:szCs w:val="28"/>
        </w:rPr>
      </w:pPr>
      <w:r>
        <w:rPr>
          <w:rFonts w:eastAsia="黑体"/>
          <w:bCs/>
          <w:szCs w:val="21"/>
        </w:rPr>
        <w:fldChar w:fldCharType="end"/>
      </w:r>
    </w:p>
    <w:p w14:paraId="41508E37">
      <w:pPr>
        <w:rPr>
          <w:rFonts w:eastAsia="黑体"/>
          <w:bCs/>
          <w:szCs w:val="28"/>
        </w:rPr>
      </w:pPr>
    </w:p>
    <w:p w14:paraId="4A6CBC81">
      <w:pPr>
        <w:jc w:val="center"/>
        <w:outlineLvl w:val="0"/>
        <w:rPr>
          <w:rFonts w:eastAsia="黑体"/>
          <w:b/>
          <w:bCs/>
          <w:sz w:val="28"/>
          <w:szCs w:val="28"/>
        </w:rPr>
        <w:sectPr>
          <w:footerReference r:id="rId6" w:type="default"/>
          <w:pgSz w:w="11906" w:h="16838"/>
          <w:pgMar w:top="1440" w:right="1417" w:bottom="1276" w:left="1701" w:header="1021" w:footer="992" w:gutter="0"/>
          <w:pgNumType w:start="1"/>
          <w:cols w:space="720" w:num="1"/>
          <w:docGrid w:linePitch="312" w:charSpace="0"/>
        </w:sectPr>
      </w:pPr>
      <w:bookmarkStart w:id="16" w:name="_Toc15320"/>
    </w:p>
    <w:p w14:paraId="4888899D">
      <w:pPr>
        <w:jc w:val="center"/>
        <w:rPr>
          <w:rFonts w:eastAsia="黑体"/>
          <w:b/>
          <w:bCs/>
          <w:sz w:val="28"/>
          <w:szCs w:val="28"/>
        </w:rPr>
      </w:pPr>
    </w:p>
    <w:p w14:paraId="39142354">
      <w:pPr>
        <w:tabs>
          <w:tab w:val="left" w:pos="3421"/>
          <w:tab w:val="center" w:pos="4453"/>
        </w:tabs>
        <w:jc w:val="center"/>
        <w:rPr>
          <w:sz w:val="28"/>
          <w:szCs w:val="28"/>
        </w:rPr>
      </w:pPr>
      <w:r>
        <w:rPr>
          <w:rFonts w:hint="eastAsia"/>
          <w:sz w:val="28"/>
          <w:szCs w:val="28"/>
        </w:rPr>
        <w:tab/>
      </w:r>
    </w:p>
    <w:sdt>
      <w:sdtPr>
        <w:rPr>
          <w:sz w:val="28"/>
          <w:szCs w:val="28"/>
        </w:rPr>
        <w:id w:val="147463287"/>
        <w15:color w:val="DBDBDB"/>
        <w:docPartObj>
          <w:docPartGallery w:val="Table of Contents"/>
          <w:docPartUnique/>
        </w:docPartObj>
      </w:sdtPr>
      <w:sdtEndPr>
        <w:rPr>
          <w:rFonts w:ascii="宋体" w:hAnsi="宋体"/>
          <w:sz w:val="28"/>
          <w:szCs w:val="28"/>
        </w:rPr>
      </w:sdtEndPr>
      <w:sdtContent>
        <w:sdt>
          <w:sdtPr>
            <w:rPr>
              <w:rFonts w:ascii="宋体" w:hAnsi="宋体"/>
            </w:rPr>
            <w:id w:val="147461653"/>
            <w15:color w:val="DBDBDB"/>
            <w:docPartObj>
              <w:docPartGallery w:val="Table of Contents"/>
              <w:docPartUnique/>
            </w:docPartObj>
          </w:sdtPr>
          <w:sdtEndPr>
            <w:rPr>
              <w:rFonts w:ascii="Times New Roman" w:hAnsi="Times New Roman" w:eastAsia="黑体"/>
              <w:bCs/>
              <w:szCs w:val="28"/>
            </w:rPr>
          </w:sdtEndPr>
          <w:sdtContent>
            <w:p w14:paraId="549C1871">
              <w:pPr>
                <w:tabs>
                  <w:tab w:val="left" w:pos="3421"/>
                  <w:tab w:val="center" w:pos="4453"/>
                </w:tabs>
                <w:jc w:val="center"/>
                <w:rPr>
                  <w:rFonts w:hint="eastAsia" w:ascii="黑体" w:hAnsi="黑体" w:eastAsia="黑体" w:cs="黑体"/>
                  <w:sz w:val="28"/>
                  <w:szCs w:val="28"/>
                </w:rPr>
              </w:pPr>
              <w:r>
                <w:rPr>
                  <w:sz w:val="28"/>
                  <w:szCs w:val="28"/>
                </w:rPr>
                <w:t>Contents</w:t>
              </w:r>
            </w:p>
            <w:p w14:paraId="03629978">
              <w:pPr>
                <w:pStyle w:val="12"/>
                <w:tabs>
                  <w:tab w:val="right" w:leader="dot" w:pos="8788"/>
                </w:tabs>
              </w:pPr>
              <w:r>
                <w:rPr>
                  <w:rFonts w:eastAsia="黑体"/>
                  <w:bCs/>
                  <w:szCs w:val="28"/>
                </w:rPr>
                <w:t xml:space="preserve">1  </w:t>
              </w:r>
              <w:r>
                <w:rPr>
                  <w:szCs w:val="28"/>
                </w:rPr>
                <w:t>General provisions</w:t>
              </w:r>
              <w:r>
                <w:tab/>
              </w:r>
              <w:r>
                <w:t>1</w:t>
              </w:r>
            </w:p>
            <w:p w14:paraId="78A65214">
              <w:pPr>
                <w:pStyle w:val="12"/>
                <w:tabs>
                  <w:tab w:val="right" w:leader="dot" w:pos="8788"/>
                </w:tabs>
              </w:pPr>
              <w:r>
                <w:rPr>
                  <w:rFonts w:eastAsia="黑体"/>
                  <w:bCs/>
                  <w:szCs w:val="28"/>
                </w:rPr>
                <w:t>2  Terms</w:t>
              </w:r>
              <w:r>
                <w:tab/>
              </w:r>
              <w:r>
                <w:t>2</w:t>
              </w:r>
            </w:p>
            <w:p w14:paraId="1FA7C007">
              <w:pPr>
                <w:pStyle w:val="12"/>
                <w:tabs>
                  <w:tab w:val="right" w:leader="dot" w:pos="8788"/>
                </w:tabs>
              </w:pPr>
              <w:r>
                <w:rPr>
                  <w:rFonts w:eastAsia="黑体"/>
                  <w:bCs/>
                  <w:szCs w:val="28"/>
                </w:rPr>
                <w:t>3  Basic requirements</w:t>
              </w:r>
              <w:r>
                <w:tab/>
              </w:r>
              <w:r>
                <w:t>4</w:t>
              </w:r>
            </w:p>
            <w:p w14:paraId="017EA2A4">
              <w:pPr>
                <w:pStyle w:val="12"/>
                <w:tabs>
                  <w:tab w:val="right" w:leader="dot" w:pos="8788"/>
                </w:tabs>
              </w:pPr>
              <w:r>
                <w:rPr>
                  <w:rFonts w:eastAsia="黑体"/>
                  <w:szCs w:val="28"/>
                </w:rPr>
                <w:t>4  Protective facilities</w:t>
              </w:r>
              <w:r>
                <w:tab/>
              </w:r>
              <w:r>
                <w:t>5</w:t>
              </w:r>
            </w:p>
            <w:p w14:paraId="723215BD">
              <w:pPr>
                <w:pStyle w:val="13"/>
                <w:tabs>
                  <w:tab w:val="right" w:leader="dot" w:pos="8788"/>
                </w:tabs>
              </w:pPr>
              <w:r>
                <w:rPr>
                  <w:bCs/>
                  <w:szCs w:val="24"/>
                </w:rPr>
                <w:t>4.1 General requirements</w:t>
              </w:r>
              <w:r>
                <w:tab/>
              </w:r>
              <w:r>
                <w:t>5</w:t>
              </w:r>
            </w:p>
            <w:p w14:paraId="0678DB4A">
              <w:pPr>
                <w:pStyle w:val="13"/>
                <w:tabs>
                  <w:tab w:val="right" w:leader="dot" w:pos="8788"/>
                </w:tabs>
              </w:pPr>
              <w:r>
                <w:rPr>
                  <w:bCs/>
                  <w:szCs w:val="24"/>
                </w:rPr>
                <w:t>4.2 Safety protection for edge openings</w:t>
              </w:r>
              <w:r>
                <w:tab/>
              </w:r>
              <w:r>
                <w:t>5</w:t>
              </w:r>
            </w:p>
            <w:p w14:paraId="65816CFD">
              <w:pPr>
                <w:pStyle w:val="13"/>
                <w:tabs>
                  <w:tab w:val="right" w:leader="dot" w:pos="8788"/>
                </w:tabs>
              </w:pPr>
              <w:r>
                <w:rPr>
                  <w:bCs/>
                  <w:szCs w:val="24"/>
                </w:rPr>
                <w:t xml:space="preserve">4.3 </w:t>
              </w:r>
              <w:r>
                <w:rPr>
                  <w:rFonts w:eastAsia="黑体"/>
                  <w:szCs w:val="24"/>
                </w:rPr>
                <w:t>Safety protection for floor and wall openings</w:t>
              </w:r>
              <w:r>
                <w:tab/>
              </w:r>
              <w:r>
                <w:t>11</w:t>
              </w:r>
            </w:p>
            <w:p w14:paraId="313F0E36">
              <w:pPr>
                <w:pStyle w:val="13"/>
                <w:tabs>
                  <w:tab w:val="right" w:leader="dot" w:pos="8788"/>
                </w:tabs>
              </w:pPr>
              <w:r>
                <w:rPr>
                  <w:bCs/>
                  <w:szCs w:val="24"/>
                </w:rPr>
                <w:t xml:space="preserve">4.4 </w:t>
              </w:r>
              <w:r>
                <w:rPr>
                  <w:rFonts w:eastAsia="黑体"/>
                  <w:szCs w:val="24"/>
                </w:rPr>
                <w:t>Safety protection for working platforms</w:t>
              </w:r>
              <w:r>
                <w:tab/>
              </w:r>
              <w:r>
                <w:t>2</w:t>
              </w:r>
              <w:r>
                <w:rPr>
                  <w:rFonts w:hint="eastAsia"/>
                </w:rPr>
                <w:t>0</w:t>
              </w:r>
            </w:p>
            <w:p w14:paraId="5B110176">
              <w:pPr>
                <w:pStyle w:val="13"/>
                <w:tabs>
                  <w:tab w:val="right" w:leader="dot" w:pos="8788"/>
                </w:tabs>
              </w:pPr>
              <w:r>
                <w:rPr>
                  <w:bCs/>
                  <w:szCs w:val="24"/>
                </w:rPr>
                <w:t xml:space="preserve">4.5 </w:t>
              </w:r>
              <w:r>
                <w:rPr>
                  <w:rFonts w:eastAsia="黑体"/>
                  <w:szCs w:val="24"/>
                </w:rPr>
                <w:t>Safety protection for prefabricated construction</w:t>
              </w:r>
              <w:r>
                <w:tab/>
              </w:r>
              <w:r>
                <w:rPr>
                  <w:rFonts w:hint="eastAsia"/>
                </w:rPr>
                <w:t>29</w:t>
              </w:r>
            </w:p>
            <w:p w14:paraId="3671EF86">
              <w:pPr>
                <w:pStyle w:val="13"/>
                <w:tabs>
                  <w:tab w:val="right" w:leader="dot" w:pos="8788"/>
                </w:tabs>
              </w:pPr>
              <w:r>
                <w:rPr>
                  <w:bCs/>
                  <w:szCs w:val="24"/>
                </w:rPr>
                <w:t>4.6 Safety protection for overlapping operations</w:t>
              </w:r>
              <w:r>
                <w:tab/>
              </w:r>
              <w:r>
                <w:t>3</w:t>
              </w:r>
              <w:r>
                <w:rPr>
                  <w:rFonts w:hint="eastAsia"/>
                </w:rPr>
                <w:t>8</w:t>
              </w:r>
            </w:p>
            <w:p w14:paraId="4BFEB17C">
              <w:pPr>
                <w:pStyle w:val="13"/>
                <w:tabs>
                  <w:tab w:val="right" w:leader="dot" w:pos="8788"/>
                </w:tabs>
              </w:pPr>
              <w:r>
                <w:rPr>
                  <w:bCs/>
                  <w:szCs w:val="24"/>
                </w:rPr>
                <w:t xml:space="preserve">4.7 </w:t>
              </w:r>
              <w:r>
                <w:rPr>
                  <w:rFonts w:eastAsia="黑体"/>
                  <w:szCs w:val="24"/>
                </w:rPr>
                <w:t>Safety protection for construction machinery</w:t>
              </w:r>
              <w:r>
                <w:tab/>
              </w:r>
              <w:r>
                <w:t>4</w:t>
              </w:r>
              <w:r>
                <w:rPr>
                  <w:rFonts w:hint="eastAsia"/>
                </w:rPr>
                <w:t>1</w:t>
              </w:r>
            </w:p>
            <w:p w14:paraId="04EBB8AB">
              <w:pPr>
                <w:pStyle w:val="13"/>
                <w:tabs>
                  <w:tab w:val="right" w:leader="dot" w:pos="8788"/>
                </w:tabs>
              </w:pPr>
              <w:r>
                <w:rPr>
                  <w:bCs/>
                  <w:szCs w:val="24"/>
                </w:rPr>
                <w:t xml:space="preserve">4.8 </w:t>
              </w:r>
              <w:r>
                <w:rPr>
                  <w:szCs w:val="24"/>
                </w:rPr>
                <w:t>Safety protection for confined spaces</w:t>
              </w:r>
              <w:r>
                <w:tab/>
              </w:r>
              <w:r>
                <w:t>4</w:t>
              </w:r>
              <w:r>
                <w:rPr>
                  <w:rFonts w:hint="eastAsia"/>
                </w:rPr>
                <w:t>2</w:t>
              </w:r>
            </w:p>
            <w:p w14:paraId="62182AB2">
              <w:pPr>
                <w:pStyle w:val="13"/>
                <w:tabs>
                  <w:tab w:val="right" w:leader="dot" w:pos="8788"/>
                </w:tabs>
              </w:pPr>
              <w:r>
                <w:rPr>
                  <w:bCs/>
                  <w:szCs w:val="24"/>
                </w:rPr>
                <w:t xml:space="preserve">4.9 </w:t>
              </w:r>
              <w:r>
                <w:rPr>
                  <w:rFonts w:eastAsia="黑体"/>
                  <w:szCs w:val="24"/>
                </w:rPr>
                <w:t>Safety protection for demolition works</w:t>
              </w:r>
              <w:r>
                <w:tab/>
              </w:r>
              <w:r>
                <w:rPr>
                  <w:rFonts w:hint="eastAsia"/>
                </w:rPr>
                <w:t>43</w:t>
              </w:r>
            </w:p>
            <w:p w14:paraId="542ADFCE">
              <w:pPr>
                <w:pStyle w:val="12"/>
                <w:tabs>
                  <w:tab w:val="right" w:leader="dot" w:pos="8788"/>
                </w:tabs>
              </w:pPr>
              <w:r>
                <w:rPr>
                  <w:rFonts w:hint="eastAsia" w:eastAsia="黑体"/>
                  <w:kern w:val="44"/>
                  <w:szCs w:val="28"/>
                </w:rPr>
                <w:t>5</w:t>
              </w:r>
              <w:r>
                <w:rPr>
                  <w:rFonts w:eastAsia="黑体"/>
                  <w:kern w:val="44"/>
                  <w:szCs w:val="28"/>
                </w:rPr>
                <w:t xml:space="preserve"> Scaffolding</w:t>
              </w:r>
              <w:r>
                <w:tab/>
              </w:r>
              <w:r>
                <w:rPr>
                  <w:rFonts w:hint="eastAsia"/>
                </w:rPr>
                <w:t>45</w:t>
              </w:r>
            </w:p>
            <w:p w14:paraId="0BD8C651">
              <w:pPr>
                <w:pStyle w:val="13"/>
                <w:tabs>
                  <w:tab w:val="right" w:leader="dot" w:pos="8788"/>
                </w:tabs>
              </w:pPr>
              <w:r>
                <w:rPr>
                  <w:rFonts w:hint="eastAsia"/>
                  <w:bCs/>
                  <w:szCs w:val="24"/>
                </w:rPr>
                <w:t>5</w:t>
              </w:r>
              <w:r>
                <w:rPr>
                  <w:bCs/>
                  <w:szCs w:val="24"/>
                </w:rPr>
                <w:t>.1 General requirements</w:t>
              </w:r>
              <w:r>
                <w:tab/>
              </w:r>
              <w:r>
                <w:rPr>
                  <w:rFonts w:hint="eastAsia"/>
                </w:rPr>
                <w:t>45</w:t>
              </w:r>
            </w:p>
            <w:p w14:paraId="163CDB28">
              <w:pPr>
                <w:pStyle w:val="13"/>
                <w:tabs>
                  <w:tab w:val="right" w:leader="dot" w:pos="8788"/>
                </w:tabs>
              </w:pPr>
              <w:r>
                <w:rPr>
                  <w:rFonts w:hint="eastAsia"/>
                  <w:bCs/>
                  <w:szCs w:val="24"/>
                </w:rPr>
                <w:t>5</w:t>
              </w:r>
              <w:r>
                <w:rPr>
                  <w:bCs/>
                  <w:szCs w:val="24"/>
                </w:rPr>
                <w:t>.2 Materials and components</w:t>
              </w:r>
              <w:r>
                <w:tab/>
              </w:r>
              <w:r>
                <w:rPr>
                  <w:rFonts w:hint="eastAsia"/>
                </w:rPr>
                <w:t>45</w:t>
              </w:r>
            </w:p>
            <w:p w14:paraId="37B05D2E">
              <w:pPr>
                <w:pStyle w:val="13"/>
                <w:tabs>
                  <w:tab w:val="right" w:leader="dot" w:pos="8788"/>
                </w:tabs>
              </w:pPr>
              <w:r>
                <w:rPr>
                  <w:rFonts w:hint="eastAsia"/>
                  <w:bCs/>
                  <w:szCs w:val="24"/>
                </w:rPr>
                <w:t>5</w:t>
              </w:r>
              <w:r>
                <w:rPr>
                  <w:bCs/>
                  <w:szCs w:val="24"/>
                </w:rPr>
                <w:t>.</w:t>
              </w:r>
              <w:r>
                <w:rPr>
                  <w:rFonts w:hint="eastAsia"/>
                  <w:bCs/>
                  <w:szCs w:val="24"/>
                </w:rPr>
                <w:t>3</w:t>
              </w:r>
              <w:r>
                <w:rPr>
                  <w:bCs/>
                  <w:szCs w:val="24"/>
                </w:rPr>
                <w:t xml:space="preserve"> Erection, use and dismantling</w:t>
              </w:r>
              <w:r>
                <w:tab/>
              </w:r>
              <w:r>
                <w:rPr>
                  <w:rFonts w:hint="eastAsia"/>
                </w:rPr>
                <w:t>46</w:t>
              </w:r>
            </w:p>
            <w:p w14:paraId="03F38AC7">
              <w:pPr>
                <w:pStyle w:val="13"/>
                <w:tabs>
                  <w:tab w:val="right" w:leader="dot" w:pos="8788"/>
                </w:tabs>
              </w:pPr>
              <w:r>
                <w:rPr>
                  <w:rFonts w:hint="eastAsia"/>
                  <w:bCs/>
                  <w:szCs w:val="24"/>
                </w:rPr>
                <w:t>5</w:t>
              </w:r>
              <w:r>
                <w:rPr>
                  <w:bCs/>
                  <w:szCs w:val="24"/>
                </w:rPr>
                <w:t>.</w:t>
              </w:r>
              <w:r>
                <w:rPr>
                  <w:rFonts w:hint="eastAsia"/>
                  <w:bCs/>
                  <w:szCs w:val="24"/>
                </w:rPr>
                <w:t>4</w:t>
              </w:r>
              <w:r>
                <w:rPr>
                  <w:bCs/>
                  <w:szCs w:val="24"/>
                </w:rPr>
                <w:t xml:space="preserve"> Inspection and acceptance</w:t>
              </w:r>
              <w:r>
                <w:tab/>
              </w:r>
              <w:r>
                <w:rPr>
                  <w:rFonts w:hint="eastAsia"/>
                </w:rPr>
                <w:t>51</w:t>
              </w:r>
            </w:p>
            <w:p w14:paraId="311F9856">
              <w:pPr>
                <w:pStyle w:val="12"/>
                <w:tabs>
                  <w:tab w:val="right" w:leader="dot" w:pos="8788"/>
                </w:tabs>
              </w:pPr>
              <w:r>
                <w:rPr>
                  <w:rFonts w:hint="eastAsia" w:eastAsia="黑体"/>
                </w:rPr>
                <w:t>6</w:t>
              </w:r>
              <w:r>
                <w:rPr>
                  <w:rFonts w:eastAsia="黑体"/>
                </w:rPr>
                <w:t xml:space="preserve"> </w:t>
              </w:r>
              <w:r>
                <w:rPr>
                  <w:rFonts w:eastAsia="黑体"/>
                  <w:szCs w:val="24"/>
                </w:rPr>
                <w:t>Construction electricity safety</w:t>
              </w:r>
              <w:r>
                <w:tab/>
              </w:r>
              <w:r>
                <w:rPr>
                  <w:rFonts w:hint="eastAsia"/>
                </w:rPr>
                <w:t>5</w:t>
              </w:r>
              <w:r>
                <w:t>4</w:t>
              </w:r>
            </w:p>
            <w:p w14:paraId="2423DCE2">
              <w:pPr>
                <w:pStyle w:val="13"/>
                <w:tabs>
                  <w:tab w:val="right" w:leader="dot" w:pos="8788"/>
                </w:tabs>
              </w:pPr>
              <w:r>
                <w:rPr>
                  <w:rFonts w:hint="eastAsia"/>
                  <w:kern w:val="0"/>
                  <w:szCs w:val="24"/>
                </w:rPr>
                <w:t>6</w:t>
              </w:r>
              <w:r>
                <w:rPr>
                  <w:kern w:val="0"/>
                  <w:szCs w:val="24"/>
                </w:rPr>
                <w:t>.1</w:t>
              </w:r>
              <w:r>
                <w:rPr>
                  <w:bCs/>
                  <w:kern w:val="0"/>
                  <w:szCs w:val="24"/>
                </w:rPr>
                <w:t xml:space="preserve"> General requirements</w:t>
              </w:r>
              <w:r>
                <w:tab/>
              </w:r>
              <w:r>
                <w:rPr>
                  <w:rFonts w:hint="eastAsia"/>
                </w:rPr>
                <w:t>5</w:t>
              </w:r>
              <w:r>
                <w:t>4</w:t>
              </w:r>
            </w:p>
            <w:p w14:paraId="0EDD8214">
              <w:pPr>
                <w:pStyle w:val="13"/>
                <w:tabs>
                  <w:tab w:val="right" w:leader="dot" w:pos="8788"/>
                </w:tabs>
              </w:pPr>
              <w:r>
                <w:rPr>
                  <w:rFonts w:hint="eastAsia"/>
                  <w:bCs/>
                  <w:szCs w:val="24"/>
                </w:rPr>
                <w:t>6.</w:t>
              </w:r>
              <w:r>
                <w:rPr>
                  <w:bCs/>
                  <w:szCs w:val="24"/>
                </w:rPr>
                <w:t>2</w:t>
              </w:r>
              <w:r>
                <w:rPr>
                  <w:szCs w:val="24"/>
                </w:rPr>
                <w:t xml:space="preserve"> Power supply system</w:t>
              </w:r>
              <w:r>
                <w:tab/>
              </w:r>
              <w:r>
                <w:rPr>
                  <w:rFonts w:hint="eastAsia"/>
                </w:rPr>
                <w:t>56</w:t>
              </w:r>
            </w:p>
            <w:p w14:paraId="62D3E0AD">
              <w:pPr>
                <w:pStyle w:val="13"/>
                <w:tabs>
                  <w:tab w:val="right" w:leader="dot" w:pos="8788"/>
                </w:tabs>
              </w:pPr>
              <w:r>
                <w:rPr>
                  <w:rFonts w:hint="eastAsia"/>
                  <w:bCs/>
                  <w:szCs w:val="24"/>
                </w:rPr>
                <w:t>6</w:t>
              </w:r>
              <w:r>
                <w:rPr>
                  <w:bCs/>
                  <w:szCs w:val="24"/>
                </w:rPr>
                <w:t>.3 Power distribution system</w:t>
              </w:r>
              <w:r>
                <w:tab/>
              </w:r>
              <w:r>
                <w:rPr>
                  <w:rFonts w:hint="eastAsia"/>
                </w:rPr>
                <w:t>58</w:t>
              </w:r>
            </w:p>
            <w:p w14:paraId="755F3B84">
              <w:pPr>
                <w:pStyle w:val="13"/>
                <w:tabs>
                  <w:tab w:val="right" w:leader="dot" w:pos="8788"/>
                </w:tabs>
              </w:pPr>
              <w:r>
                <w:rPr>
                  <w:rFonts w:hint="eastAsia"/>
                  <w:bCs/>
                  <w:szCs w:val="24"/>
                </w:rPr>
                <w:t>6</w:t>
              </w:r>
              <w:r>
                <w:rPr>
                  <w:bCs/>
                  <w:szCs w:val="24"/>
                </w:rPr>
                <w:t>.4 Wiring system</w:t>
              </w:r>
              <w:r>
                <w:tab/>
              </w:r>
              <w:r>
                <w:rPr>
                  <w:rFonts w:hint="eastAsia"/>
                </w:rPr>
                <w:t>63</w:t>
              </w:r>
            </w:p>
            <w:p w14:paraId="617B1BA8">
              <w:pPr>
                <w:pStyle w:val="13"/>
                <w:tabs>
                  <w:tab w:val="right" w:leader="dot" w:pos="8788"/>
                </w:tabs>
              </w:pPr>
              <w:r>
                <w:rPr>
                  <w:rFonts w:hint="eastAsia"/>
                  <w:bCs/>
                  <w:szCs w:val="24"/>
                </w:rPr>
                <w:t>6</w:t>
              </w:r>
              <w:r>
                <w:rPr>
                  <w:bCs/>
                  <w:szCs w:val="24"/>
                </w:rPr>
                <w:t>.5 Electrical facilities and equipment</w:t>
              </w:r>
              <w:r>
                <w:tab/>
              </w:r>
              <w:r>
                <w:rPr>
                  <w:rFonts w:hint="eastAsia"/>
                </w:rPr>
                <w:t>68</w:t>
              </w:r>
            </w:p>
            <w:p w14:paraId="4AE0DAAA">
              <w:pPr>
                <w:pStyle w:val="13"/>
                <w:tabs>
                  <w:tab w:val="right" w:leader="dot" w:pos="8788"/>
                </w:tabs>
              </w:pPr>
              <w:r>
                <w:rPr>
                  <w:rFonts w:hint="eastAsia"/>
                  <w:bCs/>
                  <w:szCs w:val="24"/>
                </w:rPr>
                <w:t>6</w:t>
              </w:r>
              <w:r>
                <w:rPr>
                  <w:bCs/>
                  <w:szCs w:val="24"/>
                </w:rPr>
                <w:t>.6 Electricity use in office and living areas</w:t>
              </w:r>
              <w:r>
                <w:tab/>
              </w:r>
              <w:r>
                <w:rPr>
                  <w:rFonts w:hint="eastAsia"/>
                </w:rPr>
                <w:t>73</w:t>
              </w:r>
            </w:p>
            <w:p w14:paraId="2F319568">
              <w:pPr>
                <w:pStyle w:val="13"/>
                <w:tabs>
                  <w:tab w:val="right" w:leader="dot" w:pos="8788"/>
                </w:tabs>
              </w:pPr>
              <w:r>
                <w:rPr>
                  <w:rFonts w:hint="eastAsia"/>
                  <w:bCs/>
                  <w:szCs w:val="24"/>
                </w:rPr>
                <w:t>6</w:t>
              </w:r>
              <w:r>
                <w:rPr>
                  <w:bCs/>
                  <w:szCs w:val="24"/>
                </w:rPr>
                <w:t>.7 Construction lighting</w:t>
              </w:r>
              <w:r>
                <w:tab/>
              </w:r>
              <w:r>
                <w:rPr>
                  <w:rFonts w:hint="eastAsia"/>
                </w:rPr>
                <w:t>73</w:t>
              </w:r>
            </w:p>
            <w:p w14:paraId="1C3D94F8">
              <w:pPr>
                <w:pStyle w:val="13"/>
                <w:tabs>
                  <w:tab w:val="right" w:leader="dot" w:pos="8788"/>
                </w:tabs>
              </w:pPr>
              <w:r>
                <w:rPr>
                  <w:rFonts w:hint="eastAsia"/>
                  <w:bCs/>
                  <w:szCs w:val="24"/>
                </w:rPr>
                <w:t>6</w:t>
              </w:r>
              <w:r>
                <w:rPr>
                  <w:bCs/>
                  <w:szCs w:val="24"/>
                </w:rPr>
                <w:t>.8 Intelligent management system for construction electricity</w:t>
              </w:r>
              <w:r>
                <w:tab/>
              </w:r>
              <w:r>
                <w:rPr>
                  <w:rFonts w:hint="eastAsia"/>
                </w:rPr>
                <w:t>77</w:t>
              </w:r>
            </w:p>
            <w:p w14:paraId="0188ADF0">
              <w:pPr>
                <w:pStyle w:val="13"/>
                <w:tabs>
                  <w:tab w:val="right" w:leader="dot" w:pos="8788"/>
                </w:tabs>
              </w:pPr>
              <w:r>
                <w:rPr>
                  <w:rFonts w:hint="eastAsia"/>
                  <w:bCs/>
                  <w:szCs w:val="24"/>
                </w:rPr>
                <w:t>6</w:t>
              </w:r>
              <w:r>
                <w:rPr>
                  <w:bCs/>
                  <w:szCs w:val="24"/>
                </w:rPr>
                <w:t>.9 Lightning protection</w:t>
              </w:r>
              <w:r>
                <w:tab/>
              </w:r>
              <w:r>
                <w:rPr>
                  <w:rFonts w:hint="eastAsia"/>
                </w:rPr>
                <w:t>77</w:t>
              </w:r>
            </w:p>
            <w:p w14:paraId="73857A5F">
              <w:pPr>
                <w:pStyle w:val="13"/>
                <w:tabs>
                  <w:tab w:val="right" w:leader="dot" w:pos="8788"/>
                </w:tabs>
              </w:pPr>
              <w:r>
                <w:rPr>
                  <w:rFonts w:hint="eastAsia"/>
                  <w:bCs/>
                  <w:szCs w:val="24"/>
                </w:rPr>
                <w:t>6</w:t>
              </w:r>
              <w:r>
                <w:rPr>
                  <w:bCs/>
                  <w:szCs w:val="24"/>
                </w:rPr>
                <w:t>.10 Inspection and acceptance of electrical facilities and equipment</w:t>
              </w:r>
              <w:r>
                <w:tab/>
              </w:r>
              <w:r>
                <w:rPr>
                  <w:rFonts w:hint="eastAsia"/>
                </w:rPr>
                <w:t>79</w:t>
              </w:r>
            </w:p>
            <w:p w14:paraId="62B47277">
              <w:pPr>
                <w:pStyle w:val="13"/>
                <w:tabs>
                  <w:tab w:val="right" w:leader="dot" w:pos="8788"/>
                </w:tabs>
              </w:pPr>
              <w:r>
                <w:rPr>
                  <w:rFonts w:hint="eastAsia"/>
                  <w:bCs/>
                  <w:szCs w:val="24"/>
                </w:rPr>
                <w:t>6</w:t>
              </w:r>
              <w:r>
                <w:rPr>
                  <w:bCs/>
                  <w:szCs w:val="24"/>
                </w:rPr>
                <w:t>.11 Maintenance and dismantling of electrical facilities and equipment</w:t>
              </w:r>
              <w:r>
                <w:tab/>
              </w:r>
              <w:r>
                <w:rPr>
                  <w:rFonts w:hint="eastAsia"/>
                </w:rPr>
                <w:t>80</w:t>
              </w:r>
            </w:p>
            <w:p w14:paraId="3F983073">
              <w:pPr>
                <w:pStyle w:val="13"/>
                <w:tabs>
                  <w:tab w:val="right" w:leader="dot" w:pos="8788"/>
                </w:tabs>
              </w:pPr>
              <w:r>
                <w:rPr>
                  <w:rFonts w:hint="eastAsia"/>
                  <w:bCs/>
                  <w:szCs w:val="24"/>
                </w:rPr>
                <w:t>6</w:t>
              </w:r>
              <w:r>
                <w:rPr>
                  <w:bCs/>
                  <w:szCs w:val="24"/>
                </w:rPr>
                <w:t>.12</w:t>
              </w:r>
              <w:r>
                <w:rPr>
                  <w:szCs w:val="24"/>
                </w:rPr>
                <w:t xml:space="preserve"> Protection against overhead power lines</w:t>
              </w:r>
              <w:r>
                <w:tab/>
              </w:r>
              <w:r>
                <w:rPr>
                  <w:rFonts w:hint="eastAsia"/>
                </w:rPr>
                <w:t>81</w:t>
              </w:r>
            </w:p>
            <w:p w14:paraId="4C8770DC">
              <w:pPr>
                <w:pStyle w:val="12"/>
                <w:tabs>
                  <w:tab w:val="right" w:leader="dot" w:pos="8788"/>
                </w:tabs>
              </w:pPr>
              <w:r>
                <w:rPr>
                  <w:rFonts w:hint="eastAsia"/>
                  <w:kern w:val="44"/>
                  <w:szCs w:val="28"/>
                </w:rPr>
                <w:t>7</w:t>
              </w:r>
              <w:r>
                <w:rPr>
                  <w:kern w:val="44"/>
                  <w:szCs w:val="28"/>
                </w:rPr>
                <w:t xml:space="preserve"> Fire safety</w:t>
              </w:r>
              <w:r>
                <w:tab/>
              </w:r>
              <w:r>
                <w:rPr>
                  <w:rFonts w:hint="eastAsia"/>
                </w:rPr>
                <w:t>84</w:t>
              </w:r>
            </w:p>
            <w:p w14:paraId="030193E6">
              <w:pPr>
                <w:pStyle w:val="13"/>
                <w:tabs>
                  <w:tab w:val="right" w:leader="dot" w:pos="8788"/>
                </w:tabs>
              </w:pPr>
              <w:r>
                <w:rPr>
                  <w:rFonts w:hint="eastAsia"/>
                  <w:szCs w:val="24"/>
                </w:rPr>
                <w:t>7</w:t>
              </w:r>
              <w:r>
                <w:rPr>
                  <w:szCs w:val="24"/>
                </w:rPr>
                <w:t xml:space="preserve">.1 </w:t>
              </w:r>
              <w:r>
                <w:rPr>
                  <w:bCs/>
                  <w:szCs w:val="24"/>
                </w:rPr>
                <w:t>General requirements</w:t>
              </w:r>
              <w:r>
                <w:tab/>
              </w:r>
              <w:r>
                <w:rPr>
                  <w:rFonts w:hint="eastAsia"/>
                </w:rPr>
                <w:t>84</w:t>
              </w:r>
            </w:p>
            <w:p w14:paraId="6E938836">
              <w:pPr>
                <w:pStyle w:val="13"/>
                <w:tabs>
                  <w:tab w:val="right" w:leader="dot" w:pos="8788"/>
                </w:tabs>
              </w:pPr>
              <w:r>
                <w:rPr>
                  <w:rFonts w:hint="eastAsia"/>
                  <w:szCs w:val="24"/>
                </w:rPr>
                <w:t>7</w:t>
              </w:r>
              <w:r>
                <w:rPr>
                  <w:szCs w:val="24"/>
                </w:rPr>
                <w:t xml:space="preserve">.2 </w:t>
              </w:r>
              <w:r>
                <w:rPr>
                  <w:bCs/>
                  <w:szCs w:val="24"/>
                </w:rPr>
                <w:t>Site layout</w:t>
              </w:r>
              <w:r>
                <w:tab/>
              </w:r>
              <w:r>
                <w:rPr>
                  <w:rFonts w:hint="eastAsia"/>
                </w:rPr>
                <w:t>84</w:t>
              </w:r>
            </w:p>
            <w:p w14:paraId="2CDD7F86">
              <w:pPr>
                <w:pStyle w:val="13"/>
                <w:tabs>
                  <w:tab w:val="right" w:leader="dot" w:pos="8788"/>
                </w:tabs>
              </w:pPr>
              <w:r>
                <w:rPr>
                  <w:rFonts w:hint="eastAsia"/>
                  <w:szCs w:val="24"/>
                </w:rPr>
                <w:t>7</w:t>
              </w:r>
              <w:r>
                <w:rPr>
                  <w:szCs w:val="24"/>
                </w:rPr>
                <w:t xml:space="preserve">.3 </w:t>
              </w:r>
              <w:r>
                <w:rPr>
                  <w:rFonts w:hint="eastAsia"/>
                  <w:bCs/>
                  <w:szCs w:val="24"/>
                </w:rPr>
                <w:t>Firefighting equipment and facilities</w:t>
              </w:r>
              <w:r>
                <w:tab/>
              </w:r>
              <w:r>
                <w:rPr>
                  <w:rFonts w:hint="eastAsia"/>
                </w:rPr>
                <w:t>85</w:t>
              </w:r>
            </w:p>
            <w:p w14:paraId="4872047B">
              <w:pPr>
                <w:pStyle w:val="13"/>
                <w:tabs>
                  <w:tab w:val="right" w:leader="dot" w:pos="8788"/>
                </w:tabs>
              </w:pPr>
              <w:r>
                <w:rPr>
                  <w:rFonts w:hint="eastAsia"/>
                  <w:bCs/>
                  <w:szCs w:val="24"/>
                </w:rPr>
                <w:t>7</w:t>
              </w:r>
              <w:r>
                <w:rPr>
                  <w:bCs/>
                  <w:szCs w:val="24"/>
                </w:rPr>
                <w:t>.4</w:t>
              </w:r>
              <w:r>
                <w:rPr>
                  <w:rFonts w:hint="eastAsia"/>
                  <w:bCs/>
                  <w:szCs w:val="24"/>
                </w:rPr>
                <w:t xml:space="preserve"> Temporary facilities and structures fire safety</w:t>
              </w:r>
              <w:r>
                <w:tab/>
              </w:r>
              <w:r>
                <w:rPr>
                  <w:rFonts w:hint="eastAsia"/>
                </w:rPr>
                <w:t>86</w:t>
              </w:r>
            </w:p>
            <w:p w14:paraId="5922C37D">
              <w:pPr>
                <w:pStyle w:val="13"/>
                <w:tabs>
                  <w:tab w:val="right" w:leader="dot" w:pos="8788"/>
                </w:tabs>
              </w:pPr>
              <w:r>
                <w:rPr>
                  <w:rFonts w:hint="eastAsia"/>
                  <w:szCs w:val="24"/>
                </w:rPr>
                <w:t>7</w:t>
              </w:r>
              <w:r>
                <w:rPr>
                  <w:szCs w:val="24"/>
                </w:rPr>
                <w:t xml:space="preserve">.5 </w:t>
              </w:r>
              <w:r>
                <w:rPr>
                  <w:rFonts w:hint="eastAsia"/>
                  <w:bCs/>
                  <w:szCs w:val="24"/>
                </w:rPr>
                <w:t>Hot work</w:t>
              </w:r>
              <w:r>
                <w:tab/>
              </w:r>
              <w:r>
                <w:rPr>
                  <w:rFonts w:hint="eastAsia"/>
                </w:rPr>
                <w:t>87</w:t>
              </w:r>
            </w:p>
            <w:p w14:paraId="25B28653">
              <w:pPr>
                <w:pStyle w:val="13"/>
                <w:tabs>
                  <w:tab w:val="right" w:leader="dot" w:pos="8788"/>
                </w:tabs>
              </w:pPr>
              <w:r>
                <w:rPr>
                  <w:rFonts w:hint="eastAsia"/>
                  <w:szCs w:val="24"/>
                </w:rPr>
                <w:t>7</w:t>
              </w:r>
              <w:r>
                <w:rPr>
                  <w:szCs w:val="24"/>
                </w:rPr>
                <w:t xml:space="preserve">.6 </w:t>
              </w:r>
              <w:r>
                <w:rPr>
                  <w:rFonts w:hint="eastAsia"/>
                  <w:bCs/>
                  <w:szCs w:val="24"/>
                </w:rPr>
                <w:t>Combustible materials and flammable or explosive hazardous substances</w:t>
              </w:r>
              <w:r>
                <w:tab/>
              </w:r>
              <w:r>
                <w:rPr>
                  <w:rFonts w:hint="eastAsia"/>
                </w:rPr>
                <w:t>88</w:t>
              </w:r>
            </w:p>
            <w:p w14:paraId="4CD7F7EA">
              <w:pPr>
                <w:pStyle w:val="12"/>
                <w:tabs>
                  <w:tab w:val="right" w:leader="dot" w:pos="8788"/>
                </w:tabs>
              </w:pPr>
              <w:r>
                <w:t xml:space="preserve">Appendix A </w:t>
              </w:r>
              <w:r>
                <w:rPr>
                  <w:rFonts w:hint="eastAsia"/>
                </w:rPr>
                <w:t>R</w:t>
              </w:r>
              <w:r>
                <w:t>ecords of construction electricity works</w:t>
              </w:r>
              <w:r>
                <w:tab/>
              </w:r>
              <w:r>
                <w:rPr>
                  <w:rFonts w:hint="eastAsia"/>
                </w:rPr>
                <w:t>90</w:t>
              </w:r>
            </w:p>
            <w:p w14:paraId="144EBD14">
              <w:pPr>
                <w:pStyle w:val="12"/>
                <w:tabs>
                  <w:tab w:val="right" w:leader="dot" w:pos="8788"/>
                </w:tabs>
              </w:pPr>
              <w:r>
                <w:t>Explanation of wording in this standard</w:t>
              </w:r>
              <w:r>
                <w:tab/>
              </w:r>
              <w:r>
                <w:rPr>
                  <w:rFonts w:hint="eastAsia"/>
                </w:rPr>
                <w:t>97</w:t>
              </w:r>
            </w:p>
            <w:p w14:paraId="2BB85F6A">
              <w:pPr>
                <w:pStyle w:val="12"/>
                <w:tabs>
                  <w:tab w:val="right" w:leader="dot" w:pos="8787"/>
                </w:tabs>
                <w:rPr>
                  <w:rStyle w:val="20"/>
                  <w:color w:val="auto"/>
                  <w:u w:val="none"/>
                </w:rPr>
              </w:pPr>
              <w:r>
                <w:fldChar w:fldCharType="begin"/>
              </w:r>
              <w:r>
                <w:instrText xml:space="preserve"> HYPERLINK \l "引用标准名录" </w:instrText>
              </w:r>
              <w:r>
                <w:fldChar w:fldCharType="separate"/>
              </w:r>
              <w:r>
                <w:rPr>
                  <w:rStyle w:val="20"/>
                  <w:color w:val="auto"/>
                  <w:u w:val="none"/>
                </w:rPr>
                <w:t>List of quoted standards</w:t>
              </w:r>
              <w:r>
                <w:rPr>
                  <w:rStyle w:val="20"/>
                  <w:color w:val="auto"/>
                  <w:u w:val="none"/>
                </w:rPr>
                <w:tab/>
              </w:r>
              <w:r>
                <w:rPr>
                  <w:rStyle w:val="20"/>
                  <w:rFonts w:hint="eastAsia"/>
                  <w:color w:val="auto"/>
                  <w:u w:val="none"/>
                </w:rPr>
                <w:t>9</w:t>
              </w:r>
              <w:r>
                <w:rPr>
                  <w:rStyle w:val="20"/>
                  <w:rFonts w:hint="eastAsia"/>
                  <w:color w:val="auto"/>
                  <w:u w:val="none"/>
                </w:rPr>
                <w:fldChar w:fldCharType="end"/>
              </w:r>
              <w:r>
                <w:rPr>
                  <w:rStyle w:val="20"/>
                  <w:rFonts w:hint="eastAsia"/>
                  <w:color w:val="auto"/>
                  <w:u w:val="none"/>
                </w:rPr>
                <w:t>8</w:t>
              </w:r>
            </w:p>
            <w:p w14:paraId="5B31335B">
              <w:pPr>
                <w:pStyle w:val="12"/>
                <w:tabs>
                  <w:tab w:val="right" w:leader="dot" w:pos="8788"/>
                </w:tabs>
              </w:pPr>
              <w:r>
                <w:rPr>
                  <w:rStyle w:val="20"/>
                  <w:color w:val="auto"/>
                  <w:u w:val="none"/>
                </w:rPr>
                <w:t>Addition：Explanation of provisions</w:t>
              </w:r>
              <w:r>
                <w:tab/>
              </w:r>
              <w:r>
                <w:rPr>
                  <w:rFonts w:hint="eastAsia"/>
                </w:rPr>
                <w:t>100</w:t>
              </w:r>
            </w:p>
            <w:p w14:paraId="098C1FB3">
              <w:pPr>
                <w:jc w:val="center"/>
                <w:rPr>
                  <w:rFonts w:eastAsia="黑体"/>
                  <w:bCs/>
                  <w:szCs w:val="28"/>
                </w:rPr>
              </w:pPr>
            </w:p>
          </w:sdtContent>
        </w:sdt>
        <w:p w14:paraId="5FA8D03F">
          <w:pPr>
            <w:rPr>
              <w:rFonts w:eastAsia="黑体"/>
              <w:b/>
              <w:bCs/>
              <w:sz w:val="28"/>
              <w:szCs w:val="28"/>
            </w:rPr>
            <w:sectPr>
              <w:headerReference r:id="rId7" w:type="default"/>
              <w:footerReference r:id="rId8" w:type="default"/>
              <w:pgSz w:w="11906" w:h="16838"/>
              <w:pgMar w:top="1440" w:right="1417" w:bottom="1276" w:left="1701" w:header="1021" w:footer="992" w:gutter="0"/>
              <w:pgNumType w:start="1"/>
              <w:cols w:space="720" w:num="1"/>
              <w:docGrid w:linePitch="312" w:charSpace="0"/>
            </w:sectPr>
          </w:pPr>
          <w:r>
            <w:rPr>
              <w:sz w:val="28"/>
              <w:szCs w:val="28"/>
            </w:rPr>
            <w:br w:type="page"/>
          </w:r>
        </w:p>
      </w:sdtContent>
    </w:sdt>
    <w:p w14:paraId="6A49DFE5">
      <w:pPr>
        <w:jc w:val="center"/>
        <w:outlineLvl w:val="0"/>
        <w:rPr>
          <w:rFonts w:eastAsia="黑体"/>
          <w:b/>
          <w:bCs/>
          <w:sz w:val="28"/>
          <w:szCs w:val="28"/>
        </w:rPr>
      </w:pPr>
      <w:bookmarkStart w:id="17" w:name="_Toc2455"/>
      <w:r>
        <w:rPr>
          <w:rFonts w:eastAsia="黑体"/>
          <w:b/>
          <w:bCs/>
          <w:sz w:val="28"/>
          <w:szCs w:val="28"/>
        </w:rPr>
        <w:t>1</w:t>
      </w:r>
      <w:r>
        <w:rPr>
          <w:rFonts w:hint="eastAsia" w:eastAsia="黑体"/>
          <w:b/>
          <w:bCs/>
          <w:sz w:val="28"/>
          <w:szCs w:val="28"/>
        </w:rPr>
        <w:t xml:space="preserve">  </w:t>
      </w:r>
      <w:r>
        <w:rPr>
          <w:rFonts w:eastAsia="黑体"/>
          <w:sz w:val="28"/>
          <w:szCs w:val="28"/>
        </w:rPr>
        <w:t>总则</w:t>
      </w:r>
      <w:bookmarkEnd w:id="16"/>
      <w:bookmarkEnd w:id="17"/>
    </w:p>
    <w:p w14:paraId="2F1F3A52">
      <w:pPr>
        <w:spacing w:before="240" w:after="60" w:line="360" w:lineRule="auto"/>
        <w:rPr>
          <w:sz w:val="24"/>
          <w:szCs w:val="24"/>
        </w:rPr>
      </w:pPr>
      <w:r>
        <w:rPr>
          <w:b/>
          <w:bCs/>
          <w:sz w:val="24"/>
          <w:szCs w:val="24"/>
        </w:rPr>
        <w:t>1.0.1</w:t>
      </w:r>
      <w:r>
        <w:rPr>
          <w:sz w:val="24"/>
          <w:szCs w:val="24"/>
        </w:rPr>
        <w:t xml:space="preserve">  为加强北京市</w:t>
      </w:r>
      <w:r>
        <w:rPr>
          <w:rFonts w:hint="eastAsia"/>
          <w:sz w:val="24"/>
          <w:szCs w:val="24"/>
        </w:rPr>
        <w:t>建筑与市政工程</w:t>
      </w:r>
      <w:r>
        <w:rPr>
          <w:sz w:val="24"/>
          <w:szCs w:val="24"/>
        </w:rPr>
        <w:t>施工现场</w:t>
      </w:r>
      <w:r>
        <w:rPr>
          <w:rFonts w:hint="eastAsia"/>
          <w:sz w:val="24"/>
          <w:szCs w:val="24"/>
        </w:rPr>
        <w:t>安全</w:t>
      </w:r>
      <w:r>
        <w:rPr>
          <w:sz w:val="24"/>
          <w:szCs w:val="24"/>
        </w:rPr>
        <w:t>管理，保护人身和财产安全，制定本标准。</w:t>
      </w:r>
    </w:p>
    <w:p w14:paraId="5C0D255E">
      <w:pPr>
        <w:widowControl/>
        <w:spacing w:line="360" w:lineRule="auto"/>
        <w:rPr>
          <w:sz w:val="24"/>
          <w:szCs w:val="24"/>
        </w:rPr>
      </w:pPr>
      <w:r>
        <w:rPr>
          <w:b/>
          <w:bCs/>
          <w:sz w:val="24"/>
          <w:szCs w:val="24"/>
        </w:rPr>
        <w:t>1.0.2</w:t>
      </w:r>
      <w:r>
        <w:rPr>
          <w:sz w:val="24"/>
          <w:szCs w:val="24"/>
        </w:rPr>
        <w:t xml:space="preserve">  本标准适用于北京市行政区域内新建、改建、扩建</w:t>
      </w:r>
      <w:r>
        <w:rPr>
          <w:rFonts w:hint="eastAsia"/>
          <w:sz w:val="24"/>
          <w:szCs w:val="24"/>
        </w:rPr>
        <w:t>的</w:t>
      </w:r>
      <w:r>
        <w:rPr>
          <w:sz w:val="24"/>
          <w:szCs w:val="24"/>
        </w:rPr>
        <w:t>建筑</w:t>
      </w:r>
      <w:r>
        <w:rPr>
          <w:rFonts w:hint="eastAsia"/>
          <w:sz w:val="24"/>
          <w:szCs w:val="24"/>
        </w:rPr>
        <w:t>与</w:t>
      </w:r>
      <w:r>
        <w:rPr>
          <w:sz w:val="24"/>
          <w:szCs w:val="24"/>
        </w:rPr>
        <w:t>市政工程</w:t>
      </w:r>
      <w:r>
        <w:rPr>
          <w:rFonts w:hint="eastAsia"/>
          <w:sz w:val="24"/>
          <w:szCs w:val="24"/>
        </w:rPr>
        <w:t>的施工现场安全管理</w:t>
      </w:r>
      <w:r>
        <w:rPr>
          <w:sz w:val="24"/>
          <w:szCs w:val="24"/>
        </w:rPr>
        <w:t>。</w:t>
      </w:r>
    </w:p>
    <w:p w14:paraId="7F5F6F38">
      <w:pPr>
        <w:widowControl/>
        <w:spacing w:line="360" w:lineRule="auto"/>
        <w:rPr>
          <w:rFonts w:hint="eastAsia" w:ascii="宋体" w:hAnsi="宋体" w:cs="宋体"/>
          <w:b/>
          <w:bCs/>
          <w:szCs w:val="32"/>
        </w:rPr>
      </w:pPr>
      <w:r>
        <w:rPr>
          <w:b/>
          <w:bCs/>
          <w:sz w:val="24"/>
          <w:szCs w:val="24"/>
        </w:rPr>
        <w:t>1.0.3</w:t>
      </w:r>
      <w:r>
        <w:rPr>
          <w:sz w:val="24"/>
          <w:szCs w:val="24"/>
        </w:rPr>
        <w:t xml:space="preserve">  </w:t>
      </w:r>
      <w:r>
        <w:rPr>
          <w:rFonts w:hint="eastAsia"/>
          <w:sz w:val="24"/>
          <w:szCs w:val="24"/>
        </w:rPr>
        <w:t>建筑与市政工程</w:t>
      </w:r>
      <w:r>
        <w:rPr>
          <w:sz w:val="24"/>
          <w:szCs w:val="24"/>
        </w:rPr>
        <w:t>施工现场的安全</w:t>
      </w:r>
      <w:r>
        <w:rPr>
          <w:rFonts w:hint="eastAsia"/>
          <w:sz w:val="24"/>
          <w:szCs w:val="24"/>
        </w:rPr>
        <w:t>管理</w:t>
      </w:r>
      <w:r>
        <w:rPr>
          <w:sz w:val="24"/>
          <w:szCs w:val="24"/>
        </w:rPr>
        <w:t>除应符合本标准的规定外，尚应符合国家和北京市现行有关标准的规定。</w:t>
      </w:r>
      <w:r>
        <w:rPr>
          <w:rFonts w:hint="eastAsia" w:ascii="宋体" w:hAnsi="宋体" w:cs="宋体"/>
          <w:b/>
          <w:bCs/>
          <w:szCs w:val="21"/>
        </w:rPr>
        <w:br w:type="page"/>
      </w:r>
    </w:p>
    <w:p w14:paraId="0B3AC303">
      <w:pPr>
        <w:spacing w:line="360" w:lineRule="auto"/>
        <w:rPr>
          <w:rFonts w:eastAsia="黑体"/>
          <w:b/>
          <w:bCs/>
          <w:sz w:val="28"/>
          <w:szCs w:val="28"/>
        </w:rPr>
      </w:pPr>
    </w:p>
    <w:p w14:paraId="685813BE">
      <w:pPr>
        <w:spacing w:line="360" w:lineRule="auto"/>
        <w:jc w:val="center"/>
        <w:outlineLvl w:val="0"/>
        <w:rPr>
          <w:rFonts w:eastAsia="黑体"/>
          <w:b/>
          <w:bCs/>
          <w:sz w:val="28"/>
          <w:szCs w:val="28"/>
        </w:rPr>
      </w:pPr>
      <w:bookmarkStart w:id="18" w:name="_Toc19466"/>
      <w:bookmarkStart w:id="19" w:name="_Toc10968"/>
      <w:r>
        <w:rPr>
          <w:rFonts w:eastAsia="黑体"/>
          <w:b/>
          <w:bCs/>
          <w:sz w:val="28"/>
          <w:szCs w:val="28"/>
        </w:rPr>
        <w:t>2</w:t>
      </w:r>
      <w:r>
        <w:rPr>
          <w:rFonts w:hint="eastAsia" w:eastAsia="黑体"/>
          <w:b/>
          <w:bCs/>
          <w:sz w:val="28"/>
          <w:szCs w:val="28"/>
        </w:rPr>
        <w:t xml:space="preserve">  </w:t>
      </w:r>
      <w:r>
        <w:rPr>
          <w:rFonts w:eastAsia="黑体"/>
          <w:sz w:val="28"/>
          <w:szCs w:val="28"/>
        </w:rPr>
        <w:t>术语</w:t>
      </w:r>
      <w:bookmarkEnd w:id="18"/>
      <w:bookmarkEnd w:id="19"/>
    </w:p>
    <w:p w14:paraId="15FA4F12">
      <w:pPr>
        <w:snapToGrid w:val="0"/>
        <w:spacing w:line="360" w:lineRule="auto"/>
        <w:rPr>
          <w:sz w:val="24"/>
          <w:szCs w:val="24"/>
        </w:rPr>
      </w:pPr>
      <w:r>
        <w:rPr>
          <w:b/>
          <w:sz w:val="24"/>
          <w:szCs w:val="24"/>
        </w:rPr>
        <w:t>2.0.1</w:t>
      </w:r>
      <w:r>
        <w:rPr>
          <w:rFonts w:hint="eastAsia"/>
          <w:sz w:val="24"/>
          <w:szCs w:val="24"/>
        </w:rPr>
        <w:t xml:space="preserve">  临边  temporary edges</w:t>
      </w:r>
    </w:p>
    <w:p w14:paraId="3EB8205C">
      <w:pPr>
        <w:snapToGrid w:val="0"/>
        <w:spacing w:line="360" w:lineRule="auto"/>
        <w:ind w:firstLine="480" w:firstLineChars="200"/>
        <w:rPr>
          <w:sz w:val="24"/>
          <w:szCs w:val="24"/>
        </w:rPr>
      </w:pPr>
      <w:r>
        <w:rPr>
          <w:rFonts w:hint="eastAsia"/>
          <w:sz w:val="24"/>
          <w:szCs w:val="24"/>
        </w:rPr>
        <w:t>施工现场内无维护设施或维护设施高度低于</w:t>
      </w:r>
      <w:r>
        <w:rPr>
          <w:sz w:val="24"/>
          <w:szCs w:val="24"/>
        </w:rPr>
        <w:t>1.2</w:t>
      </w:r>
      <w:r>
        <w:rPr>
          <w:rFonts w:hint="eastAsia"/>
          <w:sz w:val="24"/>
          <w:szCs w:val="24"/>
        </w:rPr>
        <w:t>m的楼层周边、楼梯侧边、平台或阳台边、屋面周边和沟、坑、槽、深基础周边等危及人身安全的边沿的简称。</w:t>
      </w:r>
    </w:p>
    <w:p w14:paraId="38BE3374">
      <w:pPr>
        <w:snapToGrid w:val="0"/>
        <w:spacing w:line="360" w:lineRule="auto"/>
        <w:rPr>
          <w:sz w:val="24"/>
          <w:szCs w:val="24"/>
        </w:rPr>
      </w:pPr>
      <w:r>
        <w:rPr>
          <w:b/>
          <w:sz w:val="24"/>
          <w:szCs w:val="24"/>
        </w:rPr>
        <w:t>2.0.2</w:t>
      </w:r>
      <w:r>
        <w:rPr>
          <w:sz w:val="24"/>
          <w:szCs w:val="24"/>
        </w:rPr>
        <w:t xml:space="preserve">  洞口 hole</w:t>
      </w:r>
    </w:p>
    <w:p w14:paraId="73C8AE4C">
      <w:pPr>
        <w:snapToGrid w:val="0"/>
        <w:spacing w:line="360" w:lineRule="auto"/>
        <w:ind w:firstLine="480" w:firstLineChars="200"/>
        <w:rPr>
          <w:sz w:val="24"/>
          <w:szCs w:val="24"/>
        </w:rPr>
      </w:pPr>
      <w:r>
        <w:rPr>
          <w:sz w:val="24"/>
          <w:szCs w:val="24"/>
        </w:rPr>
        <w:t>在地面、楼面、屋面和墙面等有可能使人和物料坠落的因结构不连续而形成的通透空间。</w:t>
      </w:r>
    </w:p>
    <w:p w14:paraId="74D38C8C">
      <w:pPr>
        <w:snapToGrid w:val="0"/>
        <w:spacing w:line="360" w:lineRule="auto"/>
        <w:rPr>
          <w:sz w:val="24"/>
          <w:szCs w:val="24"/>
        </w:rPr>
      </w:pPr>
      <w:r>
        <w:rPr>
          <w:b/>
          <w:sz w:val="24"/>
          <w:szCs w:val="24"/>
        </w:rPr>
        <w:t>2.0.3</w:t>
      </w:r>
      <w:r>
        <w:rPr>
          <w:rFonts w:hint="eastAsia"/>
          <w:sz w:val="24"/>
          <w:szCs w:val="24"/>
        </w:rPr>
        <w:t xml:space="preserve">  </w:t>
      </w:r>
      <w:r>
        <w:rPr>
          <w:sz w:val="24"/>
          <w:szCs w:val="24"/>
        </w:rPr>
        <w:t>临时用房  temporary construction</w:t>
      </w:r>
    </w:p>
    <w:p w14:paraId="72C3C946">
      <w:pPr>
        <w:snapToGrid w:val="0"/>
        <w:spacing w:line="360" w:lineRule="auto"/>
        <w:ind w:firstLine="480" w:firstLineChars="200"/>
        <w:rPr>
          <w:sz w:val="24"/>
          <w:szCs w:val="24"/>
        </w:rPr>
      </w:pPr>
      <w:r>
        <w:rPr>
          <w:sz w:val="24"/>
          <w:szCs w:val="24"/>
        </w:rPr>
        <w:t>在施工现场建造的，为建设工程施工服务的各种非永久性建筑物，包括办公用房、宿舍、厨房操作间、食堂、锅炉房、发电机房、变配电房、库房等。</w:t>
      </w:r>
    </w:p>
    <w:p w14:paraId="5C0D6A5B">
      <w:pPr>
        <w:snapToGrid w:val="0"/>
        <w:spacing w:line="360" w:lineRule="auto"/>
        <w:rPr>
          <w:sz w:val="24"/>
          <w:szCs w:val="24"/>
        </w:rPr>
      </w:pPr>
      <w:r>
        <w:rPr>
          <w:b/>
          <w:sz w:val="24"/>
          <w:szCs w:val="24"/>
        </w:rPr>
        <w:t>2.0.4</w:t>
      </w:r>
      <w:r>
        <w:rPr>
          <w:rFonts w:hint="eastAsia"/>
          <w:b/>
          <w:sz w:val="24"/>
          <w:szCs w:val="24"/>
        </w:rPr>
        <w:t xml:space="preserve"> </w:t>
      </w:r>
      <w:r>
        <w:rPr>
          <w:rFonts w:hint="eastAsia"/>
          <w:sz w:val="24"/>
          <w:szCs w:val="24"/>
        </w:rPr>
        <w:t xml:space="preserve"> </w:t>
      </w:r>
      <w:r>
        <w:rPr>
          <w:sz w:val="24"/>
          <w:szCs w:val="24"/>
        </w:rPr>
        <w:t xml:space="preserve">临时设施  </w:t>
      </w:r>
      <w:r>
        <w:rPr>
          <w:rFonts w:hint="eastAsia"/>
          <w:sz w:val="24"/>
          <w:szCs w:val="24"/>
        </w:rPr>
        <w:t>temporary facilities</w:t>
      </w:r>
    </w:p>
    <w:p w14:paraId="09B5FC81">
      <w:pPr>
        <w:snapToGrid w:val="0"/>
        <w:spacing w:line="360" w:lineRule="auto"/>
        <w:ind w:firstLine="480" w:firstLineChars="200"/>
        <w:rPr>
          <w:sz w:val="24"/>
          <w:szCs w:val="24"/>
        </w:rPr>
      </w:pPr>
      <w:r>
        <w:rPr>
          <w:sz w:val="24"/>
          <w:szCs w:val="24"/>
        </w:rPr>
        <w:t>在施工现场建造的，为建设工程施工服务的各种非永久性设施，包括围墙、大门、临时道路、材料堆场及其加工场、固定动火作业场、作业棚、机具棚、贮水池及临时给排水、供电、供热管线等。</w:t>
      </w:r>
    </w:p>
    <w:p w14:paraId="25A4935E">
      <w:pPr>
        <w:pStyle w:val="35"/>
        <w:spacing w:before="120" w:line="360" w:lineRule="auto"/>
        <w:rPr>
          <w:color w:val="auto"/>
        </w:rPr>
      </w:pPr>
      <w:r>
        <w:rPr>
          <w:b/>
          <w:color w:val="auto"/>
          <w:szCs w:val="24"/>
        </w:rPr>
        <w:t>2.0.</w:t>
      </w:r>
      <w:r>
        <w:rPr>
          <w:rFonts w:hint="eastAsia"/>
          <w:b/>
          <w:color w:val="auto"/>
          <w:szCs w:val="24"/>
        </w:rPr>
        <w:t>5</w:t>
      </w:r>
      <w:r>
        <w:rPr>
          <w:color w:val="auto"/>
        </w:rPr>
        <w:t xml:space="preserve"> </w:t>
      </w:r>
      <w:r>
        <w:rPr>
          <w:rFonts w:hint="eastAsia"/>
          <w:color w:val="auto"/>
        </w:rPr>
        <w:t>总配电箱（柜）</w:t>
      </w:r>
      <w:r>
        <w:rPr>
          <w:color w:val="auto"/>
        </w:rPr>
        <w:t xml:space="preserve"> main distribution </w:t>
      </w:r>
      <w:bookmarkStart w:id="20" w:name="_Hlk214286624"/>
      <w:r>
        <w:rPr>
          <w:color w:val="auto"/>
        </w:rPr>
        <w:t>box</w:t>
      </w:r>
      <w:bookmarkEnd w:id="20"/>
    </w:p>
    <w:p w14:paraId="35B640F6">
      <w:pPr>
        <w:pStyle w:val="45"/>
        <w:spacing w:before="120" w:line="360" w:lineRule="auto"/>
        <w:ind w:firstLine="480"/>
      </w:pPr>
      <w:r>
        <w:rPr>
          <w:rFonts w:hint="eastAsia"/>
        </w:rPr>
        <w:t>从变压器、发电机或低压电网等引入电源，设置隔离和保护电器的配电箱（柜）。</w:t>
      </w:r>
    </w:p>
    <w:p w14:paraId="2BE6DF9B">
      <w:pPr>
        <w:pStyle w:val="35"/>
        <w:spacing w:before="120" w:line="360" w:lineRule="auto"/>
        <w:rPr>
          <w:bCs w:val="0"/>
          <w:color w:val="auto"/>
        </w:rPr>
      </w:pPr>
      <w:bookmarkStart w:id="21" w:name="_Toc30696"/>
      <w:bookmarkStart w:id="22" w:name="_Toc13149"/>
      <w:bookmarkStart w:id="23" w:name="_Toc7875"/>
      <w:bookmarkStart w:id="24" w:name="_Toc4186"/>
      <w:bookmarkStart w:id="25" w:name="_Toc9974"/>
      <w:r>
        <w:rPr>
          <w:b/>
          <w:color w:val="auto"/>
          <w:szCs w:val="24"/>
        </w:rPr>
        <w:t>2.0.</w:t>
      </w:r>
      <w:r>
        <w:rPr>
          <w:rFonts w:hint="eastAsia"/>
          <w:b/>
          <w:color w:val="auto"/>
          <w:szCs w:val="24"/>
        </w:rPr>
        <w:t>6</w:t>
      </w:r>
      <w:r>
        <w:rPr>
          <w:color w:val="auto"/>
        </w:rPr>
        <w:t xml:space="preserve"> </w:t>
      </w:r>
      <w:r>
        <w:rPr>
          <w:rFonts w:hint="eastAsia"/>
          <w:color w:val="auto"/>
        </w:rPr>
        <w:t>分配电箱</w:t>
      </w:r>
      <w:bookmarkStart w:id="26" w:name="OLE_LINK117"/>
      <w:r>
        <w:rPr>
          <w:color w:val="auto"/>
        </w:rPr>
        <w:t xml:space="preserve"> </w:t>
      </w:r>
      <w:bookmarkEnd w:id="21"/>
      <w:bookmarkEnd w:id="22"/>
      <w:bookmarkEnd w:id="23"/>
      <w:bookmarkEnd w:id="24"/>
      <w:bookmarkEnd w:id="25"/>
      <w:r>
        <w:rPr>
          <w:color w:val="auto"/>
        </w:rPr>
        <w:t>sub</w:t>
      </w:r>
      <w:bookmarkEnd w:id="26"/>
      <w:r>
        <w:rPr>
          <w:color w:val="auto"/>
        </w:rPr>
        <w:t>-distribution box</w:t>
      </w:r>
    </w:p>
    <w:p w14:paraId="531D06AA">
      <w:pPr>
        <w:pStyle w:val="45"/>
        <w:spacing w:before="120" w:line="360" w:lineRule="auto"/>
        <w:ind w:firstLine="480"/>
        <w:rPr>
          <w:bCs w:val="0"/>
        </w:rPr>
      </w:pPr>
      <w:r>
        <w:rPr>
          <w:rFonts w:hint="eastAsia"/>
        </w:rPr>
        <w:t>从总配电箱（柜）引入电源，设置隔离和保护电器的配电箱。</w:t>
      </w:r>
    </w:p>
    <w:p w14:paraId="1B957AEE">
      <w:pPr>
        <w:pStyle w:val="35"/>
        <w:spacing w:before="120" w:line="360" w:lineRule="auto"/>
        <w:rPr>
          <w:color w:val="auto"/>
        </w:rPr>
      </w:pPr>
      <w:bookmarkStart w:id="27" w:name="_Toc2689"/>
      <w:bookmarkStart w:id="28" w:name="_Toc31544"/>
      <w:bookmarkStart w:id="29" w:name="_Toc14941"/>
      <w:bookmarkStart w:id="30" w:name="_Toc18505"/>
      <w:bookmarkStart w:id="31" w:name="_Toc18664"/>
      <w:r>
        <w:rPr>
          <w:b/>
          <w:bCs w:val="0"/>
          <w:color w:val="auto"/>
        </w:rPr>
        <w:t>2.0.7</w:t>
      </w:r>
      <w:r>
        <w:rPr>
          <w:color w:val="auto"/>
        </w:rPr>
        <w:t xml:space="preserve"> </w:t>
      </w:r>
      <w:r>
        <w:rPr>
          <w:rFonts w:hint="eastAsia"/>
          <w:color w:val="auto"/>
        </w:rPr>
        <w:t>末级配电箱</w:t>
      </w:r>
      <w:r>
        <w:rPr>
          <w:color w:val="auto"/>
        </w:rPr>
        <w:t xml:space="preserve"> terminal distribution box</w:t>
      </w:r>
      <w:bookmarkEnd w:id="27"/>
      <w:bookmarkEnd w:id="28"/>
      <w:bookmarkEnd w:id="29"/>
      <w:bookmarkEnd w:id="30"/>
      <w:bookmarkEnd w:id="31"/>
    </w:p>
    <w:p w14:paraId="5099C7C3">
      <w:pPr>
        <w:pStyle w:val="35"/>
        <w:spacing w:before="120" w:line="360" w:lineRule="auto"/>
        <w:ind w:firstLine="720" w:firstLineChars="300"/>
        <w:rPr>
          <w:color w:val="auto"/>
        </w:rPr>
      </w:pPr>
      <w:r>
        <w:rPr>
          <w:rFonts w:hint="eastAsia"/>
          <w:color w:val="auto"/>
        </w:rPr>
        <w:t>直接给用电设备供电的配电箱。</w:t>
      </w:r>
    </w:p>
    <w:p w14:paraId="369172BC">
      <w:pPr>
        <w:pStyle w:val="35"/>
        <w:spacing w:before="120" w:line="360" w:lineRule="auto"/>
        <w:rPr>
          <w:color w:val="auto"/>
        </w:rPr>
      </w:pPr>
      <w:r>
        <w:rPr>
          <w:b/>
          <w:color w:val="auto"/>
          <w:szCs w:val="24"/>
        </w:rPr>
        <w:t>2.0.</w:t>
      </w:r>
      <w:r>
        <w:rPr>
          <w:rFonts w:hint="eastAsia"/>
          <w:b/>
          <w:color w:val="auto"/>
          <w:szCs w:val="24"/>
        </w:rPr>
        <w:t>8</w:t>
      </w:r>
      <w:r>
        <w:rPr>
          <w:color w:val="auto"/>
        </w:rPr>
        <w:t xml:space="preserve"> </w:t>
      </w:r>
      <w:bookmarkStart w:id="32" w:name="OLE_LINK135"/>
      <w:r>
        <w:rPr>
          <w:rFonts w:hint="eastAsia"/>
          <w:color w:val="auto"/>
        </w:rPr>
        <w:t>便携式末级配电箱</w:t>
      </w:r>
      <w:bookmarkEnd w:id="32"/>
      <w:r>
        <w:rPr>
          <w:color w:val="auto"/>
        </w:rPr>
        <w:t xml:space="preserve"> mobile terminal distribution box</w:t>
      </w:r>
    </w:p>
    <w:p w14:paraId="04EB698C">
      <w:pPr>
        <w:pStyle w:val="45"/>
        <w:spacing w:before="120" w:line="360" w:lineRule="auto"/>
        <w:ind w:firstLine="480"/>
      </w:pPr>
      <w:r>
        <w:rPr>
          <w:rFonts w:hint="eastAsia"/>
        </w:rPr>
        <w:t>从分配电箱引入电源，设置隔离和保护电器的一体式可移动末级配电箱。</w:t>
      </w:r>
    </w:p>
    <w:p w14:paraId="563CCBC4">
      <w:pPr>
        <w:pStyle w:val="35"/>
        <w:spacing w:before="120" w:line="360" w:lineRule="auto"/>
        <w:rPr>
          <w:color w:val="auto"/>
        </w:rPr>
      </w:pPr>
      <w:bookmarkStart w:id="33" w:name="_Hlk216358066"/>
      <w:r>
        <w:rPr>
          <w:b/>
          <w:color w:val="auto"/>
          <w:szCs w:val="24"/>
        </w:rPr>
        <w:t>2.0.</w:t>
      </w:r>
      <w:r>
        <w:rPr>
          <w:rFonts w:hint="eastAsia"/>
          <w:b/>
          <w:color w:val="auto"/>
          <w:szCs w:val="24"/>
        </w:rPr>
        <w:t>9</w:t>
      </w:r>
      <w:r>
        <w:rPr>
          <w:b/>
          <w:bCs w:val="0"/>
          <w:color w:val="auto"/>
        </w:rPr>
        <w:t xml:space="preserve"> </w:t>
      </w:r>
      <w:r>
        <w:rPr>
          <w:rFonts w:hint="eastAsia"/>
          <w:color w:val="auto"/>
        </w:rPr>
        <w:t>专用配电箱</w:t>
      </w:r>
      <w:r>
        <w:rPr>
          <w:color w:val="auto"/>
        </w:rPr>
        <w:t xml:space="preserve"> special distribution box</w:t>
      </w:r>
      <w:bookmarkEnd w:id="33"/>
    </w:p>
    <w:p w14:paraId="756208F9">
      <w:pPr>
        <w:pStyle w:val="45"/>
        <w:spacing w:before="120" w:line="360" w:lineRule="auto"/>
        <w:ind w:firstLine="480"/>
      </w:pPr>
      <w:r>
        <w:rPr>
          <w:rFonts w:hint="eastAsia"/>
        </w:rPr>
        <w:t>一般从总配电箱（柜）引入电源，为指定设备单独供电的固定式配电箱。</w:t>
      </w:r>
    </w:p>
    <w:p w14:paraId="4CFF3271">
      <w:pPr>
        <w:pStyle w:val="35"/>
        <w:spacing w:before="120" w:line="360" w:lineRule="auto"/>
        <w:rPr>
          <w:bCs w:val="0"/>
          <w:color w:val="auto"/>
        </w:rPr>
      </w:pPr>
      <w:bookmarkStart w:id="34" w:name="_Toc30829"/>
      <w:bookmarkStart w:id="35" w:name="_Toc9050"/>
      <w:bookmarkStart w:id="36" w:name="_Toc3315"/>
      <w:bookmarkStart w:id="37" w:name="_Toc16797"/>
      <w:r>
        <w:rPr>
          <w:b/>
          <w:color w:val="auto"/>
          <w:szCs w:val="24"/>
        </w:rPr>
        <w:t>2.0.</w:t>
      </w:r>
      <w:r>
        <w:rPr>
          <w:rFonts w:hint="eastAsia"/>
          <w:b/>
          <w:color w:val="auto"/>
          <w:szCs w:val="24"/>
        </w:rPr>
        <w:t>10</w:t>
      </w:r>
      <w:r>
        <w:rPr>
          <w:b/>
          <w:color w:val="auto"/>
        </w:rPr>
        <w:t xml:space="preserve"> </w:t>
      </w:r>
      <w:bookmarkStart w:id="38" w:name="OLE_LINK85"/>
      <w:r>
        <w:rPr>
          <w:rFonts w:hint="eastAsia"/>
          <w:bCs w:val="0"/>
          <w:color w:val="auto"/>
        </w:rPr>
        <w:t>大功率用电设备</w:t>
      </w:r>
      <w:bookmarkEnd w:id="34"/>
      <w:bookmarkEnd w:id="38"/>
      <w:bookmarkStart w:id="39" w:name="OLE_LINK132"/>
      <w:r>
        <w:rPr>
          <w:bCs w:val="0"/>
          <w:color w:val="auto"/>
        </w:rPr>
        <w:t>‌large power-consuming equipment‌</w:t>
      </w:r>
      <w:bookmarkEnd w:id="39"/>
    </w:p>
    <w:p w14:paraId="753EE7CC">
      <w:pPr>
        <w:pStyle w:val="45"/>
        <w:spacing w:before="120" w:line="360" w:lineRule="auto"/>
        <w:ind w:firstLine="480"/>
      </w:pPr>
      <w:bookmarkStart w:id="40" w:name="_Toc9148"/>
      <w:r>
        <w:rPr>
          <w:rFonts w:hint="eastAsia"/>
        </w:rPr>
        <w:t>额定电流</w:t>
      </w:r>
      <w:r>
        <w:t>63A</w:t>
      </w:r>
      <w:r>
        <w:rPr>
          <w:rFonts w:hint="eastAsia"/>
        </w:rPr>
        <w:t>及以上的用电设备，如塔式起重机、混凝土输送泵、空压机等。</w:t>
      </w:r>
      <w:bookmarkEnd w:id="40"/>
    </w:p>
    <w:p w14:paraId="094F79A5">
      <w:pPr>
        <w:pStyle w:val="35"/>
        <w:spacing w:before="120" w:line="360" w:lineRule="auto"/>
        <w:rPr>
          <w:color w:val="auto"/>
        </w:rPr>
      </w:pPr>
      <w:r>
        <w:rPr>
          <w:b/>
          <w:color w:val="auto"/>
          <w:szCs w:val="24"/>
        </w:rPr>
        <w:t>2.0.11</w:t>
      </w:r>
      <w:r>
        <w:rPr>
          <w:color w:val="auto"/>
        </w:rPr>
        <w:t xml:space="preserve"> </w:t>
      </w:r>
      <w:r>
        <w:rPr>
          <w:rFonts w:hint="eastAsia"/>
          <w:color w:val="auto"/>
        </w:rPr>
        <w:t>安全隔离变压器</w:t>
      </w:r>
      <w:r>
        <w:rPr>
          <w:color w:val="auto"/>
        </w:rPr>
        <w:t xml:space="preserve"> safety isolating transformer</w:t>
      </w:r>
      <w:bookmarkEnd w:id="35"/>
      <w:bookmarkEnd w:id="36"/>
      <w:bookmarkEnd w:id="37"/>
    </w:p>
    <w:p w14:paraId="48FA5E39">
      <w:pPr>
        <w:pStyle w:val="45"/>
        <w:spacing w:before="120" w:line="360" w:lineRule="auto"/>
        <w:ind w:firstLine="480"/>
      </w:pPr>
      <w:r>
        <w:rPr>
          <w:rFonts w:hint="eastAsia"/>
        </w:rPr>
        <w:t>设计成提供安全特低电压（</w:t>
      </w:r>
      <w:r>
        <w:t>SELV</w:t>
      </w:r>
      <w:r>
        <w:rPr>
          <w:rFonts w:hint="eastAsia"/>
        </w:rPr>
        <w:t>）或保护特低电压（</w:t>
      </w:r>
      <w:r>
        <w:t>PELV</w:t>
      </w:r>
      <w:r>
        <w:rPr>
          <w:rFonts w:hint="eastAsia"/>
        </w:rPr>
        <w:t>）的隔离变压器。</w:t>
      </w:r>
      <w:bookmarkStart w:id="41" w:name="_Toc16221"/>
      <w:bookmarkStart w:id="42" w:name="_Toc24664"/>
    </w:p>
    <w:bookmarkEnd w:id="41"/>
    <w:bookmarkEnd w:id="42"/>
    <w:p w14:paraId="47FD7BC9">
      <w:pPr>
        <w:pStyle w:val="35"/>
        <w:spacing w:before="120" w:line="360" w:lineRule="auto"/>
        <w:rPr>
          <w:bCs w:val="0"/>
          <w:color w:val="auto"/>
        </w:rPr>
      </w:pPr>
      <w:bookmarkStart w:id="43" w:name="OLE_LINK59"/>
      <w:bookmarkStart w:id="44" w:name="_Toc20345"/>
      <w:bookmarkStart w:id="45" w:name="_Toc25602"/>
      <w:bookmarkStart w:id="46" w:name="_Toc20720"/>
      <w:r>
        <w:rPr>
          <w:b/>
          <w:color w:val="auto"/>
          <w:szCs w:val="24"/>
        </w:rPr>
        <w:t>2.0.</w:t>
      </w:r>
      <w:r>
        <w:rPr>
          <w:rFonts w:hint="eastAsia"/>
          <w:b/>
          <w:color w:val="auto"/>
          <w:szCs w:val="24"/>
        </w:rPr>
        <w:t>12</w:t>
      </w:r>
      <w:r>
        <w:rPr>
          <w:rFonts w:hint="eastAsia"/>
          <w:bCs w:val="0"/>
          <w:color w:val="auto"/>
        </w:rPr>
        <w:t>潮湿场所</w:t>
      </w:r>
      <w:bookmarkEnd w:id="43"/>
      <w:r>
        <w:rPr>
          <w:bCs w:val="0"/>
          <w:color w:val="auto"/>
        </w:rPr>
        <w:t xml:space="preserve"> </w:t>
      </w:r>
      <w:bookmarkStart w:id="47" w:name="OLE_LINK137"/>
      <w:r>
        <w:rPr>
          <w:bCs w:val="0"/>
          <w:color w:val="auto"/>
        </w:rPr>
        <w:t>damp location</w:t>
      </w:r>
      <w:bookmarkEnd w:id="47"/>
    </w:p>
    <w:p w14:paraId="6282A802">
      <w:pPr>
        <w:pStyle w:val="45"/>
        <w:spacing w:before="120" w:line="360" w:lineRule="auto"/>
        <w:ind w:firstLine="480"/>
      </w:pPr>
      <w:r>
        <w:rPr>
          <w:rFonts w:hint="eastAsia"/>
        </w:rPr>
        <w:t>相对湿度大于</w:t>
      </w:r>
      <w:r>
        <w:t>95%</w:t>
      </w:r>
      <w:r>
        <w:rPr>
          <w:rFonts w:hint="eastAsia"/>
        </w:rPr>
        <w:t>或相对湿度长期超过</w:t>
      </w:r>
      <w:r>
        <w:t>75%</w:t>
      </w:r>
      <w:r>
        <w:rPr>
          <w:rFonts w:hint="eastAsia"/>
        </w:rPr>
        <w:t>的空气环境，存在积水、结露或其他导电液体、泥泞的环境。</w:t>
      </w:r>
    </w:p>
    <w:p w14:paraId="49743456">
      <w:pPr>
        <w:pStyle w:val="35"/>
        <w:spacing w:before="120" w:line="360" w:lineRule="auto"/>
        <w:rPr>
          <w:bCs w:val="0"/>
          <w:color w:val="auto"/>
        </w:rPr>
      </w:pPr>
      <w:r>
        <w:rPr>
          <w:b/>
          <w:color w:val="auto"/>
          <w:szCs w:val="24"/>
        </w:rPr>
        <w:t>2.0.13</w:t>
      </w:r>
      <w:r>
        <w:rPr>
          <w:bCs w:val="0"/>
          <w:color w:val="auto"/>
        </w:rPr>
        <w:t xml:space="preserve"> </w:t>
      </w:r>
      <w:r>
        <w:rPr>
          <w:rFonts w:hint="eastAsia"/>
          <w:bCs w:val="0"/>
          <w:color w:val="auto"/>
        </w:rPr>
        <w:t>隔离开关</w:t>
      </w:r>
      <w:r>
        <w:rPr>
          <w:bCs w:val="0"/>
          <w:color w:val="auto"/>
        </w:rPr>
        <w:t xml:space="preserve"> switch-disconnector</w:t>
      </w:r>
      <w:bookmarkEnd w:id="44"/>
      <w:bookmarkEnd w:id="45"/>
      <w:bookmarkEnd w:id="46"/>
    </w:p>
    <w:p w14:paraId="0A089865">
      <w:pPr>
        <w:pStyle w:val="45"/>
        <w:spacing w:before="120" w:line="360" w:lineRule="auto"/>
        <w:ind w:firstLine="638" w:firstLineChars="266"/>
      </w:pPr>
      <w:r>
        <w:rPr>
          <w:rFonts w:hint="eastAsia"/>
        </w:rPr>
        <w:t>断开位置能满足隔离器隔离规定要求的开关。</w:t>
      </w:r>
    </w:p>
    <w:p w14:paraId="06CB034E">
      <w:pPr>
        <w:pStyle w:val="45"/>
        <w:spacing w:before="120" w:line="360" w:lineRule="auto"/>
        <w:ind w:firstLine="0" w:firstLineChars="0"/>
      </w:pPr>
      <w:bookmarkStart w:id="48" w:name="_Toc4276"/>
      <w:bookmarkStart w:id="49" w:name="_Toc16514"/>
      <w:bookmarkStart w:id="50" w:name="_Toc15041"/>
      <w:bookmarkStart w:id="51" w:name="_Toc5503"/>
      <w:bookmarkStart w:id="52" w:name="_Toc4103"/>
      <w:r>
        <w:rPr>
          <w:b/>
        </w:rPr>
        <w:t>2.0.14</w:t>
      </w:r>
      <w:r>
        <w:rPr>
          <w:bCs w:val="0"/>
        </w:rPr>
        <w:t xml:space="preserve"> </w:t>
      </w:r>
      <w:r>
        <w:rPr>
          <w:rFonts w:hint="eastAsia"/>
          <w:bCs w:val="0"/>
        </w:rPr>
        <w:t>外电线路</w:t>
      </w:r>
      <w:r>
        <w:rPr>
          <w:bCs w:val="0"/>
        </w:rPr>
        <w:t xml:space="preserve"> external line</w:t>
      </w:r>
      <w:bookmarkEnd w:id="48"/>
      <w:bookmarkEnd w:id="49"/>
      <w:bookmarkEnd w:id="50"/>
      <w:bookmarkEnd w:id="51"/>
      <w:bookmarkEnd w:id="52"/>
    </w:p>
    <w:p w14:paraId="354A8C0C">
      <w:pPr>
        <w:pStyle w:val="45"/>
        <w:spacing w:before="120" w:line="360" w:lineRule="auto"/>
        <w:ind w:firstLine="480"/>
        <w:rPr>
          <w:b/>
        </w:rPr>
      </w:pPr>
      <w:r>
        <w:rPr>
          <w:rFonts w:hint="eastAsia"/>
        </w:rPr>
        <w:t>施工现场施工用电以外的电力线路。</w:t>
      </w:r>
    </w:p>
    <w:p w14:paraId="07EB717E">
      <w:pPr>
        <w:pStyle w:val="45"/>
        <w:spacing w:before="120" w:line="360" w:lineRule="auto"/>
        <w:ind w:firstLine="0" w:firstLineChars="0"/>
        <w:rPr>
          <w:bCs w:val="0"/>
          <w:kern w:val="0"/>
          <w:szCs w:val="20"/>
        </w:rPr>
      </w:pPr>
      <w:r>
        <w:rPr>
          <w:rFonts w:hint="eastAsia"/>
          <w:b/>
          <w:kern w:val="0"/>
          <w:szCs w:val="20"/>
        </w:rPr>
        <w:t>2.0.15</w:t>
      </w:r>
      <w:r>
        <w:rPr>
          <w:rFonts w:hint="eastAsia"/>
          <w:bCs w:val="0"/>
          <w:kern w:val="0"/>
          <w:szCs w:val="20"/>
        </w:rPr>
        <w:t xml:space="preserve">  消防安全标志fire safety sign</w:t>
      </w:r>
    </w:p>
    <w:p w14:paraId="6E6DAD09">
      <w:pPr>
        <w:pStyle w:val="45"/>
        <w:spacing w:before="120" w:line="360" w:lineRule="auto"/>
        <w:ind w:firstLine="480"/>
        <w:rPr>
          <w:bCs w:val="0"/>
          <w:kern w:val="0"/>
          <w:szCs w:val="20"/>
        </w:rPr>
      </w:pPr>
      <w:r>
        <w:rPr>
          <w:rFonts w:hint="eastAsia"/>
          <w:bCs w:val="0"/>
          <w:kern w:val="0"/>
          <w:szCs w:val="20"/>
        </w:rPr>
        <w:t>由表示特定消防安全信息的图形符号、安全色、几何形状(或边框)等构成，必要时辅以文字或方向指示的安全标志。</w:t>
      </w:r>
    </w:p>
    <w:p w14:paraId="0094304E">
      <w:pPr>
        <w:pStyle w:val="45"/>
        <w:spacing w:before="120" w:line="360" w:lineRule="auto"/>
        <w:ind w:firstLine="0" w:firstLineChars="0"/>
        <w:rPr>
          <w:bCs w:val="0"/>
          <w:kern w:val="0"/>
          <w:szCs w:val="20"/>
        </w:rPr>
      </w:pPr>
      <w:r>
        <w:rPr>
          <w:rFonts w:hint="eastAsia"/>
          <w:b/>
          <w:kern w:val="0"/>
          <w:szCs w:val="20"/>
        </w:rPr>
        <w:t>2.0.16</w:t>
      </w:r>
      <w:r>
        <w:rPr>
          <w:rFonts w:hint="eastAsia"/>
          <w:bCs w:val="0"/>
          <w:kern w:val="0"/>
          <w:szCs w:val="20"/>
        </w:rPr>
        <w:t xml:space="preserve">  防火间距fire separation distance</w:t>
      </w:r>
    </w:p>
    <w:p w14:paraId="500DC187">
      <w:pPr>
        <w:pStyle w:val="45"/>
        <w:spacing w:before="120" w:line="360" w:lineRule="auto"/>
        <w:ind w:firstLine="480"/>
        <w:rPr>
          <w:bCs w:val="0"/>
          <w:kern w:val="0"/>
          <w:szCs w:val="20"/>
        </w:rPr>
      </w:pPr>
      <w:r>
        <w:rPr>
          <w:rFonts w:hint="eastAsia"/>
          <w:bCs w:val="0"/>
          <w:kern w:val="0"/>
          <w:szCs w:val="20"/>
        </w:rPr>
        <w:t>防止着火建筑的辐射热在一定时间内引燃相邻建筑，且便于消防扑救的间隔距离。</w:t>
      </w:r>
    </w:p>
    <w:p w14:paraId="3AC643CB">
      <w:pPr>
        <w:pStyle w:val="45"/>
        <w:spacing w:before="120" w:line="360" w:lineRule="auto"/>
        <w:ind w:firstLine="0" w:firstLineChars="0"/>
        <w:rPr>
          <w:bCs w:val="0"/>
          <w:kern w:val="0"/>
          <w:szCs w:val="20"/>
        </w:rPr>
      </w:pPr>
      <w:r>
        <w:rPr>
          <w:rFonts w:hint="eastAsia"/>
          <w:b/>
          <w:kern w:val="0"/>
          <w:szCs w:val="20"/>
        </w:rPr>
        <w:t>2.0.17</w:t>
      </w:r>
      <w:r>
        <w:rPr>
          <w:rFonts w:hint="eastAsia"/>
          <w:bCs w:val="0"/>
          <w:kern w:val="0"/>
          <w:szCs w:val="20"/>
        </w:rPr>
        <w:t xml:space="preserve">  动火作业fire operation</w:t>
      </w:r>
    </w:p>
    <w:p w14:paraId="63238954">
      <w:pPr>
        <w:spacing w:line="360" w:lineRule="auto"/>
        <w:ind w:firstLine="480" w:firstLineChars="200"/>
        <w:rPr>
          <w:b/>
          <w:sz w:val="24"/>
          <w:szCs w:val="24"/>
        </w:rPr>
      </w:pPr>
      <w:r>
        <w:rPr>
          <w:rFonts w:hint="eastAsia"/>
          <w:kern w:val="0"/>
          <w:sz w:val="24"/>
        </w:rPr>
        <w:t>是指在施工现场进行明火、爆破、焊接、气割、打磨或采用酒精炉、煤油炉、喷灯、砂轮、电钻等工具进行可能产生火焰、火花和赤热表面的临时性作业。</w:t>
      </w:r>
    </w:p>
    <w:p w14:paraId="65583966">
      <w:pPr>
        <w:spacing w:line="360" w:lineRule="auto"/>
        <w:rPr>
          <w:b/>
          <w:sz w:val="24"/>
          <w:szCs w:val="24"/>
        </w:rPr>
      </w:pPr>
    </w:p>
    <w:p w14:paraId="049EEEC0">
      <w:pPr>
        <w:rPr>
          <w:b/>
          <w:sz w:val="24"/>
          <w:szCs w:val="24"/>
        </w:rPr>
      </w:pPr>
    </w:p>
    <w:p w14:paraId="6039F66B">
      <w:pPr>
        <w:rPr>
          <w:b/>
          <w:sz w:val="24"/>
          <w:szCs w:val="24"/>
        </w:rPr>
      </w:pPr>
    </w:p>
    <w:p w14:paraId="2AAF4954">
      <w:pPr>
        <w:rPr>
          <w:b/>
          <w:sz w:val="24"/>
          <w:szCs w:val="24"/>
        </w:rPr>
      </w:pPr>
    </w:p>
    <w:p w14:paraId="219CE8EB">
      <w:pPr>
        <w:rPr>
          <w:b/>
          <w:sz w:val="24"/>
          <w:szCs w:val="24"/>
        </w:rPr>
      </w:pPr>
    </w:p>
    <w:p w14:paraId="1BA04B33">
      <w:pPr>
        <w:rPr>
          <w:b/>
          <w:sz w:val="24"/>
          <w:szCs w:val="24"/>
        </w:rPr>
      </w:pPr>
    </w:p>
    <w:p w14:paraId="6F71B678">
      <w:pPr>
        <w:rPr>
          <w:b/>
          <w:sz w:val="24"/>
          <w:szCs w:val="24"/>
        </w:rPr>
      </w:pPr>
    </w:p>
    <w:p w14:paraId="78721CB7">
      <w:pPr>
        <w:rPr>
          <w:b/>
          <w:sz w:val="24"/>
          <w:szCs w:val="24"/>
        </w:rPr>
      </w:pPr>
    </w:p>
    <w:p w14:paraId="4CC493E3">
      <w:pPr>
        <w:rPr>
          <w:b/>
          <w:sz w:val="24"/>
          <w:szCs w:val="24"/>
        </w:rPr>
      </w:pPr>
    </w:p>
    <w:p w14:paraId="2C6A4B99">
      <w:pPr>
        <w:rPr>
          <w:rFonts w:eastAsia="黑体"/>
          <w:b/>
          <w:bCs/>
          <w:sz w:val="28"/>
          <w:szCs w:val="28"/>
        </w:rPr>
      </w:pPr>
    </w:p>
    <w:p w14:paraId="04E30826">
      <w:pPr>
        <w:rPr>
          <w:rFonts w:eastAsia="黑体"/>
          <w:b/>
          <w:bCs/>
          <w:sz w:val="28"/>
          <w:szCs w:val="28"/>
        </w:rPr>
      </w:pPr>
    </w:p>
    <w:p w14:paraId="14BC4BEF">
      <w:pPr>
        <w:rPr>
          <w:rFonts w:eastAsia="黑体"/>
          <w:b/>
          <w:bCs/>
          <w:sz w:val="28"/>
          <w:szCs w:val="28"/>
        </w:rPr>
      </w:pPr>
    </w:p>
    <w:p w14:paraId="16B9D729">
      <w:pPr>
        <w:rPr>
          <w:rFonts w:eastAsia="黑体"/>
          <w:b/>
          <w:bCs/>
          <w:sz w:val="28"/>
          <w:szCs w:val="28"/>
        </w:rPr>
      </w:pPr>
    </w:p>
    <w:p w14:paraId="727FF05F">
      <w:pPr>
        <w:rPr>
          <w:rFonts w:eastAsia="黑体"/>
          <w:b/>
          <w:bCs/>
          <w:sz w:val="28"/>
          <w:szCs w:val="28"/>
        </w:rPr>
      </w:pPr>
    </w:p>
    <w:p w14:paraId="31355A5C">
      <w:pPr>
        <w:rPr>
          <w:rFonts w:eastAsia="黑体"/>
          <w:b/>
          <w:bCs/>
          <w:sz w:val="28"/>
          <w:szCs w:val="28"/>
        </w:rPr>
      </w:pPr>
      <w:bookmarkStart w:id="53" w:name="_Toc27534"/>
    </w:p>
    <w:p w14:paraId="66D839FC">
      <w:pPr>
        <w:snapToGrid w:val="0"/>
        <w:spacing w:line="360" w:lineRule="auto"/>
        <w:jc w:val="center"/>
        <w:outlineLvl w:val="0"/>
        <w:rPr>
          <w:rFonts w:eastAsia="黑体"/>
          <w:b/>
          <w:bCs/>
          <w:sz w:val="28"/>
          <w:szCs w:val="28"/>
        </w:rPr>
      </w:pPr>
      <w:bookmarkStart w:id="54" w:name="_Toc17068"/>
      <w:r>
        <w:rPr>
          <w:rFonts w:eastAsia="黑体"/>
          <w:b/>
          <w:bCs/>
          <w:sz w:val="28"/>
          <w:szCs w:val="28"/>
        </w:rPr>
        <w:t xml:space="preserve">3  </w:t>
      </w:r>
      <w:r>
        <w:rPr>
          <w:rFonts w:eastAsia="黑体"/>
          <w:sz w:val="28"/>
          <w:szCs w:val="28"/>
        </w:rPr>
        <w:t>基本规定</w:t>
      </w:r>
      <w:bookmarkEnd w:id="53"/>
      <w:bookmarkEnd w:id="54"/>
    </w:p>
    <w:p w14:paraId="10356C17">
      <w:pPr>
        <w:snapToGrid w:val="0"/>
        <w:spacing w:line="360" w:lineRule="auto"/>
        <w:rPr>
          <w:b/>
          <w:sz w:val="24"/>
          <w:szCs w:val="24"/>
        </w:rPr>
      </w:pPr>
      <w:r>
        <w:rPr>
          <w:rFonts w:hint="eastAsia"/>
          <w:b/>
          <w:sz w:val="24"/>
          <w:szCs w:val="24"/>
        </w:rPr>
        <w:t>3.</w:t>
      </w:r>
      <w:r>
        <w:rPr>
          <w:b/>
          <w:sz w:val="24"/>
          <w:szCs w:val="24"/>
        </w:rPr>
        <w:t>0</w:t>
      </w:r>
      <w:r>
        <w:rPr>
          <w:rFonts w:hint="eastAsia"/>
          <w:b/>
          <w:sz w:val="24"/>
          <w:szCs w:val="24"/>
        </w:rPr>
        <w:t>.</w:t>
      </w:r>
      <w:r>
        <w:rPr>
          <w:b/>
          <w:sz w:val="24"/>
          <w:szCs w:val="24"/>
        </w:rPr>
        <w:t xml:space="preserve">1  </w:t>
      </w:r>
      <w:r>
        <w:rPr>
          <w:sz w:val="24"/>
          <w:szCs w:val="24"/>
        </w:rPr>
        <w:t>施工单位应建立安全生产管理机构，制定</w:t>
      </w:r>
      <w:r>
        <w:rPr>
          <w:rFonts w:hint="eastAsia"/>
          <w:sz w:val="24"/>
          <w:szCs w:val="24"/>
        </w:rPr>
        <w:t>安全生产</w:t>
      </w:r>
      <w:r>
        <w:rPr>
          <w:sz w:val="24"/>
          <w:szCs w:val="24"/>
        </w:rPr>
        <w:t>管理制度、安全</w:t>
      </w:r>
      <w:r>
        <w:rPr>
          <w:rFonts w:hint="eastAsia"/>
          <w:sz w:val="24"/>
          <w:szCs w:val="24"/>
        </w:rPr>
        <w:t>操作规程、</w:t>
      </w:r>
      <w:r>
        <w:rPr>
          <w:sz w:val="24"/>
          <w:szCs w:val="24"/>
        </w:rPr>
        <w:t>全员安全生产责任制</w:t>
      </w:r>
      <w:r>
        <w:rPr>
          <w:rFonts w:hint="eastAsia"/>
          <w:sz w:val="24"/>
          <w:szCs w:val="24"/>
        </w:rPr>
        <w:t>等制度文件。</w:t>
      </w:r>
    </w:p>
    <w:p w14:paraId="6C806547">
      <w:pPr>
        <w:snapToGrid w:val="0"/>
        <w:spacing w:line="360" w:lineRule="auto"/>
        <w:rPr>
          <w:sz w:val="24"/>
          <w:szCs w:val="24"/>
        </w:rPr>
      </w:pPr>
      <w:r>
        <w:rPr>
          <w:rFonts w:hint="eastAsia"/>
          <w:b/>
          <w:sz w:val="24"/>
          <w:szCs w:val="24"/>
        </w:rPr>
        <w:t>3.</w:t>
      </w:r>
      <w:r>
        <w:rPr>
          <w:b/>
          <w:sz w:val="24"/>
          <w:szCs w:val="24"/>
        </w:rPr>
        <w:t>0</w:t>
      </w:r>
      <w:r>
        <w:rPr>
          <w:rFonts w:hint="eastAsia"/>
          <w:b/>
          <w:sz w:val="24"/>
          <w:szCs w:val="24"/>
        </w:rPr>
        <w:t>.</w:t>
      </w:r>
      <w:r>
        <w:rPr>
          <w:b/>
          <w:sz w:val="24"/>
          <w:szCs w:val="24"/>
        </w:rPr>
        <w:t xml:space="preserve">2  </w:t>
      </w:r>
      <w:r>
        <w:rPr>
          <w:sz w:val="24"/>
          <w:szCs w:val="24"/>
        </w:rPr>
        <w:t>施工单位应与分包单位签订安全生产管理协议，留存分包单位资质证书、安全生产许可证、项目负责人、专职安全</w:t>
      </w:r>
      <w:r>
        <w:rPr>
          <w:rFonts w:hint="eastAsia"/>
          <w:sz w:val="24"/>
          <w:szCs w:val="24"/>
        </w:rPr>
        <w:t>生产</w:t>
      </w:r>
      <w:r>
        <w:rPr>
          <w:sz w:val="24"/>
          <w:szCs w:val="24"/>
        </w:rPr>
        <w:t>管理人员的安全生产考核合格证书等证明资料。</w:t>
      </w:r>
    </w:p>
    <w:p w14:paraId="14BA341B">
      <w:pPr>
        <w:adjustRightInd w:val="0"/>
        <w:snapToGrid w:val="0"/>
        <w:spacing w:line="360" w:lineRule="auto"/>
        <w:rPr>
          <w:rFonts w:hint="eastAsia" w:ascii="宋体" w:hAnsi="宋体"/>
          <w:sz w:val="24"/>
          <w:szCs w:val="24"/>
        </w:rPr>
      </w:pPr>
      <w:r>
        <w:rPr>
          <w:rFonts w:hint="eastAsia"/>
          <w:b/>
          <w:sz w:val="24"/>
          <w:szCs w:val="24"/>
        </w:rPr>
        <w:t>3.</w:t>
      </w:r>
      <w:r>
        <w:rPr>
          <w:b/>
          <w:sz w:val="24"/>
          <w:szCs w:val="24"/>
        </w:rPr>
        <w:t>0</w:t>
      </w:r>
      <w:r>
        <w:rPr>
          <w:rFonts w:hint="eastAsia"/>
          <w:b/>
          <w:sz w:val="24"/>
          <w:szCs w:val="24"/>
        </w:rPr>
        <w:t>.</w:t>
      </w:r>
      <w:r>
        <w:rPr>
          <w:b/>
          <w:sz w:val="24"/>
          <w:szCs w:val="24"/>
        </w:rPr>
        <w:t>3</w:t>
      </w:r>
      <w:r>
        <w:rPr>
          <w:rFonts w:hint="eastAsia"/>
          <w:sz w:val="24"/>
          <w:szCs w:val="24"/>
        </w:rPr>
        <w:t xml:space="preserve"> </w:t>
      </w:r>
      <w:r>
        <w:rPr>
          <w:sz w:val="24"/>
          <w:szCs w:val="24"/>
        </w:rPr>
        <w:t xml:space="preserve"> </w:t>
      </w:r>
      <w:r>
        <w:rPr>
          <w:rFonts w:hint="eastAsia"/>
          <w:sz w:val="24"/>
          <w:szCs w:val="24"/>
        </w:rPr>
        <w:t>项目从业人员</w:t>
      </w:r>
      <w:r>
        <w:rPr>
          <w:rFonts w:hint="eastAsia" w:ascii="宋体" w:hAnsi="宋体"/>
          <w:sz w:val="24"/>
          <w:szCs w:val="24"/>
        </w:rPr>
        <w:t>入场前应接受安全生产教育和培训及体验式安全教育培训，考核合格后方可上岗作业。</w:t>
      </w:r>
    </w:p>
    <w:p w14:paraId="466DA515">
      <w:pPr>
        <w:adjustRightInd w:val="0"/>
        <w:snapToGrid w:val="0"/>
        <w:spacing w:line="360" w:lineRule="auto"/>
        <w:rPr>
          <w:rFonts w:hint="eastAsia" w:ascii="宋体" w:hAnsi="宋体"/>
          <w:sz w:val="24"/>
          <w:szCs w:val="24"/>
        </w:rPr>
      </w:pPr>
      <w:r>
        <w:rPr>
          <w:rFonts w:hint="eastAsia"/>
          <w:b/>
          <w:sz w:val="24"/>
          <w:szCs w:val="24"/>
        </w:rPr>
        <w:t>3.</w:t>
      </w:r>
      <w:r>
        <w:rPr>
          <w:b/>
          <w:sz w:val="24"/>
          <w:szCs w:val="24"/>
        </w:rPr>
        <w:t>0</w:t>
      </w:r>
      <w:r>
        <w:rPr>
          <w:rFonts w:hint="eastAsia"/>
          <w:b/>
          <w:sz w:val="24"/>
          <w:szCs w:val="24"/>
        </w:rPr>
        <w:t>.</w:t>
      </w:r>
      <w:r>
        <w:rPr>
          <w:b/>
          <w:sz w:val="24"/>
          <w:szCs w:val="24"/>
        </w:rPr>
        <w:t>4</w:t>
      </w:r>
      <w:r>
        <w:rPr>
          <w:rFonts w:hint="eastAsia"/>
          <w:sz w:val="24"/>
          <w:szCs w:val="24"/>
        </w:rPr>
        <w:t xml:space="preserve"> </w:t>
      </w:r>
      <w:r>
        <w:rPr>
          <w:sz w:val="24"/>
          <w:szCs w:val="24"/>
        </w:rPr>
        <w:t xml:space="preserve"> </w:t>
      </w:r>
      <w:r>
        <w:rPr>
          <w:rFonts w:hint="eastAsia" w:ascii="宋体" w:hAnsi="宋体"/>
          <w:sz w:val="24"/>
          <w:szCs w:val="24"/>
        </w:rPr>
        <w:t>施工单位应根据各工种的作业条件和劳动环境等为作业人员配备安全有效的劳动防护用品，并应及时开展劳动防护用品使用培训。</w:t>
      </w:r>
    </w:p>
    <w:p w14:paraId="7762F616">
      <w:pPr>
        <w:snapToGrid w:val="0"/>
        <w:spacing w:line="360" w:lineRule="auto"/>
        <w:rPr>
          <w:sz w:val="24"/>
          <w:szCs w:val="24"/>
        </w:rPr>
      </w:pPr>
      <w:r>
        <w:rPr>
          <w:rFonts w:hint="eastAsia"/>
          <w:b/>
          <w:sz w:val="24"/>
          <w:szCs w:val="24"/>
        </w:rPr>
        <w:t>3.</w:t>
      </w:r>
      <w:r>
        <w:rPr>
          <w:b/>
          <w:sz w:val="24"/>
          <w:szCs w:val="24"/>
        </w:rPr>
        <w:t>0</w:t>
      </w:r>
      <w:r>
        <w:rPr>
          <w:rFonts w:hint="eastAsia"/>
          <w:b/>
          <w:sz w:val="24"/>
          <w:szCs w:val="24"/>
        </w:rPr>
        <w:t>.</w:t>
      </w:r>
      <w:r>
        <w:rPr>
          <w:b/>
          <w:sz w:val="24"/>
          <w:szCs w:val="24"/>
        </w:rPr>
        <w:t>5</w:t>
      </w:r>
      <w:r>
        <w:rPr>
          <w:rFonts w:hint="eastAsia"/>
          <w:sz w:val="24"/>
          <w:szCs w:val="24"/>
        </w:rPr>
        <w:t xml:space="preserve"> </w:t>
      </w:r>
      <w:r>
        <w:rPr>
          <w:sz w:val="24"/>
          <w:szCs w:val="24"/>
        </w:rPr>
        <w:t xml:space="preserve"> </w:t>
      </w:r>
      <w:r>
        <w:rPr>
          <w:rFonts w:hint="eastAsia" w:ascii="宋体" w:hAnsi="宋体"/>
          <w:sz w:val="24"/>
          <w:szCs w:val="24"/>
        </w:rPr>
        <w:t>特种作业人员应参加专门的安全作业培训并考核合格，取得特种作业操作资格证书，方可上岗从事相应的施工作业。</w:t>
      </w:r>
    </w:p>
    <w:p w14:paraId="2A879391">
      <w:pPr>
        <w:snapToGrid w:val="0"/>
        <w:spacing w:line="360" w:lineRule="auto"/>
        <w:rPr>
          <w:rFonts w:hint="eastAsia" w:ascii="宋体" w:hAnsi="宋体"/>
          <w:sz w:val="24"/>
          <w:szCs w:val="24"/>
        </w:rPr>
      </w:pPr>
      <w:r>
        <w:rPr>
          <w:rFonts w:hint="eastAsia"/>
          <w:b/>
          <w:sz w:val="24"/>
          <w:szCs w:val="24"/>
        </w:rPr>
        <w:t>3.</w:t>
      </w:r>
      <w:r>
        <w:rPr>
          <w:b/>
          <w:sz w:val="24"/>
          <w:szCs w:val="24"/>
        </w:rPr>
        <w:t>0</w:t>
      </w:r>
      <w:r>
        <w:rPr>
          <w:rFonts w:hint="eastAsia"/>
          <w:b/>
          <w:sz w:val="24"/>
          <w:szCs w:val="24"/>
        </w:rPr>
        <w:t>.</w:t>
      </w:r>
      <w:r>
        <w:rPr>
          <w:b/>
          <w:sz w:val="24"/>
          <w:szCs w:val="24"/>
        </w:rPr>
        <w:t xml:space="preserve">6  </w:t>
      </w:r>
      <w:r>
        <w:rPr>
          <w:sz w:val="24"/>
          <w:szCs w:val="24"/>
        </w:rPr>
        <w:t>施工单位应编制、审核、审批施工组织设计、专项施工方案或安全技术措施，</w:t>
      </w:r>
      <w:r>
        <w:rPr>
          <w:rFonts w:hint="eastAsia" w:ascii="宋体" w:hAnsi="宋体"/>
          <w:sz w:val="24"/>
          <w:szCs w:val="24"/>
        </w:rPr>
        <w:t>对于超过一定规模的危险性较大的分部分项工程，施工单位应组织召开专家论证会对专项施工方案进行论证。</w:t>
      </w:r>
    </w:p>
    <w:p w14:paraId="2E34F8F8">
      <w:pPr>
        <w:snapToGrid w:val="0"/>
        <w:spacing w:line="360" w:lineRule="auto"/>
        <w:rPr>
          <w:rFonts w:hint="eastAsia" w:ascii="宋体" w:hAnsi="宋体"/>
          <w:sz w:val="24"/>
          <w:szCs w:val="24"/>
        </w:rPr>
      </w:pPr>
      <w:r>
        <w:rPr>
          <w:rFonts w:hint="eastAsia"/>
          <w:b/>
          <w:sz w:val="24"/>
          <w:szCs w:val="24"/>
        </w:rPr>
        <w:t>3.</w:t>
      </w:r>
      <w:r>
        <w:rPr>
          <w:b/>
          <w:sz w:val="24"/>
          <w:szCs w:val="24"/>
        </w:rPr>
        <w:t>0</w:t>
      </w:r>
      <w:r>
        <w:rPr>
          <w:rFonts w:hint="eastAsia"/>
          <w:b/>
          <w:sz w:val="24"/>
          <w:szCs w:val="24"/>
        </w:rPr>
        <w:t>.</w:t>
      </w:r>
      <w:r>
        <w:rPr>
          <w:b/>
          <w:sz w:val="24"/>
          <w:szCs w:val="24"/>
        </w:rPr>
        <w:t>7</w:t>
      </w:r>
      <w:r>
        <w:rPr>
          <w:rFonts w:hint="eastAsia"/>
          <w:sz w:val="24"/>
          <w:szCs w:val="24"/>
        </w:rPr>
        <w:t xml:space="preserve"> </w:t>
      </w:r>
      <w:r>
        <w:rPr>
          <w:sz w:val="24"/>
          <w:szCs w:val="24"/>
        </w:rPr>
        <w:t xml:space="preserve"> </w:t>
      </w:r>
      <w:r>
        <w:rPr>
          <w:rFonts w:hint="eastAsia"/>
          <w:sz w:val="24"/>
          <w:szCs w:val="24"/>
        </w:rPr>
        <w:t>危大工程的专项施工方案应</w:t>
      </w:r>
      <w:r>
        <w:rPr>
          <w:sz w:val="24"/>
          <w:szCs w:val="24"/>
        </w:rPr>
        <w:t>进行方案交底，管理人员应对作业人员进行安全技术交底。</w:t>
      </w:r>
    </w:p>
    <w:p w14:paraId="41400D06">
      <w:pPr>
        <w:adjustRightInd w:val="0"/>
        <w:snapToGrid w:val="0"/>
        <w:spacing w:line="360" w:lineRule="auto"/>
        <w:rPr>
          <w:b/>
          <w:sz w:val="24"/>
          <w:szCs w:val="24"/>
        </w:rPr>
      </w:pPr>
      <w:r>
        <w:rPr>
          <w:rFonts w:hint="eastAsia"/>
          <w:b/>
          <w:sz w:val="24"/>
          <w:szCs w:val="24"/>
        </w:rPr>
        <w:t>3.</w:t>
      </w:r>
      <w:r>
        <w:rPr>
          <w:b/>
          <w:sz w:val="24"/>
          <w:szCs w:val="24"/>
        </w:rPr>
        <w:t>0</w:t>
      </w:r>
      <w:r>
        <w:rPr>
          <w:rFonts w:hint="eastAsia"/>
          <w:b/>
          <w:sz w:val="24"/>
          <w:szCs w:val="24"/>
        </w:rPr>
        <w:t>.</w:t>
      </w:r>
      <w:r>
        <w:rPr>
          <w:b/>
          <w:sz w:val="24"/>
          <w:szCs w:val="24"/>
        </w:rPr>
        <w:t xml:space="preserve">8  </w:t>
      </w:r>
      <w:r>
        <w:rPr>
          <w:rFonts w:ascii="宋体" w:hAnsi="宋体"/>
          <w:sz w:val="24"/>
          <w:szCs w:val="24"/>
        </w:rPr>
        <w:t>施工单位应对进场材料、设备设施等进行验收并留存验收记录，</w:t>
      </w:r>
      <w:r>
        <w:rPr>
          <w:rFonts w:hint="eastAsia" w:ascii="宋体" w:hAnsi="宋体"/>
          <w:sz w:val="24"/>
          <w:szCs w:val="24"/>
        </w:rPr>
        <w:t>物料应</w:t>
      </w:r>
      <w:r>
        <w:rPr>
          <w:rFonts w:hint="eastAsia"/>
          <w:sz w:val="24"/>
          <w:szCs w:val="24"/>
        </w:rPr>
        <w:t>堆放平稳、固定牢固。</w:t>
      </w:r>
    </w:p>
    <w:p w14:paraId="51406B3B">
      <w:pPr>
        <w:adjustRightInd w:val="0"/>
        <w:snapToGrid w:val="0"/>
        <w:spacing w:line="360" w:lineRule="auto"/>
        <w:rPr>
          <w:color w:val="C00000"/>
          <w:sz w:val="24"/>
          <w:szCs w:val="24"/>
        </w:rPr>
      </w:pPr>
      <w:r>
        <w:rPr>
          <w:rFonts w:hint="eastAsia"/>
          <w:b/>
          <w:sz w:val="24"/>
          <w:szCs w:val="24"/>
        </w:rPr>
        <w:t>3.</w:t>
      </w:r>
      <w:r>
        <w:rPr>
          <w:b/>
          <w:sz w:val="24"/>
          <w:szCs w:val="24"/>
        </w:rPr>
        <w:t>0</w:t>
      </w:r>
      <w:r>
        <w:rPr>
          <w:rFonts w:hint="eastAsia"/>
          <w:b/>
          <w:sz w:val="24"/>
          <w:szCs w:val="24"/>
        </w:rPr>
        <w:t>.</w:t>
      </w:r>
      <w:r>
        <w:rPr>
          <w:b/>
          <w:sz w:val="24"/>
          <w:szCs w:val="24"/>
        </w:rPr>
        <w:t xml:space="preserve">9  </w:t>
      </w:r>
      <w:r>
        <w:rPr>
          <w:sz w:val="24"/>
          <w:szCs w:val="24"/>
        </w:rPr>
        <w:t>施工单位应</w:t>
      </w:r>
      <w:r>
        <w:rPr>
          <w:rFonts w:hint="eastAsia"/>
          <w:sz w:val="24"/>
          <w:szCs w:val="24"/>
        </w:rPr>
        <w:t>辨识</w:t>
      </w:r>
      <w:r>
        <w:rPr>
          <w:sz w:val="24"/>
          <w:szCs w:val="24"/>
        </w:rPr>
        <w:t>施工现场风险源，形成风险源识别清单，并制定管控措施</w:t>
      </w:r>
      <w:r>
        <w:rPr>
          <w:rFonts w:hint="eastAsia"/>
          <w:sz w:val="24"/>
          <w:szCs w:val="24"/>
        </w:rPr>
        <w:t>。</w:t>
      </w:r>
    </w:p>
    <w:p w14:paraId="2F5E9E49">
      <w:pPr>
        <w:adjustRightInd w:val="0"/>
        <w:snapToGrid w:val="0"/>
        <w:spacing w:line="360" w:lineRule="auto"/>
        <w:rPr>
          <w:rFonts w:hint="eastAsia" w:ascii="宋体" w:hAnsi="宋体"/>
          <w:sz w:val="24"/>
          <w:szCs w:val="24"/>
        </w:rPr>
      </w:pPr>
      <w:r>
        <w:rPr>
          <w:rFonts w:hint="eastAsia"/>
          <w:b/>
          <w:sz w:val="24"/>
          <w:szCs w:val="24"/>
        </w:rPr>
        <w:t>3.</w:t>
      </w:r>
      <w:r>
        <w:rPr>
          <w:b/>
          <w:sz w:val="24"/>
          <w:szCs w:val="24"/>
        </w:rPr>
        <w:t>0</w:t>
      </w:r>
      <w:r>
        <w:rPr>
          <w:rFonts w:hint="eastAsia"/>
          <w:b/>
          <w:sz w:val="24"/>
          <w:szCs w:val="24"/>
        </w:rPr>
        <w:t>.</w:t>
      </w:r>
      <w:r>
        <w:rPr>
          <w:b/>
          <w:sz w:val="24"/>
          <w:szCs w:val="24"/>
        </w:rPr>
        <w:t>10</w:t>
      </w:r>
      <w:r>
        <w:rPr>
          <w:rFonts w:hint="eastAsia" w:ascii="宋体" w:hAnsi="宋体"/>
          <w:sz w:val="24"/>
          <w:szCs w:val="24"/>
        </w:rPr>
        <w:t xml:space="preserve"> </w:t>
      </w:r>
      <w:r>
        <w:rPr>
          <w:rFonts w:ascii="宋体" w:hAnsi="宋体"/>
          <w:sz w:val="24"/>
          <w:szCs w:val="24"/>
        </w:rPr>
        <w:t xml:space="preserve"> </w:t>
      </w:r>
      <w:r>
        <w:rPr>
          <w:rFonts w:hint="eastAsia" w:ascii="宋体" w:hAnsi="宋体"/>
          <w:sz w:val="24"/>
          <w:szCs w:val="24"/>
        </w:rPr>
        <w:t>施工现场应定期开展安全检查，对各类设备、设施维修保养，发现隐患应采取整改措施。</w:t>
      </w:r>
    </w:p>
    <w:p w14:paraId="5BEB26EB">
      <w:pPr>
        <w:snapToGrid w:val="0"/>
        <w:spacing w:line="360" w:lineRule="auto"/>
        <w:rPr>
          <w:sz w:val="24"/>
          <w:szCs w:val="24"/>
        </w:rPr>
      </w:pPr>
      <w:r>
        <w:rPr>
          <w:rFonts w:hint="eastAsia"/>
          <w:b/>
          <w:sz w:val="24"/>
          <w:szCs w:val="24"/>
        </w:rPr>
        <w:t>3</w:t>
      </w:r>
      <w:r>
        <w:rPr>
          <w:b/>
          <w:sz w:val="24"/>
          <w:szCs w:val="24"/>
        </w:rPr>
        <w:t xml:space="preserve">.0.11  </w:t>
      </w:r>
      <w:r>
        <w:rPr>
          <w:rFonts w:hint="eastAsia"/>
          <w:sz w:val="24"/>
          <w:szCs w:val="24"/>
        </w:rPr>
        <w:t>各参建单位应按照现行地方标准《建筑施工现场应急预案编制规程》</w:t>
      </w:r>
      <w:r>
        <w:rPr>
          <w:sz w:val="24"/>
          <w:szCs w:val="24"/>
        </w:rPr>
        <w:t>DB11</w:t>
      </w:r>
      <w:r>
        <w:rPr>
          <w:rFonts w:hint="eastAsia"/>
          <w:sz w:val="24"/>
          <w:szCs w:val="24"/>
        </w:rPr>
        <w:t>/T</w:t>
      </w:r>
      <w:r>
        <w:rPr>
          <w:sz w:val="24"/>
          <w:szCs w:val="24"/>
        </w:rPr>
        <w:t xml:space="preserve"> 2001</w:t>
      </w:r>
      <w:r>
        <w:rPr>
          <w:rFonts w:hint="eastAsia"/>
          <w:sz w:val="24"/>
          <w:szCs w:val="24"/>
        </w:rPr>
        <w:t>的规定编制应急预案，发生事故及突发事件应立即启动应急预案。</w:t>
      </w:r>
    </w:p>
    <w:p w14:paraId="6740DB63">
      <w:pPr>
        <w:adjustRightInd w:val="0"/>
        <w:snapToGrid w:val="0"/>
        <w:spacing w:line="360" w:lineRule="auto"/>
        <w:rPr>
          <w:sz w:val="24"/>
          <w:szCs w:val="24"/>
        </w:rPr>
      </w:pPr>
      <w:r>
        <w:rPr>
          <w:rFonts w:hint="eastAsia"/>
          <w:b/>
          <w:sz w:val="24"/>
          <w:szCs w:val="24"/>
        </w:rPr>
        <w:t>3</w:t>
      </w:r>
      <w:r>
        <w:rPr>
          <w:b/>
          <w:sz w:val="24"/>
          <w:szCs w:val="24"/>
        </w:rPr>
        <w:t xml:space="preserve">.0.12  </w:t>
      </w:r>
      <w:r>
        <w:rPr>
          <w:rFonts w:hint="eastAsia"/>
          <w:sz w:val="24"/>
          <w:szCs w:val="24"/>
        </w:rPr>
        <w:t>安全资料的编制、收集、整理、组卷、归档应符合现行地方标准《建筑工程施工现场安全资料管理规程》DB11/T</w:t>
      </w:r>
      <w:r>
        <w:rPr>
          <w:sz w:val="24"/>
          <w:szCs w:val="24"/>
        </w:rPr>
        <w:t xml:space="preserve"> </w:t>
      </w:r>
      <w:r>
        <w:rPr>
          <w:rFonts w:hint="eastAsia"/>
          <w:sz w:val="24"/>
          <w:szCs w:val="24"/>
        </w:rPr>
        <w:t>383的规定。</w:t>
      </w:r>
    </w:p>
    <w:p w14:paraId="3E2D52E3">
      <w:pPr>
        <w:rPr>
          <w:sz w:val="24"/>
          <w:szCs w:val="24"/>
        </w:rPr>
      </w:pPr>
      <w:r>
        <w:rPr>
          <w:rFonts w:hint="eastAsia"/>
          <w:sz w:val="24"/>
          <w:szCs w:val="24"/>
        </w:rPr>
        <w:br w:type="page"/>
      </w:r>
    </w:p>
    <w:p w14:paraId="6BD193D9">
      <w:pPr>
        <w:adjustRightInd w:val="0"/>
        <w:snapToGrid w:val="0"/>
        <w:spacing w:line="360" w:lineRule="auto"/>
        <w:rPr>
          <w:sz w:val="24"/>
          <w:szCs w:val="24"/>
        </w:rPr>
      </w:pPr>
    </w:p>
    <w:p w14:paraId="6221CD50">
      <w:pPr>
        <w:pStyle w:val="2"/>
        <w:keepNext w:val="0"/>
        <w:keepLines w:val="0"/>
        <w:numPr>
          <w:ilvl w:val="0"/>
          <w:numId w:val="0"/>
        </w:numPr>
        <w:tabs>
          <w:tab w:val="clear" w:pos="425"/>
        </w:tabs>
        <w:spacing w:line="360" w:lineRule="auto"/>
        <w:rPr>
          <w:rFonts w:ascii="Times New Roman" w:hAnsi="Times New Roman" w:eastAsia="黑体"/>
          <w:b/>
          <w:sz w:val="28"/>
          <w:szCs w:val="28"/>
        </w:rPr>
      </w:pPr>
      <w:bookmarkStart w:id="55" w:name="_Toc17993"/>
      <w:bookmarkStart w:id="56" w:name="_Toc2497"/>
      <w:bookmarkStart w:id="57" w:name="PageNo100100003"/>
      <w:r>
        <w:rPr>
          <w:rFonts w:ascii="Times New Roman" w:hAnsi="Times New Roman" w:eastAsia="黑体"/>
          <w:b/>
          <w:sz w:val="28"/>
          <w:szCs w:val="28"/>
        </w:rPr>
        <w:t>4</w:t>
      </w:r>
      <w:r>
        <w:rPr>
          <w:rFonts w:hint="eastAsia" w:ascii="Times New Roman" w:hAnsi="Times New Roman" w:eastAsia="黑体"/>
          <w:b/>
          <w:sz w:val="28"/>
          <w:szCs w:val="28"/>
        </w:rPr>
        <w:t xml:space="preserve">  </w:t>
      </w:r>
      <w:r>
        <w:rPr>
          <w:rFonts w:ascii="Times New Roman" w:hAnsi="Times New Roman" w:eastAsia="黑体"/>
          <w:bCs/>
          <w:sz w:val="28"/>
          <w:szCs w:val="28"/>
        </w:rPr>
        <w:t>防护设施</w:t>
      </w:r>
      <w:bookmarkEnd w:id="55"/>
      <w:bookmarkEnd w:id="56"/>
    </w:p>
    <w:bookmarkEnd w:id="57"/>
    <w:p w14:paraId="45CE5C0A">
      <w:pPr>
        <w:pStyle w:val="3"/>
        <w:rPr>
          <w:rFonts w:ascii="Times New Roman" w:hAnsi="Times New Roman" w:cs="Times New Roman"/>
          <w:color w:val="auto"/>
          <w:kern w:val="0"/>
          <w:sz w:val="24"/>
          <w:szCs w:val="24"/>
        </w:rPr>
      </w:pPr>
      <w:bookmarkStart w:id="58" w:name="_Toc12759"/>
      <w:bookmarkStart w:id="59" w:name="_Toc24727"/>
      <w:r>
        <w:rPr>
          <w:rFonts w:ascii="Times New Roman" w:hAnsi="Times New Roman" w:cs="Times New Roman"/>
          <w:color w:val="auto"/>
          <w:sz w:val="24"/>
          <w:szCs w:val="24"/>
        </w:rPr>
        <w:t>4.1  一般规定</w:t>
      </w:r>
      <w:bookmarkEnd w:id="58"/>
      <w:bookmarkEnd w:id="59"/>
    </w:p>
    <w:p w14:paraId="18ADCDA4">
      <w:pPr>
        <w:spacing w:line="360" w:lineRule="auto"/>
        <w:rPr>
          <w:sz w:val="24"/>
          <w:szCs w:val="24"/>
        </w:rPr>
      </w:pPr>
      <w:r>
        <w:rPr>
          <w:b/>
          <w:bCs/>
          <w:sz w:val="24"/>
          <w:szCs w:val="24"/>
        </w:rPr>
        <w:t>4.1.1</w:t>
      </w:r>
      <w:r>
        <w:rPr>
          <w:sz w:val="24"/>
          <w:szCs w:val="24"/>
        </w:rPr>
        <w:t xml:space="preserve">  施工前应编制防护设施施工方案或安全技术措施。</w:t>
      </w:r>
    </w:p>
    <w:p w14:paraId="5EB6D688">
      <w:pPr>
        <w:spacing w:line="360" w:lineRule="auto"/>
        <w:rPr>
          <w:sz w:val="24"/>
          <w:szCs w:val="24"/>
        </w:rPr>
      </w:pPr>
      <w:r>
        <w:rPr>
          <w:b/>
          <w:bCs/>
          <w:sz w:val="24"/>
          <w:szCs w:val="24"/>
        </w:rPr>
        <w:t>4.1.2</w:t>
      </w:r>
      <w:r>
        <w:rPr>
          <w:sz w:val="24"/>
          <w:szCs w:val="24"/>
        </w:rPr>
        <w:t xml:space="preserve">  防护设施安装及搭设前应对作业人员进行安全技术交底，并应配备相应的劳动保护用品。</w:t>
      </w:r>
    </w:p>
    <w:p w14:paraId="275103F6">
      <w:pPr>
        <w:spacing w:line="360" w:lineRule="auto"/>
        <w:rPr>
          <w:sz w:val="24"/>
          <w:szCs w:val="24"/>
        </w:rPr>
      </w:pPr>
      <w:r>
        <w:rPr>
          <w:b/>
          <w:bCs/>
          <w:sz w:val="24"/>
          <w:szCs w:val="24"/>
        </w:rPr>
        <w:t>4.1.3</w:t>
      </w:r>
      <w:r>
        <w:rPr>
          <w:sz w:val="24"/>
          <w:szCs w:val="24"/>
        </w:rPr>
        <w:t xml:space="preserve">  防护设施使用的钢管、扣件、钢板网、型钢、脚手板、钢丝绳、螺栓等应符合现行国家产品标准的规定。</w:t>
      </w:r>
    </w:p>
    <w:p w14:paraId="6A11C510">
      <w:pPr>
        <w:spacing w:line="360" w:lineRule="auto"/>
        <w:rPr>
          <w:sz w:val="24"/>
          <w:szCs w:val="24"/>
        </w:rPr>
      </w:pPr>
      <w:r>
        <w:rPr>
          <w:b/>
          <w:bCs/>
          <w:sz w:val="24"/>
          <w:szCs w:val="24"/>
        </w:rPr>
        <w:t>4.1.4</w:t>
      </w:r>
      <w:r>
        <w:rPr>
          <w:sz w:val="24"/>
          <w:szCs w:val="24"/>
        </w:rPr>
        <w:t xml:space="preserve">  工程建设施工全过程应设置防护设施，作业前应对防护设施进行验收，验收合格后方可使用。</w:t>
      </w:r>
    </w:p>
    <w:p w14:paraId="46C1E8B4">
      <w:pPr>
        <w:spacing w:line="360" w:lineRule="auto"/>
        <w:rPr>
          <w:sz w:val="24"/>
          <w:szCs w:val="24"/>
        </w:rPr>
      </w:pPr>
      <w:r>
        <w:rPr>
          <w:b/>
          <w:bCs/>
          <w:sz w:val="24"/>
          <w:szCs w:val="24"/>
        </w:rPr>
        <w:t>4.1.5</w:t>
      </w:r>
      <w:r>
        <w:rPr>
          <w:sz w:val="24"/>
          <w:szCs w:val="24"/>
        </w:rPr>
        <w:t xml:space="preserve">  施工单位应定期对防护设施进行检查和维护，需临时拆除或变动防护设施时，应采取能代替原防护设施的可靠措施，作业后应立即恢复。</w:t>
      </w:r>
    </w:p>
    <w:p w14:paraId="18091ED4">
      <w:pPr>
        <w:spacing w:line="360" w:lineRule="auto"/>
        <w:rPr>
          <w:sz w:val="24"/>
          <w:szCs w:val="24"/>
        </w:rPr>
      </w:pPr>
      <w:r>
        <w:rPr>
          <w:b/>
          <w:bCs/>
          <w:sz w:val="24"/>
          <w:szCs w:val="24"/>
        </w:rPr>
        <w:t>4.1.6</w:t>
      </w:r>
      <w:r>
        <w:rPr>
          <w:sz w:val="24"/>
          <w:szCs w:val="24"/>
        </w:rPr>
        <w:t xml:space="preserve">  施工作业场所有坠落可能的物件应撤除或固定牢固。</w:t>
      </w:r>
    </w:p>
    <w:p w14:paraId="30F071E6">
      <w:pPr>
        <w:pStyle w:val="3"/>
        <w:rPr>
          <w:rFonts w:ascii="Times New Roman" w:hAnsi="Times New Roman" w:cs="Times New Roman"/>
          <w:color w:val="auto"/>
          <w:sz w:val="24"/>
          <w:szCs w:val="24"/>
        </w:rPr>
      </w:pPr>
      <w:bookmarkStart w:id="60" w:name="_Toc20267"/>
      <w:bookmarkStart w:id="61" w:name="_Toc25392"/>
      <w:r>
        <w:rPr>
          <w:rFonts w:ascii="Times New Roman" w:hAnsi="Times New Roman" w:cs="Times New Roman"/>
          <w:color w:val="auto"/>
          <w:sz w:val="24"/>
          <w:szCs w:val="24"/>
        </w:rPr>
        <w:t>4.2  临边安全防护</w:t>
      </w:r>
      <w:bookmarkEnd w:id="60"/>
      <w:bookmarkEnd w:id="61"/>
    </w:p>
    <w:p w14:paraId="134E57F4">
      <w:pPr>
        <w:adjustRightInd w:val="0"/>
        <w:snapToGrid w:val="0"/>
        <w:spacing w:line="360" w:lineRule="auto"/>
        <w:rPr>
          <w:b/>
          <w:sz w:val="24"/>
          <w:szCs w:val="24"/>
        </w:rPr>
      </w:pPr>
      <w:r>
        <w:rPr>
          <w:b/>
          <w:sz w:val="24"/>
          <w:szCs w:val="24"/>
        </w:rPr>
        <w:t xml:space="preserve">4.2.1  </w:t>
      </w:r>
      <w:r>
        <w:rPr>
          <w:sz w:val="24"/>
          <w:szCs w:val="24"/>
        </w:rPr>
        <w:t>施工现场的临边应按规定设置防护设施。</w:t>
      </w:r>
    </w:p>
    <w:p w14:paraId="3F90E57C">
      <w:pPr>
        <w:adjustRightInd w:val="0"/>
        <w:snapToGrid w:val="0"/>
        <w:spacing w:line="360" w:lineRule="auto"/>
        <w:rPr>
          <w:b/>
          <w:sz w:val="24"/>
          <w:szCs w:val="24"/>
        </w:rPr>
      </w:pPr>
      <w:r>
        <w:rPr>
          <w:b/>
          <w:sz w:val="24"/>
          <w:szCs w:val="24"/>
        </w:rPr>
        <w:t xml:space="preserve">4.2.2  </w:t>
      </w:r>
      <w:r>
        <w:rPr>
          <w:sz w:val="24"/>
          <w:szCs w:val="24"/>
        </w:rPr>
        <w:t>临边防护应优先采用</w:t>
      </w:r>
      <w:r>
        <w:rPr>
          <w:bCs/>
          <w:sz w:val="24"/>
          <w:szCs w:val="24"/>
        </w:rPr>
        <w:t>定型防护设施。</w:t>
      </w:r>
    </w:p>
    <w:p w14:paraId="34C0A894">
      <w:pPr>
        <w:adjustRightInd w:val="0"/>
        <w:snapToGrid w:val="0"/>
        <w:spacing w:line="360" w:lineRule="auto"/>
        <w:rPr>
          <w:sz w:val="24"/>
          <w:szCs w:val="24"/>
        </w:rPr>
      </w:pPr>
      <w:r>
        <w:rPr>
          <w:b/>
          <w:sz w:val="24"/>
          <w:szCs w:val="24"/>
        </w:rPr>
        <w:t xml:space="preserve">4.2.3  </w:t>
      </w:r>
      <w:r>
        <w:rPr>
          <w:bCs/>
          <w:sz w:val="24"/>
          <w:szCs w:val="24"/>
        </w:rPr>
        <w:t>临边</w:t>
      </w:r>
      <w:r>
        <w:rPr>
          <w:sz w:val="24"/>
          <w:szCs w:val="24"/>
        </w:rPr>
        <w:t>防护设施应由立柱、横杆、竖杆、挡脚板及安全立网等组成，防护栏应符合下列规定：</w:t>
      </w:r>
    </w:p>
    <w:p w14:paraId="5E100A22">
      <w:pPr>
        <w:adjustRightInd w:val="0"/>
        <w:snapToGrid w:val="0"/>
        <w:spacing w:line="360" w:lineRule="auto"/>
        <w:ind w:firstLine="361" w:firstLineChars="150"/>
        <w:rPr>
          <w:sz w:val="24"/>
          <w:szCs w:val="24"/>
        </w:rPr>
      </w:pPr>
      <w:r>
        <w:rPr>
          <w:b/>
          <w:bCs/>
          <w:sz w:val="24"/>
          <w:szCs w:val="24"/>
        </w:rPr>
        <w:t xml:space="preserve">1  </w:t>
      </w:r>
      <w:r>
        <w:rPr>
          <w:sz w:val="24"/>
          <w:szCs w:val="24"/>
        </w:rPr>
        <w:t>上横杆距地面高度不得低于1200㎜，立柱间距不得超过2000㎜。防护栏表面刷红白相间油漆，张挂安全警示标牌</w:t>
      </w:r>
      <w:r>
        <w:rPr>
          <w:rFonts w:hint="eastAsia"/>
          <w:sz w:val="24"/>
          <w:szCs w:val="24"/>
        </w:rPr>
        <w:t>。</w:t>
      </w:r>
      <w:r>
        <w:rPr>
          <w:sz w:val="24"/>
          <w:szCs w:val="24"/>
        </w:rPr>
        <w:t>防护栏底部设挡脚板，高度不应低于180㎜，刷红白相间警示条纹；</w:t>
      </w:r>
    </w:p>
    <w:p w14:paraId="2861A86C">
      <w:pPr>
        <w:adjustRightInd w:val="0"/>
        <w:snapToGrid w:val="0"/>
        <w:spacing w:line="360" w:lineRule="auto"/>
        <w:ind w:firstLine="361" w:firstLineChars="150"/>
        <w:rPr>
          <w:sz w:val="24"/>
          <w:szCs w:val="24"/>
        </w:rPr>
      </w:pPr>
      <w:r>
        <w:rPr>
          <w:b/>
          <w:bCs/>
          <w:sz w:val="24"/>
          <w:szCs w:val="24"/>
        </w:rPr>
        <w:t xml:space="preserve">2  </w:t>
      </w:r>
      <w:r>
        <w:rPr>
          <w:sz w:val="24"/>
          <w:szCs w:val="24"/>
        </w:rPr>
        <w:t>坡度大于25°的屋面临边防护，防护栏上横杆距防护面高度不应低于1500㎜</w:t>
      </w:r>
      <w:r>
        <w:rPr>
          <w:rFonts w:hint="eastAsia"/>
          <w:sz w:val="24"/>
          <w:szCs w:val="24"/>
        </w:rPr>
        <w:t>。</w:t>
      </w:r>
      <w:r>
        <w:rPr>
          <w:sz w:val="24"/>
          <w:szCs w:val="24"/>
        </w:rPr>
        <w:t>当采用钢管式防护栏时应设置三道横杆，横杆间距不应大于600㎜，满挂密目式安全网或钢板网；</w:t>
      </w:r>
    </w:p>
    <w:p w14:paraId="45870A8E">
      <w:pPr>
        <w:adjustRightInd w:val="0"/>
        <w:snapToGrid w:val="0"/>
        <w:spacing w:line="360" w:lineRule="auto"/>
        <w:ind w:firstLine="361" w:firstLineChars="150"/>
        <w:rPr>
          <w:b/>
          <w:bCs/>
          <w:sz w:val="24"/>
          <w:szCs w:val="24"/>
        </w:rPr>
      </w:pPr>
      <w:r>
        <w:rPr>
          <w:b/>
          <w:bCs/>
          <w:sz w:val="24"/>
          <w:szCs w:val="24"/>
        </w:rPr>
        <w:t>3</w:t>
      </w:r>
      <w:r>
        <w:rPr>
          <w:sz w:val="24"/>
          <w:szCs w:val="24"/>
        </w:rPr>
        <w:t xml:space="preserve">  防护设施应采用预埋、扣件、焊接、定型套管、螺栓、销轴等方式进行连接和固定。</w:t>
      </w:r>
    </w:p>
    <w:p w14:paraId="68ACC2D3">
      <w:pPr>
        <w:adjustRightInd w:val="0"/>
        <w:snapToGrid w:val="0"/>
        <w:spacing w:line="360" w:lineRule="auto"/>
        <w:rPr>
          <w:b/>
          <w:sz w:val="24"/>
          <w:szCs w:val="24"/>
        </w:rPr>
      </w:pPr>
      <w:r>
        <w:rPr>
          <w:b/>
          <w:sz w:val="24"/>
          <w:szCs w:val="24"/>
        </w:rPr>
        <w:t>4.2</w:t>
      </w:r>
      <w:r>
        <w:rPr>
          <w:b/>
          <w:bCs/>
          <w:sz w:val="24"/>
          <w:szCs w:val="24"/>
        </w:rPr>
        <w:t>.4</w:t>
      </w:r>
      <w:r>
        <w:rPr>
          <w:sz w:val="24"/>
          <w:szCs w:val="24"/>
        </w:rPr>
        <w:t xml:space="preserve">  防护设施的立柱、竖杆和横杆的设置、固定及连接，均应能承受任何方向1kN的外力作用。</w:t>
      </w:r>
    </w:p>
    <w:p w14:paraId="46BAFF4E">
      <w:pPr>
        <w:adjustRightInd w:val="0"/>
        <w:snapToGrid w:val="0"/>
        <w:spacing w:line="360" w:lineRule="auto"/>
        <w:rPr>
          <w:sz w:val="24"/>
          <w:szCs w:val="24"/>
        </w:rPr>
      </w:pPr>
      <w:r>
        <w:rPr>
          <w:b/>
          <w:sz w:val="24"/>
          <w:szCs w:val="24"/>
        </w:rPr>
        <w:t xml:space="preserve">4.2.5  </w:t>
      </w:r>
      <w:r>
        <w:rPr>
          <w:sz w:val="24"/>
          <w:szCs w:val="24"/>
        </w:rPr>
        <w:t>定型防护设施选用的型材材质应符合现行国家标准《碳素结构钢》GB/T 700的规定。</w:t>
      </w:r>
    </w:p>
    <w:p w14:paraId="0EE12755">
      <w:pPr>
        <w:adjustRightInd w:val="0"/>
        <w:snapToGrid w:val="0"/>
        <w:spacing w:line="360" w:lineRule="auto"/>
        <w:rPr>
          <w:sz w:val="24"/>
          <w:szCs w:val="24"/>
        </w:rPr>
      </w:pPr>
      <w:r>
        <w:rPr>
          <w:b/>
          <w:sz w:val="24"/>
          <w:szCs w:val="24"/>
        </w:rPr>
        <w:t xml:space="preserve">4.2.6  </w:t>
      </w:r>
      <w:r>
        <w:rPr>
          <w:sz w:val="24"/>
          <w:szCs w:val="24"/>
        </w:rPr>
        <w:t>定型防护设施连接焊缝应符合现行国家标准《钢结构焊接规范》GB 50661的规定。</w:t>
      </w:r>
    </w:p>
    <w:p w14:paraId="6EAEB31B">
      <w:pPr>
        <w:adjustRightInd w:val="0"/>
        <w:snapToGrid w:val="0"/>
        <w:spacing w:line="360" w:lineRule="auto"/>
        <w:rPr>
          <w:sz w:val="24"/>
          <w:szCs w:val="24"/>
        </w:rPr>
      </w:pPr>
      <w:r>
        <w:rPr>
          <w:b/>
          <w:sz w:val="24"/>
          <w:szCs w:val="24"/>
        </w:rPr>
        <w:t>4.2</w:t>
      </w:r>
      <w:r>
        <w:rPr>
          <w:b/>
          <w:bCs/>
          <w:sz w:val="24"/>
          <w:szCs w:val="24"/>
        </w:rPr>
        <w:t>.7</w:t>
      </w:r>
      <w:r>
        <w:rPr>
          <w:sz w:val="24"/>
          <w:szCs w:val="24"/>
        </w:rPr>
        <w:t xml:space="preserve">  定型防护设施连接和固定用的普通螺栓应符合现行国家标准《</w:t>
      </w:r>
      <w:r>
        <w:rPr>
          <w:rFonts w:hint="eastAsia"/>
          <w:sz w:val="24"/>
          <w:szCs w:val="24"/>
        </w:rPr>
        <w:t xml:space="preserve">紧固件 </w:t>
      </w:r>
      <w:r>
        <w:rPr>
          <w:sz w:val="24"/>
          <w:szCs w:val="24"/>
        </w:rPr>
        <w:t>六角头螺栓》GB/T 5782的规定，机械性能尚应符合现行国家标准《紧固件机械性能 螺栓、螺钉和螺柱》GB/T 3098.1和《紧固件机械性能 紧定螺钉》GB/T 3098.3的规定。</w:t>
      </w:r>
    </w:p>
    <w:p w14:paraId="3F19FABC">
      <w:pPr>
        <w:adjustRightInd w:val="0"/>
        <w:snapToGrid w:val="0"/>
        <w:spacing w:line="360" w:lineRule="auto"/>
        <w:rPr>
          <w:sz w:val="24"/>
          <w:szCs w:val="24"/>
        </w:rPr>
      </w:pPr>
      <w:r>
        <w:rPr>
          <w:b/>
          <w:sz w:val="24"/>
          <w:szCs w:val="24"/>
        </w:rPr>
        <w:t>4.2</w:t>
      </w:r>
      <w:r>
        <w:rPr>
          <w:b/>
          <w:bCs/>
          <w:sz w:val="24"/>
          <w:szCs w:val="24"/>
        </w:rPr>
        <w:t xml:space="preserve">.8  </w:t>
      </w:r>
      <w:r>
        <w:rPr>
          <w:sz w:val="24"/>
          <w:szCs w:val="24"/>
        </w:rPr>
        <w:t>防护栏主要包括网片式、格栅式、组装式（承插式）、钢管式防护栏四种形式。</w:t>
      </w:r>
    </w:p>
    <w:p w14:paraId="62B4D5BD">
      <w:pPr>
        <w:adjustRightInd w:val="0"/>
        <w:snapToGrid w:val="0"/>
        <w:spacing w:line="360" w:lineRule="auto"/>
        <w:rPr>
          <w:sz w:val="24"/>
          <w:szCs w:val="24"/>
        </w:rPr>
      </w:pPr>
      <w:r>
        <w:rPr>
          <w:b/>
          <w:bCs/>
          <w:sz w:val="24"/>
          <w:szCs w:val="24"/>
        </w:rPr>
        <w:t xml:space="preserve">4.2.9  </w:t>
      </w:r>
      <w:r>
        <w:rPr>
          <w:sz w:val="24"/>
          <w:szCs w:val="24"/>
        </w:rPr>
        <w:t>网片式防护栏设置见图4.2.9-1，并应符合下列规定：</w:t>
      </w:r>
    </w:p>
    <w:p w14:paraId="4E788C86">
      <w:pPr>
        <w:adjustRightInd w:val="0"/>
        <w:snapToGrid w:val="0"/>
        <w:spacing w:line="360" w:lineRule="auto"/>
        <w:rPr>
          <w:sz w:val="24"/>
          <w:szCs w:val="24"/>
        </w:rPr>
      </w:pPr>
      <w:r>
        <w:rPr>
          <w:sz w:val="24"/>
          <w:szCs w:val="24"/>
        </w:rPr>
        <w:t xml:space="preserve">   </w:t>
      </w:r>
      <w:r>
        <w:rPr>
          <w:b/>
          <w:bCs/>
          <w:sz w:val="24"/>
          <w:szCs w:val="24"/>
        </w:rPr>
        <w:t>1</w:t>
      </w:r>
      <w:r>
        <w:rPr>
          <w:sz w:val="24"/>
          <w:szCs w:val="24"/>
        </w:rPr>
        <w:t xml:space="preserve">  立柱应选用截面长、宽不小于40㎜，厚度不小于2.5㎜的方形钢管，在上下两端约250㎜处焊接钢板连接外框，连接板不应小于50㎜×50㎜×6㎜，立杆统一使用竖向长孔连接板，外框统一使用横向长孔连接板，连接板应采用不小于M10普通螺栓固定连接，竖向、横向连接板示意图见4.2.9-2；</w:t>
      </w:r>
    </w:p>
    <w:p w14:paraId="01B3DADB">
      <w:pPr>
        <w:adjustRightInd w:val="0"/>
        <w:snapToGrid w:val="0"/>
        <w:spacing w:line="360" w:lineRule="auto"/>
        <w:rPr>
          <w:sz w:val="24"/>
          <w:szCs w:val="24"/>
        </w:rPr>
      </w:pPr>
      <w:r>
        <w:rPr>
          <w:sz w:val="24"/>
          <w:szCs w:val="24"/>
        </w:rPr>
        <w:t xml:space="preserve">   </w:t>
      </w:r>
      <w:r>
        <w:rPr>
          <w:b/>
          <w:bCs/>
          <w:sz w:val="24"/>
          <w:szCs w:val="24"/>
        </w:rPr>
        <w:t>2</w:t>
      </w:r>
      <w:r>
        <w:rPr>
          <w:sz w:val="24"/>
          <w:szCs w:val="24"/>
        </w:rPr>
        <w:t xml:space="preserve">  外框宜选用截面长、宽不小于30㎜的方形钢管；</w:t>
      </w:r>
    </w:p>
    <w:p w14:paraId="6BDFC5CB">
      <w:pPr>
        <w:adjustRightInd w:val="0"/>
        <w:snapToGrid w:val="0"/>
        <w:spacing w:line="360" w:lineRule="auto"/>
        <w:rPr>
          <w:sz w:val="24"/>
          <w:szCs w:val="24"/>
        </w:rPr>
      </w:pPr>
      <w:r>
        <w:rPr>
          <w:sz w:val="24"/>
          <w:szCs w:val="24"/>
        </w:rPr>
        <w:t xml:space="preserve">   </w:t>
      </w:r>
      <w:r>
        <w:rPr>
          <w:b/>
          <w:bCs/>
          <w:sz w:val="24"/>
          <w:szCs w:val="24"/>
        </w:rPr>
        <w:t>3</w:t>
      </w:r>
      <w:r>
        <w:rPr>
          <w:sz w:val="24"/>
          <w:szCs w:val="24"/>
        </w:rPr>
        <w:t xml:space="preserve">  焊接钢丝网钢丝直径不应小于2.5㎜，网孔边长不大于20㎜；</w:t>
      </w:r>
    </w:p>
    <w:p w14:paraId="02B3EC78">
      <w:pPr>
        <w:adjustRightInd w:val="0"/>
        <w:snapToGrid w:val="0"/>
        <w:spacing w:line="360" w:lineRule="auto"/>
        <w:rPr>
          <w:sz w:val="24"/>
          <w:szCs w:val="24"/>
        </w:rPr>
      </w:pPr>
      <w:r>
        <w:rPr>
          <w:sz w:val="24"/>
          <w:szCs w:val="24"/>
        </w:rPr>
        <w:t xml:space="preserve">   </w:t>
      </w:r>
      <w:r>
        <w:rPr>
          <w:b/>
          <w:bCs/>
          <w:sz w:val="24"/>
          <w:szCs w:val="24"/>
        </w:rPr>
        <w:t>4</w:t>
      </w:r>
      <w:r>
        <w:rPr>
          <w:sz w:val="24"/>
          <w:szCs w:val="24"/>
        </w:rPr>
        <w:t xml:space="preserve">  立柱的固定应符合本标准第4.2.13、4.2.14、4.2.15的规定。</w:t>
      </w:r>
    </w:p>
    <w:p w14:paraId="4B837B67">
      <w:pPr>
        <w:adjustRightInd w:val="0"/>
        <w:snapToGrid w:val="0"/>
        <w:spacing w:line="360" w:lineRule="auto"/>
        <w:ind w:firstLine="210" w:firstLineChars="100"/>
        <w:jc w:val="center"/>
        <w:rPr>
          <w:rFonts w:eastAsia="黑体"/>
          <w:sz w:val="18"/>
          <w:szCs w:val="18"/>
        </w:rPr>
      </w:pPr>
      <w:bookmarkStart w:id="62" w:name="PageNo100170010"/>
      <w:r>
        <w:drawing>
          <wp:inline distT="0" distB="0" distL="114300" distR="114300">
            <wp:extent cx="4919345" cy="1971675"/>
            <wp:effectExtent l="0" t="0" r="0" b="0"/>
            <wp:docPr id="6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3"/>
                    <pic:cNvPicPr>
                      <a:picLocks noChangeAspect="1"/>
                    </pic:cNvPicPr>
                  </pic:nvPicPr>
                  <pic:blipFill>
                    <a:blip r:embed="rId11"/>
                    <a:srcRect l="39843" t="29793" r="27061" b="41025"/>
                    <a:stretch>
                      <a:fillRect/>
                    </a:stretch>
                  </pic:blipFill>
                  <pic:spPr>
                    <a:xfrm>
                      <a:off x="0" y="0"/>
                      <a:ext cx="4957985" cy="1987556"/>
                    </a:xfrm>
                    <a:prstGeom prst="rect">
                      <a:avLst/>
                    </a:prstGeom>
                    <a:noFill/>
                    <a:ln>
                      <a:noFill/>
                    </a:ln>
                  </pic:spPr>
                </pic:pic>
              </a:graphicData>
            </a:graphic>
          </wp:inline>
        </w:drawing>
      </w:r>
      <w:bookmarkEnd w:id="62"/>
    </w:p>
    <w:p w14:paraId="0E220706">
      <w:pPr>
        <w:adjustRightInd w:val="0"/>
        <w:snapToGrid w:val="0"/>
        <w:spacing w:line="360" w:lineRule="auto"/>
        <w:ind w:firstLine="180" w:firstLineChars="100"/>
        <w:jc w:val="center"/>
        <w:rPr>
          <w:rFonts w:eastAsia="黑体"/>
          <w:sz w:val="18"/>
          <w:szCs w:val="18"/>
        </w:rPr>
      </w:pPr>
      <w:r>
        <w:rPr>
          <w:rFonts w:eastAsia="黑体"/>
          <w:sz w:val="18"/>
          <w:szCs w:val="18"/>
        </w:rPr>
        <w:t>图4.2.9-1  网片式防护栏示意图（单位：㎜）</w:t>
      </w:r>
    </w:p>
    <w:p w14:paraId="4A742B2D">
      <w:pPr>
        <w:adjustRightInd w:val="0"/>
        <w:snapToGrid w:val="0"/>
        <w:spacing w:line="360" w:lineRule="auto"/>
        <w:ind w:firstLine="180" w:firstLineChars="100"/>
        <w:jc w:val="center"/>
        <w:rPr>
          <w:szCs w:val="21"/>
        </w:rPr>
      </w:pPr>
      <w:r>
        <w:rPr>
          <w:rFonts w:eastAsia="黑体"/>
          <w:sz w:val="18"/>
          <w:szCs w:val="18"/>
        </w:rPr>
        <w:t>1-立柱；2-外框；3-焊接钢丝网；4-螺栓连接；5-底座；6-挡脚</w:t>
      </w:r>
      <w:r>
        <w:rPr>
          <w:szCs w:val="21"/>
        </w:rPr>
        <w:t>板</w:t>
      </w:r>
    </w:p>
    <w:p w14:paraId="65A92773">
      <w:pPr>
        <w:adjustRightInd w:val="0"/>
        <w:snapToGrid w:val="0"/>
        <w:spacing w:line="360" w:lineRule="auto"/>
        <w:jc w:val="center"/>
        <w:rPr>
          <w:szCs w:val="21"/>
        </w:rPr>
      </w:pPr>
      <w:r>
        <w:rPr>
          <w:szCs w:val="21"/>
        </w:rPr>
        <w:drawing>
          <wp:inline distT="0" distB="0" distL="114300" distR="114300">
            <wp:extent cx="2823845" cy="1322070"/>
            <wp:effectExtent l="0" t="0" r="14605" b="11430"/>
            <wp:docPr id="66" name="图片 66" descr="db58d3a374af9233b5029d71d31be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db58d3a374af9233b5029d71d31be24"/>
                    <pic:cNvPicPr>
                      <a:picLocks noChangeAspect="1"/>
                    </pic:cNvPicPr>
                  </pic:nvPicPr>
                  <pic:blipFill>
                    <a:blip r:embed="rId12"/>
                    <a:stretch>
                      <a:fillRect/>
                    </a:stretch>
                  </pic:blipFill>
                  <pic:spPr>
                    <a:xfrm>
                      <a:off x="0" y="0"/>
                      <a:ext cx="2823845" cy="1322070"/>
                    </a:xfrm>
                    <a:prstGeom prst="rect">
                      <a:avLst/>
                    </a:prstGeom>
                  </pic:spPr>
                </pic:pic>
              </a:graphicData>
            </a:graphic>
          </wp:inline>
        </w:drawing>
      </w:r>
    </w:p>
    <w:p w14:paraId="255B5945">
      <w:pPr>
        <w:adjustRightInd w:val="0"/>
        <w:snapToGrid w:val="0"/>
        <w:spacing w:line="360" w:lineRule="auto"/>
        <w:ind w:firstLine="210" w:firstLineChars="100"/>
        <w:jc w:val="center"/>
      </w:pPr>
    </w:p>
    <w:p w14:paraId="3C7C7486">
      <w:pPr>
        <w:adjustRightInd w:val="0"/>
        <w:snapToGrid w:val="0"/>
        <w:spacing w:line="360" w:lineRule="auto"/>
        <w:ind w:firstLine="180" w:firstLineChars="100"/>
        <w:jc w:val="center"/>
        <w:rPr>
          <w:rFonts w:eastAsia="黑体"/>
          <w:sz w:val="18"/>
          <w:szCs w:val="18"/>
        </w:rPr>
      </w:pPr>
      <w:r>
        <w:rPr>
          <w:rFonts w:eastAsia="黑体"/>
          <w:sz w:val="18"/>
          <w:szCs w:val="18"/>
        </w:rPr>
        <w:t>图4.2.9-2  竖向、横向连接板示意图（单位：㎜）</w:t>
      </w:r>
    </w:p>
    <w:p w14:paraId="0D8F04F6">
      <w:pPr>
        <w:adjustRightInd w:val="0"/>
        <w:snapToGrid w:val="0"/>
        <w:spacing w:line="360" w:lineRule="auto"/>
        <w:rPr>
          <w:sz w:val="24"/>
          <w:szCs w:val="24"/>
        </w:rPr>
      </w:pPr>
      <w:r>
        <w:rPr>
          <w:b/>
          <w:sz w:val="24"/>
          <w:szCs w:val="24"/>
        </w:rPr>
        <w:t xml:space="preserve">4.2.10  </w:t>
      </w:r>
      <w:r>
        <w:rPr>
          <w:sz w:val="24"/>
          <w:szCs w:val="24"/>
        </w:rPr>
        <w:t>格栅式防护栏设置见图4.2.10，并应符合下列规定：</w:t>
      </w:r>
    </w:p>
    <w:p w14:paraId="42BE0165">
      <w:pPr>
        <w:adjustRightInd w:val="0"/>
        <w:snapToGrid w:val="0"/>
        <w:spacing w:line="360" w:lineRule="auto"/>
        <w:ind w:firstLine="361" w:firstLineChars="150"/>
        <w:rPr>
          <w:sz w:val="24"/>
          <w:szCs w:val="24"/>
        </w:rPr>
      </w:pPr>
      <w:r>
        <w:rPr>
          <w:b/>
          <w:bCs/>
          <w:sz w:val="24"/>
          <w:szCs w:val="24"/>
        </w:rPr>
        <w:t>1</w:t>
      </w:r>
      <w:r>
        <w:rPr>
          <w:b/>
          <w:sz w:val="24"/>
          <w:szCs w:val="24"/>
        </w:rPr>
        <w:t xml:space="preserve">  </w:t>
      </w:r>
      <w:r>
        <w:rPr>
          <w:sz w:val="24"/>
          <w:szCs w:val="24"/>
        </w:rPr>
        <w:t>立柱应选用截面长、宽不小于40㎜，厚度不小于2.5㎜的方形钢管，在上下两端约250㎜处焊接钢板连接外框，连接板不应小于50㎜×50㎜×6㎜，立杆统一使用竖向长孔连接板，外框统一使用横向长孔连接板，连接板应采用不小于M10普通螺栓固定连接；</w:t>
      </w:r>
    </w:p>
    <w:p w14:paraId="0E486A18">
      <w:pPr>
        <w:adjustRightInd w:val="0"/>
        <w:snapToGrid w:val="0"/>
        <w:spacing w:line="360" w:lineRule="auto"/>
        <w:ind w:firstLine="361" w:firstLineChars="150"/>
        <w:rPr>
          <w:sz w:val="24"/>
          <w:szCs w:val="24"/>
        </w:rPr>
      </w:pPr>
      <w:r>
        <w:rPr>
          <w:b/>
          <w:bCs/>
          <w:sz w:val="24"/>
          <w:szCs w:val="24"/>
        </w:rPr>
        <w:t>2</w:t>
      </w:r>
      <w:r>
        <w:rPr>
          <w:b/>
          <w:sz w:val="24"/>
          <w:szCs w:val="24"/>
        </w:rPr>
        <w:t xml:space="preserve">  </w:t>
      </w:r>
      <w:r>
        <w:rPr>
          <w:sz w:val="24"/>
          <w:szCs w:val="24"/>
        </w:rPr>
        <w:t>外框、竖杆宜选用截面长、宽不小于30㎜的方形钢管；</w:t>
      </w:r>
    </w:p>
    <w:p w14:paraId="0B1ACB80">
      <w:pPr>
        <w:adjustRightInd w:val="0"/>
        <w:snapToGrid w:val="0"/>
        <w:spacing w:line="360" w:lineRule="auto"/>
        <w:ind w:firstLine="361" w:firstLineChars="150"/>
        <w:rPr>
          <w:sz w:val="24"/>
          <w:szCs w:val="24"/>
        </w:rPr>
      </w:pPr>
      <w:r>
        <w:rPr>
          <w:b/>
          <w:bCs/>
          <w:sz w:val="24"/>
          <w:szCs w:val="24"/>
        </w:rPr>
        <w:t>3</w:t>
      </w:r>
      <w:r>
        <w:rPr>
          <w:b/>
          <w:sz w:val="24"/>
          <w:szCs w:val="24"/>
        </w:rPr>
        <w:t xml:space="preserve">  </w:t>
      </w:r>
      <w:r>
        <w:rPr>
          <w:sz w:val="24"/>
          <w:szCs w:val="24"/>
        </w:rPr>
        <w:t>竖杆间距不应大于200㎜；</w:t>
      </w:r>
    </w:p>
    <w:p w14:paraId="1DFDAA7E">
      <w:pPr>
        <w:adjustRightInd w:val="0"/>
        <w:snapToGrid w:val="0"/>
        <w:spacing w:line="360" w:lineRule="auto"/>
        <w:ind w:firstLine="361" w:firstLineChars="150"/>
        <w:rPr>
          <w:sz w:val="24"/>
          <w:szCs w:val="24"/>
        </w:rPr>
      </w:pPr>
      <w:r>
        <w:rPr>
          <w:b/>
          <w:bCs/>
          <w:sz w:val="24"/>
          <w:szCs w:val="24"/>
        </w:rPr>
        <w:t>4</w:t>
      </w:r>
      <w:r>
        <w:rPr>
          <w:sz w:val="24"/>
          <w:szCs w:val="24"/>
        </w:rPr>
        <w:t xml:space="preserve">  立柱的固定应符合本标准第4.2.13、4.2.14、4.2.15的规定。</w:t>
      </w:r>
    </w:p>
    <w:p w14:paraId="27827812">
      <w:pPr>
        <w:adjustRightInd w:val="0"/>
        <w:snapToGrid w:val="0"/>
        <w:spacing w:line="360" w:lineRule="auto"/>
        <w:ind w:firstLine="210" w:firstLineChars="100"/>
        <w:jc w:val="center"/>
        <w:rPr>
          <w:rFonts w:eastAsia="黑体"/>
          <w:sz w:val="18"/>
          <w:szCs w:val="18"/>
        </w:rPr>
      </w:pPr>
      <w:bookmarkStart w:id="63" w:name="PageNo100180011"/>
      <w:r>
        <w:drawing>
          <wp:inline distT="0" distB="0" distL="114300" distR="114300">
            <wp:extent cx="5445125" cy="2157095"/>
            <wp:effectExtent l="0" t="0" r="0" b="14605"/>
            <wp:docPr id="6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5"/>
                    <pic:cNvPicPr>
                      <a:picLocks noChangeAspect="1"/>
                    </pic:cNvPicPr>
                  </pic:nvPicPr>
                  <pic:blipFill>
                    <a:blip r:embed="rId13"/>
                    <a:srcRect l="27447" t="22703" r="25057" b="35900"/>
                    <a:stretch>
                      <a:fillRect/>
                    </a:stretch>
                  </pic:blipFill>
                  <pic:spPr>
                    <a:xfrm>
                      <a:off x="0" y="0"/>
                      <a:ext cx="5445125" cy="2157095"/>
                    </a:xfrm>
                    <a:prstGeom prst="rect">
                      <a:avLst/>
                    </a:prstGeom>
                    <a:noFill/>
                    <a:ln>
                      <a:noFill/>
                    </a:ln>
                  </pic:spPr>
                </pic:pic>
              </a:graphicData>
            </a:graphic>
          </wp:inline>
        </w:drawing>
      </w:r>
      <w:bookmarkEnd w:id="63"/>
      <w:r>
        <w:rPr>
          <w:rFonts w:eastAsia="黑体"/>
          <w:sz w:val="18"/>
          <w:szCs w:val="18"/>
        </w:rPr>
        <w:t>图4.2.10 格栅式防护栏示意图（单位：㎜）</w:t>
      </w:r>
    </w:p>
    <w:p w14:paraId="53450B47">
      <w:pPr>
        <w:adjustRightInd w:val="0"/>
        <w:snapToGrid w:val="0"/>
        <w:spacing w:line="360" w:lineRule="auto"/>
        <w:ind w:firstLine="180" w:firstLineChars="100"/>
        <w:jc w:val="center"/>
        <w:rPr>
          <w:rFonts w:eastAsia="黑体"/>
          <w:sz w:val="18"/>
          <w:szCs w:val="18"/>
        </w:rPr>
      </w:pPr>
      <w:r>
        <w:rPr>
          <w:rFonts w:eastAsia="黑体"/>
          <w:sz w:val="18"/>
          <w:szCs w:val="18"/>
        </w:rPr>
        <w:t>1-立柱；2-外框；3-竖杆；4-螺栓连接；5-底座；6-挡脚板</w:t>
      </w:r>
    </w:p>
    <w:p w14:paraId="1ACE7A3D">
      <w:pPr>
        <w:adjustRightInd w:val="0"/>
        <w:snapToGrid w:val="0"/>
        <w:spacing w:line="360" w:lineRule="auto"/>
        <w:rPr>
          <w:sz w:val="24"/>
          <w:szCs w:val="24"/>
        </w:rPr>
      </w:pPr>
      <w:r>
        <w:rPr>
          <w:b/>
          <w:sz w:val="24"/>
          <w:szCs w:val="24"/>
        </w:rPr>
        <w:t xml:space="preserve">4.2.11  </w:t>
      </w:r>
      <w:r>
        <w:rPr>
          <w:sz w:val="24"/>
          <w:szCs w:val="24"/>
        </w:rPr>
        <w:t>组装式防护栏设置见图4.2.11-1和图4.2.11-2，并应符合下列规定：</w:t>
      </w:r>
    </w:p>
    <w:p w14:paraId="7E3428A9">
      <w:pPr>
        <w:adjustRightInd w:val="0"/>
        <w:snapToGrid w:val="0"/>
        <w:spacing w:line="360" w:lineRule="auto"/>
        <w:ind w:firstLine="361" w:firstLineChars="150"/>
        <w:rPr>
          <w:sz w:val="24"/>
          <w:szCs w:val="24"/>
        </w:rPr>
      </w:pPr>
      <w:r>
        <w:rPr>
          <w:b/>
          <w:bCs/>
          <w:sz w:val="24"/>
          <w:szCs w:val="24"/>
        </w:rPr>
        <w:t>1</w:t>
      </w:r>
      <w:r>
        <w:rPr>
          <w:sz w:val="24"/>
          <w:szCs w:val="24"/>
        </w:rPr>
        <w:t xml:space="preserve">  直角弯头、三通、四通套管均为等边尺寸，采用Ф57㎜×3.5㎜的钢管，承插连接宜采用M8紧定螺钉固定；</w:t>
      </w:r>
    </w:p>
    <w:p w14:paraId="3208C592">
      <w:pPr>
        <w:adjustRightInd w:val="0"/>
        <w:snapToGrid w:val="0"/>
        <w:spacing w:line="360" w:lineRule="auto"/>
        <w:ind w:firstLine="361" w:firstLineChars="150"/>
        <w:rPr>
          <w:sz w:val="24"/>
          <w:szCs w:val="24"/>
        </w:rPr>
      </w:pPr>
      <w:r>
        <w:rPr>
          <w:b/>
          <w:bCs/>
          <w:sz w:val="24"/>
          <w:szCs w:val="24"/>
        </w:rPr>
        <w:t>2</w:t>
      </w:r>
      <w:r>
        <w:rPr>
          <w:sz w:val="24"/>
          <w:szCs w:val="24"/>
        </w:rPr>
        <w:t xml:space="preserve">  立杆、水平杆应采用Ф48.3㎜×3.6㎜的钢管，当使用“F”型、“干”字型立杆时，宜采用直角弯头、直通套管连接；</w:t>
      </w:r>
    </w:p>
    <w:p w14:paraId="1590345B">
      <w:pPr>
        <w:spacing w:line="360" w:lineRule="auto"/>
        <w:ind w:firstLine="342" w:firstLineChars="142"/>
        <w:rPr>
          <w:sz w:val="24"/>
          <w:szCs w:val="24"/>
        </w:rPr>
      </w:pPr>
      <w:r>
        <w:rPr>
          <w:b/>
          <w:bCs/>
          <w:sz w:val="24"/>
          <w:szCs w:val="24"/>
        </w:rPr>
        <w:t>3</w:t>
      </w:r>
      <w:r>
        <w:rPr>
          <w:sz w:val="24"/>
          <w:szCs w:val="24"/>
        </w:rPr>
        <w:t xml:space="preserve">  立柱的固定应符合本标准第4.2.13、4.2.14、4.2.15</w:t>
      </w:r>
      <w:r>
        <w:rPr>
          <w:rFonts w:hint="eastAsia"/>
          <w:sz w:val="24"/>
          <w:szCs w:val="24"/>
        </w:rPr>
        <w:t>条</w:t>
      </w:r>
      <w:r>
        <w:rPr>
          <w:sz w:val="24"/>
          <w:szCs w:val="24"/>
        </w:rPr>
        <w:t>的规定。</w:t>
      </w:r>
    </w:p>
    <w:p w14:paraId="58353104">
      <w:pPr>
        <w:adjustRightInd w:val="0"/>
        <w:snapToGrid w:val="0"/>
        <w:spacing w:line="360" w:lineRule="auto"/>
        <w:ind w:firstLine="210" w:firstLineChars="100"/>
        <w:jc w:val="center"/>
      </w:pPr>
      <w:r>
        <w:drawing>
          <wp:inline distT="0" distB="0" distL="114300" distR="114300">
            <wp:extent cx="5474335" cy="1979930"/>
            <wp:effectExtent l="0" t="0" r="0" b="0"/>
            <wp:docPr id="6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11"/>
                    <pic:cNvPicPr>
                      <a:picLocks noChangeAspect="1"/>
                    </pic:cNvPicPr>
                  </pic:nvPicPr>
                  <pic:blipFill>
                    <a:blip r:embed="rId14"/>
                    <a:srcRect l="10875" t="20287" r="18696" b="23686"/>
                    <a:stretch>
                      <a:fillRect/>
                    </a:stretch>
                  </pic:blipFill>
                  <pic:spPr>
                    <a:xfrm>
                      <a:off x="0" y="0"/>
                      <a:ext cx="5474335" cy="1979930"/>
                    </a:xfrm>
                    <a:prstGeom prst="rect">
                      <a:avLst/>
                    </a:prstGeom>
                    <a:noFill/>
                    <a:ln>
                      <a:noFill/>
                    </a:ln>
                  </pic:spPr>
                </pic:pic>
              </a:graphicData>
            </a:graphic>
          </wp:inline>
        </w:drawing>
      </w:r>
    </w:p>
    <w:p w14:paraId="0BA65BDF">
      <w:pPr>
        <w:adjustRightInd w:val="0"/>
        <w:snapToGrid w:val="0"/>
        <w:spacing w:line="360" w:lineRule="auto"/>
        <w:ind w:firstLine="180" w:firstLineChars="100"/>
        <w:jc w:val="center"/>
        <w:rPr>
          <w:rFonts w:eastAsia="黑体"/>
          <w:sz w:val="18"/>
          <w:szCs w:val="18"/>
        </w:rPr>
      </w:pPr>
      <w:r>
        <w:rPr>
          <w:rFonts w:eastAsia="黑体"/>
          <w:sz w:val="18"/>
          <w:szCs w:val="18"/>
        </w:rPr>
        <w:t>图4.2.11-1 组装式防护栏示意图（单位：㎜）</w:t>
      </w:r>
    </w:p>
    <w:p w14:paraId="081F1F54">
      <w:pPr>
        <w:adjustRightInd w:val="0"/>
        <w:snapToGrid w:val="0"/>
        <w:spacing w:line="360" w:lineRule="auto"/>
        <w:ind w:firstLine="180" w:firstLineChars="100"/>
        <w:jc w:val="center"/>
        <w:rPr>
          <w:rFonts w:eastAsia="黑体"/>
          <w:sz w:val="18"/>
          <w:szCs w:val="18"/>
        </w:rPr>
      </w:pPr>
      <w:r>
        <w:rPr>
          <w:rFonts w:eastAsia="黑体"/>
          <w:sz w:val="18"/>
          <w:szCs w:val="18"/>
        </w:rPr>
        <w:t>1-90°弯头；2-三通；3-四通；4-直通；5-立杆；6-水平杆；</w:t>
      </w:r>
    </w:p>
    <w:p w14:paraId="2D019E87">
      <w:pPr>
        <w:adjustRightInd w:val="0"/>
        <w:snapToGrid w:val="0"/>
        <w:spacing w:line="360" w:lineRule="auto"/>
        <w:ind w:firstLine="180" w:firstLineChars="100"/>
        <w:jc w:val="center"/>
        <w:rPr>
          <w:rFonts w:eastAsia="黑体"/>
          <w:sz w:val="18"/>
          <w:szCs w:val="18"/>
        </w:rPr>
      </w:pPr>
      <w:r>
        <w:rPr>
          <w:rFonts w:eastAsia="黑体"/>
          <w:sz w:val="18"/>
          <w:szCs w:val="18"/>
        </w:rPr>
        <w:t>7-底座；8-挡脚板；9-密目式安全网</w:t>
      </w:r>
    </w:p>
    <w:p w14:paraId="322B5FAF">
      <w:pPr>
        <w:adjustRightInd w:val="0"/>
        <w:snapToGrid w:val="0"/>
        <w:spacing w:line="360" w:lineRule="auto"/>
        <w:jc w:val="center"/>
        <w:rPr>
          <w:b/>
          <w:szCs w:val="21"/>
        </w:rPr>
      </w:pPr>
      <w:bookmarkStart w:id="64" w:name="PageNo100190012"/>
      <w:r>
        <w:drawing>
          <wp:inline distT="0" distB="0" distL="114300" distR="114300">
            <wp:extent cx="2366645" cy="1610995"/>
            <wp:effectExtent l="0" t="0" r="0" b="0"/>
            <wp:docPr id="6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12"/>
                    <pic:cNvPicPr>
                      <a:picLocks noChangeAspect="1"/>
                    </pic:cNvPicPr>
                  </pic:nvPicPr>
                  <pic:blipFill>
                    <a:blip r:embed="rId15"/>
                    <a:srcRect l="26530" t="10834" r="36584" b="33935"/>
                    <a:stretch>
                      <a:fillRect/>
                    </a:stretch>
                  </pic:blipFill>
                  <pic:spPr>
                    <a:xfrm>
                      <a:off x="0" y="0"/>
                      <a:ext cx="2366645" cy="1610995"/>
                    </a:xfrm>
                    <a:prstGeom prst="rect">
                      <a:avLst/>
                    </a:prstGeom>
                    <a:noFill/>
                    <a:ln>
                      <a:noFill/>
                    </a:ln>
                  </pic:spPr>
                </pic:pic>
              </a:graphicData>
            </a:graphic>
          </wp:inline>
        </w:drawing>
      </w:r>
      <w:bookmarkEnd w:id="64"/>
      <w:r>
        <w:rPr>
          <w:szCs w:val="21"/>
        </w:rPr>
        <mc:AlternateContent>
          <mc:Choice Requires="wpg">
            <w:drawing>
              <wp:inline distT="0" distB="0" distL="114300" distR="114300">
                <wp:extent cx="1191895" cy="1640205"/>
                <wp:effectExtent l="0" t="0" r="8255" b="17145"/>
                <wp:docPr id="71" name="组合 7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191895" cy="1640205"/>
                          <a:chOff x="1820" y="-1737"/>
                          <a:chExt cx="2296" cy="3120"/>
                        </a:xfrm>
                        <a:effectLst/>
                      </wpg:grpSpPr>
                      <pic:pic xmlns:pic="http://schemas.openxmlformats.org/drawingml/2006/picture">
                        <pic:nvPicPr>
                          <pic:cNvPr id="72" name="图片 8"/>
                          <pic:cNvPicPr>
                            <a:picLocks noChangeAspect="1"/>
                          </pic:cNvPicPr>
                        </pic:nvPicPr>
                        <pic:blipFill>
                          <a:blip r:embed="rId16">
                            <a:grayscl/>
                          </a:blip>
                          <a:stretch>
                            <a:fillRect/>
                          </a:stretch>
                        </pic:blipFill>
                        <pic:spPr>
                          <a:xfrm>
                            <a:off x="2886" y="-1735"/>
                            <a:ext cx="1230" cy="3118"/>
                          </a:xfrm>
                          <a:prstGeom prst="rect">
                            <a:avLst/>
                          </a:prstGeom>
                          <a:noFill/>
                          <a:ln>
                            <a:noFill/>
                          </a:ln>
                          <a:effectLst/>
                        </pic:spPr>
                      </pic:pic>
                      <pic:pic xmlns:pic="http://schemas.openxmlformats.org/drawingml/2006/picture">
                        <pic:nvPicPr>
                          <pic:cNvPr id="73" name="图片 5"/>
                          <pic:cNvPicPr>
                            <a:picLocks noChangeAspect="1"/>
                          </pic:cNvPicPr>
                        </pic:nvPicPr>
                        <pic:blipFill>
                          <a:blip r:embed="rId17">
                            <a:grayscl/>
                          </a:blip>
                          <a:stretch>
                            <a:fillRect/>
                          </a:stretch>
                        </pic:blipFill>
                        <pic:spPr>
                          <a:xfrm>
                            <a:off x="1820" y="-1737"/>
                            <a:ext cx="1071" cy="3118"/>
                          </a:xfrm>
                          <a:prstGeom prst="rect">
                            <a:avLst/>
                          </a:prstGeom>
                          <a:noFill/>
                          <a:ln>
                            <a:noFill/>
                          </a:ln>
                          <a:effectLst/>
                        </pic:spPr>
                      </pic:pic>
                    </wpg:wgp>
                  </a:graphicData>
                </a:graphic>
              </wp:inline>
            </w:drawing>
          </mc:Choice>
          <mc:Fallback>
            <w:pict>
              <v:group id="_x0000_s1026" o:spid="_x0000_s1026" o:spt="203" style="height:129.15pt;width:93.85pt;" coordorigin="1820,-1737" coordsize="2296,3120" o:gfxdata="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">
                <o:lock v:ext="edit" aspectratio="t"/>
                <v:shape id="图片 8" o:spid="_x0000_s1026" o:spt="75" type="#_x0000_t75" style="position:absolute;left:2886;top:-1735;height:3118;width:1230;" filled="f" o:preferrelative="t" stroked="f" coordsize="21600,21600" o:gfxdata="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58HHvQAA&#10;ANsAAAAPAAAAAAAAAAEAIAAAACIAAABkcnMvZG93bnJldi54bWxQSwECFAAUAAAACACHTuJAMy8F&#10;njsAAAA5AAAAEAAAAAAAAAABACAAAAAMAQAAZHJzL3NoYXBleG1sLnhtbFBLBQYAAAAABgAGAFsB&#10;AAC2AwAAAAA=&#10;">
                  <v:fill on="f" focussize="0,0"/>
                  <v:stroke on="f"/>
                  <v:imagedata r:id="rId16" grayscale="t" o:title=""/>
                  <o:lock v:ext="edit" aspectratio="t"/>
                </v:shape>
                <v:shape id="图片 5" o:spid="_x0000_s1026" o:spt="75" type="#_x0000_t75" style="position:absolute;left:1820;top:-1737;height:3118;width:1071;" filled="f" o:preferrelative="t" stroked="f" coordsize="21600,21600" o:gfxdata="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LQRPW8AAAA&#10;2wAAAA8AAAAAAAAAAQAgAAAAIgAAAGRycy9kb3ducmV2LnhtbFBLAQIUABQAAAAIAIdO4kAzLwWe&#10;OwAAADkAAAAQAAAAAAAAAAEAIAAAAAsBAABkcnMvc2hhcGV4bWwueG1sUEsFBgAAAAAGAAYAWwEA&#10;ALUDAAAAAA==&#10;">
                  <v:fill on="f" focussize="0,0"/>
                  <v:stroke on="f"/>
                  <v:imagedata r:id="rId17" grayscale="t" o:title=""/>
                  <o:lock v:ext="edit" aspectratio="t"/>
                </v:shape>
                <w10:wrap type="none"/>
                <w10:anchorlock/>
              </v:group>
            </w:pict>
          </mc:Fallback>
        </mc:AlternateContent>
      </w:r>
    </w:p>
    <w:p w14:paraId="450290B8">
      <w:pPr>
        <w:adjustRightInd w:val="0"/>
        <w:snapToGrid w:val="0"/>
        <w:spacing w:line="360" w:lineRule="auto"/>
        <w:ind w:firstLine="180" w:firstLineChars="100"/>
        <w:jc w:val="center"/>
        <w:rPr>
          <w:rFonts w:eastAsia="黑体"/>
          <w:sz w:val="18"/>
          <w:szCs w:val="18"/>
        </w:rPr>
      </w:pPr>
      <w:r>
        <w:rPr>
          <w:rFonts w:eastAsia="黑体"/>
          <w:sz w:val="18"/>
          <w:szCs w:val="18"/>
        </w:rPr>
        <w:t>图4.2.11-2  F型、干型防护栏示意图（单位：㎜）</w:t>
      </w:r>
    </w:p>
    <w:p w14:paraId="0E76BC03">
      <w:pPr>
        <w:adjustRightInd w:val="0"/>
        <w:snapToGrid w:val="0"/>
        <w:spacing w:line="360" w:lineRule="auto"/>
        <w:rPr>
          <w:sz w:val="24"/>
          <w:szCs w:val="24"/>
        </w:rPr>
      </w:pPr>
      <w:r>
        <w:rPr>
          <w:b/>
          <w:sz w:val="24"/>
          <w:szCs w:val="24"/>
        </w:rPr>
        <w:t xml:space="preserve">4.2.12  </w:t>
      </w:r>
      <w:r>
        <w:rPr>
          <w:sz w:val="24"/>
          <w:szCs w:val="24"/>
        </w:rPr>
        <w:t>钢管式防护栏设置见图4.2.12，并应符合下列规定：</w:t>
      </w:r>
    </w:p>
    <w:p w14:paraId="7C177868">
      <w:pPr>
        <w:adjustRightInd w:val="0"/>
        <w:snapToGrid w:val="0"/>
        <w:spacing w:line="360" w:lineRule="auto"/>
        <w:ind w:firstLine="361" w:firstLineChars="150"/>
        <w:rPr>
          <w:sz w:val="24"/>
          <w:szCs w:val="24"/>
        </w:rPr>
      </w:pPr>
      <w:r>
        <w:rPr>
          <w:b/>
          <w:bCs/>
          <w:sz w:val="24"/>
          <w:szCs w:val="24"/>
        </w:rPr>
        <w:t>1</w:t>
      </w:r>
      <w:r>
        <w:rPr>
          <w:b/>
          <w:sz w:val="24"/>
          <w:szCs w:val="24"/>
        </w:rPr>
        <w:t xml:space="preserve">  </w:t>
      </w:r>
      <w:r>
        <w:rPr>
          <w:sz w:val="24"/>
          <w:szCs w:val="24"/>
        </w:rPr>
        <w:t>立杆、横杆应采用Ф48.3㎜×3.6㎜的钢管，防护栏应搭设二道护身栏，第一道栏杆离地1200㎜，第二道栏杆离地600㎜，立杆高度1300㎜，立杆间距不得大于2000㎜；</w:t>
      </w:r>
    </w:p>
    <w:p w14:paraId="2B732C43">
      <w:pPr>
        <w:spacing w:line="360" w:lineRule="auto"/>
        <w:ind w:firstLine="366" w:firstLineChars="152"/>
        <w:rPr>
          <w:sz w:val="24"/>
          <w:szCs w:val="24"/>
        </w:rPr>
      </w:pPr>
      <w:r>
        <w:rPr>
          <w:b/>
          <w:bCs/>
          <w:sz w:val="24"/>
          <w:szCs w:val="24"/>
        </w:rPr>
        <w:t>2</w:t>
      </w:r>
      <w:r>
        <w:rPr>
          <w:sz w:val="24"/>
          <w:szCs w:val="24"/>
        </w:rPr>
        <w:t xml:space="preserve">  立柱的固定应符合本标准第4.2.13、4.2.14、4.2.15的规定。</w:t>
      </w:r>
    </w:p>
    <w:p w14:paraId="7C75D131">
      <w:pPr>
        <w:adjustRightInd w:val="0"/>
        <w:snapToGrid w:val="0"/>
        <w:spacing w:line="360" w:lineRule="auto"/>
        <w:ind w:firstLine="210" w:firstLineChars="100"/>
        <w:jc w:val="center"/>
      </w:pPr>
      <w:r>
        <w:drawing>
          <wp:inline distT="0" distB="0" distL="114300" distR="114300">
            <wp:extent cx="3721100" cy="2244090"/>
            <wp:effectExtent l="0" t="0" r="12700" b="0"/>
            <wp:docPr id="7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3"/>
                    <pic:cNvPicPr>
                      <a:picLocks noChangeAspect="1"/>
                    </pic:cNvPicPr>
                  </pic:nvPicPr>
                  <pic:blipFill>
                    <a:blip r:embed="rId18"/>
                    <a:srcRect l="44345" t="25597" r="25975" b="35024"/>
                    <a:stretch>
                      <a:fillRect/>
                    </a:stretch>
                  </pic:blipFill>
                  <pic:spPr>
                    <a:xfrm>
                      <a:off x="0" y="0"/>
                      <a:ext cx="3729895" cy="2249693"/>
                    </a:xfrm>
                    <a:prstGeom prst="rect">
                      <a:avLst/>
                    </a:prstGeom>
                    <a:noFill/>
                    <a:ln>
                      <a:noFill/>
                    </a:ln>
                  </pic:spPr>
                </pic:pic>
              </a:graphicData>
            </a:graphic>
          </wp:inline>
        </w:drawing>
      </w:r>
    </w:p>
    <w:p w14:paraId="4EE7303F">
      <w:pPr>
        <w:adjustRightInd w:val="0"/>
        <w:snapToGrid w:val="0"/>
        <w:spacing w:line="360" w:lineRule="auto"/>
        <w:ind w:firstLine="180" w:firstLineChars="100"/>
        <w:jc w:val="center"/>
        <w:rPr>
          <w:rFonts w:eastAsia="黑体"/>
          <w:sz w:val="18"/>
          <w:szCs w:val="18"/>
        </w:rPr>
      </w:pPr>
      <w:r>
        <w:rPr>
          <w:rFonts w:eastAsia="黑体"/>
          <w:sz w:val="18"/>
          <w:szCs w:val="18"/>
        </w:rPr>
        <w:t>图4.2.12 钢管式防护栏示意图（单位：㎜）</w:t>
      </w:r>
    </w:p>
    <w:p w14:paraId="1632CD03">
      <w:pPr>
        <w:adjustRightInd w:val="0"/>
        <w:snapToGrid w:val="0"/>
        <w:spacing w:line="360" w:lineRule="auto"/>
        <w:ind w:firstLine="180" w:firstLineChars="100"/>
        <w:jc w:val="center"/>
        <w:rPr>
          <w:rFonts w:eastAsia="黑体"/>
          <w:sz w:val="18"/>
          <w:szCs w:val="18"/>
        </w:rPr>
      </w:pPr>
      <w:r>
        <w:rPr>
          <w:rFonts w:eastAsia="黑体"/>
          <w:sz w:val="18"/>
          <w:szCs w:val="18"/>
        </w:rPr>
        <w:t>1—-钢管；2—密目式安全网；3—底座；4—挡脚板</w:t>
      </w:r>
    </w:p>
    <w:p w14:paraId="35EFA3B0">
      <w:pPr>
        <w:adjustRightInd w:val="0"/>
        <w:snapToGrid w:val="0"/>
        <w:spacing w:line="360" w:lineRule="auto"/>
        <w:rPr>
          <w:sz w:val="24"/>
          <w:szCs w:val="24"/>
        </w:rPr>
      </w:pPr>
      <w:r>
        <w:rPr>
          <w:b/>
          <w:sz w:val="24"/>
          <w:szCs w:val="24"/>
        </w:rPr>
        <w:t xml:space="preserve">4.2.13  </w:t>
      </w:r>
      <w:r>
        <w:rPr>
          <w:sz w:val="24"/>
          <w:szCs w:val="24"/>
        </w:rPr>
        <w:t>在混凝土结构上可采用120㎜×120㎜×6㎜钢板底座用四个M8膨胀螺栓与地面固定，膨胀螺栓固定示意图见图</w:t>
      </w:r>
      <w:r>
        <w:rPr>
          <w:rFonts w:hint="eastAsia"/>
          <w:sz w:val="24"/>
          <w:szCs w:val="24"/>
        </w:rPr>
        <w:t>4</w:t>
      </w:r>
      <w:r>
        <w:rPr>
          <w:sz w:val="24"/>
          <w:szCs w:val="24"/>
        </w:rPr>
        <w:t>.2.13。</w:t>
      </w:r>
    </w:p>
    <w:p w14:paraId="4567683C">
      <w:pPr>
        <w:adjustRightInd w:val="0"/>
        <w:snapToGrid w:val="0"/>
        <w:spacing w:line="360" w:lineRule="auto"/>
        <w:ind w:firstLine="210" w:firstLineChars="100"/>
        <w:jc w:val="center"/>
      </w:pPr>
      <w:bookmarkStart w:id="65" w:name="PageNo100200013"/>
      <w:r>
        <w:drawing>
          <wp:inline distT="0" distB="0" distL="114300" distR="114300">
            <wp:extent cx="4372610" cy="1886585"/>
            <wp:effectExtent l="0" t="0" r="0" b="0"/>
            <wp:docPr id="7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4"/>
                    <pic:cNvPicPr>
                      <a:picLocks noChangeAspect="1"/>
                    </pic:cNvPicPr>
                  </pic:nvPicPr>
                  <pic:blipFill>
                    <a:blip r:embed="rId19"/>
                    <a:srcRect l="30030" t="22411" r="25963" b="35820"/>
                    <a:stretch>
                      <a:fillRect/>
                    </a:stretch>
                  </pic:blipFill>
                  <pic:spPr>
                    <a:xfrm>
                      <a:off x="0" y="0"/>
                      <a:ext cx="4393838" cy="1896059"/>
                    </a:xfrm>
                    <a:prstGeom prst="rect">
                      <a:avLst/>
                    </a:prstGeom>
                    <a:noFill/>
                    <a:ln>
                      <a:noFill/>
                    </a:ln>
                  </pic:spPr>
                </pic:pic>
              </a:graphicData>
            </a:graphic>
          </wp:inline>
        </w:drawing>
      </w:r>
      <w:bookmarkEnd w:id="65"/>
    </w:p>
    <w:p w14:paraId="2B16A2B6">
      <w:pPr>
        <w:adjustRightInd w:val="0"/>
        <w:snapToGrid w:val="0"/>
        <w:spacing w:line="360" w:lineRule="auto"/>
        <w:ind w:firstLine="180" w:firstLineChars="100"/>
        <w:jc w:val="center"/>
        <w:rPr>
          <w:rFonts w:eastAsia="黑体"/>
          <w:sz w:val="18"/>
          <w:szCs w:val="18"/>
        </w:rPr>
      </w:pPr>
      <w:r>
        <w:rPr>
          <w:rFonts w:eastAsia="黑体"/>
          <w:sz w:val="18"/>
          <w:szCs w:val="18"/>
        </w:rPr>
        <w:t>图4.2.13 膨胀螺栓固定示意图</w:t>
      </w:r>
    </w:p>
    <w:p w14:paraId="1E6CDC96">
      <w:pPr>
        <w:adjustRightInd w:val="0"/>
        <w:snapToGrid w:val="0"/>
        <w:spacing w:line="360" w:lineRule="auto"/>
        <w:ind w:firstLine="180" w:firstLineChars="100"/>
        <w:jc w:val="center"/>
        <w:rPr>
          <w:rFonts w:eastAsia="黑体"/>
          <w:sz w:val="18"/>
          <w:szCs w:val="18"/>
        </w:rPr>
      </w:pPr>
      <w:r>
        <w:rPr>
          <w:rFonts w:eastAsia="黑体"/>
          <w:sz w:val="18"/>
          <w:szCs w:val="18"/>
        </w:rPr>
        <w:t>1-钢管；2-膨胀螺栓；3-混凝土结构；4-钢板底座</w:t>
      </w:r>
    </w:p>
    <w:p w14:paraId="5157305F">
      <w:pPr>
        <w:adjustRightInd w:val="0"/>
        <w:snapToGrid w:val="0"/>
        <w:spacing w:line="360" w:lineRule="auto"/>
        <w:rPr>
          <w:sz w:val="24"/>
          <w:szCs w:val="24"/>
        </w:rPr>
      </w:pPr>
      <w:r>
        <w:rPr>
          <w:b/>
          <w:sz w:val="24"/>
          <w:szCs w:val="24"/>
        </w:rPr>
        <w:t xml:space="preserve">4.2.14  </w:t>
      </w:r>
      <w:r>
        <w:rPr>
          <w:sz w:val="24"/>
          <w:szCs w:val="24"/>
        </w:rPr>
        <w:t>在混凝土结构中预埋埋件，采用预埋件与钢管焊接固定；采用钢套筒承插固定时，钢套筒高度不应小于150㎜，可使用不小于M8紧定螺钉固定；焊接固定示意图见图</w:t>
      </w:r>
      <w:r>
        <w:rPr>
          <w:rFonts w:hint="eastAsia"/>
          <w:sz w:val="24"/>
          <w:szCs w:val="24"/>
        </w:rPr>
        <w:t>4</w:t>
      </w:r>
      <w:r>
        <w:rPr>
          <w:sz w:val="24"/>
          <w:szCs w:val="24"/>
        </w:rPr>
        <w:t>.2.14-1，套筒承插固定示意图见图4.2.14-2。</w:t>
      </w:r>
    </w:p>
    <w:p w14:paraId="18E78A1A">
      <w:pPr>
        <w:adjustRightInd w:val="0"/>
        <w:snapToGrid w:val="0"/>
        <w:spacing w:line="360" w:lineRule="auto"/>
        <w:jc w:val="center"/>
        <w:rPr>
          <w:szCs w:val="21"/>
        </w:rPr>
      </w:pPr>
      <w:r>
        <w:drawing>
          <wp:inline distT="0" distB="0" distL="114300" distR="114300">
            <wp:extent cx="2465705" cy="1880870"/>
            <wp:effectExtent l="0" t="0" r="11430" b="0"/>
            <wp:docPr id="7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15"/>
                    <pic:cNvPicPr>
                      <a:picLocks noChangeAspect="1"/>
                    </pic:cNvPicPr>
                  </pic:nvPicPr>
                  <pic:blipFill>
                    <a:blip r:embed="rId20"/>
                    <a:srcRect l="5118" t="19225" r="63754" b="28545"/>
                    <a:stretch>
                      <a:fillRect/>
                    </a:stretch>
                  </pic:blipFill>
                  <pic:spPr>
                    <a:xfrm>
                      <a:off x="0" y="0"/>
                      <a:ext cx="2465705" cy="1880870"/>
                    </a:xfrm>
                    <a:prstGeom prst="rect">
                      <a:avLst/>
                    </a:prstGeom>
                    <a:noFill/>
                    <a:ln>
                      <a:noFill/>
                    </a:ln>
                  </pic:spPr>
                </pic:pic>
              </a:graphicData>
            </a:graphic>
          </wp:inline>
        </w:drawing>
      </w:r>
    </w:p>
    <w:p w14:paraId="05A9B5E8">
      <w:pPr>
        <w:adjustRightInd w:val="0"/>
        <w:snapToGrid w:val="0"/>
        <w:spacing w:line="360" w:lineRule="auto"/>
        <w:ind w:firstLine="180" w:firstLineChars="100"/>
        <w:jc w:val="center"/>
        <w:rPr>
          <w:rFonts w:eastAsia="黑体"/>
          <w:sz w:val="18"/>
          <w:szCs w:val="18"/>
        </w:rPr>
      </w:pPr>
      <w:r>
        <w:rPr>
          <w:rFonts w:eastAsia="黑体"/>
          <w:sz w:val="18"/>
          <w:szCs w:val="18"/>
        </w:rPr>
        <w:t>图4.2.14-1 焊接固定示意图</w:t>
      </w:r>
    </w:p>
    <w:p w14:paraId="5AB42A12">
      <w:pPr>
        <w:adjustRightInd w:val="0"/>
        <w:snapToGrid w:val="0"/>
        <w:spacing w:line="360" w:lineRule="auto"/>
        <w:ind w:firstLine="180" w:firstLineChars="100"/>
        <w:jc w:val="center"/>
        <w:rPr>
          <w:rFonts w:eastAsia="黑体"/>
          <w:sz w:val="18"/>
          <w:szCs w:val="18"/>
        </w:rPr>
      </w:pPr>
      <w:r>
        <w:rPr>
          <w:rFonts w:eastAsia="黑体"/>
          <w:sz w:val="18"/>
          <w:szCs w:val="18"/>
        </w:rPr>
        <w:t>1-钢管；2-预埋件；3-混凝土结构</w:t>
      </w:r>
    </w:p>
    <w:p w14:paraId="4CBED57F">
      <w:pPr>
        <w:adjustRightInd w:val="0"/>
        <w:snapToGrid w:val="0"/>
        <w:spacing w:line="360" w:lineRule="auto"/>
        <w:jc w:val="center"/>
        <w:rPr>
          <w:szCs w:val="21"/>
        </w:rPr>
      </w:pPr>
      <w:r>
        <w:drawing>
          <wp:inline distT="0" distB="0" distL="114300" distR="114300">
            <wp:extent cx="2287270" cy="1864995"/>
            <wp:effectExtent l="0" t="0" r="17780" b="0"/>
            <wp:docPr id="7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6"/>
                    <pic:cNvPicPr>
                      <a:picLocks noChangeAspect="1"/>
                    </pic:cNvPicPr>
                  </pic:nvPicPr>
                  <pic:blipFill>
                    <a:blip r:embed="rId21"/>
                    <a:srcRect l="52287" t="17233" r="17731" b="28996"/>
                    <a:stretch>
                      <a:fillRect/>
                    </a:stretch>
                  </pic:blipFill>
                  <pic:spPr>
                    <a:xfrm>
                      <a:off x="0" y="0"/>
                      <a:ext cx="2287270" cy="1864995"/>
                    </a:xfrm>
                    <a:prstGeom prst="rect">
                      <a:avLst/>
                    </a:prstGeom>
                    <a:noFill/>
                    <a:ln>
                      <a:noFill/>
                    </a:ln>
                  </pic:spPr>
                </pic:pic>
              </a:graphicData>
            </a:graphic>
          </wp:inline>
        </w:drawing>
      </w:r>
    </w:p>
    <w:p w14:paraId="501144A0">
      <w:pPr>
        <w:adjustRightInd w:val="0"/>
        <w:snapToGrid w:val="0"/>
        <w:spacing w:line="360" w:lineRule="auto"/>
        <w:ind w:firstLine="180" w:firstLineChars="100"/>
        <w:jc w:val="center"/>
        <w:rPr>
          <w:rFonts w:eastAsia="黑体"/>
          <w:sz w:val="18"/>
          <w:szCs w:val="18"/>
        </w:rPr>
      </w:pPr>
      <w:r>
        <w:rPr>
          <w:rFonts w:eastAsia="黑体"/>
          <w:sz w:val="18"/>
          <w:szCs w:val="18"/>
        </w:rPr>
        <w:t>图4.2.14-2 套筒承插固定示意图</w:t>
      </w:r>
    </w:p>
    <w:p w14:paraId="41827FA6">
      <w:pPr>
        <w:adjustRightInd w:val="0"/>
        <w:snapToGrid w:val="0"/>
        <w:spacing w:line="360" w:lineRule="auto"/>
        <w:ind w:firstLine="180" w:firstLineChars="100"/>
        <w:jc w:val="center"/>
        <w:rPr>
          <w:rFonts w:eastAsia="黑体"/>
          <w:sz w:val="18"/>
          <w:szCs w:val="18"/>
        </w:rPr>
      </w:pPr>
      <w:r>
        <w:rPr>
          <w:rFonts w:eastAsia="黑体"/>
          <w:sz w:val="18"/>
          <w:szCs w:val="18"/>
        </w:rPr>
        <w:t>1-Ф48.3㎜×3.6㎜钢管；2-Ф57㎜×3.6㎜钢套筒；3-紧定螺钉；</w:t>
      </w:r>
    </w:p>
    <w:p w14:paraId="4667CEC2">
      <w:pPr>
        <w:adjustRightInd w:val="0"/>
        <w:snapToGrid w:val="0"/>
        <w:spacing w:line="360" w:lineRule="auto"/>
        <w:ind w:firstLine="180" w:firstLineChars="100"/>
        <w:jc w:val="center"/>
        <w:rPr>
          <w:rFonts w:eastAsia="黑体"/>
          <w:sz w:val="18"/>
          <w:szCs w:val="18"/>
        </w:rPr>
      </w:pPr>
      <w:r>
        <w:rPr>
          <w:rFonts w:eastAsia="黑体"/>
          <w:sz w:val="18"/>
          <w:szCs w:val="18"/>
        </w:rPr>
        <w:t>4-预埋件；5-混凝土结构</w:t>
      </w:r>
    </w:p>
    <w:p w14:paraId="1773BEF2">
      <w:pPr>
        <w:adjustRightInd w:val="0"/>
        <w:snapToGrid w:val="0"/>
        <w:spacing w:line="360" w:lineRule="auto"/>
        <w:rPr>
          <w:sz w:val="24"/>
          <w:szCs w:val="24"/>
        </w:rPr>
      </w:pPr>
      <w:r>
        <w:rPr>
          <w:b/>
          <w:sz w:val="24"/>
          <w:szCs w:val="24"/>
        </w:rPr>
        <w:t xml:space="preserve">4.2.15  </w:t>
      </w:r>
      <w:r>
        <w:rPr>
          <w:sz w:val="24"/>
          <w:szCs w:val="24"/>
        </w:rPr>
        <w:t>当基底为土质时，可采用插入式和预埋混凝土砌块进行固定；钢管插入地面固定示意</w:t>
      </w:r>
      <w:bookmarkStart w:id="66" w:name="PageNo100210014"/>
      <w:r>
        <w:rPr>
          <w:sz w:val="24"/>
          <w:szCs w:val="24"/>
        </w:rPr>
        <w:t>图</w:t>
      </w:r>
      <w:bookmarkEnd w:id="66"/>
      <w:r>
        <w:rPr>
          <w:sz w:val="24"/>
          <w:szCs w:val="24"/>
        </w:rPr>
        <w:t>见图</w:t>
      </w:r>
      <w:r>
        <w:rPr>
          <w:rFonts w:hint="eastAsia"/>
          <w:sz w:val="24"/>
          <w:szCs w:val="24"/>
        </w:rPr>
        <w:t>4</w:t>
      </w:r>
      <w:r>
        <w:rPr>
          <w:sz w:val="24"/>
          <w:szCs w:val="24"/>
        </w:rPr>
        <w:t>.2.15-1，预埋混凝土砌块固定示意图见图4.2.15-2。</w:t>
      </w:r>
    </w:p>
    <w:p w14:paraId="4E7114EB">
      <w:pPr>
        <w:adjustRightInd w:val="0"/>
        <w:snapToGrid w:val="0"/>
        <w:spacing w:line="360" w:lineRule="auto"/>
        <w:jc w:val="center"/>
        <w:rPr>
          <w:szCs w:val="21"/>
        </w:rPr>
      </w:pPr>
      <w:r>
        <w:drawing>
          <wp:inline distT="0" distB="0" distL="114300" distR="114300">
            <wp:extent cx="2374900" cy="2311400"/>
            <wp:effectExtent l="0" t="0" r="0" b="0"/>
            <wp:docPr id="7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17"/>
                    <pic:cNvPicPr>
                      <a:picLocks noChangeAspect="1"/>
                    </pic:cNvPicPr>
                  </pic:nvPicPr>
                  <pic:blipFill>
                    <a:blip r:embed="rId22"/>
                    <a:srcRect l="41014" t="33324" r="50199" b="47860"/>
                    <a:stretch>
                      <a:fillRect/>
                    </a:stretch>
                  </pic:blipFill>
                  <pic:spPr>
                    <a:xfrm>
                      <a:off x="0" y="0"/>
                      <a:ext cx="2388401" cy="2324635"/>
                    </a:xfrm>
                    <a:prstGeom prst="rect">
                      <a:avLst/>
                    </a:prstGeom>
                    <a:noFill/>
                    <a:ln>
                      <a:noFill/>
                    </a:ln>
                  </pic:spPr>
                </pic:pic>
              </a:graphicData>
            </a:graphic>
          </wp:inline>
        </w:drawing>
      </w:r>
    </w:p>
    <w:p w14:paraId="633C4E64">
      <w:pPr>
        <w:adjustRightInd w:val="0"/>
        <w:snapToGrid w:val="0"/>
        <w:spacing w:line="360" w:lineRule="auto"/>
        <w:ind w:firstLine="180" w:firstLineChars="100"/>
        <w:jc w:val="center"/>
        <w:rPr>
          <w:rFonts w:eastAsia="黑体"/>
          <w:sz w:val="18"/>
          <w:szCs w:val="18"/>
        </w:rPr>
      </w:pPr>
      <w:r>
        <w:rPr>
          <w:rFonts w:eastAsia="黑体"/>
          <w:sz w:val="18"/>
          <w:szCs w:val="18"/>
        </w:rPr>
        <w:t>图4.2.15-1 钢管插入地面固定示意图</w:t>
      </w:r>
    </w:p>
    <w:p w14:paraId="1B98360F">
      <w:pPr>
        <w:adjustRightInd w:val="0"/>
        <w:snapToGrid w:val="0"/>
        <w:spacing w:line="360" w:lineRule="auto"/>
        <w:jc w:val="center"/>
        <w:rPr>
          <w:szCs w:val="21"/>
        </w:rPr>
      </w:pPr>
      <w:r>
        <w:drawing>
          <wp:inline distT="0" distB="0" distL="114300" distR="114300">
            <wp:extent cx="2647950" cy="1795780"/>
            <wp:effectExtent l="0" t="0" r="0" b="0"/>
            <wp:docPr id="7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18"/>
                    <pic:cNvPicPr>
                      <a:picLocks noChangeAspect="1"/>
                    </pic:cNvPicPr>
                  </pic:nvPicPr>
                  <pic:blipFill>
                    <a:blip r:embed="rId23"/>
                    <a:srcRect l="55619" t="40335" r="32263" b="41583"/>
                    <a:stretch>
                      <a:fillRect/>
                    </a:stretch>
                  </pic:blipFill>
                  <pic:spPr>
                    <a:xfrm>
                      <a:off x="0" y="0"/>
                      <a:ext cx="2669399" cy="1810653"/>
                    </a:xfrm>
                    <a:prstGeom prst="rect">
                      <a:avLst/>
                    </a:prstGeom>
                    <a:noFill/>
                    <a:ln>
                      <a:noFill/>
                    </a:ln>
                  </pic:spPr>
                </pic:pic>
              </a:graphicData>
            </a:graphic>
          </wp:inline>
        </w:drawing>
      </w:r>
    </w:p>
    <w:p w14:paraId="395EAE39">
      <w:pPr>
        <w:adjustRightInd w:val="0"/>
        <w:snapToGrid w:val="0"/>
        <w:spacing w:line="360" w:lineRule="auto"/>
        <w:ind w:firstLine="180" w:firstLineChars="100"/>
        <w:jc w:val="center"/>
        <w:rPr>
          <w:rFonts w:eastAsia="黑体"/>
          <w:sz w:val="18"/>
          <w:szCs w:val="18"/>
        </w:rPr>
      </w:pPr>
      <w:r>
        <w:rPr>
          <w:rFonts w:eastAsia="黑体"/>
          <w:sz w:val="18"/>
          <w:szCs w:val="18"/>
        </w:rPr>
        <w:t>图4.2.15-2 预埋混凝土砌块固定示意图</w:t>
      </w:r>
    </w:p>
    <w:p w14:paraId="004E9335">
      <w:pPr>
        <w:adjustRightInd w:val="0"/>
        <w:snapToGrid w:val="0"/>
        <w:spacing w:line="360" w:lineRule="auto"/>
        <w:rPr>
          <w:sz w:val="24"/>
          <w:szCs w:val="24"/>
        </w:rPr>
      </w:pPr>
      <w:r>
        <w:rPr>
          <w:b/>
          <w:bCs/>
          <w:sz w:val="24"/>
          <w:szCs w:val="24"/>
        </w:rPr>
        <w:t>4.2.16</w:t>
      </w:r>
      <w:r>
        <w:rPr>
          <w:sz w:val="24"/>
          <w:szCs w:val="24"/>
        </w:rPr>
        <w:t xml:space="preserve">  无脚手架围护的作业面临边区域、高低跨区域等部位，应搭设临边防护，防护设施的构造应符合本标准</w:t>
      </w:r>
      <w:r>
        <w:rPr>
          <w:rFonts w:hint="eastAsia"/>
          <w:sz w:val="24"/>
          <w:szCs w:val="24"/>
        </w:rPr>
        <w:t>4</w:t>
      </w:r>
      <w:r>
        <w:rPr>
          <w:sz w:val="24"/>
          <w:szCs w:val="24"/>
        </w:rPr>
        <w:t>.2.3、4.2.4的规定。</w:t>
      </w:r>
    </w:p>
    <w:p w14:paraId="61720B34">
      <w:pPr>
        <w:adjustRightInd w:val="0"/>
        <w:snapToGrid w:val="0"/>
        <w:spacing w:line="360" w:lineRule="auto"/>
        <w:rPr>
          <w:sz w:val="24"/>
          <w:szCs w:val="24"/>
        </w:rPr>
      </w:pPr>
      <w:r>
        <w:rPr>
          <w:b/>
          <w:bCs/>
          <w:sz w:val="24"/>
          <w:szCs w:val="24"/>
        </w:rPr>
        <w:t>4.2.17</w:t>
      </w:r>
      <w:r>
        <w:rPr>
          <w:sz w:val="24"/>
          <w:szCs w:val="24"/>
        </w:rPr>
        <w:t xml:space="preserve">  暗挖工程竖井应设防水挡墙和防护栏杆，防水挡墙上防护栏杆距防护面高度不得低于1200 ㎜，防护设施的构造和固定应符合本标准</w:t>
      </w:r>
      <w:r>
        <w:rPr>
          <w:rFonts w:hint="eastAsia"/>
          <w:sz w:val="24"/>
          <w:szCs w:val="24"/>
        </w:rPr>
        <w:t>4</w:t>
      </w:r>
      <w:r>
        <w:rPr>
          <w:sz w:val="24"/>
          <w:szCs w:val="24"/>
        </w:rPr>
        <w:t>.2.3、4.2.4、4.2.13、4.2.14、4.2.15的规定。竖井楼梯护栏外侧，应采用密目式安全立网或钢板网全封闭。</w:t>
      </w:r>
    </w:p>
    <w:p w14:paraId="6F24B782">
      <w:pPr>
        <w:adjustRightInd w:val="0"/>
        <w:snapToGrid w:val="0"/>
        <w:spacing w:line="360" w:lineRule="auto"/>
        <w:rPr>
          <w:sz w:val="24"/>
          <w:szCs w:val="24"/>
        </w:rPr>
      </w:pPr>
      <w:r>
        <w:rPr>
          <w:b/>
          <w:bCs/>
          <w:sz w:val="24"/>
          <w:szCs w:val="24"/>
        </w:rPr>
        <w:t>4.2.18</w:t>
      </w:r>
      <w:r>
        <w:rPr>
          <w:sz w:val="24"/>
          <w:szCs w:val="24"/>
        </w:rPr>
        <w:t xml:space="preserve">  暗挖工程竖井卸渣口应设置挡堰、防护栏杆、防倾覆钢索等防护措施，挡堰应采用工字钢，且高度不应低于300㎜，防护栏上横杆距防护面高度不应小于1200 ㎜，防倾覆钢索直径不应小于A12。防护设施的构造应符合本标准</w:t>
      </w:r>
      <w:r>
        <w:rPr>
          <w:rFonts w:hint="eastAsia"/>
          <w:sz w:val="24"/>
          <w:szCs w:val="24"/>
        </w:rPr>
        <w:t>4</w:t>
      </w:r>
      <w:r>
        <w:rPr>
          <w:sz w:val="24"/>
          <w:szCs w:val="24"/>
        </w:rPr>
        <w:t>.2.3、4.2.4的规定。</w:t>
      </w:r>
    </w:p>
    <w:p w14:paraId="6EA0FAD9">
      <w:pPr>
        <w:adjustRightInd w:val="0"/>
        <w:snapToGrid w:val="0"/>
        <w:spacing w:line="360" w:lineRule="auto"/>
        <w:rPr>
          <w:sz w:val="24"/>
          <w:szCs w:val="24"/>
        </w:rPr>
      </w:pPr>
      <w:r>
        <w:rPr>
          <w:b/>
          <w:bCs/>
          <w:sz w:val="24"/>
          <w:szCs w:val="24"/>
        </w:rPr>
        <w:t>4.2.19</w:t>
      </w:r>
      <w:r>
        <w:rPr>
          <w:b/>
          <w:sz w:val="24"/>
          <w:szCs w:val="24"/>
        </w:rPr>
        <w:t xml:space="preserve">  </w:t>
      </w:r>
      <w:r>
        <w:rPr>
          <w:sz w:val="24"/>
          <w:szCs w:val="24"/>
        </w:rPr>
        <w:t>老旧小区改造工程，楼层临边作业区域、楼梯口、梯段边及阳台（阳台外墙）拆除后，应设置防护设施，防护设施的构造应符合本标准</w:t>
      </w:r>
      <w:r>
        <w:rPr>
          <w:rFonts w:hint="eastAsia"/>
          <w:sz w:val="24"/>
          <w:szCs w:val="24"/>
        </w:rPr>
        <w:t>4</w:t>
      </w:r>
      <w:r>
        <w:rPr>
          <w:sz w:val="24"/>
          <w:szCs w:val="24"/>
        </w:rPr>
        <w:t>.2.3、4.2.4的规定。</w:t>
      </w:r>
    </w:p>
    <w:p w14:paraId="30C44427">
      <w:pPr>
        <w:adjustRightInd w:val="0"/>
        <w:snapToGrid w:val="0"/>
        <w:spacing w:line="360" w:lineRule="auto"/>
        <w:rPr>
          <w:sz w:val="24"/>
          <w:szCs w:val="24"/>
        </w:rPr>
      </w:pPr>
      <w:r>
        <w:rPr>
          <w:b/>
          <w:bCs/>
          <w:sz w:val="24"/>
          <w:szCs w:val="24"/>
        </w:rPr>
        <w:t>4.2.20</w:t>
      </w:r>
      <w:r>
        <w:rPr>
          <w:sz w:val="24"/>
          <w:szCs w:val="24"/>
        </w:rPr>
        <w:t xml:space="preserve">  基坑周边1.5m范围内不宜堆物堆料，1.5m以外堆物堆料载荷应在基坑支护设计允许范围内。 </w:t>
      </w:r>
    </w:p>
    <w:p w14:paraId="7477669B">
      <w:pPr>
        <w:adjustRightInd w:val="0"/>
        <w:snapToGrid w:val="0"/>
        <w:spacing w:line="360" w:lineRule="auto"/>
        <w:rPr>
          <w:sz w:val="24"/>
          <w:szCs w:val="24"/>
        </w:rPr>
      </w:pPr>
      <w:r>
        <w:rPr>
          <w:b/>
          <w:bCs/>
          <w:sz w:val="24"/>
          <w:szCs w:val="24"/>
        </w:rPr>
        <w:t>4.2.21</w:t>
      </w:r>
      <w:r>
        <w:rPr>
          <w:sz w:val="24"/>
          <w:szCs w:val="24"/>
        </w:rPr>
        <w:t xml:space="preserve">  基坑周边5m范围内不宜设置集水坑。</w:t>
      </w:r>
    </w:p>
    <w:p w14:paraId="23A82B5E">
      <w:pPr>
        <w:adjustRightInd w:val="0"/>
        <w:snapToGrid w:val="0"/>
        <w:spacing w:line="360" w:lineRule="auto"/>
        <w:rPr>
          <w:sz w:val="24"/>
          <w:szCs w:val="24"/>
        </w:rPr>
      </w:pPr>
      <w:r>
        <w:rPr>
          <w:b/>
          <w:bCs/>
          <w:sz w:val="24"/>
          <w:szCs w:val="24"/>
        </w:rPr>
        <w:t xml:space="preserve">4.2.22  </w:t>
      </w:r>
      <w:r>
        <w:rPr>
          <w:sz w:val="24"/>
          <w:szCs w:val="24"/>
        </w:rPr>
        <w:t>开挖槽、坑、沟深度超过1.5m，应根据土质和深度情况按规定放坡或采取支护措施，并至少设置一处人员上下坡道或爬梯，爬梯两侧应用密目式安全立网或钢板网封闭。开挖深度超过2m的，应在边沿处设置不低于1.2m的防护栏杆并用密目式安全立网或钢板网封闭或设置不低于1.2m的格栅式工具护栏。基坑深度超过3m的，应至少设置2处人员上下坡道或爬梯，宜分别在基坑两端设置。</w:t>
      </w:r>
    </w:p>
    <w:p w14:paraId="05946DB9">
      <w:pPr>
        <w:adjustRightInd w:val="0"/>
        <w:snapToGrid w:val="0"/>
        <w:spacing w:line="360" w:lineRule="auto"/>
        <w:rPr>
          <w:sz w:val="24"/>
          <w:szCs w:val="24"/>
        </w:rPr>
      </w:pPr>
      <w:r>
        <w:rPr>
          <w:rFonts w:hint="eastAsia"/>
          <w:b/>
          <w:bCs/>
          <w:sz w:val="24"/>
          <w:szCs w:val="24"/>
        </w:rPr>
        <w:t>4</w:t>
      </w:r>
      <w:r>
        <w:rPr>
          <w:b/>
          <w:bCs/>
          <w:sz w:val="24"/>
          <w:szCs w:val="24"/>
        </w:rPr>
        <w:t>.2.23</w:t>
      </w:r>
      <w:r>
        <w:rPr>
          <w:sz w:val="24"/>
          <w:szCs w:val="24"/>
        </w:rPr>
        <w:t xml:space="preserve">  毗邻道路开挖的槽、坑、沟应采取有效的临边防护措施，夜间应设置警示灯。</w:t>
      </w:r>
    </w:p>
    <w:p w14:paraId="2A420B01">
      <w:pPr>
        <w:pStyle w:val="3"/>
        <w:rPr>
          <w:rFonts w:ascii="Times New Roman" w:hAnsi="Times New Roman" w:cs="Times New Roman"/>
          <w:color w:val="auto"/>
          <w:sz w:val="24"/>
          <w:szCs w:val="24"/>
        </w:rPr>
      </w:pPr>
      <w:bookmarkStart w:id="67" w:name="_Toc14768"/>
      <w:bookmarkStart w:id="68" w:name="_Toc1063"/>
      <w:r>
        <w:rPr>
          <w:rFonts w:ascii="Times New Roman" w:hAnsi="Times New Roman" w:cs="Times New Roman"/>
          <w:color w:val="auto"/>
          <w:sz w:val="24"/>
          <w:szCs w:val="24"/>
        </w:rPr>
        <w:t>4.3  洞口安全防护</w:t>
      </w:r>
      <w:bookmarkEnd w:id="67"/>
      <w:bookmarkEnd w:id="68"/>
    </w:p>
    <w:p w14:paraId="42ACF310">
      <w:pPr>
        <w:spacing w:line="360" w:lineRule="auto"/>
        <w:rPr>
          <w:sz w:val="24"/>
          <w:szCs w:val="24"/>
        </w:rPr>
      </w:pPr>
      <w:r>
        <w:rPr>
          <w:b/>
          <w:bCs/>
          <w:sz w:val="24"/>
          <w:szCs w:val="24"/>
        </w:rPr>
        <w:t xml:space="preserve">4.3.1  </w:t>
      </w:r>
      <w:r>
        <w:rPr>
          <w:sz w:val="24"/>
          <w:szCs w:val="24"/>
        </w:rPr>
        <w:t>短边长度大于 25㎜的施工现场洞口应设置防坠落的防护设施。</w:t>
      </w:r>
    </w:p>
    <w:p w14:paraId="7FF59482">
      <w:pPr>
        <w:spacing w:line="360" w:lineRule="auto"/>
        <w:rPr>
          <w:sz w:val="24"/>
          <w:szCs w:val="24"/>
        </w:rPr>
      </w:pPr>
      <w:r>
        <w:rPr>
          <w:b/>
          <w:bCs/>
          <w:sz w:val="24"/>
          <w:szCs w:val="24"/>
        </w:rPr>
        <w:t>4.3.2</w:t>
      </w:r>
      <w:r>
        <w:rPr>
          <w:sz w:val="24"/>
          <w:szCs w:val="24"/>
        </w:rPr>
        <w:t xml:space="preserve">  水平洞口的防护应符合下列规定：</w:t>
      </w:r>
    </w:p>
    <w:p w14:paraId="0B4F4E6B">
      <w:pPr>
        <w:spacing w:line="360" w:lineRule="auto"/>
        <w:ind w:firstLine="361" w:firstLineChars="150"/>
        <w:rPr>
          <w:sz w:val="24"/>
          <w:szCs w:val="24"/>
        </w:rPr>
      </w:pPr>
      <w:r>
        <w:rPr>
          <w:b/>
          <w:bCs/>
          <w:sz w:val="24"/>
          <w:szCs w:val="24"/>
        </w:rPr>
        <w:t>1</w:t>
      </w:r>
      <w:r>
        <w:rPr>
          <w:sz w:val="24"/>
          <w:szCs w:val="24"/>
        </w:rPr>
        <w:t xml:space="preserve">  短边长度大于 25㎜且不大于 500㎜ 的洞口，采用盖板防护；</w:t>
      </w:r>
    </w:p>
    <w:p w14:paraId="7C8016D7">
      <w:pPr>
        <w:spacing w:line="360" w:lineRule="auto"/>
        <w:ind w:firstLine="361" w:firstLineChars="150"/>
        <w:rPr>
          <w:sz w:val="24"/>
          <w:szCs w:val="24"/>
        </w:rPr>
      </w:pPr>
      <w:r>
        <w:rPr>
          <w:b/>
          <w:bCs/>
          <w:sz w:val="24"/>
          <w:szCs w:val="24"/>
        </w:rPr>
        <w:t xml:space="preserve">2  </w:t>
      </w:r>
      <w:r>
        <w:rPr>
          <w:sz w:val="24"/>
          <w:szCs w:val="24"/>
        </w:rPr>
        <w:t>短边长度大于 5</w:t>
      </w:r>
      <w:r>
        <w:rPr>
          <w:rFonts w:hint="eastAsia"/>
          <w:sz w:val="24"/>
          <w:szCs w:val="24"/>
        </w:rPr>
        <w:t>00</w:t>
      </w:r>
      <w:r>
        <w:rPr>
          <w:sz w:val="24"/>
          <w:szCs w:val="24"/>
        </w:rPr>
        <w:t>㎜且不大于1500㎜ 的洞口，采用预留钢筋网片加盖板防护，或采用扣件扣接钢管形成网格加盖板进行防护；</w:t>
      </w:r>
    </w:p>
    <w:p w14:paraId="58F92A3E">
      <w:pPr>
        <w:spacing w:line="360" w:lineRule="auto"/>
        <w:ind w:firstLine="361" w:firstLineChars="150"/>
        <w:rPr>
          <w:sz w:val="24"/>
          <w:szCs w:val="24"/>
        </w:rPr>
      </w:pPr>
      <w:r>
        <w:rPr>
          <w:b/>
          <w:bCs/>
          <w:sz w:val="24"/>
          <w:szCs w:val="24"/>
        </w:rPr>
        <w:t>3</w:t>
      </w:r>
      <w:r>
        <w:rPr>
          <w:sz w:val="24"/>
          <w:szCs w:val="24"/>
        </w:rPr>
        <w:t xml:space="preserve">  短边长度大于 1500㎜ 的洞口，应按本标准第4.2节的规定设置临边防护，洞口内应支挂水平安全网。</w:t>
      </w:r>
    </w:p>
    <w:p w14:paraId="69D67B57">
      <w:pPr>
        <w:spacing w:line="360" w:lineRule="auto"/>
        <w:rPr>
          <w:sz w:val="24"/>
          <w:szCs w:val="24"/>
        </w:rPr>
      </w:pPr>
      <w:r>
        <w:rPr>
          <w:b/>
          <w:bCs/>
          <w:sz w:val="24"/>
          <w:szCs w:val="24"/>
        </w:rPr>
        <w:t>4</w:t>
      </w:r>
      <w:r>
        <w:rPr>
          <w:rFonts w:hint="eastAsia"/>
          <w:b/>
          <w:bCs/>
          <w:sz w:val="24"/>
          <w:szCs w:val="24"/>
        </w:rPr>
        <w:t>.</w:t>
      </w:r>
      <w:r>
        <w:rPr>
          <w:b/>
          <w:bCs/>
          <w:sz w:val="24"/>
          <w:szCs w:val="24"/>
        </w:rPr>
        <w:t xml:space="preserve">3.3  </w:t>
      </w:r>
      <w:r>
        <w:rPr>
          <w:sz w:val="24"/>
          <w:szCs w:val="24"/>
        </w:rPr>
        <w:t>竖向洞口的防护应符合下列规定：</w:t>
      </w:r>
    </w:p>
    <w:p w14:paraId="6446AB3E">
      <w:pPr>
        <w:spacing w:line="360" w:lineRule="auto"/>
        <w:ind w:firstLine="361" w:firstLineChars="150"/>
        <w:rPr>
          <w:sz w:val="24"/>
          <w:szCs w:val="24"/>
        </w:rPr>
      </w:pPr>
      <w:r>
        <w:rPr>
          <w:b/>
          <w:bCs/>
          <w:sz w:val="24"/>
          <w:szCs w:val="24"/>
        </w:rPr>
        <w:t>1</w:t>
      </w:r>
      <w:r>
        <w:rPr>
          <w:sz w:val="24"/>
          <w:szCs w:val="24"/>
        </w:rPr>
        <w:t xml:space="preserve">  短边长度不大于 500㎜ 的洞口，采取封堵措施，防护应牢固；</w:t>
      </w:r>
    </w:p>
    <w:p w14:paraId="06246648">
      <w:pPr>
        <w:spacing w:line="360" w:lineRule="auto"/>
        <w:ind w:firstLine="361" w:firstLineChars="150"/>
        <w:rPr>
          <w:sz w:val="24"/>
          <w:szCs w:val="24"/>
        </w:rPr>
      </w:pPr>
      <w:r>
        <w:rPr>
          <w:b/>
          <w:bCs/>
          <w:sz w:val="24"/>
          <w:szCs w:val="24"/>
        </w:rPr>
        <w:t xml:space="preserve">2  </w:t>
      </w:r>
      <w:r>
        <w:rPr>
          <w:sz w:val="24"/>
          <w:szCs w:val="24"/>
        </w:rPr>
        <w:t>短边长度大于 500㎜ 的洞口，采用防护栏杆防护。</w:t>
      </w:r>
    </w:p>
    <w:p w14:paraId="3D749C31">
      <w:pPr>
        <w:spacing w:line="360" w:lineRule="auto"/>
        <w:rPr>
          <w:sz w:val="24"/>
          <w:szCs w:val="24"/>
        </w:rPr>
      </w:pPr>
      <w:r>
        <w:rPr>
          <w:b/>
          <w:bCs/>
          <w:sz w:val="24"/>
          <w:szCs w:val="24"/>
        </w:rPr>
        <w:t>4.3.4</w:t>
      </w:r>
      <w:r>
        <w:rPr>
          <w:sz w:val="24"/>
          <w:szCs w:val="24"/>
        </w:rPr>
        <w:t xml:space="preserve">  盖板应完好无破损，表面刷红、白条纹安全色，并有防止挪动、位移的措施。</w:t>
      </w:r>
    </w:p>
    <w:p w14:paraId="3D98DAF1">
      <w:pPr>
        <w:spacing w:line="360" w:lineRule="auto"/>
        <w:rPr>
          <w:sz w:val="24"/>
          <w:szCs w:val="24"/>
        </w:rPr>
      </w:pPr>
      <w:r>
        <w:rPr>
          <w:b/>
          <w:bCs/>
          <w:sz w:val="24"/>
          <w:szCs w:val="24"/>
        </w:rPr>
        <w:t>4.3.5</w:t>
      </w:r>
      <w:r>
        <w:rPr>
          <w:sz w:val="24"/>
          <w:szCs w:val="24"/>
        </w:rPr>
        <w:t xml:space="preserve">  洞口防护盖板应能承受不小于1kN 的集中荷载和不小于2kN/m²的均布荷载。</w:t>
      </w:r>
    </w:p>
    <w:p w14:paraId="2C1432E8">
      <w:pPr>
        <w:spacing w:line="360" w:lineRule="auto"/>
        <w:rPr>
          <w:sz w:val="24"/>
          <w:szCs w:val="24"/>
        </w:rPr>
      </w:pPr>
      <w:r>
        <w:rPr>
          <w:b/>
          <w:bCs/>
          <w:sz w:val="24"/>
          <w:szCs w:val="24"/>
        </w:rPr>
        <w:t>4.3.6</w:t>
      </w:r>
      <w:r>
        <w:rPr>
          <w:sz w:val="24"/>
          <w:szCs w:val="24"/>
        </w:rPr>
        <w:t xml:space="preserve">  施工现场通道附近洞口与坑、槽等处，除设置水平防护设施与安全标志外，夜间还应设警示灯。</w:t>
      </w:r>
    </w:p>
    <w:p w14:paraId="1DF1C294">
      <w:pPr>
        <w:spacing w:line="360" w:lineRule="auto"/>
        <w:rPr>
          <w:sz w:val="24"/>
          <w:szCs w:val="24"/>
        </w:rPr>
      </w:pPr>
      <w:r>
        <w:rPr>
          <w:b/>
          <w:bCs/>
          <w:sz w:val="24"/>
          <w:szCs w:val="24"/>
        </w:rPr>
        <w:t>4.3.7</w:t>
      </w:r>
      <w:r>
        <w:rPr>
          <w:sz w:val="24"/>
          <w:szCs w:val="24"/>
        </w:rPr>
        <w:t xml:space="preserve">  洞口短边长度不大于500㎜的防护盖板固定设置应符合下列规定：</w:t>
      </w:r>
    </w:p>
    <w:p w14:paraId="5EC26881">
      <w:pPr>
        <w:spacing w:line="360" w:lineRule="auto"/>
        <w:ind w:firstLine="361" w:firstLineChars="150"/>
        <w:rPr>
          <w:sz w:val="24"/>
          <w:szCs w:val="24"/>
        </w:rPr>
      </w:pPr>
      <w:r>
        <w:rPr>
          <w:b/>
          <w:bCs/>
          <w:sz w:val="24"/>
          <w:szCs w:val="24"/>
        </w:rPr>
        <w:t>1</w:t>
      </w:r>
      <w:r>
        <w:rPr>
          <w:sz w:val="24"/>
          <w:szCs w:val="24"/>
        </w:rPr>
        <w:t xml:space="preserve">  盖板采用 15㎜ 厚木胶合板及 50㎜×100㎜ 木方制盖板，每边大于洞口 200㎜；</w:t>
      </w:r>
    </w:p>
    <w:p w14:paraId="632FF44E">
      <w:pPr>
        <w:spacing w:line="360" w:lineRule="auto"/>
        <w:ind w:firstLine="361" w:firstLineChars="150"/>
        <w:rPr>
          <w:sz w:val="24"/>
          <w:szCs w:val="24"/>
        </w:rPr>
      </w:pPr>
      <w:r>
        <w:rPr>
          <w:b/>
          <w:bCs/>
          <w:sz w:val="24"/>
          <w:szCs w:val="24"/>
        </w:rPr>
        <w:t xml:space="preserve">2  </w:t>
      </w:r>
      <w:r>
        <w:rPr>
          <w:sz w:val="24"/>
          <w:szCs w:val="24"/>
        </w:rPr>
        <w:t>盖板固定可采用盖板上打孔后穿8号铁丝，背面用刚性材料固定，洞口盖板防护做法剖面示意图见图4.3.7-1，用砂浆封边，防止挪移</w:t>
      </w:r>
      <w:r>
        <w:rPr>
          <w:rFonts w:hint="eastAsia"/>
          <w:sz w:val="24"/>
          <w:szCs w:val="24"/>
        </w:rPr>
        <w:t>。</w:t>
      </w:r>
      <w:r>
        <w:rPr>
          <w:sz w:val="24"/>
          <w:szCs w:val="24"/>
        </w:rPr>
        <w:t>当采用锯出等长木方卡固在洞口内时，应将硬质盖板用铁钉钉在木方上，钉距不大于50㎜ ，洞口盖板防护做法剖面示意图见图4.3.7-2。</w:t>
      </w:r>
    </w:p>
    <w:p w14:paraId="41BC2D33">
      <w:pPr>
        <w:spacing w:line="360" w:lineRule="auto"/>
        <w:jc w:val="center"/>
        <w:rPr>
          <w:szCs w:val="21"/>
        </w:rPr>
      </w:pPr>
      <w:r>
        <w:rPr>
          <w:szCs w:val="21"/>
        </w:rPr>
        <w:drawing>
          <wp:inline distT="0" distB="0" distL="114300" distR="114300">
            <wp:extent cx="4798060" cy="105664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4"/>
                    <a:srcRect l="8973" t="24807" r="24879" b="40590"/>
                    <a:stretch>
                      <a:fillRect/>
                    </a:stretch>
                  </pic:blipFill>
                  <pic:spPr>
                    <a:xfrm>
                      <a:off x="0" y="0"/>
                      <a:ext cx="4832235" cy="1064356"/>
                    </a:xfrm>
                    <a:prstGeom prst="rect">
                      <a:avLst/>
                    </a:prstGeom>
                    <a:noFill/>
                    <a:ln>
                      <a:noFill/>
                    </a:ln>
                  </pic:spPr>
                </pic:pic>
              </a:graphicData>
            </a:graphic>
          </wp:inline>
        </w:drawing>
      </w:r>
    </w:p>
    <w:p w14:paraId="6B1EE7B3">
      <w:pPr>
        <w:spacing w:line="360" w:lineRule="auto"/>
        <w:jc w:val="center"/>
        <w:rPr>
          <w:rFonts w:eastAsia="黑体"/>
          <w:sz w:val="18"/>
          <w:szCs w:val="18"/>
        </w:rPr>
      </w:pPr>
      <w:r>
        <w:rPr>
          <w:rFonts w:eastAsia="黑体"/>
          <w:sz w:val="18"/>
          <w:szCs w:val="18"/>
        </w:rPr>
        <w:t>图4.3.7-1 洞口盖板防护做法剖面示意图</w:t>
      </w:r>
    </w:p>
    <w:p w14:paraId="1BABA6A1">
      <w:pPr>
        <w:spacing w:line="360" w:lineRule="auto"/>
        <w:jc w:val="center"/>
        <w:rPr>
          <w:sz w:val="18"/>
          <w:szCs w:val="18"/>
        </w:rPr>
      </w:pPr>
      <w:r>
        <w:rPr>
          <w:rFonts w:eastAsia="黑体"/>
          <w:sz w:val="18"/>
          <w:szCs w:val="18"/>
        </w:rPr>
        <w:t>1-木胶合板；2-铁丝；3-刚性材料</w:t>
      </w:r>
    </w:p>
    <w:p w14:paraId="232437D8">
      <w:pPr>
        <w:spacing w:line="360" w:lineRule="auto"/>
        <w:jc w:val="center"/>
        <w:rPr>
          <w:szCs w:val="21"/>
        </w:rPr>
      </w:pPr>
      <w:bookmarkStart w:id="69" w:name="PageNo100240017"/>
      <w:r>
        <w:rPr>
          <w:szCs w:val="21"/>
        </w:rPr>
        <w:drawing>
          <wp:inline distT="0" distB="0" distL="114300" distR="114300">
            <wp:extent cx="4793615" cy="1104265"/>
            <wp:effectExtent l="0" t="0" r="698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5"/>
                    <a:srcRect l="7248" t="31681" r="26700" b="32168"/>
                    <a:stretch>
                      <a:fillRect/>
                    </a:stretch>
                  </pic:blipFill>
                  <pic:spPr>
                    <a:xfrm>
                      <a:off x="0" y="0"/>
                      <a:ext cx="4807829" cy="1107626"/>
                    </a:xfrm>
                    <a:prstGeom prst="rect">
                      <a:avLst/>
                    </a:prstGeom>
                    <a:noFill/>
                    <a:ln>
                      <a:noFill/>
                    </a:ln>
                  </pic:spPr>
                </pic:pic>
              </a:graphicData>
            </a:graphic>
          </wp:inline>
        </w:drawing>
      </w:r>
      <w:bookmarkEnd w:id="69"/>
    </w:p>
    <w:p w14:paraId="3F7F2CA4">
      <w:pPr>
        <w:spacing w:line="360" w:lineRule="auto"/>
        <w:jc w:val="center"/>
        <w:rPr>
          <w:rFonts w:eastAsia="黑体"/>
          <w:sz w:val="18"/>
          <w:szCs w:val="18"/>
        </w:rPr>
      </w:pPr>
      <w:r>
        <w:rPr>
          <w:rFonts w:eastAsia="黑体"/>
          <w:sz w:val="18"/>
          <w:szCs w:val="18"/>
        </w:rPr>
        <w:t>图4.3.7-2 洞口盖板防护做法剖面示意图（单位：㎜）</w:t>
      </w:r>
    </w:p>
    <w:p w14:paraId="0CE05AE2">
      <w:pPr>
        <w:spacing w:line="360" w:lineRule="auto"/>
        <w:jc w:val="center"/>
        <w:rPr>
          <w:rFonts w:eastAsia="黑体"/>
          <w:szCs w:val="21"/>
        </w:rPr>
      </w:pPr>
      <w:r>
        <w:rPr>
          <w:rFonts w:eastAsia="黑体"/>
          <w:sz w:val="18"/>
          <w:szCs w:val="18"/>
        </w:rPr>
        <w:t>1-木胶合板；2-钉子；3-木方</w:t>
      </w:r>
    </w:p>
    <w:p w14:paraId="160B58A3">
      <w:pPr>
        <w:spacing w:line="360" w:lineRule="auto"/>
        <w:rPr>
          <w:sz w:val="24"/>
          <w:szCs w:val="24"/>
        </w:rPr>
      </w:pPr>
      <w:r>
        <w:rPr>
          <w:b/>
          <w:bCs/>
          <w:sz w:val="24"/>
          <w:szCs w:val="24"/>
        </w:rPr>
        <w:t>4.3.8</w:t>
      </w:r>
      <w:r>
        <w:rPr>
          <w:sz w:val="24"/>
          <w:szCs w:val="24"/>
        </w:rPr>
        <w:t xml:space="preserve">  洞口处预留钢筋网片加盖板防护设置，有钢筋洞口防护剖面示意图见图4.3.8，并应符合下列规定：</w:t>
      </w:r>
    </w:p>
    <w:p w14:paraId="4C541219">
      <w:pPr>
        <w:spacing w:line="360" w:lineRule="auto"/>
        <w:rPr>
          <w:sz w:val="24"/>
          <w:szCs w:val="24"/>
        </w:rPr>
      </w:pPr>
      <w:r>
        <w:rPr>
          <w:b/>
          <w:bCs/>
          <w:sz w:val="24"/>
          <w:szCs w:val="24"/>
        </w:rPr>
        <w:t xml:space="preserve">   1  </w:t>
      </w:r>
      <w:r>
        <w:rPr>
          <w:sz w:val="24"/>
          <w:szCs w:val="24"/>
        </w:rPr>
        <w:t>预留钢筋网片的网格间距不得大于 200㎜；</w:t>
      </w:r>
    </w:p>
    <w:p w14:paraId="50471B5A">
      <w:pPr>
        <w:spacing w:line="360" w:lineRule="auto"/>
        <w:rPr>
          <w:sz w:val="24"/>
          <w:szCs w:val="24"/>
        </w:rPr>
      </w:pPr>
      <w:r>
        <w:rPr>
          <w:sz w:val="24"/>
          <w:szCs w:val="24"/>
        </w:rPr>
        <w:t xml:space="preserve">   </w:t>
      </w:r>
      <w:r>
        <w:rPr>
          <w:b/>
          <w:bCs/>
          <w:sz w:val="24"/>
          <w:szCs w:val="24"/>
        </w:rPr>
        <w:t>2</w:t>
      </w:r>
      <w:r>
        <w:rPr>
          <w:sz w:val="24"/>
          <w:szCs w:val="24"/>
        </w:rPr>
        <w:t xml:space="preserve">  钢筋防护网上满铺木胶合板或脚手板，每边大于洞口200㎜；</w:t>
      </w:r>
    </w:p>
    <w:p w14:paraId="52F13678">
      <w:pPr>
        <w:spacing w:line="360" w:lineRule="auto"/>
        <w:rPr>
          <w:sz w:val="24"/>
          <w:szCs w:val="24"/>
        </w:rPr>
      </w:pPr>
      <w:r>
        <w:rPr>
          <w:sz w:val="24"/>
          <w:szCs w:val="24"/>
        </w:rPr>
        <w:t xml:space="preserve">   </w:t>
      </w:r>
      <w:r>
        <w:rPr>
          <w:b/>
          <w:bCs/>
          <w:sz w:val="24"/>
          <w:szCs w:val="24"/>
        </w:rPr>
        <w:t>3</w:t>
      </w:r>
      <w:r>
        <w:rPr>
          <w:sz w:val="24"/>
          <w:szCs w:val="24"/>
        </w:rPr>
        <w:t xml:space="preserve">  盖板应用 8 号铁丝与钢筋网片绑扎，防止移动。</w:t>
      </w:r>
    </w:p>
    <w:p w14:paraId="0AC36D38">
      <w:pPr>
        <w:spacing w:line="360" w:lineRule="auto"/>
        <w:jc w:val="center"/>
        <w:rPr>
          <w:rFonts w:eastAsia="黑体"/>
          <w:szCs w:val="21"/>
        </w:rPr>
      </w:pPr>
      <w:r>
        <w:rPr>
          <w:szCs w:val="21"/>
        </w:rPr>
        <w:drawing>
          <wp:inline distT="0" distB="0" distL="114300" distR="114300">
            <wp:extent cx="3362960" cy="2054225"/>
            <wp:effectExtent l="0" t="0" r="8890" b="317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26"/>
                    <a:srcRect l="15810" t="344" r="25941" b="15153"/>
                    <a:stretch>
                      <a:fillRect/>
                    </a:stretch>
                  </pic:blipFill>
                  <pic:spPr>
                    <a:xfrm>
                      <a:off x="0" y="0"/>
                      <a:ext cx="3362960" cy="2054225"/>
                    </a:xfrm>
                    <a:prstGeom prst="rect">
                      <a:avLst/>
                    </a:prstGeom>
                    <a:noFill/>
                    <a:ln>
                      <a:noFill/>
                    </a:ln>
                  </pic:spPr>
                </pic:pic>
              </a:graphicData>
            </a:graphic>
          </wp:inline>
        </w:drawing>
      </w:r>
    </w:p>
    <w:p w14:paraId="0641A5BC">
      <w:pPr>
        <w:spacing w:line="360" w:lineRule="auto"/>
        <w:jc w:val="center"/>
        <w:rPr>
          <w:rFonts w:eastAsia="黑体"/>
          <w:sz w:val="18"/>
          <w:szCs w:val="18"/>
        </w:rPr>
      </w:pPr>
      <w:r>
        <w:rPr>
          <w:rFonts w:eastAsia="黑体"/>
          <w:sz w:val="18"/>
          <w:szCs w:val="18"/>
        </w:rPr>
        <w:t>图4.3.8 有钢筋洞口防护剖面示意图</w:t>
      </w:r>
    </w:p>
    <w:p w14:paraId="1F7FCD1A">
      <w:pPr>
        <w:spacing w:line="360" w:lineRule="auto"/>
        <w:jc w:val="center"/>
        <w:rPr>
          <w:sz w:val="18"/>
          <w:szCs w:val="18"/>
        </w:rPr>
      </w:pPr>
      <w:r>
        <w:rPr>
          <w:rFonts w:eastAsia="黑体"/>
          <w:sz w:val="18"/>
          <w:szCs w:val="18"/>
        </w:rPr>
        <w:t>1-木胶合板或脚手板；2-钉子；3-木方</w:t>
      </w:r>
    </w:p>
    <w:p w14:paraId="04EC33F1">
      <w:pPr>
        <w:spacing w:line="360" w:lineRule="auto"/>
        <w:rPr>
          <w:sz w:val="24"/>
          <w:szCs w:val="24"/>
        </w:rPr>
      </w:pPr>
      <w:r>
        <w:rPr>
          <w:b/>
          <w:bCs/>
          <w:sz w:val="24"/>
          <w:szCs w:val="24"/>
        </w:rPr>
        <w:t>4.3.9</w:t>
      </w:r>
      <w:r>
        <w:rPr>
          <w:sz w:val="24"/>
          <w:szCs w:val="24"/>
        </w:rPr>
        <w:t xml:space="preserve">  洞口处用扣件扣接钢管形成网格加盖板防护，应设置以扣件扣接钢管制作成的400㎜×400㎜ 的网格，并在上面铺木胶合板，洞口防护示意图见图 4.3.9。</w:t>
      </w:r>
    </w:p>
    <w:p w14:paraId="749161B0">
      <w:pPr>
        <w:spacing w:line="360" w:lineRule="auto"/>
        <w:jc w:val="center"/>
        <w:rPr>
          <w:szCs w:val="21"/>
        </w:rPr>
      </w:pPr>
      <w:bookmarkStart w:id="70" w:name="PageNo100250018"/>
      <w:r>
        <w:rPr>
          <w:szCs w:val="21"/>
        </w:rPr>
        <w:drawing>
          <wp:inline distT="0" distB="0" distL="114300" distR="114300">
            <wp:extent cx="2025015" cy="2232025"/>
            <wp:effectExtent l="0" t="0" r="0" b="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27"/>
                    <a:srcRect l="51218" t="8765" r="25639" b="30679"/>
                    <a:stretch>
                      <a:fillRect/>
                    </a:stretch>
                  </pic:blipFill>
                  <pic:spPr>
                    <a:xfrm>
                      <a:off x="0" y="0"/>
                      <a:ext cx="2025015" cy="2232025"/>
                    </a:xfrm>
                    <a:prstGeom prst="rect">
                      <a:avLst/>
                    </a:prstGeom>
                    <a:noFill/>
                    <a:ln>
                      <a:noFill/>
                    </a:ln>
                  </pic:spPr>
                </pic:pic>
              </a:graphicData>
            </a:graphic>
          </wp:inline>
        </w:drawing>
      </w:r>
      <w:bookmarkEnd w:id="70"/>
    </w:p>
    <w:p w14:paraId="085DA589">
      <w:pPr>
        <w:spacing w:line="360" w:lineRule="auto"/>
        <w:jc w:val="center"/>
        <w:rPr>
          <w:szCs w:val="21"/>
        </w:rPr>
      </w:pPr>
      <w:r>
        <w:rPr>
          <w:szCs w:val="21"/>
        </w:rPr>
        <w:drawing>
          <wp:inline distT="0" distB="0" distL="114300" distR="114300">
            <wp:extent cx="2498090" cy="927100"/>
            <wp:effectExtent l="0" t="0" r="16510" b="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28"/>
                    <a:srcRect l="30909" t="33056" r="27388" b="30192"/>
                    <a:stretch>
                      <a:fillRect/>
                    </a:stretch>
                  </pic:blipFill>
                  <pic:spPr>
                    <a:xfrm>
                      <a:off x="0" y="0"/>
                      <a:ext cx="2498090" cy="927100"/>
                    </a:xfrm>
                    <a:prstGeom prst="rect">
                      <a:avLst/>
                    </a:prstGeom>
                    <a:noFill/>
                    <a:ln>
                      <a:noFill/>
                    </a:ln>
                  </pic:spPr>
                </pic:pic>
              </a:graphicData>
            </a:graphic>
          </wp:inline>
        </w:drawing>
      </w:r>
    </w:p>
    <w:p w14:paraId="0BA43158">
      <w:pPr>
        <w:spacing w:line="360" w:lineRule="auto"/>
        <w:jc w:val="center"/>
        <w:rPr>
          <w:rFonts w:eastAsia="黑体"/>
          <w:sz w:val="18"/>
          <w:szCs w:val="18"/>
        </w:rPr>
      </w:pPr>
      <w:r>
        <w:rPr>
          <w:rFonts w:eastAsia="黑体"/>
          <w:sz w:val="18"/>
          <w:szCs w:val="18"/>
        </w:rPr>
        <w:t>图4.3.9 洞口防护示意图</w:t>
      </w:r>
    </w:p>
    <w:p w14:paraId="3505B5C4">
      <w:pPr>
        <w:spacing w:line="360" w:lineRule="auto"/>
        <w:jc w:val="center"/>
        <w:rPr>
          <w:szCs w:val="21"/>
        </w:rPr>
      </w:pPr>
      <w:r>
        <w:rPr>
          <w:rFonts w:eastAsia="黑体"/>
          <w:sz w:val="18"/>
          <w:szCs w:val="18"/>
        </w:rPr>
        <w:t>1-木胶合板；2-φ48.3㎜×3.6㎜钢管</w:t>
      </w:r>
    </w:p>
    <w:p w14:paraId="371AEDE8">
      <w:pPr>
        <w:spacing w:line="360" w:lineRule="auto"/>
        <w:rPr>
          <w:sz w:val="24"/>
          <w:szCs w:val="24"/>
        </w:rPr>
      </w:pPr>
      <w:r>
        <w:rPr>
          <w:b/>
          <w:bCs/>
          <w:sz w:val="24"/>
          <w:szCs w:val="24"/>
        </w:rPr>
        <w:t>4.3.10</w:t>
      </w:r>
      <w:r>
        <w:rPr>
          <w:sz w:val="24"/>
          <w:szCs w:val="24"/>
        </w:rPr>
        <w:t xml:space="preserve">  短边长度超过1500㎜的水平洞口，应按本标准第4.2节临边安全防护的规定，在洞口四周设置防护栏杆，洞口内支挂水平安全网应进行全封闭。</w:t>
      </w:r>
    </w:p>
    <w:p w14:paraId="1F259E9F">
      <w:pPr>
        <w:spacing w:line="360" w:lineRule="auto"/>
        <w:rPr>
          <w:sz w:val="24"/>
          <w:szCs w:val="24"/>
        </w:rPr>
      </w:pPr>
      <w:r>
        <w:rPr>
          <w:b/>
          <w:bCs/>
          <w:sz w:val="24"/>
          <w:szCs w:val="24"/>
        </w:rPr>
        <w:t>4.3.11</w:t>
      </w:r>
      <w:r>
        <w:rPr>
          <w:sz w:val="24"/>
          <w:szCs w:val="24"/>
        </w:rPr>
        <w:t xml:space="preserve">  短边长度大于500㎜的竖向洞口防护设置应符合下列规定：</w:t>
      </w:r>
    </w:p>
    <w:p w14:paraId="0142FC3A">
      <w:pPr>
        <w:spacing w:line="360" w:lineRule="auto"/>
        <w:ind w:firstLine="361" w:firstLineChars="150"/>
        <w:rPr>
          <w:sz w:val="24"/>
          <w:szCs w:val="24"/>
        </w:rPr>
      </w:pPr>
      <w:r>
        <w:rPr>
          <w:b/>
          <w:bCs/>
          <w:sz w:val="24"/>
          <w:szCs w:val="24"/>
        </w:rPr>
        <w:t>1</w:t>
      </w:r>
      <w:r>
        <w:rPr>
          <w:sz w:val="24"/>
          <w:szCs w:val="24"/>
        </w:rPr>
        <w:t xml:space="preserve">  洞口底部墙体高度不大于200㎜时，应按本标准第4.2节临边安全防护的规定设置防护，并设挡脚板；</w:t>
      </w:r>
    </w:p>
    <w:p w14:paraId="01D2F4F9">
      <w:pPr>
        <w:spacing w:line="360" w:lineRule="auto"/>
        <w:ind w:firstLine="361" w:firstLineChars="150"/>
        <w:rPr>
          <w:sz w:val="24"/>
          <w:szCs w:val="24"/>
        </w:rPr>
      </w:pPr>
      <w:r>
        <w:rPr>
          <w:b/>
          <w:bCs/>
          <w:sz w:val="24"/>
          <w:szCs w:val="24"/>
        </w:rPr>
        <w:t xml:space="preserve">2  </w:t>
      </w:r>
      <w:r>
        <w:rPr>
          <w:sz w:val="24"/>
          <w:szCs w:val="24"/>
        </w:rPr>
        <w:t>洞口底部墙体高度大于200㎜且不大于600㎜时，在距离地面或楼面600㎜和1200㎜处各设置一道防护栏杆；</w:t>
      </w:r>
    </w:p>
    <w:p w14:paraId="150C94E8">
      <w:pPr>
        <w:spacing w:line="360" w:lineRule="auto"/>
        <w:ind w:firstLine="361" w:firstLineChars="150"/>
        <w:rPr>
          <w:sz w:val="24"/>
          <w:szCs w:val="24"/>
        </w:rPr>
      </w:pPr>
      <w:r>
        <w:rPr>
          <w:b/>
          <w:bCs/>
          <w:sz w:val="24"/>
          <w:szCs w:val="24"/>
        </w:rPr>
        <w:t>3</w:t>
      </w:r>
      <w:r>
        <w:rPr>
          <w:sz w:val="24"/>
          <w:szCs w:val="24"/>
        </w:rPr>
        <w:t xml:space="preserve">  洞口底部的墙体高度大于600㎜且不大于1200㎜时，在距离地面或楼面1200㎜处设置一道防护栏杆；</w:t>
      </w:r>
    </w:p>
    <w:p w14:paraId="1EB939D9">
      <w:pPr>
        <w:spacing w:line="360" w:lineRule="auto"/>
        <w:ind w:firstLine="361" w:firstLineChars="150"/>
        <w:rPr>
          <w:sz w:val="24"/>
          <w:szCs w:val="24"/>
        </w:rPr>
      </w:pPr>
      <w:r>
        <w:rPr>
          <w:b/>
          <w:bCs/>
          <w:sz w:val="24"/>
          <w:szCs w:val="24"/>
        </w:rPr>
        <w:t>4</w:t>
      </w:r>
      <w:r>
        <w:rPr>
          <w:sz w:val="24"/>
          <w:szCs w:val="24"/>
        </w:rPr>
        <w:t xml:space="preserve">  防护栏杆两端应与结构固定牢固。</w:t>
      </w:r>
    </w:p>
    <w:p w14:paraId="42ECEF72">
      <w:pPr>
        <w:spacing w:line="360" w:lineRule="auto"/>
        <w:rPr>
          <w:sz w:val="24"/>
          <w:szCs w:val="24"/>
        </w:rPr>
      </w:pPr>
      <w:r>
        <w:rPr>
          <w:b/>
          <w:bCs/>
          <w:sz w:val="24"/>
          <w:szCs w:val="24"/>
        </w:rPr>
        <w:t xml:space="preserve">4.3.12  </w:t>
      </w:r>
      <w:r>
        <w:rPr>
          <w:sz w:val="24"/>
          <w:szCs w:val="24"/>
        </w:rPr>
        <w:t>竖向洞口防护栏杆固定方式宜符合下列规定：</w:t>
      </w:r>
    </w:p>
    <w:p w14:paraId="16AAADB0">
      <w:pPr>
        <w:spacing w:line="360" w:lineRule="auto"/>
        <w:ind w:firstLine="361" w:firstLineChars="150"/>
        <w:rPr>
          <w:sz w:val="24"/>
          <w:szCs w:val="24"/>
        </w:rPr>
      </w:pPr>
      <w:r>
        <w:rPr>
          <w:b/>
          <w:bCs/>
          <w:sz w:val="24"/>
          <w:szCs w:val="24"/>
        </w:rPr>
        <w:t>1</w:t>
      </w:r>
      <w:r>
        <w:rPr>
          <w:sz w:val="24"/>
          <w:szCs w:val="24"/>
        </w:rPr>
        <w:t xml:space="preserve">  防护栏杆可按照本标准第4.2节临边防护栏杆的固定方式进行固定；</w:t>
      </w:r>
    </w:p>
    <w:p w14:paraId="2CD5FCD3">
      <w:pPr>
        <w:spacing w:line="360" w:lineRule="auto"/>
        <w:ind w:firstLine="361" w:firstLineChars="150"/>
        <w:rPr>
          <w:sz w:val="24"/>
          <w:szCs w:val="24"/>
        </w:rPr>
      </w:pPr>
      <w:r>
        <w:rPr>
          <w:b/>
          <w:bCs/>
          <w:sz w:val="24"/>
          <w:szCs w:val="24"/>
        </w:rPr>
        <w:t>2</w:t>
      </w:r>
      <w:r>
        <w:rPr>
          <w:sz w:val="24"/>
          <w:szCs w:val="24"/>
        </w:rPr>
        <w:t xml:space="preserve">  洞口位于墙角时，防护杆件一端焊接钢板，采用膨胀螺栓与结构墙体固定，另一端采用“Ω”形固定件和膨胀螺栓与结构墙体固定；</w:t>
      </w:r>
    </w:p>
    <w:p w14:paraId="2850F3DC">
      <w:pPr>
        <w:spacing w:line="360" w:lineRule="auto"/>
        <w:ind w:firstLine="361" w:firstLineChars="150"/>
        <w:jc w:val="left"/>
        <w:rPr>
          <w:sz w:val="24"/>
          <w:szCs w:val="24"/>
        </w:rPr>
      </w:pPr>
      <w:r>
        <w:rPr>
          <w:b/>
          <w:bCs/>
          <w:sz w:val="24"/>
          <w:szCs w:val="24"/>
        </w:rPr>
        <w:t>3</w:t>
      </w:r>
      <w:r>
        <w:rPr>
          <w:sz w:val="24"/>
          <w:szCs w:val="24"/>
        </w:rPr>
        <w:t xml:space="preserve">  洞口位于墙面时，护身栏两端均采用“Ω”形固定件和膨胀螺栓与结构墙体固定。</w:t>
      </w:r>
    </w:p>
    <w:p w14:paraId="44A80428">
      <w:pPr>
        <w:spacing w:line="360" w:lineRule="auto"/>
        <w:rPr>
          <w:sz w:val="24"/>
          <w:szCs w:val="24"/>
        </w:rPr>
      </w:pPr>
      <w:r>
        <w:rPr>
          <w:b/>
          <w:bCs/>
          <w:sz w:val="24"/>
          <w:szCs w:val="24"/>
        </w:rPr>
        <w:t xml:space="preserve">4.3.13  </w:t>
      </w:r>
      <w:r>
        <w:rPr>
          <w:sz w:val="24"/>
          <w:szCs w:val="24"/>
        </w:rPr>
        <w:t>结构墙角处水平洞口防护可采用盖板或临边防护两种形式，防护设置应符合下列规定：</w:t>
      </w:r>
    </w:p>
    <w:p w14:paraId="7CB44613">
      <w:pPr>
        <w:spacing w:line="360" w:lineRule="auto"/>
        <w:ind w:firstLine="361" w:firstLineChars="150"/>
        <w:rPr>
          <w:sz w:val="24"/>
          <w:szCs w:val="24"/>
        </w:rPr>
      </w:pPr>
      <w:bookmarkStart w:id="71" w:name="PageNo100260019"/>
      <w:r>
        <w:rPr>
          <w:b/>
          <w:bCs/>
          <w:sz w:val="24"/>
          <w:szCs w:val="24"/>
        </w:rPr>
        <w:t>1</w:t>
      </w:r>
      <w:bookmarkEnd w:id="71"/>
      <w:r>
        <w:rPr>
          <w:sz w:val="24"/>
          <w:szCs w:val="24"/>
        </w:rPr>
        <w:t xml:space="preserve">  短边长度不大于 300㎜ 的洞口应采用盖板防护，盖板应固定牢固；</w:t>
      </w:r>
    </w:p>
    <w:p w14:paraId="2AF1350C">
      <w:pPr>
        <w:spacing w:line="360" w:lineRule="auto"/>
        <w:ind w:firstLine="361" w:firstLineChars="150"/>
        <w:rPr>
          <w:sz w:val="24"/>
          <w:szCs w:val="24"/>
        </w:rPr>
      </w:pPr>
      <w:r>
        <w:rPr>
          <w:b/>
          <w:bCs/>
          <w:sz w:val="24"/>
          <w:szCs w:val="24"/>
        </w:rPr>
        <w:t xml:space="preserve">2  </w:t>
      </w:r>
      <w:r>
        <w:rPr>
          <w:sz w:val="24"/>
          <w:szCs w:val="24"/>
        </w:rPr>
        <w:t>短边长度大于 300㎜ 且不大于 1500㎜ 的洞口应采用预留钢筋网片加盖板方式进行防护，洞口贴墙时的防护做法示意图见图4.3.13；</w:t>
      </w:r>
    </w:p>
    <w:p w14:paraId="028CE7CD">
      <w:pPr>
        <w:spacing w:line="360" w:lineRule="auto"/>
        <w:ind w:firstLine="361" w:firstLineChars="150"/>
        <w:rPr>
          <w:b/>
          <w:bCs/>
          <w:sz w:val="24"/>
          <w:szCs w:val="24"/>
        </w:rPr>
      </w:pPr>
      <w:r>
        <w:rPr>
          <w:b/>
          <w:bCs/>
          <w:sz w:val="24"/>
          <w:szCs w:val="24"/>
        </w:rPr>
        <w:t>3</w:t>
      </w:r>
      <w:r>
        <w:rPr>
          <w:sz w:val="24"/>
          <w:szCs w:val="24"/>
        </w:rPr>
        <w:t xml:space="preserve">  短边长度大于1500㎜的洞口应按本标准第4.2节临边安全防护相关内容搭设，洞口内采用安全平网封闭。</w:t>
      </w:r>
    </w:p>
    <w:p w14:paraId="72A56029">
      <w:pPr>
        <w:spacing w:line="360" w:lineRule="auto"/>
        <w:jc w:val="center"/>
        <w:rPr>
          <w:szCs w:val="21"/>
        </w:rPr>
      </w:pPr>
      <w:r>
        <w:rPr>
          <w:szCs w:val="21"/>
        </w:rPr>
        <w:drawing>
          <wp:inline distT="0" distB="0" distL="114300" distR="114300">
            <wp:extent cx="1760855" cy="1792605"/>
            <wp:effectExtent l="0" t="0" r="0" b="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29"/>
                    <a:srcRect l="19766" t="19708" r="60106" b="31624"/>
                    <a:stretch>
                      <a:fillRect/>
                    </a:stretch>
                  </pic:blipFill>
                  <pic:spPr>
                    <a:xfrm>
                      <a:off x="0" y="0"/>
                      <a:ext cx="1767111" cy="1798906"/>
                    </a:xfrm>
                    <a:prstGeom prst="rect">
                      <a:avLst/>
                    </a:prstGeom>
                    <a:noFill/>
                    <a:ln>
                      <a:noFill/>
                    </a:ln>
                  </pic:spPr>
                </pic:pic>
              </a:graphicData>
            </a:graphic>
          </wp:inline>
        </w:drawing>
      </w:r>
    </w:p>
    <w:p w14:paraId="4D670A0B">
      <w:pPr>
        <w:spacing w:line="360" w:lineRule="auto"/>
        <w:ind w:firstLine="420" w:firstLineChars="200"/>
        <w:jc w:val="center"/>
        <w:rPr>
          <w:szCs w:val="21"/>
        </w:rPr>
      </w:pPr>
      <w:r>
        <w:rPr>
          <w:szCs w:val="21"/>
        </w:rPr>
        <w:drawing>
          <wp:inline distT="0" distB="0" distL="114300" distR="114300">
            <wp:extent cx="1718945" cy="1496060"/>
            <wp:effectExtent l="0" t="0" r="14605" b="8255"/>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30"/>
                    <a:srcRect l="40979" t="34689" r="36915" b="19622"/>
                    <a:stretch>
                      <a:fillRect/>
                    </a:stretch>
                  </pic:blipFill>
                  <pic:spPr>
                    <a:xfrm>
                      <a:off x="0" y="0"/>
                      <a:ext cx="1726444" cy="1502461"/>
                    </a:xfrm>
                    <a:prstGeom prst="rect">
                      <a:avLst/>
                    </a:prstGeom>
                    <a:noFill/>
                    <a:ln>
                      <a:noFill/>
                    </a:ln>
                  </pic:spPr>
                </pic:pic>
              </a:graphicData>
            </a:graphic>
          </wp:inline>
        </w:drawing>
      </w:r>
    </w:p>
    <w:p w14:paraId="04F9303A">
      <w:pPr>
        <w:spacing w:line="360" w:lineRule="auto"/>
        <w:jc w:val="center"/>
        <w:rPr>
          <w:rFonts w:eastAsia="黑体"/>
          <w:sz w:val="18"/>
          <w:szCs w:val="18"/>
        </w:rPr>
      </w:pPr>
      <w:r>
        <w:rPr>
          <w:rFonts w:eastAsia="黑体"/>
          <w:sz w:val="18"/>
          <w:szCs w:val="18"/>
        </w:rPr>
        <w:t>图4.3.13 洞口贴墙时的防护做法示意图（单位：㎜）</w:t>
      </w:r>
    </w:p>
    <w:p w14:paraId="66BBC795">
      <w:pPr>
        <w:spacing w:line="360" w:lineRule="auto"/>
        <w:jc w:val="center"/>
        <w:rPr>
          <w:sz w:val="18"/>
          <w:szCs w:val="18"/>
        </w:rPr>
      </w:pPr>
      <w:r>
        <w:rPr>
          <w:rFonts w:eastAsia="黑体"/>
          <w:sz w:val="18"/>
          <w:szCs w:val="18"/>
        </w:rPr>
        <w:t>1-钢筋网片；2-木防护板</w:t>
      </w:r>
    </w:p>
    <w:p w14:paraId="4CE486E7">
      <w:pPr>
        <w:spacing w:line="360" w:lineRule="auto"/>
        <w:rPr>
          <w:sz w:val="24"/>
          <w:szCs w:val="24"/>
        </w:rPr>
      </w:pPr>
      <w:r>
        <w:rPr>
          <w:b/>
          <w:bCs/>
          <w:sz w:val="24"/>
          <w:szCs w:val="24"/>
        </w:rPr>
        <w:t xml:space="preserve">4.3.14  </w:t>
      </w:r>
      <w:r>
        <w:rPr>
          <w:sz w:val="24"/>
          <w:szCs w:val="24"/>
        </w:rPr>
        <w:t>斜屋面洞口防护设置应符合本章第4</w:t>
      </w:r>
      <w:r>
        <w:rPr>
          <w:rFonts w:hint="eastAsia"/>
          <w:sz w:val="24"/>
          <w:szCs w:val="24"/>
        </w:rPr>
        <w:t>.</w:t>
      </w:r>
      <w:r>
        <w:rPr>
          <w:sz w:val="24"/>
          <w:szCs w:val="24"/>
        </w:rPr>
        <w:t>3.3条规定。</w:t>
      </w:r>
    </w:p>
    <w:p w14:paraId="76183BB5">
      <w:pPr>
        <w:spacing w:line="360" w:lineRule="auto"/>
        <w:rPr>
          <w:sz w:val="24"/>
          <w:szCs w:val="24"/>
        </w:rPr>
      </w:pPr>
      <w:r>
        <w:rPr>
          <w:b/>
          <w:bCs/>
          <w:sz w:val="24"/>
          <w:szCs w:val="24"/>
        </w:rPr>
        <w:t xml:space="preserve">4.3.15  </w:t>
      </w:r>
      <w:r>
        <w:rPr>
          <w:sz w:val="24"/>
          <w:szCs w:val="24"/>
        </w:rPr>
        <w:t>结构外采光井应设置防护措施，防护应符合下列规定：</w:t>
      </w:r>
    </w:p>
    <w:p w14:paraId="1AB78F42">
      <w:pPr>
        <w:spacing w:line="360" w:lineRule="auto"/>
        <w:ind w:firstLine="361" w:firstLineChars="150"/>
        <w:rPr>
          <w:sz w:val="24"/>
          <w:szCs w:val="24"/>
        </w:rPr>
      </w:pPr>
      <w:r>
        <w:rPr>
          <w:b/>
          <w:bCs/>
          <w:sz w:val="24"/>
          <w:szCs w:val="24"/>
        </w:rPr>
        <w:t>1</w:t>
      </w:r>
      <w:r>
        <w:rPr>
          <w:sz w:val="24"/>
          <w:szCs w:val="24"/>
        </w:rPr>
        <w:t xml:space="preserve">  采光井口四周应设置防护栏杆，栏杆设置应符合本标准第</w:t>
      </w:r>
      <w:r>
        <w:rPr>
          <w:rFonts w:hint="eastAsia"/>
          <w:sz w:val="24"/>
          <w:szCs w:val="24"/>
        </w:rPr>
        <w:t>4</w:t>
      </w:r>
      <w:r>
        <w:rPr>
          <w:sz w:val="24"/>
          <w:szCs w:val="24"/>
        </w:rPr>
        <w:t>.2节临边安全防护的规定；</w:t>
      </w:r>
    </w:p>
    <w:p w14:paraId="0EFF9E3D">
      <w:pPr>
        <w:spacing w:line="360" w:lineRule="auto"/>
        <w:ind w:firstLine="361" w:firstLineChars="150"/>
        <w:rPr>
          <w:b/>
          <w:bCs/>
          <w:sz w:val="24"/>
          <w:szCs w:val="24"/>
        </w:rPr>
      </w:pPr>
      <w:r>
        <w:rPr>
          <w:b/>
          <w:bCs/>
          <w:sz w:val="24"/>
          <w:szCs w:val="24"/>
        </w:rPr>
        <w:t>2</w:t>
      </w:r>
      <w:r>
        <w:rPr>
          <w:sz w:val="24"/>
          <w:szCs w:val="24"/>
        </w:rPr>
        <w:t xml:space="preserve">  洞口内采用安全平网封闭，</w:t>
      </w:r>
      <w:r>
        <w:rPr>
          <w:kern w:val="0"/>
          <w:sz w:val="24"/>
          <w:szCs w:val="24"/>
        </w:rPr>
        <w:t>并采用承载力满足使用要求的盖板覆盖</w:t>
      </w:r>
      <w:r>
        <w:rPr>
          <w:sz w:val="24"/>
          <w:szCs w:val="24"/>
        </w:rPr>
        <w:t>，采光井安全防护平面示意图见图 4.3.15。</w:t>
      </w:r>
    </w:p>
    <w:p w14:paraId="7F6633AB">
      <w:pPr>
        <w:spacing w:line="360" w:lineRule="auto"/>
        <w:jc w:val="center"/>
        <w:rPr>
          <w:rFonts w:eastAsia="黑体"/>
          <w:szCs w:val="21"/>
        </w:rPr>
      </w:pPr>
      <w:bookmarkStart w:id="72" w:name="PageNo100270020"/>
      <w:r>
        <w:rPr>
          <w:szCs w:val="21"/>
        </w:rPr>
        <w:drawing>
          <wp:inline distT="0" distB="0" distL="114300" distR="114300">
            <wp:extent cx="2897505" cy="2726055"/>
            <wp:effectExtent l="0" t="0" r="0" b="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31"/>
                    <a:srcRect l="39894" t="16571" r="36831" b="31425"/>
                    <a:stretch>
                      <a:fillRect/>
                    </a:stretch>
                  </pic:blipFill>
                  <pic:spPr>
                    <a:xfrm>
                      <a:off x="0" y="0"/>
                      <a:ext cx="2929297" cy="2756118"/>
                    </a:xfrm>
                    <a:prstGeom prst="rect">
                      <a:avLst/>
                    </a:prstGeom>
                    <a:noFill/>
                    <a:ln>
                      <a:noFill/>
                    </a:ln>
                  </pic:spPr>
                </pic:pic>
              </a:graphicData>
            </a:graphic>
          </wp:inline>
        </w:drawing>
      </w:r>
      <w:bookmarkEnd w:id="72"/>
    </w:p>
    <w:p w14:paraId="0ED91917">
      <w:pPr>
        <w:spacing w:line="360" w:lineRule="auto"/>
        <w:jc w:val="center"/>
        <w:rPr>
          <w:rFonts w:eastAsia="黑体"/>
          <w:sz w:val="18"/>
          <w:szCs w:val="18"/>
        </w:rPr>
      </w:pPr>
      <w:r>
        <w:rPr>
          <w:rFonts w:eastAsia="黑体"/>
          <w:sz w:val="18"/>
          <w:szCs w:val="18"/>
        </w:rPr>
        <w:t>图4.3.15 采光井安全防护平面示意图（单位：㎜）</w:t>
      </w:r>
    </w:p>
    <w:p w14:paraId="39A44579">
      <w:pPr>
        <w:spacing w:line="360" w:lineRule="auto"/>
        <w:jc w:val="center"/>
        <w:rPr>
          <w:rFonts w:eastAsia="黑体"/>
          <w:sz w:val="18"/>
          <w:szCs w:val="18"/>
        </w:rPr>
      </w:pPr>
      <w:r>
        <w:rPr>
          <w:rFonts w:eastAsia="黑体"/>
          <w:sz w:val="18"/>
          <w:szCs w:val="18"/>
        </w:rPr>
        <w:t>1-防护栏杆；2-脚手板</w:t>
      </w:r>
    </w:p>
    <w:p w14:paraId="6E09FCAF">
      <w:pPr>
        <w:spacing w:line="360" w:lineRule="auto"/>
        <w:rPr>
          <w:sz w:val="24"/>
          <w:szCs w:val="24"/>
        </w:rPr>
      </w:pPr>
      <w:r>
        <w:rPr>
          <w:b/>
          <w:bCs/>
          <w:sz w:val="24"/>
          <w:szCs w:val="24"/>
        </w:rPr>
        <w:t>4.3.16</w:t>
      </w:r>
      <w:r>
        <w:rPr>
          <w:sz w:val="24"/>
          <w:szCs w:val="24"/>
        </w:rPr>
        <w:t xml:space="preserve">  电梯井防护门应符合下列规定：</w:t>
      </w:r>
    </w:p>
    <w:p w14:paraId="102FBB97">
      <w:pPr>
        <w:spacing w:line="360" w:lineRule="auto"/>
        <w:ind w:firstLine="361" w:firstLineChars="150"/>
        <w:rPr>
          <w:sz w:val="24"/>
          <w:szCs w:val="24"/>
        </w:rPr>
      </w:pPr>
      <w:r>
        <w:rPr>
          <w:b/>
          <w:bCs/>
          <w:sz w:val="24"/>
          <w:szCs w:val="24"/>
        </w:rPr>
        <w:t>1</w:t>
      </w:r>
      <w:r>
        <w:rPr>
          <w:sz w:val="24"/>
          <w:szCs w:val="24"/>
        </w:rPr>
        <w:t xml:space="preserve">  防护门栏杆边框采用40㎜×40㎜×2.5㎜ 方型钢管，竖杆采用 20㎜×20㎜×2㎜ 方型钢管，防护门和挡脚板刷红、白相间条纹安全色，防护门外侧悬挂安全警示牌；</w:t>
      </w:r>
    </w:p>
    <w:p w14:paraId="123C46A2">
      <w:pPr>
        <w:spacing w:line="360" w:lineRule="auto"/>
        <w:ind w:firstLine="361" w:firstLineChars="150"/>
        <w:rPr>
          <w:sz w:val="24"/>
          <w:szCs w:val="24"/>
        </w:rPr>
      </w:pPr>
      <w:r>
        <w:rPr>
          <w:b/>
          <w:bCs/>
          <w:sz w:val="24"/>
          <w:szCs w:val="24"/>
        </w:rPr>
        <w:t>2</w:t>
      </w:r>
      <w:r>
        <w:rPr>
          <w:sz w:val="24"/>
          <w:szCs w:val="24"/>
        </w:rPr>
        <w:t xml:space="preserve">  高度不得低于1500㎜，底部安装高度不小于180㎜ 挡脚板，防护门底端距地面高度不应大于50㎜，竖向栏杆间距不大于120㎜；</w:t>
      </w:r>
    </w:p>
    <w:p w14:paraId="2D6E5FDD">
      <w:pPr>
        <w:spacing w:line="360" w:lineRule="auto"/>
        <w:jc w:val="left"/>
        <w:rPr>
          <w:sz w:val="24"/>
          <w:szCs w:val="24"/>
        </w:rPr>
      </w:pPr>
      <w:r>
        <w:rPr>
          <w:sz w:val="24"/>
          <w:szCs w:val="24"/>
        </w:rPr>
        <w:t xml:space="preserve">   </w:t>
      </w:r>
      <w:r>
        <w:rPr>
          <w:b/>
          <w:bCs/>
          <w:sz w:val="24"/>
          <w:szCs w:val="24"/>
        </w:rPr>
        <w:t>3</w:t>
      </w:r>
      <w:r>
        <w:rPr>
          <w:sz w:val="24"/>
          <w:szCs w:val="24"/>
        </w:rPr>
        <w:t xml:space="preserve">  电梯井口宽度大于2000㎜ 时，应按本标准第</w:t>
      </w:r>
      <w:r>
        <w:rPr>
          <w:rFonts w:hint="eastAsia"/>
          <w:sz w:val="24"/>
          <w:szCs w:val="24"/>
        </w:rPr>
        <w:t>4</w:t>
      </w:r>
      <w:r>
        <w:rPr>
          <w:sz w:val="24"/>
          <w:szCs w:val="24"/>
        </w:rPr>
        <w:t>.2节要求设置格栅式或网片式防护。</w:t>
      </w:r>
    </w:p>
    <w:p w14:paraId="7E605ECC">
      <w:pPr>
        <w:spacing w:line="360" w:lineRule="auto"/>
        <w:rPr>
          <w:b/>
          <w:bCs/>
          <w:sz w:val="24"/>
          <w:szCs w:val="24"/>
        </w:rPr>
      </w:pPr>
      <w:r>
        <w:rPr>
          <w:b/>
          <w:bCs/>
          <w:sz w:val="24"/>
          <w:szCs w:val="24"/>
        </w:rPr>
        <w:t>4.3.17</w:t>
      </w:r>
      <w:r>
        <w:rPr>
          <w:sz w:val="24"/>
          <w:szCs w:val="24"/>
        </w:rPr>
        <w:t xml:space="preserve">  电梯井防护门固定应符合下列规定：</w:t>
      </w:r>
    </w:p>
    <w:p w14:paraId="5221BD2E">
      <w:pPr>
        <w:spacing w:line="360" w:lineRule="auto"/>
        <w:ind w:firstLine="361" w:firstLineChars="150"/>
        <w:rPr>
          <w:sz w:val="24"/>
          <w:szCs w:val="24"/>
        </w:rPr>
      </w:pPr>
      <w:r>
        <w:rPr>
          <w:b/>
          <w:bCs/>
          <w:sz w:val="24"/>
          <w:szCs w:val="24"/>
        </w:rPr>
        <w:t xml:space="preserve">1  </w:t>
      </w:r>
      <w:r>
        <w:rPr>
          <w:sz w:val="24"/>
          <w:szCs w:val="24"/>
        </w:rPr>
        <w:t>防护门四角宜采用“Ω”形固定件和 M10 膨胀螺栓与结构墙体固定，落地洞口防护示意图见图 4.3.17-1，落地洞口防护示意图见图4.3.17-2；</w:t>
      </w:r>
    </w:p>
    <w:p w14:paraId="73637E53">
      <w:pPr>
        <w:spacing w:line="360" w:lineRule="auto"/>
        <w:ind w:firstLine="361" w:firstLineChars="150"/>
        <w:jc w:val="left"/>
        <w:rPr>
          <w:sz w:val="24"/>
          <w:szCs w:val="24"/>
        </w:rPr>
      </w:pPr>
      <w:r>
        <w:rPr>
          <w:b/>
          <w:bCs/>
          <w:sz w:val="24"/>
          <w:szCs w:val="24"/>
        </w:rPr>
        <w:t>2</w:t>
      </w:r>
      <w:r>
        <w:rPr>
          <w:sz w:val="24"/>
          <w:szCs w:val="24"/>
        </w:rPr>
        <w:t xml:space="preserve">  采用其他方式固定时，固定强度应不小于采用“Ω”形固定件或 M10 膨胀螺栓的固定强度。</w:t>
      </w:r>
    </w:p>
    <w:p w14:paraId="4AF23694">
      <w:pPr>
        <w:spacing w:line="360" w:lineRule="auto"/>
        <w:ind w:firstLine="420" w:firstLineChars="200"/>
        <w:jc w:val="center"/>
        <w:rPr>
          <w:szCs w:val="21"/>
        </w:rPr>
      </w:pPr>
      <w:bookmarkStart w:id="73" w:name="PageNo100280021"/>
      <w:r>
        <w:rPr>
          <w:szCs w:val="21"/>
        </w:rPr>
        <w:drawing>
          <wp:inline distT="0" distB="0" distL="114300" distR="114300">
            <wp:extent cx="4114800" cy="2585720"/>
            <wp:effectExtent l="0" t="0" r="0" b="0"/>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32"/>
                    <a:srcRect l="30246" t="20195" r="31416" b="22601"/>
                    <a:stretch>
                      <a:fillRect/>
                    </a:stretch>
                  </pic:blipFill>
                  <pic:spPr>
                    <a:xfrm>
                      <a:off x="0" y="0"/>
                      <a:ext cx="4114800" cy="2585720"/>
                    </a:xfrm>
                    <a:prstGeom prst="rect">
                      <a:avLst/>
                    </a:prstGeom>
                    <a:noFill/>
                    <a:ln>
                      <a:noFill/>
                    </a:ln>
                  </pic:spPr>
                </pic:pic>
              </a:graphicData>
            </a:graphic>
          </wp:inline>
        </w:drawing>
      </w:r>
      <w:bookmarkEnd w:id="73"/>
    </w:p>
    <w:p w14:paraId="4924B27E">
      <w:pPr>
        <w:spacing w:line="360" w:lineRule="auto"/>
        <w:jc w:val="center"/>
        <w:rPr>
          <w:rFonts w:eastAsia="黑体"/>
          <w:sz w:val="18"/>
          <w:szCs w:val="18"/>
        </w:rPr>
      </w:pPr>
      <w:r>
        <w:rPr>
          <w:rFonts w:eastAsia="黑体"/>
          <w:sz w:val="18"/>
          <w:szCs w:val="18"/>
        </w:rPr>
        <w:t>图4.3.17-1 落地洞口防护示意图（单位：㎜）</w:t>
      </w:r>
    </w:p>
    <w:p w14:paraId="1FE066BD">
      <w:pPr>
        <w:spacing w:line="360" w:lineRule="auto"/>
        <w:jc w:val="center"/>
        <w:rPr>
          <w:rFonts w:eastAsia="黑体"/>
          <w:szCs w:val="21"/>
        </w:rPr>
      </w:pPr>
      <w:r>
        <w:rPr>
          <w:rFonts w:eastAsia="黑体"/>
          <w:sz w:val="18"/>
          <w:szCs w:val="18"/>
        </w:rPr>
        <w:t>1-混凝土墙体；2-混凝土楼板；3-0.5厚铁皮；4-挡脚板（0.5厚铁皮或木板）</w:t>
      </w:r>
    </w:p>
    <w:p w14:paraId="7ED227C3">
      <w:pPr>
        <w:spacing w:line="360" w:lineRule="auto"/>
        <w:jc w:val="center"/>
        <w:rPr>
          <w:rFonts w:eastAsia="黑体"/>
          <w:szCs w:val="21"/>
        </w:rPr>
      </w:pPr>
      <w:r>
        <w:rPr>
          <w:szCs w:val="21"/>
        </w:rPr>
        <w:drawing>
          <wp:inline distT="0" distB="0" distL="114300" distR="114300">
            <wp:extent cx="3985895" cy="2566670"/>
            <wp:effectExtent l="0" t="0" r="0" b="0"/>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a:blip r:embed="rId33"/>
                    <a:srcRect l="27400" t="9596" r="32827" b="29562"/>
                    <a:stretch>
                      <a:fillRect/>
                    </a:stretch>
                  </pic:blipFill>
                  <pic:spPr>
                    <a:xfrm>
                      <a:off x="0" y="0"/>
                      <a:ext cx="3985895" cy="2566670"/>
                    </a:xfrm>
                    <a:prstGeom prst="rect">
                      <a:avLst/>
                    </a:prstGeom>
                    <a:noFill/>
                    <a:ln>
                      <a:noFill/>
                    </a:ln>
                  </pic:spPr>
                </pic:pic>
              </a:graphicData>
            </a:graphic>
          </wp:inline>
        </w:drawing>
      </w:r>
    </w:p>
    <w:p w14:paraId="5F4C7280">
      <w:pPr>
        <w:spacing w:line="360" w:lineRule="auto"/>
        <w:jc w:val="center"/>
        <w:rPr>
          <w:rFonts w:eastAsia="黑体"/>
          <w:sz w:val="18"/>
          <w:szCs w:val="18"/>
        </w:rPr>
      </w:pPr>
      <w:r>
        <w:rPr>
          <w:rFonts w:eastAsia="黑体"/>
          <w:sz w:val="18"/>
          <w:szCs w:val="18"/>
        </w:rPr>
        <w:t>图4.3.17-2 落地洞口防护示意图（单位：㎜）</w:t>
      </w:r>
    </w:p>
    <w:p w14:paraId="12D192B6">
      <w:pPr>
        <w:spacing w:line="360" w:lineRule="auto"/>
        <w:jc w:val="center"/>
        <w:rPr>
          <w:rFonts w:eastAsia="黑体"/>
          <w:sz w:val="18"/>
          <w:szCs w:val="18"/>
        </w:rPr>
      </w:pPr>
      <w:r>
        <w:rPr>
          <w:rFonts w:eastAsia="黑体"/>
          <w:sz w:val="18"/>
          <w:szCs w:val="18"/>
        </w:rPr>
        <w:t>1-混凝土墙体；2-混凝土楼板；3-0.5厚铁皮；4-挡脚板（0.5厚铁皮或木板）</w:t>
      </w:r>
    </w:p>
    <w:p w14:paraId="0CF60D69">
      <w:pPr>
        <w:spacing w:line="360" w:lineRule="auto"/>
        <w:rPr>
          <w:sz w:val="24"/>
          <w:szCs w:val="24"/>
        </w:rPr>
      </w:pPr>
      <w:r>
        <w:rPr>
          <w:b/>
          <w:bCs/>
          <w:sz w:val="24"/>
          <w:szCs w:val="24"/>
        </w:rPr>
        <w:t>4.3.18</w:t>
      </w:r>
      <w:r>
        <w:rPr>
          <w:sz w:val="24"/>
          <w:szCs w:val="24"/>
        </w:rPr>
        <w:t xml:space="preserve">  电梯井内水平防护设置应符合下列规定：</w:t>
      </w:r>
    </w:p>
    <w:p w14:paraId="566D3EF3">
      <w:pPr>
        <w:spacing w:line="360" w:lineRule="auto"/>
        <w:ind w:firstLine="361" w:firstLineChars="150"/>
        <w:rPr>
          <w:sz w:val="24"/>
          <w:szCs w:val="24"/>
        </w:rPr>
      </w:pPr>
      <w:r>
        <w:rPr>
          <w:b/>
          <w:bCs/>
          <w:sz w:val="24"/>
          <w:szCs w:val="24"/>
        </w:rPr>
        <w:t xml:space="preserve">1  </w:t>
      </w:r>
      <w:r>
        <w:rPr>
          <w:sz w:val="24"/>
          <w:szCs w:val="24"/>
        </w:rPr>
        <w:t>电梯井首层应设置双层水平安全网，首层以上和有地下室的电梯井内，每隔两层且不大于10m设一道水平安全网，电梯井内防护示意图见图4.3.18-1；</w:t>
      </w:r>
    </w:p>
    <w:p w14:paraId="3814C6E5">
      <w:pPr>
        <w:spacing w:line="360" w:lineRule="auto"/>
        <w:jc w:val="center"/>
        <w:rPr>
          <w:szCs w:val="21"/>
        </w:rPr>
      </w:pPr>
      <w:bookmarkStart w:id="74" w:name="PageNo100290022"/>
      <w:r>
        <w:rPr>
          <w:szCs w:val="21"/>
        </w:rPr>
        <w:drawing>
          <wp:inline distT="0" distB="0" distL="114300" distR="114300">
            <wp:extent cx="1924685" cy="2869565"/>
            <wp:effectExtent l="0" t="0" r="0" b="0"/>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34"/>
                    <a:srcRect l="52846" t="18533" r="28968" b="17072"/>
                    <a:stretch>
                      <a:fillRect/>
                    </a:stretch>
                  </pic:blipFill>
                  <pic:spPr>
                    <a:xfrm>
                      <a:off x="0" y="0"/>
                      <a:ext cx="1924685" cy="2869565"/>
                    </a:xfrm>
                    <a:prstGeom prst="rect">
                      <a:avLst/>
                    </a:prstGeom>
                    <a:noFill/>
                    <a:ln>
                      <a:noFill/>
                    </a:ln>
                  </pic:spPr>
                </pic:pic>
              </a:graphicData>
            </a:graphic>
          </wp:inline>
        </w:drawing>
      </w:r>
      <w:bookmarkEnd w:id="74"/>
    </w:p>
    <w:p w14:paraId="101F1822">
      <w:pPr>
        <w:spacing w:line="360" w:lineRule="auto"/>
        <w:jc w:val="center"/>
        <w:rPr>
          <w:rFonts w:eastAsia="黑体"/>
          <w:sz w:val="18"/>
          <w:szCs w:val="18"/>
        </w:rPr>
      </w:pPr>
      <w:r>
        <w:rPr>
          <w:rFonts w:eastAsia="黑体"/>
          <w:sz w:val="18"/>
          <w:szCs w:val="18"/>
        </w:rPr>
        <w:t>图4.3.18-1 电梯井内防护示意图</w:t>
      </w:r>
    </w:p>
    <w:p w14:paraId="13ED9B22">
      <w:pPr>
        <w:spacing w:line="360" w:lineRule="auto"/>
        <w:jc w:val="center"/>
        <w:rPr>
          <w:szCs w:val="21"/>
        </w:rPr>
      </w:pPr>
      <w:r>
        <w:rPr>
          <w:rFonts w:eastAsia="黑体"/>
          <w:sz w:val="18"/>
          <w:szCs w:val="18"/>
        </w:rPr>
        <w:t>1-混凝土墙体；2-混凝土楼板</w:t>
      </w:r>
    </w:p>
    <w:p w14:paraId="1D652578">
      <w:pPr>
        <w:spacing w:line="360" w:lineRule="auto"/>
        <w:rPr>
          <w:sz w:val="24"/>
          <w:szCs w:val="24"/>
        </w:rPr>
      </w:pPr>
      <w:r>
        <w:rPr>
          <w:b/>
          <w:bCs/>
          <w:sz w:val="24"/>
          <w:szCs w:val="24"/>
        </w:rPr>
        <w:t xml:space="preserve">   2</w:t>
      </w:r>
      <w:r>
        <w:rPr>
          <w:sz w:val="24"/>
          <w:szCs w:val="24"/>
        </w:rPr>
        <w:t xml:space="preserve">  电梯井内水平安全网与钢管、钢丝绳等固定件应紧密连接，固定件与井壁周边的空隙不得大于25㎜，电梯井内防护示意图见图4.3.18-2和图4.3.18-3；</w:t>
      </w:r>
    </w:p>
    <w:p w14:paraId="4C5B3653">
      <w:pPr>
        <w:spacing w:line="360" w:lineRule="auto"/>
        <w:ind w:firstLine="420" w:firstLineChars="200"/>
        <w:jc w:val="center"/>
        <w:rPr>
          <w:szCs w:val="21"/>
        </w:rPr>
      </w:pPr>
      <w:r>
        <w:rPr>
          <w:szCs w:val="21"/>
        </w:rPr>
        <w:drawing>
          <wp:inline distT="0" distB="0" distL="114300" distR="114300">
            <wp:extent cx="4245610" cy="2589530"/>
            <wp:effectExtent l="0" t="0" r="0" b="0"/>
            <wp:docPr id="1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3"/>
                    <pic:cNvPicPr>
                      <a:picLocks noChangeAspect="1"/>
                    </pic:cNvPicPr>
                  </pic:nvPicPr>
                  <pic:blipFill>
                    <a:blip r:embed="rId35"/>
                    <a:srcRect l="31271" t="15067" r="26122" b="23203"/>
                    <a:stretch>
                      <a:fillRect/>
                    </a:stretch>
                  </pic:blipFill>
                  <pic:spPr>
                    <a:xfrm>
                      <a:off x="0" y="0"/>
                      <a:ext cx="4245610" cy="2589530"/>
                    </a:xfrm>
                    <a:prstGeom prst="rect">
                      <a:avLst/>
                    </a:prstGeom>
                    <a:noFill/>
                    <a:ln>
                      <a:noFill/>
                    </a:ln>
                  </pic:spPr>
                </pic:pic>
              </a:graphicData>
            </a:graphic>
          </wp:inline>
        </w:drawing>
      </w:r>
    </w:p>
    <w:p w14:paraId="623FDDCD">
      <w:pPr>
        <w:spacing w:line="360" w:lineRule="auto"/>
        <w:jc w:val="center"/>
        <w:rPr>
          <w:rFonts w:eastAsia="黑体"/>
          <w:sz w:val="18"/>
          <w:szCs w:val="18"/>
        </w:rPr>
      </w:pPr>
      <w:r>
        <w:rPr>
          <w:rFonts w:eastAsia="黑体"/>
          <w:sz w:val="18"/>
          <w:szCs w:val="18"/>
        </w:rPr>
        <w:t>图4.3.18-2 电梯井内防护示意图</w:t>
      </w:r>
    </w:p>
    <w:p w14:paraId="472CDE89">
      <w:pPr>
        <w:spacing w:line="360" w:lineRule="auto"/>
        <w:jc w:val="center"/>
        <w:rPr>
          <w:rFonts w:eastAsia="黑体"/>
          <w:sz w:val="18"/>
          <w:szCs w:val="18"/>
        </w:rPr>
      </w:pPr>
      <w:r>
        <w:rPr>
          <w:rFonts w:eastAsia="黑体"/>
          <w:sz w:val="18"/>
          <w:szCs w:val="18"/>
        </w:rPr>
        <w:t>1-钢管；2-安全网；3-间隙</w:t>
      </w:r>
    </w:p>
    <w:p w14:paraId="1F61F82D">
      <w:pPr>
        <w:spacing w:line="360" w:lineRule="auto"/>
        <w:jc w:val="center"/>
        <w:rPr>
          <w:szCs w:val="21"/>
        </w:rPr>
      </w:pPr>
      <w:bookmarkStart w:id="75" w:name="PageNo100300023"/>
      <w:r>
        <w:rPr>
          <w:szCs w:val="21"/>
        </w:rPr>
        <w:drawing>
          <wp:inline distT="0" distB="0" distL="114300" distR="114300">
            <wp:extent cx="4378325" cy="2767330"/>
            <wp:effectExtent l="0" t="0" r="3175" b="0"/>
            <wp:docPr id="1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7"/>
                    <pic:cNvPicPr>
                      <a:picLocks noChangeAspect="1"/>
                    </pic:cNvPicPr>
                  </pic:nvPicPr>
                  <pic:blipFill>
                    <a:blip r:embed="rId36"/>
                    <a:srcRect l="18331" t="20796" r="39785" b="16328"/>
                    <a:stretch>
                      <a:fillRect/>
                    </a:stretch>
                  </pic:blipFill>
                  <pic:spPr>
                    <a:xfrm>
                      <a:off x="0" y="0"/>
                      <a:ext cx="4378325" cy="2767330"/>
                    </a:xfrm>
                    <a:prstGeom prst="rect">
                      <a:avLst/>
                    </a:prstGeom>
                    <a:noFill/>
                    <a:ln>
                      <a:noFill/>
                    </a:ln>
                  </pic:spPr>
                </pic:pic>
              </a:graphicData>
            </a:graphic>
          </wp:inline>
        </w:drawing>
      </w:r>
      <w:bookmarkEnd w:id="75"/>
    </w:p>
    <w:p w14:paraId="0C7A97FD">
      <w:pPr>
        <w:spacing w:line="360" w:lineRule="auto"/>
        <w:jc w:val="center"/>
        <w:rPr>
          <w:rFonts w:eastAsia="黑体"/>
          <w:sz w:val="18"/>
          <w:szCs w:val="18"/>
        </w:rPr>
      </w:pPr>
      <w:r>
        <w:rPr>
          <w:rFonts w:eastAsia="黑体"/>
          <w:sz w:val="18"/>
          <w:szCs w:val="18"/>
        </w:rPr>
        <w:t>图4.3.18-3 电梯井内防护示意图</w:t>
      </w:r>
    </w:p>
    <w:p w14:paraId="56257CE1">
      <w:pPr>
        <w:spacing w:line="360" w:lineRule="auto"/>
        <w:jc w:val="center"/>
        <w:rPr>
          <w:szCs w:val="21"/>
        </w:rPr>
      </w:pPr>
      <w:r>
        <w:rPr>
          <w:rFonts w:eastAsia="黑体"/>
          <w:sz w:val="18"/>
          <w:szCs w:val="18"/>
        </w:rPr>
        <w:t>1-预埋环；2-钢丝绳；3-安全网；4-间隙</w:t>
      </w:r>
    </w:p>
    <w:p w14:paraId="7734B7E0">
      <w:pPr>
        <w:spacing w:line="360" w:lineRule="auto"/>
        <w:ind w:left="315" w:leftChars="150"/>
        <w:rPr>
          <w:sz w:val="24"/>
          <w:szCs w:val="24"/>
        </w:rPr>
      </w:pPr>
      <w:r>
        <w:rPr>
          <w:b/>
          <w:bCs/>
          <w:sz w:val="24"/>
          <w:szCs w:val="24"/>
        </w:rPr>
        <w:t>3</w:t>
      </w:r>
      <w:r>
        <w:rPr>
          <w:sz w:val="24"/>
          <w:szCs w:val="24"/>
        </w:rPr>
        <w:t xml:space="preserve">  电梯井内采用落地或悬挑脚手架的方式设置水平安全网，防护示意图见图4.3.18-4。</w:t>
      </w:r>
    </w:p>
    <w:p w14:paraId="3C7EFB0B">
      <w:pPr>
        <w:spacing w:line="360" w:lineRule="auto"/>
        <w:jc w:val="center"/>
        <w:rPr>
          <w:szCs w:val="21"/>
        </w:rPr>
      </w:pPr>
      <w:r>
        <w:rPr>
          <w:szCs w:val="21"/>
        </w:rPr>
        <w:drawing>
          <wp:inline distT="0" distB="0" distL="114300" distR="114300">
            <wp:extent cx="4755515" cy="3379470"/>
            <wp:effectExtent l="0" t="0" r="0" b="0"/>
            <wp:docPr id="2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8"/>
                    <pic:cNvPicPr>
                      <a:picLocks noChangeAspect="1"/>
                    </pic:cNvPicPr>
                  </pic:nvPicPr>
                  <pic:blipFill>
                    <a:blip r:embed="rId37"/>
                    <a:srcRect l="23722" t="11630" r="31874" b="13406"/>
                    <a:stretch>
                      <a:fillRect/>
                    </a:stretch>
                  </pic:blipFill>
                  <pic:spPr>
                    <a:xfrm>
                      <a:off x="0" y="0"/>
                      <a:ext cx="4755515" cy="3379470"/>
                    </a:xfrm>
                    <a:prstGeom prst="rect">
                      <a:avLst/>
                    </a:prstGeom>
                    <a:noFill/>
                    <a:ln>
                      <a:noFill/>
                    </a:ln>
                  </pic:spPr>
                </pic:pic>
              </a:graphicData>
            </a:graphic>
          </wp:inline>
        </w:drawing>
      </w:r>
    </w:p>
    <w:p w14:paraId="6E71B9C6">
      <w:pPr>
        <w:spacing w:line="360" w:lineRule="auto"/>
        <w:jc w:val="center"/>
        <w:rPr>
          <w:rFonts w:eastAsia="黑体"/>
          <w:sz w:val="18"/>
          <w:szCs w:val="18"/>
        </w:rPr>
      </w:pPr>
      <w:r>
        <w:rPr>
          <w:rFonts w:eastAsia="黑体"/>
          <w:sz w:val="18"/>
          <w:szCs w:val="18"/>
        </w:rPr>
        <w:t>图4.3.18-4 电梯井内防护示意图</w:t>
      </w:r>
    </w:p>
    <w:p w14:paraId="1BF0C689">
      <w:pPr>
        <w:spacing w:line="360" w:lineRule="auto"/>
        <w:jc w:val="center"/>
        <w:rPr>
          <w:szCs w:val="21"/>
        </w:rPr>
      </w:pPr>
      <w:r>
        <w:rPr>
          <w:rFonts w:eastAsia="黑体"/>
          <w:sz w:val="18"/>
          <w:szCs w:val="18"/>
        </w:rPr>
        <w:t>1-φ48.3㎜×3.6㎜钢管；2-安全网；3-间隙</w:t>
      </w:r>
    </w:p>
    <w:p w14:paraId="7EFD34EE">
      <w:pPr>
        <w:spacing w:line="360" w:lineRule="auto"/>
        <w:ind w:firstLine="482" w:firstLineChars="200"/>
        <w:rPr>
          <w:sz w:val="24"/>
          <w:szCs w:val="24"/>
        </w:rPr>
      </w:pPr>
      <w:r>
        <w:rPr>
          <w:b/>
          <w:bCs/>
          <w:sz w:val="24"/>
          <w:szCs w:val="24"/>
        </w:rPr>
        <w:t>4</w:t>
      </w:r>
      <w:r>
        <w:rPr>
          <w:sz w:val="24"/>
          <w:szCs w:val="24"/>
        </w:rPr>
        <w:t xml:space="preserve">  电梯井内，采用预留钢筋网片并铺设硬质防护时，应在每层用贯穿于混凝土板内的钢筋（或楼板分布筋）形成防护网，钢筋直径不应小于12㎜，钢筋间距不应</w:t>
      </w:r>
      <w:r>
        <w:rPr>
          <w:rFonts w:hint="eastAsia"/>
          <w:sz w:val="24"/>
          <w:szCs w:val="24"/>
        </w:rPr>
        <w:t>大</w:t>
      </w:r>
      <w:r>
        <w:rPr>
          <w:sz w:val="24"/>
          <w:szCs w:val="24"/>
        </w:rPr>
        <w:t>于200㎜，并在其上方满铺木胶合板，防护示意图见图4.3.18-5。</w:t>
      </w:r>
    </w:p>
    <w:p w14:paraId="52E49362">
      <w:pPr>
        <w:spacing w:line="360" w:lineRule="auto"/>
        <w:jc w:val="center"/>
        <w:rPr>
          <w:szCs w:val="21"/>
        </w:rPr>
      </w:pPr>
      <w:bookmarkStart w:id="76" w:name="PageNo100310024"/>
      <w:r>
        <w:rPr>
          <w:szCs w:val="21"/>
        </w:rPr>
        <w:drawing>
          <wp:inline distT="0" distB="0" distL="114300" distR="114300">
            <wp:extent cx="3096895" cy="2647950"/>
            <wp:effectExtent l="0" t="0" r="0" b="0"/>
            <wp:docPr id="2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9"/>
                    <pic:cNvPicPr>
                      <a:picLocks noChangeAspect="1"/>
                    </pic:cNvPicPr>
                  </pic:nvPicPr>
                  <pic:blipFill>
                    <a:blip r:embed="rId38"/>
                    <a:srcRect l="42595" t="13721" r="27653" b="25867"/>
                    <a:stretch>
                      <a:fillRect/>
                    </a:stretch>
                  </pic:blipFill>
                  <pic:spPr>
                    <a:xfrm>
                      <a:off x="0" y="0"/>
                      <a:ext cx="3101613" cy="2651756"/>
                    </a:xfrm>
                    <a:prstGeom prst="rect">
                      <a:avLst/>
                    </a:prstGeom>
                    <a:noFill/>
                    <a:ln>
                      <a:noFill/>
                    </a:ln>
                  </pic:spPr>
                </pic:pic>
              </a:graphicData>
            </a:graphic>
          </wp:inline>
        </w:drawing>
      </w:r>
      <w:bookmarkEnd w:id="76"/>
    </w:p>
    <w:p w14:paraId="25F6F96F">
      <w:pPr>
        <w:spacing w:line="360" w:lineRule="auto"/>
        <w:jc w:val="center"/>
        <w:rPr>
          <w:rFonts w:eastAsia="黑体"/>
          <w:sz w:val="18"/>
          <w:szCs w:val="18"/>
        </w:rPr>
      </w:pPr>
      <w:r>
        <w:rPr>
          <w:rFonts w:eastAsia="黑体"/>
          <w:sz w:val="18"/>
          <w:szCs w:val="18"/>
        </w:rPr>
        <w:t>图4.3.18-5 电梯井内防护示意图</w:t>
      </w:r>
    </w:p>
    <w:p w14:paraId="0ECBE135">
      <w:pPr>
        <w:spacing w:line="360" w:lineRule="auto"/>
        <w:jc w:val="center"/>
        <w:rPr>
          <w:rFonts w:eastAsia="黑体"/>
          <w:sz w:val="18"/>
          <w:szCs w:val="18"/>
        </w:rPr>
      </w:pPr>
      <w:r>
        <w:rPr>
          <w:rFonts w:eastAsia="黑体"/>
          <w:sz w:val="18"/>
          <w:szCs w:val="18"/>
        </w:rPr>
        <w:t>1-钢筋；2-钢筋结构锚固；3-木胶合板</w:t>
      </w:r>
    </w:p>
    <w:p w14:paraId="3E8B657A">
      <w:pPr>
        <w:spacing w:line="360" w:lineRule="auto"/>
        <w:rPr>
          <w:sz w:val="24"/>
          <w:szCs w:val="24"/>
        </w:rPr>
      </w:pPr>
      <w:r>
        <w:rPr>
          <w:b/>
          <w:bCs/>
          <w:sz w:val="24"/>
          <w:szCs w:val="24"/>
        </w:rPr>
        <w:t>4.3.19</w:t>
      </w:r>
      <w:r>
        <w:rPr>
          <w:sz w:val="24"/>
          <w:szCs w:val="24"/>
        </w:rPr>
        <w:t xml:space="preserve">  施工中，降水井、强电井、弱电井、人工挖孔桩等存在坠落风险的井口四周应按本标准第</w:t>
      </w:r>
      <w:r>
        <w:rPr>
          <w:rFonts w:hint="eastAsia"/>
          <w:sz w:val="24"/>
          <w:szCs w:val="24"/>
        </w:rPr>
        <w:t>4</w:t>
      </w:r>
      <w:r>
        <w:rPr>
          <w:sz w:val="24"/>
          <w:szCs w:val="24"/>
        </w:rPr>
        <w:t>.2节的规定，设置临边防护设施，设置高度应不低于180㎜的挡脚板，停止施工作业时应加设盖板，井口防护示意图见图 4.3.19。</w:t>
      </w:r>
    </w:p>
    <w:p w14:paraId="04C0CE25">
      <w:pPr>
        <w:spacing w:line="360" w:lineRule="auto"/>
        <w:jc w:val="center"/>
        <w:rPr>
          <w:szCs w:val="21"/>
        </w:rPr>
      </w:pPr>
      <w:r>
        <w:rPr>
          <w:szCs w:val="21"/>
        </w:rPr>
        <w:drawing>
          <wp:inline distT="0" distB="0" distL="114300" distR="114300">
            <wp:extent cx="2782570" cy="4104005"/>
            <wp:effectExtent l="0" t="0" r="0" b="0"/>
            <wp:docPr id="2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1"/>
                    <pic:cNvPicPr>
                      <a:picLocks noChangeAspect="1"/>
                    </pic:cNvPicPr>
                  </pic:nvPicPr>
                  <pic:blipFill>
                    <a:blip r:embed="rId39"/>
                    <a:srcRect l="36537" t="32644" r="51155" b="24233"/>
                    <a:stretch>
                      <a:fillRect/>
                    </a:stretch>
                  </pic:blipFill>
                  <pic:spPr>
                    <a:xfrm>
                      <a:off x="0" y="0"/>
                      <a:ext cx="2782570" cy="4104005"/>
                    </a:xfrm>
                    <a:prstGeom prst="rect">
                      <a:avLst/>
                    </a:prstGeom>
                    <a:noFill/>
                    <a:ln>
                      <a:noFill/>
                    </a:ln>
                  </pic:spPr>
                </pic:pic>
              </a:graphicData>
            </a:graphic>
          </wp:inline>
        </w:drawing>
      </w:r>
    </w:p>
    <w:p w14:paraId="73B1063A">
      <w:pPr>
        <w:spacing w:line="360" w:lineRule="auto"/>
        <w:jc w:val="center"/>
        <w:rPr>
          <w:rFonts w:eastAsia="黑体"/>
          <w:sz w:val="18"/>
          <w:szCs w:val="18"/>
        </w:rPr>
      </w:pPr>
      <w:r>
        <w:rPr>
          <w:rFonts w:eastAsia="黑体"/>
          <w:sz w:val="18"/>
          <w:szCs w:val="18"/>
        </w:rPr>
        <w:t>图4.3.19 井口防护示意图</w:t>
      </w:r>
    </w:p>
    <w:p w14:paraId="6948E663">
      <w:pPr>
        <w:spacing w:line="360" w:lineRule="auto"/>
        <w:jc w:val="center"/>
        <w:rPr>
          <w:szCs w:val="21"/>
        </w:rPr>
      </w:pPr>
      <w:r>
        <w:rPr>
          <w:rFonts w:eastAsia="黑体"/>
          <w:sz w:val="18"/>
          <w:szCs w:val="18"/>
        </w:rPr>
        <w:t>1-横杆；2-立杆；3-井口；4-井壁；5-盖板</w:t>
      </w:r>
    </w:p>
    <w:p w14:paraId="2CBB65F8">
      <w:pPr>
        <w:spacing w:line="360" w:lineRule="auto"/>
        <w:rPr>
          <w:sz w:val="24"/>
          <w:szCs w:val="24"/>
        </w:rPr>
      </w:pPr>
      <w:r>
        <w:rPr>
          <w:b/>
          <w:bCs/>
          <w:sz w:val="24"/>
          <w:szCs w:val="24"/>
        </w:rPr>
        <w:t>4.3.20</w:t>
      </w:r>
      <w:r>
        <w:rPr>
          <w:sz w:val="24"/>
          <w:szCs w:val="24"/>
        </w:rPr>
        <w:t xml:space="preserve"> 对人工拆除施工作业面的孔洞，应采取防护措施。</w:t>
      </w:r>
    </w:p>
    <w:p w14:paraId="2C439431">
      <w:pPr>
        <w:spacing w:line="360" w:lineRule="auto"/>
        <w:rPr>
          <w:sz w:val="24"/>
          <w:szCs w:val="24"/>
        </w:rPr>
      </w:pPr>
      <w:r>
        <w:rPr>
          <w:b/>
          <w:bCs/>
          <w:sz w:val="24"/>
          <w:szCs w:val="24"/>
        </w:rPr>
        <w:t xml:space="preserve">4.3.21 </w:t>
      </w:r>
      <w:r>
        <w:rPr>
          <w:sz w:val="24"/>
          <w:szCs w:val="24"/>
        </w:rPr>
        <w:t>楼梯与结构施工不同步时，应设置防护设施，楼梯间整体平台防护示意图见图</w:t>
      </w:r>
      <w:r>
        <w:rPr>
          <w:rFonts w:hint="eastAsia"/>
          <w:sz w:val="24"/>
          <w:szCs w:val="24"/>
        </w:rPr>
        <w:t>4</w:t>
      </w:r>
      <w:r>
        <w:rPr>
          <w:sz w:val="24"/>
          <w:szCs w:val="24"/>
        </w:rPr>
        <w:t>.3.21-1，现浇施工楼梯间防护示意图见图4.3.21-2，并应符合以下规定：</w:t>
      </w:r>
    </w:p>
    <w:p w14:paraId="3798DF03">
      <w:pPr>
        <w:spacing w:line="360" w:lineRule="auto"/>
        <w:ind w:firstLine="388" w:firstLineChars="161"/>
        <w:rPr>
          <w:sz w:val="24"/>
          <w:szCs w:val="24"/>
        </w:rPr>
      </w:pPr>
      <w:r>
        <w:rPr>
          <w:b/>
          <w:bCs/>
          <w:sz w:val="24"/>
          <w:szCs w:val="24"/>
        </w:rPr>
        <w:t>1</w:t>
      </w:r>
      <w:r>
        <w:rPr>
          <w:sz w:val="24"/>
          <w:szCs w:val="24"/>
        </w:rPr>
        <w:t xml:space="preserve">  楼梯间整体平台的框架选用方钢尺寸不应小于120㎜×120㎜；</w:t>
      </w:r>
    </w:p>
    <w:p w14:paraId="7EB04D4E">
      <w:pPr>
        <w:spacing w:line="360" w:lineRule="auto"/>
        <w:ind w:firstLine="388" w:firstLineChars="161"/>
        <w:rPr>
          <w:sz w:val="24"/>
          <w:szCs w:val="24"/>
        </w:rPr>
      </w:pPr>
      <w:r>
        <w:rPr>
          <w:b/>
          <w:bCs/>
          <w:sz w:val="24"/>
          <w:szCs w:val="24"/>
        </w:rPr>
        <w:t>2</w:t>
      </w:r>
      <w:r>
        <w:rPr>
          <w:sz w:val="24"/>
          <w:szCs w:val="24"/>
        </w:rPr>
        <w:t xml:space="preserve">  楼梯间整体平台应选用可靠的固定方式与建筑结构连接；</w:t>
      </w:r>
    </w:p>
    <w:p w14:paraId="4C9293A9">
      <w:pPr>
        <w:spacing w:line="360" w:lineRule="auto"/>
        <w:ind w:firstLine="388" w:firstLineChars="161"/>
        <w:jc w:val="left"/>
        <w:rPr>
          <w:sz w:val="24"/>
          <w:szCs w:val="24"/>
        </w:rPr>
      </w:pPr>
      <w:r>
        <w:rPr>
          <w:b/>
          <w:bCs/>
          <w:sz w:val="24"/>
          <w:szCs w:val="24"/>
        </w:rPr>
        <w:t>3</w:t>
      </w:r>
      <w:r>
        <w:rPr>
          <w:sz w:val="24"/>
          <w:szCs w:val="24"/>
        </w:rPr>
        <w:t xml:space="preserve">  楼梯间整体平台与建筑结构间的缝隙使用翻板防护严密；</w:t>
      </w:r>
    </w:p>
    <w:p w14:paraId="2E378AA5">
      <w:pPr>
        <w:spacing w:line="360" w:lineRule="auto"/>
        <w:ind w:firstLine="388" w:firstLineChars="161"/>
        <w:jc w:val="left"/>
        <w:rPr>
          <w:sz w:val="24"/>
          <w:szCs w:val="24"/>
        </w:rPr>
      </w:pPr>
      <w:r>
        <w:rPr>
          <w:b/>
          <w:bCs/>
          <w:sz w:val="24"/>
          <w:szCs w:val="24"/>
        </w:rPr>
        <w:t>4</w:t>
      </w:r>
      <w:r>
        <w:rPr>
          <w:sz w:val="24"/>
          <w:szCs w:val="24"/>
        </w:rPr>
        <w:t xml:space="preserve">  楼梯间整体平台仅作为防护设施及人员上下通道，不应作为材料周转调运平台使用；</w:t>
      </w:r>
    </w:p>
    <w:p w14:paraId="23CEA406">
      <w:pPr>
        <w:spacing w:line="360" w:lineRule="auto"/>
        <w:ind w:firstLine="388" w:firstLineChars="161"/>
        <w:rPr>
          <w:sz w:val="24"/>
          <w:szCs w:val="24"/>
        </w:rPr>
      </w:pPr>
      <w:r>
        <w:rPr>
          <w:b/>
          <w:bCs/>
          <w:sz w:val="24"/>
          <w:szCs w:val="24"/>
        </w:rPr>
        <w:t xml:space="preserve">5  </w:t>
      </w:r>
      <w:r>
        <w:rPr>
          <w:sz w:val="24"/>
          <w:szCs w:val="24"/>
        </w:rPr>
        <w:t>现浇工艺施工的楼梯间应在楼梯钢筋绑扎前搭设防护栏杆，上横杆距地面高度不低于1200㎜，立柱间距不超过2000㎜。护栏表面刷红白相间油漆，防护栏底部设挡脚板，高度不低于180㎜，刷红白相间警示条纹。</w:t>
      </w:r>
    </w:p>
    <w:p w14:paraId="497749FA">
      <w:pPr>
        <w:spacing w:line="360" w:lineRule="auto"/>
        <w:jc w:val="center"/>
        <w:rPr>
          <w:szCs w:val="21"/>
        </w:rPr>
      </w:pPr>
      <w:r>
        <w:rPr>
          <w:szCs w:val="21"/>
        </w:rPr>
        <w:drawing>
          <wp:inline distT="0" distB="0" distL="114300" distR="114300">
            <wp:extent cx="3906520" cy="2495550"/>
            <wp:effectExtent l="0" t="0" r="0" b="0"/>
            <wp:docPr id="2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2"/>
                    <pic:cNvPicPr>
                      <a:picLocks noChangeAspect="1"/>
                    </pic:cNvPicPr>
                  </pic:nvPicPr>
                  <pic:blipFill>
                    <a:blip r:embed="rId40"/>
                    <a:srcRect l="36216" t="21025" r="22118" b="15755"/>
                    <a:stretch>
                      <a:fillRect/>
                    </a:stretch>
                  </pic:blipFill>
                  <pic:spPr>
                    <a:xfrm>
                      <a:off x="0" y="0"/>
                      <a:ext cx="3927420" cy="2508829"/>
                    </a:xfrm>
                    <a:prstGeom prst="rect">
                      <a:avLst/>
                    </a:prstGeom>
                    <a:noFill/>
                    <a:ln>
                      <a:noFill/>
                    </a:ln>
                  </pic:spPr>
                </pic:pic>
              </a:graphicData>
            </a:graphic>
          </wp:inline>
        </w:drawing>
      </w:r>
    </w:p>
    <w:p w14:paraId="005DE6D2">
      <w:pPr>
        <w:spacing w:line="360" w:lineRule="auto"/>
        <w:jc w:val="center"/>
        <w:rPr>
          <w:rFonts w:eastAsia="黑体"/>
          <w:sz w:val="18"/>
          <w:szCs w:val="18"/>
        </w:rPr>
      </w:pPr>
      <w:r>
        <w:rPr>
          <w:rFonts w:eastAsia="黑体"/>
          <w:sz w:val="18"/>
          <w:szCs w:val="18"/>
        </w:rPr>
        <w:t>图4.3.21-1 楼梯间整体平台防护示意图（单位：㎜）</w:t>
      </w:r>
    </w:p>
    <w:p w14:paraId="2D6CC874">
      <w:pPr>
        <w:spacing w:line="360" w:lineRule="auto"/>
        <w:jc w:val="center"/>
        <w:rPr>
          <w:rFonts w:eastAsia="黑体"/>
          <w:sz w:val="18"/>
          <w:szCs w:val="18"/>
        </w:rPr>
      </w:pPr>
      <w:r>
        <w:rPr>
          <w:rFonts w:eastAsia="黑体"/>
          <w:sz w:val="18"/>
          <w:szCs w:val="18"/>
        </w:rPr>
        <w:t>1-方钢；2-防护栏杆；3-推拉式固定钢梁</w:t>
      </w:r>
    </w:p>
    <w:p w14:paraId="4152CC87">
      <w:pPr>
        <w:spacing w:line="360" w:lineRule="auto"/>
        <w:jc w:val="center"/>
        <w:rPr>
          <w:szCs w:val="21"/>
        </w:rPr>
      </w:pPr>
      <w:bookmarkStart w:id="77" w:name="PageNo100330026"/>
      <w:r>
        <w:rPr>
          <w:szCs w:val="21"/>
        </w:rPr>
        <w:drawing>
          <wp:inline distT="0" distB="0" distL="114300" distR="114300">
            <wp:extent cx="3467100" cy="1966595"/>
            <wp:effectExtent l="0" t="0" r="0" b="0"/>
            <wp:docPr id="25"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3"/>
                    <pic:cNvPicPr>
                      <a:picLocks noChangeAspect="1"/>
                    </pic:cNvPicPr>
                  </pic:nvPicPr>
                  <pic:blipFill>
                    <a:blip r:embed="rId41"/>
                    <a:srcRect l="27219" t="28301" r="33008" b="18104"/>
                    <a:stretch>
                      <a:fillRect/>
                    </a:stretch>
                  </pic:blipFill>
                  <pic:spPr>
                    <a:xfrm>
                      <a:off x="0" y="0"/>
                      <a:ext cx="3478464" cy="1973328"/>
                    </a:xfrm>
                    <a:prstGeom prst="rect">
                      <a:avLst/>
                    </a:prstGeom>
                    <a:noFill/>
                    <a:ln>
                      <a:noFill/>
                    </a:ln>
                  </pic:spPr>
                </pic:pic>
              </a:graphicData>
            </a:graphic>
          </wp:inline>
        </w:drawing>
      </w:r>
      <w:bookmarkEnd w:id="77"/>
    </w:p>
    <w:p w14:paraId="207D3CB9">
      <w:pPr>
        <w:spacing w:line="360" w:lineRule="auto"/>
        <w:jc w:val="center"/>
        <w:rPr>
          <w:rFonts w:eastAsia="黑体"/>
          <w:sz w:val="18"/>
          <w:szCs w:val="18"/>
        </w:rPr>
      </w:pPr>
      <w:r>
        <w:rPr>
          <w:rFonts w:eastAsia="黑体"/>
          <w:sz w:val="18"/>
          <w:szCs w:val="18"/>
        </w:rPr>
        <w:t>图4.3.21-2 现浇施工楼梯间防护示意图（单位：㎜）</w:t>
      </w:r>
    </w:p>
    <w:p w14:paraId="7F8F4B56">
      <w:pPr>
        <w:spacing w:line="360" w:lineRule="auto"/>
        <w:jc w:val="center"/>
        <w:rPr>
          <w:rFonts w:eastAsia="黑体"/>
          <w:sz w:val="18"/>
          <w:szCs w:val="18"/>
        </w:rPr>
      </w:pPr>
      <w:r>
        <w:rPr>
          <w:rFonts w:eastAsia="黑体"/>
          <w:sz w:val="18"/>
          <w:szCs w:val="18"/>
        </w:rPr>
        <w:t>1-立杆；2-横杆；3-挡脚板</w:t>
      </w:r>
    </w:p>
    <w:p w14:paraId="374A230B">
      <w:pPr>
        <w:pStyle w:val="3"/>
        <w:rPr>
          <w:rFonts w:ascii="Times New Roman" w:hAnsi="Times New Roman" w:cs="Times New Roman"/>
          <w:color w:val="auto"/>
          <w:sz w:val="24"/>
          <w:szCs w:val="24"/>
        </w:rPr>
      </w:pPr>
      <w:bookmarkStart w:id="78" w:name="_Toc30581"/>
      <w:bookmarkStart w:id="79" w:name="_Toc15049"/>
      <w:r>
        <w:rPr>
          <w:rFonts w:ascii="Times New Roman" w:hAnsi="Times New Roman" w:cs="Times New Roman"/>
          <w:color w:val="auto"/>
          <w:sz w:val="24"/>
          <w:szCs w:val="24"/>
        </w:rPr>
        <w:t>4.4  操作平台安全防护</w:t>
      </w:r>
      <w:bookmarkEnd w:id="78"/>
      <w:bookmarkEnd w:id="79"/>
    </w:p>
    <w:p w14:paraId="322F4021">
      <w:pPr>
        <w:spacing w:line="360" w:lineRule="auto"/>
        <w:ind w:right="30"/>
        <w:rPr>
          <w:spacing w:val="4"/>
          <w:position w:val="-2"/>
          <w:sz w:val="24"/>
          <w:szCs w:val="24"/>
        </w:rPr>
      </w:pPr>
      <w:r>
        <w:rPr>
          <w:b/>
          <w:bCs/>
          <w:sz w:val="24"/>
          <w:szCs w:val="24"/>
        </w:rPr>
        <w:t xml:space="preserve">4.4.1  </w:t>
      </w:r>
      <w:r>
        <w:rPr>
          <w:spacing w:val="4"/>
          <w:position w:val="-2"/>
          <w:sz w:val="24"/>
          <w:szCs w:val="24"/>
        </w:rPr>
        <w:t>操作平台应通过设计计算，并应编制专项方案和专项技术交底。定型化操作平台应满足产品说明书的要求。</w:t>
      </w:r>
    </w:p>
    <w:p w14:paraId="59BBF160">
      <w:pPr>
        <w:spacing w:line="360" w:lineRule="auto"/>
        <w:rPr>
          <w:sz w:val="24"/>
          <w:szCs w:val="24"/>
        </w:rPr>
      </w:pPr>
      <w:r>
        <w:rPr>
          <w:b/>
          <w:bCs/>
          <w:sz w:val="24"/>
          <w:szCs w:val="24"/>
        </w:rPr>
        <w:t xml:space="preserve">4.4.2  </w:t>
      </w:r>
      <w:r>
        <w:rPr>
          <w:sz w:val="24"/>
          <w:szCs w:val="24"/>
        </w:rPr>
        <w:t>操作平台作业层应满铺钢、木等材质的脚手板，脚手板的选取应符合下列规定：</w:t>
      </w:r>
    </w:p>
    <w:p w14:paraId="1A27E358">
      <w:pPr>
        <w:spacing w:line="360" w:lineRule="auto"/>
        <w:ind w:firstLine="366" w:firstLineChars="152"/>
        <w:rPr>
          <w:bCs/>
          <w:sz w:val="24"/>
          <w:szCs w:val="24"/>
        </w:rPr>
      </w:pPr>
      <w:r>
        <w:rPr>
          <w:b/>
          <w:bCs/>
          <w:sz w:val="24"/>
          <w:szCs w:val="24"/>
        </w:rPr>
        <w:t>1</w:t>
      </w:r>
      <w:r>
        <w:rPr>
          <w:bCs/>
          <w:sz w:val="24"/>
          <w:szCs w:val="24"/>
        </w:rPr>
        <w:t xml:space="preserve">  压钢脚手板的材质应符合现行国家标准《碳素结构钢》GB/T 700中Q235级钢的规定；</w:t>
      </w:r>
    </w:p>
    <w:p w14:paraId="074956ED">
      <w:pPr>
        <w:spacing w:line="360" w:lineRule="auto"/>
        <w:ind w:firstLine="366" w:firstLineChars="152"/>
        <w:rPr>
          <w:sz w:val="24"/>
          <w:szCs w:val="24"/>
        </w:rPr>
      </w:pPr>
      <w:r>
        <w:rPr>
          <w:b/>
          <w:bCs/>
          <w:sz w:val="24"/>
          <w:szCs w:val="24"/>
        </w:rPr>
        <w:t xml:space="preserve">2  </w:t>
      </w:r>
      <w:r>
        <w:rPr>
          <w:bCs/>
          <w:sz w:val="24"/>
          <w:szCs w:val="24"/>
        </w:rPr>
        <w:t>木脚手板材质应符合现行国家标准《木结构设计标准》GB 50005中Ⅱa级材质的规定</w:t>
      </w:r>
      <w:r>
        <w:rPr>
          <w:rFonts w:hint="eastAsia"/>
          <w:bCs/>
          <w:sz w:val="24"/>
          <w:szCs w:val="24"/>
        </w:rPr>
        <w:t>。</w:t>
      </w:r>
      <w:r>
        <w:rPr>
          <w:bCs/>
          <w:sz w:val="24"/>
          <w:szCs w:val="24"/>
        </w:rPr>
        <w:t>脚手板</w:t>
      </w:r>
      <w:r>
        <w:rPr>
          <w:sz w:val="24"/>
          <w:szCs w:val="24"/>
        </w:rPr>
        <w:t>厚度不应小于50㎜，两端应各设置直径不小于4㎜的镀锌钢丝箍两道固定在支撑杆件上；</w:t>
      </w:r>
    </w:p>
    <w:p w14:paraId="23987F2B">
      <w:pPr>
        <w:spacing w:line="360" w:lineRule="auto"/>
        <w:ind w:firstLine="366" w:firstLineChars="152"/>
        <w:rPr>
          <w:sz w:val="24"/>
          <w:szCs w:val="24"/>
        </w:rPr>
      </w:pPr>
      <w:r>
        <w:rPr>
          <w:b/>
          <w:bCs/>
          <w:sz w:val="24"/>
          <w:szCs w:val="24"/>
        </w:rPr>
        <w:t xml:space="preserve">3  </w:t>
      </w:r>
      <w:r>
        <w:rPr>
          <w:sz w:val="24"/>
          <w:szCs w:val="24"/>
        </w:rPr>
        <w:t>脚手板的铺设应符合现行行业标准《建筑施工扣件式钢管脚手架安全技术规范》JGJ 130的规定。</w:t>
      </w:r>
    </w:p>
    <w:p w14:paraId="2C534986">
      <w:pPr>
        <w:spacing w:line="360" w:lineRule="auto"/>
        <w:rPr>
          <w:sz w:val="24"/>
          <w:szCs w:val="24"/>
        </w:rPr>
      </w:pPr>
      <w:r>
        <w:rPr>
          <w:b/>
          <w:bCs/>
          <w:sz w:val="24"/>
          <w:szCs w:val="24"/>
        </w:rPr>
        <w:t xml:space="preserve">4.4.3  </w:t>
      </w:r>
      <w:r>
        <w:rPr>
          <w:sz w:val="24"/>
          <w:szCs w:val="24"/>
        </w:rPr>
        <w:t>操作平台应设置作业人员上下的爬梯，并设置相应的防护设施。</w:t>
      </w:r>
    </w:p>
    <w:p w14:paraId="1238564D">
      <w:pPr>
        <w:spacing w:line="360" w:lineRule="auto"/>
        <w:rPr>
          <w:rFonts w:eastAsia="黑体"/>
          <w:sz w:val="24"/>
          <w:szCs w:val="24"/>
        </w:rPr>
      </w:pPr>
      <w:r>
        <w:rPr>
          <w:b/>
          <w:bCs/>
          <w:sz w:val="24"/>
          <w:szCs w:val="24"/>
        </w:rPr>
        <w:t xml:space="preserve">4.4.4  </w:t>
      </w:r>
      <w:r>
        <w:rPr>
          <w:bCs/>
          <w:sz w:val="24"/>
          <w:szCs w:val="24"/>
        </w:rPr>
        <w:t>载料</w:t>
      </w:r>
      <w:r>
        <w:rPr>
          <w:sz w:val="24"/>
          <w:szCs w:val="24"/>
        </w:rPr>
        <w:t>操作平台应设置限载标识，且应注明各种物料允许放置数量和限定允许的作业人数，物料应及时转运，不得超载、超高堆放。</w:t>
      </w:r>
    </w:p>
    <w:p w14:paraId="1653796E">
      <w:pPr>
        <w:spacing w:line="360" w:lineRule="auto"/>
        <w:rPr>
          <w:sz w:val="24"/>
          <w:szCs w:val="24"/>
        </w:rPr>
      </w:pPr>
      <w:r>
        <w:rPr>
          <w:b/>
          <w:bCs/>
          <w:sz w:val="24"/>
          <w:szCs w:val="24"/>
        </w:rPr>
        <w:t>4.4.5</w:t>
      </w:r>
      <w:r>
        <w:rPr>
          <w:b/>
          <w:bCs/>
          <w:spacing w:val="10"/>
          <w:sz w:val="24"/>
          <w:szCs w:val="24"/>
        </w:rPr>
        <w:t xml:space="preserve">  </w:t>
      </w:r>
      <w:r>
        <w:rPr>
          <w:spacing w:val="5"/>
          <w:sz w:val="24"/>
          <w:szCs w:val="24"/>
        </w:rPr>
        <w:t>移动、升降式操作平台临边应设置高度不低于1200㎜防护栏</w:t>
      </w:r>
      <w:r>
        <w:rPr>
          <w:spacing w:val="6"/>
          <w:sz w:val="24"/>
          <w:szCs w:val="24"/>
        </w:rPr>
        <w:t>杆，并采用安全网封闭，底部设置高度不低于180</w:t>
      </w:r>
      <w:r>
        <w:rPr>
          <w:sz w:val="24"/>
          <w:szCs w:val="24"/>
        </w:rPr>
        <w:t>㎜</w:t>
      </w:r>
      <w:r>
        <w:rPr>
          <w:spacing w:val="6"/>
          <w:sz w:val="24"/>
          <w:szCs w:val="24"/>
        </w:rPr>
        <w:t>挡脚板</w:t>
      </w:r>
      <w:r>
        <w:rPr>
          <w:spacing w:val="1"/>
          <w:sz w:val="24"/>
          <w:szCs w:val="24"/>
        </w:rPr>
        <w:t>。</w:t>
      </w:r>
      <w:r>
        <w:rPr>
          <w:spacing w:val="8"/>
          <w:sz w:val="24"/>
          <w:szCs w:val="24"/>
        </w:rPr>
        <w:t>平台出入口应采用硬质刚性封闭。</w:t>
      </w:r>
    </w:p>
    <w:p w14:paraId="1B661FF2">
      <w:pPr>
        <w:spacing w:line="360" w:lineRule="auto"/>
        <w:rPr>
          <w:sz w:val="24"/>
          <w:szCs w:val="24"/>
        </w:rPr>
      </w:pPr>
      <w:r>
        <w:rPr>
          <w:b/>
          <w:bCs/>
          <w:sz w:val="24"/>
          <w:szCs w:val="24"/>
        </w:rPr>
        <w:t>4.4.6</w:t>
      </w:r>
      <w:r>
        <w:rPr>
          <w:spacing w:val="2"/>
          <w:sz w:val="24"/>
          <w:szCs w:val="24"/>
        </w:rPr>
        <w:t xml:space="preserve">  移动式操作平台面积不宜大于10㎡，高度不宜大于5m，高宽比不应大于2:</w:t>
      </w:r>
      <w:r>
        <w:rPr>
          <w:spacing w:val="1"/>
          <w:sz w:val="24"/>
          <w:szCs w:val="24"/>
        </w:rPr>
        <w:t>1</w:t>
      </w:r>
      <w:r>
        <w:rPr>
          <w:sz w:val="24"/>
          <w:szCs w:val="24"/>
        </w:rPr>
        <w:t>，施工</w:t>
      </w:r>
      <w:r>
        <w:rPr>
          <w:spacing w:val="-1"/>
          <w:sz w:val="24"/>
          <w:szCs w:val="24"/>
        </w:rPr>
        <w:t>荷载不应大于1.5</w:t>
      </w:r>
      <w:r>
        <w:rPr>
          <w:sz w:val="24"/>
          <w:szCs w:val="24"/>
        </w:rPr>
        <w:t>kN</w:t>
      </w:r>
      <w:r>
        <w:rPr>
          <w:spacing w:val="-1"/>
          <w:sz w:val="24"/>
          <w:szCs w:val="24"/>
        </w:rPr>
        <w:t>/㎡。</w:t>
      </w:r>
    </w:p>
    <w:p w14:paraId="37E4361F">
      <w:pPr>
        <w:spacing w:line="360" w:lineRule="auto"/>
        <w:rPr>
          <w:spacing w:val="5"/>
          <w:sz w:val="24"/>
          <w:szCs w:val="24"/>
        </w:rPr>
      </w:pPr>
      <w:r>
        <w:rPr>
          <w:b/>
          <w:bCs/>
          <w:sz w:val="24"/>
          <w:szCs w:val="24"/>
        </w:rPr>
        <w:t>4.4.7</w:t>
      </w:r>
      <w:r>
        <w:rPr>
          <w:spacing w:val="5"/>
          <w:sz w:val="24"/>
          <w:szCs w:val="24"/>
        </w:rPr>
        <w:t xml:space="preserve">  操作平台防护栏杆应采用扣接或承插方式与平台连接牢固，</w:t>
      </w:r>
      <w:r>
        <w:rPr>
          <w:spacing w:val="-1"/>
          <w:sz w:val="24"/>
          <w:szCs w:val="24"/>
        </w:rPr>
        <w:t>台面应满铺5</w:t>
      </w:r>
      <w:r>
        <w:rPr>
          <w:sz w:val="24"/>
          <w:szCs w:val="24"/>
        </w:rPr>
        <w:t>㎜</w:t>
      </w:r>
      <w:r>
        <w:rPr>
          <w:spacing w:val="-1"/>
          <w:sz w:val="24"/>
          <w:szCs w:val="24"/>
        </w:rPr>
        <w:t>厚钢质或50</w:t>
      </w:r>
      <w:r>
        <w:rPr>
          <w:sz w:val="24"/>
          <w:szCs w:val="24"/>
        </w:rPr>
        <w:t>㎜</w:t>
      </w:r>
      <w:r>
        <w:rPr>
          <w:spacing w:val="-1"/>
          <w:sz w:val="24"/>
          <w:szCs w:val="24"/>
        </w:rPr>
        <w:t>厚木质的脚手板，并固定牢固。移动操作平台示意图见图</w:t>
      </w:r>
      <w:r>
        <w:rPr>
          <w:sz w:val="24"/>
          <w:szCs w:val="24"/>
        </w:rPr>
        <w:t>4.4.7-1、4.4.7-2、4.4.7-3、4.4.7-4</w:t>
      </w:r>
      <w:r>
        <w:rPr>
          <w:spacing w:val="-1"/>
          <w:sz w:val="24"/>
          <w:szCs w:val="24"/>
        </w:rPr>
        <w:t>。</w:t>
      </w:r>
    </w:p>
    <w:p w14:paraId="48FD075F">
      <w:pPr>
        <w:spacing w:before="28" w:line="360" w:lineRule="auto"/>
        <w:jc w:val="center"/>
        <w:textAlignment w:val="center"/>
        <w:rPr>
          <w:szCs w:val="21"/>
        </w:rPr>
      </w:pPr>
      <w:bookmarkStart w:id="80" w:name="PageNo100350028"/>
      <w:r>
        <w:drawing>
          <wp:inline distT="0" distB="0" distL="114300" distR="114300">
            <wp:extent cx="4132580" cy="215328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42"/>
                    <a:srcRect l="15244" t="12804" r="39231" b="30851"/>
                    <a:stretch>
                      <a:fillRect/>
                    </a:stretch>
                  </pic:blipFill>
                  <pic:spPr>
                    <a:xfrm>
                      <a:off x="0" y="0"/>
                      <a:ext cx="4144048" cy="2159582"/>
                    </a:xfrm>
                    <a:prstGeom prst="rect">
                      <a:avLst/>
                    </a:prstGeom>
                    <a:noFill/>
                    <a:ln>
                      <a:noFill/>
                    </a:ln>
                  </pic:spPr>
                </pic:pic>
              </a:graphicData>
            </a:graphic>
          </wp:inline>
        </w:drawing>
      </w:r>
      <w:bookmarkEnd w:id="80"/>
    </w:p>
    <w:p w14:paraId="2E10A5A0">
      <w:pPr>
        <w:spacing w:line="360" w:lineRule="auto"/>
        <w:jc w:val="center"/>
        <w:rPr>
          <w:rFonts w:eastAsia="黑体"/>
          <w:spacing w:val="5"/>
          <w:sz w:val="18"/>
          <w:szCs w:val="18"/>
        </w:rPr>
      </w:pPr>
      <w:r>
        <w:rPr>
          <w:rFonts w:eastAsia="黑体"/>
          <w:spacing w:val="10"/>
          <w:sz w:val="18"/>
          <w:szCs w:val="18"/>
        </w:rPr>
        <w:t>图4.4.</w:t>
      </w:r>
      <w:r>
        <w:rPr>
          <w:rFonts w:eastAsia="黑体"/>
          <w:spacing w:val="9"/>
          <w:sz w:val="18"/>
          <w:szCs w:val="18"/>
        </w:rPr>
        <w:t>7</w:t>
      </w:r>
      <w:r>
        <w:rPr>
          <w:rFonts w:eastAsia="黑体"/>
          <w:spacing w:val="5"/>
          <w:sz w:val="18"/>
          <w:szCs w:val="18"/>
        </w:rPr>
        <w:t>-1扣件钢管移动式操作平台        图4.4.7-2 扣件钢管移动式操作平台</w:t>
      </w:r>
    </w:p>
    <w:p w14:paraId="4FAEA3FF">
      <w:pPr>
        <w:spacing w:line="360" w:lineRule="auto"/>
        <w:ind w:firstLine="2090" w:firstLineChars="1100"/>
        <w:jc w:val="left"/>
        <w:rPr>
          <w:rFonts w:eastAsia="黑体"/>
          <w:sz w:val="18"/>
          <w:szCs w:val="18"/>
        </w:rPr>
      </w:pPr>
      <w:r>
        <w:rPr>
          <w:rFonts w:eastAsia="黑体"/>
          <w:spacing w:val="5"/>
          <w:sz w:val="18"/>
          <w:szCs w:val="18"/>
        </w:rPr>
        <w:t>正立面示意图                         侧立面示意图</w:t>
      </w:r>
    </w:p>
    <w:p w14:paraId="79D6424D">
      <w:pPr>
        <w:spacing w:line="360" w:lineRule="auto"/>
        <w:jc w:val="center"/>
        <w:rPr>
          <w:rFonts w:eastAsia="黑体"/>
          <w:spacing w:val="-3"/>
          <w:sz w:val="18"/>
          <w:szCs w:val="18"/>
        </w:rPr>
      </w:pPr>
      <w:r>
        <w:rPr>
          <w:rFonts w:eastAsia="黑体"/>
          <w:spacing w:val="-10"/>
          <w:sz w:val="18"/>
          <w:szCs w:val="18"/>
        </w:rPr>
        <w:t>1-防护</w:t>
      </w:r>
      <w:r>
        <w:rPr>
          <w:rFonts w:eastAsia="黑体"/>
          <w:spacing w:val="-6"/>
          <w:sz w:val="18"/>
          <w:szCs w:val="18"/>
        </w:rPr>
        <w:t>栏</w:t>
      </w:r>
      <w:r>
        <w:rPr>
          <w:rFonts w:eastAsia="黑体"/>
          <w:spacing w:val="-5"/>
          <w:sz w:val="18"/>
          <w:szCs w:val="18"/>
        </w:rPr>
        <w:t>杆</w:t>
      </w:r>
      <w:r>
        <w:rPr>
          <w:rFonts w:eastAsia="黑体"/>
          <w:spacing w:val="-2"/>
          <w:sz w:val="18"/>
          <w:szCs w:val="18"/>
        </w:rPr>
        <w:t>；</w:t>
      </w:r>
      <w:r>
        <w:rPr>
          <w:rFonts w:eastAsia="黑体"/>
          <w:spacing w:val="-5"/>
          <w:sz w:val="18"/>
          <w:szCs w:val="18"/>
        </w:rPr>
        <w:t>2-密目式安全网</w:t>
      </w:r>
      <w:r>
        <w:rPr>
          <w:rFonts w:eastAsia="黑体"/>
          <w:spacing w:val="-2"/>
          <w:sz w:val="18"/>
          <w:szCs w:val="18"/>
        </w:rPr>
        <w:t>；</w:t>
      </w:r>
      <w:r>
        <w:rPr>
          <w:rFonts w:eastAsia="黑体"/>
          <w:spacing w:val="-5"/>
          <w:sz w:val="18"/>
          <w:szCs w:val="18"/>
        </w:rPr>
        <w:t>3-平台出入口封闭设施</w:t>
      </w:r>
      <w:r>
        <w:rPr>
          <w:rFonts w:eastAsia="黑体"/>
          <w:spacing w:val="-2"/>
          <w:sz w:val="18"/>
          <w:szCs w:val="18"/>
        </w:rPr>
        <w:t>；</w:t>
      </w:r>
      <w:r>
        <w:rPr>
          <w:rFonts w:eastAsia="黑体"/>
          <w:spacing w:val="-6"/>
          <w:sz w:val="18"/>
          <w:szCs w:val="18"/>
        </w:rPr>
        <w:t>4-挡</w:t>
      </w:r>
      <w:r>
        <w:rPr>
          <w:rFonts w:eastAsia="黑体"/>
          <w:spacing w:val="-4"/>
          <w:sz w:val="18"/>
          <w:szCs w:val="18"/>
        </w:rPr>
        <w:t>脚</w:t>
      </w:r>
      <w:r>
        <w:rPr>
          <w:rFonts w:eastAsia="黑体"/>
          <w:spacing w:val="-3"/>
          <w:sz w:val="18"/>
          <w:szCs w:val="18"/>
        </w:rPr>
        <w:t>板；</w:t>
      </w:r>
    </w:p>
    <w:p w14:paraId="2BBA8DEB">
      <w:pPr>
        <w:spacing w:line="360" w:lineRule="auto"/>
        <w:jc w:val="center"/>
        <w:rPr>
          <w:rFonts w:eastAsia="黑体"/>
          <w:spacing w:val="-3"/>
          <w:sz w:val="18"/>
          <w:szCs w:val="18"/>
        </w:rPr>
      </w:pPr>
      <w:r>
        <w:rPr>
          <w:rFonts w:eastAsia="黑体"/>
          <w:spacing w:val="-3"/>
          <w:sz w:val="18"/>
          <w:szCs w:val="18"/>
        </w:rPr>
        <w:t>5-脚手板</w:t>
      </w:r>
      <w:r>
        <w:rPr>
          <w:rFonts w:eastAsia="黑体"/>
          <w:spacing w:val="-2"/>
          <w:sz w:val="18"/>
          <w:szCs w:val="18"/>
        </w:rPr>
        <w:t>；</w:t>
      </w:r>
      <w:r>
        <w:rPr>
          <w:rFonts w:eastAsia="黑体"/>
          <w:spacing w:val="-3"/>
          <w:sz w:val="18"/>
          <w:szCs w:val="18"/>
        </w:rPr>
        <w:t>6-制动装置</w:t>
      </w:r>
    </w:p>
    <w:p w14:paraId="2EE33349">
      <w:pPr>
        <w:spacing w:before="50" w:line="360" w:lineRule="auto"/>
        <w:jc w:val="center"/>
        <w:textAlignment w:val="center"/>
        <w:rPr>
          <w:szCs w:val="21"/>
        </w:rPr>
      </w:pPr>
      <w:r>
        <w:drawing>
          <wp:inline distT="0" distB="0" distL="114300" distR="114300">
            <wp:extent cx="4785360" cy="238633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43"/>
                    <a:srcRect l="33478" t="21054" r="25350" b="30163"/>
                    <a:stretch>
                      <a:fillRect/>
                    </a:stretch>
                  </pic:blipFill>
                  <pic:spPr>
                    <a:xfrm>
                      <a:off x="0" y="0"/>
                      <a:ext cx="4809836" cy="2398658"/>
                    </a:xfrm>
                    <a:prstGeom prst="rect">
                      <a:avLst/>
                    </a:prstGeom>
                    <a:noFill/>
                    <a:ln>
                      <a:noFill/>
                    </a:ln>
                  </pic:spPr>
                </pic:pic>
              </a:graphicData>
            </a:graphic>
          </wp:inline>
        </w:drawing>
      </w:r>
    </w:p>
    <w:p w14:paraId="5D3332DC">
      <w:pPr>
        <w:spacing w:line="360" w:lineRule="auto"/>
        <w:ind w:firstLine="400" w:firstLineChars="200"/>
        <w:jc w:val="left"/>
        <w:rPr>
          <w:rFonts w:eastAsia="黑体"/>
          <w:sz w:val="18"/>
          <w:szCs w:val="18"/>
        </w:rPr>
      </w:pPr>
      <w:r>
        <w:rPr>
          <w:rFonts w:eastAsia="黑体"/>
          <w:spacing w:val="10"/>
          <w:sz w:val="18"/>
          <w:szCs w:val="18"/>
        </w:rPr>
        <w:t>图4.</w:t>
      </w:r>
      <w:r>
        <w:rPr>
          <w:rFonts w:eastAsia="黑体"/>
          <w:spacing w:val="9"/>
          <w:sz w:val="18"/>
          <w:szCs w:val="18"/>
        </w:rPr>
        <w:t>4</w:t>
      </w:r>
      <w:r>
        <w:rPr>
          <w:rFonts w:eastAsia="黑体"/>
          <w:spacing w:val="5"/>
          <w:sz w:val="18"/>
          <w:szCs w:val="18"/>
        </w:rPr>
        <w:t>.7-3门式移动操作平台正立面示意图     图4.4.7-4门式移动操作平台侧立面示意图</w:t>
      </w:r>
    </w:p>
    <w:p w14:paraId="10331CBC">
      <w:pPr>
        <w:spacing w:line="360" w:lineRule="auto"/>
        <w:jc w:val="center"/>
        <w:rPr>
          <w:rFonts w:eastAsia="黑体"/>
          <w:spacing w:val="-2"/>
          <w:sz w:val="18"/>
          <w:szCs w:val="18"/>
        </w:rPr>
      </w:pPr>
      <w:r>
        <w:rPr>
          <w:rFonts w:eastAsia="黑体"/>
          <w:spacing w:val="-30"/>
          <w:sz w:val="18"/>
          <w:szCs w:val="18"/>
        </w:rPr>
        <w:t>1</w:t>
      </w:r>
      <w:r>
        <w:rPr>
          <w:rFonts w:eastAsia="黑体"/>
          <w:spacing w:val="-15"/>
          <w:sz w:val="18"/>
          <w:szCs w:val="18"/>
        </w:rPr>
        <w:t>-爬梯</w:t>
      </w:r>
      <w:r>
        <w:rPr>
          <w:rFonts w:eastAsia="黑体"/>
          <w:spacing w:val="-2"/>
          <w:sz w:val="18"/>
          <w:szCs w:val="18"/>
        </w:rPr>
        <w:t>；</w:t>
      </w:r>
      <w:r>
        <w:rPr>
          <w:rFonts w:eastAsia="黑体"/>
          <w:spacing w:val="-15"/>
          <w:sz w:val="18"/>
          <w:szCs w:val="18"/>
        </w:rPr>
        <w:t>2-支腿</w:t>
      </w:r>
      <w:r>
        <w:rPr>
          <w:rFonts w:eastAsia="黑体"/>
          <w:spacing w:val="-2"/>
          <w:sz w:val="18"/>
          <w:szCs w:val="18"/>
        </w:rPr>
        <w:t>；</w:t>
      </w:r>
      <w:r>
        <w:rPr>
          <w:rFonts w:eastAsia="黑体"/>
          <w:spacing w:val="-15"/>
          <w:sz w:val="18"/>
          <w:szCs w:val="18"/>
        </w:rPr>
        <w:t>3-制动装置</w:t>
      </w:r>
      <w:r>
        <w:rPr>
          <w:rFonts w:eastAsia="黑体"/>
          <w:spacing w:val="-2"/>
          <w:sz w:val="18"/>
          <w:szCs w:val="18"/>
        </w:rPr>
        <w:t>；</w:t>
      </w:r>
      <w:r>
        <w:rPr>
          <w:rFonts w:eastAsia="黑体"/>
          <w:spacing w:val="-15"/>
          <w:sz w:val="18"/>
          <w:szCs w:val="18"/>
        </w:rPr>
        <w:t>4-防护栏杆</w:t>
      </w:r>
      <w:r>
        <w:rPr>
          <w:rFonts w:eastAsia="黑体"/>
          <w:spacing w:val="-2"/>
          <w:sz w:val="18"/>
          <w:szCs w:val="18"/>
        </w:rPr>
        <w:t>；5-踢脚板；</w:t>
      </w:r>
    </w:p>
    <w:p w14:paraId="13E2009C">
      <w:pPr>
        <w:spacing w:line="360" w:lineRule="auto"/>
        <w:jc w:val="center"/>
        <w:rPr>
          <w:rFonts w:eastAsia="黑体"/>
          <w:spacing w:val="-1"/>
          <w:sz w:val="18"/>
          <w:szCs w:val="18"/>
        </w:rPr>
      </w:pPr>
      <w:r>
        <w:rPr>
          <w:rFonts w:eastAsia="黑体"/>
          <w:spacing w:val="-2"/>
          <w:sz w:val="18"/>
          <w:szCs w:val="18"/>
        </w:rPr>
        <w:t>6-密目式安全网；7-平</w:t>
      </w:r>
      <w:r>
        <w:rPr>
          <w:rFonts w:eastAsia="黑体"/>
          <w:spacing w:val="-1"/>
          <w:sz w:val="18"/>
          <w:szCs w:val="18"/>
        </w:rPr>
        <w:t>台出入口封闭措施</w:t>
      </w:r>
    </w:p>
    <w:p w14:paraId="603E2FDF">
      <w:pPr>
        <w:spacing w:line="360" w:lineRule="auto"/>
        <w:rPr>
          <w:sz w:val="24"/>
          <w:szCs w:val="24"/>
        </w:rPr>
      </w:pPr>
      <w:r>
        <w:rPr>
          <w:b/>
          <w:bCs/>
          <w:sz w:val="24"/>
          <w:szCs w:val="24"/>
        </w:rPr>
        <w:t>4.4.8</w:t>
      </w:r>
      <w:r>
        <w:rPr>
          <w:spacing w:val="7"/>
          <w:sz w:val="24"/>
          <w:szCs w:val="24"/>
        </w:rPr>
        <w:t xml:space="preserve">  移动式升降操作平台作业区域应设置警戒线，警戒线距离平台水平间距不应小于2m</w:t>
      </w:r>
      <w:r>
        <w:rPr>
          <w:sz w:val="24"/>
          <w:szCs w:val="24"/>
        </w:rPr>
        <w:t>，</w:t>
      </w:r>
      <w:r>
        <w:rPr>
          <w:spacing w:val="6"/>
          <w:sz w:val="24"/>
          <w:szCs w:val="24"/>
        </w:rPr>
        <w:t>剪叉式升降操作平台提升高度不宜大于5m</w:t>
      </w:r>
      <w:r>
        <w:rPr>
          <w:spacing w:val="5"/>
          <w:sz w:val="24"/>
          <w:szCs w:val="24"/>
        </w:rPr>
        <w:t>。</w:t>
      </w:r>
      <w:r>
        <w:rPr>
          <w:spacing w:val="8"/>
          <w:sz w:val="24"/>
          <w:szCs w:val="24"/>
        </w:rPr>
        <w:t>同一作业区域</w:t>
      </w:r>
      <w:r>
        <w:rPr>
          <w:spacing w:val="5"/>
          <w:sz w:val="24"/>
          <w:szCs w:val="24"/>
        </w:rPr>
        <w:t>内</w:t>
      </w:r>
      <w:r>
        <w:rPr>
          <w:spacing w:val="4"/>
          <w:sz w:val="24"/>
          <w:szCs w:val="24"/>
        </w:rPr>
        <w:t>，有2台及以上的移动式操作平台作业时，应保持安全距离并设置好警戒线</w:t>
      </w:r>
      <w:r>
        <w:rPr>
          <w:spacing w:val="3"/>
          <w:sz w:val="24"/>
          <w:szCs w:val="24"/>
        </w:rPr>
        <w:t>。多台设备同步作业安全距离(曲臂式)示意图见图4.4.8-1，多台设备同步作业安全距离(剪叉式)示意图见</w:t>
      </w:r>
      <w:bookmarkStart w:id="81" w:name="PageNo100360029"/>
      <w:r>
        <w:rPr>
          <w:sz w:val="24"/>
          <w:szCs w:val="24"/>
        </w:rPr>
        <w:t>图</w:t>
      </w:r>
      <w:bookmarkEnd w:id="81"/>
      <w:r>
        <w:rPr>
          <w:spacing w:val="3"/>
          <w:sz w:val="24"/>
          <w:szCs w:val="24"/>
        </w:rPr>
        <w:t>4.4.8-2。</w:t>
      </w:r>
    </w:p>
    <w:p w14:paraId="4CBF57A0">
      <w:pPr>
        <w:spacing w:before="104" w:line="360" w:lineRule="auto"/>
        <w:jc w:val="center"/>
        <w:textAlignment w:val="center"/>
        <w:rPr>
          <w:szCs w:val="21"/>
        </w:rPr>
      </w:pPr>
      <w:r>
        <w:drawing>
          <wp:inline distT="0" distB="0" distL="114300" distR="114300">
            <wp:extent cx="5437505" cy="256667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44"/>
                    <a:srcRect l="36348" t="29476" r="36179" b="39731"/>
                    <a:stretch>
                      <a:fillRect/>
                    </a:stretch>
                  </pic:blipFill>
                  <pic:spPr>
                    <a:xfrm>
                      <a:off x="0" y="0"/>
                      <a:ext cx="5437505" cy="2566670"/>
                    </a:xfrm>
                    <a:prstGeom prst="rect">
                      <a:avLst/>
                    </a:prstGeom>
                    <a:noFill/>
                    <a:ln>
                      <a:noFill/>
                    </a:ln>
                  </pic:spPr>
                </pic:pic>
              </a:graphicData>
            </a:graphic>
          </wp:inline>
        </w:drawing>
      </w:r>
    </w:p>
    <w:p w14:paraId="63917841">
      <w:pPr>
        <w:spacing w:line="360" w:lineRule="auto"/>
        <w:jc w:val="center"/>
        <w:rPr>
          <w:rFonts w:eastAsia="黑体"/>
          <w:sz w:val="18"/>
          <w:szCs w:val="18"/>
        </w:rPr>
      </w:pPr>
      <w:r>
        <w:rPr>
          <w:rFonts w:eastAsia="黑体"/>
          <w:spacing w:val="10"/>
          <w:sz w:val="18"/>
          <w:szCs w:val="18"/>
        </w:rPr>
        <w:t>图</w:t>
      </w:r>
      <w:r>
        <w:rPr>
          <w:rFonts w:eastAsia="黑体"/>
          <w:spacing w:val="5"/>
          <w:sz w:val="18"/>
          <w:szCs w:val="18"/>
        </w:rPr>
        <w:t>4.4.8-1 多台设备同步作业安全距离(曲臂式)示意图</w:t>
      </w:r>
    </w:p>
    <w:p w14:paraId="5EBF3B5D">
      <w:pPr>
        <w:spacing w:line="360" w:lineRule="auto"/>
        <w:jc w:val="center"/>
        <w:rPr>
          <w:rFonts w:eastAsia="黑体"/>
          <w:sz w:val="18"/>
          <w:szCs w:val="18"/>
        </w:rPr>
      </w:pPr>
      <w:r>
        <w:rPr>
          <w:rFonts w:eastAsia="黑体"/>
          <w:spacing w:val="-20"/>
          <w:sz w:val="18"/>
          <w:szCs w:val="18"/>
        </w:rPr>
        <w:t>1</w:t>
      </w:r>
      <w:r>
        <w:rPr>
          <w:rFonts w:eastAsia="黑体"/>
          <w:spacing w:val="-10"/>
          <w:sz w:val="18"/>
          <w:szCs w:val="18"/>
        </w:rPr>
        <w:t>-曲臂式升降操作平台；2-防护栏杆；3-踢脚板；4-警戒线</w:t>
      </w:r>
    </w:p>
    <w:p w14:paraId="6955523F">
      <w:pPr>
        <w:spacing w:before="68" w:line="360" w:lineRule="auto"/>
        <w:jc w:val="center"/>
        <w:textAlignment w:val="center"/>
        <w:rPr>
          <w:szCs w:val="21"/>
        </w:rPr>
      </w:pPr>
      <w:r>
        <w:drawing>
          <wp:inline distT="0" distB="0" distL="114300" distR="114300">
            <wp:extent cx="5572760" cy="3158490"/>
            <wp:effectExtent l="0" t="0" r="889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45"/>
                    <a:srcRect l="31850" t="23288" r="27400" b="21856"/>
                    <a:stretch>
                      <a:fillRect/>
                    </a:stretch>
                  </pic:blipFill>
                  <pic:spPr>
                    <a:xfrm>
                      <a:off x="0" y="0"/>
                      <a:ext cx="5572760" cy="3158490"/>
                    </a:xfrm>
                    <a:prstGeom prst="rect">
                      <a:avLst/>
                    </a:prstGeom>
                    <a:noFill/>
                    <a:ln>
                      <a:noFill/>
                    </a:ln>
                  </pic:spPr>
                </pic:pic>
              </a:graphicData>
            </a:graphic>
          </wp:inline>
        </w:drawing>
      </w:r>
    </w:p>
    <w:p w14:paraId="09413792">
      <w:pPr>
        <w:spacing w:line="360" w:lineRule="auto"/>
        <w:jc w:val="center"/>
        <w:rPr>
          <w:rFonts w:eastAsia="黑体"/>
          <w:sz w:val="18"/>
          <w:szCs w:val="18"/>
        </w:rPr>
      </w:pPr>
      <w:r>
        <w:rPr>
          <w:rFonts w:eastAsia="黑体"/>
          <w:spacing w:val="5"/>
          <w:sz w:val="18"/>
          <w:szCs w:val="18"/>
        </w:rPr>
        <w:t>图4.4.8-2 多台设备同步作业安全距离(剪叉</w:t>
      </w:r>
      <w:r>
        <w:rPr>
          <w:rFonts w:eastAsia="黑体"/>
          <w:spacing w:val="4"/>
          <w:sz w:val="18"/>
          <w:szCs w:val="18"/>
        </w:rPr>
        <w:t>式</w:t>
      </w:r>
      <w:r>
        <w:rPr>
          <w:rFonts w:eastAsia="黑体"/>
          <w:sz w:val="18"/>
          <w:szCs w:val="18"/>
        </w:rPr>
        <w:t>)示意图</w:t>
      </w:r>
    </w:p>
    <w:p w14:paraId="25FD991C">
      <w:pPr>
        <w:spacing w:line="360" w:lineRule="auto"/>
        <w:jc w:val="center"/>
        <w:rPr>
          <w:rFonts w:eastAsia="黑体"/>
          <w:spacing w:val="-8"/>
          <w:sz w:val="18"/>
          <w:szCs w:val="18"/>
        </w:rPr>
      </w:pPr>
      <w:r>
        <w:rPr>
          <w:rFonts w:eastAsia="黑体"/>
          <w:spacing w:val="-16"/>
          <w:sz w:val="18"/>
          <w:szCs w:val="18"/>
        </w:rPr>
        <w:t>1</w:t>
      </w:r>
      <w:r>
        <w:rPr>
          <w:rFonts w:eastAsia="黑体"/>
          <w:spacing w:val="-8"/>
          <w:sz w:val="18"/>
          <w:szCs w:val="18"/>
        </w:rPr>
        <w:t>-剪叉式升降操作平台；2-防护栏杆；3-踢脚板；4-警戒线</w:t>
      </w:r>
    </w:p>
    <w:p w14:paraId="0CE77C13">
      <w:pPr>
        <w:spacing w:line="360" w:lineRule="auto"/>
        <w:rPr>
          <w:spacing w:val="7"/>
          <w:sz w:val="24"/>
          <w:szCs w:val="24"/>
        </w:rPr>
      </w:pPr>
      <w:r>
        <w:rPr>
          <w:b/>
          <w:bCs/>
          <w:sz w:val="24"/>
          <w:szCs w:val="24"/>
        </w:rPr>
        <w:t>4.4.9</w:t>
      </w:r>
      <w:r>
        <w:rPr>
          <w:spacing w:val="7"/>
          <w:sz w:val="24"/>
          <w:szCs w:val="24"/>
        </w:rPr>
        <w:t xml:space="preserve">  </w:t>
      </w:r>
      <w:r>
        <w:rPr>
          <w:spacing w:val="5"/>
          <w:sz w:val="24"/>
          <w:szCs w:val="24"/>
        </w:rPr>
        <w:t>曲臂式、剪叉式操作平台作业人员安全带应系挂</w:t>
      </w:r>
      <w:r>
        <w:rPr>
          <w:rFonts w:hint="eastAsia"/>
          <w:spacing w:val="5"/>
          <w:sz w:val="24"/>
          <w:szCs w:val="24"/>
        </w:rPr>
        <w:t>在</w:t>
      </w:r>
      <w:r>
        <w:rPr>
          <w:spacing w:val="5"/>
          <w:sz w:val="24"/>
          <w:szCs w:val="24"/>
        </w:rPr>
        <w:t>可靠位置</w:t>
      </w:r>
      <w:r>
        <w:rPr>
          <w:spacing w:val="7"/>
          <w:sz w:val="24"/>
          <w:szCs w:val="24"/>
        </w:rPr>
        <w:t>。</w:t>
      </w:r>
    </w:p>
    <w:p w14:paraId="278FA185">
      <w:pPr>
        <w:spacing w:line="360" w:lineRule="auto"/>
        <w:rPr>
          <w:sz w:val="24"/>
          <w:szCs w:val="24"/>
        </w:rPr>
      </w:pPr>
      <w:r>
        <w:rPr>
          <w:b/>
          <w:bCs/>
          <w:sz w:val="24"/>
          <w:szCs w:val="24"/>
        </w:rPr>
        <w:t>4.4.10</w:t>
      </w:r>
      <w:r>
        <w:rPr>
          <w:b/>
          <w:bCs/>
          <w:spacing w:val="2"/>
          <w:sz w:val="24"/>
          <w:szCs w:val="24"/>
        </w:rPr>
        <w:t xml:space="preserve">  </w:t>
      </w:r>
      <w:r>
        <w:rPr>
          <w:spacing w:val="2"/>
          <w:sz w:val="24"/>
          <w:szCs w:val="24"/>
        </w:rPr>
        <w:t>插杠式电梯井操作平台主龙骨应采用14#及以上型号工字钢、槽钢等型钢制作，吊环应采用不小于</w:t>
      </w:r>
      <w:r>
        <w:rPr>
          <w:sz w:val="24"/>
          <w:szCs w:val="24"/>
        </w:rPr>
        <w:t>HPB</w:t>
      </w:r>
      <w:r>
        <w:rPr>
          <w:spacing w:val="2"/>
          <w:sz w:val="24"/>
          <w:szCs w:val="24"/>
        </w:rPr>
        <w:t>300-φ1</w:t>
      </w:r>
      <w:r>
        <w:rPr>
          <w:spacing w:val="1"/>
          <w:sz w:val="24"/>
          <w:szCs w:val="24"/>
        </w:rPr>
        <w:t>6</w:t>
      </w:r>
      <w:r>
        <w:rPr>
          <w:sz w:val="24"/>
          <w:szCs w:val="24"/>
        </w:rPr>
        <w:t>及以</w:t>
      </w:r>
      <w:r>
        <w:rPr>
          <w:spacing w:val="2"/>
          <w:sz w:val="24"/>
          <w:szCs w:val="24"/>
        </w:rPr>
        <w:t>上圆钢，台面应采用50</w:t>
      </w:r>
      <w:r>
        <w:rPr>
          <w:sz w:val="24"/>
          <w:szCs w:val="24"/>
        </w:rPr>
        <w:t>㎜</w:t>
      </w:r>
      <w:r>
        <w:rPr>
          <w:spacing w:val="2"/>
          <w:sz w:val="24"/>
          <w:szCs w:val="24"/>
        </w:rPr>
        <w:t>厚脚手板或不小于3</w:t>
      </w:r>
      <w:r>
        <w:rPr>
          <w:sz w:val="24"/>
          <w:szCs w:val="24"/>
        </w:rPr>
        <w:t>㎜</w:t>
      </w:r>
      <w:r>
        <w:rPr>
          <w:spacing w:val="2"/>
          <w:sz w:val="24"/>
          <w:szCs w:val="24"/>
        </w:rPr>
        <w:t>厚</w:t>
      </w:r>
      <w:bookmarkStart w:id="82" w:name="PageNo100370030"/>
      <w:r>
        <w:rPr>
          <w:spacing w:val="2"/>
          <w:sz w:val="24"/>
          <w:szCs w:val="24"/>
        </w:rPr>
        <w:t>花</w:t>
      </w:r>
      <w:bookmarkEnd w:id="82"/>
      <w:r>
        <w:rPr>
          <w:spacing w:val="2"/>
          <w:sz w:val="24"/>
          <w:szCs w:val="24"/>
        </w:rPr>
        <w:t>纹钢板制作。插杠式电梯井操作平台示意图见图4.4</w:t>
      </w:r>
      <w:r>
        <w:rPr>
          <w:sz w:val="24"/>
          <w:szCs w:val="24"/>
        </w:rPr>
        <w:t>.10。</w:t>
      </w:r>
    </w:p>
    <w:p w14:paraId="4C344322">
      <w:pPr>
        <w:spacing w:line="360" w:lineRule="auto"/>
        <w:jc w:val="center"/>
        <w:textAlignment w:val="center"/>
        <w:rPr>
          <w:szCs w:val="21"/>
        </w:rPr>
      </w:pPr>
      <w:r>
        <w:drawing>
          <wp:inline distT="0" distB="0" distL="114300" distR="114300">
            <wp:extent cx="2205355" cy="1962785"/>
            <wp:effectExtent l="0" t="0" r="0" b="1841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46"/>
                    <a:srcRect l="45646" t="35348" r="29896" b="12948"/>
                    <a:stretch>
                      <a:fillRect/>
                    </a:stretch>
                  </pic:blipFill>
                  <pic:spPr>
                    <a:xfrm>
                      <a:off x="0" y="0"/>
                      <a:ext cx="2205355" cy="1962785"/>
                    </a:xfrm>
                    <a:prstGeom prst="rect">
                      <a:avLst/>
                    </a:prstGeom>
                    <a:noFill/>
                    <a:ln>
                      <a:noFill/>
                    </a:ln>
                  </pic:spPr>
                </pic:pic>
              </a:graphicData>
            </a:graphic>
          </wp:inline>
        </w:drawing>
      </w:r>
    </w:p>
    <w:p w14:paraId="0C0044B3">
      <w:pPr>
        <w:spacing w:line="360" w:lineRule="auto"/>
        <w:jc w:val="center"/>
        <w:rPr>
          <w:rFonts w:eastAsia="黑体"/>
          <w:sz w:val="18"/>
          <w:szCs w:val="18"/>
        </w:rPr>
      </w:pPr>
      <w:r>
        <w:rPr>
          <w:rFonts w:eastAsia="黑体"/>
          <w:spacing w:val="4"/>
          <w:sz w:val="18"/>
          <w:szCs w:val="18"/>
        </w:rPr>
        <w:t>图4.4.10 插杠式电梯井操作平台示意图</w:t>
      </w:r>
    </w:p>
    <w:p w14:paraId="0158363C">
      <w:pPr>
        <w:tabs>
          <w:tab w:val="left" w:pos="5250"/>
        </w:tabs>
        <w:spacing w:line="360" w:lineRule="auto"/>
        <w:jc w:val="center"/>
        <w:rPr>
          <w:rFonts w:eastAsia="黑体"/>
          <w:spacing w:val="-7"/>
          <w:sz w:val="18"/>
          <w:szCs w:val="18"/>
        </w:rPr>
      </w:pPr>
      <w:r>
        <w:rPr>
          <w:rFonts w:eastAsia="黑体"/>
          <w:spacing w:val="-14"/>
          <w:sz w:val="18"/>
          <w:szCs w:val="18"/>
        </w:rPr>
        <w:t>1</w:t>
      </w:r>
      <w:r>
        <w:rPr>
          <w:rFonts w:eastAsia="黑体"/>
          <w:spacing w:val="-10"/>
          <w:sz w:val="18"/>
          <w:szCs w:val="18"/>
        </w:rPr>
        <w:t>-</w:t>
      </w:r>
      <w:r>
        <w:rPr>
          <w:rFonts w:eastAsia="黑体"/>
          <w:spacing w:val="-7"/>
          <w:sz w:val="18"/>
          <w:szCs w:val="18"/>
        </w:rPr>
        <w:t>工字钢、槽钢</w:t>
      </w:r>
      <w:r>
        <w:rPr>
          <w:rFonts w:eastAsia="黑体"/>
          <w:spacing w:val="-2"/>
          <w:sz w:val="18"/>
          <w:szCs w:val="18"/>
        </w:rPr>
        <w:t>；</w:t>
      </w:r>
      <w:r>
        <w:rPr>
          <w:rFonts w:eastAsia="黑体"/>
          <w:spacing w:val="-7"/>
          <w:sz w:val="18"/>
          <w:szCs w:val="18"/>
        </w:rPr>
        <w:t>2-脚手板或钢板</w:t>
      </w:r>
      <w:r>
        <w:rPr>
          <w:rFonts w:eastAsia="黑体"/>
          <w:spacing w:val="-2"/>
          <w:sz w:val="18"/>
          <w:szCs w:val="18"/>
        </w:rPr>
        <w:t>；</w:t>
      </w:r>
      <w:r>
        <w:rPr>
          <w:rFonts w:eastAsia="黑体"/>
          <w:spacing w:val="-7"/>
          <w:sz w:val="18"/>
          <w:szCs w:val="18"/>
        </w:rPr>
        <w:t>3-圆钢</w:t>
      </w:r>
    </w:p>
    <w:p w14:paraId="30255FE8">
      <w:pPr>
        <w:spacing w:line="360" w:lineRule="auto"/>
        <w:rPr>
          <w:sz w:val="24"/>
          <w:szCs w:val="24"/>
        </w:rPr>
      </w:pPr>
      <w:r>
        <w:rPr>
          <w:b/>
          <w:bCs/>
          <w:sz w:val="24"/>
          <w:szCs w:val="24"/>
        </w:rPr>
        <w:t>4.4.11</w:t>
      </w:r>
      <w:r>
        <w:rPr>
          <w:spacing w:val="6"/>
          <w:sz w:val="24"/>
          <w:szCs w:val="24"/>
        </w:rPr>
        <w:t xml:space="preserve">  插杠主龙骨应采用14#及以上型号工字钢支撑，伸出墙体长度不</w:t>
      </w:r>
      <w:r>
        <w:rPr>
          <w:spacing w:val="-1"/>
          <w:sz w:val="24"/>
          <w:szCs w:val="24"/>
        </w:rPr>
        <w:t>小于300</w:t>
      </w:r>
      <w:r>
        <w:rPr>
          <w:sz w:val="24"/>
          <w:szCs w:val="24"/>
        </w:rPr>
        <w:t>㎜</w:t>
      </w:r>
      <w:r>
        <w:rPr>
          <w:spacing w:val="-1"/>
          <w:sz w:val="24"/>
          <w:szCs w:val="24"/>
        </w:rPr>
        <w:t>。插杠示意图见图4.4</w:t>
      </w:r>
      <w:r>
        <w:rPr>
          <w:sz w:val="24"/>
          <w:szCs w:val="24"/>
        </w:rPr>
        <w:t>.11-1，插杠式电梯井操作平台安装示意图见图4.4.11-2。</w:t>
      </w:r>
    </w:p>
    <w:p w14:paraId="24DD2565">
      <w:pPr>
        <w:spacing w:line="360" w:lineRule="auto"/>
        <w:jc w:val="center"/>
        <w:textAlignment w:val="center"/>
        <w:rPr>
          <w:szCs w:val="21"/>
        </w:rPr>
      </w:pPr>
      <w:r>
        <w:drawing>
          <wp:inline distT="0" distB="0" distL="114300" distR="114300">
            <wp:extent cx="3732530" cy="1726565"/>
            <wp:effectExtent l="0" t="0" r="127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47"/>
                    <a:srcRect l="44694" t="50874" r="29703" b="20997"/>
                    <a:stretch>
                      <a:fillRect/>
                    </a:stretch>
                  </pic:blipFill>
                  <pic:spPr>
                    <a:xfrm>
                      <a:off x="0" y="0"/>
                      <a:ext cx="3732530" cy="1726565"/>
                    </a:xfrm>
                    <a:prstGeom prst="rect">
                      <a:avLst/>
                    </a:prstGeom>
                    <a:noFill/>
                    <a:ln>
                      <a:noFill/>
                    </a:ln>
                  </pic:spPr>
                </pic:pic>
              </a:graphicData>
            </a:graphic>
          </wp:inline>
        </w:drawing>
      </w:r>
    </w:p>
    <w:p w14:paraId="52F05810">
      <w:pPr>
        <w:spacing w:line="360" w:lineRule="auto"/>
        <w:jc w:val="center"/>
        <w:rPr>
          <w:rFonts w:eastAsia="黑体"/>
          <w:sz w:val="18"/>
          <w:szCs w:val="18"/>
        </w:rPr>
      </w:pPr>
      <w:r>
        <w:rPr>
          <w:rFonts w:eastAsia="黑体"/>
          <w:spacing w:val="10"/>
          <w:sz w:val="18"/>
          <w:szCs w:val="18"/>
        </w:rPr>
        <w:t>图4</w:t>
      </w:r>
      <w:r>
        <w:rPr>
          <w:rFonts w:eastAsia="黑体"/>
          <w:spacing w:val="7"/>
          <w:sz w:val="18"/>
          <w:szCs w:val="18"/>
        </w:rPr>
        <w:t>.</w:t>
      </w:r>
      <w:r>
        <w:rPr>
          <w:rFonts w:eastAsia="黑体"/>
          <w:spacing w:val="5"/>
          <w:sz w:val="18"/>
          <w:szCs w:val="18"/>
        </w:rPr>
        <w:t>4.11—1 插杠示意图</w:t>
      </w:r>
    </w:p>
    <w:p w14:paraId="696F4121">
      <w:pPr>
        <w:spacing w:line="360" w:lineRule="auto"/>
        <w:jc w:val="center"/>
        <w:rPr>
          <w:rFonts w:eastAsia="黑体"/>
          <w:sz w:val="18"/>
          <w:szCs w:val="18"/>
        </w:rPr>
      </w:pPr>
      <w:r>
        <w:rPr>
          <w:rFonts w:eastAsia="黑体"/>
          <w:spacing w:val="-17"/>
          <w:sz w:val="18"/>
          <w:szCs w:val="18"/>
        </w:rPr>
        <w:t>1</w:t>
      </w:r>
      <w:r>
        <w:rPr>
          <w:rFonts w:eastAsia="黑体"/>
          <w:spacing w:val="-11"/>
          <w:sz w:val="18"/>
          <w:szCs w:val="18"/>
        </w:rPr>
        <w:t>-14#及以上工字钢</w:t>
      </w:r>
      <w:r>
        <w:rPr>
          <w:rFonts w:eastAsia="黑体"/>
          <w:spacing w:val="-2"/>
          <w:sz w:val="18"/>
          <w:szCs w:val="18"/>
        </w:rPr>
        <w:t>；</w:t>
      </w:r>
      <w:r>
        <w:rPr>
          <w:rFonts w:eastAsia="黑体"/>
          <w:spacing w:val="-11"/>
          <w:sz w:val="18"/>
          <w:szCs w:val="18"/>
        </w:rPr>
        <w:t>2-拉环</w:t>
      </w:r>
      <w:r>
        <w:rPr>
          <w:rFonts w:eastAsia="黑体"/>
          <w:spacing w:val="-2"/>
          <w:sz w:val="18"/>
          <w:szCs w:val="18"/>
        </w:rPr>
        <w:t>；</w:t>
      </w:r>
      <w:r>
        <w:rPr>
          <w:rFonts w:eastAsia="黑体"/>
          <w:spacing w:val="-11"/>
          <w:sz w:val="18"/>
          <w:szCs w:val="18"/>
        </w:rPr>
        <w:t>3-连接钢板</w:t>
      </w:r>
    </w:p>
    <w:p w14:paraId="6C2272F1">
      <w:pPr>
        <w:spacing w:line="360" w:lineRule="auto"/>
        <w:jc w:val="center"/>
        <w:textAlignment w:val="center"/>
        <w:rPr>
          <w:szCs w:val="21"/>
        </w:rPr>
      </w:pPr>
      <w:r>
        <w:drawing>
          <wp:inline distT="0" distB="0" distL="114300" distR="114300">
            <wp:extent cx="3208020" cy="1647825"/>
            <wp:effectExtent l="0" t="0" r="0" b="825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48"/>
                    <a:srcRect l="42873" t="44228" r="33201" b="26583"/>
                    <a:stretch>
                      <a:fillRect/>
                    </a:stretch>
                  </pic:blipFill>
                  <pic:spPr>
                    <a:xfrm>
                      <a:off x="0" y="0"/>
                      <a:ext cx="3208020" cy="1647825"/>
                    </a:xfrm>
                    <a:prstGeom prst="rect">
                      <a:avLst/>
                    </a:prstGeom>
                    <a:noFill/>
                    <a:ln>
                      <a:noFill/>
                    </a:ln>
                  </pic:spPr>
                </pic:pic>
              </a:graphicData>
            </a:graphic>
          </wp:inline>
        </w:drawing>
      </w:r>
    </w:p>
    <w:p w14:paraId="00A06D3C">
      <w:pPr>
        <w:spacing w:line="360" w:lineRule="auto"/>
        <w:jc w:val="center"/>
        <w:rPr>
          <w:rFonts w:eastAsia="黑体"/>
          <w:sz w:val="18"/>
          <w:szCs w:val="18"/>
        </w:rPr>
      </w:pPr>
      <w:r>
        <w:rPr>
          <w:rFonts w:eastAsia="黑体"/>
          <w:spacing w:val="10"/>
          <w:position w:val="7"/>
          <w:sz w:val="18"/>
          <w:szCs w:val="18"/>
        </w:rPr>
        <w:t>图4</w:t>
      </w:r>
      <w:r>
        <w:rPr>
          <w:rFonts w:eastAsia="黑体"/>
          <w:spacing w:val="7"/>
          <w:position w:val="7"/>
          <w:sz w:val="18"/>
          <w:szCs w:val="18"/>
        </w:rPr>
        <w:t>.</w:t>
      </w:r>
      <w:r>
        <w:rPr>
          <w:rFonts w:eastAsia="黑体"/>
          <w:spacing w:val="5"/>
          <w:position w:val="7"/>
          <w:sz w:val="18"/>
          <w:szCs w:val="18"/>
        </w:rPr>
        <w:t>4.11—2 插杠式电梯井操作平台安装示意图</w:t>
      </w:r>
    </w:p>
    <w:p w14:paraId="258B36A5">
      <w:pPr>
        <w:spacing w:line="360" w:lineRule="auto"/>
        <w:jc w:val="center"/>
        <w:rPr>
          <w:rFonts w:eastAsia="黑体"/>
          <w:sz w:val="18"/>
          <w:szCs w:val="18"/>
        </w:rPr>
      </w:pPr>
      <w:r>
        <w:rPr>
          <w:rFonts w:eastAsia="黑体"/>
          <w:spacing w:val="-14"/>
          <w:sz w:val="18"/>
          <w:szCs w:val="18"/>
        </w:rPr>
        <w:t>1</w:t>
      </w:r>
      <w:r>
        <w:rPr>
          <w:rFonts w:eastAsia="黑体"/>
          <w:spacing w:val="-7"/>
          <w:sz w:val="18"/>
          <w:szCs w:val="18"/>
        </w:rPr>
        <w:t>-插杠；2-操作平台；3-墙体</w:t>
      </w:r>
    </w:p>
    <w:p w14:paraId="68BC12FC">
      <w:pPr>
        <w:spacing w:line="360" w:lineRule="auto"/>
        <w:rPr>
          <w:sz w:val="24"/>
          <w:szCs w:val="24"/>
        </w:rPr>
      </w:pPr>
      <w:r>
        <w:rPr>
          <w:b/>
          <w:bCs/>
          <w:sz w:val="24"/>
          <w:szCs w:val="24"/>
        </w:rPr>
        <w:t>4.4.12</w:t>
      </w:r>
      <w:r>
        <w:rPr>
          <w:b/>
          <w:bCs/>
          <w:spacing w:val="10"/>
          <w:sz w:val="24"/>
          <w:szCs w:val="24"/>
        </w:rPr>
        <w:t xml:space="preserve">  </w:t>
      </w:r>
      <w:r>
        <w:rPr>
          <w:spacing w:val="5"/>
          <w:sz w:val="24"/>
          <w:szCs w:val="24"/>
        </w:rPr>
        <w:t>自卡式电梯井操作平台支撑架应采用14#及以上工字钢、槽钢等型钢制作，支腿</w:t>
      </w:r>
      <w:bookmarkStart w:id="83" w:name="PageNo100380031"/>
      <w:r>
        <w:rPr>
          <w:spacing w:val="5"/>
          <w:sz w:val="24"/>
          <w:szCs w:val="24"/>
        </w:rPr>
        <w:t>处</w:t>
      </w:r>
      <w:bookmarkEnd w:id="83"/>
      <w:r>
        <w:rPr>
          <w:spacing w:val="5"/>
          <w:sz w:val="24"/>
          <w:szCs w:val="24"/>
        </w:rPr>
        <w:t>应有加强措施。自卡式电梯井操作平台安装示意图见</w:t>
      </w:r>
      <w:r>
        <w:rPr>
          <w:spacing w:val="-8"/>
          <w:sz w:val="24"/>
          <w:szCs w:val="24"/>
        </w:rPr>
        <w:t>图4.4.12</w:t>
      </w:r>
      <w:r>
        <w:rPr>
          <w:spacing w:val="-7"/>
          <w:sz w:val="24"/>
          <w:szCs w:val="24"/>
        </w:rPr>
        <w:t>。</w:t>
      </w:r>
    </w:p>
    <w:p w14:paraId="123137FC">
      <w:pPr>
        <w:spacing w:line="360" w:lineRule="auto"/>
        <w:jc w:val="center"/>
        <w:textAlignment w:val="center"/>
        <w:rPr>
          <w:szCs w:val="21"/>
        </w:rPr>
      </w:pPr>
      <w:r>
        <w:drawing>
          <wp:inline distT="0" distB="0" distL="114300" distR="114300">
            <wp:extent cx="3028315" cy="2837180"/>
            <wp:effectExtent l="0" t="0" r="0" b="127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49"/>
                    <a:srcRect l="27436" t="9224" r="41582" b="21828"/>
                    <a:stretch>
                      <a:fillRect/>
                    </a:stretch>
                  </pic:blipFill>
                  <pic:spPr>
                    <a:xfrm>
                      <a:off x="0" y="0"/>
                      <a:ext cx="3028315" cy="2837180"/>
                    </a:xfrm>
                    <a:prstGeom prst="rect">
                      <a:avLst/>
                    </a:prstGeom>
                    <a:noFill/>
                    <a:ln>
                      <a:noFill/>
                    </a:ln>
                  </pic:spPr>
                </pic:pic>
              </a:graphicData>
            </a:graphic>
          </wp:inline>
        </w:drawing>
      </w:r>
    </w:p>
    <w:p w14:paraId="053D8608">
      <w:pPr>
        <w:spacing w:line="360" w:lineRule="auto"/>
        <w:jc w:val="center"/>
        <w:rPr>
          <w:rFonts w:eastAsia="黑体"/>
          <w:sz w:val="18"/>
          <w:szCs w:val="18"/>
        </w:rPr>
      </w:pPr>
      <w:r>
        <w:rPr>
          <w:rFonts w:eastAsia="黑体"/>
          <w:spacing w:val="10"/>
          <w:sz w:val="18"/>
          <w:szCs w:val="18"/>
        </w:rPr>
        <w:t>图4</w:t>
      </w:r>
      <w:r>
        <w:rPr>
          <w:rFonts w:eastAsia="黑体"/>
          <w:spacing w:val="7"/>
          <w:sz w:val="18"/>
          <w:szCs w:val="18"/>
        </w:rPr>
        <w:t>.</w:t>
      </w:r>
      <w:r>
        <w:rPr>
          <w:rFonts w:eastAsia="黑体"/>
          <w:spacing w:val="5"/>
          <w:sz w:val="18"/>
          <w:szCs w:val="18"/>
        </w:rPr>
        <w:t>4.12 自卡式电梯井操作平台安装示意图</w:t>
      </w:r>
    </w:p>
    <w:p w14:paraId="244B9F53">
      <w:pPr>
        <w:spacing w:line="360" w:lineRule="auto"/>
        <w:jc w:val="center"/>
        <w:rPr>
          <w:rFonts w:eastAsia="黑体"/>
          <w:b/>
          <w:bCs/>
          <w:sz w:val="18"/>
          <w:szCs w:val="18"/>
        </w:rPr>
      </w:pPr>
      <w:r>
        <w:rPr>
          <w:rFonts w:eastAsia="黑体"/>
          <w:spacing w:val="-7"/>
          <w:sz w:val="18"/>
          <w:szCs w:val="18"/>
        </w:rPr>
        <w:t>1</w:t>
      </w:r>
      <w:r>
        <w:rPr>
          <w:rFonts w:eastAsia="黑体"/>
          <w:spacing w:val="-6"/>
          <w:sz w:val="18"/>
          <w:szCs w:val="18"/>
        </w:rPr>
        <w:t>-14#及以上</w:t>
      </w:r>
      <w:r>
        <w:rPr>
          <w:rFonts w:eastAsia="黑体"/>
          <w:spacing w:val="-7"/>
          <w:sz w:val="18"/>
          <w:szCs w:val="18"/>
        </w:rPr>
        <w:t>工字钢、槽钢等型钢</w:t>
      </w:r>
      <w:r>
        <w:rPr>
          <w:rFonts w:eastAsia="黑体"/>
          <w:spacing w:val="-2"/>
          <w:sz w:val="18"/>
          <w:szCs w:val="18"/>
        </w:rPr>
        <w:t>；</w:t>
      </w:r>
      <w:r>
        <w:rPr>
          <w:rFonts w:eastAsia="黑体"/>
          <w:spacing w:val="-6"/>
          <w:sz w:val="18"/>
          <w:szCs w:val="18"/>
        </w:rPr>
        <w:t>2-操作平台</w:t>
      </w:r>
      <w:r>
        <w:rPr>
          <w:rFonts w:eastAsia="黑体"/>
          <w:spacing w:val="-2"/>
          <w:sz w:val="18"/>
          <w:szCs w:val="18"/>
        </w:rPr>
        <w:t>；</w:t>
      </w:r>
      <w:r>
        <w:rPr>
          <w:rFonts w:eastAsia="黑体"/>
          <w:spacing w:val="-6"/>
          <w:sz w:val="18"/>
          <w:szCs w:val="18"/>
        </w:rPr>
        <w:t>3-吊环；4-支腿</w:t>
      </w:r>
      <w:r>
        <w:rPr>
          <w:rFonts w:eastAsia="黑体"/>
          <w:spacing w:val="-2"/>
          <w:sz w:val="18"/>
          <w:szCs w:val="18"/>
        </w:rPr>
        <w:t>；</w:t>
      </w:r>
      <w:r>
        <w:rPr>
          <w:rFonts w:eastAsia="黑体"/>
          <w:spacing w:val="-6"/>
          <w:sz w:val="18"/>
          <w:szCs w:val="18"/>
        </w:rPr>
        <w:t>5-加强板</w:t>
      </w:r>
      <w:r>
        <w:rPr>
          <w:rFonts w:eastAsia="黑体"/>
          <w:spacing w:val="-2"/>
          <w:sz w:val="18"/>
          <w:szCs w:val="18"/>
        </w:rPr>
        <w:t>；</w:t>
      </w:r>
      <w:r>
        <w:rPr>
          <w:rFonts w:eastAsia="黑体"/>
          <w:spacing w:val="-6"/>
          <w:sz w:val="18"/>
          <w:szCs w:val="18"/>
        </w:rPr>
        <w:t>6-楼板</w:t>
      </w:r>
      <w:r>
        <w:rPr>
          <w:rFonts w:eastAsia="黑体"/>
          <w:spacing w:val="-2"/>
          <w:sz w:val="18"/>
          <w:szCs w:val="18"/>
        </w:rPr>
        <w:t>；</w:t>
      </w:r>
      <w:r>
        <w:rPr>
          <w:rFonts w:eastAsia="黑体"/>
          <w:spacing w:val="-6"/>
          <w:sz w:val="18"/>
          <w:szCs w:val="18"/>
        </w:rPr>
        <w:t>7-墙体</w:t>
      </w:r>
    </w:p>
    <w:p w14:paraId="042BF265">
      <w:pPr>
        <w:spacing w:line="360" w:lineRule="auto"/>
        <w:rPr>
          <w:sz w:val="24"/>
          <w:szCs w:val="24"/>
        </w:rPr>
      </w:pPr>
      <w:r>
        <w:rPr>
          <w:b/>
          <w:bCs/>
          <w:sz w:val="24"/>
          <w:szCs w:val="24"/>
        </w:rPr>
        <w:t xml:space="preserve">4.4.13  </w:t>
      </w:r>
      <w:r>
        <w:rPr>
          <w:sz w:val="24"/>
          <w:szCs w:val="24"/>
        </w:rPr>
        <w:t>落地式电梯井操作平台应与井壁支顶牢固作业层上应满铺脚手板。落地式电梯井操作平台布置示意图见图</w:t>
      </w:r>
      <w:r>
        <w:rPr>
          <w:spacing w:val="-8"/>
          <w:sz w:val="24"/>
          <w:szCs w:val="24"/>
        </w:rPr>
        <w:t>4.4.13</w:t>
      </w:r>
      <w:r>
        <w:rPr>
          <w:sz w:val="24"/>
          <w:szCs w:val="24"/>
        </w:rPr>
        <w:t>。</w:t>
      </w:r>
    </w:p>
    <w:p w14:paraId="24FECBDC">
      <w:pPr>
        <w:spacing w:line="360" w:lineRule="auto"/>
        <w:jc w:val="center"/>
        <w:rPr>
          <w:szCs w:val="21"/>
        </w:rPr>
      </w:pPr>
      <w:r>
        <w:drawing>
          <wp:inline distT="0" distB="0" distL="114300" distR="114300">
            <wp:extent cx="2869565" cy="2183765"/>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50"/>
                    <a:srcRect l="42004" t="19049" r="27882" b="26525"/>
                    <a:stretch>
                      <a:fillRect/>
                    </a:stretch>
                  </pic:blipFill>
                  <pic:spPr>
                    <a:xfrm>
                      <a:off x="0" y="0"/>
                      <a:ext cx="2869565" cy="2183765"/>
                    </a:xfrm>
                    <a:prstGeom prst="rect">
                      <a:avLst/>
                    </a:prstGeom>
                    <a:noFill/>
                    <a:ln>
                      <a:noFill/>
                    </a:ln>
                  </pic:spPr>
                </pic:pic>
              </a:graphicData>
            </a:graphic>
          </wp:inline>
        </w:drawing>
      </w:r>
    </w:p>
    <w:p w14:paraId="5DDF6F1E">
      <w:pPr>
        <w:spacing w:line="360" w:lineRule="auto"/>
        <w:jc w:val="center"/>
        <w:rPr>
          <w:rFonts w:eastAsia="黑体"/>
          <w:sz w:val="18"/>
          <w:szCs w:val="18"/>
        </w:rPr>
      </w:pPr>
      <w:r>
        <w:rPr>
          <w:rFonts w:eastAsia="黑体"/>
          <w:sz w:val="18"/>
          <w:szCs w:val="18"/>
        </w:rPr>
        <w:t>图4.4.13 落地式电梯井操作平台布置示意图</w:t>
      </w:r>
    </w:p>
    <w:p w14:paraId="5FB6B494">
      <w:pPr>
        <w:spacing w:line="360" w:lineRule="auto"/>
        <w:jc w:val="center"/>
        <w:rPr>
          <w:rFonts w:eastAsia="黑体"/>
          <w:sz w:val="18"/>
          <w:szCs w:val="18"/>
        </w:rPr>
      </w:pPr>
      <w:r>
        <w:rPr>
          <w:rFonts w:eastAsia="黑体"/>
          <w:sz w:val="18"/>
          <w:szCs w:val="18"/>
        </w:rPr>
        <w:t>1-U拖</w:t>
      </w:r>
      <w:r>
        <w:rPr>
          <w:rFonts w:eastAsia="黑体"/>
          <w:spacing w:val="-2"/>
          <w:sz w:val="18"/>
          <w:szCs w:val="18"/>
        </w:rPr>
        <w:t>；</w:t>
      </w:r>
      <w:r>
        <w:rPr>
          <w:rFonts w:eastAsia="黑体"/>
          <w:sz w:val="18"/>
          <w:szCs w:val="18"/>
        </w:rPr>
        <w:t>2-水平杆</w:t>
      </w:r>
      <w:r>
        <w:rPr>
          <w:rFonts w:eastAsia="黑体"/>
          <w:spacing w:val="-2"/>
          <w:sz w:val="18"/>
          <w:szCs w:val="18"/>
        </w:rPr>
        <w:t>；</w:t>
      </w:r>
      <w:r>
        <w:rPr>
          <w:rFonts w:eastAsia="黑体"/>
          <w:sz w:val="18"/>
          <w:szCs w:val="18"/>
        </w:rPr>
        <w:t>3-水平斜杆</w:t>
      </w:r>
    </w:p>
    <w:p w14:paraId="7F3A7411">
      <w:pPr>
        <w:spacing w:line="360" w:lineRule="auto"/>
        <w:rPr>
          <w:sz w:val="24"/>
          <w:szCs w:val="24"/>
        </w:rPr>
      </w:pPr>
      <w:r>
        <w:rPr>
          <w:b/>
          <w:bCs/>
          <w:sz w:val="24"/>
          <w:szCs w:val="24"/>
        </w:rPr>
        <w:t>4.4.14</w:t>
      </w:r>
      <w:r>
        <w:rPr>
          <w:sz w:val="24"/>
          <w:szCs w:val="24"/>
        </w:rPr>
        <w:t xml:space="preserve">  落地式操作平台的防护要求按本标准第4.4.5、4.4.6、4.4.7条执行。落地式操作平台示意图见图4.4.14-1和图4.4.14-2。</w:t>
      </w:r>
    </w:p>
    <w:p w14:paraId="0083BC5F">
      <w:pPr>
        <w:spacing w:line="360" w:lineRule="auto"/>
        <w:jc w:val="center"/>
        <w:textAlignment w:val="center"/>
        <w:rPr>
          <w:szCs w:val="21"/>
        </w:rPr>
      </w:pPr>
      <w:bookmarkStart w:id="84" w:name="PageNo100390032"/>
      <w:r>
        <w:drawing>
          <wp:inline distT="0" distB="0" distL="114300" distR="114300">
            <wp:extent cx="5214620" cy="2639695"/>
            <wp:effectExtent l="0" t="0" r="508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51"/>
                    <a:srcRect l="38917" t="8250" r="19477" b="41736"/>
                    <a:stretch>
                      <a:fillRect/>
                    </a:stretch>
                  </pic:blipFill>
                  <pic:spPr>
                    <a:xfrm>
                      <a:off x="0" y="0"/>
                      <a:ext cx="5214620" cy="2639695"/>
                    </a:xfrm>
                    <a:prstGeom prst="rect">
                      <a:avLst/>
                    </a:prstGeom>
                    <a:noFill/>
                    <a:ln>
                      <a:noFill/>
                    </a:ln>
                  </pic:spPr>
                </pic:pic>
              </a:graphicData>
            </a:graphic>
          </wp:inline>
        </w:drawing>
      </w:r>
      <w:bookmarkEnd w:id="84"/>
    </w:p>
    <w:p w14:paraId="58DE364B">
      <w:pPr>
        <w:spacing w:line="360" w:lineRule="auto"/>
        <w:jc w:val="center"/>
        <w:rPr>
          <w:rFonts w:eastAsia="黑体"/>
          <w:spacing w:val="5"/>
          <w:sz w:val="18"/>
          <w:szCs w:val="18"/>
        </w:rPr>
      </w:pPr>
      <w:r>
        <w:rPr>
          <w:rFonts w:eastAsia="黑体"/>
          <w:spacing w:val="10"/>
          <w:sz w:val="18"/>
          <w:szCs w:val="18"/>
        </w:rPr>
        <w:t>图4.4.</w:t>
      </w:r>
      <w:r>
        <w:rPr>
          <w:rFonts w:eastAsia="黑体"/>
          <w:spacing w:val="9"/>
          <w:sz w:val="18"/>
          <w:szCs w:val="18"/>
        </w:rPr>
        <w:t>14</w:t>
      </w:r>
      <w:r>
        <w:rPr>
          <w:rFonts w:eastAsia="黑体"/>
          <w:spacing w:val="5"/>
          <w:sz w:val="18"/>
          <w:szCs w:val="18"/>
        </w:rPr>
        <w:t>-1 落地式操作平台正立面示意图   图4.4.14-2 落地式操作平台侧立面示意</w:t>
      </w:r>
    </w:p>
    <w:p w14:paraId="5FD5B469">
      <w:pPr>
        <w:spacing w:line="360" w:lineRule="auto"/>
        <w:jc w:val="center"/>
        <w:rPr>
          <w:spacing w:val="-7"/>
          <w:szCs w:val="21"/>
        </w:rPr>
      </w:pPr>
      <w:r>
        <w:rPr>
          <w:rFonts w:eastAsia="黑体"/>
          <w:spacing w:val="-10"/>
          <w:sz w:val="18"/>
          <w:szCs w:val="18"/>
        </w:rPr>
        <w:t>1-防护</w:t>
      </w:r>
      <w:r>
        <w:rPr>
          <w:rFonts w:eastAsia="黑体"/>
          <w:spacing w:val="-6"/>
          <w:sz w:val="18"/>
          <w:szCs w:val="18"/>
        </w:rPr>
        <w:t>栏</w:t>
      </w:r>
      <w:r>
        <w:rPr>
          <w:rFonts w:eastAsia="黑体"/>
          <w:spacing w:val="-5"/>
          <w:sz w:val="18"/>
          <w:szCs w:val="18"/>
        </w:rPr>
        <w:t>杆</w:t>
      </w:r>
      <w:r>
        <w:rPr>
          <w:rFonts w:eastAsia="黑体"/>
          <w:spacing w:val="-2"/>
          <w:sz w:val="18"/>
          <w:szCs w:val="18"/>
        </w:rPr>
        <w:t>；</w:t>
      </w:r>
      <w:r>
        <w:rPr>
          <w:rFonts w:eastAsia="黑体"/>
          <w:spacing w:val="-5"/>
          <w:sz w:val="18"/>
          <w:szCs w:val="18"/>
        </w:rPr>
        <w:t>2-密目式安全网</w:t>
      </w:r>
      <w:r>
        <w:rPr>
          <w:rFonts w:eastAsia="黑体"/>
          <w:spacing w:val="-2"/>
          <w:sz w:val="18"/>
          <w:szCs w:val="18"/>
        </w:rPr>
        <w:t>；</w:t>
      </w:r>
      <w:r>
        <w:rPr>
          <w:rFonts w:eastAsia="黑体"/>
          <w:spacing w:val="-5"/>
          <w:sz w:val="18"/>
          <w:szCs w:val="18"/>
        </w:rPr>
        <w:t>3-平台出入口封闭措施</w:t>
      </w:r>
      <w:r>
        <w:rPr>
          <w:rFonts w:eastAsia="黑体"/>
          <w:spacing w:val="-2"/>
          <w:sz w:val="18"/>
          <w:szCs w:val="18"/>
        </w:rPr>
        <w:t>；</w:t>
      </w:r>
      <w:r>
        <w:rPr>
          <w:rFonts w:eastAsia="黑体"/>
          <w:spacing w:val="-14"/>
          <w:sz w:val="18"/>
          <w:szCs w:val="18"/>
        </w:rPr>
        <w:t>4</w:t>
      </w:r>
      <w:r>
        <w:rPr>
          <w:rFonts w:eastAsia="黑体"/>
          <w:spacing w:val="-7"/>
          <w:sz w:val="18"/>
          <w:szCs w:val="18"/>
        </w:rPr>
        <w:t>-挡脚板</w:t>
      </w:r>
      <w:r>
        <w:rPr>
          <w:rFonts w:eastAsia="黑体"/>
          <w:spacing w:val="-2"/>
          <w:sz w:val="18"/>
          <w:szCs w:val="18"/>
        </w:rPr>
        <w:t>；</w:t>
      </w:r>
      <w:r>
        <w:rPr>
          <w:rFonts w:eastAsia="黑体"/>
          <w:spacing w:val="-7"/>
          <w:sz w:val="18"/>
          <w:szCs w:val="18"/>
        </w:rPr>
        <w:t>5-脚手板</w:t>
      </w:r>
    </w:p>
    <w:p w14:paraId="24770B4B">
      <w:pPr>
        <w:spacing w:line="360" w:lineRule="auto"/>
        <w:rPr>
          <w:spacing w:val="6"/>
          <w:sz w:val="24"/>
          <w:szCs w:val="24"/>
        </w:rPr>
      </w:pPr>
      <w:r>
        <w:rPr>
          <w:b/>
          <w:bCs/>
          <w:sz w:val="24"/>
          <w:szCs w:val="24"/>
        </w:rPr>
        <w:t xml:space="preserve">4.4.15  </w:t>
      </w:r>
      <w:r>
        <w:rPr>
          <w:spacing w:val="6"/>
          <w:sz w:val="24"/>
          <w:szCs w:val="24"/>
        </w:rPr>
        <w:t>悬挑式钢平台的悬挑长度不宜大于5m，锚固长度不宜小于1</w:t>
      </w:r>
      <w:r>
        <w:rPr>
          <w:rFonts w:hint="eastAsia"/>
          <w:spacing w:val="6"/>
          <w:sz w:val="24"/>
          <w:szCs w:val="24"/>
        </w:rPr>
        <w:t>.</w:t>
      </w:r>
      <w:r>
        <w:rPr>
          <w:spacing w:val="6"/>
          <w:sz w:val="24"/>
          <w:szCs w:val="24"/>
        </w:rPr>
        <w:t>5m，承载面积不应大</w:t>
      </w:r>
      <w:r>
        <w:rPr>
          <w:spacing w:val="5"/>
          <w:sz w:val="24"/>
          <w:szCs w:val="24"/>
        </w:rPr>
        <w:t>于</w:t>
      </w:r>
      <w:r>
        <w:rPr>
          <w:spacing w:val="-2"/>
          <w:sz w:val="24"/>
          <w:szCs w:val="24"/>
        </w:rPr>
        <w:t>20㎡，承载面积长宽比不应大于</w:t>
      </w:r>
      <w:r>
        <w:rPr>
          <w:spacing w:val="-1"/>
          <w:sz w:val="24"/>
          <w:szCs w:val="24"/>
        </w:rPr>
        <w:t>1.5:1。</w:t>
      </w:r>
    </w:p>
    <w:p w14:paraId="05F90C59">
      <w:pPr>
        <w:spacing w:line="360" w:lineRule="auto"/>
        <w:rPr>
          <w:spacing w:val="3"/>
          <w:sz w:val="24"/>
          <w:szCs w:val="24"/>
        </w:rPr>
      </w:pPr>
      <w:r>
        <w:rPr>
          <w:b/>
          <w:bCs/>
          <w:sz w:val="24"/>
          <w:szCs w:val="24"/>
        </w:rPr>
        <w:t>4.4.16</w:t>
      </w:r>
      <w:r>
        <w:rPr>
          <w:spacing w:val="6"/>
          <w:sz w:val="24"/>
          <w:szCs w:val="24"/>
        </w:rPr>
        <w:t xml:space="preserve">  工具式</w:t>
      </w:r>
      <w:r>
        <w:rPr>
          <w:spacing w:val="5"/>
          <w:sz w:val="24"/>
          <w:szCs w:val="24"/>
        </w:rPr>
        <w:t>液</w:t>
      </w:r>
      <w:r>
        <w:rPr>
          <w:spacing w:val="3"/>
          <w:sz w:val="24"/>
          <w:szCs w:val="24"/>
        </w:rPr>
        <w:t>压爬升悬挑钢平台卸料层长度不应大于5m，宽度不应</w:t>
      </w:r>
      <w:r>
        <w:rPr>
          <w:rFonts w:hint="eastAsia"/>
          <w:spacing w:val="3"/>
          <w:sz w:val="24"/>
          <w:szCs w:val="24"/>
        </w:rPr>
        <w:t>小于</w:t>
      </w:r>
      <w:r>
        <w:rPr>
          <w:spacing w:val="3"/>
          <w:sz w:val="24"/>
          <w:szCs w:val="24"/>
        </w:rPr>
        <w:t>2.5</w:t>
      </w:r>
      <w:r>
        <w:rPr>
          <w:sz w:val="24"/>
          <w:szCs w:val="24"/>
        </w:rPr>
        <w:t>m</w:t>
      </w:r>
      <w:r>
        <w:rPr>
          <w:spacing w:val="3"/>
          <w:sz w:val="24"/>
          <w:szCs w:val="24"/>
        </w:rPr>
        <w:t>，承载面积不应大</w:t>
      </w:r>
      <w:r>
        <w:rPr>
          <w:spacing w:val="-9"/>
          <w:sz w:val="24"/>
          <w:szCs w:val="24"/>
        </w:rPr>
        <w:t>于</w:t>
      </w:r>
      <w:r>
        <w:rPr>
          <w:spacing w:val="-6"/>
          <w:sz w:val="24"/>
          <w:szCs w:val="24"/>
        </w:rPr>
        <w:t>20㎡。工具式液压爬升悬挑钢平台侧立面安装示意图见图4.4.16。</w:t>
      </w:r>
    </w:p>
    <w:p w14:paraId="3E5B6C7A">
      <w:pPr>
        <w:spacing w:line="360" w:lineRule="auto"/>
        <w:jc w:val="center"/>
        <w:rPr>
          <w:spacing w:val="-6"/>
          <w:szCs w:val="21"/>
        </w:rPr>
      </w:pPr>
      <w:r>
        <w:drawing>
          <wp:inline distT="0" distB="0" distL="114300" distR="114300">
            <wp:extent cx="2130425" cy="2505075"/>
            <wp:effectExtent l="0" t="0" r="3175" b="952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52"/>
                    <a:srcRect l="31946" t="4956" r="46418" b="34632"/>
                    <a:stretch>
                      <a:fillRect/>
                    </a:stretch>
                  </pic:blipFill>
                  <pic:spPr>
                    <a:xfrm>
                      <a:off x="0" y="0"/>
                      <a:ext cx="2136006" cy="2511692"/>
                    </a:xfrm>
                    <a:prstGeom prst="rect">
                      <a:avLst/>
                    </a:prstGeom>
                    <a:noFill/>
                    <a:ln>
                      <a:noFill/>
                    </a:ln>
                  </pic:spPr>
                </pic:pic>
              </a:graphicData>
            </a:graphic>
          </wp:inline>
        </w:drawing>
      </w:r>
      <w:r>
        <w:drawing>
          <wp:inline distT="0" distB="0" distL="114300" distR="114300">
            <wp:extent cx="1202055" cy="2448560"/>
            <wp:effectExtent l="0" t="0" r="0" b="889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53"/>
                    <a:srcRect l="55620" t="21971" r="37072" b="42681"/>
                    <a:stretch>
                      <a:fillRect/>
                    </a:stretch>
                  </pic:blipFill>
                  <pic:spPr>
                    <a:xfrm>
                      <a:off x="0" y="0"/>
                      <a:ext cx="1202055" cy="2448560"/>
                    </a:xfrm>
                    <a:prstGeom prst="rect">
                      <a:avLst/>
                    </a:prstGeom>
                    <a:noFill/>
                    <a:ln>
                      <a:noFill/>
                    </a:ln>
                  </pic:spPr>
                </pic:pic>
              </a:graphicData>
            </a:graphic>
          </wp:inline>
        </w:drawing>
      </w:r>
    </w:p>
    <w:p w14:paraId="545D5C5C">
      <w:pPr>
        <w:spacing w:line="360" w:lineRule="auto"/>
        <w:jc w:val="center"/>
        <w:rPr>
          <w:rFonts w:eastAsia="黑体"/>
          <w:sz w:val="18"/>
          <w:szCs w:val="18"/>
        </w:rPr>
      </w:pPr>
      <w:r>
        <w:rPr>
          <w:rFonts w:eastAsia="黑体"/>
          <w:spacing w:val="12"/>
          <w:sz w:val="18"/>
          <w:szCs w:val="18"/>
        </w:rPr>
        <w:t>图</w:t>
      </w:r>
      <w:r>
        <w:rPr>
          <w:rFonts w:eastAsia="黑体"/>
          <w:spacing w:val="6"/>
          <w:sz w:val="18"/>
          <w:szCs w:val="18"/>
        </w:rPr>
        <w:t>4.4.16 工具式液压爬升悬挑钢平台侧立面安装示意图</w:t>
      </w:r>
    </w:p>
    <w:p w14:paraId="1CAD1FAC">
      <w:pPr>
        <w:spacing w:line="360" w:lineRule="auto"/>
        <w:jc w:val="center"/>
        <w:rPr>
          <w:rFonts w:eastAsia="黑体"/>
          <w:sz w:val="18"/>
          <w:szCs w:val="18"/>
        </w:rPr>
      </w:pPr>
      <w:bookmarkStart w:id="85" w:name="PageNo100400033"/>
      <w:r>
        <w:rPr>
          <w:rFonts w:eastAsia="黑体"/>
          <w:spacing w:val="-13"/>
          <w:sz w:val="18"/>
          <w:szCs w:val="18"/>
        </w:rPr>
        <w:t>1</w:t>
      </w:r>
      <w:bookmarkEnd w:id="85"/>
      <w:r>
        <w:rPr>
          <w:rFonts w:eastAsia="黑体"/>
          <w:spacing w:val="-9"/>
          <w:sz w:val="18"/>
          <w:szCs w:val="18"/>
        </w:rPr>
        <w:t>-防滑移装置；2-液压系统；3-穿墙螺栓；4-附板支架；</w:t>
      </w:r>
    </w:p>
    <w:p w14:paraId="38A4D2B1">
      <w:pPr>
        <w:spacing w:line="360" w:lineRule="auto"/>
        <w:jc w:val="center"/>
        <w:rPr>
          <w:rFonts w:eastAsia="黑体"/>
          <w:spacing w:val="-2"/>
          <w:sz w:val="18"/>
          <w:szCs w:val="18"/>
        </w:rPr>
      </w:pPr>
      <w:r>
        <w:rPr>
          <w:rFonts w:eastAsia="黑体"/>
          <w:spacing w:val="16"/>
          <w:position w:val="1"/>
          <w:sz w:val="18"/>
          <w:szCs w:val="18"/>
        </w:rPr>
        <w:t>5-</w:t>
      </w:r>
      <w:r>
        <w:rPr>
          <w:rFonts w:eastAsia="黑体"/>
          <w:spacing w:val="10"/>
          <w:position w:val="1"/>
          <w:sz w:val="18"/>
          <w:szCs w:val="18"/>
        </w:rPr>
        <w:t>卸</w:t>
      </w:r>
      <w:r>
        <w:rPr>
          <w:rFonts w:eastAsia="黑体"/>
          <w:spacing w:val="8"/>
          <w:position w:val="1"/>
          <w:sz w:val="18"/>
          <w:szCs w:val="18"/>
        </w:rPr>
        <w:t>料层防护围栏；6-主受力框架；7-操作层防护网；8-导轨</w:t>
      </w:r>
    </w:p>
    <w:p w14:paraId="26339589">
      <w:pPr>
        <w:spacing w:line="360" w:lineRule="auto"/>
        <w:rPr>
          <w:sz w:val="24"/>
          <w:szCs w:val="24"/>
        </w:rPr>
      </w:pPr>
      <w:r>
        <w:rPr>
          <w:b/>
          <w:bCs/>
          <w:sz w:val="24"/>
          <w:szCs w:val="24"/>
        </w:rPr>
        <w:t xml:space="preserve">4.4.17  </w:t>
      </w:r>
      <w:r>
        <w:rPr>
          <w:spacing w:val="6"/>
          <w:sz w:val="24"/>
          <w:szCs w:val="24"/>
        </w:rPr>
        <w:t>钢平台防护栏杆高度不应低于1500㎜，应以硬质材料进行封闭。悬挑式钢平台应</w:t>
      </w:r>
      <w:r>
        <w:rPr>
          <w:spacing w:val="5"/>
          <w:sz w:val="24"/>
          <w:szCs w:val="24"/>
        </w:rPr>
        <w:t>满</w:t>
      </w:r>
      <w:r>
        <w:rPr>
          <w:sz w:val="24"/>
          <w:szCs w:val="24"/>
        </w:rPr>
        <w:t>铺</w:t>
      </w:r>
      <w:r>
        <w:rPr>
          <w:spacing w:val="12"/>
          <w:sz w:val="24"/>
          <w:szCs w:val="24"/>
        </w:rPr>
        <w:t>50</w:t>
      </w:r>
      <w:r>
        <w:rPr>
          <w:sz w:val="24"/>
          <w:szCs w:val="24"/>
        </w:rPr>
        <w:t>㎜</w:t>
      </w:r>
      <w:r>
        <w:rPr>
          <w:spacing w:val="12"/>
          <w:sz w:val="24"/>
          <w:szCs w:val="24"/>
        </w:rPr>
        <w:t>厚</w:t>
      </w:r>
      <w:r>
        <w:rPr>
          <w:spacing w:val="10"/>
          <w:sz w:val="24"/>
          <w:szCs w:val="24"/>
        </w:rPr>
        <w:t>脚</w:t>
      </w:r>
      <w:r>
        <w:rPr>
          <w:spacing w:val="6"/>
          <w:sz w:val="24"/>
          <w:szCs w:val="24"/>
        </w:rPr>
        <w:t>手板或同等强度的其他材料，工具式液压爬升悬挑钢平</w:t>
      </w:r>
      <w:r>
        <w:rPr>
          <w:spacing w:val="5"/>
          <w:sz w:val="24"/>
          <w:szCs w:val="24"/>
        </w:rPr>
        <w:t>台应满铺厚度2.5</w:t>
      </w:r>
      <w:r>
        <w:rPr>
          <w:sz w:val="24"/>
          <w:szCs w:val="24"/>
        </w:rPr>
        <w:t>㎜</w:t>
      </w:r>
      <w:r>
        <w:rPr>
          <w:spacing w:val="5"/>
          <w:sz w:val="24"/>
          <w:szCs w:val="24"/>
        </w:rPr>
        <w:t>以上花纹钢板。</w:t>
      </w:r>
    </w:p>
    <w:p w14:paraId="23FC7C51">
      <w:pPr>
        <w:spacing w:line="360" w:lineRule="auto"/>
        <w:rPr>
          <w:spacing w:val="9"/>
          <w:sz w:val="24"/>
          <w:szCs w:val="24"/>
        </w:rPr>
      </w:pPr>
      <w:r>
        <w:rPr>
          <w:b/>
          <w:bCs/>
          <w:sz w:val="24"/>
          <w:szCs w:val="24"/>
        </w:rPr>
        <w:t>4.4.18</w:t>
      </w:r>
      <w:r>
        <w:rPr>
          <w:spacing w:val="6"/>
          <w:sz w:val="24"/>
          <w:szCs w:val="24"/>
        </w:rPr>
        <w:t xml:space="preserve">  钢平台安装、提升、使用和拆除时，地面垂直投影6m范围，应设置警戒区，设置警</w:t>
      </w:r>
      <w:r>
        <w:rPr>
          <w:spacing w:val="18"/>
          <w:sz w:val="24"/>
          <w:szCs w:val="24"/>
        </w:rPr>
        <w:t>示</w:t>
      </w:r>
      <w:r>
        <w:rPr>
          <w:spacing w:val="11"/>
          <w:sz w:val="24"/>
          <w:szCs w:val="24"/>
        </w:rPr>
        <w:t>标</w:t>
      </w:r>
      <w:r>
        <w:rPr>
          <w:spacing w:val="9"/>
          <w:sz w:val="24"/>
          <w:szCs w:val="24"/>
        </w:rPr>
        <w:t>识，人员不得入内。</w:t>
      </w:r>
    </w:p>
    <w:p w14:paraId="2839F735">
      <w:pPr>
        <w:spacing w:line="360" w:lineRule="auto"/>
        <w:rPr>
          <w:spacing w:val="6"/>
          <w:sz w:val="24"/>
          <w:szCs w:val="24"/>
        </w:rPr>
      </w:pPr>
      <w:r>
        <w:rPr>
          <w:b/>
          <w:bCs/>
          <w:sz w:val="24"/>
          <w:szCs w:val="24"/>
        </w:rPr>
        <w:t>4.4.19</w:t>
      </w:r>
      <w:r>
        <w:rPr>
          <w:spacing w:val="6"/>
          <w:sz w:val="24"/>
          <w:szCs w:val="24"/>
        </w:rPr>
        <w:t xml:space="preserve">  钢平台与脚手架交叉区域上部应设置硬质防护。</w:t>
      </w:r>
    </w:p>
    <w:p w14:paraId="52CD868B">
      <w:pPr>
        <w:spacing w:line="360" w:lineRule="auto"/>
        <w:rPr>
          <w:sz w:val="24"/>
          <w:szCs w:val="24"/>
        </w:rPr>
      </w:pPr>
      <w:r>
        <w:rPr>
          <w:b/>
          <w:bCs/>
          <w:sz w:val="24"/>
          <w:szCs w:val="24"/>
        </w:rPr>
        <w:t xml:space="preserve">4.4.20  </w:t>
      </w:r>
      <w:r>
        <w:rPr>
          <w:sz w:val="24"/>
          <w:szCs w:val="24"/>
        </w:rPr>
        <w:t>通道平台两侧应设置防护栏，栏杆高度不应低于1200㎜，水平杆间距不应大于600㎜，挡脚板高度不应小于180㎜，防护栏周边应采用密目式安全网进行封闭；通道平台底部应满铺脚手板。垂直运输通道示意图见图4.4.20。</w:t>
      </w:r>
    </w:p>
    <w:p w14:paraId="31AF579E">
      <w:pPr>
        <w:spacing w:line="360" w:lineRule="auto"/>
        <w:jc w:val="center"/>
        <w:rPr>
          <w:szCs w:val="21"/>
        </w:rPr>
      </w:pPr>
      <w:r>
        <w:drawing>
          <wp:inline distT="0" distB="0" distL="114300" distR="114300">
            <wp:extent cx="2695575" cy="214376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54"/>
                    <a:srcRect l="52738" t="37550" r="24626" b="19679"/>
                    <a:stretch>
                      <a:fillRect/>
                    </a:stretch>
                  </pic:blipFill>
                  <pic:spPr>
                    <a:xfrm>
                      <a:off x="0" y="0"/>
                      <a:ext cx="2706711" cy="2152974"/>
                    </a:xfrm>
                    <a:prstGeom prst="rect">
                      <a:avLst/>
                    </a:prstGeom>
                    <a:noFill/>
                    <a:ln>
                      <a:noFill/>
                    </a:ln>
                  </pic:spPr>
                </pic:pic>
              </a:graphicData>
            </a:graphic>
          </wp:inline>
        </w:drawing>
      </w:r>
    </w:p>
    <w:p w14:paraId="2EC10910">
      <w:pPr>
        <w:spacing w:line="360" w:lineRule="auto"/>
        <w:jc w:val="center"/>
        <w:rPr>
          <w:rFonts w:eastAsia="黑体"/>
          <w:sz w:val="18"/>
          <w:szCs w:val="18"/>
        </w:rPr>
      </w:pPr>
      <w:r>
        <w:rPr>
          <w:rFonts w:eastAsia="黑体"/>
          <w:sz w:val="18"/>
          <w:szCs w:val="18"/>
        </w:rPr>
        <w:t>图4.4.20 垂直运输通道示意图</w:t>
      </w:r>
    </w:p>
    <w:p w14:paraId="3E857B49">
      <w:pPr>
        <w:spacing w:line="360" w:lineRule="auto"/>
        <w:jc w:val="center"/>
        <w:rPr>
          <w:rFonts w:eastAsia="黑体"/>
          <w:sz w:val="18"/>
          <w:szCs w:val="18"/>
        </w:rPr>
      </w:pPr>
      <w:r>
        <w:rPr>
          <w:rFonts w:eastAsia="黑体"/>
          <w:sz w:val="18"/>
          <w:szCs w:val="18"/>
        </w:rPr>
        <w:t>1</w:t>
      </w:r>
      <w:r>
        <w:rPr>
          <w:rFonts w:eastAsia="黑体"/>
          <w:spacing w:val="-5"/>
          <w:sz w:val="18"/>
          <w:szCs w:val="18"/>
        </w:rPr>
        <w:t>-</w:t>
      </w:r>
      <w:r>
        <w:rPr>
          <w:rFonts w:eastAsia="黑体"/>
          <w:sz w:val="18"/>
          <w:szCs w:val="18"/>
        </w:rPr>
        <w:t>防护栏杆；2</w:t>
      </w:r>
      <w:r>
        <w:rPr>
          <w:rFonts w:eastAsia="黑体"/>
          <w:spacing w:val="-5"/>
          <w:sz w:val="18"/>
          <w:szCs w:val="18"/>
        </w:rPr>
        <w:t>-</w:t>
      </w:r>
      <w:r>
        <w:rPr>
          <w:rFonts w:eastAsia="黑体"/>
          <w:sz w:val="18"/>
          <w:szCs w:val="18"/>
        </w:rPr>
        <w:t>防护网；3</w:t>
      </w:r>
      <w:r>
        <w:rPr>
          <w:rFonts w:eastAsia="黑体"/>
          <w:spacing w:val="-5"/>
          <w:sz w:val="18"/>
          <w:szCs w:val="18"/>
        </w:rPr>
        <w:t>-</w:t>
      </w:r>
      <w:r>
        <w:rPr>
          <w:rFonts w:eastAsia="黑体"/>
          <w:sz w:val="18"/>
          <w:szCs w:val="18"/>
        </w:rPr>
        <w:t>挡脚板；4</w:t>
      </w:r>
      <w:r>
        <w:rPr>
          <w:rFonts w:eastAsia="黑体"/>
          <w:spacing w:val="-5"/>
          <w:sz w:val="18"/>
          <w:szCs w:val="18"/>
        </w:rPr>
        <w:t>-</w:t>
      </w:r>
      <w:r>
        <w:rPr>
          <w:rFonts w:eastAsia="黑体"/>
          <w:sz w:val="18"/>
          <w:szCs w:val="18"/>
        </w:rPr>
        <w:t>脚手板；5</w:t>
      </w:r>
      <w:r>
        <w:rPr>
          <w:rFonts w:eastAsia="黑体"/>
          <w:spacing w:val="-5"/>
          <w:sz w:val="18"/>
          <w:szCs w:val="18"/>
        </w:rPr>
        <w:t>-</w:t>
      </w:r>
      <w:r>
        <w:rPr>
          <w:rFonts w:eastAsia="黑体"/>
          <w:sz w:val="18"/>
          <w:szCs w:val="18"/>
        </w:rPr>
        <w:t>防外开防护；6-之字斜撑</w:t>
      </w:r>
    </w:p>
    <w:p w14:paraId="21D77C82">
      <w:pPr>
        <w:spacing w:line="360" w:lineRule="auto"/>
        <w:rPr>
          <w:sz w:val="24"/>
          <w:szCs w:val="24"/>
        </w:rPr>
      </w:pPr>
      <w:r>
        <w:rPr>
          <w:b/>
          <w:bCs/>
          <w:sz w:val="24"/>
          <w:szCs w:val="24"/>
        </w:rPr>
        <w:t xml:space="preserve">4.4.21  </w:t>
      </w:r>
      <w:r>
        <w:rPr>
          <w:sz w:val="24"/>
          <w:szCs w:val="24"/>
        </w:rPr>
        <w:t>停层平台口应设置高度不低于1800m 的楼层对开式防护门，防护门应采用钢管和钢网焊接制作；防护门的下沿距平台不应超过100㎜；防护门外侧面应设置门闩或安装自动锁扣；物料提升机防护门内侧面应设置门闩或安装自动锁扣，见示意图</w:t>
      </w:r>
      <w:r>
        <w:rPr>
          <w:rFonts w:hint="eastAsia"/>
          <w:sz w:val="24"/>
          <w:szCs w:val="24"/>
        </w:rPr>
        <w:t>4</w:t>
      </w:r>
      <w:r>
        <w:rPr>
          <w:sz w:val="24"/>
          <w:szCs w:val="24"/>
        </w:rPr>
        <w:t>.4.21。</w:t>
      </w:r>
    </w:p>
    <w:p w14:paraId="62D04AA9">
      <w:pPr>
        <w:spacing w:line="360" w:lineRule="auto"/>
        <w:jc w:val="center"/>
        <w:rPr>
          <w:szCs w:val="21"/>
        </w:rPr>
      </w:pPr>
      <w:bookmarkStart w:id="86" w:name="PageNo100410034"/>
      <w:r>
        <w:drawing>
          <wp:inline distT="0" distB="0" distL="114300" distR="114300">
            <wp:extent cx="4253230" cy="4310380"/>
            <wp:effectExtent l="0" t="0" r="0" b="1397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55"/>
                    <a:srcRect l="35106" t="14627" r="46093" b="40117"/>
                    <a:stretch>
                      <a:fillRect/>
                    </a:stretch>
                  </pic:blipFill>
                  <pic:spPr>
                    <a:xfrm>
                      <a:off x="0" y="0"/>
                      <a:ext cx="4270111" cy="4327455"/>
                    </a:xfrm>
                    <a:prstGeom prst="rect">
                      <a:avLst/>
                    </a:prstGeom>
                    <a:noFill/>
                    <a:ln>
                      <a:noFill/>
                    </a:ln>
                  </pic:spPr>
                </pic:pic>
              </a:graphicData>
            </a:graphic>
          </wp:inline>
        </w:drawing>
      </w:r>
      <w:bookmarkEnd w:id="86"/>
    </w:p>
    <w:p w14:paraId="6BCD2184">
      <w:pPr>
        <w:spacing w:line="360" w:lineRule="auto"/>
        <w:jc w:val="center"/>
        <w:rPr>
          <w:rFonts w:eastAsia="黑体"/>
          <w:sz w:val="18"/>
          <w:szCs w:val="18"/>
        </w:rPr>
      </w:pPr>
      <w:r>
        <w:rPr>
          <w:rFonts w:eastAsia="黑体"/>
          <w:sz w:val="18"/>
          <w:szCs w:val="18"/>
        </w:rPr>
        <w:t>图4.4.21 垂直运输通道防护门示意图</w:t>
      </w:r>
    </w:p>
    <w:p w14:paraId="378BA2EA">
      <w:pPr>
        <w:spacing w:line="360" w:lineRule="auto"/>
        <w:jc w:val="center"/>
        <w:rPr>
          <w:szCs w:val="21"/>
        </w:rPr>
      </w:pPr>
      <w:r>
        <w:rPr>
          <w:rFonts w:eastAsia="黑体"/>
          <w:sz w:val="18"/>
          <w:szCs w:val="18"/>
        </w:rPr>
        <w:t>1</w:t>
      </w:r>
      <w:r>
        <w:rPr>
          <w:rFonts w:eastAsia="黑体"/>
          <w:spacing w:val="-5"/>
          <w:sz w:val="18"/>
          <w:szCs w:val="18"/>
        </w:rPr>
        <w:t>-</w:t>
      </w:r>
      <w:r>
        <w:rPr>
          <w:rFonts w:eastAsia="黑体"/>
          <w:sz w:val="18"/>
          <w:szCs w:val="18"/>
        </w:rPr>
        <w:t>楼层标识；2</w:t>
      </w:r>
      <w:r>
        <w:rPr>
          <w:rFonts w:eastAsia="黑体"/>
          <w:spacing w:val="-5"/>
          <w:sz w:val="18"/>
          <w:szCs w:val="18"/>
        </w:rPr>
        <w:t>-</w:t>
      </w:r>
      <w:r>
        <w:rPr>
          <w:rFonts w:eastAsia="黑体"/>
          <w:sz w:val="18"/>
          <w:szCs w:val="18"/>
        </w:rPr>
        <w:t>钢板网；3</w:t>
      </w:r>
      <w:r>
        <w:rPr>
          <w:rFonts w:eastAsia="黑体"/>
          <w:spacing w:val="-5"/>
          <w:sz w:val="18"/>
          <w:szCs w:val="18"/>
        </w:rPr>
        <w:t>-</w:t>
      </w:r>
      <w:r>
        <w:rPr>
          <w:rFonts w:eastAsia="黑体"/>
          <w:sz w:val="18"/>
          <w:szCs w:val="18"/>
        </w:rPr>
        <w:t>立柱；4</w:t>
      </w:r>
      <w:r>
        <w:rPr>
          <w:rFonts w:eastAsia="黑体"/>
          <w:spacing w:val="-5"/>
          <w:sz w:val="18"/>
          <w:szCs w:val="18"/>
        </w:rPr>
        <w:t>-</w:t>
      </w:r>
      <w:r>
        <w:rPr>
          <w:rFonts w:eastAsia="黑体"/>
          <w:sz w:val="18"/>
          <w:szCs w:val="18"/>
        </w:rPr>
        <w:t>企业标识；5</w:t>
      </w:r>
      <w:r>
        <w:rPr>
          <w:rFonts w:eastAsia="黑体"/>
          <w:spacing w:val="-5"/>
          <w:sz w:val="18"/>
          <w:szCs w:val="18"/>
        </w:rPr>
        <w:t>-</w:t>
      </w:r>
      <w:r>
        <w:rPr>
          <w:rFonts w:eastAsia="黑体"/>
          <w:sz w:val="18"/>
          <w:szCs w:val="18"/>
        </w:rPr>
        <w:t>警示牌；6</w:t>
      </w:r>
      <w:r>
        <w:rPr>
          <w:rFonts w:eastAsia="黑体"/>
          <w:spacing w:val="-5"/>
          <w:sz w:val="18"/>
          <w:szCs w:val="18"/>
        </w:rPr>
        <w:t>-</w:t>
      </w:r>
      <w:r>
        <w:rPr>
          <w:rFonts w:eastAsia="黑体"/>
          <w:sz w:val="18"/>
          <w:szCs w:val="18"/>
        </w:rPr>
        <w:t>钢板</w:t>
      </w:r>
    </w:p>
    <w:p w14:paraId="02F5BC75">
      <w:pPr>
        <w:spacing w:line="360" w:lineRule="auto"/>
        <w:rPr>
          <w:sz w:val="24"/>
          <w:szCs w:val="24"/>
        </w:rPr>
      </w:pPr>
      <w:r>
        <w:rPr>
          <w:b/>
          <w:bCs/>
          <w:sz w:val="24"/>
          <w:szCs w:val="24"/>
        </w:rPr>
        <w:t>4.4.22</w:t>
      </w:r>
      <w:r>
        <w:rPr>
          <w:spacing w:val="10"/>
          <w:sz w:val="24"/>
          <w:szCs w:val="24"/>
        </w:rPr>
        <w:t xml:space="preserve">  </w:t>
      </w:r>
      <w:r>
        <w:rPr>
          <w:sz w:val="24"/>
          <w:szCs w:val="24"/>
        </w:rPr>
        <w:t>大模板操作平台组装示意图见图4.4.22，安全防护应符合下列规定：</w:t>
      </w:r>
    </w:p>
    <w:p w14:paraId="284B98FD">
      <w:pPr>
        <w:spacing w:line="360" w:lineRule="auto"/>
        <w:ind w:firstLine="366" w:firstLineChars="152"/>
        <w:rPr>
          <w:sz w:val="24"/>
          <w:szCs w:val="24"/>
        </w:rPr>
      </w:pPr>
      <w:r>
        <w:rPr>
          <w:b/>
          <w:sz w:val="24"/>
          <w:szCs w:val="24"/>
        </w:rPr>
        <w:t>1</w:t>
      </w:r>
      <w:r>
        <w:rPr>
          <w:sz w:val="24"/>
          <w:szCs w:val="24"/>
        </w:rPr>
        <w:t xml:space="preserve">  平台宽度不宜大于900㎜；</w:t>
      </w:r>
    </w:p>
    <w:p w14:paraId="7738FC7F">
      <w:pPr>
        <w:spacing w:line="360" w:lineRule="auto"/>
        <w:ind w:firstLine="366" w:firstLineChars="152"/>
        <w:rPr>
          <w:sz w:val="24"/>
          <w:szCs w:val="24"/>
        </w:rPr>
      </w:pPr>
      <w:r>
        <w:rPr>
          <w:b/>
          <w:sz w:val="24"/>
          <w:szCs w:val="24"/>
        </w:rPr>
        <w:t>2</w:t>
      </w:r>
      <w:r>
        <w:rPr>
          <w:sz w:val="24"/>
          <w:szCs w:val="24"/>
        </w:rPr>
        <w:t xml:space="preserve">  平台外围应设置高处平台板上表面不小于180㎜的挡脚板；</w:t>
      </w:r>
    </w:p>
    <w:p w14:paraId="603B9C21">
      <w:pPr>
        <w:spacing w:line="360" w:lineRule="auto"/>
        <w:ind w:firstLine="366" w:firstLineChars="152"/>
        <w:rPr>
          <w:sz w:val="24"/>
          <w:szCs w:val="24"/>
        </w:rPr>
      </w:pPr>
      <w:r>
        <w:rPr>
          <w:b/>
          <w:sz w:val="24"/>
          <w:szCs w:val="24"/>
        </w:rPr>
        <w:t>3</w:t>
      </w:r>
      <w:r>
        <w:rPr>
          <w:sz w:val="24"/>
          <w:szCs w:val="24"/>
        </w:rPr>
        <w:t xml:space="preserve">  平台外围应设栏杆，栏杆上顶面高度不应小于1200㎜且中间应有横杆，栏杆任意点上作用1kN任意方向力时不应有塑性变形；</w:t>
      </w:r>
    </w:p>
    <w:p w14:paraId="69E191E6">
      <w:pPr>
        <w:spacing w:line="360" w:lineRule="auto"/>
        <w:ind w:firstLine="366" w:firstLineChars="152"/>
        <w:rPr>
          <w:sz w:val="24"/>
          <w:szCs w:val="24"/>
        </w:rPr>
      </w:pPr>
      <w:r>
        <w:rPr>
          <w:b/>
          <w:sz w:val="24"/>
          <w:szCs w:val="24"/>
        </w:rPr>
        <w:t>4</w:t>
      </w:r>
      <w:r>
        <w:rPr>
          <w:sz w:val="24"/>
          <w:szCs w:val="24"/>
        </w:rPr>
        <w:t xml:space="preserve">  平台脚手板应符合现行行业标准《建筑施工扣件式钢管脚手架安全技术规范》JGJ 130的规定；</w:t>
      </w:r>
    </w:p>
    <w:p w14:paraId="0DA724AF">
      <w:pPr>
        <w:spacing w:line="360" w:lineRule="auto"/>
        <w:ind w:firstLine="366" w:firstLineChars="152"/>
        <w:rPr>
          <w:sz w:val="24"/>
          <w:szCs w:val="24"/>
        </w:rPr>
      </w:pPr>
      <w:r>
        <w:rPr>
          <w:b/>
          <w:sz w:val="24"/>
          <w:szCs w:val="24"/>
        </w:rPr>
        <w:t>5</w:t>
      </w:r>
      <w:r>
        <w:rPr>
          <w:sz w:val="24"/>
          <w:szCs w:val="24"/>
        </w:rPr>
        <w:t xml:space="preserve">  模板上应设置上下平台的爬梯；</w:t>
      </w:r>
    </w:p>
    <w:p w14:paraId="60371847">
      <w:pPr>
        <w:spacing w:line="360" w:lineRule="auto"/>
        <w:ind w:firstLine="366" w:firstLineChars="152"/>
        <w:rPr>
          <w:sz w:val="24"/>
          <w:szCs w:val="24"/>
        </w:rPr>
      </w:pPr>
      <w:bookmarkStart w:id="87" w:name="PageNo100420035"/>
      <w:r>
        <w:rPr>
          <w:b/>
          <w:sz w:val="24"/>
          <w:szCs w:val="24"/>
        </w:rPr>
        <w:t>6</w:t>
      </w:r>
      <w:bookmarkEnd w:id="87"/>
      <w:r>
        <w:rPr>
          <w:b/>
          <w:sz w:val="24"/>
          <w:szCs w:val="24"/>
        </w:rPr>
        <w:t xml:space="preserve"> </w:t>
      </w:r>
      <w:r>
        <w:rPr>
          <w:sz w:val="24"/>
          <w:szCs w:val="24"/>
        </w:rPr>
        <w:t xml:space="preserve"> 操作平台系统与面板系统间的连接应可靠，便于检查与维护。</w:t>
      </w:r>
    </w:p>
    <w:p w14:paraId="3CAB394E">
      <w:pPr>
        <w:spacing w:line="360" w:lineRule="auto"/>
        <w:jc w:val="center"/>
        <w:textAlignment w:val="center"/>
        <w:rPr>
          <w:szCs w:val="21"/>
        </w:rPr>
      </w:pPr>
      <w:r>
        <w:drawing>
          <wp:inline distT="0" distB="0" distL="114300" distR="114300">
            <wp:extent cx="2790190" cy="360934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56"/>
                    <a:srcRect l="47950" t="23059" r="36927" b="30478"/>
                    <a:stretch>
                      <a:fillRect/>
                    </a:stretch>
                  </pic:blipFill>
                  <pic:spPr>
                    <a:xfrm>
                      <a:off x="0" y="0"/>
                      <a:ext cx="2797641" cy="3618927"/>
                    </a:xfrm>
                    <a:prstGeom prst="rect">
                      <a:avLst/>
                    </a:prstGeom>
                    <a:noFill/>
                    <a:ln>
                      <a:noFill/>
                    </a:ln>
                  </pic:spPr>
                </pic:pic>
              </a:graphicData>
            </a:graphic>
          </wp:inline>
        </w:drawing>
      </w:r>
    </w:p>
    <w:p w14:paraId="0FC23331">
      <w:pPr>
        <w:spacing w:line="360" w:lineRule="auto"/>
        <w:jc w:val="center"/>
        <w:rPr>
          <w:rFonts w:eastAsia="黑体"/>
          <w:sz w:val="18"/>
          <w:szCs w:val="18"/>
        </w:rPr>
      </w:pPr>
      <w:r>
        <w:rPr>
          <w:rFonts w:eastAsia="黑体"/>
          <w:spacing w:val="6"/>
          <w:sz w:val="18"/>
          <w:szCs w:val="18"/>
        </w:rPr>
        <w:t xml:space="preserve">图 </w:t>
      </w:r>
      <w:r>
        <w:rPr>
          <w:rFonts w:eastAsia="黑体"/>
          <w:spacing w:val="3"/>
          <w:sz w:val="18"/>
          <w:szCs w:val="18"/>
        </w:rPr>
        <w:t>4.4.22 大模板操作平台组装示意图</w:t>
      </w:r>
    </w:p>
    <w:p w14:paraId="283287B7">
      <w:pPr>
        <w:spacing w:line="360" w:lineRule="auto"/>
        <w:jc w:val="center"/>
        <w:rPr>
          <w:rFonts w:eastAsia="黑体"/>
          <w:spacing w:val="4"/>
          <w:sz w:val="18"/>
          <w:szCs w:val="18"/>
        </w:rPr>
      </w:pPr>
      <w:r>
        <w:rPr>
          <w:rFonts w:eastAsia="黑体"/>
          <w:spacing w:val="-10"/>
          <w:sz w:val="18"/>
          <w:szCs w:val="18"/>
        </w:rPr>
        <w:t>1</w:t>
      </w:r>
      <w:r>
        <w:rPr>
          <w:rFonts w:eastAsia="黑体"/>
          <w:spacing w:val="-5"/>
          <w:sz w:val="18"/>
          <w:szCs w:val="18"/>
        </w:rPr>
        <w:t>-支腿；2-穿墙螺栓； 3-大模板；4-爬梯；5-操作平台；</w:t>
      </w:r>
      <w:r>
        <w:rPr>
          <w:rFonts w:eastAsia="黑体"/>
          <w:spacing w:val="4"/>
          <w:sz w:val="18"/>
          <w:szCs w:val="18"/>
        </w:rPr>
        <w:t>6-防护栏杆</w:t>
      </w:r>
    </w:p>
    <w:p w14:paraId="358D31B3">
      <w:pPr>
        <w:spacing w:line="360" w:lineRule="auto"/>
        <w:jc w:val="center"/>
        <w:rPr>
          <w:rFonts w:eastAsia="黑体"/>
          <w:spacing w:val="2"/>
          <w:sz w:val="18"/>
          <w:szCs w:val="18"/>
        </w:rPr>
      </w:pPr>
      <w:r>
        <w:rPr>
          <w:rFonts w:eastAsia="黑体"/>
          <w:spacing w:val="3"/>
          <w:sz w:val="18"/>
          <w:szCs w:val="18"/>
        </w:rPr>
        <w:t>7</w:t>
      </w:r>
      <w:r>
        <w:rPr>
          <w:rFonts w:eastAsia="黑体"/>
          <w:spacing w:val="2"/>
          <w:sz w:val="18"/>
          <w:szCs w:val="18"/>
        </w:rPr>
        <w:t>-横杆；8-踢脚板；9-厚脚手板；10-墙体</w:t>
      </w:r>
    </w:p>
    <w:p w14:paraId="04B87F0A">
      <w:pPr>
        <w:spacing w:line="360" w:lineRule="auto"/>
        <w:rPr>
          <w:sz w:val="24"/>
          <w:szCs w:val="24"/>
        </w:rPr>
      </w:pPr>
      <w:r>
        <w:rPr>
          <w:b/>
          <w:bCs/>
          <w:sz w:val="24"/>
          <w:szCs w:val="24"/>
        </w:rPr>
        <w:t xml:space="preserve">4.4.23 </w:t>
      </w:r>
      <w:r>
        <w:rPr>
          <w:sz w:val="24"/>
          <w:szCs w:val="24"/>
        </w:rPr>
        <w:t xml:space="preserve"> 大模板插放架操作平台作业层安全防护应符合下列规定：</w:t>
      </w:r>
    </w:p>
    <w:p w14:paraId="34EE6266">
      <w:pPr>
        <w:spacing w:line="360" w:lineRule="auto"/>
        <w:ind w:firstLine="366" w:firstLineChars="152"/>
        <w:rPr>
          <w:sz w:val="24"/>
          <w:szCs w:val="24"/>
        </w:rPr>
      </w:pPr>
      <w:r>
        <w:rPr>
          <w:b/>
          <w:bCs/>
          <w:sz w:val="24"/>
          <w:szCs w:val="24"/>
        </w:rPr>
        <w:t>1</w:t>
      </w:r>
      <w:r>
        <w:rPr>
          <w:sz w:val="24"/>
          <w:szCs w:val="24"/>
        </w:rPr>
        <w:t xml:space="preserve">  插放架操作平台架体应封闭严密，用立网沿外立杆内侧连接牢固；</w:t>
      </w:r>
    </w:p>
    <w:p w14:paraId="3841ACA3">
      <w:pPr>
        <w:spacing w:line="360" w:lineRule="auto"/>
        <w:ind w:firstLine="366" w:firstLineChars="152"/>
        <w:rPr>
          <w:b/>
          <w:bCs/>
          <w:sz w:val="24"/>
          <w:szCs w:val="24"/>
        </w:rPr>
      </w:pPr>
      <w:r>
        <w:rPr>
          <w:b/>
          <w:bCs/>
          <w:sz w:val="24"/>
          <w:szCs w:val="24"/>
        </w:rPr>
        <w:t>2</w:t>
      </w:r>
      <w:r>
        <w:rPr>
          <w:sz w:val="24"/>
          <w:szCs w:val="24"/>
        </w:rPr>
        <w:t xml:space="preserve">  插放架操作平台平台应设置爬梯或马道，宽度不应小于1000m，坡度不应大于1:3，且两侧均应设置1200㎜高的防护栏杆，用安全立网封闭严密；</w:t>
      </w:r>
    </w:p>
    <w:p w14:paraId="4A88AAED">
      <w:pPr>
        <w:spacing w:line="360" w:lineRule="auto"/>
        <w:ind w:firstLine="366" w:firstLineChars="152"/>
        <w:rPr>
          <w:sz w:val="24"/>
          <w:szCs w:val="24"/>
        </w:rPr>
      </w:pPr>
      <w:r>
        <w:rPr>
          <w:b/>
          <w:bCs/>
          <w:sz w:val="24"/>
          <w:szCs w:val="24"/>
        </w:rPr>
        <w:t xml:space="preserve">3  </w:t>
      </w:r>
      <w:r>
        <w:rPr>
          <w:sz w:val="24"/>
          <w:szCs w:val="24"/>
        </w:rPr>
        <w:t>大模板插放架操作平台作业层脚手板应铺满、铺稳、铺实；</w:t>
      </w:r>
    </w:p>
    <w:p w14:paraId="78122B66">
      <w:pPr>
        <w:spacing w:line="360" w:lineRule="auto"/>
        <w:ind w:firstLine="366" w:firstLineChars="152"/>
        <w:rPr>
          <w:sz w:val="24"/>
          <w:szCs w:val="24"/>
        </w:rPr>
      </w:pPr>
      <w:r>
        <w:rPr>
          <w:b/>
          <w:bCs/>
          <w:sz w:val="24"/>
          <w:szCs w:val="24"/>
        </w:rPr>
        <w:t>4</w:t>
      </w:r>
      <w:r>
        <w:rPr>
          <w:sz w:val="24"/>
          <w:szCs w:val="24"/>
        </w:rPr>
        <w:t xml:space="preserve">  大模板插放架操作平台作业层外侧应设两道高度不低于1200㎜的防护栏杆和高度不低于180㎜挡脚板，并设置立网封闭严密，见图4.4.23-1；</w:t>
      </w:r>
    </w:p>
    <w:p w14:paraId="6C17D812">
      <w:pPr>
        <w:spacing w:line="360" w:lineRule="auto"/>
        <w:ind w:firstLine="366" w:firstLineChars="152"/>
        <w:rPr>
          <w:sz w:val="24"/>
          <w:szCs w:val="24"/>
        </w:rPr>
      </w:pPr>
      <w:r>
        <w:rPr>
          <w:b/>
          <w:bCs/>
          <w:sz w:val="24"/>
          <w:szCs w:val="24"/>
        </w:rPr>
        <w:t xml:space="preserve">5  </w:t>
      </w:r>
      <w:r>
        <w:rPr>
          <w:sz w:val="24"/>
          <w:szCs w:val="24"/>
        </w:rPr>
        <w:t>当无法设置防护栏杆时，大模板插放架操作平台作业层上方应连续设置高度不低于1800㎜的安全绳，作业人员安全带系挂在安全绳上方可行走，行走时不得搬运重物。大模板插放架操作平台示意图见图4.4.23-2。</w:t>
      </w:r>
    </w:p>
    <w:p w14:paraId="69C919A8">
      <w:pPr>
        <w:spacing w:line="360" w:lineRule="auto"/>
        <w:jc w:val="center"/>
        <w:rPr>
          <w:rFonts w:eastAsia="仿宋"/>
          <w:sz w:val="28"/>
          <w:szCs w:val="28"/>
        </w:rPr>
      </w:pPr>
      <w:r>
        <w:rPr>
          <w:b/>
          <w:bCs/>
          <w:sz w:val="28"/>
          <w:szCs w:val="36"/>
        </w:rPr>
        <w:br w:type="page"/>
      </w:r>
      <w:bookmarkStart w:id="88" w:name="PageNo100430036"/>
      <w:r>
        <w:drawing>
          <wp:inline distT="0" distB="0" distL="114300" distR="114300">
            <wp:extent cx="5328285" cy="2105025"/>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57"/>
                    <a:srcRect l="14689" t="16843" r="35022" b="35978"/>
                    <a:stretch>
                      <a:fillRect/>
                    </a:stretch>
                  </pic:blipFill>
                  <pic:spPr>
                    <a:xfrm>
                      <a:off x="0" y="0"/>
                      <a:ext cx="5328285" cy="2105025"/>
                    </a:xfrm>
                    <a:prstGeom prst="rect">
                      <a:avLst/>
                    </a:prstGeom>
                    <a:noFill/>
                    <a:ln>
                      <a:noFill/>
                    </a:ln>
                  </pic:spPr>
                </pic:pic>
              </a:graphicData>
            </a:graphic>
          </wp:inline>
        </w:drawing>
      </w:r>
      <w:bookmarkEnd w:id="88"/>
    </w:p>
    <w:p w14:paraId="62EA2A41">
      <w:pPr>
        <w:spacing w:line="360" w:lineRule="auto"/>
        <w:jc w:val="center"/>
        <w:rPr>
          <w:rFonts w:eastAsia="黑体"/>
          <w:sz w:val="18"/>
          <w:szCs w:val="18"/>
        </w:rPr>
      </w:pPr>
      <w:r>
        <w:rPr>
          <w:rFonts w:eastAsia="黑体"/>
          <w:sz w:val="18"/>
          <w:szCs w:val="18"/>
        </w:rPr>
        <w:t>图4.4.23-1 大模板插放架操作平台防护栏杆立面</w:t>
      </w:r>
      <w:r>
        <w:rPr>
          <w:rFonts w:eastAsia="黑体"/>
          <w:spacing w:val="7"/>
          <w:sz w:val="18"/>
          <w:szCs w:val="18"/>
        </w:rPr>
        <w:t>示意图</w:t>
      </w:r>
    </w:p>
    <w:p w14:paraId="4C63F2DA">
      <w:pPr>
        <w:spacing w:line="360" w:lineRule="auto"/>
        <w:jc w:val="center"/>
        <w:rPr>
          <w:rFonts w:eastAsia="黑体"/>
          <w:sz w:val="18"/>
          <w:szCs w:val="18"/>
        </w:rPr>
      </w:pPr>
      <w:r>
        <w:rPr>
          <w:rFonts w:eastAsia="黑体"/>
          <w:sz w:val="18"/>
          <w:szCs w:val="18"/>
        </w:rPr>
        <w:t>1-挡脚板；2-爬梯；3-安全立网；4-护栏</w:t>
      </w:r>
    </w:p>
    <w:p w14:paraId="31687CF9">
      <w:pPr>
        <w:spacing w:line="360" w:lineRule="auto"/>
        <w:jc w:val="center"/>
        <w:rPr>
          <w:sz w:val="28"/>
          <w:szCs w:val="28"/>
        </w:rPr>
      </w:pPr>
      <w:r>
        <w:drawing>
          <wp:inline distT="0" distB="0" distL="114300" distR="114300">
            <wp:extent cx="5299710" cy="2216785"/>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58"/>
                    <a:srcRect l="26580" t="29791" r="23710" b="20825"/>
                    <a:stretch>
                      <a:fillRect/>
                    </a:stretch>
                  </pic:blipFill>
                  <pic:spPr>
                    <a:xfrm>
                      <a:off x="0" y="0"/>
                      <a:ext cx="5299710" cy="2216785"/>
                    </a:xfrm>
                    <a:prstGeom prst="rect">
                      <a:avLst/>
                    </a:prstGeom>
                    <a:noFill/>
                    <a:ln>
                      <a:noFill/>
                    </a:ln>
                  </pic:spPr>
                </pic:pic>
              </a:graphicData>
            </a:graphic>
          </wp:inline>
        </w:drawing>
      </w:r>
    </w:p>
    <w:p w14:paraId="108F25E4">
      <w:pPr>
        <w:spacing w:line="360" w:lineRule="auto"/>
        <w:jc w:val="center"/>
        <w:rPr>
          <w:rFonts w:eastAsia="黑体"/>
          <w:sz w:val="18"/>
          <w:szCs w:val="18"/>
        </w:rPr>
      </w:pPr>
      <w:r>
        <w:rPr>
          <w:rFonts w:eastAsia="黑体"/>
          <w:sz w:val="18"/>
          <w:szCs w:val="18"/>
        </w:rPr>
        <w:t>图4.4.23-2 大模板插放架操作平台安全绳设置立面</w:t>
      </w:r>
      <w:r>
        <w:rPr>
          <w:rFonts w:eastAsia="黑体"/>
          <w:spacing w:val="7"/>
          <w:sz w:val="18"/>
          <w:szCs w:val="18"/>
        </w:rPr>
        <w:t>示意图</w:t>
      </w:r>
    </w:p>
    <w:p w14:paraId="5EAD4F9A">
      <w:pPr>
        <w:spacing w:line="360" w:lineRule="auto"/>
        <w:jc w:val="center"/>
        <w:rPr>
          <w:rFonts w:eastAsia="黑体"/>
          <w:sz w:val="18"/>
          <w:szCs w:val="18"/>
        </w:rPr>
      </w:pPr>
      <w:r>
        <w:rPr>
          <w:rFonts w:eastAsia="黑体"/>
          <w:sz w:val="18"/>
          <w:szCs w:val="18"/>
        </w:rPr>
        <w:t>1-作业层；2-爬梯；3-安全立网；4-护栏；5-安全绳</w:t>
      </w:r>
    </w:p>
    <w:p w14:paraId="39D3B47E">
      <w:pPr>
        <w:pStyle w:val="3"/>
        <w:rPr>
          <w:rFonts w:ascii="Times New Roman" w:hAnsi="Times New Roman" w:cs="Times New Roman"/>
          <w:color w:val="auto"/>
          <w:sz w:val="24"/>
          <w:szCs w:val="24"/>
        </w:rPr>
      </w:pPr>
      <w:bookmarkStart w:id="89" w:name="_Toc2472"/>
      <w:bookmarkStart w:id="90" w:name="_Toc27002"/>
      <w:r>
        <w:rPr>
          <w:rFonts w:ascii="Times New Roman" w:hAnsi="Times New Roman" w:cs="Times New Roman"/>
          <w:color w:val="auto"/>
          <w:sz w:val="24"/>
          <w:szCs w:val="24"/>
        </w:rPr>
        <w:t>4.5  装配施工安全防护</w:t>
      </w:r>
      <w:bookmarkEnd w:id="89"/>
      <w:bookmarkEnd w:id="90"/>
    </w:p>
    <w:p w14:paraId="09C00EAF">
      <w:pPr>
        <w:spacing w:line="360" w:lineRule="auto"/>
        <w:rPr>
          <w:sz w:val="24"/>
          <w:szCs w:val="24"/>
        </w:rPr>
      </w:pPr>
      <w:r>
        <w:rPr>
          <w:b/>
          <w:bCs/>
          <w:sz w:val="24"/>
          <w:szCs w:val="24"/>
        </w:rPr>
        <w:t>4.5.1</w:t>
      </w:r>
      <w:r>
        <w:rPr>
          <w:sz w:val="24"/>
          <w:szCs w:val="24"/>
        </w:rPr>
        <w:t xml:space="preserve">  预制构件堆放场地应平整且应设有排水措施，堆放时底板与地面之间应有间隙。</w:t>
      </w:r>
    </w:p>
    <w:p w14:paraId="27FFF8F0">
      <w:pPr>
        <w:spacing w:line="360" w:lineRule="auto"/>
        <w:rPr>
          <w:sz w:val="24"/>
          <w:szCs w:val="24"/>
        </w:rPr>
      </w:pPr>
      <w:r>
        <w:rPr>
          <w:b/>
          <w:bCs/>
          <w:sz w:val="24"/>
          <w:szCs w:val="24"/>
        </w:rPr>
        <w:t>4.5.2</w:t>
      </w:r>
      <w:r>
        <w:rPr>
          <w:sz w:val="24"/>
          <w:szCs w:val="24"/>
        </w:rPr>
        <w:t xml:space="preserve">  预制构件应按规格、品种、使用部位 和吊装顺序分别设置存放场地。存放场地周围应按本标准第4.2.9、4.2.10、4.2.11、4.2.12条的规定进行封闭，并悬挂安全警示标识。</w:t>
      </w:r>
    </w:p>
    <w:p w14:paraId="21FDCCDB">
      <w:pPr>
        <w:spacing w:line="360" w:lineRule="auto"/>
        <w:rPr>
          <w:sz w:val="24"/>
          <w:szCs w:val="24"/>
        </w:rPr>
      </w:pPr>
      <w:r>
        <w:rPr>
          <w:b/>
          <w:bCs/>
          <w:sz w:val="24"/>
          <w:szCs w:val="24"/>
        </w:rPr>
        <w:t xml:space="preserve">4.5.3  </w:t>
      </w:r>
      <w:r>
        <w:rPr>
          <w:sz w:val="24"/>
          <w:szCs w:val="24"/>
        </w:rPr>
        <w:t>预制构件叠放时，宜采用不小于100㎜×100㎜木方作为垫木，保证材料堆放平稳。预制构件间垫木宜放置在两侧，预制板应在板两端(距板端200㎜)及跨中位置设置垫木且间距不大于1600㎜。垫木应上下垂直对齐。不同板号构件应分别堆放，堆放高度不宜大于6层，堆放时间不宜超过两个月。</w:t>
      </w:r>
    </w:p>
    <w:p w14:paraId="20A8B3D8">
      <w:pPr>
        <w:spacing w:line="360" w:lineRule="auto"/>
        <w:rPr>
          <w:sz w:val="24"/>
          <w:szCs w:val="24"/>
        </w:rPr>
      </w:pPr>
      <w:r>
        <w:rPr>
          <w:b/>
          <w:bCs/>
          <w:sz w:val="24"/>
          <w:szCs w:val="24"/>
        </w:rPr>
        <w:t>4.5.4</w:t>
      </w:r>
      <w:r>
        <w:rPr>
          <w:sz w:val="24"/>
          <w:szCs w:val="24"/>
        </w:rPr>
        <w:t xml:space="preserve">  预制柱、梁宜采用平放且不少于两道垫木。</w:t>
      </w:r>
    </w:p>
    <w:p w14:paraId="0308277C">
      <w:pPr>
        <w:spacing w:line="360" w:lineRule="auto"/>
        <w:rPr>
          <w:sz w:val="24"/>
          <w:szCs w:val="24"/>
        </w:rPr>
      </w:pPr>
      <w:r>
        <w:rPr>
          <w:b/>
          <w:bCs/>
          <w:sz w:val="24"/>
          <w:szCs w:val="24"/>
        </w:rPr>
        <w:t>4.5.5</w:t>
      </w:r>
      <w:r>
        <w:rPr>
          <w:sz w:val="24"/>
          <w:szCs w:val="24"/>
        </w:rPr>
        <w:t xml:space="preserve">  预制构件堆垛之间宜留不小于2000㎜宽通道。</w:t>
      </w:r>
    </w:p>
    <w:p w14:paraId="6ADF747F">
      <w:pPr>
        <w:spacing w:line="360" w:lineRule="auto"/>
        <w:rPr>
          <w:sz w:val="24"/>
          <w:szCs w:val="24"/>
        </w:rPr>
      </w:pPr>
      <w:r>
        <w:rPr>
          <w:b/>
          <w:bCs/>
          <w:sz w:val="24"/>
          <w:szCs w:val="24"/>
        </w:rPr>
        <w:t xml:space="preserve">4.5.6 </w:t>
      </w:r>
      <w:r>
        <w:rPr>
          <w:sz w:val="24"/>
          <w:szCs w:val="24"/>
        </w:rPr>
        <w:t xml:space="preserve"> 堆垛层数应根据构件与垫木（或垫块）的承载能力及堆垛的稳定性确定，设置防倾覆支架。</w:t>
      </w:r>
    </w:p>
    <w:p w14:paraId="19850BAD">
      <w:pPr>
        <w:tabs>
          <w:tab w:val="center" w:pos="4153"/>
          <w:tab w:val="right" w:pos="8306"/>
        </w:tabs>
        <w:spacing w:line="360" w:lineRule="auto"/>
        <w:rPr>
          <w:b/>
          <w:bCs/>
          <w:sz w:val="24"/>
          <w:szCs w:val="24"/>
        </w:rPr>
      </w:pPr>
      <w:r>
        <w:rPr>
          <w:b/>
          <w:bCs/>
          <w:sz w:val="24"/>
          <w:szCs w:val="24"/>
        </w:rPr>
        <w:t xml:space="preserve">4.5.7  </w:t>
      </w:r>
      <w:r>
        <w:rPr>
          <w:sz w:val="24"/>
          <w:szCs w:val="24"/>
        </w:rPr>
        <w:t>预制墙板应采用工具式插放架饰面朝外、对称存放，并与地面应保证稳定角度，构件与地面倾斜角度宜大于80°，工具式插放架及特殊构件自稳角度应经计算确定；工具式插放架应有足够的刚度、抗倾覆性能并支垫稳固，操作面应设置行走通道</w:t>
      </w:r>
      <w:r>
        <w:rPr>
          <w:b/>
          <w:bCs/>
          <w:sz w:val="24"/>
          <w:szCs w:val="24"/>
        </w:rPr>
        <w:t xml:space="preserve">。     </w:t>
      </w:r>
    </w:p>
    <w:p w14:paraId="201DA6AB">
      <w:pPr>
        <w:spacing w:line="360" w:lineRule="auto"/>
        <w:rPr>
          <w:sz w:val="24"/>
          <w:szCs w:val="24"/>
        </w:rPr>
      </w:pPr>
      <w:r>
        <w:rPr>
          <w:b/>
          <w:bCs/>
          <w:sz w:val="24"/>
          <w:szCs w:val="24"/>
        </w:rPr>
        <w:t>4.5.8</w:t>
      </w:r>
      <w:r>
        <w:rPr>
          <w:sz w:val="24"/>
          <w:szCs w:val="24"/>
        </w:rPr>
        <w:t xml:space="preserve">  U形预制外墙存放时宜将较短侧墙放置在插放架中，固定木块应直接架设在内叶板截面上，不得架设在外叶板边缘。</w:t>
      </w:r>
    </w:p>
    <w:p w14:paraId="2C8FB827">
      <w:pPr>
        <w:spacing w:line="360" w:lineRule="auto"/>
        <w:rPr>
          <w:sz w:val="24"/>
          <w:szCs w:val="24"/>
        </w:rPr>
      </w:pPr>
      <w:r>
        <w:rPr>
          <w:b/>
          <w:bCs/>
          <w:sz w:val="24"/>
          <w:szCs w:val="24"/>
        </w:rPr>
        <w:t xml:space="preserve">4.5.9  </w:t>
      </w:r>
      <w:r>
        <w:rPr>
          <w:sz w:val="24"/>
          <w:szCs w:val="24"/>
        </w:rPr>
        <w:t>构件吊装区域非作业人员不得靠近，且应用警戒线进行封闭管理，对长时间未使用的构件应进行质量措施保护。</w:t>
      </w:r>
    </w:p>
    <w:p w14:paraId="20987554">
      <w:pPr>
        <w:spacing w:line="360" w:lineRule="auto"/>
        <w:rPr>
          <w:sz w:val="24"/>
          <w:szCs w:val="24"/>
        </w:rPr>
      </w:pPr>
      <w:r>
        <w:rPr>
          <w:b/>
          <w:bCs/>
          <w:sz w:val="24"/>
          <w:szCs w:val="24"/>
        </w:rPr>
        <w:t>4.5.10</w:t>
      </w:r>
      <w:r>
        <w:rPr>
          <w:sz w:val="24"/>
          <w:szCs w:val="24"/>
        </w:rPr>
        <w:t xml:space="preserve">  预制墙、板构件吊装时应采用多点吊装，根据预制构件的吊环位置选用合理的起吊点，并用卸扣将钢丝绳与预制构件的预留吊环连接。预制构件吊装示意图见图4</w:t>
      </w:r>
      <w:r>
        <w:rPr>
          <w:rFonts w:hint="eastAsia"/>
          <w:sz w:val="24"/>
          <w:szCs w:val="24"/>
        </w:rPr>
        <w:t>.</w:t>
      </w:r>
      <w:r>
        <w:rPr>
          <w:sz w:val="24"/>
          <w:szCs w:val="24"/>
        </w:rPr>
        <w:t>5.10。</w:t>
      </w:r>
    </w:p>
    <w:p w14:paraId="13D9E418">
      <w:pPr>
        <w:spacing w:line="360" w:lineRule="auto"/>
        <w:jc w:val="center"/>
      </w:pPr>
      <w:r>
        <w:drawing>
          <wp:inline distT="0" distB="0" distL="114300" distR="114300">
            <wp:extent cx="2086610" cy="1810385"/>
            <wp:effectExtent l="9525" t="9525" r="18415" b="27940"/>
            <wp:docPr id="5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6"/>
                    <pic:cNvPicPr>
                      <a:picLocks noChangeAspect="1"/>
                    </pic:cNvPicPr>
                  </pic:nvPicPr>
                  <pic:blipFill>
                    <a:blip r:embed="rId59"/>
                    <a:srcRect l="37482" t="24205" r="41933" b="33386"/>
                    <a:stretch>
                      <a:fillRect/>
                    </a:stretch>
                  </pic:blipFill>
                  <pic:spPr>
                    <a:xfrm>
                      <a:off x="0" y="0"/>
                      <a:ext cx="2086610" cy="1810385"/>
                    </a:xfrm>
                    <a:prstGeom prst="rect">
                      <a:avLst/>
                    </a:prstGeom>
                    <a:noFill/>
                    <a:ln w="9525" cap="flat" cmpd="sng">
                      <a:solidFill>
                        <a:srgbClr val="FFFFFF"/>
                      </a:solidFill>
                      <a:prstDash val="solid"/>
                      <a:miter/>
                      <a:headEnd type="none" w="med" len="med"/>
                      <a:tailEnd type="none" w="med" len="med"/>
                    </a:ln>
                  </pic:spPr>
                </pic:pic>
              </a:graphicData>
            </a:graphic>
          </wp:inline>
        </w:drawing>
      </w:r>
    </w:p>
    <w:p w14:paraId="2910389F">
      <w:pPr>
        <w:spacing w:line="360" w:lineRule="auto"/>
        <w:jc w:val="center"/>
        <w:rPr>
          <w:rFonts w:eastAsia="黑体"/>
          <w:spacing w:val="-10"/>
          <w:sz w:val="18"/>
          <w:szCs w:val="18"/>
        </w:rPr>
      </w:pPr>
      <w:bookmarkStart w:id="91" w:name="PageNo100450038"/>
      <w:r>
        <w:rPr>
          <w:rFonts w:eastAsia="黑体"/>
          <w:spacing w:val="-10"/>
          <w:sz w:val="18"/>
          <w:szCs w:val="18"/>
        </w:rPr>
        <w:t>图</w:t>
      </w:r>
      <w:bookmarkEnd w:id="91"/>
      <w:r>
        <w:rPr>
          <w:rFonts w:eastAsia="黑体"/>
          <w:spacing w:val="-10"/>
          <w:sz w:val="18"/>
          <w:szCs w:val="18"/>
        </w:rPr>
        <w:t>4.5.10 预制构件吊装示意图</w:t>
      </w:r>
    </w:p>
    <w:p w14:paraId="6E5905AC">
      <w:pPr>
        <w:spacing w:line="360" w:lineRule="auto"/>
        <w:jc w:val="center"/>
        <w:rPr>
          <w:rFonts w:eastAsia="黑体"/>
          <w:spacing w:val="-10"/>
          <w:sz w:val="18"/>
          <w:szCs w:val="18"/>
        </w:rPr>
      </w:pPr>
      <w:r>
        <w:rPr>
          <w:rFonts w:eastAsia="黑体"/>
          <w:spacing w:val="-10"/>
          <w:sz w:val="18"/>
          <w:szCs w:val="18"/>
        </w:rPr>
        <w:t>1-钢丝绳；2-卸扣；3-卸扣；4-吊装梁；5-钢丝绳；6-吊环</w:t>
      </w:r>
    </w:p>
    <w:p w14:paraId="683B967C">
      <w:pPr>
        <w:spacing w:line="360" w:lineRule="auto"/>
        <w:rPr>
          <w:sz w:val="24"/>
          <w:szCs w:val="24"/>
        </w:rPr>
      </w:pPr>
      <w:r>
        <w:rPr>
          <w:b/>
          <w:bCs/>
          <w:sz w:val="24"/>
          <w:szCs w:val="24"/>
        </w:rPr>
        <w:t xml:space="preserve">4.5.11  </w:t>
      </w:r>
      <w:r>
        <w:rPr>
          <w:sz w:val="24"/>
          <w:szCs w:val="24"/>
        </w:rPr>
        <w:t>预制构件安装就位后应采用临时支撑固定，装配式混凝土构件临时支撑示意图见图4.5.11，临时支撑安全防护应当符合下列规定：</w:t>
      </w:r>
    </w:p>
    <w:p w14:paraId="51090EC1">
      <w:pPr>
        <w:spacing w:line="360" w:lineRule="auto"/>
        <w:ind w:firstLine="342" w:firstLineChars="142"/>
        <w:rPr>
          <w:sz w:val="24"/>
          <w:szCs w:val="24"/>
        </w:rPr>
      </w:pPr>
      <w:r>
        <w:rPr>
          <w:b/>
          <w:bCs/>
          <w:sz w:val="24"/>
          <w:szCs w:val="24"/>
        </w:rPr>
        <w:t>1</w:t>
      </w:r>
      <w:r>
        <w:rPr>
          <w:sz w:val="24"/>
          <w:szCs w:val="24"/>
        </w:rPr>
        <w:t xml:space="preserve">  应设置不少于2道的临时支撑；</w:t>
      </w:r>
    </w:p>
    <w:p w14:paraId="6387D7AE">
      <w:pPr>
        <w:spacing w:line="360" w:lineRule="auto"/>
        <w:ind w:firstLine="342" w:firstLineChars="142"/>
        <w:rPr>
          <w:sz w:val="24"/>
          <w:szCs w:val="24"/>
        </w:rPr>
      </w:pPr>
      <w:r>
        <w:rPr>
          <w:b/>
          <w:bCs/>
          <w:sz w:val="24"/>
          <w:szCs w:val="24"/>
        </w:rPr>
        <w:t>2</w:t>
      </w:r>
      <w:r>
        <w:rPr>
          <w:sz w:val="24"/>
          <w:szCs w:val="24"/>
        </w:rPr>
        <w:t xml:space="preserve">  预制柱、墙板构件的上部斜支撑，支撑点距离板底的距离不宜小于构件高度的2/3，且不应小于构件高度的1/2；</w:t>
      </w:r>
    </w:p>
    <w:p w14:paraId="6D6A18AE">
      <w:pPr>
        <w:spacing w:line="360" w:lineRule="auto"/>
        <w:ind w:firstLine="342" w:firstLineChars="142"/>
        <w:rPr>
          <w:sz w:val="24"/>
          <w:szCs w:val="24"/>
        </w:rPr>
      </w:pPr>
      <w:r>
        <w:rPr>
          <w:b/>
          <w:bCs/>
          <w:sz w:val="24"/>
          <w:szCs w:val="24"/>
        </w:rPr>
        <w:t>3</w:t>
      </w:r>
      <w:r>
        <w:rPr>
          <w:sz w:val="24"/>
          <w:szCs w:val="24"/>
        </w:rPr>
        <w:t xml:space="preserve">  斜支撑应与构件可靠连接；</w:t>
      </w:r>
    </w:p>
    <w:p w14:paraId="1A41CFB0">
      <w:pPr>
        <w:spacing w:line="360" w:lineRule="auto"/>
        <w:ind w:firstLine="342" w:firstLineChars="142"/>
        <w:rPr>
          <w:sz w:val="24"/>
          <w:szCs w:val="24"/>
        </w:rPr>
      </w:pPr>
      <w:r>
        <w:rPr>
          <w:b/>
          <w:bCs/>
          <w:sz w:val="24"/>
          <w:szCs w:val="24"/>
        </w:rPr>
        <w:t xml:space="preserve">4  </w:t>
      </w:r>
      <w:r>
        <w:rPr>
          <w:sz w:val="24"/>
          <w:szCs w:val="24"/>
        </w:rPr>
        <w:t>经方案设计计算确定临时支撑的间距及其与墙、柱、梁边的净距，竖向连续支撑层数不宜少于2层，上下层竖向支撑应垂直对应；</w:t>
      </w:r>
    </w:p>
    <w:p w14:paraId="69C94BCE">
      <w:pPr>
        <w:spacing w:line="360" w:lineRule="auto"/>
        <w:ind w:firstLine="342" w:firstLineChars="142"/>
        <w:rPr>
          <w:sz w:val="24"/>
          <w:szCs w:val="24"/>
        </w:rPr>
      </w:pPr>
      <w:r>
        <w:rPr>
          <w:b/>
          <w:bCs/>
          <w:sz w:val="24"/>
          <w:szCs w:val="24"/>
        </w:rPr>
        <w:t>5</w:t>
      </w:r>
      <w:r>
        <w:rPr>
          <w:sz w:val="24"/>
          <w:szCs w:val="24"/>
        </w:rPr>
        <w:t xml:space="preserve">  预制叠合板的底板下部支架，可选用定型独立钢支柱，应经计算确定竖向支撑间距。</w:t>
      </w:r>
    </w:p>
    <w:p w14:paraId="6A6E18DE">
      <w:pPr>
        <w:spacing w:line="360" w:lineRule="auto"/>
        <w:jc w:val="center"/>
        <w:rPr>
          <w:szCs w:val="21"/>
        </w:rPr>
      </w:pPr>
      <w:r>
        <w:drawing>
          <wp:inline distT="0" distB="0" distL="114300" distR="114300">
            <wp:extent cx="2130425" cy="2254250"/>
            <wp:effectExtent l="0" t="0" r="0" b="0"/>
            <wp:docPr id="6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7"/>
                    <pic:cNvPicPr>
                      <a:picLocks noChangeAspect="1"/>
                    </pic:cNvPicPr>
                  </pic:nvPicPr>
                  <pic:blipFill>
                    <a:blip r:embed="rId60"/>
                    <a:srcRect l="45441" t="22086" r="32971" b="23660"/>
                    <a:stretch>
                      <a:fillRect/>
                    </a:stretch>
                  </pic:blipFill>
                  <pic:spPr>
                    <a:xfrm>
                      <a:off x="0" y="0"/>
                      <a:ext cx="2130425" cy="2254250"/>
                    </a:xfrm>
                    <a:prstGeom prst="rect">
                      <a:avLst/>
                    </a:prstGeom>
                    <a:noFill/>
                    <a:ln>
                      <a:noFill/>
                    </a:ln>
                  </pic:spPr>
                </pic:pic>
              </a:graphicData>
            </a:graphic>
          </wp:inline>
        </w:drawing>
      </w:r>
    </w:p>
    <w:p w14:paraId="1CBCE03B">
      <w:pPr>
        <w:spacing w:line="360" w:lineRule="auto"/>
        <w:jc w:val="center"/>
        <w:rPr>
          <w:rFonts w:eastAsia="黑体"/>
          <w:sz w:val="18"/>
          <w:szCs w:val="18"/>
        </w:rPr>
      </w:pPr>
      <w:r>
        <w:rPr>
          <w:rFonts w:eastAsia="黑体"/>
          <w:sz w:val="18"/>
          <w:szCs w:val="18"/>
        </w:rPr>
        <w:t>图4.5.11 装配式混凝土构件临时支撑示意图</w:t>
      </w:r>
    </w:p>
    <w:p w14:paraId="14F2FA46">
      <w:pPr>
        <w:spacing w:line="360" w:lineRule="auto"/>
        <w:jc w:val="center"/>
        <w:rPr>
          <w:szCs w:val="21"/>
        </w:rPr>
      </w:pPr>
      <w:r>
        <w:rPr>
          <w:rFonts w:eastAsia="黑体"/>
          <w:sz w:val="18"/>
          <w:szCs w:val="18"/>
        </w:rPr>
        <w:t>1-预制外墙；2-临时支撑；3-墙底垫片</w:t>
      </w:r>
    </w:p>
    <w:p w14:paraId="487803CE">
      <w:pPr>
        <w:spacing w:line="360" w:lineRule="auto"/>
        <w:rPr>
          <w:sz w:val="24"/>
          <w:szCs w:val="24"/>
        </w:rPr>
      </w:pPr>
      <w:r>
        <w:rPr>
          <w:b/>
          <w:bCs/>
          <w:sz w:val="24"/>
          <w:szCs w:val="24"/>
        </w:rPr>
        <w:t>4.5.12</w:t>
      </w:r>
      <w:r>
        <w:rPr>
          <w:sz w:val="24"/>
          <w:szCs w:val="24"/>
        </w:rPr>
        <w:t xml:space="preserve">  预制构件吊装时，吊装区域应封闭管理。</w:t>
      </w:r>
    </w:p>
    <w:p w14:paraId="3F36CE67">
      <w:pPr>
        <w:spacing w:line="360" w:lineRule="auto"/>
        <w:rPr>
          <w:sz w:val="24"/>
          <w:szCs w:val="24"/>
        </w:rPr>
      </w:pPr>
      <w:r>
        <w:rPr>
          <w:b/>
          <w:bCs/>
          <w:sz w:val="24"/>
          <w:szCs w:val="24"/>
        </w:rPr>
        <w:t>4.5.13</w:t>
      </w:r>
      <w:r>
        <w:rPr>
          <w:sz w:val="24"/>
          <w:szCs w:val="24"/>
        </w:rPr>
        <w:t xml:space="preserve">  预制叠合构件装配施工前应根据现场情况设置临时支撑。常用的临时支撑见图4.5.13。</w:t>
      </w:r>
    </w:p>
    <w:p w14:paraId="349913B8">
      <w:pPr>
        <w:spacing w:line="360" w:lineRule="auto"/>
        <w:jc w:val="center"/>
      </w:pPr>
      <w:bookmarkStart w:id="92" w:name="PageNo100460039"/>
      <w:r>
        <w:drawing>
          <wp:inline distT="0" distB="0" distL="114300" distR="114300">
            <wp:extent cx="2798445" cy="2748280"/>
            <wp:effectExtent l="0" t="0" r="0" b="13970"/>
            <wp:docPr id="6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8"/>
                    <pic:cNvPicPr>
                      <a:picLocks noChangeAspect="1"/>
                    </pic:cNvPicPr>
                  </pic:nvPicPr>
                  <pic:blipFill>
                    <a:blip r:embed="rId61"/>
                    <a:srcRect l="31995" t="32368" r="49747" b="25035"/>
                    <a:stretch>
                      <a:fillRect/>
                    </a:stretch>
                  </pic:blipFill>
                  <pic:spPr>
                    <a:xfrm>
                      <a:off x="0" y="0"/>
                      <a:ext cx="2798445" cy="2748280"/>
                    </a:xfrm>
                    <a:prstGeom prst="rect">
                      <a:avLst/>
                    </a:prstGeom>
                    <a:noFill/>
                    <a:ln>
                      <a:noFill/>
                    </a:ln>
                  </pic:spPr>
                </pic:pic>
              </a:graphicData>
            </a:graphic>
          </wp:inline>
        </w:drawing>
      </w:r>
      <w:bookmarkEnd w:id="92"/>
    </w:p>
    <w:p w14:paraId="6F964C90">
      <w:pPr>
        <w:spacing w:line="360" w:lineRule="auto"/>
        <w:jc w:val="center"/>
        <w:rPr>
          <w:rFonts w:eastAsia="黑体"/>
          <w:sz w:val="18"/>
          <w:szCs w:val="18"/>
        </w:rPr>
      </w:pPr>
      <w:r>
        <w:rPr>
          <w:rFonts w:eastAsia="黑体"/>
          <w:sz w:val="18"/>
          <w:szCs w:val="18"/>
        </w:rPr>
        <w:t>图4.5.13 叠合临时支撑示意图（单位㎜）</w:t>
      </w:r>
    </w:p>
    <w:p w14:paraId="74041E87">
      <w:pPr>
        <w:spacing w:line="360" w:lineRule="auto"/>
        <w:rPr>
          <w:sz w:val="24"/>
          <w:szCs w:val="24"/>
        </w:rPr>
      </w:pPr>
      <w:r>
        <w:rPr>
          <w:b/>
          <w:bCs/>
          <w:sz w:val="24"/>
          <w:szCs w:val="24"/>
        </w:rPr>
        <w:t>4.5.14</w:t>
      </w:r>
      <w:r>
        <w:rPr>
          <w:sz w:val="24"/>
          <w:szCs w:val="24"/>
        </w:rPr>
        <w:t xml:space="preserve">  预制构件施工时应设置防护架，应符合下列规定：</w:t>
      </w:r>
    </w:p>
    <w:p w14:paraId="5D1428BD">
      <w:pPr>
        <w:tabs>
          <w:tab w:val="left" w:pos="6930"/>
        </w:tabs>
        <w:spacing w:line="360" w:lineRule="auto"/>
        <w:ind w:firstLine="605" w:firstLineChars="251"/>
        <w:rPr>
          <w:sz w:val="24"/>
          <w:szCs w:val="24"/>
        </w:rPr>
      </w:pPr>
      <w:r>
        <w:rPr>
          <w:b/>
          <w:bCs/>
          <w:sz w:val="24"/>
          <w:szCs w:val="24"/>
        </w:rPr>
        <w:t>1</w:t>
      </w:r>
      <w:r>
        <w:rPr>
          <w:sz w:val="24"/>
          <w:szCs w:val="24"/>
        </w:rPr>
        <w:t xml:space="preserve">  单层型钢式防护架，标准单架体长度宜为1m～2m，多组合使用总长度不宜超过6m，固定螺栓直径不宜小于20㎜，螺栓固定点距构件边缘不应小于150㎜</w:t>
      </w:r>
      <w:r>
        <w:rPr>
          <w:rFonts w:hint="eastAsia"/>
          <w:sz w:val="24"/>
          <w:szCs w:val="24"/>
        </w:rPr>
        <w:t>。</w:t>
      </w:r>
      <w:r>
        <w:rPr>
          <w:sz w:val="24"/>
          <w:szCs w:val="24"/>
        </w:rPr>
        <w:t>单层型钢式防护架示意图见图 4.5.14-1；</w:t>
      </w:r>
    </w:p>
    <w:p w14:paraId="696BB2B3">
      <w:pPr>
        <w:spacing w:line="360" w:lineRule="auto"/>
        <w:jc w:val="center"/>
        <w:rPr>
          <w:szCs w:val="21"/>
        </w:rPr>
      </w:pPr>
      <w:r>
        <w:drawing>
          <wp:inline distT="0" distB="0" distL="114300" distR="114300">
            <wp:extent cx="2703195" cy="2289810"/>
            <wp:effectExtent l="0" t="0" r="0" b="0"/>
            <wp:docPr id="5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9"/>
                    <pic:cNvPicPr>
                      <a:picLocks noChangeAspect="1"/>
                    </pic:cNvPicPr>
                  </pic:nvPicPr>
                  <pic:blipFill>
                    <a:blip r:embed="rId62"/>
                    <a:srcRect l="32513" t="30363" r="49904" b="34259"/>
                    <a:stretch>
                      <a:fillRect/>
                    </a:stretch>
                  </pic:blipFill>
                  <pic:spPr>
                    <a:xfrm>
                      <a:off x="0" y="0"/>
                      <a:ext cx="2703195" cy="2289810"/>
                    </a:xfrm>
                    <a:prstGeom prst="rect">
                      <a:avLst/>
                    </a:prstGeom>
                    <a:noFill/>
                    <a:ln>
                      <a:noFill/>
                    </a:ln>
                  </pic:spPr>
                </pic:pic>
              </a:graphicData>
            </a:graphic>
          </wp:inline>
        </w:drawing>
      </w:r>
      <w:r>
        <w:drawing>
          <wp:inline distT="0" distB="0" distL="114300" distR="114300">
            <wp:extent cx="1598295" cy="2164080"/>
            <wp:effectExtent l="0" t="0" r="0" b="6985"/>
            <wp:docPr id="5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0"/>
                    <pic:cNvPicPr>
                      <a:picLocks noChangeAspect="1"/>
                    </pic:cNvPicPr>
                  </pic:nvPicPr>
                  <pic:blipFill>
                    <a:blip r:embed="rId63"/>
                    <a:srcRect l="47395" t="13348" r="36301" b="34232"/>
                    <a:stretch>
                      <a:fillRect/>
                    </a:stretch>
                  </pic:blipFill>
                  <pic:spPr>
                    <a:xfrm>
                      <a:off x="0" y="0"/>
                      <a:ext cx="1598295" cy="2164080"/>
                    </a:xfrm>
                    <a:prstGeom prst="rect">
                      <a:avLst/>
                    </a:prstGeom>
                    <a:noFill/>
                    <a:ln>
                      <a:noFill/>
                    </a:ln>
                  </pic:spPr>
                </pic:pic>
              </a:graphicData>
            </a:graphic>
          </wp:inline>
        </w:drawing>
      </w:r>
    </w:p>
    <w:p w14:paraId="63B36746">
      <w:pPr>
        <w:spacing w:line="360" w:lineRule="auto"/>
        <w:jc w:val="center"/>
        <w:rPr>
          <w:rFonts w:eastAsia="黑体"/>
          <w:sz w:val="18"/>
          <w:szCs w:val="18"/>
        </w:rPr>
      </w:pPr>
      <w:r>
        <w:rPr>
          <w:rFonts w:eastAsia="黑体"/>
          <w:sz w:val="18"/>
          <w:szCs w:val="18"/>
        </w:rPr>
        <w:t>图4.5.14-1 单层型钢式防护架示意图</w:t>
      </w:r>
    </w:p>
    <w:p w14:paraId="748DD7FF">
      <w:pPr>
        <w:spacing w:line="360" w:lineRule="auto"/>
        <w:jc w:val="center"/>
        <w:rPr>
          <w:rFonts w:eastAsia="黑体"/>
          <w:sz w:val="18"/>
          <w:szCs w:val="18"/>
        </w:rPr>
      </w:pPr>
      <w:r>
        <w:rPr>
          <w:rFonts w:eastAsia="黑体"/>
          <w:sz w:val="18"/>
          <w:szCs w:val="18"/>
        </w:rPr>
        <w:t>1-立网；2-踏板；3-型钢支撑（含分配梁）；4-穿墙螺栓</w:t>
      </w:r>
    </w:p>
    <w:p w14:paraId="00A43D3D">
      <w:pPr>
        <w:spacing w:line="360" w:lineRule="auto"/>
        <w:ind w:firstLine="605" w:firstLineChars="251"/>
        <w:rPr>
          <w:sz w:val="24"/>
          <w:szCs w:val="24"/>
        </w:rPr>
      </w:pPr>
      <w:r>
        <w:rPr>
          <w:b/>
          <w:bCs/>
          <w:sz w:val="24"/>
          <w:szCs w:val="24"/>
        </w:rPr>
        <w:t>2</w:t>
      </w:r>
      <w:r>
        <w:rPr>
          <w:sz w:val="24"/>
          <w:szCs w:val="24"/>
        </w:rPr>
        <w:t xml:space="preserve">  多层型钢式防护架，型钢上部脚手架搭设高度不宜超过20m，固定螺栓直径不宜小于30㎜，螺栓固定点距构件边缘不应小于150㎜，多层型钢式防护架示意图见图4.5.14-2。</w:t>
      </w:r>
    </w:p>
    <w:p w14:paraId="37CDFA58">
      <w:pPr>
        <w:spacing w:line="360" w:lineRule="auto"/>
        <w:jc w:val="center"/>
      </w:pPr>
      <w:bookmarkStart w:id="93" w:name="PageNo100470040"/>
      <w:r>
        <w:rPr>
          <w:szCs w:val="21"/>
        </w:rPr>
        <w:t xml:space="preserve"> </w:t>
      </w:r>
      <w:bookmarkEnd w:id="93"/>
      <w:r>
        <w:rPr>
          <w:szCs w:val="21"/>
        </w:rPr>
        <w:t xml:space="preserve">         </w:t>
      </w:r>
      <w:r>
        <w:drawing>
          <wp:inline distT="0" distB="0" distL="114300" distR="114300">
            <wp:extent cx="3170555" cy="2080895"/>
            <wp:effectExtent l="0" t="0" r="0" b="0"/>
            <wp:docPr id="6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1"/>
                    <pic:cNvPicPr>
                      <a:picLocks noChangeAspect="1"/>
                    </pic:cNvPicPr>
                  </pic:nvPicPr>
                  <pic:blipFill>
                    <a:blip r:embed="rId64"/>
                    <a:srcRect l="35953" t="20251" r="31609" b="29185"/>
                    <a:stretch>
                      <a:fillRect/>
                    </a:stretch>
                  </pic:blipFill>
                  <pic:spPr>
                    <a:xfrm>
                      <a:off x="0" y="0"/>
                      <a:ext cx="3173983" cy="2083163"/>
                    </a:xfrm>
                    <a:prstGeom prst="rect">
                      <a:avLst/>
                    </a:prstGeom>
                    <a:noFill/>
                    <a:ln>
                      <a:noFill/>
                    </a:ln>
                  </pic:spPr>
                </pic:pic>
              </a:graphicData>
            </a:graphic>
          </wp:inline>
        </w:drawing>
      </w:r>
      <w:r>
        <w:drawing>
          <wp:inline distT="0" distB="0" distL="114300" distR="114300">
            <wp:extent cx="1519555" cy="2174240"/>
            <wp:effectExtent l="0" t="0" r="0" b="0"/>
            <wp:docPr id="5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2"/>
                    <pic:cNvPicPr>
                      <a:picLocks noChangeAspect="1"/>
                    </pic:cNvPicPr>
                  </pic:nvPicPr>
                  <pic:blipFill>
                    <a:blip r:embed="rId65"/>
                    <a:srcRect l="49855" t="18132" r="34117" b="27414"/>
                    <a:stretch>
                      <a:fillRect/>
                    </a:stretch>
                  </pic:blipFill>
                  <pic:spPr>
                    <a:xfrm>
                      <a:off x="0" y="0"/>
                      <a:ext cx="1533068" cy="2193440"/>
                    </a:xfrm>
                    <a:prstGeom prst="rect">
                      <a:avLst/>
                    </a:prstGeom>
                    <a:noFill/>
                    <a:ln>
                      <a:noFill/>
                    </a:ln>
                  </pic:spPr>
                </pic:pic>
              </a:graphicData>
            </a:graphic>
          </wp:inline>
        </w:drawing>
      </w:r>
      <w:r>
        <w:drawing>
          <wp:inline distT="0" distB="0" distL="114300" distR="114300">
            <wp:extent cx="1864360" cy="2032635"/>
            <wp:effectExtent l="0" t="0" r="0" b="5715"/>
            <wp:docPr id="5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3"/>
                    <pic:cNvPicPr>
                      <a:picLocks noChangeAspect="1"/>
                    </pic:cNvPicPr>
                  </pic:nvPicPr>
                  <pic:blipFill>
                    <a:blip r:embed="rId66"/>
                    <a:srcRect l="34154" t="41536" r="45563" b="5930"/>
                    <a:stretch>
                      <a:fillRect/>
                    </a:stretch>
                  </pic:blipFill>
                  <pic:spPr>
                    <a:xfrm>
                      <a:off x="0" y="0"/>
                      <a:ext cx="1877715" cy="2047472"/>
                    </a:xfrm>
                    <a:prstGeom prst="rect">
                      <a:avLst/>
                    </a:prstGeom>
                    <a:noFill/>
                    <a:ln>
                      <a:noFill/>
                    </a:ln>
                  </pic:spPr>
                </pic:pic>
              </a:graphicData>
            </a:graphic>
          </wp:inline>
        </w:drawing>
      </w:r>
    </w:p>
    <w:p w14:paraId="7409C9C0">
      <w:pPr>
        <w:spacing w:line="360" w:lineRule="auto"/>
        <w:jc w:val="center"/>
      </w:pPr>
    </w:p>
    <w:p w14:paraId="368DB081">
      <w:pPr>
        <w:spacing w:line="360" w:lineRule="auto"/>
        <w:jc w:val="center"/>
        <w:rPr>
          <w:rFonts w:eastAsia="黑体"/>
          <w:sz w:val="18"/>
          <w:szCs w:val="18"/>
        </w:rPr>
      </w:pPr>
      <w:r>
        <w:rPr>
          <w:rFonts w:eastAsia="黑体"/>
          <w:sz w:val="18"/>
          <w:szCs w:val="18"/>
        </w:rPr>
        <w:t>图 4.5.14-2 多层型钢式防护架示意图</w:t>
      </w:r>
    </w:p>
    <w:p w14:paraId="74B9121D">
      <w:pPr>
        <w:spacing w:line="360" w:lineRule="auto"/>
        <w:ind w:firstLine="900" w:firstLineChars="500"/>
        <w:jc w:val="center"/>
        <w:rPr>
          <w:rFonts w:eastAsia="黑体"/>
          <w:sz w:val="18"/>
          <w:szCs w:val="18"/>
        </w:rPr>
      </w:pPr>
      <w:r>
        <w:rPr>
          <w:rFonts w:eastAsia="黑体"/>
          <w:sz w:val="18"/>
          <w:szCs w:val="18"/>
        </w:rPr>
        <w:t>1-钢管脚手架；2-连系梁；3-三角架；4-穿墙螺栓；5-墙体</w:t>
      </w:r>
    </w:p>
    <w:p w14:paraId="7AF8C6C9">
      <w:pPr>
        <w:spacing w:line="360" w:lineRule="auto"/>
        <w:rPr>
          <w:sz w:val="24"/>
          <w:szCs w:val="24"/>
        </w:rPr>
      </w:pPr>
      <w:r>
        <w:rPr>
          <w:b/>
          <w:bCs/>
          <w:sz w:val="24"/>
          <w:szCs w:val="24"/>
        </w:rPr>
        <w:t>4.5.15</w:t>
      </w:r>
      <w:r>
        <w:rPr>
          <w:sz w:val="24"/>
          <w:szCs w:val="24"/>
        </w:rPr>
        <w:t xml:space="preserve">  钢结构施工时，楼层钢梁吊装完毕后，应及时分区支搭或支挂水平安全网，并在施工层搭设水平通道，宽度不宜小于600㎜，通道两侧应按本标准第4.2节规定设置防护栏杆。</w:t>
      </w:r>
    </w:p>
    <w:p w14:paraId="34EF0EB9">
      <w:pPr>
        <w:spacing w:line="360" w:lineRule="auto"/>
        <w:rPr>
          <w:sz w:val="24"/>
          <w:szCs w:val="24"/>
        </w:rPr>
      </w:pPr>
      <w:r>
        <w:rPr>
          <w:b/>
          <w:bCs/>
          <w:sz w:val="24"/>
          <w:szCs w:val="24"/>
        </w:rPr>
        <w:t>4.5.16</w:t>
      </w:r>
      <w:r>
        <w:rPr>
          <w:sz w:val="24"/>
          <w:szCs w:val="24"/>
        </w:rPr>
        <w:t xml:space="preserve">  利用钢梁作为水平通道时，应在钢梁一侧设置</w:t>
      </w:r>
      <w:r>
        <w:rPr>
          <w:rFonts w:hint="eastAsia"/>
          <w:sz w:val="24"/>
          <w:szCs w:val="24"/>
        </w:rPr>
        <w:t>两道安全绳</w:t>
      </w:r>
      <w:r>
        <w:rPr>
          <w:sz w:val="24"/>
          <w:szCs w:val="24"/>
        </w:rPr>
        <w:t>，安全绳应采用钢丝绳，安装方式可采用抱箍式安全绳和立杆式安全绳。</w:t>
      </w:r>
    </w:p>
    <w:p w14:paraId="521492DE">
      <w:pPr>
        <w:spacing w:line="360" w:lineRule="auto"/>
        <w:rPr>
          <w:sz w:val="24"/>
          <w:szCs w:val="24"/>
        </w:rPr>
      </w:pPr>
      <w:r>
        <w:rPr>
          <w:b/>
          <w:bCs/>
          <w:sz w:val="24"/>
          <w:szCs w:val="24"/>
        </w:rPr>
        <w:t>4.5.17</w:t>
      </w:r>
      <w:r>
        <w:rPr>
          <w:sz w:val="24"/>
          <w:szCs w:val="24"/>
        </w:rPr>
        <w:t xml:space="preserve"> 立杆式安全绳防护</w:t>
      </w:r>
      <w:r>
        <w:rPr>
          <w:rFonts w:hint="eastAsia"/>
          <w:sz w:val="24"/>
          <w:szCs w:val="24"/>
        </w:rPr>
        <w:t>应</w:t>
      </w:r>
      <w:r>
        <w:rPr>
          <w:sz w:val="24"/>
          <w:szCs w:val="24"/>
        </w:rPr>
        <w:t>符合下列规定：(图4.5.17-1、图4.5.17-2)</w:t>
      </w:r>
    </w:p>
    <w:p w14:paraId="7A53294F">
      <w:pPr>
        <w:spacing w:line="360" w:lineRule="auto"/>
        <w:ind w:firstLine="388" w:firstLineChars="161"/>
        <w:rPr>
          <w:b/>
          <w:bCs/>
          <w:sz w:val="24"/>
          <w:szCs w:val="24"/>
        </w:rPr>
      </w:pPr>
      <w:r>
        <w:rPr>
          <w:b/>
          <w:bCs/>
          <w:sz w:val="24"/>
          <w:szCs w:val="24"/>
        </w:rPr>
        <w:t xml:space="preserve">1  </w:t>
      </w:r>
      <w:r>
        <w:rPr>
          <w:sz w:val="24"/>
          <w:szCs w:val="24"/>
        </w:rPr>
        <w:t>立杆与钢梁之间的固定可采用焊接、立杆底部夹具连接等方式，</w:t>
      </w:r>
      <w:r>
        <w:rPr>
          <w:rFonts w:hint="eastAsia"/>
          <w:sz w:val="24"/>
          <w:szCs w:val="24"/>
        </w:rPr>
        <w:t>立杆</w:t>
      </w:r>
      <w:r>
        <w:rPr>
          <w:sz w:val="24"/>
          <w:szCs w:val="24"/>
        </w:rPr>
        <w:t>应承受任何方向1KN外力作用</w:t>
      </w:r>
      <w:r>
        <w:rPr>
          <w:b/>
          <w:bCs/>
          <w:sz w:val="24"/>
          <w:szCs w:val="24"/>
        </w:rPr>
        <w:t>；</w:t>
      </w:r>
    </w:p>
    <w:p w14:paraId="6364B3A8">
      <w:pPr>
        <w:spacing w:line="360" w:lineRule="auto"/>
        <w:ind w:firstLine="388" w:firstLineChars="161"/>
        <w:rPr>
          <w:b/>
          <w:bCs/>
          <w:sz w:val="24"/>
          <w:szCs w:val="24"/>
        </w:rPr>
      </w:pPr>
      <w:bookmarkStart w:id="94" w:name="PageNo100480041"/>
      <w:r>
        <w:rPr>
          <w:b/>
          <w:bCs/>
          <w:sz w:val="24"/>
          <w:szCs w:val="24"/>
        </w:rPr>
        <w:t>2</w:t>
      </w:r>
      <w:bookmarkEnd w:id="94"/>
      <w:r>
        <w:rPr>
          <w:b/>
          <w:bCs/>
          <w:sz w:val="24"/>
          <w:szCs w:val="24"/>
        </w:rPr>
        <w:t xml:space="preserve">  </w:t>
      </w:r>
      <w:r>
        <w:rPr>
          <w:sz w:val="24"/>
          <w:szCs w:val="24"/>
        </w:rPr>
        <w:t>安全绳宜采用镀锌钢丝绳，其技术性能应符合《钢丝绳通用技术条件》GB/T 20118的要求，</w:t>
      </w:r>
      <w:r>
        <w:rPr>
          <w:rFonts w:hint="eastAsia"/>
          <w:sz w:val="24"/>
          <w:szCs w:val="24"/>
        </w:rPr>
        <w:t>安全绳</w:t>
      </w:r>
      <w:r>
        <w:rPr>
          <w:sz w:val="24"/>
          <w:szCs w:val="24"/>
        </w:rPr>
        <w:t>不允许断开后搭接或套接重新使用</w:t>
      </w:r>
      <w:r>
        <w:rPr>
          <w:b/>
          <w:bCs/>
          <w:sz w:val="24"/>
          <w:szCs w:val="24"/>
        </w:rPr>
        <w:t>；</w:t>
      </w:r>
    </w:p>
    <w:p w14:paraId="294D2CE4">
      <w:pPr>
        <w:spacing w:line="360" w:lineRule="auto"/>
        <w:ind w:firstLine="388" w:firstLineChars="161"/>
        <w:rPr>
          <w:b/>
          <w:bCs/>
          <w:sz w:val="24"/>
          <w:szCs w:val="24"/>
        </w:rPr>
      </w:pPr>
      <w:r>
        <w:rPr>
          <w:b/>
          <w:bCs/>
          <w:sz w:val="24"/>
          <w:szCs w:val="24"/>
        </w:rPr>
        <w:t xml:space="preserve">3  </w:t>
      </w:r>
      <w:r>
        <w:rPr>
          <w:sz w:val="24"/>
          <w:szCs w:val="24"/>
        </w:rPr>
        <w:t>立杆间距、立杆与钢梁连接、</w:t>
      </w:r>
      <w:r>
        <w:rPr>
          <w:rFonts w:hint="eastAsia"/>
          <w:sz w:val="24"/>
          <w:szCs w:val="24"/>
        </w:rPr>
        <w:t>安全绳</w:t>
      </w:r>
      <w:r>
        <w:rPr>
          <w:sz w:val="24"/>
          <w:szCs w:val="24"/>
        </w:rPr>
        <w:t>直径等应进行专项设计计算</w:t>
      </w:r>
      <w:r>
        <w:rPr>
          <w:b/>
          <w:bCs/>
          <w:sz w:val="24"/>
          <w:szCs w:val="24"/>
        </w:rPr>
        <w:t>；</w:t>
      </w:r>
    </w:p>
    <w:p w14:paraId="10C00025">
      <w:pPr>
        <w:spacing w:line="360" w:lineRule="auto"/>
        <w:ind w:firstLine="388" w:firstLineChars="161"/>
        <w:rPr>
          <w:b/>
          <w:bCs/>
          <w:sz w:val="24"/>
          <w:szCs w:val="24"/>
        </w:rPr>
      </w:pPr>
      <w:r>
        <w:rPr>
          <w:b/>
          <w:bCs/>
          <w:sz w:val="24"/>
          <w:szCs w:val="24"/>
        </w:rPr>
        <w:t xml:space="preserve">4  </w:t>
      </w:r>
      <w:r>
        <w:rPr>
          <w:sz w:val="24"/>
          <w:szCs w:val="24"/>
        </w:rPr>
        <w:t>立杆由钢管、底部加劲板和穿绳环组成，立杆高度不小于 1200㎜，</w:t>
      </w:r>
      <w:r>
        <w:rPr>
          <w:rFonts w:hint="eastAsia"/>
          <w:sz w:val="24"/>
          <w:szCs w:val="24"/>
        </w:rPr>
        <w:t>上道安全绳距离钢梁上表面1000mm，下道安全绳距离钢梁上表面800mm</w:t>
      </w:r>
      <w:r>
        <w:rPr>
          <w:b/>
          <w:bCs/>
          <w:sz w:val="24"/>
          <w:szCs w:val="24"/>
        </w:rPr>
        <w:t>；</w:t>
      </w:r>
    </w:p>
    <w:p w14:paraId="30D252B3">
      <w:pPr>
        <w:spacing w:line="360" w:lineRule="auto"/>
        <w:ind w:firstLine="388" w:firstLineChars="161"/>
        <w:rPr>
          <w:sz w:val="24"/>
          <w:szCs w:val="24"/>
        </w:rPr>
      </w:pPr>
      <w:r>
        <w:rPr>
          <w:b/>
          <w:bCs/>
          <w:sz w:val="24"/>
          <w:szCs w:val="24"/>
        </w:rPr>
        <w:t xml:space="preserve">5  </w:t>
      </w:r>
      <w:r>
        <w:rPr>
          <w:sz w:val="24"/>
          <w:szCs w:val="24"/>
        </w:rPr>
        <w:t>钢梁立杆式安全绳应在钢梁吊装前安装就位。</w:t>
      </w:r>
    </w:p>
    <w:p w14:paraId="0FBB6CE7">
      <w:pPr>
        <w:spacing w:line="360" w:lineRule="auto"/>
        <w:jc w:val="center"/>
      </w:pPr>
      <w:r>
        <w:drawing>
          <wp:inline distT="0" distB="0" distL="114300" distR="114300">
            <wp:extent cx="4232275" cy="1487805"/>
            <wp:effectExtent l="0" t="0" r="0" b="0"/>
            <wp:docPr id="5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4"/>
                    <pic:cNvPicPr>
                      <a:picLocks noChangeAspect="1"/>
                    </pic:cNvPicPr>
                  </pic:nvPicPr>
                  <pic:blipFill>
                    <a:blip r:embed="rId67"/>
                    <a:srcRect l="23167" t="29762" r="18741" b="21742"/>
                    <a:stretch>
                      <a:fillRect/>
                    </a:stretch>
                  </pic:blipFill>
                  <pic:spPr>
                    <a:xfrm>
                      <a:off x="0" y="0"/>
                      <a:ext cx="4232275" cy="1487805"/>
                    </a:xfrm>
                    <a:prstGeom prst="rect">
                      <a:avLst/>
                    </a:prstGeom>
                    <a:noFill/>
                    <a:ln>
                      <a:noFill/>
                    </a:ln>
                  </pic:spPr>
                </pic:pic>
              </a:graphicData>
            </a:graphic>
          </wp:inline>
        </w:drawing>
      </w:r>
    </w:p>
    <w:p w14:paraId="244DA586">
      <w:pPr>
        <w:spacing w:line="360" w:lineRule="auto"/>
        <w:jc w:val="center"/>
        <w:rPr>
          <w:rFonts w:eastAsia="黑体"/>
          <w:sz w:val="18"/>
          <w:szCs w:val="18"/>
        </w:rPr>
      </w:pPr>
      <w:r>
        <w:rPr>
          <w:rFonts w:eastAsia="黑体"/>
          <w:sz w:val="18"/>
          <w:szCs w:val="18"/>
        </w:rPr>
        <w:t>图4.5.17-1立杆式安全绳示意图（单位㎜）</w:t>
      </w:r>
    </w:p>
    <w:p w14:paraId="51D3C3B8">
      <w:pPr>
        <w:spacing w:line="360" w:lineRule="auto"/>
        <w:jc w:val="center"/>
        <w:rPr>
          <w:rFonts w:eastAsia="黑体"/>
          <w:szCs w:val="21"/>
        </w:rPr>
      </w:pPr>
      <w:r>
        <w:rPr>
          <w:rFonts w:eastAsia="黑体"/>
          <w:sz w:val="18"/>
          <w:szCs w:val="18"/>
        </w:rPr>
        <w:t>1-绳卡；2-立杆；3-穿绳环；4-花篮螺栓；5-劲板加固措施</w:t>
      </w:r>
    </w:p>
    <w:p w14:paraId="440852F8">
      <w:pPr>
        <w:spacing w:line="360" w:lineRule="auto"/>
        <w:jc w:val="center"/>
      </w:pPr>
      <w:r>
        <w:drawing>
          <wp:inline distT="0" distB="0" distL="114300" distR="114300">
            <wp:extent cx="2506980" cy="1844040"/>
            <wp:effectExtent l="0" t="0" r="0" b="0"/>
            <wp:docPr id="6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5"/>
                    <pic:cNvPicPr>
                      <a:picLocks noChangeAspect="1"/>
                    </pic:cNvPicPr>
                  </pic:nvPicPr>
                  <pic:blipFill>
                    <a:blip r:embed="rId68"/>
                    <a:srcRect l="45140" t="24290" r="32285" b="36264"/>
                    <a:stretch>
                      <a:fillRect/>
                    </a:stretch>
                  </pic:blipFill>
                  <pic:spPr>
                    <a:xfrm>
                      <a:off x="0" y="0"/>
                      <a:ext cx="2506980" cy="1844040"/>
                    </a:xfrm>
                    <a:prstGeom prst="rect">
                      <a:avLst/>
                    </a:prstGeom>
                    <a:noFill/>
                    <a:ln>
                      <a:noFill/>
                    </a:ln>
                  </pic:spPr>
                </pic:pic>
              </a:graphicData>
            </a:graphic>
          </wp:inline>
        </w:drawing>
      </w:r>
    </w:p>
    <w:p w14:paraId="0E63C7DE">
      <w:pPr>
        <w:spacing w:line="360" w:lineRule="auto"/>
        <w:jc w:val="center"/>
        <w:rPr>
          <w:rFonts w:eastAsia="黑体"/>
          <w:sz w:val="18"/>
          <w:szCs w:val="18"/>
        </w:rPr>
      </w:pPr>
      <w:r>
        <w:rPr>
          <w:rFonts w:eastAsia="黑体"/>
          <w:sz w:val="18"/>
          <w:szCs w:val="18"/>
        </w:rPr>
        <w:t>图4.5.17-2夹具式立杆示意图（单位㎜）</w:t>
      </w:r>
    </w:p>
    <w:p w14:paraId="24F745F9">
      <w:pPr>
        <w:spacing w:line="360" w:lineRule="auto"/>
        <w:jc w:val="center"/>
        <w:rPr>
          <w:szCs w:val="21"/>
        </w:rPr>
      </w:pPr>
      <w:r>
        <w:rPr>
          <w:rFonts w:eastAsia="黑体"/>
          <w:sz w:val="18"/>
          <w:szCs w:val="18"/>
        </w:rPr>
        <w:t>1-立杆；2-加劲板；3-U型钢板；4-紧固螺栓</w:t>
      </w:r>
    </w:p>
    <w:p w14:paraId="3D442F62">
      <w:pPr>
        <w:spacing w:line="360" w:lineRule="auto"/>
        <w:rPr>
          <w:sz w:val="24"/>
          <w:szCs w:val="24"/>
        </w:rPr>
      </w:pPr>
      <w:r>
        <w:rPr>
          <w:b/>
          <w:bCs/>
          <w:sz w:val="24"/>
          <w:szCs w:val="24"/>
        </w:rPr>
        <w:t xml:space="preserve">4.5.18  </w:t>
      </w:r>
      <w:r>
        <w:rPr>
          <w:sz w:val="24"/>
          <w:szCs w:val="24"/>
        </w:rPr>
        <w:t>立杆式安全绳的安装固定应符合下列规定：</w:t>
      </w:r>
    </w:p>
    <w:p w14:paraId="7BDA98D7">
      <w:pPr>
        <w:spacing w:line="360" w:lineRule="auto"/>
        <w:ind w:firstLine="388" w:firstLineChars="161"/>
        <w:rPr>
          <w:b/>
          <w:bCs/>
          <w:sz w:val="24"/>
          <w:szCs w:val="24"/>
        </w:rPr>
      </w:pPr>
      <w:r>
        <w:rPr>
          <w:b/>
          <w:bCs/>
          <w:sz w:val="24"/>
          <w:szCs w:val="24"/>
        </w:rPr>
        <w:t xml:space="preserve">1  </w:t>
      </w:r>
      <w:r>
        <w:rPr>
          <w:sz w:val="24"/>
          <w:szCs w:val="24"/>
        </w:rPr>
        <w:t>选用与</w:t>
      </w:r>
      <w:r>
        <w:rPr>
          <w:rFonts w:hint="eastAsia"/>
          <w:sz w:val="24"/>
          <w:szCs w:val="24"/>
        </w:rPr>
        <w:t>安全绳</w:t>
      </w:r>
      <w:r>
        <w:rPr>
          <w:sz w:val="24"/>
          <w:szCs w:val="24"/>
        </w:rPr>
        <w:t>直径配套绳卡，</w:t>
      </w:r>
      <w:r>
        <w:rPr>
          <w:rFonts w:hint="eastAsia"/>
          <w:sz w:val="24"/>
          <w:szCs w:val="24"/>
        </w:rPr>
        <w:t>安全绳</w:t>
      </w:r>
      <w:r>
        <w:rPr>
          <w:sz w:val="24"/>
          <w:szCs w:val="24"/>
        </w:rPr>
        <w:t>两端绳卡数量不得少于3个，绳卡间距为钢丝绳直径的6-7倍；</w:t>
      </w:r>
    </w:p>
    <w:p w14:paraId="0C2672EF">
      <w:pPr>
        <w:spacing w:line="360" w:lineRule="auto"/>
        <w:ind w:firstLine="388" w:firstLineChars="161"/>
        <w:rPr>
          <w:b/>
          <w:bCs/>
          <w:sz w:val="24"/>
          <w:szCs w:val="24"/>
        </w:rPr>
      </w:pPr>
      <w:r>
        <w:rPr>
          <w:b/>
          <w:bCs/>
          <w:sz w:val="24"/>
          <w:szCs w:val="24"/>
        </w:rPr>
        <w:t xml:space="preserve">2  </w:t>
      </w:r>
      <w:r>
        <w:rPr>
          <w:rFonts w:hint="eastAsia"/>
          <w:sz w:val="24"/>
          <w:szCs w:val="24"/>
        </w:rPr>
        <w:t>安全绳两端宜安装经设计计算、符合安全性能的花篮螺栓，用于调节钢丝绳的松度</w:t>
      </w:r>
      <w:r>
        <w:rPr>
          <w:b/>
          <w:bCs/>
          <w:sz w:val="24"/>
          <w:szCs w:val="24"/>
        </w:rPr>
        <w:t>；</w:t>
      </w:r>
    </w:p>
    <w:p w14:paraId="3A13F3FF">
      <w:pPr>
        <w:spacing w:line="360" w:lineRule="auto"/>
        <w:ind w:firstLine="388" w:firstLineChars="161"/>
        <w:rPr>
          <w:b/>
          <w:bCs/>
          <w:sz w:val="24"/>
          <w:szCs w:val="24"/>
        </w:rPr>
      </w:pPr>
      <w:r>
        <w:rPr>
          <w:b/>
          <w:bCs/>
          <w:sz w:val="24"/>
          <w:szCs w:val="24"/>
        </w:rPr>
        <w:t xml:space="preserve">3  </w:t>
      </w:r>
      <w:r>
        <w:rPr>
          <w:sz w:val="24"/>
          <w:szCs w:val="24"/>
        </w:rPr>
        <w:t>立杆底部四周应采取焊接加劲板措施加固；</w:t>
      </w:r>
    </w:p>
    <w:p w14:paraId="2A8447D1">
      <w:pPr>
        <w:spacing w:line="360" w:lineRule="auto"/>
        <w:ind w:firstLine="388" w:firstLineChars="161"/>
        <w:rPr>
          <w:b/>
          <w:bCs/>
          <w:sz w:val="24"/>
          <w:szCs w:val="24"/>
        </w:rPr>
      </w:pPr>
      <w:r>
        <w:rPr>
          <w:b/>
          <w:bCs/>
          <w:sz w:val="24"/>
          <w:szCs w:val="24"/>
        </w:rPr>
        <w:t xml:space="preserve">4  </w:t>
      </w:r>
      <w:r>
        <w:rPr>
          <w:sz w:val="24"/>
          <w:szCs w:val="24"/>
        </w:rPr>
        <w:t>穿绳环使用直径不小于6㎜，与立杆钢管以角焊缝的方式连接；</w:t>
      </w:r>
    </w:p>
    <w:p w14:paraId="2FC3F006">
      <w:pPr>
        <w:spacing w:line="360" w:lineRule="auto"/>
        <w:ind w:firstLine="388" w:firstLineChars="161"/>
        <w:rPr>
          <w:b/>
          <w:bCs/>
          <w:sz w:val="24"/>
          <w:szCs w:val="24"/>
        </w:rPr>
      </w:pPr>
      <w:r>
        <w:rPr>
          <w:b/>
          <w:bCs/>
          <w:sz w:val="24"/>
          <w:szCs w:val="24"/>
        </w:rPr>
        <w:t xml:space="preserve">5  </w:t>
      </w:r>
      <w:r>
        <w:rPr>
          <w:rFonts w:hint="eastAsia"/>
          <w:sz w:val="24"/>
          <w:szCs w:val="24"/>
        </w:rPr>
        <w:t>安全绳</w:t>
      </w:r>
      <w:r>
        <w:rPr>
          <w:sz w:val="24"/>
          <w:szCs w:val="24"/>
        </w:rPr>
        <w:t>穿绕穿绳环与钢管绑扎，用绳卡固定。</w:t>
      </w:r>
    </w:p>
    <w:p w14:paraId="0ADBDA85">
      <w:pPr>
        <w:spacing w:line="360" w:lineRule="auto"/>
        <w:rPr>
          <w:sz w:val="24"/>
          <w:szCs w:val="24"/>
        </w:rPr>
      </w:pPr>
      <w:r>
        <w:rPr>
          <w:b/>
          <w:bCs/>
          <w:sz w:val="24"/>
          <w:szCs w:val="24"/>
        </w:rPr>
        <w:t xml:space="preserve">4.5.19  </w:t>
      </w:r>
      <w:r>
        <w:rPr>
          <w:sz w:val="24"/>
          <w:szCs w:val="24"/>
        </w:rPr>
        <w:t>抱箍式安全绳应符合下列规定：</w:t>
      </w:r>
    </w:p>
    <w:p w14:paraId="2F5AC69B">
      <w:pPr>
        <w:spacing w:line="360" w:lineRule="auto"/>
        <w:ind w:firstLine="388" w:firstLineChars="161"/>
        <w:rPr>
          <w:sz w:val="24"/>
          <w:szCs w:val="24"/>
        </w:rPr>
      </w:pPr>
      <w:bookmarkStart w:id="95" w:name="PageNo100490042"/>
      <w:r>
        <w:rPr>
          <w:b/>
          <w:bCs/>
          <w:sz w:val="24"/>
          <w:szCs w:val="24"/>
        </w:rPr>
        <w:t>1</w:t>
      </w:r>
      <w:bookmarkEnd w:id="95"/>
      <w:r>
        <w:rPr>
          <w:sz w:val="24"/>
          <w:szCs w:val="24"/>
        </w:rPr>
        <w:t xml:space="preserve">  抱箍应采用扁钢制作，并喷涂红白相间防腐油漆；</w:t>
      </w:r>
    </w:p>
    <w:p w14:paraId="4881FB2E">
      <w:pPr>
        <w:spacing w:line="360" w:lineRule="auto"/>
        <w:ind w:firstLine="388" w:firstLineChars="161"/>
        <w:rPr>
          <w:b/>
          <w:bCs/>
          <w:sz w:val="24"/>
          <w:szCs w:val="24"/>
        </w:rPr>
      </w:pPr>
      <w:r>
        <w:rPr>
          <w:b/>
          <w:bCs/>
          <w:sz w:val="24"/>
          <w:szCs w:val="24"/>
        </w:rPr>
        <w:t xml:space="preserve">2  </w:t>
      </w:r>
      <w:r>
        <w:rPr>
          <w:sz w:val="24"/>
          <w:szCs w:val="24"/>
        </w:rPr>
        <w:t>安全绳应采用镀锌材料，其技术性能应符合现行国家标准《钢丝绳通用技术条件》GB/T 20118的规定；</w:t>
      </w:r>
    </w:p>
    <w:p w14:paraId="3D8DE981">
      <w:pPr>
        <w:spacing w:line="360" w:lineRule="auto"/>
        <w:ind w:firstLine="388" w:firstLineChars="161"/>
        <w:rPr>
          <w:sz w:val="24"/>
          <w:szCs w:val="24"/>
        </w:rPr>
      </w:pPr>
      <w:r>
        <w:rPr>
          <w:b/>
          <w:bCs/>
          <w:sz w:val="24"/>
          <w:szCs w:val="24"/>
        </w:rPr>
        <w:t>3</w:t>
      </w:r>
      <w:r>
        <w:rPr>
          <w:sz w:val="24"/>
          <w:szCs w:val="24"/>
        </w:rPr>
        <w:t xml:space="preserve">  端部</w:t>
      </w:r>
      <w:r>
        <w:rPr>
          <w:rFonts w:hint="eastAsia"/>
          <w:sz w:val="24"/>
          <w:szCs w:val="24"/>
        </w:rPr>
        <w:t>安全绳</w:t>
      </w:r>
      <w:r>
        <w:rPr>
          <w:sz w:val="24"/>
          <w:szCs w:val="24"/>
        </w:rPr>
        <w:t>应使用绳卡固定，并应设置安全弯</w:t>
      </w:r>
      <w:r>
        <w:rPr>
          <w:rFonts w:hint="eastAsia"/>
          <w:sz w:val="24"/>
          <w:szCs w:val="24"/>
        </w:rPr>
        <w:t>，</w:t>
      </w:r>
      <w:r>
        <w:rPr>
          <w:sz w:val="24"/>
          <w:szCs w:val="24"/>
        </w:rPr>
        <w:t>绳卡应设置在钢丝绳长头端且数量不应少于4个，</w:t>
      </w:r>
      <w:r>
        <w:rPr>
          <w:rFonts w:hint="eastAsia"/>
          <w:sz w:val="24"/>
          <w:szCs w:val="24"/>
        </w:rPr>
        <w:t>安全绳</w:t>
      </w:r>
      <w:r>
        <w:rPr>
          <w:sz w:val="24"/>
          <w:szCs w:val="24"/>
        </w:rPr>
        <w:t>卡扣示意图见图4.5.19。</w:t>
      </w:r>
    </w:p>
    <w:p w14:paraId="0843D2E2">
      <w:pPr>
        <w:spacing w:line="360" w:lineRule="auto"/>
        <w:ind w:firstLine="388" w:firstLineChars="161"/>
        <w:rPr>
          <w:sz w:val="24"/>
          <w:szCs w:val="24"/>
        </w:rPr>
      </w:pPr>
      <w:r>
        <w:rPr>
          <w:b/>
          <w:bCs/>
          <w:sz w:val="24"/>
          <w:szCs w:val="24"/>
        </w:rPr>
        <w:t>4</w:t>
      </w:r>
      <w:r>
        <w:rPr>
          <w:sz w:val="24"/>
          <w:szCs w:val="24"/>
        </w:rPr>
        <w:t xml:space="preserve">  </w:t>
      </w:r>
      <w:r>
        <w:rPr>
          <w:rFonts w:hint="eastAsia"/>
          <w:sz w:val="24"/>
          <w:szCs w:val="24"/>
        </w:rPr>
        <w:t>安全绳</w:t>
      </w:r>
      <w:r>
        <w:rPr>
          <w:sz w:val="24"/>
          <w:szCs w:val="24"/>
        </w:rPr>
        <w:t>间距A应为6-7D，安全弯高度H宜为1D，</w:t>
      </w:r>
      <w:r>
        <w:rPr>
          <w:rFonts w:hint="eastAsia"/>
          <w:sz w:val="24"/>
          <w:szCs w:val="24"/>
        </w:rPr>
        <w:t>安全绳</w:t>
      </w:r>
      <w:r>
        <w:rPr>
          <w:sz w:val="24"/>
          <w:szCs w:val="24"/>
        </w:rPr>
        <w:t xml:space="preserve">尾端宜留置不小于140㎜。  </w:t>
      </w:r>
    </w:p>
    <w:p w14:paraId="2CFDD37D">
      <w:pPr>
        <w:spacing w:line="360" w:lineRule="auto"/>
        <w:jc w:val="center"/>
        <w:rPr>
          <w:szCs w:val="21"/>
        </w:rPr>
      </w:pPr>
      <w:r>
        <w:drawing>
          <wp:inline distT="0" distB="0" distL="114300" distR="114300">
            <wp:extent cx="4961890" cy="1264920"/>
            <wp:effectExtent l="0" t="0" r="10160" b="0"/>
            <wp:docPr id="5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6"/>
                    <pic:cNvPicPr>
                      <a:picLocks noChangeAspect="1"/>
                    </pic:cNvPicPr>
                  </pic:nvPicPr>
                  <pic:blipFill>
                    <a:blip r:embed="rId69"/>
                    <a:srcRect l="11252" t="32855" r="20007" b="25523"/>
                    <a:stretch>
                      <a:fillRect/>
                    </a:stretch>
                  </pic:blipFill>
                  <pic:spPr>
                    <a:xfrm>
                      <a:off x="0" y="0"/>
                      <a:ext cx="4961890" cy="1264920"/>
                    </a:xfrm>
                    <a:prstGeom prst="rect">
                      <a:avLst/>
                    </a:prstGeom>
                    <a:noFill/>
                    <a:ln>
                      <a:noFill/>
                    </a:ln>
                  </pic:spPr>
                </pic:pic>
              </a:graphicData>
            </a:graphic>
          </wp:inline>
        </w:drawing>
      </w:r>
    </w:p>
    <w:p w14:paraId="20A71C68">
      <w:pPr>
        <w:spacing w:line="360" w:lineRule="auto"/>
        <w:jc w:val="center"/>
        <w:rPr>
          <w:rFonts w:eastAsia="黑体"/>
          <w:sz w:val="18"/>
          <w:szCs w:val="18"/>
        </w:rPr>
      </w:pPr>
      <w:r>
        <w:rPr>
          <w:rFonts w:eastAsia="黑体"/>
          <w:sz w:val="18"/>
          <w:szCs w:val="18"/>
        </w:rPr>
        <w:t xml:space="preserve">图4.5.19 </w:t>
      </w:r>
      <w:r>
        <w:rPr>
          <w:rFonts w:hint="eastAsia" w:eastAsia="黑体"/>
          <w:sz w:val="18"/>
          <w:szCs w:val="18"/>
        </w:rPr>
        <w:t>安全绳</w:t>
      </w:r>
      <w:r>
        <w:rPr>
          <w:rFonts w:eastAsia="黑体"/>
          <w:sz w:val="18"/>
          <w:szCs w:val="18"/>
        </w:rPr>
        <w:t>卡扣示意图</w:t>
      </w:r>
    </w:p>
    <w:p w14:paraId="45F98BE3">
      <w:pPr>
        <w:spacing w:line="360" w:lineRule="auto"/>
        <w:jc w:val="center"/>
        <w:rPr>
          <w:rFonts w:eastAsia="黑体"/>
          <w:szCs w:val="21"/>
        </w:rPr>
      </w:pPr>
      <w:r>
        <w:rPr>
          <w:rFonts w:eastAsia="黑体"/>
          <w:sz w:val="18"/>
          <w:szCs w:val="18"/>
        </w:rPr>
        <w:t>1-镀锌钢丝绳；2-卡扣</w:t>
      </w:r>
    </w:p>
    <w:p w14:paraId="11784F98">
      <w:pPr>
        <w:spacing w:line="360" w:lineRule="auto"/>
        <w:rPr>
          <w:szCs w:val="21"/>
        </w:rPr>
      </w:pPr>
      <w:r>
        <w:rPr>
          <w:b/>
          <w:bCs/>
          <w:sz w:val="24"/>
          <w:szCs w:val="24"/>
        </w:rPr>
        <w:t>4.5.20</w:t>
      </w:r>
      <w:r>
        <w:rPr>
          <w:sz w:val="24"/>
          <w:szCs w:val="24"/>
        </w:rPr>
        <w:t xml:space="preserve">  钢梁腹板高度小于等于800㎜时，应设下挂式水平安全网。钢梁腹板高度大于800㎜ 时，应在梁上翼缘挂设上挂式水平安全网。（下挂式安全网示意图见图4.5.20）</w:t>
      </w:r>
      <w:r>
        <w:drawing>
          <wp:inline distT="0" distB="0" distL="114300" distR="114300">
            <wp:extent cx="5272405" cy="1285240"/>
            <wp:effectExtent l="0" t="0" r="4445" b="0"/>
            <wp:docPr id="5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7"/>
                    <pic:cNvPicPr>
                      <a:picLocks noChangeAspect="1"/>
                    </pic:cNvPicPr>
                  </pic:nvPicPr>
                  <pic:blipFill>
                    <a:blip r:embed="rId70"/>
                    <a:srcRect l="7452" t="32025" r="23517" b="28015"/>
                    <a:stretch>
                      <a:fillRect/>
                    </a:stretch>
                  </pic:blipFill>
                  <pic:spPr>
                    <a:xfrm>
                      <a:off x="0" y="0"/>
                      <a:ext cx="5272405" cy="1285240"/>
                    </a:xfrm>
                    <a:prstGeom prst="rect">
                      <a:avLst/>
                    </a:prstGeom>
                    <a:noFill/>
                    <a:ln>
                      <a:noFill/>
                    </a:ln>
                  </pic:spPr>
                </pic:pic>
              </a:graphicData>
            </a:graphic>
          </wp:inline>
        </w:drawing>
      </w:r>
    </w:p>
    <w:p w14:paraId="4F9242AC">
      <w:pPr>
        <w:spacing w:line="360" w:lineRule="auto"/>
        <w:jc w:val="center"/>
        <w:rPr>
          <w:rFonts w:eastAsia="黑体"/>
          <w:sz w:val="18"/>
          <w:szCs w:val="18"/>
        </w:rPr>
      </w:pPr>
      <w:r>
        <w:rPr>
          <w:rFonts w:eastAsia="黑体"/>
          <w:sz w:val="18"/>
          <w:szCs w:val="18"/>
        </w:rPr>
        <w:t>图4.5.20 下挂式安全网</w:t>
      </w:r>
    </w:p>
    <w:p w14:paraId="3914B320">
      <w:pPr>
        <w:spacing w:line="360" w:lineRule="auto"/>
        <w:jc w:val="center"/>
        <w:rPr>
          <w:szCs w:val="21"/>
        </w:rPr>
      </w:pPr>
      <w:r>
        <w:rPr>
          <w:rFonts w:eastAsia="黑体"/>
          <w:sz w:val="18"/>
          <w:szCs w:val="18"/>
        </w:rPr>
        <w:t>1-吊钩；2-安全网</w:t>
      </w:r>
    </w:p>
    <w:p w14:paraId="6A28A904">
      <w:pPr>
        <w:spacing w:line="360" w:lineRule="auto"/>
        <w:rPr>
          <w:sz w:val="24"/>
          <w:szCs w:val="24"/>
        </w:rPr>
      </w:pPr>
      <w:r>
        <w:rPr>
          <w:b/>
          <w:bCs/>
          <w:sz w:val="24"/>
          <w:szCs w:val="24"/>
        </w:rPr>
        <w:t>4.5.21</w:t>
      </w:r>
      <w:r>
        <w:rPr>
          <w:sz w:val="24"/>
          <w:szCs w:val="24"/>
        </w:rPr>
        <w:t xml:space="preserve">  钢结构焊接操作平台设置示意图见图4.5.21，安全防护应符合下列规定：</w:t>
      </w:r>
    </w:p>
    <w:p w14:paraId="34E8E8DA">
      <w:pPr>
        <w:spacing w:line="360" w:lineRule="auto"/>
        <w:rPr>
          <w:sz w:val="24"/>
          <w:szCs w:val="24"/>
        </w:rPr>
      </w:pPr>
      <w:r>
        <w:rPr>
          <w:sz w:val="24"/>
          <w:szCs w:val="24"/>
        </w:rPr>
        <w:t xml:space="preserve">   </w:t>
      </w:r>
      <w:r>
        <w:rPr>
          <w:rFonts w:hint="eastAsia"/>
          <w:sz w:val="24"/>
          <w:szCs w:val="24"/>
        </w:rPr>
        <w:t xml:space="preserve"> </w:t>
      </w:r>
      <w:r>
        <w:rPr>
          <w:b/>
          <w:bCs/>
          <w:sz w:val="24"/>
          <w:szCs w:val="24"/>
        </w:rPr>
        <w:t>1</w:t>
      </w:r>
      <w:r>
        <w:rPr>
          <w:sz w:val="24"/>
          <w:szCs w:val="24"/>
        </w:rPr>
        <w:t xml:space="preserve">  操作平台应按本标准第4.2节设置临边防护；</w:t>
      </w:r>
    </w:p>
    <w:p w14:paraId="6639CA56">
      <w:pPr>
        <w:spacing w:line="360" w:lineRule="auto"/>
        <w:ind w:firstLine="629" w:firstLineChars="261"/>
        <w:rPr>
          <w:sz w:val="24"/>
          <w:szCs w:val="24"/>
        </w:rPr>
      </w:pPr>
      <w:r>
        <w:rPr>
          <w:b/>
          <w:bCs/>
          <w:sz w:val="24"/>
          <w:szCs w:val="24"/>
        </w:rPr>
        <w:t xml:space="preserve">2  </w:t>
      </w:r>
      <w:r>
        <w:rPr>
          <w:sz w:val="24"/>
          <w:szCs w:val="24"/>
        </w:rPr>
        <w:t>操作平台临边防护高度应不小于1200㎜，有电焊防风要求时，其高度应不小于1800㎜；</w:t>
      </w:r>
    </w:p>
    <w:p w14:paraId="52142899">
      <w:pPr>
        <w:spacing w:line="360" w:lineRule="auto"/>
        <w:ind w:firstLine="629" w:firstLineChars="261"/>
        <w:rPr>
          <w:sz w:val="24"/>
          <w:szCs w:val="24"/>
        </w:rPr>
      </w:pPr>
      <w:r>
        <w:rPr>
          <w:b/>
          <w:bCs/>
          <w:sz w:val="24"/>
          <w:szCs w:val="24"/>
        </w:rPr>
        <w:t xml:space="preserve">3  </w:t>
      </w:r>
      <w:r>
        <w:rPr>
          <w:sz w:val="24"/>
          <w:szCs w:val="24"/>
        </w:rPr>
        <w:t>有焊接防风要求时，应使用防火防风布对平台顶部及四周进行封闭，并在底部铺设一层防火岩棉；</w:t>
      </w:r>
    </w:p>
    <w:p w14:paraId="6A6649E0">
      <w:pPr>
        <w:spacing w:line="360" w:lineRule="auto"/>
        <w:ind w:firstLine="629" w:firstLineChars="261"/>
        <w:rPr>
          <w:sz w:val="24"/>
          <w:szCs w:val="24"/>
        </w:rPr>
      </w:pPr>
      <w:r>
        <w:rPr>
          <w:b/>
          <w:bCs/>
          <w:sz w:val="24"/>
          <w:szCs w:val="24"/>
        </w:rPr>
        <w:t>4</w:t>
      </w:r>
      <w:r>
        <w:rPr>
          <w:sz w:val="24"/>
          <w:szCs w:val="24"/>
        </w:rPr>
        <w:t xml:space="preserve">  操作平台底部可随柱、梁等结构的不同进行针对性的制作，其他部位可不作调整；</w:t>
      </w:r>
    </w:p>
    <w:p w14:paraId="712CFD79">
      <w:pPr>
        <w:spacing w:line="360" w:lineRule="auto"/>
        <w:ind w:firstLine="629" w:firstLineChars="261"/>
        <w:rPr>
          <w:sz w:val="24"/>
          <w:szCs w:val="24"/>
        </w:rPr>
      </w:pPr>
      <w:r>
        <w:rPr>
          <w:b/>
          <w:bCs/>
          <w:sz w:val="24"/>
          <w:szCs w:val="24"/>
        </w:rPr>
        <w:t>5</w:t>
      </w:r>
      <w:r>
        <w:rPr>
          <w:sz w:val="24"/>
          <w:szCs w:val="24"/>
        </w:rPr>
        <w:t xml:space="preserve">  操作平台应在内侧四角设置吊点，在该部位作业前安装到位，该部位作业全部完成</w:t>
      </w:r>
      <w:bookmarkStart w:id="96" w:name="PageNo100500043"/>
      <w:r>
        <w:rPr>
          <w:sz w:val="24"/>
          <w:szCs w:val="24"/>
        </w:rPr>
        <w:t>后</w:t>
      </w:r>
      <w:bookmarkEnd w:id="96"/>
      <w:r>
        <w:rPr>
          <w:sz w:val="24"/>
          <w:szCs w:val="24"/>
        </w:rPr>
        <w:t>方可拆除。</w:t>
      </w:r>
    </w:p>
    <w:p w14:paraId="660508C2">
      <w:pPr>
        <w:spacing w:line="360" w:lineRule="auto"/>
        <w:ind w:firstLine="210" w:firstLineChars="100"/>
        <w:jc w:val="center"/>
        <w:rPr>
          <w:szCs w:val="21"/>
        </w:rPr>
      </w:pPr>
      <w:r>
        <w:drawing>
          <wp:inline distT="0" distB="0" distL="114300" distR="114300">
            <wp:extent cx="3562350" cy="3060065"/>
            <wp:effectExtent l="0" t="0" r="0" b="0"/>
            <wp:docPr id="5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8"/>
                    <pic:cNvPicPr>
                      <a:picLocks noChangeAspect="1"/>
                    </pic:cNvPicPr>
                  </pic:nvPicPr>
                  <pic:blipFill>
                    <a:blip r:embed="rId71"/>
                    <a:srcRect l="37843" t="12202" r="32562" b="27414"/>
                    <a:stretch>
                      <a:fillRect/>
                    </a:stretch>
                  </pic:blipFill>
                  <pic:spPr>
                    <a:xfrm>
                      <a:off x="0" y="0"/>
                      <a:ext cx="3562350" cy="3060065"/>
                    </a:xfrm>
                    <a:prstGeom prst="rect">
                      <a:avLst/>
                    </a:prstGeom>
                    <a:noFill/>
                    <a:ln>
                      <a:noFill/>
                    </a:ln>
                  </pic:spPr>
                </pic:pic>
              </a:graphicData>
            </a:graphic>
          </wp:inline>
        </w:drawing>
      </w:r>
    </w:p>
    <w:p w14:paraId="6A2DF9C7">
      <w:pPr>
        <w:spacing w:line="360" w:lineRule="auto"/>
        <w:jc w:val="center"/>
        <w:rPr>
          <w:rFonts w:eastAsia="黑体"/>
          <w:sz w:val="18"/>
          <w:szCs w:val="18"/>
        </w:rPr>
      </w:pPr>
      <w:r>
        <w:rPr>
          <w:rFonts w:eastAsia="黑体"/>
          <w:sz w:val="18"/>
          <w:szCs w:val="18"/>
        </w:rPr>
        <w:t>图4.5.21 钢结构固定式操作平台示意图（单位：㎜）</w:t>
      </w:r>
    </w:p>
    <w:p w14:paraId="00D43870">
      <w:pPr>
        <w:spacing w:line="360" w:lineRule="auto"/>
        <w:jc w:val="center"/>
        <w:rPr>
          <w:rFonts w:eastAsia="黑体"/>
          <w:szCs w:val="21"/>
        </w:rPr>
      </w:pPr>
      <w:r>
        <w:rPr>
          <w:rFonts w:eastAsia="黑体"/>
          <w:sz w:val="18"/>
          <w:szCs w:val="18"/>
        </w:rPr>
        <w:t>1-螺栓；2-护栏；3-护栏高度</w:t>
      </w:r>
    </w:p>
    <w:p w14:paraId="6885DECD">
      <w:pPr>
        <w:spacing w:line="360" w:lineRule="auto"/>
        <w:rPr>
          <w:sz w:val="24"/>
          <w:szCs w:val="24"/>
        </w:rPr>
      </w:pPr>
      <w:r>
        <w:rPr>
          <w:b/>
          <w:bCs/>
          <w:sz w:val="24"/>
          <w:szCs w:val="24"/>
        </w:rPr>
        <w:t xml:space="preserve">4.5.22  </w:t>
      </w:r>
      <w:r>
        <w:rPr>
          <w:sz w:val="24"/>
          <w:szCs w:val="24"/>
        </w:rPr>
        <w:t>钢结构挂梯设置见图4.5.22，挂梯的使用应符合下列规定：</w:t>
      </w:r>
    </w:p>
    <w:p w14:paraId="72C14E90">
      <w:pPr>
        <w:spacing w:line="360" w:lineRule="auto"/>
        <w:rPr>
          <w:sz w:val="24"/>
          <w:szCs w:val="24"/>
        </w:rPr>
      </w:pPr>
      <w:r>
        <w:rPr>
          <w:sz w:val="24"/>
          <w:szCs w:val="24"/>
        </w:rPr>
        <w:t xml:space="preserve">   </w:t>
      </w:r>
      <w:r>
        <w:rPr>
          <w:rFonts w:hint="eastAsia"/>
          <w:sz w:val="24"/>
          <w:szCs w:val="24"/>
        </w:rPr>
        <w:t xml:space="preserve"> </w:t>
      </w:r>
      <w:r>
        <w:rPr>
          <w:b/>
          <w:bCs/>
          <w:sz w:val="24"/>
          <w:szCs w:val="24"/>
        </w:rPr>
        <w:t>1</w:t>
      </w:r>
      <w:r>
        <w:rPr>
          <w:sz w:val="24"/>
          <w:szCs w:val="24"/>
        </w:rPr>
        <w:t xml:space="preserve">  单幅挂梯长度不应超过3m，挂梯内侧净宽350㎜，踏棍间距300㎜；</w:t>
      </w:r>
    </w:p>
    <w:p w14:paraId="7CEFEBC9">
      <w:pPr>
        <w:spacing w:line="360" w:lineRule="auto"/>
        <w:rPr>
          <w:sz w:val="24"/>
          <w:szCs w:val="24"/>
        </w:rPr>
      </w:pPr>
      <w:r>
        <w:rPr>
          <w:sz w:val="24"/>
          <w:szCs w:val="24"/>
        </w:rPr>
        <w:t xml:space="preserve">   </w:t>
      </w:r>
      <w:r>
        <w:rPr>
          <w:rFonts w:hint="eastAsia"/>
          <w:sz w:val="24"/>
          <w:szCs w:val="24"/>
        </w:rPr>
        <w:t xml:space="preserve"> </w:t>
      </w:r>
      <w:r>
        <w:rPr>
          <w:b/>
          <w:bCs/>
          <w:sz w:val="24"/>
          <w:szCs w:val="24"/>
        </w:rPr>
        <w:t>2</w:t>
      </w:r>
      <w:r>
        <w:rPr>
          <w:sz w:val="24"/>
          <w:szCs w:val="24"/>
        </w:rPr>
        <w:t xml:space="preserve">  每幅挂梯应设置不少于两道围护支撑栏杆，挂梯与钢柱之间的间距不应小于100㎜</w:t>
      </w:r>
      <w:r>
        <w:rPr>
          <w:rFonts w:hint="eastAsia"/>
          <w:sz w:val="24"/>
          <w:szCs w:val="24"/>
        </w:rPr>
        <w:t>。</w:t>
      </w:r>
      <w:r>
        <w:rPr>
          <w:sz w:val="24"/>
          <w:szCs w:val="24"/>
        </w:rPr>
        <w:t>挂梯顶部挂件应挂靠在牢固可靠的位置；</w:t>
      </w:r>
    </w:p>
    <w:p w14:paraId="1B35796E">
      <w:pPr>
        <w:spacing w:line="360" w:lineRule="auto"/>
        <w:rPr>
          <w:sz w:val="24"/>
          <w:szCs w:val="24"/>
        </w:rPr>
      </w:pPr>
      <w:r>
        <w:rPr>
          <w:sz w:val="24"/>
          <w:szCs w:val="24"/>
        </w:rPr>
        <w:t xml:space="preserve">  </w:t>
      </w:r>
      <w:r>
        <w:rPr>
          <w:rFonts w:hint="eastAsia"/>
          <w:sz w:val="24"/>
          <w:szCs w:val="24"/>
        </w:rPr>
        <w:t xml:space="preserve"> </w:t>
      </w:r>
      <w:r>
        <w:rPr>
          <w:sz w:val="24"/>
          <w:szCs w:val="24"/>
        </w:rPr>
        <w:t xml:space="preserve"> </w:t>
      </w:r>
      <w:r>
        <w:rPr>
          <w:b/>
          <w:bCs/>
          <w:sz w:val="24"/>
          <w:szCs w:val="24"/>
        </w:rPr>
        <w:t>3</w:t>
      </w:r>
      <w:r>
        <w:rPr>
          <w:sz w:val="24"/>
          <w:szCs w:val="24"/>
        </w:rPr>
        <w:t xml:space="preserve">  攀爬挂梯时应使用自锁防坠器。</w:t>
      </w:r>
    </w:p>
    <w:p w14:paraId="6D802ABA">
      <w:pPr>
        <w:spacing w:line="360" w:lineRule="auto"/>
        <w:jc w:val="center"/>
      </w:pPr>
      <w:r>
        <w:drawing>
          <wp:inline distT="0" distB="0" distL="114300" distR="114300">
            <wp:extent cx="2501900" cy="3042920"/>
            <wp:effectExtent l="0" t="0" r="0" b="5080"/>
            <wp:docPr id="6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9"/>
                    <pic:cNvPicPr>
                      <a:picLocks noChangeAspect="1"/>
                    </pic:cNvPicPr>
                  </pic:nvPicPr>
                  <pic:blipFill>
                    <a:blip r:embed="rId72"/>
                    <a:srcRect l="43077" t="18906" r="36301" b="21512"/>
                    <a:stretch>
                      <a:fillRect/>
                    </a:stretch>
                  </pic:blipFill>
                  <pic:spPr>
                    <a:xfrm>
                      <a:off x="0" y="0"/>
                      <a:ext cx="2501900" cy="3042920"/>
                    </a:xfrm>
                    <a:prstGeom prst="rect">
                      <a:avLst/>
                    </a:prstGeom>
                    <a:noFill/>
                    <a:ln>
                      <a:noFill/>
                    </a:ln>
                  </pic:spPr>
                </pic:pic>
              </a:graphicData>
            </a:graphic>
          </wp:inline>
        </w:drawing>
      </w:r>
    </w:p>
    <w:p w14:paraId="68F4237E">
      <w:pPr>
        <w:spacing w:line="360" w:lineRule="auto"/>
        <w:jc w:val="center"/>
        <w:rPr>
          <w:rFonts w:eastAsia="黑体"/>
          <w:sz w:val="18"/>
          <w:szCs w:val="18"/>
        </w:rPr>
      </w:pPr>
      <w:bookmarkStart w:id="97" w:name="PageNo100510044"/>
      <w:r>
        <w:rPr>
          <w:rFonts w:eastAsia="黑体"/>
          <w:sz w:val="18"/>
          <w:szCs w:val="18"/>
        </w:rPr>
        <w:t>图</w:t>
      </w:r>
      <w:bookmarkEnd w:id="97"/>
      <w:r>
        <w:rPr>
          <w:rFonts w:eastAsia="黑体"/>
          <w:sz w:val="18"/>
          <w:szCs w:val="18"/>
        </w:rPr>
        <w:t>4.5.22 钢爬梯示意图（单位：㎜）</w:t>
      </w:r>
    </w:p>
    <w:p w14:paraId="790297C6">
      <w:pPr>
        <w:spacing w:line="360" w:lineRule="auto"/>
        <w:ind w:firstLine="900" w:firstLineChars="500"/>
        <w:jc w:val="center"/>
        <w:rPr>
          <w:rFonts w:eastAsia="黑体"/>
          <w:sz w:val="18"/>
          <w:szCs w:val="18"/>
        </w:rPr>
      </w:pPr>
      <w:r>
        <w:rPr>
          <w:rFonts w:eastAsia="黑体"/>
          <w:sz w:val="18"/>
          <w:szCs w:val="18"/>
        </w:rPr>
        <w:t>1-挂钩；2-梯梁；3-踏棍；4-支撑；5-扁钢；6-螺栓；7-圆钢</w:t>
      </w:r>
    </w:p>
    <w:p w14:paraId="7385828F">
      <w:pPr>
        <w:spacing w:line="360" w:lineRule="auto"/>
        <w:rPr>
          <w:sz w:val="24"/>
          <w:szCs w:val="24"/>
        </w:rPr>
      </w:pPr>
      <w:r>
        <w:rPr>
          <w:b/>
          <w:bCs/>
          <w:sz w:val="24"/>
          <w:szCs w:val="24"/>
        </w:rPr>
        <w:t>4.5.23</w:t>
      </w:r>
      <w:r>
        <w:rPr>
          <w:sz w:val="24"/>
          <w:szCs w:val="24"/>
        </w:rPr>
        <w:t xml:space="preserve">  钢结构施工操作挂篮意图见图4.5.23，应符合下列规定：</w:t>
      </w:r>
    </w:p>
    <w:p w14:paraId="63EE9D0F">
      <w:pPr>
        <w:spacing w:line="360" w:lineRule="auto"/>
        <w:rPr>
          <w:sz w:val="24"/>
          <w:szCs w:val="24"/>
        </w:rPr>
      </w:pPr>
      <w:r>
        <w:rPr>
          <w:sz w:val="24"/>
          <w:szCs w:val="24"/>
        </w:rPr>
        <w:t xml:space="preserve">  </w:t>
      </w:r>
      <w:r>
        <w:rPr>
          <w:rFonts w:hint="eastAsia"/>
          <w:sz w:val="24"/>
          <w:szCs w:val="24"/>
        </w:rPr>
        <w:t xml:space="preserve"> </w:t>
      </w:r>
      <w:r>
        <w:rPr>
          <w:sz w:val="24"/>
          <w:szCs w:val="24"/>
        </w:rPr>
        <w:t xml:space="preserve"> </w:t>
      </w:r>
      <w:r>
        <w:rPr>
          <w:b/>
          <w:bCs/>
          <w:sz w:val="24"/>
          <w:szCs w:val="24"/>
        </w:rPr>
        <w:t>1</w:t>
      </w:r>
      <w:r>
        <w:rPr>
          <w:sz w:val="24"/>
          <w:szCs w:val="24"/>
        </w:rPr>
        <w:t xml:space="preserve">  挂篮供钢梁焊接、栓接等作业人员站立使用，由挂件和操作平台两部分组成，挂篮总高度2000㎜，护身栏杆高度不小于1200㎜；</w:t>
      </w:r>
    </w:p>
    <w:p w14:paraId="540C450E">
      <w:pPr>
        <w:spacing w:line="360" w:lineRule="auto"/>
        <w:rPr>
          <w:sz w:val="24"/>
          <w:szCs w:val="24"/>
        </w:rPr>
      </w:pPr>
      <w:r>
        <w:rPr>
          <w:sz w:val="24"/>
          <w:szCs w:val="24"/>
        </w:rPr>
        <w:t xml:space="preserve">  </w:t>
      </w:r>
      <w:r>
        <w:rPr>
          <w:rFonts w:hint="eastAsia"/>
          <w:sz w:val="24"/>
          <w:szCs w:val="24"/>
        </w:rPr>
        <w:t xml:space="preserve"> </w:t>
      </w:r>
      <w:r>
        <w:rPr>
          <w:sz w:val="24"/>
          <w:szCs w:val="24"/>
        </w:rPr>
        <w:t xml:space="preserve"> </w:t>
      </w:r>
      <w:r>
        <w:rPr>
          <w:b/>
          <w:bCs/>
          <w:sz w:val="24"/>
          <w:szCs w:val="24"/>
        </w:rPr>
        <w:t>2</w:t>
      </w:r>
      <w:r>
        <w:rPr>
          <w:sz w:val="24"/>
          <w:szCs w:val="24"/>
        </w:rPr>
        <w:t xml:space="preserve">  挂篮应使用角钢、扁铁、圆钢等材料制作而成，扁铁与角钢、圆钢与角钢应采用搭接焊接；</w:t>
      </w:r>
    </w:p>
    <w:p w14:paraId="75C2068B">
      <w:pPr>
        <w:spacing w:line="360" w:lineRule="auto"/>
        <w:rPr>
          <w:sz w:val="24"/>
          <w:szCs w:val="24"/>
        </w:rPr>
      </w:pPr>
      <w:r>
        <w:rPr>
          <w:sz w:val="24"/>
          <w:szCs w:val="24"/>
        </w:rPr>
        <w:t xml:space="preserve">  </w:t>
      </w:r>
      <w:r>
        <w:rPr>
          <w:rFonts w:hint="eastAsia"/>
          <w:sz w:val="24"/>
          <w:szCs w:val="24"/>
        </w:rPr>
        <w:t xml:space="preserve"> </w:t>
      </w:r>
      <w:r>
        <w:rPr>
          <w:sz w:val="24"/>
          <w:szCs w:val="24"/>
        </w:rPr>
        <w:t xml:space="preserve"> </w:t>
      </w:r>
      <w:r>
        <w:rPr>
          <w:b/>
          <w:bCs/>
          <w:sz w:val="24"/>
          <w:szCs w:val="24"/>
        </w:rPr>
        <w:t>3</w:t>
      </w:r>
      <w:r>
        <w:rPr>
          <w:sz w:val="24"/>
          <w:szCs w:val="24"/>
        </w:rPr>
        <w:t xml:space="preserve">  挂篮应涂刷成红白相间的颜色；</w:t>
      </w:r>
    </w:p>
    <w:p w14:paraId="2F82083F">
      <w:pPr>
        <w:spacing w:line="360" w:lineRule="auto"/>
        <w:rPr>
          <w:sz w:val="24"/>
          <w:szCs w:val="24"/>
        </w:rPr>
      </w:pPr>
      <w:r>
        <w:rPr>
          <w:sz w:val="24"/>
          <w:szCs w:val="24"/>
        </w:rPr>
        <w:t xml:space="preserve"> </w:t>
      </w:r>
      <w:r>
        <w:rPr>
          <w:rFonts w:hint="eastAsia"/>
          <w:sz w:val="24"/>
          <w:szCs w:val="24"/>
        </w:rPr>
        <w:t xml:space="preserve"> </w:t>
      </w:r>
      <w:r>
        <w:rPr>
          <w:sz w:val="24"/>
          <w:szCs w:val="24"/>
        </w:rPr>
        <w:t xml:space="preserve">  </w:t>
      </w:r>
      <w:r>
        <w:rPr>
          <w:b/>
          <w:bCs/>
          <w:sz w:val="24"/>
          <w:szCs w:val="24"/>
        </w:rPr>
        <w:t>4</w:t>
      </w:r>
      <w:r>
        <w:rPr>
          <w:sz w:val="24"/>
          <w:szCs w:val="24"/>
        </w:rPr>
        <w:t xml:space="preserve">  挂篮使用时应有防坠措施，人员作业时应挂好安全带，安全带高挂在挂篮以外的稳固结构上；</w:t>
      </w:r>
    </w:p>
    <w:p w14:paraId="2A831535">
      <w:pPr>
        <w:spacing w:line="360" w:lineRule="auto"/>
        <w:rPr>
          <w:sz w:val="24"/>
          <w:szCs w:val="24"/>
        </w:rPr>
      </w:pPr>
      <w:r>
        <w:rPr>
          <w:sz w:val="24"/>
          <w:szCs w:val="24"/>
        </w:rPr>
        <w:t xml:space="preserve"> </w:t>
      </w:r>
      <w:r>
        <w:rPr>
          <w:rFonts w:hint="eastAsia"/>
          <w:sz w:val="24"/>
          <w:szCs w:val="24"/>
        </w:rPr>
        <w:t xml:space="preserve"> </w:t>
      </w:r>
      <w:r>
        <w:rPr>
          <w:sz w:val="24"/>
          <w:szCs w:val="24"/>
        </w:rPr>
        <w:t xml:space="preserve">  </w:t>
      </w:r>
      <w:r>
        <w:rPr>
          <w:b/>
          <w:bCs/>
          <w:sz w:val="24"/>
          <w:szCs w:val="24"/>
        </w:rPr>
        <w:t>5</w:t>
      </w:r>
      <w:r>
        <w:rPr>
          <w:sz w:val="24"/>
          <w:szCs w:val="24"/>
        </w:rPr>
        <w:t xml:space="preserve">   挂篮底部可使用钢网片。</w:t>
      </w:r>
    </w:p>
    <w:p w14:paraId="01D14E33">
      <w:pPr>
        <w:spacing w:line="360" w:lineRule="auto"/>
        <w:jc w:val="center"/>
        <w:rPr>
          <w:szCs w:val="21"/>
        </w:rPr>
      </w:pPr>
      <w:r>
        <w:drawing>
          <wp:inline distT="0" distB="0" distL="114300" distR="114300">
            <wp:extent cx="4345940" cy="2047875"/>
            <wp:effectExtent l="0" t="0" r="0" b="8890"/>
            <wp:docPr id="5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0"/>
                    <pic:cNvPicPr>
                      <a:picLocks noChangeAspect="1"/>
                    </pic:cNvPicPr>
                  </pic:nvPicPr>
                  <pic:blipFill>
                    <a:blip r:embed="rId73"/>
                    <a:srcRect l="34660" t="21942" r="22649" b="30278"/>
                    <a:stretch>
                      <a:fillRect/>
                    </a:stretch>
                  </pic:blipFill>
                  <pic:spPr>
                    <a:xfrm>
                      <a:off x="0" y="0"/>
                      <a:ext cx="4372317" cy="2060200"/>
                    </a:xfrm>
                    <a:prstGeom prst="rect">
                      <a:avLst/>
                    </a:prstGeom>
                    <a:noFill/>
                    <a:ln>
                      <a:noFill/>
                    </a:ln>
                  </pic:spPr>
                </pic:pic>
              </a:graphicData>
            </a:graphic>
          </wp:inline>
        </w:drawing>
      </w:r>
    </w:p>
    <w:p w14:paraId="55B1B9FE">
      <w:pPr>
        <w:spacing w:line="360" w:lineRule="auto"/>
        <w:jc w:val="center"/>
      </w:pPr>
      <w:r>
        <w:drawing>
          <wp:inline distT="0" distB="0" distL="114300" distR="114300">
            <wp:extent cx="1531620" cy="710565"/>
            <wp:effectExtent l="0" t="0" r="11430" b="0"/>
            <wp:docPr id="4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1"/>
                    <pic:cNvPicPr>
                      <a:picLocks noChangeAspect="1"/>
                    </pic:cNvPicPr>
                  </pic:nvPicPr>
                  <pic:blipFill>
                    <a:blip r:embed="rId74"/>
                    <a:srcRect l="44211" t="43541" r="36348" b="35033"/>
                    <a:stretch>
                      <a:fillRect/>
                    </a:stretch>
                  </pic:blipFill>
                  <pic:spPr>
                    <a:xfrm>
                      <a:off x="0" y="0"/>
                      <a:ext cx="1531620" cy="710565"/>
                    </a:xfrm>
                    <a:prstGeom prst="rect">
                      <a:avLst/>
                    </a:prstGeom>
                    <a:noFill/>
                    <a:ln>
                      <a:noFill/>
                    </a:ln>
                  </pic:spPr>
                </pic:pic>
              </a:graphicData>
            </a:graphic>
          </wp:inline>
        </w:drawing>
      </w:r>
    </w:p>
    <w:p w14:paraId="1E391959">
      <w:pPr>
        <w:spacing w:line="360" w:lineRule="auto"/>
        <w:jc w:val="center"/>
        <w:rPr>
          <w:rFonts w:eastAsia="黑体"/>
          <w:sz w:val="18"/>
          <w:szCs w:val="18"/>
        </w:rPr>
      </w:pPr>
      <w:bookmarkStart w:id="98" w:name="PageNo100520045"/>
      <w:r>
        <w:drawing>
          <wp:inline distT="0" distB="0" distL="114300" distR="114300">
            <wp:extent cx="2084705" cy="1697990"/>
            <wp:effectExtent l="0" t="0" r="0" b="16510"/>
            <wp:docPr id="47"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2"/>
                    <pic:cNvPicPr>
                      <a:picLocks noChangeAspect="1"/>
                    </pic:cNvPicPr>
                  </pic:nvPicPr>
                  <pic:blipFill>
                    <a:blip r:embed="rId75"/>
                    <a:srcRect l="34154" t="12202" r="31223" b="20825"/>
                    <a:stretch>
                      <a:fillRect/>
                    </a:stretch>
                  </pic:blipFill>
                  <pic:spPr>
                    <a:xfrm>
                      <a:off x="0" y="0"/>
                      <a:ext cx="2101137" cy="1711134"/>
                    </a:xfrm>
                    <a:prstGeom prst="rect">
                      <a:avLst/>
                    </a:prstGeom>
                    <a:noFill/>
                    <a:ln>
                      <a:noFill/>
                    </a:ln>
                  </pic:spPr>
                </pic:pic>
              </a:graphicData>
            </a:graphic>
          </wp:inline>
        </w:drawing>
      </w:r>
      <w:bookmarkEnd w:id="98"/>
    </w:p>
    <w:p w14:paraId="0F8E2E2C">
      <w:pPr>
        <w:spacing w:line="360" w:lineRule="auto"/>
        <w:jc w:val="center"/>
        <w:rPr>
          <w:rFonts w:eastAsia="黑体"/>
          <w:sz w:val="18"/>
          <w:szCs w:val="18"/>
        </w:rPr>
      </w:pPr>
      <w:r>
        <w:rPr>
          <w:rFonts w:eastAsia="黑体"/>
          <w:sz w:val="18"/>
          <w:szCs w:val="18"/>
        </w:rPr>
        <w:t>图4.5.23 钢结构操作挂篮示意图（单位：㎜）</w:t>
      </w:r>
    </w:p>
    <w:p w14:paraId="5C8E025C">
      <w:pPr>
        <w:spacing w:line="360" w:lineRule="auto"/>
        <w:jc w:val="center"/>
        <w:rPr>
          <w:rFonts w:eastAsia="黑体"/>
          <w:sz w:val="18"/>
          <w:szCs w:val="18"/>
        </w:rPr>
      </w:pPr>
      <w:r>
        <w:rPr>
          <w:rFonts w:eastAsia="黑体"/>
          <w:sz w:val="18"/>
          <w:szCs w:val="18"/>
        </w:rPr>
        <w:t>1-挂件；2-连接钢筋</w:t>
      </w:r>
    </w:p>
    <w:p w14:paraId="4EFD5BFD">
      <w:pPr>
        <w:spacing w:line="360" w:lineRule="auto"/>
        <w:rPr>
          <w:sz w:val="24"/>
          <w:szCs w:val="24"/>
        </w:rPr>
      </w:pPr>
      <w:r>
        <w:rPr>
          <w:b/>
          <w:bCs/>
          <w:sz w:val="24"/>
          <w:szCs w:val="24"/>
        </w:rPr>
        <w:t>4.5.24</w:t>
      </w:r>
      <w:r>
        <w:rPr>
          <w:sz w:val="24"/>
          <w:szCs w:val="24"/>
        </w:rPr>
        <w:t xml:space="preserve">  钢制组装通道示意图见图4.5.24，制作、使用应符合下列要求：</w:t>
      </w:r>
    </w:p>
    <w:p w14:paraId="68BEC735">
      <w:pPr>
        <w:spacing w:line="360" w:lineRule="auto"/>
        <w:rPr>
          <w:sz w:val="24"/>
          <w:szCs w:val="24"/>
        </w:rPr>
      </w:pPr>
      <w:r>
        <w:rPr>
          <w:b/>
          <w:bCs/>
          <w:sz w:val="24"/>
          <w:szCs w:val="24"/>
        </w:rPr>
        <w:t xml:space="preserve">   </w:t>
      </w:r>
      <w:r>
        <w:rPr>
          <w:rFonts w:hint="eastAsia"/>
          <w:b/>
          <w:bCs/>
          <w:sz w:val="24"/>
          <w:szCs w:val="24"/>
        </w:rPr>
        <w:t xml:space="preserve"> </w:t>
      </w:r>
      <w:r>
        <w:rPr>
          <w:b/>
          <w:bCs/>
          <w:sz w:val="24"/>
          <w:szCs w:val="24"/>
        </w:rPr>
        <w:t>1</w:t>
      </w:r>
      <w:r>
        <w:rPr>
          <w:sz w:val="24"/>
          <w:szCs w:val="24"/>
        </w:rPr>
        <w:t xml:space="preserve">  钢制组装通道单元长度宜为3000㎜，宽度宜为800㎜；</w:t>
      </w:r>
    </w:p>
    <w:p w14:paraId="79ED3556">
      <w:pPr>
        <w:spacing w:line="360" w:lineRule="auto"/>
        <w:rPr>
          <w:sz w:val="24"/>
          <w:szCs w:val="24"/>
        </w:rPr>
      </w:pPr>
      <w:r>
        <w:rPr>
          <w:sz w:val="24"/>
          <w:szCs w:val="24"/>
        </w:rPr>
        <w:t xml:space="preserve">   </w:t>
      </w:r>
      <w:r>
        <w:rPr>
          <w:rFonts w:hint="eastAsia"/>
          <w:sz w:val="24"/>
          <w:szCs w:val="24"/>
        </w:rPr>
        <w:t xml:space="preserve"> </w:t>
      </w:r>
      <w:r>
        <w:rPr>
          <w:b/>
          <w:bCs/>
          <w:sz w:val="24"/>
          <w:szCs w:val="24"/>
        </w:rPr>
        <w:t>2</w:t>
      </w:r>
      <w:r>
        <w:rPr>
          <w:sz w:val="24"/>
          <w:szCs w:val="24"/>
        </w:rPr>
        <w:t xml:space="preserve">  钢制组装通道横向受力横杆间距不宜大于1000㎜，通道长度可根据钢梁间距做小幅调整，不应超过4000㎜；</w:t>
      </w:r>
    </w:p>
    <w:p w14:paraId="1C241277">
      <w:pPr>
        <w:spacing w:line="360" w:lineRule="auto"/>
        <w:rPr>
          <w:sz w:val="24"/>
          <w:szCs w:val="24"/>
        </w:rPr>
      </w:pPr>
      <w:r>
        <w:rPr>
          <w:sz w:val="24"/>
          <w:szCs w:val="24"/>
        </w:rPr>
        <w:t xml:space="preserve">   </w:t>
      </w:r>
      <w:r>
        <w:rPr>
          <w:rFonts w:hint="eastAsia"/>
          <w:sz w:val="24"/>
          <w:szCs w:val="24"/>
        </w:rPr>
        <w:t xml:space="preserve"> </w:t>
      </w:r>
      <w:r>
        <w:rPr>
          <w:b/>
          <w:bCs/>
          <w:sz w:val="24"/>
          <w:szCs w:val="24"/>
        </w:rPr>
        <w:t>3</w:t>
      </w:r>
      <w:r>
        <w:rPr>
          <w:sz w:val="24"/>
          <w:szCs w:val="24"/>
        </w:rPr>
        <w:t xml:space="preserve">  钢丝网片网眼直径不应大于50㎜，并应与通道横梁焊接牢固；</w:t>
      </w:r>
    </w:p>
    <w:p w14:paraId="2EE51A33">
      <w:pPr>
        <w:spacing w:line="360" w:lineRule="auto"/>
        <w:rPr>
          <w:sz w:val="24"/>
          <w:szCs w:val="24"/>
        </w:rPr>
      </w:pPr>
      <w:r>
        <w:rPr>
          <w:sz w:val="24"/>
          <w:szCs w:val="24"/>
        </w:rPr>
        <w:t xml:space="preserve">   </w:t>
      </w:r>
      <w:r>
        <w:rPr>
          <w:rFonts w:hint="eastAsia"/>
          <w:sz w:val="24"/>
          <w:szCs w:val="24"/>
        </w:rPr>
        <w:t xml:space="preserve"> </w:t>
      </w:r>
      <w:r>
        <w:rPr>
          <w:b/>
          <w:bCs/>
          <w:sz w:val="24"/>
          <w:szCs w:val="24"/>
        </w:rPr>
        <w:t>4</w:t>
      </w:r>
      <w:r>
        <w:rPr>
          <w:sz w:val="24"/>
          <w:szCs w:val="24"/>
        </w:rPr>
        <w:t xml:space="preserve">  通道防护栏杆高度不应小于1200㎜，立杆间距不应大于600㎜。</w:t>
      </w:r>
    </w:p>
    <w:p w14:paraId="262AEE7F">
      <w:pPr>
        <w:spacing w:line="360" w:lineRule="auto"/>
        <w:rPr>
          <w:szCs w:val="21"/>
        </w:rPr>
      </w:pPr>
      <w:r>
        <w:rPr>
          <w:szCs w:val="21"/>
        </w:rPr>
        <w:t xml:space="preserve">  </w:t>
      </w:r>
      <w:r>
        <w:drawing>
          <wp:inline distT="0" distB="0" distL="114300" distR="114300">
            <wp:extent cx="3075305" cy="1111250"/>
            <wp:effectExtent l="0" t="0" r="0" b="0"/>
            <wp:docPr id="48"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3"/>
                    <pic:cNvPicPr>
                      <a:picLocks noChangeAspect="1"/>
                    </pic:cNvPicPr>
                  </pic:nvPicPr>
                  <pic:blipFill>
                    <a:blip r:embed="rId76"/>
                    <a:srcRect l="34744" t="44687" r="37277" b="31310"/>
                    <a:stretch>
                      <a:fillRect/>
                    </a:stretch>
                  </pic:blipFill>
                  <pic:spPr>
                    <a:xfrm>
                      <a:off x="0" y="0"/>
                      <a:ext cx="3093608" cy="1117936"/>
                    </a:xfrm>
                    <a:prstGeom prst="rect">
                      <a:avLst/>
                    </a:prstGeom>
                    <a:noFill/>
                    <a:ln>
                      <a:noFill/>
                    </a:ln>
                  </pic:spPr>
                </pic:pic>
              </a:graphicData>
            </a:graphic>
          </wp:inline>
        </w:drawing>
      </w:r>
      <w:r>
        <w:rPr>
          <w:szCs w:val="21"/>
        </w:rPr>
        <w:t xml:space="preserve">        </w:t>
      </w:r>
      <w:r>
        <w:drawing>
          <wp:inline distT="0" distB="0" distL="114300" distR="114300">
            <wp:extent cx="899795" cy="1317625"/>
            <wp:effectExtent l="0" t="0" r="0" b="0"/>
            <wp:docPr id="4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4"/>
                    <pic:cNvPicPr>
                      <a:picLocks noChangeAspect="1"/>
                    </pic:cNvPicPr>
                  </pic:nvPicPr>
                  <pic:blipFill>
                    <a:blip r:embed="rId77"/>
                    <a:srcRect l="68512" t="40103" r="23517" b="32169"/>
                    <a:stretch>
                      <a:fillRect/>
                    </a:stretch>
                  </pic:blipFill>
                  <pic:spPr>
                    <a:xfrm>
                      <a:off x="0" y="0"/>
                      <a:ext cx="906583" cy="1328060"/>
                    </a:xfrm>
                    <a:prstGeom prst="rect">
                      <a:avLst/>
                    </a:prstGeom>
                    <a:noFill/>
                    <a:ln>
                      <a:noFill/>
                    </a:ln>
                  </pic:spPr>
                </pic:pic>
              </a:graphicData>
            </a:graphic>
          </wp:inline>
        </w:drawing>
      </w:r>
    </w:p>
    <w:p w14:paraId="580C3B0D">
      <w:pPr>
        <w:spacing w:line="360" w:lineRule="auto"/>
        <w:jc w:val="center"/>
        <w:rPr>
          <w:rFonts w:eastAsia="黑体"/>
          <w:sz w:val="18"/>
          <w:szCs w:val="18"/>
        </w:rPr>
      </w:pPr>
      <w:r>
        <w:drawing>
          <wp:inline distT="0" distB="0" distL="114300" distR="114300">
            <wp:extent cx="2980690" cy="1902460"/>
            <wp:effectExtent l="0" t="0" r="0" b="0"/>
            <wp:docPr id="4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5"/>
                    <pic:cNvPicPr>
                      <a:picLocks noChangeAspect="1"/>
                    </pic:cNvPicPr>
                  </pic:nvPicPr>
                  <pic:blipFill>
                    <a:blip r:embed="rId78"/>
                    <a:srcRect l="45032" t="43741" r="36758" b="28645"/>
                    <a:stretch>
                      <a:fillRect/>
                    </a:stretch>
                  </pic:blipFill>
                  <pic:spPr>
                    <a:xfrm>
                      <a:off x="0" y="0"/>
                      <a:ext cx="3004547" cy="1917884"/>
                    </a:xfrm>
                    <a:prstGeom prst="rect">
                      <a:avLst/>
                    </a:prstGeom>
                    <a:noFill/>
                    <a:ln>
                      <a:noFill/>
                    </a:ln>
                  </pic:spPr>
                </pic:pic>
              </a:graphicData>
            </a:graphic>
          </wp:inline>
        </w:drawing>
      </w:r>
    </w:p>
    <w:p w14:paraId="68425569">
      <w:pPr>
        <w:spacing w:line="360" w:lineRule="auto"/>
        <w:jc w:val="center"/>
        <w:rPr>
          <w:rFonts w:eastAsia="黑体"/>
          <w:sz w:val="18"/>
          <w:szCs w:val="18"/>
        </w:rPr>
      </w:pPr>
      <w:r>
        <w:rPr>
          <w:rFonts w:eastAsia="黑体"/>
          <w:sz w:val="18"/>
          <w:szCs w:val="18"/>
        </w:rPr>
        <w:t>图4.5.24 钢制组装通道示意图</w:t>
      </w:r>
    </w:p>
    <w:p w14:paraId="53D3885E">
      <w:pPr>
        <w:spacing w:line="360" w:lineRule="auto"/>
        <w:jc w:val="center"/>
        <w:rPr>
          <w:rFonts w:eastAsia="黑体"/>
          <w:sz w:val="18"/>
          <w:szCs w:val="18"/>
        </w:rPr>
      </w:pPr>
      <w:bookmarkStart w:id="99" w:name="PageNo100530046"/>
      <w:r>
        <w:rPr>
          <w:rFonts w:eastAsia="黑体"/>
          <w:sz w:val="18"/>
          <w:szCs w:val="18"/>
        </w:rPr>
        <w:t>1</w:t>
      </w:r>
      <w:bookmarkEnd w:id="99"/>
      <w:r>
        <w:rPr>
          <w:rFonts w:eastAsia="黑体"/>
          <w:sz w:val="18"/>
          <w:szCs w:val="18"/>
        </w:rPr>
        <w:t>-镀锌钢丝绳； 2-花篮螺栓；3-踢脚板；4-绳卡；5-工字钢</w:t>
      </w:r>
    </w:p>
    <w:p w14:paraId="75235536">
      <w:pPr>
        <w:pStyle w:val="9"/>
        <w:spacing w:line="360" w:lineRule="auto"/>
        <w:jc w:val="both"/>
        <w:rPr>
          <w:sz w:val="24"/>
          <w:szCs w:val="24"/>
        </w:rPr>
      </w:pPr>
      <w:r>
        <w:rPr>
          <w:b/>
          <w:bCs/>
          <w:sz w:val="24"/>
          <w:szCs w:val="24"/>
        </w:rPr>
        <w:t>4.5.25</w:t>
      </w:r>
      <w:r>
        <w:rPr>
          <w:sz w:val="24"/>
          <w:szCs w:val="24"/>
        </w:rPr>
        <w:t xml:space="preserve">  幕墙临边作业时，应在楼层外围设置安全绳，每处应设置两道安全绳。安全绳应牢固拴在主体结构柱上。高处作业人员应在安全绳系牢靠后作业。</w:t>
      </w:r>
    </w:p>
    <w:p w14:paraId="6788FB5D">
      <w:pPr>
        <w:pStyle w:val="9"/>
        <w:spacing w:line="360" w:lineRule="auto"/>
        <w:jc w:val="both"/>
        <w:rPr>
          <w:sz w:val="24"/>
          <w:szCs w:val="24"/>
        </w:rPr>
      </w:pPr>
      <w:r>
        <w:rPr>
          <w:b/>
          <w:bCs/>
          <w:sz w:val="24"/>
          <w:szCs w:val="24"/>
        </w:rPr>
        <w:t>4.5.26</w:t>
      </w:r>
      <w:r>
        <w:rPr>
          <w:sz w:val="24"/>
          <w:szCs w:val="24"/>
        </w:rPr>
        <w:t xml:space="preserve">  高层、超高层装配式幕墙施工上方有垂直交叉作业时应设置水平安全防护棚，安全防护棚的搭设应满足相关要求。</w:t>
      </w:r>
    </w:p>
    <w:p w14:paraId="0D201DA4">
      <w:pPr>
        <w:pStyle w:val="9"/>
        <w:spacing w:line="360" w:lineRule="auto"/>
        <w:jc w:val="both"/>
        <w:rPr>
          <w:b/>
          <w:bCs/>
          <w:sz w:val="24"/>
          <w:szCs w:val="24"/>
        </w:rPr>
      </w:pPr>
      <w:r>
        <w:rPr>
          <w:b/>
          <w:bCs/>
          <w:sz w:val="24"/>
          <w:szCs w:val="24"/>
        </w:rPr>
        <w:t>4.5.27</w:t>
      </w:r>
      <w:r>
        <w:rPr>
          <w:sz w:val="24"/>
          <w:szCs w:val="24"/>
        </w:rPr>
        <w:t xml:space="preserve">  装配式幕墙施工涉及屋面、采光顶时，应搭设水平安全防护网。安全网规格、材质等应符合现行国家标准《坠落防护 安全网》GB 5725 的规定，搭设应符合现行行业标准《建筑施工高处作业安全技术规范》JGJ 80的规定。</w:t>
      </w:r>
    </w:p>
    <w:p w14:paraId="241DE3E9">
      <w:pPr>
        <w:pStyle w:val="3"/>
        <w:rPr>
          <w:rFonts w:ascii="Times New Roman" w:hAnsi="Times New Roman" w:cs="Times New Roman"/>
          <w:color w:val="auto"/>
          <w:sz w:val="24"/>
          <w:szCs w:val="24"/>
        </w:rPr>
      </w:pPr>
      <w:bookmarkStart w:id="100" w:name="_Toc18107"/>
      <w:bookmarkStart w:id="101" w:name="_Toc26514"/>
      <w:r>
        <w:rPr>
          <w:rFonts w:ascii="Times New Roman" w:hAnsi="Times New Roman" w:cs="Times New Roman"/>
          <w:color w:val="auto"/>
          <w:sz w:val="24"/>
          <w:szCs w:val="24"/>
        </w:rPr>
        <w:t>4.6  交叉作业安全防护</w:t>
      </w:r>
      <w:bookmarkEnd w:id="100"/>
      <w:bookmarkEnd w:id="101"/>
    </w:p>
    <w:p w14:paraId="29BD387D">
      <w:pPr>
        <w:adjustRightInd w:val="0"/>
        <w:snapToGrid w:val="0"/>
        <w:spacing w:line="360" w:lineRule="auto"/>
        <w:rPr>
          <w:bCs/>
          <w:strike/>
          <w:sz w:val="24"/>
          <w:szCs w:val="24"/>
        </w:rPr>
      </w:pPr>
      <w:r>
        <w:rPr>
          <w:b/>
          <w:sz w:val="24"/>
          <w:szCs w:val="24"/>
        </w:rPr>
        <w:t xml:space="preserve">4.6.1  </w:t>
      </w:r>
      <w:r>
        <w:rPr>
          <w:sz w:val="24"/>
          <w:szCs w:val="24"/>
        </w:rPr>
        <w:t xml:space="preserve">处于建筑物坠落半径范围内或起重机起重臂回转半径范围内的临街通道、建筑物出入口通道、施工升降机和物料提升机首层出入口通道、物料加工区、配电箱等处应设置防护棚。 </w:t>
      </w:r>
    </w:p>
    <w:p w14:paraId="5B2CDAE4">
      <w:pPr>
        <w:adjustRightInd w:val="0"/>
        <w:snapToGrid w:val="0"/>
        <w:spacing w:line="360" w:lineRule="auto"/>
        <w:rPr>
          <w:bCs/>
          <w:sz w:val="24"/>
          <w:szCs w:val="24"/>
        </w:rPr>
      </w:pPr>
      <w:r>
        <w:rPr>
          <w:b/>
          <w:sz w:val="24"/>
          <w:szCs w:val="24"/>
        </w:rPr>
        <w:t xml:space="preserve">4.6.2  </w:t>
      </w:r>
      <w:r>
        <w:rPr>
          <w:sz w:val="24"/>
          <w:szCs w:val="24"/>
        </w:rPr>
        <w:t>通道防护棚净空高度不应小于3m；有机械、机动车辆通行时，净宽和净空高度不应小于4m。</w:t>
      </w:r>
    </w:p>
    <w:p w14:paraId="62D6419B">
      <w:pPr>
        <w:adjustRightInd w:val="0"/>
        <w:snapToGrid w:val="0"/>
        <w:spacing w:line="360" w:lineRule="auto"/>
        <w:rPr>
          <w:sz w:val="24"/>
          <w:szCs w:val="24"/>
        </w:rPr>
      </w:pPr>
      <w:r>
        <w:rPr>
          <w:b/>
          <w:sz w:val="24"/>
          <w:szCs w:val="24"/>
        </w:rPr>
        <w:t xml:space="preserve">4.6.3  </w:t>
      </w:r>
      <w:r>
        <w:rPr>
          <w:sz w:val="24"/>
          <w:szCs w:val="24"/>
        </w:rPr>
        <w:t>通道防护棚宽度应大于建筑物出入口两侧各1m</w:t>
      </w:r>
      <w:r>
        <w:rPr>
          <w:rFonts w:hint="eastAsia"/>
          <w:sz w:val="24"/>
          <w:szCs w:val="24"/>
        </w:rPr>
        <w:t>。</w:t>
      </w:r>
      <w:r>
        <w:rPr>
          <w:sz w:val="24"/>
          <w:szCs w:val="24"/>
        </w:rPr>
        <w:t>施工升降机、物料提升机首层出入口防护棚宽度应大于梯笼（架体）两侧各1m，通道防护棚长度应符合下列规定：</w:t>
      </w:r>
    </w:p>
    <w:p w14:paraId="509FBCE9">
      <w:pPr>
        <w:adjustRightInd w:val="0"/>
        <w:snapToGrid w:val="0"/>
        <w:spacing w:line="360" w:lineRule="auto"/>
        <w:ind w:firstLine="342" w:firstLineChars="142"/>
        <w:rPr>
          <w:sz w:val="24"/>
          <w:szCs w:val="24"/>
        </w:rPr>
      </w:pPr>
      <w:r>
        <w:rPr>
          <w:b/>
          <w:sz w:val="24"/>
          <w:szCs w:val="24"/>
        </w:rPr>
        <w:t>1</w:t>
      </w:r>
      <w:r>
        <w:rPr>
          <w:sz w:val="24"/>
          <w:szCs w:val="24"/>
        </w:rPr>
        <w:t xml:space="preserve">  高度5m以下的建筑物，防护棚长度不应小于3m；</w:t>
      </w:r>
    </w:p>
    <w:p w14:paraId="1B1F1C2D">
      <w:pPr>
        <w:adjustRightInd w:val="0"/>
        <w:snapToGrid w:val="0"/>
        <w:spacing w:line="360" w:lineRule="auto"/>
        <w:ind w:firstLine="342" w:firstLineChars="142"/>
        <w:rPr>
          <w:sz w:val="24"/>
          <w:szCs w:val="24"/>
        </w:rPr>
      </w:pPr>
      <w:r>
        <w:rPr>
          <w:b/>
          <w:sz w:val="24"/>
          <w:szCs w:val="24"/>
        </w:rPr>
        <w:t>2</w:t>
      </w:r>
      <w:r>
        <w:rPr>
          <w:sz w:val="24"/>
          <w:szCs w:val="24"/>
        </w:rPr>
        <w:t xml:space="preserve">  高度在5m</w:t>
      </w:r>
      <w:r>
        <w:rPr>
          <w:sz w:val="24"/>
          <w:szCs w:val="24"/>
          <w:shd w:val="clear" w:color="auto" w:fill="FFFFFF"/>
        </w:rPr>
        <w:t>～</w:t>
      </w:r>
      <w:r>
        <w:rPr>
          <w:sz w:val="24"/>
          <w:szCs w:val="24"/>
        </w:rPr>
        <w:t>15m的建筑物，防护棚长度不应小于4m；</w:t>
      </w:r>
    </w:p>
    <w:p w14:paraId="1388A28C">
      <w:pPr>
        <w:adjustRightInd w:val="0"/>
        <w:snapToGrid w:val="0"/>
        <w:spacing w:line="360" w:lineRule="auto"/>
        <w:ind w:firstLine="342" w:firstLineChars="142"/>
        <w:rPr>
          <w:sz w:val="24"/>
          <w:szCs w:val="24"/>
        </w:rPr>
      </w:pPr>
      <w:r>
        <w:rPr>
          <w:b/>
          <w:sz w:val="24"/>
          <w:szCs w:val="24"/>
        </w:rPr>
        <w:t xml:space="preserve">3 </w:t>
      </w:r>
      <w:r>
        <w:rPr>
          <w:b/>
          <w:bCs/>
          <w:sz w:val="24"/>
          <w:szCs w:val="24"/>
        </w:rPr>
        <w:t xml:space="preserve"> </w:t>
      </w:r>
      <w:r>
        <w:rPr>
          <w:sz w:val="24"/>
          <w:szCs w:val="24"/>
        </w:rPr>
        <w:t>高度在15m</w:t>
      </w:r>
      <w:r>
        <w:rPr>
          <w:sz w:val="24"/>
          <w:szCs w:val="24"/>
          <w:shd w:val="clear" w:color="auto" w:fill="FFFFFF"/>
        </w:rPr>
        <w:t>～</w:t>
      </w:r>
      <w:r>
        <w:rPr>
          <w:sz w:val="24"/>
          <w:szCs w:val="24"/>
        </w:rPr>
        <w:t>30m的建筑物，防护棚长度不应小于5m；</w:t>
      </w:r>
    </w:p>
    <w:p w14:paraId="7BD0912C">
      <w:pPr>
        <w:adjustRightInd w:val="0"/>
        <w:snapToGrid w:val="0"/>
        <w:spacing w:line="360" w:lineRule="auto"/>
        <w:ind w:firstLine="342" w:firstLineChars="142"/>
        <w:rPr>
          <w:sz w:val="24"/>
          <w:szCs w:val="24"/>
        </w:rPr>
      </w:pPr>
      <w:r>
        <w:rPr>
          <w:b/>
          <w:sz w:val="24"/>
          <w:szCs w:val="24"/>
        </w:rPr>
        <w:t>4</w:t>
      </w:r>
      <w:r>
        <w:rPr>
          <w:sz w:val="24"/>
          <w:szCs w:val="24"/>
        </w:rPr>
        <w:t xml:space="preserve">  高度超过30m的建筑物，防护棚长度不应小于6m。</w:t>
      </w:r>
    </w:p>
    <w:p w14:paraId="0B5E4DA8">
      <w:pPr>
        <w:adjustRightInd w:val="0"/>
        <w:snapToGrid w:val="0"/>
        <w:spacing w:line="360" w:lineRule="auto"/>
        <w:rPr>
          <w:sz w:val="24"/>
          <w:szCs w:val="24"/>
        </w:rPr>
      </w:pPr>
      <w:r>
        <w:rPr>
          <w:b/>
          <w:sz w:val="24"/>
          <w:szCs w:val="24"/>
        </w:rPr>
        <w:t xml:space="preserve">4.6.4  </w:t>
      </w:r>
      <w:r>
        <w:rPr>
          <w:rFonts w:hint="eastAsia"/>
          <w:sz w:val="24"/>
          <w:szCs w:val="24"/>
        </w:rPr>
        <w:t>在建筑物坠落半径范围内或起重机起重臂回转范围内的物料加工区，其上侧应搭设双层间距不小于700㎜的硬质安全防护棚</w:t>
      </w:r>
      <w:r>
        <w:rPr>
          <w:sz w:val="24"/>
          <w:szCs w:val="24"/>
        </w:rPr>
        <w:t>，硬质防护</w:t>
      </w:r>
      <w:r>
        <w:rPr>
          <w:rFonts w:hint="eastAsia"/>
          <w:sz w:val="24"/>
          <w:szCs w:val="24"/>
        </w:rPr>
        <w:t>棚</w:t>
      </w:r>
      <w:r>
        <w:rPr>
          <w:sz w:val="24"/>
          <w:szCs w:val="24"/>
        </w:rPr>
        <w:t>应具备抗高处坠物穿透的性能。</w:t>
      </w:r>
    </w:p>
    <w:p w14:paraId="3BD5E57F">
      <w:pPr>
        <w:adjustRightInd w:val="0"/>
        <w:snapToGrid w:val="0"/>
        <w:spacing w:line="360" w:lineRule="auto"/>
        <w:rPr>
          <w:sz w:val="24"/>
          <w:szCs w:val="24"/>
        </w:rPr>
      </w:pPr>
      <w:r>
        <w:rPr>
          <w:b/>
          <w:sz w:val="24"/>
          <w:szCs w:val="24"/>
        </w:rPr>
        <w:t xml:space="preserve">4.6.5  </w:t>
      </w:r>
      <w:r>
        <w:rPr>
          <w:sz w:val="24"/>
          <w:szCs w:val="24"/>
        </w:rPr>
        <w:t>在建筑物坠落半径范围内或起重机起重臂回转范围内搭设的配电箱防护棚应采取防砸防雨措施。</w:t>
      </w:r>
    </w:p>
    <w:p w14:paraId="17D20D36">
      <w:pPr>
        <w:adjustRightInd w:val="0"/>
        <w:snapToGrid w:val="0"/>
        <w:spacing w:line="360" w:lineRule="auto"/>
        <w:rPr>
          <w:sz w:val="24"/>
          <w:szCs w:val="24"/>
        </w:rPr>
      </w:pPr>
      <w:r>
        <w:rPr>
          <w:b/>
          <w:sz w:val="24"/>
          <w:szCs w:val="24"/>
        </w:rPr>
        <w:t xml:space="preserve">4.6.6 </w:t>
      </w:r>
      <w:r>
        <w:rPr>
          <w:sz w:val="24"/>
          <w:szCs w:val="24"/>
        </w:rPr>
        <w:t xml:space="preserve"> 防护棚应采用钢管扣件或其他型钢材料搭设。通道防护棚两侧应采用密目式安全网或钢板网封闭。</w:t>
      </w:r>
    </w:p>
    <w:p w14:paraId="70517C73">
      <w:pPr>
        <w:adjustRightInd w:val="0"/>
        <w:snapToGrid w:val="0"/>
        <w:spacing w:line="360" w:lineRule="auto"/>
        <w:rPr>
          <w:strike/>
          <w:sz w:val="24"/>
          <w:szCs w:val="24"/>
        </w:rPr>
      </w:pPr>
      <w:r>
        <w:rPr>
          <w:b/>
          <w:sz w:val="24"/>
          <w:szCs w:val="24"/>
        </w:rPr>
        <w:t xml:space="preserve">4.6.7  </w:t>
      </w:r>
      <w:r>
        <w:rPr>
          <w:sz w:val="24"/>
          <w:szCs w:val="24"/>
        </w:rPr>
        <w:t>扣件式钢管防护棚的搭设示意图见图4.6.7，搭设应符合下列规定：</w:t>
      </w:r>
    </w:p>
    <w:p w14:paraId="01202B96">
      <w:pPr>
        <w:adjustRightInd w:val="0"/>
        <w:snapToGrid w:val="0"/>
        <w:spacing w:line="360" w:lineRule="auto"/>
        <w:ind w:firstLine="388" w:firstLineChars="161"/>
        <w:rPr>
          <w:b/>
          <w:sz w:val="24"/>
          <w:szCs w:val="24"/>
        </w:rPr>
      </w:pPr>
      <w:r>
        <w:rPr>
          <w:b/>
          <w:sz w:val="24"/>
          <w:szCs w:val="24"/>
        </w:rPr>
        <w:t xml:space="preserve">1  </w:t>
      </w:r>
      <w:r>
        <w:rPr>
          <w:sz w:val="24"/>
          <w:szCs w:val="24"/>
        </w:rPr>
        <w:t>防护棚高度应符合本标准第4.6.2条的规定；</w:t>
      </w:r>
    </w:p>
    <w:p w14:paraId="4A34CADF">
      <w:pPr>
        <w:adjustRightInd w:val="0"/>
        <w:snapToGrid w:val="0"/>
        <w:spacing w:line="360" w:lineRule="auto"/>
        <w:ind w:firstLine="388" w:firstLineChars="161"/>
        <w:rPr>
          <w:sz w:val="24"/>
          <w:szCs w:val="24"/>
        </w:rPr>
      </w:pPr>
      <w:r>
        <w:rPr>
          <w:b/>
          <w:sz w:val="24"/>
          <w:szCs w:val="24"/>
        </w:rPr>
        <w:t xml:space="preserve">2  </w:t>
      </w:r>
      <w:r>
        <w:rPr>
          <w:sz w:val="24"/>
          <w:szCs w:val="24"/>
        </w:rPr>
        <w:t>防护棚通道基础应进行硬化；</w:t>
      </w:r>
    </w:p>
    <w:p w14:paraId="66579B63">
      <w:pPr>
        <w:adjustRightInd w:val="0"/>
        <w:snapToGrid w:val="0"/>
        <w:spacing w:line="360" w:lineRule="auto"/>
        <w:ind w:firstLine="388" w:firstLineChars="161"/>
        <w:rPr>
          <w:sz w:val="24"/>
          <w:szCs w:val="24"/>
        </w:rPr>
      </w:pPr>
      <w:r>
        <w:rPr>
          <w:b/>
          <w:sz w:val="24"/>
          <w:szCs w:val="24"/>
        </w:rPr>
        <w:t xml:space="preserve">3  </w:t>
      </w:r>
      <w:r>
        <w:rPr>
          <w:sz w:val="24"/>
          <w:szCs w:val="24"/>
        </w:rPr>
        <w:t>防护棚立杆底部应垫通长垫板</w:t>
      </w:r>
      <w:r>
        <w:rPr>
          <w:rFonts w:hint="eastAsia"/>
          <w:sz w:val="24"/>
          <w:szCs w:val="24"/>
        </w:rPr>
        <w:t>，</w:t>
      </w:r>
      <w:r>
        <w:rPr>
          <w:sz w:val="24"/>
          <w:szCs w:val="24"/>
        </w:rPr>
        <w:t>应沿通道通行方向设置扫地杆和剪刀撑</w:t>
      </w:r>
      <w:r>
        <w:rPr>
          <w:rFonts w:hint="eastAsia"/>
          <w:sz w:val="24"/>
          <w:szCs w:val="24"/>
        </w:rPr>
        <w:t>，</w:t>
      </w:r>
      <w:r>
        <w:rPr>
          <w:sz w:val="24"/>
          <w:szCs w:val="24"/>
        </w:rPr>
        <w:t>立杆纵距不应大于1.8m</w:t>
      </w:r>
      <w:r>
        <w:rPr>
          <w:rFonts w:hint="eastAsia"/>
          <w:sz w:val="24"/>
          <w:szCs w:val="24"/>
        </w:rPr>
        <w:t>。</w:t>
      </w:r>
      <w:r>
        <w:rPr>
          <w:sz w:val="24"/>
          <w:szCs w:val="24"/>
        </w:rPr>
        <w:t>防护棚顶部铺板应符合现行行业标准《建筑施工高处作业安全技术规范》JGJ 80的要求；</w:t>
      </w:r>
    </w:p>
    <w:p w14:paraId="49F10A1E">
      <w:pPr>
        <w:adjustRightInd w:val="0"/>
        <w:snapToGrid w:val="0"/>
        <w:spacing w:line="360" w:lineRule="auto"/>
        <w:ind w:firstLine="388" w:firstLineChars="161"/>
        <w:rPr>
          <w:sz w:val="24"/>
          <w:szCs w:val="24"/>
        </w:rPr>
      </w:pPr>
      <w:r>
        <w:rPr>
          <w:b/>
          <w:sz w:val="24"/>
          <w:szCs w:val="24"/>
        </w:rPr>
        <w:t>4</w:t>
      </w:r>
      <w:r>
        <w:rPr>
          <w:sz w:val="24"/>
          <w:szCs w:val="24"/>
        </w:rPr>
        <w:t xml:space="preserve">  防护棚宽度超过3.5m或高度超过4m时应采取确保防护棚架体稳定性的措施；</w:t>
      </w:r>
    </w:p>
    <w:p w14:paraId="3F1E02FB">
      <w:pPr>
        <w:adjustRightInd w:val="0"/>
        <w:snapToGrid w:val="0"/>
        <w:spacing w:line="360" w:lineRule="auto"/>
        <w:ind w:firstLine="388" w:firstLineChars="161"/>
        <w:rPr>
          <w:sz w:val="24"/>
          <w:szCs w:val="24"/>
        </w:rPr>
      </w:pPr>
      <w:r>
        <w:rPr>
          <w:b/>
          <w:sz w:val="24"/>
          <w:szCs w:val="24"/>
        </w:rPr>
        <w:t xml:space="preserve">5  </w:t>
      </w:r>
      <w:r>
        <w:rPr>
          <w:sz w:val="24"/>
          <w:szCs w:val="24"/>
        </w:rPr>
        <w:t xml:space="preserve">防护棚构造应符合现行国家标准《施工脚手架通用规范》GB 55023、现行行业标准《建筑施工扣件式钢管脚手架安全技术规范》JGJ 130和现行地方标准《扣件式和碗扣式钢管脚手架安全选用技术规程》DB11/T 583的规定。 </w:t>
      </w:r>
    </w:p>
    <w:p w14:paraId="7D65281A">
      <w:pPr>
        <w:adjustRightInd w:val="0"/>
        <w:snapToGrid w:val="0"/>
        <w:spacing w:line="360" w:lineRule="auto"/>
        <w:ind w:firstLine="14" w:firstLineChars="7"/>
        <w:jc w:val="center"/>
        <w:rPr>
          <w:szCs w:val="21"/>
        </w:rPr>
      </w:pPr>
      <w:bookmarkStart w:id="102" w:name="PageNo100550048"/>
      <w:r>
        <w:drawing>
          <wp:inline distT="0" distB="0" distL="114300" distR="114300">
            <wp:extent cx="2586355" cy="2258060"/>
            <wp:effectExtent l="0" t="0" r="4445" b="0"/>
            <wp:docPr id="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
                    <pic:cNvPicPr>
                      <a:picLocks noChangeAspect="1"/>
                    </pic:cNvPicPr>
                  </pic:nvPicPr>
                  <pic:blipFill>
                    <a:blip r:embed="rId79"/>
                    <a:srcRect l="33008" t="12432" r="38061" b="27585"/>
                    <a:stretch>
                      <a:fillRect/>
                    </a:stretch>
                  </pic:blipFill>
                  <pic:spPr>
                    <a:xfrm>
                      <a:off x="0" y="0"/>
                      <a:ext cx="2586355" cy="2258060"/>
                    </a:xfrm>
                    <a:prstGeom prst="rect">
                      <a:avLst/>
                    </a:prstGeom>
                    <a:noFill/>
                    <a:ln>
                      <a:noFill/>
                    </a:ln>
                  </pic:spPr>
                </pic:pic>
              </a:graphicData>
            </a:graphic>
          </wp:inline>
        </w:drawing>
      </w:r>
      <w:bookmarkEnd w:id="102"/>
      <w:r>
        <w:drawing>
          <wp:inline distT="0" distB="0" distL="114300" distR="114300">
            <wp:extent cx="2486660" cy="2081530"/>
            <wp:effectExtent l="0" t="0" r="0" b="0"/>
            <wp:docPr id="3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
                    <pic:cNvPicPr>
                      <a:picLocks noChangeAspect="1"/>
                    </pic:cNvPicPr>
                  </pic:nvPicPr>
                  <pic:blipFill>
                    <a:blip r:embed="rId80"/>
                    <a:srcRect l="49023" t="24663" r="23661" b="21083"/>
                    <a:stretch>
                      <a:fillRect/>
                    </a:stretch>
                  </pic:blipFill>
                  <pic:spPr>
                    <a:xfrm>
                      <a:off x="0" y="0"/>
                      <a:ext cx="2486660" cy="2081530"/>
                    </a:xfrm>
                    <a:prstGeom prst="rect">
                      <a:avLst/>
                    </a:prstGeom>
                    <a:noFill/>
                    <a:ln>
                      <a:noFill/>
                    </a:ln>
                  </pic:spPr>
                </pic:pic>
              </a:graphicData>
            </a:graphic>
          </wp:inline>
        </w:drawing>
      </w:r>
    </w:p>
    <w:p w14:paraId="2CC0743E">
      <w:pPr>
        <w:adjustRightInd w:val="0"/>
        <w:snapToGrid w:val="0"/>
        <w:spacing w:line="360" w:lineRule="auto"/>
        <w:ind w:firstLine="12" w:firstLineChars="7"/>
        <w:jc w:val="center"/>
        <w:rPr>
          <w:rFonts w:eastAsia="黑体"/>
          <w:sz w:val="18"/>
          <w:szCs w:val="18"/>
        </w:rPr>
      </w:pPr>
      <w:r>
        <w:rPr>
          <w:rFonts w:eastAsia="黑体"/>
          <w:sz w:val="18"/>
          <w:szCs w:val="18"/>
        </w:rPr>
        <w:t>图4.6.7  3m～6m扣件式钢管防护棚示意图</w:t>
      </w:r>
    </w:p>
    <w:p w14:paraId="6E383FAB">
      <w:pPr>
        <w:adjustRightInd w:val="0"/>
        <w:snapToGrid w:val="0"/>
        <w:spacing w:line="360" w:lineRule="auto"/>
        <w:ind w:firstLine="12" w:firstLineChars="7"/>
        <w:jc w:val="center"/>
        <w:rPr>
          <w:rFonts w:eastAsia="黑体"/>
          <w:sz w:val="18"/>
          <w:szCs w:val="18"/>
        </w:rPr>
      </w:pPr>
      <w:r>
        <w:rPr>
          <w:rFonts w:eastAsia="黑体"/>
          <w:sz w:val="18"/>
          <w:szCs w:val="18"/>
        </w:rPr>
        <w:t>1</w:t>
      </w:r>
      <w:r>
        <w:rPr>
          <w:rFonts w:eastAsia="黑体"/>
          <w:bCs/>
          <w:sz w:val="18"/>
          <w:szCs w:val="18"/>
        </w:rPr>
        <w:t>-</w:t>
      </w:r>
      <w:r>
        <w:rPr>
          <w:rFonts w:eastAsia="黑体"/>
          <w:sz w:val="18"/>
          <w:szCs w:val="18"/>
        </w:rPr>
        <w:t>脚手架；2</w:t>
      </w:r>
      <w:r>
        <w:rPr>
          <w:rFonts w:eastAsia="黑体"/>
          <w:bCs/>
          <w:sz w:val="18"/>
          <w:szCs w:val="18"/>
        </w:rPr>
        <w:t>-</w:t>
      </w:r>
      <w:r>
        <w:rPr>
          <w:rFonts w:eastAsia="黑体"/>
          <w:sz w:val="18"/>
          <w:szCs w:val="18"/>
        </w:rPr>
        <w:t>木胶合板；3</w:t>
      </w:r>
      <w:r>
        <w:rPr>
          <w:rFonts w:eastAsia="黑体"/>
          <w:bCs/>
          <w:sz w:val="18"/>
          <w:szCs w:val="18"/>
        </w:rPr>
        <w:t>-</w:t>
      </w:r>
      <w:r>
        <w:rPr>
          <w:rFonts w:eastAsia="黑体"/>
          <w:sz w:val="18"/>
          <w:szCs w:val="18"/>
        </w:rPr>
        <w:t>剪刀撑；4</w:t>
      </w:r>
      <w:r>
        <w:rPr>
          <w:rFonts w:eastAsia="黑体"/>
          <w:bCs/>
          <w:sz w:val="18"/>
          <w:szCs w:val="18"/>
        </w:rPr>
        <w:t>-</w:t>
      </w:r>
      <w:r>
        <w:rPr>
          <w:rFonts w:eastAsia="黑体"/>
          <w:sz w:val="18"/>
          <w:szCs w:val="18"/>
        </w:rPr>
        <w:t>密目网或钢板网；5</w:t>
      </w:r>
      <w:r>
        <w:rPr>
          <w:rFonts w:eastAsia="黑体"/>
          <w:bCs/>
          <w:sz w:val="18"/>
          <w:szCs w:val="18"/>
        </w:rPr>
        <w:t>-</w:t>
      </w:r>
      <w:r>
        <w:rPr>
          <w:rFonts w:eastAsia="黑体"/>
          <w:sz w:val="18"/>
          <w:szCs w:val="18"/>
        </w:rPr>
        <w:t>立杆；</w:t>
      </w:r>
    </w:p>
    <w:p w14:paraId="7EEF7875">
      <w:pPr>
        <w:adjustRightInd w:val="0"/>
        <w:snapToGrid w:val="0"/>
        <w:spacing w:line="360" w:lineRule="auto"/>
        <w:ind w:firstLine="12" w:firstLineChars="7"/>
        <w:jc w:val="center"/>
        <w:rPr>
          <w:rFonts w:eastAsia="黑体"/>
          <w:bCs/>
          <w:sz w:val="18"/>
          <w:szCs w:val="18"/>
        </w:rPr>
      </w:pPr>
      <w:r>
        <w:rPr>
          <w:rFonts w:eastAsia="黑体"/>
          <w:sz w:val="18"/>
          <w:szCs w:val="18"/>
        </w:rPr>
        <w:t>6</w:t>
      </w:r>
      <w:r>
        <w:rPr>
          <w:rFonts w:eastAsia="黑体"/>
          <w:bCs/>
          <w:sz w:val="18"/>
          <w:szCs w:val="18"/>
        </w:rPr>
        <w:t>-</w:t>
      </w:r>
      <w:r>
        <w:rPr>
          <w:rFonts w:eastAsia="黑体"/>
          <w:sz w:val="18"/>
          <w:szCs w:val="18"/>
        </w:rPr>
        <w:t>50㎜厚垫板；7</w:t>
      </w:r>
      <w:r>
        <w:rPr>
          <w:rFonts w:eastAsia="黑体"/>
          <w:bCs/>
          <w:sz w:val="18"/>
          <w:szCs w:val="18"/>
        </w:rPr>
        <w:t>-</w:t>
      </w:r>
      <w:r>
        <w:rPr>
          <w:rFonts w:eastAsia="黑体"/>
          <w:sz w:val="18"/>
          <w:szCs w:val="18"/>
        </w:rPr>
        <w:t>双层50㎜厚脚手板；8</w:t>
      </w:r>
      <w:r>
        <w:rPr>
          <w:rFonts w:eastAsia="黑体"/>
          <w:bCs/>
          <w:sz w:val="18"/>
          <w:szCs w:val="18"/>
        </w:rPr>
        <w:t>-安全标志</w:t>
      </w:r>
    </w:p>
    <w:p w14:paraId="43ED0BBA">
      <w:pPr>
        <w:adjustRightInd w:val="0"/>
        <w:snapToGrid w:val="0"/>
        <w:spacing w:line="360" w:lineRule="auto"/>
        <w:ind w:firstLine="17" w:firstLineChars="7"/>
        <w:rPr>
          <w:sz w:val="24"/>
          <w:szCs w:val="24"/>
        </w:rPr>
      </w:pPr>
      <w:r>
        <w:rPr>
          <w:b/>
          <w:sz w:val="24"/>
          <w:szCs w:val="24"/>
        </w:rPr>
        <w:t xml:space="preserve">4.6.8 </w:t>
      </w:r>
      <w:r>
        <w:rPr>
          <w:sz w:val="24"/>
          <w:szCs w:val="24"/>
        </w:rPr>
        <w:t xml:space="preserve"> 落地式型钢防护棚搭设应符合下列规定：</w:t>
      </w:r>
    </w:p>
    <w:p w14:paraId="77E7B5B5">
      <w:pPr>
        <w:adjustRightInd w:val="0"/>
        <w:snapToGrid w:val="0"/>
        <w:spacing w:line="360" w:lineRule="auto"/>
        <w:ind w:firstLine="366" w:firstLineChars="152"/>
        <w:rPr>
          <w:sz w:val="24"/>
          <w:szCs w:val="24"/>
        </w:rPr>
      </w:pPr>
      <w:r>
        <w:rPr>
          <w:b/>
          <w:sz w:val="24"/>
          <w:szCs w:val="24"/>
        </w:rPr>
        <w:t>1</w:t>
      </w:r>
      <w:r>
        <w:rPr>
          <w:sz w:val="24"/>
          <w:szCs w:val="24"/>
        </w:rPr>
        <w:t xml:space="preserve">  型钢防护棚应根据构造型式进行设计计算，选用相应规格的构配件；</w:t>
      </w:r>
    </w:p>
    <w:p w14:paraId="0F32EA7A">
      <w:pPr>
        <w:adjustRightInd w:val="0"/>
        <w:snapToGrid w:val="0"/>
        <w:spacing w:line="360" w:lineRule="auto"/>
        <w:ind w:firstLine="366" w:firstLineChars="152"/>
        <w:rPr>
          <w:sz w:val="24"/>
          <w:szCs w:val="24"/>
        </w:rPr>
      </w:pPr>
      <w:r>
        <w:rPr>
          <w:b/>
          <w:sz w:val="24"/>
          <w:szCs w:val="24"/>
        </w:rPr>
        <w:t xml:space="preserve">2  </w:t>
      </w:r>
      <w:r>
        <w:rPr>
          <w:sz w:val="24"/>
          <w:szCs w:val="24"/>
        </w:rPr>
        <w:t>立柱间距不宜大于3m，立柱基础应独立设置</w:t>
      </w:r>
      <w:r>
        <w:rPr>
          <w:rFonts w:hint="eastAsia"/>
          <w:sz w:val="24"/>
          <w:szCs w:val="24"/>
        </w:rPr>
        <w:t>，</w:t>
      </w:r>
      <w:r>
        <w:rPr>
          <w:sz w:val="24"/>
          <w:szCs w:val="24"/>
        </w:rPr>
        <w:t>立柱与桁架焊接耳板，根据构造选取相应型号的螺栓连接固定；</w:t>
      </w:r>
    </w:p>
    <w:p w14:paraId="2F59F867">
      <w:pPr>
        <w:adjustRightInd w:val="0"/>
        <w:snapToGrid w:val="0"/>
        <w:spacing w:line="360" w:lineRule="auto"/>
        <w:ind w:firstLine="366" w:firstLineChars="152"/>
        <w:rPr>
          <w:sz w:val="24"/>
          <w:szCs w:val="24"/>
        </w:rPr>
      </w:pPr>
      <w:r>
        <w:rPr>
          <w:b/>
          <w:sz w:val="24"/>
          <w:szCs w:val="24"/>
        </w:rPr>
        <w:t xml:space="preserve">3  </w:t>
      </w:r>
      <w:r>
        <w:rPr>
          <w:sz w:val="24"/>
          <w:szCs w:val="24"/>
        </w:rPr>
        <w:t>檩条应根据设计选用相应规格的方钢；</w:t>
      </w:r>
    </w:p>
    <w:p w14:paraId="299B5618">
      <w:pPr>
        <w:adjustRightInd w:val="0"/>
        <w:snapToGrid w:val="0"/>
        <w:spacing w:line="360" w:lineRule="auto"/>
        <w:ind w:firstLine="342" w:firstLineChars="142"/>
        <w:rPr>
          <w:sz w:val="24"/>
          <w:szCs w:val="24"/>
        </w:rPr>
      </w:pPr>
      <w:r>
        <w:rPr>
          <w:b/>
          <w:sz w:val="24"/>
          <w:szCs w:val="24"/>
        </w:rPr>
        <w:t xml:space="preserve">4  </w:t>
      </w:r>
      <w:r>
        <w:rPr>
          <w:sz w:val="24"/>
          <w:szCs w:val="24"/>
        </w:rPr>
        <w:t>立柱基础应符合方案要求，混凝土强度等级不应低于C20。</w:t>
      </w:r>
    </w:p>
    <w:p w14:paraId="4742A5EB">
      <w:pPr>
        <w:adjustRightInd w:val="0"/>
        <w:snapToGrid w:val="0"/>
        <w:spacing w:line="360" w:lineRule="auto"/>
        <w:rPr>
          <w:sz w:val="24"/>
          <w:szCs w:val="24"/>
        </w:rPr>
      </w:pPr>
      <w:r>
        <w:rPr>
          <w:b/>
          <w:sz w:val="24"/>
          <w:szCs w:val="24"/>
        </w:rPr>
        <w:t xml:space="preserve">4.6.9  </w:t>
      </w:r>
      <w:r>
        <w:rPr>
          <w:sz w:val="24"/>
          <w:szCs w:val="24"/>
        </w:rPr>
        <w:t>悬挑式型钢防护棚搭设应符合下列规定：</w:t>
      </w:r>
    </w:p>
    <w:p w14:paraId="62E401FC">
      <w:pPr>
        <w:adjustRightInd w:val="0"/>
        <w:snapToGrid w:val="0"/>
        <w:spacing w:line="360" w:lineRule="auto"/>
        <w:ind w:firstLine="342" w:firstLineChars="142"/>
        <w:rPr>
          <w:sz w:val="24"/>
          <w:szCs w:val="24"/>
        </w:rPr>
      </w:pPr>
      <w:r>
        <w:rPr>
          <w:b/>
          <w:sz w:val="24"/>
          <w:szCs w:val="24"/>
        </w:rPr>
        <w:t xml:space="preserve">1  </w:t>
      </w:r>
      <w:r>
        <w:rPr>
          <w:sz w:val="24"/>
          <w:szCs w:val="24"/>
        </w:rPr>
        <w:t>应根据构造型式进行设计计算，选用相应规格的构配件；</w:t>
      </w:r>
    </w:p>
    <w:p w14:paraId="602D03AD">
      <w:pPr>
        <w:adjustRightInd w:val="0"/>
        <w:snapToGrid w:val="0"/>
        <w:spacing w:line="360" w:lineRule="auto"/>
        <w:ind w:firstLine="342" w:firstLineChars="142"/>
        <w:rPr>
          <w:sz w:val="24"/>
          <w:szCs w:val="24"/>
        </w:rPr>
      </w:pPr>
      <w:r>
        <w:rPr>
          <w:b/>
          <w:sz w:val="24"/>
          <w:szCs w:val="24"/>
        </w:rPr>
        <w:t xml:space="preserve">2  </w:t>
      </w:r>
      <w:r>
        <w:rPr>
          <w:sz w:val="24"/>
          <w:szCs w:val="24"/>
        </w:rPr>
        <w:t>应编制专项施工方案并按专项方案实施，搭设防护棚规格、尺寸应符合本标准第4.6.2、4.6.3条的规定；</w:t>
      </w:r>
    </w:p>
    <w:p w14:paraId="39F2E99A">
      <w:pPr>
        <w:adjustRightInd w:val="0"/>
        <w:snapToGrid w:val="0"/>
        <w:spacing w:line="360" w:lineRule="auto"/>
        <w:ind w:firstLine="342" w:firstLineChars="142"/>
        <w:rPr>
          <w:sz w:val="24"/>
          <w:szCs w:val="24"/>
        </w:rPr>
      </w:pPr>
      <w:r>
        <w:rPr>
          <w:b/>
          <w:sz w:val="24"/>
          <w:szCs w:val="24"/>
        </w:rPr>
        <w:t xml:space="preserve">3  </w:t>
      </w:r>
      <w:r>
        <w:rPr>
          <w:sz w:val="24"/>
          <w:szCs w:val="24"/>
        </w:rPr>
        <w:t>悬挑钢梁固定端宜采用螺栓锚固固定，悬挑端宜采用钢丝绳或钢拉杆进行固定，各固定点强度应符合设计计算要求，钢丝绳或钢拉杆与水平面夹角不宜小于45°。</w:t>
      </w:r>
    </w:p>
    <w:p w14:paraId="36F8860C">
      <w:pPr>
        <w:adjustRightInd w:val="0"/>
        <w:snapToGrid w:val="0"/>
        <w:spacing w:line="360" w:lineRule="auto"/>
        <w:rPr>
          <w:b/>
          <w:sz w:val="24"/>
          <w:szCs w:val="24"/>
        </w:rPr>
      </w:pPr>
      <w:r>
        <w:rPr>
          <w:b/>
          <w:sz w:val="24"/>
          <w:szCs w:val="24"/>
        </w:rPr>
        <w:t xml:space="preserve">4.6.10  </w:t>
      </w:r>
      <w:r>
        <w:rPr>
          <w:sz w:val="24"/>
          <w:szCs w:val="24"/>
        </w:rPr>
        <w:t>配电箱防护棚示意图见图4.6.10，搭设应符合下列规定：</w:t>
      </w:r>
    </w:p>
    <w:p w14:paraId="773B50AC">
      <w:pPr>
        <w:adjustRightInd w:val="0"/>
        <w:snapToGrid w:val="0"/>
        <w:spacing w:line="360" w:lineRule="auto"/>
        <w:ind w:firstLine="366" w:firstLineChars="152"/>
        <w:rPr>
          <w:sz w:val="24"/>
          <w:szCs w:val="24"/>
        </w:rPr>
      </w:pPr>
      <w:r>
        <w:rPr>
          <w:b/>
          <w:sz w:val="24"/>
          <w:szCs w:val="24"/>
        </w:rPr>
        <w:t xml:space="preserve">1  </w:t>
      </w:r>
      <w:r>
        <w:rPr>
          <w:sz w:val="24"/>
          <w:szCs w:val="24"/>
        </w:rPr>
        <w:t>配电箱防护围栏主框架应采用40㎜×40㎜×3㎜方钢焊制，立柱应采用20㎜×20㎜×2㎜的方钢，间距应为150㎜。围栏应固定在混凝土承台上，承台高度应为200㎜</w:t>
      </w:r>
      <w:r>
        <w:rPr>
          <w:rFonts w:hint="eastAsia"/>
          <w:sz w:val="24"/>
          <w:szCs w:val="24"/>
        </w:rPr>
        <w:t>。</w:t>
      </w:r>
    </w:p>
    <w:p w14:paraId="3992E047">
      <w:pPr>
        <w:adjustRightInd w:val="0"/>
        <w:snapToGrid w:val="0"/>
        <w:spacing w:line="360" w:lineRule="auto"/>
        <w:ind w:firstLine="366" w:firstLineChars="152"/>
        <w:rPr>
          <w:sz w:val="24"/>
          <w:szCs w:val="24"/>
        </w:rPr>
      </w:pPr>
      <w:r>
        <w:rPr>
          <w:b/>
          <w:sz w:val="24"/>
          <w:szCs w:val="24"/>
        </w:rPr>
        <w:t xml:space="preserve">2  </w:t>
      </w:r>
      <w:r>
        <w:rPr>
          <w:sz w:val="24"/>
          <w:szCs w:val="24"/>
        </w:rPr>
        <w:t>需采取防砸措施的防护棚顶部采用双层防护，底层应为彩钢板，上层为50㎜厚脚手板，并应设不小于5%坡度的排水坡。</w:t>
      </w:r>
    </w:p>
    <w:p w14:paraId="52B2DF21">
      <w:pPr>
        <w:adjustRightInd w:val="0"/>
        <w:snapToGrid w:val="0"/>
        <w:spacing w:line="360" w:lineRule="auto"/>
        <w:ind w:firstLine="27" w:firstLineChars="13"/>
        <w:jc w:val="center"/>
        <w:rPr>
          <w:szCs w:val="21"/>
        </w:rPr>
      </w:pPr>
      <w:bookmarkStart w:id="103" w:name="PageNo100560049"/>
      <w:r>
        <w:drawing>
          <wp:inline distT="0" distB="0" distL="114300" distR="114300">
            <wp:extent cx="5596255" cy="2881630"/>
            <wp:effectExtent l="0" t="0" r="0" b="0"/>
            <wp:docPr id="3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
                    <pic:cNvPicPr>
                      <a:picLocks noChangeAspect="1"/>
                    </pic:cNvPicPr>
                  </pic:nvPicPr>
                  <pic:blipFill>
                    <a:blip r:embed="rId81"/>
                    <a:srcRect l="27267" t="26926" r="31790" b="23002"/>
                    <a:stretch>
                      <a:fillRect/>
                    </a:stretch>
                  </pic:blipFill>
                  <pic:spPr>
                    <a:xfrm>
                      <a:off x="0" y="0"/>
                      <a:ext cx="5596255" cy="2881630"/>
                    </a:xfrm>
                    <a:prstGeom prst="rect">
                      <a:avLst/>
                    </a:prstGeom>
                    <a:noFill/>
                    <a:ln>
                      <a:noFill/>
                    </a:ln>
                  </pic:spPr>
                </pic:pic>
              </a:graphicData>
            </a:graphic>
          </wp:inline>
        </w:drawing>
      </w:r>
      <w:bookmarkEnd w:id="103"/>
    </w:p>
    <w:p w14:paraId="3326DEF0">
      <w:pPr>
        <w:adjustRightInd w:val="0"/>
        <w:snapToGrid w:val="0"/>
        <w:spacing w:line="360" w:lineRule="auto"/>
        <w:ind w:firstLine="23" w:firstLineChars="13"/>
        <w:jc w:val="center"/>
        <w:rPr>
          <w:rFonts w:eastAsia="黑体"/>
          <w:sz w:val="18"/>
          <w:szCs w:val="18"/>
        </w:rPr>
      </w:pPr>
      <w:r>
        <w:rPr>
          <w:rFonts w:eastAsia="黑体"/>
          <w:sz w:val="18"/>
          <w:szCs w:val="18"/>
        </w:rPr>
        <w:t>图4.6.10 配电箱防护棚示意图（单位：㎜）</w:t>
      </w:r>
    </w:p>
    <w:p w14:paraId="754370E1">
      <w:pPr>
        <w:adjustRightInd w:val="0"/>
        <w:snapToGrid w:val="0"/>
        <w:spacing w:line="360" w:lineRule="auto"/>
        <w:ind w:firstLine="23" w:firstLineChars="13"/>
        <w:jc w:val="center"/>
        <w:rPr>
          <w:rFonts w:eastAsia="黑体"/>
          <w:sz w:val="18"/>
          <w:szCs w:val="18"/>
        </w:rPr>
      </w:pPr>
      <w:r>
        <w:rPr>
          <w:rFonts w:eastAsia="黑体"/>
          <w:sz w:val="18"/>
          <w:szCs w:val="18"/>
        </w:rPr>
        <w:t>1</w:t>
      </w:r>
      <w:r>
        <w:rPr>
          <w:rFonts w:eastAsia="黑体"/>
          <w:bCs/>
          <w:sz w:val="18"/>
          <w:szCs w:val="18"/>
        </w:rPr>
        <w:t>-</w:t>
      </w:r>
      <w:r>
        <w:rPr>
          <w:rFonts w:eastAsia="黑体"/>
          <w:sz w:val="18"/>
          <w:szCs w:val="18"/>
        </w:rPr>
        <w:t>螺栓；2</w:t>
      </w:r>
      <w:r>
        <w:rPr>
          <w:rFonts w:eastAsia="黑体"/>
          <w:bCs/>
          <w:sz w:val="18"/>
          <w:szCs w:val="18"/>
        </w:rPr>
        <w:t>-</w:t>
      </w:r>
      <w:r>
        <w:rPr>
          <w:rFonts w:eastAsia="黑体"/>
          <w:sz w:val="18"/>
          <w:szCs w:val="18"/>
        </w:rPr>
        <w:t>合页；3</w:t>
      </w:r>
      <w:r>
        <w:rPr>
          <w:rFonts w:eastAsia="黑体"/>
          <w:bCs/>
          <w:sz w:val="18"/>
          <w:szCs w:val="18"/>
        </w:rPr>
        <w:t>-主框架连接件</w:t>
      </w:r>
    </w:p>
    <w:p w14:paraId="374E63D2">
      <w:pPr>
        <w:adjustRightInd w:val="0"/>
        <w:snapToGrid w:val="0"/>
        <w:spacing w:line="360" w:lineRule="auto"/>
        <w:rPr>
          <w:bCs/>
          <w:sz w:val="24"/>
          <w:szCs w:val="24"/>
        </w:rPr>
      </w:pPr>
      <w:r>
        <w:rPr>
          <w:b/>
          <w:sz w:val="24"/>
          <w:szCs w:val="24"/>
        </w:rPr>
        <w:t xml:space="preserve">4.6.11  </w:t>
      </w:r>
      <w:r>
        <w:rPr>
          <w:bCs/>
          <w:sz w:val="24"/>
          <w:szCs w:val="24"/>
        </w:rPr>
        <w:t>悬挑脚手架水平安全网防护搭设示意图</w:t>
      </w:r>
      <w:r>
        <w:rPr>
          <w:sz w:val="24"/>
          <w:szCs w:val="24"/>
        </w:rPr>
        <w:t>见图4.6.11，</w:t>
      </w:r>
      <w:r>
        <w:rPr>
          <w:bCs/>
          <w:sz w:val="24"/>
          <w:szCs w:val="24"/>
        </w:rPr>
        <w:t>设置应符合下列规定：</w:t>
      </w:r>
    </w:p>
    <w:p w14:paraId="55584156">
      <w:pPr>
        <w:adjustRightInd w:val="0"/>
        <w:snapToGrid w:val="0"/>
        <w:spacing w:line="360" w:lineRule="auto"/>
        <w:ind w:firstLine="388" w:firstLineChars="161"/>
        <w:rPr>
          <w:bCs/>
          <w:sz w:val="24"/>
          <w:szCs w:val="24"/>
        </w:rPr>
      </w:pPr>
      <w:r>
        <w:rPr>
          <w:b/>
          <w:sz w:val="24"/>
          <w:szCs w:val="24"/>
        </w:rPr>
        <w:t>1</w:t>
      </w:r>
      <w:r>
        <w:rPr>
          <w:bCs/>
          <w:sz w:val="24"/>
          <w:szCs w:val="24"/>
        </w:rPr>
        <w:t xml:space="preserve">  首层四周应搭设6m宽的双层水平安全网, 网底距接触面不少于5m；</w:t>
      </w:r>
    </w:p>
    <w:p w14:paraId="35CF561C">
      <w:pPr>
        <w:adjustRightInd w:val="0"/>
        <w:snapToGrid w:val="0"/>
        <w:spacing w:line="360" w:lineRule="auto"/>
        <w:ind w:firstLine="388" w:firstLineChars="161"/>
        <w:rPr>
          <w:sz w:val="24"/>
          <w:szCs w:val="24"/>
        </w:rPr>
      </w:pPr>
      <w:r>
        <w:rPr>
          <w:b/>
          <w:sz w:val="24"/>
          <w:szCs w:val="24"/>
        </w:rPr>
        <w:t xml:space="preserve">2  </w:t>
      </w:r>
      <w:r>
        <w:rPr>
          <w:sz w:val="24"/>
          <w:szCs w:val="24"/>
        </w:rPr>
        <w:t>首层水平安全网以上应不大于10m设置一道3m宽的水平安全网；</w:t>
      </w:r>
    </w:p>
    <w:p w14:paraId="6E275027">
      <w:pPr>
        <w:adjustRightInd w:val="0"/>
        <w:snapToGrid w:val="0"/>
        <w:spacing w:line="360" w:lineRule="auto"/>
        <w:ind w:firstLine="388" w:firstLineChars="161"/>
        <w:rPr>
          <w:bCs/>
          <w:sz w:val="24"/>
          <w:szCs w:val="24"/>
        </w:rPr>
      </w:pPr>
      <w:r>
        <w:rPr>
          <w:b/>
          <w:sz w:val="24"/>
          <w:szCs w:val="24"/>
        </w:rPr>
        <w:t>3</w:t>
      </w:r>
      <w:r>
        <w:rPr>
          <w:b/>
          <w:bCs/>
          <w:sz w:val="24"/>
          <w:szCs w:val="24"/>
        </w:rPr>
        <w:t xml:space="preserve">  </w:t>
      </w:r>
      <w:r>
        <w:rPr>
          <w:bCs/>
          <w:sz w:val="24"/>
          <w:szCs w:val="24"/>
        </w:rPr>
        <w:t>水平安全网防护搭设时，支撑杆水平夹角不宜小于45︒，当在楼层设支撑杆时，应预埋钢筋环或在结构内外侧各设一道横杆，安全防护网应外高里低，网与网之间应连接严密。</w:t>
      </w:r>
    </w:p>
    <w:p w14:paraId="753ADC27">
      <w:pPr>
        <w:adjustRightInd w:val="0"/>
        <w:snapToGrid w:val="0"/>
        <w:spacing w:line="360" w:lineRule="auto"/>
        <w:jc w:val="center"/>
        <w:rPr>
          <w:b/>
          <w:bCs/>
          <w:szCs w:val="21"/>
        </w:rPr>
      </w:pPr>
      <w:r>
        <w:drawing>
          <wp:inline distT="0" distB="0" distL="114300" distR="114300">
            <wp:extent cx="1981200" cy="2936875"/>
            <wp:effectExtent l="0" t="0" r="0" b="15875"/>
            <wp:docPr id="3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5"/>
                    <pic:cNvPicPr>
                      <a:picLocks noChangeAspect="1"/>
                    </pic:cNvPicPr>
                  </pic:nvPicPr>
                  <pic:blipFill>
                    <a:blip r:embed="rId82"/>
                    <a:srcRect l="37940" t="3781" r="40630" b="20768"/>
                    <a:stretch>
                      <a:fillRect/>
                    </a:stretch>
                  </pic:blipFill>
                  <pic:spPr>
                    <a:xfrm>
                      <a:off x="0" y="0"/>
                      <a:ext cx="1981200" cy="2936875"/>
                    </a:xfrm>
                    <a:prstGeom prst="rect">
                      <a:avLst/>
                    </a:prstGeom>
                    <a:noFill/>
                    <a:ln>
                      <a:noFill/>
                    </a:ln>
                  </pic:spPr>
                </pic:pic>
              </a:graphicData>
            </a:graphic>
          </wp:inline>
        </w:drawing>
      </w:r>
    </w:p>
    <w:p w14:paraId="6E1CCB43">
      <w:pPr>
        <w:adjustRightInd w:val="0"/>
        <w:snapToGrid w:val="0"/>
        <w:spacing w:line="360" w:lineRule="auto"/>
        <w:ind w:firstLine="23" w:firstLineChars="13"/>
        <w:jc w:val="center"/>
        <w:rPr>
          <w:rFonts w:eastAsia="黑体"/>
          <w:sz w:val="18"/>
          <w:szCs w:val="18"/>
        </w:rPr>
      </w:pPr>
      <w:r>
        <w:rPr>
          <w:rFonts w:eastAsia="黑体"/>
          <w:sz w:val="18"/>
          <w:szCs w:val="18"/>
        </w:rPr>
        <w:t>图4.6.11 水平安全网防护搭设示意图（单位：㎜）</w:t>
      </w:r>
    </w:p>
    <w:p w14:paraId="61AEB65C">
      <w:pPr>
        <w:adjustRightInd w:val="0"/>
        <w:snapToGrid w:val="0"/>
        <w:spacing w:line="360" w:lineRule="auto"/>
        <w:ind w:firstLine="12" w:firstLineChars="7"/>
        <w:jc w:val="center"/>
        <w:rPr>
          <w:rFonts w:eastAsia="黑体"/>
          <w:sz w:val="18"/>
          <w:szCs w:val="18"/>
        </w:rPr>
      </w:pPr>
      <w:r>
        <w:rPr>
          <w:rFonts w:eastAsia="黑体"/>
          <w:sz w:val="18"/>
          <w:szCs w:val="18"/>
        </w:rPr>
        <w:t>1-悬挑脚手架；2-结构外立面；3-水平安全网；4-固定支架</w:t>
      </w:r>
    </w:p>
    <w:p w14:paraId="0696CC5B">
      <w:pPr>
        <w:adjustRightInd w:val="0"/>
        <w:snapToGrid w:val="0"/>
        <w:spacing w:line="360" w:lineRule="auto"/>
        <w:rPr>
          <w:sz w:val="24"/>
          <w:szCs w:val="24"/>
        </w:rPr>
      </w:pPr>
      <w:r>
        <w:rPr>
          <w:b/>
          <w:sz w:val="24"/>
          <w:szCs w:val="24"/>
        </w:rPr>
        <w:t xml:space="preserve">4.6.12  </w:t>
      </w:r>
      <w:r>
        <w:rPr>
          <w:sz w:val="24"/>
          <w:szCs w:val="24"/>
        </w:rPr>
        <w:t>外立面施工过程中存在垂直方向上的交叉作业时，应设置3000㎜宽的硬质水平安全防护隔离层。</w:t>
      </w:r>
    </w:p>
    <w:p w14:paraId="622A65DF">
      <w:pPr>
        <w:pStyle w:val="3"/>
        <w:rPr>
          <w:rFonts w:ascii="Times New Roman" w:hAnsi="Times New Roman" w:cs="Times New Roman"/>
          <w:color w:val="auto"/>
          <w:sz w:val="24"/>
          <w:szCs w:val="24"/>
        </w:rPr>
      </w:pPr>
      <w:bookmarkStart w:id="104" w:name="_Toc2305"/>
      <w:bookmarkStart w:id="105" w:name="_Toc29149"/>
      <w:r>
        <w:rPr>
          <w:rFonts w:ascii="Times New Roman" w:hAnsi="Times New Roman" w:cs="Times New Roman"/>
          <w:color w:val="auto"/>
          <w:sz w:val="24"/>
          <w:szCs w:val="24"/>
        </w:rPr>
        <w:t>4.7  施工机械安全防护</w:t>
      </w:r>
      <w:bookmarkEnd w:id="104"/>
      <w:bookmarkEnd w:id="105"/>
    </w:p>
    <w:p w14:paraId="0F92F94D">
      <w:pPr>
        <w:adjustRightInd w:val="0"/>
        <w:snapToGrid w:val="0"/>
        <w:spacing w:line="360" w:lineRule="auto"/>
        <w:rPr>
          <w:sz w:val="24"/>
          <w:szCs w:val="24"/>
        </w:rPr>
      </w:pPr>
      <w:r>
        <w:rPr>
          <w:b/>
          <w:sz w:val="24"/>
          <w:szCs w:val="24"/>
        </w:rPr>
        <w:t>4</w:t>
      </w:r>
      <w:r>
        <w:rPr>
          <w:rFonts w:hint="eastAsia"/>
          <w:b/>
          <w:sz w:val="24"/>
          <w:szCs w:val="24"/>
        </w:rPr>
        <w:t>.</w:t>
      </w:r>
      <w:r>
        <w:rPr>
          <w:b/>
          <w:sz w:val="24"/>
          <w:szCs w:val="24"/>
        </w:rPr>
        <w:t>7</w:t>
      </w:r>
      <w:r>
        <w:rPr>
          <w:rFonts w:hint="eastAsia"/>
          <w:b/>
          <w:sz w:val="24"/>
          <w:szCs w:val="24"/>
        </w:rPr>
        <w:t>.1</w:t>
      </w:r>
      <w:r>
        <w:rPr>
          <w:rFonts w:hint="eastAsia"/>
          <w:sz w:val="24"/>
          <w:szCs w:val="24"/>
        </w:rPr>
        <w:t xml:space="preserve">  施工单位应对机械设备进行进场、安装验收，使用与退场全过程管理。</w:t>
      </w:r>
    </w:p>
    <w:p w14:paraId="1472B7EC">
      <w:pPr>
        <w:adjustRightInd w:val="0"/>
        <w:snapToGrid w:val="0"/>
        <w:spacing w:line="360" w:lineRule="auto"/>
        <w:rPr>
          <w:sz w:val="24"/>
          <w:szCs w:val="24"/>
        </w:rPr>
      </w:pPr>
      <w:r>
        <w:rPr>
          <w:b/>
          <w:sz w:val="24"/>
          <w:szCs w:val="24"/>
        </w:rPr>
        <w:t>4</w:t>
      </w:r>
      <w:r>
        <w:rPr>
          <w:rFonts w:hint="eastAsia"/>
          <w:b/>
          <w:sz w:val="24"/>
          <w:szCs w:val="24"/>
        </w:rPr>
        <w:t>.</w:t>
      </w:r>
      <w:r>
        <w:rPr>
          <w:b/>
          <w:sz w:val="24"/>
          <w:szCs w:val="24"/>
        </w:rPr>
        <w:t>7</w:t>
      </w:r>
      <w:r>
        <w:rPr>
          <w:rFonts w:hint="eastAsia"/>
          <w:b/>
          <w:sz w:val="24"/>
          <w:szCs w:val="24"/>
        </w:rPr>
        <w:t>.</w:t>
      </w:r>
      <w:r>
        <w:rPr>
          <w:b/>
          <w:sz w:val="24"/>
          <w:szCs w:val="24"/>
        </w:rPr>
        <w:t>2</w:t>
      </w:r>
      <w:r>
        <w:rPr>
          <w:rFonts w:hint="eastAsia"/>
          <w:b/>
          <w:sz w:val="24"/>
          <w:szCs w:val="24"/>
        </w:rPr>
        <w:t xml:space="preserve"> </w:t>
      </w:r>
      <w:r>
        <w:rPr>
          <w:rFonts w:hint="eastAsia"/>
          <w:sz w:val="24"/>
          <w:szCs w:val="24"/>
        </w:rPr>
        <w:t xml:space="preserve"> 施工机械不得超载作业或扩大使用范围，安全防护装置及监测、指示装置应齐全、灵敏、可靠。</w:t>
      </w:r>
    </w:p>
    <w:p w14:paraId="10068E03">
      <w:pPr>
        <w:adjustRightInd w:val="0"/>
        <w:snapToGrid w:val="0"/>
        <w:spacing w:line="360" w:lineRule="auto"/>
        <w:rPr>
          <w:sz w:val="24"/>
          <w:szCs w:val="24"/>
        </w:rPr>
      </w:pPr>
      <w:r>
        <w:rPr>
          <w:b/>
          <w:sz w:val="24"/>
          <w:szCs w:val="24"/>
        </w:rPr>
        <w:t>4</w:t>
      </w:r>
      <w:r>
        <w:rPr>
          <w:rFonts w:hint="eastAsia"/>
          <w:b/>
          <w:sz w:val="24"/>
          <w:szCs w:val="24"/>
        </w:rPr>
        <w:t>.</w:t>
      </w:r>
      <w:r>
        <w:rPr>
          <w:b/>
          <w:sz w:val="24"/>
          <w:szCs w:val="24"/>
        </w:rPr>
        <w:t>7</w:t>
      </w:r>
      <w:r>
        <w:rPr>
          <w:rFonts w:hint="eastAsia"/>
          <w:b/>
          <w:sz w:val="24"/>
          <w:szCs w:val="24"/>
        </w:rPr>
        <w:t>.</w:t>
      </w:r>
      <w:r>
        <w:rPr>
          <w:b/>
          <w:sz w:val="24"/>
          <w:szCs w:val="24"/>
        </w:rPr>
        <w:t>3</w:t>
      </w:r>
      <w:r>
        <w:rPr>
          <w:rFonts w:hint="eastAsia"/>
          <w:b/>
          <w:sz w:val="24"/>
          <w:szCs w:val="24"/>
        </w:rPr>
        <w:t xml:space="preserve"> </w:t>
      </w:r>
      <w:r>
        <w:rPr>
          <w:rFonts w:hint="eastAsia"/>
          <w:sz w:val="24"/>
          <w:szCs w:val="24"/>
        </w:rPr>
        <w:t xml:space="preserve"> 群塔作业应保证处于低位的塔式起重机臂架端部与相邻塔式起重机塔身之间至少有2m的距离，处于高位塔机的最低位置的部件(吊钩升至最高点或平衡重的最低部位)与低位塔机中处于最高位置部件之间的垂直距离不应小于2m。施工现场4台及以上塔式起重机起重臂回转半径覆盖范围内有公共交叉区域的群塔作业工程应组织专家论证。</w:t>
      </w:r>
    </w:p>
    <w:p w14:paraId="6682C22F">
      <w:pPr>
        <w:adjustRightInd w:val="0"/>
        <w:snapToGrid w:val="0"/>
        <w:spacing w:line="360" w:lineRule="auto"/>
        <w:rPr>
          <w:sz w:val="24"/>
          <w:szCs w:val="24"/>
        </w:rPr>
      </w:pPr>
      <w:r>
        <w:rPr>
          <w:b/>
          <w:sz w:val="24"/>
          <w:szCs w:val="24"/>
        </w:rPr>
        <w:t>4</w:t>
      </w:r>
      <w:r>
        <w:rPr>
          <w:rFonts w:hint="eastAsia"/>
          <w:b/>
          <w:sz w:val="24"/>
          <w:szCs w:val="24"/>
        </w:rPr>
        <w:t>.</w:t>
      </w:r>
      <w:r>
        <w:rPr>
          <w:b/>
          <w:sz w:val="24"/>
          <w:szCs w:val="24"/>
        </w:rPr>
        <w:t>7</w:t>
      </w:r>
      <w:r>
        <w:rPr>
          <w:rFonts w:hint="eastAsia"/>
          <w:b/>
          <w:sz w:val="24"/>
          <w:szCs w:val="24"/>
        </w:rPr>
        <w:t>.4</w:t>
      </w:r>
      <w:r>
        <w:rPr>
          <w:rFonts w:hint="eastAsia"/>
          <w:sz w:val="24"/>
          <w:szCs w:val="24"/>
        </w:rPr>
        <w:t xml:space="preserve">  起重机多机抬吊作业应选用起重性能相近的起重机进行。抬吊时应统一指挥，动作应协调配合，载荷应分配合理，起吊重量不得超过两台起重机在该工况下允许起重量总和的75%，单机的起吊载荷不得超过允许载荷的80%。</w:t>
      </w:r>
    </w:p>
    <w:p w14:paraId="41606EA6">
      <w:pPr>
        <w:adjustRightInd w:val="0"/>
        <w:snapToGrid w:val="0"/>
        <w:spacing w:line="360" w:lineRule="auto"/>
        <w:rPr>
          <w:sz w:val="24"/>
          <w:szCs w:val="24"/>
        </w:rPr>
      </w:pPr>
      <w:r>
        <w:rPr>
          <w:b/>
          <w:sz w:val="24"/>
          <w:szCs w:val="24"/>
        </w:rPr>
        <w:t>4</w:t>
      </w:r>
      <w:r>
        <w:rPr>
          <w:rFonts w:hint="eastAsia"/>
          <w:b/>
          <w:sz w:val="24"/>
          <w:szCs w:val="24"/>
        </w:rPr>
        <w:t>.</w:t>
      </w:r>
      <w:r>
        <w:rPr>
          <w:b/>
          <w:sz w:val="24"/>
          <w:szCs w:val="24"/>
        </w:rPr>
        <w:t>7</w:t>
      </w:r>
      <w:r>
        <w:rPr>
          <w:rFonts w:hint="eastAsia"/>
          <w:b/>
          <w:sz w:val="24"/>
          <w:szCs w:val="24"/>
        </w:rPr>
        <w:t>.</w:t>
      </w:r>
      <w:r>
        <w:rPr>
          <w:b/>
          <w:sz w:val="24"/>
          <w:szCs w:val="24"/>
        </w:rPr>
        <w:t>5</w:t>
      </w:r>
      <w:r>
        <w:rPr>
          <w:rFonts w:hint="eastAsia"/>
          <w:sz w:val="24"/>
          <w:szCs w:val="24"/>
        </w:rPr>
        <w:t xml:space="preserve"> </w:t>
      </w:r>
      <w:r>
        <w:rPr>
          <w:sz w:val="24"/>
          <w:szCs w:val="24"/>
        </w:rPr>
        <w:t xml:space="preserve"> </w:t>
      </w:r>
      <w:r>
        <w:rPr>
          <w:rFonts w:hint="eastAsia"/>
          <w:sz w:val="24"/>
          <w:szCs w:val="24"/>
        </w:rPr>
        <w:t>吊装作业应符合施工组织设计、专项施工方案和安全技术交底的要求，不得吊运人员，吊物不得超出施工现场的范围。六级及以上强风天气应停止吊装作业，四级及以上大风不得进行塔式起重机安装（包括顶升、附着装置安装）和拆卸（包括降节、附着装置拆卸）作业。</w:t>
      </w:r>
    </w:p>
    <w:p w14:paraId="2B81AD86">
      <w:pPr>
        <w:adjustRightInd w:val="0"/>
        <w:snapToGrid w:val="0"/>
        <w:spacing w:line="360" w:lineRule="auto"/>
        <w:rPr>
          <w:sz w:val="24"/>
          <w:szCs w:val="24"/>
        </w:rPr>
      </w:pPr>
      <w:r>
        <w:rPr>
          <w:b/>
          <w:sz w:val="24"/>
          <w:szCs w:val="24"/>
        </w:rPr>
        <w:t>4</w:t>
      </w:r>
      <w:r>
        <w:rPr>
          <w:rFonts w:hint="eastAsia"/>
          <w:b/>
          <w:sz w:val="24"/>
          <w:szCs w:val="24"/>
        </w:rPr>
        <w:t>.</w:t>
      </w:r>
      <w:r>
        <w:rPr>
          <w:b/>
          <w:sz w:val="24"/>
          <w:szCs w:val="24"/>
        </w:rPr>
        <w:t>7</w:t>
      </w:r>
      <w:r>
        <w:rPr>
          <w:rFonts w:hint="eastAsia"/>
          <w:b/>
          <w:sz w:val="24"/>
          <w:szCs w:val="24"/>
        </w:rPr>
        <w:t>.</w:t>
      </w:r>
      <w:r>
        <w:rPr>
          <w:b/>
          <w:sz w:val="24"/>
          <w:szCs w:val="24"/>
        </w:rPr>
        <w:t>6</w:t>
      </w:r>
      <w:r>
        <w:rPr>
          <w:rFonts w:hint="eastAsia"/>
          <w:sz w:val="24"/>
          <w:szCs w:val="24"/>
        </w:rPr>
        <w:t xml:space="preserve"> </w:t>
      </w:r>
      <w:r>
        <w:rPr>
          <w:sz w:val="24"/>
          <w:szCs w:val="24"/>
        </w:rPr>
        <w:t xml:space="preserve"> </w:t>
      </w:r>
      <w:r>
        <w:rPr>
          <w:rFonts w:hint="eastAsia"/>
          <w:sz w:val="24"/>
          <w:szCs w:val="24"/>
        </w:rPr>
        <w:t>起重吊具与索具产品应</w:t>
      </w:r>
      <w:r>
        <w:rPr>
          <w:sz w:val="24"/>
          <w:szCs w:val="24"/>
        </w:rPr>
        <w:t>有制造厂的合格证明书，</w:t>
      </w:r>
      <w:r>
        <w:rPr>
          <w:rFonts w:hint="eastAsia"/>
          <w:sz w:val="24"/>
          <w:szCs w:val="24"/>
        </w:rPr>
        <w:t>并定期进行检查。</w:t>
      </w:r>
      <w:r>
        <w:rPr>
          <w:sz w:val="24"/>
          <w:szCs w:val="24"/>
        </w:rPr>
        <w:t>吊钩表面应光滑</w:t>
      </w:r>
      <w:r>
        <w:rPr>
          <w:rFonts w:hint="eastAsia"/>
          <w:sz w:val="24"/>
          <w:szCs w:val="24"/>
        </w:rPr>
        <w:t>且</w:t>
      </w:r>
      <w:r>
        <w:rPr>
          <w:sz w:val="24"/>
          <w:szCs w:val="24"/>
        </w:rPr>
        <w:t>坚固、耐用；</w:t>
      </w:r>
      <w:r>
        <w:rPr>
          <w:rFonts w:hint="eastAsia"/>
          <w:sz w:val="24"/>
          <w:szCs w:val="24"/>
        </w:rPr>
        <w:t>卸扣销轴和环底应受力；自制吊具应进行设计计算。</w:t>
      </w:r>
    </w:p>
    <w:p w14:paraId="28EAB1A4">
      <w:pPr>
        <w:adjustRightInd w:val="0"/>
        <w:snapToGrid w:val="0"/>
        <w:spacing w:line="360" w:lineRule="auto"/>
        <w:rPr>
          <w:sz w:val="24"/>
          <w:szCs w:val="24"/>
        </w:rPr>
      </w:pPr>
      <w:r>
        <w:rPr>
          <w:b/>
          <w:sz w:val="24"/>
          <w:szCs w:val="24"/>
        </w:rPr>
        <w:t>4</w:t>
      </w:r>
      <w:r>
        <w:rPr>
          <w:rFonts w:hint="eastAsia"/>
          <w:b/>
          <w:sz w:val="24"/>
          <w:szCs w:val="24"/>
        </w:rPr>
        <w:t>.</w:t>
      </w:r>
      <w:r>
        <w:rPr>
          <w:b/>
          <w:sz w:val="24"/>
          <w:szCs w:val="24"/>
        </w:rPr>
        <w:t>7</w:t>
      </w:r>
      <w:r>
        <w:rPr>
          <w:rFonts w:hint="eastAsia"/>
          <w:b/>
          <w:sz w:val="24"/>
          <w:szCs w:val="24"/>
        </w:rPr>
        <w:t>.</w:t>
      </w:r>
      <w:r>
        <w:rPr>
          <w:b/>
          <w:sz w:val="24"/>
          <w:szCs w:val="24"/>
        </w:rPr>
        <w:t>7</w:t>
      </w:r>
      <w:r>
        <w:rPr>
          <w:rFonts w:hint="eastAsia"/>
          <w:b/>
          <w:sz w:val="24"/>
          <w:szCs w:val="24"/>
        </w:rPr>
        <w:t xml:space="preserve"> </w:t>
      </w:r>
      <w:r>
        <w:rPr>
          <w:sz w:val="24"/>
          <w:szCs w:val="24"/>
        </w:rPr>
        <w:t xml:space="preserve"> </w:t>
      </w:r>
      <w:r>
        <w:rPr>
          <w:rFonts w:hint="eastAsia"/>
          <w:sz w:val="24"/>
          <w:szCs w:val="24"/>
        </w:rPr>
        <w:t>施工升降机搭乘人员不得超过8人。电动运输车不得驶入施工升降机。</w:t>
      </w:r>
    </w:p>
    <w:p w14:paraId="4EADB0C0">
      <w:pPr>
        <w:adjustRightInd w:val="0"/>
        <w:snapToGrid w:val="0"/>
        <w:spacing w:line="360" w:lineRule="auto"/>
        <w:rPr>
          <w:sz w:val="24"/>
          <w:szCs w:val="24"/>
        </w:rPr>
      </w:pPr>
      <w:r>
        <w:rPr>
          <w:b/>
          <w:sz w:val="24"/>
          <w:szCs w:val="24"/>
        </w:rPr>
        <w:t>4</w:t>
      </w:r>
      <w:r>
        <w:rPr>
          <w:rFonts w:hint="eastAsia"/>
          <w:b/>
          <w:sz w:val="24"/>
          <w:szCs w:val="24"/>
        </w:rPr>
        <w:t>.</w:t>
      </w:r>
      <w:r>
        <w:rPr>
          <w:b/>
          <w:sz w:val="24"/>
          <w:szCs w:val="24"/>
        </w:rPr>
        <w:t>7</w:t>
      </w:r>
      <w:r>
        <w:rPr>
          <w:rFonts w:hint="eastAsia"/>
          <w:b/>
          <w:sz w:val="24"/>
          <w:szCs w:val="24"/>
        </w:rPr>
        <w:t>.</w:t>
      </w:r>
      <w:r>
        <w:rPr>
          <w:b/>
          <w:sz w:val="24"/>
          <w:szCs w:val="24"/>
        </w:rPr>
        <w:t>8</w:t>
      </w:r>
      <w:r>
        <w:rPr>
          <w:sz w:val="24"/>
          <w:szCs w:val="24"/>
        </w:rPr>
        <w:t xml:space="preserve"> </w:t>
      </w:r>
      <w:r>
        <w:rPr>
          <w:rFonts w:hint="eastAsia"/>
          <w:sz w:val="24"/>
          <w:szCs w:val="24"/>
        </w:rPr>
        <w:t xml:space="preserve"> 施工升降机、物料提升机首层进料口应搭设防护棚，并按规定设置层站和防护门。</w:t>
      </w:r>
    </w:p>
    <w:p w14:paraId="78629D39">
      <w:pPr>
        <w:adjustRightInd w:val="0"/>
        <w:snapToGrid w:val="0"/>
        <w:spacing w:line="360" w:lineRule="auto"/>
        <w:rPr>
          <w:sz w:val="24"/>
          <w:szCs w:val="24"/>
        </w:rPr>
      </w:pPr>
      <w:r>
        <w:rPr>
          <w:b/>
          <w:sz w:val="24"/>
          <w:szCs w:val="24"/>
        </w:rPr>
        <w:t xml:space="preserve">4.7.9 </w:t>
      </w:r>
      <w:r>
        <w:rPr>
          <w:sz w:val="24"/>
          <w:szCs w:val="24"/>
        </w:rPr>
        <w:t xml:space="preserve"> </w:t>
      </w:r>
      <w:r>
        <w:rPr>
          <w:rFonts w:hint="eastAsia"/>
          <w:sz w:val="24"/>
          <w:szCs w:val="24"/>
        </w:rPr>
        <w:t>施工升降机吊笼门与楼层门之间应搭设通道平台，防护栏杆高度不低于1.2m。施工升降机使用自带翻板时，翻板的防护栏高度应不低于1.2m。</w:t>
      </w:r>
    </w:p>
    <w:p w14:paraId="7A368DFD">
      <w:pPr>
        <w:adjustRightInd w:val="0"/>
        <w:snapToGrid w:val="0"/>
        <w:spacing w:line="360" w:lineRule="auto"/>
        <w:rPr>
          <w:sz w:val="24"/>
          <w:szCs w:val="24"/>
        </w:rPr>
      </w:pPr>
      <w:r>
        <w:rPr>
          <w:b/>
          <w:sz w:val="24"/>
          <w:szCs w:val="24"/>
        </w:rPr>
        <w:t>4</w:t>
      </w:r>
      <w:r>
        <w:rPr>
          <w:rFonts w:hint="eastAsia"/>
          <w:b/>
          <w:sz w:val="24"/>
          <w:szCs w:val="24"/>
        </w:rPr>
        <w:t>.</w:t>
      </w:r>
      <w:r>
        <w:rPr>
          <w:b/>
          <w:sz w:val="24"/>
          <w:szCs w:val="24"/>
        </w:rPr>
        <w:t>7</w:t>
      </w:r>
      <w:r>
        <w:rPr>
          <w:rFonts w:hint="eastAsia"/>
          <w:b/>
          <w:sz w:val="24"/>
          <w:szCs w:val="24"/>
        </w:rPr>
        <w:t>.1</w:t>
      </w:r>
      <w:r>
        <w:rPr>
          <w:b/>
          <w:sz w:val="24"/>
          <w:szCs w:val="24"/>
        </w:rPr>
        <w:t>0</w:t>
      </w:r>
      <w:r>
        <w:rPr>
          <w:rFonts w:hint="eastAsia"/>
          <w:b/>
          <w:sz w:val="24"/>
          <w:szCs w:val="24"/>
        </w:rPr>
        <w:t xml:space="preserve"> </w:t>
      </w:r>
      <w:r>
        <w:rPr>
          <w:sz w:val="24"/>
          <w:szCs w:val="24"/>
        </w:rPr>
        <w:t xml:space="preserve"> </w:t>
      </w:r>
      <w:r>
        <w:rPr>
          <w:rFonts w:hint="eastAsia"/>
          <w:sz w:val="24"/>
          <w:szCs w:val="24"/>
        </w:rPr>
        <w:t>物料提升机应使用齿轮齿条式物料提升机，安装高度不应超过24m。物料提升机附墙架材质应与导轨架一致，附墙架与导轨架及建筑结构应采用刚性连接，不得与脚手架连接。</w:t>
      </w:r>
    </w:p>
    <w:p w14:paraId="19F20D89">
      <w:pPr>
        <w:adjustRightInd w:val="0"/>
        <w:snapToGrid w:val="0"/>
        <w:spacing w:line="360" w:lineRule="auto"/>
        <w:rPr>
          <w:sz w:val="24"/>
          <w:szCs w:val="24"/>
        </w:rPr>
      </w:pPr>
      <w:r>
        <w:rPr>
          <w:b/>
          <w:sz w:val="24"/>
          <w:szCs w:val="24"/>
        </w:rPr>
        <w:t>4</w:t>
      </w:r>
      <w:r>
        <w:rPr>
          <w:rFonts w:hint="eastAsia"/>
          <w:b/>
          <w:sz w:val="24"/>
          <w:szCs w:val="24"/>
        </w:rPr>
        <w:t>.</w:t>
      </w:r>
      <w:r>
        <w:rPr>
          <w:b/>
          <w:sz w:val="24"/>
          <w:szCs w:val="24"/>
        </w:rPr>
        <w:t>7</w:t>
      </w:r>
      <w:r>
        <w:rPr>
          <w:rFonts w:hint="eastAsia"/>
          <w:b/>
          <w:sz w:val="24"/>
          <w:szCs w:val="24"/>
        </w:rPr>
        <w:t>.1</w:t>
      </w:r>
      <w:r>
        <w:rPr>
          <w:b/>
          <w:sz w:val="24"/>
          <w:szCs w:val="24"/>
        </w:rPr>
        <w:t>1</w:t>
      </w:r>
      <w:r>
        <w:rPr>
          <w:rFonts w:hint="eastAsia"/>
          <w:b/>
          <w:sz w:val="24"/>
          <w:szCs w:val="24"/>
        </w:rPr>
        <w:t xml:space="preserve"> </w:t>
      </w:r>
      <w:r>
        <w:rPr>
          <w:sz w:val="24"/>
          <w:szCs w:val="24"/>
        </w:rPr>
        <w:t xml:space="preserve"> </w:t>
      </w:r>
      <w:r>
        <w:rPr>
          <w:rFonts w:hint="eastAsia"/>
          <w:sz w:val="24"/>
          <w:szCs w:val="24"/>
        </w:rPr>
        <w:t>施工现场木工机械、钢筋加工机械、混凝土设备、卷扬机械等应搭设防雨、防砸棚。</w:t>
      </w:r>
    </w:p>
    <w:p w14:paraId="75FE0686">
      <w:pPr>
        <w:adjustRightInd w:val="0"/>
        <w:snapToGrid w:val="0"/>
        <w:spacing w:line="360" w:lineRule="auto"/>
        <w:rPr>
          <w:sz w:val="24"/>
          <w:szCs w:val="24"/>
        </w:rPr>
      </w:pPr>
      <w:r>
        <w:rPr>
          <w:b/>
          <w:sz w:val="24"/>
          <w:szCs w:val="24"/>
        </w:rPr>
        <w:t>4</w:t>
      </w:r>
      <w:r>
        <w:rPr>
          <w:rFonts w:hint="eastAsia"/>
          <w:b/>
          <w:sz w:val="24"/>
          <w:szCs w:val="24"/>
        </w:rPr>
        <w:t>.</w:t>
      </w:r>
      <w:r>
        <w:rPr>
          <w:b/>
          <w:sz w:val="24"/>
          <w:szCs w:val="24"/>
        </w:rPr>
        <w:t>7</w:t>
      </w:r>
      <w:r>
        <w:rPr>
          <w:rFonts w:hint="eastAsia"/>
          <w:b/>
          <w:sz w:val="24"/>
          <w:szCs w:val="24"/>
        </w:rPr>
        <w:t>.1</w:t>
      </w:r>
      <w:r>
        <w:rPr>
          <w:b/>
          <w:sz w:val="24"/>
          <w:szCs w:val="24"/>
        </w:rPr>
        <w:t>2</w:t>
      </w:r>
      <w:r>
        <w:rPr>
          <w:rFonts w:hint="eastAsia"/>
          <w:sz w:val="24"/>
          <w:szCs w:val="24"/>
        </w:rPr>
        <w:t xml:space="preserve"> </w:t>
      </w:r>
      <w:r>
        <w:rPr>
          <w:sz w:val="24"/>
          <w:szCs w:val="24"/>
        </w:rPr>
        <w:t xml:space="preserve"> </w:t>
      </w:r>
      <w:r>
        <w:rPr>
          <w:rFonts w:hint="eastAsia"/>
          <w:sz w:val="24"/>
          <w:szCs w:val="24"/>
        </w:rPr>
        <w:t>蛙式打夯机、电锯、电刨、砂轮机等单向运行的机械设备应使用单向开关，操作扶手应采取绝缘措施。蛙式打夯机应两人操作，操作人员应戴绝缘手套、穿绝缘鞋。</w:t>
      </w:r>
    </w:p>
    <w:p w14:paraId="2D4D4701">
      <w:pPr>
        <w:adjustRightInd w:val="0"/>
        <w:snapToGrid w:val="0"/>
        <w:spacing w:line="360" w:lineRule="auto"/>
        <w:rPr>
          <w:sz w:val="24"/>
          <w:szCs w:val="24"/>
        </w:rPr>
      </w:pPr>
      <w:r>
        <w:rPr>
          <w:b/>
          <w:sz w:val="24"/>
          <w:szCs w:val="24"/>
        </w:rPr>
        <w:t>4</w:t>
      </w:r>
      <w:r>
        <w:rPr>
          <w:rFonts w:hint="eastAsia"/>
          <w:b/>
          <w:sz w:val="24"/>
          <w:szCs w:val="24"/>
        </w:rPr>
        <w:t>.</w:t>
      </w:r>
      <w:r>
        <w:rPr>
          <w:b/>
          <w:sz w:val="24"/>
          <w:szCs w:val="24"/>
        </w:rPr>
        <w:t>7</w:t>
      </w:r>
      <w:r>
        <w:rPr>
          <w:rFonts w:hint="eastAsia"/>
          <w:b/>
          <w:sz w:val="24"/>
          <w:szCs w:val="24"/>
        </w:rPr>
        <w:t>.</w:t>
      </w:r>
      <w:r>
        <w:rPr>
          <w:b/>
          <w:sz w:val="24"/>
          <w:szCs w:val="24"/>
        </w:rPr>
        <w:t>13</w:t>
      </w:r>
      <w:r>
        <w:rPr>
          <w:rFonts w:hint="eastAsia"/>
          <w:b/>
          <w:sz w:val="24"/>
          <w:szCs w:val="24"/>
        </w:rPr>
        <w:t xml:space="preserve"> </w:t>
      </w:r>
      <w:r>
        <w:rPr>
          <w:sz w:val="24"/>
          <w:szCs w:val="24"/>
        </w:rPr>
        <w:t xml:space="preserve"> </w:t>
      </w:r>
      <w:r>
        <w:rPr>
          <w:rFonts w:hint="eastAsia"/>
          <w:sz w:val="24"/>
          <w:szCs w:val="24"/>
        </w:rPr>
        <w:t>固定卷扬机机身应设地锚固定牢固。传动部分应安装防护罩，导向滑轮不得使用开口拉板式滑轮。</w:t>
      </w:r>
    </w:p>
    <w:p w14:paraId="08A9C2D0">
      <w:pPr>
        <w:adjustRightInd w:val="0"/>
        <w:snapToGrid w:val="0"/>
        <w:spacing w:line="360" w:lineRule="auto"/>
        <w:rPr>
          <w:sz w:val="24"/>
          <w:szCs w:val="24"/>
        </w:rPr>
      </w:pPr>
      <w:r>
        <w:rPr>
          <w:b/>
          <w:sz w:val="24"/>
          <w:szCs w:val="24"/>
        </w:rPr>
        <w:t>4</w:t>
      </w:r>
      <w:r>
        <w:rPr>
          <w:rFonts w:hint="eastAsia"/>
          <w:b/>
          <w:sz w:val="24"/>
          <w:szCs w:val="24"/>
        </w:rPr>
        <w:t>.</w:t>
      </w:r>
      <w:r>
        <w:rPr>
          <w:b/>
          <w:sz w:val="24"/>
          <w:szCs w:val="24"/>
        </w:rPr>
        <w:t>7</w:t>
      </w:r>
      <w:r>
        <w:rPr>
          <w:rFonts w:hint="eastAsia"/>
          <w:b/>
          <w:sz w:val="24"/>
          <w:szCs w:val="24"/>
        </w:rPr>
        <w:t>.</w:t>
      </w:r>
      <w:r>
        <w:rPr>
          <w:b/>
          <w:sz w:val="24"/>
          <w:szCs w:val="24"/>
        </w:rPr>
        <w:t>14</w:t>
      </w:r>
      <w:r>
        <w:rPr>
          <w:rFonts w:hint="eastAsia"/>
          <w:sz w:val="24"/>
          <w:szCs w:val="24"/>
        </w:rPr>
        <w:t xml:space="preserve"> </w:t>
      </w:r>
      <w:r>
        <w:rPr>
          <w:sz w:val="24"/>
          <w:szCs w:val="24"/>
        </w:rPr>
        <w:t xml:space="preserve"> </w:t>
      </w:r>
      <w:r>
        <w:rPr>
          <w:rFonts w:hint="eastAsia"/>
          <w:sz w:val="24"/>
          <w:szCs w:val="24"/>
        </w:rPr>
        <w:t>圆盘锯的锯盘及传动部位应安装防护罩，并设置保险挡板、分料器。长度小于0.5</w:t>
      </w:r>
      <w:r>
        <w:rPr>
          <w:sz w:val="24"/>
          <w:szCs w:val="24"/>
        </w:rPr>
        <w:t>m</w:t>
      </w:r>
      <w:r>
        <w:rPr>
          <w:rFonts w:hint="eastAsia"/>
          <w:sz w:val="24"/>
          <w:szCs w:val="24"/>
        </w:rPr>
        <w:t>、</w:t>
      </w:r>
      <w:r>
        <w:rPr>
          <w:sz w:val="24"/>
          <w:szCs w:val="24"/>
        </w:rPr>
        <w:t>厚度大于锯盘半径的木料，不得使用圆</w:t>
      </w:r>
      <w:r>
        <w:rPr>
          <w:rFonts w:hint="eastAsia"/>
          <w:sz w:val="24"/>
          <w:szCs w:val="24"/>
        </w:rPr>
        <w:t>盘</w:t>
      </w:r>
      <w:r>
        <w:rPr>
          <w:sz w:val="24"/>
          <w:szCs w:val="24"/>
        </w:rPr>
        <w:t>锯。破料锯与横截锯不得混用。</w:t>
      </w:r>
    </w:p>
    <w:p w14:paraId="73A36A0B">
      <w:pPr>
        <w:adjustRightInd w:val="0"/>
        <w:snapToGrid w:val="0"/>
        <w:spacing w:line="360" w:lineRule="auto"/>
        <w:rPr>
          <w:sz w:val="24"/>
          <w:szCs w:val="24"/>
        </w:rPr>
      </w:pPr>
      <w:r>
        <w:rPr>
          <w:b/>
          <w:sz w:val="24"/>
          <w:szCs w:val="24"/>
        </w:rPr>
        <w:t>4</w:t>
      </w:r>
      <w:r>
        <w:rPr>
          <w:rFonts w:hint="eastAsia"/>
          <w:b/>
          <w:sz w:val="24"/>
          <w:szCs w:val="24"/>
        </w:rPr>
        <w:t>.</w:t>
      </w:r>
      <w:r>
        <w:rPr>
          <w:b/>
          <w:sz w:val="24"/>
          <w:szCs w:val="24"/>
        </w:rPr>
        <w:t>7</w:t>
      </w:r>
      <w:r>
        <w:rPr>
          <w:rFonts w:hint="eastAsia"/>
          <w:b/>
          <w:sz w:val="24"/>
          <w:szCs w:val="24"/>
        </w:rPr>
        <w:t>.</w:t>
      </w:r>
      <w:r>
        <w:rPr>
          <w:b/>
          <w:sz w:val="24"/>
          <w:szCs w:val="24"/>
        </w:rPr>
        <w:t>15</w:t>
      </w:r>
      <w:r>
        <w:rPr>
          <w:rFonts w:hint="eastAsia"/>
          <w:sz w:val="24"/>
          <w:szCs w:val="24"/>
        </w:rPr>
        <w:t xml:space="preserve"> </w:t>
      </w:r>
      <w:r>
        <w:rPr>
          <w:sz w:val="24"/>
          <w:szCs w:val="24"/>
        </w:rPr>
        <w:t xml:space="preserve"> </w:t>
      </w:r>
      <w:r>
        <w:rPr>
          <w:rFonts w:hint="eastAsia"/>
          <w:sz w:val="24"/>
          <w:szCs w:val="24"/>
        </w:rPr>
        <w:t>砂轮应装设不小于</w:t>
      </w:r>
      <w:r>
        <w:rPr>
          <w:sz w:val="24"/>
          <w:szCs w:val="24"/>
        </w:rPr>
        <w:t>180</w:t>
      </w:r>
      <w:r>
        <w:rPr>
          <w:rFonts w:hint="eastAsia"/>
          <w:sz w:val="24"/>
          <w:szCs w:val="24"/>
        </w:rPr>
        <w:t>°</w:t>
      </w:r>
      <w:r>
        <w:rPr>
          <w:sz w:val="24"/>
          <w:szCs w:val="24"/>
        </w:rPr>
        <w:t>的防护罩和牢固可调整的工作托架。</w:t>
      </w:r>
    </w:p>
    <w:p w14:paraId="5F2828F2">
      <w:pPr>
        <w:adjustRightInd w:val="0"/>
        <w:snapToGrid w:val="0"/>
        <w:spacing w:line="360" w:lineRule="auto"/>
        <w:rPr>
          <w:sz w:val="24"/>
          <w:szCs w:val="24"/>
        </w:rPr>
      </w:pPr>
      <w:r>
        <w:rPr>
          <w:b/>
          <w:sz w:val="24"/>
          <w:szCs w:val="24"/>
        </w:rPr>
        <w:t>4</w:t>
      </w:r>
      <w:r>
        <w:rPr>
          <w:rFonts w:hint="eastAsia"/>
          <w:b/>
          <w:sz w:val="24"/>
          <w:szCs w:val="24"/>
        </w:rPr>
        <w:t>.</w:t>
      </w:r>
      <w:r>
        <w:rPr>
          <w:b/>
          <w:sz w:val="24"/>
          <w:szCs w:val="24"/>
        </w:rPr>
        <w:t>7</w:t>
      </w:r>
      <w:r>
        <w:rPr>
          <w:rFonts w:hint="eastAsia"/>
          <w:b/>
          <w:sz w:val="24"/>
          <w:szCs w:val="24"/>
        </w:rPr>
        <w:t>.</w:t>
      </w:r>
      <w:r>
        <w:rPr>
          <w:b/>
          <w:sz w:val="24"/>
          <w:szCs w:val="24"/>
        </w:rPr>
        <w:t>16</w:t>
      </w:r>
      <w:r>
        <w:rPr>
          <w:rFonts w:hint="eastAsia"/>
          <w:b/>
          <w:sz w:val="24"/>
          <w:szCs w:val="24"/>
        </w:rPr>
        <w:t xml:space="preserve"> </w:t>
      </w:r>
      <w:r>
        <w:rPr>
          <w:sz w:val="24"/>
          <w:szCs w:val="24"/>
        </w:rPr>
        <w:t xml:space="preserve"> </w:t>
      </w:r>
      <w:r>
        <w:rPr>
          <w:rFonts w:hint="eastAsia"/>
          <w:sz w:val="24"/>
          <w:szCs w:val="24"/>
        </w:rPr>
        <w:t>平面刨、手压刨安全防护装置应齐全有效。</w:t>
      </w:r>
    </w:p>
    <w:p w14:paraId="22B7BCFC">
      <w:pPr>
        <w:adjustRightInd w:val="0"/>
        <w:snapToGrid w:val="0"/>
        <w:spacing w:line="360" w:lineRule="auto"/>
        <w:rPr>
          <w:sz w:val="24"/>
          <w:szCs w:val="24"/>
        </w:rPr>
      </w:pPr>
      <w:r>
        <w:rPr>
          <w:b/>
          <w:sz w:val="24"/>
          <w:szCs w:val="24"/>
        </w:rPr>
        <w:t>4</w:t>
      </w:r>
      <w:r>
        <w:rPr>
          <w:rFonts w:hint="eastAsia"/>
          <w:b/>
          <w:sz w:val="24"/>
          <w:szCs w:val="24"/>
        </w:rPr>
        <w:t>.</w:t>
      </w:r>
      <w:r>
        <w:rPr>
          <w:b/>
          <w:sz w:val="24"/>
          <w:szCs w:val="24"/>
        </w:rPr>
        <w:t>7</w:t>
      </w:r>
      <w:r>
        <w:rPr>
          <w:rFonts w:hint="eastAsia"/>
          <w:b/>
          <w:sz w:val="24"/>
          <w:szCs w:val="24"/>
        </w:rPr>
        <w:t>.</w:t>
      </w:r>
      <w:r>
        <w:rPr>
          <w:b/>
          <w:sz w:val="24"/>
          <w:szCs w:val="24"/>
        </w:rPr>
        <w:t>17</w:t>
      </w:r>
      <w:r>
        <w:rPr>
          <w:rFonts w:hint="eastAsia"/>
          <w:sz w:val="24"/>
          <w:szCs w:val="24"/>
        </w:rPr>
        <w:t xml:space="preserve">  机械设备操作应专机专人，机械设备的维护保养应执行清洁、润滑、调整、紧固、防腐的“十字作业法”。</w:t>
      </w:r>
    </w:p>
    <w:p w14:paraId="7DD9C6B1">
      <w:pPr>
        <w:pStyle w:val="3"/>
        <w:rPr>
          <w:rFonts w:ascii="Times New Roman" w:hAnsi="Times New Roman" w:cs="Times New Roman"/>
          <w:color w:val="auto"/>
          <w:sz w:val="24"/>
          <w:szCs w:val="24"/>
        </w:rPr>
      </w:pPr>
      <w:bookmarkStart w:id="106" w:name="_Toc18686"/>
      <w:bookmarkStart w:id="107" w:name="_Toc27410"/>
      <w:r>
        <w:rPr>
          <w:rFonts w:ascii="Times New Roman" w:hAnsi="Times New Roman" w:cs="Times New Roman"/>
          <w:color w:val="auto"/>
          <w:sz w:val="24"/>
          <w:szCs w:val="24"/>
        </w:rPr>
        <w:t>4.8  有限空间</w:t>
      </w:r>
      <w:r>
        <w:rPr>
          <w:rFonts w:hint="eastAsia" w:ascii="Times New Roman" w:hAnsi="Times New Roman" w:cs="Times New Roman"/>
          <w:color w:val="auto"/>
          <w:sz w:val="24"/>
          <w:szCs w:val="24"/>
        </w:rPr>
        <w:t>作业</w:t>
      </w:r>
      <w:r>
        <w:rPr>
          <w:rFonts w:ascii="Times New Roman" w:hAnsi="Times New Roman" w:cs="Times New Roman"/>
          <w:color w:val="auto"/>
          <w:sz w:val="24"/>
          <w:szCs w:val="24"/>
        </w:rPr>
        <w:t>安全防护</w:t>
      </w:r>
      <w:bookmarkEnd w:id="106"/>
      <w:bookmarkEnd w:id="107"/>
    </w:p>
    <w:p w14:paraId="26A86884">
      <w:pPr>
        <w:adjustRightInd w:val="0"/>
        <w:snapToGrid w:val="0"/>
        <w:spacing w:line="360" w:lineRule="auto"/>
        <w:rPr>
          <w:sz w:val="24"/>
          <w:szCs w:val="24"/>
        </w:rPr>
      </w:pPr>
      <w:r>
        <w:rPr>
          <w:b/>
          <w:sz w:val="24"/>
          <w:szCs w:val="24"/>
        </w:rPr>
        <w:t>4</w:t>
      </w:r>
      <w:r>
        <w:rPr>
          <w:rFonts w:hint="eastAsia"/>
          <w:b/>
          <w:sz w:val="24"/>
          <w:szCs w:val="24"/>
        </w:rPr>
        <w:t>.</w:t>
      </w:r>
      <w:r>
        <w:rPr>
          <w:b/>
          <w:sz w:val="24"/>
          <w:szCs w:val="24"/>
        </w:rPr>
        <w:t>8</w:t>
      </w:r>
      <w:r>
        <w:rPr>
          <w:rFonts w:hint="eastAsia"/>
          <w:b/>
          <w:sz w:val="24"/>
          <w:szCs w:val="24"/>
        </w:rPr>
        <w:t>.1</w:t>
      </w:r>
      <w:r>
        <w:rPr>
          <w:rFonts w:hint="eastAsia"/>
          <w:sz w:val="24"/>
          <w:szCs w:val="24"/>
        </w:rPr>
        <w:t xml:space="preserve">  施工</w:t>
      </w:r>
      <w:r>
        <w:rPr>
          <w:sz w:val="24"/>
          <w:szCs w:val="24"/>
        </w:rPr>
        <w:t>单位应在有限空间作业前，对有限空间作业环境及作业过程进行风险评估，分析可能存在的危险因素，并编制专项施工方案。</w:t>
      </w:r>
    </w:p>
    <w:p w14:paraId="25BE5F4E">
      <w:pPr>
        <w:adjustRightInd w:val="0"/>
        <w:snapToGrid w:val="0"/>
        <w:spacing w:line="360" w:lineRule="auto"/>
        <w:rPr>
          <w:sz w:val="24"/>
          <w:szCs w:val="24"/>
        </w:rPr>
      </w:pPr>
      <w:r>
        <w:rPr>
          <w:b/>
          <w:sz w:val="24"/>
          <w:szCs w:val="24"/>
        </w:rPr>
        <w:t>4</w:t>
      </w:r>
      <w:r>
        <w:rPr>
          <w:rFonts w:hint="eastAsia"/>
          <w:b/>
          <w:sz w:val="24"/>
          <w:szCs w:val="24"/>
        </w:rPr>
        <w:t>.</w:t>
      </w:r>
      <w:r>
        <w:rPr>
          <w:b/>
          <w:sz w:val="24"/>
          <w:szCs w:val="24"/>
        </w:rPr>
        <w:t>8</w:t>
      </w:r>
      <w:r>
        <w:rPr>
          <w:rFonts w:hint="eastAsia"/>
          <w:b/>
          <w:sz w:val="24"/>
          <w:szCs w:val="24"/>
        </w:rPr>
        <w:t>.</w:t>
      </w:r>
      <w:r>
        <w:rPr>
          <w:b/>
          <w:sz w:val="24"/>
          <w:szCs w:val="24"/>
        </w:rPr>
        <w:t xml:space="preserve">2  </w:t>
      </w:r>
      <w:r>
        <w:rPr>
          <w:sz w:val="24"/>
          <w:szCs w:val="24"/>
        </w:rPr>
        <w:t>有限空间出入口等周边醒目位置应设置明显的安全警示标志。多个有限空间集中布置场所，应在场所显著位置设置有限空间作业安全风险告知牌。</w:t>
      </w:r>
    </w:p>
    <w:p w14:paraId="135AF487">
      <w:pPr>
        <w:adjustRightInd w:val="0"/>
        <w:snapToGrid w:val="0"/>
        <w:spacing w:line="360" w:lineRule="auto"/>
        <w:rPr>
          <w:sz w:val="24"/>
          <w:szCs w:val="24"/>
        </w:rPr>
      </w:pPr>
      <w:r>
        <w:rPr>
          <w:b/>
          <w:sz w:val="24"/>
          <w:szCs w:val="24"/>
        </w:rPr>
        <w:t>4</w:t>
      </w:r>
      <w:r>
        <w:rPr>
          <w:rFonts w:hint="eastAsia"/>
          <w:b/>
          <w:sz w:val="24"/>
          <w:szCs w:val="24"/>
        </w:rPr>
        <w:t>.</w:t>
      </w:r>
      <w:r>
        <w:rPr>
          <w:b/>
          <w:sz w:val="24"/>
          <w:szCs w:val="24"/>
        </w:rPr>
        <w:t>8</w:t>
      </w:r>
      <w:r>
        <w:rPr>
          <w:rFonts w:hint="eastAsia"/>
          <w:b/>
          <w:sz w:val="24"/>
          <w:szCs w:val="24"/>
        </w:rPr>
        <w:t>.</w:t>
      </w:r>
      <w:r>
        <w:rPr>
          <w:b/>
          <w:sz w:val="24"/>
          <w:szCs w:val="24"/>
        </w:rPr>
        <w:t xml:space="preserve">3  </w:t>
      </w:r>
      <w:r>
        <w:rPr>
          <w:rFonts w:hint="eastAsia"/>
          <w:sz w:val="24"/>
          <w:szCs w:val="24"/>
        </w:rPr>
        <w:t>施工单位在作业前应进行有限空间作业审批。</w:t>
      </w:r>
    </w:p>
    <w:p w14:paraId="23639392">
      <w:pPr>
        <w:adjustRightInd w:val="0"/>
        <w:snapToGrid w:val="0"/>
        <w:spacing w:line="360" w:lineRule="auto"/>
        <w:rPr>
          <w:sz w:val="24"/>
          <w:szCs w:val="24"/>
        </w:rPr>
      </w:pPr>
      <w:r>
        <w:rPr>
          <w:b/>
          <w:sz w:val="24"/>
          <w:szCs w:val="24"/>
        </w:rPr>
        <w:t>4</w:t>
      </w:r>
      <w:r>
        <w:rPr>
          <w:rFonts w:hint="eastAsia"/>
          <w:b/>
          <w:sz w:val="24"/>
          <w:szCs w:val="24"/>
        </w:rPr>
        <w:t>.</w:t>
      </w:r>
      <w:r>
        <w:rPr>
          <w:b/>
          <w:sz w:val="24"/>
          <w:szCs w:val="24"/>
        </w:rPr>
        <w:t>8</w:t>
      </w:r>
      <w:r>
        <w:rPr>
          <w:rFonts w:hint="eastAsia"/>
          <w:b/>
          <w:sz w:val="24"/>
          <w:szCs w:val="24"/>
        </w:rPr>
        <w:t>.</w:t>
      </w:r>
      <w:r>
        <w:rPr>
          <w:b/>
          <w:sz w:val="24"/>
          <w:szCs w:val="24"/>
        </w:rPr>
        <w:t>4</w:t>
      </w:r>
      <w:r>
        <w:rPr>
          <w:rFonts w:hint="eastAsia"/>
          <w:sz w:val="24"/>
          <w:szCs w:val="24"/>
        </w:rPr>
        <w:t xml:space="preserve"> </w:t>
      </w:r>
      <w:r>
        <w:rPr>
          <w:sz w:val="24"/>
          <w:szCs w:val="24"/>
        </w:rPr>
        <w:t xml:space="preserve"> </w:t>
      </w:r>
      <w:r>
        <w:rPr>
          <w:rFonts w:hint="eastAsia"/>
          <w:sz w:val="24"/>
          <w:szCs w:val="24"/>
        </w:rPr>
        <w:t>有限空间作业应执行“先通风、再检测、后作业”的原则，并应采取强制性持续通风措施，保持空气流通。地下有限空间内存在积水、污物的，应待气体充分释放后再进行检测。</w:t>
      </w:r>
    </w:p>
    <w:p w14:paraId="3E21082E">
      <w:pPr>
        <w:adjustRightInd w:val="0"/>
        <w:snapToGrid w:val="0"/>
        <w:spacing w:line="360" w:lineRule="auto"/>
        <w:rPr>
          <w:sz w:val="24"/>
          <w:szCs w:val="24"/>
        </w:rPr>
      </w:pPr>
      <w:r>
        <w:rPr>
          <w:b/>
          <w:sz w:val="24"/>
          <w:szCs w:val="24"/>
        </w:rPr>
        <w:t>4</w:t>
      </w:r>
      <w:r>
        <w:rPr>
          <w:rFonts w:hint="eastAsia"/>
          <w:b/>
          <w:sz w:val="24"/>
          <w:szCs w:val="24"/>
        </w:rPr>
        <w:t>.</w:t>
      </w:r>
      <w:r>
        <w:rPr>
          <w:b/>
          <w:sz w:val="24"/>
          <w:szCs w:val="24"/>
        </w:rPr>
        <w:t>8</w:t>
      </w:r>
      <w:r>
        <w:rPr>
          <w:rFonts w:hint="eastAsia"/>
          <w:b/>
          <w:sz w:val="24"/>
          <w:szCs w:val="24"/>
        </w:rPr>
        <w:t>.</w:t>
      </w:r>
      <w:r>
        <w:rPr>
          <w:b/>
          <w:sz w:val="24"/>
          <w:szCs w:val="24"/>
        </w:rPr>
        <w:t>5</w:t>
      </w:r>
      <w:r>
        <w:rPr>
          <w:rFonts w:hint="eastAsia"/>
          <w:sz w:val="24"/>
          <w:szCs w:val="24"/>
        </w:rPr>
        <w:t xml:space="preserve">  有限空间作业通风</w:t>
      </w:r>
      <w:r>
        <w:rPr>
          <w:sz w:val="24"/>
          <w:szCs w:val="24"/>
        </w:rPr>
        <w:t>应向有限空间内输送清洁空气，不应使用纯氧或富氧空气。</w:t>
      </w:r>
    </w:p>
    <w:p w14:paraId="144392C6">
      <w:pPr>
        <w:adjustRightInd w:val="0"/>
        <w:snapToGrid w:val="0"/>
        <w:spacing w:line="360" w:lineRule="auto"/>
        <w:rPr>
          <w:sz w:val="24"/>
          <w:szCs w:val="24"/>
        </w:rPr>
      </w:pPr>
      <w:r>
        <w:rPr>
          <w:b/>
          <w:sz w:val="24"/>
          <w:szCs w:val="24"/>
        </w:rPr>
        <w:t>4</w:t>
      </w:r>
      <w:r>
        <w:rPr>
          <w:rFonts w:hint="eastAsia"/>
          <w:b/>
          <w:sz w:val="24"/>
          <w:szCs w:val="24"/>
        </w:rPr>
        <w:t>.</w:t>
      </w:r>
      <w:r>
        <w:rPr>
          <w:b/>
          <w:sz w:val="24"/>
          <w:szCs w:val="24"/>
        </w:rPr>
        <w:t>8</w:t>
      </w:r>
      <w:r>
        <w:rPr>
          <w:rFonts w:hint="eastAsia"/>
          <w:b/>
          <w:sz w:val="24"/>
          <w:szCs w:val="24"/>
        </w:rPr>
        <w:t>.</w:t>
      </w:r>
      <w:r>
        <w:rPr>
          <w:b/>
          <w:sz w:val="24"/>
          <w:szCs w:val="24"/>
        </w:rPr>
        <w:t xml:space="preserve">6  </w:t>
      </w:r>
      <w:r>
        <w:rPr>
          <w:sz w:val="24"/>
          <w:szCs w:val="24"/>
        </w:rPr>
        <w:t>有限空间仅有1个出入口时，应将风管置于有限空间底部进行通风，且不应触及底部；有限空间有2个或2个以上出入口、通风口时，应在临近作业人员处进行送风，远离作业人处进行排风。</w:t>
      </w:r>
    </w:p>
    <w:p w14:paraId="7F626308">
      <w:pPr>
        <w:adjustRightInd w:val="0"/>
        <w:snapToGrid w:val="0"/>
        <w:spacing w:line="360" w:lineRule="auto"/>
        <w:rPr>
          <w:sz w:val="24"/>
          <w:szCs w:val="24"/>
        </w:rPr>
      </w:pPr>
      <w:r>
        <w:rPr>
          <w:b/>
          <w:sz w:val="24"/>
          <w:szCs w:val="24"/>
        </w:rPr>
        <w:t>4</w:t>
      </w:r>
      <w:r>
        <w:rPr>
          <w:rFonts w:hint="eastAsia"/>
          <w:b/>
          <w:sz w:val="24"/>
          <w:szCs w:val="24"/>
        </w:rPr>
        <w:t>.</w:t>
      </w:r>
      <w:r>
        <w:rPr>
          <w:b/>
          <w:sz w:val="24"/>
          <w:szCs w:val="24"/>
        </w:rPr>
        <w:t>8</w:t>
      </w:r>
      <w:r>
        <w:rPr>
          <w:rFonts w:hint="eastAsia"/>
          <w:b/>
          <w:sz w:val="24"/>
          <w:szCs w:val="24"/>
        </w:rPr>
        <w:t>.</w:t>
      </w:r>
      <w:r>
        <w:rPr>
          <w:b/>
          <w:sz w:val="24"/>
          <w:szCs w:val="24"/>
        </w:rPr>
        <w:t xml:space="preserve">7  </w:t>
      </w:r>
      <w:r>
        <w:rPr>
          <w:rFonts w:hint="eastAsia"/>
          <w:sz w:val="24"/>
          <w:szCs w:val="24"/>
        </w:rPr>
        <w:t>检测人员应处于安全环境，应</w:t>
      </w:r>
      <w:r>
        <w:rPr>
          <w:sz w:val="24"/>
          <w:szCs w:val="24"/>
        </w:rPr>
        <w:t>在有限空间外上风侧使用泵吸式气体检测报警仪进行检测。若受出入口周边区域限制，检测人员可能受到内部涌出气流冲击时，应佩戴相应的呼吸防护用品。</w:t>
      </w:r>
    </w:p>
    <w:p w14:paraId="7C7E3771">
      <w:pPr>
        <w:adjustRightInd w:val="0"/>
        <w:snapToGrid w:val="0"/>
        <w:spacing w:line="360" w:lineRule="auto"/>
        <w:rPr>
          <w:sz w:val="24"/>
          <w:szCs w:val="24"/>
        </w:rPr>
      </w:pPr>
      <w:r>
        <w:rPr>
          <w:b/>
          <w:sz w:val="24"/>
          <w:szCs w:val="24"/>
        </w:rPr>
        <w:t>4</w:t>
      </w:r>
      <w:r>
        <w:rPr>
          <w:rFonts w:hint="eastAsia"/>
          <w:b/>
          <w:sz w:val="24"/>
          <w:szCs w:val="24"/>
        </w:rPr>
        <w:t>.</w:t>
      </w:r>
      <w:r>
        <w:rPr>
          <w:b/>
          <w:sz w:val="24"/>
          <w:szCs w:val="24"/>
        </w:rPr>
        <w:t>8</w:t>
      </w:r>
      <w:r>
        <w:rPr>
          <w:rFonts w:hint="eastAsia"/>
          <w:b/>
          <w:sz w:val="24"/>
          <w:szCs w:val="24"/>
        </w:rPr>
        <w:t>.</w:t>
      </w:r>
      <w:r>
        <w:rPr>
          <w:b/>
          <w:sz w:val="24"/>
          <w:szCs w:val="24"/>
        </w:rPr>
        <w:t xml:space="preserve">8  </w:t>
      </w:r>
      <w:r>
        <w:rPr>
          <w:sz w:val="24"/>
          <w:szCs w:val="24"/>
        </w:rPr>
        <w:t>施工单位检测应从入口开始，沿作业人员进入有限空间的方向进行。竖直方向由上至下、水平方向由近至远。检测点的设置应符合现行国家标准《</w:t>
      </w:r>
      <w:r>
        <w:rPr>
          <w:rFonts w:hint="eastAsia"/>
          <w:sz w:val="24"/>
          <w:szCs w:val="24"/>
        </w:rPr>
        <w:t>有限空间作业安全技术规范</w:t>
      </w:r>
      <w:r>
        <w:rPr>
          <w:sz w:val="24"/>
          <w:szCs w:val="24"/>
        </w:rPr>
        <w:t>》</w:t>
      </w:r>
      <w:r>
        <w:rPr>
          <w:rFonts w:hint="eastAsia"/>
          <w:sz w:val="24"/>
          <w:szCs w:val="24"/>
        </w:rPr>
        <w:t>G</w:t>
      </w:r>
      <w:r>
        <w:rPr>
          <w:sz w:val="24"/>
          <w:szCs w:val="24"/>
        </w:rPr>
        <w:t>B</w:t>
      </w:r>
      <w:r>
        <w:rPr>
          <w:rFonts w:hint="eastAsia"/>
          <w:sz w:val="24"/>
          <w:szCs w:val="24"/>
        </w:rPr>
        <w:t xml:space="preserve"> </w:t>
      </w:r>
      <w:r>
        <w:rPr>
          <w:sz w:val="24"/>
          <w:szCs w:val="24"/>
        </w:rPr>
        <w:t>46768的规定。</w:t>
      </w:r>
    </w:p>
    <w:p w14:paraId="1121EEE7">
      <w:pPr>
        <w:adjustRightInd w:val="0"/>
        <w:snapToGrid w:val="0"/>
        <w:spacing w:line="360" w:lineRule="auto"/>
        <w:rPr>
          <w:sz w:val="24"/>
          <w:szCs w:val="24"/>
        </w:rPr>
      </w:pPr>
      <w:r>
        <w:rPr>
          <w:b/>
          <w:sz w:val="24"/>
          <w:szCs w:val="24"/>
        </w:rPr>
        <w:t>4</w:t>
      </w:r>
      <w:r>
        <w:rPr>
          <w:rFonts w:hint="eastAsia"/>
          <w:b/>
          <w:sz w:val="24"/>
          <w:szCs w:val="24"/>
        </w:rPr>
        <w:t>.</w:t>
      </w:r>
      <w:r>
        <w:rPr>
          <w:b/>
          <w:sz w:val="24"/>
          <w:szCs w:val="24"/>
        </w:rPr>
        <w:t>8</w:t>
      </w:r>
      <w:r>
        <w:rPr>
          <w:rFonts w:hint="eastAsia"/>
          <w:b/>
          <w:sz w:val="24"/>
          <w:szCs w:val="24"/>
        </w:rPr>
        <w:t>.</w:t>
      </w:r>
      <w:r>
        <w:rPr>
          <w:b/>
          <w:sz w:val="24"/>
          <w:szCs w:val="24"/>
        </w:rPr>
        <w:t>9</w:t>
      </w:r>
      <w:r>
        <w:rPr>
          <w:rFonts w:hint="eastAsia"/>
          <w:sz w:val="24"/>
          <w:szCs w:val="24"/>
        </w:rPr>
        <w:t xml:space="preserve">  有限空间作业时应封闭作业区域，由专人全程持续监护，与作业人员进行有效信息沟通，在紧急情况时向作业者发出撤离警告，监护人员应持有限空间特种作业操作证书上岗作业。</w:t>
      </w:r>
    </w:p>
    <w:p w14:paraId="5DD6C957">
      <w:pPr>
        <w:adjustRightInd w:val="0"/>
        <w:snapToGrid w:val="0"/>
        <w:spacing w:line="360" w:lineRule="auto"/>
        <w:rPr>
          <w:sz w:val="24"/>
          <w:szCs w:val="24"/>
        </w:rPr>
      </w:pPr>
      <w:r>
        <w:rPr>
          <w:b/>
          <w:sz w:val="24"/>
          <w:szCs w:val="24"/>
        </w:rPr>
        <w:t>4</w:t>
      </w:r>
      <w:r>
        <w:rPr>
          <w:rFonts w:hint="eastAsia"/>
          <w:b/>
          <w:sz w:val="24"/>
          <w:szCs w:val="24"/>
        </w:rPr>
        <w:t>.</w:t>
      </w:r>
      <w:r>
        <w:rPr>
          <w:b/>
          <w:sz w:val="24"/>
          <w:szCs w:val="24"/>
        </w:rPr>
        <w:t>8</w:t>
      </w:r>
      <w:r>
        <w:rPr>
          <w:rFonts w:hint="eastAsia"/>
          <w:b/>
          <w:sz w:val="24"/>
          <w:szCs w:val="24"/>
        </w:rPr>
        <w:t>.</w:t>
      </w:r>
      <w:r>
        <w:rPr>
          <w:b/>
          <w:sz w:val="24"/>
          <w:szCs w:val="24"/>
        </w:rPr>
        <w:t xml:space="preserve">10  </w:t>
      </w:r>
      <w:r>
        <w:rPr>
          <w:sz w:val="24"/>
          <w:szCs w:val="24"/>
        </w:rPr>
        <w:t>有限空间作业过程中应持续通风，并对作业人员活动区域进行实时气体监测，每15min记录1个瞬时值。</w:t>
      </w:r>
    </w:p>
    <w:p w14:paraId="13F6FC01">
      <w:pPr>
        <w:adjustRightInd w:val="0"/>
        <w:snapToGrid w:val="0"/>
        <w:spacing w:line="360" w:lineRule="auto"/>
        <w:rPr>
          <w:sz w:val="24"/>
          <w:szCs w:val="24"/>
        </w:rPr>
      </w:pPr>
      <w:r>
        <w:rPr>
          <w:b/>
          <w:sz w:val="24"/>
          <w:szCs w:val="24"/>
        </w:rPr>
        <w:t>4</w:t>
      </w:r>
      <w:r>
        <w:rPr>
          <w:rFonts w:hint="eastAsia"/>
          <w:b/>
          <w:sz w:val="24"/>
          <w:szCs w:val="24"/>
        </w:rPr>
        <w:t>.</w:t>
      </w:r>
      <w:r>
        <w:rPr>
          <w:b/>
          <w:sz w:val="24"/>
          <w:szCs w:val="24"/>
        </w:rPr>
        <w:t>8</w:t>
      </w:r>
      <w:r>
        <w:rPr>
          <w:rFonts w:hint="eastAsia"/>
          <w:b/>
          <w:sz w:val="24"/>
          <w:szCs w:val="24"/>
        </w:rPr>
        <w:t>.</w:t>
      </w:r>
      <w:r>
        <w:rPr>
          <w:b/>
          <w:sz w:val="24"/>
          <w:szCs w:val="24"/>
        </w:rPr>
        <w:t xml:space="preserve">11  </w:t>
      </w:r>
      <w:r>
        <w:rPr>
          <w:sz w:val="24"/>
          <w:szCs w:val="24"/>
        </w:rPr>
        <w:t>有限空间作业中断期间，应在有限空间出入口设置警示标志，并采取防止人员误入的临时封闭措施。作业人员再次进入有限空间作业前，应重新进行气体检测和作业环境判定。</w:t>
      </w:r>
    </w:p>
    <w:p w14:paraId="052E6D56">
      <w:pPr>
        <w:adjustRightInd w:val="0"/>
        <w:snapToGrid w:val="0"/>
        <w:spacing w:line="360" w:lineRule="auto"/>
        <w:rPr>
          <w:sz w:val="24"/>
          <w:szCs w:val="24"/>
        </w:rPr>
      </w:pPr>
      <w:r>
        <w:rPr>
          <w:b/>
          <w:sz w:val="24"/>
          <w:szCs w:val="24"/>
        </w:rPr>
        <w:t>4</w:t>
      </w:r>
      <w:r>
        <w:rPr>
          <w:rFonts w:hint="eastAsia"/>
          <w:b/>
          <w:sz w:val="24"/>
          <w:szCs w:val="24"/>
        </w:rPr>
        <w:t>.</w:t>
      </w:r>
      <w:r>
        <w:rPr>
          <w:b/>
          <w:sz w:val="24"/>
          <w:szCs w:val="24"/>
        </w:rPr>
        <w:t>8</w:t>
      </w:r>
      <w:r>
        <w:rPr>
          <w:rFonts w:hint="eastAsia"/>
          <w:b/>
          <w:sz w:val="24"/>
          <w:szCs w:val="24"/>
        </w:rPr>
        <w:t>.</w:t>
      </w:r>
      <w:r>
        <w:rPr>
          <w:b/>
          <w:sz w:val="24"/>
          <w:szCs w:val="24"/>
        </w:rPr>
        <w:t>12</w:t>
      </w:r>
      <w:r>
        <w:rPr>
          <w:rFonts w:hint="eastAsia"/>
          <w:b/>
          <w:sz w:val="24"/>
          <w:szCs w:val="24"/>
        </w:rPr>
        <w:t xml:space="preserve">  </w:t>
      </w:r>
      <w:r>
        <w:rPr>
          <w:rFonts w:hint="eastAsia"/>
          <w:sz w:val="24"/>
          <w:szCs w:val="24"/>
        </w:rPr>
        <w:t>存在可燃性气体的作业场所，不得使用明火，应使用防爆型安全防护设备和防静电工作服。存在粉尘爆炸危险的有限空间，应符合现行国家标准《粉尘防爆安全规程》GB 15577的规定。存在爆炸危险的，相应的设备设施应符合现行国家标准《爆炸性环境 第1部分：设备 通用要求》GB</w:t>
      </w:r>
      <w:r>
        <w:rPr>
          <w:sz w:val="24"/>
          <w:szCs w:val="24"/>
        </w:rPr>
        <w:t>/T</w:t>
      </w:r>
      <w:r>
        <w:rPr>
          <w:rFonts w:hint="eastAsia"/>
          <w:sz w:val="24"/>
          <w:szCs w:val="24"/>
        </w:rPr>
        <w:t xml:space="preserve"> 3836.1的规定。</w:t>
      </w:r>
    </w:p>
    <w:p w14:paraId="61252DD8">
      <w:pPr>
        <w:adjustRightInd w:val="0"/>
        <w:snapToGrid w:val="0"/>
        <w:spacing w:line="360" w:lineRule="auto"/>
        <w:rPr>
          <w:sz w:val="24"/>
          <w:szCs w:val="24"/>
        </w:rPr>
      </w:pPr>
      <w:r>
        <w:rPr>
          <w:b/>
          <w:sz w:val="24"/>
          <w:szCs w:val="24"/>
        </w:rPr>
        <w:t>4</w:t>
      </w:r>
      <w:r>
        <w:rPr>
          <w:rFonts w:hint="eastAsia"/>
          <w:b/>
          <w:sz w:val="24"/>
          <w:szCs w:val="24"/>
        </w:rPr>
        <w:t>.</w:t>
      </w:r>
      <w:r>
        <w:rPr>
          <w:b/>
          <w:sz w:val="24"/>
          <w:szCs w:val="24"/>
        </w:rPr>
        <w:t>8</w:t>
      </w:r>
      <w:r>
        <w:rPr>
          <w:rFonts w:hint="eastAsia"/>
          <w:b/>
          <w:sz w:val="24"/>
          <w:szCs w:val="24"/>
        </w:rPr>
        <w:t>.1</w:t>
      </w:r>
      <w:r>
        <w:rPr>
          <w:b/>
          <w:sz w:val="24"/>
          <w:szCs w:val="24"/>
        </w:rPr>
        <w:t>3</w:t>
      </w:r>
      <w:r>
        <w:rPr>
          <w:rFonts w:hint="eastAsia"/>
          <w:sz w:val="24"/>
          <w:szCs w:val="24"/>
        </w:rPr>
        <w:t xml:space="preserve"> </w:t>
      </w:r>
      <w:r>
        <w:rPr>
          <w:sz w:val="24"/>
          <w:szCs w:val="24"/>
        </w:rPr>
        <w:t xml:space="preserve"> 施工单位应配备有限空间作业安全防护和应急救援设备设施，并确保设备设施的完好、有效。</w:t>
      </w:r>
    </w:p>
    <w:p w14:paraId="6A5C9ABF">
      <w:pPr>
        <w:adjustRightInd w:val="0"/>
        <w:snapToGrid w:val="0"/>
        <w:spacing w:line="360" w:lineRule="auto"/>
        <w:rPr>
          <w:sz w:val="24"/>
          <w:szCs w:val="24"/>
        </w:rPr>
      </w:pPr>
      <w:r>
        <w:rPr>
          <w:b/>
          <w:sz w:val="24"/>
          <w:szCs w:val="24"/>
        </w:rPr>
        <w:t>4</w:t>
      </w:r>
      <w:r>
        <w:rPr>
          <w:rFonts w:hint="eastAsia"/>
          <w:b/>
          <w:sz w:val="24"/>
          <w:szCs w:val="24"/>
        </w:rPr>
        <w:t>.</w:t>
      </w:r>
      <w:r>
        <w:rPr>
          <w:b/>
          <w:sz w:val="24"/>
          <w:szCs w:val="24"/>
        </w:rPr>
        <w:t>8</w:t>
      </w:r>
      <w:r>
        <w:rPr>
          <w:rFonts w:hint="eastAsia"/>
          <w:b/>
          <w:sz w:val="24"/>
          <w:szCs w:val="24"/>
        </w:rPr>
        <w:t>.</w:t>
      </w:r>
      <w:r>
        <w:rPr>
          <w:b/>
          <w:sz w:val="24"/>
          <w:szCs w:val="24"/>
        </w:rPr>
        <w:t xml:space="preserve">14  </w:t>
      </w:r>
      <w:r>
        <w:rPr>
          <w:rFonts w:hint="eastAsia"/>
          <w:sz w:val="24"/>
          <w:szCs w:val="24"/>
        </w:rPr>
        <w:t>施工</w:t>
      </w:r>
      <w:r>
        <w:rPr>
          <w:sz w:val="24"/>
          <w:szCs w:val="24"/>
        </w:rPr>
        <w:t>单位应编制有限空间作业事故专项应急预案或现场处置方案，</w:t>
      </w:r>
      <w:r>
        <w:rPr>
          <w:rFonts w:hint="eastAsia"/>
          <w:sz w:val="24"/>
          <w:szCs w:val="24"/>
        </w:rPr>
        <w:t>定期</w:t>
      </w:r>
      <w:r>
        <w:rPr>
          <w:sz w:val="24"/>
          <w:szCs w:val="24"/>
        </w:rPr>
        <w:t>应组织有限空间作业事故应急预案演练，并对演练效果进行评估。</w:t>
      </w:r>
    </w:p>
    <w:p w14:paraId="7DA98513">
      <w:pPr>
        <w:pStyle w:val="3"/>
        <w:rPr>
          <w:rFonts w:ascii="Times New Roman" w:hAnsi="Times New Roman" w:cs="Times New Roman"/>
          <w:color w:val="auto"/>
          <w:sz w:val="24"/>
          <w:szCs w:val="24"/>
        </w:rPr>
      </w:pPr>
      <w:bookmarkStart w:id="108" w:name="_Toc30168"/>
      <w:bookmarkStart w:id="109" w:name="_Toc27284"/>
      <w:r>
        <w:rPr>
          <w:rFonts w:ascii="Times New Roman" w:hAnsi="Times New Roman" w:cs="Times New Roman"/>
          <w:color w:val="auto"/>
          <w:sz w:val="24"/>
          <w:szCs w:val="24"/>
        </w:rPr>
        <w:t>4.9  拆除</w:t>
      </w:r>
      <w:r>
        <w:rPr>
          <w:rFonts w:hint="eastAsia" w:ascii="Times New Roman" w:hAnsi="Times New Roman" w:cs="Times New Roman"/>
          <w:color w:val="auto"/>
          <w:sz w:val="24"/>
          <w:szCs w:val="24"/>
        </w:rPr>
        <w:t>作业</w:t>
      </w:r>
      <w:r>
        <w:rPr>
          <w:rFonts w:ascii="Times New Roman" w:hAnsi="Times New Roman" w:cs="Times New Roman"/>
          <w:color w:val="auto"/>
          <w:sz w:val="24"/>
          <w:szCs w:val="24"/>
        </w:rPr>
        <w:t>安全防护</w:t>
      </w:r>
      <w:bookmarkEnd w:id="108"/>
      <w:bookmarkEnd w:id="109"/>
    </w:p>
    <w:p w14:paraId="6B63151F">
      <w:pPr>
        <w:adjustRightInd w:val="0"/>
        <w:snapToGrid w:val="0"/>
        <w:spacing w:line="360" w:lineRule="auto"/>
        <w:rPr>
          <w:sz w:val="24"/>
          <w:szCs w:val="24"/>
        </w:rPr>
      </w:pPr>
      <w:r>
        <w:rPr>
          <w:b/>
          <w:sz w:val="24"/>
          <w:szCs w:val="24"/>
        </w:rPr>
        <w:t>4</w:t>
      </w:r>
      <w:r>
        <w:rPr>
          <w:rFonts w:hint="eastAsia"/>
          <w:b/>
          <w:sz w:val="24"/>
          <w:szCs w:val="24"/>
        </w:rPr>
        <w:t>.</w:t>
      </w:r>
      <w:r>
        <w:rPr>
          <w:b/>
          <w:sz w:val="24"/>
          <w:szCs w:val="24"/>
        </w:rPr>
        <w:t>9</w:t>
      </w:r>
      <w:r>
        <w:rPr>
          <w:rFonts w:hint="eastAsia"/>
          <w:b/>
          <w:sz w:val="24"/>
          <w:szCs w:val="24"/>
        </w:rPr>
        <w:t>.</w:t>
      </w:r>
      <w:r>
        <w:rPr>
          <w:b/>
          <w:sz w:val="24"/>
          <w:szCs w:val="24"/>
        </w:rPr>
        <w:t>1</w:t>
      </w:r>
      <w:r>
        <w:rPr>
          <w:rFonts w:hint="eastAsia"/>
          <w:b/>
          <w:sz w:val="24"/>
          <w:szCs w:val="24"/>
        </w:rPr>
        <w:t xml:space="preserve"> </w:t>
      </w:r>
      <w:r>
        <w:rPr>
          <w:rFonts w:hint="eastAsia"/>
          <w:sz w:val="24"/>
          <w:szCs w:val="24"/>
        </w:rPr>
        <w:t xml:space="preserve"> 拆除作业前应进行风险评估，编制专项施工方案。</w:t>
      </w:r>
    </w:p>
    <w:p w14:paraId="532E43C4">
      <w:pPr>
        <w:adjustRightInd w:val="0"/>
        <w:snapToGrid w:val="0"/>
        <w:spacing w:line="360" w:lineRule="auto"/>
        <w:rPr>
          <w:sz w:val="24"/>
          <w:szCs w:val="24"/>
        </w:rPr>
      </w:pPr>
      <w:r>
        <w:rPr>
          <w:b/>
          <w:sz w:val="24"/>
          <w:szCs w:val="24"/>
        </w:rPr>
        <w:t>4</w:t>
      </w:r>
      <w:r>
        <w:rPr>
          <w:rFonts w:hint="eastAsia"/>
          <w:b/>
          <w:sz w:val="24"/>
          <w:szCs w:val="24"/>
        </w:rPr>
        <w:t>.</w:t>
      </w:r>
      <w:r>
        <w:rPr>
          <w:b/>
          <w:sz w:val="24"/>
          <w:szCs w:val="24"/>
        </w:rPr>
        <w:t>9</w:t>
      </w:r>
      <w:r>
        <w:rPr>
          <w:rFonts w:hint="eastAsia"/>
          <w:b/>
          <w:sz w:val="24"/>
          <w:szCs w:val="24"/>
        </w:rPr>
        <w:t>.</w:t>
      </w:r>
      <w:r>
        <w:rPr>
          <w:b/>
          <w:sz w:val="24"/>
          <w:szCs w:val="24"/>
        </w:rPr>
        <w:t>2</w:t>
      </w:r>
      <w:r>
        <w:rPr>
          <w:rFonts w:hint="eastAsia"/>
          <w:sz w:val="24"/>
          <w:szCs w:val="24"/>
        </w:rPr>
        <w:t xml:space="preserve">  建设单位应出具地上、地下管线移交单，施工单位应按照地上、地下管线移交单对作业范围内的管线采取保护措施。</w:t>
      </w:r>
    </w:p>
    <w:p w14:paraId="30EA99A2">
      <w:pPr>
        <w:adjustRightInd w:val="0"/>
        <w:snapToGrid w:val="0"/>
        <w:spacing w:line="360" w:lineRule="auto"/>
        <w:rPr>
          <w:sz w:val="24"/>
          <w:szCs w:val="24"/>
        </w:rPr>
      </w:pPr>
      <w:r>
        <w:rPr>
          <w:b/>
          <w:sz w:val="24"/>
          <w:szCs w:val="24"/>
        </w:rPr>
        <w:t>4</w:t>
      </w:r>
      <w:r>
        <w:rPr>
          <w:rFonts w:hint="eastAsia"/>
          <w:b/>
          <w:sz w:val="24"/>
          <w:szCs w:val="24"/>
        </w:rPr>
        <w:t>.</w:t>
      </w:r>
      <w:r>
        <w:rPr>
          <w:b/>
          <w:sz w:val="24"/>
          <w:szCs w:val="24"/>
        </w:rPr>
        <w:t>9</w:t>
      </w:r>
      <w:r>
        <w:rPr>
          <w:rFonts w:hint="eastAsia"/>
          <w:b/>
          <w:sz w:val="24"/>
          <w:szCs w:val="24"/>
        </w:rPr>
        <w:t>.</w:t>
      </w:r>
      <w:r>
        <w:rPr>
          <w:b/>
          <w:sz w:val="24"/>
          <w:szCs w:val="24"/>
        </w:rPr>
        <w:t>3</w:t>
      </w:r>
      <w:r>
        <w:rPr>
          <w:rFonts w:hint="eastAsia"/>
          <w:sz w:val="24"/>
          <w:szCs w:val="24"/>
        </w:rPr>
        <w:t xml:space="preserve">  拆除作业前，施工单位应检查建筑内各类管线情况，确认电源、水源、气源等全部切断，无人员、无异物后方可施工。</w:t>
      </w:r>
    </w:p>
    <w:p w14:paraId="3314B71E">
      <w:pPr>
        <w:adjustRightInd w:val="0"/>
        <w:snapToGrid w:val="0"/>
        <w:spacing w:line="360" w:lineRule="auto"/>
        <w:rPr>
          <w:sz w:val="24"/>
          <w:szCs w:val="24"/>
        </w:rPr>
      </w:pPr>
      <w:r>
        <w:rPr>
          <w:b/>
          <w:sz w:val="24"/>
          <w:szCs w:val="24"/>
        </w:rPr>
        <w:t>4</w:t>
      </w:r>
      <w:r>
        <w:rPr>
          <w:rFonts w:hint="eastAsia"/>
          <w:b/>
          <w:sz w:val="24"/>
          <w:szCs w:val="24"/>
        </w:rPr>
        <w:t>.</w:t>
      </w:r>
      <w:r>
        <w:rPr>
          <w:b/>
          <w:sz w:val="24"/>
          <w:szCs w:val="24"/>
        </w:rPr>
        <w:t>9</w:t>
      </w:r>
      <w:r>
        <w:rPr>
          <w:rFonts w:hint="eastAsia"/>
          <w:b/>
          <w:sz w:val="24"/>
          <w:szCs w:val="24"/>
        </w:rPr>
        <w:t>.</w:t>
      </w:r>
      <w:r>
        <w:rPr>
          <w:b/>
          <w:sz w:val="24"/>
          <w:szCs w:val="24"/>
        </w:rPr>
        <w:t>4</w:t>
      </w:r>
      <w:r>
        <w:rPr>
          <w:rFonts w:hint="eastAsia"/>
          <w:sz w:val="24"/>
          <w:szCs w:val="24"/>
        </w:rPr>
        <w:t xml:space="preserve">  拆除作业应划定施工作业区域，由专人监管，施工作业区域应设置硬质封闭围挡及醒目警告标志，非施工人员不得进入施工区域。</w:t>
      </w:r>
    </w:p>
    <w:p w14:paraId="3CC1B684">
      <w:pPr>
        <w:adjustRightInd w:val="0"/>
        <w:snapToGrid w:val="0"/>
        <w:spacing w:line="360" w:lineRule="auto"/>
        <w:rPr>
          <w:sz w:val="24"/>
          <w:szCs w:val="24"/>
        </w:rPr>
      </w:pPr>
      <w:r>
        <w:rPr>
          <w:b/>
          <w:sz w:val="24"/>
          <w:szCs w:val="24"/>
        </w:rPr>
        <w:t>4</w:t>
      </w:r>
      <w:r>
        <w:rPr>
          <w:rFonts w:hint="eastAsia"/>
          <w:b/>
          <w:sz w:val="24"/>
          <w:szCs w:val="24"/>
        </w:rPr>
        <w:t>.</w:t>
      </w:r>
      <w:r>
        <w:rPr>
          <w:b/>
          <w:sz w:val="24"/>
          <w:szCs w:val="24"/>
        </w:rPr>
        <w:t>9</w:t>
      </w:r>
      <w:r>
        <w:rPr>
          <w:rFonts w:hint="eastAsia"/>
          <w:b/>
          <w:sz w:val="24"/>
          <w:szCs w:val="24"/>
        </w:rPr>
        <w:t>.5</w:t>
      </w:r>
      <w:r>
        <w:rPr>
          <w:rFonts w:hint="eastAsia"/>
          <w:sz w:val="24"/>
          <w:szCs w:val="24"/>
        </w:rPr>
        <w:t xml:space="preserve">  拆除作业施工不得立体交叉作业。水平作业时，各工位间应有足够的安全距离。</w:t>
      </w:r>
    </w:p>
    <w:p w14:paraId="6E83BDC4">
      <w:pPr>
        <w:adjustRightInd w:val="0"/>
        <w:snapToGrid w:val="0"/>
        <w:spacing w:line="360" w:lineRule="auto"/>
        <w:rPr>
          <w:sz w:val="24"/>
          <w:szCs w:val="24"/>
        </w:rPr>
      </w:pPr>
      <w:r>
        <w:rPr>
          <w:b/>
          <w:sz w:val="24"/>
          <w:szCs w:val="24"/>
        </w:rPr>
        <w:t>4</w:t>
      </w:r>
      <w:r>
        <w:rPr>
          <w:rFonts w:hint="eastAsia"/>
          <w:b/>
          <w:sz w:val="24"/>
          <w:szCs w:val="24"/>
        </w:rPr>
        <w:t>.</w:t>
      </w:r>
      <w:r>
        <w:rPr>
          <w:b/>
          <w:sz w:val="24"/>
          <w:szCs w:val="24"/>
        </w:rPr>
        <w:t>9</w:t>
      </w:r>
      <w:r>
        <w:rPr>
          <w:rFonts w:hint="eastAsia"/>
          <w:b/>
          <w:sz w:val="24"/>
          <w:szCs w:val="24"/>
        </w:rPr>
        <w:t xml:space="preserve">.6 </w:t>
      </w:r>
      <w:r>
        <w:rPr>
          <w:b/>
          <w:sz w:val="24"/>
          <w:szCs w:val="24"/>
        </w:rPr>
        <w:t xml:space="preserve"> </w:t>
      </w:r>
      <w:r>
        <w:rPr>
          <w:rFonts w:hint="eastAsia"/>
          <w:sz w:val="24"/>
          <w:szCs w:val="24"/>
        </w:rPr>
        <w:t>当临街拆除建筑与交通道路安全距离不能满足要求时，应采取安全措施。</w:t>
      </w:r>
    </w:p>
    <w:p w14:paraId="4F1403E9">
      <w:pPr>
        <w:adjustRightInd w:val="0"/>
        <w:snapToGrid w:val="0"/>
        <w:spacing w:line="360" w:lineRule="auto"/>
        <w:rPr>
          <w:sz w:val="24"/>
          <w:szCs w:val="24"/>
        </w:rPr>
      </w:pPr>
      <w:r>
        <w:rPr>
          <w:b/>
          <w:sz w:val="24"/>
          <w:szCs w:val="24"/>
        </w:rPr>
        <w:t>4</w:t>
      </w:r>
      <w:r>
        <w:rPr>
          <w:rFonts w:hint="eastAsia"/>
          <w:b/>
          <w:sz w:val="24"/>
          <w:szCs w:val="24"/>
        </w:rPr>
        <w:t>.</w:t>
      </w:r>
      <w:r>
        <w:rPr>
          <w:b/>
          <w:sz w:val="24"/>
          <w:szCs w:val="24"/>
        </w:rPr>
        <w:t>9</w:t>
      </w:r>
      <w:r>
        <w:rPr>
          <w:rFonts w:hint="eastAsia"/>
          <w:b/>
          <w:sz w:val="24"/>
          <w:szCs w:val="24"/>
        </w:rPr>
        <w:t>.7</w:t>
      </w:r>
      <w:r>
        <w:rPr>
          <w:rFonts w:hint="eastAsia"/>
          <w:sz w:val="24"/>
          <w:szCs w:val="24"/>
        </w:rPr>
        <w:t xml:space="preserve">  拆除施工应从上至下逐层拆除并应分段进行，应先拆除非承重结构，再拆除承重结构。框架结构拆除施工时，应按楼板、次梁、主梁、结构柱的顺序依次进行。人工拆除建筑墙体时，不得采用掏掘或推倒的方法。</w:t>
      </w:r>
    </w:p>
    <w:p w14:paraId="4DE6D749">
      <w:pPr>
        <w:adjustRightInd w:val="0"/>
        <w:snapToGrid w:val="0"/>
        <w:spacing w:line="360" w:lineRule="auto"/>
        <w:rPr>
          <w:sz w:val="24"/>
          <w:szCs w:val="24"/>
        </w:rPr>
      </w:pPr>
      <w:r>
        <w:rPr>
          <w:b/>
          <w:sz w:val="24"/>
          <w:szCs w:val="24"/>
        </w:rPr>
        <w:t>4</w:t>
      </w:r>
      <w:r>
        <w:rPr>
          <w:rFonts w:hint="eastAsia"/>
          <w:b/>
          <w:sz w:val="24"/>
          <w:szCs w:val="24"/>
        </w:rPr>
        <w:t>.</w:t>
      </w:r>
      <w:r>
        <w:rPr>
          <w:b/>
          <w:sz w:val="24"/>
          <w:szCs w:val="24"/>
        </w:rPr>
        <w:t>9</w:t>
      </w:r>
      <w:r>
        <w:rPr>
          <w:rFonts w:hint="eastAsia"/>
          <w:b/>
          <w:sz w:val="24"/>
          <w:szCs w:val="24"/>
        </w:rPr>
        <w:t>.</w:t>
      </w:r>
      <w:r>
        <w:rPr>
          <w:b/>
          <w:sz w:val="24"/>
          <w:szCs w:val="24"/>
        </w:rPr>
        <w:t>8</w:t>
      </w:r>
      <w:r>
        <w:rPr>
          <w:rFonts w:hint="eastAsia"/>
          <w:sz w:val="24"/>
          <w:szCs w:val="24"/>
        </w:rPr>
        <w:t xml:space="preserve">  拆除作业中发生异常情况应立即停止施工，采取应急措施保护现场，并应及时上报。</w:t>
      </w:r>
    </w:p>
    <w:p w14:paraId="2BDDFCF6">
      <w:pPr>
        <w:adjustRightInd w:val="0"/>
        <w:snapToGrid w:val="0"/>
        <w:spacing w:line="360" w:lineRule="auto"/>
        <w:rPr>
          <w:sz w:val="24"/>
          <w:szCs w:val="24"/>
        </w:rPr>
      </w:pPr>
      <w:r>
        <w:rPr>
          <w:b/>
          <w:sz w:val="24"/>
          <w:szCs w:val="24"/>
        </w:rPr>
        <w:t>4</w:t>
      </w:r>
      <w:r>
        <w:rPr>
          <w:rFonts w:hint="eastAsia"/>
          <w:b/>
          <w:sz w:val="24"/>
          <w:szCs w:val="24"/>
        </w:rPr>
        <w:t>.</w:t>
      </w:r>
      <w:r>
        <w:rPr>
          <w:b/>
          <w:sz w:val="24"/>
          <w:szCs w:val="24"/>
        </w:rPr>
        <w:t>9</w:t>
      </w:r>
      <w:r>
        <w:rPr>
          <w:rFonts w:hint="eastAsia"/>
          <w:b/>
          <w:sz w:val="24"/>
          <w:szCs w:val="24"/>
        </w:rPr>
        <w:t>.9</w:t>
      </w:r>
      <w:r>
        <w:rPr>
          <w:rFonts w:hint="eastAsia"/>
          <w:sz w:val="24"/>
          <w:szCs w:val="24"/>
        </w:rPr>
        <w:t xml:space="preserve">  中途停止拆除作业时，拆除区域不得留有可能倾倒、坍塌的构筑物，应停在安全可靠部位。</w:t>
      </w:r>
    </w:p>
    <w:p w14:paraId="7E3E435A">
      <w:pPr>
        <w:adjustRightInd w:val="0"/>
        <w:snapToGrid w:val="0"/>
        <w:spacing w:line="360" w:lineRule="auto"/>
        <w:rPr>
          <w:sz w:val="24"/>
          <w:szCs w:val="24"/>
        </w:rPr>
      </w:pPr>
    </w:p>
    <w:p w14:paraId="35AAD9AB">
      <w:pPr>
        <w:adjustRightInd w:val="0"/>
        <w:snapToGrid w:val="0"/>
        <w:spacing w:line="360" w:lineRule="auto"/>
        <w:rPr>
          <w:sz w:val="24"/>
          <w:szCs w:val="24"/>
        </w:rPr>
      </w:pPr>
    </w:p>
    <w:p w14:paraId="766D4644">
      <w:pPr>
        <w:adjustRightInd w:val="0"/>
        <w:snapToGrid w:val="0"/>
        <w:spacing w:line="360" w:lineRule="auto"/>
        <w:rPr>
          <w:sz w:val="24"/>
          <w:szCs w:val="24"/>
        </w:rPr>
      </w:pPr>
    </w:p>
    <w:p w14:paraId="592D940A">
      <w:pPr>
        <w:rPr>
          <w:rFonts w:hint="eastAsia" w:asciiTheme="minorEastAsia" w:hAnsiTheme="minorEastAsia" w:eastAsiaTheme="minorEastAsia"/>
          <w:szCs w:val="21"/>
        </w:rPr>
      </w:pPr>
    </w:p>
    <w:p w14:paraId="44952EDB">
      <w:pPr>
        <w:spacing w:line="360" w:lineRule="auto"/>
        <w:jc w:val="center"/>
        <w:outlineLvl w:val="0"/>
        <w:rPr>
          <w:rFonts w:eastAsia="黑体"/>
          <w:kern w:val="44"/>
          <w:sz w:val="28"/>
          <w:szCs w:val="28"/>
        </w:rPr>
      </w:pPr>
      <w:r>
        <w:rPr>
          <w:rFonts w:asciiTheme="minorEastAsia" w:hAnsiTheme="minorEastAsia" w:eastAsiaTheme="minorEastAsia"/>
          <w:szCs w:val="21"/>
        </w:rPr>
        <w:br w:type="page"/>
      </w:r>
      <w:bookmarkStart w:id="110" w:name="_Toc23498"/>
      <w:r>
        <w:rPr>
          <w:rFonts w:hint="eastAsia" w:eastAsia="黑体"/>
          <w:kern w:val="44"/>
          <w:sz w:val="28"/>
          <w:szCs w:val="28"/>
        </w:rPr>
        <w:t>5</w:t>
      </w:r>
      <w:r>
        <w:rPr>
          <w:rFonts w:eastAsia="黑体"/>
          <w:kern w:val="44"/>
          <w:sz w:val="28"/>
          <w:szCs w:val="28"/>
        </w:rPr>
        <w:t xml:space="preserve"> 脚手架</w:t>
      </w:r>
      <w:bookmarkEnd w:id="110"/>
    </w:p>
    <w:p w14:paraId="2A335EA0">
      <w:pPr>
        <w:spacing w:line="360" w:lineRule="auto"/>
        <w:jc w:val="center"/>
        <w:outlineLvl w:val="1"/>
        <w:rPr>
          <w:b/>
          <w:bCs/>
          <w:color w:val="000000"/>
          <w:sz w:val="24"/>
          <w:szCs w:val="24"/>
        </w:rPr>
      </w:pPr>
      <w:bookmarkStart w:id="111" w:name="_Toc2981"/>
      <w:bookmarkStart w:id="112" w:name="_Toc12504"/>
      <w:r>
        <w:rPr>
          <w:rFonts w:hint="eastAsia"/>
          <w:b/>
          <w:bCs/>
          <w:color w:val="000000"/>
          <w:sz w:val="24"/>
          <w:szCs w:val="24"/>
        </w:rPr>
        <w:t>5</w:t>
      </w:r>
      <w:r>
        <w:rPr>
          <w:b/>
          <w:bCs/>
          <w:color w:val="000000"/>
          <w:sz w:val="24"/>
          <w:szCs w:val="24"/>
        </w:rPr>
        <w:t>.1 一般规定</w:t>
      </w:r>
      <w:bookmarkEnd w:id="111"/>
      <w:bookmarkEnd w:id="112"/>
    </w:p>
    <w:p w14:paraId="0FC1FC84">
      <w:pPr>
        <w:spacing w:line="360" w:lineRule="auto"/>
        <w:jc w:val="left"/>
        <w:rPr>
          <w:sz w:val="24"/>
          <w:szCs w:val="24"/>
        </w:rPr>
      </w:pPr>
      <w:r>
        <w:rPr>
          <w:rFonts w:hint="eastAsia"/>
          <w:b/>
          <w:bCs/>
          <w:sz w:val="24"/>
          <w:szCs w:val="24"/>
        </w:rPr>
        <w:t>5</w:t>
      </w:r>
      <w:r>
        <w:rPr>
          <w:b/>
          <w:bCs/>
          <w:sz w:val="24"/>
          <w:szCs w:val="24"/>
        </w:rPr>
        <w:t>.1.</w:t>
      </w:r>
      <w:r>
        <w:rPr>
          <w:rFonts w:hint="eastAsia"/>
          <w:b/>
          <w:bCs/>
          <w:sz w:val="24"/>
          <w:szCs w:val="24"/>
        </w:rPr>
        <w:t>1</w:t>
      </w:r>
      <w:r>
        <w:rPr>
          <w:sz w:val="24"/>
          <w:szCs w:val="24"/>
        </w:rPr>
        <w:t xml:space="preserve">  脚手架</w:t>
      </w:r>
      <w:r>
        <w:rPr>
          <w:rFonts w:hint="eastAsia"/>
          <w:sz w:val="24"/>
          <w:szCs w:val="24"/>
        </w:rPr>
        <w:t>工程</w:t>
      </w:r>
      <w:r>
        <w:rPr>
          <w:sz w:val="24"/>
          <w:szCs w:val="24"/>
        </w:rPr>
        <w:t>应编制专项施工方案，</w:t>
      </w:r>
      <w:r>
        <w:rPr>
          <w:rFonts w:hint="eastAsia"/>
          <w:sz w:val="24"/>
          <w:szCs w:val="24"/>
        </w:rPr>
        <w:t>危险性超过一定规模的</w:t>
      </w:r>
      <w:r>
        <w:rPr>
          <w:sz w:val="24"/>
          <w:szCs w:val="24"/>
        </w:rPr>
        <w:t>脚手架工程应组织专家论证。</w:t>
      </w:r>
    </w:p>
    <w:p w14:paraId="20010602">
      <w:pPr>
        <w:spacing w:line="360" w:lineRule="auto"/>
        <w:jc w:val="left"/>
        <w:rPr>
          <w:sz w:val="24"/>
          <w:szCs w:val="24"/>
        </w:rPr>
      </w:pPr>
      <w:r>
        <w:rPr>
          <w:rFonts w:hint="eastAsia"/>
          <w:b/>
          <w:bCs/>
          <w:sz w:val="24"/>
          <w:szCs w:val="24"/>
        </w:rPr>
        <w:t>5</w:t>
      </w:r>
      <w:r>
        <w:rPr>
          <w:b/>
          <w:bCs/>
          <w:sz w:val="24"/>
          <w:szCs w:val="24"/>
        </w:rPr>
        <w:t>.1.</w:t>
      </w:r>
      <w:r>
        <w:rPr>
          <w:rFonts w:hint="eastAsia"/>
          <w:b/>
          <w:bCs/>
          <w:sz w:val="24"/>
          <w:szCs w:val="24"/>
        </w:rPr>
        <w:t>2</w:t>
      </w:r>
      <w:r>
        <w:rPr>
          <w:sz w:val="24"/>
          <w:szCs w:val="24"/>
        </w:rPr>
        <w:t xml:space="preserve">  </w:t>
      </w:r>
      <w:r>
        <w:rPr>
          <w:rFonts w:hint="eastAsia"/>
          <w:sz w:val="24"/>
          <w:szCs w:val="24"/>
        </w:rPr>
        <w:t>脚手架作业</w:t>
      </w:r>
      <w:r>
        <w:rPr>
          <w:sz w:val="24"/>
          <w:szCs w:val="24"/>
        </w:rPr>
        <w:t>人员应正确佩戴个人防护用品，高处作业时应</w:t>
      </w:r>
      <w:r>
        <w:rPr>
          <w:rFonts w:hint="eastAsia"/>
          <w:sz w:val="24"/>
          <w:szCs w:val="24"/>
        </w:rPr>
        <w:t>配带</w:t>
      </w:r>
      <w:r>
        <w:rPr>
          <w:sz w:val="24"/>
          <w:szCs w:val="24"/>
        </w:rPr>
        <w:t>安全</w:t>
      </w:r>
      <w:r>
        <w:rPr>
          <w:rFonts w:hint="eastAsia"/>
          <w:sz w:val="24"/>
          <w:szCs w:val="24"/>
        </w:rPr>
        <w:t>带</w:t>
      </w:r>
      <w:r>
        <w:rPr>
          <w:sz w:val="24"/>
          <w:szCs w:val="24"/>
        </w:rPr>
        <w:t>，并应有可靠系挂点。</w:t>
      </w:r>
    </w:p>
    <w:p w14:paraId="62503B17">
      <w:pPr>
        <w:spacing w:line="360" w:lineRule="auto"/>
        <w:rPr>
          <w:sz w:val="24"/>
          <w:szCs w:val="24"/>
        </w:rPr>
      </w:pPr>
      <w:r>
        <w:rPr>
          <w:rFonts w:hint="eastAsia"/>
          <w:b/>
          <w:bCs/>
          <w:sz w:val="24"/>
          <w:szCs w:val="24"/>
        </w:rPr>
        <w:t>5</w:t>
      </w:r>
      <w:r>
        <w:rPr>
          <w:b/>
          <w:bCs/>
          <w:sz w:val="24"/>
          <w:szCs w:val="24"/>
        </w:rPr>
        <w:t>.1.3</w:t>
      </w:r>
      <w:r>
        <w:rPr>
          <w:sz w:val="24"/>
          <w:szCs w:val="24"/>
        </w:rPr>
        <w:t xml:space="preserve">  脚手架的设计、搭设、使用和维护应满足下列要求：</w:t>
      </w:r>
    </w:p>
    <w:p w14:paraId="3AF7BC52">
      <w:pPr>
        <w:spacing w:line="360" w:lineRule="auto"/>
        <w:ind w:firstLine="482" w:firstLineChars="200"/>
        <w:rPr>
          <w:sz w:val="24"/>
          <w:szCs w:val="24"/>
        </w:rPr>
      </w:pPr>
      <w:r>
        <w:rPr>
          <w:b/>
          <w:bCs/>
          <w:sz w:val="24"/>
          <w:szCs w:val="24"/>
        </w:rPr>
        <w:t xml:space="preserve">1 </w:t>
      </w:r>
      <w:r>
        <w:rPr>
          <w:sz w:val="24"/>
          <w:szCs w:val="24"/>
        </w:rPr>
        <w:t>应能承受设计荷载；</w:t>
      </w:r>
    </w:p>
    <w:p w14:paraId="4D005CE5">
      <w:pPr>
        <w:spacing w:line="360" w:lineRule="auto"/>
        <w:ind w:firstLine="482" w:firstLineChars="200"/>
        <w:rPr>
          <w:sz w:val="24"/>
          <w:szCs w:val="24"/>
        </w:rPr>
      </w:pPr>
      <w:r>
        <w:rPr>
          <w:b/>
          <w:bCs/>
          <w:sz w:val="24"/>
          <w:szCs w:val="24"/>
        </w:rPr>
        <w:t xml:space="preserve">2 </w:t>
      </w:r>
      <w:r>
        <w:rPr>
          <w:sz w:val="24"/>
          <w:szCs w:val="24"/>
        </w:rPr>
        <w:t>结构应稳固，不得发生影响正常使用的变形；</w:t>
      </w:r>
    </w:p>
    <w:p w14:paraId="21F8A57E">
      <w:pPr>
        <w:spacing w:line="360" w:lineRule="auto"/>
        <w:ind w:firstLine="482" w:firstLineChars="200"/>
        <w:rPr>
          <w:sz w:val="24"/>
          <w:szCs w:val="24"/>
        </w:rPr>
      </w:pPr>
      <w:r>
        <w:rPr>
          <w:b/>
          <w:bCs/>
          <w:sz w:val="24"/>
          <w:szCs w:val="24"/>
        </w:rPr>
        <w:t xml:space="preserve">3 </w:t>
      </w:r>
      <w:r>
        <w:rPr>
          <w:sz w:val="24"/>
          <w:szCs w:val="24"/>
        </w:rPr>
        <w:t>应满足使用要求，具有安全防护功能；</w:t>
      </w:r>
    </w:p>
    <w:p w14:paraId="5AF1A69E">
      <w:pPr>
        <w:spacing w:line="360" w:lineRule="auto"/>
        <w:ind w:firstLine="482" w:firstLineChars="200"/>
        <w:rPr>
          <w:sz w:val="24"/>
          <w:szCs w:val="24"/>
        </w:rPr>
      </w:pPr>
      <w:r>
        <w:rPr>
          <w:b/>
          <w:bCs/>
          <w:sz w:val="24"/>
          <w:szCs w:val="24"/>
        </w:rPr>
        <w:t xml:space="preserve">4 </w:t>
      </w:r>
      <w:r>
        <w:rPr>
          <w:sz w:val="24"/>
          <w:szCs w:val="24"/>
        </w:rPr>
        <w:t>在使用中，脚手架结构性能不得发生明显改变；</w:t>
      </w:r>
    </w:p>
    <w:p w14:paraId="0391DF0F">
      <w:pPr>
        <w:spacing w:line="360" w:lineRule="auto"/>
        <w:ind w:firstLine="482" w:firstLineChars="200"/>
        <w:rPr>
          <w:sz w:val="24"/>
          <w:szCs w:val="24"/>
        </w:rPr>
      </w:pPr>
      <w:r>
        <w:rPr>
          <w:rFonts w:hint="eastAsia"/>
          <w:b/>
          <w:bCs/>
          <w:sz w:val="24"/>
          <w:szCs w:val="24"/>
        </w:rPr>
        <w:t>5</w:t>
      </w:r>
      <w:r>
        <w:rPr>
          <w:b/>
          <w:bCs/>
          <w:sz w:val="24"/>
          <w:szCs w:val="24"/>
        </w:rPr>
        <w:t xml:space="preserve"> </w:t>
      </w:r>
      <w:r>
        <w:rPr>
          <w:sz w:val="24"/>
          <w:szCs w:val="24"/>
        </w:rPr>
        <w:t>脚手架所依附、承受的工程结构不应受到损害。</w:t>
      </w:r>
    </w:p>
    <w:p w14:paraId="0E26E5E5">
      <w:pPr>
        <w:spacing w:line="360" w:lineRule="auto"/>
        <w:rPr>
          <w:sz w:val="24"/>
          <w:szCs w:val="24"/>
        </w:rPr>
      </w:pPr>
      <w:r>
        <w:rPr>
          <w:rFonts w:hint="eastAsia"/>
          <w:b/>
          <w:bCs/>
          <w:sz w:val="24"/>
          <w:szCs w:val="24"/>
        </w:rPr>
        <w:t>5</w:t>
      </w:r>
      <w:r>
        <w:rPr>
          <w:b/>
          <w:bCs/>
          <w:sz w:val="24"/>
          <w:szCs w:val="24"/>
        </w:rPr>
        <w:t>.1.</w:t>
      </w:r>
      <w:r>
        <w:rPr>
          <w:rFonts w:hint="eastAsia"/>
          <w:b/>
          <w:bCs/>
          <w:sz w:val="24"/>
          <w:szCs w:val="24"/>
        </w:rPr>
        <w:t xml:space="preserve">4  </w:t>
      </w:r>
      <w:r>
        <w:rPr>
          <w:kern w:val="0"/>
          <w:sz w:val="24"/>
          <w:szCs w:val="24"/>
        </w:rPr>
        <w:t>脚手架的搭设</w:t>
      </w:r>
      <w:r>
        <w:rPr>
          <w:rFonts w:hint="eastAsia"/>
          <w:kern w:val="0"/>
          <w:sz w:val="24"/>
          <w:szCs w:val="24"/>
        </w:rPr>
        <w:t>、使用</w:t>
      </w:r>
      <w:r>
        <w:rPr>
          <w:kern w:val="0"/>
          <w:sz w:val="24"/>
          <w:szCs w:val="24"/>
        </w:rPr>
        <w:t>与拆除遇有雨、雪、五级及以上大风等极端天气应及时停止作业。</w:t>
      </w:r>
      <w:r>
        <w:rPr>
          <w:sz w:val="24"/>
          <w:szCs w:val="24"/>
        </w:rPr>
        <w:t xml:space="preserve">  </w:t>
      </w:r>
    </w:p>
    <w:p w14:paraId="054E3273">
      <w:pPr>
        <w:spacing w:line="360" w:lineRule="auto"/>
        <w:rPr>
          <w:sz w:val="24"/>
          <w:szCs w:val="24"/>
        </w:rPr>
      </w:pPr>
      <w:r>
        <w:rPr>
          <w:rFonts w:hint="eastAsia"/>
          <w:b/>
          <w:bCs/>
          <w:sz w:val="24"/>
          <w:szCs w:val="24"/>
        </w:rPr>
        <w:t xml:space="preserve">5.1.5 </w:t>
      </w:r>
      <w:r>
        <w:rPr>
          <w:rFonts w:hint="eastAsia"/>
          <w:sz w:val="24"/>
          <w:szCs w:val="24"/>
        </w:rPr>
        <w:t xml:space="preserve"> 单排脚手架搭设高度不得超过20米。</w:t>
      </w:r>
    </w:p>
    <w:p w14:paraId="23F2185B">
      <w:pPr>
        <w:spacing w:line="360" w:lineRule="auto"/>
        <w:rPr>
          <w:sz w:val="24"/>
          <w:szCs w:val="24"/>
        </w:rPr>
      </w:pPr>
      <w:r>
        <w:rPr>
          <w:rFonts w:hint="eastAsia"/>
          <w:b/>
          <w:bCs/>
          <w:kern w:val="0"/>
          <w:sz w:val="24"/>
          <w:szCs w:val="24"/>
        </w:rPr>
        <w:t>5</w:t>
      </w:r>
      <w:r>
        <w:rPr>
          <w:b/>
          <w:bCs/>
          <w:kern w:val="0"/>
          <w:sz w:val="24"/>
          <w:szCs w:val="24"/>
        </w:rPr>
        <w:t>.</w:t>
      </w:r>
      <w:r>
        <w:rPr>
          <w:rFonts w:hint="eastAsia"/>
          <w:b/>
          <w:bCs/>
          <w:kern w:val="0"/>
          <w:sz w:val="24"/>
          <w:szCs w:val="24"/>
        </w:rPr>
        <w:t>1</w:t>
      </w:r>
      <w:r>
        <w:rPr>
          <w:b/>
          <w:bCs/>
          <w:kern w:val="0"/>
          <w:sz w:val="24"/>
          <w:szCs w:val="24"/>
        </w:rPr>
        <w:t>.</w:t>
      </w:r>
      <w:r>
        <w:rPr>
          <w:rFonts w:hint="eastAsia"/>
          <w:b/>
          <w:bCs/>
          <w:kern w:val="0"/>
          <w:sz w:val="24"/>
          <w:szCs w:val="24"/>
        </w:rPr>
        <w:t>6</w:t>
      </w:r>
      <w:r>
        <w:rPr>
          <w:b/>
          <w:bCs/>
          <w:sz w:val="24"/>
          <w:szCs w:val="24"/>
        </w:rPr>
        <w:t xml:space="preserve">  </w:t>
      </w:r>
      <w:r>
        <w:rPr>
          <w:sz w:val="24"/>
          <w:szCs w:val="24"/>
        </w:rPr>
        <w:t>施工单位应根据脚手架类型、设计高度、荷载状况及周边环境等因素制定专项监测措施</w:t>
      </w:r>
      <w:r>
        <w:rPr>
          <w:rFonts w:hint="eastAsia"/>
          <w:sz w:val="24"/>
          <w:szCs w:val="24"/>
        </w:rPr>
        <w:t>。</w:t>
      </w:r>
      <w:r>
        <w:rPr>
          <w:sz w:val="24"/>
          <w:szCs w:val="24"/>
        </w:rPr>
        <w:t>对于危险性较大的脚手架工程，其监测方案应纳入专项施工方案。</w:t>
      </w:r>
    </w:p>
    <w:p w14:paraId="199D25D7">
      <w:pPr>
        <w:spacing w:line="360" w:lineRule="auto"/>
        <w:rPr>
          <w:sz w:val="24"/>
          <w:szCs w:val="24"/>
        </w:rPr>
      </w:pPr>
    </w:p>
    <w:p w14:paraId="3CC16739">
      <w:pPr>
        <w:spacing w:line="360" w:lineRule="auto"/>
        <w:jc w:val="center"/>
        <w:outlineLvl w:val="1"/>
        <w:rPr>
          <w:b/>
          <w:bCs/>
          <w:sz w:val="24"/>
          <w:szCs w:val="24"/>
        </w:rPr>
      </w:pPr>
      <w:bookmarkStart w:id="113" w:name="_Toc8564"/>
      <w:bookmarkStart w:id="114" w:name="_Toc12116"/>
      <w:bookmarkStart w:id="115" w:name="_Toc28169"/>
      <w:r>
        <w:rPr>
          <w:rFonts w:hint="eastAsia"/>
          <w:b/>
          <w:bCs/>
          <w:sz w:val="24"/>
          <w:szCs w:val="24"/>
        </w:rPr>
        <w:t>5</w:t>
      </w:r>
      <w:r>
        <w:rPr>
          <w:b/>
          <w:bCs/>
          <w:sz w:val="24"/>
          <w:szCs w:val="24"/>
        </w:rPr>
        <w:t>.2 材料与构配件</w:t>
      </w:r>
      <w:bookmarkEnd w:id="113"/>
      <w:bookmarkEnd w:id="114"/>
      <w:bookmarkEnd w:id="115"/>
    </w:p>
    <w:p w14:paraId="62A1BF6F">
      <w:pPr>
        <w:snapToGrid w:val="0"/>
        <w:spacing w:line="360" w:lineRule="auto"/>
        <w:jc w:val="left"/>
        <w:rPr>
          <w:sz w:val="24"/>
          <w:szCs w:val="24"/>
        </w:rPr>
      </w:pPr>
      <w:r>
        <w:rPr>
          <w:rFonts w:hint="eastAsia"/>
          <w:b/>
          <w:bCs/>
          <w:sz w:val="24"/>
          <w:szCs w:val="24"/>
        </w:rPr>
        <w:t>5</w:t>
      </w:r>
      <w:r>
        <w:rPr>
          <w:b/>
          <w:bCs/>
          <w:sz w:val="24"/>
          <w:szCs w:val="24"/>
        </w:rPr>
        <w:t xml:space="preserve">.2.1 </w:t>
      </w:r>
      <w:r>
        <w:rPr>
          <w:sz w:val="24"/>
          <w:szCs w:val="24"/>
        </w:rPr>
        <w:t xml:space="preserve"> 脚手架钢管应采用现行国家标准《</w:t>
      </w:r>
      <w:r>
        <w:rPr>
          <w:rFonts w:hint="eastAsia"/>
          <w:sz w:val="24"/>
          <w:szCs w:val="24"/>
        </w:rPr>
        <w:t>结构用碳素钢和低合金钢焊接钢管</w:t>
      </w:r>
      <w:r>
        <w:rPr>
          <w:sz w:val="24"/>
          <w:szCs w:val="24"/>
        </w:rPr>
        <w:t>》GB/T 13793</w:t>
      </w:r>
      <w:r>
        <w:rPr>
          <w:rFonts w:hint="eastAsia"/>
          <w:sz w:val="24"/>
          <w:szCs w:val="24"/>
        </w:rPr>
        <w:t>和</w:t>
      </w:r>
      <w:r>
        <w:rPr>
          <w:sz w:val="24"/>
          <w:szCs w:val="24"/>
        </w:rPr>
        <w:t>《低压流体输送用焊接钢管》GB/T 3091中规定的普通钢管。</w:t>
      </w:r>
      <w:r>
        <w:rPr>
          <w:rFonts w:hint="eastAsia"/>
          <w:sz w:val="24"/>
          <w:szCs w:val="24"/>
        </w:rPr>
        <w:t>盘扣式</w:t>
      </w:r>
      <w:r>
        <w:rPr>
          <w:sz w:val="24"/>
          <w:szCs w:val="24"/>
        </w:rPr>
        <w:t>脚手架构件、材料及其制作质量应符合现行行业标准《承插型盘扣式钢管支架构件》JG/T</w:t>
      </w:r>
      <w:r>
        <w:rPr>
          <w:rFonts w:hint="eastAsia"/>
          <w:sz w:val="24"/>
          <w:szCs w:val="24"/>
        </w:rPr>
        <w:t xml:space="preserve"> </w:t>
      </w:r>
      <w:r>
        <w:rPr>
          <w:sz w:val="24"/>
          <w:szCs w:val="24"/>
        </w:rPr>
        <w:t>503的规定。</w:t>
      </w:r>
    </w:p>
    <w:p w14:paraId="7239FB55">
      <w:pPr>
        <w:snapToGrid w:val="0"/>
        <w:spacing w:line="360" w:lineRule="auto"/>
        <w:jc w:val="left"/>
        <w:rPr>
          <w:sz w:val="24"/>
          <w:szCs w:val="24"/>
        </w:rPr>
      </w:pPr>
      <w:r>
        <w:rPr>
          <w:rFonts w:hint="eastAsia"/>
          <w:b/>
          <w:bCs/>
          <w:sz w:val="24"/>
          <w:szCs w:val="24"/>
        </w:rPr>
        <w:t>5</w:t>
      </w:r>
      <w:r>
        <w:rPr>
          <w:b/>
          <w:bCs/>
          <w:sz w:val="24"/>
          <w:szCs w:val="24"/>
        </w:rPr>
        <w:t>.2.2</w:t>
      </w:r>
      <w:r>
        <w:rPr>
          <w:sz w:val="24"/>
          <w:szCs w:val="24"/>
        </w:rPr>
        <w:t xml:space="preserve">  钢管脚手架的连接扣件应符合现行国家标准《钢管脚手架扣件》GB/T 15831的规定。</w:t>
      </w:r>
    </w:p>
    <w:p w14:paraId="356BEF4E">
      <w:pPr>
        <w:snapToGrid w:val="0"/>
        <w:spacing w:line="360" w:lineRule="auto"/>
        <w:jc w:val="left"/>
        <w:rPr>
          <w:sz w:val="24"/>
          <w:szCs w:val="24"/>
        </w:rPr>
      </w:pPr>
      <w:r>
        <w:rPr>
          <w:rFonts w:hint="eastAsia"/>
          <w:b/>
          <w:bCs/>
          <w:sz w:val="24"/>
          <w:szCs w:val="24"/>
        </w:rPr>
        <w:t>5</w:t>
      </w:r>
      <w:r>
        <w:rPr>
          <w:b/>
          <w:bCs/>
          <w:sz w:val="24"/>
          <w:szCs w:val="24"/>
        </w:rPr>
        <w:t xml:space="preserve">.2.3 </w:t>
      </w:r>
      <w:r>
        <w:rPr>
          <w:sz w:val="24"/>
          <w:szCs w:val="24"/>
        </w:rPr>
        <w:t xml:space="preserve"> 脚手板应符合下列规定:</w:t>
      </w:r>
    </w:p>
    <w:p w14:paraId="08C84DE5">
      <w:pPr>
        <w:snapToGrid w:val="0"/>
        <w:spacing w:line="360" w:lineRule="auto"/>
        <w:ind w:firstLine="482" w:firstLineChars="200"/>
        <w:jc w:val="left"/>
        <w:rPr>
          <w:sz w:val="24"/>
          <w:szCs w:val="24"/>
        </w:rPr>
      </w:pPr>
      <w:r>
        <w:rPr>
          <w:b/>
          <w:bCs/>
          <w:sz w:val="24"/>
          <w:szCs w:val="24"/>
        </w:rPr>
        <w:t>1</w:t>
      </w:r>
      <w:r>
        <w:rPr>
          <w:sz w:val="24"/>
          <w:szCs w:val="24"/>
        </w:rPr>
        <w:t xml:space="preserve"> 钢脚手板的材质不应低于Q235级钢，并应符合现行国家标准《碳素结构钢》GB/T 700</w:t>
      </w:r>
      <w:r>
        <w:rPr>
          <w:rFonts w:hint="eastAsia"/>
          <w:sz w:val="24"/>
          <w:szCs w:val="24"/>
        </w:rPr>
        <w:t>和</w:t>
      </w:r>
      <w:r>
        <w:rPr>
          <w:sz w:val="24"/>
          <w:szCs w:val="24"/>
        </w:rPr>
        <w:t>《低合金高强度结构钢》GB/T 1591的规定</w:t>
      </w:r>
      <w:r>
        <w:rPr>
          <w:rFonts w:hint="eastAsia"/>
          <w:sz w:val="24"/>
          <w:szCs w:val="24"/>
        </w:rPr>
        <w:t>；</w:t>
      </w:r>
    </w:p>
    <w:p w14:paraId="0760F368">
      <w:pPr>
        <w:snapToGrid w:val="0"/>
        <w:spacing w:line="360" w:lineRule="auto"/>
        <w:ind w:firstLine="482" w:firstLineChars="200"/>
        <w:jc w:val="left"/>
        <w:rPr>
          <w:sz w:val="24"/>
          <w:szCs w:val="24"/>
        </w:rPr>
      </w:pPr>
      <w:r>
        <w:rPr>
          <w:b/>
          <w:bCs/>
          <w:sz w:val="24"/>
          <w:szCs w:val="24"/>
        </w:rPr>
        <w:t>2</w:t>
      </w:r>
      <w:r>
        <w:rPr>
          <w:sz w:val="24"/>
          <w:szCs w:val="24"/>
        </w:rPr>
        <w:t xml:space="preserve"> 木脚手板材质应符合现行国家标准《木结构设计</w:t>
      </w:r>
      <w:r>
        <w:rPr>
          <w:rFonts w:hint="eastAsia"/>
          <w:sz w:val="24"/>
          <w:szCs w:val="24"/>
        </w:rPr>
        <w:t>标准》</w:t>
      </w:r>
      <w:r>
        <w:rPr>
          <w:sz w:val="24"/>
          <w:szCs w:val="24"/>
        </w:rPr>
        <w:t>GB 50005中Ⅱa级材质的规定。</w:t>
      </w:r>
    </w:p>
    <w:p w14:paraId="2D668C83">
      <w:pPr>
        <w:snapToGrid w:val="0"/>
        <w:spacing w:line="360" w:lineRule="auto"/>
        <w:jc w:val="left"/>
        <w:rPr>
          <w:sz w:val="24"/>
          <w:szCs w:val="24"/>
        </w:rPr>
      </w:pPr>
      <w:r>
        <w:rPr>
          <w:rFonts w:hint="eastAsia"/>
          <w:b/>
          <w:bCs/>
          <w:sz w:val="24"/>
          <w:szCs w:val="24"/>
        </w:rPr>
        <w:t>5</w:t>
      </w:r>
      <w:r>
        <w:rPr>
          <w:b/>
          <w:bCs/>
          <w:sz w:val="24"/>
          <w:szCs w:val="24"/>
        </w:rPr>
        <w:t>.2.4</w:t>
      </w:r>
      <w:r>
        <w:rPr>
          <w:sz w:val="24"/>
          <w:szCs w:val="24"/>
        </w:rPr>
        <w:t xml:space="preserve">  可调托撑、可调底座其材质应符合现行国家标准《碳素结构钢》GB/T 700中Q235级钢的规定，螺杆直径和螺距应符合现行国家标准《梯形螺纹</w:t>
      </w:r>
      <w:r>
        <w:rPr>
          <w:rFonts w:hint="eastAsia"/>
          <w:sz w:val="24"/>
          <w:szCs w:val="24"/>
        </w:rPr>
        <w:t xml:space="preserve"> </w:t>
      </w:r>
      <w:r>
        <w:rPr>
          <w:sz w:val="24"/>
          <w:szCs w:val="24"/>
        </w:rPr>
        <w:t>第2部分:直径与螺距系列》GB/T</w:t>
      </w:r>
      <w:r>
        <w:rPr>
          <w:rFonts w:hint="eastAsia"/>
          <w:sz w:val="24"/>
          <w:szCs w:val="24"/>
        </w:rPr>
        <w:t xml:space="preserve"> </w:t>
      </w:r>
      <w:r>
        <w:rPr>
          <w:sz w:val="24"/>
          <w:szCs w:val="24"/>
        </w:rPr>
        <w:t>5796.2和《梯形螺纹</w:t>
      </w:r>
      <w:r>
        <w:rPr>
          <w:rFonts w:hint="eastAsia"/>
          <w:sz w:val="24"/>
          <w:szCs w:val="24"/>
        </w:rPr>
        <w:t xml:space="preserve"> </w:t>
      </w:r>
      <w:r>
        <w:rPr>
          <w:sz w:val="24"/>
          <w:szCs w:val="24"/>
        </w:rPr>
        <w:t>第3部分:基本尺寸》GB/T 5796.3的规定。</w:t>
      </w:r>
    </w:p>
    <w:p w14:paraId="52294C1D">
      <w:pPr>
        <w:snapToGrid w:val="0"/>
        <w:spacing w:line="360" w:lineRule="auto"/>
        <w:jc w:val="left"/>
        <w:rPr>
          <w:sz w:val="24"/>
          <w:szCs w:val="24"/>
        </w:rPr>
      </w:pPr>
      <w:r>
        <w:rPr>
          <w:rFonts w:hint="eastAsia"/>
          <w:b/>
          <w:bCs/>
          <w:sz w:val="24"/>
          <w:szCs w:val="24"/>
        </w:rPr>
        <w:t>5</w:t>
      </w:r>
      <w:r>
        <w:rPr>
          <w:b/>
          <w:bCs/>
          <w:sz w:val="24"/>
          <w:szCs w:val="24"/>
        </w:rPr>
        <w:t xml:space="preserve">.2.5 </w:t>
      </w:r>
      <w:r>
        <w:rPr>
          <w:sz w:val="24"/>
          <w:szCs w:val="24"/>
        </w:rPr>
        <w:t xml:space="preserve"> 悬挑脚手架用</w:t>
      </w:r>
      <w:r>
        <w:rPr>
          <w:rFonts w:hint="eastAsia"/>
          <w:sz w:val="24"/>
          <w:szCs w:val="24"/>
        </w:rPr>
        <w:t>型</w:t>
      </w:r>
      <w:r>
        <w:rPr>
          <w:sz w:val="24"/>
          <w:szCs w:val="24"/>
        </w:rPr>
        <w:t>钢的材质应符合现行国家标准《碳素结构钢》GB/T 700</w:t>
      </w:r>
      <w:r>
        <w:rPr>
          <w:rFonts w:hint="eastAsia"/>
          <w:sz w:val="24"/>
          <w:szCs w:val="24"/>
        </w:rPr>
        <w:t>和</w:t>
      </w:r>
      <w:r>
        <w:rPr>
          <w:sz w:val="24"/>
          <w:szCs w:val="24"/>
        </w:rPr>
        <w:t>《低合金高强度结构钢》GB/T 1591的规定。</w:t>
      </w:r>
    </w:p>
    <w:p w14:paraId="1559DC2A">
      <w:pPr>
        <w:snapToGrid w:val="0"/>
        <w:spacing w:line="360" w:lineRule="auto"/>
        <w:jc w:val="left"/>
        <w:rPr>
          <w:sz w:val="24"/>
          <w:szCs w:val="24"/>
        </w:rPr>
      </w:pPr>
      <w:r>
        <w:rPr>
          <w:rFonts w:hint="eastAsia"/>
          <w:b/>
          <w:bCs/>
          <w:sz w:val="24"/>
          <w:szCs w:val="24"/>
        </w:rPr>
        <w:t>5</w:t>
      </w:r>
      <w:r>
        <w:rPr>
          <w:b/>
          <w:bCs/>
          <w:sz w:val="24"/>
          <w:szCs w:val="24"/>
        </w:rPr>
        <w:t xml:space="preserve">.2.6 </w:t>
      </w:r>
      <w:r>
        <w:rPr>
          <w:sz w:val="24"/>
          <w:szCs w:val="24"/>
        </w:rPr>
        <w:t xml:space="preserve"> 三角桁架悬挑脚手架用型钢和配件应符合</w:t>
      </w:r>
      <w:r>
        <w:rPr>
          <w:rFonts w:hint="eastAsia"/>
          <w:sz w:val="24"/>
          <w:szCs w:val="24"/>
        </w:rPr>
        <w:t>现行地方标准</w:t>
      </w:r>
      <w:r>
        <w:rPr>
          <w:sz w:val="24"/>
          <w:szCs w:val="24"/>
        </w:rPr>
        <w:t>《扣件式和碗扣式钢管脚手架安全选用技术规程》DB11/T 583的规定。</w:t>
      </w:r>
    </w:p>
    <w:p w14:paraId="335FF2C1">
      <w:pPr>
        <w:snapToGrid w:val="0"/>
        <w:spacing w:line="360" w:lineRule="auto"/>
        <w:jc w:val="left"/>
        <w:rPr>
          <w:sz w:val="24"/>
          <w:szCs w:val="24"/>
        </w:rPr>
      </w:pPr>
      <w:r>
        <w:rPr>
          <w:rFonts w:hint="eastAsia"/>
          <w:b/>
          <w:bCs/>
          <w:sz w:val="24"/>
          <w:szCs w:val="24"/>
        </w:rPr>
        <w:t>5</w:t>
      </w:r>
      <w:r>
        <w:rPr>
          <w:b/>
          <w:bCs/>
          <w:sz w:val="24"/>
          <w:szCs w:val="24"/>
        </w:rPr>
        <w:t>.2.7</w:t>
      </w:r>
      <w:r>
        <w:rPr>
          <w:sz w:val="24"/>
          <w:szCs w:val="24"/>
        </w:rPr>
        <w:t xml:space="preserve">  高处作业吊篮产品应符合现行国家标准《高处作业吊篮》GB/T 19155的规定</w:t>
      </w:r>
      <w:r>
        <w:rPr>
          <w:rFonts w:hint="eastAsia"/>
          <w:sz w:val="24"/>
          <w:szCs w:val="24"/>
        </w:rPr>
        <w:t>。</w:t>
      </w:r>
    </w:p>
    <w:p w14:paraId="02F09223">
      <w:pPr>
        <w:snapToGrid w:val="0"/>
        <w:spacing w:line="360" w:lineRule="auto"/>
        <w:jc w:val="left"/>
        <w:rPr>
          <w:sz w:val="24"/>
          <w:szCs w:val="24"/>
        </w:rPr>
      </w:pPr>
      <w:r>
        <w:rPr>
          <w:rFonts w:hint="eastAsia"/>
          <w:b/>
          <w:bCs/>
          <w:sz w:val="24"/>
          <w:szCs w:val="24"/>
        </w:rPr>
        <w:t>5</w:t>
      </w:r>
      <w:r>
        <w:rPr>
          <w:b/>
          <w:bCs/>
          <w:sz w:val="24"/>
          <w:szCs w:val="24"/>
        </w:rPr>
        <w:t xml:space="preserve">.2.8 </w:t>
      </w:r>
      <w:r>
        <w:rPr>
          <w:sz w:val="24"/>
          <w:szCs w:val="24"/>
        </w:rPr>
        <w:t xml:space="preserve"> 工具式脚手架构配件当使用型钢、钢板和圆钢制作时，其材质应符合现行国家标准《碳素结构钢》GB/T 700中Q235-A级钢的规定。</w:t>
      </w:r>
    </w:p>
    <w:p w14:paraId="6222E8C8">
      <w:pPr>
        <w:snapToGrid w:val="0"/>
        <w:spacing w:line="360" w:lineRule="auto"/>
        <w:jc w:val="left"/>
        <w:rPr>
          <w:sz w:val="24"/>
          <w:szCs w:val="24"/>
        </w:rPr>
      </w:pPr>
      <w:r>
        <w:rPr>
          <w:rFonts w:hint="eastAsia"/>
          <w:b/>
          <w:bCs/>
          <w:sz w:val="24"/>
          <w:szCs w:val="24"/>
        </w:rPr>
        <w:t>5</w:t>
      </w:r>
      <w:r>
        <w:rPr>
          <w:b/>
          <w:bCs/>
          <w:sz w:val="24"/>
          <w:szCs w:val="24"/>
        </w:rPr>
        <w:t>.2.9</w:t>
      </w:r>
      <w:r>
        <w:rPr>
          <w:sz w:val="24"/>
          <w:szCs w:val="24"/>
        </w:rPr>
        <w:t xml:space="preserve">  安全网应符合现行国家标准《坠落防护 安全网》GB 5725的规定。</w:t>
      </w:r>
    </w:p>
    <w:p w14:paraId="704936F8">
      <w:pPr>
        <w:snapToGrid w:val="0"/>
        <w:spacing w:line="360" w:lineRule="auto"/>
        <w:jc w:val="left"/>
        <w:rPr>
          <w:sz w:val="24"/>
          <w:szCs w:val="24"/>
        </w:rPr>
      </w:pPr>
      <w:r>
        <w:rPr>
          <w:rFonts w:hint="eastAsia"/>
          <w:b/>
          <w:bCs/>
          <w:sz w:val="24"/>
          <w:szCs w:val="24"/>
        </w:rPr>
        <w:t>5</w:t>
      </w:r>
      <w:r>
        <w:rPr>
          <w:b/>
          <w:bCs/>
          <w:sz w:val="24"/>
          <w:szCs w:val="24"/>
        </w:rPr>
        <w:t>.2.10</w:t>
      </w:r>
      <w:r>
        <w:rPr>
          <w:sz w:val="24"/>
          <w:szCs w:val="24"/>
        </w:rPr>
        <w:t xml:space="preserve">  钢板立网应符合现行地方标准《脚手架钢板立网防护应用技术规程》DB11/T 2324的规定。</w:t>
      </w:r>
    </w:p>
    <w:p w14:paraId="43CEB1AB">
      <w:pPr>
        <w:spacing w:line="360" w:lineRule="auto"/>
        <w:jc w:val="center"/>
        <w:outlineLvl w:val="1"/>
        <w:rPr>
          <w:b/>
          <w:bCs/>
          <w:sz w:val="24"/>
          <w:szCs w:val="24"/>
        </w:rPr>
      </w:pPr>
      <w:bookmarkStart w:id="116" w:name="_Toc22700"/>
      <w:bookmarkStart w:id="117" w:name="_Toc20630"/>
      <w:bookmarkStart w:id="118" w:name="_Toc19887"/>
      <w:r>
        <w:rPr>
          <w:rFonts w:hint="eastAsia"/>
          <w:b/>
          <w:bCs/>
          <w:sz w:val="24"/>
          <w:szCs w:val="24"/>
        </w:rPr>
        <w:t>5</w:t>
      </w:r>
      <w:r>
        <w:rPr>
          <w:b/>
          <w:bCs/>
          <w:sz w:val="24"/>
          <w:szCs w:val="24"/>
        </w:rPr>
        <w:t>.</w:t>
      </w:r>
      <w:r>
        <w:rPr>
          <w:rFonts w:hint="eastAsia"/>
          <w:b/>
          <w:bCs/>
          <w:sz w:val="24"/>
          <w:szCs w:val="24"/>
        </w:rPr>
        <w:t>3</w:t>
      </w:r>
      <w:r>
        <w:rPr>
          <w:b/>
          <w:bCs/>
          <w:sz w:val="24"/>
          <w:szCs w:val="24"/>
        </w:rPr>
        <w:t xml:space="preserve"> </w:t>
      </w:r>
      <w:bookmarkEnd w:id="116"/>
      <w:r>
        <w:rPr>
          <w:b/>
          <w:bCs/>
          <w:sz w:val="24"/>
          <w:szCs w:val="24"/>
        </w:rPr>
        <w:t>搭设、使用与拆除</w:t>
      </w:r>
      <w:bookmarkEnd w:id="117"/>
      <w:bookmarkEnd w:id="118"/>
    </w:p>
    <w:p w14:paraId="6B82C469">
      <w:pPr>
        <w:spacing w:line="360" w:lineRule="auto"/>
        <w:rPr>
          <w:kern w:val="0"/>
          <w:sz w:val="24"/>
          <w:szCs w:val="24"/>
        </w:rPr>
      </w:pPr>
      <w:r>
        <w:rPr>
          <w:rFonts w:hint="eastAsia"/>
          <w:b/>
          <w:bCs/>
          <w:kern w:val="0"/>
          <w:sz w:val="24"/>
          <w:szCs w:val="24"/>
        </w:rPr>
        <w:t>5.3.1</w:t>
      </w:r>
      <w:r>
        <w:rPr>
          <w:rFonts w:hint="eastAsia"/>
          <w:b/>
          <w:bCs/>
          <w:color w:val="FF0000"/>
          <w:kern w:val="0"/>
          <w:sz w:val="24"/>
          <w:szCs w:val="24"/>
        </w:rPr>
        <w:t xml:space="preserve">  </w:t>
      </w:r>
      <w:r>
        <w:rPr>
          <w:kern w:val="0"/>
          <w:sz w:val="24"/>
          <w:szCs w:val="24"/>
        </w:rPr>
        <w:t>脚手架承受的永久荷载和可变荷载应符合方案计算荷载的要求。</w:t>
      </w:r>
    </w:p>
    <w:p w14:paraId="12B5E170">
      <w:pPr>
        <w:spacing w:line="360" w:lineRule="auto"/>
        <w:rPr>
          <w:kern w:val="0"/>
          <w:sz w:val="24"/>
          <w:szCs w:val="24"/>
        </w:rPr>
      </w:pPr>
      <w:r>
        <w:rPr>
          <w:rFonts w:hint="eastAsia"/>
          <w:b/>
          <w:bCs/>
          <w:kern w:val="0"/>
          <w:sz w:val="24"/>
          <w:szCs w:val="24"/>
        </w:rPr>
        <w:t>5</w:t>
      </w:r>
      <w:r>
        <w:rPr>
          <w:b/>
          <w:bCs/>
          <w:kern w:val="0"/>
          <w:sz w:val="24"/>
          <w:szCs w:val="24"/>
        </w:rPr>
        <w:t>.</w:t>
      </w:r>
      <w:r>
        <w:rPr>
          <w:rFonts w:hint="eastAsia"/>
          <w:b/>
          <w:bCs/>
          <w:kern w:val="0"/>
          <w:sz w:val="24"/>
          <w:szCs w:val="24"/>
        </w:rPr>
        <w:t>3</w:t>
      </w:r>
      <w:r>
        <w:rPr>
          <w:b/>
          <w:bCs/>
          <w:kern w:val="0"/>
          <w:sz w:val="24"/>
          <w:szCs w:val="24"/>
        </w:rPr>
        <w:t>.</w:t>
      </w:r>
      <w:r>
        <w:rPr>
          <w:rFonts w:hint="eastAsia"/>
          <w:b/>
          <w:bCs/>
          <w:kern w:val="0"/>
          <w:sz w:val="24"/>
          <w:szCs w:val="24"/>
        </w:rPr>
        <w:t>2</w:t>
      </w:r>
      <w:r>
        <w:rPr>
          <w:b/>
          <w:bCs/>
          <w:sz w:val="24"/>
          <w:szCs w:val="24"/>
        </w:rPr>
        <w:t xml:space="preserve">  </w:t>
      </w:r>
      <w:r>
        <w:rPr>
          <w:kern w:val="0"/>
          <w:sz w:val="24"/>
          <w:szCs w:val="24"/>
        </w:rPr>
        <w:t>脚手架搭设时应在操作区域及可能坠落范围设置安全警戒</w:t>
      </w:r>
      <w:r>
        <w:rPr>
          <w:rFonts w:hint="eastAsia"/>
          <w:kern w:val="0"/>
          <w:sz w:val="24"/>
          <w:szCs w:val="24"/>
        </w:rPr>
        <w:t>区域</w:t>
      </w:r>
      <w:r>
        <w:rPr>
          <w:kern w:val="0"/>
          <w:sz w:val="24"/>
          <w:szCs w:val="24"/>
        </w:rPr>
        <w:t>，并应设专人监护</w:t>
      </w:r>
      <w:r>
        <w:rPr>
          <w:rFonts w:hint="eastAsia"/>
          <w:kern w:val="0"/>
          <w:sz w:val="24"/>
          <w:szCs w:val="24"/>
        </w:rPr>
        <w:t>。</w:t>
      </w:r>
    </w:p>
    <w:p w14:paraId="669651BD">
      <w:pPr>
        <w:spacing w:line="360" w:lineRule="auto"/>
        <w:rPr>
          <w:kern w:val="0"/>
          <w:sz w:val="24"/>
          <w:szCs w:val="24"/>
        </w:rPr>
      </w:pPr>
      <w:r>
        <w:rPr>
          <w:rFonts w:hint="eastAsia"/>
          <w:b/>
          <w:bCs/>
          <w:kern w:val="0"/>
          <w:sz w:val="24"/>
          <w:szCs w:val="24"/>
        </w:rPr>
        <w:t>5</w:t>
      </w:r>
      <w:r>
        <w:rPr>
          <w:b/>
          <w:bCs/>
          <w:kern w:val="0"/>
          <w:sz w:val="24"/>
          <w:szCs w:val="24"/>
        </w:rPr>
        <w:t>.</w:t>
      </w:r>
      <w:r>
        <w:rPr>
          <w:rFonts w:hint="eastAsia"/>
          <w:b/>
          <w:bCs/>
          <w:kern w:val="0"/>
          <w:sz w:val="24"/>
          <w:szCs w:val="24"/>
        </w:rPr>
        <w:t>3</w:t>
      </w:r>
      <w:r>
        <w:rPr>
          <w:b/>
          <w:bCs/>
          <w:kern w:val="0"/>
          <w:sz w:val="24"/>
          <w:szCs w:val="24"/>
        </w:rPr>
        <w:t>.</w:t>
      </w:r>
      <w:r>
        <w:rPr>
          <w:rFonts w:hint="eastAsia"/>
          <w:b/>
          <w:bCs/>
          <w:kern w:val="0"/>
          <w:sz w:val="24"/>
          <w:szCs w:val="24"/>
        </w:rPr>
        <w:t>3</w:t>
      </w:r>
      <w:r>
        <w:rPr>
          <w:b/>
          <w:bCs/>
          <w:sz w:val="24"/>
          <w:szCs w:val="24"/>
        </w:rPr>
        <w:t xml:space="preserve">  </w:t>
      </w:r>
      <w:r>
        <w:rPr>
          <w:kern w:val="0"/>
          <w:sz w:val="24"/>
          <w:szCs w:val="24"/>
        </w:rPr>
        <w:t>脚手架搭设时，高处作业人员应正确系挂安全带，安全带系挂宜采取以下措施：</w:t>
      </w:r>
    </w:p>
    <w:p w14:paraId="2FCAA783">
      <w:pPr>
        <w:spacing w:line="360" w:lineRule="auto"/>
        <w:ind w:firstLine="482" w:firstLineChars="200"/>
        <w:rPr>
          <w:kern w:val="0"/>
          <w:sz w:val="24"/>
          <w:szCs w:val="24"/>
        </w:rPr>
      </w:pPr>
      <w:r>
        <w:rPr>
          <w:b/>
          <w:bCs/>
          <w:kern w:val="0"/>
          <w:sz w:val="24"/>
          <w:szCs w:val="24"/>
        </w:rPr>
        <w:t>1</w:t>
      </w:r>
      <w:r>
        <w:rPr>
          <w:kern w:val="0"/>
          <w:sz w:val="24"/>
          <w:szCs w:val="24"/>
        </w:rPr>
        <w:t xml:space="preserve"> 设置安全钢丝绳，钢丝绳直径不</w:t>
      </w:r>
      <w:r>
        <w:rPr>
          <w:rFonts w:hint="eastAsia"/>
          <w:kern w:val="0"/>
          <w:sz w:val="24"/>
          <w:szCs w:val="24"/>
        </w:rPr>
        <w:t>宜</w:t>
      </w:r>
      <w:r>
        <w:rPr>
          <w:kern w:val="0"/>
          <w:sz w:val="24"/>
          <w:szCs w:val="24"/>
        </w:rPr>
        <w:t>小于6㎜；</w:t>
      </w:r>
    </w:p>
    <w:p w14:paraId="0C891CFE">
      <w:pPr>
        <w:spacing w:line="360" w:lineRule="auto"/>
        <w:ind w:firstLine="482" w:firstLineChars="200"/>
        <w:rPr>
          <w:kern w:val="0"/>
          <w:sz w:val="24"/>
          <w:szCs w:val="24"/>
        </w:rPr>
      </w:pPr>
      <w:r>
        <w:rPr>
          <w:b/>
          <w:bCs/>
          <w:kern w:val="0"/>
          <w:sz w:val="24"/>
          <w:szCs w:val="24"/>
        </w:rPr>
        <w:t>2</w:t>
      </w:r>
      <w:r>
        <w:rPr>
          <w:kern w:val="0"/>
          <w:sz w:val="24"/>
          <w:szCs w:val="24"/>
        </w:rPr>
        <w:t xml:space="preserve"> 脚手架搭设时，安全钢丝绳设置在脚手架靠近结构一侧的立杆或横向水平杆上。</w:t>
      </w:r>
    </w:p>
    <w:p w14:paraId="0329EBEF">
      <w:pPr>
        <w:spacing w:line="360" w:lineRule="auto"/>
        <w:rPr>
          <w:kern w:val="0"/>
          <w:sz w:val="24"/>
          <w:szCs w:val="24"/>
        </w:rPr>
      </w:pPr>
      <w:r>
        <w:rPr>
          <w:rFonts w:hint="eastAsia"/>
          <w:b/>
          <w:bCs/>
          <w:kern w:val="0"/>
          <w:sz w:val="24"/>
          <w:szCs w:val="24"/>
        </w:rPr>
        <w:t>5</w:t>
      </w:r>
      <w:r>
        <w:rPr>
          <w:b/>
          <w:bCs/>
          <w:kern w:val="0"/>
          <w:sz w:val="24"/>
          <w:szCs w:val="24"/>
        </w:rPr>
        <w:t>.</w:t>
      </w:r>
      <w:r>
        <w:rPr>
          <w:rFonts w:hint="eastAsia"/>
          <w:b/>
          <w:bCs/>
          <w:kern w:val="0"/>
          <w:sz w:val="24"/>
          <w:szCs w:val="24"/>
        </w:rPr>
        <w:t>3</w:t>
      </w:r>
      <w:r>
        <w:rPr>
          <w:b/>
          <w:bCs/>
          <w:kern w:val="0"/>
          <w:sz w:val="24"/>
          <w:szCs w:val="24"/>
        </w:rPr>
        <w:t>.</w:t>
      </w:r>
      <w:r>
        <w:rPr>
          <w:rFonts w:hint="eastAsia"/>
          <w:b/>
          <w:bCs/>
          <w:kern w:val="0"/>
          <w:sz w:val="24"/>
          <w:szCs w:val="24"/>
        </w:rPr>
        <w:t>4</w:t>
      </w:r>
      <w:r>
        <w:rPr>
          <w:b/>
          <w:bCs/>
          <w:sz w:val="24"/>
          <w:szCs w:val="24"/>
        </w:rPr>
        <w:t xml:space="preserve">  </w:t>
      </w:r>
      <w:r>
        <w:rPr>
          <w:kern w:val="0"/>
          <w:sz w:val="24"/>
          <w:szCs w:val="24"/>
        </w:rPr>
        <w:t>单排脚手架搭设高度不得超过20m。</w:t>
      </w:r>
    </w:p>
    <w:p w14:paraId="7A4CD104">
      <w:pPr>
        <w:spacing w:line="360" w:lineRule="auto"/>
        <w:rPr>
          <w:kern w:val="0"/>
          <w:sz w:val="24"/>
          <w:szCs w:val="24"/>
        </w:rPr>
      </w:pPr>
      <w:r>
        <w:rPr>
          <w:rFonts w:hint="eastAsia"/>
          <w:b/>
          <w:bCs/>
          <w:kern w:val="0"/>
          <w:sz w:val="24"/>
          <w:szCs w:val="24"/>
        </w:rPr>
        <w:t>5</w:t>
      </w:r>
      <w:r>
        <w:rPr>
          <w:b/>
          <w:bCs/>
          <w:kern w:val="0"/>
          <w:sz w:val="24"/>
          <w:szCs w:val="24"/>
        </w:rPr>
        <w:t>.</w:t>
      </w:r>
      <w:r>
        <w:rPr>
          <w:rFonts w:hint="eastAsia"/>
          <w:b/>
          <w:bCs/>
          <w:kern w:val="0"/>
          <w:sz w:val="24"/>
          <w:szCs w:val="24"/>
        </w:rPr>
        <w:t>3</w:t>
      </w:r>
      <w:r>
        <w:rPr>
          <w:b/>
          <w:bCs/>
          <w:kern w:val="0"/>
          <w:sz w:val="24"/>
          <w:szCs w:val="24"/>
        </w:rPr>
        <w:t>.</w:t>
      </w:r>
      <w:r>
        <w:rPr>
          <w:rFonts w:hint="eastAsia"/>
          <w:b/>
          <w:bCs/>
          <w:kern w:val="0"/>
          <w:sz w:val="24"/>
          <w:szCs w:val="24"/>
        </w:rPr>
        <w:t>5</w:t>
      </w:r>
      <w:r>
        <w:rPr>
          <w:b/>
          <w:bCs/>
          <w:sz w:val="24"/>
          <w:szCs w:val="24"/>
        </w:rPr>
        <w:t xml:space="preserve">  </w:t>
      </w:r>
      <w:r>
        <w:rPr>
          <w:kern w:val="0"/>
          <w:sz w:val="24"/>
          <w:szCs w:val="24"/>
        </w:rPr>
        <w:t>脚手架立杆基础应铺设垫板或底座，立杆基础应平整、坚实，并应有排水措施。</w:t>
      </w:r>
    </w:p>
    <w:p w14:paraId="6FFB7233">
      <w:pPr>
        <w:spacing w:line="360" w:lineRule="auto"/>
        <w:rPr>
          <w:kern w:val="0"/>
          <w:sz w:val="24"/>
          <w:szCs w:val="24"/>
        </w:rPr>
      </w:pPr>
      <w:r>
        <w:rPr>
          <w:rFonts w:hint="eastAsia"/>
          <w:b/>
          <w:bCs/>
          <w:kern w:val="0"/>
          <w:sz w:val="24"/>
          <w:szCs w:val="24"/>
        </w:rPr>
        <w:t>5</w:t>
      </w:r>
      <w:r>
        <w:rPr>
          <w:b/>
          <w:bCs/>
          <w:kern w:val="0"/>
          <w:sz w:val="24"/>
          <w:szCs w:val="24"/>
        </w:rPr>
        <w:t>.</w:t>
      </w:r>
      <w:r>
        <w:rPr>
          <w:rFonts w:hint="eastAsia"/>
          <w:b/>
          <w:bCs/>
          <w:kern w:val="0"/>
          <w:sz w:val="24"/>
          <w:szCs w:val="24"/>
        </w:rPr>
        <w:t>3</w:t>
      </w:r>
      <w:r>
        <w:rPr>
          <w:b/>
          <w:bCs/>
          <w:kern w:val="0"/>
          <w:sz w:val="24"/>
          <w:szCs w:val="24"/>
        </w:rPr>
        <w:t>.</w:t>
      </w:r>
      <w:r>
        <w:rPr>
          <w:rFonts w:hint="eastAsia"/>
          <w:b/>
          <w:bCs/>
          <w:kern w:val="0"/>
          <w:sz w:val="24"/>
          <w:szCs w:val="24"/>
        </w:rPr>
        <w:t>6</w:t>
      </w:r>
      <w:r>
        <w:rPr>
          <w:b/>
          <w:bCs/>
          <w:sz w:val="24"/>
          <w:szCs w:val="24"/>
        </w:rPr>
        <w:t xml:space="preserve">  </w:t>
      </w:r>
      <w:r>
        <w:rPr>
          <w:kern w:val="0"/>
          <w:sz w:val="24"/>
          <w:szCs w:val="24"/>
        </w:rPr>
        <w:t>钢管脚手架应设置纵、横向扫地杆。纵向扫地杆应采用直角扣件固定在距钢管底端不大于200mm处的立杆上。横向扫地杆应采用直角扣件固定在紧靠纵向扫地杆下方的立杆上。</w:t>
      </w:r>
    </w:p>
    <w:p w14:paraId="1C590717">
      <w:pPr>
        <w:spacing w:line="360" w:lineRule="auto"/>
        <w:rPr>
          <w:kern w:val="0"/>
          <w:sz w:val="24"/>
          <w:szCs w:val="24"/>
        </w:rPr>
      </w:pPr>
      <w:r>
        <w:rPr>
          <w:rFonts w:hint="eastAsia"/>
          <w:b/>
          <w:bCs/>
          <w:kern w:val="0"/>
          <w:sz w:val="24"/>
          <w:szCs w:val="24"/>
        </w:rPr>
        <w:t>5</w:t>
      </w:r>
      <w:r>
        <w:rPr>
          <w:b/>
          <w:bCs/>
          <w:kern w:val="0"/>
          <w:sz w:val="24"/>
          <w:szCs w:val="24"/>
        </w:rPr>
        <w:t>.</w:t>
      </w:r>
      <w:r>
        <w:rPr>
          <w:rFonts w:hint="eastAsia"/>
          <w:b/>
          <w:bCs/>
          <w:kern w:val="0"/>
          <w:sz w:val="24"/>
          <w:szCs w:val="24"/>
        </w:rPr>
        <w:t>3</w:t>
      </w:r>
      <w:r>
        <w:rPr>
          <w:b/>
          <w:bCs/>
          <w:kern w:val="0"/>
          <w:sz w:val="24"/>
          <w:szCs w:val="24"/>
        </w:rPr>
        <w:t>.</w:t>
      </w:r>
      <w:r>
        <w:rPr>
          <w:rFonts w:hint="eastAsia"/>
          <w:b/>
          <w:bCs/>
          <w:kern w:val="0"/>
          <w:sz w:val="24"/>
          <w:szCs w:val="24"/>
        </w:rPr>
        <w:t>7</w:t>
      </w:r>
      <w:r>
        <w:rPr>
          <w:b/>
          <w:bCs/>
          <w:sz w:val="24"/>
          <w:szCs w:val="24"/>
        </w:rPr>
        <w:t xml:space="preserve">  </w:t>
      </w:r>
      <w:r>
        <w:rPr>
          <w:kern w:val="0"/>
          <w:sz w:val="24"/>
          <w:szCs w:val="24"/>
        </w:rPr>
        <w:t>脚手架立杆接长除顶层顶步外，其余各层各步接头应采用对接扣件连接。</w:t>
      </w:r>
    </w:p>
    <w:p w14:paraId="1E71BAE0">
      <w:pPr>
        <w:spacing w:line="360" w:lineRule="auto"/>
        <w:rPr>
          <w:kern w:val="0"/>
          <w:sz w:val="24"/>
          <w:szCs w:val="24"/>
        </w:rPr>
      </w:pPr>
      <w:r>
        <w:rPr>
          <w:rFonts w:hint="eastAsia"/>
          <w:b/>
          <w:bCs/>
          <w:kern w:val="0"/>
          <w:sz w:val="24"/>
          <w:szCs w:val="24"/>
        </w:rPr>
        <w:t>5</w:t>
      </w:r>
      <w:r>
        <w:rPr>
          <w:b/>
          <w:bCs/>
          <w:kern w:val="0"/>
          <w:sz w:val="24"/>
          <w:szCs w:val="24"/>
        </w:rPr>
        <w:t>.</w:t>
      </w:r>
      <w:r>
        <w:rPr>
          <w:rFonts w:hint="eastAsia"/>
          <w:b/>
          <w:bCs/>
          <w:kern w:val="0"/>
          <w:sz w:val="24"/>
          <w:szCs w:val="24"/>
        </w:rPr>
        <w:t>3</w:t>
      </w:r>
      <w:r>
        <w:rPr>
          <w:b/>
          <w:bCs/>
          <w:kern w:val="0"/>
          <w:sz w:val="24"/>
          <w:szCs w:val="24"/>
        </w:rPr>
        <w:t>.</w:t>
      </w:r>
      <w:r>
        <w:rPr>
          <w:rFonts w:hint="eastAsia"/>
          <w:b/>
          <w:bCs/>
          <w:kern w:val="0"/>
          <w:sz w:val="24"/>
          <w:szCs w:val="24"/>
        </w:rPr>
        <w:t>8</w:t>
      </w:r>
      <w:r>
        <w:rPr>
          <w:b/>
          <w:bCs/>
          <w:sz w:val="24"/>
          <w:szCs w:val="24"/>
        </w:rPr>
        <w:t xml:space="preserve">  </w:t>
      </w:r>
      <w:r>
        <w:rPr>
          <w:kern w:val="0"/>
          <w:sz w:val="24"/>
          <w:szCs w:val="24"/>
        </w:rPr>
        <w:t>脚手架主节点处应设置一根横向水平杆，用直角扣件扣接且不得拆除。</w:t>
      </w:r>
    </w:p>
    <w:p w14:paraId="0C1ADBB9">
      <w:pPr>
        <w:spacing w:line="360" w:lineRule="auto"/>
        <w:rPr>
          <w:kern w:val="0"/>
          <w:sz w:val="24"/>
          <w:szCs w:val="24"/>
        </w:rPr>
      </w:pPr>
      <w:r>
        <w:rPr>
          <w:rFonts w:hint="eastAsia"/>
          <w:b/>
          <w:bCs/>
          <w:kern w:val="0"/>
          <w:sz w:val="24"/>
          <w:szCs w:val="24"/>
        </w:rPr>
        <w:t>5</w:t>
      </w:r>
      <w:r>
        <w:rPr>
          <w:b/>
          <w:bCs/>
          <w:kern w:val="0"/>
          <w:sz w:val="24"/>
          <w:szCs w:val="24"/>
        </w:rPr>
        <w:t>.</w:t>
      </w:r>
      <w:r>
        <w:rPr>
          <w:rFonts w:hint="eastAsia"/>
          <w:b/>
          <w:bCs/>
          <w:kern w:val="0"/>
          <w:sz w:val="24"/>
          <w:szCs w:val="24"/>
        </w:rPr>
        <w:t>3</w:t>
      </w:r>
      <w:r>
        <w:rPr>
          <w:b/>
          <w:bCs/>
          <w:kern w:val="0"/>
          <w:sz w:val="24"/>
          <w:szCs w:val="24"/>
        </w:rPr>
        <w:t>.</w:t>
      </w:r>
      <w:r>
        <w:rPr>
          <w:rFonts w:hint="eastAsia"/>
          <w:b/>
          <w:bCs/>
          <w:kern w:val="0"/>
          <w:sz w:val="24"/>
          <w:szCs w:val="24"/>
        </w:rPr>
        <w:t>9</w:t>
      </w:r>
      <w:r>
        <w:rPr>
          <w:rFonts w:hint="eastAsia"/>
          <w:b/>
          <w:bCs/>
          <w:kern w:val="0"/>
          <w:szCs w:val="21"/>
        </w:rPr>
        <w:t xml:space="preserve">  </w:t>
      </w:r>
      <w:r>
        <w:rPr>
          <w:kern w:val="0"/>
          <w:sz w:val="24"/>
          <w:szCs w:val="24"/>
        </w:rPr>
        <w:t>脚手架最上一道大横杆应高出女儿墙上端1.2m，坡屋面结构应高出檐口上端 1.5m</w:t>
      </w:r>
      <w:r>
        <w:rPr>
          <w:rFonts w:hint="eastAsia"/>
          <w:kern w:val="0"/>
          <w:sz w:val="24"/>
          <w:szCs w:val="24"/>
        </w:rPr>
        <w:t>。</w:t>
      </w:r>
    </w:p>
    <w:p w14:paraId="7D6C1275">
      <w:pPr>
        <w:spacing w:line="360" w:lineRule="auto"/>
        <w:rPr>
          <w:kern w:val="0"/>
          <w:sz w:val="24"/>
          <w:szCs w:val="24"/>
        </w:rPr>
      </w:pPr>
      <w:r>
        <w:rPr>
          <w:rFonts w:hint="eastAsia"/>
          <w:b/>
          <w:bCs/>
          <w:kern w:val="0"/>
          <w:sz w:val="24"/>
          <w:szCs w:val="24"/>
        </w:rPr>
        <w:t>5</w:t>
      </w:r>
      <w:r>
        <w:rPr>
          <w:b/>
          <w:bCs/>
          <w:kern w:val="0"/>
          <w:sz w:val="24"/>
          <w:szCs w:val="24"/>
        </w:rPr>
        <w:t>.</w:t>
      </w:r>
      <w:r>
        <w:rPr>
          <w:rFonts w:hint="eastAsia"/>
          <w:b/>
          <w:bCs/>
          <w:kern w:val="0"/>
          <w:sz w:val="24"/>
          <w:szCs w:val="24"/>
        </w:rPr>
        <w:t>3</w:t>
      </w:r>
      <w:r>
        <w:rPr>
          <w:b/>
          <w:bCs/>
          <w:kern w:val="0"/>
          <w:sz w:val="24"/>
          <w:szCs w:val="24"/>
        </w:rPr>
        <w:t>.</w:t>
      </w:r>
      <w:r>
        <w:rPr>
          <w:rFonts w:hint="eastAsia"/>
          <w:b/>
          <w:bCs/>
          <w:kern w:val="0"/>
          <w:sz w:val="24"/>
          <w:szCs w:val="24"/>
        </w:rPr>
        <w:t>10</w:t>
      </w:r>
      <w:r>
        <w:rPr>
          <w:b/>
          <w:bCs/>
          <w:sz w:val="24"/>
          <w:szCs w:val="24"/>
        </w:rPr>
        <w:t xml:space="preserve">  </w:t>
      </w:r>
      <w:r>
        <w:rPr>
          <w:kern w:val="0"/>
          <w:sz w:val="24"/>
          <w:szCs w:val="24"/>
        </w:rPr>
        <w:t>连墙件应靠近主节点设置，偏离主节点的距离不应大于300mm。双排钢管脚手架连墙件应与内外排杆件连接，连墙件宜与立杆连接。</w:t>
      </w:r>
    </w:p>
    <w:p w14:paraId="360D12EF">
      <w:pPr>
        <w:spacing w:line="360" w:lineRule="auto"/>
        <w:rPr>
          <w:kern w:val="0"/>
          <w:sz w:val="24"/>
          <w:szCs w:val="24"/>
        </w:rPr>
      </w:pPr>
      <w:r>
        <w:rPr>
          <w:rFonts w:hint="eastAsia"/>
          <w:b/>
          <w:bCs/>
          <w:kern w:val="0"/>
          <w:sz w:val="24"/>
          <w:szCs w:val="24"/>
        </w:rPr>
        <w:t>5</w:t>
      </w:r>
      <w:r>
        <w:rPr>
          <w:b/>
          <w:bCs/>
          <w:kern w:val="0"/>
          <w:sz w:val="24"/>
          <w:szCs w:val="24"/>
        </w:rPr>
        <w:t>.</w:t>
      </w:r>
      <w:r>
        <w:rPr>
          <w:rFonts w:hint="eastAsia"/>
          <w:b/>
          <w:bCs/>
          <w:kern w:val="0"/>
          <w:sz w:val="24"/>
          <w:szCs w:val="24"/>
        </w:rPr>
        <w:t>3</w:t>
      </w:r>
      <w:r>
        <w:rPr>
          <w:b/>
          <w:bCs/>
          <w:kern w:val="0"/>
          <w:sz w:val="24"/>
          <w:szCs w:val="24"/>
        </w:rPr>
        <w:t>.1</w:t>
      </w:r>
      <w:r>
        <w:rPr>
          <w:rFonts w:hint="eastAsia"/>
          <w:b/>
          <w:bCs/>
          <w:kern w:val="0"/>
          <w:sz w:val="24"/>
          <w:szCs w:val="24"/>
        </w:rPr>
        <w:t>1</w:t>
      </w:r>
      <w:r>
        <w:rPr>
          <w:b/>
          <w:bCs/>
          <w:sz w:val="24"/>
          <w:szCs w:val="24"/>
        </w:rPr>
        <w:t xml:space="preserve">  </w:t>
      </w:r>
      <w:r>
        <w:rPr>
          <w:kern w:val="0"/>
          <w:sz w:val="24"/>
          <w:szCs w:val="24"/>
        </w:rPr>
        <w:t>连墙件的水平间距不得超过3跨，竖向间距不得超过3步，连墙点之上架体的悬臂高度不应超过2步</w:t>
      </w:r>
      <w:r>
        <w:rPr>
          <w:rFonts w:hint="eastAsia"/>
          <w:kern w:val="0"/>
          <w:sz w:val="24"/>
          <w:szCs w:val="24"/>
        </w:rPr>
        <w:t>。</w:t>
      </w:r>
      <w:r>
        <w:rPr>
          <w:kern w:val="0"/>
          <w:sz w:val="24"/>
          <w:szCs w:val="24"/>
        </w:rPr>
        <w:t>在架体的转角处应增设连墙件，连墙件竖向间距不应大于建筑物层高，且不应大于4m。</w:t>
      </w:r>
    </w:p>
    <w:p w14:paraId="2E9C1B30">
      <w:pPr>
        <w:spacing w:line="360" w:lineRule="auto"/>
        <w:rPr>
          <w:kern w:val="0"/>
          <w:sz w:val="24"/>
          <w:szCs w:val="24"/>
        </w:rPr>
      </w:pPr>
      <w:r>
        <w:rPr>
          <w:rFonts w:hint="eastAsia"/>
          <w:b/>
          <w:bCs/>
          <w:kern w:val="0"/>
          <w:sz w:val="24"/>
          <w:szCs w:val="24"/>
        </w:rPr>
        <w:t>5</w:t>
      </w:r>
      <w:r>
        <w:rPr>
          <w:b/>
          <w:bCs/>
          <w:kern w:val="0"/>
          <w:sz w:val="24"/>
          <w:szCs w:val="24"/>
        </w:rPr>
        <w:t>.</w:t>
      </w:r>
      <w:r>
        <w:rPr>
          <w:rFonts w:hint="eastAsia"/>
          <w:b/>
          <w:bCs/>
          <w:kern w:val="0"/>
          <w:sz w:val="24"/>
          <w:szCs w:val="24"/>
        </w:rPr>
        <w:t>3</w:t>
      </w:r>
      <w:r>
        <w:rPr>
          <w:b/>
          <w:bCs/>
          <w:kern w:val="0"/>
          <w:sz w:val="24"/>
          <w:szCs w:val="24"/>
        </w:rPr>
        <w:t>.1</w:t>
      </w:r>
      <w:r>
        <w:rPr>
          <w:rFonts w:hint="eastAsia"/>
          <w:b/>
          <w:bCs/>
          <w:kern w:val="0"/>
          <w:sz w:val="24"/>
          <w:szCs w:val="24"/>
        </w:rPr>
        <w:t>2</w:t>
      </w:r>
      <w:r>
        <w:rPr>
          <w:b/>
          <w:bCs/>
          <w:sz w:val="24"/>
          <w:szCs w:val="24"/>
        </w:rPr>
        <w:t xml:space="preserve">  </w:t>
      </w:r>
      <w:r>
        <w:rPr>
          <w:kern w:val="0"/>
          <w:sz w:val="24"/>
          <w:szCs w:val="24"/>
        </w:rPr>
        <w:t>扣件式钢管脚手架应在外侧全立面连续设置剪刀撑。</w:t>
      </w:r>
    </w:p>
    <w:p w14:paraId="35CBDB67">
      <w:pPr>
        <w:jc w:val="left"/>
      </w:pPr>
      <w:r>
        <w:rPr>
          <w:rFonts w:hint="eastAsia"/>
          <w:b/>
          <w:bCs/>
          <w:kern w:val="0"/>
          <w:sz w:val="24"/>
          <w:szCs w:val="24"/>
        </w:rPr>
        <w:t>5</w:t>
      </w:r>
      <w:r>
        <w:rPr>
          <w:b/>
          <w:bCs/>
          <w:kern w:val="0"/>
          <w:sz w:val="24"/>
          <w:szCs w:val="24"/>
        </w:rPr>
        <w:t>.</w:t>
      </w:r>
      <w:r>
        <w:rPr>
          <w:rFonts w:hint="eastAsia"/>
          <w:b/>
          <w:bCs/>
          <w:kern w:val="0"/>
          <w:sz w:val="24"/>
          <w:szCs w:val="24"/>
        </w:rPr>
        <w:t>3</w:t>
      </w:r>
      <w:r>
        <w:rPr>
          <w:b/>
          <w:bCs/>
          <w:kern w:val="0"/>
          <w:sz w:val="24"/>
          <w:szCs w:val="24"/>
        </w:rPr>
        <w:t>.1</w:t>
      </w:r>
      <w:r>
        <w:rPr>
          <w:rFonts w:hint="eastAsia"/>
          <w:b/>
          <w:bCs/>
          <w:kern w:val="0"/>
          <w:sz w:val="24"/>
          <w:szCs w:val="24"/>
        </w:rPr>
        <w:t>3</w:t>
      </w:r>
      <w:r>
        <w:rPr>
          <w:b/>
          <w:bCs/>
          <w:sz w:val="24"/>
          <w:szCs w:val="24"/>
        </w:rPr>
        <w:t xml:space="preserve"> </w:t>
      </w:r>
      <w:r>
        <w:rPr>
          <w:kern w:val="0"/>
          <w:sz w:val="24"/>
          <w:szCs w:val="24"/>
        </w:rPr>
        <w:t xml:space="preserve"> 剪刀撑应符合下列要求：</w:t>
      </w:r>
    </w:p>
    <w:p w14:paraId="68ACC586">
      <w:pPr>
        <w:spacing w:line="360" w:lineRule="auto"/>
        <w:ind w:firstLine="482" w:firstLineChars="200"/>
        <w:rPr>
          <w:kern w:val="0"/>
          <w:sz w:val="24"/>
          <w:szCs w:val="24"/>
        </w:rPr>
      </w:pPr>
      <w:r>
        <w:rPr>
          <w:rFonts w:hint="eastAsia"/>
          <w:b/>
          <w:bCs/>
          <w:kern w:val="0"/>
          <w:sz w:val="24"/>
          <w:szCs w:val="24"/>
        </w:rPr>
        <w:t xml:space="preserve">1  </w:t>
      </w:r>
      <w:r>
        <w:rPr>
          <w:kern w:val="0"/>
          <w:sz w:val="24"/>
          <w:szCs w:val="24"/>
        </w:rPr>
        <w:t>每道剪刀撑的宽度应为4跨～6跨，且不应小于6m，也不应大于9m</w:t>
      </w:r>
      <w:r>
        <w:rPr>
          <w:rFonts w:hint="eastAsia"/>
          <w:kern w:val="0"/>
          <w:sz w:val="24"/>
          <w:szCs w:val="24"/>
        </w:rPr>
        <w:t>。</w:t>
      </w:r>
    </w:p>
    <w:p w14:paraId="47228DFB">
      <w:pPr>
        <w:spacing w:line="360" w:lineRule="auto"/>
        <w:ind w:firstLine="482" w:firstLineChars="200"/>
        <w:rPr>
          <w:kern w:val="0"/>
          <w:sz w:val="24"/>
          <w:szCs w:val="24"/>
        </w:rPr>
      </w:pPr>
      <w:r>
        <w:rPr>
          <w:rFonts w:hint="eastAsia"/>
          <w:b/>
          <w:bCs/>
          <w:kern w:val="0"/>
          <w:sz w:val="24"/>
          <w:szCs w:val="24"/>
        </w:rPr>
        <w:t xml:space="preserve">2  </w:t>
      </w:r>
      <w:r>
        <w:rPr>
          <w:kern w:val="0"/>
          <w:sz w:val="24"/>
          <w:szCs w:val="24"/>
        </w:rPr>
        <w:t>剪刀撑斜杆的接长应采用搭接或对接</w:t>
      </w:r>
      <w:r>
        <w:rPr>
          <w:rFonts w:hint="eastAsia"/>
          <w:kern w:val="0"/>
          <w:sz w:val="24"/>
          <w:szCs w:val="24"/>
        </w:rPr>
        <w:t>，</w:t>
      </w:r>
      <w:r>
        <w:rPr>
          <w:kern w:val="0"/>
          <w:sz w:val="24"/>
          <w:szCs w:val="24"/>
        </w:rPr>
        <w:t>杆与水平面倾角应在45°～60°之间</w:t>
      </w:r>
      <w:r>
        <w:rPr>
          <w:rFonts w:hint="eastAsia"/>
          <w:kern w:val="0"/>
          <w:sz w:val="24"/>
          <w:szCs w:val="24"/>
        </w:rPr>
        <w:t>。</w:t>
      </w:r>
    </w:p>
    <w:p w14:paraId="13ADAA08">
      <w:pPr>
        <w:spacing w:line="360" w:lineRule="auto"/>
        <w:ind w:firstLine="482" w:firstLineChars="200"/>
        <w:rPr>
          <w:kern w:val="0"/>
          <w:sz w:val="24"/>
          <w:szCs w:val="24"/>
        </w:rPr>
      </w:pPr>
      <w:r>
        <w:rPr>
          <w:rFonts w:hint="eastAsia"/>
          <w:b/>
          <w:bCs/>
          <w:kern w:val="0"/>
          <w:sz w:val="24"/>
          <w:szCs w:val="24"/>
        </w:rPr>
        <w:t xml:space="preserve">3  </w:t>
      </w:r>
      <w:r>
        <w:rPr>
          <w:kern w:val="0"/>
          <w:sz w:val="24"/>
          <w:szCs w:val="24"/>
        </w:rPr>
        <w:t>剪刀撑与立杆采用旋转扣件固定，旋转扣件的中心线至主节点的距离不应大于150mm。</w:t>
      </w:r>
    </w:p>
    <w:p w14:paraId="0860B234">
      <w:pPr>
        <w:spacing w:line="360" w:lineRule="auto"/>
        <w:rPr>
          <w:kern w:val="0"/>
          <w:sz w:val="24"/>
          <w:szCs w:val="24"/>
        </w:rPr>
      </w:pPr>
      <w:r>
        <w:rPr>
          <w:rFonts w:hint="eastAsia"/>
          <w:b/>
          <w:bCs/>
          <w:kern w:val="0"/>
          <w:sz w:val="24"/>
          <w:szCs w:val="24"/>
        </w:rPr>
        <w:t>5</w:t>
      </w:r>
      <w:r>
        <w:rPr>
          <w:b/>
          <w:bCs/>
          <w:kern w:val="0"/>
          <w:sz w:val="24"/>
          <w:szCs w:val="24"/>
        </w:rPr>
        <w:t>.</w:t>
      </w:r>
      <w:r>
        <w:rPr>
          <w:rFonts w:hint="eastAsia"/>
          <w:b/>
          <w:bCs/>
          <w:kern w:val="0"/>
          <w:sz w:val="24"/>
          <w:szCs w:val="24"/>
        </w:rPr>
        <w:t>3</w:t>
      </w:r>
      <w:r>
        <w:rPr>
          <w:b/>
          <w:bCs/>
          <w:kern w:val="0"/>
          <w:sz w:val="24"/>
          <w:szCs w:val="24"/>
        </w:rPr>
        <w:t>.1</w:t>
      </w:r>
      <w:r>
        <w:rPr>
          <w:rFonts w:hint="eastAsia"/>
          <w:b/>
          <w:bCs/>
          <w:kern w:val="0"/>
          <w:sz w:val="24"/>
          <w:szCs w:val="24"/>
        </w:rPr>
        <w:t>4</w:t>
      </w:r>
      <w:r>
        <w:rPr>
          <w:b/>
          <w:bCs/>
          <w:sz w:val="24"/>
          <w:szCs w:val="24"/>
        </w:rPr>
        <w:t xml:space="preserve">  </w:t>
      </w:r>
      <w:r>
        <w:rPr>
          <w:kern w:val="0"/>
          <w:sz w:val="24"/>
          <w:szCs w:val="24"/>
        </w:rPr>
        <w:t>开口型双排脚手架的两端应设置连墙件和横向斜撑。</w:t>
      </w:r>
    </w:p>
    <w:p w14:paraId="00A11856">
      <w:pPr>
        <w:spacing w:line="360" w:lineRule="auto"/>
        <w:rPr>
          <w:kern w:val="0"/>
          <w:sz w:val="24"/>
          <w:szCs w:val="24"/>
        </w:rPr>
      </w:pPr>
      <w:r>
        <w:rPr>
          <w:rFonts w:hint="eastAsia"/>
          <w:b/>
          <w:bCs/>
          <w:kern w:val="0"/>
          <w:sz w:val="24"/>
          <w:szCs w:val="24"/>
        </w:rPr>
        <w:t>5</w:t>
      </w:r>
      <w:r>
        <w:rPr>
          <w:b/>
          <w:bCs/>
          <w:kern w:val="0"/>
          <w:sz w:val="24"/>
          <w:szCs w:val="24"/>
        </w:rPr>
        <w:t>.</w:t>
      </w:r>
      <w:r>
        <w:rPr>
          <w:rFonts w:hint="eastAsia"/>
          <w:b/>
          <w:bCs/>
          <w:kern w:val="0"/>
          <w:sz w:val="24"/>
          <w:szCs w:val="24"/>
        </w:rPr>
        <w:t>3</w:t>
      </w:r>
      <w:r>
        <w:rPr>
          <w:b/>
          <w:bCs/>
          <w:kern w:val="0"/>
          <w:sz w:val="24"/>
          <w:szCs w:val="24"/>
        </w:rPr>
        <w:t>.1</w:t>
      </w:r>
      <w:r>
        <w:rPr>
          <w:rFonts w:hint="eastAsia"/>
          <w:b/>
          <w:bCs/>
          <w:kern w:val="0"/>
          <w:sz w:val="24"/>
          <w:szCs w:val="24"/>
        </w:rPr>
        <w:t>5</w:t>
      </w:r>
      <w:r>
        <w:rPr>
          <w:b/>
          <w:bCs/>
          <w:sz w:val="24"/>
          <w:szCs w:val="24"/>
        </w:rPr>
        <w:t xml:space="preserve">  </w:t>
      </w:r>
      <w:r>
        <w:rPr>
          <w:kern w:val="0"/>
          <w:sz w:val="24"/>
          <w:szCs w:val="24"/>
        </w:rPr>
        <w:t>作业层脚手板应铺满、铺稳、铺实，不得有空隙和探头板、飞跳板，距墙面间距不得大于150mm。操作面外侧应设置护身栏杆和高度不小于180mm的挡脚板。</w:t>
      </w:r>
    </w:p>
    <w:p w14:paraId="3F2F4B7F">
      <w:pPr>
        <w:spacing w:line="360" w:lineRule="auto"/>
        <w:rPr>
          <w:kern w:val="0"/>
          <w:sz w:val="24"/>
          <w:szCs w:val="24"/>
        </w:rPr>
      </w:pPr>
      <w:r>
        <w:rPr>
          <w:rFonts w:hint="eastAsia"/>
          <w:b/>
          <w:bCs/>
          <w:kern w:val="0"/>
          <w:sz w:val="24"/>
          <w:szCs w:val="24"/>
        </w:rPr>
        <w:t>5</w:t>
      </w:r>
      <w:r>
        <w:rPr>
          <w:b/>
          <w:bCs/>
          <w:kern w:val="0"/>
          <w:sz w:val="24"/>
          <w:szCs w:val="24"/>
        </w:rPr>
        <w:t>.</w:t>
      </w:r>
      <w:r>
        <w:rPr>
          <w:rFonts w:hint="eastAsia"/>
          <w:b/>
          <w:bCs/>
          <w:kern w:val="0"/>
          <w:sz w:val="24"/>
          <w:szCs w:val="24"/>
        </w:rPr>
        <w:t>3</w:t>
      </w:r>
      <w:r>
        <w:rPr>
          <w:b/>
          <w:bCs/>
          <w:kern w:val="0"/>
          <w:sz w:val="24"/>
          <w:szCs w:val="24"/>
        </w:rPr>
        <w:t>.1</w:t>
      </w:r>
      <w:r>
        <w:rPr>
          <w:rFonts w:hint="eastAsia"/>
          <w:b/>
          <w:bCs/>
          <w:kern w:val="0"/>
          <w:sz w:val="24"/>
          <w:szCs w:val="24"/>
        </w:rPr>
        <w:t>6</w:t>
      </w:r>
      <w:r>
        <w:rPr>
          <w:b/>
          <w:bCs/>
          <w:sz w:val="24"/>
          <w:szCs w:val="24"/>
        </w:rPr>
        <w:t xml:space="preserve">  </w:t>
      </w:r>
      <w:r>
        <w:rPr>
          <w:kern w:val="0"/>
          <w:sz w:val="24"/>
          <w:szCs w:val="24"/>
        </w:rPr>
        <w:t>脚手板应铺设在三根以上的横向水平杆上，当脚手板长度小于2m时，可采用两根横向水平杆支承。脚手板两端应与横向水平杆可靠固定。</w:t>
      </w:r>
    </w:p>
    <w:p w14:paraId="14702015">
      <w:pPr>
        <w:spacing w:line="360" w:lineRule="auto"/>
        <w:rPr>
          <w:kern w:val="0"/>
          <w:sz w:val="24"/>
          <w:szCs w:val="24"/>
        </w:rPr>
      </w:pPr>
      <w:r>
        <w:rPr>
          <w:rFonts w:hint="eastAsia"/>
          <w:b/>
          <w:bCs/>
          <w:kern w:val="0"/>
          <w:sz w:val="24"/>
          <w:szCs w:val="24"/>
        </w:rPr>
        <w:t>5</w:t>
      </w:r>
      <w:r>
        <w:rPr>
          <w:b/>
          <w:bCs/>
          <w:kern w:val="0"/>
          <w:sz w:val="24"/>
          <w:szCs w:val="24"/>
        </w:rPr>
        <w:t>.</w:t>
      </w:r>
      <w:r>
        <w:rPr>
          <w:rFonts w:hint="eastAsia"/>
          <w:b/>
          <w:bCs/>
          <w:kern w:val="0"/>
          <w:sz w:val="24"/>
          <w:szCs w:val="24"/>
        </w:rPr>
        <w:t>3</w:t>
      </w:r>
      <w:r>
        <w:rPr>
          <w:b/>
          <w:bCs/>
          <w:kern w:val="0"/>
          <w:sz w:val="24"/>
          <w:szCs w:val="24"/>
        </w:rPr>
        <w:t>.1</w:t>
      </w:r>
      <w:r>
        <w:rPr>
          <w:rFonts w:hint="eastAsia"/>
          <w:b/>
          <w:bCs/>
          <w:kern w:val="0"/>
          <w:sz w:val="24"/>
          <w:szCs w:val="24"/>
        </w:rPr>
        <w:t>7</w:t>
      </w:r>
      <w:r>
        <w:rPr>
          <w:b/>
          <w:bCs/>
          <w:sz w:val="24"/>
          <w:szCs w:val="24"/>
        </w:rPr>
        <w:t xml:space="preserve">  </w:t>
      </w:r>
      <w:r>
        <w:rPr>
          <w:kern w:val="0"/>
          <w:sz w:val="24"/>
          <w:szCs w:val="24"/>
        </w:rPr>
        <w:t>脚手架</w:t>
      </w:r>
      <w:r>
        <w:rPr>
          <w:rFonts w:hint="eastAsia"/>
          <w:kern w:val="0"/>
          <w:sz w:val="24"/>
          <w:szCs w:val="24"/>
        </w:rPr>
        <w:t>作业</w:t>
      </w:r>
      <w:r>
        <w:rPr>
          <w:kern w:val="0"/>
          <w:sz w:val="24"/>
          <w:szCs w:val="24"/>
        </w:rPr>
        <w:t>层</w:t>
      </w:r>
      <w:r>
        <w:rPr>
          <w:rFonts w:hint="eastAsia"/>
          <w:kern w:val="0"/>
          <w:sz w:val="24"/>
          <w:szCs w:val="24"/>
        </w:rPr>
        <w:t>脚手板</w:t>
      </w:r>
      <w:r>
        <w:rPr>
          <w:kern w:val="0"/>
          <w:sz w:val="24"/>
          <w:szCs w:val="24"/>
        </w:rPr>
        <w:t>应使用安全网双层兜底，</w:t>
      </w:r>
      <w:r>
        <w:rPr>
          <w:rFonts w:hint="eastAsia"/>
          <w:kern w:val="0"/>
          <w:sz w:val="24"/>
          <w:szCs w:val="24"/>
        </w:rPr>
        <w:t>作业</w:t>
      </w:r>
      <w:r>
        <w:rPr>
          <w:kern w:val="0"/>
          <w:sz w:val="24"/>
          <w:szCs w:val="24"/>
        </w:rPr>
        <w:t>层以下应用安全网封闭，安全网间距</w:t>
      </w:r>
      <w:r>
        <w:rPr>
          <w:rFonts w:hint="eastAsia"/>
          <w:kern w:val="0"/>
          <w:sz w:val="24"/>
          <w:szCs w:val="24"/>
        </w:rPr>
        <w:t>不大于三层且</w:t>
      </w:r>
      <w:r>
        <w:rPr>
          <w:kern w:val="0"/>
          <w:sz w:val="24"/>
          <w:szCs w:val="24"/>
        </w:rPr>
        <w:t>不应超过10m。</w:t>
      </w:r>
    </w:p>
    <w:p w14:paraId="2C8B7582">
      <w:pPr>
        <w:spacing w:line="360" w:lineRule="auto"/>
        <w:rPr>
          <w:kern w:val="0"/>
          <w:sz w:val="24"/>
          <w:szCs w:val="24"/>
        </w:rPr>
      </w:pPr>
      <w:r>
        <w:rPr>
          <w:rFonts w:hint="eastAsia"/>
          <w:b/>
          <w:bCs/>
          <w:kern w:val="0"/>
          <w:sz w:val="24"/>
          <w:szCs w:val="24"/>
        </w:rPr>
        <w:t>5</w:t>
      </w:r>
      <w:r>
        <w:rPr>
          <w:b/>
          <w:bCs/>
          <w:kern w:val="0"/>
          <w:sz w:val="24"/>
          <w:szCs w:val="24"/>
        </w:rPr>
        <w:t>.</w:t>
      </w:r>
      <w:r>
        <w:rPr>
          <w:rFonts w:hint="eastAsia"/>
          <w:b/>
          <w:bCs/>
          <w:kern w:val="0"/>
          <w:sz w:val="24"/>
          <w:szCs w:val="24"/>
        </w:rPr>
        <w:t>3</w:t>
      </w:r>
      <w:r>
        <w:rPr>
          <w:b/>
          <w:bCs/>
          <w:kern w:val="0"/>
          <w:sz w:val="24"/>
          <w:szCs w:val="24"/>
        </w:rPr>
        <w:t>.1</w:t>
      </w:r>
      <w:r>
        <w:rPr>
          <w:rFonts w:hint="eastAsia"/>
          <w:b/>
          <w:bCs/>
          <w:kern w:val="0"/>
          <w:sz w:val="24"/>
          <w:szCs w:val="24"/>
        </w:rPr>
        <w:t>8</w:t>
      </w:r>
      <w:r>
        <w:rPr>
          <w:b/>
          <w:bCs/>
          <w:sz w:val="24"/>
          <w:szCs w:val="24"/>
        </w:rPr>
        <w:t xml:space="preserve">  </w:t>
      </w:r>
      <w:r>
        <w:rPr>
          <w:kern w:val="0"/>
          <w:sz w:val="24"/>
          <w:szCs w:val="24"/>
        </w:rPr>
        <w:t>脚手架架体应使用密目式安全立网或钢板网进行封闭。密目式安全立网应沿外立杆内侧进行封闭</w:t>
      </w:r>
      <w:r>
        <w:rPr>
          <w:rFonts w:hint="eastAsia"/>
          <w:kern w:val="0"/>
          <w:sz w:val="24"/>
          <w:szCs w:val="24"/>
        </w:rPr>
        <w:t>，</w:t>
      </w:r>
      <w:r>
        <w:rPr>
          <w:kern w:val="0"/>
          <w:sz w:val="24"/>
          <w:szCs w:val="24"/>
        </w:rPr>
        <w:t>钢板网应沿架体外侧进行封闭。密目式安全立网及钢板网应与架体可靠固定。</w:t>
      </w:r>
    </w:p>
    <w:p w14:paraId="7D27D8AF">
      <w:pPr>
        <w:spacing w:line="360" w:lineRule="auto"/>
        <w:rPr>
          <w:kern w:val="0"/>
          <w:sz w:val="24"/>
          <w:szCs w:val="24"/>
        </w:rPr>
      </w:pPr>
      <w:r>
        <w:rPr>
          <w:rFonts w:hint="eastAsia"/>
          <w:b/>
          <w:bCs/>
          <w:kern w:val="0"/>
          <w:sz w:val="24"/>
          <w:szCs w:val="24"/>
        </w:rPr>
        <w:t>5</w:t>
      </w:r>
      <w:r>
        <w:rPr>
          <w:b/>
          <w:bCs/>
          <w:kern w:val="0"/>
          <w:sz w:val="24"/>
          <w:szCs w:val="24"/>
        </w:rPr>
        <w:t>.</w:t>
      </w:r>
      <w:r>
        <w:rPr>
          <w:rFonts w:hint="eastAsia"/>
          <w:b/>
          <w:bCs/>
          <w:kern w:val="0"/>
          <w:sz w:val="24"/>
          <w:szCs w:val="24"/>
        </w:rPr>
        <w:t>3</w:t>
      </w:r>
      <w:r>
        <w:rPr>
          <w:b/>
          <w:bCs/>
          <w:kern w:val="0"/>
          <w:sz w:val="24"/>
          <w:szCs w:val="24"/>
        </w:rPr>
        <w:t>.1</w:t>
      </w:r>
      <w:r>
        <w:rPr>
          <w:rFonts w:hint="eastAsia"/>
          <w:b/>
          <w:bCs/>
          <w:kern w:val="0"/>
          <w:sz w:val="24"/>
          <w:szCs w:val="24"/>
        </w:rPr>
        <w:t>9</w:t>
      </w:r>
      <w:r>
        <w:rPr>
          <w:b/>
          <w:bCs/>
          <w:sz w:val="24"/>
          <w:szCs w:val="24"/>
        </w:rPr>
        <w:t xml:space="preserve">  </w:t>
      </w:r>
      <w:r>
        <w:rPr>
          <w:kern w:val="0"/>
          <w:sz w:val="24"/>
          <w:szCs w:val="24"/>
        </w:rPr>
        <w:t>临街作业脚手架的外侧立面、转角处应采取有效硬防护措施。</w:t>
      </w:r>
    </w:p>
    <w:p w14:paraId="7CB0B751">
      <w:pPr>
        <w:widowControl/>
        <w:spacing w:line="360" w:lineRule="auto"/>
        <w:jc w:val="left"/>
        <w:rPr>
          <w:kern w:val="0"/>
          <w:sz w:val="24"/>
          <w:szCs w:val="24"/>
        </w:rPr>
      </w:pPr>
      <w:r>
        <w:rPr>
          <w:rFonts w:hint="eastAsia"/>
          <w:b/>
          <w:bCs/>
          <w:kern w:val="0"/>
          <w:sz w:val="24"/>
          <w:szCs w:val="24"/>
        </w:rPr>
        <w:t>5</w:t>
      </w:r>
      <w:r>
        <w:rPr>
          <w:b/>
          <w:bCs/>
          <w:kern w:val="0"/>
          <w:sz w:val="24"/>
          <w:szCs w:val="24"/>
        </w:rPr>
        <w:t>.</w:t>
      </w:r>
      <w:r>
        <w:rPr>
          <w:rFonts w:hint="eastAsia"/>
          <w:b/>
          <w:bCs/>
          <w:kern w:val="0"/>
          <w:sz w:val="24"/>
          <w:szCs w:val="24"/>
        </w:rPr>
        <w:t>3</w:t>
      </w:r>
      <w:r>
        <w:rPr>
          <w:b/>
          <w:bCs/>
          <w:kern w:val="0"/>
          <w:sz w:val="24"/>
          <w:szCs w:val="24"/>
        </w:rPr>
        <w:t>.</w:t>
      </w:r>
      <w:r>
        <w:rPr>
          <w:rFonts w:hint="eastAsia"/>
          <w:b/>
          <w:bCs/>
          <w:kern w:val="0"/>
          <w:sz w:val="24"/>
          <w:szCs w:val="24"/>
        </w:rPr>
        <w:t>20</w:t>
      </w:r>
      <w:r>
        <w:rPr>
          <w:rFonts w:hint="eastAsia"/>
          <w:kern w:val="0"/>
          <w:sz w:val="24"/>
          <w:szCs w:val="24"/>
        </w:rPr>
        <w:t xml:space="preserve">  </w:t>
      </w:r>
      <w:r>
        <w:rPr>
          <w:kern w:val="0"/>
          <w:sz w:val="24"/>
          <w:szCs w:val="24"/>
        </w:rPr>
        <w:t>人行斜道宽度不应小于1m，坡度不应大于1：3</w:t>
      </w:r>
      <w:r>
        <w:rPr>
          <w:rFonts w:hint="eastAsia"/>
          <w:kern w:val="0"/>
          <w:sz w:val="24"/>
          <w:szCs w:val="24"/>
        </w:rPr>
        <w:t>，</w:t>
      </w:r>
      <w:r>
        <w:rPr>
          <w:kern w:val="0"/>
          <w:sz w:val="24"/>
          <w:szCs w:val="24"/>
        </w:rPr>
        <w:t>运料斜道宽度不应小于1.5m，坡度不应大于1：6。斜道拐弯处应设置平台，平台尺寸应满足人员双向通行及运料要求且不小于斜道宽度，设置防护栏杆和挡脚板。人行斜道和运料斜道的脚手板上应每隔250㎜～300㎜设置一根防滑木条，木条厚度宜为20㎜～30㎜。</w:t>
      </w:r>
    </w:p>
    <w:p w14:paraId="2275A779">
      <w:pPr>
        <w:widowControl/>
        <w:spacing w:line="360" w:lineRule="auto"/>
        <w:jc w:val="left"/>
        <w:rPr>
          <w:kern w:val="0"/>
          <w:sz w:val="24"/>
          <w:szCs w:val="24"/>
          <w:lang w:bidi="ar"/>
        </w:rPr>
      </w:pPr>
      <w:r>
        <w:rPr>
          <w:rFonts w:hint="eastAsia"/>
          <w:b/>
          <w:bCs/>
          <w:kern w:val="0"/>
          <w:sz w:val="24"/>
          <w:szCs w:val="24"/>
        </w:rPr>
        <w:t>5</w:t>
      </w:r>
      <w:r>
        <w:rPr>
          <w:b/>
          <w:bCs/>
          <w:kern w:val="0"/>
          <w:sz w:val="24"/>
          <w:szCs w:val="24"/>
        </w:rPr>
        <w:t>.</w:t>
      </w:r>
      <w:r>
        <w:rPr>
          <w:rFonts w:hint="eastAsia"/>
          <w:b/>
          <w:bCs/>
          <w:kern w:val="0"/>
          <w:sz w:val="24"/>
          <w:szCs w:val="24"/>
        </w:rPr>
        <w:t>3</w:t>
      </w:r>
      <w:r>
        <w:rPr>
          <w:b/>
          <w:bCs/>
          <w:kern w:val="0"/>
          <w:sz w:val="24"/>
          <w:szCs w:val="24"/>
        </w:rPr>
        <w:t>.</w:t>
      </w:r>
      <w:r>
        <w:rPr>
          <w:rFonts w:hint="eastAsia"/>
          <w:b/>
          <w:bCs/>
          <w:kern w:val="0"/>
          <w:sz w:val="24"/>
          <w:szCs w:val="24"/>
        </w:rPr>
        <w:t>21</w:t>
      </w:r>
      <w:r>
        <w:rPr>
          <w:b/>
          <w:bCs/>
          <w:sz w:val="24"/>
          <w:szCs w:val="24"/>
        </w:rPr>
        <w:t xml:space="preserve">  </w:t>
      </w:r>
      <w:r>
        <w:rPr>
          <w:kern w:val="0"/>
          <w:sz w:val="24"/>
          <w:szCs w:val="24"/>
          <w:lang w:bidi="ar"/>
        </w:rPr>
        <w:t>脚手架在使用过程中不得与其他设备、设施连接。</w:t>
      </w:r>
    </w:p>
    <w:p w14:paraId="16A688FA">
      <w:pPr>
        <w:spacing w:line="360" w:lineRule="auto"/>
        <w:jc w:val="left"/>
        <w:rPr>
          <w:sz w:val="24"/>
          <w:szCs w:val="24"/>
        </w:rPr>
      </w:pPr>
      <w:r>
        <w:rPr>
          <w:rFonts w:hint="eastAsia"/>
          <w:b/>
          <w:bCs/>
          <w:sz w:val="24"/>
          <w:szCs w:val="24"/>
        </w:rPr>
        <w:t>5</w:t>
      </w:r>
      <w:r>
        <w:rPr>
          <w:b/>
          <w:bCs/>
          <w:sz w:val="24"/>
          <w:szCs w:val="24"/>
        </w:rPr>
        <w:t>.</w:t>
      </w:r>
      <w:r>
        <w:rPr>
          <w:rFonts w:hint="eastAsia"/>
          <w:b/>
          <w:bCs/>
          <w:sz w:val="24"/>
          <w:szCs w:val="24"/>
        </w:rPr>
        <w:t>3</w:t>
      </w:r>
      <w:r>
        <w:rPr>
          <w:b/>
          <w:bCs/>
          <w:sz w:val="24"/>
          <w:szCs w:val="24"/>
        </w:rPr>
        <w:t>.</w:t>
      </w:r>
      <w:r>
        <w:rPr>
          <w:rFonts w:hint="eastAsia"/>
          <w:b/>
          <w:bCs/>
          <w:sz w:val="24"/>
          <w:szCs w:val="24"/>
        </w:rPr>
        <w:t>22</w:t>
      </w:r>
      <w:r>
        <w:rPr>
          <w:b/>
          <w:bCs/>
          <w:sz w:val="24"/>
          <w:szCs w:val="24"/>
        </w:rPr>
        <w:t xml:space="preserve">  </w:t>
      </w:r>
      <w:r>
        <w:rPr>
          <w:sz w:val="24"/>
          <w:szCs w:val="24"/>
        </w:rPr>
        <w:t>脚手架使用期间，</w:t>
      </w:r>
      <w:r>
        <w:rPr>
          <w:rFonts w:hint="eastAsia"/>
          <w:sz w:val="24"/>
          <w:szCs w:val="24"/>
        </w:rPr>
        <w:t>不得</w:t>
      </w:r>
      <w:r>
        <w:rPr>
          <w:sz w:val="24"/>
          <w:szCs w:val="24"/>
        </w:rPr>
        <w:t>在脚手架立杆基础下方及附近实施挖掘作业。</w:t>
      </w:r>
    </w:p>
    <w:p w14:paraId="0DE1A542">
      <w:pPr>
        <w:spacing w:line="360" w:lineRule="auto"/>
        <w:jc w:val="left"/>
        <w:rPr>
          <w:sz w:val="24"/>
          <w:szCs w:val="24"/>
        </w:rPr>
      </w:pPr>
      <w:r>
        <w:rPr>
          <w:rFonts w:hint="eastAsia"/>
          <w:b/>
          <w:bCs/>
          <w:sz w:val="24"/>
          <w:szCs w:val="24"/>
        </w:rPr>
        <w:t>5</w:t>
      </w:r>
      <w:r>
        <w:rPr>
          <w:b/>
          <w:bCs/>
          <w:sz w:val="24"/>
          <w:szCs w:val="24"/>
        </w:rPr>
        <w:t>.</w:t>
      </w:r>
      <w:r>
        <w:rPr>
          <w:rFonts w:hint="eastAsia"/>
          <w:b/>
          <w:bCs/>
          <w:sz w:val="24"/>
          <w:szCs w:val="24"/>
        </w:rPr>
        <w:t>3</w:t>
      </w:r>
      <w:r>
        <w:rPr>
          <w:b/>
          <w:bCs/>
          <w:sz w:val="24"/>
          <w:szCs w:val="24"/>
        </w:rPr>
        <w:t>.</w:t>
      </w:r>
      <w:r>
        <w:rPr>
          <w:rFonts w:hint="eastAsia"/>
          <w:b/>
          <w:bCs/>
          <w:sz w:val="24"/>
          <w:szCs w:val="24"/>
        </w:rPr>
        <w:t>23</w:t>
      </w:r>
      <w:r>
        <w:rPr>
          <w:b/>
          <w:bCs/>
          <w:sz w:val="24"/>
          <w:szCs w:val="24"/>
        </w:rPr>
        <w:t xml:space="preserve">  </w:t>
      </w:r>
      <w:r>
        <w:rPr>
          <w:sz w:val="24"/>
          <w:szCs w:val="24"/>
        </w:rPr>
        <w:t>架体门洞、过车通道，应设置明显警示标识及防超限栏杆。</w:t>
      </w:r>
    </w:p>
    <w:p w14:paraId="248D7E90">
      <w:pPr>
        <w:spacing w:line="360" w:lineRule="auto"/>
        <w:jc w:val="left"/>
        <w:rPr>
          <w:sz w:val="24"/>
          <w:szCs w:val="24"/>
        </w:rPr>
      </w:pPr>
      <w:r>
        <w:rPr>
          <w:rFonts w:hint="eastAsia"/>
          <w:b/>
          <w:bCs/>
          <w:sz w:val="24"/>
          <w:szCs w:val="24"/>
        </w:rPr>
        <w:t>5</w:t>
      </w:r>
      <w:r>
        <w:rPr>
          <w:b/>
          <w:bCs/>
          <w:sz w:val="24"/>
          <w:szCs w:val="24"/>
        </w:rPr>
        <w:t>.</w:t>
      </w:r>
      <w:r>
        <w:rPr>
          <w:rFonts w:hint="eastAsia"/>
          <w:b/>
          <w:bCs/>
          <w:sz w:val="24"/>
          <w:szCs w:val="24"/>
        </w:rPr>
        <w:t>3</w:t>
      </w:r>
      <w:r>
        <w:rPr>
          <w:b/>
          <w:bCs/>
          <w:sz w:val="24"/>
          <w:szCs w:val="24"/>
        </w:rPr>
        <w:t>.</w:t>
      </w:r>
      <w:r>
        <w:rPr>
          <w:rFonts w:hint="eastAsia"/>
          <w:b/>
          <w:bCs/>
          <w:sz w:val="24"/>
          <w:szCs w:val="24"/>
        </w:rPr>
        <w:t>24</w:t>
      </w:r>
      <w:r>
        <w:rPr>
          <w:b/>
          <w:bCs/>
          <w:sz w:val="24"/>
          <w:szCs w:val="24"/>
        </w:rPr>
        <w:t xml:space="preserve">  </w:t>
      </w:r>
      <w:r>
        <w:rPr>
          <w:sz w:val="24"/>
          <w:szCs w:val="24"/>
        </w:rPr>
        <w:t>作业层上的施工荷载应符合设计要求，不得超载。不应将模板支架、缆风绳、泵送混凝土和砂浆的输送管等固定在架体上;不应悬挂起重设备，不得拆除或移动架体上防护设施。</w:t>
      </w:r>
    </w:p>
    <w:p w14:paraId="633D2CE2">
      <w:pPr>
        <w:widowControl/>
        <w:spacing w:line="360" w:lineRule="auto"/>
        <w:jc w:val="left"/>
        <w:rPr>
          <w:kern w:val="0"/>
          <w:sz w:val="24"/>
          <w:szCs w:val="24"/>
          <w:lang w:bidi="ar"/>
        </w:rPr>
      </w:pPr>
      <w:r>
        <w:rPr>
          <w:rFonts w:hint="eastAsia"/>
          <w:b/>
          <w:bCs/>
          <w:kern w:val="0"/>
          <w:sz w:val="24"/>
          <w:szCs w:val="24"/>
          <w:lang w:bidi="ar"/>
        </w:rPr>
        <w:t>5</w:t>
      </w:r>
      <w:r>
        <w:rPr>
          <w:b/>
          <w:bCs/>
          <w:kern w:val="0"/>
          <w:sz w:val="24"/>
          <w:szCs w:val="24"/>
          <w:lang w:bidi="ar"/>
        </w:rPr>
        <w:t>.</w:t>
      </w:r>
      <w:r>
        <w:rPr>
          <w:rFonts w:hint="eastAsia"/>
          <w:b/>
          <w:bCs/>
          <w:kern w:val="0"/>
          <w:sz w:val="24"/>
          <w:szCs w:val="24"/>
          <w:lang w:bidi="ar"/>
        </w:rPr>
        <w:t>3</w:t>
      </w:r>
      <w:r>
        <w:rPr>
          <w:b/>
          <w:bCs/>
          <w:kern w:val="0"/>
          <w:sz w:val="24"/>
          <w:szCs w:val="24"/>
          <w:lang w:bidi="ar"/>
        </w:rPr>
        <w:t>.</w:t>
      </w:r>
      <w:r>
        <w:rPr>
          <w:rFonts w:hint="eastAsia"/>
          <w:b/>
          <w:bCs/>
          <w:kern w:val="0"/>
          <w:sz w:val="24"/>
          <w:szCs w:val="24"/>
          <w:lang w:bidi="ar"/>
        </w:rPr>
        <w:t>25</w:t>
      </w:r>
      <w:r>
        <w:rPr>
          <w:b/>
          <w:bCs/>
          <w:sz w:val="24"/>
          <w:szCs w:val="24"/>
        </w:rPr>
        <w:t xml:space="preserve">  </w:t>
      </w:r>
      <w:r>
        <w:rPr>
          <w:kern w:val="0"/>
          <w:sz w:val="24"/>
          <w:szCs w:val="24"/>
          <w:lang w:bidi="ar"/>
        </w:rPr>
        <w:t>所有脚手架使用期间不得拆除主节点处纵横向水平杆、连墙件、钢拉杆、承力钢梁等</w:t>
      </w:r>
      <w:r>
        <w:rPr>
          <w:rFonts w:hint="eastAsia"/>
          <w:kern w:val="0"/>
          <w:sz w:val="24"/>
          <w:szCs w:val="24"/>
          <w:lang w:bidi="ar"/>
        </w:rPr>
        <w:t>。</w:t>
      </w:r>
    </w:p>
    <w:p w14:paraId="3CEFBA63">
      <w:pPr>
        <w:spacing w:line="360" w:lineRule="auto"/>
        <w:jc w:val="left"/>
        <w:rPr>
          <w:sz w:val="24"/>
          <w:szCs w:val="24"/>
        </w:rPr>
      </w:pPr>
      <w:r>
        <w:rPr>
          <w:rFonts w:hint="eastAsia"/>
          <w:b/>
          <w:bCs/>
          <w:sz w:val="24"/>
          <w:szCs w:val="24"/>
        </w:rPr>
        <w:t>5</w:t>
      </w:r>
      <w:r>
        <w:rPr>
          <w:b/>
          <w:bCs/>
          <w:sz w:val="24"/>
          <w:szCs w:val="24"/>
        </w:rPr>
        <w:t>.</w:t>
      </w:r>
      <w:r>
        <w:rPr>
          <w:rFonts w:hint="eastAsia"/>
          <w:b/>
          <w:bCs/>
          <w:sz w:val="24"/>
          <w:szCs w:val="24"/>
        </w:rPr>
        <w:t>3</w:t>
      </w:r>
      <w:r>
        <w:rPr>
          <w:b/>
          <w:bCs/>
          <w:sz w:val="24"/>
          <w:szCs w:val="24"/>
        </w:rPr>
        <w:t>.</w:t>
      </w:r>
      <w:r>
        <w:rPr>
          <w:rFonts w:hint="eastAsia"/>
          <w:b/>
          <w:bCs/>
          <w:sz w:val="24"/>
          <w:szCs w:val="24"/>
        </w:rPr>
        <w:t>26</w:t>
      </w:r>
      <w:r>
        <w:rPr>
          <w:b/>
          <w:bCs/>
          <w:sz w:val="24"/>
          <w:szCs w:val="24"/>
        </w:rPr>
        <w:t xml:space="preserve">  </w:t>
      </w:r>
      <w:r>
        <w:rPr>
          <w:sz w:val="24"/>
          <w:szCs w:val="24"/>
        </w:rPr>
        <w:t>脚手架在使用过程中，应定期进行检查并形成记录，脚手架工作状态应符合下列规定：</w:t>
      </w:r>
    </w:p>
    <w:p w14:paraId="53CE2B1A">
      <w:pPr>
        <w:spacing w:line="360" w:lineRule="auto"/>
        <w:ind w:firstLine="482" w:firstLineChars="200"/>
        <w:jc w:val="left"/>
        <w:rPr>
          <w:sz w:val="24"/>
          <w:szCs w:val="24"/>
        </w:rPr>
      </w:pPr>
      <w:r>
        <w:rPr>
          <w:b/>
          <w:bCs/>
          <w:kern w:val="0"/>
          <w:sz w:val="24"/>
          <w:szCs w:val="24"/>
        </w:rPr>
        <w:t>1</w:t>
      </w:r>
      <w:r>
        <w:rPr>
          <w:b/>
          <w:bCs/>
          <w:sz w:val="24"/>
          <w:szCs w:val="24"/>
        </w:rPr>
        <w:t xml:space="preserve"> </w:t>
      </w:r>
      <w:r>
        <w:rPr>
          <w:sz w:val="24"/>
          <w:szCs w:val="24"/>
        </w:rPr>
        <w:t>主要受力杆件、剪刀撑等加固杆件和连墙件应无缺失、无松动，架体应无明显变形；</w:t>
      </w:r>
    </w:p>
    <w:p w14:paraId="275854B2">
      <w:pPr>
        <w:spacing w:line="360" w:lineRule="auto"/>
        <w:ind w:firstLine="482" w:firstLineChars="200"/>
        <w:jc w:val="left"/>
        <w:rPr>
          <w:sz w:val="24"/>
          <w:szCs w:val="24"/>
        </w:rPr>
      </w:pPr>
      <w:r>
        <w:rPr>
          <w:b/>
          <w:bCs/>
          <w:kern w:val="0"/>
          <w:sz w:val="24"/>
          <w:szCs w:val="24"/>
        </w:rPr>
        <w:t>2</w:t>
      </w:r>
      <w:r>
        <w:rPr>
          <w:b/>
          <w:bCs/>
          <w:sz w:val="24"/>
          <w:szCs w:val="24"/>
        </w:rPr>
        <w:t xml:space="preserve"> </w:t>
      </w:r>
      <w:r>
        <w:rPr>
          <w:sz w:val="24"/>
          <w:szCs w:val="24"/>
        </w:rPr>
        <w:t>场地应无积水，立杆底端应无松动、无悬空；</w:t>
      </w:r>
    </w:p>
    <w:p w14:paraId="02B5F8C0">
      <w:pPr>
        <w:spacing w:line="360" w:lineRule="auto"/>
        <w:ind w:firstLine="482" w:firstLineChars="200"/>
        <w:jc w:val="left"/>
        <w:rPr>
          <w:sz w:val="24"/>
          <w:szCs w:val="24"/>
        </w:rPr>
      </w:pPr>
      <w:r>
        <w:rPr>
          <w:b/>
          <w:bCs/>
          <w:kern w:val="0"/>
          <w:sz w:val="24"/>
          <w:szCs w:val="24"/>
        </w:rPr>
        <w:t>3</w:t>
      </w:r>
      <w:r>
        <w:rPr>
          <w:b/>
          <w:bCs/>
          <w:sz w:val="24"/>
          <w:szCs w:val="24"/>
        </w:rPr>
        <w:t xml:space="preserve"> </w:t>
      </w:r>
      <w:r>
        <w:rPr>
          <w:sz w:val="24"/>
          <w:szCs w:val="24"/>
        </w:rPr>
        <w:t>安全防护设施应齐全、有效，应无损坏缺失；</w:t>
      </w:r>
    </w:p>
    <w:p w14:paraId="1A148730">
      <w:pPr>
        <w:spacing w:line="360" w:lineRule="auto"/>
        <w:ind w:firstLine="482" w:firstLineChars="200"/>
        <w:jc w:val="left"/>
        <w:rPr>
          <w:sz w:val="24"/>
          <w:szCs w:val="24"/>
        </w:rPr>
      </w:pPr>
      <w:r>
        <w:rPr>
          <w:b/>
          <w:bCs/>
          <w:kern w:val="0"/>
          <w:sz w:val="24"/>
          <w:szCs w:val="24"/>
        </w:rPr>
        <w:t>4</w:t>
      </w:r>
      <w:r>
        <w:rPr>
          <w:b/>
          <w:bCs/>
          <w:sz w:val="24"/>
          <w:szCs w:val="24"/>
        </w:rPr>
        <w:t xml:space="preserve"> </w:t>
      </w:r>
      <w:r>
        <w:rPr>
          <w:sz w:val="24"/>
          <w:szCs w:val="24"/>
        </w:rPr>
        <w:t>悬挑脚手架的悬挑支承结构应稳固。</w:t>
      </w:r>
    </w:p>
    <w:p w14:paraId="20930114">
      <w:pPr>
        <w:widowControl/>
        <w:spacing w:line="360" w:lineRule="auto"/>
        <w:jc w:val="left"/>
        <w:rPr>
          <w:kern w:val="0"/>
          <w:sz w:val="24"/>
          <w:szCs w:val="24"/>
        </w:rPr>
      </w:pPr>
      <w:r>
        <w:rPr>
          <w:rFonts w:hint="eastAsia"/>
          <w:b/>
          <w:bCs/>
          <w:kern w:val="0"/>
          <w:sz w:val="24"/>
          <w:szCs w:val="24"/>
        </w:rPr>
        <w:t>5</w:t>
      </w:r>
      <w:r>
        <w:rPr>
          <w:b/>
          <w:bCs/>
          <w:kern w:val="0"/>
          <w:sz w:val="24"/>
          <w:szCs w:val="24"/>
        </w:rPr>
        <w:t>.</w:t>
      </w:r>
      <w:r>
        <w:rPr>
          <w:rFonts w:hint="eastAsia"/>
          <w:b/>
          <w:bCs/>
          <w:kern w:val="0"/>
          <w:sz w:val="24"/>
          <w:szCs w:val="24"/>
        </w:rPr>
        <w:t>3</w:t>
      </w:r>
      <w:r>
        <w:rPr>
          <w:b/>
          <w:bCs/>
          <w:kern w:val="0"/>
          <w:sz w:val="24"/>
          <w:szCs w:val="24"/>
        </w:rPr>
        <w:t>.</w:t>
      </w:r>
      <w:r>
        <w:rPr>
          <w:rFonts w:hint="eastAsia"/>
          <w:b/>
          <w:bCs/>
          <w:kern w:val="0"/>
          <w:sz w:val="24"/>
          <w:szCs w:val="24"/>
        </w:rPr>
        <w:t>27</w:t>
      </w:r>
      <w:r>
        <w:rPr>
          <w:b/>
          <w:bCs/>
          <w:kern w:val="0"/>
          <w:sz w:val="24"/>
          <w:szCs w:val="24"/>
        </w:rPr>
        <w:t xml:space="preserve">  </w:t>
      </w:r>
      <w:r>
        <w:rPr>
          <w:kern w:val="0"/>
          <w:sz w:val="24"/>
          <w:szCs w:val="24"/>
        </w:rPr>
        <w:t>脚手架使用采用挂钩连接的钢脚手板，应带有自锁装置且与作业层水平杆锁紧。</w:t>
      </w:r>
    </w:p>
    <w:p w14:paraId="429D0F11">
      <w:pPr>
        <w:widowControl/>
        <w:spacing w:line="360" w:lineRule="auto"/>
        <w:jc w:val="left"/>
        <w:rPr>
          <w:kern w:val="0"/>
          <w:sz w:val="24"/>
          <w:szCs w:val="24"/>
        </w:rPr>
      </w:pPr>
      <w:r>
        <w:rPr>
          <w:rFonts w:hint="eastAsia"/>
          <w:b/>
          <w:bCs/>
          <w:kern w:val="0"/>
          <w:sz w:val="24"/>
          <w:szCs w:val="24"/>
        </w:rPr>
        <w:t>5</w:t>
      </w:r>
      <w:r>
        <w:rPr>
          <w:b/>
          <w:bCs/>
          <w:kern w:val="0"/>
          <w:sz w:val="24"/>
          <w:szCs w:val="24"/>
        </w:rPr>
        <w:t>.</w:t>
      </w:r>
      <w:r>
        <w:rPr>
          <w:rFonts w:hint="eastAsia"/>
          <w:b/>
          <w:bCs/>
          <w:kern w:val="0"/>
          <w:sz w:val="24"/>
          <w:szCs w:val="24"/>
        </w:rPr>
        <w:t>3</w:t>
      </w:r>
      <w:r>
        <w:rPr>
          <w:b/>
          <w:bCs/>
          <w:kern w:val="0"/>
          <w:sz w:val="24"/>
          <w:szCs w:val="24"/>
        </w:rPr>
        <w:t>.</w:t>
      </w:r>
      <w:r>
        <w:rPr>
          <w:rFonts w:hint="eastAsia"/>
          <w:b/>
          <w:bCs/>
          <w:kern w:val="0"/>
          <w:sz w:val="24"/>
          <w:szCs w:val="24"/>
        </w:rPr>
        <w:t>28</w:t>
      </w:r>
      <w:r>
        <w:rPr>
          <w:kern w:val="0"/>
          <w:sz w:val="24"/>
          <w:szCs w:val="24"/>
        </w:rPr>
        <w:t xml:space="preserve">  脚手架拆除前应清除作业层上的堆放物。</w:t>
      </w:r>
    </w:p>
    <w:p w14:paraId="1E57DEDD">
      <w:pPr>
        <w:spacing w:line="360" w:lineRule="auto"/>
        <w:rPr>
          <w:sz w:val="24"/>
          <w:szCs w:val="24"/>
        </w:rPr>
      </w:pPr>
      <w:r>
        <w:rPr>
          <w:rFonts w:hint="eastAsia"/>
          <w:b/>
          <w:bCs/>
          <w:sz w:val="24"/>
          <w:szCs w:val="24"/>
        </w:rPr>
        <w:t>5</w:t>
      </w:r>
      <w:r>
        <w:rPr>
          <w:b/>
          <w:bCs/>
          <w:sz w:val="24"/>
          <w:szCs w:val="24"/>
        </w:rPr>
        <w:t>.</w:t>
      </w:r>
      <w:r>
        <w:rPr>
          <w:rFonts w:hint="eastAsia"/>
          <w:b/>
          <w:bCs/>
          <w:sz w:val="24"/>
          <w:szCs w:val="24"/>
        </w:rPr>
        <w:t>3</w:t>
      </w:r>
      <w:r>
        <w:rPr>
          <w:b/>
          <w:bCs/>
          <w:sz w:val="24"/>
          <w:szCs w:val="24"/>
        </w:rPr>
        <w:t>.</w:t>
      </w:r>
      <w:r>
        <w:rPr>
          <w:rFonts w:hint="eastAsia"/>
          <w:b/>
          <w:bCs/>
          <w:sz w:val="24"/>
          <w:szCs w:val="24"/>
        </w:rPr>
        <w:t>29</w:t>
      </w:r>
      <w:r>
        <w:rPr>
          <w:sz w:val="24"/>
          <w:szCs w:val="24"/>
        </w:rPr>
        <w:t xml:space="preserve">  </w:t>
      </w:r>
      <w:r>
        <w:rPr>
          <w:kern w:val="0"/>
          <w:sz w:val="24"/>
          <w:szCs w:val="24"/>
        </w:rPr>
        <w:t>脚手架的拆除作业应符合下列规定：</w:t>
      </w:r>
    </w:p>
    <w:p w14:paraId="2C0D760A">
      <w:pPr>
        <w:widowControl/>
        <w:spacing w:line="360" w:lineRule="auto"/>
        <w:ind w:firstLine="482" w:firstLineChars="200"/>
        <w:rPr>
          <w:kern w:val="0"/>
          <w:sz w:val="24"/>
          <w:szCs w:val="24"/>
        </w:rPr>
      </w:pPr>
      <w:r>
        <w:rPr>
          <w:b/>
          <w:bCs/>
          <w:sz w:val="24"/>
          <w:szCs w:val="24"/>
        </w:rPr>
        <w:t>1</w:t>
      </w:r>
      <w:r>
        <w:rPr>
          <w:kern w:val="0"/>
          <w:sz w:val="24"/>
          <w:szCs w:val="24"/>
        </w:rPr>
        <w:t xml:space="preserve"> 架体拆除应按自上而下的顺序按步逐层进行，不应上下同时作业；</w:t>
      </w:r>
    </w:p>
    <w:p w14:paraId="1B76287D">
      <w:pPr>
        <w:widowControl/>
        <w:spacing w:line="360" w:lineRule="auto"/>
        <w:ind w:firstLine="482" w:firstLineChars="200"/>
        <w:rPr>
          <w:kern w:val="0"/>
          <w:sz w:val="24"/>
          <w:szCs w:val="24"/>
        </w:rPr>
      </w:pPr>
      <w:r>
        <w:rPr>
          <w:b/>
          <w:bCs/>
          <w:sz w:val="24"/>
          <w:szCs w:val="24"/>
        </w:rPr>
        <w:t>2</w:t>
      </w:r>
      <w:r>
        <w:rPr>
          <w:kern w:val="0"/>
          <w:sz w:val="24"/>
          <w:szCs w:val="24"/>
        </w:rPr>
        <w:t xml:space="preserve"> 同层杆件和构配件应按先外后内的顺序拆除，剪刀撑、斜撑杆等加固杆件应在拆卸至该部位杆件时拆除；</w:t>
      </w:r>
    </w:p>
    <w:p w14:paraId="1EFC087F">
      <w:pPr>
        <w:widowControl/>
        <w:spacing w:line="360" w:lineRule="auto"/>
        <w:ind w:firstLine="482" w:firstLineChars="200"/>
        <w:rPr>
          <w:kern w:val="0"/>
          <w:sz w:val="24"/>
          <w:szCs w:val="24"/>
        </w:rPr>
      </w:pPr>
      <w:r>
        <w:rPr>
          <w:b/>
          <w:bCs/>
          <w:sz w:val="24"/>
          <w:szCs w:val="24"/>
        </w:rPr>
        <w:t>3</w:t>
      </w:r>
      <w:r>
        <w:rPr>
          <w:kern w:val="0"/>
          <w:sz w:val="24"/>
          <w:szCs w:val="24"/>
        </w:rPr>
        <w:t xml:space="preserve"> 作业脚手架连墙件应随架体逐层、同步拆除，不应先将连墙件整层或数层拆除后再拆架体。支撑架拆架前应将可调托撑松顶，再拆除杆件连接和拉结；</w:t>
      </w:r>
    </w:p>
    <w:p w14:paraId="45DEB5BF">
      <w:pPr>
        <w:widowControl/>
        <w:spacing w:line="360" w:lineRule="auto"/>
        <w:ind w:firstLine="482" w:firstLineChars="200"/>
        <w:rPr>
          <w:kern w:val="0"/>
          <w:sz w:val="24"/>
          <w:szCs w:val="24"/>
        </w:rPr>
      </w:pPr>
      <w:r>
        <w:rPr>
          <w:b/>
          <w:bCs/>
          <w:sz w:val="24"/>
          <w:szCs w:val="24"/>
        </w:rPr>
        <w:t>4</w:t>
      </w:r>
      <w:r>
        <w:rPr>
          <w:kern w:val="0"/>
          <w:sz w:val="24"/>
          <w:szCs w:val="24"/>
        </w:rPr>
        <w:t xml:space="preserve"> 作业脚手架拆除作业过程中，当架体悬臂段高度超过2步时，应加设临时拉结。</w:t>
      </w:r>
    </w:p>
    <w:p w14:paraId="0BEF306A">
      <w:pPr>
        <w:widowControl/>
        <w:spacing w:line="360" w:lineRule="auto"/>
        <w:rPr>
          <w:kern w:val="0"/>
          <w:sz w:val="24"/>
          <w:szCs w:val="24"/>
        </w:rPr>
      </w:pPr>
      <w:r>
        <w:rPr>
          <w:rFonts w:hint="eastAsia"/>
          <w:b/>
          <w:bCs/>
          <w:kern w:val="0"/>
          <w:sz w:val="24"/>
          <w:szCs w:val="24"/>
        </w:rPr>
        <w:t>5</w:t>
      </w:r>
      <w:r>
        <w:rPr>
          <w:b/>
          <w:bCs/>
          <w:kern w:val="0"/>
          <w:sz w:val="24"/>
          <w:szCs w:val="24"/>
        </w:rPr>
        <w:t>.</w:t>
      </w:r>
      <w:r>
        <w:rPr>
          <w:rFonts w:hint="eastAsia"/>
          <w:b/>
          <w:bCs/>
          <w:kern w:val="0"/>
          <w:sz w:val="24"/>
          <w:szCs w:val="24"/>
        </w:rPr>
        <w:t>3</w:t>
      </w:r>
      <w:r>
        <w:rPr>
          <w:b/>
          <w:bCs/>
          <w:kern w:val="0"/>
          <w:sz w:val="24"/>
          <w:szCs w:val="24"/>
        </w:rPr>
        <w:t>.</w:t>
      </w:r>
      <w:r>
        <w:rPr>
          <w:rFonts w:hint="eastAsia"/>
          <w:b/>
          <w:bCs/>
          <w:kern w:val="0"/>
          <w:sz w:val="24"/>
          <w:szCs w:val="24"/>
        </w:rPr>
        <w:t>30</w:t>
      </w:r>
      <w:r>
        <w:rPr>
          <w:b/>
          <w:bCs/>
          <w:kern w:val="0"/>
          <w:sz w:val="24"/>
          <w:szCs w:val="24"/>
          <w:lang w:bidi="ar"/>
        </w:rPr>
        <w:t xml:space="preserve"> </w:t>
      </w:r>
      <w:r>
        <w:rPr>
          <w:kern w:val="0"/>
          <w:sz w:val="24"/>
          <w:szCs w:val="24"/>
        </w:rPr>
        <w:t xml:space="preserve"> 架体拆除作业应统一组织，周边应设置警戒区域及警示标志，警戒区域范围设定应</w:t>
      </w:r>
      <w:r>
        <w:rPr>
          <w:rFonts w:hint="eastAsia"/>
          <w:kern w:val="0"/>
          <w:sz w:val="24"/>
          <w:szCs w:val="24"/>
        </w:rPr>
        <w:t>符合</w:t>
      </w:r>
      <w:r>
        <w:rPr>
          <w:kern w:val="0"/>
          <w:sz w:val="24"/>
          <w:szCs w:val="24"/>
        </w:rPr>
        <w:t>现行国家标准《高处作业分级》GB 3608的规定。并应设专人指挥、监护，不得交叉作业，非作业人员不得进入警戒作业区。</w:t>
      </w:r>
    </w:p>
    <w:p w14:paraId="722105AE">
      <w:pPr>
        <w:widowControl/>
        <w:spacing w:line="360" w:lineRule="auto"/>
        <w:jc w:val="left"/>
        <w:rPr>
          <w:kern w:val="0"/>
          <w:sz w:val="24"/>
          <w:szCs w:val="24"/>
        </w:rPr>
      </w:pPr>
      <w:r>
        <w:rPr>
          <w:rFonts w:hint="eastAsia"/>
          <w:b/>
          <w:bCs/>
          <w:kern w:val="0"/>
          <w:sz w:val="24"/>
          <w:szCs w:val="24"/>
        </w:rPr>
        <w:t>5</w:t>
      </w:r>
      <w:r>
        <w:rPr>
          <w:b/>
          <w:bCs/>
          <w:kern w:val="0"/>
          <w:sz w:val="24"/>
          <w:szCs w:val="24"/>
        </w:rPr>
        <w:t>.</w:t>
      </w:r>
      <w:r>
        <w:rPr>
          <w:rFonts w:hint="eastAsia"/>
          <w:b/>
          <w:bCs/>
          <w:kern w:val="0"/>
          <w:sz w:val="24"/>
          <w:szCs w:val="24"/>
        </w:rPr>
        <w:t>3</w:t>
      </w:r>
      <w:r>
        <w:rPr>
          <w:b/>
          <w:bCs/>
          <w:kern w:val="0"/>
          <w:sz w:val="24"/>
          <w:szCs w:val="24"/>
        </w:rPr>
        <w:t>.</w:t>
      </w:r>
      <w:r>
        <w:rPr>
          <w:rFonts w:hint="eastAsia"/>
          <w:b/>
          <w:bCs/>
          <w:kern w:val="0"/>
          <w:sz w:val="24"/>
          <w:szCs w:val="24"/>
        </w:rPr>
        <w:t>31</w:t>
      </w:r>
      <w:r>
        <w:rPr>
          <w:b/>
          <w:bCs/>
          <w:kern w:val="0"/>
          <w:sz w:val="24"/>
          <w:szCs w:val="24"/>
        </w:rPr>
        <w:t xml:space="preserve">  </w:t>
      </w:r>
      <w:r>
        <w:rPr>
          <w:kern w:val="0"/>
          <w:sz w:val="24"/>
          <w:szCs w:val="24"/>
        </w:rPr>
        <w:t>脚手架拆除时应有可靠的防止人员与物料坠落的措施。宜设置直径不应小于6㎜的安全钢丝绳，安全钢丝绳设置在立杆内侧的横向水平杆下方。</w:t>
      </w:r>
    </w:p>
    <w:p w14:paraId="77E3E6BC">
      <w:pPr>
        <w:widowControl/>
        <w:spacing w:line="360" w:lineRule="auto"/>
        <w:jc w:val="left"/>
        <w:rPr>
          <w:kern w:val="0"/>
          <w:sz w:val="24"/>
          <w:szCs w:val="24"/>
        </w:rPr>
      </w:pPr>
      <w:r>
        <w:rPr>
          <w:rFonts w:hint="eastAsia"/>
          <w:b/>
          <w:bCs/>
          <w:kern w:val="0"/>
          <w:sz w:val="24"/>
          <w:szCs w:val="24"/>
        </w:rPr>
        <w:t>5</w:t>
      </w:r>
      <w:r>
        <w:rPr>
          <w:b/>
          <w:bCs/>
          <w:kern w:val="0"/>
          <w:sz w:val="24"/>
          <w:szCs w:val="24"/>
        </w:rPr>
        <w:t>.</w:t>
      </w:r>
      <w:r>
        <w:rPr>
          <w:rFonts w:hint="eastAsia"/>
          <w:b/>
          <w:bCs/>
          <w:kern w:val="0"/>
          <w:sz w:val="24"/>
          <w:szCs w:val="24"/>
        </w:rPr>
        <w:t>3</w:t>
      </w:r>
      <w:r>
        <w:rPr>
          <w:b/>
          <w:bCs/>
          <w:kern w:val="0"/>
          <w:sz w:val="24"/>
          <w:szCs w:val="24"/>
        </w:rPr>
        <w:t>.</w:t>
      </w:r>
      <w:r>
        <w:rPr>
          <w:rFonts w:hint="eastAsia"/>
          <w:b/>
          <w:bCs/>
          <w:kern w:val="0"/>
          <w:sz w:val="24"/>
          <w:szCs w:val="24"/>
        </w:rPr>
        <w:t>32</w:t>
      </w:r>
      <w:r>
        <w:rPr>
          <w:b/>
          <w:bCs/>
          <w:kern w:val="0"/>
          <w:sz w:val="24"/>
          <w:szCs w:val="24"/>
        </w:rPr>
        <w:t xml:space="preserve">  </w:t>
      </w:r>
      <w:r>
        <w:rPr>
          <w:kern w:val="0"/>
          <w:sz w:val="24"/>
          <w:szCs w:val="24"/>
        </w:rPr>
        <w:t>脚手架拆除后的材料</w:t>
      </w:r>
      <w:r>
        <w:rPr>
          <w:rFonts w:hint="eastAsia"/>
          <w:kern w:val="0"/>
          <w:sz w:val="24"/>
          <w:szCs w:val="24"/>
        </w:rPr>
        <w:t>不得</w:t>
      </w:r>
      <w:r>
        <w:rPr>
          <w:kern w:val="0"/>
          <w:sz w:val="24"/>
          <w:szCs w:val="24"/>
        </w:rPr>
        <w:t>高空抛掷，临时堆放处离楼层外表面边沿不应小于1m，堆放高度不应大于1m。楼层边口、通道口、脚手架边缘等处，不得堆放任何拆除物料。</w:t>
      </w:r>
    </w:p>
    <w:p w14:paraId="7D17A451">
      <w:pPr>
        <w:widowControl/>
        <w:spacing w:line="360" w:lineRule="auto"/>
        <w:jc w:val="left"/>
        <w:rPr>
          <w:kern w:val="0"/>
          <w:sz w:val="24"/>
          <w:szCs w:val="24"/>
        </w:rPr>
      </w:pPr>
      <w:r>
        <w:rPr>
          <w:rFonts w:hint="eastAsia"/>
          <w:b/>
          <w:bCs/>
          <w:kern w:val="0"/>
          <w:sz w:val="24"/>
          <w:szCs w:val="24"/>
        </w:rPr>
        <w:t>5</w:t>
      </w:r>
      <w:r>
        <w:rPr>
          <w:b/>
          <w:bCs/>
          <w:kern w:val="0"/>
          <w:sz w:val="24"/>
          <w:szCs w:val="24"/>
        </w:rPr>
        <w:t>.</w:t>
      </w:r>
      <w:r>
        <w:rPr>
          <w:rFonts w:hint="eastAsia"/>
          <w:b/>
          <w:bCs/>
          <w:kern w:val="0"/>
          <w:sz w:val="24"/>
          <w:szCs w:val="24"/>
        </w:rPr>
        <w:t>3</w:t>
      </w:r>
      <w:r>
        <w:rPr>
          <w:b/>
          <w:bCs/>
          <w:kern w:val="0"/>
          <w:sz w:val="24"/>
          <w:szCs w:val="24"/>
        </w:rPr>
        <w:t>.</w:t>
      </w:r>
      <w:r>
        <w:rPr>
          <w:rFonts w:hint="eastAsia"/>
          <w:b/>
          <w:bCs/>
          <w:kern w:val="0"/>
          <w:sz w:val="24"/>
          <w:szCs w:val="24"/>
        </w:rPr>
        <w:t>33</w:t>
      </w:r>
      <w:r>
        <w:rPr>
          <w:b/>
          <w:bCs/>
          <w:kern w:val="0"/>
          <w:sz w:val="24"/>
          <w:szCs w:val="24"/>
        </w:rPr>
        <w:t xml:space="preserve">  </w:t>
      </w:r>
      <w:r>
        <w:rPr>
          <w:kern w:val="0"/>
          <w:sz w:val="24"/>
          <w:szCs w:val="24"/>
        </w:rPr>
        <w:t>脚手架分段拆除时，应先对未拆除部分采取加固处理措施后再进行架体拆除。</w:t>
      </w:r>
    </w:p>
    <w:p w14:paraId="0F07B888">
      <w:pPr>
        <w:spacing w:line="360" w:lineRule="auto"/>
        <w:rPr>
          <w:b/>
          <w:bCs/>
          <w:sz w:val="24"/>
          <w:szCs w:val="24"/>
        </w:rPr>
      </w:pPr>
      <w:r>
        <w:rPr>
          <w:rFonts w:hint="eastAsia"/>
          <w:b/>
          <w:bCs/>
          <w:kern w:val="0"/>
          <w:sz w:val="24"/>
          <w:szCs w:val="24"/>
        </w:rPr>
        <w:t>5</w:t>
      </w:r>
      <w:r>
        <w:rPr>
          <w:b/>
          <w:bCs/>
          <w:kern w:val="0"/>
          <w:sz w:val="24"/>
          <w:szCs w:val="24"/>
        </w:rPr>
        <w:t>.</w:t>
      </w:r>
      <w:r>
        <w:rPr>
          <w:rFonts w:hint="eastAsia"/>
          <w:b/>
          <w:bCs/>
          <w:kern w:val="0"/>
          <w:sz w:val="24"/>
          <w:szCs w:val="24"/>
        </w:rPr>
        <w:t>3</w:t>
      </w:r>
      <w:r>
        <w:rPr>
          <w:b/>
          <w:bCs/>
          <w:kern w:val="0"/>
          <w:sz w:val="24"/>
          <w:szCs w:val="24"/>
        </w:rPr>
        <w:t>.</w:t>
      </w:r>
      <w:r>
        <w:rPr>
          <w:rFonts w:hint="eastAsia"/>
          <w:b/>
          <w:bCs/>
          <w:kern w:val="0"/>
          <w:sz w:val="24"/>
          <w:szCs w:val="24"/>
        </w:rPr>
        <w:t>34</w:t>
      </w:r>
      <w:r>
        <w:rPr>
          <w:b/>
          <w:bCs/>
          <w:sz w:val="24"/>
          <w:szCs w:val="24"/>
        </w:rPr>
        <w:t xml:space="preserve">  </w:t>
      </w:r>
      <w:r>
        <w:rPr>
          <w:kern w:val="0"/>
          <w:sz w:val="24"/>
          <w:szCs w:val="24"/>
        </w:rPr>
        <w:t>悬挑脚手架应符合下列要求：</w:t>
      </w:r>
    </w:p>
    <w:p w14:paraId="363EEBAF">
      <w:pPr>
        <w:spacing w:line="360" w:lineRule="auto"/>
        <w:ind w:firstLine="482" w:firstLineChars="200"/>
        <w:rPr>
          <w:kern w:val="0"/>
          <w:sz w:val="24"/>
          <w:szCs w:val="24"/>
        </w:rPr>
      </w:pPr>
      <w:r>
        <w:rPr>
          <w:rFonts w:hint="eastAsia"/>
          <w:b/>
          <w:bCs/>
          <w:kern w:val="0"/>
          <w:sz w:val="24"/>
          <w:szCs w:val="24"/>
        </w:rPr>
        <w:t xml:space="preserve">1 </w:t>
      </w:r>
      <w:r>
        <w:rPr>
          <w:rFonts w:hint="eastAsia"/>
          <w:kern w:val="0"/>
          <w:sz w:val="24"/>
          <w:szCs w:val="24"/>
        </w:rPr>
        <w:t xml:space="preserve"> </w:t>
      </w:r>
      <w:r>
        <w:rPr>
          <w:kern w:val="0"/>
          <w:sz w:val="24"/>
          <w:szCs w:val="24"/>
        </w:rPr>
        <w:t>悬挑脚手架的悬挑钢梁应采用双轴对称截面的型钢，钢梁不得接长使用，钢梁截面高度不应小于160mm。钢梁固定段长度不应小于悬挑段长度的1.25倍。</w:t>
      </w:r>
    </w:p>
    <w:p w14:paraId="26E46DD8">
      <w:pPr>
        <w:spacing w:line="360" w:lineRule="auto"/>
        <w:ind w:firstLine="482" w:firstLineChars="200"/>
        <w:rPr>
          <w:kern w:val="0"/>
          <w:sz w:val="24"/>
          <w:szCs w:val="24"/>
        </w:rPr>
      </w:pPr>
      <w:r>
        <w:rPr>
          <w:rFonts w:hint="eastAsia"/>
          <w:b/>
          <w:bCs/>
          <w:kern w:val="0"/>
          <w:sz w:val="24"/>
          <w:szCs w:val="24"/>
        </w:rPr>
        <w:t>2</w:t>
      </w:r>
      <w:r>
        <w:rPr>
          <w:b/>
          <w:bCs/>
          <w:sz w:val="24"/>
          <w:szCs w:val="24"/>
        </w:rPr>
        <w:t xml:space="preserve">  </w:t>
      </w:r>
      <w:r>
        <w:rPr>
          <w:kern w:val="0"/>
          <w:sz w:val="24"/>
          <w:szCs w:val="24"/>
        </w:rPr>
        <w:t>悬挑脚手架的承力钢梁搭设前，应在下方脚手架设置符合规范要求的安全防护网；</w:t>
      </w:r>
    </w:p>
    <w:p w14:paraId="2456C612">
      <w:pPr>
        <w:spacing w:line="360" w:lineRule="auto"/>
        <w:ind w:firstLine="482" w:firstLineChars="200"/>
        <w:rPr>
          <w:kern w:val="0"/>
          <w:sz w:val="24"/>
          <w:szCs w:val="24"/>
        </w:rPr>
      </w:pPr>
      <w:r>
        <w:rPr>
          <w:rFonts w:hint="eastAsia"/>
          <w:b/>
          <w:bCs/>
          <w:kern w:val="0"/>
          <w:sz w:val="24"/>
          <w:szCs w:val="24"/>
        </w:rPr>
        <w:t>3</w:t>
      </w:r>
      <w:r>
        <w:rPr>
          <w:b/>
          <w:bCs/>
          <w:sz w:val="24"/>
          <w:szCs w:val="24"/>
        </w:rPr>
        <w:t xml:space="preserve">  </w:t>
      </w:r>
      <w:r>
        <w:rPr>
          <w:kern w:val="0"/>
          <w:sz w:val="24"/>
          <w:szCs w:val="24"/>
        </w:rPr>
        <w:t>型钢悬挑梁外端宜设置钢丝绳或钢拉杆与上一层建筑结构斜拉结。钢丝绳或钢拉杆不参与悬挑钢梁受力计算。</w:t>
      </w:r>
    </w:p>
    <w:p w14:paraId="2FF968C5">
      <w:pPr>
        <w:spacing w:line="360" w:lineRule="auto"/>
        <w:ind w:firstLine="482" w:firstLineChars="200"/>
        <w:rPr>
          <w:kern w:val="0"/>
          <w:sz w:val="24"/>
          <w:szCs w:val="24"/>
        </w:rPr>
      </w:pPr>
      <w:r>
        <w:rPr>
          <w:rFonts w:hint="eastAsia"/>
          <w:b/>
          <w:bCs/>
          <w:kern w:val="0"/>
          <w:sz w:val="24"/>
          <w:szCs w:val="24"/>
        </w:rPr>
        <w:t>4</w:t>
      </w:r>
      <w:r>
        <w:rPr>
          <w:b/>
          <w:bCs/>
          <w:sz w:val="24"/>
          <w:szCs w:val="24"/>
        </w:rPr>
        <w:t xml:space="preserve">  </w:t>
      </w:r>
      <w:r>
        <w:rPr>
          <w:kern w:val="0"/>
          <w:sz w:val="24"/>
          <w:szCs w:val="24"/>
        </w:rPr>
        <w:t>锚固型钢悬挑梁的U型钢筋拉环应使用HPB 300级钢筋，直径不应小于16mm，宽度宜为160mm，高度经计算确定</w:t>
      </w:r>
      <w:r>
        <w:rPr>
          <w:rFonts w:hint="eastAsia"/>
          <w:kern w:val="0"/>
          <w:sz w:val="24"/>
          <w:szCs w:val="24"/>
        </w:rPr>
        <w:t>。</w:t>
      </w:r>
      <w:r>
        <w:rPr>
          <w:kern w:val="0"/>
          <w:sz w:val="24"/>
          <w:szCs w:val="24"/>
        </w:rPr>
        <w:t>U型锚固螺栓的材质不应低于Q235级钢，直径不应小于18mm，宽度宜为160mm，高度经计算确定。</w:t>
      </w:r>
    </w:p>
    <w:p w14:paraId="0E352B4E">
      <w:pPr>
        <w:spacing w:line="360" w:lineRule="auto"/>
        <w:ind w:firstLine="482" w:firstLineChars="200"/>
        <w:rPr>
          <w:kern w:val="0"/>
          <w:sz w:val="24"/>
          <w:szCs w:val="24"/>
        </w:rPr>
      </w:pPr>
      <w:r>
        <w:rPr>
          <w:rFonts w:hint="eastAsia"/>
          <w:b/>
          <w:bCs/>
          <w:kern w:val="0"/>
          <w:sz w:val="24"/>
          <w:szCs w:val="24"/>
        </w:rPr>
        <w:t>5</w:t>
      </w:r>
      <w:r>
        <w:rPr>
          <w:b/>
          <w:bCs/>
          <w:sz w:val="24"/>
          <w:szCs w:val="24"/>
        </w:rPr>
        <w:t xml:space="preserve">  </w:t>
      </w:r>
      <w:r>
        <w:rPr>
          <w:kern w:val="0"/>
          <w:sz w:val="24"/>
          <w:szCs w:val="24"/>
        </w:rPr>
        <w:t>悬挑式脚手架架体底层应采取硬质封闭措施</w:t>
      </w:r>
      <w:r>
        <w:rPr>
          <w:rFonts w:hint="eastAsia"/>
          <w:kern w:val="0"/>
          <w:sz w:val="24"/>
          <w:szCs w:val="24"/>
        </w:rPr>
        <w:t>。</w:t>
      </w:r>
    </w:p>
    <w:p w14:paraId="28CB0BBB">
      <w:pPr>
        <w:spacing w:line="360" w:lineRule="auto"/>
        <w:rPr>
          <w:b/>
          <w:bCs/>
          <w:kern w:val="0"/>
          <w:sz w:val="24"/>
          <w:szCs w:val="24"/>
        </w:rPr>
      </w:pPr>
      <w:r>
        <w:rPr>
          <w:rFonts w:hint="eastAsia"/>
          <w:b/>
          <w:bCs/>
          <w:kern w:val="0"/>
          <w:sz w:val="24"/>
          <w:szCs w:val="24"/>
        </w:rPr>
        <w:t>5</w:t>
      </w:r>
      <w:r>
        <w:rPr>
          <w:b/>
          <w:bCs/>
          <w:kern w:val="0"/>
          <w:sz w:val="24"/>
          <w:szCs w:val="24"/>
        </w:rPr>
        <w:t>.</w:t>
      </w:r>
      <w:r>
        <w:rPr>
          <w:rFonts w:hint="eastAsia"/>
          <w:b/>
          <w:bCs/>
          <w:kern w:val="0"/>
          <w:sz w:val="24"/>
          <w:szCs w:val="24"/>
        </w:rPr>
        <w:t>3</w:t>
      </w:r>
      <w:r>
        <w:rPr>
          <w:b/>
          <w:bCs/>
          <w:kern w:val="0"/>
          <w:sz w:val="24"/>
          <w:szCs w:val="24"/>
        </w:rPr>
        <w:t>.</w:t>
      </w:r>
      <w:r>
        <w:rPr>
          <w:rFonts w:hint="eastAsia"/>
          <w:b/>
          <w:bCs/>
          <w:kern w:val="0"/>
          <w:sz w:val="24"/>
          <w:szCs w:val="24"/>
        </w:rPr>
        <w:t xml:space="preserve">35  </w:t>
      </w:r>
      <w:r>
        <w:rPr>
          <w:kern w:val="0"/>
          <w:sz w:val="24"/>
          <w:szCs w:val="24"/>
        </w:rPr>
        <w:t>三角桁架应符合下列要求：</w:t>
      </w:r>
    </w:p>
    <w:p w14:paraId="108DC7D9">
      <w:pPr>
        <w:spacing w:line="360" w:lineRule="auto"/>
        <w:ind w:firstLine="482" w:firstLineChars="200"/>
        <w:rPr>
          <w:kern w:val="0"/>
          <w:sz w:val="24"/>
          <w:szCs w:val="24"/>
        </w:rPr>
      </w:pPr>
      <w:r>
        <w:rPr>
          <w:rFonts w:hint="eastAsia"/>
          <w:b/>
          <w:bCs/>
          <w:kern w:val="0"/>
          <w:sz w:val="24"/>
          <w:szCs w:val="24"/>
        </w:rPr>
        <w:t>1</w:t>
      </w:r>
      <w:r>
        <w:rPr>
          <w:b/>
          <w:bCs/>
          <w:sz w:val="24"/>
          <w:szCs w:val="24"/>
        </w:rPr>
        <w:t xml:space="preserve">  </w:t>
      </w:r>
      <w:r>
        <w:rPr>
          <w:kern w:val="0"/>
          <w:sz w:val="24"/>
          <w:szCs w:val="24"/>
        </w:rPr>
        <w:t>三角桁架悬挑脚手架的支承构件应采用双轴对称截面型钢组合制成的三角桁架，三角桁架型号及锚固件应按设计确定</w:t>
      </w:r>
      <w:r>
        <w:rPr>
          <w:rFonts w:hint="eastAsia"/>
          <w:kern w:val="0"/>
          <w:sz w:val="24"/>
          <w:szCs w:val="24"/>
        </w:rPr>
        <w:t>；</w:t>
      </w:r>
    </w:p>
    <w:p w14:paraId="2A388B2D">
      <w:pPr>
        <w:spacing w:line="360" w:lineRule="auto"/>
        <w:ind w:firstLine="482" w:firstLineChars="200"/>
        <w:rPr>
          <w:kern w:val="0"/>
          <w:sz w:val="24"/>
          <w:szCs w:val="24"/>
        </w:rPr>
      </w:pPr>
      <w:r>
        <w:rPr>
          <w:rFonts w:hint="eastAsia"/>
          <w:b/>
          <w:bCs/>
          <w:kern w:val="0"/>
          <w:sz w:val="24"/>
          <w:szCs w:val="24"/>
        </w:rPr>
        <w:t>2</w:t>
      </w:r>
      <w:r>
        <w:rPr>
          <w:b/>
          <w:bCs/>
          <w:sz w:val="24"/>
          <w:szCs w:val="24"/>
        </w:rPr>
        <w:t xml:space="preserve">  </w:t>
      </w:r>
      <w:r>
        <w:rPr>
          <w:kern w:val="0"/>
          <w:sz w:val="24"/>
          <w:szCs w:val="24"/>
        </w:rPr>
        <w:t>三角桁架间距应按脚手架立杆纵距设置，每一纵距设置一根</w:t>
      </w:r>
      <w:r>
        <w:rPr>
          <w:rFonts w:hint="eastAsia"/>
          <w:kern w:val="0"/>
          <w:sz w:val="24"/>
          <w:szCs w:val="24"/>
        </w:rPr>
        <w:t>。</w:t>
      </w:r>
      <w:r>
        <w:rPr>
          <w:kern w:val="0"/>
          <w:sz w:val="24"/>
          <w:szCs w:val="24"/>
        </w:rPr>
        <w:t>当立杆下不能设置三角桁架时，应在三角桁架上增设钢连梁，钢连梁与三角桁架之间应采用专用卡具固定牢靠</w:t>
      </w:r>
      <w:r>
        <w:rPr>
          <w:rFonts w:hint="eastAsia"/>
          <w:kern w:val="0"/>
          <w:sz w:val="24"/>
          <w:szCs w:val="24"/>
        </w:rPr>
        <w:t>；</w:t>
      </w:r>
    </w:p>
    <w:p w14:paraId="564011CA">
      <w:pPr>
        <w:spacing w:line="360" w:lineRule="auto"/>
        <w:ind w:firstLine="482" w:firstLineChars="200"/>
        <w:rPr>
          <w:kern w:val="0"/>
          <w:sz w:val="24"/>
          <w:szCs w:val="24"/>
        </w:rPr>
      </w:pPr>
      <w:r>
        <w:rPr>
          <w:rFonts w:hint="eastAsia"/>
          <w:b/>
          <w:bCs/>
          <w:kern w:val="0"/>
          <w:sz w:val="24"/>
          <w:szCs w:val="24"/>
        </w:rPr>
        <w:t>3</w:t>
      </w:r>
      <w:r>
        <w:rPr>
          <w:b/>
          <w:bCs/>
          <w:sz w:val="24"/>
          <w:szCs w:val="24"/>
        </w:rPr>
        <w:t xml:space="preserve">  </w:t>
      </w:r>
      <w:r>
        <w:rPr>
          <w:kern w:val="0"/>
          <w:sz w:val="24"/>
          <w:szCs w:val="24"/>
        </w:rPr>
        <w:t>三角桁架应采用不少于2个锚固螺栓与钢筋混凝土墙或梁固定，安装固定三角桁架时主体结构混凝土强度不应低于20MPa，结构厚度不宜小于200mm，结构厚度小</w:t>
      </w:r>
      <w:r>
        <w:rPr>
          <w:rFonts w:hint="eastAsia"/>
          <w:kern w:val="0"/>
          <w:sz w:val="24"/>
          <w:szCs w:val="24"/>
        </w:rPr>
        <w:t>于</w:t>
      </w:r>
      <w:r>
        <w:rPr>
          <w:kern w:val="0"/>
          <w:sz w:val="24"/>
          <w:szCs w:val="24"/>
        </w:rPr>
        <w:t>200mm</w:t>
      </w:r>
      <w:r>
        <w:rPr>
          <w:rFonts w:hint="eastAsia"/>
          <w:kern w:val="0"/>
          <w:sz w:val="24"/>
          <w:szCs w:val="24"/>
        </w:rPr>
        <w:t>时</w:t>
      </w:r>
      <w:r>
        <w:rPr>
          <w:kern w:val="0"/>
          <w:sz w:val="24"/>
          <w:szCs w:val="24"/>
        </w:rPr>
        <w:t>应采取加固措施</w:t>
      </w:r>
      <w:r>
        <w:rPr>
          <w:rFonts w:hint="eastAsia"/>
          <w:kern w:val="0"/>
          <w:sz w:val="24"/>
          <w:szCs w:val="24"/>
        </w:rPr>
        <w:t>。</w:t>
      </w:r>
    </w:p>
    <w:p w14:paraId="72F7676B">
      <w:pPr>
        <w:spacing w:line="360" w:lineRule="auto"/>
        <w:rPr>
          <w:b/>
          <w:bCs/>
          <w:sz w:val="24"/>
          <w:szCs w:val="24"/>
        </w:rPr>
      </w:pPr>
      <w:r>
        <w:rPr>
          <w:rFonts w:hint="eastAsia"/>
          <w:b/>
          <w:bCs/>
          <w:kern w:val="0"/>
          <w:sz w:val="24"/>
          <w:szCs w:val="24"/>
        </w:rPr>
        <w:t>5</w:t>
      </w:r>
      <w:r>
        <w:rPr>
          <w:b/>
          <w:bCs/>
          <w:kern w:val="0"/>
          <w:sz w:val="24"/>
          <w:szCs w:val="24"/>
        </w:rPr>
        <w:t>.</w:t>
      </w:r>
      <w:r>
        <w:rPr>
          <w:rFonts w:hint="eastAsia"/>
          <w:b/>
          <w:bCs/>
          <w:kern w:val="0"/>
          <w:sz w:val="24"/>
          <w:szCs w:val="24"/>
        </w:rPr>
        <w:t xml:space="preserve">3.36 </w:t>
      </w:r>
      <w:r>
        <w:rPr>
          <w:b/>
          <w:bCs/>
          <w:sz w:val="24"/>
          <w:szCs w:val="24"/>
        </w:rPr>
        <w:t xml:space="preserve"> </w:t>
      </w:r>
      <w:r>
        <w:rPr>
          <w:kern w:val="0"/>
          <w:sz w:val="24"/>
          <w:szCs w:val="24"/>
        </w:rPr>
        <w:t>附着式升降脚手架应符合下列要求：</w:t>
      </w:r>
    </w:p>
    <w:p w14:paraId="18476970">
      <w:pPr>
        <w:widowControl/>
        <w:spacing w:line="360" w:lineRule="auto"/>
        <w:ind w:firstLine="482" w:firstLineChars="200"/>
        <w:rPr>
          <w:kern w:val="0"/>
          <w:sz w:val="24"/>
          <w:szCs w:val="24"/>
        </w:rPr>
      </w:pPr>
      <w:r>
        <w:rPr>
          <w:rFonts w:hint="eastAsia"/>
          <w:b/>
          <w:bCs/>
          <w:kern w:val="0"/>
          <w:sz w:val="24"/>
          <w:szCs w:val="24"/>
        </w:rPr>
        <w:t xml:space="preserve">1 </w:t>
      </w:r>
      <w:r>
        <w:rPr>
          <w:rFonts w:hint="eastAsia"/>
          <w:kern w:val="0"/>
          <w:sz w:val="24"/>
          <w:szCs w:val="24"/>
        </w:rPr>
        <w:t xml:space="preserve"> </w:t>
      </w:r>
      <w:r>
        <w:rPr>
          <w:kern w:val="0"/>
          <w:sz w:val="24"/>
          <w:szCs w:val="24"/>
        </w:rPr>
        <w:t>附着式升降脚手架应设有防倾、防坠、停层、荷载、同步升降控制装置，各类装置应灵敏可靠</w:t>
      </w:r>
      <w:r>
        <w:rPr>
          <w:rFonts w:hint="eastAsia"/>
          <w:kern w:val="0"/>
          <w:sz w:val="24"/>
          <w:szCs w:val="24"/>
        </w:rPr>
        <w:t>；</w:t>
      </w:r>
    </w:p>
    <w:p w14:paraId="06A4A104">
      <w:pPr>
        <w:widowControl/>
        <w:spacing w:line="360" w:lineRule="auto"/>
        <w:ind w:firstLine="482" w:firstLineChars="200"/>
        <w:rPr>
          <w:kern w:val="0"/>
          <w:sz w:val="24"/>
          <w:szCs w:val="24"/>
        </w:rPr>
      </w:pPr>
      <w:r>
        <w:rPr>
          <w:rFonts w:hint="eastAsia"/>
          <w:b/>
          <w:bCs/>
          <w:kern w:val="0"/>
          <w:sz w:val="24"/>
          <w:szCs w:val="24"/>
        </w:rPr>
        <w:t>2</w:t>
      </w:r>
      <w:r>
        <w:rPr>
          <w:kern w:val="0"/>
          <w:sz w:val="24"/>
          <w:szCs w:val="24"/>
        </w:rPr>
        <w:t xml:space="preserve">  当附着式升降脚手架架体遇到塔吊、施工电梯、物料平台需断开或开洞时，断开处应加设栏杆和封闭，开口处应有可靠的防止人员及物料坠落的措施</w:t>
      </w:r>
      <w:r>
        <w:rPr>
          <w:rFonts w:hint="eastAsia"/>
          <w:kern w:val="0"/>
          <w:sz w:val="24"/>
          <w:szCs w:val="24"/>
        </w:rPr>
        <w:t>；</w:t>
      </w:r>
    </w:p>
    <w:p w14:paraId="74C1DA2F">
      <w:pPr>
        <w:widowControl/>
        <w:spacing w:line="360" w:lineRule="auto"/>
        <w:ind w:firstLine="482" w:firstLineChars="200"/>
        <w:rPr>
          <w:kern w:val="0"/>
          <w:sz w:val="24"/>
          <w:szCs w:val="24"/>
        </w:rPr>
      </w:pPr>
      <w:r>
        <w:rPr>
          <w:rFonts w:hint="eastAsia"/>
          <w:b/>
          <w:bCs/>
          <w:kern w:val="0"/>
          <w:sz w:val="24"/>
          <w:szCs w:val="24"/>
        </w:rPr>
        <w:t>3</w:t>
      </w:r>
      <w:r>
        <w:rPr>
          <w:kern w:val="0"/>
          <w:sz w:val="24"/>
          <w:szCs w:val="24"/>
        </w:rPr>
        <w:t xml:space="preserve">  附着式升降脚手架架体外侧应采用钢板网封闭严密，且应可靠固定在架体上</w:t>
      </w:r>
      <w:r>
        <w:rPr>
          <w:rFonts w:hint="eastAsia"/>
          <w:kern w:val="0"/>
          <w:sz w:val="24"/>
          <w:szCs w:val="24"/>
        </w:rPr>
        <w:t>；</w:t>
      </w:r>
    </w:p>
    <w:p w14:paraId="4BDC4512">
      <w:pPr>
        <w:widowControl/>
        <w:spacing w:line="360" w:lineRule="auto"/>
        <w:ind w:firstLine="482" w:firstLineChars="200"/>
        <w:rPr>
          <w:kern w:val="0"/>
          <w:sz w:val="24"/>
          <w:szCs w:val="24"/>
        </w:rPr>
      </w:pPr>
      <w:r>
        <w:rPr>
          <w:rFonts w:hint="eastAsia"/>
          <w:b/>
          <w:bCs/>
          <w:kern w:val="0"/>
          <w:sz w:val="24"/>
          <w:szCs w:val="24"/>
        </w:rPr>
        <w:t>4</w:t>
      </w:r>
      <w:r>
        <w:rPr>
          <w:kern w:val="0"/>
          <w:sz w:val="24"/>
          <w:szCs w:val="24"/>
        </w:rPr>
        <w:t xml:space="preserve">  附着式升降脚手架在使用过程中应保证附着支座应稳固，防倾覆、防坠落、卸荷顶撑、同步升降控制装置等处于良好工作状态</w:t>
      </w:r>
      <w:r>
        <w:rPr>
          <w:rFonts w:hint="eastAsia"/>
          <w:kern w:val="0"/>
          <w:sz w:val="24"/>
          <w:szCs w:val="24"/>
        </w:rPr>
        <w:t>；</w:t>
      </w:r>
    </w:p>
    <w:p w14:paraId="5C529117">
      <w:pPr>
        <w:widowControl/>
        <w:spacing w:line="360" w:lineRule="auto"/>
        <w:ind w:firstLine="482" w:firstLineChars="200"/>
        <w:rPr>
          <w:kern w:val="0"/>
          <w:sz w:val="24"/>
          <w:szCs w:val="24"/>
        </w:rPr>
      </w:pPr>
      <w:r>
        <w:rPr>
          <w:rFonts w:hint="eastAsia"/>
          <w:b/>
          <w:bCs/>
          <w:kern w:val="0"/>
          <w:sz w:val="24"/>
          <w:szCs w:val="24"/>
        </w:rPr>
        <w:t>5</w:t>
      </w:r>
      <w:r>
        <w:rPr>
          <w:b/>
          <w:bCs/>
          <w:kern w:val="0"/>
          <w:sz w:val="24"/>
          <w:szCs w:val="24"/>
        </w:rPr>
        <w:t xml:space="preserve"> </w:t>
      </w:r>
      <w:r>
        <w:rPr>
          <w:kern w:val="0"/>
          <w:sz w:val="24"/>
          <w:szCs w:val="24"/>
        </w:rPr>
        <w:t xml:space="preserve"> 附着式升降脚手架升降过程中，架体上不得站人或放置物料。架体作业层应满铺脚手板，架体外立面用钢板网封闭严密。架体底层及作业面下层应设置翻板，翻板应铺设严密并固定牢固。</w:t>
      </w:r>
    </w:p>
    <w:p w14:paraId="6694F91E">
      <w:pPr>
        <w:spacing w:line="360" w:lineRule="auto"/>
        <w:rPr>
          <w:kern w:val="0"/>
          <w:sz w:val="24"/>
          <w:szCs w:val="24"/>
          <w:lang w:bidi="ar"/>
        </w:rPr>
      </w:pPr>
      <w:r>
        <w:rPr>
          <w:rFonts w:hint="eastAsia"/>
          <w:b/>
          <w:bCs/>
          <w:kern w:val="0"/>
          <w:sz w:val="24"/>
          <w:szCs w:val="24"/>
        </w:rPr>
        <w:t>5</w:t>
      </w:r>
      <w:r>
        <w:rPr>
          <w:b/>
          <w:bCs/>
          <w:kern w:val="0"/>
          <w:sz w:val="24"/>
          <w:szCs w:val="24"/>
        </w:rPr>
        <w:t>.</w:t>
      </w:r>
      <w:r>
        <w:rPr>
          <w:rFonts w:hint="eastAsia"/>
          <w:b/>
          <w:bCs/>
          <w:kern w:val="0"/>
          <w:sz w:val="24"/>
          <w:szCs w:val="24"/>
        </w:rPr>
        <w:t>3</w:t>
      </w:r>
      <w:r>
        <w:rPr>
          <w:b/>
          <w:bCs/>
          <w:kern w:val="0"/>
          <w:sz w:val="24"/>
          <w:szCs w:val="24"/>
        </w:rPr>
        <w:t>.</w:t>
      </w:r>
      <w:r>
        <w:rPr>
          <w:rFonts w:hint="eastAsia"/>
          <w:b/>
          <w:bCs/>
          <w:kern w:val="0"/>
          <w:sz w:val="24"/>
          <w:szCs w:val="24"/>
        </w:rPr>
        <w:t>37</w:t>
      </w:r>
      <w:r>
        <w:rPr>
          <w:b/>
          <w:bCs/>
          <w:sz w:val="24"/>
          <w:szCs w:val="24"/>
        </w:rPr>
        <w:t xml:space="preserve">  </w:t>
      </w:r>
      <w:r>
        <w:rPr>
          <w:kern w:val="0"/>
          <w:sz w:val="24"/>
          <w:szCs w:val="24"/>
          <w:lang w:bidi="ar"/>
        </w:rPr>
        <w:t>附着式升降脚手架采用起重机械起吊拆除架体单元时，应符合下列规定：</w:t>
      </w:r>
    </w:p>
    <w:p w14:paraId="7C25E4F6">
      <w:pPr>
        <w:widowControl/>
        <w:spacing w:line="360" w:lineRule="auto"/>
        <w:ind w:firstLine="482" w:firstLineChars="200"/>
        <w:rPr>
          <w:kern w:val="0"/>
          <w:sz w:val="24"/>
          <w:szCs w:val="24"/>
        </w:rPr>
      </w:pPr>
      <w:r>
        <w:rPr>
          <w:b/>
          <w:bCs/>
          <w:sz w:val="24"/>
          <w:szCs w:val="24"/>
        </w:rPr>
        <w:t>1</w:t>
      </w:r>
      <w:r>
        <w:rPr>
          <w:kern w:val="0"/>
          <w:sz w:val="24"/>
          <w:szCs w:val="24"/>
        </w:rPr>
        <w:t xml:space="preserve"> 起重吊索捆绑牢固受力后方可拆除架体单元间的连接；</w:t>
      </w:r>
    </w:p>
    <w:p w14:paraId="54CDB53D">
      <w:pPr>
        <w:widowControl/>
        <w:spacing w:line="360" w:lineRule="auto"/>
        <w:ind w:firstLine="482" w:firstLineChars="200"/>
        <w:rPr>
          <w:kern w:val="0"/>
          <w:sz w:val="24"/>
          <w:szCs w:val="24"/>
        </w:rPr>
      </w:pPr>
      <w:r>
        <w:rPr>
          <w:b/>
          <w:bCs/>
          <w:sz w:val="24"/>
          <w:szCs w:val="24"/>
        </w:rPr>
        <w:t>2</w:t>
      </w:r>
      <w:r>
        <w:rPr>
          <w:kern w:val="0"/>
          <w:sz w:val="24"/>
          <w:szCs w:val="24"/>
        </w:rPr>
        <w:t xml:space="preserve"> 附着支座应固定在导轨上并具有防滑脱措施；</w:t>
      </w:r>
    </w:p>
    <w:p w14:paraId="72AED95F">
      <w:pPr>
        <w:widowControl/>
        <w:spacing w:line="360" w:lineRule="auto"/>
        <w:ind w:firstLine="482" w:firstLineChars="200"/>
        <w:rPr>
          <w:kern w:val="0"/>
          <w:sz w:val="24"/>
          <w:szCs w:val="24"/>
        </w:rPr>
      </w:pPr>
      <w:r>
        <w:rPr>
          <w:b/>
          <w:bCs/>
          <w:sz w:val="24"/>
          <w:szCs w:val="24"/>
        </w:rPr>
        <w:t>3</w:t>
      </w:r>
      <w:r>
        <w:rPr>
          <w:kern w:val="0"/>
          <w:sz w:val="24"/>
          <w:szCs w:val="24"/>
        </w:rPr>
        <w:t xml:space="preserve"> 起吊时</w:t>
      </w:r>
      <w:r>
        <w:rPr>
          <w:rFonts w:hint="eastAsia"/>
          <w:kern w:val="0"/>
          <w:sz w:val="24"/>
          <w:szCs w:val="24"/>
        </w:rPr>
        <w:t>应</w:t>
      </w:r>
      <w:r>
        <w:rPr>
          <w:kern w:val="0"/>
          <w:sz w:val="24"/>
          <w:szCs w:val="24"/>
        </w:rPr>
        <w:t>保证架体平衡、垂直起吊，必要时应设置牵引绳防止架体旋转或摆动；</w:t>
      </w:r>
    </w:p>
    <w:p w14:paraId="38D60726">
      <w:pPr>
        <w:widowControl/>
        <w:spacing w:line="360" w:lineRule="auto"/>
        <w:ind w:firstLine="482" w:firstLineChars="200"/>
        <w:rPr>
          <w:kern w:val="0"/>
          <w:sz w:val="24"/>
          <w:szCs w:val="24"/>
        </w:rPr>
      </w:pPr>
      <w:r>
        <w:rPr>
          <w:b/>
          <w:bCs/>
          <w:sz w:val="24"/>
          <w:szCs w:val="24"/>
        </w:rPr>
        <w:t>4</w:t>
      </w:r>
      <w:r>
        <w:rPr>
          <w:kern w:val="0"/>
          <w:sz w:val="24"/>
          <w:szCs w:val="24"/>
        </w:rPr>
        <w:t xml:space="preserve"> 作业人员</w:t>
      </w:r>
      <w:r>
        <w:rPr>
          <w:rFonts w:hint="eastAsia"/>
          <w:kern w:val="0"/>
          <w:sz w:val="24"/>
          <w:szCs w:val="24"/>
        </w:rPr>
        <w:t>不得</w:t>
      </w:r>
      <w:r>
        <w:rPr>
          <w:kern w:val="0"/>
          <w:sz w:val="24"/>
          <w:szCs w:val="24"/>
        </w:rPr>
        <w:t>站在吊离的架体上；</w:t>
      </w:r>
    </w:p>
    <w:p w14:paraId="05DD1D8A">
      <w:pPr>
        <w:widowControl/>
        <w:spacing w:line="360" w:lineRule="auto"/>
        <w:ind w:firstLine="482" w:firstLineChars="200"/>
        <w:rPr>
          <w:kern w:val="0"/>
          <w:sz w:val="24"/>
          <w:szCs w:val="24"/>
        </w:rPr>
      </w:pPr>
      <w:r>
        <w:rPr>
          <w:b/>
          <w:bCs/>
          <w:sz w:val="24"/>
          <w:szCs w:val="24"/>
        </w:rPr>
        <w:t>5</w:t>
      </w:r>
      <w:r>
        <w:rPr>
          <w:kern w:val="0"/>
          <w:sz w:val="24"/>
          <w:szCs w:val="24"/>
        </w:rPr>
        <w:t xml:space="preserve"> 架体落地时应减速轻缓平稳放置并做好临时固定。</w:t>
      </w:r>
    </w:p>
    <w:p w14:paraId="0EC2FDB8">
      <w:pPr>
        <w:spacing w:line="360" w:lineRule="auto"/>
        <w:rPr>
          <w:b/>
          <w:bCs/>
          <w:kern w:val="0"/>
          <w:sz w:val="24"/>
          <w:szCs w:val="24"/>
        </w:rPr>
      </w:pPr>
      <w:r>
        <w:rPr>
          <w:rFonts w:hint="eastAsia"/>
          <w:b/>
          <w:bCs/>
          <w:kern w:val="0"/>
          <w:sz w:val="24"/>
          <w:szCs w:val="24"/>
        </w:rPr>
        <w:t>5</w:t>
      </w:r>
      <w:r>
        <w:rPr>
          <w:b/>
          <w:bCs/>
          <w:kern w:val="0"/>
          <w:sz w:val="24"/>
          <w:szCs w:val="24"/>
        </w:rPr>
        <w:t>.</w:t>
      </w:r>
      <w:r>
        <w:rPr>
          <w:rFonts w:hint="eastAsia"/>
          <w:b/>
          <w:bCs/>
          <w:kern w:val="0"/>
          <w:sz w:val="24"/>
          <w:szCs w:val="24"/>
        </w:rPr>
        <w:t>3</w:t>
      </w:r>
      <w:r>
        <w:rPr>
          <w:b/>
          <w:bCs/>
          <w:kern w:val="0"/>
          <w:sz w:val="24"/>
          <w:szCs w:val="24"/>
        </w:rPr>
        <w:t>.3</w:t>
      </w:r>
      <w:r>
        <w:rPr>
          <w:rFonts w:hint="eastAsia"/>
          <w:b/>
          <w:bCs/>
          <w:kern w:val="0"/>
          <w:sz w:val="24"/>
          <w:szCs w:val="24"/>
        </w:rPr>
        <w:t xml:space="preserve">8  </w:t>
      </w:r>
      <w:r>
        <w:rPr>
          <w:kern w:val="0"/>
          <w:sz w:val="24"/>
          <w:szCs w:val="24"/>
        </w:rPr>
        <w:t>吊篮应符合下列要求：</w:t>
      </w:r>
    </w:p>
    <w:p w14:paraId="698C335D">
      <w:pPr>
        <w:spacing w:line="360" w:lineRule="auto"/>
        <w:ind w:firstLine="482" w:firstLineChars="200"/>
        <w:rPr>
          <w:color w:val="FF0000"/>
          <w:kern w:val="0"/>
          <w:sz w:val="24"/>
          <w:szCs w:val="24"/>
        </w:rPr>
      </w:pPr>
      <w:r>
        <w:rPr>
          <w:rFonts w:hint="eastAsia"/>
          <w:b/>
          <w:bCs/>
          <w:kern w:val="0"/>
          <w:sz w:val="24"/>
          <w:szCs w:val="24"/>
        </w:rPr>
        <w:t>1</w:t>
      </w:r>
      <w:r>
        <w:rPr>
          <w:b/>
          <w:bCs/>
          <w:sz w:val="24"/>
          <w:szCs w:val="24"/>
        </w:rPr>
        <w:t xml:space="preserve">  </w:t>
      </w:r>
      <w:r>
        <w:rPr>
          <w:kern w:val="0"/>
          <w:sz w:val="24"/>
          <w:szCs w:val="24"/>
        </w:rPr>
        <w:t>吊篮悬挂机构支架应与支撑面保持垂直，且不得支撑在女儿墙上、女儿墙外或悬挑结构边缘</w:t>
      </w:r>
      <w:r>
        <w:rPr>
          <w:rFonts w:hint="eastAsia"/>
          <w:kern w:val="0"/>
          <w:sz w:val="24"/>
          <w:szCs w:val="24"/>
        </w:rPr>
        <w:t>；</w:t>
      </w:r>
    </w:p>
    <w:p w14:paraId="429B677A">
      <w:pPr>
        <w:spacing w:line="360" w:lineRule="auto"/>
        <w:ind w:firstLine="482" w:firstLineChars="200"/>
        <w:rPr>
          <w:kern w:val="0"/>
          <w:sz w:val="24"/>
          <w:szCs w:val="24"/>
        </w:rPr>
      </w:pPr>
      <w:r>
        <w:rPr>
          <w:rFonts w:hint="eastAsia"/>
          <w:b/>
          <w:bCs/>
          <w:kern w:val="0"/>
          <w:sz w:val="24"/>
          <w:szCs w:val="24"/>
        </w:rPr>
        <w:t>2</w:t>
      </w:r>
      <w:r>
        <w:rPr>
          <w:b/>
          <w:bCs/>
          <w:sz w:val="24"/>
          <w:szCs w:val="24"/>
        </w:rPr>
        <w:t xml:space="preserve">  </w:t>
      </w:r>
      <w:r>
        <w:rPr>
          <w:kern w:val="0"/>
          <w:sz w:val="24"/>
          <w:szCs w:val="24"/>
        </w:rPr>
        <w:t>建筑物结构应能承受吊篮工作时对结构施加的最大作用力。楼面上设置安全锚固环和安装吊篮用的预埋螺栓公称直径不应小于16mm</w:t>
      </w:r>
      <w:r>
        <w:rPr>
          <w:rFonts w:hint="eastAsia"/>
          <w:kern w:val="0"/>
          <w:sz w:val="24"/>
          <w:szCs w:val="24"/>
        </w:rPr>
        <w:t>；</w:t>
      </w:r>
    </w:p>
    <w:p w14:paraId="5EDD945A">
      <w:pPr>
        <w:spacing w:line="360" w:lineRule="auto"/>
        <w:ind w:firstLine="482" w:firstLineChars="200"/>
        <w:rPr>
          <w:kern w:val="0"/>
          <w:sz w:val="24"/>
          <w:szCs w:val="24"/>
        </w:rPr>
      </w:pPr>
      <w:r>
        <w:rPr>
          <w:rFonts w:hint="eastAsia"/>
          <w:b/>
          <w:bCs/>
          <w:kern w:val="0"/>
          <w:sz w:val="24"/>
          <w:szCs w:val="24"/>
        </w:rPr>
        <w:t>3</w:t>
      </w:r>
      <w:r>
        <w:rPr>
          <w:b/>
          <w:bCs/>
          <w:sz w:val="24"/>
          <w:szCs w:val="24"/>
        </w:rPr>
        <w:t xml:space="preserve">  </w:t>
      </w:r>
      <w:r>
        <w:rPr>
          <w:kern w:val="0"/>
          <w:sz w:val="24"/>
          <w:szCs w:val="24"/>
        </w:rPr>
        <w:t>吊篮配重应稳定可靠地安放在配重架上，并有防止随意移动的措施，不得使用破损的配重或其他替代物，配重的重量应符合说明书规定</w:t>
      </w:r>
      <w:r>
        <w:rPr>
          <w:rFonts w:hint="eastAsia"/>
          <w:kern w:val="0"/>
          <w:sz w:val="24"/>
          <w:szCs w:val="24"/>
        </w:rPr>
        <w:t>；</w:t>
      </w:r>
    </w:p>
    <w:p w14:paraId="75912326">
      <w:pPr>
        <w:spacing w:line="360" w:lineRule="auto"/>
        <w:ind w:firstLine="482" w:firstLineChars="200"/>
        <w:rPr>
          <w:kern w:val="0"/>
          <w:sz w:val="24"/>
          <w:szCs w:val="24"/>
        </w:rPr>
      </w:pPr>
      <w:r>
        <w:rPr>
          <w:rFonts w:hint="eastAsia"/>
          <w:b/>
          <w:bCs/>
          <w:kern w:val="0"/>
          <w:sz w:val="24"/>
          <w:szCs w:val="24"/>
        </w:rPr>
        <w:t>4</w:t>
      </w:r>
      <w:r>
        <w:rPr>
          <w:b/>
          <w:bCs/>
          <w:sz w:val="24"/>
          <w:szCs w:val="24"/>
        </w:rPr>
        <w:t xml:space="preserve">  </w:t>
      </w:r>
      <w:r>
        <w:rPr>
          <w:kern w:val="0"/>
          <w:sz w:val="24"/>
          <w:szCs w:val="24"/>
        </w:rPr>
        <w:t>吊篮应设置作业人员专用的挂设安全带的安全绳及自锁器。安全绳应固定可靠且不得与吊篮上任何部位有连接。安全绳应使用直径不小16mm锦纶绳，每台吊篮安全绳（用于挂设安全带）应独立悬挂。安全绳与女儿墙或建筑结构的转角接触处应采取有效的保护措施</w:t>
      </w:r>
      <w:r>
        <w:rPr>
          <w:rFonts w:hint="eastAsia"/>
          <w:kern w:val="0"/>
          <w:sz w:val="24"/>
          <w:szCs w:val="24"/>
        </w:rPr>
        <w:t>；</w:t>
      </w:r>
    </w:p>
    <w:p w14:paraId="5BFE5C91">
      <w:pPr>
        <w:spacing w:line="360" w:lineRule="auto"/>
        <w:ind w:firstLine="482" w:firstLineChars="200"/>
        <w:rPr>
          <w:kern w:val="0"/>
          <w:sz w:val="24"/>
          <w:szCs w:val="24"/>
        </w:rPr>
      </w:pPr>
      <w:r>
        <w:rPr>
          <w:rFonts w:hint="eastAsia"/>
          <w:b/>
          <w:bCs/>
          <w:kern w:val="0"/>
          <w:sz w:val="24"/>
          <w:szCs w:val="24"/>
        </w:rPr>
        <w:t>5</w:t>
      </w:r>
      <w:r>
        <w:rPr>
          <w:b/>
          <w:bCs/>
          <w:sz w:val="24"/>
          <w:szCs w:val="24"/>
        </w:rPr>
        <w:t xml:space="preserve">  </w:t>
      </w:r>
      <w:r>
        <w:rPr>
          <w:kern w:val="0"/>
          <w:sz w:val="24"/>
          <w:szCs w:val="24"/>
        </w:rPr>
        <w:t>吊篮应安装起升限位开关并正确定位，起升限位止挡装置应安装在距顶端50cm处固定</w:t>
      </w:r>
      <w:r>
        <w:rPr>
          <w:rFonts w:hint="eastAsia"/>
          <w:kern w:val="0"/>
          <w:sz w:val="24"/>
          <w:szCs w:val="24"/>
        </w:rPr>
        <w:t>；</w:t>
      </w:r>
    </w:p>
    <w:p w14:paraId="483218F1">
      <w:pPr>
        <w:spacing w:line="360" w:lineRule="auto"/>
        <w:ind w:firstLine="482" w:firstLineChars="200"/>
        <w:rPr>
          <w:kern w:val="0"/>
          <w:sz w:val="24"/>
          <w:szCs w:val="24"/>
        </w:rPr>
      </w:pPr>
      <w:r>
        <w:rPr>
          <w:rFonts w:hint="eastAsia"/>
          <w:b/>
          <w:bCs/>
          <w:kern w:val="0"/>
          <w:sz w:val="24"/>
          <w:szCs w:val="24"/>
        </w:rPr>
        <w:t>6</w:t>
      </w:r>
      <w:r>
        <w:rPr>
          <w:b/>
          <w:bCs/>
          <w:sz w:val="24"/>
          <w:szCs w:val="24"/>
        </w:rPr>
        <w:t xml:space="preserve">  </w:t>
      </w:r>
      <w:r>
        <w:rPr>
          <w:kern w:val="0"/>
          <w:sz w:val="24"/>
          <w:szCs w:val="24"/>
        </w:rPr>
        <w:t>吊篮平台底板应为坚固、防滑的格形板或网纹板等，并固定可靠。底板上的任何开孔应设计成能防止直径为15㎜的球体通过，并有足够的排水措施</w:t>
      </w:r>
      <w:r>
        <w:rPr>
          <w:rFonts w:hint="eastAsia"/>
          <w:kern w:val="0"/>
          <w:sz w:val="24"/>
          <w:szCs w:val="24"/>
        </w:rPr>
        <w:t>；</w:t>
      </w:r>
    </w:p>
    <w:p w14:paraId="44F3AF77">
      <w:pPr>
        <w:spacing w:line="360" w:lineRule="auto"/>
        <w:ind w:firstLine="482" w:firstLineChars="200"/>
        <w:rPr>
          <w:kern w:val="0"/>
          <w:sz w:val="24"/>
          <w:szCs w:val="24"/>
        </w:rPr>
      </w:pPr>
      <w:r>
        <w:rPr>
          <w:rFonts w:hint="eastAsia"/>
          <w:b/>
          <w:bCs/>
          <w:kern w:val="0"/>
          <w:sz w:val="24"/>
          <w:szCs w:val="24"/>
        </w:rPr>
        <w:t>7</w:t>
      </w:r>
      <w:r>
        <w:rPr>
          <w:b/>
          <w:bCs/>
          <w:sz w:val="24"/>
          <w:szCs w:val="24"/>
        </w:rPr>
        <w:t xml:space="preserve">  </w:t>
      </w:r>
      <w:r>
        <w:rPr>
          <w:kern w:val="0"/>
          <w:sz w:val="24"/>
          <w:szCs w:val="24"/>
        </w:rPr>
        <w:t>吊篮平台四周应安装护栏、中间护栏和踢脚板。护栏高度不应小于1000㎜，测量值为护栏上部至平台底板表面的距离。中间护栏与护栏和踢脚板间的距离不应大于500㎜。平台外部有包板时，可不设中间护栏</w:t>
      </w:r>
      <w:r>
        <w:rPr>
          <w:rFonts w:hint="eastAsia"/>
          <w:kern w:val="0"/>
          <w:sz w:val="24"/>
          <w:szCs w:val="24"/>
        </w:rPr>
        <w:t>；</w:t>
      </w:r>
    </w:p>
    <w:p w14:paraId="539F40DF">
      <w:pPr>
        <w:spacing w:line="360" w:lineRule="auto"/>
        <w:ind w:firstLine="482" w:firstLineChars="200"/>
        <w:jc w:val="left"/>
        <w:rPr>
          <w:sz w:val="24"/>
          <w:szCs w:val="24"/>
        </w:rPr>
      </w:pPr>
      <w:r>
        <w:rPr>
          <w:rFonts w:hint="eastAsia"/>
          <w:b/>
          <w:bCs/>
          <w:sz w:val="24"/>
          <w:szCs w:val="24"/>
        </w:rPr>
        <w:t>8</w:t>
      </w:r>
      <w:r>
        <w:rPr>
          <w:b/>
          <w:bCs/>
          <w:sz w:val="24"/>
          <w:szCs w:val="24"/>
        </w:rPr>
        <w:t xml:space="preserve">  </w:t>
      </w:r>
      <w:r>
        <w:rPr>
          <w:sz w:val="24"/>
          <w:szCs w:val="24"/>
        </w:rPr>
        <w:t>吊篮内应 2 人同时作业，操作人员应正确佩戴安全带，安全带与安全绳应通过自锁器连接</w:t>
      </w:r>
      <w:r>
        <w:rPr>
          <w:rFonts w:hint="eastAsia"/>
          <w:sz w:val="24"/>
          <w:szCs w:val="24"/>
        </w:rPr>
        <w:t>；</w:t>
      </w:r>
    </w:p>
    <w:p w14:paraId="1F888048">
      <w:pPr>
        <w:spacing w:line="360" w:lineRule="auto"/>
        <w:ind w:firstLine="482" w:firstLineChars="200"/>
        <w:jc w:val="left"/>
        <w:rPr>
          <w:sz w:val="24"/>
          <w:szCs w:val="24"/>
        </w:rPr>
      </w:pPr>
      <w:r>
        <w:rPr>
          <w:rFonts w:hint="eastAsia"/>
          <w:b/>
          <w:bCs/>
          <w:sz w:val="24"/>
          <w:szCs w:val="24"/>
        </w:rPr>
        <w:t>9</w:t>
      </w:r>
      <w:r>
        <w:rPr>
          <w:b/>
          <w:bCs/>
          <w:sz w:val="24"/>
          <w:szCs w:val="24"/>
        </w:rPr>
        <w:t xml:space="preserve">  </w:t>
      </w:r>
      <w:r>
        <w:rPr>
          <w:sz w:val="24"/>
          <w:szCs w:val="24"/>
        </w:rPr>
        <w:t>吊篮的安全锁有效标定期限不应大于1年</w:t>
      </w:r>
      <w:r>
        <w:rPr>
          <w:rFonts w:hint="eastAsia"/>
          <w:sz w:val="24"/>
          <w:szCs w:val="24"/>
        </w:rPr>
        <w:t>；</w:t>
      </w:r>
    </w:p>
    <w:p w14:paraId="52AE18C1">
      <w:pPr>
        <w:spacing w:line="360" w:lineRule="auto"/>
        <w:ind w:firstLine="482" w:firstLineChars="200"/>
        <w:jc w:val="left"/>
        <w:rPr>
          <w:sz w:val="24"/>
          <w:szCs w:val="24"/>
        </w:rPr>
      </w:pPr>
      <w:r>
        <w:rPr>
          <w:rFonts w:hint="eastAsia"/>
          <w:b/>
          <w:bCs/>
          <w:sz w:val="24"/>
          <w:szCs w:val="24"/>
        </w:rPr>
        <w:t>10</w:t>
      </w:r>
      <w:r>
        <w:rPr>
          <w:b/>
          <w:bCs/>
          <w:sz w:val="24"/>
          <w:szCs w:val="24"/>
        </w:rPr>
        <w:t xml:space="preserve">  </w:t>
      </w:r>
      <w:r>
        <w:rPr>
          <w:sz w:val="24"/>
          <w:szCs w:val="24"/>
        </w:rPr>
        <w:t>当吊篮有2台或多台独立的起升机构时，应安装自动防倾斜装置。当平台纵向倾斜角度大于8°时，应能自动停止平台的升降运动，此装置可为电子式或机械式</w:t>
      </w:r>
      <w:r>
        <w:rPr>
          <w:rFonts w:hint="eastAsia"/>
          <w:sz w:val="24"/>
          <w:szCs w:val="24"/>
        </w:rPr>
        <w:t>；</w:t>
      </w:r>
    </w:p>
    <w:p w14:paraId="7BF892B4">
      <w:pPr>
        <w:spacing w:line="360" w:lineRule="auto"/>
        <w:ind w:firstLine="482" w:firstLineChars="200"/>
        <w:jc w:val="left"/>
        <w:rPr>
          <w:sz w:val="24"/>
          <w:szCs w:val="24"/>
        </w:rPr>
      </w:pPr>
      <w:r>
        <w:rPr>
          <w:rFonts w:hint="eastAsia"/>
          <w:b/>
          <w:bCs/>
          <w:sz w:val="24"/>
          <w:szCs w:val="24"/>
        </w:rPr>
        <w:t>11</w:t>
      </w:r>
      <w:r>
        <w:rPr>
          <w:b/>
          <w:bCs/>
          <w:sz w:val="24"/>
          <w:szCs w:val="24"/>
        </w:rPr>
        <w:t xml:space="preserve">  </w:t>
      </w:r>
      <w:r>
        <w:rPr>
          <w:sz w:val="24"/>
          <w:szCs w:val="24"/>
        </w:rPr>
        <w:t>不得将吊篮用作垂直运输设备。作业人员应从地面或可靠的操作平台上进出吊篮。不得在吊篮内使用梯子、板凳、搁板等攀高工具和在吊篮外另设吊具进行作业</w:t>
      </w:r>
      <w:r>
        <w:rPr>
          <w:rFonts w:hint="eastAsia"/>
          <w:sz w:val="24"/>
          <w:szCs w:val="24"/>
        </w:rPr>
        <w:t>；</w:t>
      </w:r>
    </w:p>
    <w:p w14:paraId="0A21077E">
      <w:pPr>
        <w:spacing w:line="360" w:lineRule="auto"/>
        <w:ind w:firstLine="482" w:firstLineChars="200"/>
        <w:rPr>
          <w:kern w:val="0"/>
          <w:sz w:val="24"/>
          <w:szCs w:val="24"/>
        </w:rPr>
      </w:pPr>
      <w:r>
        <w:rPr>
          <w:rFonts w:hint="eastAsia"/>
          <w:b/>
          <w:bCs/>
          <w:sz w:val="24"/>
          <w:szCs w:val="24"/>
        </w:rPr>
        <w:t>12</w:t>
      </w:r>
      <w:r>
        <w:rPr>
          <w:b/>
          <w:bCs/>
          <w:sz w:val="24"/>
          <w:szCs w:val="24"/>
        </w:rPr>
        <w:t xml:space="preserve">  </w:t>
      </w:r>
      <w:r>
        <w:rPr>
          <w:rFonts w:hint="eastAsia"/>
          <w:kern w:val="0"/>
          <w:sz w:val="24"/>
          <w:szCs w:val="24"/>
        </w:rPr>
        <w:t>吊篮</w:t>
      </w:r>
      <w:r>
        <w:rPr>
          <w:kern w:val="0"/>
          <w:sz w:val="24"/>
          <w:szCs w:val="24"/>
        </w:rPr>
        <w:t>应按工作流程进行拆卸，平台未落地且钢丝绳未完全卸载之前，不应拆除配重。</w:t>
      </w:r>
    </w:p>
    <w:p w14:paraId="3029293E">
      <w:pPr>
        <w:spacing w:line="360" w:lineRule="auto"/>
        <w:jc w:val="center"/>
        <w:outlineLvl w:val="1"/>
        <w:rPr>
          <w:b/>
          <w:bCs/>
          <w:sz w:val="24"/>
          <w:szCs w:val="24"/>
        </w:rPr>
      </w:pPr>
      <w:bookmarkStart w:id="119" w:name="_Toc4436"/>
      <w:bookmarkStart w:id="120" w:name="_Toc3956"/>
      <w:r>
        <w:rPr>
          <w:rFonts w:hint="eastAsia"/>
          <w:b/>
          <w:bCs/>
          <w:sz w:val="24"/>
          <w:szCs w:val="24"/>
        </w:rPr>
        <w:t>5</w:t>
      </w:r>
      <w:r>
        <w:rPr>
          <w:b/>
          <w:bCs/>
          <w:sz w:val="24"/>
          <w:szCs w:val="24"/>
        </w:rPr>
        <w:t>.</w:t>
      </w:r>
      <w:r>
        <w:rPr>
          <w:rFonts w:hint="eastAsia"/>
          <w:b/>
          <w:bCs/>
          <w:sz w:val="24"/>
          <w:szCs w:val="24"/>
        </w:rPr>
        <w:t>4</w:t>
      </w:r>
      <w:r>
        <w:rPr>
          <w:b/>
          <w:bCs/>
          <w:sz w:val="24"/>
          <w:szCs w:val="24"/>
        </w:rPr>
        <w:t xml:space="preserve"> 检查与验收</w:t>
      </w:r>
      <w:bookmarkEnd w:id="119"/>
      <w:bookmarkEnd w:id="120"/>
    </w:p>
    <w:p w14:paraId="361FF967">
      <w:pPr>
        <w:spacing w:line="360" w:lineRule="auto"/>
        <w:rPr>
          <w:sz w:val="24"/>
          <w:szCs w:val="24"/>
        </w:rPr>
      </w:pPr>
      <w:r>
        <w:rPr>
          <w:rFonts w:hint="eastAsia"/>
          <w:b/>
          <w:bCs/>
          <w:kern w:val="0"/>
          <w:sz w:val="24"/>
          <w:szCs w:val="24"/>
        </w:rPr>
        <w:t>5</w:t>
      </w:r>
      <w:r>
        <w:rPr>
          <w:b/>
          <w:bCs/>
          <w:kern w:val="0"/>
          <w:sz w:val="24"/>
          <w:szCs w:val="24"/>
        </w:rPr>
        <w:t>.</w:t>
      </w:r>
      <w:r>
        <w:rPr>
          <w:rFonts w:hint="eastAsia"/>
          <w:b/>
          <w:bCs/>
          <w:kern w:val="0"/>
          <w:sz w:val="24"/>
          <w:szCs w:val="24"/>
        </w:rPr>
        <w:t>4</w:t>
      </w:r>
      <w:r>
        <w:rPr>
          <w:b/>
          <w:bCs/>
          <w:kern w:val="0"/>
          <w:sz w:val="24"/>
          <w:szCs w:val="24"/>
        </w:rPr>
        <w:t>.1</w:t>
      </w:r>
      <w:r>
        <w:rPr>
          <w:b/>
          <w:bCs/>
          <w:sz w:val="24"/>
          <w:szCs w:val="24"/>
        </w:rPr>
        <w:t xml:space="preserve">  </w:t>
      </w:r>
      <w:r>
        <w:rPr>
          <w:sz w:val="24"/>
          <w:szCs w:val="24"/>
        </w:rPr>
        <w:t>对搭设脚手架的材料、构配件质量，应按进场批次分品种、规格进行检验，检验合格后方可使用，并应符合下列要求：</w:t>
      </w:r>
    </w:p>
    <w:p w14:paraId="03AFC202">
      <w:pPr>
        <w:spacing w:line="360" w:lineRule="auto"/>
        <w:ind w:firstLine="482" w:firstLineChars="200"/>
        <w:rPr>
          <w:sz w:val="24"/>
          <w:szCs w:val="24"/>
        </w:rPr>
      </w:pPr>
      <w:r>
        <w:rPr>
          <w:b/>
          <w:bCs/>
          <w:kern w:val="0"/>
          <w:sz w:val="24"/>
          <w:szCs w:val="24"/>
        </w:rPr>
        <w:t>1</w:t>
      </w:r>
      <w:r>
        <w:rPr>
          <w:sz w:val="24"/>
          <w:szCs w:val="24"/>
        </w:rPr>
        <w:t xml:space="preserve"> 新产品应有产品质量合格证，工厂化生产的主要承力杆件、涉及结构安全的构件应具有型式检验报告或材质单；</w:t>
      </w:r>
    </w:p>
    <w:p w14:paraId="08B27530">
      <w:pPr>
        <w:spacing w:line="360" w:lineRule="auto"/>
        <w:ind w:firstLine="482" w:firstLineChars="200"/>
        <w:rPr>
          <w:sz w:val="24"/>
          <w:szCs w:val="24"/>
        </w:rPr>
      </w:pPr>
      <w:r>
        <w:rPr>
          <w:b/>
          <w:bCs/>
          <w:kern w:val="0"/>
          <w:sz w:val="24"/>
          <w:szCs w:val="24"/>
        </w:rPr>
        <w:t>2</w:t>
      </w:r>
      <w:r>
        <w:rPr>
          <w:sz w:val="24"/>
          <w:szCs w:val="24"/>
        </w:rPr>
        <w:t xml:space="preserve"> 材料、构配件和设备质量应符合本标准及国家现行相关标准的规定；</w:t>
      </w:r>
    </w:p>
    <w:p w14:paraId="4146573A">
      <w:pPr>
        <w:spacing w:line="360" w:lineRule="auto"/>
        <w:ind w:firstLine="482" w:firstLineChars="200"/>
        <w:rPr>
          <w:sz w:val="24"/>
          <w:szCs w:val="24"/>
        </w:rPr>
      </w:pPr>
      <w:r>
        <w:rPr>
          <w:b/>
          <w:bCs/>
          <w:kern w:val="0"/>
          <w:sz w:val="24"/>
          <w:szCs w:val="24"/>
        </w:rPr>
        <w:t>3</w:t>
      </w:r>
      <w:r>
        <w:rPr>
          <w:sz w:val="24"/>
          <w:szCs w:val="24"/>
        </w:rPr>
        <w:t xml:space="preserve"> 按规定应进行施工现场抽样复验的构配件，应经抽样复验合格；</w:t>
      </w:r>
    </w:p>
    <w:p w14:paraId="428D2D07">
      <w:pPr>
        <w:spacing w:line="360" w:lineRule="auto"/>
        <w:ind w:firstLine="482" w:firstLineChars="200"/>
        <w:rPr>
          <w:sz w:val="24"/>
          <w:szCs w:val="24"/>
        </w:rPr>
      </w:pPr>
      <w:r>
        <w:rPr>
          <w:b/>
          <w:bCs/>
          <w:kern w:val="0"/>
          <w:sz w:val="24"/>
          <w:szCs w:val="24"/>
        </w:rPr>
        <w:t>4</w:t>
      </w:r>
      <w:r>
        <w:rPr>
          <w:sz w:val="24"/>
          <w:szCs w:val="24"/>
        </w:rPr>
        <w:t xml:space="preserve"> 周转使用的材料、构配件和设备，应经维修检验合格；</w:t>
      </w:r>
    </w:p>
    <w:p w14:paraId="3D054108">
      <w:pPr>
        <w:spacing w:line="360" w:lineRule="auto"/>
        <w:ind w:firstLine="482" w:firstLineChars="200"/>
        <w:rPr>
          <w:sz w:val="24"/>
          <w:szCs w:val="24"/>
        </w:rPr>
      </w:pPr>
      <w:r>
        <w:rPr>
          <w:b/>
          <w:bCs/>
          <w:kern w:val="0"/>
          <w:sz w:val="24"/>
          <w:szCs w:val="24"/>
        </w:rPr>
        <w:t>5</w:t>
      </w:r>
      <w:r>
        <w:rPr>
          <w:sz w:val="24"/>
          <w:szCs w:val="24"/>
        </w:rPr>
        <w:t xml:space="preserve"> 附着式升降脚手架相应资质证书、安全生产许可证以及鉴定或验收证书；</w:t>
      </w:r>
    </w:p>
    <w:p w14:paraId="0D9CA16E">
      <w:pPr>
        <w:spacing w:line="360" w:lineRule="auto"/>
        <w:ind w:firstLine="482" w:firstLineChars="200"/>
        <w:rPr>
          <w:sz w:val="24"/>
          <w:szCs w:val="24"/>
        </w:rPr>
      </w:pPr>
      <w:r>
        <w:rPr>
          <w:b/>
          <w:bCs/>
          <w:kern w:val="0"/>
          <w:sz w:val="24"/>
          <w:szCs w:val="24"/>
        </w:rPr>
        <w:t xml:space="preserve">6 </w:t>
      </w:r>
      <w:r>
        <w:rPr>
          <w:sz w:val="24"/>
          <w:szCs w:val="24"/>
        </w:rPr>
        <w:t>各类安全装置应有检测报告或设计使用年限内的产品质量检验标定</w:t>
      </w:r>
      <w:r>
        <w:rPr>
          <w:rFonts w:hint="eastAsia"/>
          <w:sz w:val="24"/>
          <w:szCs w:val="24"/>
        </w:rPr>
        <w:t>；</w:t>
      </w:r>
    </w:p>
    <w:p w14:paraId="4CE9C46A">
      <w:pPr>
        <w:spacing w:line="360" w:lineRule="auto"/>
        <w:ind w:firstLine="482" w:firstLineChars="200"/>
        <w:rPr>
          <w:sz w:val="24"/>
          <w:szCs w:val="24"/>
        </w:rPr>
      </w:pPr>
      <w:r>
        <w:rPr>
          <w:b/>
          <w:bCs/>
          <w:kern w:val="0"/>
          <w:sz w:val="24"/>
          <w:szCs w:val="24"/>
        </w:rPr>
        <w:t xml:space="preserve">7 </w:t>
      </w:r>
      <w:r>
        <w:rPr>
          <w:sz w:val="24"/>
          <w:szCs w:val="24"/>
        </w:rPr>
        <w:t>材料与构配件进场后应按照品种、规格分类码放整齐稳固，设置明显标识，标明材料名称、规格、检验状态、责任人，堆放高度不应大于1.5m，存放场地应平整、排水畅通、无积水。</w:t>
      </w:r>
    </w:p>
    <w:p w14:paraId="3F20ECFA">
      <w:pPr>
        <w:spacing w:line="360" w:lineRule="auto"/>
      </w:pPr>
      <w:r>
        <w:rPr>
          <w:rFonts w:hint="eastAsia"/>
          <w:b/>
          <w:bCs/>
          <w:kern w:val="0"/>
          <w:sz w:val="24"/>
          <w:szCs w:val="24"/>
        </w:rPr>
        <w:t>5</w:t>
      </w:r>
      <w:r>
        <w:rPr>
          <w:b/>
          <w:bCs/>
          <w:kern w:val="0"/>
          <w:sz w:val="24"/>
          <w:szCs w:val="24"/>
        </w:rPr>
        <w:t>.</w:t>
      </w:r>
      <w:r>
        <w:rPr>
          <w:rFonts w:hint="eastAsia"/>
          <w:b/>
          <w:bCs/>
          <w:kern w:val="0"/>
          <w:sz w:val="24"/>
          <w:szCs w:val="24"/>
        </w:rPr>
        <w:t>4</w:t>
      </w:r>
      <w:r>
        <w:rPr>
          <w:b/>
          <w:bCs/>
          <w:kern w:val="0"/>
          <w:sz w:val="24"/>
          <w:szCs w:val="24"/>
        </w:rPr>
        <w:t>.2</w:t>
      </w:r>
      <w:r>
        <w:rPr>
          <w:b/>
          <w:bCs/>
          <w:sz w:val="24"/>
          <w:szCs w:val="24"/>
        </w:rPr>
        <w:t xml:space="preserve">  </w:t>
      </w:r>
      <w:r>
        <w:rPr>
          <w:sz w:val="24"/>
          <w:szCs w:val="24"/>
        </w:rPr>
        <w:t>脚手架材料、构配件质量现场检验应采用随机抽样的方法进行外观质量</w:t>
      </w:r>
      <w:r>
        <w:rPr>
          <w:rFonts w:hint="eastAsia"/>
          <w:sz w:val="24"/>
          <w:szCs w:val="24"/>
        </w:rPr>
        <w:t>检验</w:t>
      </w:r>
      <w:r>
        <w:rPr>
          <w:sz w:val="24"/>
          <w:szCs w:val="24"/>
        </w:rPr>
        <w:t>、实测实量检验、功能测试检验。</w:t>
      </w:r>
    </w:p>
    <w:p w14:paraId="6D2FFDD2">
      <w:pPr>
        <w:spacing w:line="360" w:lineRule="auto"/>
        <w:rPr>
          <w:sz w:val="24"/>
          <w:szCs w:val="24"/>
        </w:rPr>
      </w:pPr>
      <w:r>
        <w:rPr>
          <w:rFonts w:hint="eastAsia"/>
          <w:b/>
          <w:bCs/>
          <w:kern w:val="0"/>
          <w:sz w:val="24"/>
          <w:szCs w:val="24"/>
        </w:rPr>
        <w:t>5</w:t>
      </w:r>
      <w:r>
        <w:rPr>
          <w:b/>
          <w:bCs/>
          <w:kern w:val="0"/>
          <w:sz w:val="24"/>
          <w:szCs w:val="24"/>
        </w:rPr>
        <w:t>.</w:t>
      </w:r>
      <w:r>
        <w:rPr>
          <w:rFonts w:hint="eastAsia"/>
          <w:b/>
          <w:bCs/>
          <w:kern w:val="0"/>
          <w:sz w:val="24"/>
          <w:szCs w:val="24"/>
        </w:rPr>
        <w:t>4</w:t>
      </w:r>
      <w:r>
        <w:rPr>
          <w:b/>
          <w:bCs/>
          <w:kern w:val="0"/>
          <w:sz w:val="24"/>
          <w:szCs w:val="24"/>
        </w:rPr>
        <w:t>.</w:t>
      </w:r>
      <w:r>
        <w:rPr>
          <w:rFonts w:hint="eastAsia"/>
          <w:b/>
          <w:bCs/>
          <w:kern w:val="0"/>
          <w:sz w:val="24"/>
          <w:szCs w:val="24"/>
        </w:rPr>
        <w:t>3</w:t>
      </w:r>
      <w:r>
        <w:rPr>
          <w:b/>
          <w:bCs/>
          <w:sz w:val="24"/>
          <w:szCs w:val="24"/>
        </w:rPr>
        <w:t xml:space="preserve">  </w:t>
      </w:r>
      <w:r>
        <w:rPr>
          <w:sz w:val="24"/>
          <w:szCs w:val="24"/>
        </w:rPr>
        <w:t>附着式升降脚手架支座及防倾、防坠、荷载控制装置、悬挑脚手架悬挑结构件等涉及架体使用安全的构配件应全数检验</w:t>
      </w:r>
      <w:r>
        <w:rPr>
          <w:rFonts w:hint="eastAsia"/>
          <w:sz w:val="24"/>
          <w:szCs w:val="24"/>
        </w:rPr>
        <w:t>。</w:t>
      </w:r>
      <w:r>
        <w:rPr>
          <w:sz w:val="24"/>
          <w:szCs w:val="24"/>
        </w:rPr>
        <w:t>在安装前、提升前和提升到位均应对防坠、防倾装置、同步升降控制系统进行检查，合格后方可作业。</w:t>
      </w:r>
    </w:p>
    <w:p w14:paraId="65295AAC">
      <w:pPr>
        <w:spacing w:line="360" w:lineRule="auto"/>
        <w:rPr>
          <w:sz w:val="24"/>
          <w:szCs w:val="24"/>
        </w:rPr>
      </w:pPr>
      <w:r>
        <w:rPr>
          <w:rFonts w:hint="eastAsia"/>
          <w:b/>
          <w:bCs/>
          <w:kern w:val="0"/>
          <w:sz w:val="24"/>
          <w:szCs w:val="24"/>
        </w:rPr>
        <w:t>5</w:t>
      </w:r>
      <w:r>
        <w:rPr>
          <w:b/>
          <w:bCs/>
          <w:kern w:val="0"/>
          <w:sz w:val="24"/>
          <w:szCs w:val="24"/>
        </w:rPr>
        <w:t>.</w:t>
      </w:r>
      <w:r>
        <w:rPr>
          <w:rFonts w:hint="eastAsia"/>
          <w:b/>
          <w:bCs/>
          <w:kern w:val="0"/>
          <w:sz w:val="24"/>
          <w:szCs w:val="24"/>
        </w:rPr>
        <w:t>4</w:t>
      </w:r>
      <w:r>
        <w:rPr>
          <w:b/>
          <w:bCs/>
          <w:kern w:val="0"/>
          <w:sz w:val="24"/>
          <w:szCs w:val="24"/>
        </w:rPr>
        <w:t>.</w:t>
      </w:r>
      <w:r>
        <w:rPr>
          <w:rFonts w:hint="eastAsia"/>
          <w:b/>
          <w:bCs/>
          <w:kern w:val="0"/>
          <w:sz w:val="24"/>
          <w:szCs w:val="24"/>
        </w:rPr>
        <w:t>4</w:t>
      </w:r>
      <w:r>
        <w:rPr>
          <w:sz w:val="24"/>
          <w:szCs w:val="24"/>
        </w:rPr>
        <w:t xml:space="preserve">  脚手架搭设前应检查基础承载力和变形满足设计要求，并检查排水和防冻胀等措施有效。附着式升降脚手架、爬模架附着支承结构数量、构造、附着处混凝土强度等应满足设计要求。</w:t>
      </w:r>
    </w:p>
    <w:p w14:paraId="7E885C36">
      <w:pPr>
        <w:spacing w:line="360" w:lineRule="auto"/>
        <w:rPr>
          <w:sz w:val="24"/>
          <w:szCs w:val="24"/>
        </w:rPr>
      </w:pPr>
      <w:r>
        <w:rPr>
          <w:rFonts w:hint="eastAsia"/>
          <w:b/>
          <w:bCs/>
          <w:kern w:val="0"/>
          <w:sz w:val="24"/>
          <w:szCs w:val="24"/>
        </w:rPr>
        <w:t>5</w:t>
      </w:r>
      <w:r>
        <w:rPr>
          <w:b/>
          <w:bCs/>
          <w:kern w:val="0"/>
          <w:sz w:val="24"/>
          <w:szCs w:val="24"/>
        </w:rPr>
        <w:t>.</w:t>
      </w:r>
      <w:r>
        <w:rPr>
          <w:rFonts w:hint="eastAsia"/>
          <w:b/>
          <w:bCs/>
          <w:kern w:val="0"/>
          <w:sz w:val="24"/>
          <w:szCs w:val="24"/>
        </w:rPr>
        <w:t>4</w:t>
      </w:r>
      <w:r>
        <w:rPr>
          <w:b/>
          <w:bCs/>
          <w:kern w:val="0"/>
          <w:sz w:val="24"/>
          <w:szCs w:val="24"/>
        </w:rPr>
        <w:t>.</w:t>
      </w:r>
      <w:r>
        <w:rPr>
          <w:rFonts w:hint="eastAsia"/>
          <w:b/>
          <w:bCs/>
          <w:kern w:val="0"/>
          <w:sz w:val="24"/>
          <w:szCs w:val="24"/>
        </w:rPr>
        <w:t>5</w:t>
      </w:r>
      <w:r>
        <w:rPr>
          <w:sz w:val="24"/>
          <w:szCs w:val="24"/>
        </w:rPr>
        <w:t xml:space="preserve">  作业脚手架搭设过程中，应在下列阶段进行检查与验收：</w:t>
      </w:r>
    </w:p>
    <w:p w14:paraId="50467AC1">
      <w:pPr>
        <w:spacing w:line="360" w:lineRule="auto"/>
        <w:ind w:firstLine="482" w:firstLineChars="200"/>
        <w:rPr>
          <w:sz w:val="24"/>
          <w:szCs w:val="24"/>
        </w:rPr>
      </w:pPr>
      <w:r>
        <w:rPr>
          <w:b/>
          <w:bCs/>
          <w:kern w:val="0"/>
          <w:sz w:val="24"/>
          <w:szCs w:val="24"/>
        </w:rPr>
        <w:t>1</w:t>
      </w:r>
      <w:r>
        <w:rPr>
          <w:sz w:val="24"/>
          <w:szCs w:val="24"/>
        </w:rPr>
        <w:t xml:space="preserve"> </w:t>
      </w:r>
      <w:r>
        <w:rPr>
          <w:rFonts w:hint="eastAsia"/>
          <w:sz w:val="24"/>
          <w:szCs w:val="24"/>
        </w:rPr>
        <w:t>脚手架</w:t>
      </w:r>
      <w:r>
        <w:rPr>
          <w:sz w:val="24"/>
          <w:szCs w:val="24"/>
        </w:rPr>
        <w:t>基础完</w:t>
      </w:r>
      <w:r>
        <w:rPr>
          <w:rFonts w:hint="eastAsia"/>
          <w:sz w:val="24"/>
          <w:szCs w:val="24"/>
        </w:rPr>
        <w:t>成</w:t>
      </w:r>
      <w:r>
        <w:rPr>
          <w:sz w:val="24"/>
          <w:szCs w:val="24"/>
        </w:rPr>
        <w:t>后及脚手架搭设前；</w:t>
      </w:r>
    </w:p>
    <w:p w14:paraId="3AE010C3">
      <w:pPr>
        <w:spacing w:line="360" w:lineRule="auto"/>
        <w:ind w:firstLine="482" w:firstLineChars="200"/>
        <w:rPr>
          <w:sz w:val="24"/>
          <w:szCs w:val="24"/>
        </w:rPr>
      </w:pPr>
      <w:r>
        <w:rPr>
          <w:b/>
          <w:bCs/>
          <w:kern w:val="0"/>
          <w:sz w:val="24"/>
          <w:szCs w:val="24"/>
        </w:rPr>
        <w:t>2</w:t>
      </w:r>
      <w:r>
        <w:rPr>
          <w:sz w:val="24"/>
          <w:szCs w:val="24"/>
        </w:rPr>
        <w:t xml:space="preserve"> 首层水平杆搭设后；</w:t>
      </w:r>
    </w:p>
    <w:p w14:paraId="40EFC9BA">
      <w:pPr>
        <w:spacing w:line="360" w:lineRule="auto"/>
        <w:ind w:firstLine="482" w:firstLineChars="200"/>
        <w:rPr>
          <w:sz w:val="24"/>
          <w:szCs w:val="24"/>
        </w:rPr>
      </w:pPr>
      <w:r>
        <w:rPr>
          <w:b/>
          <w:bCs/>
          <w:kern w:val="0"/>
          <w:sz w:val="24"/>
          <w:szCs w:val="24"/>
        </w:rPr>
        <w:t>3</w:t>
      </w:r>
      <w:r>
        <w:rPr>
          <w:sz w:val="24"/>
          <w:szCs w:val="24"/>
        </w:rPr>
        <w:t xml:space="preserve"> 每搭设一个楼层高度，阶段使用前；</w:t>
      </w:r>
    </w:p>
    <w:p w14:paraId="4A1AC9F3">
      <w:pPr>
        <w:spacing w:line="360" w:lineRule="auto"/>
        <w:ind w:firstLine="482" w:firstLineChars="200"/>
        <w:rPr>
          <w:sz w:val="24"/>
          <w:szCs w:val="24"/>
        </w:rPr>
      </w:pPr>
      <w:r>
        <w:rPr>
          <w:b/>
          <w:bCs/>
          <w:kern w:val="0"/>
          <w:sz w:val="24"/>
          <w:szCs w:val="24"/>
        </w:rPr>
        <w:t>4</w:t>
      </w:r>
      <w:r>
        <w:rPr>
          <w:sz w:val="24"/>
          <w:szCs w:val="24"/>
        </w:rPr>
        <w:t xml:space="preserve"> 附着式升降脚手架支座、悬挑脚手架悬挑结构搭设固定后；</w:t>
      </w:r>
    </w:p>
    <w:p w14:paraId="00C23FE8">
      <w:pPr>
        <w:spacing w:line="360" w:lineRule="auto"/>
        <w:ind w:firstLine="482" w:firstLineChars="200"/>
        <w:rPr>
          <w:sz w:val="24"/>
          <w:szCs w:val="24"/>
        </w:rPr>
      </w:pPr>
      <w:r>
        <w:rPr>
          <w:b/>
          <w:bCs/>
          <w:kern w:val="0"/>
          <w:sz w:val="24"/>
          <w:szCs w:val="24"/>
        </w:rPr>
        <w:t>5</w:t>
      </w:r>
      <w:r>
        <w:rPr>
          <w:sz w:val="24"/>
          <w:szCs w:val="24"/>
        </w:rPr>
        <w:t xml:space="preserve"> 附着式升降脚手架在每次提升前、提升就位后，以及每次下降前、下降就位后；</w:t>
      </w:r>
    </w:p>
    <w:p w14:paraId="371A457A">
      <w:pPr>
        <w:spacing w:line="360" w:lineRule="auto"/>
        <w:ind w:firstLine="482" w:firstLineChars="200"/>
        <w:rPr>
          <w:sz w:val="24"/>
          <w:szCs w:val="24"/>
        </w:rPr>
      </w:pPr>
      <w:r>
        <w:rPr>
          <w:b/>
          <w:bCs/>
          <w:kern w:val="0"/>
          <w:sz w:val="24"/>
          <w:szCs w:val="24"/>
        </w:rPr>
        <w:t>6</w:t>
      </w:r>
      <w:r>
        <w:rPr>
          <w:sz w:val="24"/>
          <w:szCs w:val="24"/>
        </w:rPr>
        <w:t xml:space="preserve">  作业层上施加荷载前。</w:t>
      </w:r>
    </w:p>
    <w:p w14:paraId="05E83AE2">
      <w:pPr>
        <w:spacing w:line="360" w:lineRule="auto"/>
        <w:rPr>
          <w:sz w:val="24"/>
          <w:szCs w:val="24"/>
        </w:rPr>
      </w:pPr>
      <w:r>
        <w:rPr>
          <w:rFonts w:hint="eastAsia"/>
          <w:b/>
          <w:bCs/>
          <w:kern w:val="0"/>
          <w:sz w:val="24"/>
          <w:szCs w:val="24"/>
        </w:rPr>
        <w:t>5</w:t>
      </w:r>
      <w:r>
        <w:rPr>
          <w:b/>
          <w:bCs/>
          <w:kern w:val="0"/>
          <w:sz w:val="24"/>
          <w:szCs w:val="24"/>
        </w:rPr>
        <w:t>.</w:t>
      </w:r>
      <w:r>
        <w:rPr>
          <w:rFonts w:hint="eastAsia"/>
          <w:b/>
          <w:bCs/>
          <w:kern w:val="0"/>
          <w:sz w:val="24"/>
          <w:szCs w:val="24"/>
        </w:rPr>
        <w:t>4</w:t>
      </w:r>
      <w:r>
        <w:rPr>
          <w:b/>
          <w:bCs/>
          <w:kern w:val="0"/>
          <w:sz w:val="24"/>
          <w:szCs w:val="24"/>
        </w:rPr>
        <w:t>.</w:t>
      </w:r>
      <w:r>
        <w:rPr>
          <w:rFonts w:hint="eastAsia"/>
          <w:b/>
          <w:bCs/>
          <w:kern w:val="0"/>
          <w:sz w:val="24"/>
          <w:szCs w:val="24"/>
        </w:rPr>
        <w:t>6</w:t>
      </w:r>
      <w:r>
        <w:rPr>
          <w:sz w:val="24"/>
          <w:szCs w:val="24"/>
        </w:rPr>
        <w:t xml:space="preserve">  现浇混凝土工程施工的钢管满堂支架的基础预压和支架预压应满足现行标准《钢管满堂支架预压技术规程》JGJ/T 194的规定，并记录标高、垂直度等监测数据，计算沉降量、变形量。</w:t>
      </w:r>
    </w:p>
    <w:p w14:paraId="39279BB6">
      <w:pPr>
        <w:spacing w:line="360" w:lineRule="auto"/>
        <w:rPr>
          <w:sz w:val="24"/>
          <w:szCs w:val="24"/>
        </w:rPr>
      </w:pPr>
      <w:r>
        <w:rPr>
          <w:rFonts w:hint="eastAsia"/>
          <w:b/>
          <w:bCs/>
          <w:kern w:val="0"/>
          <w:sz w:val="24"/>
          <w:szCs w:val="24"/>
        </w:rPr>
        <w:t>5</w:t>
      </w:r>
      <w:r>
        <w:rPr>
          <w:b/>
          <w:bCs/>
          <w:kern w:val="0"/>
          <w:sz w:val="24"/>
          <w:szCs w:val="24"/>
        </w:rPr>
        <w:t>.</w:t>
      </w:r>
      <w:r>
        <w:rPr>
          <w:rFonts w:hint="eastAsia"/>
          <w:b/>
          <w:bCs/>
          <w:kern w:val="0"/>
          <w:sz w:val="24"/>
          <w:szCs w:val="24"/>
        </w:rPr>
        <w:t>4</w:t>
      </w:r>
      <w:r>
        <w:rPr>
          <w:b/>
          <w:bCs/>
          <w:kern w:val="0"/>
          <w:sz w:val="24"/>
          <w:szCs w:val="24"/>
        </w:rPr>
        <w:t>.</w:t>
      </w:r>
      <w:r>
        <w:rPr>
          <w:rFonts w:hint="eastAsia"/>
          <w:b/>
          <w:bCs/>
          <w:kern w:val="0"/>
          <w:sz w:val="24"/>
          <w:szCs w:val="24"/>
        </w:rPr>
        <w:t>7</w:t>
      </w:r>
      <w:r>
        <w:rPr>
          <w:b/>
          <w:bCs/>
          <w:sz w:val="24"/>
          <w:szCs w:val="24"/>
        </w:rPr>
        <w:t xml:space="preserve">  </w:t>
      </w:r>
      <w:r>
        <w:rPr>
          <w:sz w:val="24"/>
          <w:szCs w:val="24"/>
        </w:rPr>
        <w:t>脚手架搭设达到设计高度或安装就位后，应对脚手架搭设进行验收，验收不合格的，不得使用。脚手架的验收应包括下列内容：</w:t>
      </w:r>
    </w:p>
    <w:p w14:paraId="3F8D6404">
      <w:pPr>
        <w:spacing w:line="360" w:lineRule="auto"/>
        <w:ind w:firstLine="241" w:firstLineChars="100"/>
        <w:rPr>
          <w:sz w:val="24"/>
          <w:szCs w:val="24"/>
        </w:rPr>
      </w:pPr>
      <w:r>
        <w:rPr>
          <w:b/>
          <w:bCs/>
          <w:kern w:val="0"/>
          <w:sz w:val="24"/>
          <w:szCs w:val="24"/>
        </w:rPr>
        <w:t>1</w:t>
      </w:r>
      <w:r>
        <w:rPr>
          <w:sz w:val="24"/>
          <w:szCs w:val="24"/>
        </w:rPr>
        <w:t xml:space="preserve"> 材料与构配件质量；</w:t>
      </w:r>
    </w:p>
    <w:p w14:paraId="2E42D18F">
      <w:pPr>
        <w:spacing w:line="360" w:lineRule="auto"/>
        <w:ind w:firstLine="241" w:firstLineChars="100"/>
        <w:rPr>
          <w:sz w:val="24"/>
          <w:szCs w:val="24"/>
        </w:rPr>
      </w:pPr>
      <w:r>
        <w:rPr>
          <w:b/>
          <w:bCs/>
          <w:kern w:val="0"/>
          <w:sz w:val="24"/>
          <w:szCs w:val="24"/>
        </w:rPr>
        <w:t>2</w:t>
      </w:r>
      <w:r>
        <w:rPr>
          <w:sz w:val="24"/>
          <w:szCs w:val="24"/>
        </w:rPr>
        <w:t xml:space="preserve"> 搭设场地、支承结构件的固定；</w:t>
      </w:r>
    </w:p>
    <w:p w14:paraId="546E2833">
      <w:pPr>
        <w:spacing w:line="360" w:lineRule="auto"/>
        <w:ind w:firstLine="241" w:firstLineChars="100"/>
        <w:rPr>
          <w:sz w:val="24"/>
          <w:szCs w:val="24"/>
        </w:rPr>
      </w:pPr>
      <w:r>
        <w:rPr>
          <w:b/>
          <w:bCs/>
          <w:kern w:val="0"/>
          <w:sz w:val="24"/>
          <w:szCs w:val="24"/>
        </w:rPr>
        <w:t>3</w:t>
      </w:r>
      <w:r>
        <w:rPr>
          <w:sz w:val="24"/>
          <w:szCs w:val="24"/>
        </w:rPr>
        <w:t xml:space="preserve"> 架体搭设质量；</w:t>
      </w:r>
    </w:p>
    <w:p w14:paraId="210910C9">
      <w:pPr>
        <w:spacing w:line="360" w:lineRule="auto"/>
        <w:ind w:firstLine="241" w:firstLineChars="100"/>
        <w:rPr>
          <w:sz w:val="24"/>
          <w:szCs w:val="24"/>
        </w:rPr>
      </w:pPr>
      <w:r>
        <w:rPr>
          <w:b/>
          <w:bCs/>
          <w:kern w:val="0"/>
          <w:sz w:val="24"/>
          <w:szCs w:val="24"/>
        </w:rPr>
        <w:t>4</w:t>
      </w:r>
      <w:r>
        <w:rPr>
          <w:sz w:val="24"/>
          <w:szCs w:val="24"/>
        </w:rPr>
        <w:t xml:space="preserve"> 扣件螺栓拧紧扭力矩，附着式升降脚手架螺栓数量与规格应符合设计要求；</w:t>
      </w:r>
    </w:p>
    <w:p w14:paraId="73D5A3D7">
      <w:pPr>
        <w:spacing w:line="360" w:lineRule="auto"/>
        <w:ind w:firstLine="241" w:firstLineChars="100"/>
        <w:rPr>
          <w:sz w:val="24"/>
          <w:szCs w:val="24"/>
        </w:rPr>
      </w:pPr>
      <w:r>
        <w:rPr>
          <w:b/>
          <w:bCs/>
          <w:kern w:val="0"/>
          <w:sz w:val="24"/>
          <w:szCs w:val="24"/>
        </w:rPr>
        <w:t>5</w:t>
      </w:r>
      <w:r>
        <w:rPr>
          <w:sz w:val="24"/>
          <w:szCs w:val="24"/>
        </w:rPr>
        <w:t xml:space="preserve"> 安全装置、安全附件的设置；</w:t>
      </w:r>
    </w:p>
    <w:p w14:paraId="65FB717B">
      <w:pPr>
        <w:spacing w:line="360" w:lineRule="auto"/>
        <w:ind w:firstLine="241" w:firstLineChars="100"/>
        <w:rPr>
          <w:strike/>
          <w:sz w:val="24"/>
          <w:szCs w:val="24"/>
        </w:rPr>
      </w:pPr>
      <w:r>
        <w:rPr>
          <w:b/>
          <w:bCs/>
          <w:kern w:val="0"/>
          <w:sz w:val="24"/>
          <w:szCs w:val="24"/>
        </w:rPr>
        <w:t>6</w:t>
      </w:r>
      <w:r>
        <w:rPr>
          <w:sz w:val="24"/>
          <w:szCs w:val="24"/>
        </w:rPr>
        <w:t xml:space="preserve"> 检测报告、测试记录等技术资料。</w:t>
      </w:r>
    </w:p>
    <w:p w14:paraId="7A3D579E">
      <w:pPr>
        <w:spacing w:line="360" w:lineRule="auto"/>
        <w:rPr>
          <w:sz w:val="24"/>
          <w:szCs w:val="24"/>
        </w:rPr>
      </w:pPr>
      <w:r>
        <w:rPr>
          <w:rFonts w:hint="eastAsia"/>
          <w:b/>
          <w:bCs/>
          <w:kern w:val="0"/>
          <w:sz w:val="24"/>
          <w:szCs w:val="24"/>
        </w:rPr>
        <w:t>5</w:t>
      </w:r>
      <w:r>
        <w:rPr>
          <w:b/>
          <w:bCs/>
          <w:kern w:val="0"/>
          <w:sz w:val="24"/>
          <w:szCs w:val="24"/>
        </w:rPr>
        <w:t>.</w:t>
      </w:r>
      <w:r>
        <w:rPr>
          <w:rFonts w:hint="eastAsia"/>
          <w:b/>
          <w:bCs/>
          <w:kern w:val="0"/>
          <w:sz w:val="24"/>
          <w:szCs w:val="24"/>
        </w:rPr>
        <w:t>4</w:t>
      </w:r>
      <w:r>
        <w:rPr>
          <w:b/>
          <w:bCs/>
          <w:kern w:val="0"/>
          <w:sz w:val="24"/>
          <w:szCs w:val="24"/>
        </w:rPr>
        <w:t>.</w:t>
      </w:r>
      <w:r>
        <w:rPr>
          <w:rFonts w:hint="eastAsia"/>
          <w:b/>
          <w:bCs/>
          <w:kern w:val="0"/>
          <w:sz w:val="24"/>
          <w:szCs w:val="24"/>
        </w:rPr>
        <w:t>8</w:t>
      </w:r>
      <w:r>
        <w:rPr>
          <w:b/>
          <w:bCs/>
          <w:sz w:val="24"/>
          <w:szCs w:val="24"/>
        </w:rPr>
        <w:t xml:space="preserve">  </w:t>
      </w:r>
      <w:r>
        <w:rPr>
          <w:sz w:val="24"/>
          <w:szCs w:val="24"/>
        </w:rPr>
        <w:t>脚手架应由项目负责人组织技术、工程、安全及监理等相关人员进行验收，经验收人员签字确认合格后方可使用或进入下一道工序。对于危险性较大的脚手架工程应按照相关规定要求组织验收。施工单位应在明显位置设置验收标识牌。</w:t>
      </w:r>
    </w:p>
    <w:p w14:paraId="1E5743BC">
      <w:pPr>
        <w:spacing w:line="360" w:lineRule="auto"/>
        <w:rPr>
          <w:sz w:val="24"/>
          <w:szCs w:val="24"/>
        </w:rPr>
      </w:pPr>
      <w:r>
        <w:rPr>
          <w:rFonts w:hint="eastAsia"/>
          <w:b/>
          <w:bCs/>
          <w:kern w:val="0"/>
          <w:sz w:val="24"/>
          <w:szCs w:val="24"/>
        </w:rPr>
        <w:t>5</w:t>
      </w:r>
      <w:r>
        <w:rPr>
          <w:b/>
          <w:bCs/>
          <w:kern w:val="0"/>
          <w:sz w:val="24"/>
          <w:szCs w:val="24"/>
        </w:rPr>
        <w:t>.</w:t>
      </w:r>
      <w:r>
        <w:rPr>
          <w:rFonts w:hint="eastAsia"/>
          <w:b/>
          <w:bCs/>
          <w:kern w:val="0"/>
          <w:sz w:val="24"/>
          <w:szCs w:val="24"/>
        </w:rPr>
        <w:t>4</w:t>
      </w:r>
      <w:r>
        <w:rPr>
          <w:b/>
          <w:bCs/>
          <w:kern w:val="0"/>
          <w:sz w:val="24"/>
          <w:szCs w:val="24"/>
        </w:rPr>
        <w:t>.</w:t>
      </w:r>
      <w:r>
        <w:rPr>
          <w:rFonts w:hint="eastAsia"/>
          <w:b/>
          <w:bCs/>
          <w:kern w:val="0"/>
          <w:sz w:val="24"/>
          <w:szCs w:val="24"/>
        </w:rPr>
        <w:t>9</w:t>
      </w:r>
      <w:r>
        <w:rPr>
          <w:b/>
          <w:bCs/>
          <w:sz w:val="24"/>
          <w:szCs w:val="24"/>
        </w:rPr>
        <w:t xml:space="preserve">  </w:t>
      </w:r>
      <w:r>
        <w:rPr>
          <w:sz w:val="24"/>
          <w:szCs w:val="24"/>
        </w:rPr>
        <w:t>脚手架在使用过程中，应定期进行检查并形成记录，检查项目应符合下列规定：</w:t>
      </w:r>
    </w:p>
    <w:p w14:paraId="14CE362D">
      <w:pPr>
        <w:spacing w:line="360" w:lineRule="auto"/>
        <w:ind w:firstLine="482" w:firstLineChars="200"/>
        <w:rPr>
          <w:sz w:val="24"/>
          <w:szCs w:val="24"/>
        </w:rPr>
      </w:pPr>
      <w:r>
        <w:rPr>
          <w:b/>
          <w:bCs/>
          <w:kern w:val="0"/>
          <w:sz w:val="24"/>
          <w:szCs w:val="24"/>
        </w:rPr>
        <w:t>1</w:t>
      </w:r>
      <w:r>
        <w:rPr>
          <w:sz w:val="24"/>
          <w:szCs w:val="24"/>
        </w:rPr>
        <w:t xml:space="preserve"> 基础承载力和变形满足设计要求，场地应无积水，立杆底端应无松动、无悬空；</w:t>
      </w:r>
    </w:p>
    <w:p w14:paraId="46011CA3">
      <w:pPr>
        <w:spacing w:line="360" w:lineRule="auto"/>
        <w:ind w:firstLine="482" w:firstLineChars="200"/>
        <w:rPr>
          <w:sz w:val="24"/>
          <w:szCs w:val="24"/>
        </w:rPr>
      </w:pPr>
      <w:r>
        <w:rPr>
          <w:b/>
          <w:bCs/>
          <w:kern w:val="0"/>
          <w:sz w:val="24"/>
          <w:szCs w:val="24"/>
        </w:rPr>
        <w:t>2</w:t>
      </w:r>
      <w:r>
        <w:rPr>
          <w:sz w:val="24"/>
          <w:szCs w:val="24"/>
        </w:rPr>
        <w:t xml:space="preserve"> 主要受力杆件、剪刀撑等加固杆件、连墙件应无缺失、无松动，架体应无明显变形；</w:t>
      </w:r>
    </w:p>
    <w:p w14:paraId="33B46D36">
      <w:pPr>
        <w:spacing w:line="360" w:lineRule="auto"/>
        <w:ind w:firstLine="482" w:firstLineChars="200"/>
        <w:rPr>
          <w:sz w:val="24"/>
          <w:szCs w:val="24"/>
        </w:rPr>
      </w:pPr>
      <w:r>
        <w:rPr>
          <w:b/>
          <w:bCs/>
          <w:kern w:val="0"/>
          <w:sz w:val="24"/>
          <w:szCs w:val="24"/>
        </w:rPr>
        <w:t>3</w:t>
      </w:r>
      <w:r>
        <w:rPr>
          <w:sz w:val="24"/>
          <w:szCs w:val="24"/>
        </w:rPr>
        <w:t xml:space="preserve"> 安全防护设施应齐全、有效，应无损坏缺失，附着式升降脚手架翻板应铺设严密；</w:t>
      </w:r>
    </w:p>
    <w:p w14:paraId="2BCE7BD9">
      <w:pPr>
        <w:spacing w:line="360" w:lineRule="auto"/>
        <w:ind w:firstLine="482" w:firstLineChars="200"/>
        <w:rPr>
          <w:sz w:val="24"/>
          <w:szCs w:val="24"/>
        </w:rPr>
      </w:pPr>
      <w:r>
        <w:rPr>
          <w:b/>
          <w:bCs/>
          <w:kern w:val="0"/>
          <w:sz w:val="24"/>
          <w:szCs w:val="24"/>
        </w:rPr>
        <w:t>4</w:t>
      </w:r>
      <w:r>
        <w:rPr>
          <w:sz w:val="24"/>
          <w:szCs w:val="24"/>
        </w:rPr>
        <w:t xml:space="preserve"> 附着式升降脚手架支座应牢固，防倾覆、防坠落装置、卸荷顶撑、同步升降控制装置等应处于良好工作状态，架体升降应正常平稳；</w:t>
      </w:r>
    </w:p>
    <w:p w14:paraId="2B71F565">
      <w:pPr>
        <w:spacing w:line="360" w:lineRule="auto"/>
        <w:ind w:firstLine="482" w:firstLineChars="200"/>
        <w:rPr>
          <w:sz w:val="24"/>
          <w:szCs w:val="24"/>
        </w:rPr>
      </w:pPr>
      <w:r>
        <w:rPr>
          <w:b/>
          <w:bCs/>
          <w:kern w:val="0"/>
          <w:sz w:val="24"/>
          <w:szCs w:val="24"/>
        </w:rPr>
        <w:t>5</w:t>
      </w:r>
      <w:r>
        <w:rPr>
          <w:sz w:val="24"/>
          <w:szCs w:val="24"/>
        </w:rPr>
        <w:t xml:space="preserve"> 悬挑脚手架的悬挑支承结构应固定牢固；</w:t>
      </w:r>
    </w:p>
    <w:p w14:paraId="4DDFFB0F">
      <w:pPr>
        <w:spacing w:line="360" w:lineRule="auto"/>
        <w:ind w:firstLine="482" w:firstLineChars="200"/>
        <w:rPr>
          <w:sz w:val="24"/>
          <w:szCs w:val="24"/>
        </w:rPr>
      </w:pPr>
      <w:r>
        <w:rPr>
          <w:b/>
          <w:bCs/>
          <w:kern w:val="0"/>
          <w:sz w:val="24"/>
          <w:szCs w:val="24"/>
        </w:rPr>
        <w:t>6</w:t>
      </w:r>
      <w:r>
        <w:rPr>
          <w:sz w:val="24"/>
          <w:szCs w:val="24"/>
        </w:rPr>
        <w:t xml:space="preserve"> 脚手架上堆载满足设计允许值；</w:t>
      </w:r>
    </w:p>
    <w:p w14:paraId="24AF4059">
      <w:pPr>
        <w:spacing w:line="360" w:lineRule="auto"/>
        <w:ind w:firstLine="482" w:firstLineChars="200"/>
        <w:jc w:val="left"/>
        <w:rPr>
          <w:sz w:val="24"/>
          <w:szCs w:val="24"/>
        </w:rPr>
      </w:pPr>
      <w:r>
        <w:rPr>
          <w:b/>
          <w:bCs/>
          <w:kern w:val="0"/>
          <w:sz w:val="24"/>
          <w:szCs w:val="24"/>
        </w:rPr>
        <w:t>7</w:t>
      </w:r>
      <w:r>
        <w:rPr>
          <w:sz w:val="24"/>
          <w:szCs w:val="24"/>
        </w:rPr>
        <w:t xml:space="preserve"> 高处作业吊篮安全锁应有效，限位装置应齐全；</w:t>
      </w:r>
    </w:p>
    <w:p w14:paraId="72445E43">
      <w:pPr>
        <w:spacing w:line="360" w:lineRule="auto"/>
        <w:ind w:firstLine="482" w:firstLineChars="200"/>
        <w:jc w:val="left"/>
        <w:rPr>
          <w:sz w:val="24"/>
          <w:szCs w:val="24"/>
        </w:rPr>
      </w:pPr>
      <w:r>
        <w:rPr>
          <w:b/>
          <w:bCs/>
          <w:kern w:val="0"/>
          <w:sz w:val="24"/>
          <w:szCs w:val="24"/>
        </w:rPr>
        <w:t>8</w:t>
      </w:r>
      <w:r>
        <w:rPr>
          <w:sz w:val="24"/>
          <w:szCs w:val="24"/>
        </w:rPr>
        <w:t xml:space="preserve"> 高处作业吊篮工作时，人员应从地面进入吊篮内，不得从建筑物顶部、窗口等处或其他孔洞处出入吊篮</w:t>
      </w:r>
      <w:r>
        <w:rPr>
          <w:rFonts w:hint="eastAsia"/>
          <w:sz w:val="24"/>
          <w:szCs w:val="24"/>
        </w:rPr>
        <w:t>。</w:t>
      </w:r>
    </w:p>
    <w:p w14:paraId="43E11891">
      <w:pPr>
        <w:spacing w:line="360" w:lineRule="auto"/>
        <w:rPr>
          <w:strike/>
          <w:sz w:val="24"/>
          <w:szCs w:val="24"/>
        </w:rPr>
      </w:pPr>
      <w:r>
        <w:rPr>
          <w:rFonts w:hint="eastAsia"/>
          <w:b/>
          <w:bCs/>
          <w:kern w:val="0"/>
          <w:sz w:val="24"/>
          <w:szCs w:val="24"/>
        </w:rPr>
        <w:t>5</w:t>
      </w:r>
      <w:r>
        <w:rPr>
          <w:b/>
          <w:bCs/>
          <w:kern w:val="0"/>
          <w:sz w:val="24"/>
          <w:szCs w:val="24"/>
        </w:rPr>
        <w:t>.</w:t>
      </w:r>
      <w:r>
        <w:rPr>
          <w:rFonts w:hint="eastAsia"/>
          <w:b/>
          <w:bCs/>
          <w:kern w:val="0"/>
          <w:sz w:val="24"/>
          <w:szCs w:val="24"/>
        </w:rPr>
        <w:t>4</w:t>
      </w:r>
      <w:r>
        <w:rPr>
          <w:b/>
          <w:bCs/>
          <w:kern w:val="0"/>
          <w:sz w:val="24"/>
          <w:szCs w:val="24"/>
        </w:rPr>
        <w:t>.1</w:t>
      </w:r>
      <w:r>
        <w:rPr>
          <w:rFonts w:hint="eastAsia"/>
          <w:b/>
          <w:bCs/>
          <w:kern w:val="0"/>
          <w:sz w:val="24"/>
          <w:szCs w:val="24"/>
        </w:rPr>
        <w:t>0</w:t>
      </w:r>
      <w:r>
        <w:rPr>
          <w:b/>
          <w:bCs/>
          <w:sz w:val="24"/>
          <w:szCs w:val="24"/>
        </w:rPr>
        <w:t xml:space="preserve">  </w:t>
      </w:r>
      <w:r>
        <w:rPr>
          <w:sz w:val="24"/>
          <w:szCs w:val="24"/>
        </w:rPr>
        <w:t>高处作业吊篮在使用中</w:t>
      </w:r>
      <w:r>
        <w:rPr>
          <w:b/>
          <w:bCs/>
          <w:sz w:val="24"/>
          <w:szCs w:val="24"/>
        </w:rPr>
        <w:t>，</w:t>
      </w:r>
      <w:r>
        <w:rPr>
          <w:sz w:val="24"/>
          <w:szCs w:val="24"/>
        </w:rPr>
        <w:t>吊篮使用人员应在每天开工前和每次换班前检查并记录，发现问题应向使用单位负责人及时报告；使用单位应每月组织专业技术人员进行检查并记录。</w:t>
      </w:r>
    </w:p>
    <w:p w14:paraId="2D783FA1">
      <w:pPr>
        <w:spacing w:line="360" w:lineRule="auto"/>
        <w:rPr>
          <w:sz w:val="24"/>
          <w:szCs w:val="24"/>
        </w:rPr>
      </w:pPr>
      <w:r>
        <w:rPr>
          <w:rFonts w:hint="eastAsia"/>
          <w:b/>
          <w:bCs/>
          <w:kern w:val="0"/>
          <w:sz w:val="24"/>
          <w:szCs w:val="24"/>
        </w:rPr>
        <w:t>5</w:t>
      </w:r>
      <w:r>
        <w:rPr>
          <w:b/>
          <w:bCs/>
          <w:kern w:val="0"/>
          <w:sz w:val="24"/>
          <w:szCs w:val="24"/>
        </w:rPr>
        <w:t>.</w:t>
      </w:r>
      <w:r>
        <w:rPr>
          <w:rFonts w:hint="eastAsia"/>
          <w:b/>
          <w:bCs/>
          <w:kern w:val="0"/>
          <w:sz w:val="24"/>
          <w:szCs w:val="24"/>
        </w:rPr>
        <w:t>4</w:t>
      </w:r>
      <w:r>
        <w:rPr>
          <w:b/>
          <w:bCs/>
          <w:kern w:val="0"/>
          <w:sz w:val="24"/>
          <w:szCs w:val="24"/>
        </w:rPr>
        <w:t>.1</w:t>
      </w:r>
      <w:r>
        <w:rPr>
          <w:rFonts w:hint="eastAsia"/>
          <w:b/>
          <w:bCs/>
          <w:kern w:val="0"/>
          <w:sz w:val="24"/>
          <w:szCs w:val="24"/>
        </w:rPr>
        <w:t>1</w:t>
      </w:r>
      <w:r>
        <w:rPr>
          <w:b/>
          <w:bCs/>
          <w:sz w:val="24"/>
          <w:szCs w:val="24"/>
        </w:rPr>
        <w:t xml:space="preserve">  </w:t>
      </w:r>
      <w:r>
        <w:rPr>
          <w:sz w:val="24"/>
          <w:szCs w:val="24"/>
        </w:rPr>
        <w:t>当脚手架遇有下列情况之一时，应进行检查并应形成记录，确认安全后方可继续使用：</w:t>
      </w:r>
    </w:p>
    <w:p w14:paraId="792DCBDE">
      <w:pPr>
        <w:spacing w:line="360" w:lineRule="auto"/>
        <w:ind w:firstLine="482" w:firstLineChars="200"/>
        <w:rPr>
          <w:sz w:val="24"/>
          <w:szCs w:val="24"/>
        </w:rPr>
      </w:pPr>
      <w:r>
        <w:rPr>
          <w:b/>
          <w:bCs/>
          <w:kern w:val="0"/>
          <w:sz w:val="24"/>
          <w:szCs w:val="24"/>
        </w:rPr>
        <w:t>1</w:t>
      </w:r>
      <w:r>
        <w:rPr>
          <w:sz w:val="24"/>
          <w:szCs w:val="24"/>
        </w:rPr>
        <w:t xml:space="preserve"> 遇有6级及以上强风或大雨及以上降水后；钢板立网五级大风前、后进行检查与验收；</w:t>
      </w:r>
    </w:p>
    <w:p w14:paraId="6CF2EF51">
      <w:pPr>
        <w:spacing w:line="360" w:lineRule="auto"/>
        <w:ind w:firstLine="482" w:firstLineChars="200"/>
        <w:rPr>
          <w:sz w:val="24"/>
          <w:szCs w:val="24"/>
        </w:rPr>
      </w:pPr>
      <w:r>
        <w:rPr>
          <w:b/>
          <w:bCs/>
          <w:kern w:val="0"/>
          <w:sz w:val="24"/>
          <w:szCs w:val="24"/>
        </w:rPr>
        <w:t>2</w:t>
      </w:r>
      <w:r>
        <w:rPr>
          <w:sz w:val="24"/>
          <w:szCs w:val="24"/>
        </w:rPr>
        <w:t xml:space="preserve"> 冬期施工前，冻结的地基土解冻后；</w:t>
      </w:r>
    </w:p>
    <w:p w14:paraId="3ED3F761">
      <w:pPr>
        <w:spacing w:line="360" w:lineRule="auto"/>
        <w:ind w:firstLine="482" w:firstLineChars="200"/>
        <w:rPr>
          <w:sz w:val="24"/>
          <w:szCs w:val="24"/>
        </w:rPr>
      </w:pPr>
      <w:r>
        <w:rPr>
          <w:b/>
          <w:bCs/>
          <w:kern w:val="0"/>
          <w:sz w:val="24"/>
          <w:szCs w:val="24"/>
        </w:rPr>
        <w:t>3</w:t>
      </w:r>
      <w:r>
        <w:rPr>
          <w:sz w:val="24"/>
          <w:szCs w:val="24"/>
        </w:rPr>
        <w:t xml:space="preserve"> 停用超过1个月恢复施工；</w:t>
      </w:r>
    </w:p>
    <w:p w14:paraId="64C60EF1">
      <w:pPr>
        <w:spacing w:line="360" w:lineRule="auto"/>
        <w:ind w:firstLine="482" w:firstLineChars="200"/>
        <w:rPr>
          <w:sz w:val="24"/>
          <w:szCs w:val="24"/>
        </w:rPr>
      </w:pPr>
      <w:r>
        <w:rPr>
          <w:b/>
          <w:bCs/>
          <w:kern w:val="0"/>
          <w:sz w:val="24"/>
          <w:szCs w:val="24"/>
        </w:rPr>
        <w:t>4</w:t>
      </w:r>
      <w:r>
        <w:rPr>
          <w:sz w:val="24"/>
          <w:szCs w:val="24"/>
        </w:rPr>
        <w:t xml:space="preserve"> 架体部分拆除；</w:t>
      </w:r>
    </w:p>
    <w:p w14:paraId="1D381110">
      <w:pPr>
        <w:spacing w:line="360" w:lineRule="auto"/>
        <w:ind w:firstLine="482" w:firstLineChars="200"/>
        <w:rPr>
          <w:sz w:val="24"/>
          <w:szCs w:val="24"/>
        </w:rPr>
      </w:pPr>
      <w:r>
        <w:rPr>
          <w:b/>
          <w:bCs/>
          <w:kern w:val="0"/>
          <w:sz w:val="24"/>
          <w:szCs w:val="24"/>
        </w:rPr>
        <w:t>5</w:t>
      </w:r>
      <w:r>
        <w:rPr>
          <w:sz w:val="24"/>
          <w:szCs w:val="24"/>
        </w:rPr>
        <w:t xml:space="preserve"> 承受偶然荷载后</w:t>
      </w:r>
      <w:r>
        <w:rPr>
          <w:rFonts w:hint="eastAsia"/>
          <w:sz w:val="24"/>
          <w:szCs w:val="24"/>
        </w:rPr>
        <w:t>。</w:t>
      </w:r>
    </w:p>
    <w:p w14:paraId="0AF360AB">
      <w:pPr>
        <w:widowControl/>
        <w:snapToGrid w:val="0"/>
        <w:spacing w:line="360" w:lineRule="auto"/>
        <w:jc w:val="left"/>
        <w:rPr>
          <w:rFonts w:hint="eastAsia" w:ascii="宋体" w:hAnsi="宋体" w:cs="宋体"/>
          <w:kern w:val="0"/>
          <w:sz w:val="24"/>
          <w:szCs w:val="24"/>
        </w:rPr>
      </w:pPr>
      <w:r>
        <w:rPr>
          <w:rFonts w:hint="eastAsia"/>
          <w:b/>
          <w:bCs/>
          <w:kern w:val="0"/>
          <w:sz w:val="24"/>
          <w:szCs w:val="24"/>
        </w:rPr>
        <w:t>5</w:t>
      </w:r>
      <w:r>
        <w:rPr>
          <w:b/>
          <w:bCs/>
          <w:kern w:val="0"/>
          <w:sz w:val="24"/>
          <w:szCs w:val="24"/>
        </w:rPr>
        <w:t>.</w:t>
      </w:r>
      <w:r>
        <w:rPr>
          <w:rFonts w:hint="eastAsia"/>
          <w:b/>
          <w:bCs/>
          <w:kern w:val="0"/>
          <w:sz w:val="24"/>
          <w:szCs w:val="24"/>
        </w:rPr>
        <w:t>4</w:t>
      </w:r>
      <w:r>
        <w:rPr>
          <w:b/>
          <w:bCs/>
          <w:kern w:val="0"/>
          <w:sz w:val="24"/>
          <w:szCs w:val="24"/>
        </w:rPr>
        <w:t>.1</w:t>
      </w:r>
      <w:r>
        <w:rPr>
          <w:rFonts w:hint="eastAsia"/>
          <w:b/>
          <w:bCs/>
          <w:kern w:val="0"/>
          <w:sz w:val="24"/>
          <w:szCs w:val="24"/>
        </w:rPr>
        <w:t>2</w:t>
      </w:r>
      <w:r>
        <w:rPr>
          <w:b/>
          <w:bCs/>
          <w:kern w:val="0"/>
          <w:sz w:val="24"/>
          <w:szCs w:val="24"/>
        </w:rPr>
        <w:t xml:space="preserve">  </w:t>
      </w:r>
      <w:r>
        <w:rPr>
          <w:kern w:val="0"/>
          <w:sz w:val="24"/>
          <w:szCs w:val="24"/>
        </w:rPr>
        <w:t>监测过程中应确保数据真实、准确、完整，所有监测记录、分析报告及处置情况应形成书面文件并归档保存，全程可追溯。</w:t>
      </w:r>
    </w:p>
    <w:p w14:paraId="35D02908">
      <w:pPr>
        <w:pStyle w:val="35"/>
        <w:spacing w:before="120" w:line="360" w:lineRule="auto"/>
        <w:rPr>
          <w:bCs w:val="0"/>
          <w:color w:val="auto"/>
          <w:szCs w:val="24"/>
        </w:rPr>
      </w:pPr>
    </w:p>
    <w:p w14:paraId="0DC2F87E">
      <w:pPr>
        <w:rPr>
          <w:rFonts w:hint="eastAsia" w:asciiTheme="minorEastAsia" w:hAnsiTheme="minorEastAsia" w:eastAsiaTheme="minorEastAsia"/>
          <w:szCs w:val="21"/>
        </w:rPr>
      </w:pPr>
    </w:p>
    <w:p w14:paraId="0BC3B26C">
      <w:pPr>
        <w:rPr>
          <w:rFonts w:hint="eastAsia" w:asciiTheme="minorEastAsia" w:hAnsiTheme="minorEastAsia" w:eastAsiaTheme="minorEastAsia"/>
          <w:szCs w:val="21"/>
        </w:rPr>
      </w:pPr>
    </w:p>
    <w:p w14:paraId="6DA098FF">
      <w:pPr>
        <w:rPr>
          <w:rFonts w:hint="eastAsia" w:asciiTheme="minorEastAsia" w:hAnsiTheme="minorEastAsia" w:eastAsiaTheme="minorEastAsia"/>
          <w:szCs w:val="21"/>
        </w:rPr>
      </w:pPr>
    </w:p>
    <w:p w14:paraId="451A5E94">
      <w:pPr>
        <w:rPr>
          <w:rFonts w:hint="eastAsia" w:asciiTheme="minorEastAsia" w:hAnsiTheme="minorEastAsia" w:eastAsiaTheme="minorEastAsia"/>
          <w:szCs w:val="21"/>
        </w:rPr>
      </w:pPr>
    </w:p>
    <w:p w14:paraId="1FAB3BFE">
      <w:pPr>
        <w:rPr>
          <w:rFonts w:hint="eastAsia" w:asciiTheme="minorEastAsia" w:hAnsiTheme="minorEastAsia" w:eastAsiaTheme="minorEastAsia"/>
          <w:szCs w:val="21"/>
        </w:rPr>
      </w:pPr>
    </w:p>
    <w:p w14:paraId="07294C27">
      <w:pPr>
        <w:rPr>
          <w:rFonts w:hint="eastAsia" w:asciiTheme="minorEastAsia" w:hAnsiTheme="minorEastAsia" w:eastAsiaTheme="minorEastAsia"/>
          <w:szCs w:val="21"/>
        </w:rPr>
      </w:pPr>
    </w:p>
    <w:p w14:paraId="565B3594">
      <w:pPr>
        <w:rPr>
          <w:rFonts w:hint="eastAsia" w:asciiTheme="minorEastAsia" w:hAnsiTheme="minorEastAsia" w:eastAsiaTheme="minorEastAsia"/>
          <w:szCs w:val="21"/>
        </w:rPr>
      </w:pPr>
    </w:p>
    <w:p w14:paraId="04235E90">
      <w:pPr>
        <w:rPr>
          <w:rFonts w:hint="eastAsia" w:asciiTheme="minorEastAsia" w:hAnsiTheme="minorEastAsia" w:eastAsiaTheme="minorEastAsia"/>
          <w:szCs w:val="21"/>
        </w:rPr>
      </w:pPr>
    </w:p>
    <w:p w14:paraId="5BEF6E16">
      <w:pPr>
        <w:rPr>
          <w:rFonts w:eastAsia="黑体"/>
          <w:sz w:val="28"/>
        </w:rPr>
      </w:pPr>
      <w:bookmarkStart w:id="121" w:name="_Toc6378"/>
      <w:bookmarkStart w:id="122" w:name="_Toc16605"/>
      <w:bookmarkStart w:id="123" w:name="_Toc16536"/>
      <w:bookmarkStart w:id="124" w:name="_Toc8334"/>
      <w:bookmarkStart w:id="125" w:name="_Toc6265"/>
      <w:bookmarkStart w:id="126" w:name="_Toc19703"/>
      <w:r>
        <w:rPr>
          <w:rFonts w:hint="eastAsia" w:eastAsia="黑体"/>
          <w:sz w:val="28"/>
        </w:rPr>
        <w:br w:type="page"/>
      </w:r>
    </w:p>
    <w:p w14:paraId="0B5F2F8A">
      <w:pPr>
        <w:jc w:val="center"/>
        <w:outlineLvl w:val="0"/>
        <w:rPr>
          <w:rFonts w:hint="eastAsia" w:ascii="黑体" w:hAnsi="黑体" w:eastAsia="黑体" w:cs="黑体"/>
          <w:sz w:val="28"/>
        </w:rPr>
      </w:pPr>
      <w:bookmarkStart w:id="127" w:name="_Toc21565"/>
      <w:r>
        <w:rPr>
          <w:rFonts w:hint="eastAsia" w:eastAsia="黑体"/>
          <w:sz w:val="28"/>
        </w:rPr>
        <w:t>6</w:t>
      </w:r>
      <w:r>
        <w:rPr>
          <w:rFonts w:hint="eastAsia" w:ascii="黑体" w:hAnsi="黑体" w:eastAsia="黑体" w:cs="黑体"/>
          <w:sz w:val="28"/>
        </w:rPr>
        <w:t xml:space="preserve"> </w:t>
      </w:r>
      <w:r>
        <w:rPr>
          <w:rFonts w:hint="eastAsia" w:ascii="黑体" w:hAnsi="黑体" w:eastAsia="黑体" w:cs="黑体"/>
          <w:spacing w:val="-20"/>
          <w:sz w:val="28"/>
        </w:rPr>
        <w:t>施工用电</w:t>
      </w:r>
      <w:bookmarkEnd w:id="121"/>
      <w:bookmarkEnd w:id="127"/>
    </w:p>
    <w:p w14:paraId="5DAF8A09">
      <w:pPr>
        <w:pStyle w:val="33"/>
        <w:numPr>
          <w:ilvl w:val="0"/>
          <w:numId w:val="0"/>
        </w:numPr>
        <w:spacing w:before="120" w:line="360" w:lineRule="auto"/>
        <w:outlineLvl w:val="1"/>
        <w:rPr>
          <w:rFonts w:eastAsia="宋体"/>
          <w:bCs/>
          <w:kern w:val="0"/>
          <w:sz w:val="24"/>
          <w:szCs w:val="24"/>
        </w:rPr>
      </w:pPr>
      <w:bookmarkStart w:id="128" w:name="OLE_LINK113"/>
      <w:bookmarkStart w:id="129" w:name="_Toc29789"/>
      <w:bookmarkStart w:id="130" w:name="_Toc3876"/>
      <w:r>
        <w:rPr>
          <w:rFonts w:hint="eastAsia" w:eastAsia="宋体"/>
          <w:b/>
          <w:kern w:val="0"/>
          <w:sz w:val="24"/>
          <w:szCs w:val="24"/>
        </w:rPr>
        <w:t>6</w:t>
      </w:r>
      <w:r>
        <w:rPr>
          <w:rFonts w:eastAsia="宋体"/>
          <w:b/>
          <w:kern w:val="0"/>
          <w:sz w:val="24"/>
          <w:szCs w:val="24"/>
        </w:rPr>
        <w:t>.1</w:t>
      </w:r>
      <w:bookmarkEnd w:id="128"/>
      <w:r>
        <w:rPr>
          <w:rFonts w:eastAsia="宋体"/>
          <w:bCs/>
          <w:kern w:val="0"/>
          <w:sz w:val="24"/>
          <w:szCs w:val="24"/>
        </w:rPr>
        <w:t xml:space="preserve"> </w:t>
      </w:r>
      <w:bookmarkEnd w:id="122"/>
      <w:bookmarkEnd w:id="123"/>
      <w:bookmarkEnd w:id="124"/>
      <w:bookmarkEnd w:id="125"/>
      <w:bookmarkEnd w:id="126"/>
      <w:r>
        <w:rPr>
          <w:rFonts w:hint="eastAsia" w:eastAsia="宋体"/>
          <w:b/>
          <w:kern w:val="0"/>
          <w:sz w:val="24"/>
          <w:szCs w:val="24"/>
        </w:rPr>
        <w:t>一般规定</w:t>
      </w:r>
      <w:bookmarkEnd w:id="129"/>
      <w:bookmarkEnd w:id="130"/>
    </w:p>
    <w:p w14:paraId="324F715C">
      <w:pPr>
        <w:pStyle w:val="35"/>
        <w:spacing w:before="120" w:line="360" w:lineRule="auto"/>
        <w:rPr>
          <w:color w:val="auto"/>
          <w:szCs w:val="24"/>
        </w:rPr>
      </w:pPr>
      <w:bookmarkStart w:id="131" w:name="OLE_LINK114"/>
      <w:bookmarkStart w:id="132" w:name="_Hlk187332059"/>
      <w:r>
        <w:rPr>
          <w:rFonts w:hint="eastAsia"/>
          <w:b/>
          <w:bCs w:val="0"/>
          <w:color w:val="auto"/>
          <w:szCs w:val="24"/>
        </w:rPr>
        <w:t>6</w:t>
      </w:r>
      <w:r>
        <w:rPr>
          <w:b/>
          <w:bCs w:val="0"/>
          <w:color w:val="auto"/>
          <w:szCs w:val="24"/>
        </w:rPr>
        <w:t>.1.1</w:t>
      </w:r>
      <w:bookmarkEnd w:id="131"/>
      <w:r>
        <w:rPr>
          <w:color w:val="auto"/>
          <w:szCs w:val="24"/>
        </w:rPr>
        <w:t xml:space="preserve"> </w:t>
      </w:r>
      <w:r>
        <w:rPr>
          <w:rFonts w:hint="eastAsia"/>
          <w:color w:val="auto"/>
          <w:szCs w:val="24"/>
        </w:rPr>
        <w:t xml:space="preserve"> 施工单位</w:t>
      </w:r>
      <w:r>
        <w:rPr>
          <w:color w:val="auto"/>
          <w:szCs w:val="24"/>
        </w:rPr>
        <w:t>应建立健全施工用电</w:t>
      </w:r>
      <w:r>
        <w:rPr>
          <w:rFonts w:hint="eastAsia"/>
          <w:color w:val="auto"/>
          <w:szCs w:val="24"/>
        </w:rPr>
        <w:t>设施设备安装、检查、维护、检验试验、拆除作业</w:t>
      </w:r>
      <w:r>
        <w:rPr>
          <w:color w:val="auto"/>
          <w:szCs w:val="24"/>
        </w:rPr>
        <w:t>制度。</w:t>
      </w:r>
      <w:r>
        <w:rPr>
          <w:rFonts w:hint="eastAsia"/>
          <w:color w:val="auto"/>
          <w:szCs w:val="24"/>
        </w:rPr>
        <w:t xml:space="preserve"> </w:t>
      </w:r>
      <w:bookmarkStart w:id="133" w:name="_Hlk189244937"/>
      <w:r>
        <w:rPr>
          <w:rFonts w:hint="eastAsia"/>
          <w:color w:val="auto"/>
          <w:szCs w:val="24"/>
        </w:rPr>
        <w:t xml:space="preserve"> </w:t>
      </w:r>
    </w:p>
    <w:p w14:paraId="2CBC9417">
      <w:pPr>
        <w:pStyle w:val="35"/>
        <w:spacing w:before="120" w:line="360" w:lineRule="auto"/>
        <w:rPr>
          <w:bCs w:val="0"/>
          <w:color w:val="auto"/>
          <w:szCs w:val="24"/>
        </w:rPr>
      </w:pPr>
      <w:r>
        <w:rPr>
          <w:rFonts w:hint="eastAsia"/>
          <w:b/>
          <w:bCs w:val="0"/>
          <w:color w:val="auto"/>
          <w:szCs w:val="24"/>
        </w:rPr>
        <w:t>6</w:t>
      </w:r>
      <w:r>
        <w:rPr>
          <w:b/>
          <w:bCs w:val="0"/>
          <w:color w:val="auto"/>
          <w:szCs w:val="24"/>
        </w:rPr>
        <w:t>.</w:t>
      </w:r>
      <w:r>
        <w:rPr>
          <w:rFonts w:hint="eastAsia"/>
          <w:b/>
          <w:bCs w:val="0"/>
          <w:color w:val="auto"/>
          <w:szCs w:val="24"/>
        </w:rPr>
        <w:t>1</w:t>
      </w:r>
      <w:r>
        <w:rPr>
          <w:b/>
          <w:bCs w:val="0"/>
          <w:color w:val="auto"/>
          <w:szCs w:val="24"/>
        </w:rPr>
        <w:t>.</w:t>
      </w:r>
      <w:r>
        <w:rPr>
          <w:rFonts w:hint="eastAsia"/>
          <w:b/>
          <w:bCs w:val="0"/>
          <w:color w:val="auto"/>
          <w:szCs w:val="24"/>
        </w:rPr>
        <w:t>2</w:t>
      </w:r>
      <w:r>
        <w:rPr>
          <w:rFonts w:hint="eastAsia"/>
          <w:color w:val="auto"/>
          <w:szCs w:val="24"/>
        </w:rPr>
        <w:t xml:space="preserve">  施工单位</w:t>
      </w:r>
      <w:r>
        <w:rPr>
          <w:color w:val="auto"/>
          <w:szCs w:val="24"/>
        </w:rPr>
        <w:t>应根据用电设施设备实际使用条件</w:t>
      </w:r>
      <w:r>
        <w:rPr>
          <w:rFonts w:hint="eastAsia"/>
          <w:color w:val="auto"/>
          <w:szCs w:val="24"/>
        </w:rPr>
        <w:t>、要求</w:t>
      </w:r>
      <w:r>
        <w:rPr>
          <w:color w:val="auto"/>
          <w:szCs w:val="24"/>
        </w:rPr>
        <w:t>，制定相应的安全操作</w:t>
      </w:r>
      <w:r>
        <w:rPr>
          <w:bCs w:val="0"/>
          <w:color w:val="auto"/>
          <w:szCs w:val="24"/>
        </w:rPr>
        <w:t>规程。</w:t>
      </w:r>
    </w:p>
    <w:p w14:paraId="5989FCA3">
      <w:pPr>
        <w:pStyle w:val="35"/>
        <w:spacing w:before="120" w:line="360" w:lineRule="auto"/>
        <w:rPr>
          <w:color w:val="auto"/>
          <w:szCs w:val="24"/>
        </w:rPr>
      </w:pPr>
      <w:r>
        <w:rPr>
          <w:rFonts w:hint="eastAsia"/>
          <w:b/>
          <w:bCs w:val="0"/>
          <w:color w:val="auto"/>
          <w:szCs w:val="24"/>
        </w:rPr>
        <w:t>6</w:t>
      </w:r>
      <w:r>
        <w:rPr>
          <w:b/>
          <w:bCs w:val="0"/>
          <w:color w:val="auto"/>
          <w:szCs w:val="24"/>
        </w:rPr>
        <w:t>.1.</w:t>
      </w:r>
      <w:r>
        <w:rPr>
          <w:rFonts w:hint="eastAsia"/>
          <w:b/>
          <w:bCs w:val="0"/>
          <w:color w:val="auto"/>
          <w:szCs w:val="24"/>
        </w:rPr>
        <w:t>3</w:t>
      </w:r>
      <w:r>
        <w:rPr>
          <w:color w:val="auto"/>
          <w:szCs w:val="24"/>
        </w:rPr>
        <w:t xml:space="preserve"> </w:t>
      </w:r>
      <w:r>
        <w:rPr>
          <w:rFonts w:hint="eastAsia"/>
          <w:color w:val="auto"/>
          <w:szCs w:val="24"/>
        </w:rPr>
        <w:t xml:space="preserve"> 施工单位</w:t>
      </w:r>
      <w:r>
        <w:rPr>
          <w:color w:val="auto"/>
          <w:szCs w:val="24"/>
        </w:rPr>
        <w:t>应配</w:t>
      </w:r>
      <w:r>
        <w:rPr>
          <w:rFonts w:hint="eastAsia"/>
          <w:color w:val="auto"/>
          <w:szCs w:val="24"/>
        </w:rPr>
        <w:t>备施工用电</w:t>
      </w:r>
      <w:r>
        <w:rPr>
          <w:color w:val="auto"/>
          <w:szCs w:val="24"/>
        </w:rPr>
        <w:t>专业技术人员</w:t>
      </w:r>
      <w:r>
        <w:rPr>
          <w:rFonts w:hint="eastAsia"/>
          <w:color w:val="auto"/>
          <w:szCs w:val="24"/>
        </w:rPr>
        <w:t>及依法</w:t>
      </w:r>
      <w:r>
        <w:rPr>
          <w:color w:val="auto"/>
          <w:szCs w:val="24"/>
        </w:rPr>
        <w:t>取得操作资格</w:t>
      </w:r>
      <w:r>
        <w:rPr>
          <w:rFonts w:hint="eastAsia"/>
          <w:color w:val="auto"/>
          <w:szCs w:val="24"/>
        </w:rPr>
        <w:t>证的建筑</w:t>
      </w:r>
      <w:r>
        <w:rPr>
          <w:color w:val="auto"/>
          <w:szCs w:val="24"/>
        </w:rPr>
        <w:t>电工</w:t>
      </w:r>
      <w:r>
        <w:rPr>
          <w:rFonts w:hint="eastAsia"/>
          <w:color w:val="auto"/>
          <w:szCs w:val="24"/>
        </w:rPr>
        <w:t>。</w:t>
      </w:r>
    </w:p>
    <w:p w14:paraId="1DADE198">
      <w:pPr>
        <w:pStyle w:val="35"/>
        <w:spacing w:before="120" w:line="360" w:lineRule="auto"/>
        <w:rPr>
          <w:color w:val="auto"/>
          <w:szCs w:val="24"/>
        </w:rPr>
      </w:pPr>
      <w:r>
        <w:rPr>
          <w:rFonts w:hint="eastAsia"/>
          <w:b/>
          <w:bCs w:val="0"/>
          <w:color w:val="auto"/>
          <w:szCs w:val="24"/>
        </w:rPr>
        <w:t>6</w:t>
      </w:r>
      <w:r>
        <w:rPr>
          <w:b/>
          <w:bCs w:val="0"/>
          <w:color w:val="auto"/>
          <w:szCs w:val="24"/>
        </w:rPr>
        <w:t>.1.</w:t>
      </w:r>
      <w:r>
        <w:rPr>
          <w:rFonts w:hint="eastAsia"/>
          <w:b/>
          <w:bCs w:val="0"/>
          <w:color w:val="auto"/>
          <w:szCs w:val="24"/>
        </w:rPr>
        <w:t>4</w:t>
      </w:r>
      <w:r>
        <w:rPr>
          <w:rFonts w:hint="eastAsia"/>
          <w:color w:val="auto"/>
          <w:szCs w:val="24"/>
        </w:rPr>
        <w:t xml:space="preserve">  建筑</w:t>
      </w:r>
      <w:r>
        <w:rPr>
          <w:color w:val="auto"/>
          <w:szCs w:val="24"/>
        </w:rPr>
        <w:t>电工</w:t>
      </w:r>
      <w:r>
        <w:rPr>
          <w:rFonts w:hint="eastAsia"/>
          <w:color w:val="auto"/>
          <w:szCs w:val="24"/>
        </w:rPr>
        <w:t>应</w:t>
      </w:r>
      <w:r>
        <w:rPr>
          <w:color w:val="auto"/>
          <w:szCs w:val="24"/>
        </w:rPr>
        <w:t>符合下列规定：</w:t>
      </w:r>
    </w:p>
    <w:p w14:paraId="32B438AB">
      <w:pPr>
        <w:pStyle w:val="37"/>
        <w:spacing w:before="120" w:line="360" w:lineRule="auto"/>
        <w:rPr>
          <w:color w:val="auto"/>
          <w:sz w:val="24"/>
          <w:szCs w:val="24"/>
        </w:rPr>
      </w:pPr>
      <w:r>
        <w:rPr>
          <w:rFonts w:hint="eastAsia"/>
          <w:b/>
          <w:bCs w:val="0"/>
          <w:color w:val="auto"/>
          <w:sz w:val="24"/>
          <w:szCs w:val="24"/>
        </w:rPr>
        <w:t>1</w:t>
      </w:r>
      <w:r>
        <w:rPr>
          <w:rFonts w:hint="eastAsia"/>
          <w:color w:val="auto"/>
          <w:sz w:val="24"/>
          <w:szCs w:val="24"/>
        </w:rPr>
        <w:t xml:space="preserve"> </w:t>
      </w:r>
      <w:bookmarkStart w:id="134" w:name="_Hlk197273062"/>
      <w:r>
        <w:rPr>
          <w:rFonts w:hint="eastAsia"/>
          <w:color w:val="auto"/>
          <w:sz w:val="24"/>
          <w:szCs w:val="24"/>
        </w:rPr>
        <w:t xml:space="preserve"> 建筑</w:t>
      </w:r>
      <w:r>
        <w:rPr>
          <w:color w:val="auto"/>
          <w:sz w:val="24"/>
          <w:szCs w:val="24"/>
        </w:rPr>
        <w:t>电工</w:t>
      </w:r>
      <w:bookmarkEnd w:id="134"/>
      <w:r>
        <w:rPr>
          <w:color w:val="auto"/>
          <w:sz w:val="24"/>
          <w:szCs w:val="24"/>
        </w:rPr>
        <w:t>操作资格证书应在有效期内</w:t>
      </w:r>
      <w:r>
        <w:rPr>
          <w:rFonts w:hint="eastAsia"/>
          <w:color w:val="auto"/>
          <w:sz w:val="24"/>
          <w:szCs w:val="24"/>
        </w:rPr>
        <w:t>；</w:t>
      </w:r>
    </w:p>
    <w:p w14:paraId="46EED7A8">
      <w:pPr>
        <w:pStyle w:val="37"/>
        <w:spacing w:before="120" w:line="360" w:lineRule="auto"/>
        <w:rPr>
          <w:color w:val="auto"/>
          <w:sz w:val="24"/>
          <w:szCs w:val="24"/>
        </w:rPr>
      </w:pPr>
      <w:r>
        <w:rPr>
          <w:rFonts w:hint="eastAsia"/>
          <w:b/>
          <w:bCs w:val="0"/>
          <w:color w:val="auto"/>
          <w:sz w:val="24"/>
          <w:szCs w:val="24"/>
        </w:rPr>
        <w:t>2</w:t>
      </w:r>
      <w:r>
        <w:rPr>
          <w:rFonts w:hint="eastAsia"/>
          <w:color w:val="auto"/>
          <w:sz w:val="24"/>
          <w:szCs w:val="24"/>
        </w:rPr>
        <w:t xml:space="preserve">  建筑</w:t>
      </w:r>
      <w:r>
        <w:rPr>
          <w:color w:val="auto"/>
          <w:sz w:val="24"/>
          <w:szCs w:val="24"/>
        </w:rPr>
        <w:t>电工作业</w:t>
      </w:r>
      <w:r>
        <w:rPr>
          <w:rFonts w:hint="eastAsia"/>
          <w:color w:val="auto"/>
          <w:sz w:val="24"/>
          <w:szCs w:val="24"/>
        </w:rPr>
        <w:t>时应</w:t>
      </w:r>
      <w:r>
        <w:rPr>
          <w:color w:val="auto"/>
          <w:sz w:val="24"/>
          <w:szCs w:val="24"/>
        </w:rPr>
        <w:t>穿戴符合规定的劳动防护用品并使用安全用具。</w:t>
      </w:r>
    </w:p>
    <w:p w14:paraId="53D41236">
      <w:pPr>
        <w:pStyle w:val="35"/>
        <w:spacing w:before="120" w:line="360" w:lineRule="auto"/>
        <w:rPr>
          <w:color w:val="auto"/>
          <w:szCs w:val="24"/>
        </w:rPr>
      </w:pPr>
      <w:r>
        <w:rPr>
          <w:rFonts w:hint="eastAsia"/>
          <w:b/>
          <w:bCs w:val="0"/>
          <w:color w:val="auto"/>
          <w:szCs w:val="24"/>
        </w:rPr>
        <w:t>6</w:t>
      </w:r>
      <w:r>
        <w:rPr>
          <w:b/>
          <w:bCs w:val="0"/>
          <w:color w:val="auto"/>
          <w:szCs w:val="24"/>
        </w:rPr>
        <w:t>.1.</w:t>
      </w:r>
      <w:r>
        <w:rPr>
          <w:rFonts w:hint="eastAsia"/>
          <w:b/>
          <w:bCs w:val="0"/>
          <w:color w:val="auto"/>
          <w:szCs w:val="24"/>
        </w:rPr>
        <w:t>5</w:t>
      </w:r>
      <w:r>
        <w:rPr>
          <w:rFonts w:hint="eastAsia"/>
          <w:color w:val="auto"/>
          <w:szCs w:val="24"/>
        </w:rPr>
        <w:t xml:space="preserve">  </w:t>
      </w:r>
      <w:r>
        <w:rPr>
          <w:color w:val="auto"/>
          <w:szCs w:val="24"/>
        </w:rPr>
        <w:t>一般人员及其他相关人员应符合下列</w:t>
      </w:r>
      <w:r>
        <w:rPr>
          <w:rFonts w:hint="eastAsia"/>
          <w:color w:val="auto"/>
          <w:szCs w:val="24"/>
        </w:rPr>
        <w:t>规定</w:t>
      </w:r>
      <w:r>
        <w:rPr>
          <w:color w:val="auto"/>
          <w:szCs w:val="24"/>
        </w:rPr>
        <w:t>：</w:t>
      </w:r>
    </w:p>
    <w:p w14:paraId="09CB74B7">
      <w:pPr>
        <w:pStyle w:val="37"/>
        <w:spacing w:before="120" w:line="360" w:lineRule="auto"/>
        <w:rPr>
          <w:color w:val="auto"/>
          <w:sz w:val="24"/>
          <w:szCs w:val="24"/>
        </w:rPr>
      </w:pPr>
      <w:r>
        <w:rPr>
          <w:b/>
          <w:bCs w:val="0"/>
          <w:color w:val="auto"/>
          <w:sz w:val="24"/>
          <w:szCs w:val="24"/>
        </w:rPr>
        <w:t>1</w:t>
      </w:r>
      <w:r>
        <w:rPr>
          <w:rFonts w:hint="eastAsia"/>
          <w:color w:val="auto"/>
          <w:sz w:val="24"/>
          <w:szCs w:val="24"/>
        </w:rPr>
        <w:t xml:space="preserve">  </w:t>
      </w:r>
      <w:r>
        <w:rPr>
          <w:color w:val="auto"/>
          <w:sz w:val="24"/>
          <w:szCs w:val="24"/>
        </w:rPr>
        <w:t>作业前应进行相关用电设施设备基本性能、安全操作知识及安全应急措施培训，</w:t>
      </w:r>
      <w:r>
        <w:rPr>
          <w:rFonts w:hint="eastAsia"/>
          <w:color w:val="auto"/>
          <w:sz w:val="24"/>
          <w:szCs w:val="24"/>
        </w:rPr>
        <w:t>考核</w:t>
      </w:r>
      <w:r>
        <w:rPr>
          <w:color w:val="auto"/>
          <w:sz w:val="24"/>
          <w:szCs w:val="24"/>
        </w:rPr>
        <w:t>合格后方可上岗</w:t>
      </w:r>
      <w:r>
        <w:rPr>
          <w:rFonts w:hint="eastAsia"/>
          <w:color w:val="auto"/>
          <w:sz w:val="24"/>
          <w:szCs w:val="24"/>
        </w:rPr>
        <w:t>作业</w:t>
      </w:r>
      <w:r>
        <w:rPr>
          <w:color w:val="auto"/>
          <w:sz w:val="24"/>
          <w:szCs w:val="24"/>
        </w:rPr>
        <w:t>；</w:t>
      </w:r>
    </w:p>
    <w:p w14:paraId="5D4954D0">
      <w:pPr>
        <w:pStyle w:val="37"/>
        <w:spacing w:before="120" w:line="360" w:lineRule="auto"/>
        <w:rPr>
          <w:color w:val="auto"/>
          <w:sz w:val="24"/>
          <w:szCs w:val="24"/>
        </w:rPr>
      </w:pPr>
      <w:r>
        <w:rPr>
          <w:b/>
          <w:bCs w:val="0"/>
          <w:color w:val="auto"/>
          <w:sz w:val="24"/>
          <w:szCs w:val="24"/>
        </w:rPr>
        <w:t>2</w:t>
      </w:r>
      <w:r>
        <w:rPr>
          <w:rFonts w:hint="eastAsia"/>
          <w:color w:val="auto"/>
          <w:sz w:val="24"/>
          <w:szCs w:val="24"/>
        </w:rPr>
        <w:t xml:space="preserve">  </w:t>
      </w:r>
      <w:r>
        <w:rPr>
          <w:color w:val="auto"/>
          <w:sz w:val="24"/>
          <w:szCs w:val="24"/>
        </w:rPr>
        <w:t>作业时</w:t>
      </w:r>
      <w:r>
        <w:rPr>
          <w:rFonts w:hint="eastAsia"/>
          <w:color w:val="auto"/>
          <w:sz w:val="24"/>
          <w:szCs w:val="24"/>
        </w:rPr>
        <w:t>应根据用电设备、作业环境</w:t>
      </w:r>
      <w:r>
        <w:rPr>
          <w:color w:val="auto"/>
          <w:sz w:val="24"/>
          <w:szCs w:val="24"/>
        </w:rPr>
        <w:t>穿戴符合规定的劳动防护用品并使用安全用具。</w:t>
      </w:r>
    </w:p>
    <w:p w14:paraId="6147A293">
      <w:pPr>
        <w:pStyle w:val="35"/>
        <w:spacing w:before="120" w:line="360" w:lineRule="auto"/>
        <w:rPr>
          <w:b/>
          <w:color w:val="auto"/>
          <w:szCs w:val="24"/>
        </w:rPr>
      </w:pPr>
      <w:bookmarkStart w:id="135" w:name="_Hlk199409842"/>
      <w:bookmarkStart w:id="136" w:name="_Hlk201135377"/>
      <w:r>
        <w:rPr>
          <w:rFonts w:hint="eastAsia"/>
          <w:b/>
          <w:bCs w:val="0"/>
          <w:color w:val="auto"/>
          <w:szCs w:val="24"/>
        </w:rPr>
        <w:t>6</w:t>
      </w:r>
      <w:r>
        <w:rPr>
          <w:b/>
          <w:bCs w:val="0"/>
          <w:color w:val="auto"/>
          <w:szCs w:val="24"/>
        </w:rPr>
        <w:t>.1.</w:t>
      </w:r>
      <w:r>
        <w:rPr>
          <w:rFonts w:hint="eastAsia"/>
          <w:b/>
          <w:bCs w:val="0"/>
          <w:color w:val="auto"/>
          <w:szCs w:val="24"/>
        </w:rPr>
        <w:t>6</w:t>
      </w:r>
      <w:r>
        <w:rPr>
          <w:rFonts w:hint="eastAsia"/>
          <w:color w:val="auto"/>
          <w:szCs w:val="24"/>
        </w:rPr>
        <w:t xml:space="preserve">  </w:t>
      </w:r>
      <w:r>
        <w:rPr>
          <w:color w:val="auto"/>
          <w:szCs w:val="24"/>
        </w:rPr>
        <w:t>现场</w:t>
      </w:r>
      <w:r>
        <w:rPr>
          <w:rFonts w:hint="eastAsia"/>
          <w:color w:val="auto"/>
          <w:szCs w:val="24"/>
        </w:rPr>
        <w:t>施工用电设施设备安装、检查、维保、检验试验、拆除作业</w:t>
      </w:r>
      <w:r>
        <w:rPr>
          <w:color w:val="auto"/>
          <w:szCs w:val="24"/>
        </w:rPr>
        <w:t>应</w:t>
      </w:r>
      <w:r>
        <w:rPr>
          <w:rFonts w:hint="eastAsia"/>
          <w:color w:val="auto"/>
          <w:szCs w:val="24"/>
        </w:rPr>
        <w:t>由</w:t>
      </w:r>
      <w:bookmarkStart w:id="137" w:name="_Hlk203121722"/>
      <w:r>
        <w:rPr>
          <w:rFonts w:hint="eastAsia"/>
          <w:color w:val="auto"/>
          <w:szCs w:val="24"/>
        </w:rPr>
        <w:t>建筑</w:t>
      </w:r>
      <w:r>
        <w:rPr>
          <w:color w:val="auto"/>
          <w:szCs w:val="24"/>
        </w:rPr>
        <w:t>电工</w:t>
      </w:r>
      <w:bookmarkEnd w:id="137"/>
      <w:r>
        <w:rPr>
          <w:rFonts w:hint="eastAsia"/>
          <w:color w:val="auto"/>
          <w:szCs w:val="24"/>
        </w:rPr>
        <w:t>实施，并设专人</w:t>
      </w:r>
      <w:bookmarkEnd w:id="135"/>
      <w:r>
        <w:rPr>
          <w:rFonts w:hint="eastAsia"/>
          <w:color w:val="auto"/>
          <w:szCs w:val="24"/>
        </w:rPr>
        <w:t>监护。</w:t>
      </w:r>
      <w:bookmarkEnd w:id="136"/>
    </w:p>
    <w:p w14:paraId="1434DAA4">
      <w:pPr>
        <w:pStyle w:val="35"/>
        <w:spacing w:before="120" w:line="360" w:lineRule="auto"/>
        <w:rPr>
          <w:color w:val="auto"/>
          <w:szCs w:val="24"/>
        </w:rPr>
      </w:pPr>
      <w:r>
        <w:rPr>
          <w:rFonts w:hint="eastAsia"/>
          <w:b/>
          <w:bCs w:val="0"/>
          <w:color w:val="auto"/>
          <w:szCs w:val="24"/>
        </w:rPr>
        <w:t>6</w:t>
      </w:r>
      <w:r>
        <w:rPr>
          <w:b/>
          <w:bCs w:val="0"/>
          <w:color w:val="auto"/>
          <w:szCs w:val="24"/>
        </w:rPr>
        <w:t>.1.</w:t>
      </w:r>
      <w:r>
        <w:rPr>
          <w:rFonts w:hint="eastAsia"/>
          <w:b/>
          <w:bCs w:val="0"/>
          <w:color w:val="auto"/>
          <w:szCs w:val="24"/>
        </w:rPr>
        <w:t>7</w:t>
      </w:r>
      <w:r>
        <w:rPr>
          <w:rFonts w:hint="eastAsia"/>
          <w:color w:val="auto"/>
          <w:szCs w:val="24"/>
        </w:rPr>
        <w:t xml:space="preserve">  </w:t>
      </w:r>
      <w:r>
        <w:rPr>
          <w:color w:val="auto"/>
          <w:szCs w:val="24"/>
        </w:rPr>
        <w:t>施工用电工程安装、拆除等作业前，应对</w:t>
      </w:r>
      <w:r>
        <w:rPr>
          <w:rFonts w:hint="eastAsia"/>
          <w:color w:val="auto"/>
          <w:szCs w:val="24"/>
        </w:rPr>
        <w:t>相关</w:t>
      </w:r>
      <w:r>
        <w:rPr>
          <w:color w:val="auto"/>
          <w:szCs w:val="24"/>
        </w:rPr>
        <w:t>作业人员进行</w:t>
      </w:r>
      <w:r>
        <w:rPr>
          <w:rFonts w:hint="eastAsia"/>
          <w:color w:val="auto"/>
          <w:szCs w:val="24"/>
        </w:rPr>
        <w:t>施工用电工程方案、施工用电安全技术</w:t>
      </w:r>
      <w:r>
        <w:rPr>
          <w:color w:val="auto"/>
          <w:szCs w:val="24"/>
        </w:rPr>
        <w:t>及分项工程安全技术交底</w:t>
      </w:r>
      <w:r>
        <w:rPr>
          <w:rFonts w:hint="eastAsia"/>
          <w:color w:val="auto"/>
          <w:szCs w:val="24"/>
        </w:rPr>
        <w:t>，并形成书面记录；交底人、被交底人应逐一签字，交底记录表格式可参考附录A中表A.0.1 安全技术交底记录表。</w:t>
      </w:r>
    </w:p>
    <w:p w14:paraId="4AB47502">
      <w:pPr>
        <w:pStyle w:val="35"/>
        <w:spacing w:before="120" w:line="360" w:lineRule="auto"/>
        <w:rPr>
          <w:color w:val="auto"/>
          <w:szCs w:val="24"/>
        </w:rPr>
      </w:pPr>
      <w:r>
        <w:rPr>
          <w:rFonts w:hint="eastAsia"/>
          <w:b/>
          <w:bCs w:val="0"/>
          <w:color w:val="auto"/>
          <w:szCs w:val="24"/>
        </w:rPr>
        <w:t>6.1.8</w:t>
      </w:r>
      <w:r>
        <w:rPr>
          <w:rFonts w:hint="eastAsia"/>
          <w:color w:val="auto"/>
          <w:szCs w:val="24"/>
        </w:rPr>
        <w:t xml:space="preserve">  施工用电工程实施应严格执行</w:t>
      </w:r>
      <w:r>
        <w:rPr>
          <w:color w:val="auto"/>
          <w:szCs w:val="24"/>
        </w:rPr>
        <w:t>批准</w:t>
      </w:r>
      <w:r>
        <w:rPr>
          <w:rFonts w:hint="eastAsia"/>
          <w:color w:val="auto"/>
          <w:szCs w:val="24"/>
        </w:rPr>
        <w:t>的施工用电工程方案或施工用电安全技术措施的有关规定。</w:t>
      </w:r>
    </w:p>
    <w:p w14:paraId="07F9A6BF">
      <w:pPr>
        <w:pStyle w:val="35"/>
        <w:spacing w:before="120" w:line="360" w:lineRule="auto"/>
        <w:rPr>
          <w:color w:val="auto"/>
          <w:szCs w:val="24"/>
        </w:rPr>
      </w:pPr>
      <w:r>
        <w:rPr>
          <w:rFonts w:hint="eastAsia"/>
          <w:b/>
          <w:bCs w:val="0"/>
          <w:color w:val="auto"/>
          <w:szCs w:val="24"/>
        </w:rPr>
        <w:t>6</w:t>
      </w:r>
      <w:r>
        <w:rPr>
          <w:b/>
          <w:bCs w:val="0"/>
          <w:color w:val="auto"/>
          <w:szCs w:val="24"/>
        </w:rPr>
        <w:t>.1.</w:t>
      </w:r>
      <w:bookmarkEnd w:id="133"/>
      <w:r>
        <w:rPr>
          <w:rFonts w:hint="eastAsia"/>
          <w:b/>
          <w:bCs w:val="0"/>
          <w:color w:val="auto"/>
          <w:szCs w:val="24"/>
        </w:rPr>
        <w:t>9</w:t>
      </w:r>
      <w:r>
        <w:rPr>
          <w:rFonts w:hint="eastAsia"/>
          <w:color w:val="auto"/>
          <w:szCs w:val="24"/>
        </w:rPr>
        <w:t xml:space="preserve">  </w:t>
      </w:r>
      <w:r>
        <w:rPr>
          <w:color w:val="auto"/>
          <w:szCs w:val="24"/>
        </w:rPr>
        <w:t>施工用电设施设备及装置安装后，应</w:t>
      </w:r>
      <w:r>
        <w:rPr>
          <w:rFonts w:hint="eastAsia"/>
          <w:color w:val="auto"/>
          <w:szCs w:val="24"/>
        </w:rPr>
        <w:t>按分项工程分别</w:t>
      </w:r>
      <w:r>
        <w:rPr>
          <w:color w:val="auto"/>
          <w:szCs w:val="24"/>
        </w:rPr>
        <w:t>验收</w:t>
      </w:r>
      <w:r>
        <w:rPr>
          <w:rFonts w:hint="eastAsia"/>
          <w:color w:val="auto"/>
          <w:szCs w:val="24"/>
        </w:rPr>
        <w:t>，</w:t>
      </w:r>
      <w:r>
        <w:rPr>
          <w:color w:val="auto"/>
          <w:szCs w:val="24"/>
        </w:rPr>
        <w:t>合格后方可投入使用。</w:t>
      </w:r>
    </w:p>
    <w:p w14:paraId="0F7E98C6">
      <w:pPr>
        <w:pStyle w:val="35"/>
        <w:spacing w:before="120" w:line="360" w:lineRule="auto"/>
        <w:rPr>
          <w:color w:val="auto"/>
          <w:szCs w:val="24"/>
        </w:rPr>
      </w:pPr>
      <w:r>
        <w:rPr>
          <w:rFonts w:hint="eastAsia"/>
          <w:b/>
          <w:bCs w:val="0"/>
          <w:color w:val="auto"/>
          <w:szCs w:val="24"/>
        </w:rPr>
        <w:t>6</w:t>
      </w:r>
      <w:r>
        <w:rPr>
          <w:b/>
          <w:bCs w:val="0"/>
          <w:color w:val="auto"/>
          <w:szCs w:val="24"/>
        </w:rPr>
        <w:t>.</w:t>
      </w:r>
      <w:r>
        <w:rPr>
          <w:rFonts w:hint="eastAsia"/>
          <w:b/>
          <w:bCs w:val="0"/>
          <w:color w:val="auto"/>
          <w:szCs w:val="24"/>
        </w:rPr>
        <w:t>1</w:t>
      </w:r>
      <w:r>
        <w:rPr>
          <w:b/>
          <w:bCs w:val="0"/>
          <w:color w:val="auto"/>
          <w:szCs w:val="24"/>
        </w:rPr>
        <w:t>.</w:t>
      </w:r>
      <w:r>
        <w:rPr>
          <w:rFonts w:hint="eastAsia"/>
          <w:b/>
          <w:bCs w:val="0"/>
          <w:color w:val="auto"/>
          <w:szCs w:val="24"/>
        </w:rPr>
        <w:t>10</w:t>
      </w:r>
      <w:r>
        <w:rPr>
          <w:rFonts w:hint="eastAsia"/>
          <w:color w:val="auto"/>
          <w:szCs w:val="24"/>
        </w:rPr>
        <w:t xml:space="preserve">  </w:t>
      </w:r>
      <w:r>
        <w:rPr>
          <w:color w:val="auto"/>
          <w:szCs w:val="24"/>
        </w:rPr>
        <w:t>雷</w:t>
      </w:r>
      <w:r>
        <w:rPr>
          <w:rFonts w:hint="eastAsia"/>
          <w:color w:val="auto"/>
          <w:szCs w:val="24"/>
        </w:rPr>
        <w:t>雨</w:t>
      </w:r>
      <w:r>
        <w:rPr>
          <w:color w:val="auto"/>
          <w:szCs w:val="24"/>
        </w:rPr>
        <w:t>天气</w:t>
      </w:r>
      <w:r>
        <w:rPr>
          <w:rFonts w:hint="eastAsia"/>
          <w:color w:val="auto"/>
          <w:szCs w:val="24"/>
        </w:rPr>
        <w:t>应停止作业；</w:t>
      </w:r>
      <w:r>
        <w:rPr>
          <w:color w:val="auto"/>
          <w:szCs w:val="24"/>
        </w:rPr>
        <w:t>作业人员应远离</w:t>
      </w:r>
      <w:r>
        <w:rPr>
          <w:rFonts w:hint="eastAsia"/>
          <w:color w:val="auto"/>
          <w:szCs w:val="24"/>
        </w:rPr>
        <w:t xml:space="preserve">防雷引下线等防雷装置。 </w:t>
      </w:r>
    </w:p>
    <w:p w14:paraId="06B79DEE">
      <w:pPr>
        <w:pStyle w:val="35"/>
        <w:spacing w:before="120" w:line="360" w:lineRule="auto"/>
        <w:rPr>
          <w:color w:val="auto"/>
          <w:szCs w:val="24"/>
        </w:rPr>
      </w:pPr>
      <w:r>
        <w:rPr>
          <w:rFonts w:hint="eastAsia"/>
          <w:b/>
          <w:bCs w:val="0"/>
          <w:color w:val="auto"/>
          <w:szCs w:val="24"/>
        </w:rPr>
        <w:t>6</w:t>
      </w:r>
      <w:r>
        <w:rPr>
          <w:b/>
          <w:bCs w:val="0"/>
          <w:color w:val="auto"/>
          <w:szCs w:val="24"/>
        </w:rPr>
        <w:t>.1.</w:t>
      </w:r>
      <w:r>
        <w:rPr>
          <w:rFonts w:hint="eastAsia"/>
          <w:b/>
          <w:bCs w:val="0"/>
          <w:color w:val="auto"/>
          <w:szCs w:val="24"/>
        </w:rPr>
        <w:t>11</w:t>
      </w:r>
      <w:r>
        <w:rPr>
          <w:rFonts w:hint="eastAsia"/>
          <w:color w:val="auto"/>
          <w:szCs w:val="24"/>
        </w:rPr>
        <w:t xml:space="preserve">  </w:t>
      </w:r>
      <w:r>
        <w:rPr>
          <w:color w:val="auto"/>
          <w:szCs w:val="24"/>
        </w:rPr>
        <w:t>施工用电设施设备及装置应定期进行巡检及检验并记录，见附录A</w:t>
      </w:r>
      <w:r>
        <w:rPr>
          <w:rFonts w:hint="eastAsia"/>
          <w:color w:val="auto"/>
          <w:szCs w:val="24"/>
        </w:rPr>
        <w:t>、表A.0.2建筑</w:t>
      </w:r>
      <w:r>
        <w:rPr>
          <w:color w:val="auto"/>
          <w:szCs w:val="24"/>
        </w:rPr>
        <w:t>电工巡检记录。</w:t>
      </w:r>
    </w:p>
    <w:bookmarkEnd w:id="132"/>
    <w:p w14:paraId="4D325734">
      <w:pPr>
        <w:pStyle w:val="39"/>
        <w:spacing w:before="120" w:after="120" w:line="360" w:lineRule="auto"/>
        <w:jc w:val="both"/>
        <w:outlineLvl w:val="9"/>
        <w:rPr>
          <w:rFonts w:hint="default" w:ascii="Times New Roman" w:hAnsi="Times New Roman"/>
          <w:sz w:val="24"/>
          <w:szCs w:val="24"/>
        </w:rPr>
      </w:pPr>
      <w:bookmarkStart w:id="138" w:name="_Toc13603"/>
      <w:bookmarkStart w:id="139" w:name="_Toc8675"/>
      <w:bookmarkStart w:id="140" w:name="_Toc21114"/>
      <w:bookmarkStart w:id="141" w:name="_Toc31230"/>
      <w:bookmarkStart w:id="142" w:name="_Toc25083"/>
      <w:r>
        <w:rPr>
          <w:rFonts w:ascii="Times New Roman" w:hAnsi="Times New Roman" w:cs="Times New Roman"/>
          <w:b/>
          <w:bCs/>
          <w:sz w:val="24"/>
          <w:szCs w:val="24"/>
        </w:rPr>
        <w:t>6</w:t>
      </w:r>
      <w:r>
        <w:rPr>
          <w:rFonts w:hint="default" w:ascii="Times New Roman" w:hAnsi="Times New Roman" w:cs="Times New Roman"/>
          <w:b/>
          <w:bCs/>
          <w:sz w:val="24"/>
          <w:szCs w:val="24"/>
        </w:rPr>
        <w:t>.</w:t>
      </w:r>
      <w:r>
        <w:rPr>
          <w:rFonts w:ascii="Times New Roman" w:hAnsi="Times New Roman" w:cs="Times New Roman"/>
          <w:b/>
          <w:bCs/>
          <w:sz w:val="24"/>
          <w:szCs w:val="24"/>
        </w:rPr>
        <w:t>1.12</w:t>
      </w:r>
      <w:r>
        <w:rPr>
          <w:b/>
          <w:bCs/>
          <w:sz w:val="24"/>
          <w:szCs w:val="24"/>
        </w:rPr>
        <w:t xml:space="preserve"> </w:t>
      </w:r>
      <w:bookmarkStart w:id="143" w:name="OLE_LINK3"/>
      <w:r>
        <w:rPr>
          <w:rFonts w:hint="default" w:ascii="Times New Roman" w:hAnsi="Times New Roman" w:eastAsia="宋体" w:cs="Times New Roman"/>
          <w:bCs/>
          <w:kern w:val="0"/>
          <w:sz w:val="24"/>
          <w:szCs w:val="24"/>
        </w:rPr>
        <w:t>施工用电工程方案</w:t>
      </w:r>
      <w:bookmarkEnd w:id="138"/>
      <w:bookmarkEnd w:id="139"/>
      <w:bookmarkEnd w:id="140"/>
      <w:bookmarkEnd w:id="141"/>
      <w:bookmarkEnd w:id="142"/>
      <w:bookmarkEnd w:id="143"/>
      <w:r>
        <w:rPr>
          <w:rFonts w:ascii="Times New Roman" w:hAnsi="Times New Roman" w:eastAsia="宋体" w:cs="Times New Roman"/>
          <w:bCs/>
          <w:kern w:val="0"/>
          <w:sz w:val="24"/>
          <w:szCs w:val="24"/>
        </w:rPr>
        <w:t>应符合下列规定：</w:t>
      </w:r>
    </w:p>
    <w:p w14:paraId="1F483205">
      <w:pPr>
        <w:pStyle w:val="35"/>
        <w:spacing w:before="120" w:line="360" w:lineRule="auto"/>
        <w:ind w:firstLine="482" w:firstLineChars="200"/>
        <w:rPr>
          <w:color w:val="auto"/>
          <w:szCs w:val="24"/>
        </w:rPr>
      </w:pPr>
      <w:bookmarkStart w:id="144" w:name="OLE_LINK58"/>
      <w:r>
        <w:rPr>
          <w:b/>
          <w:bCs w:val="0"/>
          <w:color w:val="auto"/>
          <w:szCs w:val="24"/>
        </w:rPr>
        <w:t>1</w:t>
      </w:r>
      <w:r>
        <w:rPr>
          <w:color w:val="auto"/>
          <w:szCs w:val="24"/>
        </w:rPr>
        <w:t xml:space="preserve"> 施工用电工程</w:t>
      </w:r>
      <w:r>
        <w:rPr>
          <w:rFonts w:hint="eastAsia"/>
          <w:color w:val="auto"/>
          <w:szCs w:val="24"/>
        </w:rPr>
        <w:t>用电设备在5台及以上或用电设备总容量在50kW及以上，应</w:t>
      </w:r>
      <w:r>
        <w:rPr>
          <w:color w:val="auto"/>
          <w:szCs w:val="24"/>
        </w:rPr>
        <w:t>编制</w:t>
      </w:r>
      <w:bookmarkStart w:id="145" w:name="OLE_LINK107"/>
      <w:bookmarkStart w:id="146" w:name="OLE_LINK106"/>
      <w:bookmarkStart w:id="147" w:name="OLE_LINK105"/>
      <w:r>
        <w:rPr>
          <w:color w:val="auto"/>
          <w:szCs w:val="24"/>
        </w:rPr>
        <w:t>施工用电工程</w:t>
      </w:r>
      <w:bookmarkStart w:id="148" w:name="_Hlk195537725"/>
      <w:r>
        <w:rPr>
          <w:color w:val="auto"/>
          <w:szCs w:val="24"/>
        </w:rPr>
        <w:t>方案</w:t>
      </w:r>
      <w:bookmarkEnd w:id="145"/>
      <w:bookmarkEnd w:id="146"/>
      <w:bookmarkEnd w:id="147"/>
      <w:bookmarkStart w:id="149" w:name="_Hlk195538165"/>
      <w:r>
        <w:rPr>
          <w:rFonts w:hint="eastAsia"/>
          <w:color w:val="auto"/>
          <w:szCs w:val="24"/>
        </w:rPr>
        <w:t>。</w:t>
      </w:r>
      <w:r>
        <w:rPr>
          <w:color w:val="auto"/>
          <w:szCs w:val="24"/>
        </w:rPr>
        <w:t>施工用电工程</w:t>
      </w:r>
      <w:r>
        <w:rPr>
          <w:rFonts w:hint="eastAsia"/>
          <w:color w:val="auto"/>
          <w:szCs w:val="24"/>
        </w:rPr>
        <w:t>用电设备少于5台或用电设备总容量低于50kW，应制定施工用电安全技术及防火措施</w:t>
      </w:r>
      <w:bookmarkEnd w:id="144"/>
      <w:bookmarkEnd w:id="148"/>
      <w:bookmarkEnd w:id="149"/>
      <w:r>
        <w:rPr>
          <w:rFonts w:hint="eastAsia"/>
          <w:color w:val="auto"/>
          <w:szCs w:val="24"/>
        </w:rPr>
        <w:t>；</w:t>
      </w:r>
    </w:p>
    <w:p w14:paraId="2FB3B246">
      <w:pPr>
        <w:pStyle w:val="35"/>
        <w:spacing w:before="120" w:line="360" w:lineRule="auto"/>
        <w:ind w:firstLine="482" w:firstLineChars="200"/>
        <w:rPr>
          <w:bCs w:val="0"/>
          <w:color w:val="auto"/>
          <w:szCs w:val="24"/>
        </w:rPr>
      </w:pPr>
      <w:bookmarkStart w:id="150" w:name="OLE_LINK28"/>
      <w:bookmarkStart w:id="151" w:name="OLE_LINK60"/>
      <w:bookmarkStart w:id="152" w:name="OLE_LINK67"/>
      <w:r>
        <w:rPr>
          <w:rFonts w:hint="eastAsia"/>
          <w:b/>
          <w:bCs w:val="0"/>
          <w:color w:val="auto"/>
          <w:szCs w:val="24"/>
        </w:rPr>
        <w:t>2</w:t>
      </w:r>
      <w:r>
        <w:rPr>
          <w:color w:val="auto"/>
          <w:szCs w:val="24"/>
        </w:rPr>
        <w:t xml:space="preserve"> 施工用电工程方案包括下列内容：</w:t>
      </w:r>
    </w:p>
    <w:bookmarkEnd w:id="150"/>
    <w:bookmarkEnd w:id="151"/>
    <w:p w14:paraId="1BCAF3B6">
      <w:pPr>
        <w:pStyle w:val="37"/>
        <w:spacing w:before="120" w:line="360" w:lineRule="auto"/>
        <w:rPr>
          <w:color w:val="auto"/>
          <w:sz w:val="24"/>
          <w:szCs w:val="24"/>
        </w:rPr>
      </w:pPr>
      <w:r>
        <w:rPr>
          <w:b/>
          <w:bCs w:val="0"/>
          <w:color w:val="auto"/>
          <w:sz w:val="24"/>
          <w:szCs w:val="24"/>
        </w:rPr>
        <w:t>1</w:t>
      </w:r>
      <w:r>
        <w:rPr>
          <w:rFonts w:hint="eastAsia"/>
          <w:b/>
          <w:bCs w:val="0"/>
          <w:color w:val="auto"/>
          <w:sz w:val="24"/>
          <w:szCs w:val="24"/>
        </w:rPr>
        <w:t xml:space="preserve">） </w:t>
      </w:r>
      <w:r>
        <w:rPr>
          <w:color w:val="auto"/>
          <w:sz w:val="24"/>
          <w:szCs w:val="24"/>
        </w:rPr>
        <w:t>工程概况</w:t>
      </w:r>
      <w:r>
        <w:rPr>
          <w:rFonts w:hint="eastAsia"/>
          <w:color w:val="auto"/>
          <w:sz w:val="24"/>
          <w:szCs w:val="24"/>
        </w:rPr>
        <w:t>；</w:t>
      </w:r>
    </w:p>
    <w:p w14:paraId="53F43D25">
      <w:pPr>
        <w:pStyle w:val="37"/>
        <w:spacing w:before="120" w:line="360" w:lineRule="auto"/>
        <w:rPr>
          <w:color w:val="auto"/>
          <w:sz w:val="24"/>
          <w:szCs w:val="24"/>
        </w:rPr>
      </w:pPr>
      <w:r>
        <w:rPr>
          <w:b/>
          <w:bCs w:val="0"/>
          <w:color w:val="auto"/>
          <w:sz w:val="24"/>
          <w:szCs w:val="24"/>
        </w:rPr>
        <w:t>2</w:t>
      </w:r>
      <w:r>
        <w:rPr>
          <w:rFonts w:hint="eastAsia"/>
          <w:b/>
          <w:bCs w:val="0"/>
          <w:color w:val="auto"/>
          <w:sz w:val="24"/>
          <w:szCs w:val="24"/>
        </w:rPr>
        <w:t>）</w:t>
      </w:r>
      <w:r>
        <w:rPr>
          <w:color w:val="auto"/>
          <w:sz w:val="24"/>
          <w:szCs w:val="24"/>
        </w:rPr>
        <w:t xml:space="preserve"> 编制依据</w:t>
      </w:r>
      <w:r>
        <w:rPr>
          <w:rFonts w:hint="eastAsia"/>
          <w:color w:val="auto"/>
          <w:sz w:val="24"/>
          <w:szCs w:val="24"/>
        </w:rPr>
        <w:t>；</w:t>
      </w:r>
    </w:p>
    <w:p w14:paraId="5BDA9ED7">
      <w:pPr>
        <w:pStyle w:val="37"/>
        <w:spacing w:before="120" w:line="360" w:lineRule="auto"/>
        <w:rPr>
          <w:color w:val="auto"/>
          <w:sz w:val="24"/>
          <w:szCs w:val="24"/>
        </w:rPr>
      </w:pPr>
      <w:bookmarkStart w:id="153" w:name="OLE_LINK69"/>
      <w:bookmarkStart w:id="154" w:name="OLE_LINK68"/>
      <w:r>
        <w:rPr>
          <w:b/>
          <w:bCs w:val="0"/>
          <w:color w:val="auto"/>
          <w:sz w:val="24"/>
          <w:szCs w:val="24"/>
        </w:rPr>
        <w:t>3</w:t>
      </w:r>
      <w:r>
        <w:rPr>
          <w:rFonts w:hint="eastAsia"/>
          <w:b/>
          <w:bCs w:val="0"/>
          <w:color w:val="auto"/>
          <w:sz w:val="24"/>
          <w:szCs w:val="24"/>
        </w:rPr>
        <w:t xml:space="preserve">） </w:t>
      </w:r>
      <w:r>
        <w:rPr>
          <w:color w:val="auto"/>
          <w:sz w:val="24"/>
          <w:szCs w:val="24"/>
        </w:rPr>
        <w:t>施工用电组织管理</w:t>
      </w:r>
      <w:r>
        <w:rPr>
          <w:rFonts w:hint="eastAsia"/>
          <w:color w:val="auto"/>
          <w:sz w:val="24"/>
          <w:szCs w:val="24"/>
        </w:rPr>
        <w:t>；</w:t>
      </w:r>
    </w:p>
    <w:p w14:paraId="6D0C753F">
      <w:pPr>
        <w:pStyle w:val="37"/>
        <w:spacing w:before="120" w:line="360" w:lineRule="auto"/>
        <w:rPr>
          <w:color w:val="auto"/>
          <w:sz w:val="24"/>
          <w:szCs w:val="24"/>
        </w:rPr>
      </w:pPr>
      <w:r>
        <w:rPr>
          <w:b/>
          <w:bCs w:val="0"/>
          <w:color w:val="auto"/>
          <w:sz w:val="24"/>
          <w:szCs w:val="24"/>
        </w:rPr>
        <w:t>4</w:t>
      </w:r>
      <w:r>
        <w:rPr>
          <w:rFonts w:hint="eastAsia"/>
          <w:b/>
          <w:bCs w:val="0"/>
          <w:color w:val="auto"/>
          <w:sz w:val="24"/>
          <w:szCs w:val="24"/>
        </w:rPr>
        <w:t xml:space="preserve">） </w:t>
      </w:r>
      <w:r>
        <w:rPr>
          <w:color w:val="auto"/>
          <w:sz w:val="24"/>
          <w:szCs w:val="24"/>
        </w:rPr>
        <w:t>负荷统计及计算</w:t>
      </w:r>
      <w:bookmarkEnd w:id="153"/>
      <w:bookmarkEnd w:id="154"/>
      <w:r>
        <w:rPr>
          <w:color w:val="auto"/>
          <w:sz w:val="24"/>
          <w:szCs w:val="24"/>
        </w:rPr>
        <w:t>（校核）</w:t>
      </w:r>
      <w:r>
        <w:rPr>
          <w:rFonts w:hint="eastAsia"/>
          <w:color w:val="auto"/>
          <w:sz w:val="24"/>
          <w:szCs w:val="24"/>
        </w:rPr>
        <w:t>；</w:t>
      </w:r>
    </w:p>
    <w:p w14:paraId="11FAD53F">
      <w:pPr>
        <w:pStyle w:val="37"/>
        <w:spacing w:before="120" w:line="360" w:lineRule="auto"/>
        <w:rPr>
          <w:color w:val="auto"/>
          <w:sz w:val="24"/>
          <w:szCs w:val="24"/>
        </w:rPr>
      </w:pPr>
      <w:r>
        <w:rPr>
          <w:b/>
          <w:bCs w:val="0"/>
          <w:color w:val="auto"/>
          <w:sz w:val="24"/>
          <w:szCs w:val="24"/>
        </w:rPr>
        <w:t>5</w:t>
      </w:r>
      <w:r>
        <w:rPr>
          <w:rFonts w:hint="eastAsia"/>
          <w:b/>
          <w:bCs w:val="0"/>
          <w:color w:val="auto"/>
          <w:sz w:val="24"/>
          <w:szCs w:val="24"/>
        </w:rPr>
        <w:t xml:space="preserve">） </w:t>
      </w:r>
      <w:r>
        <w:rPr>
          <w:color w:val="auto"/>
          <w:sz w:val="24"/>
          <w:szCs w:val="24"/>
        </w:rPr>
        <w:t>选择变压器</w:t>
      </w:r>
      <w:r>
        <w:rPr>
          <w:rFonts w:hint="eastAsia"/>
          <w:color w:val="auto"/>
          <w:sz w:val="24"/>
          <w:szCs w:val="24"/>
        </w:rPr>
        <w:t>；</w:t>
      </w:r>
    </w:p>
    <w:p w14:paraId="5ED37FF7">
      <w:pPr>
        <w:pStyle w:val="37"/>
        <w:spacing w:before="120" w:line="360" w:lineRule="auto"/>
        <w:rPr>
          <w:color w:val="auto"/>
          <w:sz w:val="24"/>
          <w:szCs w:val="24"/>
        </w:rPr>
      </w:pPr>
      <w:bookmarkStart w:id="155" w:name="OLE_LINK62"/>
      <w:bookmarkStart w:id="156" w:name="OLE_LINK61"/>
      <w:r>
        <w:rPr>
          <w:b/>
          <w:bCs w:val="0"/>
          <w:color w:val="auto"/>
          <w:sz w:val="24"/>
          <w:szCs w:val="24"/>
        </w:rPr>
        <w:t>6</w:t>
      </w:r>
      <w:r>
        <w:rPr>
          <w:rFonts w:hint="eastAsia"/>
          <w:b/>
          <w:bCs w:val="0"/>
          <w:color w:val="auto"/>
          <w:sz w:val="24"/>
          <w:szCs w:val="24"/>
        </w:rPr>
        <w:t xml:space="preserve">） </w:t>
      </w:r>
      <w:r>
        <w:rPr>
          <w:color w:val="auto"/>
          <w:sz w:val="24"/>
          <w:szCs w:val="24"/>
        </w:rPr>
        <w:t>供、配、用电系统设计及安装</w:t>
      </w:r>
      <w:bookmarkEnd w:id="155"/>
      <w:bookmarkEnd w:id="156"/>
      <w:bookmarkStart w:id="157" w:name="_Hlk187332846"/>
      <w:r>
        <w:rPr>
          <w:rFonts w:hint="eastAsia"/>
          <w:color w:val="auto"/>
          <w:sz w:val="24"/>
          <w:szCs w:val="24"/>
        </w:rPr>
        <w:t>，</w:t>
      </w:r>
      <w:r>
        <w:rPr>
          <w:color w:val="auto"/>
          <w:sz w:val="24"/>
          <w:szCs w:val="24"/>
        </w:rPr>
        <w:t>供、配</w:t>
      </w:r>
      <w:bookmarkEnd w:id="157"/>
      <w:r>
        <w:rPr>
          <w:color w:val="auto"/>
          <w:sz w:val="24"/>
          <w:szCs w:val="24"/>
        </w:rPr>
        <w:t>电系统</w:t>
      </w:r>
      <w:bookmarkStart w:id="158" w:name="OLE_LINK27"/>
      <w:r>
        <w:rPr>
          <w:color w:val="auto"/>
          <w:sz w:val="24"/>
          <w:szCs w:val="24"/>
        </w:rPr>
        <w:t>及装置</w:t>
      </w:r>
      <w:bookmarkEnd w:id="158"/>
      <w:r>
        <w:rPr>
          <w:rFonts w:hint="eastAsia"/>
          <w:color w:val="auto"/>
          <w:sz w:val="24"/>
          <w:szCs w:val="24"/>
        </w:rPr>
        <w:t>，</w:t>
      </w:r>
      <w:r>
        <w:rPr>
          <w:color w:val="auto"/>
          <w:sz w:val="24"/>
          <w:szCs w:val="24"/>
        </w:rPr>
        <w:t>布线系统</w:t>
      </w:r>
      <w:r>
        <w:rPr>
          <w:rFonts w:hint="eastAsia"/>
          <w:color w:val="auto"/>
          <w:sz w:val="24"/>
          <w:szCs w:val="24"/>
        </w:rPr>
        <w:t>，</w:t>
      </w:r>
      <w:r>
        <w:rPr>
          <w:color w:val="auto"/>
          <w:sz w:val="24"/>
          <w:szCs w:val="24"/>
        </w:rPr>
        <w:t>用电设施设备</w:t>
      </w:r>
      <w:r>
        <w:rPr>
          <w:rFonts w:hint="eastAsia"/>
          <w:color w:val="auto"/>
          <w:sz w:val="24"/>
          <w:szCs w:val="24"/>
        </w:rPr>
        <w:t>，</w:t>
      </w:r>
      <w:r>
        <w:rPr>
          <w:color w:val="auto"/>
          <w:sz w:val="24"/>
          <w:szCs w:val="24"/>
        </w:rPr>
        <w:t>防雷系统</w:t>
      </w:r>
      <w:r>
        <w:rPr>
          <w:rFonts w:hint="eastAsia"/>
          <w:color w:val="auto"/>
          <w:sz w:val="24"/>
          <w:szCs w:val="24"/>
        </w:rPr>
        <w:t>；</w:t>
      </w:r>
    </w:p>
    <w:p w14:paraId="72E11BC4">
      <w:pPr>
        <w:pStyle w:val="37"/>
        <w:spacing w:before="120" w:line="360" w:lineRule="auto"/>
        <w:rPr>
          <w:color w:val="auto"/>
          <w:sz w:val="24"/>
          <w:szCs w:val="24"/>
        </w:rPr>
      </w:pPr>
      <w:r>
        <w:rPr>
          <w:rFonts w:hint="eastAsia"/>
          <w:b/>
          <w:bCs w:val="0"/>
          <w:color w:val="auto"/>
          <w:sz w:val="24"/>
          <w:szCs w:val="24"/>
        </w:rPr>
        <w:t>7）</w:t>
      </w:r>
      <w:r>
        <w:rPr>
          <w:color w:val="auto"/>
          <w:sz w:val="24"/>
          <w:szCs w:val="24"/>
        </w:rPr>
        <w:t>分部分项工程验收</w:t>
      </w:r>
      <w:r>
        <w:rPr>
          <w:rFonts w:hint="eastAsia"/>
          <w:color w:val="auto"/>
          <w:sz w:val="24"/>
          <w:szCs w:val="24"/>
        </w:rPr>
        <w:t>；</w:t>
      </w:r>
    </w:p>
    <w:p w14:paraId="40F323C4">
      <w:pPr>
        <w:pStyle w:val="37"/>
        <w:spacing w:before="120" w:line="360" w:lineRule="auto"/>
        <w:rPr>
          <w:color w:val="auto"/>
          <w:sz w:val="24"/>
          <w:szCs w:val="24"/>
        </w:rPr>
      </w:pPr>
      <w:r>
        <w:rPr>
          <w:b/>
          <w:bCs w:val="0"/>
          <w:color w:val="auto"/>
          <w:sz w:val="24"/>
          <w:szCs w:val="24"/>
        </w:rPr>
        <w:t>8</w:t>
      </w:r>
      <w:r>
        <w:rPr>
          <w:rFonts w:hint="eastAsia"/>
          <w:b/>
          <w:bCs w:val="0"/>
          <w:color w:val="auto"/>
          <w:sz w:val="24"/>
          <w:szCs w:val="24"/>
        </w:rPr>
        <w:t>）</w:t>
      </w:r>
      <w:r>
        <w:rPr>
          <w:color w:val="auto"/>
          <w:sz w:val="24"/>
          <w:szCs w:val="24"/>
        </w:rPr>
        <w:t>电气安全防护</w:t>
      </w:r>
      <w:r>
        <w:rPr>
          <w:rFonts w:hint="eastAsia"/>
          <w:color w:val="auto"/>
          <w:sz w:val="24"/>
          <w:szCs w:val="24"/>
        </w:rPr>
        <w:t>；</w:t>
      </w:r>
    </w:p>
    <w:p w14:paraId="4AAFEFE4">
      <w:pPr>
        <w:pStyle w:val="37"/>
        <w:spacing w:before="120" w:line="360" w:lineRule="auto"/>
        <w:rPr>
          <w:color w:val="auto"/>
          <w:sz w:val="24"/>
          <w:szCs w:val="24"/>
        </w:rPr>
      </w:pPr>
      <w:r>
        <w:rPr>
          <w:b/>
          <w:bCs w:val="0"/>
          <w:color w:val="auto"/>
          <w:sz w:val="24"/>
          <w:szCs w:val="24"/>
        </w:rPr>
        <w:t>9</w:t>
      </w:r>
      <w:r>
        <w:rPr>
          <w:rFonts w:hint="eastAsia"/>
          <w:b/>
          <w:bCs w:val="0"/>
          <w:color w:val="auto"/>
          <w:sz w:val="24"/>
          <w:szCs w:val="24"/>
        </w:rPr>
        <w:t>）</w:t>
      </w:r>
      <w:r>
        <w:rPr>
          <w:color w:val="auto"/>
          <w:sz w:val="24"/>
          <w:szCs w:val="24"/>
        </w:rPr>
        <w:t>电气防火</w:t>
      </w:r>
      <w:r>
        <w:rPr>
          <w:rFonts w:hint="eastAsia"/>
          <w:color w:val="auto"/>
          <w:sz w:val="24"/>
          <w:szCs w:val="24"/>
        </w:rPr>
        <w:t>；</w:t>
      </w:r>
    </w:p>
    <w:p w14:paraId="5A92E7ED">
      <w:pPr>
        <w:pStyle w:val="37"/>
        <w:spacing w:before="120" w:line="360" w:lineRule="auto"/>
        <w:rPr>
          <w:color w:val="auto"/>
          <w:sz w:val="24"/>
          <w:szCs w:val="24"/>
        </w:rPr>
      </w:pPr>
      <w:r>
        <w:rPr>
          <w:b/>
          <w:bCs w:val="0"/>
          <w:color w:val="auto"/>
          <w:sz w:val="24"/>
          <w:szCs w:val="24"/>
        </w:rPr>
        <w:t>10</w:t>
      </w:r>
      <w:r>
        <w:rPr>
          <w:rFonts w:hint="eastAsia"/>
          <w:b/>
          <w:bCs w:val="0"/>
          <w:color w:val="auto"/>
          <w:sz w:val="24"/>
          <w:szCs w:val="24"/>
        </w:rPr>
        <w:t>）</w:t>
      </w:r>
      <w:r>
        <w:rPr>
          <w:color w:val="auto"/>
          <w:sz w:val="24"/>
          <w:szCs w:val="24"/>
        </w:rPr>
        <w:t>制定季节性施工用电安全措施</w:t>
      </w:r>
      <w:r>
        <w:rPr>
          <w:rFonts w:hint="eastAsia"/>
          <w:color w:val="auto"/>
          <w:sz w:val="24"/>
          <w:szCs w:val="24"/>
        </w:rPr>
        <w:t>；</w:t>
      </w:r>
    </w:p>
    <w:p w14:paraId="50D850BB">
      <w:pPr>
        <w:pStyle w:val="37"/>
        <w:spacing w:before="120" w:line="360" w:lineRule="auto"/>
        <w:rPr>
          <w:color w:val="auto"/>
          <w:sz w:val="24"/>
          <w:szCs w:val="24"/>
        </w:rPr>
      </w:pPr>
      <w:r>
        <w:rPr>
          <w:b/>
          <w:bCs w:val="0"/>
          <w:color w:val="auto"/>
          <w:sz w:val="24"/>
          <w:szCs w:val="24"/>
        </w:rPr>
        <w:t>11</w:t>
      </w:r>
      <w:r>
        <w:rPr>
          <w:rFonts w:hint="eastAsia"/>
          <w:b/>
          <w:bCs w:val="0"/>
          <w:color w:val="auto"/>
          <w:sz w:val="24"/>
          <w:szCs w:val="24"/>
        </w:rPr>
        <w:t>）</w:t>
      </w:r>
      <w:r>
        <w:rPr>
          <w:color w:val="auto"/>
          <w:sz w:val="24"/>
          <w:szCs w:val="24"/>
        </w:rPr>
        <w:t>运行与维护</w:t>
      </w:r>
      <w:r>
        <w:rPr>
          <w:rFonts w:hint="eastAsia"/>
          <w:color w:val="auto"/>
          <w:sz w:val="24"/>
          <w:szCs w:val="24"/>
        </w:rPr>
        <w:t>；</w:t>
      </w:r>
    </w:p>
    <w:p w14:paraId="159DE36A">
      <w:pPr>
        <w:pStyle w:val="37"/>
        <w:spacing w:before="120" w:line="360" w:lineRule="auto"/>
        <w:rPr>
          <w:color w:val="auto"/>
          <w:sz w:val="24"/>
          <w:szCs w:val="24"/>
        </w:rPr>
      </w:pPr>
      <w:r>
        <w:rPr>
          <w:b/>
          <w:bCs w:val="0"/>
          <w:color w:val="auto"/>
          <w:sz w:val="24"/>
          <w:szCs w:val="24"/>
        </w:rPr>
        <w:t>12</w:t>
      </w:r>
      <w:r>
        <w:rPr>
          <w:rFonts w:hint="eastAsia"/>
          <w:b/>
          <w:bCs w:val="0"/>
          <w:color w:val="auto"/>
          <w:sz w:val="24"/>
          <w:szCs w:val="24"/>
        </w:rPr>
        <w:t>）</w:t>
      </w:r>
      <w:r>
        <w:rPr>
          <w:color w:val="auto"/>
          <w:sz w:val="24"/>
          <w:szCs w:val="24"/>
        </w:rPr>
        <w:t>施工用电设施设备拆除</w:t>
      </w:r>
      <w:r>
        <w:rPr>
          <w:rFonts w:hint="eastAsia"/>
          <w:color w:val="auto"/>
          <w:sz w:val="24"/>
          <w:szCs w:val="24"/>
        </w:rPr>
        <w:t>；</w:t>
      </w:r>
    </w:p>
    <w:p w14:paraId="652A05F0">
      <w:pPr>
        <w:pStyle w:val="37"/>
        <w:spacing w:before="120" w:line="360" w:lineRule="auto"/>
        <w:rPr>
          <w:color w:val="auto"/>
          <w:sz w:val="24"/>
          <w:szCs w:val="24"/>
        </w:rPr>
      </w:pPr>
      <w:r>
        <w:rPr>
          <w:b/>
          <w:bCs w:val="0"/>
          <w:color w:val="auto"/>
          <w:sz w:val="24"/>
          <w:szCs w:val="24"/>
        </w:rPr>
        <w:t>13</w:t>
      </w:r>
      <w:r>
        <w:rPr>
          <w:rFonts w:hint="eastAsia"/>
          <w:b/>
          <w:bCs w:val="0"/>
          <w:color w:val="auto"/>
          <w:sz w:val="24"/>
          <w:szCs w:val="24"/>
        </w:rPr>
        <w:t>）</w:t>
      </w:r>
      <w:r>
        <w:rPr>
          <w:color w:val="auto"/>
          <w:sz w:val="24"/>
          <w:szCs w:val="24"/>
        </w:rPr>
        <w:t>施工用电应急</w:t>
      </w:r>
      <w:r>
        <w:rPr>
          <w:rFonts w:hint="eastAsia"/>
          <w:color w:val="auto"/>
          <w:sz w:val="24"/>
          <w:szCs w:val="24"/>
        </w:rPr>
        <w:t>处置措施；</w:t>
      </w:r>
    </w:p>
    <w:p w14:paraId="1832BD61">
      <w:pPr>
        <w:pStyle w:val="37"/>
        <w:spacing w:before="120" w:line="360" w:lineRule="auto"/>
        <w:rPr>
          <w:color w:val="auto"/>
          <w:sz w:val="24"/>
          <w:szCs w:val="24"/>
        </w:rPr>
      </w:pPr>
      <w:r>
        <w:rPr>
          <w:b/>
          <w:bCs w:val="0"/>
          <w:color w:val="auto"/>
          <w:sz w:val="24"/>
          <w:szCs w:val="24"/>
        </w:rPr>
        <w:t>14</w:t>
      </w:r>
      <w:r>
        <w:rPr>
          <w:rFonts w:hint="eastAsia"/>
          <w:b/>
          <w:bCs w:val="0"/>
          <w:color w:val="auto"/>
          <w:sz w:val="24"/>
          <w:szCs w:val="24"/>
        </w:rPr>
        <w:t>）</w:t>
      </w:r>
      <w:r>
        <w:rPr>
          <w:color w:val="auto"/>
          <w:sz w:val="24"/>
          <w:szCs w:val="24"/>
        </w:rPr>
        <w:t>配电装置布置图、配电系统接线图、防雷系统图、现场施工用电总平面图</w:t>
      </w:r>
      <w:r>
        <w:rPr>
          <w:rFonts w:hint="eastAsia"/>
          <w:color w:val="auto"/>
          <w:sz w:val="24"/>
          <w:szCs w:val="24"/>
        </w:rPr>
        <w:t>。</w:t>
      </w:r>
    </w:p>
    <w:bookmarkEnd w:id="152"/>
    <w:p w14:paraId="6D97E902">
      <w:pPr>
        <w:pStyle w:val="35"/>
        <w:spacing w:before="120" w:line="360" w:lineRule="auto"/>
        <w:rPr>
          <w:bCs w:val="0"/>
          <w:color w:val="auto"/>
          <w:szCs w:val="24"/>
        </w:rPr>
      </w:pPr>
      <w:r>
        <w:rPr>
          <w:rFonts w:hint="eastAsia"/>
          <w:b/>
          <w:bCs w:val="0"/>
          <w:color w:val="auto"/>
          <w:szCs w:val="24"/>
        </w:rPr>
        <w:t>6.1.13</w:t>
      </w:r>
      <w:r>
        <w:rPr>
          <w:rFonts w:hint="eastAsia"/>
          <w:color w:val="auto"/>
          <w:szCs w:val="24"/>
        </w:rPr>
        <w:t xml:space="preserve">  施工用电工程方案应由施工总承包单位项目电气工程师组织编制，项目技术负责人审核；施工用电工程方案应经独立法人单位技术负责人审批、签字、加盖单位公章；项目专业监理工程师审查签字及总监理工程师审核、签字、盖执业资格印章及项目监理机构章后方可实施；</w:t>
      </w:r>
      <w:r>
        <w:rPr>
          <w:color w:val="auto"/>
          <w:szCs w:val="24"/>
        </w:rPr>
        <w:t>详见本规程附录A</w:t>
      </w:r>
      <w:r>
        <w:rPr>
          <w:rFonts w:hint="eastAsia"/>
          <w:color w:val="auto"/>
          <w:szCs w:val="24"/>
        </w:rPr>
        <w:t>、表A.0.3</w:t>
      </w:r>
      <w:r>
        <w:rPr>
          <w:color w:val="auto"/>
          <w:szCs w:val="24"/>
        </w:rPr>
        <w:t>施工用电工程方案审批表。</w:t>
      </w:r>
    </w:p>
    <w:p w14:paraId="77D2E975">
      <w:pPr>
        <w:pStyle w:val="35"/>
        <w:spacing w:before="120" w:line="360" w:lineRule="auto"/>
        <w:rPr>
          <w:color w:val="auto"/>
          <w:szCs w:val="24"/>
        </w:rPr>
      </w:pPr>
      <w:r>
        <w:rPr>
          <w:rFonts w:hint="eastAsia"/>
          <w:b/>
          <w:bCs w:val="0"/>
          <w:color w:val="auto"/>
          <w:szCs w:val="24"/>
        </w:rPr>
        <w:t>6</w:t>
      </w:r>
      <w:r>
        <w:rPr>
          <w:b/>
          <w:bCs w:val="0"/>
          <w:color w:val="auto"/>
          <w:szCs w:val="24"/>
        </w:rPr>
        <w:t>.</w:t>
      </w:r>
      <w:r>
        <w:rPr>
          <w:rFonts w:hint="eastAsia"/>
          <w:b/>
          <w:bCs w:val="0"/>
          <w:color w:val="auto"/>
          <w:szCs w:val="24"/>
        </w:rPr>
        <w:t>1</w:t>
      </w:r>
      <w:r>
        <w:rPr>
          <w:b/>
          <w:bCs w:val="0"/>
          <w:color w:val="auto"/>
          <w:szCs w:val="24"/>
        </w:rPr>
        <w:t>.</w:t>
      </w:r>
      <w:r>
        <w:rPr>
          <w:rFonts w:hint="eastAsia"/>
          <w:b/>
          <w:bCs w:val="0"/>
          <w:color w:val="auto"/>
          <w:szCs w:val="24"/>
        </w:rPr>
        <w:t>14</w:t>
      </w:r>
      <w:r>
        <w:rPr>
          <w:rFonts w:hint="eastAsia"/>
          <w:color w:val="auto"/>
          <w:szCs w:val="24"/>
        </w:rPr>
        <w:t xml:space="preserve">  施工用电工程</w:t>
      </w:r>
      <w:r>
        <w:rPr>
          <w:color w:val="auto"/>
          <w:szCs w:val="24"/>
        </w:rPr>
        <w:t>方案</w:t>
      </w:r>
      <w:r>
        <w:rPr>
          <w:rFonts w:hint="eastAsia"/>
          <w:color w:val="auto"/>
          <w:szCs w:val="24"/>
        </w:rPr>
        <w:t>发生重大</w:t>
      </w:r>
      <w:r>
        <w:rPr>
          <w:color w:val="auto"/>
          <w:szCs w:val="24"/>
        </w:rPr>
        <w:t>变更时，</w:t>
      </w:r>
      <w:r>
        <w:rPr>
          <w:rFonts w:hint="eastAsia"/>
          <w:color w:val="auto"/>
          <w:szCs w:val="24"/>
        </w:rPr>
        <w:t>应</w:t>
      </w:r>
      <w:r>
        <w:rPr>
          <w:color w:val="auto"/>
          <w:szCs w:val="24"/>
        </w:rPr>
        <w:t>补充设计</w:t>
      </w:r>
      <w:r>
        <w:rPr>
          <w:rFonts w:hint="eastAsia"/>
          <w:color w:val="auto"/>
          <w:szCs w:val="24"/>
        </w:rPr>
        <w:t>及</w:t>
      </w:r>
      <w:r>
        <w:rPr>
          <w:color w:val="auto"/>
          <w:szCs w:val="24"/>
        </w:rPr>
        <w:t>图纸资料，并重新履行</w:t>
      </w:r>
      <w:r>
        <w:rPr>
          <w:rFonts w:hint="eastAsia"/>
          <w:color w:val="auto"/>
          <w:szCs w:val="24"/>
        </w:rPr>
        <w:t>“</w:t>
      </w:r>
      <w:r>
        <w:rPr>
          <w:color w:val="auto"/>
          <w:szCs w:val="24"/>
        </w:rPr>
        <w:t>编制、审核、审批</w:t>
      </w:r>
      <w:r>
        <w:rPr>
          <w:rFonts w:hint="eastAsia"/>
          <w:color w:val="auto"/>
          <w:szCs w:val="24"/>
        </w:rPr>
        <w:t>”</w:t>
      </w:r>
      <w:r>
        <w:rPr>
          <w:color w:val="auto"/>
          <w:szCs w:val="24"/>
        </w:rPr>
        <w:t>程序。</w:t>
      </w:r>
    </w:p>
    <w:p w14:paraId="715337E5">
      <w:pPr>
        <w:pStyle w:val="39"/>
        <w:spacing w:before="120" w:after="120" w:line="360" w:lineRule="auto"/>
        <w:jc w:val="both"/>
        <w:outlineLvl w:val="9"/>
        <w:rPr>
          <w:rFonts w:hint="default" w:ascii="Times New Roman" w:hAnsi="Times New Roman"/>
          <w:sz w:val="24"/>
          <w:szCs w:val="24"/>
        </w:rPr>
      </w:pPr>
      <w:bookmarkStart w:id="159" w:name="_Hlk225434063"/>
      <w:bookmarkStart w:id="160" w:name="_Toc566"/>
      <w:bookmarkStart w:id="161" w:name="_Toc16665"/>
      <w:bookmarkStart w:id="162" w:name="_Toc28895"/>
      <w:bookmarkStart w:id="163" w:name="_Toc17207"/>
      <w:bookmarkStart w:id="164" w:name="_Toc11705"/>
      <w:r>
        <w:rPr>
          <w:rFonts w:ascii="Times New Roman" w:hAnsi="Times New Roman" w:cs="Times New Roman"/>
          <w:b/>
          <w:bCs/>
          <w:sz w:val="24"/>
          <w:szCs w:val="24"/>
        </w:rPr>
        <w:t>6.1.15</w:t>
      </w:r>
      <w:bookmarkEnd w:id="159"/>
      <w:r>
        <w:rPr>
          <w:rFonts w:ascii="Times New Roman" w:hAnsi="Times New Roman" w:cs="Times New Roman"/>
          <w:b/>
          <w:bCs/>
          <w:sz w:val="24"/>
          <w:szCs w:val="24"/>
        </w:rPr>
        <w:t xml:space="preserve">  </w:t>
      </w:r>
      <w:r>
        <w:rPr>
          <w:rFonts w:ascii="Times New Roman" w:hAnsi="Times New Roman" w:eastAsia="宋体" w:cs="Times New Roman"/>
          <w:bCs/>
          <w:kern w:val="0"/>
          <w:sz w:val="24"/>
          <w:szCs w:val="24"/>
        </w:rPr>
        <w:t>安全标识</w:t>
      </w:r>
      <w:bookmarkEnd w:id="160"/>
      <w:bookmarkEnd w:id="161"/>
      <w:bookmarkEnd w:id="162"/>
      <w:bookmarkEnd w:id="163"/>
      <w:bookmarkEnd w:id="164"/>
      <w:r>
        <w:rPr>
          <w:rFonts w:ascii="Times New Roman" w:hAnsi="Times New Roman" w:eastAsia="宋体" w:cs="Times New Roman"/>
          <w:bCs/>
          <w:kern w:val="0"/>
          <w:sz w:val="24"/>
          <w:szCs w:val="24"/>
        </w:rPr>
        <w:t>应符合下列规定：</w:t>
      </w:r>
    </w:p>
    <w:p w14:paraId="209438EA">
      <w:pPr>
        <w:pStyle w:val="35"/>
        <w:spacing w:before="120" w:line="360" w:lineRule="auto"/>
        <w:ind w:firstLine="482" w:firstLineChars="200"/>
        <w:rPr>
          <w:color w:val="auto"/>
          <w:szCs w:val="24"/>
        </w:rPr>
      </w:pPr>
      <w:r>
        <w:rPr>
          <w:b/>
          <w:bCs w:val="0"/>
          <w:color w:val="auto"/>
          <w:szCs w:val="24"/>
        </w:rPr>
        <w:t>1</w:t>
      </w:r>
      <w:r>
        <w:rPr>
          <w:color w:val="auto"/>
          <w:szCs w:val="24"/>
        </w:rPr>
        <w:t xml:space="preserve">  施工用电供、配、用设施设备应配置齐全的安全标识，安全标识应清晰醒目，不应被遮挡</w:t>
      </w:r>
      <w:r>
        <w:rPr>
          <w:rFonts w:hint="eastAsia"/>
          <w:color w:val="auto"/>
          <w:szCs w:val="24"/>
        </w:rPr>
        <w:t>；</w:t>
      </w:r>
    </w:p>
    <w:p w14:paraId="7158320F">
      <w:pPr>
        <w:pStyle w:val="35"/>
        <w:spacing w:before="120" w:line="360" w:lineRule="auto"/>
        <w:ind w:firstLine="482" w:firstLineChars="200"/>
        <w:rPr>
          <w:color w:val="auto"/>
          <w:szCs w:val="24"/>
        </w:rPr>
      </w:pPr>
      <w:bookmarkStart w:id="165" w:name="OLE_LINK29"/>
      <w:r>
        <w:rPr>
          <w:b/>
          <w:bCs w:val="0"/>
          <w:color w:val="auto"/>
          <w:szCs w:val="24"/>
        </w:rPr>
        <w:t>2</w:t>
      </w:r>
      <w:bookmarkEnd w:id="165"/>
      <w:r>
        <w:rPr>
          <w:color w:val="auto"/>
          <w:szCs w:val="24"/>
        </w:rPr>
        <w:t xml:space="preserve">  应根据用电环境、设备状态设置禁止标识、警告标识、指令标识、提示标识、文字辅助标识。</w:t>
      </w:r>
    </w:p>
    <w:p w14:paraId="5F856D79">
      <w:pPr>
        <w:pStyle w:val="39"/>
        <w:spacing w:before="120" w:after="120" w:line="360" w:lineRule="auto"/>
        <w:jc w:val="both"/>
        <w:outlineLvl w:val="9"/>
        <w:rPr>
          <w:rFonts w:eastAsia="宋体"/>
          <w:b/>
          <w:bCs/>
          <w:sz w:val="24"/>
          <w:szCs w:val="24"/>
        </w:rPr>
      </w:pPr>
      <w:bookmarkStart w:id="166" w:name="_Toc12404"/>
      <w:bookmarkStart w:id="167" w:name="_Toc18521"/>
      <w:bookmarkStart w:id="168" w:name="_Toc18533"/>
      <w:bookmarkStart w:id="169" w:name="_Toc26540"/>
      <w:bookmarkStart w:id="170" w:name="_Toc27907"/>
      <w:r>
        <w:rPr>
          <w:rFonts w:ascii="Times New Roman" w:hAnsi="Times New Roman" w:cs="Times New Roman"/>
          <w:b/>
          <w:bCs/>
          <w:sz w:val="24"/>
          <w:szCs w:val="24"/>
        </w:rPr>
        <w:t xml:space="preserve">6.1.16  </w:t>
      </w:r>
      <w:r>
        <w:rPr>
          <w:rFonts w:eastAsia="宋体"/>
          <w:sz w:val="24"/>
          <w:szCs w:val="24"/>
        </w:rPr>
        <w:t>施工用电工程资料</w:t>
      </w:r>
      <w:bookmarkEnd w:id="166"/>
      <w:bookmarkEnd w:id="167"/>
      <w:bookmarkEnd w:id="168"/>
      <w:bookmarkEnd w:id="169"/>
      <w:bookmarkEnd w:id="170"/>
      <w:r>
        <w:rPr>
          <w:rFonts w:eastAsia="宋体"/>
          <w:sz w:val="24"/>
          <w:szCs w:val="24"/>
        </w:rPr>
        <w:t>应符合下列规定：</w:t>
      </w:r>
    </w:p>
    <w:p w14:paraId="1CC596E6">
      <w:pPr>
        <w:pStyle w:val="35"/>
        <w:spacing w:before="120" w:line="360" w:lineRule="auto"/>
        <w:ind w:firstLine="482" w:firstLineChars="200"/>
        <w:rPr>
          <w:color w:val="auto"/>
          <w:szCs w:val="24"/>
        </w:rPr>
      </w:pPr>
      <w:r>
        <w:rPr>
          <w:b/>
          <w:bCs w:val="0"/>
          <w:color w:val="auto"/>
          <w:szCs w:val="24"/>
        </w:rPr>
        <w:t>1</w:t>
      </w:r>
      <w:r>
        <w:rPr>
          <w:color w:val="auto"/>
          <w:szCs w:val="24"/>
        </w:rPr>
        <w:t xml:space="preserve"> 施工用电工程资料应由现场施工用电</w:t>
      </w:r>
      <w:r>
        <w:rPr>
          <w:rFonts w:hint="eastAsia"/>
          <w:color w:val="auto"/>
          <w:szCs w:val="24"/>
        </w:rPr>
        <w:t>相关</w:t>
      </w:r>
      <w:r>
        <w:rPr>
          <w:color w:val="auto"/>
          <w:szCs w:val="24"/>
        </w:rPr>
        <w:t>管理人员负责编制、管理及归档</w:t>
      </w:r>
      <w:r>
        <w:rPr>
          <w:rFonts w:hint="eastAsia"/>
          <w:color w:val="auto"/>
          <w:szCs w:val="24"/>
        </w:rPr>
        <w:t>；</w:t>
      </w:r>
    </w:p>
    <w:p w14:paraId="633AA429">
      <w:pPr>
        <w:pStyle w:val="35"/>
        <w:spacing w:before="120" w:line="360" w:lineRule="auto"/>
        <w:ind w:firstLine="482" w:firstLineChars="200"/>
        <w:rPr>
          <w:color w:val="auto"/>
          <w:szCs w:val="24"/>
        </w:rPr>
      </w:pPr>
      <w:bookmarkStart w:id="171" w:name="_Toc25411"/>
      <w:bookmarkStart w:id="172" w:name="_Toc4212"/>
      <w:r>
        <w:rPr>
          <w:b/>
          <w:bCs w:val="0"/>
          <w:color w:val="auto"/>
          <w:szCs w:val="24"/>
        </w:rPr>
        <w:t>2</w:t>
      </w:r>
      <w:r>
        <w:rPr>
          <w:color w:val="auto"/>
          <w:szCs w:val="24"/>
        </w:rPr>
        <w:t xml:space="preserve"> 施工用电工程资料编制应及时、有效、真实</w:t>
      </w:r>
      <w:bookmarkEnd w:id="171"/>
      <w:bookmarkEnd w:id="172"/>
      <w:r>
        <w:rPr>
          <w:rFonts w:hint="eastAsia"/>
          <w:color w:val="auto"/>
          <w:szCs w:val="24"/>
        </w:rPr>
        <w:t>；</w:t>
      </w:r>
    </w:p>
    <w:p w14:paraId="5BB891FC">
      <w:pPr>
        <w:pStyle w:val="35"/>
        <w:spacing w:before="120" w:line="360" w:lineRule="auto"/>
        <w:ind w:firstLine="482" w:firstLineChars="200"/>
        <w:rPr>
          <w:color w:val="auto"/>
          <w:szCs w:val="24"/>
        </w:rPr>
      </w:pPr>
      <w:r>
        <w:rPr>
          <w:b/>
          <w:bCs w:val="0"/>
          <w:color w:val="auto"/>
          <w:szCs w:val="24"/>
        </w:rPr>
        <w:t>3</w:t>
      </w:r>
      <w:r>
        <w:rPr>
          <w:color w:val="auto"/>
          <w:szCs w:val="24"/>
        </w:rPr>
        <w:t xml:space="preserve"> 施工用电安全技术资料应包括下列内容：</w:t>
      </w:r>
    </w:p>
    <w:p w14:paraId="52C54943">
      <w:pPr>
        <w:pStyle w:val="37"/>
        <w:spacing w:before="120" w:line="360" w:lineRule="auto"/>
        <w:rPr>
          <w:bCs w:val="0"/>
          <w:color w:val="auto"/>
          <w:sz w:val="24"/>
          <w:szCs w:val="24"/>
        </w:rPr>
      </w:pPr>
      <w:r>
        <w:rPr>
          <w:b/>
          <w:color w:val="auto"/>
          <w:sz w:val="24"/>
          <w:szCs w:val="24"/>
        </w:rPr>
        <w:t>1</w:t>
      </w:r>
      <w:r>
        <w:rPr>
          <w:rFonts w:hint="eastAsia"/>
          <w:b/>
          <w:color w:val="auto"/>
          <w:sz w:val="24"/>
          <w:szCs w:val="24"/>
        </w:rPr>
        <w:t xml:space="preserve">） </w:t>
      </w:r>
      <w:r>
        <w:rPr>
          <w:bCs w:val="0"/>
          <w:color w:val="auto"/>
          <w:sz w:val="24"/>
          <w:szCs w:val="24"/>
        </w:rPr>
        <w:t>施工用电工程方案编制、审核、审批</w:t>
      </w:r>
      <w:r>
        <w:rPr>
          <w:rFonts w:hint="eastAsia"/>
          <w:bCs w:val="0"/>
          <w:color w:val="auto"/>
          <w:sz w:val="24"/>
          <w:szCs w:val="24"/>
        </w:rPr>
        <w:t>、重大变更</w:t>
      </w:r>
      <w:r>
        <w:rPr>
          <w:bCs w:val="0"/>
          <w:color w:val="auto"/>
          <w:sz w:val="24"/>
          <w:szCs w:val="24"/>
        </w:rPr>
        <w:t>的全部资料；</w:t>
      </w:r>
    </w:p>
    <w:p w14:paraId="75986B93">
      <w:pPr>
        <w:pStyle w:val="37"/>
        <w:spacing w:before="120" w:line="360" w:lineRule="auto"/>
        <w:rPr>
          <w:bCs w:val="0"/>
          <w:color w:val="auto"/>
          <w:sz w:val="24"/>
          <w:szCs w:val="24"/>
        </w:rPr>
      </w:pPr>
      <w:r>
        <w:rPr>
          <w:b/>
          <w:color w:val="auto"/>
          <w:sz w:val="24"/>
          <w:szCs w:val="24"/>
        </w:rPr>
        <w:t>2</w:t>
      </w:r>
      <w:r>
        <w:rPr>
          <w:rFonts w:hint="eastAsia"/>
          <w:b/>
          <w:color w:val="auto"/>
          <w:sz w:val="24"/>
          <w:szCs w:val="24"/>
        </w:rPr>
        <w:t xml:space="preserve">） </w:t>
      </w:r>
      <w:r>
        <w:rPr>
          <w:bCs w:val="0"/>
          <w:color w:val="auto"/>
          <w:sz w:val="24"/>
          <w:szCs w:val="24"/>
        </w:rPr>
        <w:t>现场用电工程管理制度、分包单位施工用电安全生产协议；</w:t>
      </w:r>
    </w:p>
    <w:p w14:paraId="7363D73E">
      <w:pPr>
        <w:pStyle w:val="37"/>
        <w:spacing w:before="120" w:line="360" w:lineRule="auto"/>
        <w:rPr>
          <w:bCs w:val="0"/>
          <w:color w:val="auto"/>
          <w:sz w:val="24"/>
          <w:szCs w:val="24"/>
        </w:rPr>
      </w:pPr>
      <w:r>
        <w:rPr>
          <w:b/>
          <w:color w:val="auto"/>
          <w:sz w:val="24"/>
          <w:szCs w:val="24"/>
        </w:rPr>
        <w:t>3</w:t>
      </w:r>
      <w:r>
        <w:rPr>
          <w:rFonts w:hint="eastAsia"/>
          <w:b/>
          <w:color w:val="auto"/>
          <w:sz w:val="24"/>
          <w:szCs w:val="24"/>
        </w:rPr>
        <w:t xml:space="preserve">） </w:t>
      </w:r>
      <w:r>
        <w:rPr>
          <w:rFonts w:hint="eastAsia"/>
          <w:bCs w:val="0"/>
          <w:color w:val="auto"/>
          <w:sz w:val="24"/>
          <w:szCs w:val="24"/>
        </w:rPr>
        <w:t>安全</w:t>
      </w:r>
      <w:r>
        <w:rPr>
          <w:bCs w:val="0"/>
          <w:color w:val="auto"/>
          <w:sz w:val="24"/>
          <w:szCs w:val="24"/>
        </w:rPr>
        <w:t>技术交底；</w:t>
      </w:r>
    </w:p>
    <w:p w14:paraId="584554A4">
      <w:pPr>
        <w:pStyle w:val="37"/>
        <w:spacing w:before="120" w:line="360" w:lineRule="auto"/>
        <w:rPr>
          <w:bCs w:val="0"/>
          <w:color w:val="auto"/>
          <w:sz w:val="24"/>
          <w:szCs w:val="24"/>
        </w:rPr>
      </w:pPr>
      <w:r>
        <w:rPr>
          <w:b/>
          <w:color w:val="auto"/>
          <w:sz w:val="24"/>
          <w:szCs w:val="24"/>
        </w:rPr>
        <w:t>4</w:t>
      </w:r>
      <w:r>
        <w:rPr>
          <w:rFonts w:hint="eastAsia"/>
          <w:b/>
          <w:color w:val="auto"/>
          <w:sz w:val="24"/>
          <w:szCs w:val="24"/>
        </w:rPr>
        <w:t xml:space="preserve">） </w:t>
      </w:r>
      <w:r>
        <w:rPr>
          <w:bCs w:val="0"/>
          <w:color w:val="auto"/>
          <w:sz w:val="24"/>
          <w:szCs w:val="24"/>
        </w:rPr>
        <w:t>主要设备、材料产品合格证、强制认证文件、检验报告、进场验收记录；</w:t>
      </w:r>
    </w:p>
    <w:p w14:paraId="76CCFFCD">
      <w:pPr>
        <w:pStyle w:val="37"/>
        <w:spacing w:before="120" w:line="360" w:lineRule="auto"/>
        <w:rPr>
          <w:bCs w:val="0"/>
          <w:color w:val="auto"/>
          <w:sz w:val="24"/>
          <w:szCs w:val="24"/>
        </w:rPr>
      </w:pPr>
      <w:r>
        <w:rPr>
          <w:b/>
          <w:color w:val="auto"/>
          <w:sz w:val="24"/>
          <w:szCs w:val="24"/>
        </w:rPr>
        <w:t>5</w:t>
      </w:r>
      <w:r>
        <w:rPr>
          <w:rFonts w:hint="eastAsia"/>
          <w:bCs w:val="0"/>
          <w:color w:val="auto"/>
          <w:sz w:val="24"/>
          <w:szCs w:val="24"/>
        </w:rPr>
        <w:t xml:space="preserve">） </w:t>
      </w:r>
      <w:r>
        <w:rPr>
          <w:bCs w:val="0"/>
          <w:color w:val="auto"/>
          <w:sz w:val="24"/>
          <w:szCs w:val="24"/>
        </w:rPr>
        <w:t>施工用电工程验收、检查记录；</w:t>
      </w:r>
    </w:p>
    <w:p w14:paraId="317E4EB7">
      <w:pPr>
        <w:pStyle w:val="37"/>
        <w:spacing w:before="120" w:line="360" w:lineRule="auto"/>
        <w:rPr>
          <w:bCs w:val="0"/>
          <w:color w:val="auto"/>
          <w:sz w:val="24"/>
          <w:szCs w:val="24"/>
        </w:rPr>
      </w:pPr>
      <w:r>
        <w:rPr>
          <w:b/>
          <w:color w:val="auto"/>
          <w:sz w:val="24"/>
          <w:szCs w:val="24"/>
        </w:rPr>
        <w:t>6</w:t>
      </w:r>
      <w:r>
        <w:rPr>
          <w:rFonts w:hint="eastAsia"/>
          <w:b/>
          <w:color w:val="auto"/>
          <w:sz w:val="24"/>
          <w:szCs w:val="24"/>
        </w:rPr>
        <w:t>）</w:t>
      </w:r>
      <w:r>
        <w:rPr>
          <w:bCs w:val="0"/>
          <w:color w:val="auto"/>
          <w:sz w:val="24"/>
          <w:szCs w:val="24"/>
        </w:rPr>
        <w:t xml:space="preserve"> 电气设备检测、检验凭单和调试记录；</w:t>
      </w:r>
    </w:p>
    <w:p w14:paraId="559E840B">
      <w:pPr>
        <w:pStyle w:val="37"/>
        <w:spacing w:before="120" w:line="360" w:lineRule="auto"/>
        <w:rPr>
          <w:bCs w:val="0"/>
          <w:color w:val="auto"/>
          <w:sz w:val="24"/>
          <w:szCs w:val="24"/>
        </w:rPr>
      </w:pPr>
      <w:r>
        <w:rPr>
          <w:b/>
          <w:color w:val="auto"/>
          <w:sz w:val="24"/>
          <w:szCs w:val="24"/>
        </w:rPr>
        <w:t>7</w:t>
      </w:r>
      <w:r>
        <w:rPr>
          <w:rFonts w:hint="eastAsia"/>
          <w:b/>
          <w:color w:val="auto"/>
          <w:sz w:val="24"/>
          <w:szCs w:val="24"/>
        </w:rPr>
        <w:t xml:space="preserve">） </w:t>
      </w:r>
      <w:r>
        <w:rPr>
          <w:bCs w:val="0"/>
          <w:color w:val="auto"/>
          <w:sz w:val="24"/>
          <w:szCs w:val="24"/>
        </w:rPr>
        <w:t>绝缘电阻、接地电阻、剩余电流动作保护电器动作参数</w:t>
      </w:r>
      <w:r>
        <w:rPr>
          <w:rFonts w:hint="eastAsia"/>
          <w:bCs w:val="0"/>
          <w:color w:val="auto"/>
          <w:sz w:val="24"/>
          <w:szCs w:val="24"/>
        </w:rPr>
        <w:t>检测记录</w:t>
      </w:r>
      <w:r>
        <w:rPr>
          <w:bCs w:val="0"/>
          <w:color w:val="auto"/>
          <w:sz w:val="24"/>
          <w:szCs w:val="24"/>
        </w:rPr>
        <w:t>；</w:t>
      </w:r>
    </w:p>
    <w:p w14:paraId="3D3C715D">
      <w:pPr>
        <w:pStyle w:val="37"/>
        <w:spacing w:before="120" w:line="360" w:lineRule="auto"/>
        <w:rPr>
          <w:bCs w:val="0"/>
          <w:color w:val="auto"/>
          <w:sz w:val="24"/>
          <w:szCs w:val="24"/>
        </w:rPr>
      </w:pPr>
      <w:r>
        <w:rPr>
          <w:b/>
          <w:color w:val="auto"/>
          <w:sz w:val="24"/>
          <w:szCs w:val="24"/>
        </w:rPr>
        <w:t>8</w:t>
      </w:r>
      <w:r>
        <w:rPr>
          <w:rFonts w:hint="eastAsia"/>
          <w:b/>
          <w:color w:val="auto"/>
          <w:sz w:val="24"/>
          <w:szCs w:val="24"/>
        </w:rPr>
        <w:t>）</w:t>
      </w:r>
      <w:r>
        <w:rPr>
          <w:bCs w:val="0"/>
          <w:color w:val="auto"/>
          <w:sz w:val="24"/>
          <w:szCs w:val="24"/>
        </w:rPr>
        <w:t xml:space="preserve"> 定期检查及相应的复查记录</w:t>
      </w:r>
      <w:r>
        <w:rPr>
          <w:rFonts w:hint="eastAsia"/>
          <w:bCs w:val="0"/>
          <w:color w:val="auto"/>
          <w:sz w:val="24"/>
          <w:szCs w:val="24"/>
        </w:rPr>
        <w:t>；</w:t>
      </w:r>
    </w:p>
    <w:p w14:paraId="52D5CEAE">
      <w:pPr>
        <w:pStyle w:val="37"/>
        <w:spacing w:before="120" w:line="360" w:lineRule="auto"/>
        <w:rPr>
          <w:bCs w:val="0"/>
          <w:color w:val="auto"/>
          <w:sz w:val="24"/>
          <w:szCs w:val="24"/>
        </w:rPr>
      </w:pPr>
      <w:r>
        <w:rPr>
          <w:b/>
          <w:color w:val="auto"/>
          <w:sz w:val="24"/>
          <w:szCs w:val="24"/>
        </w:rPr>
        <w:t>9</w:t>
      </w:r>
      <w:r>
        <w:rPr>
          <w:rFonts w:hint="eastAsia"/>
          <w:b/>
          <w:color w:val="auto"/>
          <w:sz w:val="24"/>
          <w:szCs w:val="24"/>
        </w:rPr>
        <w:t>）</w:t>
      </w:r>
      <w:r>
        <w:rPr>
          <w:bCs w:val="0"/>
          <w:color w:val="auto"/>
          <w:sz w:val="24"/>
          <w:szCs w:val="24"/>
        </w:rPr>
        <w:t xml:space="preserve"> 电工安装、巡检、维修、拆除作业记录；</w:t>
      </w:r>
    </w:p>
    <w:p w14:paraId="6F66D781">
      <w:pPr>
        <w:pStyle w:val="37"/>
        <w:spacing w:before="120" w:line="360" w:lineRule="auto"/>
        <w:rPr>
          <w:bCs w:val="0"/>
          <w:color w:val="auto"/>
          <w:sz w:val="24"/>
          <w:szCs w:val="24"/>
        </w:rPr>
      </w:pPr>
      <w:r>
        <w:rPr>
          <w:b/>
          <w:color w:val="auto"/>
          <w:sz w:val="24"/>
          <w:szCs w:val="24"/>
        </w:rPr>
        <w:t>10</w:t>
      </w:r>
      <w:r>
        <w:rPr>
          <w:rFonts w:hint="eastAsia"/>
          <w:b/>
          <w:color w:val="auto"/>
          <w:sz w:val="24"/>
          <w:szCs w:val="24"/>
        </w:rPr>
        <w:t>）</w:t>
      </w:r>
      <w:r>
        <w:rPr>
          <w:rFonts w:hint="eastAsia"/>
          <w:bCs w:val="0"/>
          <w:color w:val="auto"/>
          <w:sz w:val="24"/>
          <w:szCs w:val="24"/>
        </w:rPr>
        <w:t>依法</w:t>
      </w:r>
      <w:r>
        <w:rPr>
          <w:bCs w:val="0"/>
          <w:color w:val="auto"/>
          <w:sz w:val="24"/>
          <w:szCs w:val="24"/>
        </w:rPr>
        <w:t>取得</w:t>
      </w:r>
      <w:r>
        <w:rPr>
          <w:rFonts w:hint="eastAsia"/>
          <w:bCs w:val="0"/>
          <w:color w:val="auto"/>
          <w:sz w:val="24"/>
          <w:szCs w:val="24"/>
        </w:rPr>
        <w:t>的</w:t>
      </w:r>
      <w:r>
        <w:rPr>
          <w:bCs w:val="0"/>
          <w:color w:val="auto"/>
          <w:sz w:val="24"/>
          <w:szCs w:val="24"/>
        </w:rPr>
        <w:t>电工</w:t>
      </w:r>
      <w:r>
        <w:rPr>
          <w:rFonts w:hint="eastAsia"/>
          <w:bCs w:val="0"/>
          <w:color w:val="auto"/>
          <w:sz w:val="24"/>
          <w:szCs w:val="24"/>
        </w:rPr>
        <w:t>操作证复印件</w:t>
      </w:r>
      <w:r>
        <w:rPr>
          <w:bCs w:val="0"/>
          <w:color w:val="auto"/>
          <w:sz w:val="24"/>
          <w:szCs w:val="24"/>
        </w:rPr>
        <w:t>。</w:t>
      </w:r>
    </w:p>
    <w:p w14:paraId="57665816">
      <w:pPr>
        <w:pStyle w:val="33"/>
        <w:numPr>
          <w:ilvl w:val="0"/>
          <w:numId w:val="0"/>
        </w:numPr>
        <w:spacing w:before="120" w:line="360" w:lineRule="auto"/>
        <w:outlineLvl w:val="1"/>
        <w:rPr>
          <w:rFonts w:eastAsia="宋体"/>
          <w:sz w:val="24"/>
          <w:szCs w:val="24"/>
        </w:rPr>
      </w:pPr>
      <w:bookmarkStart w:id="173" w:name="_Toc25589"/>
      <w:bookmarkStart w:id="174" w:name="_Toc23130"/>
      <w:bookmarkStart w:id="175" w:name="_Toc11783"/>
      <w:bookmarkStart w:id="176" w:name="_Toc31913"/>
      <w:bookmarkStart w:id="177" w:name="_Toc2992"/>
      <w:bookmarkStart w:id="178" w:name="_Toc15795"/>
      <w:bookmarkStart w:id="179" w:name="_Toc21902"/>
      <w:r>
        <w:rPr>
          <w:rFonts w:hint="eastAsia" w:eastAsia="宋体"/>
          <w:b/>
          <w:bCs/>
          <w:sz w:val="24"/>
          <w:szCs w:val="24"/>
        </w:rPr>
        <w:t>6</w:t>
      </w:r>
      <w:r>
        <w:rPr>
          <w:rFonts w:eastAsia="宋体"/>
          <w:b/>
          <w:bCs/>
          <w:sz w:val="24"/>
          <w:szCs w:val="24"/>
        </w:rPr>
        <w:t>.2</w:t>
      </w:r>
      <w:r>
        <w:rPr>
          <w:rFonts w:eastAsia="宋体"/>
          <w:sz w:val="24"/>
          <w:szCs w:val="24"/>
        </w:rPr>
        <w:t xml:space="preserve"> </w:t>
      </w:r>
      <w:r>
        <w:rPr>
          <w:rFonts w:eastAsia="宋体"/>
          <w:b/>
          <w:bCs/>
          <w:sz w:val="24"/>
          <w:szCs w:val="24"/>
        </w:rPr>
        <w:t>供电系统</w:t>
      </w:r>
      <w:bookmarkEnd w:id="173"/>
      <w:bookmarkEnd w:id="174"/>
      <w:bookmarkEnd w:id="175"/>
      <w:bookmarkEnd w:id="176"/>
      <w:bookmarkEnd w:id="177"/>
      <w:bookmarkEnd w:id="178"/>
      <w:bookmarkEnd w:id="179"/>
      <w:bookmarkStart w:id="180" w:name="_Toc71710384"/>
      <w:bookmarkStart w:id="181" w:name="_Toc25887"/>
      <w:bookmarkStart w:id="182" w:name="_Toc20953"/>
      <w:bookmarkStart w:id="183" w:name="_Toc22918"/>
      <w:bookmarkStart w:id="184" w:name="_Toc71709535"/>
      <w:bookmarkStart w:id="185" w:name="_Toc54265189"/>
      <w:bookmarkStart w:id="186" w:name="_Toc71710242"/>
      <w:bookmarkStart w:id="187" w:name="_Toc32045"/>
      <w:bookmarkStart w:id="188" w:name="_Toc73115841"/>
      <w:bookmarkStart w:id="189" w:name="_Toc73117500"/>
    </w:p>
    <w:p w14:paraId="0C4E374F">
      <w:pPr>
        <w:pStyle w:val="35"/>
        <w:spacing w:before="120" w:line="360" w:lineRule="auto"/>
        <w:rPr>
          <w:color w:val="auto"/>
          <w:szCs w:val="24"/>
        </w:rPr>
      </w:pPr>
      <w:bookmarkStart w:id="190" w:name="_Hlk225434112"/>
      <w:bookmarkStart w:id="191" w:name="_Toc8516"/>
      <w:bookmarkStart w:id="192" w:name="_Toc18432"/>
      <w:bookmarkStart w:id="193" w:name="_Toc4324"/>
      <w:r>
        <w:rPr>
          <w:rFonts w:hint="eastAsia"/>
          <w:b/>
          <w:bCs w:val="0"/>
          <w:color w:val="auto"/>
          <w:szCs w:val="24"/>
        </w:rPr>
        <w:t>6</w:t>
      </w:r>
      <w:r>
        <w:rPr>
          <w:b/>
          <w:bCs w:val="0"/>
          <w:color w:val="auto"/>
          <w:szCs w:val="24"/>
        </w:rPr>
        <w:t>.2.1</w:t>
      </w:r>
      <w:bookmarkEnd w:id="190"/>
      <w:r>
        <w:rPr>
          <w:rFonts w:hint="eastAsia"/>
          <w:b/>
          <w:bCs w:val="0"/>
          <w:color w:val="auto"/>
          <w:szCs w:val="24"/>
        </w:rPr>
        <w:t xml:space="preserve"> </w:t>
      </w:r>
      <w:r>
        <w:rPr>
          <w:b/>
          <w:bCs w:val="0"/>
          <w:color w:val="auto"/>
          <w:szCs w:val="24"/>
        </w:rPr>
        <w:t xml:space="preserve"> </w:t>
      </w:r>
      <w:bookmarkEnd w:id="180"/>
      <w:bookmarkEnd w:id="181"/>
      <w:bookmarkEnd w:id="182"/>
      <w:bookmarkEnd w:id="183"/>
      <w:bookmarkEnd w:id="184"/>
      <w:bookmarkEnd w:id="185"/>
      <w:bookmarkEnd w:id="186"/>
      <w:bookmarkEnd w:id="187"/>
      <w:bookmarkEnd w:id="188"/>
      <w:bookmarkEnd w:id="189"/>
      <w:bookmarkEnd w:id="191"/>
      <w:bookmarkEnd w:id="192"/>
      <w:bookmarkEnd w:id="193"/>
      <w:bookmarkStart w:id="194" w:name="_Hlk202533933"/>
      <w:r>
        <w:rPr>
          <w:color w:val="auto"/>
          <w:szCs w:val="24"/>
        </w:rPr>
        <w:t>当高压设备的保护接地与变压器</w:t>
      </w:r>
      <w:r>
        <w:rPr>
          <w:rFonts w:hint="eastAsia"/>
          <w:color w:val="auto"/>
          <w:szCs w:val="24"/>
        </w:rPr>
        <w:t>低压侧</w:t>
      </w:r>
      <w:r>
        <w:rPr>
          <w:color w:val="auto"/>
          <w:szCs w:val="24"/>
        </w:rPr>
        <w:t>的中性点接地分开设置时，变压器低压侧中性点接地的接地电阻不应大于4Ω；当受条件限制，高压设备的保护接地与</w:t>
      </w:r>
      <w:r>
        <w:rPr>
          <w:rFonts w:hint="eastAsia"/>
          <w:color w:val="auto"/>
          <w:szCs w:val="24"/>
        </w:rPr>
        <w:t>变压器低压侧</w:t>
      </w:r>
      <w:r>
        <w:rPr>
          <w:color w:val="auto"/>
          <w:szCs w:val="24"/>
        </w:rPr>
        <w:t>的中性点接地无法分开设置时，接地电阻不</w:t>
      </w:r>
      <w:r>
        <w:rPr>
          <w:rFonts w:hint="eastAsia"/>
          <w:color w:val="auto"/>
          <w:szCs w:val="24"/>
        </w:rPr>
        <w:t>应</w:t>
      </w:r>
      <w:r>
        <w:rPr>
          <w:color w:val="auto"/>
          <w:szCs w:val="24"/>
        </w:rPr>
        <w:t>大于1Ω</w:t>
      </w:r>
      <w:r>
        <w:rPr>
          <w:rFonts w:hint="eastAsia"/>
          <w:color w:val="auto"/>
          <w:szCs w:val="24"/>
        </w:rPr>
        <w:t xml:space="preserve">。 </w:t>
      </w:r>
      <w:bookmarkEnd w:id="194"/>
    </w:p>
    <w:p w14:paraId="2FAC9A15">
      <w:pPr>
        <w:pStyle w:val="35"/>
        <w:spacing w:before="120" w:line="360" w:lineRule="auto"/>
        <w:rPr>
          <w:color w:val="auto"/>
          <w:szCs w:val="24"/>
        </w:rPr>
      </w:pPr>
      <w:r>
        <w:rPr>
          <w:rFonts w:hint="eastAsia"/>
          <w:b/>
          <w:bCs w:val="0"/>
          <w:color w:val="auto"/>
          <w:szCs w:val="24"/>
        </w:rPr>
        <w:t>6</w:t>
      </w:r>
      <w:r>
        <w:rPr>
          <w:b/>
          <w:bCs w:val="0"/>
          <w:color w:val="auto"/>
          <w:szCs w:val="24"/>
        </w:rPr>
        <w:t>.2.</w:t>
      </w:r>
      <w:r>
        <w:rPr>
          <w:rFonts w:hint="eastAsia"/>
          <w:b/>
          <w:bCs w:val="0"/>
          <w:color w:val="auto"/>
          <w:szCs w:val="24"/>
        </w:rPr>
        <w:t xml:space="preserve">2  </w:t>
      </w:r>
      <w:r>
        <w:rPr>
          <w:color w:val="auto"/>
          <w:szCs w:val="24"/>
        </w:rPr>
        <w:t>预装式变电站、低压配电室应具备通风</w:t>
      </w:r>
      <w:r>
        <w:rPr>
          <w:rFonts w:hint="eastAsia"/>
          <w:color w:val="auto"/>
          <w:szCs w:val="24"/>
        </w:rPr>
        <w:t>、</w:t>
      </w:r>
      <w:r>
        <w:rPr>
          <w:color w:val="auto"/>
          <w:szCs w:val="24"/>
        </w:rPr>
        <w:t>防火、防水、防雷、防雪、防动物</w:t>
      </w:r>
      <w:r>
        <w:rPr>
          <w:rFonts w:hint="eastAsia"/>
          <w:color w:val="auto"/>
          <w:szCs w:val="24"/>
        </w:rPr>
        <w:t>进入功能</w:t>
      </w:r>
      <w:r>
        <w:rPr>
          <w:color w:val="auto"/>
          <w:szCs w:val="24"/>
        </w:rPr>
        <w:t>。</w:t>
      </w:r>
      <w:bookmarkStart w:id="195" w:name="_Toc16829"/>
    </w:p>
    <w:p w14:paraId="0B9FDCF1">
      <w:pPr>
        <w:pStyle w:val="35"/>
        <w:spacing w:before="120" w:line="360" w:lineRule="auto"/>
        <w:rPr>
          <w:color w:val="auto"/>
          <w:szCs w:val="24"/>
        </w:rPr>
      </w:pPr>
      <w:r>
        <w:rPr>
          <w:rFonts w:hint="eastAsia"/>
          <w:b/>
          <w:bCs w:val="0"/>
          <w:color w:val="auto"/>
          <w:szCs w:val="24"/>
        </w:rPr>
        <w:t>6</w:t>
      </w:r>
      <w:r>
        <w:rPr>
          <w:b/>
          <w:bCs w:val="0"/>
          <w:color w:val="auto"/>
          <w:szCs w:val="24"/>
        </w:rPr>
        <w:t>.2.</w:t>
      </w:r>
      <w:r>
        <w:rPr>
          <w:rFonts w:hint="eastAsia"/>
          <w:b/>
          <w:bCs w:val="0"/>
          <w:color w:val="auto"/>
          <w:szCs w:val="24"/>
        </w:rPr>
        <w:t>3</w:t>
      </w:r>
      <w:r>
        <w:rPr>
          <w:rFonts w:hint="eastAsia"/>
          <w:color w:val="auto"/>
          <w:szCs w:val="24"/>
        </w:rPr>
        <w:t xml:space="preserve">  发电机房、变配电室等建筑材料燃烧性能等级应为</w:t>
      </w:r>
      <w:r>
        <w:rPr>
          <w:color w:val="auto"/>
          <w:szCs w:val="24"/>
        </w:rPr>
        <w:t>A</w:t>
      </w:r>
      <w:r>
        <w:rPr>
          <w:rFonts w:hint="eastAsia"/>
          <w:color w:val="auto"/>
          <w:szCs w:val="24"/>
        </w:rPr>
        <w:t>级。</w:t>
      </w:r>
    </w:p>
    <w:p w14:paraId="0EEBBDB4">
      <w:pPr>
        <w:pStyle w:val="35"/>
        <w:spacing w:before="120" w:line="360" w:lineRule="auto"/>
        <w:rPr>
          <w:color w:val="auto"/>
          <w:szCs w:val="24"/>
        </w:rPr>
      </w:pPr>
      <w:bookmarkStart w:id="196" w:name="_Toc16429"/>
      <w:bookmarkStart w:id="197" w:name="_Toc1080"/>
      <w:bookmarkStart w:id="198" w:name="_Toc30828"/>
      <w:r>
        <w:rPr>
          <w:rFonts w:hint="eastAsia"/>
          <w:b/>
          <w:bCs w:val="0"/>
          <w:color w:val="auto"/>
          <w:szCs w:val="24"/>
        </w:rPr>
        <w:t>6</w:t>
      </w:r>
      <w:r>
        <w:rPr>
          <w:b/>
          <w:bCs w:val="0"/>
          <w:color w:val="auto"/>
          <w:szCs w:val="24"/>
        </w:rPr>
        <w:t>.2.4</w:t>
      </w:r>
      <w:r>
        <w:rPr>
          <w:color w:val="auto"/>
          <w:szCs w:val="24"/>
        </w:rPr>
        <w:t xml:space="preserve"> </w:t>
      </w:r>
      <w:bookmarkEnd w:id="195"/>
      <w:bookmarkEnd w:id="196"/>
      <w:bookmarkEnd w:id="197"/>
      <w:bookmarkEnd w:id="198"/>
      <w:r>
        <w:rPr>
          <w:rFonts w:hint="eastAsia"/>
          <w:color w:val="auto"/>
          <w:szCs w:val="24"/>
        </w:rPr>
        <w:t xml:space="preserve"> </w:t>
      </w:r>
      <w:r>
        <w:rPr>
          <w:color w:val="auto"/>
          <w:szCs w:val="24"/>
        </w:rPr>
        <w:t>预装式变电站</w:t>
      </w:r>
      <w:r>
        <w:rPr>
          <w:rFonts w:hint="eastAsia"/>
          <w:color w:val="auto"/>
          <w:szCs w:val="24"/>
        </w:rPr>
        <w:t>安装</w:t>
      </w:r>
      <w:r>
        <w:rPr>
          <w:color w:val="auto"/>
          <w:szCs w:val="24"/>
        </w:rPr>
        <w:t>应符合下列规定：</w:t>
      </w:r>
    </w:p>
    <w:p w14:paraId="04D9660E">
      <w:pPr>
        <w:pStyle w:val="35"/>
        <w:spacing w:before="120" w:line="360" w:lineRule="auto"/>
        <w:ind w:firstLine="482" w:firstLineChars="200"/>
        <w:rPr>
          <w:color w:val="auto"/>
          <w:szCs w:val="24"/>
        </w:rPr>
      </w:pPr>
      <w:r>
        <w:rPr>
          <w:b/>
          <w:bCs w:val="0"/>
          <w:color w:val="auto"/>
          <w:szCs w:val="24"/>
        </w:rPr>
        <w:t>1</w:t>
      </w:r>
      <w:r>
        <w:rPr>
          <w:color w:val="auto"/>
          <w:szCs w:val="24"/>
        </w:rPr>
        <w:t xml:space="preserve"> 设置在靠近负荷中心区域；</w:t>
      </w:r>
    </w:p>
    <w:p w14:paraId="232CDB63">
      <w:pPr>
        <w:pStyle w:val="35"/>
        <w:spacing w:before="120" w:line="360" w:lineRule="auto"/>
        <w:ind w:firstLine="482" w:firstLineChars="200"/>
        <w:rPr>
          <w:color w:val="auto"/>
          <w:szCs w:val="24"/>
        </w:rPr>
      </w:pPr>
      <w:r>
        <w:rPr>
          <w:rFonts w:hint="eastAsia"/>
          <w:b/>
          <w:bCs w:val="0"/>
          <w:color w:val="auto"/>
          <w:szCs w:val="24"/>
        </w:rPr>
        <w:t>2</w:t>
      </w:r>
      <w:r>
        <w:rPr>
          <w:color w:val="auto"/>
          <w:szCs w:val="24"/>
        </w:rPr>
        <w:t>底部应高于</w:t>
      </w:r>
      <w:r>
        <w:rPr>
          <w:rFonts w:hint="eastAsia"/>
          <w:color w:val="auto"/>
          <w:szCs w:val="24"/>
        </w:rPr>
        <w:t>±0.00m</w:t>
      </w:r>
      <w:r>
        <w:rPr>
          <w:color w:val="auto"/>
          <w:szCs w:val="24"/>
        </w:rPr>
        <w:t>标高0.5m及以上；</w:t>
      </w:r>
    </w:p>
    <w:p w14:paraId="0AE93691">
      <w:pPr>
        <w:pStyle w:val="35"/>
        <w:spacing w:before="120" w:line="360" w:lineRule="auto"/>
        <w:ind w:firstLine="482" w:firstLineChars="200"/>
        <w:rPr>
          <w:color w:val="auto"/>
          <w:szCs w:val="24"/>
        </w:rPr>
      </w:pPr>
      <w:r>
        <w:rPr>
          <w:rFonts w:hint="eastAsia"/>
          <w:b/>
          <w:bCs w:val="0"/>
          <w:color w:val="auto"/>
          <w:szCs w:val="24"/>
        </w:rPr>
        <w:t>3</w:t>
      </w:r>
      <w:r>
        <w:rPr>
          <w:rFonts w:hint="eastAsia"/>
          <w:color w:val="auto"/>
          <w:szCs w:val="24"/>
        </w:rPr>
        <w:t xml:space="preserve"> </w:t>
      </w:r>
      <w:r>
        <w:rPr>
          <w:color w:val="auto"/>
          <w:szCs w:val="24"/>
        </w:rPr>
        <w:t>应设在不易受施工干扰或影响施工的场所</w:t>
      </w:r>
      <w:r>
        <w:rPr>
          <w:rFonts w:hint="eastAsia"/>
          <w:color w:val="auto"/>
          <w:szCs w:val="24"/>
        </w:rPr>
        <w:t>。</w:t>
      </w:r>
    </w:p>
    <w:p w14:paraId="2FDF04BC">
      <w:pPr>
        <w:pStyle w:val="35"/>
        <w:spacing w:before="120" w:line="360" w:lineRule="auto"/>
        <w:rPr>
          <w:color w:val="auto"/>
          <w:szCs w:val="24"/>
        </w:rPr>
      </w:pPr>
      <w:bookmarkStart w:id="199" w:name="_Hlk225350889"/>
      <w:r>
        <w:rPr>
          <w:rFonts w:hint="eastAsia"/>
          <w:b/>
          <w:bCs w:val="0"/>
          <w:color w:val="auto"/>
          <w:szCs w:val="24"/>
        </w:rPr>
        <w:t>6</w:t>
      </w:r>
      <w:r>
        <w:rPr>
          <w:b/>
          <w:bCs w:val="0"/>
          <w:color w:val="auto"/>
          <w:szCs w:val="24"/>
        </w:rPr>
        <w:t>.2.</w:t>
      </w:r>
      <w:r>
        <w:rPr>
          <w:rFonts w:hint="eastAsia"/>
          <w:b/>
          <w:bCs w:val="0"/>
          <w:color w:val="auto"/>
          <w:szCs w:val="24"/>
        </w:rPr>
        <w:t>5</w:t>
      </w:r>
      <w:bookmarkEnd w:id="199"/>
      <w:r>
        <w:rPr>
          <w:b/>
          <w:bCs w:val="0"/>
          <w:color w:val="auto"/>
          <w:szCs w:val="24"/>
        </w:rPr>
        <w:t xml:space="preserve"> </w:t>
      </w:r>
      <w:r>
        <w:rPr>
          <w:rFonts w:hint="eastAsia"/>
          <w:color w:val="auto"/>
          <w:szCs w:val="24"/>
        </w:rPr>
        <w:t xml:space="preserve"> </w:t>
      </w:r>
      <w:r>
        <w:rPr>
          <w:color w:val="auto"/>
          <w:szCs w:val="24"/>
        </w:rPr>
        <w:t>杆上变压器</w:t>
      </w:r>
      <w:bookmarkStart w:id="200" w:name="OLE_LINK7"/>
      <w:r>
        <w:rPr>
          <w:color w:val="auto"/>
          <w:szCs w:val="24"/>
        </w:rPr>
        <w:t>安装应符合下列</w:t>
      </w:r>
      <w:bookmarkEnd w:id="200"/>
      <w:r>
        <w:rPr>
          <w:color w:val="auto"/>
          <w:szCs w:val="24"/>
        </w:rPr>
        <w:t>规定：</w:t>
      </w:r>
    </w:p>
    <w:p w14:paraId="19C572A5">
      <w:pPr>
        <w:pStyle w:val="35"/>
        <w:spacing w:before="120" w:line="360" w:lineRule="auto"/>
        <w:ind w:firstLine="482" w:firstLineChars="200"/>
        <w:rPr>
          <w:bCs w:val="0"/>
          <w:color w:val="auto"/>
          <w:szCs w:val="24"/>
        </w:rPr>
      </w:pPr>
      <w:r>
        <w:rPr>
          <w:b/>
          <w:bCs w:val="0"/>
          <w:color w:val="auto"/>
          <w:szCs w:val="24"/>
        </w:rPr>
        <w:t>1</w:t>
      </w:r>
      <w:r>
        <w:rPr>
          <w:color w:val="auto"/>
          <w:szCs w:val="24"/>
        </w:rPr>
        <w:t xml:space="preserve"> 变压器四周应设置不低于1.8m高的固定</w:t>
      </w:r>
      <w:r>
        <w:rPr>
          <w:rFonts w:hint="eastAsia"/>
          <w:color w:val="auto"/>
          <w:szCs w:val="24"/>
        </w:rPr>
        <w:t>防护</w:t>
      </w:r>
      <w:r>
        <w:rPr>
          <w:color w:val="auto"/>
          <w:szCs w:val="24"/>
        </w:rPr>
        <w:t>遮栏</w:t>
      </w:r>
      <w:r>
        <w:rPr>
          <w:bCs w:val="0"/>
          <w:color w:val="auto"/>
          <w:szCs w:val="24"/>
        </w:rPr>
        <w:t>并在明显位置悬挂警示标识，防护遮栏门应装锁；</w:t>
      </w:r>
    </w:p>
    <w:p w14:paraId="46CBEF52">
      <w:pPr>
        <w:pStyle w:val="37"/>
        <w:spacing w:before="120" w:line="360" w:lineRule="auto"/>
        <w:ind w:firstLine="482" w:firstLineChars="200"/>
        <w:rPr>
          <w:bCs w:val="0"/>
          <w:color w:val="auto"/>
          <w:sz w:val="24"/>
          <w:szCs w:val="24"/>
        </w:rPr>
      </w:pPr>
      <w:r>
        <w:rPr>
          <w:b/>
          <w:color w:val="auto"/>
          <w:sz w:val="24"/>
          <w:szCs w:val="24"/>
        </w:rPr>
        <w:t>2</w:t>
      </w:r>
      <w:r>
        <w:rPr>
          <w:rFonts w:hint="eastAsia"/>
          <w:b/>
          <w:color w:val="auto"/>
          <w:sz w:val="24"/>
          <w:szCs w:val="24"/>
        </w:rPr>
        <w:t xml:space="preserve"> </w:t>
      </w:r>
      <w:r>
        <w:rPr>
          <w:bCs w:val="0"/>
          <w:color w:val="auto"/>
          <w:sz w:val="24"/>
          <w:szCs w:val="24"/>
        </w:rPr>
        <w:t>杆上变压器与地面或固定防护遮栏之间的最小电气安全净距应满足表</w:t>
      </w:r>
      <w:r>
        <w:rPr>
          <w:rFonts w:hint="eastAsia"/>
          <w:bCs w:val="0"/>
          <w:color w:val="auto"/>
          <w:sz w:val="24"/>
          <w:szCs w:val="24"/>
        </w:rPr>
        <w:t>6</w:t>
      </w:r>
      <w:r>
        <w:rPr>
          <w:bCs w:val="0"/>
          <w:color w:val="auto"/>
          <w:sz w:val="24"/>
          <w:szCs w:val="24"/>
        </w:rPr>
        <w:t>.2.</w:t>
      </w:r>
      <w:r>
        <w:rPr>
          <w:rFonts w:hint="eastAsia"/>
          <w:bCs w:val="0"/>
          <w:color w:val="auto"/>
          <w:sz w:val="24"/>
          <w:szCs w:val="24"/>
        </w:rPr>
        <w:t>5</w:t>
      </w:r>
      <w:r>
        <w:rPr>
          <w:bCs w:val="0"/>
          <w:color w:val="auto"/>
          <w:sz w:val="24"/>
          <w:szCs w:val="24"/>
        </w:rPr>
        <w:t>的规定。</w:t>
      </w:r>
    </w:p>
    <w:p w14:paraId="18A8EC4A">
      <w:pPr>
        <w:pStyle w:val="40"/>
        <w:spacing w:before="120" w:line="360" w:lineRule="auto"/>
        <w:rPr>
          <w:bCs w:val="0"/>
          <w:color w:val="auto"/>
          <w:szCs w:val="21"/>
        </w:rPr>
      </w:pPr>
      <w:r>
        <w:rPr>
          <w:rFonts w:hint="eastAsia"/>
          <w:color w:val="auto"/>
          <w:sz w:val="24"/>
          <w:szCs w:val="24"/>
        </w:rPr>
        <w:t xml:space="preserve">    </w:t>
      </w:r>
      <w:r>
        <w:rPr>
          <w:b/>
          <w:bCs w:val="0"/>
          <w:color w:val="auto"/>
          <w:szCs w:val="21"/>
        </w:rPr>
        <w:t>表</w:t>
      </w:r>
      <w:r>
        <w:rPr>
          <w:rFonts w:hint="eastAsia"/>
          <w:b/>
          <w:bCs w:val="0"/>
          <w:color w:val="auto"/>
          <w:szCs w:val="21"/>
        </w:rPr>
        <w:t>6</w:t>
      </w:r>
      <w:r>
        <w:rPr>
          <w:b/>
          <w:bCs w:val="0"/>
          <w:color w:val="auto"/>
          <w:szCs w:val="21"/>
        </w:rPr>
        <w:t>.2.5 杆上变压器最小电气安全净距</w:t>
      </w:r>
    </w:p>
    <w:tbl>
      <w:tblPr>
        <w:tblStyle w:val="18"/>
        <w:tblW w:w="87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3"/>
        <w:gridCol w:w="3066"/>
        <w:gridCol w:w="3292"/>
      </w:tblGrid>
      <w:tr w14:paraId="42347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3" w:type="dxa"/>
            <w:vAlign w:val="center"/>
          </w:tcPr>
          <w:p w14:paraId="237DA202">
            <w:pPr>
              <w:snapToGrid w:val="0"/>
              <w:spacing w:line="360" w:lineRule="auto"/>
              <w:jc w:val="center"/>
              <w:rPr>
                <w:bCs/>
                <w:szCs w:val="21"/>
              </w:rPr>
            </w:pPr>
            <w:bookmarkStart w:id="201" w:name="OLE_LINK19"/>
            <w:r>
              <w:rPr>
                <w:bCs/>
                <w:szCs w:val="21"/>
              </w:rPr>
              <w:t>变压器无防护遮栏裸带电部分至地面之间</w:t>
            </w:r>
            <w:bookmarkEnd w:id="201"/>
            <w:r>
              <w:rPr>
                <w:szCs w:val="21"/>
              </w:rPr>
              <w:t>（m）</w:t>
            </w:r>
          </w:p>
        </w:tc>
        <w:tc>
          <w:tcPr>
            <w:tcW w:w="3066" w:type="dxa"/>
            <w:vAlign w:val="center"/>
          </w:tcPr>
          <w:p w14:paraId="25BCF960">
            <w:pPr>
              <w:snapToGrid w:val="0"/>
              <w:spacing w:line="360" w:lineRule="auto"/>
              <w:jc w:val="center"/>
              <w:rPr>
                <w:bCs/>
                <w:szCs w:val="21"/>
              </w:rPr>
            </w:pPr>
            <w:r>
              <w:rPr>
                <w:bCs/>
                <w:szCs w:val="21"/>
              </w:rPr>
              <w:t>变压器外绝缘体最低部位</w:t>
            </w:r>
          </w:p>
          <w:p w14:paraId="5DB798C3">
            <w:pPr>
              <w:snapToGrid w:val="0"/>
              <w:spacing w:line="360" w:lineRule="auto"/>
              <w:jc w:val="center"/>
              <w:rPr>
                <w:bCs/>
                <w:szCs w:val="21"/>
              </w:rPr>
            </w:pPr>
            <w:r>
              <w:rPr>
                <w:bCs/>
                <w:szCs w:val="21"/>
              </w:rPr>
              <w:t>至地面之间</w:t>
            </w:r>
            <w:r>
              <w:rPr>
                <w:szCs w:val="21"/>
              </w:rPr>
              <w:t>（m）</w:t>
            </w:r>
          </w:p>
        </w:tc>
        <w:tc>
          <w:tcPr>
            <w:tcW w:w="3292" w:type="dxa"/>
            <w:vAlign w:val="center"/>
          </w:tcPr>
          <w:p w14:paraId="676C5637">
            <w:pPr>
              <w:snapToGrid w:val="0"/>
              <w:spacing w:line="360" w:lineRule="auto"/>
              <w:jc w:val="center"/>
              <w:rPr>
                <w:bCs/>
                <w:szCs w:val="21"/>
              </w:rPr>
            </w:pPr>
            <w:bookmarkStart w:id="202" w:name="OLE_LINK38"/>
            <w:r>
              <w:rPr>
                <w:bCs/>
                <w:szCs w:val="21"/>
              </w:rPr>
              <w:t>变压器外绝缘体和带电的任何部分至固定防护遮栏之间</w:t>
            </w:r>
            <w:bookmarkEnd w:id="202"/>
            <w:r>
              <w:rPr>
                <w:szCs w:val="21"/>
              </w:rPr>
              <w:t>（m）</w:t>
            </w:r>
          </w:p>
        </w:tc>
      </w:tr>
      <w:tr w14:paraId="2142D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2413" w:type="dxa"/>
            <w:vAlign w:val="center"/>
          </w:tcPr>
          <w:p w14:paraId="712B58A7">
            <w:pPr>
              <w:snapToGrid w:val="0"/>
              <w:spacing w:line="360" w:lineRule="auto"/>
              <w:jc w:val="center"/>
              <w:rPr>
                <w:bCs/>
                <w:szCs w:val="21"/>
              </w:rPr>
            </w:pPr>
            <w:r>
              <w:rPr>
                <w:bCs/>
                <w:szCs w:val="21"/>
              </w:rPr>
              <w:t>2.7</w:t>
            </w:r>
          </w:p>
        </w:tc>
        <w:tc>
          <w:tcPr>
            <w:tcW w:w="3066" w:type="dxa"/>
            <w:vAlign w:val="center"/>
          </w:tcPr>
          <w:p w14:paraId="26F4E03A">
            <w:pPr>
              <w:snapToGrid w:val="0"/>
              <w:spacing w:line="360" w:lineRule="auto"/>
              <w:jc w:val="center"/>
              <w:rPr>
                <w:bCs/>
                <w:szCs w:val="21"/>
              </w:rPr>
            </w:pPr>
            <w:r>
              <w:rPr>
                <w:bCs/>
                <w:szCs w:val="21"/>
              </w:rPr>
              <w:t>2.3</w:t>
            </w:r>
          </w:p>
        </w:tc>
        <w:tc>
          <w:tcPr>
            <w:tcW w:w="3292" w:type="dxa"/>
            <w:vAlign w:val="center"/>
          </w:tcPr>
          <w:p w14:paraId="1B4AD7BB">
            <w:pPr>
              <w:snapToGrid w:val="0"/>
              <w:spacing w:line="360" w:lineRule="auto"/>
              <w:jc w:val="center"/>
              <w:rPr>
                <w:bCs/>
                <w:szCs w:val="21"/>
              </w:rPr>
            </w:pPr>
            <w:r>
              <w:rPr>
                <w:bCs/>
                <w:szCs w:val="21"/>
              </w:rPr>
              <w:t>0.95</w:t>
            </w:r>
          </w:p>
        </w:tc>
      </w:tr>
    </w:tbl>
    <w:p w14:paraId="1D821ECF">
      <w:pPr>
        <w:pStyle w:val="35"/>
        <w:spacing w:before="120" w:line="360" w:lineRule="auto"/>
        <w:rPr>
          <w:bCs w:val="0"/>
          <w:color w:val="auto"/>
          <w:szCs w:val="24"/>
        </w:rPr>
      </w:pPr>
      <w:r>
        <w:rPr>
          <w:rFonts w:hint="eastAsia"/>
          <w:b/>
          <w:bCs w:val="0"/>
          <w:color w:val="auto"/>
          <w:szCs w:val="24"/>
        </w:rPr>
        <w:t>6</w:t>
      </w:r>
      <w:r>
        <w:rPr>
          <w:b/>
          <w:bCs w:val="0"/>
          <w:color w:val="auto"/>
          <w:szCs w:val="24"/>
        </w:rPr>
        <w:t>.2.6</w:t>
      </w:r>
      <w:r>
        <w:rPr>
          <w:color w:val="auto"/>
          <w:szCs w:val="24"/>
        </w:rPr>
        <w:t xml:space="preserve"> </w:t>
      </w:r>
      <w:r>
        <w:rPr>
          <w:rFonts w:hint="eastAsia"/>
          <w:color w:val="auto"/>
          <w:szCs w:val="24"/>
        </w:rPr>
        <w:t>现场设置柴油发电机组应符合下列规定：</w:t>
      </w:r>
    </w:p>
    <w:p w14:paraId="23E4A63F">
      <w:pPr>
        <w:pStyle w:val="37"/>
        <w:spacing w:before="120" w:line="360" w:lineRule="auto"/>
        <w:rPr>
          <w:bCs w:val="0"/>
          <w:color w:val="auto"/>
          <w:sz w:val="24"/>
          <w:szCs w:val="24"/>
        </w:rPr>
      </w:pPr>
      <w:r>
        <w:rPr>
          <w:b/>
          <w:color w:val="auto"/>
          <w:sz w:val="24"/>
          <w:szCs w:val="24"/>
        </w:rPr>
        <w:t>1</w:t>
      </w:r>
      <w:r>
        <w:rPr>
          <w:rFonts w:hint="eastAsia"/>
          <w:b/>
          <w:color w:val="auto"/>
          <w:sz w:val="24"/>
          <w:szCs w:val="24"/>
        </w:rPr>
        <w:t xml:space="preserve"> </w:t>
      </w:r>
      <w:r>
        <w:rPr>
          <w:rFonts w:hint="eastAsia"/>
          <w:bCs w:val="0"/>
          <w:color w:val="auto"/>
          <w:sz w:val="24"/>
          <w:szCs w:val="24"/>
        </w:rPr>
        <w:t xml:space="preserve"> </w:t>
      </w:r>
      <w:r>
        <w:rPr>
          <w:bCs w:val="0"/>
          <w:color w:val="auto"/>
          <w:sz w:val="24"/>
          <w:szCs w:val="24"/>
        </w:rPr>
        <w:t>机组应设置在平坦、坚实</w:t>
      </w:r>
      <w:r>
        <w:rPr>
          <w:rFonts w:hint="eastAsia"/>
          <w:bCs w:val="0"/>
          <w:color w:val="auto"/>
          <w:sz w:val="24"/>
          <w:szCs w:val="24"/>
        </w:rPr>
        <w:t>、无积水</w:t>
      </w:r>
      <w:r>
        <w:rPr>
          <w:bCs w:val="0"/>
          <w:color w:val="auto"/>
          <w:sz w:val="24"/>
          <w:szCs w:val="24"/>
        </w:rPr>
        <w:t>的</w:t>
      </w:r>
      <w:r>
        <w:rPr>
          <w:rFonts w:hint="eastAsia"/>
          <w:bCs w:val="0"/>
          <w:color w:val="auto"/>
          <w:sz w:val="24"/>
          <w:szCs w:val="24"/>
        </w:rPr>
        <w:t>场所</w:t>
      </w:r>
      <w:r>
        <w:rPr>
          <w:bCs w:val="0"/>
          <w:color w:val="auto"/>
          <w:sz w:val="24"/>
          <w:szCs w:val="24"/>
        </w:rPr>
        <w:t>固定安装，排烟口、排风口处于下风侧；</w:t>
      </w:r>
    </w:p>
    <w:p w14:paraId="15CA7776">
      <w:pPr>
        <w:pStyle w:val="37"/>
        <w:spacing w:before="120" w:line="360" w:lineRule="auto"/>
        <w:rPr>
          <w:bCs w:val="0"/>
          <w:color w:val="auto"/>
          <w:sz w:val="24"/>
          <w:szCs w:val="24"/>
        </w:rPr>
      </w:pPr>
      <w:r>
        <w:rPr>
          <w:b/>
          <w:color w:val="auto"/>
          <w:sz w:val="24"/>
          <w:szCs w:val="24"/>
        </w:rPr>
        <w:t>2</w:t>
      </w:r>
      <w:r>
        <w:rPr>
          <w:rFonts w:hint="eastAsia"/>
          <w:b/>
          <w:color w:val="auto"/>
          <w:sz w:val="24"/>
          <w:szCs w:val="24"/>
        </w:rPr>
        <w:t xml:space="preserve"> </w:t>
      </w:r>
      <w:r>
        <w:rPr>
          <w:rFonts w:hint="eastAsia"/>
          <w:bCs w:val="0"/>
          <w:color w:val="auto"/>
          <w:sz w:val="24"/>
          <w:szCs w:val="24"/>
        </w:rPr>
        <w:t xml:space="preserve"> </w:t>
      </w:r>
      <w:r>
        <w:rPr>
          <w:bCs w:val="0"/>
          <w:color w:val="auto"/>
          <w:sz w:val="24"/>
          <w:szCs w:val="24"/>
        </w:rPr>
        <w:t>机组的金属外壳、部件及拖车应可靠接地；</w:t>
      </w:r>
    </w:p>
    <w:p w14:paraId="1355A2AA">
      <w:pPr>
        <w:pStyle w:val="37"/>
        <w:spacing w:before="120" w:line="360" w:lineRule="auto"/>
        <w:rPr>
          <w:bCs w:val="0"/>
          <w:color w:val="auto"/>
          <w:sz w:val="24"/>
          <w:szCs w:val="24"/>
        </w:rPr>
      </w:pPr>
      <w:r>
        <w:rPr>
          <w:b/>
          <w:color w:val="auto"/>
          <w:sz w:val="24"/>
          <w:szCs w:val="24"/>
        </w:rPr>
        <w:t>3</w:t>
      </w:r>
      <w:r>
        <w:rPr>
          <w:rFonts w:hint="eastAsia"/>
          <w:bCs w:val="0"/>
          <w:color w:val="auto"/>
          <w:sz w:val="24"/>
          <w:szCs w:val="24"/>
        </w:rPr>
        <w:t xml:space="preserve">  </w:t>
      </w:r>
      <w:r>
        <w:rPr>
          <w:bCs w:val="0"/>
          <w:color w:val="auto"/>
          <w:sz w:val="24"/>
          <w:szCs w:val="24"/>
        </w:rPr>
        <w:t>机组的接地型式</w:t>
      </w:r>
      <w:r>
        <w:rPr>
          <w:rFonts w:hint="eastAsia"/>
          <w:bCs w:val="0"/>
          <w:color w:val="auto"/>
          <w:sz w:val="24"/>
          <w:szCs w:val="24"/>
        </w:rPr>
        <w:t>应</w:t>
      </w:r>
      <w:r>
        <w:rPr>
          <w:bCs w:val="0"/>
          <w:color w:val="auto"/>
          <w:sz w:val="24"/>
          <w:szCs w:val="24"/>
        </w:rPr>
        <w:t>与现场供电系统的接地型式保持一致</w:t>
      </w:r>
      <w:r>
        <w:rPr>
          <w:rFonts w:hint="eastAsia"/>
          <w:bCs w:val="0"/>
          <w:color w:val="auto"/>
          <w:sz w:val="24"/>
          <w:szCs w:val="24"/>
        </w:rPr>
        <w:t>，专供用电设备除外</w:t>
      </w:r>
      <w:r>
        <w:rPr>
          <w:bCs w:val="0"/>
          <w:color w:val="auto"/>
          <w:sz w:val="24"/>
          <w:szCs w:val="24"/>
        </w:rPr>
        <w:t>；柴油发电机中性点应可靠接地，且接地电阻不应大于4Ω；</w:t>
      </w:r>
    </w:p>
    <w:p w14:paraId="574E2175">
      <w:pPr>
        <w:pStyle w:val="37"/>
        <w:spacing w:before="120" w:line="360" w:lineRule="auto"/>
        <w:rPr>
          <w:bCs w:val="0"/>
          <w:color w:val="auto"/>
          <w:sz w:val="24"/>
          <w:szCs w:val="24"/>
        </w:rPr>
      </w:pPr>
      <w:r>
        <w:rPr>
          <w:b/>
          <w:color w:val="auto"/>
          <w:sz w:val="24"/>
          <w:szCs w:val="24"/>
        </w:rPr>
        <w:t>4</w:t>
      </w:r>
      <w:r>
        <w:rPr>
          <w:rFonts w:hint="eastAsia"/>
          <w:b/>
          <w:color w:val="auto"/>
          <w:sz w:val="24"/>
          <w:szCs w:val="24"/>
        </w:rPr>
        <w:t xml:space="preserve"> </w:t>
      </w:r>
      <w:r>
        <w:rPr>
          <w:rFonts w:hint="eastAsia"/>
          <w:bCs w:val="0"/>
          <w:color w:val="auto"/>
          <w:sz w:val="24"/>
          <w:szCs w:val="24"/>
        </w:rPr>
        <w:t xml:space="preserve"> </w:t>
      </w:r>
      <w:r>
        <w:rPr>
          <w:bCs w:val="0"/>
          <w:color w:val="auto"/>
          <w:sz w:val="24"/>
          <w:szCs w:val="24"/>
        </w:rPr>
        <w:t>机组周围10</w:t>
      </w:r>
      <w:r>
        <w:rPr>
          <w:rFonts w:hint="eastAsia"/>
          <w:bCs w:val="0"/>
          <w:color w:val="auto"/>
          <w:sz w:val="24"/>
          <w:szCs w:val="24"/>
        </w:rPr>
        <w:t>m</w:t>
      </w:r>
      <w:r>
        <w:rPr>
          <w:bCs w:val="0"/>
          <w:color w:val="auto"/>
          <w:sz w:val="24"/>
          <w:szCs w:val="24"/>
        </w:rPr>
        <w:t>范围内不</w:t>
      </w:r>
      <w:r>
        <w:rPr>
          <w:rFonts w:hint="eastAsia"/>
          <w:bCs w:val="0"/>
          <w:color w:val="auto"/>
          <w:sz w:val="24"/>
          <w:szCs w:val="24"/>
        </w:rPr>
        <w:t>得</w:t>
      </w:r>
      <w:r>
        <w:rPr>
          <w:bCs w:val="0"/>
          <w:color w:val="auto"/>
          <w:sz w:val="24"/>
          <w:szCs w:val="24"/>
        </w:rPr>
        <w:t>有明火，不应存放易燃、易爆物品；机组旁应设置便于取用的消防器材</w:t>
      </w:r>
      <w:bookmarkStart w:id="203" w:name="_Toc29295"/>
      <w:bookmarkStart w:id="204" w:name="_Toc21423"/>
      <w:r>
        <w:rPr>
          <w:bCs w:val="0"/>
          <w:color w:val="auto"/>
          <w:sz w:val="24"/>
          <w:szCs w:val="24"/>
        </w:rPr>
        <w:t>。</w:t>
      </w:r>
    </w:p>
    <w:p w14:paraId="6B666D34">
      <w:pPr>
        <w:pStyle w:val="35"/>
        <w:spacing w:before="120" w:line="360" w:lineRule="auto"/>
        <w:rPr>
          <w:bCs w:val="0"/>
          <w:color w:val="auto"/>
          <w:szCs w:val="24"/>
        </w:rPr>
      </w:pPr>
      <w:r>
        <w:rPr>
          <w:rFonts w:hint="eastAsia"/>
          <w:b/>
          <w:bCs w:val="0"/>
          <w:color w:val="auto"/>
          <w:szCs w:val="24"/>
        </w:rPr>
        <w:t>6</w:t>
      </w:r>
      <w:r>
        <w:rPr>
          <w:b/>
          <w:bCs w:val="0"/>
          <w:color w:val="auto"/>
          <w:szCs w:val="24"/>
        </w:rPr>
        <w:t>.2.7</w:t>
      </w:r>
      <w:r>
        <w:rPr>
          <w:color w:val="auto"/>
          <w:szCs w:val="24"/>
        </w:rPr>
        <w:t xml:space="preserve">  </w:t>
      </w:r>
      <w:r>
        <w:rPr>
          <w:rFonts w:hint="eastAsia"/>
          <w:color w:val="auto"/>
          <w:szCs w:val="24"/>
        </w:rPr>
        <w:t>柴油发电机组不应与市政电源并列运行。</w:t>
      </w:r>
    </w:p>
    <w:bookmarkEnd w:id="203"/>
    <w:bookmarkEnd w:id="204"/>
    <w:p w14:paraId="53784CB7">
      <w:pPr>
        <w:pStyle w:val="33"/>
        <w:numPr>
          <w:ilvl w:val="0"/>
          <w:numId w:val="0"/>
        </w:numPr>
        <w:spacing w:before="120" w:line="360" w:lineRule="auto"/>
        <w:outlineLvl w:val="1"/>
        <w:rPr>
          <w:rFonts w:eastAsia="宋体"/>
          <w:b/>
          <w:bCs/>
          <w:sz w:val="24"/>
          <w:szCs w:val="24"/>
        </w:rPr>
      </w:pPr>
      <w:bookmarkStart w:id="205" w:name="_Hlk225434808"/>
      <w:bookmarkStart w:id="206" w:name="_Toc4763"/>
      <w:bookmarkStart w:id="207" w:name="_Toc22183"/>
      <w:bookmarkStart w:id="208" w:name="_Toc32236"/>
      <w:bookmarkStart w:id="209" w:name="_Toc5454"/>
      <w:bookmarkStart w:id="210" w:name="_Toc26593"/>
      <w:bookmarkStart w:id="211" w:name="OLE_LINK39"/>
      <w:r>
        <w:rPr>
          <w:rFonts w:hint="eastAsia" w:eastAsia="宋体"/>
          <w:b/>
          <w:bCs/>
          <w:sz w:val="24"/>
          <w:szCs w:val="24"/>
        </w:rPr>
        <w:t xml:space="preserve">6.3 </w:t>
      </w:r>
      <w:bookmarkEnd w:id="205"/>
      <w:r>
        <w:rPr>
          <w:rFonts w:hint="eastAsia" w:eastAsia="宋体"/>
          <w:b/>
          <w:bCs/>
          <w:sz w:val="24"/>
          <w:szCs w:val="24"/>
        </w:rPr>
        <w:t>配电系统</w:t>
      </w:r>
      <w:bookmarkEnd w:id="206"/>
      <w:bookmarkEnd w:id="207"/>
      <w:bookmarkEnd w:id="208"/>
      <w:bookmarkEnd w:id="209"/>
      <w:bookmarkEnd w:id="210"/>
    </w:p>
    <w:p w14:paraId="4923E6D1">
      <w:pPr>
        <w:pStyle w:val="35"/>
        <w:spacing w:before="120" w:line="360" w:lineRule="auto"/>
        <w:rPr>
          <w:color w:val="auto"/>
          <w:szCs w:val="24"/>
        </w:rPr>
      </w:pPr>
      <w:bookmarkStart w:id="212" w:name="_Hlk190174230"/>
      <w:bookmarkStart w:id="213" w:name="OLE_LINK32"/>
      <w:r>
        <w:rPr>
          <w:rFonts w:hint="eastAsia"/>
          <w:b/>
          <w:bCs w:val="0"/>
          <w:color w:val="auto"/>
          <w:szCs w:val="24"/>
        </w:rPr>
        <w:t>6</w:t>
      </w:r>
      <w:r>
        <w:rPr>
          <w:b/>
          <w:bCs w:val="0"/>
          <w:color w:val="auto"/>
          <w:szCs w:val="24"/>
        </w:rPr>
        <w:t>.</w:t>
      </w:r>
      <w:r>
        <w:rPr>
          <w:rFonts w:hint="eastAsia"/>
          <w:b/>
          <w:bCs w:val="0"/>
          <w:color w:val="auto"/>
          <w:szCs w:val="24"/>
        </w:rPr>
        <w:t>3</w:t>
      </w:r>
      <w:r>
        <w:rPr>
          <w:b/>
          <w:bCs w:val="0"/>
          <w:color w:val="auto"/>
          <w:szCs w:val="24"/>
        </w:rPr>
        <w:t>.1</w:t>
      </w:r>
      <w:bookmarkEnd w:id="212"/>
      <w:r>
        <w:rPr>
          <w:rFonts w:hint="eastAsia"/>
          <w:color w:val="auto"/>
          <w:szCs w:val="24"/>
        </w:rPr>
        <w:t xml:space="preserve">  </w:t>
      </w:r>
      <w:r>
        <w:rPr>
          <w:color w:val="auto"/>
          <w:szCs w:val="24"/>
        </w:rPr>
        <w:t>低压配电系统电击防护应采用</w:t>
      </w:r>
      <w:r>
        <w:rPr>
          <w:rFonts w:hint="eastAsia"/>
          <w:color w:val="auto"/>
          <w:szCs w:val="24"/>
        </w:rPr>
        <w:t>基本防护、故障防护和附加防护</w:t>
      </w:r>
      <w:r>
        <w:rPr>
          <w:color w:val="auto"/>
          <w:szCs w:val="24"/>
        </w:rPr>
        <w:t>措施，在故障状态下应能及时切断回路电源。</w:t>
      </w:r>
      <w:bookmarkEnd w:id="213"/>
    </w:p>
    <w:p w14:paraId="015AADB5">
      <w:pPr>
        <w:pStyle w:val="35"/>
        <w:spacing w:before="120" w:line="360" w:lineRule="auto"/>
        <w:rPr>
          <w:color w:val="auto"/>
          <w:szCs w:val="24"/>
        </w:rPr>
      </w:pPr>
      <w:r>
        <w:rPr>
          <w:rFonts w:hint="eastAsia"/>
          <w:b/>
          <w:bCs w:val="0"/>
          <w:color w:val="auto"/>
          <w:szCs w:val="24"/>
        </w:rPr>
        <w:t>6</w:t>
      </w:r>
      <w:r>
        <w:rPr>
          <w:b/>
          <w:bCs w:val="0"/>
          <w:color w:val="auto"/>
          <w:szCs w:val="24"/>
        </w:rPr>
        <w:t>.</w:t>
      </w:r>
      <w:r>
        <w:rPr>
          <w:rFonts w:hint="eastAsia"/>
          <w:b/>
          <w:bCs w:val="0"/>
          <w:color w:val="auto"/>
          <w:szCs w:val="24"/>
        </w:rPr>
        <w:t>3</w:t>
      </w:r>
      <w:r>
        <w:rPr>
          <w:b/>
          <w:bCs w:val="0"/>
          <w:color w:val="auto"/>
          <w:szCs w:val="24"/>
        </w:rPr>
        <w:t>.</w:t>
      </w:r>
      <w:r>
        <w:rPr>
          <w:rFonts w:hint="eastAsia"/>
          <w:b/>
          <w:bCs w:val="0"/>
          <w:color w:val="auto"/>
          <w:szCs w:val="24"/>
        </w:rPr>
        <w:t>2</w:t>
      </w:r>
      <w:r>
        <w:rPr>
          <w:rFonts w:hint="eastAsia"/>
          <w:color w:val="auto"/>
          <w:szCs w:val="24"/>
        </w:rPr>
        <w:t xml:space="preserve"> 上下级保护电器之间应具备选择性。</w:t>
      </w:r>
    </w:p>
    <w:p w14:paraId="0EC69AB3">
      <w:pPr>
        <w:pStyle w:val="35"/>
        <w:spacing w:before="120" w:line="360" w:lineRule="auto"/>
        <w:rPr>
          <w:color w:val="auto"/>
          <w:szCs w:val="24"/>
        </w:rPr>
      </w:pPr>
      <w:r>
        <w:rPr>
          <w:rFonts w:hint="eastAsia"/>
          <w:b/>
          <w:bCs w:val="0"/>
          <w:color w:val="auto"/>
          <w:szCs w:val="24"/>
        </w:rPr>
        <w:t>6</w:t>
      </w:r>
      <w:r>
        <w:rPr>
          <w:b/>
          <w:bCs w:val="0"/>
          <w:color w:val="auto"/>
          <w:szCs w:val="24"/>
        </w:rPr>
        <w:t>.</w:t>
      </w:r>
      <w:r>
        <w:rPr>
          <w:rFonts w:hint="eastAsia"/>
          <w:b/>
          <w:bCs w:val="0"/>
          <w:color w:val="auto"/>
          <w:szCs w:val="24"/>
        </w:rPr>
        <w:t>3</w:t>
      </w:r>
      <w:r>
        <w:rPr>
          <w:b/>
          <w:bCs w:val="0"/>
          <w:color w:val="auto"/>
          <w:szCs w:val="24"/>
        </w:rPr>
        <w:t>.</w:t>
      </w:r>
      <w:r>
        <w:rPr>
          <w:rFonts w:hint="eastAsia"/>
          <w:b/>
          <w:bCs w:val="0"/>
          <w:color w:val="auto"/>
          <w:szCs w:val="24"/>
        </w:rPr>
        <w:t xml:space="preserve">3 </w:t>
      </w:r>
      <w:r>
        <w:rPr>
          <w:rFonts w:hint="eastAsia"/>
          <w:color w:val="auto"/>
          <w:szCs w:val="24"/>
        </w:rPr>
        <w:t>从电源</w:t>
      </w:r>
      <w:r>
        <w:rPr>
          <w:color w:val="auto"/>
          <w:szCs w:val="24"/>
        </w:rPr>
        <w:t>至</w:t>
      </w:r>
      <w:r>
        <w:rPr>
          <w:rFonts w:hint="eastAsia"/>
          <w:color w:val="auto"/>
          <w:szCs w:val="24"/>
        </w:rPr>
        <w:t>用电设备，</w:t>
      </w:r>
      <w:r>
        <w:rPr>
          <w:color w:val="auto"/>
          <w:szCs w:val="24"/>
        </w:rPr>
        <w:t>保护接地导体（PE）应保持</w:t>
      </w:r>
      <w:r>
        <w:rPr>
          <w:rFonts w:hint="eastAsia"/>
          <w:color w:val="auto"/>
          <w:szCs w:val="24"/>
        </w:rPr>
        <w:t>电气</w:t>
      </w:r>
      <w:r>
        <w:rPr>
          <w:color w:val="auto"/>
          <w:szCs w:val="24"/>
        </w:rPr>
        <w:t>连续</w:t>
      </w:r>
      <w:r>
        <w:rPr>
          <w:rFonts w:hint="eastAsia"/>
          <w:color w:val="auto"/>
          <w:szCs w:val="24"/>
        </w:rPr>
        <w:t>性</w:t>
      </w:r>
      <w:bookmarkStart w:id="214" w:name="OLE_LINK75"/>
      <w:bookmarkStart w:id="215" w:name="OLE_LINK73"/>
      <w:r>
        <w:rPr>
          <w:rFonts w:hint="eastAsia"/>
          <w:color w:val="auto"/>
          <w:szCs w:val="24"/>
        </w:rPr>
        <w:t>，不应装设开关或熔断器；</w:t>
      </w:r>
      <w:r>
        <w:rPr>
          <w:color w:val="auto"/>
          <w:szCs w:val="24"/>
        </w:rPr>
        <w:t>保护接地导体（PE）连接螺栓均应具</w:t>
      </w:r>
      <w:r>
        <w:rPr>
          <w:rFonts w:hint="eastAsia"/>
          <w:color w:val="auto"/>
          <w:szCs w:val="24"/>
        </w:rPr>
        <w:t>有</w:t>
      </w:r>
      <w:r>
        <w:rPr>
          <w:color w:val="auto"/>
          <w:szCs w:val="24"/>
        </w:rPr>
        <w:t>防</w:t>
      </w:r>
      <w:bookmarkStart w:id="216" w:name="OLE_LINK72"/>
      <w:r>
        <w:rPr>
          <w:color w:val="auto"/>
          <w:szCs w:val="24"/>
        </w:rPr>
        <w:t>松措施</w:t>
      </w:r>
      <w:bookmarkEnd w:id="214"/>
      <w:bookmarkEnd w:id="215"/>
      <w:bookmarkEnd w:id="216"/>
      <w:r>
        <w:rPr>
          <w:color w:val="auto"/>
          <w:szCs w:val="24"/>
        </w:rPr>
        <w:t>。</w:t>
      </w:r>
    </w:p>
    <w:p w14:paraId="7429835E">
      <w:pPr>
        <w:pStyle w:val="35"/>
        <w:spacing w:before="120" w:line="360" w:lineRule="auto"/>
        <w:rPr>
          <w:color w:val="auto"/>
          <w:szCs w:val="24"/>
        </w:rPr>
      </w:pPr>
      <w:bookmarkStart w:id="217" w:name="OLE_LINK76"/>
      <w:r>
        <w:rPr>
          <w:rFonts w:hint="eastAsia"/>
          <w:b/>
          <w:bCs w:val="0"/>
          <w:color w:val="auto"/>
          <w:szCs w:val="24"/>
        </w:rPr>
        <w:t>6</w:t>
      </w:r>
      <w:r>
        <w:rPr>
          <w:b/>
          <w:bCs w:val="0"/>
          <w:color w:val="auto"/>
          <w:szCs w:val="24"/>
        </w:rPr>
        <w:t>.</w:t>
      </w:r>
      <w:r>
        <w:rPr>
          <w:rFonts w:hint="eastAsia"/>
          <w:b/>
          <w:bCs w:val="0"/>
          <w:color w:val="auto"/>
          <w:szCs w:val="24"/>
        </w:rPr>
        <w:t>3</w:t>
      </w:r>
      <w:r>
        <w:rPr>
          <w:b/>
          <w:bCs w:val="0"/>
          <w:color w:val="auto"/>
          <w:szCs w:val="24"/>
        </w:rPr>
        <w:t>.</w:t>
      </w:r>
      <w:r>
        <w:rPr>
          <w:rFonts w:hint="eastAsia"/>
          <w:b/>
          <w:bCs w:val="0"/>
          <w:color w:val="auto"/>
          <w:szCs w:val="24"/>
        </w:rPr>
        <w:t>4</w:t>
      </w:r>
      <w:r>
        <w:rPr>
          <w:rFonts w:hint="eastAsia"/>
          <w:color w:val="auto"/>
          <w:szCs w:val="24"/>
        </w:rPr>
        <w:t xml:space="preserve">  </w:t>
      </w:r>
      <w:r>
        <w:rPr>
          <w:color w:val="auto"/>
          <w:szCs w:val="24"/>
        </w:rPr>
        <w:t>SELV系统的二次回路带电导体和设备外露</w:t>
      </w:r>
      <w:r>
        <w:rPr>
          <w:rFonts w:hint="eastAsia"/>
          <w:color w:val="auto"/>
          <w:szCs w:val="24"/>
        </w:rPr>
        <w:t>可导电部分</w:t>
      </w:r>
      <w:r>
        <w:rPr>
          <w:color w:val="auto"/>
          <w:szCs w:val="24"/>
        </w:rPr>
        <w:t>不应接地。</w:t>
      </w:r>
      <w:bookmarkEnd w:id="217"/>
    </w:p>
    <w:p w14:paraId="77A19748">
      <w:pPr>
        <w:pStyle w:val="35"/>
        <w:spacing w:before="120" w:line="360" w:lineRule="auto"/>
        <w:rPr>
          <w:color w:val="auto"/>
          <w:szCs w:val="24"/>
        </w:rPr>
      </w:pPr>
      <w:bookmarkStart w:id="218" w:name="_Hlk225434843"/>
      <w:r>
        <w:rPr>
          <w:rFonts w:hint="eastAsia"/>
          <w:b/>
          <w:bCs w:val="0"/>
          <w:color w:val="auto"/>
          <w:szCs w:val="24"/>
        </w:rPr>
        <w:t>6</w:t>
      </w:r>
      <w:r>
        <w:rPr>
          <w:b/>
          <w:bCs w:val="0"/>
          <w:color w:val="auto"/>
          <w:szCs w:val="24"/>
        </w:rPr>
        <w:t>.</w:t>
      </w:r>
      <w:r>
        <w:rPr>
          <w:rFonts w:hint="eastAsia"/>
          <w:b/>
          <w:bCs w:val="0"/>
          <w:color w:val="auto"/>
          <w:szCs w:val="24"/>
        </w:rPr>
        <w:t>3</w:t>
      </w:r>
      <w:r>
        <w:rPr>
          <w:b/>
          <w:bCs w:val="0"/>
          <w:color w:val="auto"/>
          <w:szCs w:val="24"/>
        </w:rPr>
        <w:t>.</w:t>
      </w:r>
      <w:r>
        <w:rPr>
          <w:rFonts w:hint="eastAsia"/>
          <w:b/>
          <w:bCs w:val="0"/>
          <w:color w:val="auto"/>
          <w:szCs w:val="24"/>
        </w:rPr>
        <w:t>5</w:t>
      </w:r>
      <w:bookmarkEnd w:id="218"/>
      <w:r>
        <w:rPr>
          <w:rFonts w:hint="eastAsia"/>
          <w:color w:val="auto"/>
          <w:szCs w:val="24"/>
        </w:rPr>
        <w:t xml:space="preserve">  当施工现场存在爆炸气体的危险环境、易燃易爆物库房及人员密集的二层及以上轻钢结构宿舍等场所，插座回路宜装设电弧故障保护电器（AFDD）。</w:t>
      </w:r>
    </w:p>
    <w:p w14:paraId="0D359D92">
      <w:pPr>
        <w:pStyle w:val="35"/>
        <w:spacing w:before="120" w:line="360" w:lineRule="auto"/>
        <w:rPr>
          <w:color w:val="auto"/>
          <w:szCs w:val="24"/>
        </w:rPr>
      </w:pPr>
      <w:r>
        <w:rPr>
          <w:rFonts w:hint="eastAsia"/>
          <w:b/>
          <w:bCs w:val="0"/>
          <w:color w:val="auto"/>
          <w:szCs w:val="24"/>
        </w:rPr>
        <w:t>6</w:t>
      </w:r>
      <w:r>
        <w:rPr>
          <w:b/>
          <w:bCs w:val="0"/>
          <w:color w:val="auto"/>
          <w:szCs w:val="24"/>
        </w:rPr>
        <w:t>.</w:t>
      </w:r>
      <w:r>
        <w:rPr>
          <w:rFonts w:hint="eastAsia"/>
          <w:b/>
          <w:bCs w:val="0"/>
          <w:color w:val="auto"/>
          <w:szCs w:val="24"/>
        </w:rPr>
        <w:t>3</w:t>
      </w:r>
      <w:r>
        <w:rPr>
          <w:b/>
          <w:bCs w:val="0"/>
          <w:color w:val="auto"/>
          <w:szCs w:val="24"/>
        </w:rPr>
        <w:t>.</w:t>
      </w:r>
      <w:r>
        <w:rPr>
          <w:rFonts w:hint="eastAsia"/>
          <w:b/>
          <w:bCs w:val="0"/>
          <w:color w:val="auto"/>
          <w:szCs w:val="24"/>
        </w:rPr>
        <w:t>6</w:t>
      </w:r>
      <w:r>
        <w:rPr>
          <w:rFonts w:hint="eastAsia"/>
          <w:color w:val="auto"/>
          <w:szCs w:val="24"/>
        </w:rPr>
        <w:t xml:space="preserve">  </w:t>
      </w:r>
      <w:r>
        <w:rPr>
          <w:color w:val="auto"/>
          <w:szCs w:val="24"/>
        </w:rPr>
        <w:t>用于</w:t>
      </w:r>
      <w:r>
        <w:rPr>
          <w:rFonts w:hint="eastAsia"/>
          <w:color w:val="auto"/>
          <w:szCs w:val="24"/>
        </w:rPr>
        <w:t>电气</w:t>
      </w:r>
      <w:r>
        <w:rPr>
          <w:color w:val="auto"/>
          <w:szCs w:val="24"/>
        </w:rPr>
        <w:t>安全防护、隔离、控制和监测的电器应</w:t>
      </w:r>
      <w:r>
        <w:rPr>
          <w:rFonts w:hint="eastAsia"/>
          <w:color w:val="auto"/>
          <w:szCs w:val="24"/>
        </w:rPr>
        <w:t>符合国家现行制造标准，且根据相关规定，收集“</w:t>
      </w:r>
      <w:r>
        <w:rPr>
          <w:color w:val="auto"/>
          <w:szCs w:val="24"/>
        </w:rPr>
        <w:t>CCC</w:t>
      </w:r>
      <w:r>
        <w:rPr>
          <w:rFonts w:hint="eastAsia"/>
          <w:color w:val="auto"/>
          <w:szCs w:val="24"/>
        </w:rPr>
        <w:t>”认证证书、试验报告及合格证。</w:t>
      </w:r>
    </w:p>
    <w:p w14:paraId="5CEA999E">
      <w:pPr>
        <w:pStyle w:val="35"/>
        <w:spacing w:before="120" w:line="360" w:lineRule="auto"/>
        <w:rPr>
          <w:color w:val="auto"/>
          <w:szCs w:val="24"/>
        </w:rPr>
      </w:pPr>
      <w:r>
        <w:rPr>
          <w:rFonts w:hint="eastAsia"/>
          <w:b/>
          <w:bCs w:val="0"/>
          <w:color w:val="auto"/>
          <w:szCs w:val="24"/>
        </w:rPr>
        <w:t>6</w:t>
      </w:r>
      <w:r>
        <w:rPr>
          <w:b/>
          <w:bCs w:val="0"/>
          <w:color w:val="auto"/>
          <w:szCs w:val="24"/>
        </w:rPr>
        <w:t>.</w:t>
      </w:r>
      <w:r>
        <w:rPr>
          <w:rFonts w:hint="eastAsia"/>
          <w:b/>
          <w:bCs w:val="0"/>
          <w:color w:val="auto"/>
          <w:szCs w:val="24"/>
        </w:rPr>
        <w:t>3</w:t>
      </w:r>
      <w:r>
        <w:rPr>
          <w:b/>
          <w:bCs w:val="0"/>
          <w:color w:val="auto"/>
          <w:szCs w:val="24"/>
        </w:rPr>
        <w:t>.</w:t>
      </w:r>
      <w:r>
        <w:rPr>
          <w:rFonts w:hint="eastAsia"/>
          <w:b/>
          <w:bCs w:val="0"/>
          <w:color w:val="auto"/>
          <w:szCs w:val="24"/>
        </w:rPr>
        <w:t>7</w:t>
      </w:r>
      <w:r>
        <w:rPr>
          <w:rFonts w:hint="eastAsia"/>
          <w:color w:val="auto"/>
          <w:szCs w:val="24"/>
        </w:rPr>
        <w:t xml:space="preserve">  </w:t>
      </w:r>
      <w:r>
        <w:rPr>
          <w:color w:val="auto"/>
          <w:szCs w:val="24"/>
        </w:rPr>
        <w:t>配电箱（柜）除符合本规程之外，</w:t>
      </w:r>
      <w:r>
        <w:rPr>
          <w:rFonts w:hint="eastAsia"/>
          <w:color w:val="auto"/>
          <w:szCs w:val="24"/>
        </w:rPr>
        <w:t>尚</w:t>
      </w:r>
      <w:r>
        <w:rPr>
          <w:color w:val="auto"/>
          <w:szCs w:val="24"/>
        </w:rPr>
        <w:t>应符合</w:t>
      </w:r>
      <w:r>
        <w:rPr>
          <w:rFonts w:hint="eastAsia"/>
          <w:color w:val="auto"/>
          <w:szCs w:val="24"/>
        </w:rPr>
        <w:t>现行国家标准</w:t>
      </w:r>
      <w:bookmarkStart w:id="219" w:name="_Hlk215578773"/>
      <w:bookmarkStart w:id="220" w:name="_Hlk215579093"/>
      <w:r>
        <w:rPr>
          <w:rFonts w:hint="eastAsia"/>
          <w:color w:val="auto"/>
          <w:szCs w:val="24"/>
        </w:rPr>
        <w:t>《低压成套开关设备和控制设备 第4部分：对建筑工地用成套设备(ACS)的特殊要求》GB/T 7251.4</w:t>
      </w:r>
      <w:bookmarkEnd w:id="219"/>
      <w:r>
        <w:rPr>
          <w:color w:val="auto"/>
          <w:szCs w:val="24"/>
        </w:rPr>
        <w:t>的</w:t>
      </w:r>
      <w:bookmarkEnd w:id="220"/>
      <w:r>
        <w:rPr>
          <w:color w:val="auto"/>
          <w:szCs w:val="24"/>
        </w:rPr>
        <w:t>规定。</w:t>
      </w:r>
    </w:p>
    <w:p w14:paraId="2F14295A">
      <w:pPr>
        <w:pStyle w:val="35"/>
        <w:spacing w:before="120" w:line="360" w:lineRule="auto"/>
        <w:rPr>
          <w:color w:val="auto"/>
          <w:szCs w:val="24"/>
        </w:rPr>
      </w:pPr>
      <w:r>
        <w:rPr>
          <w:rFonts w:hint="eastAsia"/>
          <w:b/>
          <w:bCs w:val="0"/>
          <w:color w:val="auto"/>
          <w:szCs w:val="24"/>
        </w:rPr>
        <w:t>6</w:t>
      </w:r>
      <w:r>
        <w:rPr>
          <w:b/>
          <w:bCs w:val="0"/>
          <w:color w:val="auto"/>
          <w:szCs w:val="24"/>
        </w:rPr>
        <w:t>.</w:t>
      </w:r>
      <w:r>
        <w:rPr>
          <w:rFonts w:hint="eastAsia"/>
          <w:b/>
          <w:bCs w:val="0"/>
          <w:color w:val="auto"/>
          <w:szCs w:val="24"/>
        </w:rPr>
        <w:t>3</w:t>
      </w:r>
      <w:r>
        <w:rPr>
          <w:b/>
          <w:bCs w:val="0"/>
          <w:color w:val="auto"/>
          <w:szCs w:val="24"/>
        </w:rPr>
        <w:t>.</w:t>
      </w:r>
      <w:r>
        <w:rPr>
          <w:rFonts w:hint="eastAsia"/>
          <w:b/>
          <w:bCs w:val="0"/>
          <w:color w:val="auto"/>
          <w:szCs w:val="24"/>
        </w:rPr>
        <w:t>8</w:t>
      </w:r>
      <w:r>
        <w:rPr>
          <w:rFonts w:hint="eastAsia"/>
          <w:color w:val="auto"/>
          <w:szCs w:val="24"/>
        </w:rPr>
        <w:t xml:space="preserve"> </w:t>
      </w:r>
      <w:bookmarkStart w:id="221" w:name="OLE_LINK12"/>
      <w:r>
        <w:rPr>
          <w:rFonts w:hint="eastAsia"/>
          <w:color w:val="auto"/>
          <w:szCs w:val="24"/>
        </w:rPr>
        <w:t xml:space="preserve"> </w:t>
      </w:r>
      <w:r>
        <w:rPr>
          <w:color w:val="auto"/>
          <w:szCs w:val="24"/>
        </w:rPr>
        <w:t>施工</w:t>
      </w:r>
      <w:r>
        <w:rPr>
          <w:rFonts w:hint="eastAsia"/>
          <w:color w:val="auto"/>
          <w:szCs w:val="24"/>
        </w:rPr>
        <w:t>现场</w:t>
      </w:r>
      <w:r>
        <w:rPr>
          <w:color w:val="auto"/>
          <w:szCs w:val="24"/>
        </w:rPr>
        <w:t>总配电</w:t>
      </w:r>
      <w:r>
        <w:rPr>
          <w:rFonts w:hint="eastAsia"/>
          <w:color w:val="auto"/>
          <w:szCs w:val="24"/>
        </w:rPr>
        <w:t>箱</w:t>
      </w:r>
      <w:r>
        <w:rPr>
          <w:color w:val="auto"/>
          <w:szCs w:val="24"/>
        </w:rPr>
        <w:t>（柜）、分配电箱、末级配电箱</w:t>
      </w:r>
      <w:r>
        <w:rPr>
          <w:rFonts w:hint="eastAsia"/>
          <w:color w:val="auto"/>
          <w:szCs w:val="24"/>
        </w:rPr>
        <w:t>及插座安装应距离蓄水池、泥浆池、河道等</w:t>
      </w:r>
      <w:bookmarkEnd w:id="221"/>
      <w:r>
        <w:rPr>
          <w:rFonts w:hint="eastAsia"/>
          <w:color w:val="auto"/>
          <w:szCs w:val="24"/>
        </w:rPr>
        <w:t>环境3.5m及以上，且箱体防护等级至少为</w:t>
      </w:r>
      <w:r>
        <w:rPr>
          <w:color w:val="auto"/>
          <w:szCs w:val="24"/>
        </w:rPr>
        <w:t>IP44</w:t>
      </w:r>
      <w:r>
        <w:rPr>
          <w:rFonts w:hint="eastAsia"/>
          <w:color w:val="auto"/>
          <w:szCs w:val="24"/>
        </w:rPr>
        <w:t>；不受建筑工地用成套设备(ACS)外壳保护的插座防护</w:t>
      </w:r>
      <w:r>
        <w:rPr>
          <w:color w:val="auto"/>
          <w:szCs w:val="24"/>
        </w:rPr>
        <w:t>等级</w:t>
      </w:r>
      <w:r>
        <w:rPr>
          <w:rFonts w:hint="eastAsia"/>
          <w:color w:val="auto"/>
          <w:szCs w:val="24"/>
        </w:rPr>
        <w:t>至少等效为</w:t>
      </w:r>
      <w:r>
        <w:rPr>
          <w:color w:val="auto"/>
          <w:szCs w:val="24"/>
        </w:rPr>
        <w:t>IP</w:t>
      </w:r>
      <w:r>
        <w:rPr>
          <w:rFonts w:hint="eastAsia"/>
          <w:color w:val="auto"/>
          <w:szCs w:val="24"/>
        </w:rPr>
        <w:t>44</w:t>
      </w:r>
      <w:r>
        <w:rPr>
          <w:color w:val="auto"/>
          <w:szCs w:val="24"/>
        </w:rPr>
        <w:t>。</w:t>
      </w:r>
    </w:p>
    <w:p w14:paraId="33832B33">
      <w:pPr>
        <w:pStyle w:val="35"/>
        <w:spacing w:before="120" w:line="360" w:lineRule="auto"/>
        <w:rPr>
          <w:bCs w:val="0"/>
          <w:color w:val="auto"/>
          <w:szCs w:val="24"/>
        </w:rPr>
      </w:pPr>
      <w:r>
        <w:rPr>
          <w:rFonts w:hint="eastAsia"/>
          <w:b/>
          <w:bCs w:val="0"/>
          <w:color w:val="auto"/>
          <w:szCs w:val="24"/>
        </w:rPr>
        <w:t>6</w:t>
      </w:r>
      <w:r>
        <w:rPr>
          <w:b/>
          <w:bCs w:val="0"/>
          <w:color w:val="auto"/>
          <w:szCs w:val="24"/>
        </w:rPr>
        <w:t>.</w:t>
      </w:r>
      <w:r>
        <w:rPr>
          <w:rFonts w:hint="eastAsia"/>
          <w:b/>
          <w:bCs w:val="0"/>
          <w:color w:val="auto"/>
          <w:szCs w:val="24"/>
        </w:rPr>
        <w:t>3</w:t>
      </w:r>
      <w:r>
        <w:rPr>
          <w:b/>
          <w:bCs w:val="0"/>
          <w:color w:val="auto"/>
          <w:szCs w:val="24"/>
        </w:rPr>
        <w:t>.</w:t>
      </w:r>
      <w:r>
        <w:rPr>
          <w:rFonts w:hint="eastAsia"/>
          <w:b/>
          <w:bCs w:val="0"/>
          <w:color w:val="auto"/>
          <w:szCs w:val="24"/>
        </w:rPr>
        <w:t>9</w:t>
      </w:r>
      <w:r>
        <w:rPr>
          <w:rFonts w:hint="eastAsia"/>
          <w:color w:val="auto"/>
          <w:szCs w:val="24"/>
        </w:rPr>
        <w:t xml:space="preserve">  </w:t>
      </w:r>
      <w:r>
        <w:rPr>
          <w:color w:val="auto"/>
          <w:szCs w:val="24"/>
        </w:rPr>
        <w:t>施工</w:t>
      </w:r>
      <w:r>
        <w:rPr>
          <w:rFonts w:hint="eastAsia"/>
          <w:color w:val="auto"/>
          <w:szCs w:val="24"/>
        </w:rPr>
        <w:t>现场</w:t>
      </w:r>
      <w:r>
        <w:rPr>
          <w:color w:val="auto"/>
          <w:szCs w:val="24"/>
        </w:rPr>
        <w:t>总配电</w:t>
      </w:r>
      <w:r>
        <w:rPr>
          <w:rFonts w:hint="eastAsia"/>
          <w:color w:val="auto"/>
          <w:szCs w:val="24"/>
        </w:rPr>
        <w:t>箱</w:t>
      </w:r>
      <w:r>
        <w:rPr>
          <w:color w:val="auto"/>
          <w:szCs w:val="24"/>
        </w:rPr>
        <w:t>（柜）、分配电箱、末级配电箱应具有合格证、试验报告及自我</w:t>
      </w:r>
      <w:r>
        <w:rPr>
          <w:rFonts w:hint="eastAsia"/>
          <w:color w:val="auto"/>
          <w:szCs w:val="24"/>
        </w:rPr>
        <w:t>声明</w:t>
      </w:r>
      <w:r>
        <w:rPr>
          <w:color w:val="auto"/>
          <w:szCs w:val="24"/>
        </w:rPr>
        <w:t>资料。</w:t>
      </w:r>
      <w:bookmarkStart w:id="222" w:name="_Hlk187506383"/>
    </w:p>
    <w:p w14:paraId="4A1D24A2">
      <w:pPr>
        <w:pStyle w:val="35"/>
        <w:spacing w:before="120" w:line="360" w:lineRule="auto"/>
        <w:rPr>
          <w:color w:val="auto"/>
          <w:szCs w:val="24"/>
        </w:rPr>
      </w:pPr>
      <w:bookmarkStart w:id="223" w:name="_Hlk225434880"/>
      <w:bookmarkStart w:id="224" w:name="OLE_LINK103"/>
      <w:bookmarkStart w:id="225" w:name="OLE_LINK89"/>
      <w:r>
        <w:rPr>
          <w:rFonts w:hint="eastAsia"/>
          <w:b/>
          <w:bCs w:val="0"/>
          <w:color w:val="auto"/>
          <w:szCs w:val="24"/>
        </w:rPr>
        <w:t>6</w:t>
      </w:r>
      <w:r>
        <w:rPr>
          <w:b/>
          <w:bCs w:val="0"/>
          <w:color w:val="auto"/>
          <w:szCs w:val="24"/>
        </w:rPr>
        <w:t>.</w:t>
      </w:r>
      <w:r>
        <w:rPr>
          <w:rFonts w:hint="eastAsia"/>
          <w:b/>
          <w:bCs w:val="0"/>
          <w:color w:val="auto"/>
          <w:szCs w:val="24"/>
        </w:rPr>
        <w:t>3</w:t>
      </w:r>
      <w:r>
        <w:rPr>
          <w:b/>
          <w:bCs w:val="0"/>
          <w:color w:val="auto"/>
          <w:szCs w:val="24"/>
        </w:rPr>
        <w:t>.</w:t>
      </w:r>
      <w:bookmarkEnd w:id="222"/>
      <w:r>
        <w:rPr>
          <w:b/>
          <w:bCs w:val="0"/>
          <w:color w:val="auto"/>
          <w:szCs w:val="24"/>
        </w:rPr>
        <w:t>1</w:t>
      </w:r>
      <w:r>
        <w:rPr>
          <w:rFonts w:hint="eastAsia"/>
          <w:b/>
          <w:bCs w:val="0"/>
          <w:color w:val="auto"/>
          <w:szCs w:val="24"/>
        </w:rPr>
        <w:t>0</w:t>
      </w:r>
      <w:bookmarkEnd w:id="223"/>
      <w:r>
        <w:rPr>
          <w:rFonts w:hint="eastAsia"/>
          <w:color w:val="auto"/>
          <w:szCs w:val="24"/>
        </w:rPr>
        <w:t xml:space="preserve"> 施工现场</w:t>
      </w:r>
      <w:r>
        <w:rPr>
          <w:color w:val="auto"/>
          <w:szCs w:val="24"/>
        </w:rPr>
        <w:t>低压配电系统的接地型式可采用</w:t>
      </w:r>
      <w:r>
        <w:rPr>
          <w:rFonts w:hint="eastAsia"/>
          <w:color w:val="auto"/>
          <w:szCs w:val="24"/>
        </w:rPr>
        <w:t>TN-S系统、TN-C-S系统及</w:t>
      </w:r>
      <w:r>
        <w:rPr>
          <w:color w:val="auto"/>
          <w:szCs w:val="24"/>
        </w:rPr>
        <w:t>TT系统。</w:t>
      </w:r>
    </w:p>
    <w:bookmarkEnd w:id="224"/>
    <w:bookmarkEnd w:id="225"/>
    <w:p w14:paraId="5B134446">
      <w:pPr>
        <w:pStyle w:val="35"/>
        <w:spacing w:before="120" w:line="360" w:lineRule="auto"/>
        <w:rPr>
          <w:color w:val="auto"/>
          <w:szCs w:val="24"/>
        </w:rPr>
      </w:pPr>
      <w:bookmarkStart w:id="226" w:name="OLE_LINK49"/>
      <w:bookmarkStart w:id="227" w:name="_Hlk190178455"/>
      <w:bookmarkStart w:id="228" w:name="_Toc27278"/>
      <w:bookmarkStart w:id="229" w:name="_Toc29229"/>
      <w:bookmarkStart w:id="230" w:name="_Toc16712"/>
      <w:bookmarkStart w:id="231" w:name="_Toc3457"/>
      <w:r>
        <w:rPr>
          <w:rFonts w:hint="eastAsia"/>
          <w:b/>
          <w:bCs w:val="0"/>
          <w:color w:val="auto"/>
          <w:szCs w:val="24"/>
        </w:rPr>
        <w:t>6</w:t>
      </w:r>
      <w:r>
        <w:rPr>
          <w:b/>
          <w:bCs w:val="0"/>
          <w:color w:val="auto"/>
          <w:szCs w:val="24"/>
        </w:rPr>
        <w:t>.</w:t>
      </w:r>
      <w:r>
        <w:rPr>
          <w:rFonts w:hint="eastAsia"/>
          <w:b/>
          <w:bCs w:val="0"/>
          <w:color w:val="auto"/>
          <w:szCs w:val="24"/>
        </w:rPr>
        <w:t>3</w:t>
      </w:r>
      <w:r>
        <w:rPr>
          <w:b/>
          <w:bCs w:val="0"/>
          <w:color w:val="auto"/>
          <w:szCs w:val="24"/>
        </w:rPr>
        <w:t>.</w:t>
      </w:r>
      <w:r>
        <w:rPr>
          <w:rFonts w:hint="eastAsia"/>
          <w:b/>
          <w:bCs w:val="0"/>
          <w:color w:val="auto"/>
          <w:szCs w:val="24"/>
        </w:rPr>
        <w:t>11</w:t>
      </w:r>
      <w:r>
        <w:rPr>
          <w:color w:val="auto"/>
          <w:szCs w:val="24"/>
        </w:rPr>
        <w:t xml:space="preserve"> </w:t>
      </w:r>
      <w:r>
        <w:rPr>
          <w:rFonts w:hint="eastAsia"/>
          <w:color w:val="auto"/>
          <w:szCs w:val="24"/>
        </w:rPr>
        <w:t xml:space="preserve"> </w:t>
      </w:r>
      <w:bookmarkStart w:id="232" w:name="OLE_LINK50"/>
      <w:r>
        <w:rPr>
          <w:rFonts w:hint="eastAsia"/>
          <w:color w:val="auto"/>
          <w:szCs w:val="24"/>
        </w:rPr>
        <w:t>配电系统的中性导体（N）截面积应根据负载特性选择；单相回路的中性导体（N）</w:t>
      </w:r>
      <w:bookmarkStart w:id="233" w:name="_Hlk198284235"/>
      <w:r>
        <w:rPr>
          <w:rFonts w:hint="eastAsia"/>
          <w:color w:val="auto"/>
          <w:szCs w:val="24"/>
        </w:rPr>
        <w:t>截面积</w:t>
      </w:r>
      <w:bookmarkEnd w:id="233"/>
      <w:r>
        <w:rPr>
          <w:rFonts w:hint="eastAsia"/>
          <w:color w:val="auto"/>
          <w:szCs w:val="24"/>
        </w:rPr>
        <w:t>应与相导体截面积相同。</w:t>
      </w:r>
      <w:bookmarkEnd w:id="226"/>
      <w:bookmarkEnd w:id="232"/>
    </w:p>
    <w:p w14:paraId="0D2F2114">
      <w:pPr>
        <w:pStyle w:val="35"/>
        <w:spacing w:before="120" w:line="360" w:lineRule="auto"/>
        <w:rPr>
          <w:bCs w:val="0"/>
          <w:color w:val="auto"/>
          <w:szCs w:val="24"/>
        </w:rPr>
      </w:pPr>
      <w:bookmarkStart w:id="234" w:name="_Hlk201138064"/>
      <w:r>
        <w:rPr>
          <w:rFonts w:hint="eastAsia"/>
          <w:b/>
          <w:bCs w:val="0"/>
          <w:color w:val="auto"/>
          <w:szCs w:val="24"/>
        </w:rPr>
        <w:t>6</w:t>
      </w:r>
      <w:r>
        <w:rPr>
          <w:b/>
          <w:bCs w:val="0"/>
          <w:color w:val="auto"/>
          <w:szCs w:val="24"/>
        </w:rPr>
        <w:t>.</w:t>
      </w:r>
      <w:r>
        <w:rPr>
          <w:rFonts w:hint="eastAsia"/>
          <w:b/>
          <w:bCs w:val="0"/>
          <w:color w:val="auto"/>
          <w:szCs w:val="24"/>
        </w:rPr>
        <w:t>3</w:t>
      </w:r>
      <w:r>
        <w:rPr>
          <w:b/>
          <w:bCs w:val="0"/>
          <w:color w:val="auto"/>
          <w:szCs w:val="24"/>
        </w:rPr>
        <w:t>.</w:t>
      </w:r>
      <w:bookmarkEnd w:id="227"/>
      <w:r>
        <w:rPr>
          <w:rFonts w:hint="eastAsia"/>
          <w:b/>
          <w:bCs w:val="0"/>
          <w:color w:val="auto"/>
          <w:szCs w:val="24"/>
        </w:rPr>
        <w:t>12</w:t>
      </w:r>
      <w:r>
        <w:rPr>
          <w:color w:val="auto"/>
          <w:szCs w:val="24"/>
        </w:rPr>
        <w:t xml:space="preserve"> </w:t>
      </w:r>
      <w:r>
        <w:rPr>
          <w:rFonts w:hint="eastAsia"/>
          <w:color w:val="auto"/>
          <w:szCs w:val="24"/>
        </w:rPr>
        <w:t xml:space="preserve"> </w:t>
      </w:r>
      <w:bookmarkStart w:id="235" w:name="_Hlk234311153"/>
      <w:r>
        <w:rPr>
          <w:color w:val="auto"/>
          <w:szCs w:val="24"/>
        </w:rPr>
        <w:t>TN-S系统中</w:t>
      </w:r>
      <w:bookmarkEnd w:id="235"/>
      <w:r>
        <w:rPr>
          <w:color w:val="auto"/>
          <w:szCs w:val="24"/>
        </w:rPr>
        <w:t>，保护接地导体（PE）应符合下列规定：</w:t>
      </w:r>
      <w:bookmarkEnd w:id="228"/>
      <w:bookmarkEnd w:id="229"/>
      <w:bookmarkEnd w:id="230"/>
      <w:bookmarkEnd w:id="231"/>
    </w:p>
    <w:p w14:paraId="6414A21A">
      <w:pPr>
        <w:pStyle w:val="37"/>
        <w:spacing w:before="120" w:line="360" w:lineRule="auto"/>
        <w:rPr>
          <w:bCs w:val="0"/>
          <w:color w:val="auto"/>
          <w:sz w:val="24"/>
          <w:szCs w:val="24"/>
        </w:rPr>
      </w:pPr>
      <w:r>
        <w:rPr>
          <w:b/>
          <w:color w:val="auto"/>
          <w:sz w:val="24"/>
          <w:szCs w:val="24"/>
        </w:rPr>
        <w:t xml:space="preserve">1  </w:t>
      </w:r>
      <w:r>
        <w:rPr>
          <w:bCs w:val="0"/>
          <w:color w:val="auto"/>
          <w:sz w:val="24"/>
          <w:szCs w:val="24"/>
        </w:rPr>
        <w:t>总配电箱（柜）及室外分配电箱处的保护接地导体（PE）应做接地；</w:t>
      </w:r>
      <w:bookmarkEnd w:id="234"/>
    </w:p>
    <w:p w14:paraId="069BB53D">
      <w:pPr>
        <w:pStyle w:val="37"/>
        <w:spacing w:before="120" w:line="360" w:lineRule="auto"/>
        <w:rPr>
          <w:bCs w:val="0"/>
          <w:color w:val="auto"/>
          <w:sz w:val="24"/>
          <w:szCs w:val="24"/>
        </w:rPr>
      </w:pPr>
      <w:r>
        <w:rPr>
          <w:b/>
          <w:color w:val="auto"/>
          <w:sz w:val="24"/>
          <w:szCs w:val="24"/>
        </w:rPr>
        <w:t xml:space="preserve">2  </w:t>
      </w:r>
      <w:r>
        <w:rPr>
          <w:bCs w:val="0"/>
          <w:color w:val="auto"/>
          <w:sz w:val="24"/>
          <w:szCs w:val="24"/>
        </w:rPr>
        <w:t>保护接地导体（PE）材质应与相导体相同，保护接地导体（PE）的最小截面积应符合表</w:t>
      </w:r>
      <w:r>
        <w:rPr>
          <w:rFonts w:hint="eastAsia"/>
          <w:bCs w:val="0"/>
          <w:color w:val="auto"/>
          <w:sz w:val="24"/>
          <w:szCs w:val="24"/>
        </w:rPr>
        <w:t>6</w:t>
      </w:r>
      <w:r>
        <w:rPr>
          <w:bCs w:val="0"/>
          <w:color w:val="auto"/>
          <w:sz w:val="24"/>
          <w:szCs w:val="24"/>
        </w:rPr>
        <w:t>.3.12的规定。</w:t>
      </w:r>
    </w:p>
    <w:p w14:paraId="1E8486F5">
      <w:pPr>
        <w:pStyle w:val="40"/>
        <w:spacing w:before="120" w:line="360" w:lineRule="auto"/>
        <w:rPr>
          <w:color w:val="auto"/>
          <w:szCs w:val="21"/>
        </w:rPr>
      </w:pPr>
      <w:r>
        <w:rPr>
          <w:b/>
          <w:bCs w:val="0"/>
          <w:color w:val="auto"/>
          <w:szCs w:val="21"/>
        </w:rPr>
        <w:t>表</w:t>
      </w:r>
      <w:r>
        <w:rPr>
          <w:rFonts w:hint="eastAsia"/>
          <w:b/>
          <w:bCs w:val="0"/>
          <w:color w:val="auto"/>
          <w:szCs w:val="21"/>
        </w:rPr>
        <w:t>6</w:t>
      </w:r>
      <w:r>
        <w:rPr>
          <w:b/>
          <w:bCs w:val="0"/>
          <w:color w:val="auto"/>
          <w:szCs w:val="21"/>
        </w:rPr>
        <w:t>.3.12保护接地导体（PE）的最小截面积</w:t>
      </w:r>
    </w:p>
    <w:tbl>
      <w:tblPr>
        <w:tblStyle w:val="1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724"/>
        <w:gridCol w:w="4395"/>
      </w:tblGrid>
      <w:tr w14:paraId="6E029E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724" w:type="dxa"/>
          </w:tcPr>
          <w:p w14:paraId="5D3A1568">
            <w:pPr>
              <w:spacing w:line="360" w:lineRule="auto"/>
              <w:jc w:val="center"/>
              <w:rPr>
                <w:szCs w:val="21"/>
              </w:rPr>
            </w:pPr>
            <w:r>
              <w:rPr>
                <w:szCs w:val="21"/>
              </w:rPr>
              <w:t>相导体截面积（mm</w:t>
            </w:r>
            <w:r>
              <w:rPr>
                <w:szCs w:val="21"/>
                <w:vertAlign w:val="superscript"/>
              </w:rPr>
              <w:t>2</w:t>
            </w:r>
            <w:r>
              <w:rPr>
                <w:szCs w:val="21"/>
              </w:rPr>
              <w:t>）</w:t>
            </w:r>
          </w:p>
        </w:tc>
        <w:tc>
          <w:tcPr>
            <w:tcW w:w="4395" w:type="dxa"/>
          </w:tcPr>
          <w:p w14:paraId="18541DA9">
            <w:pPr>
              <w:spacing w:line="360" w:lineRule="auto"/>
              <w:jc w:val="center"/>
              <w:rPr>
                <w:szCs w:val="21"/>
              </w:rPr>
            </w:pPr>
            <w:r>
              <w:rPr>
                <w:szCs w:val="21"/>
              </w:rPr>
              <w:t>保护接地导体（PE）最小截面积（mm</w:t>
            </w:r>
            <w:r>
              <w:rPr>
                <w:szCs w:val="21"/>
                <w:vertAlign w:val="superscript"/>
              </w:rPr>
              <w:t>2</w:t>
            </w:r>
            <w:r>
              <w:rPr>
                <w:szCs w:val="21"/>
              </w:rPr>
              <w:t>）</w:t>
            </w:r>
          </w:p>
        </w:tc>
      </w:tr>
      <w:tr w14:paraId="1C5B1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724" w:type="dxa"/>
          </w:tcPr>
          <w:p w14:paraId="7597F5B0">
            <w:pPr>
              <w:spacing w:line="360" w:lineRule="auto"/>
              <w:jc w:val="center"/>
              <w:rPr>
                <w:szCs w:val="21"/>
              </w:rPr>
            </w:pPr>
            <w:r>
              <w:rPr>
                <w:szCs w:val="21"/>
              </w:rPr>
              <w:t>S≤16</w:t>
            </w:r>
          </w:p>
        </w:tc>
        <w:tc>
          <w:tcPr>
            <w:tcW w:w="4395" w:type="dxa"/>
          </w:tcPr>
          <w:p w14:paraId="61B94A0F">
            <w:pPr>
              <w:spacing w:line="360" w:lineRule="auto"/>
              <w:jc w:val="center"/>
              <w:rPr>
                <w:szCs w:val="21"/>
              </w:rPr>
            </w:pPr>
            <w:r>
              <w:rPr>
                <w:szCs w:val="21"/>
              </w:rPr>
              <w:t>S</w:t>
            </w:r>
          </w:p>
        </w:tc>
      </w:tr>
      <w:tr w14:paraId="1F0B4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724" w:type="dxa"/>
          </w:tcPr>
          <w:p w14:paraId="6E40DFAF">
            <w:pPr>
              <w:spacing w:line="360" w:lineRule="auto"/>
              <w:jc w:val="center"/>
              <w:rPr>
                <w:szCs w:val="21"/>
              </w:rPr>
            </w:pPr>
            <w:r>
              <w:rPr>
                <w:szCs w:val="21"/>
              </w:rPr>
              <w:t>16&lt;S≤35</w:t>
            </w:r>
          </w:p>
        </w:tc>
        <w:tc>
          <w:tcPr>
            <w:tcW w:w="4395" w:type="dxa"/>
          </w:tcPr>
          <w:p w14:paraId="49D22CBE">
            <w:pPr>
              <w:spacing w:line="360" w:lineRule="auto"/>
              <w:jc w:val="center"/>
              <w:rPr>
                <w:szCs w:val="21"/>
              </w:rPr>
            </w:pPr>
            <w:r>
              <w:rPr>
                <w:szCs w:val="21"/>
              </w:rPr>
              <w:t>16</w:t>
            </w:r>
          </w:p>
        </w:tc>
      </w:tr>
      <w:tr w14:paraId="18A445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724" w:type="dxa"/>
          </w:tcPr>
          <w:p w14:paraId="0F648B64">
            <w:pPr>
              <w:spacing w:line="360" w:lineRule="auto"/>
              <w:jc w:val="center"/>
              <w:rPr>
                <w:szCs w:val="21"/>
              </w:rPr>
            </w:pPr>
            <w:r>
              <w:rPr>
                <w:szCs w:val="21"/>
              </w:rPr>
              <w:t>S&gt;35</w:t>
            </w:r>
          </w:p>
        </w:tc>
        <w:tc>
          <w:tcPr>
            <w:tcW w:w="4395" w:type="dxa"/>
          </w:tcPr>
          <w:p w14:paraId="1F4441FD">
            <w:pPr>
              <w:spacing w:line="360" w:lineRule="auto"/>
              <w:jc w:val="center"/>
              <w:rPr>
                <w:szCs w:val="21"/>
              </w:rPr>
            </w:pPr>
            <w:r>
              <w:rPr>
                <w:szCs w:val="21"/>
              </w:rPr>
              <w:t>S/2</w:t>
            </w:r>
          </w:p>
        </w:tc>
      </w:tr>
    </w:tbl>
    <w:p w14:paraId="710746A0">
      <w:pPr>
        <w:pStyle w:val="35"/>
        <w:spacing w:before="120" w:line="360" w:lineRule="auto"/>
        <w:rPr>
          <w:color w:val="auto"/>
          <w:szCs w:val="24"/>
        </w:rPr>
      </w:pPr>
      <w:bookmarkStart w:id="236" w:name="_Hlk190178527"/>
      <w:bookmarkStart w:id="237" w:name="_Hlk225435095"/>
      <w:r>
        <w:rPr>
          <w:rFonts w:hint="eastAsia"/>
          <w:b/>
          <w:bCs w:val="0"/>
          <w:color w:val="auto"/>
          <w:szCs w:val="24"/>
        </w:rPr>
        <w:t>6</w:t>
      </w:r>
      <w:r>
        <w:rPr>
          <w:b/>
          <w:bCs w:val="0"/>
          <w:color w:val="auto"/>
          <w:szCs w:val="24"/>
        </w:rPr>
        <w:t>.</w:t>
      </w:r>
      <w:r>
        <w:rPr>
          <w:rFonts w:hint="eastAsia"/>
          <w:b/>
          <w:bCs w:val="0"/>
          <w:color w:val="auto"/>
          <w:szCs w:val="24"/>
        </w:rPr>
        <w:t>3</w:t>
      </w:r>
      <w:r>
        <w:rPr>
          <w:b/>
          <w:bCs w:val="0"/>
          <w:color w:val="auto"/>
          <w:szCs w:val="24"/>
        </w:rPr>
        <w:t>.</w:t>
      </w:r>
      <w:bookmarkEnd w:id="236"/>
      <w:r>
        <w:rPr>
          <w:rFonts w:hint="eastAsia"/>
          <w:b/>
          <w:bCs w:val="0"/>
          <w:color w:val="auto"/>
          <w:szCs w:val="24"/>
        </w:rPr>
        <w:t>13</w:t>
      </w:r>
      <w:bookmarkEnd w:id="237"/>
      <w:r>
        <w:rPr>
          <w:rFonts w:hint="eastAsia"/>
          <w:color w:val="auto"/>
          <w:szCs w:val="24"/>
        </w:rPr>
        <w:t xml:space="preserve">  </w:t>
      </w:r>
      <w:r>
        <w:rPr>
          <w:color w:val="auto"/>
          <w:szCs w:val="24"/>
        </w:rPr>
        <w:t>TN-C-S系统中</w:t>
      </w:r>
      <w:r>
        <w:rPr>
          <w:rFonts w:hint="eastAsia"/>
          <w:color w:val="auto"/>
          <w:szCs w:val="24"/>
        </w:rPr>
        <w:t>，应在</w:t>
      </w:r>
      <w:r>
        <w:rPr>
          <w:color w:val="auto"/>
          <w:szCs w:val="24"/>
        </w:rPr>
        <w:t>总配电箱</w:t>
      </w:r>
      <w:bookmarkStart w:id="238" w:name="_Hlk203057077"/>
      <w:r>
        <w:rPr>
          <w:rFonts w:hint="eastAsia"/>
          <w:color w:val="auto"/>
          <w:szCs w:val="24"/>
        </w:rPr>
        <w:t>（柜）</w:t>
      </w:r>
      <w:bookmarkEnd w:id="238"/>
      <w:r>
        <w:rPr>
          <w:rFonts w:hint="eastAsia"/>
          <w:color w:val="auto"/>
          <w:szCs w:val="24"/>
        </w:rPr>
        <w:t>处将保护接地中性导体（PEN）</w:t>
      </w:r>
      <w:r>
        <w:rPr>
          <w:color w:val="auto"/>
          <w:szCs w:val="24"/>
        </w:rPr>
        <w:t>分</w:t>
      </w:r>
      <w:r>
        <w:rPr>
          <w:rFonts w:hint="eastAsia"/>
          <w:color w:val="auto"/>
          <w:szCs w:val="24"/>
        </w:rPr>
        <w:t>为</w:t>
      </w:r>
      <w:r>
        <w:rPr>
          <w:color w:val="auto"/>
          <w:szCs w:val="24"/>
        </w:rPr>
        <w:t>中性导体（N）</w:t>
      </w:r>
      <w:r>
        <w:rPr>
          <w:rFonts w:hint="eastAsia"/>
          <w:color w:val="auto"/>
          <w:szCs w:val="24"/>
        </w:rPr>
        <w:t>、</w:t>
      </w:r>
      <w:r>
        <w:rPr>
          <w:color w:val="auto"/>
          <w:szCs w:val="24"/>
        </w:rPr>
        <w:t>保护接地导体（PE</w:t>
      </w:r>
      <w:r>
        <w:rPr>
          <w:rFonts w:hint="eastAsia"/>
          <w:color w:val="auto"/>
          <w:szCs w:val="24"/>
        </w:rPr>
        <w:t>）；之</w:t>
      </w:r>
      <w:r>
        <w:rPr>
          <w:color w:val="auto"/>
          <w:szCs w:val="24"/>
        </w:rPr>
        <w:t>后不应再合并</w:t>
      </w:r>
      <w:r>
        <w:rPr>
          <w:rFonts w:hint="eastAsia"/>
          <w:color w:val="auto"/>
          <w:szCs w:val="24"/>
        </w:rPr>
        <w:t>。</w:t>
      </w:r>
    </w:p>
    <w:p w14:paraId="3F2D4988">
      <w:pPr>
        <w:pStyle w:val="35"/>
        <w:spacing w:before="120" w:line="360" w:lineRule="auto"/>
        <w:rPr>
          <w:color w:val="auto"/>
          <w:szCs w:val="24"/>
        </w:rPr>
      </w:pPr>
      <w:r>
        <w:rPr>
          <w:rFonts w:hint="eastAsia"/>
          <w:b/>
          <w:bCs w:val="0"/>
          <w:color w:val="auto"/>
          <w:szCs w:val="24"/>
        </w:rPr>
        <w:t>6</w:t>
      </w:r>
      <w:r>
        <w:rPr>
          <w:b/>
          <w:bCs w:val="0"/>
          <w:color w:val="auto"/>
          <w:szCs w:val="24"/>
        </w:rPr>
        <w:t>.</w:t>
      </w:r>
      <w:r>
        <w:rPr>
          <w:rFonts w:hint="eastAsia"/>
          <w:b/>
          <w:bCs w:val="0"/>
          <w:color w:val="auto"/>
          <w:szCs w:val="24"/>
        </w:rPr>
        <w:t>3</w:t>
      </w:r>
      <w:r>
        <w:rPr>
          <w:b/>
          <w:bCs w:val="0"/>
          <w:color w:val="auto"/>
          <w:szCs w:val="24"/>
        </w:rPr>
        <w:t>.</w:t>
      </w:r>
      <w:r>
        <w:rPr>
          <w:rFonts w:hint="eastAsia"/>
          <w:b/>
          <w:bCs w:val="0"/>
          <w:color w:val="auto"/>
          <w:szCs w:val="24"/>
        </w:rPr>
        <w:t xml:space="preserve">14  </w:t>
      </w:r>
      <w:r>
        <w:rPr>
          <w:color w:val="auto"/>
          <w:szCs w:val="24"/>
        </w:rPr>
        <w:t>保护接地</w:t>
      </w:r>
      <w:r>
        <w:rPr>
          <w:rFonts w:hint="eastAsia"/>
          <w:color w:val="auto"/>
          <w:szCs w:val="24"/>
        </w:rPr>
        <w:t>导体</w:t>
      </w:r>
      <w:r>
        <w:rPr>
          <w:color w:val="auto"/>
          <w:szCs w:val="24"/>
        </w:rPr>
        <w:t>（PE）汇流排与中性</w:t>
      </w:r>
      <w:r>
        <w:rPr>
          <w:rFonts w:hint="eastAsia"/>
          <w:color w:val="auto"/>
          <w:szCs w:val="24"/>
        </w:rPr>
        <w:t>导体</w:t>
      </w:r>
      <w:r>
        <w:rPr>
          <w:color w:val="auto"/>
          <w:szCs w:val="24"/>
        </w:rPr>
        <w:t>（N）汇流排</w:t>
      </w:r>
      <w:r>
        <w:rPr>
          <w:rFonts w:hint="eastAsia"/>
          <w:color w:val="auto"/>
          <w:szCs w:val="24"/>
        </w:rPr>
        <w:t>的</w:t>
      </w:r>
      <w:r>
        <w:rPr>
          <w:color w:val="auto"/>
          <w:szCs w:val="24"/>
        </w:rPr>
        <w:t>跨接导体截面积不应小于保护接地</w:t>
      </w:r>
      <w:r>
        <w:rPr>
          <w:rFonts w:hint="eastAsia"/>
          <w:color w:val="auto"/>
          <w:szCs w:val="24"/>
        </w:rPr>
        <w:t>导体</w:t>
      </w:r>
      <w:r>
        <w:rPr>
          <w:color w:val="auto"/>
          <w:szCs w:val="24"/>
        </w:rPr>
        <w:t>（PE）汇流排的截面积</w:t>
      </w:r>
      <w:r>
        <w:rPr>
          <w:rFonts w:hint="eastAsia"/>
          <w:color w:val="auto"/>
          <w:szCs w:val="24"/>
        </w:rPr>
        <w:t>。</w:t>
      </w:r>
    </w:p>
    <w:p w14:paraId="476AC557">
      <w:pPr>
        <w:pStyle w:val="35"/>
        <w:spacing w:before="120" w:line="360" w:lineRule="auto"/>
        <w:rPr>
          <w:color w:val="auto"/>
          <w:szCs w:val="24"/>
        </w:rPr>
      </w:pPr>
      <w:bookmarkStart w:id="239" w:name="_Hlk225435217"/>
      <w:bookmarkStart w:id="240" w:name="OLE_LINK109"/>
      <w:bookmarkStart w:id="241" w:name="OLE_LINK104"/>
      <w:r>
        <w:rPr>
          <w:rFonts w:hint="eastAsia"/>
          <w:b/>
          <w:bCs w:val="0"/>
          <w:color w:val="auto"/>
          <w:szCs w:val="24"/>
        </w:rPr>
        <w:t>6</w:t>
      </w:r>
      <w:r>
        <w:rPr>
          <w:b/>
          <w:bCs w:val="0"/>
          <w:color w:val="auto"/>
          <w:szCs w:val="24"/>
        </w:rPr>
        <w:t>.</w:t>
      </w:r>
      <w:r>
        <w:rPr>
          <w:rFonts w:hint="eastAsia"/>
          <w:b/>
          <w:bCs w:val="0"/>
          <w:color w:val="auto"/>
          <w:szCs w:val="24"/>
        </w:rPr>
        <w:t>3</w:t>
      </w:r>
      <w:r>
        <w:rPr>
          <w:b/>
          <w:bCs w:val="0"/>
          <w:color w:val="auto"/>
          <w:szCs w:val="24"/>
        </w:rPr>
        <w:t>.</w:t>
      </w:r>
      <w:r>
        <w:rPr>
          <w:rFonts w:hint="eastAsia"/>
          <w:b/>
          <w:bCs w:val="0"/>
          <w:color w:val="auto"/>
          <w:szCs w:val="24"/>
        </w:rPr>
        <w:t>15</w:t>
      </w:r>
      <w:bookmarkEnd w:id="239"/>
      <w:r>
        <w:rPr>
          <w:rFonts w:hint="eastAsia"/>
          <w:color w:val="auto"/>
          <w:szCs w:val="24"/>
        </w:rPr>
        <w:t xml:space="preserve">  </w:t>
      </w:r>
      <w:r>
        <w:rPr>
          <w:color w:val="auto"/>
          <w:szCs w:val="24"/>
        </w:rPr>
        <w:t>对于没有条件设置等电位联结的</w:t>
      </w:r>
      <w:r>
        <w:rPr>
          <w:rFonts w:hint="eastAsia"/>
          <w:color w:val="auto"/>
          <w:szCs w:val="24"/>
        </w:rPr>
        <w:t>室</w:t>
      </w:r>
      <w:r>
        <w:rPr>
          <w:color w:val="auto"/>
          <w:szCs w:val="24"/>
        </w:rPr>
        <w:t>外场所</w:t>
      </w:r>
      <w:r>
        <w:rPr>
          <w:rFonts w:hint="eastAsia"/>
          <w:color w:val="auto"/>
          <w:szCs w:val="24"/>
        </w:rPr>
        <w:t>，</w:t>
      </w:r>
      <w:r>
        <w:rPr>
          <w:color w:val="auto"/>
          <w:szCs w:val="24"/>
        </w:rPr>
        <w:t>可在低压配电系统的局部范围内采用TT系统</w:t>
      </w:r>
      <w:r>
        <w:rPr>
          <w:rFonts w:hint="eastAsia"/>
          <w:color w:val="auto"/>
          <w:szCs w:val="24"/>
        </w:rPr>
        <w:t>，</w:t>
      </w:r>
      <w:r>
        <w:rPr>
          <w:color w:val="auto"/>
          <w:szCs w:val="24"/>
        </w:rPr>
        <w:t>出线</w:t>
      </w:r>
      <w:r>
        <w:rPr>
          <w:rFonts w:hint="eastAsia"/>
          <w:color w:val="auto"/>
          <w:szCs w:val="24"/>
        </w:rPr>
        <w:t>端防护电器</w:t>
      </w:r>
      <w:r>
        <w:rPr>
          <w:color w:val="auto"/>
          <w:szCs w:val="24"/>
        </w:rPr>
        <w:t>应</w:t>
      </w:r>
      <w:r>
        <w:rPr>
          <w:rFonts w:hint="eastAsia"/>
          <w:color w:val="auto"/>
          <w:szCs w:val="24"/>
        </w:rPr>
        <w:t>具有</w:t>
      </w:r>
      <w:r>
        <w:rPr>
          <w:color w:val="auto"/>
          <w:szCs w:val="24"/>
        </w:rPr>
        <w:t>剩余电流动作保护功能</w:t>
      </w:r>
      <w:r>
        <w:rPr>
          <w:rFonts w:hint="eastAsia"/>
          <w:color w:val="auto"/>
          <w:szCs w:val="24"/>
        </w:rPr>
        <w:t>。</w:t>
      </w:r>
      <w:bookmarkStart w:id="242" w:name="_Toc21836"/>
      <w:bookmarkStart w:id="243" w:name="_Toc19174"/>
      <w:bookmarkStart w:id="244" w:name="_Toc24208"/>
      <w:bookmarkStart w:id="245" w:name="_Toc30564"/>
    </w:p>
    <w:bookmarkEnd w:id="240"/>
    <w:bookmarkEnd w:id="241"/>
    <w:p w14:paraId="662179C3">
      <w:pPr>
        <w:pStyle w:val="35"/>
        <w:spacing w:before="120" w:line="360" w:lineRule="auto"/>
        <w:rPr>
          <w:bCs w:val="0"/>
          <w:color w:val="auto"/>
          <w:szCs w:val="24"/>
        </w:rPr>
      </w:pPr>
      <w:bookmarkStart w:id="246" w:name="_Hlk225435432"/>
      <w:r>
        <w:rPr>
          <w:rFonts w:hint="eastAsia"/>
          <w:b/>
          <w:bCs w:val="0"/>
          <w:color w:val="auto"/>
          <w:szCs w:val="24"/>
        </w:rPr>
        <w:t>6</w:t>
      </w:r>
      <w:r>
        <w:rPr>
          <w:b/>
          <w:bCs w:val="0"/>
          <w:color w:val="auto"/>
          <w:szCs w:val="24"/>
        </w:rPr>
        <w:t>.</w:t>
      </w:r>
      <w:r>
        <w:rPr>
          <w:rFonts w:hint="eastAsia"/>
          <w:b/>
          <w:bCs w:val="0"/>
          <w:color w:val="auto"/>
          <w:szCs w:val="24"/>
        </w:rPr>
        <w:t>3</w:t>
      </w:r>
      <w:r>
        <w:rPr>
          <w:b/>
          <w:bCs w:val="0"/>
          <w:color w:val="auto"/>
          <w:szCs w:val="24"/>
        </w:rPr>
        <w:t>.</w:t>
      </w:r>
      <w:bookmarkEnd w:id="242"/>
      <w:bookmarkEnd w:id="243"/>
      <w:bookmarkEnd w:id="244"/>
      <w:bookmarkEnd w:id="245"/>
      <w:r>
        <w:rPr>
          <w:rFonts w:hint="eastAsia"/>
          <w:b/>
          <w:bCs w:val="0"/>
          <w:color w:val="auto"/>
          <w:szCs w:val="24"/>
        </w:rPr>
        <w:t>16</w:t>
      </w:r>
      <w:bookmarkEnd w:id="246"/>
      <w:r>
        <w:rPr>
          <w:rFonts w:hint="eastAsia"/>
          <w:b/>
          <w:bCs w:val="0"/>
          <w:color w:val="auto"/>
          <w:szCs w:val="24"/>
        </w:rPr>
        <w:t xml:space="preserve">  </w:t>
      </w:r>
      <w:r>
        <w:rPr>
          <w:color w:val="auto"/>
          <w:szCs w:val="24"/>
        </w:rPr>
        <w:t>当采用TT系统时，每一回路应装设剩余电流动作保护电器</w:t>
      </w:r>
      <w:r>
        <w:rPr>
          <w:rFonts w:hint="eastAsia"/>
          <w:color w:val="auto"/>
          <w:szCs w:val="24"/>
        </w:rPr>
        <w:t>，保护电器应</w:t>
      </w:r>
      <w:r>
        <w:rPr>
          <w:color w:val="auto"/>
          <w:szCs w:val="24"/>
        </w:rPr>
        <w:t>在规定时间内切断电源</w:t>
      </w:r>
      <w:r>
        <w:rPr>
          <w:rFonts w:hint="eastAsia"/>
          <w:color w:val="auto"/>
          <w:szCs w:val="24"/>
        </w:rPr>
        <w:t>并</w:t>
      </w:r>
      <w:r>
        <w:rPr>
          <w:color w:val="auto"/>
          <w:szCs w:val="24"/>
        </w:rPr>
        <w:t>符合</w:t>
      </w:r>
      <w:r>
        <w:rPr>
          <w:rFonts w:hint="eastAsia"/>
          <w:color w:val="auto"/>
          <w:szCs w:val="24"/>
        </w:rPr>
        <w:t>式6</w:t>
      </w:r>
      <w:r>
        <w:rPr>
          <w:color w:val="auto"/>
          <w:szCs w:val="24"/>
        </w:rPr>
        <w:t>.</w:t>
      </w:r>
      <w:r>
        <w:rPr>
          <w:rFonts w:hint="eastAsia"/>
          <w:color w:val="auto"/>
          <w:szCs w:val="24"/>
        </w:rPr>
        <w:t>3</w:t>
      </w:r>
      <w:r>
        <w:rPr>
          <w:color w:val="auto"/>
          <w:szCs w:val="24"/>
        </w:rPr>
        <w:t>.</w:t>
      </w:r>
      <w:r>
        <w:rPr>
          <w:rFonts w:hint="eastAsia"/>
          <w:color w:val="auto"/>
          <w:szCs w:val="24"/>
        </w:rPr>
        <w:t>16的</w:t>
      </w:r>
      <w:r>
        <w:rPr>
          <w:color w:val="auto"/>
          <w:szCs w:val="24"/>
        </w:rPr>
        <w:t>规定：</w:t>
      </w:r>
    </w:p>
    <w:p w14:paraId="2D4921E8">
      <w:pPr>
        <w:spacing w:line="360" w:lineRule="auto"/>
        <w:jc w:val="right"/>
        <w:rPr>
          <w:sz w:val="24"/>
          <w:szCs w:val="24"/>
        </w:rPr>
      </w:pPr>
      <w:r>
        <w:rPr>
          <w:sz w:val="24"/>
          <w:szCs w:val="24"/>
        </w:rPr>
        <w:t>R</w:t>
      </w:r>
      <w:r>
        <w:rPr>
          <w:sz w:val="24"/>
          <w:szCs w:val="24"/>
          <w:vertAlign w:val="subscript"/>
        </w:rPr>
        <w:t>A</w:t>
      </w:r>
      <w:r>
        <w:rPr>
          <w:sz w:val="24"/>
          <w:szCs w:val="24"/>
        </w:rPr>
        <w:t>×</w:t>
      </w:r>
      <w:bookmarkStart w:id="247" w:name="OLE_LINK20"/>
      <w:r>
        <w:rPr>
          <w:sz w:val="24"/>
          <w:szCs w:val="24"/>
        </w:rPr>
        <w:t>I</w:t>
      </w:r>
      <w:r>
        <w:rPr>
          <w:rFonts w:hint="eastAsia" w:ascii="宋体" w:hAnsi="宋体" w:cs="宋体"/>
          <w:sz w:val="24"/>
          <w:szCs w:val="24"/>
          <w:vertAlign w:val="subscript"/>
        </w:rPr>
        <w:t>△</w:t>
      </w:r>
      <w:r>
        <w:rPr>
          <w:rFonts w:ascii="宋体" w:hAnsi="宋体" w:cs="宋体"/>
          <w:sz w:val="24"/>
          <w:szCs w:val="24"/>
          <w:vertAlign w:val="subscript"/>
        </w:rPr>
        <w:t>n</w:t>
      </w:r>
      <w:bookmarkEnd w:id="247"/>
      <w:r>
        <w:rPr>
          <w:rFonts w:hint="eastAsia"/>
          <w:sz w:val="24"/>
          <w:szCs w:val="24"/>
        </w:rPr>
        <w:t>≤</w:t>
      </w:r>
      <w:r>
        <w:rPr>
          <w:sz w:val="24"/>
          <w:szCs w:val="24"/>
        </w:rPr>
        <w:t>50V</w:t>
      </w:r>
      <w:r>
        <w:rPr>
          <w:rFonts w:hint="eastAsia"/>
          <w:sz w:val="24"/>
          <w:szCs w:val="24"/>
        </w:rPr>
        <w:t xml:space="preserve">                           (6</w:t>
      </w:r>
      <w:r>
        <w:rPr>
          <w:sz w:val="24"/>
          <w:szCs w:val="24"/>
        </w:rPr>
        <w:t>.</w:t>
      </w:r>
      <w:r>
        <w:rPr>
          <w:rFonts w:hint="eastAsia"/>
          <w:sz w:val="24"/>
          <w:szCs w:val="24"/>
        </w:rPr>
        <w:t>3</w:t>
      </w:r>
      <w:r>
        <w:rPr>
          <w:sz w:val="24"/>
          <w:szCs w:val="24"/>
        </w:rPr>
        <w:t>.</w:t>
      </w:r>
      <w:r>
        <w:rPr>
          <w:rFonts w:hint="eastAsia"/>
          <w:sz w:val="24"/>
          <w:szCs w:val="24"/>
        </w:rPr>
        <w:t>16)</w:t>
      </w:r>
    </w:p>
    <w:p w14:paraId="69A6829E">
      <w:pPr>
        <w:spacing w:line="360" w:lineRule="auto"/>
        <w:rPr>
          <w:sz w:val="24"/>
          <w:szCs w:val="24"/>
        </w:rPr>
      </w:pPr>
      <w:r>
        <w:rPr>
          <w:sz w:val="24"/>
          <w:szCs w:val="24"/>
        </w:rPr>
        <w:t>式中：R</w:t>
      </w:r>
      <w:r>
        <w:rPr>
          <w:sz w:val="24"/>
          <w:szCs w:val="24"/>
          <w:vertAlign w:val="subscript"/>
        </w:rPr>
        <w:t>A</w:t>
      </w:r>
      <w:r>
        <w:rPr>
          <w:kern w:val="0"/>
          <w:sz w:val="24"/>
          <w:szCs w:val="24"/>
          <w:lang w:bidi="en-US"/>
        </w:rPr>
        <w:t>—接地极和</w:t>
      </w:r>
      <w:r>
        <w:rPr>
          <w:sz w:val="24"/>
          <w:szCs w:val="24"/>
        </w:rPr>
        <w:t>外露可导电部分的保护接地导体电阻之和（Ω）；</w:t>
      </w:r>
    </w:p>
    <w:p w14:paraId="33EDD039">
      <w:pPr>
        <w:snapToGrid w:val="0"/>
        <w:spacing w:line="360" w:lineRule="auto"/>
        <w:ind w:firstLine="720" w:firstLineChars="300"/>
        <w:rPr>
          <w:sz w:val="24"/>
          <w:szCs w:val="24"/>
        </w:rPr>
      </w:pPr>
      <w:r>
        <w:rPr>
          <w:sz w:val="24"/>
          <w:szCs w:val="24"/>
        </w:rPr>
        <w:t>I</w:t>
      </w:r>
      <w:r>
        <w:rPr>
          <w:rFonts w:hint="eastAsia" w:ascii="宋体" w:hAnsi="宋体"/>
          <w:b/>
          <w:bCs/>
          <w:sz w:val="24"/>
          <w:szCs w:val="24"/>
          <w:vertAlign w:val="subscript"/>
        </w:rPr>
        <w:t>Δ</w:t>
      </w:r>
      <w:r>
        <w:rPr>
          <w:rFonts w:hint="eastAsia"/>
          <w:sz w:val="24"/>
          <w:szCs w:val="24"/>
          <w:vertAlign w:val="subscript"/>
        </w:rPr>
        <w:t>n</w:t>
      </w:r>
      <w:r>
        <w:rPr>
          <w:kern w:val="0"/>
          <w:sz w:val="24"/>
          <w:szCs w:val="24"/>
          <w:lang w:bidi="en-US"/>
        </w:rPr>
        <w:t>—</w:t>
      </w:r>
      <w:r>
        <w:rPr>
          <w:bCs/>
          <w:sz w:val="24"/>
          <w:szCs w:val="24"/>
        </w:rPr>
        <w:t>剩余电流动作保护电器</w:t>
      </w:r>
      <w:r>
        <w:rPr>
          <w:rFonts w:hint="eastAsia"/>
          <w:kern w:val="0"/>
          <w:sz w:val="24"/>
          <w:szCs w:val="24"/>
          <w:lang w:bidi="en-US"/>
        </w:rPr>
        <w:t>的额定</w:t>
      </w:r>
      <w:r>
        <w:rPr>
          <w:rFonts w:ascii="宋体" w:hAnsi="宋体" w:cs="宋体"/>
          <w:spacing w:val="2"/>
          <w:kern w:val="0"/>
          <w:sz w:val="24"/>
          <w:szCs w:val="24"/>
          <w:lang w:bidi="en-US"/>
        </w:rPr>
        <w:t>剩余动作电流</w:t>
      </w:r>
      <w:r>
        <w:rPr>
          <w:sz w:val="24"/>
          <w:szCs w:val="24"/>
        </w:rPr>
        <w:t>（A）。</w:t>
      </w:r>
    </w:p>
    <w:p w14:paraId="4559F8F8">
      <w:pPr>
        <w:pStyle w:val="35"/>
        <w:spacing w:before="120" w:line="360" w:lineRule="auto"/>
        <w:rPr>
          <w:color w:val="auto"/>
          <w:szCs w:val="24"/>
        </w:rPr>
      </w:pPr>
      <w:bookmarkStart w:id="248" w:name="_Hlk225435457"/>
      <w:r>
        <w:rPr>
          <w:rFonts w:hint="eastAsia"/>
          <w:b/>
          <w:bCs w:val="0"/>
          <w:color w:val="auto"/>
          <w:szCs w:val="24"/>
        </w:rPr>
        <w:t>6</w:t>
      </w:r>
      <w:r>
        <w:rPr>
          <w:b/>
          <w:bCs w:val="0"/>
          <w:color w:val="auto"/>
          <w:szCs w:val="24"/>
        </w:rPr>
        <w:t>.3.1</w:t>
      </w:r>
      <w:r>
        <w:rPr>
          <w:rFonts w:hint="eastAsia"/>
          <w:b/>
          <w:bCs w:val="0"/>
          <w:color w:val="auto"/>
          <w:szCs w:val="24"/>
        </w:rPr>
        <w:t>7</w:t>
      </w:r>
      <w:bookmarkEnd w:id="248"/>
      <w:r>
        <w:rPr>
          <w:rFonts w:hint="eastAsia"/>
          <w:color w:val="auto"/>
          <w:szCs w:val="24"/>
        </w:rPr>
        <w:t xml:space="preserve">  </w:t>
      </w:r>
      <w:r>
        <w:rPr>
          <w:color w:val="auto"/>
          <w:szCs w:val="24"/>
        </w:rPr>
        <w:t>低压配电</w:t>
      </w:r>
      <w:r>
        <w:rPr>
          <w:rFonts w:hint="eastAsia"/>
          <w:color w:val="auto"/>
          <w:szCs w:val="24"/>
        </w:rPr>
        <w:t>系统</w:t>
      </w:r>
      <w:r>
        <w:rPr>
          <w:color w:val="auto"/>
          <w:szCs w:val="24"/>
        </w:rPr>
        <w:t>设置不宜超过三级；大功率用电设备应采用专用线路供电至</w:t>
      </w:r>
      <w:r>
        <w:rPr>
          <w:rFonts w:hint="eastAsia"/>
          <w:color w:val="auto"/>
          <w:szCs w:val="24"/>
        </w:rPr>
        <w:t>专用</w:t>
      </w:r>
      <w:r>
        <w:rPr>
          <w:color w:val="auto"/>
          <w:szCs w:val="24"/>
        </w:rPr>
        <w:t>配电箱。</w:t>
      </w:r>
    </w:p>
    <w:p w14:paraId="27B108E7">
      <w:pPr>
        <w:pStyle w:val="35"/>
        <w:spacing w:before="120" w:line="360" w:lineRule="auto"/>
        <w:rPr>
          <w:color w:val="auto"/>
          <w:szCs w:val="24"/>
        </w:rPr>
      </w:pPr>
      <w:bookmarkStart w:id="249" w:name="_Hlk225435484"/>
      <w:bookmarkStart w:id="250" w:name="OLE_LINK17"/>
      <w:bookmarkStart w:id="251" w:name="OLE_LINK36"/>
      <w:bookmarkStart w:id="252" w:name="OLE_LINK35"/>
      <w:r>
        <w:rPr>
          <w:rFonts w:hint="eastAsia"/>
          <w:b/>
          <w:bCs w:val="0"/>
          <w:color w:val="auto"/>
          <w:szCs w:val="24"/>
        </w:rPr>
        <w:t>6</w:t>
      </w:r>
      <w:r>
        <w:rPr>
          <w:b/>
          <w:bCs w:val="0"/>
          <w:color w:val="auto"/>
          <w:szCs w:val="24"/>
        </w:rPr>
        <w:t>.3.</w:t>
      </w:r>
      <w:r>
        <w:rPr>
          <w:rFonts w:hint="eastAsia"/>
          <w:b/>
          <w:bCs w:val="0"/>
          <w:color w:val="auto"/>
          <w:szCs w:val="24"/>
        </w:rPr>
        <w:t>18</w:t>
      </w:r>
      <w:bookmarkEnd w:id="249"/>
      <w:r>
        <w:rPr>
          <w:rFonts w:hint="eastAsia"/>
          <w:color w:val="auto"/>
          <w:szCs w:val="24"/>
        </w:rPr>
        <w:t xml:space="preserve"> </w:t>
      </w:r>
      <w:r>
        <w:rPr>
          <w:color w:val="auto"/>
          <w:szCs w:val="24"/>
        </w:rPr>
        <w:t>总配电箱（柜）应设在</w:t>
      </w:r>
      <w:r>
        <w:rPr>
          <w:rFonts w:hint="eastAsia"/>
          <w:color w:val="auto"/>
          <w:szCs w:val="24"/>
        </w:rPr>
        <w:t>进场</w:t>
      </w:r>
      <w:r>
        <w:rPr>
          <w:color w:val="auto"/>
          <w:szCs w:val="24"/>
        </w:rPr>
        <w:t>电源附近</w:t>
      </w:r>
      <w:r>
        <w:rPr>
          <w:rFonts w:hint="eastAsia"/>
          <w:color w:val="auto"/>
          <w:szCs w:val="24"/>
        </w:rPr>
        <w:t>，</w:t>
      </w:r>
      <w:r>
        <w:rPr>
          <w:color w:val="auto"/>
          <w:szCs w:val="24"/>
        </w:rPr>
        <w:t>分配电箱应设在用电负荷相对集中的区域</w:t>
      </w:r>
      <w:r>
        <w:rPr>
          <w:rFonts w:hint="eastAsia"/>
          <w:color w:val="auto"/>
          <w:szCs w:val="24"/>
        </w:rPr>
        <w:t>，</w:t>
      </w:r>
      <w:r>
        <w:rPr>
          <w:color w:val="auto"/>
          <w:szCs w:val="24"/>
        </w:rPr>
        <w:t>末级配电箱应设在用电设备</w:t>
      </w:r>
      <w:r>
        <w:rPr>
          <w:rFonts w:hint="eastAsia"/>
          <w:color w:val="auto"/>
          <w:szCs w:val="24"/>
        </w:rPr>
        <w:t>附近并</w:t>
      </w:r>
      <w:r>
        <w:rPr>
          <w:color w:val="auto"/>
          <w:szCs w:val="24"/>
        </w:rPr>
        <w:t>便于操作的位置。</w:t>
      </w:r>
      <w:bookmarkEnd w:id="250"/>
      <w:bookmarkEnd w:id="251"/>
      <w:bookmarkEnd w:id="252"/>
    </w:p>
    <w:p w14:paraId="4DAF5258">
      <w:pPr>
        <w:pStyle w:val="35"/>
        <w:spacing w:before="120" w:line="360" w:lineRule="auto"/>
        <w:rPr>
          <w:color w:val="auto"/>
          <w:szCs w:val="24"/>
        </w:rPr>
      </w:pPr>
      <w:r>
        <w:rPr>
          <w:rFonts w:hint="eastAsia"/>
          <w:b/>
          <w:bCs w:val="0"/>
          <w:color w:val="auto"/>
          <w:szCs w:val="24"/>
        </w:rPr>
        <w:t>6</w:t>
      </w:r>
      <w:r>
        <w:rPr>
          <w:b/>
          <w:bCs w:val="0"/>
          <w:color w:val="auto"/>
          <w:szCs w:val="24"/>
        </w:rPr>
        <w:t>.3.</w:t>
      </w:r>
      <w:r>
        <w:rPr>
          <w:rFonts w:hint="eastAsia"/>
          <w:b/>
          <w:bCs w:val="0"/>
          <w:color w:val="auto"/>
          <w:szCs w:val="24"/>
        </w:rPr>
        <w:t>19</w:t>
      </w:r>
      <w:r>
        <w:rPr>
          <w:rFonts w:hint="eastAsia"/>
          <w:color w:val="auto"/>
          <w:szCs w:val="24"/>
        </w:rPr>
        <w:t xml:space="preserve">  </w:t>
      </w:r>
      <w:r>
        <w:rPr>
          <w:color w:val="auto"/>
          <w:szCs w:val="24"/>
        </w:rPr>
        <w:t>低压配电系统的三相负荷宜保持平衡，最大相负荷不宜超过三相负荷平均值的115%，最小相负荷不宜小于三相负荷平均值的85%。</w:t>
      </w:r>
    </w:p>
    <w:p w14:paraId="59F6DE4C">
      <w:pPr>
        <w:pStyle w:val="35"/>
        <w:spacing w:before="120" w:line="360" w:lineRule="auto"/>
        <w:rPr>
          <w:bCs w:val="0"/>
          <w:color w:val="auto"/>
          <w:szCs w:val="24"/>
        </w:rPr>
      </w:pPr>
      <w:r>
        <w:rPr>
          <w:rFonts w:hint="eastAsia"/>
          <w:b/>
          <w:bCs w:val="0"/>
          <w:color w:val="auto"/>
          <w:szCs w:val="24"/>
        </w:rPr>
        <w:t>6</w:t>
      </w:r>
      <w:r>
        <w:rPr>
          <w:b/>
          <w:bCs w:val="0"/>
          <w:color w:val="auto"/>
          <w:szCs w:val="24"/>
        </w:rPr>
        <w:t>.3.</w:t>
      </w:r>
      <w:bookmarkStart w:id="253" w:name="OLE_LINK180"/>
      <w:r>
        <w:rPr>
          <w:rFonts w:hint="eastAsia"/>
          <w:b/>
          <w:bCs w:val="0"/>
          <w:color w:val="auto"/>
          <w:szCs w:val="24"/>
        </w:rPr>
        <w:t>20</w:t>
      </w:r>
      <w:r>
        <w:rPr>
          <w:rFonts w:hint="eastAsia"/>
          <w:color w:val="auto"/>
          <w:szCs w:val="24"/>
        </w:rPr>
        <w:t xml:space="preserve">  </w:t>
      </w:r>
      <w:r>
        <w:rPr>
          <w:color w:val="auto"/>
          <w:szCs w:val="24"/>
        </w:rPr>
        <w:t>用电设备</w:t>
      </w:r>
      <w:bookmarkEnd w:id="253"/>
      <w:r>
        <w:rPr>
          <w:color w:val="auto"/>
          <w:szCs w:val="24"/>
        </w:rPr>
        <w:t>正常运行状态下的电压偏差允许值应满足表</w:t>
      </w:r>
      <w:r>
        <w:rPr>
          <w:rFonts w:hint="eastAsia"/>
          <w:color w:val="auto"/>
          <w:szCs w:val="24"/>
        </w:rPr>
        <w:t>6</w:t>
      </w:r>
      <w:r>
        <w:rPr>
          <w:color w:val="auto"/>
          <w:szCs w:val="24"/>
        </w:rPr>
        <w:t>.3.</w:t>
      </w:r>
      <w:r>
        <w:rPr>
          <w:rFonts w:hint="eastAsia"/>
          <w:color w:val="auto"/>
          <w:szCs w:val="24"/>
        </w:rPr>
        <w:t>20</w:t>
      </w:r>
      <w:r>
        <w:rPr>
          <w:color w:val="auto"/>
          <w:szCs w:val="24"/>
        </w:rPr>
        <w:t>的规定</w:t>
      </w:r>
      <w:r>
        <w:rPr>
          <w:rFonts w:hint="eastAsia"/>
          <w:color w:val="auto"/>
          <w:szCs w:val="24"/>
        </w:rPr>
        <w:t>。</w:t>
      </w:r>
    </w:p>
    <w:p w14:paraId="6EBAEBC3">
      <w:pPr>
        <w:pStyle w:val="40"/>
        <w:spacing w:before="120" w:line="360" w:lineRule="auto"/>
        <w:rPr>
          <w:b/>
          <w:bCs w:val="0"/>
          <w:color w:val="auto"/>
          <w:szCs w:val="21"/>
        </w:rPr>
      </w:pPr>
      <w:r>
        <w:rPr>
          <w:b/>
          <w:bCs w:val="0"/>
          <w:color w:val="auto"/>
          <w:szCs w:val="21"/>
        </w:rPr>
        <w:t>表</w:t>
      </w:r>
      <w:r>
        <w:rPr>
          <w:rFonts w:hint="eastAsia"/>
          <w:b/>
          <w:bCs w:val="0"/>
          <w:color w:val="auto"/>
          <w:szCs w:val="21"/>
        </w:rPr>
        <w:t>6</w:t>
      </w:r>
      <w:r>
        <w:rPr>
          <w:b/>
          <w:bCs w:val="0"/>
          <w:color w:val="auto"/>
          <w:szCs w:val="21"/>
        </w:rPr>
        <w:t>.3.</w:t>
      </w:r>
      <w:r>
        <w:rPr>
          <w:rFonts w:hint="eastAsia"/>
          <w:b/>
          <w:bCs w:val="0"/>
          <w:color w:val="auto"/>
          <w:szCs w:val="21"/>
        </w:rPr>
        <w:t>20</w:t>
      </w:r>
      <w:r>
        <w:rPr>
          <w:b/>
          <w:bCs w:val="0"/>
          <w:color w:val="auto"/>
          <w:szCs w:val="21"/>
        </w:rPr>
        <w:t>用电设备端子</w:t>
      </w:r>
      <w:bookmarkStart w:id="254" w:name="OLE_LINK25"/>
      <w:r>
        <w:rPr>
          <w:b/>
          <w:bCs w:val="0"/>
          <w:color w:val="auto"/>
          <w:szCs w:val="21"/>
        </w:rPr>
        <w:t>电压偏差允许值</w:t>
      </w:r>
      <w:bookmarkEnd w:id="254"/>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0"/>
        <w:gridCol w:w="1748"/>
      </w:tblGrid>
      <w:tr w14:paraId="4B682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6" w:type="dxa"/>
          </w:tcPr>
          <w:p w14:paraId="13F39619">
            <w:pPr>
              <w:spacing w:line="360" w:lineRule="auto"/>
              <w:jc w:val="center"/>
              <w:rPr>
                <w:szCs w:val="21"/>
              </w:rPr>
            </w:pPr>
            <w:r>
              <w:rPr>
                <w:szCs w:val="21"/>
              </w:rPr>
              <w:t>用电设备名称</w:t>
            </w:r>
          </w:p>
        </w:tc>
        <w:tc>
          <w:tcPr>
            <w:tcW w:w="1768" w:type="dxa"/>
          </w:tcPr>
          <w:p w14:paraId="02D1F31C">
            <w:pPr>
              <w:spacing w:line="360" w:lineRule="auto"/>
              <w:jc w:val="center"/>
              <w:rPr>
                <w:szCs w:val="21"/>
              </w:rPr>
            </w:pPr>
            <w:r>
              <w:rPr>
                <w:szCs w:val="21"/>
              </w:rPr>
              <w:t>电压偏差允许值</w:t>
            </w:r>
          </w:p>
        </w:tc>
      </w:tr>
      <w:tr w14:paraId="0BB24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6" w:type="dxa"/>
          </w:tcPr>
          <w:p w14:paraId="764F106F">
            <w:pPr>
              <w:spacing w:line="360" w:lineRule="auto"/>
              <w:jc w:val="center"/>
              <w:rPr>
                <w:szCs w:val="21"/>
              </w:rPr>
            </w:pPr>
            <w:r>
              <w:rPr>
                <w:szCs w:val="21"/>
              </w:rPr>
              <w:t>电动机</w:t>
            </w:r>
            <w:r>
              <w:rPr>
                <w:rFonts w:hint="eastAsia"/>
                <w:szCs w:val="21"/>
              </w:rPr>
              <w:t>，</w:t>
            </w:r>
            <w:r>
              <w:rPr>
                <w:szCs w:val="21"/>
              </w:rPr>
              <w:t>一般工作场所照明及无特殊规定的其他用电设备</w:t>
            </w:r>
          </w:p>
        </w:tc>
        <w:tc>
          <w:tcPr>
            <w:tcW w:w="1768" w:type="dxa"/>
          </w:tcPr>
          <w:p w14:paraId="5236644A">
            <w:pPr>
              <w:spacing w:line="360" w:lineRule="auto"/>
              <w:jc w:val="center"/>
              <w:rPr>
                <w:szCs w:val="21"/>
              </w:rPr>
            </w:pPr>
            <w:r>
              <w:rPr>
                <w:szCs w:val="21"/>
              </w:rPr>
              <w:t>+5%</w:t>
            </w:r>
            <w:r>
              <w:rPr>
                <w:szCs w:val="21"/>
                <w:shd w:val="clear" w:color="auto" w:fill="FFFFFF"/>
              </w:rPr>
              <w:t>~</w:t>
            </w:r>
            <w:r>
              <w:rPr>
                <w:szCs w:val="21"/>
              </w:rPr>
              <w:t>-5%</w:t>
            </w:r>
          </w:p>
        </w:tc>
      </w:tr>
      <w:tr w14:paraId="5F5C4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7236" w:type="dxa"/>
          </w:tcPr>
          <w:p w14:paraId="529B6C84">
            <w:pPr>
              <w:spacing w:line="360" w:lineRule="auto"/>
              <w:jc w:val="center"/>
              <w:rPr>
                <w:szCs w:val="21"/>
              </w:rPr>
            </w:pPr>
            <w:r>
              <w:rPr>
                <w:szCs w:val="21"/>
              </w:rPr>
              <w:t>远离变电站的小面积一般工作场所、应急照明；</w:t>
            </w:r>
          </w:p>
          <w:p w14:paraId="2F9ED39A">
            <w:pPr>
              <w:spacing w:line="360" w:lineRule="auto"/>
              <w:jc w:val="center"/>
              <w:rPr>
                <w:szCs w:val="21"/>
              </w:rPr>
            </w:pPr>
            <w:r>
              <w:rPr>
                <w:szCs w:val="21"/>
              </w:rPr>
              <w:t>道路照明及</w:t>
            </w:r>
            <w:r>
              <w:rPr>
                <w:rFonts w:hint="eastAsia"/>
                <w:szCs w:val="21"/>
              </w:rPr>
              <w:t>安全特低电压（SELV）</w:t>
            </w:r>
            <w:r>
              <w:rPr>
                <w:szCs w:val="21"/>
              </w:rPr>
              <w:t>供电照明</w:t>
            </w:r>
          </w:p>
        </w:tc>
        <w:tc>
          <w:tcPr>
            <w:tcW w:w="1768" w:type="dxa"/>
            <w:vAlign w:val="center"/>
          </w:tcPr>
          <w:p w14:paraId="7B289801">
            <w:pPr>
              <w:spacing w:line="360" w:lineRule="auto"/>
              <w:jc w:val="center"/>
              <w:rPr>
                <w:szCs w:val="21"/>
              </w:rPr>
            </w:pPr>
            <w:r>
              <w:rPr>
                <w:szCs w:val="21"/>
              </w:rPr>
              <w:t>+5%</w:t>
            </w:r>
            <w:r>
              <w:rPr>
                <w:szCs w:val="21"/>
                <w:shd w:val="clear" w:color="auto" w:fill="FFFFFF"/>
              </w:rPr>
              <w:t>~</w:t>
            </w:r>
            <w:r>
              <w:rPr>
                <w:szCs w:val="21"/>
              </w:rPr>
              <w:t>-10%</w:t>
            </w:r>
          </w:p>
        </w:tc>
      </w:tr>
    </w:tbl>
    <w:p w14:paraId="73548D10">
      <w:pPr>
        <w:pStyle w:val="35"/>
        <w:spacing w:before="120" w:line="360" w:lineRule="auto"/>
        <w:rPr>
          <w:bCs w:val="0"/>
          <w:color w:val="auto"/>
          <w:szCs w:val="24"/>
        </w:rPr>
      </w:pPr>
      <w:bookmarkStart w:id="255" w:name="_Hlk225435516"/>
      <w:bookmarkStart w:id="256" w:name="OLE_LINK13"/>
      <w:r>
        <w:rPr>
          <w:rFonts w:hint="eastAsia"/>
          <w:b/>
          <w:bCs w:val="0"/>
          <w:color w:val="auto"/>
          <w:szCs w:val="24"/>
        </w:rPr>
        <w:t>6</w:t>
      </w:r>
      <w:r>
        <w:rPr>
          <w:b/>
          <w:bCs w:val="0"/>
          <w:color w:val="auto"/>
          <w:szCs w:val="24"/>
        </w:rPr>
        <w:t>.</w:t>
      </w:r>
      <w:r>
        <w:rPr>
          <w:rFonts w:hint="eastAsia"/>
          <w:b/>
          <w:bCs w:val="0"/>
          <w:color w:val="auto"/>
          <w:szCs w:val="24"/>
        </w:rPr>
        <w:t>3</w:t>
      </w:r>
      <w:r>
        <w:rPr>
          <w:b/>
          <w:bCs w:val="0"/>
          <w:color w:val="auto"/>
          <w:szCs w:val="24"/>
        </w:rPr>
        <w:t>.</w:t>
      </w:r>
      <w:r>
        <w:rPr>
          <w:rFonts w:hint="eastAsia"/>
          <w:b/>
          <w:bCs w:val="0"/>
          <w:color w:val="auto"/>
          <w:szCs w:val="24"/>
        </w:rPr>
        <w:t>21</w:t>
      </w:r>
      <w:bookmarkEnd w:id="255"/>
      <w:r>
        <w:rPr>
          <w:rFonts w:hint="eastAsia"/>
          <w:b/>
          <w:bCs w:val="0"/>
          <w:color w:val="auto"/>
          <w:szCs w:val="24"/>
        </w:rPr>
        <w:t xml:space="preserve"> </w:t>
      </w:r>
      <w:r>
        <w:rPr>
          <w:rFonts w:hint="eastAsia"/>
          <w:color w:val="auto"/>
          <w:szCs w:val="24"/>
        </w:rPr>
        <w:t xml:space="preserve"> </w:t>
      </w:r>
      <w:r>
        <w:rPr>
          <w:color w:val="auto"/>
          <w:szCs w:val="24"/>
        </w:rPr>
        <w:t>剩余电流动作保护电器选择应符合下列规定：</w:t>
      </w:r>
    </w:p>
    <w:p w14:paraId="0DB4841E">
      <w:pPr>
        <w:pStyle w:val="37"/>
        <w:spacing w:before="120" w:line="360" w:lineRule="auto"/>
        <w:rPr>
          <w:bCs w:val="0"/>
          <w:color w:val="auto"/>
          <w:sz w:val="24"/>
          <w:szCs w:val="24"/>
        </w:rPr>
      </w:pPr>
      <w:r>
        <w:rPr>
          <w:b/>
          <w:color w:val="auto"/>
          <w:sz w:val="24"/>
          <w:szCs w:val="24"/>
        </w:rPr>
        <w:t>1</w:t>
      </w:r>
      <w:r>
        <w:rPr>
          <w:rFonts w:hint="eastAsia"/>
          <w:b/>
          <w:color w:val="auto"/>
          <w:sz w:val="24"/>
          <w:szCs w:val="24"/>
        </w:rPr>
        <w:t xml:space="preserve">  </w:t>
      </w:r>
      <w:r>
        <w:rPr>
          <w:bCs w:val="0"/>
          <w:color w:val="auto"/>
          <w:sz w:val="24"/>
          <w:szCs w:val="24"/>
        </w:rPr>
        <w:t>剩余电流动作保护电器</w:t>
      </w:r>
      <w:r>
        <w:rPr>
          <w:rFonts w:hint="eastAsia"/>
          <w:bCs w:val="0"/>
          <w:color w:val="auto"/>
          <w:sz w:val="24"/>
          <w:szCs w:val="24"/>
        </w:rPr>
        <w:t>应</w:t>
      </w:r>
      <w:r>
        <w:rPr>
          <w:bCs w:val="0"/>
          <w:color w:val="auto"/>
          <w:sz w:val="24"/>
          <w:szCs w:val="24"/>
        </w:rPr>
        <w:t>根据剩余电流</w:t>
      </w:r>
      <w:r>
        <w:rPr>
          <w:rFonts w:hint="eastAsia"/>
          <w:bCs w:val="0"/>
          <w:color w:val="auto"/>
          <w:sz w:val="24"/>
          <w:szCs w:val="24"/>
        </w:rPr>
        <w:t>的交流、直流</w:t>
      </w:r>
      <w:r>
        <w:rPr>
          <w:bCs w:val="0"/>
          <w:color w:val="auto"/>
          <w:sz w:val="24"/>
          <w:szCs w:val="24"/>
        </w:rPr>
        <w:t>分量选择</w:t>
      </w:r>
      <w:r>
        <w:rPr>
          <w:rFonts w:hint="eastAsia"/>
          <w:bCs w:val="0"/>
          <w:color w:val="auto"/>
          <w:sz w:val="24"/>
          <w:szCs w:val="24"/>
        </w:rPr>
        <w:t>动作特性</w:t>
      </w:r>
      <w:r>
        <w:rPr>
          <w:bCs w:val="0"/>
          <w:color w:val="auto"/>
          <w:sz w:val="24"/>
          <w:szCs w:val="24"/>
        </w:rPr>
        <w:t>类型</w:t>
      </w:r>
      <w:r>
        <w:rPr>
          <w:rFonts w:hint="eastAsia"/>
          <w:bCs w:val="0"/>
          <w:color w:val="auto"/>
          <w:sz w:val="24"/>
          <w:szCs w:val="24"/>
        </w:rPr>
        <w:t>，且</w:t>
      </w:r>
      <w:r>
        <w:rPr>
          <w:bCs w:val="0"/>
          <w:color w:val="auto"/>
          <w:sz w:val="24"/>
          <w:szCs w:val="24"/>
        </w:rPr>
        <w:t>应</w:t>
      </w:r>
      <w:r>
        <w:rPr>
          <w:rFonts w:hint="eastAsia"/>
          <w:bCs w:val="0"/>
          <w:color w:val="auto"/>
          <w:sz w:val="24"/>
          <w:szCs w:val="24"/>
        </w:rPr>
        <w:t>符合</w:t>
      </w:r>
      <w:r>
        <w:rPr>
          <w:bCs w:val="0"/>
          <w:color w:val="auto"/>
          <w:sz w:val="24"/>
          <w:szCs w:val="24"/>
        </w:rPr>
        <w:t>现行国家标准《剩余电流动作保护电器的一般</w:t>
      </w:r>
      <w:r>
        <w:rPr>
          <w:rFonts w:hint="eastAsia"/>
          <w:bCs w:val="0"/>
          <w:color w:val="auto"/>
          <w:sz w:val="24"/>
          <w:szCs w:val="24"/>
        </w:rPr>
        <w:t>安全</w:t>
      </w:r>
      <w:r>
        <w:rPr>
          <w:bCs w:val="0"/>
          <w:color w:val="auto"/>
          <w:sz w:val="24"/>
          <w:szCs w:val="24"/>
        </w:rPr>
        <w:t>要求》GB/T 6829</w:t>
      </w:r>
      <w:r>
        <w:rPr>
          <w:rFonts w:hint="eastAsia"/>
          <w:bCs w:val="0"/>
          <w:color w:val="auto"/>
          <w:sz w:val="24"/>
          <w:szCs w:val="24"/>
        </w:rPr>
        <w:t>的</w:t>
      </w:r>
      <w:r>
        <w:rPr>
          <w:bCs w:val="0"/>
          <w:color w:val="auto"/>
          <w:sz w:val="24"/>
          <w:szCs w:val="24"/>
        </w:rPr>
        <w:t>规定；</w:t>
      </w:r>
    </w:p>
    <w:p w14:paraId="613D3C8D">
      <w:pPr>
        <w:pStyle w:val="37"/>
        <w:spacing w:before="120" w:line="360" w:lineRule="auto"/>
        <w:rPr>
          <w:bCs w:val="0"/>
          <w:color w:val="auto"/>
          <w:sz w:val="24"/>
          <w:szCs w:val="24"/>
        </w:rPr>
      </w:pPr>
      <w:r>
        <w:rPr>
          <w:b/>
          <w:color w:val="auto"/>
          <w:sz w:val="24"/>
          <w:szCs w:val="24"/>
        </w:rPr>
        <w:t>2</w:t>
      </w:r>
      <w:r>
        <w:rPr>
          <w:rFonts w:hint="eastAsia"/>
          <w:b/>
          <w:color w:val="auto"/>
          <w:sz w:val="24"/>
          <w:szCs w:val="24"/>
        </w:rPr>
        <w:t xml:space="preserve">  </w:t>
      </w:r>
      <w:r>
        <w:rPr>
          <w:bCs w:val="0"/>
          <w:color w:val="auto"/>
          <w:sz w:val="24"/>
          <w:szCs w:val="24"/>
        </w:rPr>
        <w:t>剩余电流动作保护电器所保护的线路及用电设备正常运行时，预期对地泄漏电流应小于其额定剩余动作电流（I</w:t>
      </w:r>
      <w:r>
        <w:rPr>
          <w:bCs w:val="0"/>
          <w:color w:val="auto"/>
          <w:sz w:val="24"/>
          <w:szCs w:val="24"/>
          <w:vertAlign w:val="subscript"/>
        </w:rPr>
        <w:t>Δn</w:t>
      </w:r>
      <w:r>
        <w:rPr>
          <w:bCs w:val="0"/>
          <w:color w:val="auto"/>
          <w:sz w:val="24"/>
          <w:szCs w:val="24"/>
        </w:rPr>
        <w:t>）的0.3倍。</w:t>
      </w:r>
    </w:p>
    <w:p w14:paraId="0548DC45">
      <w:pPr>
        <w:pStyle w:val="35"/>
        <w:spacing w:before="120" w:line="360" w:lineRule="auto"/>
        <w:rPr>
          <w:color w:val="auto"/>
          <w:szCs w:val="24"/>
        </w:rPr>
      </w:pPr>
      <w:bookmarkStart w:id="257" w:name="_Hlk225435559"/>
      <w:r>
        <w:rPr>
          <w:rFonts w:hint="eastAsia"/>
          <w:b/>
          <w:bCs w:val="0"/>
          <w:color w:val="auto"/>
          <w:szCs w:val="24"/>
        </w:rPr>
        <w:t>6</w:t>
      </w:r>
      <w:r>
        <w:rPr>
          <w:b/>
          <w:bCs w:val="0"/>
          <w:color w:val="auto"/>
          <w:szCs w:val="24"/>
        </w:rPr>
        <w:t>.3.</w:t>
      </w:r>
      <w:bookmarkEnd w:id="256"/>
      <w:r>
        <w:rPr>
          <w:rFonts w:hint="eastAsia"/>
          <w:b/>
          <w:bCs w:val="0"/>
          <w:color w:val="auto"/>
          <w:szCs w:val="24"/>
        </w:rPr>
        <w:t>22</w:t>
      </w:r>
      <w:bookmarkEnd w:id="257"/>
      <w:r>
        <w:rPr>
          <w:rFonts w:hint="eastAsia"/>
          <w:color w:val="auto"/>
          <w:szCs w:val="24"/>
        </w:rPr>
        <w:t xml:space="preserve">  剩余电流动作保护电器的</w:t>
      </w:r>
      <w:r>
        <w:rPr>
          <w:color w:val="auto"/>
          <w:szCs w:val="24"/>
        </w:rPr>
        <w:t>设置</w:t>
      </w:r>
      <w:bookmarkStart w:id="258" w:name="_Hlk190774363"/>
      <w:r>
        <w:rPr>
          <w:color w:val="auto"/>
          <w:szCs w:val="24"/>
        </w:rPr>
        <w:t>应符合下列规定：</w:t>
      </w:r>
      <w:bookmarkEnd w:id="258"/>
    </w:p>
    <w:p w14:paraId="5736FDE2">
      <w:pPr>
        <w:pStyle w:val="37"/>
        <w:spacing w:before="120" w:line="360" w:lineRule="auto"/>
        <w:rPr>
          <w:bCs w:val="0"/>
          <w:color w:val="auto"/>
          <w:sz w:val="24"/>
          <w:szCs w:val="24"/>
        </w:rPr>
      </w:pPr>
      <w:r>
        <w:rPr>
          <w:b/>
          <w:color w:val="auto"/>
          <w:sz w:val="24"/>
          <w:szCs w:val="24"/>
        </w:rPr>
        <w:t>1</w:t>
      </w:r>
      <w:r>
        <w:rPr>
          <w:rFonts w:hint="eastAsia"/>
          <w:bCs w:val="0"/>
          <w:color w:val="auto"/>
          <w:sz w:val="24"/>
          <w:szCs w:val="24"/>
        </w:rPr>
        <w:t xml:space="preserve">  </w:t>
      </w:r>
      <w:r>
        <w:rPr>
          <w:rFonts w:hint="eastAsia"/>
          <w:color w:val="auto"/>
          <w:sz w:val="24"/>
          <w:szCs w:val="24"/>
        </w:rPr>
        <w:t>除消防设施设备专用配电箱外，</w:t>
      </w:r>
      <w:r>
        <w:rPr>
          <w:bCs w:val="0"/>
          <w:color w:val="auto"/>
          <w:sz w:val="24"/>
          <w:szCs w:val="24"/>
        </w:rPr>
        <w:t>配电箱内每个配电回路应设置</w:t>
      </w:r>
      <w:r>
        <w:rPr>
          <w:rFonts w:hint="eastAsia"/>
          <w:color w:val="auto"/>
          <w:sz w:val="24"/>
          <w:szCs w:val="24"/>
        </w:rPr>
        <w:t>剩余电流动作保护电器</w:t>
      </w:r>
      <w:r>
        <w:rPr>
          <w:rFonts w:hint="eastAsia"/>
          <w:bCs w:val="0"/>
          <w:color w:val="auto"/>
          <w:sz w:val="24"/>
          <w:szCs w:val="24"/>
        </w:rPr>
        <w:t>，</w:t>
      </w:r>
      <w:r>
        <w:rPr>
          <w:rFonts w:hint="eastAsia"/>
          <w:color w:val="auto"/>
          <w:sz w:val="24"/>
          <w:szCs w:val="24"/>
        </w:rPr>
        <w:t>切断该回路电源的时间应满足故障防护的要求；</w:t>
      </w:r>
    </w:p>
    <w:p w14:paraId="73B6B77E">
      <w:pPr>
        <w:pStyle w:val="37"/>
        <w:spacing w:before="120" w:line="360" w:lineRule="auto"/>
        <w:rPr>
          <w:color w:val="auto"/>
          <w:sz w:val="24"/>
          <w:szCs w:val="24"/>
        </w:rPr>
      </w:pPr>
      <w:bookmarkStart w:id="259" w:name="_Hlk189152948"/>
      <w:r>
        <w:rPr>
          <w:b/>
          <w:bCs w:val="0"/>
          <w:color w:val="auto"/>
          <w:sz w:val="24"/>
          <w:szCs w:val="24"/>
        </w:rPr>
        <w:t>2</w:t>
      </w:r>
      <w:bookmarkEnd w:id="259"/>
      <w:r>
        <w:rPr>
          <w:rFonts w:hint="eastAsia"/>
          <w:b/>
          <w:color w:val="auto"/>
          <w:sz w:val="24"/>
          <w:szCs w:val="24"/>
        </w:rPr>
        <w:t xml:space="preserve">  </w:t>
      </w:r>
      <w:r>
        <w:rPr>
          <w:color w:val="auto"/>
          <w:sz w:val="24"/>
          <w:szCs w:val="24"/>
        </w:rPr>
        <w:t>上下级</w:t>
      </w:r>
      <w:r>
        <w:rPr>
          <w:rFonts w:hint="eastAsia"/>
          <w:color w:val="auto"/>
          <w:sz w:val="24"/>
          <w:szCs w:val="24"/>
        </w:rPr>
        <w:t>剩余电流动作保护电器</w:t>
      </w:r>
      <w:r>
        <w:rPr>
          <w:color w:val="auto"/>
          <w:sz w:val="24"/>
          <w:szCs w:val="24"/>
        </w:rPr>
        <w:t>之间</w:t>
      </w:r>
      <w:r>
        <w:rPr>
          <w:rFonts w:hint="eastAsia"/>
          <w:color w:val="auto"/>
          <w:sz w:val="24"/>
          <w:szCs w:val="24"/>
        </w:rPr>
        <w:t>应具备</w:t>
      </w:r>
      <w:r>
        <w:rPr>
          <w:color w:val="auto"/>
          <w:sz w:val="24"/>
          <w:szCs w:val="24"/>
        </w:rPr>
        <w:t>选择性，</w:t>
      </w:r>
      <w:r>
        <w:rPr>
          <w:rFonts w:hint="eastAsia"/>
          <w:color w:val="auto"/>
          <w:sz w:val="24"/>
          <w:szCs w:val="24"/>
        </w:rPr>
        <w:t>并</w:t>
      </w:r>
      <w:r>
        <w:rPr>
          <w:color w:val="auto"/>
          <w:sz w:val="24"/>
          <w:szCs w:val="24"/>
        </w:rPr>
        <w:t>应满足下列规定：</w:t>
      </w:r>
    </w:p>
    <w:p w14:paraId="43AA484C">
      <w:pPr>
        <w:pStyle w:val="37"/>
        <w:spacing w:before="120" w:line="360" w:lineRule="auto"/>
        <w:ind w:firstLine="723" w:firstLineChars="300"/>
        <w:rPr>
          <w:color w:val="auto"/>
          <w:sz w:val="24"/>
          <w:szCs w:val="24"/>
        </w:rPr>
      </w:pPr>
      <w:r>
        <w:rPr>
          <w:b/>
          <w:bCs w:val="0"/>
          <w:color w:val="auto"/>
          <w:sz w:val="24"/>
          <w:szCs w:val="24"/>
        </w:rPr>
        <w:t>1）</w:t>
      </w:r>
      <w:r>
        <w:rPr>
          <w:color w:val="auto"/>
          <w:sz w:val="24"/>
          <w:szCs w:val="24"/>
        </w:rPr>
        <w:t>上级</w:t>
      </w:r>
      <w:r>
        <w:rPr>
          <w:rFonts w:hint="eastAsia"/>
          <w:color w:val="auto"/>
          <w:sz w:val="24"/>
          <w:szCs w:val="24"/>
        </w:rPr>
        <w:t>剩余电流动作保护电器</w:t>
      </w:r>
      <w:r>
        <w:rPr>
          <w:color w:val="auto"/>
          <w:sz w:val="24"/>
          <w:szCs w:val="24"/>
        </w:rPr>
        <w:t>的额定剩余电流动作值应是下级</w:t>
      </w:r>
      <w:r>
        <w:rPr>
          <w:rFonts w:hint="eastAsia"/>
          <w:color w:val="auto"/>
          <w:sz w:val="24"/>
          <w:szCs w:val="24"/>
        </w:rPr>
        <w:t>剩余电流动作保护电器</w:t>
      </w:r>
      <w:r>
        <w:rPr>
          <w:color w:val="auto"/>
          <w:sz w:val="24"/>
          <w:szCs w:val="24"/>
        </w:rPr>
        <w:t>额定剩余动作电流值的3倍及以上；</w:t>
      </w:r>
    </w:p>
    <w:p w14:paraId="76A45842">
      <w:pPr>
        <w:pStyle w:val="37"/>
        <w:spacing w:before="120" w:line="360" w:lineRule="auto"/>
        <w:ind w:firstLine="723" w:firstLineChars="300"/>
        <w:rPr>
          <w:color w:val="auto"/>
          <w:sz w:val="24"/>
          <w:szCs w:val="24"/>
        </w:rPr>
      </w:pPr>
      <w:r>
        <w:rPr>
          <w:b/>
          <w:bCs w:val="0"/>
          <w:color w:val="auto"/>
          <w:sz w:val="24"/>
          <w:szCs w:val="24"/>
        </w:rPr>
        <w:t>2）</w:t>
      </w:r>
      <w:r>
        <w:rPr>
          <w:rFonts w:hint="eastAsia"/>
          <w:color w:val="auto"/>
          <w:sz w:val="24"/>
          <w:szCs w:val="24"/>
        </w:rPr>
        <w:t>上级剩余电流动作保护电器应采用延时型或S型，延时应大于下级剩余电流动作保护电器的动作时间；</w:t>
      </w:r>
    </w:p>
    <w:p w14:paraId="19DAD537">
      <w:pPr>
        <w:pStyle w:val="37"/>
        <w:spacing w:before="120" w:line="360" w:lineRule="auto"/>
        <w:rPr>
          <w:color w:val="auto"/>
          <w:sz w:val="24"/>
          <w:szCs w:val="24"/>
        </w:rPr>
      </w:pPr>
      <w:r>
        <w:rPr>
          <w:b/>
          <w:bCs w:val="0"/>
          <w:color w:val="auto"/>
          <w:sz w:val="24"/>
          <w:szCs w:val="24"/>
        </w:rPr>
        <w:t>3</w:t>
      </w:r>
      <w:r>
        <w:rPr>
          <w:rFonts w:hint="eastAsia"/>
          <w:color w:val="auto"/>
          <w:sz w:val="24"/>
          <w:szCs w:val="24"/>
        </w:rPr>
        <w:t xml:space="preserve">  </w:t>
      </w:r>
      <w:r>
        <w:rPr>
          <w:color w:val="auto"/>
          <w:sz w:val="24"/>
          <w:szCs w:val="24"/>
        </w:rPr>
        <w:t>配电</w:t>
      </w:r>
      <w:r>
        <w:rPr>
          <w:rFonts w:hint="eastAsia"/>
          <w:color w:val="auto"/>
          <w:sz w:val="24"/>
          <w:szCs w:val="24"/>
        </w:rPr>
        <w:t>系统</w:t>
      </w:r>
      <w:r>
        <w:rPr>
          <w:color w:val="auto"/>
          <w:sz w:val="24"/>
          <w:szCs w:val="24"/>
        </w:rPr>
        <w:t>有下列情况之一时，</w:t>
      </w:r>
      <w:bookmarkStart w:id="260" w:name="_Hlk194661530"/>
      <w:r>
        <w:rPr>
          <w:rFonts w:hint="eastAsia"/>
          <w:color w:val="auto"/>
          <w:sz w:val="24"/>
          <w:szCs w:val="24"/>
        </w:rPr>
        <w:t>剩余电流动作保护电器</w:t>
      </w:r>
      <w:bookmarkEnd w:id="260"/>
      <w:r>
        <w:rPr>
          <w:rFonts w:hint="eastAsia"/>
          <w:color w:val="auto"/>
          <w:sz w:val="24"/>
          <w:szCs w:val="24"/>
        </w:rPr>
        <w:t>的</w:t>
      </w:r>
      <w:r>
        <w:rPr>
          <w:color w:val="auto"/>
          <w:sz w:val="24"/>
          <w:szCs w:val="24"/>
        </w:rPr>
        <w:t>额定剩余电流动作值</w:t>
      </w:r>
      <w:r>
        <w:rPr>
          <w:rFonts w:hint="eastAsia"/>
          <w:color w:val="auto"/>
          <w:sz w:val="24"/>
          <w:szCs w:val="24"/>
        </w:rPr>
        <w:t>应小于等</w:t>
      </w:r>
      <w:r>
        <w:rPr>
          <w:color w:val="auto"/>
          <w:sz w:val="24"/>
          <w:szCs w:val="24"/>
        </w:rPr>
        <w:t>于30mA：</w:t>
      </w:r>
    </w:p>
    <w:p w14:paraId="7B324E8F">
      <w:pPr>
        <w:pStyle w:val="37"/>
        <w:spacing w:before="120" w:line="360" w:lineRule="auto"/>
        <w:ind w:firstLine="802" w:firstLineChars="333"/>
        <w:rPr>
          <w:color w:val="auto"/>
          <w:sz w:val="24"/>
          <w:szCs w:val="24"/>
        </w:rPr>
      </w:pPr>
      <w:r>
        <w:rPr>
          <w:rFonts w:hint="eastAsia"/>
          <w:b/>
          <w:bCs w:val="0"/>
          <w:color w:val="auto"/>
          <w:sz w:val="24"/>
          <w:szCs w:val="24"/>
        </w:rPr>
        <w:t>1）</w:t>
      </w:r>
      <w:r>
        <w:rPr>
          <w:rFonts w:hint="eastAsia"/>
          <w:color w:val="auto"/>
          <w:sz w:val="24"/>
          <w:szCs w:val="24"/>
        </w:rPr>
        <w:t>额定电流不超过 32A 的插座回路；</w:t>
      </w:r>
    </w:p>
    <w:p w14:paraId="53FCAAE6">
      <w:pPr>
        <w:pStyle w:val="37"/>
        <w:spacing w:before="120" w:line="360" w:lineRule="auto"/>
        <w:ind w:firstLine="800" w:firstLineChars="332"/>
        <w:rPr>
          <w:color w:val="auto"/>
          <w:sz w:val="24"/>
          <w:szCs w:val="24"/>
        </w:rPr>
      </w:pPr>
      <w:r>
        <w:rPr>
          <w:rFonts w:hint="eastAsia"/>
          <w:b/>
          <w:bCs w:val="0"/>
          <w:color w:val="auto"/>
          <w:sz w:val="24"/>
          <w:szCs w:val="24"/>
        </w:rPr>
        <w:t>2）</w:t>
      </w:r>
      <w:r>
        <w:rPr>
          <w:color w:val="auto"/>
          <w:sz w:val="24"/>
          <w:szCs w:val="24"/>
        </w:rPr>
        <w:t>额定电流不超过32A</w:t>
      </w:r>
      <w:r>
        <w:rPr>
          <w:rFonts w:hint="eastAsia"/>
          <w:color w:val="auto"/>
          <w:sz w:val="24"/>
          <w:szCs w:val="24"/>
        </w:rPr>
        <w:t>室</w:t>
      </w:r>
      <w:r>
        <w:rPr>
          <w:color w:val="auto"/>
          <w:sz w:val="24"/>
          <w:szCs w:val="24"/>
        </w:rPr>
        <w:t>外可触及用电设备及移动式设备回路；</w:t>
      </w:r>
    </w:p>
    <w:p w14:paraId="1F352993">
      <w:pPr>
        <w:pStyle w:val="37"/>
        <w:spacing w:before="120" w:line="360" w:lineRule="auto"/>
        <w:ind w:firstLine="800" w:firstLineChars="332"/>
        <w:rPr>
          <w:color w:val="auto"/>
          <w:sz w:val="24"/>
          <w:szCs w:val="24"/>
        </w:rPr>
      </w:pPr>
      <w:r>
        <w:rPr>
          <w:rFonts w:hint="eastAsia"/>
          <w:b/>
          <w:bCs w:val="0"/>
          <w:color w:val="auto"/>
          <w:sz w:val="24"/>
          <w:szCs w:val="24"/>
        </w:rPr>
        <w:t>3）</w:t>
      </w:r>
      <w:r>
        <w:rPr>
          <w:rFonts w:hint="eastAsia"/>
          <w:color w:val="auto"/>
          <w:sz w:val="24"/>
          <w:szCs w:val="24"/>
        </w:rPr>
        <w:t>便携式末级配电箱的供电回路；</w:t>
      </w:r>
    </w:p>
    <w:p w14:paraId="5588B515">
      <w:pPr>
        <w:pStyle w:val="37"/>
        <w:spacing w:before="120" w:line="360" w:lineRule="auto"/>
        <w:ind w:firstLine="800" w:firstLineChars="332"/>
        <w:rPr>
          <w:color w:val="auto"/>
          <w:sz w:val="24"/>
          <w:szCs w:val="24"/>
        </w:rPr>
      </w:pPr>
      <w:r>
        <w:rPr>
          <w:rFonts w:hint="eastAsia"/>
          <w:b/>
          <w:bCs w:val="0"/>
          <w:color w:val="auto"/>
          <w:sz w:val="24"/>
          <w:szCs w:val="24"/>
        </w:rPr>
        <w:t>4</w:t>
      </w:r>
      <w:r>
        <w:rPr>
          <w:b/>
          <w:bCs w:val="0"/>
          <w:color w:val="auto"/>
          <w:sz w:val="24"/>
          <w:szCs w:val="24"/>
        </w:rPr>
        <w:t>）</w:t>
      </w:r>
      <w:r>
        <w:rPr>
          <w:color w:val="auto"/>
          <w:sz w:val="24"/>
          <w:szCs w:val="24"/>
        </w:rPr>
        <w:t>手持式用电设备的供电回路。</w:t>
      </w:r>
    </w:p>
    <w:p w14:paraId="7897C7CF">
      <w:pPr>
        <w:pStyle w:val="35"/>
        <w:spacing w:before="120" w:line="360" w:lineRule="auto"/>
        <w:rPr>
          <w:color w:val="auto"/>
          <w:szCs w:val="24"/>
        </w:rPr>
      </w:pPr>
      <w:bookmarkStart w:id="261" w:name="_Hlk225435724"/>
      <w:bookmarkStart w:id="262" w:name="OLE_LINK182"/>
      <w:bookmarkStart w:id="263" w:name="OLE_LINK183"/>
      <w:bookmarkStart w:id="264" w:name="OLE_LINK47"/>
      <w:r>
        <w:rPr>
          <w:rFonts w:hint="eastAsia"/>
          <w:b/>
          <w:bCs w:val="0"/>
          <w:color w:val="auto"/>
          <w:szCs w:val="24"/>
        </w:rPr>
        <w:t>6</w:t>
      </w:r>
      <w:r>
        <w:rPr>
          <w:b/>
          <w:bCs w:val="0"/>
          <w:color w:val="auto"/>
          <w:szCs w:val="24"/>
        </w:rPr>
        <w:t>.3.</w:t>
      </w:r>
      <w:r>
        <w:rPr>
          <w:rFonts w:hint="eastAsia"/>
          <w:b/>
          <w:bCs w:val="0"/>
          <w:color w:val="auto"/>
          <w:szCs w:val="24"/>
        </w:rPr>
        <w:t>23</w:t>
      </w:r>
      <w:bookmarkEnd w:id="261"/>
      <w:r>
        <w:rPr>
          <w:rFonts w:hint="eastAsia"/>
          <w:color w:val="auto"/>
          <w:szCs w:val="24"/>
        </w:rPr>
        <w:t xml:space="preserve"> </w:t>
      </w:r>
      <w:bookmarkEnd w:id="262"/>
      <w:bookmarkEnd w:id="263"/>
      <w:r>
        <w:rPr>
          <w:rFonts w:hint="eastAsia"/>
          <w:color w:val="auto"/>
          <w:szCs w:val="24"/>
        </w:rPr>
        <w:t xml:space="preserve"> 各级配电箱内安装的断路器应具有短路保护，短路电流分断能力应大于安装处的短路电流，并应在短路电流产生的热作用和机械作用造成危害之前切断电源。</w:t>
      </w:r>
    </w:p>
    <w:p w14:paraId="71D94097">
      <w:pPr>
        <w:pStyle w:val="35"/>
        <w:spacing w:before="120" w:line="360" w:lineRule="auto"/>
        <w:rPr>
          <w:color w:val="auto"/>
          <w:szCs w:val="24"/>
        </w:rPr>
      </w:pPr>
      <w:bookmarkStart w:id="265" w:name="_Hlk225435748"/>
      <w:r>
        <w:rPr>
          <w:rFonts w:hint="eastAsia"/>
          <w:b/>
          <w:bCs w:val="0"/>
          <w:color w:val="auto"/>
          <w:szCs w:val="24"/>
        </w:rPr>
        <w:t>6</w:t>
      </w:r>
      <w:r>
        <w:rPr>
          <w:b/>
          <w:bCs w:val="0"/>
          <w:color w:val="auto"/>
          <w:szCs w:val="24"/>
        </w:rPr>
        <w:t>.3.</w:t>
      </w:r>
      <w:r>
        <w:rPr>
          <w:rFonts w:hint="eastAsia"/>
          <w:b/>
          <w:bCs w:val="0"/>
          <w:color w:val="auto"/>
          <w:szCs w:val="24"/>
        </w:rPr>
        <w:t>24</w:t>
      </w:r>
      <w:bookmarkEnd w:id="265"/>
      <w:r>
        <w:rPr>
          <w:color w:val="auto"/>
          <w:szCs w:val="24"/>
        </w:rPr>
        <w:t xml:space="preserve"> </w:t>
      </w:r>
      <w:r>
        <w:rPr>
          <w:rFonts w:hint="eastAsia"/>
          <w:color w:val="auto"/>
          <w:szCs w:val="24"/>
        </w:rPr>
        <w:t xml:space="preserve"> 除消防设备专用配电箱外，各级配电箱内安装的断路器应具有过负荷保护，其动作特性应满足式6</w:t>
      </w:r>
      <w:r>
        <w:rPr>
          <w:color w:val="auto"/>
          <w:szCs w:val="24"/>
        </w:rPr>
        <w:t>.3.</w:t>
      </w:r>
      <w:r>
        <w:rPr>
          <w:rFonts w:hint="eastAsia"/>
          <w:color w:val="auto"/>
          <w:szCs w:val="24"/>
        </w:rPr>
        <w:t>24要求：</w:t>
      </w:r>
    </w:p>
    <w:p w14:paraId="368FCC61">
      <w:pPr>
        <w:spacing w:line="360" w:lineRule="auto"/>
        <w:jc w:val="right"/>
        <w:rPr>
          <w:sz w:val="24"/>
          <w:szCs w:val="24"/>
        </w:rPr>
      </w:pPr>
      <w:r>
        <w:rPr>
          <w:rFonts w:hint="eastAsia"/>
          <w:sz w:val="24"/>
          <w:szCs w:val="24"/>
        </w:rPr>
        <w:t xml:space="preserve">   </w:t>
      </w:r>
      <w:r>
        <w:rPr>
          <w:sz w:val="24"/>
          <w:szCs w:val="24"/>
        </w:rPr>
        <w:t>I</w:t>
      </w:r>
      <w:r>
        <w:rPr>
          <w:sz w:val="24"/>
          <w:szCs w:val="24"/>
          <w:vertAlign w:val="subscript"/>
        </w:rPr>
        <w:t>B</w:t>
      </w:r>
      <w:r>
        <w:rPr>
          <w:rFonts w:hint="eastAsia"/>
          <w:sz w:val="24"/>
          <w:szCs w:val="24"/>
        </w:rPr>
        <w:t>≤</w:t>
      </w:r>
      <w:r>
        <w:rPr>
          <w:sz w:val="24"/>
          <w:szCs w:val="24"/>
        </w:rPr>
        <w:t>I</w:t>
      </w:r>
      <w:r>
        <w:rPr>
          <w:sz w:val="24"/>
          <w:szCs w:val="24"/>
          <w:vertAlign w:val="subscript"/>
        </w:rPr>
        <w:t>n</w:t>
      </w:r>
      <w:r>
        <w:rPr>
          <w:rFonts w:hint="eastAsia"/>
          <w:sz w:val="24"/>
          <w:szCs w:val="24"/>
        </w:rPr>
        <w:t>≤</w:t>
      </w:r>
      <w:r>
        <w:rPr>
          <w:sz w:val="24"/>
          <w:szCs w:val="24"/>
        </w:rPr>
        <w:t>I</w:t>
      </w:r>
      <w:r>
        <w:rPr>
          <w:sz w:val="24"/>
          <w:szCs w:val="24"/>
          <w:vertAlign w:val="subscript"/>
        </w:rPr>
        <w:t xml:space="preserve">Z </w:t>
      </w:r>
      <w:r>
        <w:rPr>
          <w:sz w:val="24"/>
          <w:szCs w:val="24"/>
        </w:rPr>
        <w:t xml:space="preserve">   </w:t>
      </w:r>
      <w:r>
        <w:rPr>
          <w:rFonts w:hint="eastAsia"/>
          <w:sz w:val="24"/>
          <w:szCs w:val="24"/>
        </w:rPr>
        <w:t xml:space="preserve">                        </w:t>
      </w:r>
      <w:r>
        <w:rPr>
          <w:sz w:val="24"/>
          <w:szCs w:val="24"/>
        </w:rPr>
        <w:t xml:space="preserve">    </w:t>
      </w:r>
      <w:r>
        <w:rPr>
          <w:rFonts w:hint="eastAsia"/>
          <w:sz w:val="24"/>
          <w:szCs w:val="24"/>
        </w:rPr>
        <w:t>（6</w:t>
      </w:r>
      <w:r>
        <w:rPr>
          <w:sz w:val="24"/>
          <w:szCs w:val="24"/>
        </w:rPr>
        <w:t>.3.</w:t>
      </w:r>
      <w:r>
        <w:rPr>
          <w:rFonts w:hint="eastAsia"/>
          <w:sz w:val="24"/>
          <w:szCs w:val="24"/>
        </w:rPr>
        <w:t>24</w:t>
      </w:r>
      <w:r>
        <w:rPr>
          <w:sz w:val="24"/>
          <w:szCs w:val="24"/>
        </w:rPr>
        <w:t>）</w:t>
      </w:r>
    </w:p>
    <w:p w14:paraId="45A071E4">
      <w:pPr>
        <w:spacing w:line="360" w:lineRule="auto"/>
        <w:rPr>
          <w:rFonts w:hint="eastAsia" w:ascii="宋体" w:hAnsi="宋体" w:cs="宋体"/>
          <w:sz w:val="24"/>
          <w:szCs w:val="24"/>
        </w:rPr>
      </w:pPr>
      <w:r>
        <w:rPr>
          <w:rFonts w:hint="eastAsia" w:ascii="宋体" w:hAnsi="宋体" w:cs="宋体"/>
          <w:sz w:val="24"/>
          <w:szCs w:val="24"/>
        </w:rPr>
        <w:t>式中：</w:t>
      </w:r>
      <w:r>
        <w:rPr>
          <w:sz w:val="24"/>
          <w:szCs w:val="24"/>
        </w:rPr>
        <w:t>I</w:t>
      </w:r>
      <w:r>
        <w:rPr>
          <w:sz w:val="24"/>
          <w:szCs w:val="24"/>
          <w:vertAlign w:val="subscript"/>
        </w:rPr>
        <w:t>B</w:t>
      </w:r>
      <w:r>
        <w:rPr>
          <w:rFonts w:hint="eastAsia" w:ascii="宋体" w:hAnsi="宋体" w:cs="宋体"/>
          <w:sz w:val="24"/>
          <w:szCs w:val="24"/>
        </w:rPr>
        <w:t>—线路计算负载电流</w:t>
      </w:r>
      <w:r>
        <w:rPr>
          <w:sz w:val="24"/>
          <w:szCs w:val="24"/>
        </w:rPr>
        <w:t>（A）</w:t>
      </w:r>
      <w:r>
        <w:rPr>
          <w:rFonts w:hint="eastAsia" w:ascii="宋体" w:hAnsi="宋体" w:cs="宋体"/>
          <w:sz w:val="24"/>
          <w:szCs w:val="24"/>
        </w:rPr>
        <w:t>；</w:t>
      </w:r>
    </w:p>
    <w:p w14:paraId="373E0AB3">
      <w:pPr>
        <w:spacing w:line="360" w:lineRule="auto"/>
        <w:rPr>
          <w:rFonts w:hint="eastAsia" w:ascii="宋体" w:hAnsi="宋体" w:cs="宋体"/>
          <w:sz w:val="24"/>
          <w:szCs w:val="24"/>
        </w:rPr>
      </w:pPr>
      <w:r>
        <w:rPr>
          <w:rFonts w:hint="eastAsia" w:ascii="宋体" w:hAnsi="宋体" w:cs="宋体"/>
          <w:sz w:val="24"/>
          <w:szCs w:val="24"/>
        </w:rPr>
        <w:t xml:space="preserve">      </w:t>
      </w:r>
      <w:r>
        <w:rPr>
          <w:sz w:val="24"/>
          <w:szCs w:val="24"/>
        </w:rPr>
        <w:t>I</w:t>
      </w:r>
      <w:r>
        <w:rPr>
          <w:sz w:val="24"/>
          <w:szCs w:val="24"/>
          <w:vertAlign w:val="subscript"/>
        </w:rPr>
        <w:t>n</w:t>
      </w:r>
      <w:r>
        <w:rPr>
          <w:rFonts w:hint="eastAsia" w:ascii="宋体" w:hAnsi="宋体" w:cs="宋体"/>
          <w:sz w:val="24"/>
          <w:szCs w:val="24"/>
        </w:rPr>
        <w:t>—断路器额定电流或整定电流</w:t>
      </w:r>
      <w:r>
        <w:rPr>
          <w:sz w:val="24"/>
          <w:szCs w:val="24"/>
        </w:rPr>
        <w:t>（A）</w:t>
      </w:r>
      <w:r>
        <w:rPr>
          <w:rFonts w:hint="eastAsia" w:ascii="宋体" w:hAnsi="宋体" w:cs="宋体"/>
          <w:sz w:val="24"/>
          <w:szCs w:val="24"/>
        </w:rPr>
        <w:t>；</w:t>
      </w:r>
    </w:p>
    <w:p w14:paraId="622D4AD2">
      <w:pPr>
        <w:spacing w:line="360" w:lineRule="auto"/>
        <w:rPr>
          <w:rFonts w:hint="eastAsia" w:ascii="宋体" w:hAnsi="宋体" w:cs="宋体"/>
          <w:sz w:val="24"/>
          <w:szCs w:val="24"/>
        </w:rPr>
      </w:pPr>
      <w:r>
        <w:rPr>
          <w:rFonts w:hint="eastAsia" w:ascii="宋体" w:hAnsi="宋体" w:cs="宋体"/>
          <w:sz w:val="24"/>
          <w:szCs w:val="24"/>
        </w:rPr>
        <w:t xml:space="preserve">      </w:t>
      </w:r>
      <w:r>
        <w:rPr>
          <w:sz w:val="24"/>
          <w:szCs w:val="24"/>
        </w:rPr>
        <w:t>I</w:t>
      </w:r>
      <w:r>
        <w:rPr>
          <w:sz w:val="24"/>
          <w:szCs w:val="24"/>
          <w:vertAlign w:val="subscript"/>
        </w:rPr>
        <w:t>Z</w:t>
      </w:r>
      <w:r>
        <w:rPr>
          <w:rFonts w:hint="eastAsia" w:ascii="宋体" w:hAnsi="宋体" w:cs="宋体"/>
          <w:sz w:val="24"/>
          <w:szCs w:val="24"/>
        </w:rPr>
        <w:t>—导体允许持续载流量</w:t>
      </w:r>
      <w:r>
        <w:rPr>
          <w:sz w:val="24"/>
          <w:szCs w:val="24"/>
        </w:rPr>
        <w:t>（A）</w:t>
      </w:r>
      <w:r>
        <w:rPr>
          <w:rFonts w:hint="eastAsia" w:ascii="宋体" w:hAnsi="宋体" w:cs="宋体"/>
          <w:sz w:val="24"/>
          <w:szCs w:val="24"/>
        </w:rPr>
        <w:t>。</w:t>
      </w:r>
      <w:bookmarkEnd w:id="211"/>
      <w:bookmarkEnd w:id="264"/>
    </w:p>
    <w:p w14:paraId="7E9C334D">
      <w:pPr>
        <w:pStyle w:val="35"/>
        <w:spacing w:before="120" w:line="360" w:lineRule="auto"/>
        <w:rPr>
          <w:color w:val="auto"/>
          <w:szCs w:val="24"/>
        </w:rPr>
      </w:pPr>
      <w:r>
        <w:rPr>
          <w:rFonts w:hint="eastAsia"/>
          <w:b/>
          <w:bCs w:val="0"/>
          <w:color w:val="auto"/>
          <w:szCs w:val="24"/>
        </w:rPr>
        <w:t>6</w:t>
      </w:r>
      <w:r>
        <w:rPr>
          <w:b/>
          <w:bCs w:val="0"/>
          <w:color w:val="auto"/>
          <w:szCs w:val="24"/>
        </w:rPr>
        <w:t>.</w:t>
      </w:r>
      <w:r>
        <w:rPr>
          <w:rFonts w:hint="eastAsia"/>
          <w:b/>
          <w:bCs w:val="0"/>
          <w:color w:val="auto"/>
          <w:szCs w:val="24"/>
        </w:rPr>
        <w:t>3</w:t>
      </w:r>
      <w:r>
        <w:rPr>
          <w:b/>
          <w:bCs w:val="0"/>
          <w:color w:val="auto"/>
          <w:szCs w:val="24"/>
        </w:rPr>
        <w:t>.</w:t>
      </w:r>
      <w:r>
        <w:rPr>
          <w:rFonts w:hint="eastAsia"/>
          <w:b/>
          <w:bCs w:val="0"/>
          <w:color w:val="auto"/>
          <w:szCs w:val="24"/>
        </w:rPr>
        <w:t>25</w:t>
      </w:r>
      <w:r>
        <w:rPr>
          <w:rFonts w:hint="eastAsia"/>
          <w:color w:val="auto"/>
          <w:szCs w:val="24"/>
        </w:rPr>
        <w:t xml:space="preserve">  </w:t>
      </w:r>
      <w:r>
        <w:rPr>
          <w:color w:val="auto"/>
          <w:szCs w:val="24"/>
        </w:rPr>
        <w:t>配电箱（柜）内保护电器的额定值、动作整定值及特性应与被控制的用电设备</w:t>
      </w:r>
      <w:r>
        <w:rPr>
          <w:rFonts w:hint="eastAsia"/>
          <w:color w:val="auto"/>
          <w:szCs w:val="24"/>
        </w:rPr>
        <w:t>类型及</w:t>
      </w:r>
      <w:r>
        <w:rPr>
          <w:color w:val="auto"/>
          <w:szCs w:val="24"/>
        </w:rPr>
        <w:t>功率相适应。</w:t>
      </w:r>
    </w:p>
    <w:p w14:paraId="49690915">
      <w:pPr>
        <w:pStyle w:val="35"/>
        <w:spacing w:before="120" w:line="360" w:lineRule="auto"/>
        <w:rPr>
          <w:color w:val="auto"/>
          <w:szCs w:val="24"/>
        </w:rPr>
      </w:pPr>
      <w:bookmarkStart w:id="266" w:name="_Hlk201148302"/>
      <w:r>
        <w:rPr>
          <w:rFonts w:hint="eastAsia"/>
          <w:b/>
          <w:bCs w:val="0"/>
          <w:color w:val="auto"/>
          <w:szCs w:val="24"/>
        </w:rPr>
        <w:t>6</w:t>
      </w:r>
      <w:r>
        <w:rPr>
          <w:b/>
          <w:bCs w:val="0"/>
          <w:color w:val="auto"/>
          <w:szCs w:val="24"/>
        </w:rPr>
        <w:t>.</w:t>
      </w:r>
      <w:r>
        <w:rPr>
          <w:rFonts w:hint="eastAsia"/>
          <w:b/>
          <w:bCs w:val="0"/>
          <w:color w:val="auto"/>
          <w:szCs w:val="24"/>
        </w:rPr>
        <w:t>3</w:t>
      </w:r>
      <w:r>
        <w:rPr>
          <w:b/>
          <w:bCs w:val="0"/>
          <w:color w:val="auto"/>
          <w:szCs w:val="24"/>
        </w:rPr>
        <w:t>.</w:t>
      </w:r>
      <w:r>
        <w:rPr>
          <w:rFonts w:hint="eastAsia"/>
          <w:b/>
          <w:bCs w:val="0"/>
          <w:color w:val="auto"/>
          <w:szCs w:val="24"/>
        </w:rPr>
        <w:t>26</w:t>
      </w:r>
      <w:r>
        <w:rPr>
          <w:rFonts w:hint="eastAsia"/>
          <w:color w:val="auto"/>
          <w:szCs w:val="24"/>
        </w:rPr>
        <w:t xml:space="preserve"> </w:t>
      </w:r>
      <w:bookmarkStart w:id="267" w:name="OLE_LINK48"/>
      <w:r>
        <w:rPr>
          <w:rFonts w:hint="eastAsia"/>
          <w:color w:val="auto"/>
          <w:szCs w:val="24"/>
        </w:rPr>
        <w:t xml:space="preserve"> </w:t>
      </w:r>
      <w:r>
        <w:rPr>
          <w:color w:val="auto"/>
          <w:szCs w:val="24"/>
        </w:rPr>
        <w:t>分配电箱与便携式末级配电箱间</w:t>
      </w:r>
      <w:r>
        <w:rPr>
          <w:rFonts w:hint="eastAsia"/>
          <w:color w:val="auto"/>
          <w:szCs w:val="24"/>
        </w:rPr>
        <w:t>宜</w:t>
      </w:r>
      <w:r>
        <w:rPr>
          <w:color w:val="auto"/>
          <w:szCs w:val="24"/>
        </w:rPr>
        <w:t>采用工业连接器</w:t>
      </w:r>
      <w:r>
        <w:rPr>
          <w:rFonts w:hint="eastAsia"/>
          <w:color w:val="auto"/>
          <w:szCs w:val="24"/>
        </w:rPr>
        <w:t>进行连接，且</w:t>
      </w:r>
      <w:r>
        <w:rPr>
          <w:rFonts w:hint="eastAsia"/>
          <w:bCs w:val="0"/>
          <w:color w:val="auto"/>
          <w:szCs w:val="24"/>
        </w:rPr>
        <w:t>应</w:t>
      </w:r>
      <w:r>
        <w:rPr>
          <w:color w:val="auto"/>
          <w:szCs w:val="24"/>
        </w:rPr>
        <w:t>符合下列规定</w:t>
      </w:r>
      <w:r>
        <w:rPr>
          <w:rFonts w:hint="eastAsia"/>
          <w:color w:val="auto"/>
          <w:szCs w:val="24"/>
        </w:rPr>
        <w:t>：</w:t>
      </w:r>
    </w:p>
    <w:p w14:paraId="5D8E4B0F">
      <w:pPr>
        <w:pStyle w:val="35"/>
        <w:spacing w:before="120" w:line="360" w:lineRule="auto"/>
        <w:ind w:firstLine="482" w:firstLineChars="200"/>
        <w:rPr>
          <w:color w:val="auto"/>
          <w:szCs w:val="24"/>
        </w:rPr>
      </w:pPr>
      <w:r>
        <w:rPr>
          <w:rFonts w:hint="eastAsia"/>
          <w:b/>
          <w:bCs w:val="0"/>
          <w:color w:val="auto"/>
          <w:szCs w:val="24"/>
        </w:rPr>
        <w:t>1</w:t>
      </w:r>
      <w:r>
        <w:rPr>
          <w:rFonts w:hint="eastAsia"/>
          <w:color w:val="auto"/>
          <w:szCs w:val="24"/>
        </w:rPr>
        <w:t>工业连接器防护等级应大于或等于</w:t>
      </w:r>
      <w:r>
        <w:rPr>
          <w:color w:val="auto"/>
          <w:szCs w:val="24"/>
        </w:rPr>
        <w:t>配电箱</w:t>
      </w:r>
      <w:r>
        <w:rPr>
          <w:rFonts w:hint="eastAsia"/>
          <w:color w:val="auto"/>
          <w:szCs w:val="24"/>
        </w:rPr>
        <w:t>的防护等级；</w:t>
      </w:r>
    </w:p>
    <w:p w14:paraId="36E275E3">
      <w:pPr>
        <w:pStyle w:val="35"/>
        <w:spacing w:before="120" w:line="360" w:lineRule="auto"/>
        <w:ind w:firstLine="482" w:firstLineChars="200"/>
        <w:rPr>
          <w:color w:val="auto"/>
          <w:szCs w:val="24"/>
        </w:rPr>
      </w:pPr>
      <w:r>
        <w:rPr>
          <w:rFonts w:hint="eastAsia"/>
          <w:b/>
          <w:bCs w:val="0"/>
          <w:color w:val="auto"/>
          <w:szCs w:val="24"/>
        </w:rPr>
        <w:t>2</w:t>
      </w:r>
      <w:r>
        <w:rPr>
          <w:rFonts w:hint="eastAsia"/>
          <w:color w:val="auto"/>
          <w:szCs w:val="24"/>
        </w:rPr>
        <w:t>工业连接器底座安装应稳固。</w:t>
      </w:r>
      <w:bookmarkEnd w:id="267"/>
    </w:p>
    <w:bookmarkEnd w:id="266"/>
    <w:p w14:paraId="28D14D79">
      <w:pPr>
        <w:pStyle w:val="35"/>
        <w:spacing w:before="120" w:line="360" w:lineRule="auto"/>
        <w:rPr>
          <w:color w:val="auto"/>
          <w:szCs w:val="24"/>
        </w:rPr>
      </w:pPr>
      <w:bookmarkStart w:id="268" w:name="OLE_LINK18"/>
      <w:r>
        <w:rPr>
          <w:rFonts w:hint="eastAsia"/>
          <w:b/>
          <w:bCs w:val="0"/>
          <w:color w:val="auto"/>
          <w:szCs w:val="24"/>
        </w:rPr>
        <w:t>6</w:t>
      </w:r>
      <w:r>
        <w:rPr>
          <w:b/>
          <w:bCs w:val="0"/>
          <w:color w:val="auto"/>
          <w:szCs w:val="24"/>
        </w:rPr>
        <w:t>.</w:t>
      </w:r>
      <w:r>
        <w:rPr>
          <w:rFonts w:hint="eastAsia"/>
          <w:b/>
          <w:bCs w:val="0"/>
          <w:color w:val="auto"/>
          <w:szCs w:val="24"/>
        </w:rPr>
        <w:t>3</w:t>
      </w:r>
      <w:r>
        <w:rPr>
          <w:b/>
          <w:bCs w:val="0"/>
          <w:color w:val="auto"/>
          <w:szCs w:val="24"/>
        </w:rPr>
        <w:t>.</w:t>
      </w:r>
      <w:r>
        <w:rPr>
          <w:rFonts w:hint="eastAsia"/>
          <w:b/>
          <w:bCs w:val="0"/>
          <w:color w:val="auto"/>
          <w:szCs w:val="24"/>
        </w:rPr>
        <w:t>27</w:t>
      </w:r>
      <w:r>
        <w:rPr>
          <w:color w:val="auto"/>
          <w:szCs w:val="24"/>
        </w:rPr>
        <w:t xml:space="preserve"> </w:t>
      </w:r>
      <w:bookmarkEnd w:id="268"/>
      <w:r>
        <w:rPr>
          <w:rFonts w:hint="eastAsia"/>
          <w:color w:val="auto"/>
          <w:szCs w:val="24"/>
        </w:rPr>
        <w:t xml:space="preserve"> </w:t>
      </w:r>
      <w:r>
        <w:rPr>
          <w:color w:val="auto"/>
          <w:szCs w:val="24"/>
        </w:rPr>
        <w:t>配电箱（柜）</w:t>
      </w:r>
      <w:bookmarkStart w:id="269" w:name="OLE_LINK37"/>
      <w:r>
        <w:rPr>
          <w:color w:val="auto"/>
          <w:szCs w:val="24"/>
        </w:rPr>
        <w:t>导体外绝缘层颜色</w:t>
      </w:r>
      <w:bookmarkEnd w:id="269"/>
      <w:r>
        <w:rPr>
          <w:color w:val="auto"/>
          <w:szCs w:val="24"/>
        </w:rPr>
        <w:t>应符合下列规定：</w:t>
      </w:r>
    </w:p>
    <w:p w14:paraId="0095E3CB">
      <w:pPr>
        <w:pStyle w:val="37"/>
        <w:spacing w:before="120" w:line="360" w:lineRule="auto"/>
        <w:rPr>
          <w:color w:val="auto"/>
          <w:sz w:val="24"/>
          <w:szCs w:val="24"/>
        </w:rPr>
      </w:pPr>
      <w:r>
        <w:rPr>
          <w:b/>
          <w:bCs w:val="0"/>
          <w:color w:val="auto"/>
          <w:sz w:val="24"/>
          <w:szCs w:val="24"/>
        </w:rPr>
        <w:t>1</w:t>
      </w:r>
      <w:r>
        <w:rPr>
          <w:rFonts w:hint="eastAsia"/>
          <w:color w:val="auto"/>
          <w:sz w:val="24"/>
          <w:szCs w:val="24"/>
        </w:rPr>
        <w:t xml:space="preserve"> </w:t>
      </w:r>
      <w:r>
        <w:rPr>
          <w:color w:val="auto"/>
          <w:sz w:val="24"/>
          <w:szCs w:val="24"/>
        </w:rPr>
        <w:t>相导体 L1、相导体L2、相导体L3、中性导体（N）、保护接地导体（PE）的外绝缘层颜色依次为黄、绿、红、淡蓝、绿/黄双色；</w:t>
      </w:r>
    </w:p>
    <w:p w14:paraId="11508524">
      <w:pPr>
        <w:pStyle w:val="37"/>
        <w:spacing w:before="120" w:line="360" w:lineRule="auto"/>
        <w:rPr>
          <w:color w:val="auto"/>
          <w:sz w:val="24"/>
          <w:szCs w:val="24"/>
        </w:rPr>
      </w:pPr>
      <w:r>
        <w:rPr>
          <w:b/>
          <w:bCs w:val="0"/>
          <w:color w:val="auto"/>
          <w:sz w:val="24"/>
          <w:szCs w:val="24"/>
        </w:rPr>
        <w:t>2</w:t>
      </w:r>
      <w:r>
        <w:rPr>
          <w:rFonts w:hint="eastAsia"/>
          <w:color w:val="auto"/>
          <w:sz w:val="24"/>
          <w:szCs w:val="24"/>
        </w:rPr>
        <w:t xml:space="preserve"> </w:t>
      </w:r>
      <w:r>
        <w:rPr>
          <w:color w:val="auto"/>
          <w:sz w:val="24"/>
          <w:szCs w:val="24"/>
        </w:rPr>
        <w:t>导体外绝缘层颜色不应混用或互相代用。</w:t>
      </w:r>
    </w:p>
    <w:p w14:paraId="591077DD">
      <w:pPr>
        <w:pStyle w:val="35"/>
        <w:spacing w:before="120" w:line="360" w:lineRule="auto"/>
        <w:rPr>
          <w:color w:val="auto"/>
          <w:szCs w:val="24"/>
        </w:rPr>
      </w:pPr>
      <w:bookmarkStart w:id="270" w:name="OLE_LINK79"/>
      <w:r>
        <w:rPr>
          <w:rFonts w:hint="eastAsia"/>
          <w:b/>
          <w:bCs w:val="0"/>
          <w:color w:val="auto"/>
          <w:szCs w:val="24"/>
        </w:rPr>
        <w:t>6</w:t>
      </w:r>
      <w:r>
        <w:rPr>
          <w:b/>
          <w:bCs w:val="0"/>
          <w:color w:val="auto"/>
          <w:szCs w:val="24"/>
        </w:rPr>
        <w:t>.</w:t>
      </w:r>
      <w:r>
        <w:rPr>
          <w:rFonts w:hint="eastAsia"/>
          <w:b/>
          <w:bCs w:val="0"/>
          <w:color w:val="auto"/>
          <w:szCs w:val="24"/>
        </w:rPr>
        <w:t>3</w:t>
      </w:r>
      <w:r>
        <w:rPr>
          <w:b/>
          <w:bCs w:val="0"/>
          <w:color w:val="auto"/>
          <w:szCs w:val="24"/>
        </w:rPr>
        <w:t>.</w:t>
      </w:r>
      <w:bookmarkEnd w:id="270"/>
      <w:r>
        <w:rPr>
          <w:rFonts w:hint="eastAsia"/>
          <w:b/>
          <w:bCs w:val="0"/>
          <w:color w:val="auto"/>
          <w:szCs w:val="24"/>
        </w:rPr>
        <w:t>28</w:t>
      </w:r>
      <w:r>
        <w:rPr>
          <w:rFonts w:hint="eastAsia"/>
          <w:color w:val="auto"/>
          <w:szCs w:val="24"/>
        </w:rPr>
        <w:t xml:space="preserve">  </w:t>
      </w:r>
      <w:r>
        <w:rPr>
          <w:color w:val="auto"/>
          <w:szCs w:val="24"/>
        </w:rPr>
        <w:t>配电箱（柜）配线应采用铜质绝缘导线或铜质绝缘母排。</w:t>
      </w:r>
    </w:p>
    <w:p w14:paraId="67D3510E">
      <w:pPr>
        <w:pStyle w:val="35"/>
        <w:spacing w:before="120" w:line="360" w:lineRule="auto"/>
        <w:rPr>
          <w:color w:val="auto"/>
          <w:szCs w:val="24"/>
        </w:rPr>
      </w:pPr>
      <w:r>
        <w:rPr>
          <w:rFonts w:hint="eastAsia"/>
          <w:b/>
          <w:bCs w:val="0"/>
          <w:color w:val="auto"/>
          <w:szCs w:val="24"/>
        </w:rPr>
        <w:t>6</w:t>
      </w:r>
      <w:r>
        <w:rPr>
          <w:b/>
          <w:bCs w:val="0"/>
          <w:color w:val="auto"/>
          <w:szCs w:val="24"/>
        </w:rPr>
        <w:t>.</w:t>
      </w:r>
      <w:r>
        <w:rPr>
          <w:rFonts w:hint="eastAsia"/>
          <w:b/>
          <w:bCs w:val="0"/>
          <w:color w:val="auto"/>
          <w:szCs w:val="24"/>
        </w:rPr>
        <w:t>3</w:t>
      </w:r>
      <w:r>
        <w:rPr>
          <w:b/>
          <w:bCs w:val="0"/>
          <w:color w:val="auto"/>
          <w:szCs w:val="24"/>
        </w:rPr>
        <w:t>.</w:t>
      </w:r>
      <w:r>
        <w:rPr>
          <w:rFonts w:hint="eastAsia"/>
          <w:b/>
          <w:bCs w:val="0"/>
          <w:color w:val="auto"/>
          <w:szCs w:val="24"/>
        </w:rPr>
        <w:t>29</w:t>
      </w:r>
      <w:r>
        <w:rPr>
          <w:color w:val="auto"/>
          <w:szCs w:val="24"/>
        </w:rPr>
        <w:t xml:space="preserve"> </w:t>
      </w:r>
      <w:r>
        <w:rPr>
          <w:rFonts w:hint="eastAsia"/>
          <w:color w:val="auto"/>
          <w:szCs w:val="24"/>
        </w:rPr>
        <w:t xml:space="preserve"> </w:t>
      </w:r>
      <w:r>
        <w:rPr>
          <w:color w:val="auto"/>
          <w:szCs w:val="24"/>
        </w:rPr>
        <w:t>配电箱（柜）汇流排安装应符合下列规定：</w:t>
      </w:r>
    </w:p>
    <w:p w14:paraId="30D980AB">
      <w:pPr>
        <w:pStyle w:val="37"/>
        <w:spacing w:before="120" w:line="360" w:lineRule="auto"/>
        <w:rPr>
          <w:color w:val="auto"/>
          <w:sz w:val="24"/>
          <w:szCs w:val="24"/>
        </w:rPr>
      </w:pPr>
      <w:r>
        <w:rPr>
          <w:b/>
          <w:bCs w:val="0"/>
          <w:color w:val="auto"/>
          <w:sz w:val="24"/>
          <w:szCs w:val="24"/>
        </w:rPr>
        <w:t>1</w:t>
      </w:r>
      <w:r>
        <w:rPr>
          <w:rFonts w:hint="eastAsia"/>
          <w:color w:val="auto"/>
          <w:sz w:val="24"/>
          <w:szCs w:val="24"/>
        </w:rPr>
        <w:t xml:space="preserve"> </w:t>
      </w:r>
      <w:r>
        <w:rPr>
          <w:color w:val="auto"/>
          <w:sz w:val="24"/>
          <w:szCs w:val="24"/>
        </w:rPr>
        <w:t>配电箱（柜）内应分别设置中性</w:t>
      </w:r>
      <w:r>
        <w:rPr>
          <w:rFonts w:hint="eastAsia"/>
          <w:color w:val="auto"/>
          <w:sz w:val="24"/>
          <w:szCs w:val="24"/>
        </w:rPr>
        <w:t>导体</w:t>
      </w:r>
      <w:r>
        <w:rPr>
          <w:color w:val="auto"/>
          <w:sz w:val="24"/>
          <w:szCs w:val="24"/>
        </w:rPr>
        <w:t>（N）汇流排和保护接地</w:t>
      </w:r>
      <w:r>
        <w:rPr>
          <w:rFonts w:hint="eastAsia"/>
          <w:color w:val="auto"/>
          <w:sz w:val="24"/>
          <w:szCs w:val="24"/>
        </w:rPr>
        <w:t>导体</w:t>
      </w:r>
      <w:r>
        <w:rPr>
          <w:color w:val="auto"/>
          <w:sz w:val="24"/>
          <w:szCs w:val="24"/>
        </w:rPr>
        <w:t>（PE）汇流排；</w:t>
      </w:r>
    </w:p>
    <w:p w14:paraId="232A0042">
      <w:pPr>
        <w:pStyle w:val="37"/>
        <w:spacing w:before="120" w:line="360" w:lineRule="auto"/>
        <w:rPr>
          <w:color w:val="auto"/>
          <w:sz w:val="24"/>
          <w:szCs w:val="24"/>
        </w:rPr>
      </w:pPr>
      <w:r>
        <w:rPr>
          <w:b/>
          <w:bCs w:val="0"/>
          <w:color w:val="auto"/>
          <w:sz w:val="24"/>
          <w:szCs w:val="24"/>
        </w:rPr>
        <w:t>2</w:t>
      </w:r>
      <w:r>
        <w:rPr>
          <w:rFonts w:hint="eastAsia"/>
          <w:color w:val="auto"/>
          <w:sz w:val="24"/>
          <w:szCs w:val="24"/>
        </w:rPr>
        <w:t xml:space="preserve"> </w:t>
      </w:r>
      <w:r>
        <w:rPr>
          <w:color w:val="auto"/>
          <w:sz w:val="24"/>
          <w:szCs w:val="24"/>
        </w:rPr>
        <w:t>中性</w:t>
      </w:r>
      <w:r>
        <w:rPr>
          <w:rFonts w:hint="eastAsia"/>
          <w:color w:val="auto"/>
          <w:sz w:val="24"/>
          <w:szCs w:val="24"/>
        </w:rPr>
        <w:t>导体</w:t>
      </w:r>
      <w:r>
        <w:rPr>
          <w:color w:val="auto"/>
          <w:sz w:val="24"/>
          <w:szCs w:val="24"/>
        </w:rPr>
        <w:t>（</w:t>
      </w:r>
      <w:bookmarkStart w:id="271" w:name="_Hlk206146453"/>
      <w:r>
        <w:rPr>
          <w:color w:val="auto"/>
          <w:sz w:val="24"/>
          <w:szCs w:val="24"/>
        </w:rPr>
        <w:t>N</w:t>
      </w:r>
      <w:bookmarkEnd w:id="271"/>
      <w:r>
        <w:rPr>
          <w:color w:val="auto"/>
          <w:sz w:val="24"/>
          <w:szCs w:val="24"/>
        </w:rPr>
        <w:t>）汇流排及保护接地</w:t>
      </w:r>
      <w:r>
        <w:rPr>
          <w:rFonts w:hint="eastAsia"/>
          <w:color w:val="auto"/>
          <w:sz w:val="24"/>
          <w:szCs w:val="24"/>
        </w:rPr>
        <w:t>导体</w:t>
      </w:r>
      <w:r>
        <w:rPr>
          <w:color w:val="auto"/>
          <w:sz w:val="24"/>
          <w:szCs w:val="24"/>
        </w:rPr>
        <w:t>（</w:t>
      </w:r>
      <w:bookmarkStart w:id="272" w:name="_Hlk206146444"/>
      <w:r>
        <w:rPr>
          <w:color w:val="auto"/>
          <w:sz w:val="24"/>
          <w:szCs w:val="24"/>
        </w:rPr>
        <w:t>PE</w:t>
      </w:r>
      <w:bookmarkEnd w:id="272"/>
      <w:r>
        <w:rPr>
          <w:color w:val="auto"/>
          <w:sz w:val="24"/>
          <w:szCs w:val="24"/>
        </w:rPr>
        <w:t>）汇流排</w:t>
      </w:r>
      <w:r>
        <w:rPr>
          <w:rFonts w:hint="eastAsia"/>
          <w:color w:val="auto"/>
          <w:sz w:val="24"/>
          <w:szCs w:val="24"/>
        </w:rPr>
        <w:t>截面积不</w:t>
      </w:r>
      <w:r>
        <w:rPr>
          <w:color w:val="auto"/>
          <w:sz w:val="24"/>
          <w:szCs w:val="24"/>
        </w:rPr>
        <w:t>应</w:t>
      </w:r>
      <w:r>
        <w:rPr>
          <w:rFonts w:hint="eastAsia"/>
          <w:color w:val="auto"/>
          <w:sz w:val="24"/>
          <w:szCs w:val="24"/>
        </w:rPr>
        <w:t>小</w:t>
      </w:r>
      <w:r>
        <w:rPr>
          <w:color w:val="auto"/>
          <w:sz w:val="24"/>
          <w:szCs w:val="24"/>
        </w:rPr>
        <w:t>于</w:t>
      </w:r>
      <w:r>
        <w:rPr>
          <w:rFonts w:hint="eastAsia"/>
          <w:color w:val="auto"/>
          <w:sz w:val="24"/>
          <w:szCs w:val="24"/>
        </w:rPr>
        <w:t>电源进线中性导体（</w:t>
      </w:r>
      <w:r>
        <w:rPr>
          <w:color w:val="auto"/>
          <w:sz w:val="24"/>
          <w:szCs w:val="24"/>
        </w:rPr>
        <w:t>N</w:t>
      </w:r>
      <w:r>
        <w:rPr>
          <w:rFonts w:hint="eastAsia"/>
          <w:color w:val="auto"/>
          <w:sz w:val="24"/>
          <w:szCs w:val="24"/>
        </w:rPr>
        <w:t>）和保护接地导体（</w:t>
      </w:r>
      <w:r>
        <w:rPr>
          <w:color w:val="auto"/>
          <w:sz w:val="24"/>
          <w:szCs w:val="24"/>
        </w:rPr>
        <w:t>PE</w:t>
      </w:r>
      <w:r>
        <w:rPr>
          <w:rFonts w:hint="eastAsia"/>
          <w:color w:val="auto"/>
          <w:sz w:val="24"/>
          <w:szCs w:val="24"/>
        </w:rPr>
        <w:t>）的截面积</w:t>
      </w:r>
      <w:r>
        <w:rPr>
          <w:color w:val="auto"/>
          <w:sz w:val="24"/>
          <w:szCs w:val="24"/>
        </w:rPr>
        <w:t>；</w:t>
      </w:r>
    </w:p>
    <w:p w14:paraId="1D58992E">
      <w:pPr>
        <w:pStyle w:val="37"/>
        <w:spacing w:before="120" w:line="360" w:lineRule="auto"/>
        <w:rPr>
          <w:color w:val="auto"/>
          <w:sz w:val="24"/>
          <w:szCs w:val="24"/>
        </w:rPr>
      </w:pPr>
      <w:r>
        <w:rPr>
          <w:b/>
          <w:bCs w:val="0"/>
          <w:color w:val="auto"/>
          <w:sz w:val="24"/>
          <w:szCs w:val="24"/>
        </w:rPr>
        <w:t>3</w:t>
      </w:r>
      <w:r>
        <w:rPr>
          <w:rFonts w:hint="eastAsia"/>
          <w:color w:val="auto"/>
          <w:sz w:val="24"/>
          <w:szCs w:val="24"/>
        </w:rPr>
        <w:t xml:space="preserve"> </w:t>
      </w:r>
      <w:r>
        <w:rPr>
          <w:color w:val="auto"/>
          <w:sz w:val="24"/>
          <w:szCs w:val="24"/>
        </w:rPr>
        <w:t>中性</w:t>
      </w:r>
      <w:r>
        <w:rPr>
          <w:rFonts w:hint="eastAsia"/>
          <w:color w:val="auto"/>
          <w:sz w:val="24"/>
          <w:szCs w:val="24"/>
        </w:rPr>
        <w:t>导体</w:t>
      </w:r>
      <w:r>
        <w:rPr>
          <w:color w:val="auto"/>
          <w:sz w:val="24"/>
          <w:szCs w:val="24"/>
        </w:rPr>
        <w:t>（N）汇流排应与金属安装板</w:t>
      </w:r>
      <w:r>
        <w:rPr>
          <w:rFonts w:hint="eastAsia"/>
          <w:color w:val="auto"/>
          <w:sz w:val="24"/>
          <w:szCs w:val="24"/>
        </w:rPr>
        <w:t>及金属箱体</w:t>
      </w:r>
      <w:r>
        <w:rPr>
          <w:color w:val="auto"/>
          <w:sz w:val="24"/>
          <w:szCs w:val="24"/>
        </w:rPr>
        <w:t>绝缘</w:t>
      </w:r>
      <w:r>
        <w:rPr>
          <w:rFonts w:hint="eastAsia"/>
          <w:color w:val="auto"/>
          <w:sz w:val="24"/>
          <w:szCs w:val="24"/>
        </w:rPr>
        <w:t>；</w:t>
      </w:r>
      <w:r>
        <w:rPr>
          <w:color w:val="auto"/>
          <w:sz w:val="24"/>
          <w:szCs w:val="24"/>
        </w:rPr>
        <w:t>保护接地</w:t>
      </w:r>
      <w:r>
        <w:rPr>
          <w:rFonts w:hint="eastAsia"/>
          <w:color w:val="auto"/>
          <w:sz w:val="24"/>
          <w:szCs w:val="24"/>
        </w:rPr>
        <w:t>导体</w:t>
      </w:r>
      <w:r>
        <w:rPr>
          <w:color w:val="auto"/>
          <w:sz w:val="24"/>
          <w:szCs w:val="24"/>
        </w:rPr>
        <w:t>（PE）汇流排应与金属安装板</w:t>
      </w:r>
      <w:r>
        <w:rPr>
          <w:rFonts w:hint="eastAsia"/>
          <w:color w:val="auto"/>
          <w:sz w:val="24"/>
          <w:szCs w:val="24"/>
        </w:rPr>
        <w:t>及金属箱体连接；</w:t>
      </w:r>
    </w:p>
    <w:p w14:paraId="6AF92BD6">
      <w:pPr>
        <w:pStyle w:val="37"/>
        <w:spacing w:before="120" w:line="360" w:lineRule="auto"/>
        <w:rPr>
          <w:color w:val="auto"/>
          <w:sz w:val="24"/>
          <w:szCs w:val="24"/>
        </w:rPr>
      </w:pPr>
      <w:r>
        <w:rPr>
          <w:b/>
          <w:bCs w:val="0"/>
          <w:color w:val="auto"/>
          <w:sz w:val="24"/>
          <w:szCs w:val="24"/>
        </w:rPr>
        <w:t>4</w:t>
      </w:r>
      <w:bookmarkStart w:id="273" w:name="_Hlk187517824"/>
      <w:bookmarkStart w:id="274" w:name="_Hlk187517629"/>
      <w:bookmarkStart w:id="275" w:name="_Hlk187518012"/>
      <w:r>
        <w:rPr>
          <w:rFonts w:hint="eastAsia"/>
          <w:b/>
          <w:bCs w:val="0"/>
          <w:color w:val="auto"/>
          <w:sz w:val="24"/>
          <w:szCs w:val="24"/>
        </w:rPr>
        <w:t xml:space="preserve"> </w:t>
      </w:r>
      <w:r>
        <w:rPr>
          <w:rFonts w:hint="eastAsia"/>
          <w:color w:val="auto"/>
          <w:sz w:val="24"/>
          <w:szCs w:val="24"/>
        </w:rPr>
        <w:t>每个</w:t>
      </w:r>
      <w:r>
        <w:rPr>
          <w:color w:val="auto"/>
          <w:sz w:val="24"/>
          <w:szCs w:val="24"/>
        </w:rPr>
        <w:t>馈出回路</w:t>
      </w:r>
      <w:r>
        <w:rPr>
          <w:rFonts w:hint="eastAsia"/>
          <w:color w:val="auto"/>
          <w:sz w:val="24"/>
          <w:szCs w:val="24"/>
        </w:rPr>
        <w:t>的</w:t>
      </w:r>
      <w:r>
        <w:rPr>
          <w:color w:val="auto"/>
          <w:sz w:val="24"/>
          <w:szCs w:val="24"/>
        </w:rPr>
        <w:t>保护接地导体（PE</w:t>
      </w:r>
      <w:r>
        <w:rPr>
          <w:rFonts w:hint="eastAsia"/>
          <w:color w:val="auto"/>
          <w:sz w:val="24"/>
          <w:szCs w:val="24"/>
        </w:rPr>
        <w:t>）</w:t>
      </w:r>
      <w:r>
        <w:rPr>
          <w:color w:val="auto"/>
          <w:sz w:val="24"/>
          <w:szCs w:val="24"/>
        </w:rPr>
        <w:t>应与保护接地</w:t>
      </w:r>
      <w:r>
        <w:rPr>
          <w:rFonts w:hint="eastAsia"/>
          <w:color w:val="auto"/>
          <w:sz w:val="24"/>
          <w:szCs w:val="24"/>
        </w:rPr>
        <w:t>导体</w:t>
      </w:r>
      <w:r>
        <w:rPr>
          <w:color w:val="auto"/>
          <w:sz w:val="24"/>
          <w:szCs w:val="24"/>
        </w:rPr>
        <w:t>（PE）汇流排接线端子</w:t>
      </w:r>
      <w:r>
        <w:rPr>
          <w:rFonts w:hint="eastAsia"/>
          <w:color w:val="auto"/>
          <w:sz w:val="24"/>
          <w:szCs w:val="24"/>
        </w:rPr>
        <w:t>单独</w:t>
      </w:r>
      <w:r>
        <w:rPr>
          <w:color w:val="auto"/>
          <w:sz w:val="24"/>
          <w:szCs w:val="24"/>
        </w:rPr>
        <w:t>连接</w:t>
      </w:r>
      <w:bookmarkEnd w:id="273"/>
      <w:bookmarkEnd w:id="274"/>
      <w:bookmarkEnd w:id="275"/>
      <w:r>
        <w:rPr>
          <w:color w:val="auto"/>
          <w:sz w:val="24"/>
          <w:szCs w:val="24"/>
        </w:rPr>
        <w:t>；</w:t>
      </w:r>
    </w:p>
    <w:p w14:paraId="74139E6F">
      <w:pPr>
        <w:pStyle w:val="37"/>
        <w:spacing w:before="120" w:line="360" w:lineRule="auto"/>
        <w:rPr>
          <w:color w:val="auto"/>
          <w:sz w:val="24"/>
          <w:szCs w:val="24"/>
        </w:rPr>
      </w:pPr>
      <w:r>
        <w:rPr>
          <w:rFonts w:hint="eastAsia"/>
          <w:b/>
          <w:bCs w:val="0"/>
          <w:color w:val="auto"/>
          <w:sz w:val="24"/>
          <w:szCs w:val="24"/>
        </w:rPr>
        <w:t>5</w:t>
      </w:r>
      <w:r>
        <w:rPr>
          <w:rFonts w:hint="eastAsia"/>
          <w:b/>
          <w:color w:val="auto"/>
          <w:sz w:val="24"/>
          <w:szCs w:val="24"/>
        </w:rPr>
        <w:t xml:space="preserve"> </w:t>
      </w:r>
      <w:r>
        <w:rPr>
          <w:color w:val="auto"/>
          <w:sz w:val="24"/>
          <w:szCs w:val="24"/>
        </w:rPr>
        <w:t>中性</w:t>
      </w:r>
      <w:r>
        <w:rPr>
          <w:rFonts w:hint="eastAsia"/>
          <w:color w:val="auto"/>
          <w:sz w:val="24"/>
          <w:szCs w:val="24"/>
        </w:rPr>
        <w:t>导体</w:t>
      </w:r>
      <w:r>
        <w:rPr>
          <w:color w:val="auto"/>
          <w:sz w:val="24"/>
          <w:szCs w:val="24"/>
        </w:rPr>
        <w:t>（N）汇流排</w:t>
      </w:r>
      <w:r>
        <w:rPr>
          <w:rFonts w:hint="eastAsia"/>
          <w:color w:val="auto"/>
          <w:sz w:val="24"/>
          <w:szCs w:val="24"/>
        </w:rPr>
        <w:t>及</w:t>
      </w:r>
      <w:r>
        <w:rPr>
          <w:color w:val="auto"/>
          <w:sz w:val="24"/>
          <w:szCs w:val="24"/>
        </w:rPr>
        <w:t>保护接地</w:t>
      </w:r>
      <w:r>
        <w:rPr>
          <w:rFonts w:hint="eastAsia"/>
          <w:color w:val="auto"/>
          <w:sz w:val="24"/>
          <w:szCs w:val="24"/>
        </w:rPr>
        <w:t>导体</w:t>
      </w:r>
      <w:r>
        <w:rPr>
          <w:color w:val="auto"/>
          <w:sz w:val="24"/>
          <w:szCs w:val="24"/>
        </w:rPr>
        <w:t>（PE）汇流排应采用铜质材料</w:t>
      </w:r>
      <w:r>
        <w:rPr>
          <w:rFonts w:hint="eastAsia"/>
          <w:color w:val="auto"/>
          <w:sz w:val="24"/>
          <w:szCs w:val="24"/>
        </w:rPr>
        <w:t>且</w:t>
      </w:r>
      <w:r>
        <w:rPr>
          <w:color w:val="auto"/>
          <w:sz w:val="24"/>
          <w:szCs w:val="24"/>
        </w:rPr>
        <w:t>镀锡</w:t>
      </w:r>
      <w:r>
        <w:rPr>
          <w:rFonts w:hint="eastAsia"/>
          <w:color w:val="auto"/>
          <w:sz w:val="24"/>
          <w:szCs w:val="24"/>
        </w:rPr>
        <w:t>；</w:t>
      </w:r>
    </w:p>
    <w:p w14:paraId="2FB20588">
      <w:pPr>
        <w:pStyle w:val="37"/>
        <w:spacing w:before="120" w:line="360" w:lineRule="auto"/>
        <w:rPr>
          <w:color w:val="auto"/>
          <w:sz w:val="24"/>
          <w:szCs w:val="24"/>
        </w:rPr>
      </w:pPr>
      <w:r>
        <w:rPr>
          <w:rFonts w:hint="eastAsia"/>
          <w:b/>
          <w:bCs w:val="0"/>
          <w:color w:val="auto"/>
          <w:sz w:val="24"/>
          <w:szCs w:val="24"/>
        </w:rPr>
        <w:t>6</w:t>
      </w:r>
      <w:r>
        <w:rPr>
          <w:rFonts w:hint="eastAsia"/>
          <w:color w:val="auto"/>
          <w:sz w:val="24"/>
          <w:szCs w:val="24"/>
        </w:rPr>
        <w:t xml:space="preserve"> </w:t>
      </w:r>
      <w:r>
        <w:rPr>
          <w:color w:val="auto"/>
          <w:sz w:val="24"/>
          <w:szCs w:val="24"/>
        </w:rPr>
        <w:t>保护接地</w:t>
      </w:r>
      <w:r>
        <w:rPr>
          <w:rFonts w:hint="eastAsia"/>
          <w:color w:val="auto"/>
          <w:sz w:val="24"/>
          <w:szCs w:val="24"/>
        </w:rPr>
        <w:t>导体</w:t>
      </w:r>
      <w:r>
        <w:rPr>
          <w:color w:val="auto"/>
          <w:sz w:val="24"/>
          <w:szCs w:val="24"/>
        </w:rPr>
        <w:t>（PE）汇流排应以馈出回路为基数</w:t>
      </w:r>
      <w:r>
        <w:rPr>
          <w:rFonts w:hint="eastAsia"/>
          <w:color w:val="auto"/>
          <w:sz w:val="24"/>
          <w:szCs w:val="24"/>
        </w:rPr>
        <w:t>，至少预留</w:t>
      </w:r>
      <w:r>
        <w:rPr>
          <w:color w:val="auto"/>
          <w:sz w:val="24"/>
          <w:szCs w:val="24"/>
        </w:rPr>
        <w:t>三个接线端子</w:t>
      </w:r>
      <w:r>
        <w:rPr>
          <w:rFonts w:hint="eastAsia"/>
          <w:color w:val="auto"/>
          <w:sz w:val="24"/>
          <w:szCs w:val="24"/>
        </w:rPr>
        <w:t>。</w:t>
      </w:r>
    </w:p>
    <w:p w14:paraId="5B8AF9F6">
      <w:pPr>
        <w:pStyle w:val="35"/>
        <w:spacing w:before="120" w:line="360" w:lineRule="auto"/>
        <w:rPr>
          <w:color w:val="auto"/>
          <w:szCs w:val="24"/>
        </w:rPr>
      </w:pPr>
      <w:r>
        <w:rPr>
          <w:rFonts w:hint="eastAsia"/>
          <w:b/>
          <w:bCs w:val="0"/>
          <w:color w:val="auto"/>
          <w:szCs w:val="24"/>
        </w:rPr>
        <w:t>6</w:t>
      </w:r>
      <w:r>
        <w:rPr>
          <w:b/>
          <w:bCs w:val="0"/>
          <w:color w:val="auto"/>
          <w:szCs w:val="24"/>
        </w:rPr>
        <w:t>.</w:t>
      </w:r>
      <w:r>
        <w:rPr>
          <w:rFonts w:hint="eastAsia"/>
          <w:b/>
          <w:bCs w:val="0"/>
          <w:color w:val="auto"/>
          <w:szCs w:val="24"/>
        </w:rPr>
        <w:t>3</w:t>
      </w:r>
      <w:r>
        <w:rPr>
          <w:b/>
          <w:bCs w:val="0"/>
          <w:color w:val="auto"/>
          <w:szCs w:val="24"/>
        </w:rPr>
        <w:t>.</w:t>
      </w:r>
      <w:r>
        <w:rPr>
          <w:rFonts w:hint="eastAsia"/>
          <w:b/>
          <w:bCs w:val="0"/>
          <w:color w:val="auto"/>
          <w:szCs w:val="24"/>
        </w:rPr>
        <w:t>30</w:t>
      </w:r>
      <w:r>
        <w:rPr>
          <w:rFonts w:hint="eastAsia"/>
          <w:color w:val="auto"/>
          <w:szCs w:val="24"/>
        </w:rPr>
        <w:t xml:space="preserve">  </w:t>
      </w:r>
      <w:r>
        <w:rPr>
          <w:color w:val="auto"/>
          <w:szCs w:val="24"/>
        </w:rPr>
        <w:t>多股铜导线</w:t>
      </w:r>
      <w:r>
        <w:rPr>
          <w:rFonts w:hint="eastAsia"/>
          <w:color w:val="auto"/>
          <w:szCs w:val="24"/>
        </w:rPr>
        <w:t>应</w:t>
      </w:r>
      <w:r>
        <w:rPr>
          <w:color w:val="auto"/>
          <w:szCs w:val="24"/>
        </w:rPr>
        <w:t>涮锡</w:t>
      </w:r>
      <w:r>
        <w:rPr>
          <w:rFonts w:hint="eastAsia"/>
          <w:color w:val="auto"/>
          <w:szCs w:val="24"/>
        </w:rPr>
        <w:t>或接续端子后压接</w:t>
      </w:r>
      <w:r>
        <w:rPr>
          <w:color w:val="auto"/>
          <w:szCs w:val="24"/>
        </w:rPr>
        <w:t xml:space="preserve">。 </w:t>
      </w:r>
    </w:p>
    <w:p w14:paraId="7DA43E1C">
      <w:pPr>
        <w:pStyle w:val="35"/>
        <w:spacing w:before="120" w:line="360" w:lineRule="auto"/>
        <w:rPr>
          <w:color w:val="auto"/>
          <w:szCs w:val="24"/>
        </w:rPr>
      </w:pPr>
      <w:r>
        <w:rPr>
          <w:rFonts w:hint="eastAsia"/>
          <w:b/>
          <w:bCs w:val="0"/>
          <w:color w:val="auto"/>
          <w:szCs w:val="24"/>
        </w:rPr>
        <w:t>6.3.31</w:t>
      </w:r>
      <w:r>
        <w:rPr>
          <w:rFonts w:hint="eastAsia"/>
          <w:color w:val="auto"/>
          <w:szCs w:val="24"/>
        </w:rPr>
        <w:t xml:space="preserve">  配电箱（柜）保护电器及馈出回路标识应齐全、准确、清晰。</w:t>
      </w:r>
    </w:p>
    <w:p w14:paraId="20EFC005">
      <w:pPr>
        <w:pStyle w:val="35"/>
        <w:spacing w:before="120" w:line="360" w:lineRule="auto"/>
        <w:rPr>
          <w:color w:val="auto"/>
          <w:szCs w:val="24"/>
        </w:rPr>
      </w:pPr>
      <w:r>
        <w:rPr>
          <w:rFonts w:hint="eastAsia"/>
          <w:b/>
          <w:bCs w:val="0"/>
          <w:color w:val="auto"/>
          <w:szCs w:val="24"/>
        </w:rPr>
        <w:t>6</w:t>
      </w:r>
      <w:r>
        <w:rPr>
          <w:b/>
          <w:bCs w:val="0"/>
          <w:color w:val="auto"/>
          <w:szCs w:val="24"/>
        </w:rPr>
        <w:t>.</w:t>
      </w:r>
      <w:r>
        <w:rPr>
          <w:rFonts w:hint="eastAsia"/>
          <w:b/>
          <w:bCs w:val="0"/>
          <w:color w:val="auto"/>
          <w:szCs w:val="24"/>
        </w:rPr>
        <w:t>3</w:t>
      </w:r>
      <w:r>
        <w:rPr>
          <w:b/>
          <w:bCs w:val="0"/>
          <w:color w:val="auto"/>
          <w:szCs w:val="24"/>
        </w:rPr>
        <w:t>.</w:t>
      </w:r>
      <w:r>
        <w:rPr>
          <w:rFonts w:hint="eastAsia"/>
          <w:b/>
          <w:bCs w:val="0"/>
          <w:color w:val="auto"/>
          <w:szCs w:val="24"/>
        </w:rPr>
        <w:t>32</w:t>
      </w:r>
      <w:r>
        <w:rPr>
          <w:rFonts w:hint="eastAsia"/>
          <w:color w:val="auto"/>
          <w:szCs w:val="24"/>
        </w:rPr>
        <w:t xml:space="preserve">  </w:t>
      </w:r>
      <w:r>
        <w:rPr>
          <w:color w:val="auto"/>
          <w:szCs w:val="24"/>
        </w:rPr>
        <w:t>配电箱（柜）的金属箱体、电器安装板以及电器正常不带电的金属底座、外壳、支架、隔离防护门等</w:t>
      </w:r>
      <w:r>
        <w:rPr>
          <w:rFonts w:hint="eastAsia"/>
          <w:color w:val="auto"/>
          <w:szCs w:val="24"/>
        </w:rPr>
        <w:t>，</w:t>
      </w:r>
      <w:r>
        <w:rPr>
          <w:color w:val="auto"/>
          <w:szCs w:val="24"/>
        </w:rPr>
        <w:t>应采用不小于4mm</w:t>
      </w:r>
      <w:r>
        <w:rPr>
          <w:color w:val="auto"/>
          <w:szCs w:val="24"/>
          <w:vertAlign w:val="superscript"/>
        </w:rPr>
        <w:t>2</w:t>
      </w:r>
      <w:r>
        <w:rPr>
          <w:rFonts w:hint="eastAsia"/>
          <w:color w:val="auto"/>
          <w:szCs w:val="24"/>
        </w:rPr>
        <w:t>的</w:t>
      </w:r>
      <w:r>
        <w:rPr>
          <w:color w:val="auto"/>
          <w:szCs w:val="24"/>
        </w:rPr>
        <w:t>黄/绿</w:t>
      </w:r>
      <w:r>
        <w:rPr>
          <w:rFonts w:hint="eastAsia"/>
          <w:color w:val="auto"/>
          <w:szCs w:val="24"/>
        </w:rPr>
        <w:t>色</w:t>
      </w:r>
      <w:r>
        <w:rPr>
          <w:color w:val="auto"/>
          <w:szCs w:val="24"/>
        </w:rPr>
        <w:t>绝缘</w:t>
      </w:r>
      <w:r>
        <w:rPr>
          <w:rFonts w:hint="eastAsia"/>
          <w:color w:val="auto"/>
          <w:szCs w:val="24"/>
        </w:rPr>
        <w:t>铜质</w:t>
      </w:r>
      <w:r>
        <w:rPr>
          <w:color w:val="auto"/>
          <w:szCs w:val="24"/>
        </w:rPr>
        <w:t>软导线与保护接地汇流排（PE</w:t>
      </w:r>
      <w:r>
        <w:rPr>
          <w:rFonts w:hint="eastAsia"/>
          <w:color w:val="auto"/>
          <w:szCs w:val="24"/>
        </w:rPr>
        <w:t>）</w:t>
      </w:r>
      <w:r>
        <w:rPr>
          <w:color w:val="auto"/>
          <w:szCs w:val="24"/>
        </w:rPr>
        <w:t>可靠连接。</w:t>
      </w:r>
    </w:p>
    <w:p w14:paraId="28A63F6F">
      <w:pPr>
        <w:pStyle w:val="35"/>
        <w:spacing w:before="120" w:line="360" w:lineRule="auto"/>
        <w:rPr>
          <w:color w:val="auto"/>
          <w:szCs w:val="24"/>
        </w:rPr>
      </w:pPr>
      <w:r>
        <w:rPr>
          <w:rFonts w:hint="eastAsia"/>
          <w:b/>
          <w:bCs w:val="0"/>
          <w:color w:val="auto"/>
          <w:szCs w:val="24"/>
        </w:rPr>
        <w:t>6</w:t>
      </w:r>
      <w:r>
        <w:rPr>
          <w:b/>
          <w:bCs w:val="0"/>
          <w:color w:val="auto"/>
          <w:szCs w:val="24"/>
        </w:rPr>
        <w:t>.</w:t>
      </w:r>
      <w:r>
        <w:rPr>
          <w:rFonts w:hint="eastAsia"/>
          <w:b/>
          <w:bCs w:val="0"/>
          <w:color w:val="auto"/>
          <w:szCs w:val="24"/>
        </w:rPr>
        <w:t>3</w:t>
      </w:r>
      <w:r>
        <w:rPr>
          <w:b/>
          <w:bCs w:val="0"/>
          <w:color w:val="auto"/>
          <w:szCs w:val="24"/>
        </w:rPr>
        <w:t>.</w:t>
      </w:r>
      <w:r>
        <w:rPr>
          <w:rFonts w:hint="eastAsia"/>
          <w:b/>
          <w:bCs w:val="0"/>
          <w:color w:val="auto"/>
          <w:szCs w:val="24"/>
        </w:rPr>
        <w:t xml:space="preserve">33  </w:t>
      </w:r>
      <w:r>
        <w:rPr>
          <w:rFonts w:hint="eastAsia"/>
          <w:color w:val="auto"/>
          <w:szCs w:val="24"/>
        </w:rPr>
        <w:t>进、出配电箱（柜）</w:t>
      </w:r>
      <w:bookmarkStart w:id="276" w:name="_Hlk201310173"/>
      <w:r>
        <w:rPr>
          <w:rFonts w:hint="eastAsia"/>
          <w:color w:val="auto"/>
          <w:szCs w:val="24"/>
        </w:rPr>
        <w:t>的线缆</w:t>
      </w:r>
      <w:bookmarkEnd w:id="276"/>
      <w:r>
        <w:rPr>
          <w:rFonts w:hint="eastAsia"/>
          <w:color w:val="auto"/>
          <w:szCs w:val="24"/>
        </w:rPr>
        <w:t>与保护电器或汇流排等连接点处不应承受外力。</w:t>
      </w:r>
    </w:p>
    <w:p w14:paraId="0CDC40F8">
      <w:pPr>
        <w:pStyle w:val="35"/>
        <w:spacing w:before="120" w:line="360" w:lineRule="auto"/>
        <w:rPr>
          <w:color w:val="auto"/>
          <w:szCs w:val="24"/>
        </w:rPr>
      </w:pPr>
      <w:r>
        <w:rPr>
          <w:rFonts w:hint="eastAsia"/>
          <w:b/>
          <w:bCs w:val="0"/>
          <w:color w:val="auto"/>
          <w:szCs w:val="24"/>
        </w:rPr>
        <w:t>6</w:t>
      </w:r>
      <w:r>
        <w:rPr>
          <w:b/>
          <w:bCs w:val="0"/>
          <w:color w:val="auto"/>
          <w:szCs w:val="24"/>
        </w:rPr>
        <w:t>.</w:t>
      </w:r>
      <w:r>
        <w:rPr>
          <w:rFonts w:hint="eastAsia"/>
          <w:b/>
          <w:bCs w:val="0"/>
          <w:color w:val="auto"/>
          <w:szCs w:val="24"/>
        </w:rPr>
        <w:t>3</w:t>
      </w:r>
      <w:r>
        <w:rPr>
          <w:b/>
          <w:bCs w:val="0"/>
          <w:color w:val="auto"/>
          <w:szCs w:val="24"/>
        </w:rPr>
        <w:t>.</w:t>
      </w:r>
      <w:r>
        <w:rPr>
          <w:rFonts w:hint="eastAsia"/>
          <w:b/>
          <w:bCs w:val="0"/>
          <w:color w:val="auto"/>
          <w:szCs w:val="24"/>
        </w:rPr>
        <w:t>34</w:t>
      </w:r>
      <w:r>
        <w:rPr>
          <w:rFonts w:hint="eastAsia"/>
          <w:color w:val="auto"/>
          <w:szCs w:val="24"/>
        </w:rPr>
        <w:t xml:space="preserve">  </w:t>
      </w:r>
      <w:r>
        <w:rPr>
          <w:color w:val="auto"/>
          <w:szCs w:val="24"/>
        </w:rPr>
        <w:t>总配电箱（柜）电器设置应符合下列规定：</w:t>
      </w:r>
    </w:p>
    <w:p w14:paraId="78B5340B">
      <w:pPr>
        <w:pStyle w:val="37"/>
        <w:spacing w:before="120" w:line="360" w:lineRule="auto"/>
        <w:rPr>
          <w:color w:val="auto"/>
          <w:sz w:val="24"/>
          <w:szCs w:val="24"/>
        </w:rPr>
      </w:pPr>
      <w:r>
        <w:rPr>
          <w:rFonts w:hint="eastAsia"/>
          <w:b/>
          <w:bCs w:val="0"/>
          <w:color w:val="auto"/>
          <w:sz w:val="24"/>
          <w:szCs w:val="24"/>
        </w:rPr>
        <w:t>1</w:t>
      </w:r>
      <w:r>
        <w:rPr>
          <w:rFonts w:hint="eastAsia"/>
          <w:color w:val="auto"/>
          <w:sz w:val="24"/>
          <w:szCs w:val="24"/>
        </w:rPr>
        <w:t xml:space="preserve">  </w:t>
      </w:r>
      <w:r>
        <w:rPr>
          <w:color w:val="auto"/>
          <w:sz w:val="24"/>
          <w:szCs w:val="24"/>
        </w:rPr>
        <w:t>进线端应装设电压表、电流表、计量仪表</w:t>
      </w:r>
      <w:r>
        <w:rPr>
          <w:rFonts w:hint="eastAsia"/>
          <w:color w:val="auto"/>
          <w:sz w:val="24"/>
          <w:szCs w:val="24"/>
        </w:rPr>
        <w:t>及</w:t>
      </w:r>
      <w:r>
        <w:rPr>
          <w:color w:val="auto"/>
          <w:sz w:val="24"/>
          <w:szCs w:val="24"/>
        </w:rPr>
        <w:t>指示灯等；</w:t>
      </w:r>
    </w:p>
    <w:p w14:paraId="5A9A94E9">
      <w:pPr>
        <w:pStyle w:val="37"/>
        <w:spacing w:before="120" w:line="360" w:lineRule="auto"/>
        <w:rPr>
          <w:color w:val="auto"/>
          <w:sz w:val="24"/>
          <w:szCs w:val="24"/>
        </w:rPr>
      </w:pPr>
      <w:r>
        <w:rPr>
          <w:rFonts w:hint="eastAsia"/>
          <w:b/>
          <w:bCs w:val="0"/>
          <w:color w:val="auto"/>
          <w:sz w:val="24"/>
          <w:szCs w:val="24"/>
        </w:rPr>
        <w:t xml:space="preserve">2 </w:t>
      </w:r>
      <w:r>
        <w:rPr>
          <w:rFonts w:hint="eastAsia"/>
          <w:b/>
          <w:color w:val="auto"/>
          <w:sz w:val="24"/>
          <w:szCs w:val="24"/>
        </w:rPr>
        <w:t xml:space="preserve"> </w:t>
      </w:r>
      <w:r>
        <w:rPr>
          <w:color w:val="auto"/>
          <w:sz w:val="24"/>
          <w:szCs w:val="24"/>
        </w:rPr>
        <w:t>电流互感器其二次回路应与保护接地导体（PE）可靠连接；</w:t>
      </w:r>
    </w:p>
    <w:p w14:paraId="774FA5DA">
      <w:pPr>
        <w:pStyle w:val="37"/>
        <w:spacing w:before="120" w:line="360" w:lineRule="auto"/>
        <w:rPr>
          <w:color w:val="auto"/>
          <w:sz w:val="24"/>
          <w:szCs w:val="24"/>
        </w:rPr>
      </w:pPr>
      <w:r>
        <w:rPr>
          <w:rFonts w:hint="eastAsia"/>
          <w:b/>
          <w:bCs w:val="0"/>
          <w:color w:val="auto"/>
          <w:sz w:val="24"/>
          <w:szCs w:val="24"/>
        </w:rPr>
        <w:t>3</w:t>
      </w:r>
      <w:r>
        <w:rPr>
          <w:rFonts w:hint="eastAsia"/>
          <w:color w:val="auto"/>
          <w:sz w:val="24"/>
          <w:szCs w:val="24"/>
        </w:rPr>
        <w:t xml:space="preserve">  总配电箱（柜）进线</w:t>
      </w:r>
      <w:r>
        <w:rPr>
          <w:color w:val="auto"/>
          <w:sz w:val="24"/>
          <w:szCs w:val="24"/>
        </w:rPr>
        <w:t>应设置总隔离开关</w:t>
      </w:r>
      <w:r>
        <w:rPr>
          <w:rFonts w:hint="eastAsia"/>
          <w:color w:val="auto"/>
          <w:sz w:val="24"/>
          <w:szCs w:val="24"/>
        </w:rPr>
        <w:t>或带隔离功能的断路器，出线回路应设置具备隔离功能的</w:t>
      </w:r>
      <w:r>
        <w:rPr>
          <w:color w:val="auto"/>
          <w:sz w:val="24"/>
          <w:szCs w:val="24"/>
        </w:rPr>
        <w:t>过电流、剩余电流动作保护功能的</w:t>
      </w:r>
      <w:r>
        <w:rPr>
          <w:rFonts w:hint="eastAsia"/>
          <w:color w:val="auto"/>
          <w:sz w:val="24"/>
          <w:szCs w:val="24"/>
        </w:rPr>
        <w:t>保护电</w:t>
      </w:r>
      <w:r>
        <w:rPr>
          <w:color w:val="auto"/>
          <w:sz w:val="24"/>
          <w:szCs w:val="24"/>
        </w:rPr>
        <w:t>器</w:t>
      </w:r>
      <w:r>
        <w:rPr>
          <w:rFonts w:hint="eastAsia"/>
          <w:color w:val="auto"/>
          <w:sz w:val="24"/>
          <w:szCs w:val="24"/>
        </w:rPr>
        <w:t>；</w:t>
      </w:r>
    </w:p>
    <w:p w14:paraId="459A9C06">
      <w:pPr>
        <w:pStyle w:val="14"/>
        <w:widowControl/>
        <w:snapToGrid w:val="0"/>
        <w:spacing w:before="120" w:beforeAutospacing="0" w:afterAutospacing="0" w:line="360" w:lineRule="auto"/>
        <w:ind w:firstLine="561"/>
        <w:rPr>
          <w:szCs w:val="24"/>
        </w:rPr>
      </w:pPr>
      <w:bookmarkStart w:id="277" w:name="OLE_LINK15"/>
      <w:r>
        <w:rPr>
          <w:b/>
          <w:bCs/>
          <w:szCs w:val="24"/>
        </w:rPr>
        <w:t>4</w:t>
      </w:r>
      <w:r>
        <w:rPr>
          <w:rFonts w:hint="eastAsia"/>
          <w:szCs w:val="24"/>
        </w:rPr>
        <w:t xml:space="preserve"> </w:t>
      </w:r>
      <w:bookmarkStart w:id="278" w:name="OLE_LINK178"/>
      <w:r>
        <w:rPr>
          <w:rFonts w:hint="eastAsia"/>
          <w:szCs w:val="24"/>
        </w:rPr>
        <w:t xml:space="preserve"> </w:t>
      </w:r>
      <w:r>
        <w:rPr>
          <w:szCs w:val="24"/>
        </w:rPr>
        <w:t>消防</w:t>
      </w:r>
      <w:bookmarkEnd w:id="277"/>
      <w:r>
        <w:rPr>
          <w:szCs w:val="24"/>
        </w:rPr>
        <w:t>等重要负荷电源应引自总</w:t>
      </w:r>
      <w:r>
        <w:rPr>
          <w:rFonts w:hint="eastAsia"/>
          <w:szCs w:val="24"/>
        </w:rPr>
        <w:t>配电箱（柜）总隔离开关的进线端，其回路应设置短路保护电器。</w:t>
      </w:r>
      <w:bookmarkEnd w:id="278"/>
    </w:p>
    <w:p w14:paraId="57606786">
      <w:pPr>
        <w:pStyle w:val="35"/>
        <w:spacing w:before="120" w:line="360" w:lineRule="auto"/>
        <w:rPr>
          <w:color w:val="auto"/>
          <w:kern w:val="2"/>
          <w:szCs w:val="24"/>
        </w:rPr>
      </w:pPr>
      <w:r>
        <w:rPr>
          <w:rFonts w:hint="eastAsia"/>
          <w:b/>
          <w:bCs w:val="0"/>
          <w:color w:val="auto"/>
          <w:szCs w:val="24"/>
        </w:rPr>
        <w:t>6</w:t>
      </w:r>
      <w:r>
        <w:rPr>
          <w:b/>
          <w:bCs w:val="0"/>
          <w:color w:val="auto"/>
          <w:szCs w:val="24"/>
        </w:rPr>
        <w:t>.3.3</w:t>
      </w:r>
      <w:r>
        <w:rPr>
          <w:rFonts w:hint="eastAsia"/>
          <w:b/>
          <w:bCs w:val="0"/>
          <w:color w:val="auto"/>
          <w:szCs w:val="24"/>
        </w:rPr>
        <w:t>5</w:t>
      </w:r>
      <w:r>
        <w:rPr>
          <w:b/>
          <w:bCs w:val="0"/>
          <w:color w:val="auto"/>
          <w:szCs w:val="24"/>
        </w:rPr>
        <w:t xml:space="preserve">  </w:t>
      </w:r>
      <w:r>
        <w:rPr>
          <w:color w:val="auto"/>
          <w:kern w:val="2"/>
          <w:szCs w:val="24"/>
        </w:rPr>
        <w:t>分配电箱进线端应设置总隔离开关或带隔离功能的断路器，出线回路应设置具备隔离功能的过电流、剩余电流动作保护功能的断路器。</w:t>
      </w:r>
    </w:p>
    <w:p w14:paraId="28705540">
      <w:pPr>
        <w:pStyle w:val="35"/>
        <w:spacing w:before="120" w:line="360" w:lineRule="auto"/>
        <w:rPr>
          <w:color w:val="auto"/>
          <w:szCs w:val="24"/>
        </w:rPr>
      </w:pPr>
      <w:bookmarkStart w:id="279" w:name="OLE_LINK185"/>
      <w:bookmarkStart w:id="280" w:name="OLE_LINK186"/>
      <w:bookmarkStart w:id="281" w:name="_Hlk225435812"/>
      <w:r>
        <w:rPr>
          <w:rFonts w:hint="eastAsia"/>
          <w:b/>
          <w:bCs w:val="0"/>
          <w:color w:val="auto"/>
          <w:szCs w:val="24"/>
        </w:rPr>
        <w:t>6</w:t>
      </w:r>
      <w:r>
        <w:rPr>
          <w:b/>
          <w:bCs w:val="0"/>
          <w:color w:val="auto"/>
          <w:szCs w:val="24"/>
        </w:rPr>
        <w:t>.3.</w:t>
      </w:r>
      <w:bookmarkEnd w:id="279"/>
      <w:bookmarkEnd w:id="280"/>
      <w:r>
        <w:rPr>
          <w:b/>
          <w:bCs w:val="0"/>
          <w:color w:val="auto"/>
          <w:szCs w:val="24"/>
        </w:rPr>
        <w:t>3</w:t>
      </w:r>
      <w:bookmarkEnd w:id="281"/>
      <w:r>
        <w:rPr>
          <w:rFonts w:hint="eastAsia"/>
          <w:b/>
          <w:bCs w:val="0"/>
          <w:color w:val="auto"/>
          <w:szCs w:val="24"/>
        </w:rPr>
        <w:t>6</w:t>
      </w:r>
      <w:r>
        <w:rPr>
          <w:color w:val="auto"/>
          <w:szCs w:val="24"/>
        </w:rPr>
        <w:t xml:space="preserve">  末级配电箱应设置剩余电流动作保护电器，且应符合下列规定：</w:t>
      </w:r>
    </w:p>
    <w:p w14:paraId="78833C5B">
      <w:pPr>
        <w:pStyle w:val="37"/>
        <w:spacing w:before="120" w:line="360" w:lineRule="auto"/>
        <w:rPr>
          <w:color w:val="auto"/>
          <w:sz w:val="24"/>
          <w:szCs w:val="24"/>
        </w:rPr>
      </w:pPr>
      <w:bookmarkStart w:id="282" w:name="OLE_LINK187"/>
      <w:r>
        <w:rPr>
          <w:b/>
          <w:bCs w:val="0"/>
          <w:color w:val="auto"/>
          <w:sz w:val="24"/>
          <w:szCs w:val="24"/>
        </w:rPr>
        <w:t>1</w:t>
      </w:r>
      <w:bookmarkStart w:id="283" w:name="OLE_LINK74"/>
      <w:r>
        <w:rPr>
          <w:color w:val="auto"/>
          <w:sz w:val="24"/>
          <w:szCs w:val="24"/>
        </w:rPr>
        <w:t xml:space="preserve">  末级配电箱进线端应设置断开相线和中性导体（N）的</w:t>
      </w:r>
      <w:bookmarkEnd w:id="283"/>
      <w:r>
        <w:rPr>
          <w:color w:val="auto"/>
          <w:sz w:val="24"/>
          <w:szCs w:val="24"/>
        </w:rPr>
        <w:t>隔离开关或带隔离功能的断路器，出线端应设置具备隔离功能的过电流、剩余电流动作保护功能的断路器；</w:t>
      </w:r>
    </w:p>
    <w:p w14:paraId="5DAF7388">
      <w:pPr>
        <w:pStyle w:val="37"/>
        <w:spacing w:before="120" w:line="360" w:lineRule="auto"/>
        <w:rPr>
          <w:color w:val="auto"/>
          <w:sz w:val="24"/>
          <w:szCs w:val="24"/>
        </w:rPr>
      </w:pPr>
      <w:r>
        <w:rPr>
          <w:b/>
          <w:bCs w:val="0"/>
          <w:color w:val="auto"/>
          <w:sz w:val="24"/>
          <w:szCs w:val="24"/>
        </w:rPr>
        <w:t>2</w:t>
      </w:r>
      <w:r>
        <w:rPr>
          <w:color w:val="auto"/>
          <w:sz w:val="24"/>
          <w:szCs w:val="24"/>
        </w:rPr>
        <w:t xml:space="preserve">  当便携式末级配电箱控制2台及以下用电设备（含插座）时，应设置总隔离开关，分回路独自设置额定电流16A及以下过电流、剩余电流动作保护电器；</w:t>
      </w:r>
    </w:p>
    <w:p w14:paraId="2EF007A4">
      <w:pPr>
        <w:pStyle w:val="37"/>
        <w:spacing w:before="120" w:line="360" w:lineRule="auto"/>
        <w:rPr>
          <w:color w:val="auto"/>
          <w:sz w:val="24"/>
          <w:szCs w:val="24"/>
        </w:rPr>
      </w:pPr>
      <w:r>
        <w:rPr>
          <w:rFonts w:hint="eastAsia"/>
          <w:b/>
          <w:bCs w:val="0"/>
          <w:color w:val="auto"/>
          <w:sz w:val="24"/>
          <w:szCs w:val="24"/>
        </w:rPr>
        <w:t>3</w:t>
      </w:r>
      <w:r>
        <w:rPr>
          <w:color w:val="auto"/>
          <w:sz w:val="24"/>
          <w:szCs w:val="24"/>
        </w:rPr>
        <w:t xml:space="preserve">  便携式末级配电箱底部支腿高度应距地面50mm及以上。</w:t>
      </w:r>
    </w:p>
    <w:p w14:paraId="4961F33F">
      <w:pPr>
        <w:pStyle w:val="37"/>
        <w:spacing w:before="120" w:line="360" w:lineRule="auto"/>
        <w:ind w:firstLine="0" w:firstLineChars="0"/>
        <w:rPr>
          <w:color w:val="auto"/>
          <w:sz w:val="24"/>
          <w:szCs w:val="24"/>
        </w:rPr>
      </w:pPr>
      <w:r>
        <w:rPr>
          <w:rFonts w:hint="eastAsia"/>
          <w:b/>
          <w:bCs w:val="0"/>
          <w:color w:val="auto"/>
          <w:sz w:val="24"/>
          <w:szCs w:val="24"/>
        </w:rPr>
        <w:t>6</w:t>
      </w:r>
      <w:r>
        <w:rPr>
          <w:b/>
          <w:bCs w:val="0"/>
          <w:color w:val="auto"/>
          <w:sz w:val="24"/>
          <w:szCs w:val="24"/>
        </w:rPr>
        <w:t>.3.</w:t>
      </w:r>
      <w:r>
        <w:rPr>
          <w:rFonts w:hint="eastAsia"/>
          <w:b/>
          <w:bCs w:val="0"/>
          <w:color w:val="auto"/>
          <w:sz w:val="24"/>
          <w:szCs w:val="24"/>
        </w:rPr>
        <w:t>37</w:t>
      </w:r>
      <w:r>
        <w:rPr>
          <w:b/>
          <w:color w:val="auto"/>
          <w:sz w:val="24"/>
          <w:szCs w:val="24"/>
        </w:rPr>
        <w:t xml:space="preserve"> </w:t>
      </w:r>
      <w:r>
        <w:rPr>
          <w:rFonts w:hint="eastAsia"/>
          <w:b/>
          <w:color w:val="auto"/>
          <w:sz w:val="24"/>
          <w:szCs w:val="24"/>
        </w:rPr>
        <w:t xml:space="preserve"> </w:t>
      </w:r>
      <w:r>
        <w:rPr>
          <w:color w:val="auto"/>
          <w:sz w:val="24"/>
          <w:szCs w:val="24"/>
        </w:rPr>
        <w:t>末级配电箱</w:t>
      </w:r>
      <w:r>
        <w:rPr>
          <w:rFonts w:hint="eastAsia"/>
          <w:color w:val="auto"/>
          <w:sz w:val="24"/>
          <w:szCs w:val="24"/>
        </w:rPr>
        <w:t>宜</w:t>
      </w:r>
      <w:r>
        <w:rPr>
          <w:color w:val="auto"/>
          <w:sz w:val="24"/>
          <w:szCs w:val="24"/>
        </w:rPr>
        <w:t>采用双层门设置</w:t>
      </w:r>
      <w:r>
        <w:rPr>
          <w:rFonts w:hint="eastAsia"/>
          <w:color w:val="auto"/>
          <w:sz w:val="24"/>
          <w:szCs w:val="24"/>
        </w:rPr>
        <w:t>。</w:t>
      </w:r>
    </w:p>
    <w:bookmarkEnd w:id="282"/>
    <w:p w14:paraId="4DBD9B77">
      <w:pPr>
        <w:pStyle w:val="35"/>
        <w:spacing w:before="120" w:line="360" w:lineRule="auto"/>
        <w:rPr>
          <w:color w:val="auto"/>
          <w:szCs w:val="24"/>
        </w:rPr>
      </w:pPr>
      <w:r>
        <w:rPr>
          <w:rFonts w:hint="eastAsia"/>
          <w:b/>
          <w:bCs w:val="0"/>
          <w:color w:val="auto"/>
          <w:szCs w:val="24"/>
        </w:rPr>
        <w:t>6</w:t>
      </w:r>
      <w:r>
        <w:rPr>
          <w:b/>
          <w:bCs w:val="0"/>
          <w:color w:val="auto"/>
          <w:szCs w:val="24"/>
        </w:rPr>
        <w:t>.3.3</w:t>
      </w:r>
      <w:r>
        <w:rPr>
          <w:rFonts w:hint="eastAsia"/>
          <w:b/>
          <w:bCs w:val="0"/>
          <w:color w:val="auto"/>
          <w:szCs w:val="24"/>
        </w:rPr>
        <w:t>8</w:t>
      </w:r>
      <w:r>
        <w:rPr>
          <w:color w:val="auto"/>
          <w:szCs w:val="24"/>
        </w:rPr>
        <w:t xml:space="preserve"> </w:t>
      </w:r>
      <w:r>
        <w:rPr>
          <w:rFonts w:hint="eastAsia"/>
          <w:color w:val="auto"/>
          <w:szCs w:val="24"/>
        </w:rPr>
        <w:t xml:space="preserve"> </w:t>
      </w:r>
      <w:r>
        <w:rPr>
          <w:color w:val="auto"/>
          <w:szCs w:val="24"/>
        </w:rPr>
        <w:t>配电箱（柜）制作应符合下列规定：</w:t>
      </w:r>
    </w:p>
    <w:p w14:paraId="7E020D6D">
      <w:pPr>
        <w:pStyle w:val="37"/>
        <w:spacing w:before="120" w:line="360" w:lineRule="auto"/>
        <w:rPr>
          <w:color w:val="auto"/>
          <w:sz w:val="24"/>
          <w:szCs w:val="24"/>
        </w:rPr>
      </w:pPr>
      <w:r>
        <w:rPr>
          <w:rFonts w:hint="eastAsia"/>
          <w:b/>
          <w:bCs w:val="0"/>
          <w:color w:val="auto"/>
          <w:sz w:val="24"/>
          <w:szCs w:val="24"/>
        </w:rPr>
        <w:t xml:space="preserve">1 </w:t>
      </w:r>
      <w:r>
        <w:rPr>
          <w:rFonts w:hint="eastAsia"/>
          <w:b/>
          <w:color w:val="auto"/>
          <w:sz w:val="24"/>
          <w:szCs w:val="24"/>
        </w:rPr>
        <w:t xml:space="preserve"> </w:t>
      </w:r>
      <w:r>
        <w:rPr>
          <w:color w:val="auto"/>
          <w:sz w:val="24"/>
          <w:szCs w:val="24"/>
        </w:rPr>
        <w:t>配电柜柜体及柜门</w:t>
      </w:r>
      <w:r>
        <w:rPr>
          <w:rFonts w:hint="eastAsia"/>
          <w:color w:val="auto"/>
          <w:sz w:val="24"/>
          <w:szCs w:val="24"/>
        </w:rPr>
        <w:t>采用</w:t>
      </w:r>
      <w:r>
        <w:rPr>
          <w:color w:val="auto"/>
          <w:sz w:val="24"/>
          <w:szCs w:val="24"/>
        </w:rPr>
        <w:t>钢板</w:t>
      </w:r>
      <w:r>
        <w:rPr>
          <w:rFonts w:hint="eastAsia"/>
          <w:color w:val="auto"/>
          <w:sz w:val="24"/>
          <w:szCs w:val="24"/>
        </w:rPr>
        <w:t>制作时，</w:t>
      </w:r>
      <w:r>
        <w:rPr>
          <w:color w:val="auto"/>
          <w:sz w:val="24"/>
          <w:szCs w:val="24"/>
        </w:rPr>
        <w:t>厚度不</w:t>
      </w:r>
      <w:r>
        <w:rPr>
          <w:rFonts w:hint="eastAsia"/>
          <w:color w:val="auto"/>
          <w:sz w:val="24"/>
          <w:szCs w:val="24"/>
        </w:rPr>
        <w:t>应</w:t>
      </w:r>
      <w:r>
        <w:rPr>
          <w:color w:val="auto"/>
          <w:sz w:val="24"/>
          <w:szCs w:val="24"/>
        </w:rPr>
        <w:t>低于2.0mm</w:t>
      </w:r>
      <w:r>
        <w:rPr>
          <w:rFonts w:hint="eastAsia"/>
          <w:color w:val="auto"/>
          <w:sz w:val="24"/>
          <w:szCs w:val="24"/>
        </w:rPr>
        <w:t>。</w:t>
      </w:r>
      <w:r>
        <w:rPr>
          <w:color w:val="auto"/>
          <w:sz w:val="24"/>
          <w:szCs w:val="24"/>
        </w:rPr>
        <w:t>配电箱箱体钢板厚度不</w:t>
      </w:r>
      <w:r>
        <w:rPr>
          <w:rFonts w:hint="eastAsia"/>
          <w:color w:val="auto"/>
          <w:sz w:val="24"/>
          <w:szCs w:val="24"/>
        </w:rPr>
        <w:t>应</w:t>
      </w:r>
      <w:r>
        <w:rPr>
          <w:color w:val="auto"/>
          <w:sz w:val="24"/>
          <w:szCs w:val="24"/>
        </w:rPr>
        <w:t>低于1.5mm、配电箱箱门钢板厚度不</w:t>
      </w:r>
      <w:r>
        <w:rPr>
          <w:rFonts w:hint="eastAsia"/>
          <w:color w:val="auto"/>
          <w:sz w:val="24"/>
          <w:szCs w:val="24"/>
        </w:rPr>
        <w:t>应</w:t>
      </w:r>
      <w:r>
        <w:rPr>
          <w:color w:val="auto"/>
          <w:sz w:val="24"/>
          <w:szCs w:val="24"/>
        </w:rPr>
        <w:t>低于2.0mm</w:t>
      </w:r>
      <w:r>
        <w:rPr>
          <w:rFonts w:hint="eastAsia"/>
          <w:color w:val="auto"/>
          <w:sz w:val="24"/>
          <w:szCs w:val="24"/>
        </w:rPr>
        <w:t>。</w:t>
      </w:r>
      <w:r>
        <w:rPr>
          <w:color w:val="auto"/>
          <w:sz w:val="24"/>
          <w:szCs w:val="24"/>
        </w:rPr>
        <w:t>专用箱箱体钢板厚度不</w:t>
      </w:r>
      <w:r>
        <w:rPr>
          <w:rFonts w:hint="eastAsia"/>
          <w:color w:val="auto"/>
          <w:sz w:val="24"/>
          <w:szCs w:val="24"/>
        </w:rPr>
        <w:t>应</w:t>
      </w:r>
      <w:r>
        <w:rPr>
          <w:color w:val="auto"/>
          <w:sz w:val="24"/>
          <w:szCs w:val="24"/>
        </w:rPr>
        <w:t>低于1.2mm、设备专用箱箱门钢板厚度不</w:t>
      </w:r>
      <w:r>
        <w:rPr>
          <w:rFonts w:hint="eastAsia"/>
          <w:color w:val="auto"/>
          <w:sz w:val="24"/>
          <w:szCs w:val="24"/>
        </w:rPr>
        <w:t>应</w:t>
      </w:r>
      <w:r>
        <w:rPr>
          <w:color w:val="auto"/>
          <w:sz w:val="24"/>
          <w:szCs w:val="24"/>
        </w:rPr>
        <w:t>低于1.5mm；</w:t>
      </w:r>
    </w:p>
    <w:p w14:paraId="2FCA0FB3">
      <w:pPr>
        <w:pStyle w:val="37"/>
        <w:spacing w:before="120" w:line="360" w:lineRule="auto"/>
        <w:rPr>
          <w:b/>
          <w:bCs w:val="0"/>
          <w:color w:val="auto"/>
          <w:sz w:val="24"/>
          <w:szCs w:val="24"/>
        </w:rPr>
      </w:pPr>
      <w:r>
        <w:rPr>
          <w:rFonts w:hint="eastAsia"/>
          <w:b/>
          <w:bCs w:val="0"/>
          <w:color w:val="auto"/>
          <w:sz w:val="24"/>
          <w:szCs w:val="24"/>
        </w:rPr>
        <w:t xml:space="preserve">2  </w:t>
      </w:r>
      <w:r>
        <w:rPr>
          <w:rFonts w:hint="eastAsia"/>
          <w:color w:val="auto"/>
          <w:sz w:val="24"/>
          <w:szCs w:val="24"/>
        </w:rPr>
        <w:t>末级配电箱</w:t>
      </w:r>
      <w:r>
        <w:rPr>
          <w:color w:val="auto"/>
          <w:sz w:val="24"/>
          <w:szCs w:val="24"/>
        </w:rPr>
        <w:t>箱体</w:t>
      </w:r>
      <w:r>
        <w:rPr>
          <w:rFonts w:hint="eastAsia"/>
          <w:color w:val="auto"/>
          <w:sz w:val="24"/>
          <w:szCs w:val="24"/>
        </w:rPr>
        <w:t>采用金属材质制作时，</w:t>
      </w:r>
      <w:r>
        <w:rPr>
          <w:color w:val="auto"/>
          <w:sz w:val="24"/>
          <w:szCs w:val="24"/>
        </w:rPr>
        <w:t>钢板厚度不低于1.0mm</w:t>
      </w:r>
      <w:r>
        <w:rPr>
          <w:rFonts w:hint="eastAsia"/>
          <w:color w:val="auto"/>
          <w:sz w:val="24"/>
          <w:szCs w:val="24"/>
        </w:rPr>
        <w:t>，</w:t>
      </w:r>
      <w:r>
        <w:rPr>
          <w:color w:val="auto"/>
          <w:sz w:val="24"/>
          <w:szCs w:val="24"/>
        </w:rPr>
        <w:t>移动式配电箱箱门钢板厚度不低于1.5mm</w:t>
      </w:r>
      <w:r>
        <w:rPr>
          <w:rFonts w:hint="eastAsia"/>
          <w:color w:val="auto"/>
          <w:sz w:val="24"/>
          <w:szCs w:val="24"/>
        </w:rPr>
        <w:t>；</w:t>
      </w:r>
    </w:p>
    <w:p w14:paraId="75C91EAA">
      <w:pPr>
        <w:pStyle w:val="37"/>
        <w:spacing w:before="120" w:line="360" w:lineRule="auto"/>
        <w:rPr>
          <w:color w:val="auto"/>
          <w:sz w:val="24"/>
          <w:szCs w:val="24"/>
        </w:rPr>
      </w:pPr>
      <w:r>
        <w:rPr>
          <w:rFonts w:hint="eastAsia"/>
          <w:b/>
          <w:bCs w:val="0"/>
          <w:color w:val="auto"/>
          <w:sz w:val="24"/>
          <w:szCs w:val="24"/>
        </w:rPr>
        <w:t xml:space="preserve">3 </w:t>
      </w:r>
      <w:r>
        <w:rPr>
          <w:rFonts w:hint="eastAsia"/>
          <w:b/>
          <w:color w:val="auto"/>
          <w:sz w:val="24"/>
          <w:szCs w:val="24"/>
        </w:rPr>
        <w:t xml:space="preserve"> </w:t>
      </w:r>
      <w:r>
        <w:rPr>
          <w:rFonts w:hint="eastAsia"/>
          <w:color w:val="auto"/>
          <w:sz w:val="24"/>
          <w:szCs w:val="24"/>
        </w:rPr>
        <w:t>当总配电箱、分配电箱、末级</w:t>
      </w:r>
      <w:r>
        <w:rPr>
          <w:color w:val="auto"/>
          <w:sz w:val="24"/>
          <w:szCs w:val="24"/>
        </w:rPr>
        <w:t>配电箱</w:t>
      </w:r>
      <w:r>
        <w:rPr>
          <w:rFonts w:hint="eastAsia"/>
          <w:color w:val="auto"/>
          <w:sz w:val="24"/>
          <w:szCs w:val="24"/>
        </w:rPr>
        <w:t>采用金属板材</w:t>
      </w:r>
      <w:r>
        <w:rPr>
          <w:color w:val="auto"/>
          <w:sz w:val="24"/>
          <w:szCs w:val="24"/>
        </w:rPr>
        <w:t>制作</w:t>
      </w:r>
      <w:r>
        <w:rPr>
          <w:rFonts w:hint="eastAsia"/>
          <w:color w:val="auto"/>
          <w:sz w:val="24"/>
          <w:szCs w:val="24"/>
        </w:rPr>
        <w:t>时，应</w:t>
      </w:r>
      <w:r>
        <w:rPr>
          <w:color w:val="auto"/>
          <w:sz w:val="24"/>
          <w:szCs w:val="24"/>
        </w:rPr>
        <w:t>采用冷轧钢板；</w:t>
      </w:r>
    </w:p>
    <w:p w14:paraId="3FAA5B64">
      <w:pPr>
        <w:pStyle w:val="37"/>
        <w:spacing w:before="120" w:line="360" w:lineRule="auto"/>
        <w:rPr>
          <w:color w:val="auto"/>
          <w:sz w:val="24"/>
          <w:szCs w:val="24"/>
        </w:rPr>
      </w:pPr>
      <w:r>
        <w:rPr>
          <w:rFonts w:hint="eastAsia"/>
          <w:b/>
          <w:bCs w:val="0"/>
          <w:color w:val="auto"/>
          <w:sz w:val="24"/>
          <w:szCs w:val="24"/>
        </w:rPr>
        <w:t>4</w:t>
      </w:r>
      <w:r>
        <w:rPr>
          <w:rFonts w:hint="eastAsia"/>
          <w:color w:val="auto"/>
          <w:sz w:val="24"/>
          <w:szCs w:val="24"/>
        </w:rPr>
        <w:t xml:space="preserve">  </w:t>
      </w:r>
      <w:r>
        <w:rPr>
          <w:color w:val="auto"/>
          <w:sz w:val="24"/>
          <w:szCs w:val="24"/>
        </w:rPr>
        <w:t>配电箱（柜）体钢板底层应做防腐处理，箱（柜）体面漆为橘红色。</w:t>
      </w:r>
    </w:p>
    <w:p w14:paraId="0580DA15">
      <w:pPr>
        <w:pStyle w:val="37"/>
        <w:spacing w:before="120" w:line="360" w:lineRule="auto"/>
        <w:ind w:firstLine="0" w:firstLineChars="0"/>
        <w:rPr>
          <w:color w:val="auto"/>
          <w:sz w:val="24"/>
          <w:szCs w:val="24"/>
        </w:rPr>
      </w:pPr>
      <w:r>
        <w:rPr>
          <w:rFonts w:hint="eastAsia"/>
          <w:b/>
          <w:bCs w:val="0"/>
          <w:color w:val="auto"/>
          <w:sz w:val="24"/>
          <w:szCs w:val="32"/>
        </w:rPr>
        <w:t>6</w:t>
      </w:r>
      <w:r>
        <w:rPr>
          <w:b/>
          <w:bCs w:val="0"/>
          <w:color w:val="auto"/>
          <w:sz w:val="24"/>
          <w:szCs w:val="32"/>
        </w:rPr>
        <w:t>.3.3</w:t>
      </w:r>
      <w:r>
        <w:rPr>
          <w:rFonts w:hint="eastAsia"/>
          <w:b/>
          <w:bCs w:val="0"/>
          <w:color w:val="auto"/>
          <w:sz w:val="24"/>
          <w:szCs w:val="32"/>
        </w:rPr>
        <w:t xml:space="preserve">9  </w:t>
      </w:r>
      <w:r>
        <w:rPr>
          <w:rFonts w:hint="eastAsia"/>
          <w:color w:val="auto"/>
          <w:sz w:val="24"/>
          <w:szCs w:val="24"/>
        </w:rPr>
        <w:t>末级</w:t>
      </w:r>
      <w:r>
        <w:rPr>
          <w:color w:val="auto"/>
          <w:sz w:val="24"/>
          <w:szCs w:val="24"/>
        </w:rPr>
        <w:t>配电箱</w:t>
      </w:r>
      <w:r>
        <w:rPr>
          <w:rFonts w:hint="eastAsia"/>
          <w:color w:val="auto"/>
          <w:sz w:val="24"/>
          <w:szCs w:val="24"/>
        </w:rPr>
        <w:t>宜采用绝缘材料制作，其机械强度应具有承受</w:t>
      </w:r>
      <w:r>
        <w:rPr>
          <w:color w:val="auto"/>
          <w:sz w:val="24"/>
          <w:szCs w:val="24"/>
        </w:rPr>
        <w:t>正常使用和安装过程</w:t>
      </w:r>
      <w:r>
        <w:rPr>
          <w:rFonts w:hint="eastAsia"/>
          <w:color w:val="auto"/>
          <w:sz w:val="24"/>
          <w:szCs w:val="24"/>
        </w:rPr>
        <w:t>中的</w:t>
      </w:r>
      <w:r>
        <w:rPr>
          <w:color w:val="auto"/>
          <w:sz w:val="24"/>
          <w:szCs w:val="24"/>
        </w:rPr>
        <w:t>冲击、振动和外力</w:t>
      </w:r>
      <w:r>
        <w:rPr>
          <w:rFonts w:hint="eastAsia"/>
          <w:color w:val="auto"/>
          <w:sz w:val="24"/>
          <w:szCs w:val="24"/>
        </w:rPr>
        <w:t>载荷。</w:t>
      </w:r>
    </w:p>
    <w:p w14:paraId="3B3B076F">
      <w:pPr>
        <w:pStyle w:val="35"/>
        <w:spacing w:before="120" w:line="360" w:lineRule="auto"/>
        <w:rPr>
          <w:color w:val="auto"/>
          <w:szCs w:val="24"/>
        </w:rPr>
      </w:pPr>
      <w:bookmarkStart w:id="284" w:name="_Hlk225435843"/>
      <w:r>
        <w:rPr>
          <w:rFonts w:hint="eastAsia"/>
          <w:b/>
          <w:bCs w:val="0"/>
          <w:color w:val="auto"/>
          <w:szCs w:val="24"/>
        </w:rPr>
        <w:t>6</w:t>
      </w:r>
      <w:r>
        <w:rPr>
          <w:b/>
          <w:bCs w:val="0"/>
          <w:color w:val="auto"/>
          <w:szCs w:val="24"/>
        </w:rPr>
        <w:t>.</w:t>
      </w:r>
      <w:r>
        <w:rPr>
          <w:rFonts w:hint="eastAsia"/>
          <w:b/>
          <w:bCs w:val="0"/>
          <w:color w:val="auto"/>
          <w:szCs w:val="24"/>
        </w:rPr>
        <w:t>3</w:t>
      </w:r>
      <w:r>
        <w:rPr>
          <w:b/>
          <w:bCs w:val="0"/>
          <w:color w:val="auto"/>
          <w:szCs w:val="24"/>
        </w:rPr>
        <w:t>.</w:t>
      </w:r>
      <w:bookmarkEnd w:id="284"/>
      <w:r>
        <w:rPr>
          <w:rFonts w:hint="eastAsia"/>
          <w:b/>
          <w:bCs w:val="0"/>
          <w:color w:val="auto"/>
          <w:szCs w:val="24"/>
        </w:rPr>
        <w:t>40</w:t>
      </w:r>
      <w:r>
        <w:rPr>
          <w:rFonts w:hint="eastAsia"/>
          <w:color w:val="auto"/>
          <w:szCs w:val="24"/>
        </w:rPr>
        <w:t xml:space="preserve">  </w:t>
      </w:r>
      <w:r>
        <w:rPr>
          <w:color w:val="auto"/>
          <w:szCs w:val="24"/>
        </w:rPr>
        <w:t>配电箱（柜）的防护等级应符合下列规定：</w:t>
      </w:r>
    </w:p>
    <w:p w14:paraId="629902D1">
      <w:pPr>
        <w:pStyle w:val="37"/>
        <w:spacing w:before="120" w:line="360" w:lineRule="auto"/>
        <w:rPr>
          <w:color w:val="auto"/>
          <w:sz w:val="24"/>
          <w:szCs w:val="24"/>
        </w:rPr>
      </w:pPr>
      <w:r>
        <w:rPr>
          <w:b/>
          <w:bCs w:val="0"/>
          <w:color w:val="auto"/>
          <w:sz w:val="24"/>
          <w:szCs w:val="24"/>
        </w:rPr>
        <w:t>1</w:t>
      </w:r>
      <w:r>
        <w:rPr>
          <w:rFonts w:hint="eastAsia"/>
          <w:color w:val="auto"/>
          <w:sz w:val="24"/>
          <w:szCs w:val="24"/>
        </w:rPr>
        <w:t xml:space="preserve">  </w:t>
      </w:r>
      <w:r>
        <w:rPr>
          <w:color w:val="auto"/>
          <w:sz w:val="24"/>
          <w:szCs w:val="24"/>
        </w:rPr>
        <w:t>室外配电箱（柜）的防护等级不</w:t>
      </w:r>
      <w:r>
        <w:rPr>
          <w:rFonts w:hint="eastAsia"/>
          <w:color w:val="auto"/>
          <w:sz w:val="24"/>
          <w:szCs w:val="24"/>
        </w:rPr>
        <w:t>应</w:t>
      </w:r>
      <w:r>
        <w:rPr>
          <w:color w:val="auto"/>
          <w:sz w:val="24"/>
          <w:szCs w:val="24"/>
        </w:rPr>
        <w:t>低于IP44；</w:t>
      </w:r>
    </w:p>
    <w:p w14:paraId="230DEF6F">
      <w:pPr>
        <w:pStyle w:val="37"/>
        <w:spacing w:before="120" w:line="360" w:lineRule="auto"/>
        <w:rPr>
          <w:color w:val="auto"/>
          <w:sz w:val="24"/>
          <w:szCs w:val="24"/>
        </w:rPr>
      </w:pPr>
      <w:r>
        <w:rPr>
          <w:b/>
          <w:bCs w:val="0"/>
          <w:color w:val="auto"/>
          <w:sz w:val="24"/>
          <w:szCs w:val="24"/>
        </w:rPr>
        <w:t>2</w:t>
      </w:r>
      <w:r>
        <w:rPr>
          <w:rFonts w:hint="eastAsia"/>
          <w:color w:val="auto"/>
          <w:sz w:val="24"/>
          <w:szCs w:val="24"/>
        </w:rPr>
        <w:t xml:space="preserve">  </w:t>
      </w:r>
      <w:r>
        <w:rPr>
          <w:color w:val="auto"/>
          <w:sz w:val="24"/>
          <w:szCs w:val="24"/>
        </w:rPr>
        <w:t>关门状态门内操作面的防护等级不</w:t>
      </w:r>
      <w:r>
        <w:rPr>
          <w:rFonts w:hint="eastAsia"/>
          <w:color w:val="auto"/>
          <w:sz w:val="24"/>
          <w:szCs w:val="24"/>
        </w:rPr>
        <w:t>应</w:t>
      </w:r>
      <w:r>
        <w:rPr>
          <w:color w:val="auto"/>
          <w:sz w:val="24"/>
          <w:szCs w:val="24"/>
        </w:rPr>
        <w:t>低</w:t>
      </w:r>
      <w:r>
        <w:rPr>
          <w:rFonts w:hint="eastAsia"/>
          <w:color w:val="auto"/>
          <w:sz w:val="24"/>
          <w:szCs w:val="24"/>
        </w:rPr>
        <w:t>于</w:t>
      </w:r>
      <w:r>
        <w:rPr>
          <w:color w:val="auto"/>
          <w:sz w:val="24"/>
          <w:szCs w:val="24"/>
        </w:rPr>
        <w:t>IP21。</w:t>
      </w:r>
      <w:bookmarkStart w:id="285" w:name="_Hlk225431396"/>
      <w:bookmarkStart w:id="286" w:name="_Toc15291"/>
      <w:bookmarkStart w:id="287" w:name="_Toc14516"/>
      <w:bookmarkStart w:id="288" w:name="_Toc14955"/>
      <w:bookmarkStart w:id="289" w:name="_Toc26578"/>
      <w:bookmarkStart w:id="290" w:name="_Toc28607"/>
    </w:p>
    <w:p w14:paraId="68A73131">
      <w:pPr>
        <w:pStyle w:val="33"/>
        <w:numPr>
          <w:ilvl w:val="0"/>
          <w:numId w:val="0"/>
        </w:numPr>
        <w:spacing w:before="120" w:line="360" w:lineRule="auto"/>
        <w:outlineLvl w:val="1"/>
        <w:rPr>
          <w:rFonts w:eastAsia="宋体"/>
          <w:b/>
          <w:bCs/>
          <w:sz w:val="24"/>
          <w:szCs w:val="24"/>
        </w:rPr>
      </w:pPr>
      <w:bookmarkStart w:id="291" w:name="_Toc22730"/>
      <w:bookmarkStart w:id="292" w:name="_Toc22819"/>
      <w:r>
        <w:rPr>
          <w:rFonts w:hint="eastAsia" w:eastAsia="宋体"/>
          <w:b/>
          <w:bCs/>
          <w:sz w:val="24"/>
          <w:szCs w:val="24"/>
        </w:rPr>
        <w:t>6.4</w:t>
      </w:r>
      <w:bookmarkEnd w:id="285"/>
      <w:r>
        <w:rPr>
          <w:rFonts w:hint="eastAsia" w:eastAsia="宋体"/>
          <w:b/>
          <w:bCs/>
          <w:sz w:val="24"/>
          <w:szCs w:val="24"/>
        </w:rPr>
        <w:t xml:space="preserve"> 布线系统</w:t>
      </w:r>
      <w:bookmarkEnd w:id="286"/>
      <w:bookmarkEnd w:id="287"/>
      <w:bookmarkEnd w:id="288"/>
      <w:bookmarkEnd w:id="289"/>
      <w:bookmarkEnd w:id="290"/>
      <w:bookmarkEnd w:id="291"/>
      <w:bookmarkEnd w:id="292"/>
    </w:p>
    <w:p w14:paraId="711703A8">
      <w:pPr>
        <w:pStyle w:val="35"/>
        <w:spacing w:before="120" w:line="360" w:lineRule="auto"/>
        <w:rPr>
          <w:color w:val="auto"/>
          <w:szCs w:val="24"/>
        </w:rPr>
      </w:pPr>
      <w:r>
        <w:rPr>
          <w:rFonts w:hint="eastAsia"/>
          <w:b/>
          <w:bCs w:val="0"/>
          <w:color w:val="auto"/>
          <w:szCs w:val="24"/>
        </w:rPr>
        <w:t>6.4</w:t>
      </w:r>
      <w:r>
        <w:rPr>
          <w:b/>
          <w:bCs w:val="0"/>
          <w:color w:val="auto"/>
          <w:szCs w:val="24"/>
        </w:rPr>
        <w:t>.1</w:t>
      </w:r>
      <w:r>
        <w:rPr>
          <w:color w:val="auto"/>
          <w:szCs w:val="24"/>
        </w:rPr>
        <w:t xml:space="preserve"> </w:t>
      </w:r>
      <w:r>
        <w:rPr>
          <w:rFonts w:hint="eastAsia"/>
          <w:color w:val="auto"/>
          <w:szCs w:val="24"/>
        </w:rPr>
        <w:t xml:space="preserve"> </w:t>
      </w:r>
      <w:r>
        <w:rPr>
          <w:color w:val="auto"/>
          <w:szCs w:val="24"/>
        </w:rPr>
        <w:t>现场布线应符合下列规定：</w:t>
      </w:r>
    </w:p>
    <w:p w14:paraId="1AF44296">
      <w:pPr>
        <w:pStyle w:val="37"/>
        <w:spacing w:before="120" w:line="360" w:lineRule="auto"/>
        <w:rPr>
          <w:bCs w:val="0"/>
          <w:color w:val="auto"/>
          <w:sz w:val="24"/>
          <w:szCs w:val="24"/>
        </w:rPr>
      </w:pPr>
      <w:r>
        <w:rPr>
          <w:b/>
          <w:color w:val="auto"/>
          <w:sz w:val="24"/>
          <w:szCs w:val="24"/>
        </w:rPr>
        <w:t>1</w:t>
      </w:r>
      <w:r>
        <w:rPr>
          <w:rFonts w:hint="eastAsia"/>
          <w:bCs w:val="0"/>
          <w:color w:val="auto"/>
          <w:sz w:val="24"/>
          <w:szCs w:val="24"/>
        </w:rPr>
        <w:t xml:space="preserve">  </w:t>
      </w:r>
      <w:r>
        <w:rPr>
          <w:bCs w:val="0"/>
          <w:color w:val="auto"/>
          <w:sz w:val="24"/>
          <w:szCs w:val="24"/>
        </w:rPr>
        <w:t>现场布线应采用绝缘电线电缆，绝缘电线电缆应符合现行国家制造标准；</w:t>
      </w:r>
    </w:p>
    <w:p w14:paraId="27AB4664">
      <w:pPr>
        <w:pStyle w:val="37"/>
        <w:spacing w:before="120" w:line="360" w:lineRule="auto"/>
        <w:rPr>
          <w:bCs w:val="0"/>
          <w:color w:val="auto"/>
          <w:sz w:val="24"/>
          <w:szCs w:val="24"/>
        </w:rPr>
      </w:pPr>
      <w:r>
        <w:rPr>
          <w:b/>
          <w:color w:val="auto"/>
          <w:sz w:val="24"/>
          <w:szCs w:val="24"/>
        </w:rPr>
        <w:t>2</w:t>
      </w:r>
      <w:r>
        <w:rPr>
          <w:rFonts w:hint="eastAsia"/>
          <w:b/>
          <w:color w:val="auto"/>
          <w:sz w:val="24"/>
          <w:szCs w:val="24"/>
        </w:rPr>
        <w:t xml:space="preserve">  </w:t>
      </w:r>
      <w:r>
        <w:rPr>
          <w:bCs w:val="0"/>
          <w:color w:val="auto"/>
          <w:sz w:val="24"/>
          <w:szCs w:val="24"/>
        </w:rPr>
        <w:t>保护接地导线（PE）应包含在电缆外</w:t>
      </w:r>
      <w:r>
        <w:rPr>
          <w:rFonts w:hint="eastAsia"/>
          <w:bCs w:val="0"/>
          <w:color w:val="auto"/>
          <w:sz w:val="24"/>
          <w:szCs w:val="24"/>
        </w:rPr>
        <w:t>绝缘</w:t>
      </w:r>
      <w:r>
        <w:rPr>
          <w:bCs w:val="0"/>
          <w:color w:val="auto"/>
          <w:sz w:val="24"/>
          <w:szCs w:val="24"/>
        </w:rPr>
        <w:t>护套内。</w:t>
      </w:r>
    </w:p>
    <w:p w14:paraId="70B83242">
      <w:pPr>
        <w:pStyle w:val="35"/>
        <w:spacing w:before="120" w:line="360" w:lineRule="auto"/>
        <w:rPr>
          <w:color w:val="auto"/>
          <w:szCs w:val="24"/>
        </w:rPr>
      </w:pPr>
      <w:r>
        <w:rPr>
          <w:rFonts w:hint="eastAsia"/>
          <w:b/>
          <w:bCs w:val="0"/>
          <w:color w:val="auto"/>
          <w:szCs w:val="24"/>
        </w:rPr>
        <w:t>6.4</w:t>
      </w:r>
      <w:r>
        <w:rPr>
          <w:b/>
          <w:bCs w:val="0"/>
          <w:color w:val="auto"/>
          <w:szCs w:val="24"/>
        </w:rPr>
        <w:t>.2</w:t>
      </w:r>
      <w:r>
        <w:rPr>
          <w:color w:val="auto"/>
          <w:szCs w:val="24"/>
        </w:rPr>
        <w:t xml:space="preserve"> </w:t>
      </w:r>
      <w:r>
        <w:rPr>
          <w:rFonts w:hint="eastAsia"/>
          <w:color w:val="auto"/>
          <w:szCs w:val="24"/>
        </w:rPr>
        <w:t xml:space="preserve"> </w:t>
      </w:r>
      <w:r>
        <w:rPr>
          <w:color w:val="auto"/>
          <w:szCs w:val="24"/>
        </w:rPr>
        <w:t>施工现场供配电线路路径应符合下列规定：</w:t>
      </w:r>
    </w:p>
    <w:p w14:paraId="656CF633">
      <w:pPr>
        <w:pStyle w:val="37"/>
        <w:spacing w:before="120" w:line="360" w:lineRule="auto"/>
        <w:rPr>
          <w:bCs w:val="0"/>
          <w:color w:val="auto"/>
          <w:sz w:val="24"/>
          <w:szCs w:val="24"/>
        </w:rPr>
      </w:pPr>
      <w:r>
        <w:rPr>
          <w:b/>
          <w:color w:val="auto"/>
          <w:sz w:val="24"/>
          <w:szCs w:val="24"/>
        </w:rPr>
        <w:t>1</w:t>
      </w:r>
      <w:r>
        <w:rPr>
          <w:rFonts w:hint="eastAsia"/>
          <w:b/>
          <w:color w:val="auto"/>
          <w:sz w:val="24"/>
          <w:szCs w:val="24"/>
        </w:rPr>
        <w:t xml:space="preserve">  </w:t>
      </w:r>
      <w:r>
        <w:rPr>
          <w:bCs w:val="0"/>
          <w:color w:val="auto"/>
          <w:sz w:val="24"/>
          <w:szCs w:val="24"/>
        </w:rPr>
        <w:t>结合施工现场整体规划，满足安全、方便敷设</w:t>
      </w:r>
      <w:r>
        <w:rPr>
          <w:rFonts w:hint="eastAsia"/>
          <w:bCs w:val="0"/>
          <w:color w:val="auto"/>
          <w:sz w:val="24"/>
          <w:szCs w:val="24"/>
        </w:rPr>
        <w:t>、</w:t>
      </w:r>
      <w:r>
        <w:rPr>
          <w:bCs w:val="0"/>
          <w:color w:val="auto"/>
          <w:sz w:val="24"/>
          <w:szCs w:val="24"/>
        </w:rPr>
        <w:t>维护及</w:t>
      </w:r>
      <w:r>
        <w:rPr>
          <w:rFonts w:hint="eastAsia"/>
          <w:bCs w:val="0"/>
          <w:color w:val="auto"/>
          <w:sz w:val="24"/>
          <w:szCs w:val="24"/>
        </w:rPr>
        <w:t>拆除</w:t>
      </w:r>
      <w:r>
        <w:rPr>
          <w:bCs w:val="0"/>
          <w:color w:val="auto"/>
          <w:sz w:val="24"/>
          <w:szCs w:val="24"/>
        </w:rPr>
        <w:t>；</w:t>
      </w:r>
    </w:p>
    <w:p w14:paraId="202DF5D8">
      <w:pPr>
        <w:pStyle w:val="37"/>
        <w:spacing w:before="120" w:line="360" w:lineRule="auto"/>
        <w:rPr>
          <w:bCs w:val="0"/>
          <w:color w:val="auto"/>
          <w:sz w:val="24"/>
          <w:szCs w:val="24"/>
        </w:rPr>
      </w:pPr>
      <w:r>
        <w:rPr>
          <w:b/>
          <w:color w:val="auto"/>
          <w:sz w:val="24"/>
          <w:szCs w:val="24"/>
        </w:rPr>
        <w:t>2</w:t>
      </w:r>
      <w:r>
        <w:rPr>
          <w:rFonts w:hint="eastAsia"/>
          <w:b/>
          <w:color w:val="auto"/>
          <w:sz w:val="24"/>
          <w:szCs w:val="24"/>
        </w:rPr>
        <w:t xml:space="preserve">  </w:t>
      </w:r>
      <w:r>
        <w:rPr>
          <w:bCs w:val="0"/>
          <w:color w:val="auto"/>
          <w:sz w:val="24"/>
          <w:szCs w:val="24"/>
        </w:rPr>
        <w:t>应避开积水、腐蚀</w:t>
      </w:r>
      <w:r>
        <w:rPr>
          <w:rFonts w:hint="eastAsia"/>
          <w:bCs w:val="0"/>
          <w:color w:val="auto"/>
          <w:sz w:val="24"/>
          <w:szCs w:val="24"/>
        </w:rPr>
        <w:t>、热源等环境</w:t>
      </w:r>
      <w:r>
        <w:rPr>
          <w:bCs w:val="0"/>
          <w:color w:val="auto"/>
          <w:sz w:val="24"/>
          <w:szCs w:val="24"/>
        </w:rPr>
        <w:t>及易燃、易爆物储存仓库等区域；</w:t>
      </w:r>
    </w:p>
    <w:p w14:paraId="1E3D27DA">
      <w:pPr>
        <w:pStyle w:val="37"/>
        <w:spacing w:before="120" w:line="360" w:lineRule="auto"/>
        <w:rPr>
          <w:bCs w:val="0"/>
          <w:color w:val="auto"/>
          <w:sz w:val="24"/>
          <w:szCs w:val="24"/>
        </w:rPr>
      </w:pPr>
      <w:r>
        <w:rPr>
          <w:b/>
          <w:color w:val="auto"/>
          <w:sz w:val="24"/>
          <w:szCs w:val="24"/>
        </w:rPr>
        <w:t>3</w:t>
      </w:r>
      <w:r>
        <w:rPr>
          <w:rFonts w:hint="eastAsia"/>
          <w:b/>
          <w:color w:val="auto"/>
          <w:sz w:val="24"/>
          <w:szCs w:val="24"/>
        </w:rPr>
        <w:t xml:space="preserve">  </w:t>
      </w:r>
      <w:r>
        <w:rPr>
          <w:bCs w:val="0"/>
          <w:color w:val="auto"/>
          <w:sz w:val="24"/>
          <w:szCs w:val="24"/>
        </w:rPr>
        <w:t>应避开易遭受交通、吊装、挖掘作业等机械性外力损伤的场所及河道、低洼、易受雨水冲刷地段；</w:t>
      </w:r>
    </w:p>
    <w:p w14:paraId="2B2E9B81">
      <w:pPr>
        <w:pStyle w:val="37"/>
        <w:spacing w:before="120" w:line="360" w:lineRule="auto"/>
        <w:rPr>
          <w:bCs w:val="0"/>
          <w:color w:val="auto"/>
          <w:sz w:val="24"/>
          <w:szCs w:val="24"/>
        </w:rPr>
      </w:pPr>
      <w:r>
        <w:rPr>
          <w:b/>
          <w:color w:val="auto"/>
          <w:sz w:val="24"/>
          <w:szCs w:val="24"/>
        </w:rPr>
        <w:t>4</w:t>
      </w:r>
      <w:r>
        <w:rPr>
          <w:rFonts w:hint="eastAsia"/>
          <w:bCs w:val="0"/>
          <w:color w:val="auto"/>
          <w:sz w:val="24"/>
          <w:szCs w:val="24"/>
        </w:rPr>
        <w:t xml:space="preserve">  不应穿</w:t>
      </w:r>
      <w:r>
        <w:rPr>
          <w:bCs w:val="0"/>
          <w:color w:val="auto"/>
          <w:sz w:val="24"/>
          <w:szCs w:val="24"/>
        </w:rPr>
        <w:t>越在建工程脚手架及临时建筑物。</w:t>
      </w:r>
    </w:p>
    <w:p w14:paraId="36107E61">
      <w:pPr>
        <w:pStyle w:val="35"/>
        <w:spacing w:before="120" w:line="360" w:lineRule="auto"/>
        <w:rPr>
          <w:color w:val="auto"/>
          <w:szCs w:val="24"/>
        </w:rPr>
      </w:pPr>
      <w:r>
        <w:rPr>
          <w:rFonts w:hint="eastAsia"/>
          <w:b/>
          <w:bCs w:val="0"/>
          <w:color w:val="auto"/>
          <w:szCs w:val="24"/>
        </w:rPr>
        <w:t>6.4</w:t>
      </w:r>
      <w:r>
        <w:rPr>
          <w:b/>
          <w:bCs w:val="0"/>
          <w:color w:val="auto"/>
          <w:szCs w:val="24"/>
        </w:rPr>
        <w:t>.3</w:t>
      </w:r>
      <w:r>
        <w:rPr>
          <w:color w:val="auto"/>
          <w:szCs w:val="24"/>
        </w:rPr>
        <w:t xml:space="preserve"> </w:t>
      </w:r>
      <w:r>
        <w:rPr>
          <w:rFonts w:hint="eastAsia"/>
          <w:color w:val="auto"/>
          <w:szCs w:val="24"/>
        </w:rPr>
        <w:t xml:space="preserve"> </w:t>
      </w:r>
      <w:r>
        <w:rPr>
          <w:color w:val="auto"/>
          <w:szCs w:val="24"/>
        </w:rPr>
        <w:t>供配电线路的敷设方式应根据工程条件、电缆类型、环境特点，满足线路安全运行，避免受到机械性、腐蚀性等损伤。</w:t>
      </w:r>
    </w:p>
    <w:p w14:paraId="31CD12E6">
      <w:pPr>
        <w:pStyle w:val="35"/>
        <w:spacing w:before="120" w:line="360" w:lineRule="auto"/>
        <w:rPr>
          <w:color w:val="auto"/>
          <w:szCs w:val="24"/>
        </w:rPr>
      </w:pPr>
      <w:r>
        <w:rPr>
          <w:rFonts w:hint="eastAsia"/>
          <w:b/>
          <w:bCs w:val="0"/>
          <w:color w:val="auto"/>
          <w:szCs w:val="24"/>
        </w:rPr>
        <w:t>6.4</w:t>
      </w:r>
      <w:r>
        <w:rPr>
          <w:b/>
          <w:bCs w:val="0"/>
          <w:color w:val="auto"/>
          <w:szCs w:val="24"/>
        </w:rPr>
        <w:t>.</w:t>
      </w:r>
      <w:r>
        <w:rPr>
          <w:rFonts w:hint="eastAsia"/>
          <w:b/>
          <w:bCs w:val="0"/>
          <w:color w:val="auto"/>
          <w:szCs w:val="24"/>
        </w:rPr>
        <w:t>4</w:t>
      </w:r>
      <w:r>
        <w:rPr>
          <w:rFonts w:hint="eastAsia"/>
          <w:color w:val="auto"/>
          <w:szCs w:val="24"/>
        </w:rPr>
        <w:t xml:space="preserve">  </w:t>
      </w:r>
      <w:r>
        <w:rPr>
          <w:color w:val="auto"/>
          <w:szCs w:val="24"/>
        </w:rPr>
        <w:t>电缆布设应固定牢靠，固定件绝缘材料表面</w:t>
      </w:r>
      <w:r>
        <w:rPr>
          <w:rFonts w:hint="eastAsia"/>
          <w:color w:val="auto"/>
          <w:szCs w:val="24"/>
        </w:rPr>
        <w:t>应</w:t>
      </w:r>
      <w:r>
        <w:rPr>
          <w:color w:val="auto"/>
          <w:szCs w:val="24"/>
        </w:rPr>
        <w:t>平滑</w:t>
      </w:r>
      <w:r>
        <w:rPr>
          <w:rFonts w:hint="eastAsia"/>
          <w:color w:val="auto"/>
          <w:szCs w:val="24"/>
        </w:rPr>
        <w:t>；电缆终端头工艺应符合规范；电缆及电缆接头应避免受力</w:t>
      </w:r>
      <w:r>
        <w:rPr>
          <w:color w:val="auto"/>
          <w:szCs w:val="24"/>
        </w:rPr>
        <w:t>。</w:t>
      </w:r>
    </w:p>
    <w:p w14:paraId="235ADC38">
      <w:pPr>
        <w:pStyle w:val="35"/>
        <w:spacing w:before="120" w:line="360" w:lineRule="auto"/>
        <w:rPr>
          <w:color w:val="auto"/>
          <w:szCs w:val="24"/>
        </w:rPr>
      </w:pPr>
      <w:r>
        <w:rPr>
          <w:rFonts w:hint="eastAsia"/>
          <w:b/>
          <w:bCs w:val="0"/>
          <w:color w:val="auto"/>
          <w:szCs w:val="24"/>
        </w:rPr>
        <w:t>6.4</w:t>
      </w:r>
      <w:r>
        <w:rPr>
          <w:b/>
          <w:bCs w:val="0"/>
          <w:color w:val="auto"/>
          <w:szCs w:val="24"/>
        </w:rPr>
        <w:t>.</w:t>
      </w:r>
      <w:r>
        <w:rPr>
          <w:rFonts w:hint="eastAsia"/>
          <w:b/>
          <w:bCs w:val="0"/>
          <w:color w:val="auto"/>
          <w:szCs w:val="24"/>
        </w:rPr>
        <w:t>5</w:t>
      </w:r>
      <w:r>
        <w:rPr>
          <w:rFonts w:hint="eastAsia"/>
          <w:color w:val="auto"/>
          <w:szCs w:val="24"/>
        </w:rPr>
        <w:t xml:space="preserve">  </w:t>
      </w:r>
      <w:r>
        <w:rPr>
          <w:color w:val="auto"/>
          <w:szCs w:val="24"/>
        </w:rPr>
        <w:t>电缆线路应在其敷设路径设置明显的警示标识</w:t>
      </w:r>
      <w:r>
        <w:rPr>
          <w:rFonts w:hint="eastAsia"/>
          <w:color w:val="auto"/>
          <w:szCs w:val="24"/>
        </w:rPr>
        <w:t>。</w:t>
      </w:r>
    </w:p>
    <w:p w14:paraId="6FBF21F0">
      <w:pPr>
        <w:pStyle w:val="35"/>
        <w:spacing w:before="120" w:line="360" w:lineRule="auto"/>
        <w:rPr>
          <w:color w:val="auto"/>
          <w:szCs w:val="24"/>
        </w:rPr>
      </w:pPr>
      <w:r>
        <w:rPr>
          <w:rFonts w:hint="eastAsia"/>
          <w:b/>
          <w:bCs w:val="0"/>
          <w:color w:val="auto"/>
          <w:szCs w:val="24"/>
        </w:rPr>
        <w:t>6.4</w:t>
      </w:r>
      <w:r>
        <w:rPr>
          <w:b/>
          <w:bCs w:val="0"/>
          <w:color w:val="auto"/>
          <w:szCs w:val="24"/>
        </w:rPr>
        <w:t>.</w:t>
      </w:r>
      <w:r>
        <w:rPr>
          <w:rFonts w:hint="eastAsia"/>
          <w:b/>
          <w:bCs w:val="0"/>
          <w:color w:val="auto"/>
          <w:szCs w:val="24"/>
        </w:rPr>
        <w:t>6</w:t>
      </w:r>
      <w:r>
        <w:rPr>
          <w:rFonts w:hint="eastAsia"/>
          <w:color w:val="auto"/>
          <w:szCs w:val="24"/>
        </w:rPr>
        <w:t xml:space="preserve">  </w:t>
      </w:r>
      <w:r>
        <w:rPr>
          <w:color w:val="auto"/>
          <w:szCs w:val="24"/>
        </w:rPr>
        <w:t>配电线路敷设完毕，应经绝缘强度测试及验收合格后，方可投入使用</w:t>
      </w:r>
      <w:bookmarkStart w:id="293" w:name="_Toc847"/>
      <w:r>
        <w:rPr>
          <w:rFonts w:hint="eastAsia"/>
          <w:color w:val="auto"/>
          <w:szCs w:val="24"/>
        </w:rPr>
        <w:t>。</w:t>
      </w:r>
    </w:p>
    <w:p w14:paraId="1285ECFA">
      <w:pPr>
        <w:pStyle w:val="35"/>
        <w:spacing w:before="120" w:line="360" w:lineRule="auto"/>
        <w:rPr>
          <w:color w:val="auto"/>
          <w:szCs w:val="24"/>
        </w:rPr>
      </w:pPr>
      <w:bookmarkStart w:id="294" w:name="_Hlk225436040"/>
      <w:r>
        <w:rPr>
          <w:rFonts w:hint="eastAsia"/>
          <w:b/>
          <w:bCs w:val="0"/>
          <w:color w:val="auto"/>
          <w:szCs w:val="24"/>
        </w:rPr>
        <w:t>6.4.7</w:t>
      </w:r>
      <w:bookmarkEnd w:id="294"/>
      <w:r>
        <w:rPr>
          <w:rFonts w:hint="eastAsia"/>
          <w:color w:val="auto"/>
          <w:szCs w:val="24"/>
        </w:rPr>
        <w:t xml:space="preserve">  埋地电缆在穿越建筑物或构筑物、道路、易受机械损伤、介质腐蚀场所及引出地面从2.0m高至地下0.3m处，应加设内径不小于电缆外径1.5倍的防护套管。</w:t>
      </w:r>
      <w:bookmarkEnd w:id="293"/>
    </w:p>
    <w:p w14:paraId="36E0DECE">
      <w:pPr>
        <w:pStyle w:val="37"/>
        <w:spacing w:before="120" w:line="360" w:lineRule="auto"/>
        <w:ind w:firstLine="0" w:firstLineChars="0"/>
        <w:rPr>
          <w:color w:val="auto"/>
          <w:sz w:val="24"/>
          <w:szCs w:val="24"/>
          <w:lang w:val="zh-CN"/>
        </w:rPr>
      </w:pPr>
      <w:r>
        <w:rPr>
          <w:rFonts w:hint="eastAsia"/>
          <w:b/>
          <w:bCs w:val="0"/>
          <w:color w:val="auto"/>
          <w:kern w:val="0"/>
          <w:sz w:val="24"/>
          <w:szCs w:val="24"/>
        </w:rPr>
        <w:t>6.4.8</w:t>
      </w:r>
      <w:r>
        <w:rPr>
          <w:rFonts w:hint="eastAsia"/>
          <w:color w:val="auto"/>
          <w:szCs w:val="24"/>
        </w:rPr>
        <w:t xml:space="preserve">  </w:t>
      </w:r>
      <w:r>
        <w:rPr>
          <w:color w:val="auto"/>
          <w:sz w:val="24"/>
          <w:szCs w:val="24"/>
          <w:lang w:val="zh-CN"/>
        </w:rPr>
        <w:t>直埋电缆</w:t>
      </w:r>
      <w:r>
        <w:rPr>
          <w:rFonts w:hint="eastAsia"/>
          <w:color w:val="auto"/>
          <w:sz w:val="24"/>
          <w:szCs w:val="24"/>
          <w:lang w:val="zh-CN"/>
        </w:rPr>
        <w:t>宜</w:t>
      </w:r>
      <w:r>
        <w:rPr>
          <w:color w:val="auto"/>
          <w:sz w:val="24"/>
          <w:szCs w:val="24"/>
          <w:lang w:val="zh-CN"/>
        </w:rPr>
        <w:t>选用铠装电缆敷设应符合下列规定：</w:t>
      </w:r>
    </w:p>
    <w:p w14:paraId="6BD05036">
      <w:pPr>
        <w:pStyle w:val="37"/>
        <w:spacing w:before="120" w:line="360" w:lineRule="auto"/>
        <w:rPr>
          <w:bCs w:val="0"/>
          <w:color w:val="auto"/>
          <w:sz w:val="24"/>
          <w:szCs w:val="24"/>
          <w:lang w:val="zh-CN"/>
        </w:rPr>
      </w:pPr>
      <w:r>
        <w:rPr>
          <w:rFonts w:hint="eastAsia"/>
          <w:b/>
          <w:color w:val="auto"/>
          <w:sz w:val="24"/>
          <w:szCs w:val="24"/>
          <w:lang w:val="zh-CN"/>
        </w:rPr>
        <w:t>1</w:t>
      </w:r>
      <w:r>
        <w:rPr>
          <w:rFonts w:hint="eastAsia"/>
          <w:b/>
          <w:color w:val="auto"/>
          <w:sz w:val="24"/>
          <w:szCs w:val="24"/>
        </w:rPr>
        <w:t xml:space="preserve">  </w:t>
      </w:r>
      <w:r>
        <w:rPr>
          <w:color w:val="auto"/>
          <w:sz w:val="24"/>
          <w:szCs w:val="24"/>
          <w:lang w:val="zh-CN"/>
        </w:rPr>
        <w:t>直埋电缆</w:t>
      </w:r>
      <w:r>
        <w:rPr>
          <w:rFonts w:hint="eastAsia"/>
          <w:color w:val="auto"/>
          <w:sz w:val="24"/>
          <w:szCs w:val="24"/>
          <w:lang w:val="zh-CN"/>
        </w:rPr>
        <w:t>不应敷设在</w:t>
      </w:r>
      <w:r>
        <w:rPr>
          <w:color w:val="auto"/>
          <w:sz w:val="24"/>
          <w:szCs w:val="24"/>
          <w:lang w:val="zh-CN"/>
        </w:rPr>
        <w:t>含有酸、碱腐蚀、杂散电流、严重电化学腐蚀</w:t>
      </w:r>
      <w:r>
        <w:rPr>
          <w:rFonts w:hint="eastAsia"/>
          <w:color w:val="auto"/>
          <w:sz w:val="24"/>
          <w:szCs w:val="24"/>
          <w:lang w:val="zh-CN"/>
        </w:rPr>
        <w:t>介质</w:t>
      </w:r>
      <w:r>
        <w:rPr>
          <w:color w:val="auto"/>
          <w:sz w:val="24"/>
          <w:szCs w:val="24"/>
          <w:lang w:val="zh-CN"/>
        </w:rPr>
        <w:t>及在预期将多次开挖或地下各类管</w:t>
      </w:r>
      <w:r>
        <w:rPr>
          <w:bCs w:val="0"/>
          <w:color w:val="auto"/>
          <w:sz w:val="24"/>
          <w:szCs w:val="24"/>
          <w:lang w:val="zh-CN"/>
        </w:rPr>
        <w:t>网较多的地段</w:t>
      </w:r>
      <w:r>
        <w:rPr>
          <w:color w:val="auto"/>
          <w:sz w:val="24"/>
          <w:szCs w:val="24"/>
          <w:lang w:val="zh-CN"/>
        </w:rPr>
        <w:t>；</w:t>
      </w:r>
    </w:p>
    <w:p w14:paraId="31A21D7B">
      <w:pPr>
        <w:pStyle w:val="37"/>
        <w:spacing w:before="120" w:line="360" w:lineRule="auto"/>
        <w:rPr>
          <w:bCs w:val="0"/>
          <w:color w:val="auto"/>
          <w:sz w:val="24"/>
          <w:szCs w:val="24"/>
          <w:lang w:val="zh-CN"/>
        </w:rPr>
      </w:pPr>
      <w:r>
        <w:rPr>
          <w:rFonts w:hint="eastAsia"/>
          <w:b/>
          <w:color w:val="auto"/>
          <w:sz w:val="24"/>
          <w:szCs w:val="24"/>
          <w:lang w:val="zh-CN"/>
        </w:rPr>
        <w:t>2</w:t>
      </w:r>
      <w:r>
        <w:rPr>
          <w:rFonts w:hint="eastAsia"/>
          <w:b/>
          <w:color w:val="auto"/>
          <w:sz w:val="24"/>
          <w:szCs w:val="24"/>
        </w:rPr>
        <w:t xml:space="preserve"> </w:t>
      </w:r>
      <w:r>
        <w:rPr>
          <w:rFonts w:hint="eastAsia"/>
          <w:b/>
          <w:color w:val="auto"/>
          <w:sz w:val="24"/>
          <w:szCs w:val="24"/>
          <w:lang w:val="zh-CN"/>
        </w:rPr>
        <w:t xml:space="preserve"> </w:t>
      </w:r>
      <w:r>
        <w:rPr>
          <w:bCs w:val="0"/>
          <w:color w:val="auto"/>
          <w:sz w:val="24"/>
          <w:szCs w:val="24"/>
          <w:lang w:val="zh-CN"/>
        </w:rPr>
        <w:t>电缆直埋深度</w:t>
      </w:r>
      <w:r>
        <w:rPr>
          <w:rFonts w:hint="eastAsia"/>
          <w:bCs w:val="0"/>
          <w:color w:val="auto"/>
          <w:sz w:val="24"/>
          <w:szCs w:val="24"/>
          <w:lang w:val="zh-CN"/>
        </w:rPr>
        <w:t>不</w:t>
      </w:r>
      <w:r>
        <w:rPr>
          <w:bCs w:val="0"/>
          <w:color w:val="auto"/>
          <w:sz w:val="24"/>
          <w:szCs w:val="24"/>
          <w:lang w:val="zh-CN"/>
        </w:rPr>
        <w:t>小于0.7m</w:t>
      </w:r>
      <w:r>
        <w:rPr>
          <w:rFonts w:hint="eastAsia"/>
          <w:bCs w:val="0"/>
          <w:color w:val="auto"/>
          <w:sz w:val="24"/>
          <w:szCs w:val="24"/>
          <w:lang w:val="zh-CN"/>
        </w:rPr>
        <w:t>，</w:t>
      </w:r>
      <w:r>
        <w:rPr>
          <w:bCs w:val="0"/>
          <w:color w:val="auto"/>
          <w:sz w:val="24"/>
          <w:szCs w:val="24"/>
          <w:lang w:val="zh-CN"/>
        </w:rPr>
        <w:t>电缆上下、左右侧应铺以软土或砂土，其厚度及宽度</w:t>
      </w:r>
      <w:r>
        <w:rPr>
          <w:rFonts w:hint="eastAsia"/>
          <w:bCs w:val="0"/>
          <w:color w:val="auto"/>
          <w:sz w:val="24"/>
          <w:szCs w:val="24"/>
          <w:lang w:val="zh-CN"/>
        </w:rPr>
        <w:t>不应</w:t>
      </w:r>
      <w:r>
        <w:rPr>
          <w:bCs w:val="0"/>
          <w:color w:val="auto"/>
          <w:sz w:val="24"/>
          <w:szCs w:val="24"/>
          <w:lang w:val="zh-CN"/>
        </w:rPr>
        <w:t>小于100mm，上部应覆盖硬质保护层；</w:t>
      </w:r>
    </w:p>
    <w:p w14:paraId="3351C6E2">
      <w:pPr>
        <w:pStyle w:val="37"/>
        <w:spacing w:before="120" w:line="360" w:lineRule="auto"/>
        <w:rPr>
          <w:bCs w:val="0"/>
          <w:color w:val="auto"/>
          <w:sz w:val="24"/>
          <w:szCs w:val="24"/>
          <w:lang w:val="zh-CN"/>
        </w:rPr>
      </w:pPr>
      <w:r>
        <w:rPr>
          <w:rFonts w:hint="eastAsia"/>
          <w:b/>
          <w:color w:val="auto"/>
          <w:sz w:val="24"/>
          <w:szCs w:val="24"/>
          <w:lang w:val="zh-CN"/>
        </w:rPr>
        <w:t>3</w:t>
      </w:r>
      <w:r>
        <w:rPr>
          <w:rFonts w:hint="eastAsia"/>
          <w:b/>
          <w:color w:val="auto"/>
          <w:sz w:val="24"/>
          <w:szCs w:val="24"/>
        </w:rPr>
        <w:t xml:space="preserve">  </w:t>
      </w:r>
      <w:r>
        <w:rPr>
          <w:bCs w:val="0"/>
          <w:color w:val="auto"/>
          <w:sz w:val="24"/>
          <w:szCs w:val="24"/>
          <w:lang w:val="zh-CN"/>
        </w:rPr>
        <w:t>电缆敷设时应在首、末端和中间转角处预留一定维护长度；</w:t>
      </w:r>
    </w:p>
    <w:p w14:paraId="6347A5B7">
      <w:pPr>
        <w:pStyle w:val="37"/>
        <w:spacing w:before="120" w:line="360" w:lineRule="auto"/>
        <w:rPr>
          <w:bCs w:val="0"/>
          <w:color w:val="auto"/>
          <w:sz w:val="24"/>
          <w:szCs w:val="24"/>
          <w:lang w:val="zh-CN"/>
        </w:rPr>
      </w:pPr>
      <w:r>
        <w:rPr>
          <w:rFonts w:hint="eastAsia"/>
          <w:b/>
          <w:color w:val="auto"/>
          <w:sz w:val="24"/>
          <w:szCs w:val="24"/>
          <w:lang w:val="zh-CN"/>
        </w:rPr>
        <w:t>4</w:t>
      </w:r>
      <w:r>
        <w:rPr>
          <w:rFonts w:hint="eastAsia"/>
          <w:b/>
          <w:color w:val="auto"/>
          <w:sz w:val="24"/>
          <w:szCs w:val="24"/>
        </w:rPr>
        <w:t xml:space="preserve">  </w:t>
      </w:r>
      <w:r>
        <w:rPr>
          <w:bCs w:val="0"/>
          <w:color w:val="auto"/>
          <w:sz w:val="24"/>
          <w:szCs w:val="24"/>
          <w:lang w:val="zh-CN"/>
        </w:rPr>
        <w:t>电缆应沿道路或建筑物边缘埋设</w:t>
      </w:r>
      <w:r>
        <w:rPr>
          <w:rFonts w:hint="eastAsia"/>
          <w:bCs w:val="0"/>
          <w:color w:val="auto"/>
          <w:sz w:val="24"/>
          <w:szCs w:val="24"/>
          <w:lang w:val="zh-CN"/>
        </w:rPr>
        <w:t>，</w:t>
      </w:r>
      <w:r>
        <w:rPr>
          <w:bCs w:val="0"/>
          <w:color w:val="auto"/>
          <w:sz w:val="24"/>
          <w:szCs w:val="24"/>
          <w:lang w:val="zh-CN"/>
        </w:rPr>
        <w:t>电缆转弯处及直线段间隔20m处，应设电缆走向标识桩，主电缆并应标识起始点；</w:t>
      </w:r>
    </w:p>
    <w:p w14:paraId="4EAD409C">
      <w:pPr>
        <w:pStyle w:val="37"/>
        <w:spacing w:before="120" w:line="360" w:lineRule="auto"/>
        <w:rPr>
          <w:b/>
          <w:bCs w:val="0"/>
          <w:color w:val="auto"/>
          <w:sz w:val="24"/>
          <w:szCs w:val="24"/>
          <w:lang w:val="zh-CN"/>
        </w:rPr>
      </w:pPr>
      <w:r>
        <w:rPr>
          <w:rFonts w:hint="eastAsia"/>
          <w:b/>
          <w:color w:val="auto"/>
          <w:sz w:val="24"/>
          <w:szCs w:val="24"/>
          <w:lang w:val="zh-CN"/>
        </w:rPr>
        <w:t>5</w:t>
      </w:r>
      <w:r>
        <w:rPr>
          <w:rFonts w:hint="eastAsia"/>
          <w:bCs w:val="0"/>
          <w:color w:val="auto"/>
          <w:sz w:val="24"/>
          <w:szCs w:val="24"/>
        </w:rPr>
        <w:t xml:space="preserve">  </w:t>
      </w:r>
      <w:r>
        <w:rPr>
          <w:bCs w:val="0"/>
          <w:color w:val="auto"/>
          <w:sz w:val="24"/>
          <w:szCs w:val="24"/>
          <w:lang w:val="zh-CN"/>
        </w:rPr>
        <w:t>直埋电缆与外电线路电缆、其他管道、道路、建筑物等之间平行和交叉敷设时，最小间距应符合</w:t>
      </w:r>
      <w:r>
        <w:rPr>
          <w:rFonts w:hint="eastAsia"/>
          <w:bCs w:val="0"/>
          <w:color w:val="auto"/>
          <w:sz w:val="24"/>
          <w:szCs w:val="24"/>
        </w:rPr>
        <w:t>现行国家标准</w:t>
      </w:r>
      <w:r>
        <w:rPr>
          <w:rFonts w:hint="eastAsia"/>
          <w:bCs w:val="0"/>
          <w:color w:val="auto"/>
          <w:sz w:val="24"/>
          <w:szCs w:val="24"/>
          <w:lang w:val="zh-CN"/>
        </w:rPr>
        <w:t>《城市工程管线综合规划规范》GB 50289及《电力工程电缆设计标准》GB 50217</w:t>
      </w:r>
      <w:r>
        <w:rPr>
          <w:bCs w:val="0"/>
          <w:color w:val="auto"/>
          <w:sz w:val="24"/>
          <w:szCs w:val="24"/>
          <w:lang w:val="zh-CN"/>
        </w:rPr>
        <w:t>的规定</w:t>
      </w:r>
      <w:r>
        <w:rPr>
          <w:rFonts w:hint="eastAsia"/>
          <w:bCs w:val="0"/>
          <w:color w:val="auto"/>
          <w:sz w:val="24"/>
          <w:szCs w:val="24"/>
          <w:lang w:val="zh-CN"/>
        </w:rPr>
        <w:t>，</w:t>
      </w:r>
      <w:r>
        <w:rPr>
          <w:bCs w:val="0"/>
          <w:color w:val="auto"/>
          <w:sz w:val="24"/>
          <w:szCs w:val="24"/>
          <w:lang w:val="zh-CN"/>
        </w:rPr>
        <w:t>当间距不符合要求时，应</w:t>
      </w:r>
      <w:r>
        <w:rPr>
          <w:rFonts w:hint="eastAsia"/>
          <w:bCs w:val="0"/>
          <w:color w:val="auto"/>
          <w:sz w:val="24"/>
          <w:szCs w:val="24"/>
          <w:lang w:val="zh-CN"/>
        </w:rPr>
        <w:t>采取设置</w:t>
      </w:r>
      <w:r>
        <w:rPr>
          <w:bCs w:val="0"/>
          <w:color w:val="auto"/>
          <w:sz w:val="24"/>
          <w:szCs w:val="24"/>
          <w:lang w:val="zh-CN"/>
        </w:rPr>
        <w:t>硬质导管等电缆</w:t>
      </w:r>
      <w:r>
        <w:rPr>
          <w:rFonts w:hint="eastAsia"/>
          <w:bCs w:val="0"/>
          <w:color w:val="auto"/>
          <w:sz w:val="24"/>
          <w:szCs w:val="24"/>
          <w:lang w:val="zh-CN"/>
        </w:rPr>
        <w:t>保护</w:t>
      </w:r>
      <w:r>
        <w:rPr>
          <w:bCs w:val="0"/>
          <w:color w:val="auto"/>
          <w:sz w:val="24"/>
          <w:szCs w:val="24"/>
          <w:lang w:val="zh-CN"/>
        </w:rPr>
        <w:t>措施</w:t>
      </w:r>
      <w:r>
        <w:rPr>
          <w:rFonts w:hint="eastAsia"/>
          <w:bCs w:val="0"/>
          <w:color w:val="auto"/>
          <w:sz w:val="24"/>
          <w:szCs w:val="24"/>
          <w:lang w:val="zh-CN"/>
        </w:rPr>
        <w:t>；</w:t>
      </w:r>
    </w:p>
    <w:p w14:paraId="6794866C">
      <w:pPr>
        <w:pStyle w:val="37"/>
        <w:spacing w:before="120" w:line="360" w:lineRule="auto"/>
        <w:rPr>
          <w:bCs w:val="0"/>
          <w:color w:val="auto"/>
          <w:sz w:val="24"/>
          <w:szCs w:val="24"/>
          <w:lang w:val="zh-CN"/>
        </w:rPr>
      </w:pPr>
      <w:r>
        <w:rPr>
          <w:rFonts w:hint="eastAsia"/>
          <w:b/>
          <w:color w:val="auto"/>
          <w:sz w:val="24"/>
          <w:szCs w:val="24"/>
          <w:lang w:val="zh-CN"/>
        </w:rPr>
        <w:t>6</w:t>
      </w:r>
      <w:r>
        <w:rPr>
          <w:rFonts w:hint="eastAsia"/>
          <w:b/>
          <w:color w:val="auto"/>
          <w:sz w:val="24"/>
          <w:szCs w:val="24"/>
        </w:rPr>
        <w:t xml:space="preserve">  </w:t>
      </w:r>
      <w:r>
        <w:rPr>
          <w:bCs w:val="0"/>
          <w:color w:val="auto"/>
          <w:sz w:val="24"/>
          <w:szCs w:val="24"/>
          <w:lang w:val="zh-CN"/>
        </w:rPr>
        <w:t>中间接头绝缘</w:t>
      </w:r>
      <w:r>
        <w:rPr>
          <w:rFonts w:hint="eastAsia"/>
          <w:bCs w:val="0"/>
          <w:color w:val="auto"/>
          <w:sz w:val="24"/>
          <w:szCs w:val="24"/>
          <w:lang w:val="zh-CN"/>
        </w:rPr>
        <w:t>强度应不小于</w:t>
      </w:r>
      <w:r>
        <w:rPr>
          <w:bCs w:val="0"/>
          <w:color w:val="auto"/>
          <w:sz w:val="24"/>
          <w:szCs w:val="24"/>
          <w:lang w:val="zh-CN"/>
        </w:rPr>
        <w:t>直埋电缆的绝缘</w:t>
      </w:r>
      <w:r>
        <w:rPr>
          <w:rFonts w:hint="eastAsia"/>
          <w:bCs w:val="0"/>
          <w:color w:val="auto"/>
          <w:sz w:val="24"/>
          <w:szCs w:val="24"/>
          <w:lang w:val="zh-CN"/>
        </w:rPr>
        <w:t>强度且</w:t>
      </w:r>
      <w:r>
        <w:rPr>
          <w:bCs w:val="0"/>
          <w:color w:val="auto"/>
          <w:sz w:val="24"/>
          <w:szCs w:val="24"/>
          <w:lang w:val="zh-CN"/>
        </w:rPr>
        <w:t>应采取防水措施</w:t>
      </w:r>
      <w:r>
        <w:rPr>
          <w:rFonts w:hint="eastAsia"/>
          <w:bCs w:val="0"/>
          <w:color w:val="auto"/>
          <w:sz w:val="24"/>
          <w:szCs w:val="24"/>
          <w:lang w:val="zh-CN"/>
        </w:rPr>
        <w:t>。</w:t>
      </w:r>
      <w:r>
        <w:rPr>
          <w:bCs w:val="0"/>
          <w:color w:val="auto"/>
          <w:sz w:val="24"/>
          <w:szCs w:val="24"/>
          <w:lang w:val="zh-CN"/>
        </w:rPr>
        <w:t>并列</w:t>
      </w:r>
      <w:r>
        <w:rPr>
          <w:rFonts w:hint="eastAsia"/>
          <w:bCs w:val="0"/>
          <w:color w:val="auto"/>
          <w:sz w:val="24"/>
          <w:szCs w:val="24"/>
          <w:lang w:val="zh-CN"/>
        </w:rPr>
        <w:t>敷设</w:t>
      </w:r>
      <w:r>
        <w:rPr>
          <w:bCs w:val="0"/>
          <w:color w:val="auto"/>
          <w:sz w:val="24"/>
          <w:szCs w:val="24"/>
          <w:lang w:val="zh-CN"/>
        </w:rPr>
        <w:t>电缆的接头位置</w:t>
      </w:r>
      <w:r>
        <w:rPr>
          <w:rFonts w:hint="eastAsia"/>
          <w:bCs w:val="0"/>
          <w:color w:val="auto"/>
          <w:sz w:val="24"/>
          <w:szCs w:val="24"/>
          <w:lang w:val="zh-CN"/>
        </w:rPr>
        <w:t>应</w:t>
      </w:r>
      <w:r>
        <w:rPr>
          <w:bCs w:val="0"/>
          <w:color w:val="auto"/>
          <w:sz w:val="24"/>
          <w:szCs w:val="24"/>
          <w:lang w:val="zh-CN"/>
        </w:rPr>
        <w:t>相互错开；</w:t>
      </w:r>
    </w:p>
    <w:p w14:paraId="47F5D0B3">
      <w:pPr>
        <w:pStyle w:val="37"/>
        <w:spacing w:before="120" w:line="360" w:lineRule="auto"/>
        <w:rPr>
          <w:bCs w:val="0"/>
          <w:color w:val="auto"/>
          <w:sz w:val="24"/>
          <w:szCs w:val="24"/>
          <w:lang w:val="zh-CN"/>
        </w:rPr>
      </w:pPr>
      <w:r>
        <w:rPr>
          <w:rFonts w:hint="eastAsia"/>
          <w:b/>
          <w:color w:val="auto"/>
          <w:sz w:val="24"/>
          <w:szCs w:val="24"/>
          <w:lang w:val="zh-CN"/>
        </w:rPr>
        <w:t>7</w:t>
      </w:r>
      <w:r>
        <w:rPr>
          <w:rFonts w:hint="eastAsia"/>
          <w:bCs w:val="0"/>
          <w:color w:val="auto"/>
          <w:sz w:val="24"/>
          <w:szCs w:val="24"/>
        </w:rPr>
        <w:t xml:space="preserve">  </w:t>
      </w:r>
      <w:r>
        <w:rPr>
          <w:bCs w:val="0"/>
          <w:color w:val="auto"/>
          <w:sz w:val="24"/>
          <w:szCs w:val="24"/>
          <w:lang w:val="zh-CN"/>
        </w:rPr>
        <w:t>铠装电缆两端头部位金属铠装层与保护接地导体（PE）应可靠连接。</w:t>
      </w:r>
    </w:p>
    <w:p w14:paraId="3C543958">
      <w:pPr>
        <w:pStyle w:val="35"/>
        <w:spacing w:before="120" w:line="360" w:lineRule="auto"/>
        <w:rPr>
          <w:color w:val="auto"/>
          <w:szCs w:val="24"/>
        </w:rPr>
      </w:pPr>
      <w:r>
        <w:rPr>
          <w:rFonts w:hint="eastAsia"/>
          <w:b/>
          <w:bCs w:val="0"/>
          <w:color w:val="auto"/>
          <w:szCs w:val="24"/>
        </w:rPr>
        <w:t>6.4</w:t>
      </w:r>
      <w:r>
        <w:rPr>
          <w:b/>
          <w:bCs w:val="0"/>
          <w:color w:val="auto"/>
          <w:szCs w:val="24"/>
        </w:rPr>
        <w:t>.</w:t>
      </w:r>
      <w:r>
        <w:rPr>
          <w:rFonts w:hint="eastAsia"/>
          <w:b/>
          <w:bCs w:val="0"/>
          <w:color w:val="auto"/>
          <w:szCs w:val="24"/>
        </w:rPr>
        <w:t xml:space="preserve">9  </w:t>
      </w:r>
      <w:r>
        <w:rPr>
          <w:color w:val="auto"/>
          <w:szCs w:val="24"/>
        </w:rPr>
        <w:t>槽盒</w:t>
      </w:r>
      <w:r>
        <w:rPr>
          <w:rFonts w:hint="eastAsia"/>
          <w:color w:val="auto"/>
          <w:szCs w:val="24"/>
        </w:rPr>
        <w:t>敷设</w:t>
      </w:r>
      <w:r>
        <w:rPr>
          <w:color w:val="auto"/>
          <w:szCs w:val="24"/>
        </w:rPr>
        <w:t>应符合下列规定：</w:t>
      </w:r>
    </w:p>
    <w:p w14:paraId="0628C867">
      <w:pPr>
        <w:pStyle w:val="37"/>
        <w:spacing w:before="120" w:line="360" w:lineRule="auto"/>
        <w:rPr>
          <w:bCs w:val="0"/>
          <w:color w:val="auto"/>
          <w:sz w:val="24"/>
          <w:szCs w:val="24"/>
          <w:lang w:val="zh-CN"/>
        </w:rPr>
      </w:pPr>
      <w:r>
        <w:rPr>
          <w:b/>
          <w:color w:val="auto"/>
          <w:sz w:val="24"/>
          <w:szCs w:val="24"/>
        </w:rPr>
        <w:t>1</w:t>
      </w:r>
      <w:r>
        <w:rPr>
          <w:bCs w:val="0"/>
          <w:color w:val="auto"/>
          <w:sz w:val="24"/>
          <w:szCs w:val="24"/>
        </w:rPr>
        <w:t xml:space="preserve"> </w:t>
      </w:r>
      <w:r>
        <w:rPr>
          <w:rFonts w:hint="eastAsia"/>
          <w:bCs w:val="0"/>
          <w:color w:val="auto"/>
          <w:sz w:val="24"/>
          <w:szCs w:val="24"/>
        </w:rPr>
        <w:t xml:space="preserve"> </w:t>
      </w:r>
      <w:r>
        <w:rPr>
          <w:bCs w:val="0"/>
          <w:color w:val="auto"/>
          <w:sz w:val="24"/>
          <w:szCs w:val="24"/>
          <w:lang w:val="zh-CN"/>
        </w:rPr>
        <w:t>槽盒表面应光滑无毛刺；</w:t>
      </w:r>
    </w:p>
    <w:p w14:paraId="659CCC51">
      <w:pPr>
        <w:pStyle w:val="37"/>
        <w:spacing w:before="120" w:line="360" w:lineRule="auto"/>
        <w:rPr>
          <w:bCs w:val="0"/>
          <w:color w:val="auto"/>
          <w:sz w:val="24"/>
          <w:szCs w:val="24"/>
          <w:lang w:val="zh-CN"/>
        </w:rPr>
      </w:pPr>
      <w:r>
        <w:rPr>
          <w:b/>
          <w:color w:val="auto"/>
          <w:sz w:val="24"/>
          <w:szCs w:val="24"/>
          <w:lang w:val="zh-CN"/>
        </w:rPr>
        <w:t>2</w:t>
      </w:r>
      <w:r>
        <w:rPr>
          <w:bCs w:val="0"/>
          <w:color w:val="auto"/>
          <w:sz w:val="24"/>
          <w:szCs w:val="24"/>
          <w:lang w:val="zh-CN"/>
        </w:rPr>
        <w:t xml:space="preserve"> </w:t>
      </w:r>
      <w:r>
        <w:rPr>
          <w:rFonts w:hint="eastAsia"/>
          <w:bCs w:val="0"/>
          <w:color w:val="auto"/>
          <w:sz w:val="24"/>
          <w:szCs w:val="24"/>
        </w:rPr>
        <w:t xml:space="preserve"> </w:t>
      </w:r>
      <w:r>
        <w:rPr>
          <w:bCs w:val="0"/>
          <w:color w:val="auto"/>
          <w:sz w:val="24"/>
          <w:szCs w:val="24"/>
          <w:lang w:val="zh-CN"/>
        </w:rPr>
        <w:t>固定点应能承载电缆自重及风、雪等带来的额外荷载；</w:t>
      </w:r>
    </w:p>
    <w:p w14:paraId="4B572268">
      <w:pPr>
        <w:pStyle w:val="37"/>
        <w:spacing w:before="120" w:line="360" w:lineRule="auto"/>
        <w:rPr>
          <w:bCs w:val="0"/>
          <w:color w:val="auto"/>
          <w:sz w:val="24"/>
          <w:szCs w:val="24"/>
        </w:rPr>
      </w:pPr>
      <w:r>
        <w:rPr>
          <w:b/>
          <w:color w:val="auto"/>
          <w:sz w:val="24"/>
          <w:szCs w:val="24"/>
        </w:rPr>
        <w:t>3</w:t>
      </w:r>
      <w:r>
        <w:rPr>
          <w:bCs w:val="0"/>
          <w:color w:val="auto"/>
          <w:sz w:val="24"/>
          <w:szCs w:val="24"/>
        </w:rPr>
        <w:t xml:space="preserve"> </w:t>
      </w:r>
      <w:r>
        <w:rPr>
          <w:rFonts w:hint="eastAsia"/>
          <w:bCs w:val="0"/>
          <w:color w:val="auto"/>
          <w:sz w:val="24"/>
          <w:szCs w:val="24"/>
        </w:rPr>
        <w:t xml:space="preserve"> </w:t>
      </w:r>
      <w:r>
        <w:rPr>
          <w:bCs w:val="0"/>
          <w:color w:val="auto"/>
          <w:sz w:val="24"/>
          <w:szCs w:val="24"/>
        </w:rPr>
        <w:t>槽盒水平敷设时，支架跨距宜为1.5m~3m</w:t>
      </w:r>
      <w:r>
        <w:rPr>
          <w:rFonts w:hint="eastAsia"/>
          <w:bCs w:val="0"/>
          <w:color w:val="auto"/>
          <w:sz w:val="24"/>
          <w:szCs w:val="24"/>
        </w:rPr>
        <w:t>。</w:t>
      </w:r>
      <w:r>
        <w:rPr>
          <w:bCs w:val="0"/>
          <w:color w:val="auto"/>
          <w:sz w:val="24"/>
          <w:szCs w:val="24"/>
        </w:rPr>
        <w:t>垂直敷设时，固定点每楼层不应少于1处；</w:t>
      </w:r>
    </w:p>
    <w:p w14:paraId="68CFC798">
      <w:pPr>
        <w:pStyle w:val="37"/>
        <w:spacing w:before="120" w:line="360" w:lineRule="auto"/>
        <w:rPr>
          <w:bCs w:val="0"/>
          <w:color w:val="auto"/>
          <w:sz w:val="24"/>
          <w:szCs w:val="24"/>
        </w:rPr>
      </w:pPr>
      <w:r>
        <w:rPr>
          <w:b/>
          <w:color w:val="auto"/>
          <w:sz w:val="24"/>
          <w:szCs w:val="24"/>
        </w:rPr>
        <w:t>4</w:t>
      </w:r>
      <w:r>
        <w:rPr>
          <w:bCs w:val="0"/>
          <w:color w:val="auto"/>
          <w:sz w:val="24"/>
          <w:szCs w:val="24"/>
        </w:rPr>
        <w:t xml:space="preserve"> </w:t>
      </w:r>
      <w:r>
        <w:rPr>
          <w:rFonts w:hint="eastAsia"/>
          <w:bCs w:val="0"/>
          <w:color w:val="auto"/>
          <w:sz w:val="24"/>
          <w:szCs w:val="24"/>
        </w:rPr>
        <w:t xml:space="preserve"> </w:t>
      </w:r>
      <w:r>
        <w:rPr>
          <w:bCs w:val="0"/>
          <w:color w:val="auto"/>
          <w:sz w:val="24"/>
          <w:szCs w:val="24"/>
        </w:rPr>
        <w:t>槽盒本体之间的连接应牢固可靠，金属槽盒首端、末端应与</w:t>
      </w:r>
      <w:r>
        <w:rPr>
          <w:bCs w:val="0"/>
          <w:color w:val="auto"/>
          <w:sz w:val="24"/>
          <w:szCs w:val="24"/>
          <w:lang w:val="zh-CN"/>
        </w:rPr>
        <w:t>保护接地导体（PE）</w:t>
      </w:r>
      <w:r>
        <w:rPr>
          <w:bCs w:val="0"/>
          <w:color w:val="auto"/>
          <w:sz w:val="24"/>
          <w:szCs w:val="24"/>
        </w:rPr>
        <w:t>可靠连接</w:t>
      </w:r>
      <w:r>
        <w:rPr>
          <w:rFonts w:hint="eastAsia"/>
          <w:bCs w:val="0"/>
          <w:color w:val="auto"/>
          <w:sz w:val="24"/>
          <w:szCs w:val="24"/>
        </w:rPr>
        <w:t>。</w:t>
      </w:r>
      <w:r>
        <w:rPr>
          <w:bCs w:val="0"/>
          <w:color w:val="auto"/>
          <w:sz w:val="24"/>
          <w:szCs w:val="24"/>
        </w:rPr>
        <w:t>镀锌槽盒连接板两端，每端不少于2个防松螺栓</w:t>
      </w:r>
      <w:r>
        <w:rPr>
          <w:rFonts w:hint="eastAsia"/>
          <w:bCs w:val="0"/>
          <w:color w:val="auto"/>
          <w:sz w:val="24"/>
          <w:szCs w:val="24"/>
        </w:rPr>
        <w:t>。</w:t>
      </w:r>
      <w:r>
        <w:rPr>
          <w:bCs w:val="0"/>
          <w:color w:val="auto"/>
          <w:sz w:val="24"/>
          <w:szCs w:val="24"/>
        </w:rPr>
        <w:t>烤漆槽盒连接板两端应采用4mm</w:t>
      </w:r>
      <w:r>
        <w:rPr>
          <w:bCs w:val="0"/>
          <w:color w:val="auto"/>
          <w:sz w:val="24"/>
          <w:szCs w:val="24"/>
          <w:vertAlign w:val="superscript"/>
        </w:rPr>
        <w:t>2</w:t>
      </w:r>
      <w:r>
        <w:rPr>
          <w:bCs w:val="0"/>
          <w:color w:val="auto"/>
          <w:sz w:val="24"/>
          <w:szCs w:val="24"/>
        </w:rPr>
        <w:t>铜导体跨连</w:t>
      </w:r>
      <w:r>
        <w:rPr>
          <w:rFonts w:hint="eastAsia"/>
          <w:bCs w:val="0"/>
          <w:color w:val="auto"/>
          <w:sz w:val="24"/>
          <w:szCs w:val="24"/>
        </w:rPr>
        <w:t>；</w:t>
      </w:r>
    </w:p>
    <w:p w14:paraId="06290DEE">
      <w:pPr>
        <w:pStyle w:val="37"/>
        <w:spacing w:before="120" w:line="360" w:lineRule="auto"/>
        <w:rPr>
          <w:bCs w:val="0"/>
          <w:color w:val="auto"/>
          <w:sz w:val="24"/>
          <w:szCs w:val="24"/>
          <w:lang w:val="zh-CN"/>
        </w:rPr>
      </w:pPr>
      <w:r>
        <w:rPr>
          <w:rFonts w:hint="eastAsia"/>
          <w:b/>
          <w:color w:val="auto"/>
          <w:sz w:val="24"/>
          <w:szCs w:val="24"/>
          <w:lang w:val="zh-CN"/>
        </w:rPr>
        <w:t>5</w:t>
      </w:r>
      <w:r>
        <w:rPr>
          <w:rFonts w:hint="eastAsia"/>
          <w:b/>
          <w:color w:val="auto"/>
          <w:sz w:val="24"/>
          <w:szCs w:val="24"/>
        </w:rPr>
        <w:t xml:space="preserve"> </w:t>
      </w:r>
      <w:r>
        <w:rPr>
          <w:rFonts w:hint="eastAsia"/>
          <w:bCs w:val="0"/>
          <w:color w:val="auto"/>
          <w:sz w:val="24"/>
          <w:szCs w:val="24"/>
          <w:lang w:val="zh-CN"/>
        </w:rPr>
        <w:t xml:space="preserve"> 室外槽盒内应采取防积水措施。</w:t>
      </w:r>
    </w:p>
    <w:p w14:paraId="700812AA">
      <w:pPr>
        <w:pStyle w:val="35"/>
        <w:spacing w:before="120" w:line="360" w:lineRule="auto"/>
        <w:rPr>
          <w:color w:val="auto"/>
          <w:szCs w:val="24"/>
        </w:rPr>
      </w:pPr>
      <w:r>
        <w:rPr>
          <w:rFonts w:hint="eastAsia"/>
          <w:b/>
          <w:bCs w:val="0"/>
          <w:color w:val="auto"/>
          <w:szCs w:val="24"/>
        </w:rPr>
        <w:t>6</w:t>
      </w:r>
      <w:r>
        <w:rPr>
          <w:b/>
          <w:bCs w:val="0"/>
          <w:color w:val="auto"/>
          <w:szCs w:val="24"/>
        </w:rPr>
        <w:t>.4.10</w:t>
      </w:r>
      <w:r>
        <w:rPr>
          <w:color w:val="auto"/>
          <w:szCs w:val="24"/>
        </w:rPr>
        <w:t xml:space="preserve">  </w:t>
      </w:r>
      <w:r>
        <w:rPr>
          <w:rFonts w:hint="eastAsia"/>
          <w:color w:val="auto"/>
          <w:szCs w:val="24"/>
        </w:rPr>
        <w:t>导管敷设应符合下列规定：</w:t>
      </w:r>
    </w:p>
    <w:p w14:paraId="00C0EE3C">
      <w:pPr>
        <w:pStyle w:val="37"/>
        <w:spacing w:before="120" w:line="360" w:lineRule="auto"/>
        <w:rPr>
          <w:bCs w:val="0"/>
          <w:color w:val="auto"/>
          <w:sz w:val="24"/>
          <w:szCs w:val="24"/>
        </w:rPr>
      </w:pPr>
      <w:r>
        <w:rPr>
          <w:b/>
          <w:color w:val="auto"/>
          <w:sz w:val="24"/>
          <w:szCs w:val="24"/>
        </w:rPr>
        <w:t>1</w:t>
      </w:r>
      <w:r>
        <w:rPr>
          <w:bCs w:val="0"/>
          <w:color w:val="auto"/>
          <w:sz w:val="24"/>
          <w:szCs w:val="24"/>
        </w:rPr>
        <w:t xml:space="preserve"> </w:t>
      </w:r>
      <w:r>
        <w:rPr>
          <w:rFonts w:hint="eastAsia"/>
          <w:bCs w:val="0"/>
          <w:color w:val="auto"/>
          <w:sz w:val="24"/>
          <w:szCs w:val="24"/>
        </w:rPr>
        <w:t xml:space="preserve"> </w:t>
      </w:r>
      <w:r>
        <w:rPr>
          <w:bCs w:val="0"/>
          <w:color w:val="auto"/>
          <w:sz w:val="24"/>
          <w:szCs w:val="24"/>
        </w:rPr>
        <w:t>同一回路所有导体应敷设在同一保护</w:t>
      </w:r>
      <w:r>
        <w:rPr>
          <w:rFonts w:hint="eastAsia"/>
          <w:bCs w:val="0"/>
          <w:color w:val="auto"/>
          <w:sz w:val="24"/>
          <w:szCs w:val="24"/>
        </w:rPr>
        <w:t>导</w:t>
      </w:r>
      <w:r>
        <w:rPr>
          <w:bCs w:val="0"/>
          <w:color w:val="auto"/>
          <w:sz w:val="24"/>
          <w:szCs w:val="24"/>
        </w:rPr>
        <w:t>管内，单芯导</w:t>
      </w:r>
      <w:r>
        <w:rPr>
          <w:rFonts w:hint="eastAsia"/>
          <w:bCs w:val="0"/>
          <w:color w:val="auto"/>
          <w:sz w:val="24"/>
          <w:szCs w:val="24"/>
        </w:rPr>
        <w:t>体</w:t>
      </w:r>
      <w:r>
        <w:rPr>
          <w:bCs w:val="0"/>
          <w:color w:val="auto"/>
          <w:sz w:val="24"/>
          <w:szCs w:val="24"/>
        </w:rPr>
        <w:t>不应穿金属</w:t>
      </w:r>
      <w:r>
        <w:rPr>
          <w:rFonts w:hint="eastAsia"/>
          <w:bCs w:val="0"/>
          <w:color w:val="auto"/>
          <w:sz w:val="24"/>
          <w:szCs w:val="24"/>
        </w:rPr>
        <w:t>导</w:t>
      </w:r>
      <w:r>
        <w:rPr>
          <w:bCs w:val="0"/>
          <w:color w:val="auto"/>
          <w:sz w:val="24"/>
          <w:szCs w:val="24"/>
        </w:rPr>
        <w:t>管；</w:t>
      </w:r>
    </w:p>
    <w:p w14:paraId="04802B9F">
      <w:pPr>
        <w:pStyle w:val="37"/>
        <w:spacing w:before="120" w:line="360" w:lineRule="auto"/>
        <w:rPr>
          <w:bCs w:val="0"/>
          <w:color w:val="auto"/>
          <w:sz w:val="24"/>
          <w:szCs w:val="24"/>
        </w:rPr>
      </w:pPr>
      <w:r>
        <w:rPr>
          <w:b/>
          <w:color w:val="auto"/>
          <w:sz w:val="24"/>
          <w:szCs w:val="24"/>
        </w:rPr>
        <w:t>2</w:t>
      </w:r>
      <w:r>
        <w:rPr>
          <w:bCs w:val="0"/>
          <w:color w:val="auto"/>
          <w:sz w:val="24"/>
          <w:szCs w:val="24"/>
        </w:rPr>
        <w:t xml:space="preserve"> </w:t>
      </w:r>
      <w:r>
        <w:rPr>
          <w:rFonts w:hint="eastAsia"/>
          <w:bCs w:val="0"/>
          <w:color w:val="auto"/>
          <w:sz w:val="24"/>
          <w:szCs w:val="24"/>
        </w:rPr>
        <w:t xml:space="preserve"> </w:t>
      </w:r>
      <w:r>
        <w:rPr>
          <w:bCs w:val="0"/>
          <w:color w:val="auto"/>
          <w:sz w:val="24"/>
          <w:szCs w:val="24"/>
        </w:rPr>
        <w:t>金属导管应与</w:t>
      </w:r>
      <w:r>
        <w:rPr>
          <w:bCs w:val="0"/>
          <w:color w:val="auto"/>
          <w:sz w:val="24"/>
          <w:szCs w:val="24"/>
          <w:lang w:val="zh-CN"/>
        </w:rPr>
        <w:t>保护接地导体（PE）</w:t>
      </w:r>
      <w:r>
        <w:rPr>
          <w:bCs w:val="0"/>
          <w:color w:val="auto"/>
          <w:sz w:val="24"/>
          <w:szCs w:val="24"/>
        </w:rPr>
        <w:t>可靠连接；</w:t>
      </w:r>
    </w:p>
    <w:p w14:paraId="4416329A">
      <w:pPr>
        <w:pStyle w:val="37"/>
        <w:spacing w:before="120" w:line="360" w:lineRule="auto"/>
        <w:rPr>
          <w:bCs w:val="0"/>
          <w:color w:val="auto"/>
          <w:sz w:val="24"/>
          <w:szCs w:val="24"/>
        </w:rPr>
      </w:pPr>
      <w:r>
        <w:rPr>
          <w:b/>
          <w:color w:val="auto"/>
          <w:sz w:val="24"/>
          <w:szCs w:val="24"/>
        </w:rPr>
        <w:t>3</w:t>
      </w:r>
      <w:r>
        <w:rPr>
          <w:bCs w:val="0"/>
          <w:color w:val="auto"/>
          <w:sz w:val="24"/>
          <w:szCs w:val="24"/>
        </w:rPr>
        <w:t xml:space="preserve"> </w:t>
      </w:r>
      <w:r>
        <w:rPr>
          <w:rFonts w:hint="eastAsia"/>
          <w:bCs w:val="0"/>
          <w:color w:val="auto"/>
          <w:sz w:val="24"/>
          <w:szCs w:val="24"/>
        </w:rPr>
        <w:t xml:space="preserve"> </w:t>
      </w:r>
      <w:r>
        <w:rPr>
          <w:bCs w:val="0"/>
          <w:color w:val="auto"/>
          <w:sz w:val="24"/>
          <w:szCs w:val="24"/>
        </w:rPr>
        <w:t>电缆导管的弯曲半径应</w:t>
      </w:r>
      <w:r>
        <w:rPr>
          <w:rFonts w:hint="eastAsia"/>
          <w:bCs w:val="0"/>
          <w:color w:val="auto"/>
          <w:sz w:val="24"/>
          <w:szCs w:val="24"/>
        </w:rPr>
        <w:t>大</w:t>
      </w:r>
      <w:r>
        <w:rPr>
          <w:bCs w:val="0"/>
          <w:color w:val="auto"/>
          <w:sz w:val="24"/>
          <w:szCs w:val="24"/>
        </w:rPr>
        <w:t>于电缆最小允许弯曲半径；</w:t>
      </w:r>
    </w:p>
    <w:p w14:paraId="22A019FE">
      <w:pPr>
        <w:pStyle w:val="37"/>
        <w:spacing w:before="120" w:line="360" w:lineRule="auto"/>
        <w:rPr>
          <w:bCs w:val="0"/>
          <w:color w:val="auto"/>
          <w:sz w:val="24"/>
          <w:szCs w:val="24"/>
        </w:rPr>
      </w:pPr>
      <w:r>
        <w:rPr>
          <w:b/>
          <w:color w:val="auto"/>
          <w:sz w:val="24"/>
          <w:szCs w:val="24"/>
        </w:rPr>
        <w:t>4</w:t>
      </w:r>
      <w:r>
        <w:rPr>
          <w:rFonts w:hint="eastAsia"/>
          <w:b/>
          <w:color w:val="auto"/>
          <w:sz w:val="24"/>
          <w:szCs w:val="24"/>
        </w:rPr>
        <w:t xml:space="preserve"> </w:t>
      </w:r>
      <w:r>
        <w:rPr>
          <w:bCs w:val="0"/>
          <w:color w:val="auto"/>
          <w:sz w:val="24"/>
          <w:szCs w:val="24"/>
        </w:rPr>
        <w:t xml:space="preserve"> 室内导管穿越墙体、楼板敷设时，导管的管内径不应小于电缆外径的1.5倍；</w:t>
      </w:r>
    </w:p>
    <w:p w14:paraId="7311E9E8">
      <w:pPr>
        <w:pStyle w:val="37"/>
        <w:spacing w:before="120" w:line="360" w:lineRule="auto"/>
        <w:rPr>
          <w:bCs w:val="0"/>
          <w:color w:val="auto"/>
          <w:sz w:val="24"/>
          <w:szCs w:val="24"/>
        </w:rPr>
      </w:pPr>
      <w:r>
        <w:rPr>
          <w:b/>
          <w:color w:val="auto"/>
          <w:sz w:val="24"/>
          <w:szCs w:val="24"/>
        </w:rPr>
        <w:t>5</w:t>
      </w:r>
      <w:r>
        <w:rPr>
          <w:bCs w:val="0"/>
          <w:color w:val="auto"/>
          <w:sz w:val="24"/>
          <w:szCs w:val="24"/>
        </w:rPr>
        <w:t xml:space="preserve"> </w:t>
      </w:r>
      <w:r>
        <w:rPr>
          <w:rFonts w:hint="eastAsia"/>
          <w:bCs w:val="0"/>
          <w:color w:val="auto"/>
          <w:sz w:val="24"/>
          <w:szCs w:val="24"/>
        </w:rPr>
        <w:t xml:space="preserve"> </w:t>
      </w:r>
      <w:r>
        <w:rPr>
          <w:bCs w:val="0"/>
          <w:color w:val="auto"/>
          <w:sz w:val="24"/>
          <w:szCs w:val="24"/>
        </w:rPr>
        <w:t>明敷的电缆（线）导管应排列整齐、固定点间距均匀、安装牢固。</w:t>
      </w:r>
    </w:p>
    <w:p w14:paraId="114751CF">
      <w:pPr>
        <w:pStyle w:val="35"/>
        <w:spacing w:before="120" w:line="360" w:lineRule="auto"/>
        <w:rPr>
          <w:color w:val="auto"/>
          <w:szCs w:val="24"/>
        </w:rPr>
      </w:pPr>
      <w:r>
        <w:rPr>
          <w:rFonts w:hint="eastAsia"/>
          <w:b/>
          <w:bCs w:val="0"/>
          <w:color w:val="auto"/>
          <w:szCs w:val="24"/>
        </w:rPr>
        <w:t>6.4</w:t>
      </w:r>
      <w:r>
        <w:rPr>
          <w:b/>
          <w:bCs w:val="0"/>
          <w:color w:val="auto"/>
          <w:szCs w:val="24"/>
        </w:rPr>
        <w:t>.</w:t>
      </w:r>
      <w:r>
        <w:rPr>
          <w:rFonts w:hint="eastAsia"/>
          <w:b/>
          <w:bCs w:val="0"/>
          <w:color w:val="auto"/>
          <w:szCs w:val="24"/>
        </w:rPr>
        <w:t>11</w:t>
      </w:r>
      <w:r>
        <w:rPr>
          <w:rFonts w:hint="eastAsia"/>
          <w:color w:val="auto"/>
          <w:szCs w:val="24"/>
        </w:rPr>
        <w:t xml:space="preserve">  </w:t>
      </w:r>
      <w:r>
        <w:rPr>
          <w:color w:val="auto"/>
          <w:szCs w:val="24"/>
        </w:rPr>
        <w:t>钢索敷设应符合下列规定：</w:t>
      </w:r>
    </w:p>
    <w:p w14:paraId="781A34A8">
      <w:pPr>
        <w:pStyle w:val="37"/>
        <w:spacing w:before="120" w:line="360" w:lineRule="auto"/>
        <w:rPr>
          <w:bCs w:val="0"/>
          <w:color w:val="auto"/>
          <w:sz w:val="24"/>
          <w:szCs w:val="24"/>
          <w:lang w:val="zh-CN"/>
        </w:rPr>
      </w:pPr>
      <w:r>
        <w:rPr>
          <w:b/>
          <w:color w:val="auto"/>
          <w:sz w:val="24"/>
          <w:szCs w:val="24"/>
          <w:lang w:val="zh-CN"/>
        </w:rPr>
        <w:t>1</w:t>
      </w:r>
      <w:r>
        <w:rPr>
          <w:rFonts w:hint="eastAsia"/>
          <w:b/>
          <w:color w:val="auto"/>
          <w:sz w:val="24"/>
          <w:szCs w:val="24"/>
        </w:rPr>
        <w:t xml:space="preserve"> </w:t>
      </w:r>
      <w:r>
        <w:rPr>
          <w:bCs w:val="0"/>
          <w:color w:val="auto"/>
          <w:sz w:val="24"/>
          <w:szCs w:val="24"/>
          <w:lang w:val="zh-CN"/>
        </w:rPr>
        <w:t xml:space="preserve"> 钢索</w:t>
      </w:r>
      <w:r>
        <w:rPr>
          <w:rFonts w:hint="eastAsia"/>
          <w:bCs w:val="0"/>
          <w:color w:val="auto"/>
          <w:sz w:val="24"/>
          <w:szCs w:val="24"/>
          <w:lang w:val="zh-CN"/>
        </w:rPr>
        <w:t>直径</w:t>
      </w:r>
      <w:r>
        <w:rPr>
          <w:bCs w:val="0"/>
          <w:color w:val="auto"/>
          <w:sz w:val="24"/>
          <w:szCs w:val="24"/>
          <w:lang w:val="zh-CN"/>
        </w:rPr>
        <w:t>应根据跨距、荷重、机械强度选择</w:t>
      </w:r>
      <w:r>
        <w:rPr>
          <w:rFonts w:hint="eastAsia"/>
          <w:bCs w:val="0"/>
          <w:color w:val="auto"/>
          <w:sz w:val="24"/>
          <w:szCs w:val="24"/>
          <w:lang w:val="zh-CN"/>
        </w:rPr>
        <w:t>，</w:t>
      </w:r>
      <w:r>
        <w:rPr>
          <w:bCs w:val="0"/>
          <w:color w:val="auto"/>
          <w:sz w:val="24"/>
          <w:szCs w:val="24"/>
          <w:lang w:val="zh-CN"/>
        </w:rPr>
        <w:t>钢索不应有扭曲和断股现象；</w:t>
      </w:r>
    </w:p>
    <w:p w14:paraId="206315A8">
      <w:pPr>
        <w:pStyle w:val="37"/>
        <w:spacing w:before="120" w:line="360" w:lineRule="auto"/>
        <w:rPr>
          <w:bCs w:val="0"/>
          <w:color w:val="auto"/>
          <w:sz w:val="24"/>
          <w:szCs w:val="24"/>
          <w:lang w:val="zh-CN"/>
        </w:rPr>
      </w:pPr>
      <w:r>
        <w:rPr>
          <w:b/>
          <w:color w:val="auto"/>
          <w:sz w:val="24"/>
          <w:szCs w:val="24"/>
          <w:lang w:val="zh-CN"/>
        </w:rPr>
        <w:t>2</w:t>
      </w:r>
      <w:r>
        <w:rPr>
          <w:bCs w:val="0"/>
          <w:color w:val="auto"/>
          <w:sz w:val="24"/>
          <w:szCs w:val="24"/>
          <w:lang w:val="zh-CN"/>
        </w:rPr>
        <w:t xml:space="preserve"> </w:t>
      </w:r>
      <w:r>
        <w:rPr>
          <w:rFonts w:hint="eastAsia"/>
          <w:bCs w:val="0"/>
          <w:color w:val="auto"/>
          <w:sz w:val="24"/>
          <w:szCs w:val="24"/>
        </w:rPr>
        <w:t xml:space="preserve"> </w:t>
      </w:r>
      <w:bookmarkStart w:id="295" w:name="_Hlk206515660"/>
      <w:r>
        <w:rPr>
          <w:bCs w:val="0"/>
          <w:color w:val="auto"/>
          <w:sz w:val="24"/>
          <w:szCs w:val="24"/>
          <w:lang w:val="zh-CN"/>
        </w:rPr>
        <w:t>钢索</w:t>
      </w:r>
      <w:bookmarkEnd w:id="295"/>
      <w:r>
        <w:rPr>
          <w:bCs w:val="0"/>
          <w:color w:val="auto"/>
          <w:sz w:val="24"/>
          <w:szCs w:val="24"/>
          <w:lang w:val="zh-CN"/>
        </w:rPr>
        <w:t>应能承受钢索</w:t>
      </w:r>
      <w:r>
        <w:rPr>
          <w:rFonts w:hint="eastAsia"/>
          <w:bCs w:val="0"/>
          <w:color w:val="auto"/>
          <w:sz w:val="24"/>
          <w:szCs w:val="24"/>
          <w:lang w:val="zh-CN"/>
        </w:rPr>
        <w:t>及线缆</w:t>
      </w:r>
      <w:r>
        <w:rPr>
          <w:bCs w:val="0"/>
          <w:color w:val="auto"/>
          <w:sz w:val="24"/>
          <w:szCs w:val="24"/>
          <w:lang w:val="zh-CN"/>
        </w:rPr>
        <w:t>全部</w:t>
      </w:r>
      <w:r>
        <w:rPr>
          <w:rFonts w:hint="eastAsia"/>
          <w:bCs w:val="0"/>
          <w:color w:val="auto"/>
          <w:sz w:val="24"/>
          <w:szCs w:val="24"/>
          <w:lang w:val="zh-CN"/>
        </w:rPr>
        <w:t>荷载且钢索直径不宜小于</w:t>
      </w:r>
      <w:r>
        <w:rPr>
          <w:rFonts w:hint="eastAsia"/>
          <w:bCs w:val="0"/>
          <w:color w:val="auto"/>
          <w:sz w:val="24"/>
          <w:szCs w:val="24"/>
        </w:rPr>
        <w:t>10</w:t>
      </w:r>
      <w:r>
        <w:rPr>
          <w:bCs w:val="0"/>
          <w:color w:val="auto"/>
          <w:sz w:val="24"/>
          <w:szCs w:val="24"/>
        </w:rPr>
        <w:t>mm</w:t>
      </w:r>
      <w:r>
        <w:rPr>
          <w:rFonts w:hint="eastAsia"/>
          <w:bCs w:val="0"/>
          <w:color w:val="auto"/>
          <w:sz w:val="24"/>
          <w:szCs w:val="24"/>
          <w:lang w:val="zh-CN"/>
        </w:rPr>
        <w:t>，</w:t>
      </w:r>
      <w:r>
        <w:rPr>
          <w:bCs w:val="0"/>
          <w:color w:val="auto"/>
          <w:sz w:val="24"/>
          <w:szCs w:val="24"/>
          <w:lang w:val="zh-CN"/>
        </w:rPr>
        <w:t>钢索终端固定件应牢固可靠</w:t>
      </w:r>
      <w:r>
        <w:rPr>
          <w:rFonts w:hint="eastAsia"/>
          <w:bCs w:val="0"/>
          <w:color w:val="auto"/>
          <w:sz w:val="24"/>
          <w:szCs w:val="24"/>
          <w:lang w:val="zh-CN"/>
        </w:rPr>
        <w:t>；</w:t>
      </w:r>
    </w:p>
    <w:p w14:paraId="144294FE">
      <w:pPr>
        <w:pStyle w:val="37"/>
        <w:spacing w:before="120" w:line="360" w:lineRule="auto"/>
        <w:rPr>
          <w:bCs w:val="0"/>
          <w:color w:val="auto"/>
          <w:sz w:val="24"/>
          <w:szCs w:val="24"/>
          <w:lang w:val="zh-CN"/>
        </w:rPr>
      </w:pPr>
      <w:r>
        <w:rPr>
          <w:b/>
          <w:color w:val="auto"/>
          <w:sz w:val="24"/>
          <w:szCs w:val="24"/>
          <w:lang w:val="zh-CN"/>
        </w:rPr>
        <w:t>3</w:t>
      </w:r>
      <w:r>
        <w:rPr>
          <w:rFonts w:hint="eastAsia"/>
          <w:b/>
          <w:color w:val="auto"/>
          <w:sz w:val="24"/>
          <w:szCs w:val="24"/>
        </w:rPr>
        <w:t xml:space="preserve"> </w:t>
      </w:r>
      <w:r>
        <w:rPr>
          <w:bCs w:val="0"/>
          <w:color w:val="auto"/>
          <w:sz w:val="24"/>
          <w:szCs w:val="24"/>
          <w:lang w:val="zh-CN"/>
        </w:rPr>
        <w:t xml:space="preserve"> 在潮湿或有腐蚀性介质的场所，应使用塑料护套钢索；</w:t>
      </w:r>
    </w:p>
    <w:p w14:paraId="595A8846">
      <w:pPr>
        <w:pStyle w:val="37"/>
        <w:spacing w:before="120" w:line="360" w:lineRule="auto"/>
        <w:rPr>
          <w:bCs w:val="0"/>
          <w:color w:val="auto"/>
          <w:sz w:val="24"/>
          <w:szCs w:val="24"/>
          <w:lang w:val="zh-CN"/>
        </w:rPr>
      </w:pPr>
      <w:r>
        <w:rPr>
          <w:rFonts w:hint="eastAsia"/>
          <w:b/>
          <w:color w:val="auto"/>
          <w:sz w:val="24"/>
          <w:szCs w:val="24"/>
          <w:lang w:val="zh-CN"/>
        </w:rPr>
        <w:t>4</w:t>
      </w:r>
      <w:r>
        <w:rPr>
          <w:bCs w:val="0"/>
          <w:color w:val="auto"/>
          <w:sz w:val="24"/>
          <w:szCs w:val="24"/>
          <w:lang w:val="zh-CN"/>
        </w:rPr>
        <w:t xml:space="preserve"> </w:t>
      </w:r>
      <w:r>
        <w:rPr>
          <w:rFonts w:hint="eastAsia"/>
          <w:bCs w:val="0"/>
          <w:color w:val="auto"/>
          <w:sz w:val="24"/>
          <w:szCs w:val="24"/>
        </w:rPr>
        <w:t xml:space="preserve"> </w:t>
      </w:r>
      <w:r>
        <w:rPr>
          <w:bCs w:val="0"/>
          <w:color w:val="auto"/>
          <w:sz w:val="24"/>
          <w:szCs w:val="24"/>
          <w:lang w:val="zh-CN"/>
        </w:rPr>
        <w:t>钢索长度为50m及以下时，应在其中一端装设</w:t>
      </w:r>
      <w:r>
        <w:rPr>
          <w:rFonts w:hint="eastAsia"/>
          <w:bCs w:val="0"/>
          <w:color w:val="auto"/>
          <w:sz w:val="24"/>
          <w:szCs w:val="24"/>
          <w:lang w:val="zh-CN"/>
        </w:rPr>
        <w:t>索具螺旋扣，</w:t>
      </w:r>
      <w:r>
        <w:rPr>
          <w:bCs w:val="0"/>
          <w:color w:val="auto"/>
          <w:sz w:val="24"/>
          <w:szCs w:val="24"/>
          <w:lang w:val="zh-CN"/>
        </w:rPr>
        <w:t>大于50m时，两端均应装设</w:t>
      </w:r>
      <w:r>
        <w:rPr>
          <w:rFonts w:hint="eastAsia"/>
          <w:bCs w:val="0"/>
          <w:color w:val="auto"/>
          <w:sz w:val="24"/>
          <w:szCs w:val="24"/>
          <w:lang w:val="zh-CN"/>
        </w:rPr>
        <w:t>索具螺旋扣；</w:t>
      </w:r>
    </w:p>
    <w:p w14:paraId="012AC185">
      <w:pPr>
        <w:pStyle w:val="37"/>
        <w:spacing w:before="120" w:line="360" w:lineRule="auto"/>
        <w:rPr>
          <w:bCs w:val="0"/>
          <w:color w:val="auto"/>
          <w:sz w:val="24"/>
          <w:szCs w:val="24"/>
          <w:lang w:val="zh-CN"/>
        </w:rPr>
      </w:pPr>
      <w:r>
        <w:rPr>
          <w:rFonts w:hint="eastAsia"/>
          <w:b/>
          <w:color w:val="auto"/>
          <w:sz w:val="24"/>
          <w:szCs w:val="24"/>
          <w:lang w:val="zh-CN"/>
        </w:rPr>
        <w:t>5</w:t>
      </w:r>
      <w:r>
        <w:rPr>
          <w:bCs w:val="0"/>
          <w:color w:val="auto"/>
          <w:sz w:val="24"/>
          <w:szCs w:val="24"/>
          <w:lang w:val="zh-CN"/>
        </w:rPr>
        <w:t xml:space="preserve"> </w:t>
      </w:r>
      <w:r>
        <w:rPr>
          <w:rFonts w:hint="eastAsia"/>
          <w:bCs w:val="0"/>
          <w:color w:val="auto"/>
          <w:sz w:val="24"/>
          <w:szCs w:val="24"/>
        </w:rPr>
        <w:t xml:space="preserve"> </w:t>
      </w:r>
      <w:r>
        <w:rPr>
          <w:bCs w:val="0"/>
          <w:color w:val="auto"/>
          <w:sz w:val="24"/>
          <w:szCs w:val="24"/>
          <w:lang w:val="zh-CN"/>
        </w:rPr>
        <w:t>钢索应可靠</w:t>
      </w:r>
      <w:r>
        <w:rPr>
          <w:rFonts w:hint="eastAsia"/>
          <w:bCs w:val="0"/>
          <w:color w:val="auto"/>
          <w:sz w:val="24"/>
          <w:szCs w:val="24"/>
          <w:lang w:val="zh-CN"/>
        </w:rPr>
        <w:t>接地。</w:t>
      </w:r>
    </w:p>
    <w:p w14:paraId="604EC7DB">
      <w:pPr>
        <w:pStyle w:val="35"/>
        <w:spacing w:before="120" w:line="360" w:lineRule="auto"/>
        <w:rPr>
          <w:color w:val="auto"/>
          <w:szCs w:val="24"/>
        </w:rPr>
      </w:pPr>
      <w:r>
        <w:rPr>
          <w:rFonts w:hint="eastAsia"/>
          <w:b/>
          <w:bCs w:val="0"/>
          <w:color w:val="auto"/>
          <w:szCs w:val="24"/>
        </w:rPr>
        <w:t>6.4</w:t>
      </w:r>
      <w:r>
        <w:rPr>
          <w:b/>
          <w:bCs w:val="0"/>
          <w:color w:val="auto"/>
          <w:szCs w:val="24"/>
        </w:rPr>
        <w:t>.</w:t>
      </w:r>
      <w:r>
        <w:rPr>
          <w:rFonts w:hint="eastAsia"/>
          <w:b/>
          <w:bCs w:val="0"/>
          <w:color w:val="auto"/>
          <w:szCs w:val="24"/>
        </w:rPr>
        <w:t xml:space="preserve">12 </w:t>
      </w:r>
      <w:r>
        <w:rPr>
          <w:color w:val="auto"/>
          <w:szCs w:val="24"/>
        </w:rPr>
        <w:t>其他</w:t>
      </w:r>
      <w:r>
        <w:rPr>
          <w:rFonts w:hint="eastAsia"/>
          <w:color w:val="auto"/>
          <w:szCs w:val="24"/>
        </w:rPr>
        <w:t>线缆</w:t>
      </w:r>
      <w:r>
        <w:rPr>
          <w:color w:val="auto"/>
          <w:szCs w:val="24"/>
        </w:rPr>
        <w:t>敷设方式应符合下列规定：</w:t>
      </w:r>
    </w:p>
    <w:p w14:paraId="495613C5">
      <w:pPr>
        <w:pStyle w:val="37"/>
        <w:spacing w:before="120" w:line="360" w:lineRule="auto"/>
        <w:rPr>
          <w:bCs w:val="0"/>
          <w:color w:val="auto"/>
          <w:sz w:val="24"/>
          <w:szCs w:val="24"/>
        </w:rPr>
      </w:pPr>
      <w:r>
        <w:rPr>
          <w:b/>
          <w:color w:val="auto"/>
          <w:sz w:val="24"/>
          <w:szCs w:val="24"/>
        </w:rPr>
        <w:t>1</w:t>
      </w:r>
      <w:r>
        <w:rPr>
          <w:bCs w:val="0"/>
          <w:color w:val="auto"/>
          <w:sz w:val="24"/>
          <w:szCs w:val="24"/>
        </w:rPr>
        <w:t xml:space="preserve"> </w:t>
      </w:r>
      <w:r>
        <w:rPr>
          <w:rFonts w:hint="eastAsia"/>
          <w:bCs w:val="0"/>
          <w:color w:val="auto"/>
          <w:sz w:val="24"/>
          <w:szCs w:val="24"/>
        </w:rPr>
        <w:t xml:space="preserve"> </w:t>
      </w:r>
      <w:r>
        <w:rPr>
          <w:bCs w:val="0"/>
          <w:color w:val="auto"/>
          <w:sz w:val="24"/>
          <w:szCs w:val="24"/>
        </w:rPr>
        <w:t>电缆在室内应沿墙、沿顶板、沿柱或建筑构件敷设，固定点间距应满足承载要求；</w:t>
      </w:r>
    </w:p>
    <w:p w14:paraId="06415180">
      <w:pPr>
        <w:pStyle w:val="37"/>
        <w:spacing w:before="120" w:line="360" w:lineRule="auto"/>
        <w:rPr>
          <w:bCs w:val="0"/>
          <w:color w:val="auto"/>
          <w:sz w:val="24"/>
          <w:szCs w:val="24"/>
        </w:rPr>
      </w:pPr>
      <w:r>
        <w:rPr>
          <w:b/>
          <w:color w:val="auto"/>
          <w:sz w:val="24"/>
          <w:szCs w:val="24"/>
        </w:rPr>
        <w:t>2</w:t>
      </w:r>
      <w:r>
        <w:rPr>
          <w:rFonts w:hint="eastAsia"/>
          <w:b/>
          <w:color w:val="auto"/>
          <w:sz w:val="24"/>
          <w:szCs w:val="24"/>
        </w:rPr>
        <w:t xml:space="preserve"> </w:t>
      </w:r>
      <w:r>
        <w:rPr>
          <w:bCs w:val="0"/>
          <w:color w:val="auto"/>
          <w:sz w:val="24"/>
          <w:szCs w:val="24"/>
        </w:rPr>
        <w:t xml:space="preserve"> 受施工条件限制电缆沿墙角、地面进行敷设时，应</w:t>
      </w:r>
      <w:r>
        <w:rPr>
          <w:rFonts w:hint="eastAsia"/>
          <w:bCs w:val="0"/>
          <w:color w:val="auto"/>
          <w:sz w:val="24"/>
          <w:szCs w:val="24"/>
        </w:rPr>
        <w:t>具有</w:t>
      </w:r>
      <w:r>
        <w:rPr>
          <w:bCs w:val="0"/>
          <w:color w:val="auto"/>
          <w:sz w:val="24"/>
          <w:szCs w:val="24"/>
        </w:rPr>
        <w:t>电缆</w:t>
      </w:r>
      <w:r>
        <w:rPr>
          <w:rFonts w:hint="eastAsia"/>
          <w:bCs w:val="0"/>
          <w:color w:val="auto"/>
          <w:sz w:val="24"/>
          <w:szCs w:val="24"/>
        </w:rPr>
        <w:t>遭受</w:t>
      </w:r>
      <w:r>
        <w:rPr>
          <w:bCs w:val="0"/>
          <w:color w:val="auto"/>
          <w:sz w:val="24"/>
          <w:szCs w:val="24"/>
        </w:rPr>
        <w:t>机械损伤、电气火灾</w:t>
      </w:r>
      <w:r>
        <w:rPr>
          <w:rFonts w:hint="eastAsia"/>
          <w:bCs w:val="0"/>
          <w:color w:val="auto"/>
          <w:sz w:val="24"/>
          <w:szCs w:val="24"/>
        </w:rPr>
        <w:t>的有效防护措施</w:t>
      </w:r>
      <w:r>
        <w:rPr>
          <w:bCs w:val="0"/>
          <w:color w:val="auto"/>
          <w:sz w:val="24"/>
          <w:szCs w:val="24"/>
        </w:rPr>
        <w:t>；</w:t>
      </w:r>
    </w:p>
    <w:p w14:paraId="12E04251">
      <w:pPr>
        <w:pStyle w:val="37"/>
        <w:spacing w:before="120" w:line="360" w:lineRule="auto"/>
        <w:rPr>
          <w:bCs w:val="0"/>
          <w:color w:val="auto"/>
          <w:sz w:val="24"/>
          <w:szCs w:val="24"/>
        </w:rPr>
      </w:pPr>
      <w:r>
        <w:rPr>
          <w:b/>
          <w:color w:val="auto"/>
          <w:sz w:val="24"/>
          <w:szCs w:val="24"/>
        </w:rPr>
        <w:t>3</w:t>
      </w:r>
      <w:r>
        <w:rPr>
          <w:bCs w:val="0"/>
          <w:color w:val="auto"/>
          <w:sz w:val="24"/>
          <w:szCs w:val="24"/>
        </w:rPr>
        <w:t xml:space="preserve"> </w:t>
      </w:r>
      <w:r>
        <w:rPr>
          <w:rFonts w:hint="eastAsia"/>
          <w:bCs w:val="0"/>
          <w:color w:val="auto"/>
          <w:sz w:val="24"/>
          <w:szCs w:val="24"/>
        </w:rPr>
        <w:t xml:space="preserve"> </w:t>
      </w:r>
      <w:r>
        <w:rPr>
          <w:bCs w:val="0"/>
          <w:color w:val="auto"/>
          <w:sz w:val="24"/>
          <w:szCs w:val="24"/>
        </w:rPr>
        <w:t>电缆在穿过楼板或墙</w:t>
      </w:r>
      <w:r>
        <w:rPr>
          <w:rFonts w:hint="eastAsia"/>
          <w:bCs w:val="0"/>
          <w:color w:val="auto"/>
          <w:sz w:val="24"/>
          <w:szCs w:val="24"/>
        </w:rPr>
        <w:t>体</w:t>
      </w:r>
      <w:r>
        <w:rPr>
          <w:bCs w:val="0"/>
          <w:color w:val="auto"/>
          <w:sz w:val="24"/>
          <w:szCs w:val="24"/>
        </w:rPr>
        <w:t>敷设时，应</w:t>
      </w:r>
      <w:r>
        <w:rPr>
          <w:rFonts w:hint="eastAsia"/>
          <w:bCs w:val="0"/>
          <w:color w:val="auto"/>
          <w:sz w:val="24"/>
          <w:szCs w:val="24"/>
        </w:rPr>
        <w:t>采</w:t>
      </w:r>
      <w:r>
        <w:rPr>
          <w:bCs w:val="0"/>
          <w:color w:val="auto"/>
          <w:sz w:val="24"/>
          <w:szCs w:val="24"/>
        </w:rPr>
        <w:t>用</w:t>
      </w:r>
      <w:bookmarkStart w:id="296" w:name="OLE_LINK4"/>
      <w:bookmarkStart w:id="297" w:name="OLE_LINK9"/>
      <w:r>
        <w:rPr>
          <w:bCs w:val="0"/>
          <w:color w:val="auto"/>
          <w:sz w:val="24"/>
          <w:szCs w:val="24"/>
        </w:rPr>
        <w:t>绝缘保护管</w:t>
      </w:r>
      <w:bookmarkEnd w:id="296"/>
      <w:bookmarkEnd w:id="297"/>
      <w:r>
        <w:rPr>
          <w:bCs w:val="0"/>
          <w:color w:val="auto"/>
          <w:sz w:val="24"/>
          <w:szCs w:val="24"/>
        </w:rPr>
        <w:t>保护</w:t>
      </w:r>
      <w:r>
        <w:rPr>
          <w:rFonts w:hint="eastAsia"/>
          <w:bCs w:val="0"/>
          <w:color w:val="auto"/>
          <w:sz w:val="24"/>
          <w:szCs w:val="24"/>
        </w:rPr>
        <w:t>；</w:t>
      </w:r>
      <w:r>
        <w:rPr>
          <w:bCs w:val="0"/>
          <w:color w:val="auto"/>
          <w:sz w:val="24"/>
          <w:szCs w:val="24"/>
        </w:rPr>
        <w:t>绝缘保护管固定每楼层不应少于1处。</w:t>
      </w:r>
    </w:p>
    <w:p w14:paraId="405CD459">
      <w:pPr>
        <w:pStyle w:val="35"/>
        <w:spacing w:before="120" w:line="360" w:lineRule="auto"/>
        <w:rPr>
          <w:color w:val="auto"/>
          <w:szCs w:val="24"/>
        </w:rPr>
      </w:pPr>
      <w:r>
        <w:rPr>
          <w:rFonts w:hint="eastAsia"/>
          <w:b/>
          <w:bCs w:val="0"/>
          <w:color w:val="auto"/>
          <w:szCs w:val="24"/>
        </w:rPr>
        <w:t>6.4</w:t>
      </w:r>
      <w:r>
        <w:rPr>
          <w:b/>
          <w:bCs w:val="0"/>
          <w:color w:val="auto"/>
          <w:szCs w:val="24"/>
        </w:rPr>
        <w:t>.1</w:t>
      </w:r>
      <w:r>
        <w:rPr>
          <w:rFonts w:hint="eastAsia"/>
          <w:b/>
          <w:bCs w:val="0"/>
          <w:color w:val="auto"/>
          <w:szCs w:val="24"/>
        </w:rPr>
        <w:t>3</w:t>
      </w:r>
      <w:r>
        <w:rPr>
          <w:color w:val="auto"/>
          <w:szCs w:val="24"/>
        </w:rPr>
        <w:t xml:space="preserve"> </w:t>
      </w:r>
      <w:bookmarkStart w:id="298" w:name="_Hlk192068277"/>
      <w:r>
        <w:rPr>
          <w:color w:val="auto"/>
          <w:szCs w:val="24"/>
        </w:rPr>
        <w:t>10kV</w:t>
      </w:r>
      <w:r>
        <w:rPr>
          <w:rFonts w:hint="eastAsia"/>
          <w:color w:val="auto"/>
          <w:szCs w:val="24"/>
        </w:rPr>
        <w:t>高压电缆</w:t>
      </w:r>
      <w:bookmarkEnd w:id="298"/>
      <w:r>
        <w:rPr>
          <w:color w:val="auto"/>
          <w:szCs w:val="24"/>
        </w:rPr>
        <w:t>应符合下列规定：</w:t>
      </w:r>
    </w:p>
    <w:p w14:paraId="444B39A4">
      <w:pPr>
        <w:pStyle w:val="37"/>
        <w:spacing w:before="120" w:line="360" w:lineRule="auto"/>
        <w:rPr>
          <w:bCs w:val="0"/>
          <w:color w:val="auto"/>
          <w:sz w:val="24"/>
          <w:szCs w:val="24"/>
        </w:rPr>
      </w:pPr>
      <w:r>
        <w:rPr>
          <w:b/>
          <w:color w:val="auto"/>
          <w:sz w:val="24"/>
          <w:szCs w:val="24"/>
        </w:rPr>
        <w:t>1</w:t>
      </w:r>
      <w:r>
        <w:rPr>
          <w:rFonts w:hint="eastAsia"/>
          <w:b/>
          <w:color w:val="auto"/>
          <w:sz w:val="24"/>
          <w:szCs w:val="24"/>
        </w:rPr>
        <w:t xml:space="preserve">  </w:t>
      </w:r>
      <w:r>
        <w:rPr>
          <w:bCs w:val="0"/>
          <w:color w:val="auto"/>
          <w:sz w:val="24"/>
          <w:szCs w:val="24"/>
        </w:rPr>
        <w:t>电缆额定电压、型号、规格符合施工用电工程方案要求；</w:t>
      </w:r>
    </w:p>
    <w:p w14:paraId="14EF2438">
      <w:pPr>
        <w:pStyle w:val="37"/>
        <w:spacing w:before="120" w:line="360" w:lineRule="auto"/>
        <w:rPr>
          <w:bCs w:val="0"/>
          <w:color w:val="auto"/>
          <w:sz w:val="24"/>
          <w:szCs w:val="24"/>
        </w:rPr>
      </w:pPr>
      <w:r>
        <w:rPr>
          <w:b/>
          <w:color w:val="auto"/>
          <w:sz w:val="24"/>
          <w:szCs w:val="24"/>
        </w:rPr>
        <w:t>2</w:t>
      </w:r>
      <w:r>
        <w:rPr>
          <w:rFonts w:hint="eastAsia"/>
          <w:b/>
          <w:color w:val="auto"/>
          <w:sz w:val="24"/>
          <w:szCs w:val="24"/>
        </w:rPr>
        <w:t xml:space="preserve">  </w:t>
      </w:r>
      <w:r>
        <w:rPr>
          <w:bCs w:val="0"/>
          <w:color w:val="auto"/>
          <w:sz w:val="24"/>
          <w:szCs w:val="24"/>
        </w:rPr>
        <w:t>电缆外观无损伤</w:t>
      </w:r>
      <w:r>
        <w:rPr>
          <w:rFonts w:hint="eastAsia"/>
          <w:bCs w:val="0"/>
          <w:color w:val="auto"/>
          <w:sz w:val="24"/>
          <w:szCs w:val="24"/>
        </w:rPr>
        <w:t>且</w:t>
      </w:r>
      <w:r>
        <w:rPr>
          <w:bCs w:val="0"/>
          <w:color w:val="auto"/>
          <w:sz w:val="24"/>
          <w:szCs w:val="24"/>
        </w:rPr>
        <w:t>绝缘强度符合要求；</w:t>
      </w:r>
    </w:p>
    <w:p w14:paraId="354D3171">
      <w:pPr>
        <w:pStyle w:val="37"/>
        <w:spacing w:before="120" w:line="360" w:lineRule="auto"/>
        <w:rPr>
          <w:bCs w:val="0"/>
          <w:color w:val="auto"/>
          <w:sz w:val="24"/>
          <w:szCs w:val="24"/>
        </w:rPr>
      </w:pPr>
      <w:r>
        <w:rPr>
          <w:rFonts w:hint="eastAsia"/>
          <w:b/>
          <w:color w:val="auto"/>
          <w:sz w:val="24"/>
          <w:szCs w:val="24"/>
        </w:rPr>
        <w:t xml:space="preserve">3 </w:t>
      </w:r>
      <w:r>
        <w:rPr>
          <w:rFonts w:hint="eastAsia"/>
          <w:bCs w:val="0"/>
          <w:color w:val="auto"/>
          <w:sz w:val="24"/>
          <w:szCs w:val="24"/>
        </w:rPr>
        <w:t xml:space="preserve"> 高压线路维修作业前，</w:t>
      </w:r>
      <w:r>
        <w:rPr>
          <w:bCs w:val="0"/>
          <w:color w:val="auto"/>
          <w:sz w:val="24"/>
          <w:szCs w:val="24"/>
        </w:rPr>
        <w:t>应</w:t>
      </w:r>
      <w:r>
        <w:rPr>
          <w:rFonts w:hint="eastAsia"/>
          <w:bCs w:val="0"/>
          <w:color w:val="auto"/>
          <w:sz w:val="24"/>
          <w:szCs w:val="24"/>
        </w:rPr>
        <w:t>断</w:t>
      </w:r>
      <w:r>
        <w:rPr>
          <w:bCs w:val="0"/>
          <w:color w:val="auto"/>
          <w:sz w:val="24"/>
          <w:szCs w:val="24"/>
        </w:rPr>
        <w:t>电</w:t>
      </w:r>
      <w:r>
        <w:rPr>
          <w:rFonts w:hint="eastAsia"/>
          <w:bCs w:val="0"/>
          <w:color w:val="auto"/>
          <w:sz w:val="24"/>
          <w:szCs w:val="24"/>
        </w:rPr>
        <w:t>、验电、挂地线；</w:t>
      </w:r>
    </w:p>
    <w:p w14:paraId="6D6E7F42">
      <w:pPr>
        <w:pStyle w:val="37"/>
        <w:spacing w:before="120" w:line="360" w:lineRule="auto"/>
        <w:rPr>
          <w:bCs w:val="0"/>
          <w:color w:val="auto"/>
          <w:sz w:val="24"/>
          <w:szCs w:val="24"/>
        </w:rPr>
      </w:pPr>
      <w:r>
        <w:rPr>
          <w:rFonts w:hint="eastAsia"/>
          <w:b/>
          <w:color w:val="auto"/>
          <w:sz w:val="24"/>
          <w:szCs w:val="24"/>
        </w:rPr>
        <w:t xml:space="preserve">4  </w:t>
      </w:r>
      <w:r>
        <w:rPr>
          <w:bCs w:val="0"/>
          <w:color w:val="auto"/>
          <w:sz w:val="24"/>
          <w:szCs w:val="24"/>
        </w:rPr>
        <w:t>合格证、试验报告齐全</w:t>
      </w:r>
      <w:r>
        <w:rPr>
          <w:rFonts w:hint="eastAsia"/>
          <w:bCs w:val="0"/>
          <w:color w:val="auto"/>
          <w:sz w:val="24"/>
          <w:szCs w:val="24"/>
        </w:rPr>
        <w:t>。</w:t>
      </w:r>
    </w:p>
    <w:p w14:paraId="4315048E">
      <w:pPr>
        <w:pStyle w:val="35"/>
        <w:spacing w:before="120" w:line="360" w:lineRule="auto"/>
        <w:rPr>
          <w:bCs w:val="0"/>
          <w:color w:val="auto"/>
          <w:szCs w:val="24"/>
        </w:rPr>
      </w:pPr>
      <w:bookmarkStart w:id="299" w:name="_Toc29162"/>
      <w:bookmarkStart w:id="300" w:name="_Toc18305"/>
      <w:bookmarkStart w:id="301" w:name="OLE_LINK10"/>
      <w:bookmarkStart w:id="302" w:name="_Toc26527"/>
      <w:bookmarkStart w:id="303" w:name="_Toc32503"/>
      <w:r>
        <w:rPr>
          <w:rFonts w:hint="eastAsia"/>
          <w:b/>
          <w:bCs w:val="0"/>
          <w:color w:val="auto"/>
          <w:szCs w:val="24"/>
        </w:rPr>
        <w:t>6.4</w:t>
      </w:r>
      <w:r>
        <w:rPr>
          <w:b/>
          <w:color w:val="auto"/>
          <w:szCs w:val="24"/>
        </w:rPr>
        <w:t>.</w:t>
      </w:r>
      <w:r>
        <w:rPr>
          <w:rFonts w:hint="eastAsia"/>
          <w:b/>
          <w:color w:val="auto"/>
          <w:szCs w:val="24"/>
        </w:rPr>
        <w:t>14</w:t>
      </w:r>
      <w:r>
        <w:rPr>
          <w:bCs w:val="0"/>
          <w:color w:val="auto"/>
          <w:szCs w:val="24"/>
        </w:rPr>
        <w:t xml:space="preserve"> 10kV</w:t>
      </w:r>
      <w:r>
        <w:rPr>
          <w:rFonts w:hint="eastAsia"/>
          <w:bCs w:val="0"/>
          <w:color w:val="auto"/>
          <w:szCs w:val="24"/>
        </w:rPr>
        <w:t>高压电缆</w:t>
      </w:r>
      <w:r>
        <w:rPr>
          <w:bCs w:val="0"/>
          <w:color w:val="auto"/>
          <w:szCs w:val="24"/>
        </w:rPr>
        <w:t>敷设应符合下列规定：</w:t>
      </w:r>
      <w:bookmarkEnd w:id="299"/>
      <w:bookmarkEnd w:id="300"/>
      <w:bookmarkEnd w:id="301"/>
      <w:bookmarkEnd w:id="302"/>
      <w:bookmarkEnd w:id="303"/>
    </w:p>
    <w:p w14:paraId="185CA5E9">
      <w:pPr>
        <w:pStyle w:val="37"/>
        <w:spacing w:before="120" w:line="360" w:lineRule="auto"/>
        <w:rPr>
          <w:b/>
          <w:color w:val="auto"/>
          <w:sz w:val="24"/>
          <w:szCs w:val="24"/>
        </w:rPr>
      </w:pPr>
      <w:r>
        <w:rPr>
          <w:b/>
          <w:color w:val="auto"/>
          <w:sz w:val="24"/>
          <w:szCs w:val="24"/>
        </w:rPr>
        <w:t>1</w:t>
      </w:r>
      <w:r>
        <w:rPr>
          <w:rFonts w:hint="eastAsia"/>
          <w:bCs w:val="0"/>
          <w:color w:val="auto"/>
          <w:sz w:val="24"/>
          <w:szCs w:val="24"/>
        </w:rPr>
        <w:t xml:space="preserve">  </w:t>
      </w:r>
      <w:r>
        <w:rPr>
          <w:bCs w:val="0"/>
          <w:color w:val="auto"/>
          <w:sz w:val="24"/>
          <w:szCs w:val="24"/>
        </w:rPr>
        <w:t>电缆敷设通道应畅通</w:t>
      </w:r>
      <w:r>
        <w:rPr>
          <w:rFonts w:hint="eastAsia"/>
          <w:bCs w:val="0"/>
          <w:color w:val="auto"/>
          <w:sz w:val="24"/>
          <w:szCs w:val="24"/>
        </w:rPr>
        <w:t>，照明、</w:t>
      </w:r>
      <w:r>
        <w:rPr>
          <w:bCs w:val="0"/>
          <w:color w:val="auto"/>
          <w:sz w:val="24"/>
          <w:szCs w:val="24"/>
        </w:rPr>
        <w:t>排水良好；</w:t>
      </w:r>
      <w:r>
        <w:rPr>
          <w:rFonts w:hint="eastAsia"/>
          <w:bCs w:val="0"/>
          <w:color w:val="auto"/>
          <w:sz w:val="24"/>
          <w:szCs w:val="24"/>
        </w:rPr>
        <w:t>隧道相对湿度大于90%时，应采取强制通风措施</w:t>
      </w:r>
      <w:r>
        <w:rPr>
          <w:bCs w:val="0"/>
          <w:color w:val="auto"/>
          <w:sz w:val="24"/>
          <w:szCs w:val="24"/>
        </w:rPr>
        <w:t>；</w:t>
      </w:r>
    </w:p>
    <w:p w14:paraId="3555ABD2">
      <w:pPr>
        <w:pStyle w:val="37"/>
        <w:spacing w:before="120" w:line="360" w:lineRule="auto"/>
        <w:rPr>
          <w:bCs w:val="0"/>
          <w:color w:val="auto"/>
          <w:sz w:val="24"/>
          <w:szCs w:val="24"/>
        </w:rPr>
      </w:pPr>
      <w:r>
        <w:rPr>
          <w:b/>
          <w:color w:val="auto"/>
          <w:sz w:val="24"/>
          <w:szCs w:val="24"/>
        </w:rPr>
        <w:t>2</w:t>
      </w:r>
      <w:r>
        <w:rPr>
          <w:rFonts w:hint="eastAsia"/>
          <w:b/>
          <w:color w:val="auto"/>
          <w:sz w:val="24"/>
          <w:szCs w:val="24"/>
        </w:rPr>
        <w:t xml:space="preserve">  </w:t>
      </w:r>
      <w:r>
        <w:rPr>
          <w:bCs w:val="0"/>
          <w:color w:val="auto"/>
          <w:sz w:val="24"/>
          <w:szCs w:val="24"/>
        </w:rPr>
        <w:t>电缆回路过</w:t>
      </w:r>
      <w:r>
        <w:rPr>
          <w:rFonts w:hint="eastAsia"/>
          <w:bCs w:val="0"/>
          <w:color w:val="auto"/>
          <w:sz w:val="24"/>
          <w:szCs w:val="24"/>
        </w:rPr>
        <w:t>电</w:t>
      </w:r>
      <w:r>
        <w:rPr>
          <w:bCs w:val="0"/>
          <w:color w:val="auto"/>
          <w:sz w:val="24"/>
          <w:szCs w:val="24"/>
        </w:rPr>
        <w:t>流保护、</w:t>
      </w:r>
      <w:r>
        <w:rPr>
          <w:rFonts w:hint="eastAsia"/>
          <w:bCs w:val="0"/>
          <w:color w:val="auto"/>
          <w:sz w:val="24"/>
          <w:szCs w:val="24"/>
        </w:rPr>
        <w:t>过电压保护、</w:t>
      </w:r>
      <w:r>
        <w:rPr>
          <w:bCs w:val="0"/>
          <w:color w:val="auto"/>
          <w:sz w:val="24"/>
          <w:szCs w:val="24"/>
        </w:rPr>
        <w:t>零序保护等</w:t>
      </w:r>
      <w:r>
        <w:rPr>
          <w:rFonts w:hint="eastAsia"/>
          <w:bCs w:val="0"/>
          <w:color w:val="auto"/>
          <w:sz w:val="24"/>
          <w:szCs w:val="24"/>
        </w:rPr>
        <w:t>保护</w:t>
      </w:r>
      <w:r>
        <w:rPr>
          <w:bCs w:val="0"/>
          <w:color w:val="auto"/>
          <w:sz w:val="24"/>
          <w:szCs w:val="24"/>
        </w:rPr>
        <w:t>装置应齐全有效；</w:t>
      </w:r>
    </w:p>
    <w:p w14:paraId="32AD5867">
      <w:pPr>
        <w:pStyle w:val="37"/>
        <w:spacing w:before="120" w:line="360" w:lineRule="auto"/>
        <w:rPr>
          <w:bCs w:val="0"/>
          <w:color w:val="auto"/>
          <w:sz w:val="24"/>
          <w:szCs w:val="24"/>
        </w:rPr>
      </w:pPr>
      <w:r>
        <w:rPr>
          <w:b/>
          <w:color w:val="auto"/>
          <w:sz w:val="24"/>
          <w:szCs w:val="24"/>
        </w:rPr>
        <w:t>3</w:t>
      </w:r>
      <w:r>
        <w:rPr>
          <w:rFonts w:hint="eastAsia"/>
          <w:b/>
          <w:color w:val="auto"/>
          <w:sz w:val="24"/>
          <w:szCs w:val="24"/>
        </w:rPr>
        <w:t xml:space="preserve">  </w:t>
      </w:r>
      <w:r>
        <w:rPr>
          <w:bCs w:val="0"/>
          <w:color w:val="auto"/>
          <w:sz w:val="24"/>
          <w:szCs w:val="24"/>
        </w:rPr>
        <w:t>自开闭所至竖井、隧道口的高压电缆应穿钢管或电缆桥架敷设；</w:t>
      </w:r>
    </w:p>
    <w:p w14:paraId="3F253B57">
      <w:pPr>
        <w:pStyle w:val="37"/>
        <w:spacing w:before="120" w:line="360" w:lineRule="auto"/>
        <w:rPr>
          <w:bCs w:val="0"/>
          <w:color w:val="auto"/>
          <w:sz w:val="24"/>
          <w:szCs w:val="24"/>
        </w:rPr>
      </w:pPr>
      <w:r>
        <w:rPr>
          <w:b/>
          <w:color w:val="auto"/>
          <w:sz w:val="24"/>
          <w:szCs w:val="24"/>
        </w:rPr>
        <w:t>4</w:t>
      </w:r>
      <w:r>
        <w:rPr>
          <w:rFonts w:hint="eastAsia"/>
          <w:b/>
          <w:color w:val="auto"/>
          <w:sz w:val="24"/>
          <w:szCs w:val="24"/>
        </w:rPr>
        <w:t xml:space="preserve"> </w:t>
      </w:r>
      <w:r>
        <w:rPr>
          <w:bCs w:val="0"/>
          <w:color w:val="auto"/>
          <w:sz w:val="24"/>
          <w:szCs w:val="24"/>
        </w:rPr>
        <w:t xml:space="preserve"> 隧道内高压电缆应敷设在无施工障碍的内壁一侧，采用电缆支架敷设的距地高度不低于2.5m；若采用挂钩悬挂敷设的电缆应留有适当裕量，其最大弧垂距地不应小于2.5m；</w:t>
      </w:r>
    </w:p>
    <w:p w14:paraId="12623CDE">
      <w:pPr>
        <w:pStyle w:val="37"/>
        <w:spacing w:before="120" w:line="360" w:lineRule="auto"/>
        <w:rPr>
          <w:bCs w:val="0"/>
          <w:color w:val="auto"/>
          <w:sz w:val="24"/>
          <w:szCs w:val="24"/>
        </w:rPr>
      </w:pPr>
      <w:r>
        <w:rPr>
          <w:rFonts w:hint="eastAsia"/>
          <w:b/>
          <w:color w:val="auto"/>
          <w:sz w:val="24"/>
          <w:szCs w:val="24"/>
        </w:rPr>
        <w:t xml:space="preserve">5  </w:t>
      </w:r>
      <w:r>
        <w:rPr>
          <w:rFonts w:hint="eastAsia"/>
          <w:bCs w:val="0"/>
          <w:color w:val="auto"/>
          <w:sz w:val="24"/>
          <w:szCs w:val="24"/>
        </w:rPr>
        <w:t>隧道工程竖井电缆敷设应每隔10m设置线缆固定点，固定装置应采取绝缘措施；</w:t>
      </w:r>
    </w:p>
    <w:p w14:paraId="5DC5D655">
      <w:pPr>
        <w:pStyle w:val="37"/>
        <w:spacing w:before="120" w:line="360" w:lineRule="auto"/>
        <w:rPr>
          <w:bCs w:val="0"/>
          <w:color w:val="auto"/>
          <w:sz w:val="24"/>
          <w:szCs w:val="24"/>
        </w:rPr>
      </w:pPr>
      <w:r>
        <w:rPr>
          <w:rFonts w:hint="eastAsia"/>
          <w:b/>
          <w:color w:val="auto"/>
          <w:sz w:val="24"/>
          <w:szCs w:val="24"/>
        </w:rPr>
        <w:t>6</w:t>
      </w:r>
      <w:r>
        <w:rPr>
          <w:bCs w:val="0"/>
          <w:color w:val="auto"/>
          <w:sz w:val="24"/>
          <w:szCs w:val="24"/>
        </w:rPr>
        <w:t xml:space="preserve"> </w:t>
      </w:r>
      <w:r>
        <w:rPr>
          <w:rFonts w:hint="eastAsia"/>
          <w:bCs w:val="0"/>
          <w:color w:val="auto"/>
          <w:sz w:val="24"/>
          <w:szCs w:val="24"/>
        </w:rPr>
        <w:t xml:space="preserve"> </w:t>
      </w:r>
      <w:r>
        <w:rPr>
          <w:bCs w:val="0"/>
          <w:color w:val="auto"/>
          <w:sz w:val="24"/>
          <w:szCs w:val="24"/>
        </w:rPr>
        <w:t>隧道掘进过程中移动设备电缆随机展放悬挂时，操作人员应穿高压绝缘胶靴、戴高压绝缘手套</w:t>
      </w:r>
      <w:r>
        <w:rPr>
          <w:rFonts w:hint="eastAsia"/>
          <w:bCs w:val="0"/>
          <w:color w:val="auto"/>
          <w:sz w:val="24"/>
          <w:szCs w:val="24"/>
        </w:rPr>
        <w:t>。作业现场应铺设</w:t>
      </w:r>
      <w:r>
        <w:rPr>
          <w:bCs w:val="0"/>
          <w:color w:val="auto"/>
          <w:sz w:val="24"/>
          <w:szCs w:val="24"/>
        </w:rPr>
        <w:t>高压绝缘板垫，在监护人员的监护下进行操作；</w:t>
      </w:r>
    </w:p>
    <w:p w14:paraId="09BC51E0">
      <w:pPr>
        <w:pStyle w:val="37"/>
        <w:spacing w:before="120" w:line="360" w:lineRule="auto"/>
        <w:rPr>
          <w:b/>
          <w:color w:val="auto"/>
          <w:sz w:val="24"/>
          <w:szCs w:val="24"/>
        </w:rPr>
      </w:pPr>
      <w:r>
        <w:rPr>
          <w:rFonts w:hint="eastAsia"/>
          <w:b/>
          <w:color w:val="auto"/>
          <w:sz w:val="24"/>
          <w:szCs w:val="24"/>
        </w:rPr>
        <w:t>7</w:t>
      </w:r>
      <w:r>
        <w:rPr>
          <w:rFonts w:hint="eastAsia"/>
          <w:bCs w:val="0"/>
          <w:color w:val="auto"/>
          <w:sz w:val="24"/>
          <w:szCs w:val="24"/>
        </w:rPr>
        <w:t xml:space="preserve">  </w:t>
      </w:r>
      <w:r>
        <w:rPr>
          <w:bCs w:val="0"/>
          <w:color w:val="auto"/>
          <w:sz w:val="24"/>
          <w:szCs w:val="24"/>
        </w:rPr>
        <w:t>高压电缆终端头长度应留有适当裕量；</w:t>
      </w:r>
    </w:p>
    <w:p w14:paraId="189DAD6F">
      <w:pPr>
        <w:pStyle w:val="37"/>
        <w:spacing w:before="120" w:line="360" w:lineRule="auto"/>
        <w:rPr>
          <w:bCs w:val="0"/>
          <w:color w:val="auto"/>
          <w:sz w:val="24"/>
          <w:szCs w:val="24"/>
        </w:rPr>
      </w:pPr>
      <w:r>
        <w:rPr>
          <w:rFonts w:hint="eastAsia"/>
          <w:b/>
          <w:color w:val="auto"/>
          <w:sz w:val="24"/>
          <w:szCs w:val="24"/>
        </w:rPr>
        <w:t xml:space="preserve">8  </w:t>
      </w:r>
      <w:r>
        <w:rPr>
          <w:bCs w:val="0"/>
          <w:color w:val="auto"/>
          <w:sz w:val="24"/>
          <w:szCs w:val="24"/>
        </w:rPr>
        <w:t>支</w:t>
      </w:r>
      <w:r>
        <w:rPr>
          <w:rFonts w:hint="eastAsia"/>
          <w:bCs w:val="0"/>
          <w:color w:val="auto"/>
          <w:sz w:val="24"/>
          <w:szCs w:val="24"/>
        </w:rPr>
        <w:t>吊</w:t>
      </w:r>
      <w:r>
        <w:rPr>
          <w:bCs w:val="0"/>
          <w:color w:val="auto"/>
          <w:sz w:val="24"/>
          <w:szCs w:val="24"/>
        </w:rPr>
        <w:t>架承载</w:t>
      </w:r>
      <w:r>
        <w:rPr>
          <w:rFonts w:hint="eastAsia"/>
          <w:bCs w:val="0"/>
          <w:color w:val="auto"/>
          <w:sz w:val="24"/>
          <w:szCs w:val="24"/>
        </w:rPr>
        <w:t>能力</w:t>
      </w:r>
      <w:r>
        <w:rPr>
          <w:bCs w:val="0"/>
          <w:color w:val="auto"/>
          <w:sz w:val="24"/>
          <w:szCs w:val="24"/>
        </w:rPr>
        <w:t>应满足电缆重量</w:t>
      </w:r>
      <w:r>
        <w:rPr>
          <w:rFonts w:hint="eastAsia"/>
          <w:bCs w:val="0"/>
          <w:color w:val="auto"/>
          <w:sz w:val="24"/>
          <w:szCs w:val="24"/>
        </w:rPr>
        <w:t>的要求</w:t>
      </w:r>
      <w:r>
        <w:rPr>
          <w:bCs w:val="0"/>
          <w:color w:val="auto"/>
          <w:sz w:val="24"/>
          <w:szCs w:val="24"/>
        </w:rPr>
        <w:t>；</w:t>
      </w:r>
    </w:p>
    <w:p w14:paraId="7413317F">
      <w:pPr>
        <w:pStyle w:val="37"/>
        <w:spacing w:before="120" w:line="360" w:lineRule="auto"/>
        <w:rPr>
          <w:bCs w:val="0"/>
          <w:color w:val="auto"/>
          <w:sz w:val="24"/>
          <w:szCs w:val="24"/>
        </w:rPr>
      </w:pPr>
      <w:r>
        <w:rPr>
          <w:rFonts w:hint="eastAsia"/>
          <w:b/>
          <w:color w:val="auto"/>
          <w:sz w:val="24"/>
          <w:szCs w:val="24"/>
        </w:rPr>
        <w:t>9</w:t>
      </w:r>
      <w:r>
        <w:rPr>
          <w:rFonts w:hint="eastAsia"/>
          <w:bCs w:val="0"/>
          <w:color w:val="auto"/>
          <w:sz w:val="24"/>
          <w:szCs w:val="24"/>
        </w:rPr>
        <w:t xml:space="preserve">  高压电缆敷设前、送电前应分别进行绝缘强度检测，合格后方可敷设或送电；</w:t>
      </w:r>
    </w:p>
    <w:p w14:paraId="1F5EBB7E">
      <w:pPr>
        <w:pStyle w:val="37"/>
        <w:spacing w:before="120" w:line="360" w:lineRule="auto"/>
        <w:rPr>
          <w:bCs w:val="0"/>
          <w:color w:val="auto"/>
          <w:sz w:val="24"/>
          <w:szCs w:val="24"/>
        </w:rPr>
      </w:pPr>
      <w:r>
        <w:rPr>
          <w:rFonts w:hint="eastAsia"/>
          <w:b/>
          <w:color w:val="auto"/>
          <w:sz w:val="24"/>
          <w:szCs w:val="24"/>
        </w:rPr>
        <w:t xml:space="preserve">10  </w:t>
      </w:r>
      <w:r>
        <w:rPr>
          <w:rFonts w:hint="eastAsia"/>
          <w:bCs w:val="0"/>
          <w:color w:val="auto"/>
          <w:sz w:val="24"/>
          <w:szCs w:val="24"/>
        </w:rPr>
        <w:t>高压</w:t>
      </w:r>
      <w:r>
        <w:rPr>
          <w:bCs w:val="0"/>
          <w:color w:val="auto"/>
          <w:sz w:val="24"/>
          <w:szCs w:val="24"/>
        </w:rPr>
        <w:t>电缆线路宜安装安全监</w:t>
      </w:r>
      <w:r>
        <w:rPr>
          <w:rFonts w:hint="eastAsia"/>
          <w:bCs w:val="0"/>
          <w:color w:val="auto"/>
          <w:sz w:val="24"/>
          <w:szCs w:val="24"/>
        </w:rPr>
        <w:t>控</w:t>
      </w:r>
      <w:r>
        <w:rPr>
          <w:bCs w:val="0"/>
          <w:color w:val="auto"/>
          <w:sz w:val="24"/>
          <w:szCs w:val="24"/>
        </w:rPr>
        <w:t>系统。</w:t>
      </w:r>
    </w:p>
    <w:p w14:paraId="104B890C">
      <w:pPr>
        <w:pStyle w:val="35"/>
        <w:spacing w:before="120" w:line="360" w:lineRule="auto"/>
        <w:rPr>
          <w:bCs w:val="0"/>
          <w:color w:val="auto"/>
          <w:szCs w:val="24"/>
        </w:rPr>
      </w:pPr>
      <w:bookmarkStart w:id="304" w:name="OLE_LINK14"/>
      <w:bookmarkStart w:id="305" w:name="_Hlk225431579"/>
      <w:r>
        <w:rPr>
          <w:rFonts w:hint="eastAsia"/>
          <w:b/>
          <w:bCs w:val="0"/>
          <w:color w:val="auto"/>
          <w:szCs w:val="24"/>
        </w:rPr>
        <w:t>6.4</w:t>
      </w:r>
      <w:r>
        <w:rPr>
          <w:b/>
          <w:color w:val="auto"/>
          <w:szCs w:val="24"/>
        </w:rPr>
        <w:t>.</w:t>
      </w:r>
      <w:bookmarkEnd w:id="304"/>
      <w:r>
        <w:rPr>
          <w:rFonts w:hint="eastAsia"/>
          <w:b/>
          <w:color w:val="auto"/>
          <w:szCs w:val="24"/>
        </w:rPr>
        <w:t>15</w:t>
      </w:r>
      <w:bookmarkEnd w:id="305"/>
      <w:r>
        <w:rPr>
          <w:rFonts w:hint="eastAsia"/>
          <w:b/>
          <w:color w:val="auto"/>
          <w:szCs w:val="24"/>
        </w:rPr>
        <w:t xml:space="preserve"> </w:t>
      </w:r>
      <w:r>
        <w:rPr>
          <w:bCs w:val="0"/>
          <w:color w:val="auto"/>
          <w:szCs w:val="24"/>
        </w:rPr>
        <w:t>电缆支架（臂式支架）、吊架、绝缘挂钩或绝缘吊绳最大跨距应符合表</w:t>
      </w:r>
      <w:r>
        <w:rPr>
          <w:rFonts w:hint="eastAsia"/>
          <w:b/>
          <w:bCs w:val="0"/>
          <w:color w:val="auto"/>
          <w:szCs w:val="24"/>
        </w:rPr>
        <w:t>6.4</w:t>
      </w:r>
      <w:r>
        <w:rPr>
          <w:b/>
          <w:color w:val="auto"/>
          <w:szCs w:val="24"/>
        </w:rPr>
        <w:t>.</w:t>
      </w:r>
      <w:r>
        <w:rPr>
          <w:rFonts w:hint="eastAsia"/>
          <w:b/>
          <w:color w:val="auto"/>
          <w:szCs w:val="24"/>
        </w:rPr>
        <w:t>15</w:t>
      </w:r>
      <w:r>
        <w:rPr>
          <w:bCs w:val="0"/>
          <w:color w:val="auto"/>
          <w:szCs w:val="24"/>
        </w:rPr>
        <w:t>的规定：</w:t>
      </w:r>
    </w:p>
    <w:p w14:paraId="3CD554A5">
      <w:pPr>
        <w:pStyle w:val="40"/>
        <w:spacing w:before="120" w:line="360" w:lineRule="auto"/>
        <w:rPr>
          <w:bCs w:val="0"/>
          <w:color w:val="auto"/>
          <w:szCs w:val="21"/>
        </w:rPr>
      </w:pPr>
      <w:r>
        <w:rPr>
          <w:color w:val="auto"/>
          <w:szCs w:val="21"/>
        </w:rPr>
        <w:t>表</w:t>
      </w:r>
      <w:r>
        <w:rPr>
          <w:rFonts w:hint="eastAsia"/>
          <w:b/>
          <w:bCs w:val="0"/>
          <w:color w:val="auto"/>
          <w:szCs w:val="21"/>
        </w:rPr>
        <w:t>6.4</w:t>
      </w:r>
      <w:r>
        <w:rPr>
          <w:b/>
          <w:color w:val="auto"/>
          <w:szCs w:val="21"/>
        </w:rPr>
        <w:t>.</w:t>
      </w:r>
      <w:r>
        <w:rPr>
          <w:rFonts w:hint="eastAsia"/>
          <w:b/>
          <w:color w:val="auto"/>
          <w:szCs w:val="21"/>
        </w:rPr>
        <w:t>15</w:t>
      </w:r>
      <w:r>
        <w:rPr>
          <w:rFonts w:hint="eastAsia"/>
          <w:color w:val="auto"/>
          <w:szCs w:val="21"/>
        </w:rPr>
        <w:t xml:space="preserve"> </w:t>
      </w:r>
      <w:r>
        <w:rPr>
          <w:color w:val="auto"/>
          <w:szCs w:val="21"/>
        </w:rPr>
        <w:t>电缆支架（臂式支架）、吊架、绝缘挂钩或绝缘吊绳最大跨距（mm）</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6"/>
        <w:gridCol w:w="3306"/>
        <w:gridCol w:w="1718"/>
        <w:gridCol w:w="1858"/>
      </w:tblGrid>
      <w:tr w14:paraId="2066D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5345" w:type="dxa"/>
            <w:gridSpan w:val="2"/>
            <w:vMerge w:val="restart"/>
            <w:vAlign w:val="center"/>
          </w:tcPr>
          <w:p w14:paraId="5F1D1C20">
            <w:pPr>
              <w:spacing w:line="360" w:lineRule="auto"/>
              <w:jc w:val="center"/>
              <w:rPr>
                <w:szCs w:val="21"/>
              </w:rPr>
            </w:pPr>
            <w:r>
              <w:rPr>
                <w:szCs w:val="21"/>
              </w:rPr>
              <w:t>电缆种类</w:t>
            </w:r>
          </w:p>
        </w:tc>
        <w:tc>
          <w:tcPr>
            <w:tcW w:w="3659" w:type="dxa"/>
            <w:gridSpan w:val="2"/>
            <w:vAlign w:val="center"/>
          </w:tcPr>
          <w:p w14:paraId="7ACCDDD3">
            <w:pPr>
              <w:spacing w:line="360" w:lineRule="auto"/>
              <w:jc w:val="center"/>
              <w:rPr>
                <w:szCs w:val="21"/>
              </w:rPr>
            </w:pPr>
            <w:r>
              <w:rPr>
                <w:szCs w:val="21"/>
              </w:rPr>
              <w:t>敷设方式</w:t>
            </w:r>
          </w:p>
        </w:tc>
      </w:tr>
      <w:tr w14:paraId="39E4B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trPr>
        <w:tc>
          <w:tcPr>
            <w:tcW w:w="5345" w:type="dxa"/>
            <w:gridSpan w:val="2"/>
            <w:vMerge w:val="continue"/>
            <w:vAlign w:val="center"/>
          </w:tcPr>
          <w:p w14:paraId="25751E58">
            <w:pPr>
              <w:spacing w:line="360" w:lineRule="auto"/>
              <w:jc w:val="center"/>
              <w:rPr>
                <w:szCs w:val="21"/>
              </w:rPr>
            </w:pPr>
          </w:p>
        </w:tc>
        <w:tc>
          <w:tcPr>
            <w:tcW w:w="1759" w:type="dxa"/>
            <w:vAlign w:val="center"/>
          </w:tcPr>
          <w:p w14:paraId="1919DC41">
            <w:pPr>
              <w:spacing w:line="360" w:lineRule="auto"/>
              <w:jc w:val="center"/>
              <w:rPr>
                <w:szCs w:val="21"/>
              </w:rPr>
            </w:pPr>
            <w:r>
              <w:rPr>
                <w:szCs w:val="21"/>
              </w:rPr>
              <w:t>水平</w:t>
            </w:r>
          </w:p>
        </w:tc>
        <w:tc>
          <w:tcPr>
            <w:tcW w:w="1900" w:type="dxa"/>
            <w:vAlign w:val="center"/>
          </w:tcPr>
          <w:p w14:paraId="10236BA1">
            <w:pPr>
              <w:spacing w:line="360" w:lineRule="auto"/>
              <w:jc w:val="center"/>
              <w:rPr>
                <w:szCs w:val="21"/>
              </w:rPr>
            </w:pPr>
            <w:r>
              <w:rPr>
                <w:szCs w:val="21"/>
              </w:rPr>
              <w:t>垂直</w:t>
            </w:r>
          </w:p>
        </w:tc>
      </w:tr>
      <w:tr w14:paraId="71966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1948" w:type="dxa"/>
            <w:vMerge w:val="restart"/>
            <w:vAlign w:val="center"/>
          </w:tcPr>
          <w:p w14:paraId="15D7DDB9">
            <w:pPr>
              <w:spacing w:line="360" w:lineRule="auto"/>
              <w:jc w:val="center"/>
              <w:rPr>
                <w:szCs w:val="21"/>
              </w:rPr>
            </w:pPr>
            <w:r>
              <w:rPr>
                <w:szCs w:val="21"/>
              </w:rPr>
              <w:t>电力电缆</w:t>
            </w:r>
          </w:p>
        </w:tc>
        <w:tc>
          <w:tcPr>
            <w:tcW w:w="3397" w:type="dxa"/>
            <w:vAlign w:val="center"/>
          </w:tcPr>
          <w:p w14:paraId="1561CC64">
            <w:pPr>
              <w:spacing w:line="360" w:lineRule="auto"/>
              <w:jc w:val="center"/>
              <w:rPr>
                <w:szCs w:val="21"/>
              </w:rPr>
            </w:pPr>
            <w:r>
              <w:rPr>
                <w:szCs w:val="21"/>
              </w:rPr>
              <w:t>全塑型</w:t>
            </w:r>
          </w:p>
        </w:tc>
        <w:tc>
          <w:tcPr>
            <w:tcW w:w="1759" w:type="dxa"/>
            <w:vAlign w:val="center"/>
          </w:tcPr>
          <w:p w14:paraId="63EAC50F">
            <w:pPr>
              <w:spacing w:line="360" w:lineRule="auto"/>
              <w:jc w:val="center"/>
              <w:rPr>
                <w:szCs w:val="21"/>
              </w:rPr>
            </w:pPr>
            <w:r>
              <w:rPr>
                <w:szCs w:val="21"/>
              </w:rPr>
              <w:t>400</w:t>
            </w:r>
          </w:p>
        </w:tc>
        <w:tc>
          <w:tcPr>
            <w:tcW w:w="1900" w:type="dxa"/>
            <w:vAlign w:val="center"/>
          </w:tcPr>
          <w:p w14:paraId="4096BB26">
            <w:pPr>
              <w:spacing w:line="360" w:lineRule="auto"/>
              <w:jc w:val="center"/>
              <w:rPr>
                <w:szCs w:val="21"/>
              </w:rPr>
            </w:pPr>
            <w:r>
              <w:rPr>
                <w:szCs w:val="21"/>
              </w:rPr>
              <w:t>1000</w:t>
            </w:r>
          </w:p>
        </w:tc>
      </w:tr>
      <w:tr w14:paraId="092D4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1948" w:type="dxa"/>
            <w:vMerge w:val="continue"/>
            <w:vAlign w:val="center"/>
          </w:tcPr>
          <w:p w14:paraId="32F1F460">
            <w:pPr>
              <w:spacing w:line="360" w:lineRule="auto"/>
              <w:jc w:val="center"/>
              <w:rPr>
                <w:szCs w:val="21"/>
              </w:rPr>
            </w:pPr>
          </w:p>
        </w:tc>
        <w:tc>
          <w:tcPr>
            <w:tcW w:w="3397" w:type="dxa"/>
            <w:vAlign w:val="center"/>
          </w:tcPr>
          <w:p w14:paraId="0738DCD2">
            <w:pPr>
              <w:spacing w:line="360" w:lineRule="auto"/>
              <w:jc w:val="center"/>
              <w:rPr>
                <w:szCs w:val="21"/>
              </w:rPr>
            </w:pPr>
            <w:r>
              <w:rPr>
                <w:szCs w:val="21"/>
              </w:rPr>
              <w:t>10kV</w:t>
            </w:r>
            <w:r>
              <w:rPr>
                <w:rFonts w:hint="eastAsia"/>
                <w:szCs w:val="21"/>
              </w:rPr>
              <w:t>及</w:t>
            </w:r>
            <w:r>
              <w:rPr>
                <w:szCs w:val="21"/>
              </w:rPr>
              <w:t>以下电缆</w:t>
            </w:r>
          </w:p>
        </w:tc>
        <w:tc>
          <w:tcPr>
            <w:tcW w:w="1759" w:type="dxa"/>
            <w:vAlign w:val="center"/>
          </w:tcPr>
          <w:p w14:paraId="2B7C24E1">
            <w:pPr>
              <w:spacing w:line="360" w:lineRule="auto"/>
              <w:jc w:val="center"/>
              <w:rPr>
                <w:szCs w:val="21"/>
              </w:rPr>
            </w:pPr>
            <w:r>
              <w:rPr>
                <w:szCs w:val="21"/>
              </w:rPr>
              <w:t>800</w:t>
            </w:r>
          </w:p>
        </w:tc>
        <w:tc>
          <w:tcPr>
            <w:tcW w:w="1900" w:type="dxa"/>
            <w:vAlign w:val="center"/>
          </w:tcPr>
          <w:p w14:paraId="549F953E">
            <w:pPr>
              <w:spacing w:line="360" w:lineRule="auto"/>
              <w:jc w:val="center"/>
              <w:rPr>
                <w:szCs w:val="21"/>
              </w:rPr>
            </w:pPr>
            <w:r>
              <w:rPr>
                <w:szCs w:val="21"/>
              </w:rPr>
              <w:t>1500</w:t>
            </w:r>
          </w:p>
        </w:tc>
      </w:tr>
    </w:tbl>
    <w:p w14:paraId="29E1A5EA">
      <w:pPr>
        <w:pStyle w:val="35"/>
        <w:spacing w:before="120" w:line="360" w:lineRule="auto"/>
        <w:rPr>
          <w:bCs w:val="0"/>
          <w:color w:val="auto"/>
          <w:szCs w:val="24"/>
        </w:rPr>
      </w:pPr>
      <w:bookmarkStart w:id="306" w:name="_Hlk187531477"/>
      <w:r>
        <w:rPr>
          <w:rFonts w:hint="eastAsia"/>
          <w:b/>
          <w:bCs w:val="0"/>
          <w:color w:val="auto"/>
          <w:szCs w:val="24"/>
        </w:rPr>
        <w:t>6.4</w:t>
      </w:r>
      <w:r>
        <w:rPr>
          <w:b/>
          <w:color w:val="auto"/>
          <w:szCs w:val="24"/>
        </w:rPr>
        <w:t>.</w:t>
      </w:r>
      <w:bookmarkEnd w:id="306"/>
      <w:r>
        <w:rPr>
          <w:rFonts w:hint="eastAsia"/>
          <w:b/>
          <w:color w:val="auto"/>
          <w:szCs w:val="24"/>
        </w:rPr>
        <w:t xml:space="preserve">16  </w:t>
      </w:r>
      <w:r>
        <w:rPr>
          <w:bCs w:val="0"/>
          <w:color w:val="auto"/>
          <w:szCs w:val="24"/>
        </w:rPr>
        <w:t>电缆敷设允许</w:t>
      </w:r>
      <w:r>
        <w:rPr>
          <w:rFonts w:hint="eastAsia"/>
          <w:bCs w:val="0"/>
          <w:color w:val="auto"/>
          <w:szCs w:val="24"/>
        </w:rPr>
        <w:t>的</w:t>
      </w:r>
      <w:r>
        <w:rPr>
          <w:bCs w:val="0"/>
          <w:color w:val="auto"/>
          <w:szCs w:val="24"/>
        </w:rPr>
        <w:t>最小</w:t>
      </w:r>
      <w:r>
        <w:rPr>
          <w:rFonts w:hint="eastAsia"/>
          <w:bCs w:val="0"/>
          <w:color w:val="auto"/>
          <w:szCs w:val="24"/>
        </w:rPr>
        <w:t>弯曲</w:t>
      </w:r>
      <w:r>
        <w:rPr>
          <w:bCs w:val="0"/>
          <w:color w:val="auto"/>
          <w:szCs w:val="24"/>
        </w:rPr>
        <w:t>半径应根据不同绝缘材质及制造标准确定，</w:t>
      </w:r>
      <w:r>
        <w:rPr>
          <w:rFonts w:hint="eastAsia"/>
          <w:color w:val="auto"/>
          <w:szCs w:val="24"/>
        </w:rPr>
        <w:t>且</w:t>
      </w:r>
      <w:r>
        <w:rPr>
          <w:bCs w:val="0"/>
          <w:color w:val="auto"/>
          <w:szCs w:val="24"/>
        </w:rPr>
        <w:t>电缆最小弯曲半径应符合表</w:t>
      </w:r>
      <w:r>
        <w:rPr>
          <w:rFonts w:hint="eastAsia"/>
          <w:b/>
          <w:bCs w:val="0"/>
          <w:color w:val="auto"/>
          <w:szCs w:val="24"/>
        </w:rPr>
        <w:t>6.4</w:t>
      </w:r>
      <w:r>
        <w:rPr>
          <w:b/>
          <w:color w:val="auto"/>
          <w:szCs w:val="24"/>
        </w:rPr>
        <w:t>.</w:t>
      </w:r>
      <w:r>
        <w:rPr>
          <w:rFonts w:hint="eastAsia"/>
          <w:b/>
          <w:color w:val="auto"/>
          <w:szCs w:val="24"/>
        </w:rPr>
        <w:t>16</w:t>
      </w:r>
      <w:r>
        <w:rPr>
          <w:bCs w:val="0"/>
          <w:color w:val="auto"/>
          <w:szCs w:val="24"/>
        </w:rPr>
        <w:t>的规定。</w:t>
      </w:r>
    </w:p>
    <w:p w14:paraId="50A6CB49">
      <w:pPr>
        <w:pStyle w:val="40"/>
        <w:spacing w:before="120" w:line="360" w:lineRule="auto"/>
        <w:rPr>
          <w:color w:val="auto"/>
          <w:sz w:val="24"/>
          <w:szCs w:val="24"/>
        </w:rPr>
      </w:pPr>
    </w:p>
    <w:p w14:paraId="29D1A216">
      <w:pPr>
        <w:pStyle w:val="40"/>
        <w:spacing w:before="120" w:line="360" w:lineRule="auto"/>
        <w:rPr>
          <w:color w:val="auto"/>
          <w:szCs w:val="21"/>
        </w:rPr>
      </w:pPr>
      <w:r>
        <w:rPr>
          <w:b/>
          <w:bCs w:val="0"/>
          <w:color w:val="auto"/>
          <w:szCs w:val="21"/>
        </w:rPr>
        <w:t>表</w:t>
      </w:r>
      <w:r>
        <w:rPr>
          <w:rFonts w:hint="eastAsia"/>
          <w:b/>
          <w:bCs w:val="0"/>
          <w:color w:val="auto"/>
          <w:szCs w:val="21"/>
        </w:rPr>
        <w:t>6.4</w:t>
      </w:r>
      <w:r>
        <w:rPr>
          <w:b/>
          <w:bCs w:val="0"/>
          <w:color w:val="auto"/>
          <w:szCs w:val="21"/>
        </w:rPr>
        <w:t>.</w:t>
      </w:r>
      <w:r>
        <w:rPr>
          <w:rFonts w:hint="eastAsia"/>
          <w:b/>
          <w:bCs w:val="0"/>
          <w:color w:val="auto"/>
          <w:szCs w:val="21"/>
        </w:rPr>
        <w:t>16</w:t>
      </w:r>
      <w:r>
        <w:rPr>
          <w:b/>
          <w:bCs w:val="0"/>
          <w:color w:val="auto"/>
          <w:szCs w:val="21"/>
        </w:rPr>
        <w:t>电缆最小弯曲半径</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1"/>
        <w:gridCol w:w="3012"/>
        <w:gridCol w:w="1722"/>
        <w:gridCol w:w="1853"/>
      </w:tblGrid>
      <w:tr w14:paraId="177F1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7" w:type="dxa"/>
            <w:gridSpan w:val="2"/>
            <w:vAlign w:val="center"/>
          </w:tcPr>
          <w:p w14:paraId="6A43F56A">
            <w:pPr>
              <w:spacing w:line="360" w:lineRule="auto"/>
              <w:jc w:val="center"/>
              <w:rPr>
                <w:szCs w:val="21"/>
              </w:rPr>
            </w:pPr>
            <w:r>
              <w:rPr>
                <w:szCs w:val="21"/>
              </w:rPr>
              <w:t>电缆型式</w:t>
            </w:r>
          </w:p>
        </w:tc>
        <w:tc>
          <w:tcPr>
            <w:tcW w:w="1842" w:type="dxa"/>
            <w:vAlign w:val="center"/>
          </w:tcPr>
          <w:p w14:paraId="4C2AD207">
            <w:pPr>
              <w:spacing w:line="360" w:lineRule="auto"/>
              <w:jc w:val="center"/>
              <w:rPr>
                <w:szCs w:val="21"/>
              </w:rPr>
            </w:pPr>
            <w:r>
              <w:rPr>
                <w:szCs w:val="21"/>
              </w:rPr>
              <w:t>多芯</w:t>
            </w:r>
          </w:p>
        </w:tc>
        <w:tc>
          <w:tcPr>
            <w:tcW w:w="1985" w:type="dxa"/>
            <w:vAlign w:val="center"/>
          </w:tcPr>
          <w:p w14:paraId="21C82D50">
            <w:pPr>
              <w:spacing w:line="360" w:lineRule="auto"/>
              <w:jc w:val="center"/>
              <w:rPr>
                <w:szCs w:val="21"/>
              </w:rPr>
            </w:pPr>
            <w:r>
              <w:rPr>
                <w:szCs w:val="21"/>
              </w:rPr>
              <w:t>单芯</w:t>
            </w:r>
          </w:p>
        </w:tc>
      </w:tr>
      <w:tr w14:paraId="25FE6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restart"/>
            <w:vAlign w:val="center"/>
          </w:tcPr>
          <w:p w14:paraId="0191EE4E">
            <w:pPr>
              <w:spacing w:line="360" w:lineRule="auto"/>
              <w:jc w:val="center"/>
              <w:rPr>
                <w:szCs w:val="21"/>
              </w:rPr>
            </w:pPr>
            <w:r>
              <w:rPr>
                <w:szCs w:val="21"/>
              </w:rPr>
              <w:t>塑料绝缘电力电缆</w:t>
            </w:r>
          </w:p>
        </w:tc>
        <w:tc>
          <w:tcPr>
            <w:tcW w:w="3261" w:type="dxa"/>
            <w:vAlign w:val="center"/>
          </w:tcPr>
          <w:p w14:paraId="566FE533">
            <w:pPr>
              <w:spacing w:line="360" w:lineRule="auto"/>
              <w:jc w:val="center"/>
              <w:rPr>
                <w:szCs w:val="21"/>
              </w:rPr>
            </w:pPr>
            <w:r>
              <w:rPr>
                <w:szCs w:val="21"/>
              </w:rPr>
              <w:t>无铠装</w:t>
            </w:r>
          </w:p>
        </w:tc>
        <w:tc>
          <w:tcPr>
            <w:tcW w:w="1842" w:type="dxa"/>
            <w:vAlign w:val="center"/>
          </w:tcPr>
          <w:p w14:paraId="1DB8BE95">
            <w:pPr>
              <w:spacing w:line="360" w:lineRule="auto"/>
              <w:jc w:val="center"/>
              <w:rPr>
                <w:szCs w:val="21"/>
              </w:rPr>
            </w:pPr>
            <w:r>
              <w:rPr>
                <w:szCs w:val="21"/>
              </w:rPr>
              <w:t>15D</w:t>
            </w:r>
          </w:p>
        </w:tc>
        <w:tc>
          <w:tcPr>
            <w:tcW w:w="1985" w:type="dxa"/>
            <w:vAlign w:val="center"/>
          </w:tcPr>
          <w:p w14:paraId="53740C08">
            <w:pPr>
              <w:spacing w:line="360" w:lineRule="auto"/>
              <w:jc w:val="center"/>
              <w:rPr>
                <w:szCs w:val="21"/>
              </w:rPr>
            </w:pPr>
            <w:r>
              <w:rPr>
                <w:szCs w:val="21"/>
              </w:rPr>
              <w:t>20D</w:t>
            </w:r>
          </w:p>
        </w:tc>
      </w:tr>
      <w:tr w14:paraId="1A098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vAlign w:val="center"/>
          </w:tcPr>
          <w:p w14:paraId="2BDCFADF">
            <w:pPr>
              <w:spacing w:line="360" w:lineRule="auto"/>
              <w:jc w:val="center"/>
              <w:rPr>
                <w:szCs w:val="21"/>
              </w:rPr>
            </w:pPr>
          </w:p>
        </w:tc>
        <w:tc>
          <w:tcPr>
            <w:tcW w:w="3261" w:type="dxa"/>
            <w:vAlign w:val="center"/>
          </w:tcPr>
          <w:p w14:paraId="5791035E">
            <w:pPr>
              <w:spacing w:line="360" w:lineRule="auto"/>
              <w:jc w:val="center"/>
              <w:rPr>
                <w:szCs w:val="21"/>
              </w:rPr>
            </w:pPr>
            <w:r>
              <w:rPr>
                <w:szCs w:val="21"/>
              </w:rPr>
              <w:t>铠装</w:t>
            </w:r>
          </w:p>
        </w:tc>
        <w:tc>
          <w:tcPr>
            <w:tcW w:w="1842" w:type="dxa"/>
            <w:vAlign w:val="center"/>
          </w:tcPr>
          <w:p w14:paraId="713B1C7D">
            <w:pPr>
              <w:spacing w:line="360" w:lineRule="auto"/>
              <w:jc w:val="center"/>
              <w:rPr>
                <w:szCs w:val="21"/>
              </w:rPr>
            </w:pPr>
            <w:r>
              <w:rPr>
                <w:szCs w:val="21"/>
              </w:rPr>
              <w:t>12D</w:t>
            </w:r>
          </w:p>
        </w:tc>
        <w:tc>
          <w:tcPr>
            <w:tcW w:w="1985" w:type="dxa"/>
            <w:vAlign w:val="center"/>
          </w:tcPr>
          <w:p w14:paraId="03C0E478">
            <w:pPr>
              <w:spacing w:line="360" w:lineRule="auto"/>
              <w:jc w:val="center"/>
              <w:rPr>
                <w:szCs w:val="21"/>
              </w:rPr>
            </w:pPr>
            <w:r>
              <w:rPr>
                <w:szCs w:val="21"/>
              </w:rPr>
              <w:t>15D</w:t>
            </w:r>
          </w:p>
        </w:tc>
      </w:tr>
      <w:tr w14:paraId="709C6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restart"/>
            <w:vAlign w:val="center"/>
          </w:tcPr>
          <w:p w14:paraId="7AE1D09A">
            <w:pPr>
              <w:spacing w:line="360" w:lineRule="auto"/>
              <w:jc w:val="center"/>
              <w:rPr>
                <w:szCs w:val="21"/>
              </w:rPr>
            </w:pPr>
            <w:r>
              <w:rPr>
                <w:szCs w:val="21"/>
              </w:rPr>
              <w:t>橡皮绝缘电力电缆</w:t>
            </w:r>
          </w:p>
        </w:tc>
        <w:tc>
          <w:tcPr>
            <w:tcW w:w="3261" w:type="dxa"/>
            <w:vAlign w:val="center"/>
          </w:tcPr>
          <w:p w14:paraId="440CAB0B">
            <w:pPr>
              <w:spacing w:line="360" w:lineRule="auto"/>
              <w:jc w:val="center"/>
              <w:rPr>
                <w:szCs w:val="21"/>
              </w:rPr>
            </w:pPr>
            <w:r>
              <w:rPr>
                <w:szCs w:val="21"/>
              </w:rPr>
              <w:t>铅包、</w:t>
            </w:r>
            <w:r>
              <w:rPr>
                <w:rFonts w:hint="eastAsia"/>
                <w:szCs w:val="21"/>
              </w:rPr>
              <w:t>钢铠</w:t>
            </w:r>
            <w:r>
              <w:rPr>
                <w:szCs w:val="21"/>
              </w:rPr>
              <w:t>护套</w:t>
            </w:r>
          </w:p>
        </w:tc>
        <w:tc>
          <w:tcPr>
            <w:tcW w:w="3827" w:type="dxa"/>
            <w:gridSpan w:val="2"/>
            <w:vAlign w:val="center"/>
          </w:tcPr>
          <w:p w14:paraId="350A8BA8">
            <w:pPr>
              <w:spacing w:line="360" w:lineRule="auto"/>
              <w:jc w:val="center"/>
              <w:rPr>
                <w:szCs w:val="21"/>
              </w:rPr>
            </w:pPr>
            <w:r>
              <w:rPr>
                <w:szCs w:val="21"/>
              </w:rPr>
              <w:t>10D</w:t>
            </w:r>
          </w:p>
        </w:tc>
      </w:tr>
      <w:tr w14:paraId="184DA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vAlign w:val="center"/>
          </w:tcPr>
          <w:p w14:paraId="3BAF5CE3">
            <w:pPr>
              <w:spacing w:line="360" w:lineRule="auto"/>
              <w:jc w:val="center"/>
              <w:rPr>
                <w:szCs w:val="21"/>
              </w:rPr>
            </w:pPr>
          </w:p>
        </w:tc>
        <w:tc>
          <w:tcPr>
            <w:tcW w:w="3261" w:type="dxa"/>
            <w:vAlign w:val="center"/>
          </w:tcPr>
          <w:p w14:paraId="518B51F2">
            <w:pPr>
              <w:spacing w:line="360" w:lineRule="auto"/>
              <w:jc w:val="center"/>
              <w:rPr>
                <w:szCs w:val="21"/>
              </w:rPr>
            </w:pPr>
            <w:r>
              <w:rPr>
                <w:rFonts w:hint="eastAsia"/>
                <w:szCs w:val="21"/>
              </w:rPr>
              <w:t>钢铠</w:t>
            </w:r>
            <w:r>
              <w:rPr>
                <w:szCs w:val="21"/>
              </w:rPr>
              <w:t>护套</w:t>
            </w:r>
          </w:p>
        </w:tc>
        <w:tc>
          <w:tcPr>
            <w:tcW w:w="3827" w:type="dxa"/>
            <w:gridSpan w:val="2"/>
            <w:vAlign w:val="center"/>
          </w:tcPr>
          <w:p w14:paraId="68D396D0">
            <w:pPr>
              <w:spacing w:line="360" w:lineRule="auto"/>
              <w:jc w:val="center"/>
              <w:rPr>
                <w:szCs w:val="21"/>
              </w:rPr>
            </w:pPr>
            <w:r>
              <w:rPr>
                <w:szCs w:val="21"/>
              </w:rPr>
              <w:t>20D</w:t>
            </w:r>
          </w:p>
        </w:tc>
      </w:tr>
      <w:tr w14:paraId="3CC42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restart"/>
            <w:vAlign w:val="center"/>
          </w:tcPr>
          <w:p w14:paraId="76A493CE">
            <w:pPr>
              <w:spacing w:line="360" w:lineRule="auto"/>
              <w:jc w:val="center"/>
              <w:rPr>
                <w:szCs w:val="21"/>
              </w:rPr>
            </w:pPr>
          </w:p>
          <w:p w14:paraId="22C72A04">
            <w:pPr>
              <w:spacing w:line="360" w:lineRule="auto"/>
              <w:jc w:val="center"/>
              <w:rPr>
                <w:szCs w:val="21"/>
              </w:rPr>
            </w:pPr>
            <w:r>
              <w:rPr>
                <w:szCs w:val="21"/>
              </w:rPr>
              <w:t>控制电缆</w:t>
            </w:r>
          </w:p>
        </w:tc>
        <w:tc>
          <w:tcPr>
            <w:tcW w:w="3261" w:type="dxa"/>
            <w:vAlign w:val="center"/>
          </w:tcPr>
          <w:p w14:paraId="4DA3AFBF">
            <w:pPr>
              <w:spacing w:line="360" w:lineRule="auto"/>
              <w:jc w:val="center"/>
              <w:rPr>
                <w:szCs w:val="21"/>
              </w:rPr>
            </w:pPr>
            <w:r>
              <w:rPr>
                <w:szCs w:val="21"/>
              </w:rPr>
              <w:t>非铠装型、屏蔽型软电缆</w:t>
            </w:r>
          </w:p>
        </w:tc>
        <w:tc>
          <w:tcPr>
            <w:tcW w:w="1842" w:type="dxa"/>
            <w:vAlign w:val="center"/>
          </w:tcPr>
          <w:p w14:paraId="1B9A197E">
            <w:pPr>
              <w:spacing w:line="360" w:lineRule="auto"/>
              <w:jc w:val="center"/>
              <w:rPr>
                <w:szCs w:val="21"/>
              </w:rPr>
            </w:pPr>
            <w:r>
              <w:rPr>
                <w:szCs w:val="21"/>
              </w:rPr>
              <w:t>6D</w:t>
            </w:r>
          </w:p>
        </w:tc>
        <w:tc>
          <w:tcPr>
            <w:tcW w:w="1985" w:type="dxa"/>
            <w:vMerge w:val="restart"/>
            <w:vAlign w:val="center"/>
          </w:tcPr>
          <w:p w14:paraId="01D0A7DB">
            <w:pPr>
              <w:spacing w:line="360" w:lineRule="auto"/>
              <w:jc w:val="center"/>
              <w:rPr>
                <w:szCs w:val="21"/>
              </w:rPr>
            </w:pPr>
            <w:r>
              <w:rPr>
                <w:rFonts w:hint="eastAsia"/>
                <w:szCs w:val="21"/>
              </w:rPr>
              <w:t>/</w:t>
            </w:r>
          </w:p>
        </w:tc>
      </w:tr>
      <w:tr w14:paraId="68B3D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vAlign w:val="center"/>
          </w:tcPr>
          <w:p w14:paraId="4D4E3CA0">
            <w:pPr>
              <w:spacing w:line="360" w:lineRule="auto"/>
              <w:jc w:val="center"/>
              <w:rPr>
                <w:szCs w:val="21"/>
              </w:rPr>
            </w:pPr>
          </w:p>
        </w:tc>
        <w:tc>
          <w:tcPr>
            <w:tcW w:w="3261" w:type="dxa"/>
            <w:vAlign w:val="center"/>
          </w:tcPr>
          <w:p w14:paraId="4D789F5D">
            <w:pPr>
              <w:spacing w:line="360" w:lineRule="auto"/>
              <w:jc w:val="center"/>
              <w:rPr>
                <w:szCs w:val="21"/>
              </w:rPr>
            </w:pPr>
            <w:r>
              <w:rPr>
                <w:szCs w:val="21"/>
              </w:rPr>
              <w:t>铠装型、铜屏蔽型</w:t>
            </w:r>
          </w:p>
        </w:tc>
        <w:tc>
          <w:tcPr>
            <w:tcW w:w="1842" w:type="dxa"/>
            <w:vAlign w:val="center"/>
          </w:tcPr>
          <w:p w14:paraId="27869970">
            <w:pPr>
              <w:spacing w:line="360" w:lineRule="auto"/>
              <w:jc w:val="center"/>
              <w:rPr>
                <w:szCs w:val="21"/>
              </w:rPr>
            </w:pPr>
            <w:r>
              <w:rPr>
                <w:szCs w:val="21"/>
              </w:rPr>
              <w:t>12D</w:t>
            </w:r>
          </w:p>
        </w:tc>
        <w:tc>
          <w:tcPr>
            <w:tcW w:w="1985" w:type="dxa"/>
            <w:vMerge w:val="continue"/>
          </w:tcPr>
          <w:p w14:paraId="71B931AE">
            <w:pPr>
              <w:spacing w:line="360" w:lineRule="auto"/>
              <w:jc w:val="left"/>
              <w:rPr>
                <w:szCs w:val="21"/>
              </w:rPr>
            </w:pPr>
          </w:p>
        </w:tc>
      </w:tr>
      <w:tr w14:paraId="30D79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vAlign w:val="center"/>
          </w:tcPr>
          <w:p w14:paraId="55848D66">
            <w:pPr>
              <w:spacing w:line="360" w:lineRule="auto"/>
              <w:jc w:val="center"/>
              <w:rPr>
                <w:szCs w:val="21"/>
              </w:rPr>
            </w:pPr>
          </w:p>
        </w:tc>
        <w:tc>
          <w:tcPr>
            <w:tcW w:w="3261" w:type="dxa"/>
            <w:vAlign w:val="center"/>
          </w:tcPr>
          <w:p w14:paraId="5931596B">
            <w:pPr>
              <w:spacing w:line="360" w:lineRule="auto"/>
              <w:jc w:val="center"/>
              <w:rPr>
                <w:szCs w:val="21"/>
              </w:rPr>
            </w:pPr>
            <w:r>
              <w:rPr>
                <w:szCs w:val="21"/>
              </w:rPr>
              <w:t>其他</w:t>
            </w:r>
          </w:p>
        </w:tc>
        <w:tc>
          <w:tcPr>
            <w:tcW w:w="1842" w:type="dxa"/>
            <w:vAlign w:val="center"/>
          </w:tcPr>
          <w:p w14:paraId="55405621">
            <w:pPr>
              <w:spacing w:line="360" w:lineRule="auto"/>
              <w:jc w:val="center"/>
              <w:rPr>
                <w:szCs w:val="21"/>
              </w:rPr>
            </w:pPr>
            <w:r>
              <w:rPr>
                <w:szCs w:val="21"/>
              </w:rPr>
              <w:t>10D</w:t>
            </w:r>
          </w:p>
        </w:tc>
        <w:tc>
          <w:tcPr>
            <w:tcW w:w="1985" w:type="dxa"/>
            <w:vMerge w:val="continue"/>
          </w:tcPr>
          <w:p w14:paraId="20351E49">
            <w:pPr>
              <w:spacing w:line="360" w:lineRule="auto"/>
              <w:jc w:val="left"/>
              <w:rPr>
                <w:szCs w:val="21"/>
              </w:rPr>
            </w:pPr>
          </w:p>
        </w:tc>
      </w:tr>
    </w:tbl>
    <w:p w14:paraId="59FDB47A">
      <w:pPr>
        <w:spacing w:line="360" w:lineRule="auto"/>
        <w:rPr>
          <w:szCs w:val="21"/>
        </w:rPr>
      </w:pPr>
      <w:r>
        <w:rPr>
          <w:szCs w:val="21"/>
        </w:rPr>
        <w:t>注：</w:t>
      </w:r>
      <w:r>
        <w:rPr>
          <w:rFonts w:hint="eastAsia"/>
          <w:szCs w:val="21"/>
        </w:rPr>
        <w:t xml:space="preserve">1 </w:t>
      </w:r>
      <w:r>
        <w:rPr>
          <w:szCs w:val="21"/>
        </w:rPr>
        <w:t>D为电缆外径。</w:t>
      </w:r>
    </w:p>
    <w:p w14:paraId="75019418">
      <w:pPr>
        <w:pStyle w:val="35"/>
        <w:spacing w:before="120" w:line="360" w:lineRule="auto"/>
        <w:rPr>
          <w:bCs w:val="0"/>
          <w:color w:val="auto"/>
          <w:szCs w:val="24"/>
        </w:rPr>
      </w:pPr>
      <w:r>
        <w:rPr>
          <w:rFonts w:hint="eastAsia"/>
          <w:b/>
          <w:bCs w:val="0"/>
          <w:color w:val="auto"/>
          <w:szCs w:val="24"/>
        </w:rPr>
        <w:t>6.4</w:t>
      </w:r>
      <w:r>
        <w:rPr>
          <w:b/>
          <w:color w:val="auto"/>
          <w:szCs w:val="24"/>
        </w:rPr>
        <w:t>.</w:t>
      </w:r>
      <w:r>
        <w:rPr>
          <w:rFonts w:hint="eastAsia"/>
          <w:b/>
          <w:color w:val="auto"/>
          <w:szCs w:val="24"/>
        </w:rPr>
        <w:t xml:space="preserve">17 </w:t>
      </w:r>
      <w:r>
        <w:rPr>
          <w:bCs w:val="0"/>
          <w:color w:val="auto"/>
          <w:szCs w:val="24"/>
        </w:rPr>
        <w:t>10kV</w:t>
      </w:r>
      <w:r>
        <w:rPr>
          <w:rFonts w:hint="eastAsia"/>
          <w:bCs w:val="0"/>
          <w:color w:val="auto"/>
          <w:szCs w:val="24"/>
        </w:rPr>
        <w:t>高压电缆接</w:t>
      </w:r>
      <w:r>
        <w:rPr>
          <w:bCs w:val="0"/>
          <w:color w:val="auto"/>
          <w:szCs w:val="24"/>
        </w:rPr>
        <w:t>头</w:t>
      </w:r>
      <w:r>
        <w:rPr>
          <w:rFonts w:hint="eastAsia"/>
          <w:bCs w:val="0"/>
          <w:color w:val="auto"/>
          <w:szCs w:val="24"/>
        </w:rPr>
        <w:t>安装</w:t>
      </w:r>
      <w:r>
        <w:rPr>
          <w:bCs w:val="0"/>
          <w:color w:val="auto"/>
          <w:szCs w:val="24"/>
        </w:rPr>
        <w:t>应符合下列规定：</w:t>
      </w:r>
    </w:p>
    <w:p w14:paraId="589B4C83">
      <w:pPr>
        <w:pStyle w:val="37"/>
        <w:spacing w:before="120" w:line="360" w:lineRule="auto"/>
        <w:rPr>
          <w:bCs w:val="0"/>
          <w:color w:val="auto"/>
          <w:sz w:val="24"/>
          <w:szCs w:val="24"/>
        </w:rPr>
      </w:pPr>
      <w:bookmarkStart w:id="307" w:name="_Toc6260"/>
      <w:bookmarkStart w:id="308" w:name="_Toc9499"/>
      <w:bookmarkStart w:id="309" w:name="_Toc1149"/>
      <w:bookmarkStart w:id="310" w:name="_Toc2042"/>
      <w:r>
        <w:rPr>
          <w:b/>
          <w:color w:val="auto"/>
          <w:sz w:val="24"/>
          <w:szCs w:val="24"/>
        </w:rPr>
        <w:t>1</w:t>
      </w:r>
      <w:r>
        <w:rPr>
          <w:bCs w:val="0"/>
          <w:color w:val="auto"/>
          <w:sz w:val="24"/>
          <w:szCs w:val="24"/>
        </w:rPr>
        <w:t xml:space="preserve">  并列敷设的电缆，其接头位置应相互错开；</w:t>
      </w:r>
      <w:bookmarkEnd w:id="307"/>
      <w:bookmarkEnd w:id="308"/>
      <w:bookmarkEnd w:id="309"/>
      <w:bookmarkEnd w:id="310"/>
    </w:p>
    <w:p w14:paraId="58D317BA">
      <w:pPr>
        <w:pStyle w:val="37"/>
        <w:spacing w:before="120" w:line="360" w:lineRule="auto"/>
        <w:rPr>
          <w:bCs w:val="0"/>
          <w:color w:val="auto"/>
          <w:sz w:val="24"/>
          <w:szCs w:val="24"/>
        </w:rPr>
      </w:pPr>
      <w:r>
        <w:rPr>
          <w:b/>
          <w:color w:val="auto"/>
          <w:sz w:val="24"/>
          <w:szCs w:val="24"/>
        </w:rPr>
        <w:t>2</w:t>
      </w:r>
      <w:r>
        <w:rPr>
          <w:bCs w:val="0"/>
          <w:color w:val="auto"/>
          <w:sz w:val="24"/>
          <w:szCs w:val="24"/>
        </w:rPr>
        <w:t xml:space="preserve">  电缆明敷接头，应采用托板固定；电缆共</w:t>
      </w:r>
      <w:r>
        <w:rPr>
          <w:color w:val="auto"/>
          <w:sz w:val="24"/>
          <w:szCs w:val="24"/>
        </w:rPr>
        <w:t>用</w:t>
      </w:r>
      <w:r>
        <w:rPr>
          <w:bCs w:val="0"/>
          <w:color w:val="auto"/>
          <w:sz w:val="24"/>
          <w:szCs w:val="24"/>
        </w:rPr>
        <w:t>通道敷设存在接头时，接头宜采用防火隔板或防爆盒进行隔离；</w:t>
      </w:r>
    </w:p>
    <w:p w14:paraId="3542281E">
      <w:pPr>
        <w:pStyle w:val="37"/>
        <w:spacing w:before="120" w:line="360" w:lineRule="auto"/>
        <w:rPr>
          <w:color w:val="auto"/>
          <w:sz w:val="24"/>
          <w:szCs w:val="24"/>
        </w:rPr>
      </w:pPr>
      <w:r>
        <w:rPr>
          <w:b/>
          <w:color w:val="auto"/>
          <w:sz w:val="24"/>
          <w:szCs w:val="24"/>
        </w:rPr>
        <w:t>3</w:t>
      </w:r>
      <w:r>
        <w:rPr>
          <w:bCs w:val="0"/>
          <w:color w:val="auto"/>
          <w:sz w:val="24"/>
          <w:szCs w:val="24"/>
        </w:rPr>
        <w:t xml:space="preserve">  隧道掘进过程中，移动设备电源的高压电缆接头应选用防护等级IP65的专用接线箱</w:t>
      </w:r>
      <w:r>
        <w:rPr>
          <w:rFonts w:hint="eastAsia"/>
          <w:bCs w:val="0"/>
          <w:color w:val="auto"/>
          <w:sz w:val="24"/>
          <w:szCs w:val="24"/>
        </w:rPr>
        <w:t>。</w:t>
      </w:r>
      <w:r>
        <w:rPr>
          <w:bCs w:val="0"/>
          <w:color w:val="auto"/>
          <w:sz w:val="24"/>
          <w:szCs w:val="24"/>
        </w:rPr>
        <w:t>其带电体与箱内壁的距离不应小于200mm，缆线相间距离不应小于200mm，接线箱进出线孔应设防护垫圈，接线箱应安装牢固，金属外壳应与保护接地导体（PE）可靠连接</w:t>
      </w:r>
      <w:r>
        <w:rPr>
          <w:color w:val="auto"/>
          <w:sz w:val="24"/>
          <w:szCs w:val="24"/>
        </w:rPr>
        <w:t>；</w:t>
      </w:r>
    </w:p>
    <w:p w14:paraId="4609CFCE">
      <w:pPr>
        <w:pStyle w:val="37"/>
        <w:spacing w:before="120" w:line="360" w:lineRule="auto"/>
        <w:rPr>
          <w:bCs w:val="0"/>
          <w:color w:val="auto"/>
          <w:sz w:val="24"/>
          <w:szCs w:val="24"/>
        </w:rPr>
      </w:pPr>
      <w:bookmarkStart w:id="311" w:name="_Toc5412"/>
      <w:bookmarkStart w:id="312" w:name="_Toc8760"/>
      <w:bookmarkStart w:id="313" w:name="_Toc22049"/>
      <w:bookmarkStart w:id="314" w:name="_Toc29280"/>
      <w:r>
        <w:rPr>
          <w:b/>
          <w:color w:val="auto"/>
          <w:sz w:val="24"/>
          <w:szCs w:val="24"/>
        </w:rPr>
        <w:t>4</w:t>
      </w:r>
      <w:r>
        <w:rPr>
          <w:bCs w:val="0"/>
          <w:color w:val="auto"/>
          <w:sz w:val="24"/>
          <w:szCs w:val="24"/>
        </w:rPr>
        <w:t xml:space="preserve">  电缆接头连接应牢固可靠，线芯应留有适当长度</w:t>
      </w:r>
      <w:r>
        <w:rPr>
          <w:rFonts w:hint="eastAsia"/>
          <w:bCs w:val="0"/>
          <w:color w:val="auto"/>
          <w:sz w:val="24"/>
          <w:szCs w:val="24"/>
        </w:rPr>
        <w:t>余</w:t>
      </w:r>
      <w:r>
        <w:rPr>
          <w:bCs w:val="0"/>
          <w:color w:val="auto"/>
          <w:sz w:val="24"/>
          <w:szCs w:val="24"/>
        </w:rPr>
        <w:t>量且不应承受外力；</w:t>
      </w:r>
      <w:bookmarkEnd w:id="311"/>
      <w:bookmarkEnd w:id="312"/>
      <w:bookmarkEnd w:id="313"/>
      <w:bookmarkEnd w:id="314"/>
    </w:p>
    <w:p w14:paraId="0175E190">
      <w:pPr>
        <w:pStyle w:val="37"/>
        <w:spacing w:before="120" w:line="360" w:lineRule="auto"/>
        <w:rPr>
          <w:bCs w:val="0"/>
          <w:color w:val="auto"/>
          <w:sz w:val="24"/>
          <w:szCs w:val="24"/>
        </w:rPr>
      </w:pPr>
      <w:r>
        <w:rPr>
          <w:b/>
          <w:color w:val="auto"/>
          <w:sz w:val="24"/>
          <w:szCs w:val="24"/>
        </w:rPr>
        <w:t>5</w:t>
      </w:r>
      <w:r>
        <w:rPr>
          <w:bCs w:val="0"/>
          <w:color w:val="auto"/>
          <w:sz w:val="24"/>
          <w:szCs w:val="24"/>
        </w:rPr>
        <w:t xml:space="preserve">  电缆接头连接前应断电、验电、挂地线，且应在其对应回路的上级配电箱（柜）或控制开关操作手柄上悬挂“有人工作，禁止合闸”警示牌</w:t>
      </w:r>
      <w:r>
        <w:rPr>
          <w:rFonts w:hint="eastAsia"/>
          <w:bCs w:val="0"/>
          <w:color w:val="auto"/>
          <w:sz w:val="24"/>
          <w:szCs w:val="24"/>
        </w:rPr>
        <w:t>。</w:t>
      </w:r>
      <w:r>
        <w:rPr>
          <w:bCs w:val="0"/>
          <w:color w:val="auto"/>
          <w:sz w:val="24"/>
          <w:szCs w:val="24"/>
        </w:rPr>
        <w:t>接线完毕经检查合格、拆除地线后，应专人送电，不应约时送电。</w:t>
      </w:r>
      <w:bookmarkStart w:id="315" w:name="_Toc19124"/>
      <w:bookmarkStart w:id="316" w:name="_Toc13175"/>
      <w:bookmarkStart w:id="317" w:name="_Toc12373"/>
    </w:p>
    <w:p w14:paraId="225B0EFB">
      <w:pPr>
        <w:pStyle w:val="35"/>
        <w:spacing w:before="120" w:line="360" w:lineRule="auto"/>
        <w:rPr>
          <w:bCs w:val="0"/>
          <w:color w:val="auto"/>
          <w:szCs w:val="24"/>
        </w:rPr>
      </w:pPr>
      <w:r>
        <w:rPr>
          <w:rFonts w:hint="eastAsia"/>
          <w:b/>
          <w:bCs w:val="0"/>
          <w:color w:val="auto"/>
          <w:szCs w:val="24"/>
        </w:rPr>
        <w:t>6.4</w:t>
      </w:r>
      <w:r>
        <w:rPr>
          <w:b/>
          <w:color w:val="auto"/>
          <w:szCs w:val="24"/>
        </w:rPr>
        <w:t>.</w:t>
      </w:r>
      <w:r>
        <w:rPr>
          <w:rFonts w:hint="eastAsia"/>
          <w:b/>
          <w:color w:val="auto"/>
          <w:szCs w:val="24"/>
        </w:rPr>
        <w:t>18</w:t>
      </w:r>
      <w:r>
        <w:rPr>
          <w:b/>
          <w:color w:val="auto"/>
          <w:szCs w:val="24"/>
        </w:rPr>
        <w:t xml:space="preserve"> </w:t>
      </w:r>
      <w:r>
        <w:rPr>
          <w:rFonts w:hint="eastAsia"/>
          <w:bCs w:val="0"/>
          <w:color w:val="auto"/>
          <w:szCs w:val="24"/>
        </w:rPr>
        <w:t>高压</w:t>
      </w:r>
      <w:r>
        <w:rPr>
          <w:bCs w:val="0"/>
          <w:color w:val="auto"/>
          <w:szCs w:val="24"/>
        </w:rPr>
        <w:t>电缆线路标志设置应符合下列规定：</w:t>
      </w:r>
      <w:bookmarkEnd w:id="315"/>
      <w:bookmarkEnd w:id="316"/>
      <w:bookmarkEnd w:id="317"/>
    </w:p>
    <w:p w14:paraId="1A5A7978">
      <w:pPr>
        <w:pStyle w:val="37"/>
        <w:spacing w:before="120" w:line="360" w:lineRule="auto"/>
        <w:rPr>
          <w:bCs w:val="0"/>
          <w:color w:val="auto"/>
          <w:sz w:val="24"/>
          <w:szCs w:val="24"/>
        </w:rPr>
      </w:pPr>
      <w:r>
        <w:rPr>
          <w:b/>
          <w:color w:val="auto"/>
          <w:sz w:val="24"/>
          <w:szCs w:val="24"/>
        </w:rPr>
        <w:t xml:space="preserve">1  </w:t>
      </w:r>
      <w:r>
        <w:rPr>
          <w:bCs w:val="0"/>
          <w:color w:val="auto"/>
          <w:sz w:val="24"/>
          <w:szCs w:val="24"/>
        </w:rPr>
        <w:t>电缆路线应配置标志牌，且标明电缆型号、规格、线路的名称、电压等级、长度、起止变电站、配电室名称等。</w:t>
      </w:r>
    </w:p>
    <w:p w14:paraId="1BF2BE1C">
      <w:pPr>
        <w:pStyle w:val="37"/>
        <w:spacing w:before="120" w:line="360" w:lineRule="auto"/>
        <w:rPr>
          <w:bCs w:val="0"/>
          <w:color w:val="auto"/>
          <w:sz w:val="24"/>
          <w:szCs w:val="24"/>
        </w:rPr>
      </w:pPr>
      <w:r>
        <w:rPr>
          <w:b/>
          <w:color w:val="auto"/>
          <w:sz w:val="24"/>
          <w:szCs w:val="24"/>
        </w:rPr>
        <w:t>2</w:t>
      </w:r>
      <w:r>
        <w:rPr>
          <w:bCs w:val="0"/>
          <w:color w:val="auto"/>
          <w:sz w:val="24"/>
          <w:szCs w:val="24"/>
        </w:rPr>
        <w:t xml:space="preserve">  电缆终端及电缆接头处应悬挂标明电缆编号、始点、终点及接头盒编号的标志牌；</w:t>
      </w:r>
    </w:p>
    <w:p w14:paraId="4A73FB45">
      <w:pPr>
        <w:pStyle w:val="37"/>
        <w:spacing w:before="120" w:line="360" w:lineRule="auto"/>
        <w:rPr>
          <w:bCs w:val="0"/>
          <w:color w:val="auto"/>
          <w:sz w:val="24"/>
          <w:szCs w:val="24"/>
        </w:rPr>
      </w:pPr>
      <w:r>
        <w:rPr>
          <w:b/>
          <w:color w:val="auto"/>
          <w:sz w:val="24"/>
          <w:szCs w:val="24"/>
        </w:rPr>
        <w:t>3</w:t>
      </w:r>
      <w:r>
        <w:rPr>
          <w:bCs w:val="0"/>
          <w:color w:val="auto"/>
          <w:sz w:val="24"/>
          <w:szCs w:val="24"/>
        </w:rPr>
        <w:t xml:space="preserve">  电缆隧道内转弯处、T形口、十字口、电缆分支处、直线段每隔50m～100m处；</w:t>
      </w:r>
    </w:p>
    <w:p w14:paraId="5E7B6603">
      <w:pPr>
        <w:pStyle w:val="37"/>
        <w:spacing w:before="120" w:line="360" w:lineRule="auto"/>
        <w:rPr>
          <w:bCs w:val="0"/>
          <w:color w:val="auto"/>
          <w:sz w:val="24"/>
          <w:szCs w:val="24"/>
        </w:rPr>
      </w:pPr>
      <w:r>
        <w:rPr>
          <w:b/>
          <w:color w:val="auto"/>
          <w:sz w:val="24"/>
          <w:szCs w:val="24"/>
        </w:rPr>
        <w:t>4</w:t>
      </w:r>
      <w:r>
        <w:rPr>
          <w:bCs w:val="0"/>
          <w:color w:val="auto"/>
          <w:sz w:val="24"/>
          <w:szCs w:val="24"/>
        </w:rPr>
        <w:t xml:space="preserve">  标志牌应规格统一、字迹清晰；挂装应牢固、不易脱落。</w:t>
      </w:r>
    </w:p>
    <w:p w14:paraId="3F055E73">
      <w:pPr>
        <w:pStyle w:val="35"/>
        <w:spacing w:before="120" w:line="360" w:lineRule="auto"/>
        <w:rPr>
          <w:bCs w:val="0"/>
          <w:color w:val="auto"/>
          <w:szCs w:val="24"/>
        </w:rPr>
      </w:pPr>
      <w:bookmarkStart w:id="318" w:name="_Toc20966"/>
      <w:bookmarkStart w:id="319" w:name="_Toc7470"/>
      <w:bookmarkStart w:id="320" w:name="_Toc17204"/>
      <w:r>
        <w:rPr>
          <w:rFonts w:hint="eastAsia"/>
          <w:b/>
          <w:bCs w:val="0"/>
          <w:color w:val="auto"/>
          <w:szCs w:val="24"/>
        </w:rPr>
        <w:t>6</w:t>
      </w:r>
      <w:r>
        <w:rPr>
          <w:b/>
          <w:bCs w:val="0"/>
          <w:color w:val="auto"/>
          <w:szCs w:val="24"/>
        </w:rPr>
        <w:t>.4</w:t>
      </w:r>
      <w:r>
        <w:rPr>
          <w:b/>
          <w:color w:val="auto"/>
          <w:szCs w:val="24"/>
        </w:rPr>
        <w:t xml:space="preserve">.19 </w:t>
      </w:r>
      <w:r>
        <w:rPr>
          <w:bCs w:val="0"/>
          <w:color w:val="auto"/>
          <w:szCs w:val="24"/>
        </w:rPr>
        <w:t>警示标志、警示装置设置应符合下列规定：</w:t>
      </w:r>
      <w:bookmarkEnd w:id="318"/>
      <w:bookmarkEnd w:id="319"/>
      <w:bookmarkEnd w:id="320"/>
    </w:p>
    <w:p w14:paraId="4C05480E">
      <w:pPr>
        <w:pStyle w:val="37"/>
        <w:spacing w:before="120" w:line="360" w:lineRule="auto"/>
        <w:rPr>
          <w:bCs w:val="0"/>
          <w:color w:val="auto"/>
          <w:sz w:val="24"/>
          <w:szCs w:val="24"/>
        </w:rPr>
      </w:pPr>
      <w:r>
        <w:rPr>
          <w:b/>
          <w:color w:val="auto"/>
          <w:sz w:val="24"/>
          <w:szCs w:val="24"/>
        </w:rPr>
        <w:t xml:space="preserve">1  </w:t>
      </w:r>
      <w:r>
        <w:rPr>
          <w:bCs w:val="0"/>
          <w:color w:val="auto"/>
          <w:sz w:val="24"/>
          <w:szCs w:val="24"/>
        </w:rPr>
        <w:t>警示标志应设于醒目位置；</w:t>
      </w:r>
    </w:p>
    <w:p w14:paraId="01AA189B">
      <w:pPr>
        <w:pStyle w:val="37"/>
        <w:spacing w:before="120" w:line="360" w:lineRule="auto"/>
        <w:rPr>
          <w:bCs w:val="0"/>
          <w:color w:val="auto"/>
          <w:sz w:val="24"/>
          <w:szCs w:val="24"/>
        </w:rPr>
      </w:pPr>
      <w:r>
        <w:rPr>
          <w:b/>
          <w:color w:val="auto"/>
          <w:sz w:val="24"/>
          <w:szCs w:val="24"/>
        </w:rPr>
        <w:t>2</w:t>
      </w:r>
      <w:r>
        <w:rPr>
          <w:bCs w:val="0"/>
          <w:color w:val="auto"/>
          <w:sz w:val="24"/>
          <w:szCs w:val="24"/>
        </w:rPr>
        <w:t xml:space="preserve">  视听类型的警示装置安装应牢固；</w:t>
      </w:r>
    </w:p>
    <w:p w14:paraId="757EABC7">
      <w:pPr>
        <w:pStyle w:val="37"/>
        <w:spacing w:before="120" w:line="360" w:lineRule="auto"/>
        <w:rPr>
          <w:bCs w:val="0"/>
          <w:color w:val="auto"/>
          <w:sz w:val="24"/>
          <w:szCs w:val="24"/>
        </w:rPr>
      </w:pPr>
      <w:r>
        <w:rPr>
          <w:b/>
          <w:color w:val="auto"/>
          <w:sz w:val="24"/>
          <w:szCs w:val="24"/>
        </w:rPr>
        <w:t>3</w:t>
      </w:r>
      <w:r>
        <w:rPr>
          <w:bCs w:val="0"/>
          <w:color w:val="auto"/>
          <w:sz w:val="24"/>
          <w:szCs w:val="24"/>
        </w:rPr>
        <w:t xml:space="preserve">  警示装置的声响水平应大于使用设备环境噪声的10dB（A）及以上。</w:t>
      </w:r>
    </w:p>
    <w:p w14:paraId="1790D759">
      <w:pPr>
        <w:pStyle w:val="35"/>
        <w:spacing w:before="120" w:line="360" w:lineRule="auto"/>
        <w:rPr>
          <w:bCs w:val="0"/>
          <w:color w:val="auto"/>
          <w:szCs w:val="24"/>
        </w:rPr>
      </w:pPr>
      <w:bookmarkStart w:id="321" w:name="_Toc26972"/>
      <w:bookmarkStart w:id="322" w:name="_Toc21673"/>
      <w:bookmarkStart w:id="323" w:name="_Toc8707"/>
      <w:r>
        <w:rPr>
          <w:rFonts w:hint="eastAsia"/>
          <w:b/>
          <w:bCs w:val="0"/>
          <w:color w:val="auto"/>
          <w:szCs w:val="24"/>
        </w:rPr>
        <w:t>6</w:t>
      </w:r>
      <w:r>
        <w:rPr>
          <w:b/>
          <w:bCs w:val="0"/>
          <w:color w:val="auto"/>
          <w:szCs w:val="24"/>
        </w:rPr>
        <w:t>.4</w:t>
      </w:r>
      <w:r>
        <w:rPr>
          <w:b/>
          <w:color w:val="auto"/>
          <w:szCs w:val="24"/>
        </w:rPr>
        <w:t>.</w:t>
      </w:r>
      <w:bookmarkEnd w:id="321"/>
      <w:bookmarkEnd w:id="322"/>
      <w:bookmarkEnd w:id="323"/>
      <w:r>
        <w:rPr>
          <w:b/>
          <w:color w:val="auto"/>
          <w:szCs w:val="24"/>
        </w:rPr>
        <w:t xml:space="preserve">20 </w:t>
      </w:r>
      <w:r>
        <w:rPr>
          <w:bCs w:val="0"/>
          <w:color w:val="auto"/>
          <w:szCs w:val="24"/>
        </w:rPr>
        <w:t>高压电缆线路安全监控系统应符合下列规定：</w:t>
      </w:r>
    </w:p>
    <w:p w14:paraId="2AA23F7C">
      <w:pPr>
        <w:pStyle w:val="37"/>
        <w:spacing w:before="120" w:line="360" w:lineRule="auto"/>
        <w:rPr>
          <w:bCs w:val="0"/>
          <w:color w:val="auto"/>
          <w:sz w:val="24"/>
          <w:szCs w:val="24"/>
        </w:rPr>
      </w:pPr>
      <w:r>
        <w:rPr>
          <w:b/>
          <w:color w:val="auto"/>
          <w:sz w:val="24"/>
          <w:szCs w:val="24"/>
        </w:rPr>
        <w:t>1</w:t>
      </w:r>
      <w:r>
        <w:rPr>
          <w:bCs w:val="0"/>
          <w:color w:val="auto"/>
          <w:sz w:val="24"/>
          <w:szCs w:val="24"/>
        </w:rPr>
        <w:t xml:space="preserve">  安全监控系统设备型号、规格、数量、技术指标、系统特性资料应齐全；</w:t>
      </w:r>
    </w:p>
    <w:p w14:paraId="2D6A3CD5">
      <w:pPr>
        <w:pStyle w:val="37"/>
        <w:spacing w:before="120" w:line="360" w:lineRule="auto"/>
        <w:rPr>
          <w:bCs w:val="0"/>
          <w:color w:val="auto"/>
          <w:sz w:val="24"/>
          <w:szCs w:val="24"/>
        </w:rPr>
      </w:pPr>
      <w:r>
        <w:rPr>
          <w:b/>
          <w:color w:val="auto"/>
          <w:sz w:val="24"/>
          <w:szCs w:val="24"/>
        </w:rPr>
        <w:t xml:space="preserve">2  </w:t>
      </w:r>
      <w:r>
        <w:rPr>
          <w:bCs w:val="0"/>
          <w:color w:val="auto"/>
          <w:sz w:val="24"/>
          <w:szCs w:val="24"/>
        </w:rPr>
        <w:t>系统安装应符合产品技术文件要求；</w:t>
      </w:r>
    </w:p>
    <w:p w14:paraId="5FAC877A">
      <w:pPr>
        <w:pStyle w:val="37"/>
        <w:spacing w:before="120" w:line="360" w:lineRule="auto"/>
        <w:rPr>
          <w:bCs w:val="0"/>
          <w:color w:val="auto"/>
          <w:sz w:val="24"/>
          <w:szCs w:val="24"/>
        </w:rPr>
      </w:pPr>
      <w:r>
        <w:rPr>
          <w:b/>
          <w:color w:val="auto"/>
          <w:sz w:val="24"/>
          <w:szCs w:val="24"/>
        </w:rPr>
        <w:t>3</w:t>
      </w:r>
      <w:r>
        <w:rPr>
          <w:bCs w:val="0"/>
          <w:color w:val="auto"/>
          <w:sz w:val="24"/>
          <w:szCs w:val="24"/>
        </w:rPr>
        <w:t xml:space="preserve">  系统安装不应影响电缆运行、维护、检修工作；</w:t>
      </w:r>
    </w:p>
    <w:p w14:paraId="78D633D3">
      <w:pPr>
        <w:pStyle w:val="37"/>
        <w:spacing w:before="120" w:line="360" w:lineRule="auto"/>
        <w:rPr>
          <w:bCs w:val="0"/>
          <w:color w:val="auto"/>
          <w:sz w:val="24"/>
          <w:szCs w:val="24"/>
        </w:rPr>
      </w:pPr>
      <w:r>
        <w:rPr>
          <w:b/>
          <w:color w:val="auto"/>
          <w:sz w:val="24"/>
          <w:szCs w:val="24"/>
        </w:rPr>
        <w:t>4</w:t>
      </w:r>
      <w:r>
        <w:rPr>
          <w:bCs w:val="0"/>
          <w:color w:val="auto"/>
          <w:sz w:val="24"/>
          <w:szCs w:val="24"/>
        </w:rPr>
        <w:t xml:space="preserve">  监控设备安装应整齐、牢固，标识清晰，并应有相应的防护措施；</w:t>
      </w:r>
    </w:p>
    <w:p w14:paraId="4C8F240E">
      <w:pPr>
        <w:pStyle w:val="37"/>
        <w:spacing w:before="120" w:line="360" w:lineRule="auto"/>
        <w:rPr>
          <w:bCs w:val="0"/>
          <w:color w:val="auto"/>
          <w:sz w:val="24"/>
          <w:szCs w:val="24"/>
        </w:rPr>
      </w:pPr>
      <w:r>
        <w:rPr>
          <w:b/>
          <w:color w:val="auto"/>
          <w:sz w:val="24"/>
          <w:szCs w:val="24"/>
        </w:rPr>
        <w:t>5</w:t>
      </w:r>
      <w:r>
        <w:rPr>
          <w:bCs w:val="0"/>
          <w:color w:val="auto"/>
          <w:sz w:val="24"/>
          <w:szCs w:val="24"/>
        </w:rPr>
        <w:t xml:space="preserve">  监控系统安装完毕后，应进行验收，合格后方可运行。</w:t>
      </w:r>
    </w:p>
    <w:p w14:paraId="2A671769">
      <w:pPr>
        <w:pStyle w:val="33"/>
        <w:numPr>
          <w:ilvl w:val="0"/>
          <w:numId w:val="0"/>
        </w:numPr>
        <w:spacing w:before="120" w:line="360" w:lineRule="auto"/>
        <w:outlineLvl w:val="1"/>
        <w:rPr>
          <w:rFonts w:eastAsia="宋体"/>
          <w:b/>
          <w:bCs/>
          <w:sz w:val="24"/>
          <w:szCs w:val="24"/>
        </w:rPr>
      </w:pPr>
      <w:bookmarkStart w:id="324" w:name="_Toc13059"/>
      <w:bookmarkStart w:id="325" w:name="_Toc10994"/>
      <w:bookmarkStart w:id="326" w:name="_Toc14303"/>
      <w:bookmarkStart w:id="327" w:name="_Toc28103"/>
      <w:bookmarkStart w:id="328" w:name="_Toc20081"/>
      <w:bookmarkStart w:id="329" w:name="_Toc9468"/>
      <w:bookmarkStart w:id="330" w:name="_Toc14424"/>
      <w:r>
        <w:rPr>
          <w:rFonts w:hint="eastAsia" w:eastAsia="宋体"/>
          <w:b/>
          <w:bCs/>
          <w:sz w:val="24"/>
          <w:szCs w:val="24"/>
        </w:rPr>
        <w:t>6</w:t>
      </w:r>
      <w:r>
        <w:rPr>
          <w:rFonts w:eastAsia="宋体"/>
          <w:b/>
          <w:bCs/>
          <w:sz w:val="24"/>
          <w:szCs w:val="24"/>
        </w:rPr>
        <w:t>.5 用电设施设备</w:t>
      </w:r>
      <w:bookmarkEnd w:id="324"/>
      <w:bookmarkEnd w:id="325"/>
      <w:bookmarkEnd w:id="326"/>
      <w:bookmarkEnd w:id="327"/>
      <w:bookmarkEnd w:id="328"/>
      <w:bookmarkEnd w:id="329"/>
      <w:bookmarkEnd w:id="330"/>
    </w:p>
    <w:p w14:paraId="4FF9E751">
      <w:pPr>
        <w:pStyle w:val="35"/>
        <w:spacing w:before="120" w:line="360" w:lineRule="auto"/>
        <w:rPr>
          <w:bCs w:val="0"/>
          <w:color w:val="auto"/>
          <w:szCs w:val="24"/>
        </w:rPr>
      </w:pPr>
      <w:r>
        <w:rPr>
          <w:rFonts w:hint="eastAsia"/>
          <w:b/>
          <w:color w:val="auto"/>
          <w:szCs w:val="24"/>
        </w:rPr>
        <w:t>6</w:t>
      </w:r>
      <w:r>
        <w:rPr>
          <w:b/>
          <w:color w:val="auto"/>
          <w:szCs w:val="24"/>
        </w:rPr>
        <w:t>.5.1</w:t>
      </w:r>
      <w:r>
        <w:rPr>
          <w:bCs w:val="0"/>
          <w:color w:val="auto"/>
          <w:szCs w:val="24"/>
        </w:rPr>
        <w:t xml:space="preserve"> </w:t>
      </w:r>
      <w:r>
        <w:rPr>
          <w:rFonts w:hint="eastAsia"/>
          <w:bCs w:val="0"/>
          <w:color w:val="auto"/>
          <w:szCs w:val="24"/>
        </w:rPr>
        <w:t>施工现场所使用的用电设施设备应符合相应产品制造标准的规定。</w:t>
      </w:r>
    </w:p>
    <w:p w14:paraId="412BF5E7">
      <w:pPr>
        <w:pStyle w:val="35"/>
        <w:spacing w:before="120" w:line="360" w:lineRule="auto"/>
        <w:rPr>
          <w:bCs w:val="0"/>
          <w:color w:val="auto"/>
          <w:szCs w:val="24"/>
        </w:rPr>
      </w:pPr>
      <w:bookmarkStart w:id="331" w:name="_Hlk225436193"/>
      <w:r>
        <w:rPr>
          <w:rFonts w:hint="eastAsia"/>
          <w:b/>
          <w:color w:val="auto"/>
          <w:szCs w:val="24"/>
        </w:rPr>
        <w:t>6</w:t>
      </w:r>
      <w:r>
        <w:rPr>
          <w:b/>
          <w:color w:val="auto"/>
          <w:szCs w:val="24"/>
        </w:rPr>
        <w:t>.5.2</w:t>
      </w:r>
      <w:r>
        <w:rPr>
          <w:bCs w:val="0"/>
          <w:color w:val="auto"/>
          <w:szCs w:val="24"/>
        </w:rPr>
        <w:t xml:space="preserve"> </w:t>
      </w:r>
      <w:bookmarkEnd w:id="331"/>
      <w:r>
        <w:rPr>
          <w:bCs w:val="0"/>
          <w:color w:val="auto"/>
          <w:szCs w:val="24"/>
        </w:rPr>
        <w:t>施工现场所使用的用电设备应按照制造商要求的使用条件进行安装，如果不能满足设备技术文件要求，应采取附加防护措施。</w:t>
      </w:r>
    </w:p>
    <w:p w14:paraId="4E8572D6">
      <w:pPr>
        <w:pStyle w:val="35"/>
        <w:spacing w:before="120" w:line="360" w:lineRule="auto"/>
        <w:rPr>
          <w:color w:val="auto"/>
          <w:szCs w:val="24"/>
        </w:rPr>
      </w:pPr>
      <w:bookmarkStart w:id="332" w:name="_Hlk225436226"/>
      <w:bookmarkStart w:id="333" w:name="OLE_LINK51"/>
      <w:r>
        <w:rPr>
          <w:rFonts w:hint="eastAsia"/>
          <w:b/>
          <w:color w:val="auto"/>
          <w:szCs w:val="24"/>
        </w:rPr>
        <w:t>6</w:t>
      </w:r>
      <w:r>
        <w:rPr>
          <w:b/>
          <w:color w:val="auto"/>
          <w:szCs w:val="24"/>
        </w:rPr>
        <w:t>.5.3</w:t>
      </w:r>
      <w:bookmarkEnd w:id="332"/>
      <w:bookmarkStart w:id="334" w:name="OLE_LINK33"/>
      <w:bookmarkStart w:id="335" w:name="OLE_LINK34"/>
      <w:r>
        <w:rPr>
          <w:color w:val="auto"/>
          <w:szCs w:val="24"/>
        </w:rPr>
        <w:t xml:space="preserve"> </w:t>
      </w:r>
      <w:r>
        <w:rPr>
          <w:rFonts w:hint="eastAsia"/>
          <w:color w:val="auto"/>
          <w:szCs w:val="24"/>
        </w:rPr>
        <w:t>现场</w:t>
      </w:r>
      <w:r>
        <w:rPr>
          <w:rFonts w:hint="eastAsia" w:ascii="宋体" w:hAnsi="宋体"/>
          <w:color w:val="auto"/>
          <w:szCs w:val="24"/>
        </w:rPr>
        <w:t>Ⅰ类用电</w:t>
      </w:r>
      <w:r>
        <w:rPr>
          <w:bCs w:val="0"/>
          <w:color w:val="auto"/>
          <w:szCs w:val="24"/>
        </w:rPr>
        <w:t>设施设备</w:t>
      </w:r>
      <w:bookmarkEnd w:id="334"/>
      <w:bookmarkEnd w:id="335"/>
      <w:r>
        <w:rPr>
          <w:rFonts w:hint="eastAsia"/>
          <w:bCs w:val="0"/>
          <w:color w:val="auto"/>
          <w:szCs w:val="24"/>
        </w:rPr>
        <w:t>、</w:t>
      </w:r>
      <w:r>
        <w:rPr>
          <w:bCs w:val="0"/>
          <w:color w:val="auto"/>
          <w:szCs w:val="24"/>
        </w:rPr>
        <w:t>振动等用电设施设备</w:t>
      </w:r>
      <w:r>
        <w:rPr>
          <w:color w:val="auto"/>
          <w:szCs w:val="24"/>
        </w:rPr>
        <w:t>的外露可导电部分应与保护接地导体（PE）连接</w:t>
      </w:r>
      <w:r>
        <w:rPr>
          <w:bCs w:val="0"/>
          <w:color w:val="auto"/>
          <w:szCs w:val="24"/>
        </w:rPr>
        <w:t>牢固</w:t>
      </w:r>
      <w:bookmarkEnd w:id="333"/>
      <w:r>
        <w:rPr>
          <w:bCs w:val="0"/>
          <w:color w:val="auto"/>
          <w:szCs w:val="24"/>
        </w:rPr>
        <w:t>并</w:t>
      </w:r>
      <w:r>
        <w:rPr>
          <w:rFonts w:hint="eastAsia"/>
          <w:bCs w:val="0"/>
          <w:color w:val="auto"/>
          <w:szCs w:val="24"/>
        </w:rPr>
        <w:t>采取预防</w:t>
      </w:r>
      <w:r>
        <w:rPr>
          <w:bCs w:val="0"/>
          <w:color w:val="auto"/>
          <w:szCs w:val="24"/>
        </w:rPr>
        <w:t>导体松脱措施</w:t>
      </w:r>
      <w:r>
        <w:rPr>
          <w:rFonts w:hint="eastAsia"/>
          <w:color w:val="auto"/>
          <w:szCs w:val="24"/>
        </w:rPr>
        <w:t>。</w:t>
      </w:r>
    </w:p>
    <w:p w14:paraId="7093665D">
      <w:pPr>
        <w:pStyle w:val="35"/>
        <w:spacing w:before="120" w:line="360" w:lineRule="auto"/>
        <w:rPr>
          <w:bCs w:val="0"/>
          <w:color w:val="auto"/>
          <w:szCs w:val="24"/>
        </w:rPr>
      </w:pPr>
      <w:bookmarkStart w:id="336" w:name="_Hlk225436240"/>
      <w:r>
        <w:rPr>
          <w:rFonts w:hint="eastAsia"/>
          <w:b/>
          <w:color w:val="auto"/>
          <w:szCs w:val="24"/>
        </w:rPr>
        <w:t>6</w:t>
      </w:r>
      <w:r>
        <w:rPr>
          <w:b/>
          <w:color w:val="auto"/>
          <w:szCs w:val="24"/>
        </w:rPr>
        <w:t xml:space="preserve">.5.4 </w:t>
      </w:r>
      <w:bookmarkEnd w:id="336"/>
      <w:r>
        <w:rPr>
          <w:bCs w:val="0"/>
          <w:color w:val="auto"/>
          <w:szCs w:val="24"/>
        </w:rPr>
        <w:t>变频器、三相交流整流器、逆变器等非线性荷载电气机械设备，应选用工作特性相适应的剩余电流动作保护电器。</w:t>
      </w:r>
    </w:p>
    <w:p w14:paraId="61CAE9D4">
      <w:pPr>
        <w:pStyle w:val="35"/>
        <w:spacing w:before="120" w:line="360" w:lineRule="auto"/>
        <w:rPr>
          <w:bCs w:val="0"/>
          <w:color w:val="auto"/>
          <w:szCs w:val="24"/>
        </w:rPr>
      </w:pPr>
      <w:r>
        <w:rPr>
          <w:rFonts w:hint="eastAsia"/>
          <w:b/>
          <w:color w:val="auto"/>
          <w:szCs w:val="24"/>
        </w:rPr>
        <w:t>6</w:t>
      </w:r>
      <w:r>
        <w:rPr>
          <w:b/>
          <w:color w:val="auto"/>
          <w:szCs w:val="24"/>
        </w:rPr>
        <w:t>.5.</w:t>
      </w:r>
      <w:r>
        <w:rPr>
          <w:rFonts w:hint="eastAsia"/>
          <w:b/>
          <w:color w:val="auto"/>
          <w:szCs w:val="24"/>
        </w:rPr>
        <w:t>5</w:t>
      </w:r>
      <w:r>
        <w:rPr>
          <w:b/>
          <w:color w:val="auto"/>
          <w:szCs w:val="24"/>
        </w:rPr>
        <w:t xml:space="preserve"> </w:t>
      </w:r>
      <w:r>
        <w:rPr>
          <w:bCs w:val="0"/>
          <w:color w:val="auto"/>
          <w:szCs w:val="24"/>
        </w:rPr>
        <w:t>用电设备的规格、型号、容量和保护方式等应符合施工用电工程方案，不应擅自更改用电产品的结构、电气线路以及保护装置的整定值和保护元件的规格等。</w:t>
      </w:r>
    </w:p>
    <w:p w14:paraId="40796785">
      <w:pPr>
        <w:pStyle w:val="35"/>
        <w:spacing w:before="120" w:line="360" w:lineRule="auto"/>
        <w:rPr>
          <w:bCs w:val="0"/>
          <w:color w:val="auto"/>
          <w:szCs w:val="24"/>
        </w:rPr>
      </w:pPr>
      <w:r>
        <w:rPr>
          <w:rFonts w:hint="eastAsia"/>
          <w:b/>
          <w:color w:val="auto"/>
          <w:szCs w:val="24"/>
        </w:rPr>
        <w:t>6</w:t>
      </w:r>
      <w:r>
        <w:rPr>
          <w:b/>
          <w:color w:val="auto"/>
          <w:szCs w:val="24"/>
        </w:rPr>
        <w:t>.5.</w:t>
      </w:r>
      <w:bookmarkStart w:id="337" w:name="OLE_LINK16"/>
      <w:r>
        <w:rPr>
          <w:rFonts w:hint="eastAsia"/>
          <w:b/>
          <w:color w:val="auto"/>
          <w:szCs w:val="24"/>
        </w:rPr>
        <w:t>6</w:t>
      </w:r>
      <w:r>
        <w:rPr>
          <w:b/>
          <w:color w:val="auto"/>
          <w:szCs w:val="24"/>
        </w:rPr>
        <w:t xml:space="preserve"> </w:t>
      </w:r>
      <w:r>
        <w:rPr>
          <w:bCs w:val="0"/>
          <w:color w:val="auto"/>
          <w:szCs w:val="24"/>
        </w:rPr>
        <w:t>用电设备</w:t>
      </w:r>
      <w:bookmarkEnd w:id="337"/>
      <w:r>
        <w:rPr>
          <w:bCs w:val="0"/>
          <w:color w:val="auto"/>
          <w:szCs w:val="24"/>
        </w:rPr>
        <w:t>因停电或故障等情况而停止运行时，应切断电源、查明原因、排除故障，并确认用电设备恢复正常后，方可接通电源。</w:t>
      </w:r>
    </w:p>
    <w:p w14:paraId="0C853CAD">
      <w:pPr>
        <w:pStyle w:val="35"/>
        <w:spacing w:before="120" w:line="360" w:lineRule="auto"/>
        <w:rPr>
          <w:bCs w:val="0"/>
          <w:color w:val="auto"/>
          <w:szCs w:val="24"/>
        </w:rPr>
      </w:pPr>
      <w:bookmarkStart w:id="338" w:name="_Hlk190346185"/>
      <w:r>
        <w:rPr>
          <w:rFonts w:hint="eastAsia"/>
          <w:b/>
          <w:color w:val="auto"/>
          <w:szCs w:val="24"/>
        </w:rPr>
        <w:t>6</w:t>
      </w:r>
      <w:r>
        <w:rPr>
          <w:b/>
          <w:color w:val="auto"/>
          <w:szCs w:val="24"/>
        </w:rPr>
        <w:t>.5.</w:t>
      </w:r>
      <w:r>
        <w:rPr>
          <w:rFonts w:hint="eastAsia"/>
          <w:b/>
          <w:color w:val="auto"/>
          <w:szCs w:val="24"/>
        </w:rPr>
        <w:t>7</w:t>
      </w:r>
      <w:r>
        <w:rPr>
          <w:rFonts w:hint="eastAsia"/>
          <w:bCs w:val="0"/>
          <w:color w:val="auto"/>
          <w:szCs w:val="24"/>
        </w:rPr>
        <w:t xml:space="preserve"> 用电设施设备</w:t>
      </w:r>
      <w:r>
        <w:rPr>
          <w:bCs w:val="0"/>
          <w:color w:val="auto"/>
          <w:szCs w:val="24"/>
        </w:rPr>
        <w:t>进行清洁</w:t>
      </w:r>
      <w:r>
        <w:rPr>
          <w:rFonts w:hint="eastAsia"/>
          <w:bCs w:val="0"/>
          <w:color w:val="auto"/>
          <w:szCs w:val="24"/>
        </w:rPr>
        <w:t>检查</w:t>
      </w:r>
      <w:r>
        <w:rPr>
          <w:bCs w:val="0"/>
          <w:color w:val="auto"/>
          <w:szCs w:val="24"/>
        </w:rPr>
        <w:t>、</w:t>
      </w:r>
      <w:bookmarkStart w:id="339" w:name="_Hlk201153177"/>
      <w:r>
        <w:rPr>
          <w:bCs w:val="0"/>
          <w:color w:val="auto"/>
          <w:szCs w:val="24"/>
        </w:rPr>
        <w:t>维</w:t>
      </w:r>
      <w:r>
        <w:rPr>
          <w:rFonts w:hint="eastAsia"/>
          <w:bCs w:val="0"/>
          <w:color w:val="auto"/>
          <w:szCs w:val="24"/>
        </w:rPr>
        <w:t>护</w:t>
      </w:r>
      <w:r>
        <w:rPr>
          <w:bCs w:val="0"/>
          <w:color w:val="auto"/>
          <w:szCs w:val="24"/>
        </w:rPr>
        <w:t>保养</w:t>
      </w:r>
      <w:bookmarkEnd w:id="339"/>
      <w:r>
        <w:rPr>
          <w:bCs w:val="0"/>
          <w:color w:val="auto"/>
          <w:szCs w:val="24"/>
        </w:rPr>
        <w:t>时，不</w:t>
      </w:r>
      <w:r>
        <w:rPr>
          <w:rFonts w:hint="eastAsia"/>
          <w:bCs w:val="0"/>
          <w:color w:val="auto"/>
          <w:szCs w:val="24"/>
        </w:rPr>
        <w:t>得</w:t>
      </w:r>
      <w:r>
        <w:rPr>
          <w:bCs w:val="0"/>
          <w:color w:val="auto"/>
          <w:szCs w:val="24"/>
        </w:rPr>
        <w:t>带电作业</w:t>
      </w:r>
      <w:r>
        <w:rPr>
          <w:rFonts w:hint="eastAsia"/>
          <w:bCs w:val="0"/>
          <w:color w:val="auto"/>
          <w:szCs w:val="24"/>
        </w:rPr>
        <w:t>；</w:t>
      </w:r>
      <w:r>
        <w:rPr>
          <w:bCs w:val="0"/>
          <w:color w:val="auto"/>
          <w:szCs w:val="24"/>
        </w:rPr>
        <w:t>应将</w:t>
      </w:r>
      <w:r>
        <w:rPr>
          <w:rFonts w:hint="eastAsia"/>
          <w:bCs w:val="0"/>
          <w:color w:val="auto"/>
          <w:szCs w:val="24"/>
        </w:rPr>
        <w:t>本级及上</w:t>
      </w:r>
      <w:r>
        <w:rPr>
          <w:bCs w:val="0"/>
          <w:color w:val="auto"/>
          <w:szCs w:val="24"/>
        </w:rPr>
        <w:t>一级</w:t>
      </w:r>
      <w:r>
        <w:rPr>
          <w:rFonts w:hint="eastAsia"/>
          <w:bCs w:val="0"/>
          <w:color w:val="auto"/>
          <w:szCs w:val="24"/>
        </w:rPr>
        <w:t>相关回路的保护电器</w:t>
      </w:r>
      <w:r>
        <w:rPr>
          <w:bCs w:val="0"/>
          <w:color w:val="auto"/>
          <w:szCs w:val="24"/>
        </w:rPr>
        <w:t>分闸断电，并悬挂</w:t>
      </w:r>
      <w:r>
        <w:rPr>
          <w:rFonts w:hint="eastAsia"/>
          <w:bCs w:val="0"/>
          <w:color w:val="auto"/>
          <w:szCs w:val="24"/>
        </w:rPr>
        <w:t>“</w:t>
      </w:r>
      <w:r>
        <w:rPr>
          <w:bCs w:val="0"/>
          <w:color w:val="auto"/>
          <w:szCs w:val="24"/>
        </w:rPr>
        <w:t>有人工作</w:t>
      </w:r>
      <w:r>
        <w:rPr>
          <w:rFonts w:hint="eastAsia"/>
          <w:bCs w:val="0"/>
          <w:color w:val="auto"/>
          <w:szCs w:val="24"/>
        </w:rPr>
        <w:t>、</w:t>
      </w:r>
      <w:r>
        <w:rPr>
          <w:bCs w:val="0"/>
          <w:color w:val="auto"/>
          <w:szCs w:val="24"/>
        </w:rPr>
        <w:t>禁止合闸</w:t>
      </w:r>
      <w:r>
        <w:rPr>
          <w:rFonts w:hint="eastAsia"/>
          <w:bCs w:val="0"/>
          <w:color w:val="auto"/>
          <w:szCs w:val="24"/>
        </w:rPr>
        <w:t>”</w:t>
      </w:r>
      <w:r>
        <w:rPr>
          <w:bCs w:val="0"/>
          <w:color w:val="auto"/>
          <w:szCs w:val="24"/>
        </w:rPr>
        <w:t>警示标志</w:t>
      </w:r>
      <w:r>
        <w:rPr>
          <w:rFonts w:hint="eastAsia"/>
          <w:bCs w:val="0"/>
          <w:color w:val="auto"/>
          <w:szCs w:val="24"/>
        </w:rPr>
        <w:t>，待</w:t>
      </w:r>
      <w:r>
        <w:rPr>
          <w:bCs w:val="0"/>
          <w:color w:val="auto"/>
          <w:szCs w:val="24"/>
        </w:rPr>
        <w:t>机械</w:t>
      </w:r>
      <w:r>
        <w:rPr>
          <w:rFonts w:hint="eastAsia"/>
          <w:bCs w:val="0"/>
          <w:color w:val="auto"/>
          <w:szCs w:val="24"/>
        </w:rPr>
        <w:t>停止运转</w:t>
      </w:r>
      <w:r>
        <w:rPr>
          <w:bCs w:val="0"/>
          <w:color w:val="auto"/>
          <w:szCs w:val="24"/>
        </w:rPr>
        <w:t>后，方可进行维</w:t>
      </w:r>
      <w:r>
        <w:rPr>
          <w:rFonts w:hint="eastAsia"/>
          <w:bCs w:val="0"/>
          <w:color w:val="auto"/>
          <w:szCs w:val="24"/>
        </w:rPr>
        <w:t>护</w:t>
      </w:r>
      <w:r>
        <w:rPr>
          <w:bCs w:val="0"/>
          <w:color w:val="auto"/>
          <w:szCs w:val="24"/>
        </w:rPr>
        <w:t>保养</w:t>
      </w:r>
      <w:r>
        <w:rPr>
          <w:rFonts w:hint="eastAsia"/>
          <w:bCs w:val="0"/>
          <w:color w:val="auto"/>
          <w:szCs w:val="24"/>
        </w:rPr>
        <w:t>等作业。</w:t>
      </w:r>
      <w:r>
        <w:rPr>
          <w:bCs w:val="0"/>
          <w:color w:val="auto"/>
          <w:szCs w:val="24"/>
        </w:rPr>
        <w:t xml:space="preserve"> </w:t>
      </w:r>
    </w:p>
    <w:p w14:paraId="6E7566C7">
      <w:pPr>
        <w:pStyle w:val="35"/>
        <w:spacing w:before="120" w:line="360" w:lineRule="auto"/>
        <w:rPr>
          <w:bCs w:val="0"/>
          <w:color w:val="auto"/>
          <w:szCs w:val="24"/>
        </w:rPr>
      </w:pPr>
      <w:bookmarkStart w:id="340" w:name="_Hlk225436261"/>
      <w:r>
        <w:rPr>
          <w:rFonts w:hint="eastAsia"/>
          <w:b/>
          <w:color w:val="auto"/>
          <w:szCs w:val="24"/>
        </w:rPr>
        <w:t>6</w:t>
      </w:r>
      <w:r>
        <w:rPr>
          <w:b/>
          <w:color w:val="auto"/>
          <w:szCs w:val="24"/>
        </w:rPr>
        <w:t>.5.</w:t>
      </w:r>
      <w:bookmarkEnd w:id="338"/>
      <w:r>
        <w:rPr>
          <w:rFonts w:hint="eastAsia"/>
          <w:b/>
          <w:color w:val="auto"/>
          <w:szCs w:val="24"/>
        </w:rPr>
        <w:t>8</w:t>
      </w:r>
      <w:bookmarkEnd w:id="340"/>
      <w:r>
        <w:rPr>
          <w:rFonts w:hint="eastAsia"/>
          <w:b/>
          <w:color w:val="auto"/>
          <w:szCs w:val="24"/>
        </w:rPr>
        <w:t xml:space="preserve"> </w:t>
      </w:r>
      <w:r>
        <w:rPr>
          <w:bCs w:val="0"/>
          <w:color w:val="auto"/>
          <w:szCs w:val="24"/>
        </w:rPr>
        <w:t>可移动式电气设备应切断电源后方可移动。</w:t>
      </w:r>
    </w:p>
    <w:p w14:paraId="28F4C765">
      <w:pPr>
        <w:pStyle w:val="35"/>
        <w:spacing w:before="120" w:line="360" w:lineRule="auto"/>
        <w:rPr>
          <w:bCs w:val="0"/>
          <w:color w:val="auto"/>
          <w:szCs w:val="24"/>
        </w:rPr>
      </w:pPr>
      <w:r>
        <w:rPr>
          <w:rFonts w:hint="eastAsia"/>
          <w:b/>
          <w:color w:val="auto"/>
          <w:szCs w:val="24"/>
        </w:rPr>
        <w:t>6</w:t>
      </w:r>
      <w:r>
        <w:rPr>
          <w:b/>
          <w:color w:val="auto"/>
          <w:szCs w:val="24"/>
        </w:rPr>
        <w:t>.5.</w:t>
      </w:r>
      <w:r>
        <w:rPr>
          <w:rFonts w:hint="eastAsia"/>
          <w:b/>
          <w:color w:val="auto"/>
          <w:szCs w:val="24"/>
        </w:rPr>
        <w:t>9</w:t>
      </w:r>
      <w:r>
        <w:rPr>
          <w:bCs w:val="0"/>
          <w:color w:val="auto"/>
          <w:szCs w:val="24"/>
        </w:rPr>
        <w:t xml:space="preserve"> 桩工机械金属结构、电气设备的外露可导电部分</w:t>
      </w:r>
      <w:r>
        <w:rPr>
          <w:rFonts w:hint="eastAsia"/>
          <w:bCs w:val="0"/>
          <w:color w:val="auto"/>
          <w:szCs w:val="24"/>
        </w:rPr>
        <w:t>应</w:t>
      </w:r>
      <w:r>
        <w:rPr>
          <w:bCs w:val="0"/>
          <w:color w:val="auto"/>
          <w:szCs w:val="24"/>
        </w:rPr>
        <w:t>与保护接地导体（PE）可靠连接。</w:t>
      </w:r>
    </w:p>
    <w:p w14:paraId="51924522">
      <w:pPr>
        <w:pStyle w:val="35"/>
        <w:spacing w:before="120" w:line="360" w:lineRule="auto"/>
        <w:rPr>
          <w:bCs w:val="0"/>
          <w:color w:val="auto"/>
          <w:szCs w:val="24"/>
        </w:rPr>
      </w:pPr>
      <w:bookmarkStart w:id="341" w:name="_Hlk225436293"/>
      <w:r>
        <w:rPr>
          <w:rFonts w:hint="eastAsia"/>
          <w:b/>
          <w:color w:val="auto"/>
          <w:szCs w:val="24"/>
        </w:rPr>
        <w:t>6</w:t>
      </w:r>
      <w:r>
        <w:rPr>
          <w:b/>
          <w:color w:val="auto"/>
          <w:szCs w:val="24"/>
        </w:rPr>
        <w:t>.5.</w:t>
      </w:r>
      <w:r>
        <w:rPr>
          <w:rFonts w:hint="eastAsia"/>
          <w:b/>
          <w:color w:val="auto"/>
          <w:szCs w:val="24"/>
        </w:rPr>
        <w:t>10</w:t>
      </w:r>
      <w:bookmarkEnd w:id="341"/>
      <w:r>
        <w:rPr>
          <w:rFonts w:hint="eastAsia"/>
          <w:bCs w:val="0"/>
          <w:color w:val="auto"/>
          <w:szCs w:val="24"/>
        </w:rPr>
        <w:t xml:space="preserve"> </w:t>
      </w:r>
      <w:r>
        <w:rPr>
          <w:bCs w:val="0"/>
          <w:color w:val="auto"/>
          <w:szCs w:val="24"/>
        </w:rPr>
        <w:t>桩工机械电源供电距离宜在200m以内，工作电源电压的允许偏差为其</w:t>
      </w:r>
      <w:r>
        <w:rPr>
          <w:rFonts w:hint="eastAsia"/>
          <w:color w:val="auto"/>
          <w:szCs w:val="24"/>
        </w:rPr>
        <w:t>额定电压</w:t>
      </w:r>
      <w:r>
        <w:rPr>
          <w:bCs w:val="0"/>
          <w:color w:val="auto"/>
          <w:szCs w:val="24"/>
        </w:rPr>
        <w:t>的±5%。</w:t>
      </w:r>
    </w:p>
    <w:p w14:paraId="73730237">
      <w:pPr>
        <w:pStyle w:val="35"/>
        <w:spacing w:before="120" w:line="360" w:lineRule="auto"/>
        <w:rPr>
          <w:bCs w:val="0"/>
          <w:color w:val="auto"/>
          <w:szCs w:val="24"/>
        </w:rPr>
      </w:pPr>
      <w:r>
        <w:rPr>
          <w:rFonts w:hint="eastAsia"/>
          <w:b/>
          <w:color w:val="auto"/>
          <w:szCs w:val="24"/>
        </w:rPr>
        <w:t>6</w:t>
      </w:r>
      <w:r>
        <w:rPr>
          <w:b/>
          <w:color w:val="auto"/>
          <w:szCs w:val="24"/>
        </w:rPr>
        <w:t>.5.</w:t>
      </w:r>
      <w:r>
        <w:rPr>
          <w:rFonts w:hint="eastAsia"/>
          <w:b/>
          <w:color w:val="auto"/>
          <w:szCs w:val="24"/>
        </w:rPr>
        <w:t>11</w:t>
      </w:r>
      <w:r>
        <w:rPr>
          <w:rFonts w:hint="eastAsia"/>
          <w:bCs w:val="0"/>
          <w:color w:val="auto"/>
          <w:szCs w:val="24"/>
        </w:rPr>
        <w:t xml:space="preserve"> </w:t>
      </w:r>
      <w:r>
        <w:rPr>
          <w:bCs w:val="0"/>
          <w:color w:val="auto"/>
          <w:szCs w:val="24"/>
        </w:rPr>
        <w:t>桩工机械使用前，应对</w:t>
      </w:r>
      <w:r>
        <w:rPr>
          <w:rFonts w:hint="eastAsia"/>
          <w:bCs w:val="0"/>
          <w:color w:val="auto"/>
          <w:szCs w:val="24"/>
        </w:rPr>
        <w:t>电动装置的</w:t>
      </w:r>
      <w:bookmarkStart w:id="342" w:name="_Hlk197276733"/>
      <w:r>
        <w:rPr>
          <w:rFonts w:hint="eastAsia"/>
          <w:bCs w:val="0"/>
          <w:color w:val="auto"/>
          <w:szCs w:val="24"/>
        </w:rPr>
        <w:t>带电体绝缘</w:t>
      </w:r>
      <w:bookmarkEnd w:id="342"/>
      <w:r>
        <w:rPr>
          <w:rFonts w:hint="eastAsia"/>
          <w:bCs w:val="0"/>
          <w:color w:val="auto"/>
          <w:szCs w:val="24"/>
        </w:rPr>
        <w:t>强度</w:t>
      </w:r>
      <w:r>
        <w:rPr>
          <w:bCs w:val="0"/>
          <w:color w:val="auto"/>
          <w:szCs w:val="24"/>
        </w:rPr>
        <w:t>进行检</w:t>
      </w:r>
      <w:r>
        <w:rPr>
          <w:rFonts w:hint="eastAsia"/>
          <w:bCs w:val="0"/>
          <w:color w:val="auto"/>
          <w:szCs w:val="24"/>
        </w:rPr>
        <w:t>测及检查，</w:t>
      </w:r>
      <w:r>
        <w:rPr>
          <w:bCs w:val="0"/>
          <w:color w:val="auto"/>
          <w:szCs w:val="24"/>
        </w:rPr>
        <w:t>电动机绕组间和绕组对地的绝缘电阻值不应小于10MΩ</w:t>
      </w:r>
      <w:r>
        <w:rPr>
          <w:rFonts w:hint="eastAsia"/>
          <w:bCs w:val="0"/>
          <w:color w:val="auto"/>
          <w:szCs w:val="24"/>
        </w:rPr>
        <w:t>；</w:t>
      </w:r>
      <w:r>
        <w:rPr>
          <w:bCs w:val="0"/>
          <w:color w:val="auto"/>
          <w:szCs w:val="24"/>
        </w:rPr>
        <w:t>试运转</w:t>
      </w:r>
      <w:r>
        <w:rPr>
          <w:rFonts w:hint="eastAsia"/>
          <w:bCs w:val="0"/>
          <w:color w:val="auto"/>
          <w:szCs w:val="24"/>
        </w:rPr>
        <w:t>正常后方可投入使用</w:t>
      </w:r>
      <w:r>
        <w:rPr>
          <w:bCs w:val="0"/>
          <w:color w:val="auto"/>
          <w:szCs w:val="24"/>
        </w:rPr>
        <w:t>。</w:t>
      </w:r>
    </w:p>
    <w:p w14:paraId="1E28E228">
      <w:pPr>
        <w:pStyle w:val="35"/>
        <w:spacing w:before="120" w:line="360" w:lineRule="auto"/>
        <w:rPr>
          <w:bCs w:val="0"/>
          <w:color w:val="auto"/>
          <w:szCs w:val="24"/>
        </w:rPr>
      </w:pPr>
      <w:r>
        <w:rPr>
          <w:rFonts w:hint="eastAsia"/>
          <w:b/>
          <w:color w:val="auto"/>
          <w:szCs w:val="24"/>
        </w:rPr>
        <w:t>6</w:t>
      </w:r>
      <w:r>
        <w:rPr>
          <w:b/>
          <w:color w:val="auto"/>
          <w:szCs w:val="24"/>
        </w:rPr>
        <w:t>.5.</w:t>
      </w:r>
      <w:r>
        <w:rPr>
          <w:rFonts w:hint="eastAsia"/>
          <w:b/>
          <w:color w:val="auto"/>
          <w:szCs w:val="24"/>
        </w:rPr>
        <w:t>12</w:t>
      </w:r>
      <w:r>
        <w:rPr>
          <w:rFonts w:hint="eastAsia"/>
          <w:bCs w:val="0"/>
          <w:color w:val="auto"/>
          <w:szCs w:val="24"/>
        </w:rPr>
        <w:t xml:space="preserve"> </w:t>
      </w:r>
      <w:r>
        <w:rPr>
          <w:bCs w:val="0"/>
          <w:color w:val="auto"/>
          <w:szCs w:val="24"/>
        </w:rPr>
        <w:t>桩工机械停止</w:t>
      </w:r>
      <w:r>
        <w:rPr>
          <w:rFonts w:hint="eastAsia"/>
          <w:bCs w:val="0"/>
          <w:color w:val="auto"/>
          <w:szCs w:val="24"/>
        </w:rPr>
        <w:t>作业后</w:t>
      </w:r>
      <w:r>
        <w:rPr>
          <w:bCs w:val="0"/>
          <w:color w:val="auto"/>
          <w:szCs w:val="24"/>
        </w:rPr>
        <w:t>应切断电</w:t>
      </w:r>
      <w:r>
        <w:rPr>
          <w:rFonts w:hint="eastAsia"/>
          <w:bCs w:val="0"/>
          <w:color w:val="auto"/>
          <w:szCs w:val="24"/>
        </w:rPr>
        <w:t>源</w:t>
      </w:r>
      <w:r>
        <w:rPr>
          <w:bCs w:val="0"/>
          <w:color w:val="auto"/>
          <w:szCs w:val="24"/>
        </w:rPr>
        <w:t>。</w:t>
      </w:r>
    </w:p>
    <w:p w14:paraId="2178DAD8">
      <w:pPr>
        <w:pStyle w:val="35"/>
        <w:spacing w:before="120" w:line="360" w:lineRule="auto"/>
        <w:rPr>
          <w:bCs w:val="0"/>
          <w:color w:val="auto"/>
          <w:szCs w:val="24"/>
        </w:rPr>
      </w:pPr>
      <w:r>
        <w:rPr>
          <w:rFonts w:hint="eastAsia"/>
          <w:b/>
          <w:color w:val="auto"/>
          <w:szCs w:val="24"/>
        </w:rPr>
        <w:t>6</w:t>
      </w:r>
      <w:r>
        <w:rPr>
          <w:b/>
          <w:color w:val="auto"/>
          <w:szCs w:val="24"/>
        </w:rPr>
        <w:t>.5.</w:t>
      </w:r>
      <w:r>
        <w:rPr>
          <w:rFonts w:hint="eastAsia"/>
          <w:b/>
          <w:color w:val="auto"/>
          <w:szCs w:val="24"/>
        </w:rPr>
        <w:t>13</w:t>
      </w:r>
      <w:r>
        <w:rPr>
          <w:bCs w:val="0"/>
          <w:color w:val="auto"/>
          <w:szCs w:val="24"/>
        </w:rPr>
        <w:t xml:space="preserve"> 钢筋加工设备的电气控制装置、电器元件</w:t>
      </w:r>
      <w:r>
        <w:rPr>
          <w:rFonts w:hint="eastAsia"/>
          <w:bCs w:val="0"/>
          <w:color w:val="auto"/>
          <w:szCs w:val="24"/>
        </w:rPr>
        <w:t>、</w:t>
      </w:r>
      <w:r>
        <w:rPr>
          <w:bCs w:val="0"/>
          <w:color w:val="auto"/>
          <w:szCs w:val="24"/>
        </w:rPr>
        <w:t>电气线路绝缘</w:t>
      </w:r>
      <w:r>
        <w:rPr>
          <w:rFonts w:hint="eastAsia"/>
          <w:bCs w:val="0"/>
          <w:color w:val="auto"/>
          <w:szCs w:val="24"/>
        </w:rPr>
        <w:t>强度</w:t>
      </w:r>
      <w:r>
        <w:rPr>
          <w:bCs w:val="0"/>
          <w:color w:val="auto"/>
          <w:szCs w:val="24"/>
        </w:rPr>
        <w:t>应</w:t>
      </w:r>
      <w:r>
        <w:rPr>
          <w:rFonts w:hint="eastAsia"/>
          <w:bCs w:val="0"/>
          <w:color w:val="auto"/>
          <w:szCs w:val="24"/>
        </w:rPr>
        <w:t>符合要求，并</w:t>
      </w:r>
      <w:r>
        <w:rPr>
          <w:bCs w:val="0"/>
          <w:color w:val="auto"/>
          <w:szCs w:val="24"/>
        </w:rPr>
        <w:t>固定</w:t>
      </w:r>
      <w:r>
        <w:rPr>
          <w:rFonts w:hint="eastAsia"/>
          <w:bCs w:val="0"/>
          <w:color w:val="auto"/>
          <w:szCs w:val="24"/>
        </w:rPr>
        <w:t>牢靠、</w:t>
      </w:r>
      <w:r>
        <w:rPr>
          <w:bCs w:val="0"/>
          <w:color w:val="auto"/>
          <w:szCs w:val="24"/>
        </w:rPr>
        <w:t>排列整齐。</w:t>
      </w:r>
    </w:p>
    <w:p w14:paraId="347060CB">
      <w:pPr>
        <w:pStyle w:val="35"/>
        <w:spacing w:before="120" w:line="360" w:lineRule="auto"/>
        <w:rPr>
          <w:bCs w:val="0"/>
          <w:color w:val="auto"/>
          <w:szCs w:val="24"/>
        </w:rPr>
      </w:pPr>
      <w:bookmarkStart w:id="343" w:name="_Hlk225436439"/>
      <w:r>
        <w:rPr>
          <w:rFonts w:hint="eastAsia"/>
          <w:b/>
          <w:color w:val="auto"/>
          <w:szCs w:val="24"/>
        </w:rPr>
        <w:t>6</w:t>
      </w:r>
      <w:r>
        <w:rPr>
          <w:b/>
          <w:color w:val="auto"/>
          <w:szCs w:val="24"/>
        </w:rPr>
        <w:t>.5.</w:t>
      </w:r>
      <w:r>
        <w:rPr>
          <w:rFonts w:hint="eastAsia"/>
          <w:b/>
          <w:color w:val="auto"/>
          <w:szCs w:val="24"/>
        </w:rPr>
        <w:t>14</w:t>
      </w:r>
      <w:bookmarkEnd w:id="343"/>
      <w:r>
        <w:rPr>
          <w:bCs w:val="0"/>
          <w:color w:val="auto"/>
          <w:szCs w:val="24"/>
        </w:rPr>
        <w:t xml:space="preserve"> </w:t>
      </w:r>
      <w:r>
        <w:rPr>
          <w:rFonts w:hint="eastAsia"/>
          <w:bCs w:val="0"/>
          <w:color w:val="auto"/>
          <w:szCs w:val="24"/>
        </w:rPr>
        <w:t>当</w:t>
      </w:r>
      <w:r>
        <w:rPr>
          <w:bCs w:val="0"/>
          <w:color w:val="auto"/>
          <w:szCs w:val="24"/>
        </w:rPr>
        <w:t>采用外引</w:t>
      </w:r>
      <w:r>
        <w:rPr>
          <w:rFonts w:hint="eastAsia"/>
          <w:bCs w:val="0"/>
          <w:color w:val="auto"/>
          <w:szCs w:val="24"/>
        </w:rPr>
        <w:t>线缆</w:t>
      </w:r>
      <w:r>
        <w:rPr>
          <w:bCs w:val="0"/>
          <w:color w:val="auto"/>
          <w:szCs w:val="24"/>
        </w:rPr>
        <w:t>手柄开关或踏板</w:t>
      </w:r>
      <w:r>
        <w:rPr>
          <w:rFonts w:hint="eastAsia"/>
          <w:bCs w:val="0"/>
          <w:color w:val="auto"/>
          <w:szCs w:val="24"/>
        </w:rPr>
        <w:t>开关</w:t>
      </w:r>
      <w:r>
        <w:rPr>
          <w:bCs w:val="0"/>
          <w:color w:val="auto"/>
          <w:szCs w:val="24"/>
        </w:rPr>
        <w:t>控制钢筋弯曲机</w:t>
      </w:r>
      <w:r>
        <w:rPr>
          <w:rFonts w:hint="eastAsia"/>
          <w:bCs w:val="0"/>
          <w:color w:val="auto"/>
          <w:szCs w:val="24"/>
        </w:rPr>
        <w:t>运行时</w:t>
      </w:r>
      <w:r>
        <w:rPr>
          <w:bCs w:val="0"/>
          <w:color w:val="auto"/>
          <w:szCs w:val="24"/>
        </w:rPr>
        <w:t>，控制</w:t>
      </w:r>
      <w:r>
        <w:rPr>
          <w:rFonts w:hint="eastAsia"/>
          <w:bCs w:val="0"/>
          <w:color w:val="auto"/>
          <w:szCs w:val="24"/>
        </w:rPr>
        <w:t>回路</w:t>
      </w:r>
      <w:r>
        <w:rPr>
          <w:bCs w:val="0"/>
          <w:color w:val="auto"/>
          <w:szCs w:val="24"/>
        </w:rPr>
        <w:t>电源应采用不大于</w:t>
      </w:r>
      <w:r>
        <w:rPr>
          <w:rFonts w:hint="eastAsia"/>
          <w:color w:val="auto"/>
          <w:szCs w:val="24"/>
        </w:rPr>
        <w:t>AC24V</w:t>
      </w:r>
      <w:r>
        <w:rPr>
          <w:bCs w:val="0"/>
          <w:color w:val="auto"/>
          <w:szCs w:val="24"/>
        </w:rPr>
        <w:t>电压</w:t>
      </w:r>
      <w:r>
        <w:rPr>
          <w:rFonts w:hint="eastAsia"/>
          <w:bCs w:val="0"/>
          <w:color w:val="auto"/>
          <w:szCs w:val="24"/>
        </w:rPr>
        <w:t>供电</w:t>
      </w:r>
      <w:r>
        <w:rPr>
          <w:bCs w:val="0"/>
          <w:color w:val="auto"/>
          <w:szCs w:val="24"/>
        </w:rPr>
        <w:t>。</w:t>
      </w:r>
    </w:p>
    <w:p w14:paraId="563E1ACB">
      <w:pPr>
        <w:pStyle w:val="35"/>
        <w:spacing w:before="120" w:line="360" w:lineRule="auto"/>
        <w:rPr>
          <w:bCs w:val="0"/>
          <w:color w:val="auto"/>
          <w:szCs w:val="24"/>
        </w:rPr>
      </w:pPr>
      <w:r>
        <w:rPr>
          <w:rFonts w:hint="eastAsia"/>
          <w:b/>
          <w:color w:val="auto"/>
          <w:szCs w:val="24"/>
        </w:rPr>
        <w:t>6</w:t>
      </w:r>
      <w:r>
        <w:rPr>
          <w:b/>
          <w:color w:val="auto"/>
          <w:szCs w:val="24"/>
        </w:rPr>
        <w:t>.5.</w:t>
      </w:r>
      <w:r>
        <w:rPr>
          <w:rFonts w:hint="eastAsia"/>
          <w:b/>
          <w:color w:val="auto"/>
          <w:szCs w:val="24"/>
        </w:rPr>
        <w:t>15</w:t>
      </w:r>
      <w:r>
        <w:rPr>
          <w:rFonts w:hint="eastAsia"/>
          <w:bCs w:val="0"/>
          <w:color w:val="auto"/>
          <w:szCs w:val="24"/>
        </w:rPr>
        <w:t xml:space="preserve"> </w:t>
      </w:r>
      <w:r>
        <w:rPr>
          <w:bCs w:val="0"/>
          <w:color w:val="auto"/>
          <w:szCs w:val="24"/>
        </w:rPr>
        <w:t>钢筋加工设备末级配电箱内应保持整洁，不应存放任何杂物。</w:t>
      </w:r>
    </w:p>
    <w:p w14:paraId="2796CFCA">
      <w:pPr>
        <w:pStyle w:val="35"/>
        <w:spacing w:before="120" w:line="360" w:lineRule="auto"/>
        <w:rPr>
          <w:bCs w:val="0"/>
          <w:color w:val="auto"/>
          <w:szCs w:val="24"/>
        </w:rPr>
      </w:pPr>
      <w:r>
        <w:rPr>
          <w:rFonts w:hint="eastAsia"/>
          <w:b/>
          <w:color w:val="auto"/>
          <w:szCs w:val="24"/>
        </w:rPr>
        <w:t>6</w:t>
      </w:r>
      <w:r>
        <w:rPr>
          <w:b/>
          <w:color w:val="auto"/>
          <w:szCs w:val="24"/>
        </w:rPr>
        <w:t>.5.</w:t>
      </w:r>
      <w:r>
        <w:rPr>
          <w:rFonts w:hint="eastAsia"/>
          <w:b/>
          <w:color w:val="auto"/>
          <w:szCs w:val="24"/>
        </w:rPr>
        <w:t>16</w:t>
      </w:r>
      <w:r>
        <w:rPr>
          <w:rFonts w:hint="eastAsia"/>
          <w:bCs w:val="0"/>
          <w:color w:val="auto"/>
          <w:szCs w:val="24"/>
        </w:rPr>
        <w:t xml:space="preserve"> </w:t>
      </w:r>
      <w:r>
        <w:rPr>
          <w:bCs w:val="0"/>
          <w:color w:val="auto"/>
          <w:szCs w:val="24"/>
        </w:rPr>
        <w:t>停止</w:t>
      </w:r>
      <w:r>
        <w:rPr>
          <w:rFonts w:hint="eastAsia"/>
          <w:bCs w:val="0"/>
          <w:color w:val="auto"/>
          <w:szCs w:val="24"/>
        </w:rPr>
        <w:t>作业</w:t>
      </w:r>
      <w:r>
        <w:rPr>
          <w:bCs w:val="0"/>
          <w:color w:val="auto"/>
          <w:szCs w:val="24"/>
        </w:rPr>
        <w:t>一小时及以上或</w:t>
      </w:r>
      <w:r>
        <w:rPr>
          <w:rFonts w:hint="eastAsia"/>
          <w:bCs w:val="0"/>
          <w:color w:val="auto"/>
          <w:szCs w:val="24"/>
        </w:rPr>
        <w:t>作业</w:t>
      </w:r>
      <w:r>
        <w:rPr>
          <w:bCs w:val="0"/>
          <w:color w:val="auto"/>
          <w:szCs w:val="24"/>
        </w:rPr>
        <w:t>结束人员离开，应按序停机、断电、锁箱。</w:t>
      </w:r>
    </w:p>
    <w:p w14:paraId="5FAE3D64">
      <w:pPr>
        <w:pStyle w:val="35"/>
        <w:spacing w:before="120" w:line="360" w:lineRule="auto"/>
        <w:rPr>
          <w:bCs w:val="0"/>
          <w:color w:val="auto"/>
          <w:szCs w:val="24"/>
        </w:rPr>
      </w:pPr>
      <w:r>
        <w:rPr>
          <w:rFonts w:hint="eastAsia"/>
          <w:b/>
          <w:color w:val="auto"/>
          <w:szCs w:val="24"/>
        </w:rPr>
        <w:t>6</w:t>
      </w:r>
      <w:r>
        <w:rPr>
          <w:b/>
          <w:color w:val="auto"/>
          <w:szCs w:val="24"/>
        </w:rPr>
        <w:t>.5.1</w:t>
      </w:r>
      <w:r>
        <w:rPr>
          <w:rFonts w:hint="eastAsia"/>
          <w:b/>
          <w:color w:val="auto"/>
          <w:szCs w:val="24"/>
        </w:rPr>
        <w:t>7</w:t>
      </w:r>
      <w:r>
        <w:rPr>
          <w:rFonts w:hint="eastAsia"/>
          <w:bCs w:val="0"/>
          <w:color w:val="auto"/>
          <w:szCs w:val="24"/>
        </w:rPr>
        <w:t xml:space="preserve"> </w:t>
      </w:r>
      <w:r>
        <w:rPr>
          <w:bCs w:val="0"/>
          <w:color w:val="auto"/>
          <w:szCs w:val="24"/>
        </w:rPr>
        <w:t>起重机械的电源电缆应定期检查、维护。</w:t>
      </w:r>
    </w:p>
    <w:p w14:paraId="3A760A55">
      <w:pPr>
        <w:pStyle w:val="35"/>
        <w:spacing w:before="120" w:line="360" w:lineRule="auto"/>
        <w:rPr>
          <w:bCs w:val="0"/>
          <w:color w:val="auto"/>
          <w:szCs w:val="24"/>
        </w:rPr>
      </w:pPr>
      <w:r>
        <w:rPr>
          <w:rFonts w:hint="eastAsia"/>
          <w:b/>
          <w:color w:val="auto"/>
          <w:szCs w:val="24"/>
        </w:rPr>
        <w:t>6</w:t>
      </w:r>
      <w:r>
        <w:rPr>
          <w:b/>
          <w:color w:val="auto"/>
          <w:szCs w:val="24"/>
        </w:rPr>
        <w:t>.5.</w:t>
      </w:r>
      <w:r>
        <w:rPr>
          <w:rFonts w:hint="eastAsia"/>
          <w:b/>
          <w:color w:val="auto"/>
          <w:szCs w:val="24"/>
        </w:rPr>
        <w:t>18</w:t>
      </w:r>
      <w:r>
        <w:rPr>
          <w:rFonts w:hint="eastAsia"/>
          <w:bCs w:val="0"/>
          <w:color w:val="auto"/>
          <w:szCs w:val="24"/>
        </w:rPr>
        <w:t xml:space="preserve"> </w:t>
      </w:r>
      <w:r>
        <w:rPr>
          <w:bCs w:val="0"/>
          <w:color w:val="auto"/>
          <w:szCs w:val="24"/>
        </w:rPr>
        <w:t>行走式起重机械应采用电缆悬挂式或卷筒式供电方式</w:t>
      </w:r>
      <w:r>
        <w:rPr>
          <w:rFonts w:hint="eastAsia"/>
          <w:bCs w:val="0"/>
          <w:color w:val="auto"/>
          <w:szCs w:val="24"/>
        </w:rPr>
        <w:t>；</w:t>
      </w:r>
      <w:r>
        <w:rPr>
          <w:bCs w:val="0"/>
          <w:color w:val="auto"/>
          <w:szCs w:val="24"/>
        </w:rPr>
        <w:t>电缆收放</w:t>
      </w:r>
      <w:r>
        <w:rPr>
          <w:rFonts w:hint="eastAsia"/>
          <w:bCs w:val="0"/>
          <w:color w:val="auto"/>
          <w:szCs w:val="24"/>
        </w:rPr>
        <w:t>过程</w:t>
      </w:r>
      <w:r>
        <w:rPr>
          <w:bCs w:val="0"/>
          <w:color w:val="auto"/>
          <w:szCs w:val="24"/>
        </w:rPr>
        <w:t>不应与设备材料</w:t>
      </w:r>
      <w:r>
        <w:rPr>
          <w:rFonts w:hint="eastAsia"/>
          <w:bCs w:val="0"/>
          <w:color w:val="auto"/>
          <w:szCs w:val="24"/>
        </w:rPr>
        <w:t>等</w:t>
      </w:r>
      <w:r>
        <w:rPr>
          <w:bCs w:val="0"/>
          <w:color w:val="auto"/>
          <w:szCs w:val="24"/>
        </w:rPr>
        <w:t>物</w:t>
      </w:r>
      <w:r>
        <w:rPr>
          <w:rFonts w:hint="eastAsia"/>
          <w:bCs w:val="0"/>
          <w:color w:val="auto"/>
          <w:szCs w:val="24"/>
        </w:rPr>
        <w:t>体</w:t>
      </w:r>
      <w:r>
        <w:rPr>
          <w:bCs w:val="0"/>
          <w:color w:val="auto"/>
          <w:szCs w:val="24"/>
        </w:rPr>
        <w:t>触</w:t>
      </w:r>
      <w:r>
        <w:rPr>
          <w:rFonts w:hint="eastAsia"/>
          <w:bCs w:val="0"/>
          <w:color w:val="auto"/>
          <w:szCs w:val="24"/>
        </w:rPr>
        <w:t>碰</w:t>
      </w:r>
      <w:r>
        <w:rPr>
          <w:bCs w:val="0"/>
          <w:color w:val="auto"/>
          <w:szCs w:val="24"/>
        </w:rPr>
        <w:t>。</w:t>
      </w:r>
    </w:p>
    <w:p w14:paraId="5D773306">
      <w:pPr>
        <w:pStyle w:val="35"/>
        <w:spacing w:before="120" w:line="360" w:lineRule="auto"/>
        <w:rPr>
          <w:bCs w:val="0"/>
          <w:color w:val="auto"/>
          <w:szCs w:val="24"/>
        </w:rPr>
      </w:pPr>
      <w:r>
        <w:rPr>
          <w:rFonts w:hint="eastAsia"/>
          <w:b/>
          <w:color w:val="auto"/>
          <w:szCs w:val="24"/>
        </w:rPr>
        <w:t>6</w:t>
      </w:r>
      <w:r>
        <w:rPr>
          <w:b/>
          <w:color w:val="auto"/>
          <w:szCs w:val="24"/>
        </w:rPr>
        <w:t>.5.</w:t>
      </w:r>
      <w:r>
        <w:rPr>
          <w:rFonts w:hint="eastAsia"/>
          <w:b/>
          <w:color w:val="auto"/>
          <w:szCs w:val="24"/>
        </w:rPr>
        <w:t>19</w:t>
      </w:r>
      <w:r>
        <w:rPr>
          <w:rFonts w:hint="eastAsia"/>
          <w:bCs w:val="0"/>
          <w:color w:val="auto"/>
          <w:szCs w:val="24"/>
        </w:rPr>
        <w:t xml:space="preserve"> </w:t>
      </w:r>
      <w:r>
        <w:rPr>
          <w:bCs w:val="0"/>
          <w:color w:val="auto"/>
          <w:szCs w:val="24"/>
        </w:rPr>
        <w:t>行走式起重机固定使用时，应切除行走电机电源。</w:t>
      </w:r>
    </w:p>
    <w:p w14:paraId="40ED4658">
      <w:pPr>
        <w:pStyle w:val="35"/>
        <w:spacing w:before="120" w:line="360" w:lineRule="auto"/>
        <w:rPr>
          <w:bCs w:val="0"/>
          <w:color w:val="auto"/>
          <w:szCs w:val="24"/>
        </w:rPr>
      </w:pPr>
      <w:r>
        <w:rPr>
          <w:rFonts w:hint="eastAsia"/>
          <w:b/>
          <w:color w:val="auto"/>
          <w:szCs w:val="24"/>
        </w:rPr>
        <w:t>6</w:t>
      </w:r>
      <w:r>
        <w:rPr>
          <w:b/>
          <w:color w:val="auto"/>
          <w:szCs w:val="24"/>
        </w:rPr>
        <w:t>.5.</w:t>
      </w:r>
      <w:r>
        <w:rPr>
          <w:rFonts w:hint="eastAsia"/>
          <w:b/>
          <w:color w:val="auto"/>
          <w:szCs w:val="24"/>
        </w:rPr>
        <w:t>20</w:t>
      </w:r>
      <w:r>
        <w:rPr>
          <w:rFonts w:hint="eastAsia"/>
          <w:bCs w:val="0"/>
          <w:color w:val="auto"/>
          <w:szCs w:val="24"/>
        </w:rPr>
        <w:t xml:space="preserve"> </w:t>
      </w:r>
      <w:r>
        <w:rPr>
          <w:bCs w:val="0"/>
          <w:color w:val="auto"/>
          <w:szCs w:val="24"/>
        </w:rPr>
        <w:t>垂直敷设电缆固定间隔</w:t>
      </w:r>
      <w:r>
        <w:rPr>
          <w:rFonts w:hint="eastAsia"/>
          <w:bCs w:val="0"/>
          <w:color w:val="auto"/>
          <w:szCs w:val="24"/>
        </w:rPr>
        <w:t>不应超过</w:t>
      </w:r>
      <w:r>
        <w:rPr>
          <w:bCs w:val="0"/>
          <w:color w:val="auto"/>
          <w:szCs w:val="24"/>
        </w:rPr>
        <w:t>10m</w:t>
      </w:r>
      <w:r>
        <w:rPr>
          <w:rFonts w:hint="eastAsia"/>
          <w:bCs w:val="0"/>
          <w:color w:val="auto"/>
          <w:szCs w:val="24"/>
        </w:rPr>
        <w:t>，固定</w:t>
      </w:r>
      <w:r>
        <w:rPr>
          <w:bCs w:val="0"/>
          <w:color w:val="auto"/>
          <w:szCs w:val="24"/>
        </w:rPr>
        <w:t>电缆</w:t>
      </w:r>
      <w:r>
        <w:rPr>
          <w:rFonts w:hint="eastAsia"/>
          <w:bCs w:val="0"/>
          <w:color w:val="auto"/>
          <w:szCs w:val="24"/>
        </w:rPr>
        <w:t>处应与起重机械</w:t>
      </w:r>
      <w:r>
        <w:rPr>
          <w:bCs w:val="0"/>
          <w:color w:val="auto"/>
          <w:szCs w:val="24"/>
        </w:rPr>
        <w:t>金属结构</w:t>
      </w:r>
      <w:r>
        <w:rPr>
          <w:rFonts w:hint="eastAsia"/>
          <w:bCs w:val="0"/>
          <w:color w:val="auto"/>
          <w:szCs w:val="24"/>
        </w:rPr>
        <w:t>绝缘隔离。</w:t>
      </w:r>
    </w:p>
    <w:p w14:paraId="69B07DA6">
      <w:pPr>
        <w:pStyle w:val="35"/>
        <w:spacing w:before="120" w:line="360" w:lineRule="auto"/>
        <w:rPr>
          <w:bCs w:val="0"/>
          <w:color w:val="auto"/>
          <w:szCs w:val="24"/>
        </w:rPr>
      </w:pPr>
      <w:r>
        <w:rPr>
          <w:rFonts w:hint="eastAsia"/>
          <w:b/>
          <w:color w:val="auto"/>
          <w:szCs w:val="24"/>
        </w:rPr>
        <w:t>6</w:t>
      </w:r>
      <w:r>
        <w:rPr>
          <w:b/>
          <w:color w:val="auto"/>
          <w:szCs w:val="24"/>
        </w:rPr>
        <w:t>.5.</w:t>
      </w:r>
      <w:r>
        <w:rPr>
          <w:rFonts w:hint="eastAsia"/>
          <w:b/>
          <w:color w:val="auto"/>
          <w:szCs w:val="24"/>
        </w:rPr>
        <w:t>21</w:t>
      </w:r>
      <w:r>
        <w:rPr>
          <w:rFonts w:hint="eastAsia"/>
          <w:bCs w:val="0"/>
          <w:color w:val="auto"/>
          <w:szCs w:val="24"/>
        </w:rPr>
        <w:t xml:space="preserve"> </w:t>
      </w:r>
      <w:r>
        <w:rPr>
          <w:bCs w:val="0"/>
          <w:color w:val="auto"/>
          <w:szCs w:val="24"/>
        </w:rPr>
        <w:t>强电磁场区域施工的塔式起重机，吊具宜</w:t>
      </w:r>
      <w:r>
        <w:rPr>
          <w:rFonts w:hint="eastAsia"/>
          <w:bCs w:val="0"/>
          <w:color w:val="auto"/>
          <w:szCs w:val="24"/>
        </w:rPr>
        <w:t>采用</w:t>
      </w:r>
      <w:r>
        <w:rPr>
          <w:bCs w:val="0"/>
          <w:color w:val="auto"/>
          <w:szCs w:val="24"/>
        </w:rPr>
        <w:t>绝缘措施。</w:t>
      </w:r>
    </w:p>
    <w:p w14:paraId="32D147C9">
      <w:pPr>
        <w:pStyle w:val="35"/>
        <w:spacing w:before="120" w:line="360" w:lineRule="auto"/>
        <w:rPr>
          <w:bCs w:val="0"/>
          <w:color w:val="auto"/>
          <w:szCs w:val="24"/>
        </w:rPr>
      </w:pPr>
      <w:r>
        <w:rPr>
          <w:rFonts w:hint="eastAsia"/>
          <w:b/>
          <w:color w:val="auto"/>
          <w:szCs w:val="24"/>
        </w:rPr>
        <w:t>6</w:t>
      </w:r>
      <w:r>
        <w:rPr>
          <w:b/>
          <w:color w:val="auto"/>
          <w:szCs w:val="24"/>
        </w:rPr>
        <w:t>.5.</w:t>
      </w:r>
      <w:r>
        <w:rPr>
          <w:rFonts w:hint="eastAsia"/>
          <w:b/>
          <w:color w:val="auto"/>
          <w:szCs w:val="24"/>
        </w:rPr>
        <w:t>22</w:t>
      </w:r>
      <w:r>
        <w:rPr>
          <w:bCs w:val="0"/>
          <w:color w:val="auto"/>
          <w:szCs w:val="24"/>
        </w:rPr>
        <w:t xml:space="preserve"> 作业前</w:t>
      </w:r>
      <w:r>
        <w:rPr>
          <w:rFonts w:hint="eastAsia"/>
          <w:bCs w:val="0"/>
          <w:color w:val="auto"/>
          <w:szCs w:val="24"/>
        </w:rPr>
        <w:t>，</w:t>
      </w:r>
      <w:r>
        <w:rPr>
          <w:bCs w:val="0"/>
          <w:color w:val="auto"/>
          <w:szCs w:val="24"/>
        </w:rPr>
        <w:t>应检查</w:t>
      </w:r>
      <w:r>
        <w:rPr>
          <w:rFonts w:hint="eastAsia"/>
          <w:bCs w:val="0"/>
          <w:color w:val="auto"/>
          <w:szCs w:val="24"/>
        </w:rPr>
        <w:t>确认弧</w:t>
      </w:r>
      <w:r>
        <w:rPr>
          <w:bCs w:val="0"/>
          <w:color w:val="auto"/>
          <w:szCs w:val="24"/>
        </w:rPr>
        <w:t>焊机二次空载降压保护装置灵敏有效</w:t>
      </w:r>
      <w:r>
        <w:rPr>
          <w:rFonts w:hint="eastAsia"/>
          <w:bCs w:val="0"/>
          <w:color w:val="auto"/>
          <w:szCs w:val="24"/>
        </w:rPr>
        <w:t>，方可进行弧</w:t>
      </w:r>
      <w:r>
        <w:rPr>
          <w:bCs w:val="0"/>
          <w:color w:val="auto"/>
          <w:szCs w:val="24"/>
        </w:rPr>
        <w:t>焊</w:t>
      </w:r>
      <w:r>
        <w:rPr>
          <w:rFonts w:hint="eastAsia"/>
          <w:bCs w:val="0"/>
          <w:color w:val="auto"/>
          <w:szCs w:val="24"/>
        </w:rPr>
        <w:t>作业</w:t>
      </w:r>
      <w:r>
        <w:rPr>
          <w:bCs w:val="0"/>
          <w:color w:val="auto"/>
          <w:szCs w:val="24"/>
        </w:rPr>
        <w:t>。</w:t>
      </w:r>
    </w:p>
    <w:p w14:paraId="21BBB4E0">
      <w:pPr>
        <w:pStyle w:val="35"/>
        <w:spacing w:before="120" w:line="360" w:lineRule="auto"/>
        <w:rPr>
          <w:bCs w:val="0"/>
          <w:color w:val="auto"/>
          <w:szCs w:val="24"/>
        </w:rPr>
      </w:pPr>
      <w:r>
        <w:rPr>
          <w:rFonts w:hint="eastAsia"/>
          <w:b/>
          <w:color w:val="auto"/>
          <w:szCs w:val="24"/>
        </w:rPr>
        <w:t>6</w:t>
      </w:r>
      <w:r>
        <w:rPr>
          <w:b/>
          <w:color w:val="auto"/>
          <w:szCs w:val="24"/>
        </w:rPr>
        <w:t>.5.</w:t>
      </w:r>
      <w:r>
        <w:rPr>
          <w:rFonts w:hint="eastAsia"/>
          <w:b/>
          <w:color w:val="auto"/>
          <w:szCs w:val="24"/>
        </w:rPr>
        <w:t>23</w:t>
      </w:r>
      <w:r>
        <w:rPr>
          <w:bCs w:val="0"/>
          <w:color w:val="auto"/>
          <w:szCs w:val="24"/>
        </w:rPr>
        <w:t xml:space="preserve"> </w:t>
      </w:r>
      <w:r>
        <w:rPr>
          <w:rFonts w:hint="eastAsia"/>
          <w:bCs w:val="0"/>
          <w:color w:val="auto"/>
          <w:szCs w:val="24"/>
        </w:rPr>
        <w:t>弧</w:t>
      </w:r>
      <w:r>
        <w:rPr>
          <w:bCs w:val="0"/>
          <w:color w:val="auto"/>
          <w:szCs w:val="24"/>
        </w:rPr>
        <w:t>焊机电缆</w:t>
      </w:r>
      <w:r>
        <w:rPr>
          <w:rFonts w:hint="eastAsia"/>
          <w:bCs w:val="0"/>
          <w:color w:val="auto"/>
          <w:szCs w:val="24"/>
        </w:rPr>
        <w:t>应</w:t>
      </w:r>
      <w:r>
        <w:rPr>
          <w:bCs w:val="0"/>
          <w:color w:val="auto"/>
          <w:szCs w:val="24"/>
        </w:rPr>
        <w:t>符合下列规定：</w:t>
      </w:r>
    </w:p>
    <w:p w14:paraId="3916BA76">
      <w:pPr>
        <w:pStyle w:val="37"/>
        <w:spacing w:before="120" w:line="360" w:lineRule="auto"/>
        <w:rPr>
          <w:bCs w:val="0"/>
          <w:color w:val="auto"/>
          <w:sz w:val="24"/>
          <w:szCs w:val="24"/>
        </w:rPr>
      </w:pPr>
      <w:r>
        <w:rPr>
          <w:rFonts w:hint="eastAsia"/>
          <w:b/>
          <w:bCs w:val="0"/>
          <w:color w:val="auto"/>
          <w:sz w:val="24"/>
          <w:szCs w:val="24"/>
        </w:rPr>
        <w:t>1</w:t>
      </w:r>
      <w:r>
        <w:rPr>
          <w:rFonts w:hint="eastAsia"/>
          <w:color w:val="auto"/>
          <w:sz w:val="24"/>
          <w:szCs w:val="24"/>
        </w:rPr>
        <w:t xml:space="preserve">  弧</w:t>
      </w:r>
      <w:r>
        <w:rPr>
          <w:color w:val="auto"/>
          <w:sz w:val="24"/>
          <w:szCs w:val="24"/>
        </w:rPr>
        <w:t>焊机一次侧电缆长度不</w:t>
      </w:r>
      <w:r>
        <w:rPr>
          <w:rFonts w:hint="eastAsia"/>
          <w:color w:val="auto"/>
          <w:sz w:val="24"/>
          <w:szCs w:val="24"/>
        </w:rPr>
        <w:t>应</w:t>
      </w:r>
      <w:r>
        <w:rPr>
          <w:color w:val="auto"/>
          <w:sz w:val="24"/>
          <w:szCs w:val="24"/>
        </w:rPr>
        <w:t>大于5m</w:t>
      </w:r>
      <w:r>
        <w:rPr>
          <w:rFonts w:hint="eastAsia"/>
          <w:color w:val="auto"/>
          <w:sz w:val="24"/>
          <w:szCs w:val="24"/>
        </w:rPr>
        <w:t>，二</w:t>
      </w:r>
      <w:r>
        <w:rPr>
          <w:color w:val="auto"/>
          <w:sz w:val="24"/>
          <w:szCs w:val="24"/>
        </w:rPr>
        <w:t>次侧防水橡皮护套铜芯软电缆长度不应大于30m</w:t>
      </w:r>
      <w:r>
        <w:rPr>
          <w:rFonts w:hint="eastAsia"/>
          <w:color w:val="auto"/>
          <w:sz w:val="24"/>
          <w:szCs w:val="24"/>
        </w:rPr>
        <w:t>；</w:t>
      </w:r>
    </w:p>
    <w:p w14:paraId="37FC067A">
      <w:pPr>
        <w:pStyle w:val="37"/>
        <w:spacing w:before="120" w:line="360" w:lineRule="auto"/>
        <w:rPr>
          <w:bCs w:val="0"/>
          <w:color w:val="auto"/>
          <w:sz w:val="24"/>
          <w:szCs w:val="24"/>
        </w:rPr>
      </w:pPr>
      <w:r>
        <w:rPr>
          <w:rFonts w:hint="eastAsia"/>
          <w:b/>
          <w:color w:val="auto"/>
          <w:sz w:val="24"/>
          <w:szCs w:val="24"/>
        </w:rPr>
        <w:t xml:space="preserve">2  </w:t>
      </w:r>
      <w:r>
        <w:rPr>
          <w:rFonts w:hint="eastAsia"/>
          <w:bCs w:val="0"/>
          <w:color w:val="auto"/>
          <w:sz w:val="24"/>
          <w:szCs w:val="24"/>
        </w:rPr>
        <w:t>弧</w:t>
      </w:r>
      <w:r>
        <w:rPr>
          <w:bCs w:val="0"/>
          <w:color w:val="auto"/>
          <w:sz w:val="24"/>
          <w:szCs w:val="24"/>
        </w:rPr>
        <w:t>焊机</w:t>
      </w:r>
      <w:r>
        <w:rPr>
          <w:rFonts w:hint="eastAsia"/>
          <w:bCs w:val="0"/>
          <w:color w:val="auto"/>
          <w:sz w:val="24"/>
          <w:szCs w:val="24"/>
        </w:rPr>
        <w:t>二</w:t>
      </w:r>
      <w:r>
        <w:rPr>
          <w:bCs w:val="0"/>
          <w:color w:val="auto"/>
          <w:sz w:val="24"/>
          <w:szCs w:val="24"/>
        </w:rPr>
        <w:t>次侧电缆</w:t>
      </w:r>
      <w:r>
        <w:rPr>
          <w:rFonts w:hint="eastAsia"/>
          <w:bCs w:val="0"/>
          <w:color w:val="auto"/>
          <w:sz w:val="24"/>
          <w:szCs w:val="24"/>
        </w:rPr>
        <w:t>应双线到位，</w:t>
      </w:r>
      <w:r>
        <w:rPr>
          <w:bCs w:val="0"/>
          <w:color w:val="auto"/>
          <w:sz w:val="24"/>
          <w:szCs w:val="24"/>
        </w:rPr>
        <w:t>不</w:t>
      </w:r>
      <w:r>
        <w:rPr>
          <w:rFonts w:hint="eastAsia"/>
          <w:bCs w:val="0"/>
          <w:color w:val="auto"/>
          <w:sz w:val="24"/>
          <w:szCs w:val="24"/>
        </w:rPr>
        <w:t>得</w:t>
      </w:r>
      <w:r>
        <w:rPr>
          <w:bCs w:val="0"/>
          <w:color w:val="auto"/>
          <w:sz w:val="24"/>
          <w:szCs w:val="24"/>
        </w:rPr>
        <w:t>采用金属构件</w:t>
      </w:r>
      <w:r>
        <w:rPr>
          <w:rFonts w:hint="eastAsia"/>
          <w:bCs w:val="0"/>
          <w:color w:val="auto"/>
          <w:sz w:val="24"/>
          <w:szCs w:val="24"/>
        </w:rPr>
        <w:t>、</w:t>
      </w:r>
      <w:r>
        <w:rPr>
          <w:bCs w:val="0"/>
          <w:color w:val="auto"/>
          <w:sz w:val="24"/>
          <w:szCs w:val="24"/>
        </w:rPr>
        <w:t>结构钢筋代替二次</w:t>
      </w:r>
      <w:r>
        <w:rPr>
          <w:rFonts w:hint="eastAsia"/>
          <w:bCs w:val="0"/>
          <w:color w:val="auto"/>
          <w:sz w:val="24"/>
          <w:szCs w:val="24"/>
        </w:rPr>
        <w:t>导</w:t>
      </w:r>
      <w:r>
        <w:rPr>
          <w:bCs w:val="0"/>
          <w:color w:val="auto"/>
          <w:sz w:val="24"/>
          <w:szCs w:val="24"/>
        </w:rPr>
        <w:t>线；</w:t>
      </w:r>
    </w:p>
    <w:p w14:paraId="5A914658">
      <w:pPr>
        <w:pStyle w:val="37"/>
        <w:spacing w:before="120" w:line="360" w:lineRule="auto"/>
        <w:rPr>
          <w:bCs w:val="0"/>
          <w:color w:val="auto"/>
          <w:sz w:val="24"/>
          <w:szCs w:val="24"/>
        </w:rPr>
      </w:pPr>
      <w:r>
        <w:rPr>
          <w:rFonts w:hint="eastAsia"/>
          <w:b/>
          <w:color w:val="auto"/>
          <w:sz w:val="24"/>
          <w:szCs w:val="24"/>
        </w:rPr>
        <w:t xml:space="preserve">3  </w:t>
      </w:r>
      <w:r>
        <w:rPr>
          <w:rFonts w:hint="eastAsia"/>
          <w:bCs w:val="0"/>
          <w:color w:val="auto"/>
          <w:sz w:val="24"/>
          <w:szCs w:val="24"/>
        </w:rPr>
        <w:t>弧</w:t>
      </w:r>
      <w:r>
        <w:rPr>
          <w:bCs w:val="0"/>
          <w:color w:val="auto"/>
          <w:sz w:val="24"/>
          <w:szCs w:val="24"/>
        </w:rPr>
        <w:t>焊机一次侧</w:t>
      </w:r>
      <w:r>
        <w:rPr>
          <w:rFonts w:hint="eastAsia"/>
          <w:bCs w:val="0"/>
          <w:color w:val="auto"/>
          <w:sz w:val="24"/>
          <w:szCs w:val="24"/>
        </w:rPr>
        <w:t>、</w:t>
      </w:r>
      <w:r>
        <w:rPr>
          <w:bCs w:val="0"/>
          <w:color w:val="auto"/>
          <w:sz w:val="24"/>
          <w:szCs w:val="24"/>
        </w:rPr>
        <w:t>二次侧线缆</w:t>
      </w:r>
      <w:r>
        <w:rPr>
          <w:rFonts w:hint="eastAsia"/>
          <w:bCs w:val="0"/>
          <w:color w:val="auto"/>
          <w:sz w:val="24"/>
          <w:szCs w:val="24"/>
        </w:rPr>
        <w:t>外绝缘护层</w:t>
      </w:r>
      <w:r>
        <w:rPr>
          <w:bCs w:val="0"/>
          <w:color w:val="auto"/>
          <w:sz w:val="24"/>
          <w:szCs w:val="24"/>
        </w:rPr>
        <w:t>应</w:t>
      </w:r>
      <w:r>
        <w:rPr>
          <w:rFonts w:hint="eastAsia"/>
          <w:bCs w:val="0"/>
          <w:color w:val="auto"/>
          <w:sz w:val="24"/>
          <w:szCs w:val="24"/>
        </w:rPr>
        <w:t>完整，弧</w:t>
      </w:r>
      <w:r>
        <w:rPr>
          <w:bCs w:val="0"/>
          <w:color w:val="auto"/>
          <w:sz w:val="24"/>
          <w:szCs w:val="24"/>
        </w:rPr>
        <w:t>焊钳</w:t>
      </w:r>
      <w:r>
        <w:rPr>
          <w:rFonts w:hint="eastAsia"/>
          <w:bCs w:val="0"/>
          <w:color w:val="auto"/>
          <w:sz w:val="24"/>
          <w:szCs w:val="24"/>
        </w:rPr>
        <w:t>绝缘符合规定要求。</w:t>
      </w:r>
    </w:p>
    <w:p w14:paraId="12447783">
      <w:pPr>
        <w:pStyle w:val="35"/>
        <w:spacing w:before="120" w:line="360" w:lineRule="auto"/>
        <w:rPr>
          <w:bCs w:val="0"/>
          <w:color w:val="auto"/>
          <w:szCs w:val="24"/>
        </w:rPr>
      </w:pPr>
      <w:bookmarkStart w:id="344" w:name="_Hlk225436398"/>
      <w:r>
        <w:rPr>
          <w:rFonts w:hint="eastAsia"/>
          <w:b/>
          <w:color w:val="auto"/>
          <w:szCs w:val="24"/>
        </w:rPr>
        <w:t>6</w:t>
      </w:r>
      <w:r>
        <w:rPr>
          <w:b/>
          <w:color w:val="auto"/>
          <w:szCs w:val="24"/>
        </w:rPr>
        <w:t>.5.</w:t>
      </w:r>
      <w:r>
        <w:rPr>
          <w:rFonts w:hint="eastAsia"/>
          <w:b/>
          <w:color w:val="auto"/>
          <w:szCs w:val="24"/>
        </w:rPr>
        <w:t>24</w:t>
      </w:r>
      <w:bookmarkEnd w:id="344"/>
      <w:r>
        <w:rPr>
          <w:bCs w:val="0"/>
          <w:color w:val="auto"/>
          <w:szCs w:val="24"/>
        </w:rPr>
        <w:t xml:space="preserve"> </w:t>
      </w:r>
      <w:r>
        <w:rPr>
          <w:rFonts w:hint="eastAsia"/>
          <w:bCs w:val="0"/>
          <w:color w:val="auto"/>
          <w:szCs w:val="24"/>
        </w:rPr>
        <w:t>弧</w:t>
      </w:r>
      <w:r>
        <w:rPr>
          <w:bCs w:val="0"/>
          <w:color w:val="auto"/>
          <w:szCs w:val="24"/>
        </w:rPr>
        <w:t>焊机不应直接放置在结构钢筋或钢结构上，应采取保护及绝缘措施。</w:t>
      </w:r>
    </w:p>
    <w:p w14:paraId="67A99263">
      <w:pPr>
        <w:pStyle w:val="35"/>
        <w:spacing w:before="120" w:line="360" w:lineRule="auto"/>
        <w:rPr>
          <w:bCs w:val="0"/>
          <w:color w:val="auto"/>
          <w:szCs w:val="24"/>
        </w:rPr>
      </w:pPr>
      <w:bookmarkStart w:id="345" w:name="_Hlk225349172"/>
      <w:r>
        <w:rPr>
          <w:rFonts w:hint="eastAsia"/>
          <w:b/>
          <w:color w:val="auto"/>
          <w:szCs w:val="24"/>
        </w:rPr>
        <w:t>6</w:t>
      </w:r>
      <w:r>
        <w:rPr>
          <w:b/>
          <w:color w:val="auto"/>
          <w:szCs w:val="24"/>
        </w:rPr>
        <w:t>.5</w:t>
      </w:r>
      <w:bookmarkEnd w:id="345"/>
      <w:r>
        <w:rPr>
          <w:b/>
          <w:color w:val="auto"/>
          <w:szCs w:val="24"/>
        </w:rPr>
        <w:t>.</w:t>
      </w:r>
      <w:r>
        <w:rPr>
          <w:rFonts w:hint="eastAsia"/>
          <w:b/>
          <w:color w:val="auto"/>
          <w:szCs w:val="24"/>
        </w:rPr>
        <w:t>25</w:t>
      </w:r>
      <w:r>
        <w:rPr>
          <w:bCs w:val="0"/>
          <w:color w:val="auto"/>
          <w:szCs w:val="24"/>
        </w:rPr>
        <w:t xml:space="preserve"> </w:t>
      </w:r>
      <w:r>
        <w:rPr>
          <w:rFonts w:hint="eastAsia"/>
          <w:bCs w:val="0"/>
          <w:color w:val="auto"/>
          <w:szCs w:val="24"/>
        </w:rPr>
        <w:t>弧</w:t>
      </w:r>
      <w:r>
        <w:rPr>
          <w:bCs w:val="0"/>
          <w:color w:val="auto"/>
          <w:szCs w:val="24"/>
        </w:rPr>
        <w:t>焊机</w:t>
      </w:r>
      <w:r>
        <w:rPr>
          <w:rFonts w:hint="eastAsia"/>
          <w:bCs w:val="0"/>
          <w:color w:val="auto"/>
          <w:szCs w:val="24"/>
        </w:rPr>
        <w:t>进场使用</w:t>
      </w:r>
      <w:r>
        <w:rPr>
          <w:bCs w:val="0"/>
          <w:color w:val="auto"/>
          <w:szCs w:val="24"/>
        </w:rPr>
        <w:t>前应对</w:t>
      </w:r>
      <w:r>
        <w:rPr>
          <w:rFonts w:hint="eastAsia"/>
          <w:bCs w:val="0"/>
          <w:color w:val="auto"/>
          <w:szCs w:val="24"/>
        </w:rPr>
        <w:t>其</w:t>
      </w:r>
      <w:r>
        <w:rPr>
          <w:bCs w:val="0"/>
          <w:color w:val="auto"/>
          <w:szCs w:val="24"/>
        </w:rPr>
        <w:t>绝缘强度进行</w:t>
      </w:r>
      <w:r>
        <w:rPr>
          <w:rFonts w:hint="eastAsia"/>
          <w:bCs w:val="0"/>
          <w:color w:val="auto"/>
          <w:szCs w:val="24"/>
        </w:rPr>
        <w:t>检测</w:t>
      </w:r>
      <w:r>
        <w:rPr>
          <w:bCs w:val="0"/>
          <w:color w:val="auto"/>
          <w:szCs w:val="24"/>
        </w:rPr>
        <w:t>，合格后方可使用。</w:t>
      </w:r>
    </w:p>
    <w:p w14:paraId="6F61C9D6">
      <w:pPr>
        <w:pStyle w:val="35"/>
        <w:spacing w:before="120" w:line="360" w:lineRule="auto"/>
        <w:rPr>
          <w:bCs w:val="0"/>
          <w:color w:val="auto"/>
          <w:szCs w:val="24"/>
        </w:rPr>
      </w:pPr>
      <w:r>
        <w:rPr>
          <w:rFonts w:hint="eastAsia"/>
          <w:b/>
          <w:color w:val="auto"/>
          <w:szCs w:val="24"/>
        </w:rPr>
        <w:t>6</w:t>
      </w:r>
      <w:r>
        <w:rPr>
          <w:b/>
          <w:color w:val="auto"/>
          <w:szCs w:val="24"/>
        </w:rPr>
        <w:t>.5.</w:t>
      </w:r>
      <w:r>
        <w:rPr>
          <w:rFonts w:hint="eastAsia"/>
          <w:b/>
          <w:color w:val="auto"/>
          <w:szCs w:val="24"/>
        </w:rPr>
        <w:t>26</w:t>
      </w:r>
      <w:r>
        <w:rPr>
          <w:rFonts w:hint="eastAsia" w:ascii="华文仿宋" w:hAnsi="华文仿宋" w:eastAsia="华文中宋"/>
          <w:color w:val="auto"/>
          <w:szCs w:val="24"/>
        </w:rPr>
        <w:t xml:space="preserve"> </w:t>
      </w:r>
      <w:r>
        <w:rPr>
          <w:bCs w:val="0"/>
          <w:color w:val="auto"/>
          <w:szCs w:val="24"/>
        </w:rPr>
        <w:t>施工升降机</w:t>
      </w:r>
      <w:r>
        <w:rPr>
          <w:rFonts w:hint="eastAsia"/>
          <w:bCs w:val="0"/>
          <w:color w:val="auto"/>
          <w:szCs w:val="24"/>
        </w:rPr>
        <w:t>限位开关及</w:t>
      </w:r>
      <w:r>
        <w:rPr>
          <w:bCs w:val="0"/>
          <w:color w:val="auto"/>
          <w:szCs w:val="24"/>
        </w:rPr>
        <w:t>笼内、外紧急停止开关</w:t>
      </w:r>
      <w:r>
        <w:rPr>
          <w:rFonts w:hint="eastAsia"/>
          <w:bCs w:val="0"/>
          <w:color w:val="auto"/>
          <w:szCs w:val="24"/>
        </w:rPr>
        <w:t>等安全装置应经检验合格，方可开始作业。</w:t>
      </w:r>
    </w:p>
    <w:p w14:paraId="158909D6">
      <w:pPr>
        <w:pStyle w:val="35"/>
        <w:spacing w:before="120" w:line="360" w:lineRule="auto"/>
        <w:rPr>
          <w:bCs w:val="0"/>
          <w:color w:val="auto"/>
          <w:szCs w:val="24"/>
        </w:rPr>
      </w:pPr>
      <w:bookmarkStart w:id="346" w:name="_Toc4286"/>
      <w:r>
        <w:rPr>
          <w:rFonts w:hint="eastAsia"/>
          <w:b/>
          <w:color w:val="auto"/>
          <w:szCs w:val="24"/>
        </w:rPr>
        <w:t>6</w:t>
      </w:r>
      <w:r>
        <w:rPr>
          <w:b/>
          <w:color w:val="auto"/>
          <w:szCs w:val="24"/>
        </w:rPr>
        <w:t>.5.</w:t>
      </w:r>
      <w:r>
        <w:rPr>
          <w:rFonts w:hint="eastAsia"/>
          <w:b/>
          <w:color w:val="auto"/>
          <w:szCs w:val="24"/>
        </w:rPr>
        <w:t xml:space="preserve">27 </w:t>
      </w:r>
      <w:r>
        <w:rPr>
          <w:rFonts w:hint="eastAsia"/>
          <w:bCs w:val="0"/>
          <w:color w:val="auto"/>
          <w:szCs w:val="24"/>
        </w:rPr>
        <w:t>吊笼门、楼层门关闭后</w:t>
      </w:r>
      <w:r>
        <w:rPr>
          <w:bCs w:val="0"/>
          <w:color w:val="auto"/>
          <w:szCs w:val="24"/>
        </w:rPr>
        <w:t>‌</w:t>
      </w:r>
      <w:r>
        <w:rPr>
          <w:rFonts w:hint="eastAsia"/>
          <w:bCs w:val="0"/>
          <w:color w:val="auto"/>
          <w:szCs w:val="24"/>
        </w:rPr>
        <w:t>应自动电气联锁</w:t>
      </w:r>
      <w:r>
        <w:rPr>
          <w:bCs w:val="0"/>
          <w:color w:val="auto"/>
          <w:szCs w:val="24"/>
        </w:rPr>
        <w:t>‌</w:t>
      </w:r>
      <w:r>
        <w:rPr>
          <w:rFonts w:hint="eastAsia"/>
          <w:bCs w:val="0"/>
          <w:color w:val="auto"/>
          <w:szCs w:val="24"/>
        </w:rPr>
        <w:t>。</w:t>
      </w:r>
      <w:bookmarkEnd w:id="346"/>
    </w:p>
    <w:p w14:paraId="454B0A38">
      <w:pPr>
        <w:pStyle w:val="35"/>
        <w:spacing w:before="120" w:line="360" w:lineRule="auto"/>
        <w:rPr>
          <w:bCs w:val="0"/>
          <w:color w:val="auto"/>
          <w:szCs w:val="24"/>
        </w:rPr>
      </w:pPr>
      <w:r>
        <w:rPr>
          <w:rFonts w:hint="eastAsia"/>
          <w:b/>
          <w:color w:val="auto"/>
          <w:szCs w:val="24"/>
        </w:rPr>
        <w:t>6</w:t>
      </w:r>
      <w:r>
        <w:rPr>
          <w:b/>
          <w:color w:val="auto"/>
          <w:szCs w:val="24"/>
        </w:rPr>
        <w:t>.5.</w:t>
      </w:r>
      <w:r>
        <w:rPr>
          <w:rFonts w:hint="eastAsia"/>
          <w:b/>
          <w:color w:val="auto"/>
          <w:szCs w:val="24"/>
        </w:rPr>
        <w:t>28</w:t>
      </w:r>
      <w:r>
        <w:rPr>
          <w:bCs w:val="0"/>
          <w:color w:val="auto"/>
          <w:szCs w:val="24"/>
        </w:rPr>
        <w:t xml:space="preserve"> </w:t>
      </w:r>
      <w:r>
        <w:rPr>
          <w:rFonts w:hint="eastAsia"/>
          <w:bCs w:val="0"/>
          <w:color w:val="auto"/>
          <w:szCs w:val="24"/>
        </w:rPr>
        <w:t>高处作业吊篮</w:t>
      </w:r>
      <w:r>
        <w:rPr>
          <w:bCs w:val="0"/>
          <w:color w:val="auto"/>
          <w:szCs w:val="24"/>
        </w:rPr>
        <w:t>配电箱应符合下列规定：</w:t>
      </w:r>
    </w:p>
    <w:p w14:paraId="6AD3D803">
      <w:pPr>
        <w:pStyle w:val="37"/>
        <w:spacing w:before="120" w:line="360" w:lineRule="auto"/>
        <w:rPr>
          <w:bCs w:val="0"/>
          <w:color w:val="auto"/>
          <w:sz w:val="24"/>
          <w:szCs w:val="24"/>
        </w:rPr>
      </w:pPr>
      <w:r>
        <w:rPr>
          <w:b/>
          <w:color w:val="auto"/>
          <w:sz w:val="24"/>
          <w:szCs w:val="24"/>
        </w:rPr>
        <w:t>1</w:t>
      </w:r>
      <w:r>
        <w:rPr>
          <w:bCs w:val="0"/>
          <w:color w:val="auto"/>
          <w:sz w:val="24"/>
          <w:szCs w:val="24"/>
        </w:rPr>
        <w:t xml:space="preserve"> </w:t>
      </w:r>
      <w:r>
        <w:rPr>
          <w:rFonts w:hint="eastAsia"/>
          <w:bCs w:val="0"/>
          <w:color w:val="auto"/>
          <w:sz w:val="24"/>
          <w:szCs w:val="24"/>
        </w:rPr>
        <w:t xml:space="preserve"> 高处作业吊篮</w:t>
      </w:r>
      <w:r>
        <w:rPr>
          <w:bCs w:val="0"/>
          <w:color w:val="auto"/>
          <w:kern w:val="0"/>
          <w:sz w:val="24"/>
          <w:szCs w:val="24"/>
        </w:rPr>
        <w:t>应设</w:t>
      </w:r>
      <w:r>
        <w:rPr>
          <w:bCs w:val="0"/>
          <w:color w:val="auto"/>
          <w:sz w:val="24"/>
          <w:szCs w:val="24"/>
        </w:rPr>
        <w:t>置专用配电箱，每一回路应控制一台吊篮，每一回路均应分别设置隔离</w:t>
      </w:r>
      <w:r>
        <w:rPr>
          <w:rFonts w:hint="eastAsia"/>
          <w:bCs w:val="0"/>
          <w:color w:val="auto"/>
          <w:sz w:val="24"/>
          <w:szCs w:val="24"/>
        </w:rPr>
        <w:t>开关及</w:t>
      </w:r>
      <w:r>
        <w:rPr>
          <w:bCs w:val="0"/>
          <w:color w:val="auto"/>
          <w:sz w:val="24"/>
          <w:szCs w:val="24"/>
        </w:rPr>
        <w:t>保护电器；</w:t>
      </w:r>
    </w:p>
    <w:p w14:paraId="5C12EAD7">
      <w:pPr>
        <w:pStyle w:val="37"/>
        <w:spacing w:before="120" w:line="360" w:lineRule="auto"/>
        <w:rPr>
          <w:bCs w:val="0"/>
          <w:color w:val="auto"/>
          <w:sz w:val="24"/>
          <w:szCs w:val="24"/>
        </w:rPr>
      </w:pPr>
      <w:bookmarkStart w:id="347" w:name="_Toc21046"/>
      <w:bookmarkStart w:id="348" w:name="_Toc2918"/>
      <w:bookmarkStart w:id="349" w:name="_Toc1619"/>
      <w:bookmarkStart w:id="350" w:name="_Toc19803"/>
      <w:r>
        <w:rPr>
          <w:rFonts w:hint="eastAsia"/>
          <w:b/>
          <w:color w:val="auto"/>
          <w:sz w:val="24"/>
          <w:szCs w:val="24"/>
        </w:rPr>
        <w:t>2</w:t>
      </w:r>
      <w:r>
        <w:rPr>
          <w:bCs w:val="0"/>
          <w:color w:val="auto"/>
          <w:sz w:val="24"/>
          <w:szCs w:val="24"/>
        </w:rPr>
        <w:t xml:space="preserve"> </w:t>
      </w:r>
      <w:r>
        <w:rPr>
          <w:rFonts w:hint="eastAsia"/>
          <w:bCs w:val="0"/>
          <w:color w:val="auto"/>
          <w:sz w:val="24"/>
          <w:szCs w:val="24"/>
        </w:rPr>
        <w:t xml:space="preserve"> </w:t>
      </w:r>
      <w:r>
        <w:rPr>
          <w:bCs w:val="0"/>
          <w:color w:val="auto"/>
          <w:sz w:val="24"/>
          <w:szCs w:val="24"/>
        </w:rPr>
        <w:t>电气控制箱内不应配置超过2个10A的插座，每个插座应独立</w:t>
      </w:r>
      <w:r>
        <w:rPr>
          <w:rFonts w:hint="eastAsia"/>
          <w:bCs w:val="0"/>
          <w:color w:val="auto"/>
          <w:sz w:val="24"/>
          <w:szCs w:val="24"/>
        </w:rPr>
        <w:t>设置具有短路、过载、剩余电流动作保护功能</w:t>
      </w:r>
      <w:r>
        <w:rPr>
          <w:bCs w:val="0"/>
          <w:color w:val="auto"/>
          <w:sz w:val="24"/>
          <w:szCs w:val="24"/>
        </w:rPr>
        <w:t>的保护电器；</w:t>
      </w:r>
      <w:bookmarkEnd w:id="347"/>
      <w:bookmarkEnd w:id="348"/>
      <w:bookmarkEnd w:id="349"/>
      <w:bookmarkEnd w:id="350"/>
    </w:p>
    <w:p w14:paraId="5CC82EC4">
      <w:pPr>
        <w:pStyle w:val="37"/>
        <w:spacing w:before="120" w:line="360" w:lineRule="auto"/>
        <w:rPr>
          <w:bCs w:val="0"/>
          <w:color w:val="auto"/>
          <w:sz w:val="24"/>
          <w:szCs w:val="24"/>
        </w:rPr>
      </w:pPr>
      <w:r>
        <w:rPr>
          <w:rFonts w:hint="eastAsia"/>
          <w:b/>
          <w:color w:val="auto"/>
          <w:sz w:val="24"/>
          <w:szCs w:val="24"/>
        </w:rPr>
        <w:t>3</w:t>
      </w:r>
      <w:r>
        <w:rPr>
          <w:bCs w:val="0"/>
          <w:color w:val="auto"/>
          <w:sz w:val="24"/>
          <w:szCs w:val="24"/>
        </w:rPr>
        <w:t xml:space="preserve"> </w:t>
      </w:r>
      <w:r>
        <w:rPr>
          <w:rFonts w:hint="eastAsia"/>
          <w:bCs w:val="0"/>
          <w:color w:val="auto"/>
          <w:sz w:val="24"/>
          <w:szCs w:val="24"/>
        </w:rPr>
        <w:t xml:space="preserve"> </w:t>
      </w:r>
      <w:r>
        <w:rPr>
          <w:bCs w:val="0"/>
          <w:color w:val="auto"/>
          <w:sz w:val="24"/>
          <w:szCs w:val="24"/>
        </w:rPr>
        <w:t>电源线不应拖拽或直接敷设在操作面上；</w:t>
      </w:r>
    </w:p>
    <w:p w14:paraId="06B70E4B">
      <w:pPr>
        <w:pStyle w:val="37"/>
        <w:spacing w:before="120" w:line="360" w:lineRule="auto"/>
        <w:rPr>
          <w:bCs w:val="0"/>
          <w:color w:val="auto"/>
          <w:sz w:val="24"/>
          <w:szCs w:val="24"/>
        </w:rPr>
      </w:pPr>
      <w:r>
        <w:rPr>
          <w:rFonts w:hint="eastAsia"/>
          <w:b/>
          <w:color w:val="auto"/>
          <w:sz w:val="24"/>
          <w:szCs w:val="24"/>
        </w:rPr>
        <w:t>4</w:t>
      </w:r>
      <w:r>
        <w:rPr>
          <w:bCs w:val="0"/>
          <w:color w:val="auto"/>
          <w:sz w:val="24"/>
          <w:szCs w:val="24"/>
        </w:rPr>
        <w:t xml:space="preserve"> </w:t>
      </w:r>
      <w:r>
        <w:rPr>
          <w:rFonts w:hint="eastAsia"/>
          <w:bCs w:val="0"/>
          <w:color w:val="auto"/>
          <w:sz w:val="24"/>
          <w:szCs w:val="24"/>
        </w:rPr>
        <w:t xml:space="preserve"> </w:t>
      </w:r>
      <w:r>
        <w:rPr>
          <w:bCs w:val="0"/>
          <w:color w:val="auto"/>
          <w:sz w:val="24"/>
          <w:szCs w:val="24"/>
        </w:rPr>
        <w:t>电气控制箱应有防水、防震、防尘措施，其元件应排列整齐，连接牢固，绝缘可靠，电控柜门应装锁。</w:t>
      </w:r>
    </w:p>
    <w:p w14:paraId="37ABF4BD">
      <w:pPr>
        <w:pStyle w:val="35"/>
        <w:spacing w:before="120" w:line="360" w:lineRule="auto"/>
        <w:rPr>
          <w:bCs w:val="0"/>
          <w:color w:val="auto"/>
          <w:szCs w:val="24"/>
        </w:rPr>
      </w:pPr>
      <w:bookmarkStart w:id="351" w:name="_Toc6149"/>
      <w:bookmarkStart w:id="352" w:name="_Toc7963"/>
      <w:bookmarkStart w:id="353" w:name="_Toc32567"/>
      <w:bookmarkStart w:id="354" w:name="_Toc23660"/>
      <w:r>
        <w:rPr>
          <w:rFonts w:hint="eastAsia"/>
          <w:b/>
          <w:color w:val="auto"/>
          <w:szCs w:val="24"/>
        </w:rPr>
        <w:t>6</w:t>
      </w:r>
      <w:r>
        <w:rPr>
          <w:b/>
          <w:color w:val="auto"/>
          <w:szCs w:val="24"/>
        </w:rPr>
        <w:t>.5.2</w:t>
      </w:r>
      <w:r>
        <w:rPr>
          <w:rFonts w:hint="eastAsia"/>
          <w:b/>
          <w:color w:val="auto"/>
          <w:szCs w:val="24"/>
        </w:rPr>
        <w:t>9</w:t>
      </w:r>
      <w:r>
        <w:rPr>
          <w:bCs w:val="0"/>
          <w:color w:val="auto"/>
          <w:szCs w:val="24"/>
        </w:rPr>
        <w:t xml:space="preserve"> </w:t>
      </w:r>
      <w:r>
        <w:rPr>
          <w:rFonts w:hint="eastAsia"/>
          <w:bCs w:val="0"/>
          <w:color w:val="auto"/>
          <w:szCs w:val="24"/>
        </w:rPr>
        <w:t>高处作业吊篮</w:t>
      </w:r>
      <w:r>
        <w:rPr>
          <w:bCs w:val="0"/>
          <w:color w:val="auto"/>
          <w:szCs w:val="24"/>
        </w:rPr>
        <w:t>电气线路绝缘电阻不应低于2MΩ。</w:t>
      </w:r>
      <w:bookmarkEnd w:id="351"/>
      <w:bookmarkEnd w:id="352"/>
      <w:bookmarkEnd w:id="353"/>
      <w:bookmarkEnd w:id="354"/>
    </w:p>
    <w:p w14:paraId="5AD8D7EA">
      <w:pPr>
        <w:pStyle w:val="35"/>
        <w:spacing w:before="120" w:line="360" w:lineRule="auto"/>
        <w:rPr>
          <w:bCs w:val="0"/>
          <w:color w:val="auto"/>
          <w:szCs w:val="24"/>
        </w:rPr>
      </w:pPr>
      <w:r>
        <w:rPr>
          <w:rFonts w:hint="eastAsia"/>
          <w:b/>
          <w:color w:val="auto"/>
          <w:szCs w:val="24"/>
        </w:rPr>
        <w:t>6</w:t>
      </w:r>
      <w:r>
        <w:rPr>
          <w:b/>
          <w:color w:val="auto"/>
          <w:szCs w:val="24"/>
        </w:rPr>
        <w:t>.5.3</w:t>
      </w:r>
      <w:r>
        <w:rPr>
          <w:rFonts w:hint="eastAsia"/>
          <w:b/>
          <w:color w:val="auto"/>
          <w:szCs w:val="24"/>
        </w:rPr>
        <w:t>0</w:t>
      </w:r>
      <w:r>
        <w:rPr>
          <w:bCs w:val="0"/>
          <w:color w:val="auto"/>
          <w:szCs w:val="24"/>
        </w:rPr>
        <w:t xml:space="preserve"> </w:t>
      </w:r>
      <w:r>
        <w:rPr>
          <w:rFonts w:hint="eastAsia"/>
          <w:bCs w:val="0"/>
          <w:color w:val="auto"/>
          <w:szCs w:val="24"/>
        </w:rPr>
        <w:t>高处作业吊篮</w:t>
      </w:r>
      <w:r>
        <w:rPr>
          <w:bCs w:val="0"/>
          <w:color w:val="auto"/>
          <w:szCs w:val="24"/>
        </w:rPr>
        <w:t>内应该设置紧急状态下切断主电源回路的急停按钮，急停按钮为红色，有明显的“急停”标识，按钮应为非自动复位型，且该电路独立于各控制电路。</w:t>
      </w:r>
    </w:p>
    <w:p w14:paraId="4BE0235E">
      <w:pPr>
        <w:pStyle w:val="35"/>
        <w:spacing w:before="120" w:line="360" w:lineRule="auto"/>
        <w:rPr>
          <w:bCs w:val="0"/>
          <w:color w:val="auto"/>
          <w:szCs w:val="24"/>
        </w:rPr>
      </w:pPr>
      <w:r>
        <w:rPr>
          <w:rFonts w:hint="eastAsia"/>
          <w:b/>
          <w:color w:val="auto"/>
          <w:szCs w:val="24"/>
        </w:rPr>
        <w:t>6</w:t>
      </w:r>
      <w:r>
        <w:rPr>
          <w:b/>
          <w:color w:val="auto"/>
          <w:szCs w:val="24"/>
        </w:rPr>
        <w:t>.5.</w:t>
      </w:r>
      <w:r>
        <w:rPr>
          <w:rFonts w:hint="eastAsia"/>
          <w:b/>
          <w:color w:val="auto"/>
          <w:szCs w:val="24"/>
        </w:rPr>
        <w:t>31</w:t>
      </w:r>
      <w:r>
        <w:rPr>
          <w:bCs w:val="0"/>
          <w:color w:val="auto"/>
          <w:szCs w:val="24"/>
        </w:rPr>
        <w:t xml:space="preserve"> 在吊篮内进行电焊作业时</w:t>
      </w:r>
      <w:r>
        <w:rPr>
          <w:rFonts w:hint="eastAsia"/>
          <w:bCs w:val="0"/>
          <w:color w:val="auto"/>
          <w:szCs w:val="24"/>
        </w:rPr>
        <w:t>，</w:t>
      </w:r>
      <w:r>
        <w:rPr>
          <w:bCs w:val="0"/>
          <w:color w:val="auto"/>
          <w:szCs w:val="24"/>
        </w:rPr>
        <w:t>不应将</w:t>
      </w:r>
      <w:r>
        <w:rPr>
          <w:rFonts w:hint="eastAsia"/>
          <w:bCs w:val="0"/>
          <w:color w:val="auto"/>
          <w:szCs w:val="24"/>
        </w:rPr>
        <w:t>弧</w:t>
      </w:r>
      <w:r>
        <w:rPr>
          <w:bCs w:val="0"/>
          <w:color w:val="auto"/>
          <w:szCs w:val="24"/>
        </w:rPr>
        <w:t>焊机放置在吊篮内；电缆</w:t>
      </w:r>
      <w:r>
        <w:rPr>
          <w:rFonts w:hint="eastAsia"/>
          <w:bCs w:val="0"/>
          <w:color w:val="auto"/>
          <w:szCs w:val="24"/>
        </w:rPr>
        <w:t>应与</w:t>
      </w:r>
      <w:r>
        <w:rPr>
          <w:bCs w:val="0"/>
          <w:color w:val="auto"/>
          <w:szCs w:val="24"/>
        </w:rPr>
        <w:t>吊篮设备、钢丝绳</w:t>
      </w:r>
      <w:r>
        <w:rPr>
          <w:rFonts w:hint="eastAsia"/>
          <w:bCs w:val="0"/>
          <w:color w:val="auto"/>
          <w:szCs w:val="24"/>
        </w:rPr>
        <w:t>等金属构件</w:t>
      </w:r>
      <w:r>
        <w:rPr>
          <w:bCs w:val="0"/>
          <w:color w:val="auto"/>
          <w:szCs w:val="24"/>
        </w:rPr>
        <w:t>采取</w:t>
      </w:r>
      <w:r>
        <w:rPr>
          <w:rFonts w:hint="eastAsia"/>
          <w:bCs w:val="0"/>
          <w:color w:val="auto"/>
          <w:szCs w:val="24"/>
        </w:rPr>
        <w:t>隔离</w:t>
      </w:r>
      <w:r>
        <w:rPr>
          <w:bCs w:val="0"/>
          <w:color w:val="auto"/>
          <w:szCs w:val="24"/>
        </w:rPr>
        <w:t>保护措施</w:t>
      </w:r>
      <w:r>
        <w:rPr>
          <w:rFonts w:hint="eastAsia"/>
          <w:bCs w:val="0"/>
          <w:color w:val="auto"/>
          <w:szCs w:val="24"/>
        </w:rPr>
        <w:t>；</w:t>
      </w:r>
      <w:r>
        <w:rPr>
          <w:bCs w:val="0"/>
          <w:color w:val="auto"/>
          <w:szCs w:val="24"/>
        </w:rPr>
        <w:t>电焊钳不应搭挂在吊篮上。</w:t>
      </w:r>
    </w:p>
    <w:p w14:paraId="70B9B48C">
      <w:pPr>
        <w:pStyle w:val="35"/>
        <w:spacing w:before="120" w:line="360" w:lineRule="auto"/>
        <w:rPr>
          <w:bCs w:val="0"/>
          <w:color w:val="auto"/>
          <w:szCs w:val="24"/>
        </w:rPr>
      </w:pPr>
      <w:r>
        <w:rPr>
          <w:rFonts w:hint="eastAsia"/>
          <w:b/>
          <w:color w:val="auto"/>
          <w:szCs w:val="24"/>
        </w:rPr>
        <w:t>6</w:t>
      </w:r>
      <w:r>
        <w:rPr>
          <w:b/>
          <w:color w:val="auto"/>
          <w:szCs w:val="24"/>
        </w:rPr>
        <w:t>.5.</w:t>
      </w:r>
      <w:r>
        <w:rPr>
          <w:rFonts w:hint="eastAsia"/>
          <w:b/>
          <w:color w:val="auto"/>
          <w:szCs w:val="24"/>
        </w:rPr>
        <w:t>32</w:t>
      </w:r>
      <w:r>
        <w:rPr>
          <w:bCs w:val="0"/>
          <w:color w:val="auto"/>
          <w:szCs w:val="24"/>
        </w:rPr>
        <w:t xml:space="preserve"> </w:t>
      </w:r>
      <w:r>
        <w:rPr>
          <w:rFonts w:hint="eastAsia"/>
          <w:bCs w:val="0"/>
          <w:color w:val="auto"/>
          <w:szCs w:val="24"/>
        </w:rPr>
        <w:t>高处作业吊篮</w:t>
      </w:r>
      <w:r>
        <w:rPr>
          <w:bCs w:val="0"/>
          <w:color w:val="auto"/>
          <w:szCs w:val="24"/>
        </w:rPr>
        <w:t>操作人员离开吊篮、进行吊篮维修或每日作业后应将主电源切断，并将电气控制箱中各开关置于断开位置</w:t>
      </w:r>
      <w:r>
        <w:rPr>
          <w:rFonts w:hint="eastAsia"/>
          <w:bCs w:val="0"/>
          <w:color w:val="auto"/>
          <w:szCs w:val="24"/>
        </w:rPr>
        <w:t>，箱门</w:t>
      </w:r>
      <w:r>
        <w:rPr>
          <w:bCs w:val="0"/>
          <w:color w:val="auto"/>
          <w:szCs w:val="24"/>
        </w:rPr>
        <w:t>加锁。维修和拆卸吊篮时，应在显著位置设置明显禁用标识的警示标识，并指派专人值守。</w:t>
      </w:r>
    </w:p>
    <w:p w14:paraId="1F50522D">
      <w:pPr>
        <w:pStyle w:val="35"/>
        <w:spacing w:before="120" w:line="360" w:lineRule="auto"/>
        <w:rPr>
          <w:bCs w:val="0"/>
          <w:color w:val="auto"/>
          <w:szCs w:val="24"/>
        </w:rPr>
      </w:pPr>
      <w:r>
        <w:rPr>
          <w:rFonts w:hint="eastAsia"/>
          <w:b/>
          <w:color w:val="auto"/>
          <w:szCs w:val="24"/>
        </w:rPr>
        <w:t>6</w:t>
      </w:r>
      <w:r>
        <w:rPr>
          <w:b/>
          <w:color w:val="auto"/>
          <w:szCs w:val="24"/>
        </w:rPr>
        <w:t>.5.</w:t>
      </w:r>
      <w:r>
        <w:rPr>
          <w:rFonts w:hint="eastAsia"/>
          <w:b/>
          <w:color w:val="auto"/>
          <w:szCs w:val="24"/>
        </w:rPr>
        <w:t>33</w:t>
      </w:r>
      <w:r>
        <w:rPr>
          <w:bCs w:val="0"/>
          <w:color w:val="auto"/>
          <w:szCs w:val="24"/>
        </w:rPr>
        <w:t xml:space="preserve"> </w:t>
      </w:r>
      <w:r>
        <w:rPr>
          <w:rFonts w:hint="eastAsia"/>
          <w:bCs w:val="0"/>
          <w:color w:val="auto"/>
          <w:szCs w:val="24"/>
        </w:rPr>
        <w:t>高处作业吊篮</w:t>
      </w:r>
      <w:r>
        <w:rPr>
          <w:bCs w:val="0"/>
          <w:color w:val="auto"/>
          <w:szCs w:val="24"/>
        </w:rPr>
        <w:t>在架空输电线场所附近</w:t>
      </w:r>
      <w:r>
        <w:rPr>
          <w:rFonts w:hint="eastAsia"/>
          <w:bCs w:val="0"/>
          <w:color w:val="auto"/>
          <w:szCs w:val="24"/>
        </w:rPr>
        <w:t>作业</w:t>
      </w:r>
      <w:r>
        <w:rPr>
          <w:bCs w:val="0"/>
          <w:color w:val="auto"/>
          <w:szCs w:val="24"/>
        </w:rPr>
        <w:t>时，吊篮的任何部位与输电线</w:t>
      </w:r>
      <w:r>
        <w:rPr>
          <w:rFonts w:hint="eastAsia"/>
          <w:bCs w:val="0"/>
          <w:color w:val="auto"/>
          <w:szCs w:val="24"/>
        </w:rPr>
        <w:t>的外边线间距</w:t>
      </w:r>
      <w:r>
        <w:rPr>
          <w:bCs w:val="0"/>
          <w:color w:val="auto"/>
          <w:szCs w:val="24"/>
        </w:rPr>
        <w:t>应符合相关规定</w:t>
      </w:r>
      <w:r>
        <w:rPr>
          <w:rFonts w:hint="eastAsia"/>
          <w:bCs w:val="0"/>
          <w:color w:val="auto"/>
          <w:szCs w:val="24"/>
        </w:rPr>
        <w:t>；间距不符合规定时，</w:t>
      </w:r>
      <w:r>
        <w:rPr>
          <w:bCs w:val="0"/>
          <w:color w:val="auto"/>
          <w:szCs w:val="24"/>
        </w:rPr>
        <w:t>应制定专项吊篮安全作业方案并履行相应的审批手续。</w:t>
      </w:r>
    </w:p>
    <w:p w14:paraId="676D50CD">
      <w:pPr>
        <w:pStyle w:val="35"/>
        <w:spacing w:before="120" w:line="360" w:lineRule="auto"/>
        <w:rPr>
          <w:bCs w:val="0"/>
          <w:color w:val="auto"/>
          <w:szCs w:val="24"/>
        </w:rPr>
      </w:pPr>
      <w:bookmarkStart w:id="355" w:name="OLE_LINK136"/>
      <w:bookmarkStart w:id="356" w:name="_Hlk225436497"/>
      <w:r>
        <w:rPr>
          <w:rFonts w:hint="eastAsia"/>
          <w:b/>
          <w:color w:val="auto"/>
          <w:szCs w:val="24"/>
        </w:rPr>
        <w:t>6</w:t>
      </w:r>
      <w:r>
        <w:rPr>
          <w:b/>
          <w:color w:val="auto"/>
          <w:szCs w:val="24"/>
        </w:rPr>
        <w:t>.5.</w:t>
      </w:r>
      <w:r>
        <w:rPr>
          <w:rFonts w:hint="eastAsia"/>
          <w:b/>
          <w:color w:val="auto"/>
          <w:szCs w:val="24"/>
        </w:rPr>
        <w:t>34</w:t>
      </w:r>
      <w:bookmarkEnd w:id="355"/>
      <w:bookmarkEnd w:id="356"/>
      <w:r>
        <w:rPr>
          <w:bCs w:val="0"/>
          <w:color w:val="auto"/>
          <w:szCs w:val="24"/>
        </w:rPr>
        <w:t xml:space="preserve"> </w:t>
      </w:r>
      <w:bookmarkStart w:id="357" w:name="_Hlk190958489"/>
      <w:bookmarkStart w:id="358" w:name="_Hlk201156835"/>
      <w:r>
        <w:rPr>
          <w:bCs w:val="0"/>
          <w:color w:val="auto"/>
          <w:szCs w:val="24"/>
        </w:rPr>
        <w:t>手持</w:t>
      </w:r>
      <w:r>
        <w:rPr>
          <w:rFonts w:hint="eastAsia"/>
          <w:bCs w:val="0"/>
          <w:color w:val="auto"/>
          <w:szCs w:val="24"/>
        </w:rPr>
        <w:t>电动</w:t>
      </w:r>
      <w:r>
        <w:rPr>
          <w:bCs w:val="0"/>
          <w:color w:val="auto"/>
          <w:szCs w:val="24"/>
        </w:rPr>
        <w:t>工具及移动式电气设备</w:t>
      </w:r>
      <w:bookmarkEnd w:id="357"/>
      <w:r>
        <w:rPr>
          <w:rFonts w:hint="eastAsia"/>
          <w:bCs w:val="0"/>
          <w:color w:val="auto"/>
          <w:szCs w:val="24"/>
        </w:rPr>
        <w:t>应</w:t>
      </w:r>
      <w:r>
        <w:rPr>
          <w:bCs w:val="0"/>
          <w:color w:val="auto"/>
          <w:szCs w:val="24"/>
        </w:rPr>
        <w:t>符合下列规定：</w:t>
      </w:r>
      <w:bookmarkEnd w:id="358"/>
    </w:p>
    <w:p w14:paraId="67C1BB1C">
      <w:pPr>
        <w:pStyle w:val="37"/>
        <w:spacing w:before="120" w:line="360" w:lineRule="auto"/>
        <w:rPr>
          <w:bCs w:val="0"/>
          <w:color w:val="auto"/>
          <w:sz w:val="24"/>
          <w:szCs w:val="24"/>
        </w:rPr>
      </w:pPr>
      <w:r>
        <w:rPr>
          <w:b/>
          <w:color w:val="auto"/>
          <w:sz w:val="24"/>
          <w:szCs w:val="24"/>
        </w:rPr>
        <w:t>1</w:t>
      </w:r>
      <w:r>
        <w:rPr>
          <w:rFonts w:hint="eastAsia"/>
          <w:b/>
          <w:color w:val="auto"/>
          <w:sz w:val="24"/>
          <w:szCs w:val="24"/>
        </w:rPr>
        <w:t xml:space="preserve">  </w:t>
      </w:r>
      <w:r>
        <w:rPr>
          <w:bCs w:val="0"/>
          <w:color w:val="auto"/>
          <w:sz w:val="24"/>
          <w:szCs w:val="24"/>
        </w:rPr>
        <w:t>施工</w:t>
      </w:r>
      <w:r>
        <w:rPr>
          <w:rFonts w:hint="eastAsia"/>
          <w:bCs w:val="0"/>
          <w:color w:val="auto"/>
          <w:sz w:val="24"/>
          <w:szCs w:val="24"/>
        </w:rPr>
        <w:t>现场</w:t>
      </w:r>
      <w:r>
        <w:rPr>
          <w:bCs w:val="0"/>
          <w:color w:val="auto"/>
          <w:sz w:val="24"/>
          <w:szCs w:val="24"/>
        </w:rPr>
        <w:t>应选用Ⅱ类或Ⅲ类手持</w:t>
      </w:r>
      <w:r>
        <w:rPr>
          <w:rFonts w:hint="eastAsia"/>
          <w:bCs w:val="0"/>
          <w:color w:val="auto"/>
          <w:sz w:val="24"/>
          <w:szCs w:val="24"/>
        </w:rPr>
        <w:t>电动</w:t>
      </w:r>
      <w:r>
        <w:rPr>
          <w:bCs w:val="0"/>
          <w:color w:val="auto"/>
          <w:sz w:val="24"/>
          <w:szCs w:val="24"/>
        </w:rPr>
        <w:t>工具及移动式电气设备；</w:t>
      </w:r>
    </w:p>
    <w:p w14:paraId="0E341DEE">
      <w:pPr>
        <w:pStyle w:val="37"/>
        <w:spacing w:before="120" w:line="360" w:lineRule="auto"/>
        <w:rPr>
          <w:bCs w:val="0"/>
          <w:color w:val="auto"/>
          <w:sz w:val="24"/>
          <w:szCs w:val="24"/>
        </w:rPr>
      </w:pPr>
      <w:r>
        <w:rPr>
          <w:rFonts w:hint="eastAsia"/>
          <w:b/>
          <w:color w:val="auto"/>
          <w:sz w:val="24"/>
          <w:szCs w:val="24"/>
        </w:rPr>
        <w:t xml:space="preserve">2  </w:t>
      </w:r>
      <w:r>
        <w:rPr>
          <w:bCs w:val="0"/>
          <w:color w:val="auto"/>
          <w:sz w:val="24"/>
          <w:szCs w:val="24"/>
        </w:rPr>
        <w:t>外壳、手柄、插头、开关、</w:t>
      </w:r>
      <w:r>
        <w:rPr>
          <w:rFonts w:hint="eastAsia"/>
          <w:bCs w:val="0"/>
          <w:color w:val="auto"/>
          <w:sz w:val="24"/>
          <w:szCs w:val="24"/>
        </w:rPr>
        <w:t>设备自带电源</w:t>
      </w:r>
      <w:r>
        <w:rPr>
          <w:bCs w:val="0"/>
          <w:color w:val="auto"/>
          <w:sz w:val="24"/>
          <w:szCs w:val="24"/>
        </w:rPr>
        <w:t>线等应完好无损，使用前应</w:t>
      </w:r>
      <w:r>
        <w:rPr>
          <w:rFonts w:hint="eastAsia"/>
          <w:bCs w:val="0"/>
          <w:color w:val="auto"/>
          <w:sz w:val="24"/>
          <w:szCs w:val="24"/>
        </w:rPr>
        <w:t>进行</w:t>
      </w:r>
      <w:r>
        <w:rPr>
          <w:bCs w:val="0"/>
          <w:color w:val="auto"/>
          <w:sz w:val="24"/>
          <w:szCs w:val="24"/>
        </w:rPr>
        <w:t>绝缘</w:t>
      </w:r>
      <w:r>
        <w:rPr>
          <w:rFonts w:hint="eastAsia"/>
          <w:bCs w:val="0"/>
          <w:color w:val="auto"/>
          <w:sz w:val="24"/>
          <w:szCs w:val="24"/>
        </w:rPr>
        <w:t>强度检测及</w:t>
      </w:r>
      <w:r>
        <w:rPr>
          <w:bCs w:val="0"/>
          <w:color w:val="auto"/>
          <w:sz w:val="24"/>
          <w:szCs w:val="24"/>
        </w:rPr>
        <w:t>空载</w:t>
      </w:r>
      <w:r>
        <w:rPr>
          <w:rFonts w:hint="eastAsia"/>
          <w:bCs w:val="0"/>
          <w:color w:val="auto"/>
          <w:sz w:val="24"/>
          <w:szCs w:val="24"/>
        </w:rPr>
        <w:t>运行</w:t>
      </w:r>
      <w:r>
        <w:rPr>
          <w:bCs w:val="0"/>
          <w:color w:val="auto"/>
          <w:sz w:val="24"/>
          <w:szCs w:val="24"/>
        </w:rPr>
        <w:t>，符合要求后，方可使用</w:t>
      </w:r>
      <w:r>
        <w:rPr>
          <w:rFonts w:hint="eastAsia"/>
          <w:bCs w:val="0"/>
          <w:color w:val="auto"/>
          <w:sz w:val="24"/>
          <w:szCs w:val="24"/>
        </w:rPr>
        <w:t>；</w:t>
      </w:r>
    </w:p>
    <w:p w14:paraId="006CF780">
      <w:pPr>
        <w:pStyle w:val="37"/>
        <w:spacing w:before="120" w:line="360" w:lineRule="auto"/>
        <w:rPr>
          <w:bCs w:val="0"/>
          <w:color w:val="auto"/>
          <w:sz w:val="24"/>
          <w:szCs w:val="24"/>
        </w:rPr>
      </w:pPr>
      <w:r>
        <w:rPr>
          <w:rFonts w:hint="eastAsia"/>
          <w:b/>
          <w:color w:val="auto"/>
          <w:sz w:val="24"/>
          <w:szCs w:val="24"/>
        </w:rPr>
        <w:t xml:space="preserve">3  </w:t>
      </w:r>
      <w:r>
        <w:rPr>
          <w:rFonts w:hint="eastAsia"/>
          <w:bCs w:val="0"/>
          <w:color w:val="auto"/>
          <w:sz w:val="24"/>
          <w:szCs w:val="24"/>
        </w:rPr>
        <w:t>手持电动工具及移动式电气设备应采用耐候型橡皮护套铜芯软电缆，电缆不得随意加长、拆换；</w:t>
      </w:r>
    </w:p>
    <w:p w14:paraId="6F5F9A47">
      <w:pPr>
        <w:pStyle w:val="37"/>
        <w:spacing w:before="120" w:line="360" w:lineRule="auto"/>
        <w:rPr>
          <w:bCs w:val="0"/>
          <w:color w:val="auto"/>
          <w:sz w:val="24"/>
          <w:szCs w:val="24"/>
        </w:rPr>
      </w:pPr>
      <w:r>
        <w:rPr>
          <w:rFonts w:hint="eastAsia"/>
          <w:b/>
          <w:color w:val="auto"/>
          <w:sz w:val="24"/>
          <w:szCs w:val="24"/>
        </w:rPr>
        <w:t xml:space="preserve">4  </w:t>
      </w:r>
      <w:r>
        <w:rPr>
          <w:bCs w:val="0"/>
          <w:color w:val="auto"/>
          <w:sz w:val="24"/>
          <w:szCs w:val="24"/>
        </w:rPr>
        <w:t>在锅炉、金属容器、管道</w:t>
      </w:r>
      <w:r>
        <w:rPr>
          <w:rFonts w:hint="eastAsia"/>
          <w:bCs w:val="0"/>
          <w:color w:val="auto"/>
          <w:sz w:val="24"/>
          <w:szCs w:val="24"/>
        </w:rPr>
        <w:t>等</w:t>
      </w:r>
      <w:r>
        <w:rPr>
          <w:bCs w:val="0"/>
          <w:color w:val="auto"/>
          <w:sz w:val="24"/>
          <w:szCs w:val="24"/>
        </w:rPr>
        <w:t>狭窄、导电良好</w:t>
      </w:r>
      <w:r>
        <w:rPr>
          <w:rFonts w:hint="eastAsia"/>
          <w:bCs w:val="0"/>
          <w:color w:val="auto"/>
          <w:sz w:val="24"/>
          <w:szCs w:val="24"/>
        </w:rPr>
        <w:t>的</w:t>
      </w:r>
      <w:r>
        <w:rPr>
          <w:bCs w:val="0"/>
          <w:color w:val="auto"/>
          <w:sz w:val="24"/>
          <w:szCs w:val="24"/>
        </w:rPr>
        <w:t>作业场所使用</w:t>
      </w:r>
      <w:r>
        <w:rPr>
          <w:rFonts w:hint="eastAsia"/>
          <w:bCs w:val="0"/>
          <w:color w:val="auto"/>
          <w:sz w:val="24"/>
          <w:szCs w:val="24"/>
        </w:rPr>
        <w:t>手持电动工具及移动式电气设备</w:t>
      </w:r>
      <w:r>
        <w:rPr>
          <w:bCs w:val="0"/>
          <w:color w:val="auto"/>
          <w:sz w:val="24"/>
          <w:szCs w:val="24"/>
        </w:rPr>
        <w:t>，应采用</w:t>
      </w:r>
      <w:bookmarkStart w:id="359" w:name="OLE_LINK124"/>
      <w:r>
        <w:rPr>
          <w:bCs w:val="0"/>
          <w:color w:val="auto"/>
          <w:sz w:val="24"/>
          <w:szCs w:val="24"/>
        </w:rPr>
        <w:t>Ⅲ类</w:t>
      </w:r>
      <w:r>
        <w:rPr>
          <w:rFonts w:hint="eastAsia"/>
          <w:bCs w:val="0"/>
          <w:color w:val="auto"/>
          <w:sz w:val="24"/>
          <w:szCs w:val="24"/>
        </w:rPr>
        <w:t>手持电动工具及移动式电气设备</w:t>
      </w:r>
      <w:r>
        <w:rPr>
          <w:bCs w:val="0"/>
          <w:color w:val="auto"/>
          <w:sz w:val="24"/>
          <w:szCs w:val="24"/>
        </w:rPr>
        <w:t>，供电</w:t>
      </w:r>
      <w:r>
        <w:rPr>
          <w:rFonts w:hint="eastAsia"/>
          <w:bCs w:val="0"/>
          <w:color w:val="auto"/>
          <w:sz w:val="24"/>
          <w:szCs w:val="24"/>
        </w:rPr>
        <w:t>电源应</w:t>
      </w:r>
      <w:r>
        <w:rPr>
          <w:bCs w:val="0"/>
          <w:color w:val="auto"/>
          <w:sz w:val="24"/>
          <w:szCs w:val="24"/>
        </w:rPr>
        <w:t>采用安全隔离变压器或移动电池</w:t>
      </w:r>
      <w:bookmarkEnd w:id="359"/>
      <w:bookmarkStart w:id="360" w:name="OLE_LINK125"/>
      <w:r>
        <w:rPr>
          <w:rFonts w:hint="eastAsia"/>
          <w:bCs w:val="0"/>
          <w:color w:val="auto"/>
          <w:sz w:val="24"/>
          <w:szCs w:val="24"/>
        </w:rPr>
        <w:t>。</w:t>
      </w:r>
    </w:p>
    <w:p w14:paraId="41AE7926">
      <w:pPr>
        <w:pStyle w:val="35"/>
        <w:spacing w:before="120" w:line="360" w:lineRule="auto"/>
        <w:rPr>
          <w:bCs w:val="0"/>
          <w:color w:val="auto"/>
          <w:szCs w:val="24"/>
        </w:rPr>
      </w:pPr>
      <w:bookmarkStart w:id="361" w:name="_Hlk225436525"/>
      <w:r>
        <w:rPr>
          <w:rFonts w:hint="eastAsia"/>
          <w:b/>
          <w:color w:val="auto"/>
          <w:szCs w:val="24"/>
        </w:rPr>
        <w:t>6</w:t>
      </w:r>
      <w:r>
        <w:rPr>
          <w:b/>
          <w:color w:val="auto"/>
          <w:szCs w:val="24"/>
        </w:rPr>
        <w:t>.5.</w:t>
      </w:r>
      <w:r>
        <w:rPr>
          <w:rFonts w:hint="eastAsia"/>
          <w:b/>
          <w:color w:val="auto"/>
          <w:szCs w:val="24"/>
        </w:rPr>
        <w:t>35</w:t>
      </w:r>
      <w:bookmarkEnd w:id="361"/>
      <w:r>
        <w:rPr>
          <w:rFonts w:hint="eastAsia"/>
          <w:b/>
          <w:color w:val="auto"/>
          <w:szCs w:val="24"/>
        </w:rPr>
        <w:t xml:space="preserve"> </w:t>
      </w:r>
      <w:r>
        <w:rPr>
          <w:rFonts w:hint="eastAsia"/>
          <w:bCs w:val="0"/>
          <w:color w:val="auto"/>
          <w:szCs w:val="24"/>
        </w:rPr>
        <w:t>采用安全隔离变压器或移动电池供电时，应符合下列规定：</w:t>
      </w:r>
    </w:p>
    <w:p w14:paraId="5D6A86A3">
      <w:pPr>
        <w:pStyle w:val="37"/>
        <w:spacing w:before="120" w:line="360" w:lineRule="auto"/>
        <w:rPr>
          <w:bCs w:val="0"/>
          <w:color w:val="auto"/>
          <w:sz w:val="24"/>
          <w:szCs w:val="24"/>
        </w:rPr>
      </w:pPr>
      <w:r>
        <w:rPr>
          <w:rFonts w:hint="eastAsia"/>
          <w:b/>
          <w:color w:val="auto"/>
          <w:sz w:val="24"/>
          <w:szCs w:val="24"/>
        </w:rPr>
        <w:t>1</w:t>
      </w:r>
      <w:r>
        <w:rPr>
          <w:rFonts w:hint="eastAsia"/>
          <w:bCs w:val="0"/>
          <w:color w:val="auto"/>
          <w:sz w:val="24"/>
          <w:szCs w:val="24"/>
        </w:rPr>
        <w:t xml:space="preserve">  </w:t>
      </w:r>
      <w:r>
        <w:rPr>
          <w:bCs w:val="0"/>
          <w:color w:val="auto"/>
          <w:sz w:val="24"/>
          <w:szCs w:val="24"/>
        </w:rPr>
        <w:t>安全隔离变压器及配电箱应设置在作业场所外</w:t>
      </w:r>
      <w:r>
        <w:rPr>
          <w:rFonts w:hint="eastAsia"/>
          <w:bCs w:val="0"/>
          <w:color w:val="auto"/>
          <w:sz w:val="24"/>
          <w:szCs w:val="24"/>
        </w:rPr>
        <w:t>；</w:t>
      </w:r>
    </w:p>
    <w:p w14:paraId="5ABC0144">
      <w:pPr>
        <w:pStyle w:val="37"/>
        <w:spacing w:before="120" w:line="360" w:lineRule="auto"/>
        <w:rPr>
          <w:bCs w:val="0"/>
          <w:color w:val="auto"/>
          <w:sz w:val="24"/>
          <w:szCs w:val="24"/>
        </w:rPr>
      </w:pPr>
      <w:r>
        <w:rPr>
          <w:rFonts w:hint="eastAsia"/>
          <w:b/>
          <w:color w:val="auto"/>
          <w:sz w:val="24"/>
          <w:szCs w:val="24"/>
        </w:rPr>
        <w:t xml:space="preserve">2 </w:t>
      </w:r>
      <w:bookmarkStart w:id="362" w:name="_Hlk198020763"/>
      <w:r>
        <w:rPr>
          <w:rFonts w:hint="eastAsia"/>
          <w:b/>
          <w:color w:val="auto"/>
          <w:sz w:val="24"/>
          <w:szCs w:val="24"/>
        </w:rPr>
        <w:t xml:space="preserve"> </w:t>
      </w:r>
      <w:r>
        <w:rPr>
          <w:bCs w:val="0"/>
          <w:color w:val="auto"/>
          <w:sz w:val="24"/>
          <w:szCs w:val="24"/>
        </w:rPr>
        <w:t>移动电池</w:t>
      </w:r>
      <w:bookmarkEnd w:id="362"/>
      <w:r>
        <w:rPr>
          <w:bCs w:val="0"/>
          <w:color w:val="auto"/>
          <w:sz w:val="24"/>
          <w:szCs w:val="24"/>
        </w:rPr>
        <w:t>供电时，应</w:t>
      </w:r>
      <w:r>
        <w:rPr>
          <w:rFonts w:hint="eastAsia"/>
          <w:bCs w:val="0"/>
          <w:color w:val="auto"/>
          <w:sz w:val="24"/>
          <w:szCs w:val="24"/>
        </w:rPr>
        <w:t>采用</w:t>
      </w:r>
      <w:r>
        <w:rPr>
          <w:bCs w:val="0"/>
          <w:color w:val="auto"/>
          <w:sz w:val="24"/>
          <w:szCs w:val="24"/>
        </w:rPr>
        <w:t>充电放电稳定、散热良好、安全可靠</w:t>
      </w:r>
      <w:r>
        <w:rPr>
          <w:rFonts w:hint="eastAsia"/>
          <w:bCs w:val="0"/>
          <w:color w:val="auto"/>
          <w:sz w:val="24"/>
          <w:szCs w:val="24"/>
        </w:rPr>
        <w:t>符合国家有关标准的</w:t>
      </w:r>
      <w:r>
        <w:rPr>
          <w:bCs w:val="0"/>
          <w:color w:val="auto"/>
          <w:sz w:val="24"/>
          <w:szCs w:val="24"/>
        </w:rPr>
        <w:t>电池</w:t>
      </w:r>
      <w:r>
        <w:rPr>
          <w:rFonts w:hint="eastAsia"/>
          <w:bCs w:val="0"/>
          <w:color w:val="auto"/>
          <w:sz w:val="24"/>
          <w:szCs w:val="24"/>
        </w:rPr>
        <w:t>，</w:t>
      </w:r>
      <w:r>
        <w:rPr>
          <w:bCs w:val="0"/>
          <w:color w:val="auto"/>
          <w:sz w:val="24"/>
          <w:szCs w:val="24"/>
        </w:rPr>
        <w:t>移动电池</w:t>
      </w:r>
      <w:r>
        <w:rPr>
          <w:rFonts w:hint="eastAsia"/>
          <w:bCs w:val="0"/>
          <w:color w:val="auto"/>
          <w:sz w:val="24"/>
          <w:szCs w:val="24"/>
        </w:rPr>
        <w:t>不应采用钴酸锂、三元锂等含钴元素的锂电池；</w:t>
      </w:r>
    </w:p>
    <w:p w14:paraId="798976AD">
      <w:pPr>
        <w:pStyle w:val="37"/>
        <w:spacing w:before="120" w:line="360" w:lineRule="auto"/>
        <w:rPr>
          <w:bCs w:val="0"/>
          <w:color w:val="auto"/>
          <w:sz w:val="24"/>
          <w:szCs w:val="24"/>
        </w:rPr>
      </w:pPr>
      <w:r>
        <w:rPr>
          <w:rFonts w:hint="eastAsia"/>
          <w:b/>
          <w:color w:val="auto"/>
          <w:sz w:val="24"/>
          <w:szCs w:val="24"/>
        </w:rPr>
        <w:t xml:space="preserve">3  </w:t>
      </w:r>
      <w:r>
        <w:rPr>
          <w:rFonts w:hint="eastAsia"/>
          <w:bCs w:val="0"/>
          <w:color w:val="auto"/>
          <w:sz w:val="24"/>
          <w:szCs w:val="24"/>
        </w:rPr>
        <w:t>作业</w:t>
      </w:r>
      <w:r>
        <w:rPr>
          <w:bCs w:val="0"/>
          <w:color w:val="auto"/>
          <w:sz w:val="24"/>
          <w:szCs w:val="24"/>
        </w:rPr>
        <w:t>时手持</w:t>
      </w:r>
      <w:r>
        <w:rPr>
          <w:rFonts w:hint="eastAsia"/>
          <w:bCs w:val="0"/>
          <w:color w:val="auto"/>
          <w:sz w:val="24"/>
          <w:szCs w:val="24"/>
        </w:rPr>
        <w:t>电动</w:t>
      </w:r>
      <w:r>
        <w:rPr>
          <w:bCs w:val="0"/>
          <w:color w:val="auto"/>
          <w:sz w:val="24"/>
          <w:szCs w:val="24"/>
        </w:rPr>
        <w:t>工具</w:t>
      </w:r>
      <w:r>
        <w:rPr>
          <w:rFonts w:hint="eastAsia"/>
          <w:bCs w:val="0"/>
          <w:color w:val="auto"/>
          <w:sz w:val="24"/>
          <w:szCs w:val="24"/>
        </w:rPr>
        <w:t>的</w:t>
      </w:r>
      <w:r>
        <w:rPr>
          <w:bCs w:val="0"/>
          <w:color w:val="auto"/>
          <w:sz w:val="24"/>
          <w:szCs w:val="24"/>
        </w:rPr>
        <w:t>电池应</w:t>
      </w:r>
      <w:r>
        <w:rPr>
          <w:rFonts w:hint="eastAsia"/>
          <w:bCs w:val="0"/>
          <w:color w:val="auto"/>
          <w:sz w:val="24"/>
          <w:szCs w:val="24"/>
        </w:rPr>
        <w:t>牢靠固定</w:t>
      </w:r>
      <w:r>
        <w:rPr>
          <w:bCs w:val="0"/>
          <w:color w:val="auto"/>
          <w:sz w:val="24"/>
          <w:szCs w:val="24"/>
        </w:rPr>
        <w:t>。</w:t>
      </w:r>
      <w:bookmarkEnd w:id="360"/>
    </w:p>
    <w:p w14:paraId="299AB70C">
      <w:pPr>
        <w:pStyle w:val="35"/>
        <w:spacing w:before="120" w:line="360" w:lineRule="auto"/>
        <w:rPr>
          <w:bCs w:val="0"/>
          <w:color w:val="auto"/>
          <w:szCs w:val="24"/>
        </w:rPr>
      </w:pPr>
      <w:r>
        <w:rPr>
          <w:rFonts w:hint="eastAsia"/>
          <w:b/>
          <w:color w:val="auto"/>
          <w:szCs w:val="24"/>
        </w:rPr>
        <w:t>6</w:t>
      </w:r>
      <w:r>
        <w:rPr>
          <w:b/>
          <w:color w:val="auto"/>
          <w:szCs w:val="24"/>
        </w:rPr>
        <w:t>.5.</w:t>
      </w:r>
      <w:r>
        <w:rPr>
          <w:rFonts w:hint="eastAsia"/>
          <w:b/>
          <w:color w:val="auto"/>
          <w:szCs w:val="24"/>
        </w:rPr>
        <w:t xml:space="preserve">36 </w:t>
      </w:r>
      <w:r>
        <w:rPr>
          <w:bCs w:val="0"/>
          <w:color w:val="auto"/>
          <w:szCs w:val="24"/>
        </w:rPr>
        <w:t>用电设备充电场所应符合下列规定：</w:t>
      </w:r>
    </w:p>
    <w:p w14:paraId="2F6D05ED">
      <w:pPr>
        <w:pStyle w:val="37"/>
        <w:spacing w:before="120" w:line="360" w:lineRule="auto"/>
        <w:rPr>
          <w:bCs w:val="0"/>
          <w:color w:val="auto"/>
          <w:sz w:val="24"/>
          <w:szCs w:val="24"/>
        </w:rPr>
      </w:pPr>
      <w:r>
        <w:rPr>
          <w:b/>
          <w:color w:val="auto"/>
          <w:sz w:val="24"/>
          <w:szCs w:val="24"/>
        </w:rPr>
        <w:t>1</w:t>
      </w:r>
      <w:bookmarkStart w:id="363" w:name="OLE_LINK5"/>
      <w:bookmarkStart w:id="364" w:name="OLE_LINK6"/>
      <w:r>
        <w:rPr>
          <w:rFonts w:hint="eastAsia"/>
          <w:bCs w:val="0"/>
          <w:color w:val="auto"/>
          <w:sz w:val="24"/>
          <w:szCs w:val="24"/>
        </w:rPr>
        <w:t xml:space="preserve">  </w:t>
      </w:r>
      <w:r>
        <w:rPr>
          <w:bCs w:val="0"/>
          <w:color w:val="auto"/>
          <w:sz w:val="24"/>
          <w:szCs w:val="24"/>
        </w:rPr>
        <w:t>用电设备</w:t>
      </w:r>
      <w:r>
        <w:rPr>
          <w:rFonts w:hint="eastAsia"/>
          <w:bCs w:val="0"/>
          <w:color w:val="auto"/>
          <w:sz w:val="24"/>
          <w:szCs w:val="24"/>
        </w:rPr>
        <w:t>的</w:t>
      </w:r>
      <w:r>
        <w:rPr>
          <w:bCs w:val="0"/>
          <w:color w:val="auto"/>
          <w:sz w:val="24"/>
          <w:szCs w:val="24"/>
        </w:rPr>
        <w:t>充电</w:t>
      </w:r>
      <w:r>
        <w:rPr>
          <w:rFonts w:hint="eastAsia"/>
          <w:bCs w:val="0"/>
          <w:color w:val="auto"/>
          <w:sz w:val="24"/>
          <w:szCs w:val="24"/>
        </w:rPr>
        <w:t>设备应设置专用回路及控制电器；</w:t>
      </w:r>
    </w:p>
    <w:p w14:paraId="04892247">
      <w:pPr>
        <w:pStyle w:val="37"/>
        <w:spacing w:before="120" w:line="360" w:lineRule="auto"/>
        <w:rPr>
          <w:bCs w:val="0"/>
          <w:color w:val="auto"/>
          <w:sz w:val="24"/>
          <w:szCs w:val="24"/>
        </w:rPr>
      </w:pPr>
      <w:r>
        <w:rPr>
          <w:rFonts w:hint="eastAsia"/>
          <w:b/>
          <w:color w:val="auto"/>
          <w:sz w:val="24"/>
          <w:szCs w:val="24"/>
        </w:rPr>
        <w:t xml:space="preserve">2 </w:t>
      </w:r>
      <w:bookmarkEnd w:id="363"/>
      <w:bookmarkEnd w:id="364"/>
      <w:r>
        <w:rPr>
          <w:rFonts w:hint="eastAsia"/>
          <w:b/>
          <w:color w:val="auto"/>
          <w:sz w:val="24"/>
          <w:szCs w:val="24"/>
        </w:rPr>
        <w:t xml:space="preserve"> </w:t>
      </w:r>
      <w:r>
        <w:rPr>
          <w:color w:val="auto"/>
          <w:sz w:val="24"/>
          <w:szCs w:val="24"/>
        </w:rPr>
        <w:t>充电设备数量十台（座）及以上或处于相对封闭场所宜设置独立感烟火灾探测报警装置及应急照明；</w:t>
      </w:r>
    </w:p>
    <w:p w14:paraId="1BF4B4B8">
      <w:pPr>
        <w:pStyle w:val="37"/>
        <w:spacing w:before="120" w:line="360" w:lineRule="auto"/>
        <w:rPr>
          <w:color w:val="auto"/>
          <w:sz w:val="24"/>
          <w:szCs w:val="24"/>
        </w:rPr>
      </w:pPr>
      <w:r>
        <w:rPr>
          <w:rFonts w:hint="eastAsia"/>
          <w:b/>
          <w:bCs w:val="0"/>
          <w:color w:val="auto"/>
          <w:sz w:val="24"/>
          <w:szCs w:val="24"/>
        </w:rPr>
        <w:t>3</w:t>
      </w:r>
      <w:r>
        <w:rPr>
          <w:rFonts w:hint="eastAsia"/>
          <w:color w:val="auto"/>
          <w:sz w:val="24"/>
          <w:szCs w:val="24"/>
        </w:rPr>
        <w:t xml:space="preserve">  </w:t>
      </w:r>
      <w:r>
        <w:rPr>
          <w:bCs w:val="0"/>
          <w:color w:val="auto"/>
          <w:sz w:val="24"/>
          <w:szCs w:val="24"/>
        </w:rPr>
        <w:t>场所应划定专用充电区域</w:t>
      </w:r>
      <w:r>
        <w:rPr>
          <w:rFonts w:hint="eastAsia"/>
          <w:bCs w:val="0"/>
          <w:color w:val="auto"/>
          <w:sz w:val="24"/>
          <w:szCs w:val="24"/>
        </w:rPr>
        <w:t>，</w:t>
      </w:r>
      <w:r>
        <w:rPr>
          <w:bCs w:val="0"/>
          <w:color w:val="auto"/>
          <w:sz w:val="24"/>
          <w:szCs w:val="24"/>
        </w:rPr>
        <w:t>场所</w:t>
      </w:r>
      <w:r>
        <w:rPr>
          <w:color w:val="auto"/>
          <w:sz w:val="24"/>
          <w:szCs w:val="24"/>
        </w:rPr>
        <w:t>围护或棚罩材料</w:t>
      </w:r>
      <w:r>
        <w:rPr>
          <w:rFonts w:hint="eastAsia"/>
          <w:color w:val="auto"/>
          <w:sz w:val="24"/>
          <w:szCs w:val="24"/>
        </w:rPr>
        <w:t>的燃烧性能应为</w:t>
      </w:r>
      <w:r>
        <w:rPr>
          <w:color w:val="auto"/>
          <w:sz w:val="24"/>
          <w:szCs w:val="24"/>
        </w:rPr>
        <w:t>A</w:t>
      </w:r>
      <w:r>
        <w:rPr>
          <w:rFonts w:hint="eastAsia"/>
          <w:color w:val="auto"/>
          <w:sz w:val="24"/>
          <w:szCs w:val="24"/>
        </w:rPr>
        <w:t>级</w:t>
      </w:r>
      <w:r>
        <w:rPr>
          <w:color w:val="auto"/>
          <w:sz w:val="24"/>
          <w:szCs w:val="24"/>
        </w:rPr>
        <w:t>；出入口及通道应保持畅通；</w:t>
      </w:r>
    </w:p>
    <w:p w14:paraId="15C5AFCB">
      <w:pPr>
        <w:pStyle w:val="37"/>
        <w:spacing w:before="120" w:line="360" w:lineRule="auto"/>
        <w:rPr>
          <w:bCs w:val="0"/>
          <w:color w:val="auto"/>
          <w:sz w:val="24"/>
          <w:szCs w:val="24"/>
        </w:rPr>
      </w:pPr>
      <w:r>
        <w:rPr>
          <w:rFonts w:hint="eastAsia"/>
          <w:b/>
          <w:color w:val="auto"/>
          <w:sz w:val="24"/>
          <w:szCs w:val="24"/>
        </w:rPr>
        <w:t>4</w:t>
      </w:r>
      <w:r>
        <w:rPr>
          <w:rFonts w:hint="eastAsia"/>
          <w:bCs w:val="0"/>
          <w:color w:val="auto"/>
          <w:sz w:val="24"/>
          <w:szCs w:val="24"/>
        </w:rPr>
        <w:t xml:space="preserve">  </w:t>
      </w:r>
      <w:r>
        <w:rPr>
          <w:bCs w:val="0"/>
          <w:color w:val="auto"/>
          <w:sz w:val="24"/>
          <w:szCs w:val="24"/>
        </w:rPr>
        <w:t>与在建工程防火安全距离</w:t>
      </w:r>
      <w:bookmarkStart w:id="365" w:name="_Hlk204678844"/>
      <w:r>
        <w:rPr>
          <w:rFonts w:hint="eastAsia"/>
          <w:bCs w:val="0"/>
          <w:color w:val="auto"/>
          <w:sz w:val="24"/>
          <w:szCs w:val="24"/>
        </w:rPr>
        <w:t>不</w:t>
      </w:r>
      <w:r>
        <w:rPr>
          <w:bCs w:val="0"/>
          <w:color w:val="auto"/>
          <w:sz w:val="24"/>
          <w:szCs w:val="24"/>
        </w:rPr>
        <w:t>应</w:t>
      </w:r>
      <w:r>
        <w:rPr>
          <w:rFonts w:hint="eastAsia"/>
          <w:bCs w:val="0"/>
          <w:color w:val="auto"/>
          <w:sz w:val="24"/>
          <w:szCs w:val="24"/>
        </w:rPr>
        <w:t>小于</w:t>
      </w:r>
      <w:bookmarkEnd w:id="365"/>
      <w:r>
        <w:rPr>
          <w:bCs w:val="0"/>
          <w:color w:val="auto"/>
          <w:sz w:val="24"/>
          <w:szCs w:val="24"/>
        </w:rPr>
        <w:t>15</w:t>
      </w:r>
      <w:r>
        <w:rPr>
          <w:rFonts w:hint="eastAsia"/>
          <w:bCs w:val="0"/>
          <w:color w:val="auto"/>
          <w:sz w:val="24"/>
          <w:szCs w:val="24"/>
        </w:rPr>
        <w:t>m</w:t>
      </w:r>
      <w:r>
        <w:rPr>
          <w:bCs w:val="0"/>
          <w:color w:val="auto"/>
          <w:sz w:val="24"/>
          <w:szCs w:val="24"/>
        </w:rPr>
        <w:t>，与其他生活、办公设施防火安全距离</w:t>
      </w:r>
      <w:r>
        <w:rPr>
          <w:rFonts w:hint="eastAsia"/>
          <w:bCs w:val="0"/>
          <w:color w:val="auto"/>
          <w:sz w:val="24"/>
          <w:szCs w:val="24"/>
        </w:rPr>
        <w:t>不</w:t>
      </w:r>
      <w:r>
        <w:rPr>
          <w:bCs w:val="0"/>
          <w:color w:val="auto"/>
          <w:sz w:val="24"/>
          <w:szCs w:val="24"/>
        </w:rPr>
        <w:t>应</w:t>
      </w:r>
      <w:r>
        <w:rPr>
          <w:rFonts w:hint="eastAsia"/>
          <w:bCs w:val="0"/>
          <w:color w:val="auto"/>
          <w:sz w:val="24"/>
          <w:szCs w:val="24"/>
        </w:rPr>
        <w:t>小于</w:t>
      </w:r>
      <w:r>
        <w:rPr>
          <w:bCs w:val="0"/>
          <w:color w:val="auto"/>
          <w:sz w:val="24"/>
          <w:szCs w:val="24"/>
        </w:rPr>
        <w:t>6</w:t>
      </w:r>
      <w:r>
        <w:rPr>
          <w:rFonts w:hint="eastAsia"/>
          <w:bCs w:val="0"/>
          <w:color w:val="auto"/>
          <w:sz w:val="24"/>
          <w:szCs w:val="24"/>
        </w:rPr>
        <w:t>m；</w:t>
      </w:r>
    </w:p>
    <w:p w14:paraId="5BF5B405">
      <w:pPr>
        <w:pStyle w:val="37"/>
        <w:spacing w:before="120" w:line="360" w:lineRule="auto"/>
        <w:rPr>
          <w:bCs w:val="0"/>
          <w:color w:val="auto"/>
          <w:sz w:val="24"/>
          <w:szCs w:val="24"/>
        </w:rPr>
      </w:pPr>
      <w:r>
        <w:rPr>
          <w:rFonts w:hint="eastAsia"/>
          <w:b/>
          <w:bCs w:val="0"/>
          <w:color w:val="auto"/>
          <w:sz w:val="24"/>
          <w:szCs w:val="24"/>
        </w:rPr>
        <w:t xml:space="preserve">5  </w:t>
      </w:r>
      <w:r>
        <w:rPr>
          <w:color w:val="auto"/>
          <w:sz w:val="24"/>
          <w:szCs w:val="24"/>
        </w:rPr>
        <w:t>配备数量充足</w:t>
      </w:r>
      <w:r>
        <w:rPr>
          <w:rFonts w:hint="eastAsia"/>
          <w:color w:val="auto"/>
          <w:sz w:val="24"/>
          <w:szCs w:val="24"/>
        </w:rPr>
        <w:t>适用于电气火灾</w:t>
      </w:r>
      <w:r>
        <w:rPr>
          <w:color w:val="auto"/>
          <w:sz w:val="24"/>
          <w:szCs w:val="24"/>
        </w:rPr>
        <w:t>的干粉灭火器、二氧化碳灭火器‌或砂箱</w:t>
      </w:r>
      <w:r>
        <w:rPr>
          <w:rFonts w:hint="eastAsia"/>
          <w:color w:val="auto"/>
          <w:sz w:val="24"/>
          <w:szCs w:val="24"/>
        </w:rPr>
        <w:t>，</w:t>
      </w:r>
      <w:r>
        <w:rPr>
          <w:color w:val="auto"/>
          <w:sz w:val="24"/>
          <w:szCs w:val="24"/>
        </w:rPr>
        <w:t>并</w:t>
      </w:r>
      <w:r>
        <w:rPr>
          <w:bCs w:val="0"/>
          <w:color w:val="auto"/>
          <w:sz w:val="24"/>
          <w:szCs w:val="24"/>
        </w:rPr>
        <w:t>定期检查其有效性</w:t>
      </w:r>
      <w:r>
        <w:rPr>
          <w:rFonts w:hint="eastAsia"/>
          <w:bCs w:val="0"/>
          <w:color w:val="auto"/>
          <w:sz w:val="24"/>
          <w:szCs w:val="24"/>
        </w:rPr>
        <w:t>。</w:t>
      </w:r>
    </w:p>
    <w:p w14:paraId="7C080346">
      <w:pPr>
        <w:pStyle w:val="35"/>
        <w:spacing w:before="120" w:line="360" w:lineRule="auto"/>
        <w:rPr>
          <w:bCs w:val="0"/>
          <w:color w:val="auto"/>
          <w:szCs w:val="24"/>
        </w:rPr>
      </w:pPr>
      <w:bookmarkStart w:id="366" w:name="_Hlk187575172"/>
      <w:r>
        <w:rPr>
          <w:rFonts w:hint="eastAsia"/>
          <w:b/>
          <w:color w:val="auto"/>
          <w:szCs w:val="24"/>
        </w:rPr>
        <w:t>6</w:t>
      </w:r>
      <w:r>
        <w:rPr>
          <w:b/>
          <w:color w:val="auto"/>
          <w:szCs w:val="24"/>
        </w:rPr>
        <w:t>.5.</w:t>
      </w:r>
      <w:bookmarkEnd w:id="366"/>
      <w:r>
        <w:rPr>
          <w:rFonts w:hint="eastAsia"/>
          <w:b/>
          <w:color w:val="auto"/>
          <w:szCs w:val="24"/>
        </w:rPr>
        <w:t xml:space="preserve">37 </w:t>
      </w:r>
      <w:r>
        <w:rPr>
          <w:bCs w:val="0"/>
          <w:color w:val="auto"/>
          <w:szCs w:val="24"/>
        </w:rPr>
        <w:t>充电场所供电线路应符合下列规定：</w:t>
      </w:r>
    </w:p>
    <w:p w14:paraId="5A727E01">
      <w:pPr>
        <w:pStyle w:val="37"/>
        <w:spacing w:before="120" w:line="360" w:lineRule="auto"/>
        <w:rPr>
          <w:bCs w:val="0"/>
          <w:color w:val="auto"/>
          <w:sz w:val="24"/>
          <w:szCs w:val="24"/>
        </w:rPr>
      </w:pPr>
      <w:r>
        <w:rPr>
          <w:b/>
          <w:color w:val="auto"/>
          <w:sz w:val="24"/>
          <w:szCs w:val="24"/>
        </w:rPr>
        <w:t>1</w:t>
      </w:r>
      <w:bookmarkStart w:id="367" w:name="_Hlk187577002"/>
      <w:r>
        <w:rPr>
          <w:rFonts w:hint="eastAsia"/>
          <w:b/>
          <w:color w:val="auto"/>
          <w:sz w:val="24"/>
          <w:szCs w:val="24"/>
        </w:rPr>
        <w:t xml:space="preserve">  </w:t>
      </w:r>
      <w:r>
        <w:rPr>
          <w:bCs w:val="0"/>
          <w:color w:val="auto"/>
          <w:sz w:val="24"/>
          <w:szCs w:val="24"/>
        </w:rPr>
        <w:t>充电场所</w:t>
      </w:r>
      <w:bookmarkEnd w:id="367"/>
      <w:r>
        <w:rPr>
          <w:bCs w:val="0"/>
          <w:color w:val="auto"/>
          <w:sz w:val="24"/>
          <w:szCs w:val="24"/>
        </w:rPr>
        <w:t>电源应设置专用回路；</w:t>
      </w:r>
    </w:p>
    <w:p w14:paraId="7558C3A7">
      <w:pPr>
        <w:pStyle w:val="37"/>
        <w:spacing w:before="120" w:line="360" w:lineRule="auto"/>
        <w:rPr>
          <w:bCs w:val="0"/>
          <w:color w:val="auto"/>
          <w:sz w:val="24"/>
          <w:szCs w:val="24"/>
        </w:rPr>
      </w:pPr>
      <w:r>
        <w:rPr>
          <w:b/>
          <w:color w:val="auto"/>
          <w:sz w:val="24"/>
          <w:szCs w:val="24"/>
        </w:rPr>
        <w:t>2</w:t>
      </w:r>
      <w:r>
        <w:rPr>
          <w:rFonts w:hint="eastAsia"/>
          <w:b/>
          <w:color w:val="auto"/>
          <w:sz w:val="24"/>
          <w:szCs w:val="24"/>
        </w:rPr>
        <w:t xml:space="preserve">  </w:t>
      </w:r>
      <w:r>
        <w:rPr>
          <w:bCs w:val="0"/>
          <w:color w:val="auto"/>
          <w:sz w:val="24"/>
          <w:szCs w:val="24"/>
        </w:rPr>
        <w:t>供电</w:t>
      </w:r>
      <w:r>
        <w:rPr>
          <w:rFonts w:hint="eastAsia"/>
          <w:bCs w:val="0"/>
          <w:color w:val="auto"/>
          <w:sz w:val="24"/>
          <w:szCs w:val="24"/>
        </w:rPr>
        <w:t>电线电</w:t>
      </w:r>
      <w:r>
        <w:rPr>
          <w:bCs w:val="0"/>
          <w:color w:val="auto"/>
          <w:sz w:val="24"/>
          <w:szCs w:val="24"/>
        </w:rPr>
        <w:t>缆截面积应按最大充电负荷计算电流确定</w:t>
      </w:r>
      <w:r>
        <w:rPr>
          <w:rFonts w:hint="eastAsia"/>
          <w:bCs w:val="0"/>
          <w:color w:val="auto"/>
          <w:sz w:val="24"/>
          <w:szCs w:val="24"/>
        </w:rPr>
        <w:t>。</w:t>
      </w:r>
    </w:p>
    <w:p w14:paraId="6956CEF5">
      <w:pPr>
        <w:pStyle w:val="35"/>
        <w:spacing w:before="120" w:line="360" w:lineRule="auto"/>
        <w:rPr>
          <w:bCs w:val="0"/>
          <w:color w:val="auto"/>
          <w:szCs w:val="24"/>
        </w:rPr>
      </w:pPr>
      <w:r>
        <w:rPr>
          <w:rFonts w:hint="eastAsia"/>
          <w:b/>
          <w:color w:val="auto"/>
          <w:szCs w:val="24"/>
        </w:rPr>
        <w:t>6</w:t>
      </w:r>
      <w:r>
        <w:rPr>
          <w:b/>
          <w:color w:val="auto"/>
          <w:szCs w:val="24"/>
        </w:rPr>
        <w:t>.5</w:t>
      </w:r>
      <w:r>
        <w:rPr>
          <w:b/>
          <w:bCs w:val="0"/>
          <w:color w:val="auto"/>
          <w:szCs w:val="24"/>
        </w:rPr>
        <w:t>.3</w:t>
      </w:r>
      <w:r>
        <w:rPr>
          <w:rFonts w:hint="eastAsia"/>
          <w:b/>
          <w:bCs w:val="0"/>
          <w:color w:val="auto"/>
          <w:szCs w:val="24"/>
        </w:rPr>
        <w:t xml:space="preserve">8 </w:t>
      </w:r>
      <w:r>
        <w:rPr>
          <w:bCs w:val="0"/>
          <w:color w:val="auto"/>
          <w:szCs w:val="24"/>
        </w:rPr>
        <w:t>充电场所管理应符合下列规定：</w:t>
      </w:r>
    </w:p>
    <w:p w14:paraId="424E7F6B">
      <w:pPr>
        <w:pStyle w:val="37"/>
        <w:spacing w:before="120" w:line="360" w:lineRule="auto"/>
        <w:rPr>
          <w:color w:val="auto"/>
          <w:sz w:val="24"/>
          <w:szCs w:val="24"/>
        </w:rPr>
      </w:pPr>
      <w:bookmarkStart w:id="368" w:name="_Hlk187576888"/>
      <w:r>
        <w:rPr>
          <w:b/>
          <w:bCs w:val="0"/>
          <w:color w:val="auto"/>
          <w:sz w:val="24"/>
          <w:szCs w:val="24"/>
        </w:rPr>
        <w:t>1</w:t>
      </w:r>
      <w:r>
        <w:rPr>
          <w:rFonts w:hint="eastAsia"/>
          <w:color w:val="auto"/>
          <w:sz w:val="24"/>
          <w:szCs w:val="24"/>
        </w:rPr>
        <w:t xml:space="preserve">  </w:t>
      </w:r>
      <w:r>
        <w:rPr>
          <w:color w:val="auto"/>
          <w:sz w:val="24"/>
          <w:szCs w:val="24"/>
        </w:rPr>
        <w:t>充电设施设备</w:t>
      </w:r>
      <w:bookmarkEnd w:id="368"/>
      <w:r>
        <w:rPr>
          <w:color w:val="auto"/>
          <w:sz w:val="24"/>
          <w:szCs w:val="24"/>
        </w:rPr>
        <w:t>应</w:t>
      </w:r>
      <w:r>
        <w:rPr>
          <w:bCs w:val="0"/>
          <w:color w:val="auto"/>
          <w:sz w:val="24"/>
          <w:szCs w:val="24"/>
        </w:rPr>
        <w:t>集中管理，</w:t>
      </w:r>
      <w:r>
        <w:rPr>
          <w:color w:val="auto"/>
          <w:sz w:val="24"/>
          <w:szCs w:val="24"/>
        </w:rPr>
        <w:t>按规定进行日常消防安全巡视</w:t>
      </w:r>
      <w:r>
        <w:rPr>
          <w:rFonts w:hint="eastAsia"/>
          <w:color w:val="auto"/>
          <w:sz w:val="24"/>
          <w:szCs w:val="24"/>
        </w:rPr>
        <w:t>并</w:t>
      </w:r>
      <w:r>
        <w:rPr>
          <w:color w:val="auto"/>
          <w:sz w:val="24"/>
          <w:szCs w:val="24"/>
        </w:rPr>
        <w:t>记录；</w:t>
      </w:r>
    </w:p>
    <w:p w14:paraId="587B13B8">
      <w:pPr>
        <w:pStyle w:val="37"/>
        <w:spacing w:before="120" w:line="360" w:lineRule="auto"/>
        <w:rPr>
          <w:bCs w:val="0"/>
          <w:color w:val="auto"/>
          <w:sz w:val="24"/>
          <w:szCs w:val="24"/>
        </w:rPr>
      </w:pPr>
      <w:r>
        <w:rPr>
          <w:b/>
          <w:color w:val="auto"/>
          <w:sz w:val="24"/>
          <w:szCs w:val="24"/>
        </w:rPr>
        <w:t>2</w:t>
      </w:r>
      <w:r>
        <w:rPr>
          <w:rFonts w:hint="eastAsia"/>
          <w:bCs w:val="0"/>
          <w:color w:val="auto"/>
          <w:sz w:val="24"/>
          <w:szCs w:val="24"/>
        </w:rPr>
        <w:t xml:space="preserve">  </w:t>
      </w:r>
      <w:r>
        <w:rPr>
          <w:bCs w:val="0"/>
          <w:color w:val="auto"/>
          <w:sz w:val="24"/>
          <w:szCs w:val="24"/>
        </w:rPr>
        <w:t>在出入口明显位置</w:t>
      </w:r>
      <w:r>
        <w:rPr>
          <w:rFonts w:hint="eastAsia"/>
          <w:bCs w:val="0"/>
          <w:color w:val="auto"/>
          <w:sz w:val="24"/>
          <w:szCs w:val="24"/>
        </w:rPr>
        <w:t>应</w:t>
      </w:r>
      <w:r>
        <w:rPr>
          <w:bCs w:val="0"/>
          <w:color w:val="auto"/>
          <w:sz w:val="24"/>
          <w:szCs w:val="24"/>
        </w:rPr>
        <w:t>设置维护人员联系信息及消防安全警示标识；</w:t>
      </w:r>
    </w:p>
    <w:p w14:paraId="04B0709C">
      <w:pPr>
        <w:pStyle w:val="37"/>
        <w:spacing w:before="120" w:line="360" w:lineRule="auto"/>
        <w:rPr>
          <w:bCs w:val="0"/>
          <w:color w:val="auto"/>
          <w:sz w:val="24"/>
          <w:szCs w:val="24"/>
        </w:rPr>
      </w:pPr>
      <w:r>
        <w:rPr>
          <w:b/>
          <w:color w:val="auto"/>
          <w:sz w:val="24"/>
          <w:szCs w:val="24"/>
        </w:rPr>
        <w:t>3</w:t>
      </w:r>
      <w:r>
        <w:rPr>
          <w:rFonts w:hint="eastAsia"/>
          <w:b/>
          <w:color w:val="auto"/>
          <w:sz w:val="24"/>
          <w:szCs w:val="24"/>
        </w:rPr>
        <w:t xml:space="preserve">  </w:t>
      </w:r>
      <w:r>
        <w:rPr>
          <w:bCs w:val="0"/>
          <w:color w:val="auto"/>
          <w:sz w:val="24"/>
          <w:szCs w:val="24"/>
        </w:rPr>
        <w:t>充电场所宜在视频监控范围内。</w:t>
      </w:r>
    </w:p>
    <w:p w14:paraId="7FDCC053">
      <w:pPr>
        <w:pStyle w:val="35"/>
        <w:spacing w:before="120" w:line="360" w:lineRule="auto"/>
        <w:rPr>
          <w:bCs w:val="0"/>
          <w:color w:val="auto"/>
          <w:szCs w:val="24"/>
        </w:rPr>
      </w:pPr>
      <w:r>
        <w:rPr>
          <w:rFonts w:hint="eastAsia"/>
          <w:b/>
          <w:color w:val="auto"/>
          <w:szCs w:val="24"/>
        </w:rPr>
        <w:t>6</w:t>
      </w:r>
      <w:r>
        <w:rPr>
          <w:b/>
          <w:color w:val="auto"/>
          <w:szCs w:val="24"/>
        </w:rPr>
        <w:t>.5.</w:t>
      </w:r>
      <w:r>
        <w:rPr>
          <w:rFonts w:hint="eastAsia"/>
          <w:b/>
          <w:color w:val="auto"/>
          <w:szCs w:val="24"/>
        </w:rPr>
        <w:t>39</w:t>
      </w:r>
      <w:r>
        <w:rPr>
          <w:rFonts w:hint="eastAsia"/>
          <w:bCs w:val="0"/>
          <w:color w:val="auto"/>
          <w:szCs w:val="24"/>
        </w:rPr>
        <w:t xml:space="preserve"> 潜水泵使用前应对设备绝缘强度进行检测，合格后方可使用</w:t>
      </w:r>
      <w:r>
        <w:rPr>
          <w:bCs w:val="0"/>
          <w:color w:val="auto"/>
          <w:szCs w:val="24"/>
        </w:rPr>
        <w:t>。</w:t>
      </w:r>
    </w:p>
    <w:p w14:paraId="52CB1E12">
      <w:pPr>
        <w:pStyle w:val="35"/>
        <w:spacing w:before="120" w:line="360" w:lineRule="auto"/>
        <w:rPr>
          <w:bCs w:val="0"/>
          <w:color w:val="auto"/>
          <w:szCs w:val="24"/>
        </w:rPr>
      </w:pPr>
      <w:r>
        <w:rPr>
          <w:rFonts w:hint="eastAsia"/>
          <w:b/>
          <w:color w:val="auto"/>
          <w:szCs w:val="24"/>
        </w:rPr>
        <w:t>6</w:t>
      </w:r>
      <w:r>
        <w:rPr>
          <w:b/>
          <w:color w:val="auto"/>
          <w:szCs w:val="24"/>
        </w:rPr>
        <w:t>.5.</w:t>
      </w:r>
      <w:r>
        <w:rPr>
          <w:rFonts w:hint="eastAsia"/>
          <w:b/>
          <w:color w:val="auto"/>
          <w:szCs w:val="24"/>
        </w:rPr>
        <w:t>40</w:t>
      </w:r>
      <w:r>
        <w:rPr>
          <w:rFonts w:hint="eastAsia"/>
          <w:bCs w:val="0"/>
          <w:color w:val="auto"/>
          <w:szCs w:val="24"/>
        </w:rPr>
        <w:t xml:space="preserve"> </w:t>
      </w:r>
      <w:r>
        <w:rPr>
          <w:bCs w:val="0"/>
          <w:color w:val="auto"/>
          <w:szCs w:val="24"/>
        </w:rPr>
        <w:t>室外使用电动葫芦时，电源端及控制开关应有防水保护措施。</w:t>
      </w:r>
    </w:p>
    <w:p w14:paraId="554D845C">
      <w:pPr>
        <w:pStyle w:val="35"/>
        <w:spacing w:before="120" w:line="360" w:lineRule="auto"/>
        <w:rPr>
          <w:bCs w:val="0"/>
          <w:color w:val="auto"/>
          <w:szCs w:val="24"/>
        </w:rPr>
      </w:pPr>
      <w:r>
        <w:rPr>
          <w:rFonts w:hint="eastAsia"/>
          <w:b/>
          <w:color w:val="auto"/>
          <w:szCs w:val="24"/>
        </w:rPr>
        <w:t>6</w:t>
      </w:r>
      <w:r>
        <w:rPr>
          <w:b/>
          <w:color w:val="auto"/>
          <w:szCs w:val="24"/>
        </w:rPr>
        <w:t>.5.</w:t>
      </w:r>
      <w:r>
        <w:rPr>
          <w:rFonts w:hint="eastAsia"/>
          <w:b/>
          <w:color w:val="auto"/>
          <w:szCs w:val="24"/>
        </w:rPr>
        <w:t>41</w:t>
      </w:r>
      <w:r>
        <w:rPr>
          <w:rFonts w:hint="eastAsia"/>
          <w:bCs w:val="0"/>
          <w:color w:val="auto"/>
          <w:szCs w:val="24"/>
        </w:rPr>
        <w:t xml:space="preserve"> 提升</w:t>
      </w:r>
      <w:r>
        <w:rPr>
          <w:bCs w:val="0"/>
          <w:color w:val="auto"/>
          <w:szCs w:val="24"/>
        </w:rPr>
        <w:t>机应配备可以迅速切断总控制电源的紧急断电开关，紧急断电开关</w:t>
      </w:r>
      <w:r>
        <w:rPr>
          <w:rFonts w:hint="eastAsia"/>
          <w:bCs w:val="0"/>
          <w:color w:val="auto"/>
          <w:szCs w:val="24"/>
        </w:rPr>
        <w:t>不</w:t>
      </w:r>
      <w:r>
        <w:rPr>
          <w:bCs w:val="0"/>
          <w:color w:val="auto"/>
          <w:szCs w:val="24"/>
        </w:rPr>
        <w:t>应</w:t>
      </w:r>
      <w:r>
        <w:rPr>
          <w:rFonts w:hint="eastAsia"/>
          <w:bCs w:val="0"/>
          <w:color w:val="auto"/>
          <w:szCs w:val="24"/>
        </w:rPr>
        <w:t>具</w:t>
      </w:r>
      <w:r>
        <w:rPr>
          <w:bCs w:val="0"/>
          <w:color w:val="auto"/>
          <w:szCs w:val="24"/>
        </w:rPr>
        <w:t>有自</w:t>
      </w:r>
      <w:r>
        <w:rPr>
          <w:rFonts w:hint="eastAsia"/>
          <w:bCs w:val="0"/>
          <w:color w:val="auto"/>
          <w:szCs w:val="24"/>
        </w:rPr>
        <w:t>动</w:t>
      </w:r>
      <w:r>
        <w:rPr>
          <w:bCs w:val="0"/>
          <w:color w:val="auto"/>
          <w:szCs w:val="24"/>
        </w:rPr>
        <w:t>恢复</w:t>
      </w:r>
      <w:r>
        <w:rPr>
          <w:rFonts w:hint="eastAsia"/>
          <w:bCs w:val="0"/>
          <w:color w:val="auto"/>
          <w:szCs w:val="24"/>
        </w:rPr>
        <w:t>功能</w:t>
      </w:r>
      <w:r>
        <w:rPr>
          <w:bCs w:val="0"/>
          <w:color w:val="auto"/>
          <w:szCs w:val="24"/>
        </w:rPr>
        <w:t>。</w:t>
      </w:r>
    </w:p>
    <w:p w14:paraId="19DBA5E0">
      <w:pPr>
        <w:pStyle w:val="35"/>
        <w:spacing w:before="120" w:line="360" w:lineRule="auto"/>
        <w:rPr>
          <w:bCs w:val="0"/>
          <w:color w:val="auto"/>
          <w:szCs w:val="24"/>
        </w:rPr>
      </w:pPr>
      <w:r>
        <w:rPr>
          <w:rFonts w:hint="eastAsia"/>
          <w:b/>
          <w:color w:val="auto"/>
          <w:szCs w:val="24"/>
        </w:rPr>
        <w:t>6</w:t>
      </w:r>
      <w:r>
        <w:rPr>
          <w:b/>
          <w:color w:val="auto"/>
          <w:szCs w:val="24"/>
        </w:rPr>
        <w:t>.5.4</w:t>
      </w:r>
      <w:r>
        <w:rPr>
          <w:rFonts w:hint="eastAsia"/>
          <w:b/>
          <w:color w:val="auto"/>
          <w:szCs w:val="24"/>
        </w:rPr>
        <w:t>2</w:t>
      </w:r>
      <w:r>
        <w:rPr>
          <w:rFonts w:hint="eastAsia"/>
          <w:bCs w:val="0"/>
          <w:color w:val="auto"/>
          <w:szCs w:val="24"/>
        </w:rPr>
        <w:t xml:space="preserve">  管道保温内的电伴热接头</w:t>
      </w:r>
      <w:r>
        <w:rPr>
          <w:bCs w:val="0"/>
          <w:color w:val="auto"/>
          <w:szCs w:val="24"/>
        </w:rPr>
        <w:t>接头处应有绝缘、防火、防水、防碰触等</w:t>
      </w:r>
      <w:r>
        <w:rPr>
          <w:rFonts w:hint="eastAsia"/>
          <w:bCs w:val="0"/>
          <w:color w:val="auto"/>
          <w:szCs w:val="24"/>
        </w:rPr>
        <w:t>防</w:t>
      </w:r>
      <w:r>
        <w:rPr>
          <w:bCs w:val="0"/>
          <w:color w:val="auto"/>
          <w:szCs w:val="24"/>
        </w:rPr>
        <w:t>护措施。</w:t>
      </w:r>
      <w:bookmarkStart w:id="369" w:name="OLE_LINK84"/>
    </w:p>
    <w:p w14:paraId="1A773DCC">
      <w:pPr>
        <w:pStyle w:val="35"/>
        <w:spacing w:before="120" w:line="360" w:lineRule="auto"/>
        <w:rPr>
          <w:bCs w:val="0"/>
          <w:color w:val="auto"/>
          <w:szCs w:val="24"/>
        </w:rPr>
      </w:pPr>
      <w:r>
        <w:rPr>
          <w:rFonts w:hint="eastAsia"/>
          <w:b/>
          <w:color w:val="auto"/>
          <w:szCs w:val="24"/>
        </w:rPr>
        <w:t>6</w:t>
      </w:r>
      <w:r>
        <w:rPr>
          <w:b/>
          <w:color w:val="auto"/>
          <w:szCs w:val="24"/>
        </w:rPr>
        <w:t>.5.</w:t>
      </w:r>
      <w:r>
        <w:rPr>
          <w:rFonts w:hint="eastAsia"/>
          <w:b/>
          <w:color w:val="auto"/>
          <w:szCs w:val="24"/>
        </w:rPr>
        <w:t>43</w:t>
      </w:r>
      <w:r>
        <w:rPr>
          <w:bCs w:val="0"/>
          <w:color w:val="auto"/>
          <w:szCs w:val="24"/>
        </w:rPr>
        <w:t xml:space="preserve"> </w:t>
      </w:r>
      <w:r>
        <w:rPr>
          <w:rFonts w:hint="eastAsia"/>
          <w:bCs w:val="0"/>
          <w:color w:val="auto"/>
          <w:szCs w:val="24"/>
        </w:rPr>
        <w:t xml:space="preserve"> 消防水泵配电应符合下列规定</w:t>
      </w:r>
      <w:r>
        <w:rPr>
          <w:bCs w:val="0"/>
          <w:color w:val="auto"/>
          <w:szCs w:val="24"/>
        </w:rPr>
        <w:t>：</w:t>
      </w:r>
    </w:p>
    <w:p w14:paraId="6B8A7028">
      <w:pPr>
        <w:pStyle w:val="35"/>
        <w:spacing w:before="120" w:line="360" w:lineRule="auto"/>
        <w:ind w:firstLine="482" w:firstLineChars="200"/>
        <w:rPr>
          <w:bCs w:val="0"/>
          <w:color w:val="auto"/>
          <w:szCs w:val="24"/>
        </w:rPr>
      </w:pPr>
      <w:r>
        <w:rPr>
          <w:rFonts w:hint="eastAsia"/>
          <w:b/>
          <w:color w:val="auto"/>
          <w:kern w:val="2"/>
          <w:szCs w:val="24"/>
        </w:rPr>
        <w:t>1</w:t>
      </w:r>
      <w:r>
        <w:rPr>
          <w:rFonts w:hint="eastAsia"/>
          <w:bCs w:val="0"/>
          <w:color w:val="auto"/>
          <w:szCs w:val="24"/>
        </w:rPr>
        <w:t xml:space="preserve">  专用线路应采用铜芯电缆；</w:t>
      </w:r>
    </w:p>
    <w:p w14:paraId="38FD9F73">
      <w:pPr>
        <w:pStyle w:val="35"/>
        <w:spacing w:before="120" w:line="360" w:lineRule="auto"/>
        <w:ind w:firstLine="482" w:firstLineChars="200"/>
        <w:rPr>
          <w:bCs w:val="0"/>
          <w:color w:val="auto"/>
          <w:szCs w:val="24"/>
        </w:rPr>
      </w:pPr>
      <w:r>
        <w:rPr>
          <w:rFonts w:hint="eastAsia"/>
          <w:b/>
          <w:color w:val="auto"/>
          <w:kern w:val="2"/>
          <w:szCs w:val="24"/>
        </w:rPr>
        <w:t>2</w:t>
      </w:r>
      <w:r>
        <w:rPr>
          <w:rFonts w:hint="eastAsia"/>
          <w:bCs w:val="0"/>
          <w:color w:val="auto"/>
          <w:szCs w:val="24"/>
        </w:rPr>
        <w:t xml:space="preserve">  专用配电箱应设置剩余电流预警装置，当剩余电流达到预设值时，应发出声光报警；</w:t>
      </w:r>
      <w:bookmarkEnd w:id="369"/>
    </w:p>
    <w:p w14:paraId="74DACE6C">
      <w:pPr>
        <w:pStyle w:val="35"/>
        <w:spacing w:before="120" w:line="360" w:lineRule="auto"/>
        <w:ind w:firstLine="482" w:firstLineChars="200"/>
        <w:rPr>
          <w:bCs w:val="0"/>
          <w:color w:val="auto"/>
          <w:szCs w:val="24"/>
        </w:rPr>
      </w:pPr>
      <w:r>
        <w:rPr>
          <w:rFonts w:hint="eastAsia"/>
          <w:b/>
          <w:color w:val="auto"/>
          <w:kern w:val="2"/>
          <w:szCs w:val="24"/>
        </w:rPr>
        <w:t>3</w:t>
      </w:r>
      <w:r>
        <w:rPr>
          <w:rFonts w:hint="eastAsia"/>
          <w:bCs w:val="0"/>
          <w:color w:val="auto"/>
          <w:szCs w:val="24"/>
        </w:rPr>
        <w:t xml:space="preserve">  配电系统应设置短路保护。</w:t>
      </w:r>
    </w:p>
    <w:p w14:paraId="092E08AA">
      <w:pPr>
        <w:pStyle w:val="35"/>
        <w:spacing w:before="120" w:line="360" w:lineRule="auto"/>
        <w:rPr>
          <w:bCs w:val="0"/>
          <w:color w:val="auto"/>
          <w:szCs w:val="24"/>
        </w:rPr>
      </w:pPr>
      <w:r>
        <w:rPr>
          <w:rFonts w:hint="eastAsia"/>
          <w:b/>
          <w:color w:val="auto"/>
          <w:szCs w:val="24"/>
        </w:rPr>
        <w:t>6</w:t>
      </w:r>
      <w:r>
        <w:rPr>
          <w:b/>
          <w:color w:val="auto"/>
          <w:szCs w:val="24"/>
        </w:rPr>
        <w:t>.5.</w:t>
      </w:r>
      <w:r>
        <w:rPr>
          <w:rFonts w:hint="eastAsia"/>
          <w:b/>
          <w:color w:val="auto"/>
          <w:szCs w:val="24"/>
        </w:rPr>
        <w:t>44</w:t>
      </w:r>
      <w:r>
        <w:rPr>
          <w:rFonts w:hint="eastAsia"/>
          <w:bCs w:val="0"/>
          <w:color w:val="auto"/>
          <w:szCs w:val="24"/>
        </w:rPr>
        <w:t xml:space="preserve"> </w:t>
      </w:r>
      <w:r>
        <w:rPr>
          <w:bCs w:val="0"/>
          <w:color w:val="auto"/>
          <w:szCs w:val="24"/>
        </w:rPr>
        <w:t>用电设备作业产生飞溅火花或表面温度较高时，应远离</w:t>
      </w:r>
      <w:r>
        <w:rPr>
          <w:rFonts w:hint="eastAsia"/>
          <w:bCs w:val="0"/>
          <w:color w:val="auto"/>
          <w:szCs w:val="24"/>
        </w:rPr>
        <w:t>易燃易爆</w:t>
      </w:r>
      <w:r>
        <w:rPr>
          <w:bCs w:val="0"/>
          <w:color w:val="auto"/>
          <w:szCs w:val="24"/>
        </w:rPr>
        <w:t>物质或采取相应的密闭、隔离等措施。</w:t>
      </w:r>
    </w:p>
    <w:p w14:paraId="460F05F3">
      <w:pPr>
        <w:pStyle w:val="35"/>
        <w:spacing w:before="120" w:line="360" w:lineRule="auto"/>
        <w:rPr>
          <w:bCs w:val="0"/>
          <w:color w:val="auto"/>
          <w:szCs w:val="24"/>
        </w:rPr>
      </w:pPr>
      <w:r>
        <w:rPr>
          <w:rFonts w:hint="eastAsia"/>
          <w:b/>
          <w:color w:val="auto"/>
          <w:szCs w:val="24"/>
        </w:rPr>
        <w:t>6</w:t>
      </w:r>
      <w:r>
        <w:rPr>
          <w:b/>
          <w:color w:val="auto"/>
          <w:szCs w:val="24"/>
        </w:rPr>
        <w:t>.5.</w:t>
      </w:r>
      <w:r>
        <w:rPr>
          <w:rFonts w:hint="eastAsia"/>
          <w:b/>
          <w:color w:val="auto"/>
          <w:szCs w:val="24"/>
        </w:rPr>
        <w:t xml:space="preserve">45 </w:t>
      </w:r>
      <w:r>
        <w:rPr>
          <w:bCs w:val="0"/>
          <w:color w:val="auto"/>
          <w:szCs w:val="24"/>
        </w:rPr>
        <w:t>电气设备在易燃、易爆环境中使用，应符合下列规定：</w:t>
      </w:r>
    </w:p>
    <w:p w14:paraId="49640ADA">
      <w:pPr>
        <w:pStyle w:val="37"/>
        <w:spacing w:before="120" w:line="360" w:lineRule="auto"/>
        <w:rPr>
          <w:bCs w:val="0"/>
          <w:color w:val="auto"/>
          <w:sz w:val="24"/>
          <w:szCs w:val="24"/>
        </w:rPr>
      </w:pPr>
      <w:r>
        <w:rPr>
          <w:b/>
          <w:color w:val="auto"/>
          <w:sz w:val="24"/>
          <w:szCs w:val="24"/>
        </w:rPr>
        <w:t>1</w:t>
      </w:r>
      <w:r>
        <w:rPr>
          <w:rFonts w:hint="eastAsia"/>
          <w:b/>
          <w:color w:val="auto"/>
          <w:sz w:val="24"/>
          <w:szCs w:val="24"/>
        </w:rPr>
        <w:t xml:space="preserve">  </w:t>
      </w:r>
      <w:r>
        <w:rPr>
          <w:rFonts w:hint="eastAsia" w:asciiTheme="minorEastAsia" w:hAnsiTheme="minorEastAsia" w:eastAsiaTheme="minorEastAsia"/>
          <w:bCs w:val="0"/>
          <w:color w:val="auto"/>
          <w:sz w:val="24"/>
          <w:szCs w:val="24"/>
        </w:rPr>
        <w:t>电气</w:t>
      </w:r>
      <w:r>
        <w:rPr>
          <w:bCs w:val="0"/>
          <w:color w:val="auto"/>
          <w:sz w:val="24"/>
          <w:szCs w:val="24"/>
        </w:rPr>
        <w:t>设备及线路的选型和安装，应符合</w:t>
      </w:r>
      <w:r>
        <w:rPr>
          <w:rFonts w:hint="eastAsia"/>
          <w:bCs w:val="0"/>
          <w:color w:val="auto"/>
          <w:sz w:val="24"/>
          <w:szCs w:val="24"/>
        </w:rPr>
        <w:t>现行国家标准</w:t>
      </w:r>
      <w:bookmarkStart w:id="370" w:name="OLE_LINK22"/>
      <w:r>
        <w:rPr>
          <w:rFonts w:hint="eastAsia"/>
          <w:bCs w:val="0"/>
          <w:color w:val="auto"/>
          <w:sz w:val="24"/>
          <w:szCs w:val="24"/>
        </w:rPr>
        <w:t>《爆炸危险环境电力装置设计规范》</w:t>
      </w:r>
      <w:r>
        <w:rPr>
          <w:bCs w:val="0"/>
          <w:color w:val="auto"/>
          <w:sz w:val="24"/>
          <w:szCs w:val="24"/>
        </w:rPr>
        <w:t>GB 50058</w:t>
      </w:r>
      <w:bookmarkEnd w:id="370"/>
      <w:r>
        <w:rPr>
          <w:rFonts w:hint="eastAsia"/>
          <w:bCs w:val="0"/>
          <w:color w:val="auto"/>
          <w:sz w:val="24"/>
          <w:szCs w:val="24"/>
        </w:rPr>
        <w:t>和</w:t>
      </w:r>
      <w:r>
        <w:rPr>
          <w:bCs w:val="0"/>
          <w:color w:val="auto"/>
          <w:sz w:val="24"/>
          <w:szCs w:val="24"/>
        </w:rPr>
        <w:t>《电气装置安装工程</w:t>
      </w:r>
      <w:r>
        <w:rPr>
          <w:rFonts w:hint="eastAsia"/>
          <w:bCs w:val="0"/>
          <w:color w:val="auto"/>
          <w:sz w:val="24"/>
          <w:szCs w:val="24"/>
        </w:rPr>
        <w:t xml:space="preserve"> </w:t>
      </w:r>
      <w:r>
        <w:rPr>
          <w:bCs w:val="0"/>
          <w:color w:val="auto"/>
          <w:sz w:val="24"/>
          <w:szCs w:val="24"/>
        </w:rPr>
        <w:t>爆炸和火灾危险环境电气装置施工及验收规范》GB</w:t>
      </w:r>
      <w:r>
        <w:rPr>
          <w:rFonts w:hint="eastAsia"/>
          <w:bCs w:val="0"/>
          <w:color w:val="auto"/>
          <w:sz w:val="24"/>
          <w:szCs w:val="24"/>
        </w:rPr>
        <w:t xml:space="preserve"> </w:t>
      </w:r>
      <w:r>
        <w:rPr>
          <w:bCs w:val="0"/>
          <w:color w:val="auto"/>
          <w:sz w:val="24"/>
          <w:szCs w:val="24"/>
        </w:rPr>
        <w:t>50257的有关规定；</w:t>
      </w:r>
    </w:p>
    <w:p w14:paraId="1E01234A">
      <w:pPr>
        <w:pStyle w:val="37"/>
        <w:spacing w:before="120" w:line="360" w:lineRule="auto"/>
        <w:rPr>
          <w:bCs w:val="0"/>
          <w:color w:val="auto"/>
          <w:sz w:val="24"/>
          <w:szCs w:val="24"/>
        </w:rPr>
      </w:pPr>
      <w:r>
        <w:rPr>
          <w:b/>
          <w:color w:val="auto"/>
          <w:sz w:val="24"/>
          <w:szCs w:val="24"/>
        </w:rPr>
        <w:t>2</w:t>
      </w:r>
      <w:r>
        <w:rPr>
          <w:rFonts w:hint="eastAsia"/>
          <w:b/>
          <w:color w:val="auto"/>
          <w:sz w:val="24"/>
          <w:szCs w:val="24"/>
        </w:rPr>
        <w:t xml:space="preserve">  </w:t>
      </w:r>
      <w:r>
        <w:rPr>
          <w:bCs w:val="0"/>
          <w:color w:val="auto"/>
          <w:sz w:val="24"/>
          <w:szCs w:val="24"/>
        </w:rPr>
        <w:t>电气设备应具备</w:t>
      </w:r>
      <w:r>
        <w:rPr>
          <w:rFonts w:hint="eastAsia"/>
          <w:bCs w:val="0"/>
          <w:color w:val="auto"/>
          <w:sz w:val="24"/>
          <w:szCs w:val="24"/>
        </w:rPr>
        <w:t>防</w:t>
      </w:r>
      <w:r>
        <w:rPr>
          <w:bCs w:val="0"/>
          <w:color w:val="auto"/>
          <w:sz w:val="24"/>
          <w:szCs w:val="24"/>
        </w:rPr>
        <w:t>爆功能，电气控制设备应安装在易燃、易爆区域外；</w:t>
      </w:r>
    </w:p>
    <w:p w14:paraId="2CB39C69">
      <w:pPr>
        <w:pStyle w:val="37"/>
        <w:spacing w:before="120" w:line="360" w:lineRule="auto"/>
        <w:rPr>
          <w:bCs w:val="0"/>
          <w:color w:val="auto"/>
          <w:sz w:val="24"/>
          <w:szCs w:val="24"/>
        </w:rPr>
      </w:pPr>
      <w:r>
        <w:rPr>
          <w:rFonts w:hint="eastAsia"/>
          <w:b/>
          <w:color w:val="auto"/>
          <w:sz w:val="24"/>
          <w:szCs w:val="24"/>
        </w:rPr>
        <w:t xml:space="preserve">3  </w:t>
      </w:r>
      <w:r>
        <w:rPr>
          <w:bCs w:val="0"/>
          <w:color w:val="auto"/>
          <w:sz w:val="24"/>
          <w:szCs w:val="24"/>
        </w:rPr>
        <w:t>进行用电设备检修或更换作业前，应断开电源。</w:t>
      </w:r>
    </w:p>
    <w:p w14:paraId="01842969">
      <w:pPr>
        <w:pStyle w:val="33"/>
        <w:numPr>
          <w:ilvl w:val="0"/>
          <w:numId w:val="0"/>
        </w:numPr>
        <w:spacing w:before="120" w:line="360" w:lineRule="auto"/>
        <w:outlineLvl w:val="1"/>
        <w:rPr>
          <w:rFonts w:eastAsia="宋体"/>
          <w:b/>
          <w:bCs/>
          <w:sz w:val="24"/>
          <w:szCs w:val="24"/>
        </w:rPr>
      </w:pPr>
      <w:bookmarkStart w:id="371" w:name="_Hlk225436705"/>
      <w:bookmarkStart w:id="372" w:name="_Toc73117517"/>
      <w:bookmarkStart w:id="373" w:name="_Toc71710259"/>
      <w:bookmarkStart w:id="374" w:name="_Toc71710401"/>
      <w:bookmarkStart w:id="375" w:name="_Toc71709552"/>
      <w:bookmarkStart w:id="376" w:name="_Toc73115858"/>
      <w:bookmarkStart w:id="377" w:name="_Toc32489"/>
      <w:bookmarkStart w:id="378" w:name="_Toc29902"/>
      <w:bookmarkStart w:id="379" w:name="_Toc3894"/>
      <w:bookmarkStart w:id="380" w:name="_Toc3531"/>
      <w:bookmarkStart w:id="381" w:name="_Toc19009"/>
      <w:bookmarkStart w:id="382" w:name="_Toc26389"/>
      <w:bookmarkStart w:id="383" w:name="_Toc16171"/>
      <w:r>
        <w:rPr>
          <w:rFonts w:hint="eastAsia" w:eastAsia="宋体"/>
          <w:b/>
          <w:bCs/>
          <w:sz w:val="24"/>
          <w:szCs w:val="24"/>
        </w:rPr>
        <w:t>6</w:t>
      </w:r>
      <w:r>
        <w:rPr>
          <w:rFonts w:eastAsia="宋体"/>
          <w:b/>
          <w:bCs/>
          <w:sz w:val="24"/>
          <w:szCs w:val="24"/>
        </w:rPr>
        <w:t>.6</w:t>
      </w:r>
      <w:bookmarkEnd w:id="371"/>
      <w:r>
        <w:rPr>
          <w:rFonts w:eastAsia="宋体"/>
          <w:b/>
          <w:bCs/>
          <w:sz w:val="24"/>
          <w:szCs w:val="24"/>
        </w:rPr>
        <w:t xml:space="preserve"> </w:t>
      </w:r>
      <w:bookmarkEnd w:id="372"/>
      <w:bookmarkEnd w:id="373"/>
      <w:bookmarkEnd w:id="374"/>
      <w:bookmarkEnd w:id="375"/>
      <w:bookmarkEnd w:id="376"/>
      <w:r>
        <w:rPr>
          <w:rFonts w:eastAsia="宋体"/>
          <w:b/>
          <w:bCs/>
          <w:sz w:val="24"/>
          <w:szCs w:val="24"/>
        </w:rPr>
        <w:t>办公区、生活区用电</w:t>
      </w:r>
      <w:bookmarkEnd w:id="377"/>
      <w:bookmarkEnd w:id="378"/>
      <w:bookmarkEnd w:id="379"/>
      <w:bookmarkEnd w:id="380"/>
      <w:bookmarkEnd w:id="381"/>
      <w:bookmarkEnd w:id="382"/>
      <w:bookmarkEnd w:id="383"/>
    </w:p>
    <w:p w14:paraId="46355CA3">
      <w:pPr>
        <w:pStyle w:val="35"/>
        <w:spacing w:before="120" w:line="360" w:lineRule="auto"/>
        <w:rPr>
          <w:bCs w:val="0"/>
          <w:color w:val="auto"/>
          <w:szCs w:val="24"/>
        </w:rPr>
      </w:pPr>
      <w:r>
        <w:rPr>
          <w:rFonts w:hint="eastAsia"/>
          <w:b/>
          <w:color w:val="auto"/>
          <w:szCs w:val="24"/>
        </w:rPr>
        <w:t>6</w:t>
      </w:r>
      <w:r>
        <w:rPr>
          <w:b/>
          <w:color w:val="auto"/>
          <w:szCs w:val="24"/>
        </w:rPr>
        <w:t>.6.1</w:t>
      </w:r>
      <w:r>
        <w:rPr>
          <w:rFonts w:hint="eastAsia"/>
          <w:bCs w:val="0"/>
          <w:color w:val="auto"/>
          <w:szCs w:val="24"/>
        </w:rPr>
        <w:t xml:space="preserve"> </w:t>
      </w:r>
      <w:r>
        <w:rPr>
          <w:bCs w:val="0"/>
          <w:color w:val="auto"/>
          <w:szCs w:val="24"/>
        </w:rPr>
        <w:t>办公区、生活区应设</w:t>
      </w:r>
      <w:r>
        <w:rPr>
          <w:rFonts w:hint="eastAsia"/>
          <w:bCs w:val="0"/>
          <w:color w:val="auto"/>
          <w:szCs w:val="24"/>
        </w:rPr>
        <w:t>置</w:t>
      </w:r>
      <w:r>
        <w:rPr>
          <w:bCs w:val="0"/>
          <w:color w:val="auto"/>
          <w:szCs w:val="24"/>
        </w:rPr>
        <w:t>专用配电箱。</w:t>
      </w:r>
    </w:p>
    <w:p w14:paraId="082FBB9A">
      <w:pPr>
        <w:pStyle w:val="35"/>
        <w:spacing w:before="120" w:line="360" w:lineRule="auto"/>
        <w:rPr>
          <w:bCs w:val="0"/>
          <w:color w:val="auto"/>
          <w:szCs w:val="24"/>
        </w:rPr>
      </w:pPr>
      <w:r>
        <w:rPr>
          <w:rFonts w:hint="eastAsia"/>
          <w:b/>
          <w:color w:val="auto"/>
          <w:szCs w:val="24"/>
        </w:rPr>
        <w:t>6</w:t>
      </w:r>
      <w:r>
        <w:rPr>
          <w:b/>
          <w:color w:val="auto"/>
          <w:szCs w:val="24"/>
        </w:rPr>
        <w:t>.6.2</w:t>
      </w:r>
      <w:r>
        <w:rPr>
          <w:rFonts w:hint="eastAsia"/>
          <w:b/>
          <w:color w:val="auto"/>
          <w:szCs w:val="24"/>
        </w:rPr>
        <w:t xml:space="preserve"> </w:t>
      </w:r>
      <w:r>
        <w:rPr>
          <w:bCs w:val="0"/>
          <w:color w:val="auto"/>
          <w:szCs w:val="24"/>
        </w:rPr>
        <w:t>室内配电</w:t>
      </w:r>
      <w:r>
        <w:rPr>
          <w:rFonts w:hint="eastAsia"/>
          <w:bCs w:val="0"/>
          <w:color w:val="auto"/>
          <w:szCs w:val="24"/>
        </w:rPr>
        <w:t>绝缘导线</w:t>
      </w:r>
      <w:r>
        <w:rPr>
          <w:bCs w:val="0"/>
          <w:color w:val="auto"/>
          <w:szCs w:val="24"/>
        </w:rPr>
        <w:t>应</w:t>
      </w:r>
      <w:r>
        <w:rPr>
          <w:rFonts w:hint="eastAsia"/>
          <w:bCs w:val="0"/>
          <w:color w:val="auto"/>
          <w:szCs w:val="24"/>
        </w:rPr>
        <w:t>穿</w:t>
      </w:r>
      <w:r>
        <w:rPr>
          <w:bCs w:val="0"/>
          <w:color w:val="auto"/>
          <w:szCs w:val="24"/>
        </w:rPr>
        <w:t>管</w:t>
      </w:r>
      <w:r>
        <w:rPr>
          <w:rFonts w:hint="eastAsia"/>
          <w:bCs w:val="0"/>
          <w:color w:val="auto"/>
          <w:szCs w:val="24"/>
        </w:rPr>
        <w:t>或</w:t>
      </w:r>
      <w:r>
        <w:rPr>
          <w:bCs w:val="0"/>
          <w:color w:val="auto"/>
          <w:szCs w:val="24"/>
        </w:rPr>
        <w:t>槽</w:t>
      </w:r>
      <w:r>
        <w:rPr>
          <w:rFonts w:hint="eastAsia"/>
          <w:bCs w:val="0"/>
          <w:color w:val="auto"/>
          <w:szCs w:val="24"/>
        </w:rPr>
        <w:t>盒</w:t>
      </w:r>
      <w:r>
        <w:rPr>
          <w:bCs w:val="0"/>
          <w:color w:val="auto"/>
          <w:szCs w:val="24"/>
        </w:rPr>
        <w:t>敷设</w:t>
      </w:r>
      <w:r>
        <w:rPr>
          <w:rFonts w:hint="eastAsia"/>
          <w:bCs w:val="0"/>
          <w:color w:val="auto"/>
          <w:szCs w:val="24"/>
        </w:rPr>
        <w:t>；</w:t>
      </w:r>
      <w:r>
        <w:rPr>
          <w:bCs w:val="0"/>
          <w:color w:val="auto"/>
          <w:szCs w:val="24"/>
        </w:rPr>
        <w:t>过墙</w:t>
      </w:r>
      <w:r>
        <w:rPr>
          <w:rFonts w:hint="eastAsia"/>
          <w:bCs w:val="0"/>
          <w:color w:val="auto"/>
          <w:szCs w:val="24"/>
        </w:rPr>
        <w:t>绝缘导线</w:t>
      </w:r>
      <w:r>
        <w:rPr>
          <w:bCs w:val="0"/>
          <w:color w:val="auto"/>
          <w:szCs w:val="24"/>
        </w:rPr>
        <w:t>应加装导管保护。</w:t>
      </w:r>
    </w:p>
    <w:p w14:paraId="2A3CAE7B">
      <w:pPr>
        <w:pStyle w:val="35"/>
        <w:spacing w:before="120" w:line="360" w:lineRule="auto"/>
        <w:rPr>
          <w:bCs w:val="0"/>
          <w:color w:val="auto"/>
          <w:szCs w:val="24"/>
        </w:rPr>
      </w:pPr>
      <w:r>
        <w:rPr>
          <w:rFonts w:hint="eastAsia"/>
          <w:b/>
          <w:color w:val="auto"/>
          <w:szCs w:val="24"/>
        </w:rPr>
        <w:t>6</w:t>
      </w:r>
      <w:r>
        <w:rPr>
          <w:b/>
          <w:color w:val="auto"/>
          <w:szCs w:val="24"/>
        </w:rPr>
        <w:t>.6.</w:t>
      </w:r>
      <w:r>
        <w:rPr>
          <w:rFonts w:hint="eastAsia"/>
          <w:b/>
          <w:color w:val="auto"/>
          <w:szCs w:val="24"/>
        </w:rPr>
        <w:t xml:space="preserve">3 </w:t>
      </w:r>
      <w:r>
        <w:rPr>
          <w:bCs w:val="0"/>
          <w:color w:val="auto"/>
          <w:szCs w:val="24"/>
        </w:rPr>
        <w:t>生</w:t>
      </w:r>
      <w:bookmarkStart w:id="384" w:name="OLE_LINK80"/>
      <w:r>
        <w:rPr>
          <w:bCs w:val="0"/>
          <w:color w:val="auto"/>
          <w:szCs w:val="24"/>
        </w:rPr>
        <w:t>活区</w:t>
      </w:r>
      <w:r>
        <w:rPr>
          <w:rFonts w:hint="eastAsia"/>
          <w:bCs w:val="0"/>
          <w:color w:val="auto"/>
          <w:szCs w:val="24"/>
        </w:rPr>
        <w:t>宿舍</w:t>
      </w:r>
      <w:bookmarkEnd w:id="384"/>
      <w:r>
        <w:rPr>
          <w:rFonts w:hint="eastAsia"/>
          <w:bCs w:val="0"/>
          <w:color w:val="auto"/>
          <w:szCs w:val="24"/>
        </w:rPr>
        <w:t>照明应</w:t>
      </w:r>
      <w:r>
        <w:rPr>
          <w:bCs w:val="0"/>
          <w:color w:val="auto"/>
          <w:szCs w:val="24"/>
        </w:rPr>
        <w:t>采用</w:t>
      </w:r>
      <w:r>
        <w:rPr>
          <w:rFonts w:hint="eastAsia"/>
          <w:bCs w:val="0"/>
          <w:color w:val="auto"/>
          <w:szCs w:val="24"/>
        </w:rPr>
        <w:t>安全特低电压（SELV）</w:t>
      </w:r>
      <w:r>
        <w:rPr>
          <w:bCs w:val="0"/>
          <w:color w:val="auto"/>
          <w:szCs w:val="24"/>
        </w:rPr>
        <w:t>供电。</w:t>
      </w:r>
    </w:p>
    <w:p w14:paraId="74FE6C9D">
      <w:pPr>
        <w:pStyle w:val="35"/>
        <w:spacing w:before="120" w:line="360" w:lineRule="auto"/>
        <w:rPr>
          <w:bCs w:val="0"/>
          <w:color w:val="auto"/>
          <w:szCs w:val="24"/>
        </w:rPr>
      </w:pPr>
      <w:r>
        <w:rPr>
          <w:rFonts w:hint="eastAsia"/>
          <w:b/>
          <w:color w:val="auto"/>
          <w:szCs w:val="24"/>
        </w:rPr>
        <w:t>6</w:t>
      </w:r>
      <w:r>
        <w:rPr>
          <w:b/>
          <w:color w:val="auto"/>
          <w:szCs w:val="24"/>
        </w:rPr>
        <w:t>.6.</w:t>
      </w:r>
      <w:r>
        <w:rPr>
          <w:rFonts w:hint="eastAsia"/>
          <w:b/>
          <w:color w:val="auto"/>
          <w:szCs w:val="24"/>
        </w:rPr>
        <w:t>4</w:t>
      </w:r>
      <w:r>
        <w:rPr>
          <w:rFonts w:hint="eastAsia"/>
          <w:bCs w:val="0"/>
          <w:color w:val="auto"/>
          <w:szCs w:val="24"/>
        </w:rPr>
        <w:t xml:space="preserve"> </w:t>
      </w:r>
      <w:r>
        <w:rPr>
          <w:bCs w:val="0"/>
          <w:color w:val="auto"/>
          <w:szCs w:val="24"/>
        </w:rPr>
        <w:t>生活区</w:t>
      </w:r>
      <w:bookmarkStart w:id="385" w:name="OLE_LINK41"/>
      <w:bookmarkStart w:id="386" w:name="OLE_LINK40"/>
      <w:r>
        <w:rPr>
          <w:bCs w:val="0"/>
          <w:color w:val="auto"/>
          <w:szCs w:val="24"/>
        </w:rPr>
        <w:t>空调设备</w:t>
      </w:r>
      <w:bookmarkEnd w:id="385"/>
      <w:bookmarkEnd w:id="386"/>
      <w:r>
        <w:rPr>
          <w:bCs w:val="0"/>
          <w:color w:val="auto"/>
          <w:szCs w:val="24"/>
        </w:rPr>
        <w:t>应设置专用配电线路，空调设备专用插座应设在室外，并采取防水措施。</w:t>
      </w:r>
    </w:p>
    <w:p w14:paraId="5F99AB42">
      <w:pPr>
        <w:pStyle w:val="35"/>
        <w:spacing w:before="120" w:line="360" w:lineRule="auto"/>
        <w:rPr>
          <w:bCs w:val="0"/>
          <w:color w:val="auto"/>
          <w:szCs w:val="24"/>
        </w:rPr>
      </w:pPr>
      <w:r>
        <w:rPr>
          <w:rFonts w:hint="eastAsia"/>
          <w:b/>
          <w:color w:val="auto"/>
          <w:szCs w:val="24"/>
        </w:rPr>
        <w:t>6</w:t>
      </w:r>
      <w:r>
        <w:rPr>
          <w:b/>
          <w:color w:val="auto"/>
          <w:szCs w:val="24"/>
        </w:rPr>
        <w:t>.6.</w:t>
      </w:r>
      <w:r>
        <w:rPr>
          <w:rFonts w:hint="eastAsia"/>
          <w:b/>
          <w:color w:val="auto"/>
          <w:szCs w:val="24"/>
        </w:rPr>
        <w:t xml:space="preserve">5 </w:t>
      </w:r>
      <w:r>
        <w:rPr>
          <w:bCs w:val="0"/>
          <w:color w:val="auto"/>
          <w:szCs w:val="24"/>
        </w:rPr>
        <w:t>生活区宿舍内</w:t>
      </w:r>
      <w:r>
        <w:rPr>
          <w:rFonts w:hint="eastAsia"/>
          <w:bCs w:val="0"/>
          <w:color w:val="auto"/>
          <w:szCs w:val="24"/>
        </w:rPr>
        <w:t>应按照规定配置USB插座</w:t>
      </w:r>
      <w:r>
        <w:rPr>
          <w:rFonts w:hint="eastAsia"/>
          <w:color w:val="auto"/>
          <w:szCs w:val="24"/>
        </w:rPr>
        <w:t>。</w:t>
      </w:r>
    </w:p>
    <w:p w14:paraId="254BF64B">
      <w:pPr>
        <w:pStyle w:val="35"/>
        <w:spacing w:before="120" w:line="360" w:lineRule="auto"/>
        <w:rPr>
          <w:color w:val="auto"/>
          <w:szCs w:val="24"/>
        </w:rPr>
      </w:pPr>
      <w:r>
        <w:rPr>
          <w:rFonts w:hint="eastAsia"/>
          <w:b/>
          <w:color w:val="auto"/>
          <w:szCs w:val="24"/>
        </w:rPr>
        <w:t>6</w:t>
      </w:r>
      <w:r>
        <w:rPr>
          <w:b/>
          <w:color w:val="auto"/>
          <w:szCs w:val="24"/>
        </w:rPr>
        <w:t>.6.</w:t>
      </w:r>
      <w:r>
        <w:rPr>
          <w:rFonts w:hint="eastAsia"/>
          <w:b/>
          <w:color w:val="auto"/>
          <w:szCs w:val="24"/>
        </w:rPr>
        <w:t xml:space="preserve">6 </w:t>
      </w:r>
      <w:r>
        <w:rPr>
          <w:bCs w:val="0"/>
          <w:color w:val="auto"/>
          <w:szCs w:val="24"/>
        </w:rPr>
        <w:t>淋浴间</w:t>
      </w:r>
      <w:r>
        <w:rPr>
          <w:rFonts w:hint="eastAsia"/>
          <w:bCs w:val="0"/>
          <w:color w:val="auto"/>
          <w:szCs w:val="24"/>
        </w:rPr>
        <w:t>等</w:t>
      </w:r>
      <w:r>
        <w:rPr>
          <w:bCs w:val="0"/>
          <w:color w:val="auto"/>
          <w:szCs w:val="24"/>
        </w:rPr>
        <w:t>潮湿场所内</w:t>
      </w:r>
      <w:r>
        <w:rPr>
          <w:rFonts w:hint="eastAsia"/>
          <w:bCs w:val="0"/>
          <w:color w:val="auto"/>
          <w:szCs w:val="24"/>
        </w:rPr>
        <w:t>插座、</w:t>
      </w:r>
      <w:r>
        <w:rPr>
          <w:bCs w:val="0"/>
          <w:color w:val="auto"/>
          <w:szCs w:val="24"/>
        </w:rPr>
        <w:t>配电箱</w:t>
      </w:r>
      <w:r>
        <w:rPr>
          <w:rFonts w:hint="eastAsia"/>
          <w:color w:val="auto"/>
          <w:szCs w:val="24"/>
        </w:rPr>
        <w:t>应设置在</w:t>
      </w:r>
      <w:r>
        <w:rPr>
          <w:rFonts w:hint="eastAsia"/>
          <w:bCs w:val="0"/>
          <w:color w:val="auto"/>
          <w:szCs w:val="24"/>
        </w:rPr>
        <w:t>2区以外，并</w:t>
      </w:r>
      <w:r>
        <w:rPr>
          <w:bCs w:val="0"/>
          <w:color w:val="auto"/>
          <w:szCs w:val="24"/>
        </w:rPr>
        <w:t>应采取防溅水措施</w:t>
      </w:r>
      <w:r>
        <w:rPr>
          <w:rFonts w:hint="eastAsia"/>
          <w:bCs w:val="0"/>
          <w:color w:val="auto"/>
          <w:szCs w:val="24"/>
        </w:rPr>
        <w:t>。</w:t>
      </w:r>
    </w:p>
    <w:p w14:paraId="6E3463A0">
      <w:pPr>
        <w:pStyle w:val="35"/>
        <w:spacing w:before="120" w:line="360" w:lineRule="auto"/>
        <w:rPr>
          <w:bCs w:val="0"/>
          <w:color w:val="auto"/>
          <w:szCs w:val="24"/>
        </w:rPr>
      </w:pPr>
      <w:bookmarkStart w:id="387" w:name="_Hlk225437060"/>
      <w:r>
        <w:rPr>
          <w:rFonts w:hint="eastAsia"/>
          <w:b/>
          <w:color w:val="auto"/>
          <w:szCs w:val="24"/>
        </w:rPr>
        <w:t>6</w:t>
      </w:r>
      <w:r>
        <w:rPr>
          <w:b/>
          <w:color w:val="auto"/>
          <w:szCs w:val="24"/>
        </w:rPr>
        <w:t>.6.</w:t>
      </w:r>
      <w:r>
        <w:rPr>
          <w:rFonts w:hint="eastAsia"/>
          <w:b/>
          <w:color w:val="auto"/>
          <w:szCs w:val="24"/>
        </w:rPr>
        <w:t>7</w:t>
      </w:r>
      <w:bookmarkEnd w:id="387"/>
      <w:r>
        <w:rPr>
          <w:rFonts w:hint="eastAsia"/>
          <w:b/>
          <w:color w:val="auto"/>
          <w:szCs w:val="24"/>
        </w:rPr>
        <w:t xml:space="preserve"> </w:t>
      </w:r>
      <w:r>
        <w:rPr>
          <w:bCs w:val="0"/>
          <w:color w:val="auto"/>
          <w:szCs w:val="24"/>
        </w:rPr>
        <w:t>淋浴间的配电回路</w:t>
      </w:r>
      <w:bookmarkStart w:id="388" w:name="OLE_LINK42"/>
      <w:bookmarkStart w:id="389" w:name="OLE_LINK43"/>
      <w:r>
        <w:rPr>
          <w:bCs w:val="0"/>
          <w:color w:val="auto"/>
          <w:szCs w:val="24"/>
        </w:rPr>
        <w:t>应</w:t>
      </w:r>
      <w:bookmarkEnd w:id="388"/>
      <w:bookmarkEnd w:id="389"/>
      <w:r>
        <w:rPr>
          <w:bCs w:val="0"/>
          <w:color w:val="auto"/>
          <w:szCs w:val="24"/>
        </w:rPr>
        <w:t>设置额定剩余动作电流不大于30mA</w:t>
      </w:r>
      <w:r>
        <w:rPr>
          <w:rFonts w:hint="eastAsia"/>
          <w:bCs w:val="0"/>
          <w:color w:val="auto"/>
          <w:szCs w:val="24"/>
        </w:rPr>
        <w:t>的</w:t>
      </w:r>
      <w:r>
        <w:rPr>
          <w:bCs w:val="0"/>
          <w:color w:val="auto"/>
          <w:szCs w:val="24"/>
        </w:rPr>
        <w:t>剩余电流动作保护电器；淋浴输水管采用金属</w:t>
      </w:r>
      <w:r>
        <w:rPr>
          <w:rFonts w:hint="eastAsia"/>
          <w:bCs w:val="0"/>
          <w:color w:val="auto"/>
          <w:szCs w:val="24"/>
        </w:rPr>
        <w:t>材质</w:t>
      </w:r>
      <w:r>
        <w:rPr>
          <w:bCs w:val="0"/>
          <w:color w:val="auto"/>
          <w:szCs w:val="24"/>
        </w:rPr>
        <w:t>时，应设置</w:t>
      </w:r>
      <w:bookmarkStart w:id="390" w:name="_Hlk200633499"/>
      <w:r>
        <w:rPr>
          <w:bCs w:val="0"/>
          <w:color w:val="auto"/>
          <w:szCs w:val="24"/>
        </w:rPr>
        <w:t>辅助等电位</w:t>
      </w:r>
      <w:r>
        <w:rPr>
          <w:rFonts w:hint="eastAsia"/>
          <w:bCs w:val="0"/>
          <w:color w:val="auto"/>
          <w:szCs w:val="24"/>
        </w:rPr>
        <w:t>联结（SEB）</w:t>
      </w:r>
      <w:r>
        <w:rPr>
          <w:bCs w:val="0"/>
          <w:color w:val="auto"/>
          <w:szCs w:val="24"/>
        </w:rPr>
        <w:t>措施</w:t>
      </w:r>
      <w:bookmarkEnd w:id="390"/>
      <w:r>
        <w:rPr>
          <w:bCs w:val="0"/>
          <w:color w:val="auto"/>
          <w:szCs w:val="24"/>
        </w:rPr>
        <w:t>。</w:t>
      </w:r>
    </w:p>
    <w:p w14:paraId="6ADEDCCB">
      <w:pPr>
        <w:pStyle w:val="33"/>
        <w:numPr>
          <w:ilvl w:val="0"/>
          <w:numId w:val="0"/>
        </w:numPr>
        <w:spacing w:before="120" w:line="360" w:lineRule="auto"/>
        <w:outlineLvl w:val="1"/>
        <w:rPr>
          <w:rFonts w:eastAsia="宋体"/>
          <w:b/>
          <w:bCs/>
          <w:sz w:val="24"/>
          <w:szCs w:val="24"/>
        </w:rPr>
      </w:pPr>
      <w:bookmarkStart w:id="391" w:name="_Hlk225437107"/>
      <w:bookmarkStart w:id="392" w:name="_Toc20371"/>
      <w:bookmarkStart w:id="393" w:name="_Toc21764"/>
      <w:bookmarkStart w:id="394" w:name="_Toc20521"/>
      <w:bookmarkStart w:id="395" w:name="_Toc13137"/>
      <w:bookmarkStart w:id="396" w:name="_Toc12632"/>
      <w:bookmarkStart w:id="397" w:name="_Toc11706"/>
      <w:bookmarkStart w:id="398" w:name="_Toc18473"/>
      <w:bookmarkStart w:id="399" w:name="OLE_LINK45"/>
      <w:r>
        <w:rPr>
          <w:rFonts w:hint="eastAsia" w:eastAsia="宋体"/>
          <w:b/>
          <w:bCs/>
          <w:sz w:val="24"/>
          <w:szCs w:val="24"/>
        </w:rPr>
        <w:t>6.7</w:t>
      </w:r>
      <w:bookmarkEnd w:id="391"/>
      <w:r>
        <w:rPr>
          <w:rFonts w:hint="eastAsia" w:eastAsia="宋体"/>
          <w:b/>
          <w:bCs/>
          <w:sz w:val="24"/>
          <w:szCs w:val="24"/>
        </w:rPr>
        <w:t xml:space="preserve"> 施工照明</w:t>
      </w:r>
      <w:bookmarkEnd w:id="392"/>
      <w:bookmarkEnd w:id="393"/>
      <w:bookmarkEnd w:id="394"/>
      <w:bookmarkEnd w:id="395"/>
      <w:bookmarkEnd w:id="396"/>
      <w:bookmarkEnd w:id="397"/>
      <w:bookmarkEnd w:id="398"/>
    </w:p>
    <w:p w14:paraId="02C958B4">
      <w:pPr>
        <w:pStyle w:val="35"/>
        <w:spacing w:before="120" w:line="360" w:lineRule="auto"/>
        <w:rPr>
          <w:color w:val="auto"/>
          <w:szCs w:val="24"/>
        </w:rPr>
      </w:pPr>
      <w:r>
        <w:rPr>
          <w:rFonts w:hint="eastAsia"/>
          <w:b/>
          <w:bCs w:val="0"/>
          <w:color w:val="auto"/>
          <w:szCs w:val="24"/>
        </w:rPr>
        <w:t>6.7</w:t>
      </w:r>
      <w:r>
        <w:rPr>
          <w:rFonts w:hint="eastAsia"/>
          <w:b/>
          <w:color w:val="auto"/>
          <w:szCs w:val="24"/>
        </w:rPr>
        <w:t>.1</w:t>
      </w:r>
      <w:r>
        <w:rPr>
          <w:rFonts w:hint="eastAsia"/>
          <w:color w:val="auto"/>
          <w:szCs w:val="24"/>
        </w:rPr>
        <w:t xml:space="preserve"> 施工现场照明回路与动力回路宜分路设置。</w:t>
      </w:r>
    </w:p>
    <w:p w14:paraId="015C95BC">
      <w:pPr>
        <w:pStyle w:val="35"/>
        <w:spacing w:before="120" w:line="360" w:lineRule="auto"/>
        <w:rPr>
          <w:color w:val="auto"/>
          <w:szCs w:val="24"/>
        </w:rPr>
      </w:pPr>
      <w:bookmarkStart w:id="400" w:name="_Hlk225349692"/>
      <w:bookmarkStart w:id="401" w:name="_Hlk225437141"/>
      <w:r>
        <w:rPr>
          <w:rFonts w:hint="eastAsia"/>
          <w:b/>
          <w:bCs w:val="0"/>
          <w:color w:val="auto"/>
          <w:szCs w:val="24"/>
        </w:rPr>
        <w:t>6.7</w:t>
      </w:r>
      <w:bookmarkEnd w:id="400"/>
      <w:r>
        <w:rPr>
          <w:rFonts w:hint="eastAsia"/>
          <w:b/>
          <w:color w:val="auto"/>
          <w:szCs w:val="24"/>
        </w:rPr>
        <w:t>.2</w:t>
      </w:r>
      <w:bookmarkEnd w:id="401"/>
      <w:r>
        <w:rPr>
          <w:rFonts w:hint="eastAsia"/>
          <w:color w:val="auto"/>
          <w:szCs w:val="24"/>
        </w:rPr>
        <w:t xml:space="preserve"> 施工照明应充分利用建筑工程电气预埋管敷设线路。</w:t>
      </w:r>
    </w:p>
    <w:p w14:paraId="57E90472">
      <w:pPr>
        <w:pStyle w:val="35"/>
        <w:spacing w:before="120" w:line="360" w:lineRule="auto"/>
        <w:rPr>
          <w:b/>
          <w:color w:val="auto"/>
          <w:szCs w:val="24"/>
        </w:rPr>
      </w:pPr>
      <w:bookmarkStart w:id="402" w:name="_Toc10816"/>
      <w:bookmarkStart w:id="403" w:name="_Toc3103"/>
      <w:bookmarkStart w:id="404" w:name="_Toc30676"/>
      <w:bookmarkStart w:id="405" w:name="_Toc25991"/>
      <w:r>
        <w:rPr>
          <w:rFonts w:hint="eastAsia"/>
          <w:b/>
          <w:bCs w:val="0"/>
          <w:color w:val="auto"/>
          <w:szCs w:val="24"/>
        </w:rPr>
        <w:t>6.7</w:t>
      </w:r>
      <w:r>
        <w:rPr>
          <w:b/>
          <w:color w:val="auto"/>
          <w:szCs w:val="24"/>
        </w:rPr>
        <w:t>.</w:t>
      </w:r>
      <w:r>
        <w:rPr>
          <w:rFonts w:hint="eastAsia"/>
          <w:b/>
          <w:color w:val="auto"/>
          <w:szCs w:val="24"/>
        </w:rPr>
        <w:t xml:space="preserve">3 </w:t>
      </w:r>
      <w:r>
        <w:rPr>
          <w:rFonts w:hint="eastAsia"/>
          <w:color w:val="auto"/>
          <w:szCs w:val="24"/>
        </w:rPr>
        <w:t>照明配电应符合下列规定：</w:t>
      </w:r>
    </w:p>
    <w:p w14:paraId="215C6E44">
      <w:pPr>
        <w:pStyle w:val="37"/>
        <w:spacing w:before="120" w:line="360" w:lineRule="auto"/>
        <w:rPr>
          <w:bCs w:val="0"/>
          <w:color w:val="auto"/>
          <w:sz w:val="24"/>
          <w:szCs w:val="24"/>
        </w:rPr>
      </w:pPr>
      <w:bookmarkStart w:id="406" w:name="_Hlk183283112"/>
      <w:r>
        <w:rPr>
          <w:b/>
          <w:color w:val="auto"/>
          <w:sz w:val="24"/>
          <w:szCs w:val="24"/>
        </w:rPr>
        <w:t>1</w:t>
      </w:r>
      <w:r>
        <w:rPr>
          <w:rFonts w:hint="eastAsia"/>
          <w:b/>
          <w:color w:val="auto"/>
          <w:sz w:val="24"/>
          <w:szCs w:val="24"/>
        </w:rPr>
        <w:t xml:space="preserve"> </w:t>
      </w:r>
      <w:r>
        <w:rPr>
          <w:rFonts w:hint="eastAsia"/>
          <w:bCs w:val="0"/>
          <w:color w:val="auto"/>
          <w:sz w:val="24"/>
          <w:szCs w:val="24"/>
        </w:rPr>
        <w:t xml:space="preserve"> </w:t>
      </w:r>
      <w:r>
        <w:rPr>
          <w:bCs w:val="0"/>
          <w:color w:val="auto"/>
          <w:sz w:val="24"/>
          <w:szCs w:val="24"/>
        </w:rPr>
        <w:t>配电回路应装设过流保护和</w:t>
      </w:r>
      <w:bookmarkStart w:id="407" w:name="OLE_LINK87"/>
      <w:r>
        <w:rPr>
          <w:bCs w:val="0"/>
          <w:color w:val="auto"/>
          <w:sz w:val="24"/>
          <w:szCs w:val="24"/>
        </w:rPr>
        <w:t>接地故障</w:t>
      </w:r>
      <w:r>
        <w:rPr>
          <w:rFonts w:hint="eastAsia"/>
          <w:bCs w:val="0"/>
          <w:color w:val="auto"/>
          <w:sz w:val="24"/>
          <w:szCs w:val="24"/>
        </w:rPr>
        <w:t>保</w:t>
      </w:r>
      <w:r>
        <w:rPr>
          <w:bCs w:val="0"/>
          <w:color w:val="auto"/>
          <w:sz w:val="24"/>
          <w:szCs w:val="24"/>
        </w:rPr>
        <w:t>护</w:t>
      </w:r>
      <w:bookmarkEnd w:id="407"/>
      <w:r>
        <w:rPr>
          <w:bCs w:val="0"/>
          <w:color w:val="auto"/>
          <w:sz w:val="24"/>
          <w:szCs w:val="24"/>
        </w:rPr>
        <w:t>；</w:t>
      </w:r>
    </w:p>
    <w:p w14:paraId="71FED9CD">
      <w:pPr>
        <w:pStyle w:val="37"/>
        <w:spacing w:before="120" w:line="360" w:lineRule="auto"/>
        <w:rPr>
          <w:bCs w:val="0"/>
          <w:color w:val="auto"/>
          <w:sz w:val="24"/>
          <w:szCs w:val="24"/>
        </w:rPr>
      </w:pPr>
      <w:r>
        <w:rPr>
          <w:b/>
          <w:color w:val="auto"/>
          <w:sz w:val="24"/>
          <w:szCs w:val="24"/>
        </w:rPr>
        <w:t>2</w:t>
      </w:r>
      <w:r>
        <w:rPr>
          <w:rFonts w:hint="eastAsia"/>
          <w:bCs w:val="0"/>
          <w:color w:val="auto"/>
          <w:sz w:val="24"/>
          <w:szCs w:val="24"/>
        </w:rPr>
        <w:t xml:space="preserve">  </w:t>
      </w:r>
      <w:r>
        <w:rPr>
          <w:bCs w:val="0"/>
          <w:color w:val="auto"/>
          <w:sz w:val="24"/>
          <w:szCs w:val="24"/>
        </w:rPr>
        <w:t>照明配电系统</w:t>
      </w:r>
      <w:bookmarkEnd w:id="406"/>
      <w:r>
        <w:rPr>
          <w:bCs w:val="0"/>
          <w:color w:val="auto"/>
          <w:sz w:val="24"/>
          <w:szCs w:val="24"/>
        </w:rPr>
        <w:t>的中性导体</w:t>
      </w:r>
      <w:r>
        <w:rPr>
          <w:color w:val="auto"/>
          <w:kern w:val="0"/>
          <w:sz w:val="24"/>
          <w:szCs w:val="24"/>
        </w:rPr>
        <w:t>（N）</w:t>
      </w:r>
      <w:r>
        <w:rPr>
          <w:bCs w:val="0"/>
          <w:color w:val="auto"/>
          <w:sz w:val="24"/>
          <w:szCs w:val="24"/>
        </w:rPr>
        <w:t>截面积不应小于相导体截面积；</w:t>
      </w:r>
    </w:p>
    <w:p w14:paraId="58F68907">
      <w:pPr>
        <w:pStyle w:val="37"/>
        <w:spacing w:before="120" w:line="360" w:lineRule="auto"/>
        <w:rPr>
          <w:bCs w:val="0"/>
          <w:color w:val="auto"/>
          <w:sz w:val="24"/>
          <w:szCs w:val="24"/>
        </w:rPr>
      </w:pPr>
      <w:bookmarkStart w:id="408" w:name="OLE_LINK44"/>
      <w:r>
        <w:rPr>
          <w:rFonts w:hint="eastAsia"/>
          <w:b/>
          <w:color w:val="auto"/>
          <w:sz w:val="24"/>
          <w:szCs w:val="24"/>
        </w:rPr>
        <w:t>3</w:t>
      </w:r>
      <w:r>
        <w:rPr>
          <w:rFonts w:hint="eastAsia"/>
          <w:bCs w:val="0"/>
          <w:color w:val="auto"/>
          <w:sz w:val="24"/>
          <w:szCs w:val="24"/>
        </w:rPr>
        <w:t xml:space="preserve">  </w:t>
      </w:r>
      <w:r>
        <w:rPr>
          <w:bCs w:val="0"/>
          <w:color w:val="auto"/>
          <w:sz w:val="24"/>
          <w:szCs w:val="24"/>
        </w:rPr>
        <w:t>单相照明终端回路电流不宜超过16A</w:t>
      </w:r>
      <w:bookmarkEnd w:id="408"/>
      <w:r>
        <w:rPr>
          <w:rFonts w:hint="eastAsia"/>
          <w:bCs w:val="0"/>
          <w:color w:val="auto"/>
          <w:sz w:val="24"/>
          <w:szCs w:val="24"/>
        </w:rPr>
        <w:t>；</w:t>
      </w:r>
    </w:p>
    <w:p w14:paraId="04F3BF9E">
      <w:pPr>
        <w:pStyle w:val="37"/>
        <w:spacing w:before="120" w:line="360" w:lineRule="auto"/>
        <w:rPr>
          <w:bCs w:val="0"/>
          <w:color w:val="auto"/>
          <w:sz w:val="24"/>
          <w:szCs w:val="24"/>
        </w:rPr>
      </w:pPr>
      <w:r>
        <w:rPr>
          <w:rFonts w:hint="eastAsia"/>
          <w:b/>
          <w:color w:val="auto"/>
          <w:sz w:val="24"/>
          <w:szCs w:val="24"/>
        </w:rPr>
        <w:t>4</w:t>
      </w:r>
      <w:r>
        <w:rPr>
          <w:rFonts w:hint="eastAsia"/>
          <w:bCs w:val="0"/>
          <w:color w:val="auto"/>
          <w:sz w:val="24"/>
          <w:szCs w:val="24"/>
        </w:rPr>
        <w:t xml:space="preserve">  室内干燥场所照明灯具安装高度低于2</w:t>
      </w:r>
      <w:r>
        <w:rPr>
          <w:rFonts w:hint="eastAsia"/>
          <w:color w:val="auto"/>
          <w:sz w:val="24"/>
          <w:szCs w:val="24"/>
        </w:rPr>
        <w:t>.5</w:t>
      </w:r>
      <w:r>
        <w:rPr>
          <w:bCs w:val="0"/>
          <w:color w:val="auto"/>
          <w:sz w:val="24"/>
          <w:szCs w:val="24"/>
        </w:rPr>
        <w:t>m</w:t>
      </w:r>
      <w:r>
        <w:rPr>
          <w:rFonts w:hint="eastAsia"/>
          <w:bCs w:val="0"/>
          <w:color w:val="auto"/>
          <w:sz w:val="24"/>
          <w:szCs w:val="24"/>
        </w:rPr>
        <w:t>、室外照明灯具安装高度低于3m的场所，照明电源应采用安全特低电压</w:t>
      </w:r>
      <w:r>
        <w:rPr>
          <w:rFonts w:hint="eastAsia"/>
          <w:color w:val="auto"/>
          <w:kern w:val="0"/>
          <w:sz w:val="24"/>
          <w:szCs w:val="24"/>
        </w:rPr>
        <w:t>（SELV）</w:t>
      </w:r>
      <w:r>
        <w:rPr>
          <w:bCs w:val="0"/>
          <w:color w:val="auto"/>
          <w:sz w:val="24"/>
          <w:szCs w:val="24"/>
        </w:rPr>
        <w:t>供电。</w:t>
      </w:r>
    </w:p>
    <w:p w14:paraId="160ABD5C">
      <w:pPr>
        <w:pStyle w:val="35"/>
        <w:spacing w:before="120" w:line="360" w:lineRule="auto"/>
        <w:rPr>
          <w:bCs w:val="0"/>
          <w:color w:val="auto"/>
          <w:szCs w:val="24"/>
        </w:rPr>
      </w:pPr>
      <w:bookmarkStart w:id="409" w:name="_Hlk225437167"/>
      <w:r>
        <w:rPr>
          <w:rFonts w:hint="eastAsia"/>
          <w:b/>
          <w:bCs w:val="0"/>
          <w:color w:val="auto"/>
          <w:szCs w:val="24"/>
        </w:rPr>
        <w:t>6.7</w:t>
      </w:r>
      <w:r>
        <w:rPr>
          <w:b/>
          <w:color w:val="auto"/>
          <w:szCs w:val="24"/>
        </w:rPr>
        <w:t>.</w:t>
      </w:r>
      <w:r>
        <w:rPr>
          <w:rFonts w:hint="eastAsia"/>
          <w:b/>
          <w:color w:val="auto"/>
          <w:szCs w:val="24"/>
        </w:rPr>
        <w:t>4</w:t>
      </w:r>
      <w:bookmarkEnd w:id="409"/>
      <w:r>
        <w:rPr>
          <w:rFonts w:hint="eastAsia"/>
          <w:b/>
          <w:color w:val="auto"/>
          <w:szCs w:val="24"/>
        </w:rPr>
        <w:t xml:space="preserve"> </w:t>
      </w:r>
      <w:r>
        <w:rPr>
          <w:bCs w:val="0"/>
          <w:color w:val="auto"/>
          <w:szCs w:val="24"/>
        </w:rPr>
        <w:t>照明</w:t>
      </w:r>
      <w:r>
        <w:rPr>
          <w:rFonts w:hint="eastAsia"/>
          <w:bCs w:val="0"/>
          <w:color w:val="auto"/>
          <w:szCs w:val="24"/>
        </w:rPr>
        <w:t>采用</w:t>
      </w:r>
      <w:r>
        <w:rPr>
          <w:rFonts w:hint="eastAsia"/>
          <w:color w:val="auto"/>
          <w:szCs w:val="24"/>
        </w:rPr>
        <w:t>安全</w:t>
      </w:r>
      <w:r>
        <w:rPr>
          <w:bCs w:val="0"/>
          <w:color w:val="auto"/>
          <w:szCs w:val="24"/>
        </w:rPr>
        <w:t>特低电压（SELV）供电，应符合下列规定：</w:t>
      </w:r>
      <w:bookmarkEnd w:id="402"/>
      <w:bookmarkEnd w:id="403"/>
      <w:bookmarkEnd w:id="404"/>
      <w:bookmarkEnd w:id="405"/>
    </w:p>
    <w:p w14:paraId="350F254D">
      <w:pPr>
        <w:pStyle w:val="37"/>
        <w:spacing w:before="120" w:line="360" w:lineRule="auto"/>
        <w:rPr>
          <w:bCs w:val="0"/>
          <w:color w:val="auto"/>
          <w:sz w:val="24"/>
          <w:szCs w:val="24"/>
        </w:rPr>
      </w:pPr>
      <w:bookmarkStart w:id="410" w:name="OLE_LINK65"/>
      <w:bookmarkStart w:id="411" w:name="OLE_LINK64"/>
      <w:bookmarkStart w:id="412" w:name="_Toc22659"/>
      <w:bookmarkStart w:id="413" w:name="_Toc29392"/>
      <w:bookmarkStart w:id="414" w:name="_Toc2712"/>
      <w:bookmarkStart w:id="415" w:name="_Toc8403"/>
      <w:r>
        <w:rPr>
          <w:rFonts w:hint="eastAsia"/>
          <w:b/>
          <w:color w:val="auto"/>
          <w:sz w:val="24"/>
          <w:szCs w:val="24"/>
        </w:rPr>
        <w:t xml:space="preserve">1  </w:t>
      </w:r>
      <w:r>
        <w:rPr>
          <w:rFonts w:hint="eastAsia"/>
          <w:bCs w:val="0"/>
          <w:color w:val="auto"/>
          <w:sz w:val="24"/>
          <w:szCs w:val="24"/>
        </w:rPr>
        <w:t>采用安全隔离变压器</w:t>
      </w:r>
      <w:r>
        <w:rPr>
          <w:bCs w:val="0"/>
          <w:color w:val="auto"/>
          <w:sz w:val="24"/>
          <w:szCs w:val="24"/>
        </w:rPr>
        <w:t>；</w:t>
      </w:r>
      <w:bookmarkEnd w:id="410"/>
      <w:bookmarkEnd w:id="411"/>
    </w:p>
    <w:p w14:paraId="2116BB43">
      <w:pPr>
        <w:pStyle w:val="37"/>
        <w:spacing w:before="120" w:line="360" w:lineRule="auto"/>
        <w:rPr>
          <w:bCs w:val="0"/>
          <w:color w:val="auto"/>
          <w:sz w:val="24"/>
          <w:szCs w:val="24"/>
        </w:rPr>
      </w:pPr>
      <w:r>
        <w:rPr>
          <w:rFonts w:hint="eastAsia"/>
          <w:b/>
          <w:color w:val="auto"/>
          <w:sz w:val="24"/>
          <w:szCs w:val="24"/>
        </w:rPr>
        <w:t>2</w:t>
      </w:r>
      <w:r>
        <w:rPr>
          <w:rFonts w:hint="eastAsia"/>
          <w:bCs w:val="0"/>
          <w:color w:val="auto"/>
          <w:sz w:val="24"/>
          <w:szCs w:val="24"/>
        </w:rPr>
        <w:t xml:space="preserve">  一次侧、二次侧均应设置过流保护电器</w:t>
      </w:r>
      <w:r>
        <w:rPr>
          <w:bCs w:val="0"/>
          <w:color w:val="auto"/>
          <w:sz w:val="24"/>
          <w:szCs w:val="24"/>
        </w:rPr>
        <w:t>；</w:t>
      </w:r>
    </w:p>
    <w:p w14:paraId="001ACD57">
      <w:pPr>
        <w:pStyle w:val="37"/>
        <w:spacing w:before="120" w:line="360" w:lineRule="auto"/>
        <w:rPr>
          <w:bCs w:val="0"/>
          <w:color w:val="auto"/>
          <w:sz w:val="24"/>
          <w:szCs w:val="24"/>
        </w:rPr>
      </w:pPr>
      <w:r>
        <w:rPr>
          <w:rFonts w:hint="eastAsia"/>
          <w:b/>
          <w:color w:val="auto"/>
          <w:sz w:val="24"/>
          <w:szCs w:val="24"/>
        </w:rPr>
        <w:t xml:space="preserve">3  </w:t>
      </w:r>
      <w:r>
        <w:rPr>
          <w:bCs w:val="0"/>
          <w:color w:val="auto"/>
          <w:sz w:val="24"/>
          <w:szCs w:val="24"/>
        </w:rPr>
        <w:t>下列作业环境和场所的供电电压不应大于AC24V</w:t>
      </w:r>
      <w:bookmarkEnd w:id="412"/>
      <w:bookmarkEnd w:id="413"/>
      <w:bookmarkEnd w:id="414"/>
      <w:bookmarkEnd w:id="415"/>
      <w:r>
        <w:rPr>
          <w:rFonts w:hint="eastAsia"/>
          <w:bCs w:val="0"/>
          <w:color w:val="auto"/>
          <w:sz w:val="24"/>
          <w:szCs w:val="24"/>
        </w:rPr>
        <w:t>或DC48V</w:t>
      </w:r>
      <w:r>
        <w:rPr>
          <w:bCs w:val="0"/>
          <w:color w:val="auto"/>
          <w:sz w:val="24"/>
          <w:szCs w:val="24"/>
        </w:rPr>
        <w:t>：</w:t>
      </w:r>
    </w:p>
    <w:p w14:paraId="1F442779">
      <w:pPr>
        <w:pStyle w:val="37"/>
        <w:spacing w:before="120" w:line="360" w:lineRule="auto"/>
        <w:ind w:firstLine="1038" w:firstLineChars="431"/>
        <w:rPr>
          <w:bCs w:val="0"/>
          <w:color w:val="auto"/>
          <w:sz w:val="24"/>
          <w:szCs w:val="24"/>
        </w:rPr>
      </w:pPr>
      <w:r>
        <w:rPr>
          <w:b/>
          <w:color w:val="auto"/>
          <w:sz w:val="24"/>
          <w:szCs w:val="24"/>
        </w:rPr>
        <w:t>1</w:t>
      </w:r>
      <w:r>
        <w:rPr>
          <w:rFonts w:hint="eastAsia"/>
          <w:b/>
          <w:color w:val="auto"/>
          <w:sz w:val="24"/>
          <w:szCs w:val="24"/>
        </w:rPr>
        <w:t>）</w:t>
      </w:r>
      <w:r>
        <w:rPr>
          <w:rFonts w:hint="eastAsia"/>
          <w:bCs w:val="0"/>
          <w:color w:val="auto"/>
          <w:sz w:val="24"/>
          <w:szCs w:val="24"/>
        </w:rPr>
        <w:t>泥泞、积水等不利作业环境；</w:t>
      </w:r>
    </w:p>
    <w:p w14:paraId="14AB0E86">
      <w:pPr>
        <w:pStyle w:val="37"/>
        <w:spacing w:before="120" w:line="360" w:lineRule="auto"/>
        <w:ind w:firstLine="1038" w:firstLineChars="431"/>
        <w:rPr>
          <w:bCs w:val="0"/>
          <w:color w:val="auto"/>
          <w:sz w:val="24"/>
          <w:szCs w:val="24"/>
        </w:rPr>
      </w:pPr>
      <w:r>
        <w:rPr>
          <w:b/>
          <w:color w:val="auto"/>
          <w:sz w:val="24"/>
          <w:szCs w:val="24"/>
        </w:rPr>
        <w:t>2</w:t>
      </w:r>
      <w:r>
        <w:rPr>
          <w:rFonts w:hint="eastAsia"/>
          <w:b/>
          <w:color w:val="auto"/>
          <w:sz w:val="24"/>
          <w:szCs w:val="24"/>
        </w:rPr>
        <w:t>）</w:t>
      </w:r>
      <w:r>
        <w:rPr>
          <w:rFonts w:hint="eastAsia"/>
          <w:bCs w:val="0"/>
          <w:color w:val="auto"/>
          <w:sz w:val="24"/>
          <w:szCs w:val="24"/>
        </w:rPr>
        <w:t>通风不畅、高温、相对湿度超过75%的场所</w:t>
      </w:r>
      <w:r>
        <w:rPr>
          <w:bCs w:val="0"/>
          <w:color w:val="auto"/>
          <w:sz w:val="24"/>
          <w:szCs w:val="24"/>
        </w:rPr>
        <w:t>；</w:t>
      </w:r>
    </w:p>
    <w:p w14:paraId="0158EA13">
      <w:pPr>
        <w:pStyle w:val="37"/>
        <w:spacing w:before="120" w:line="360" w:lineRule="auto"/>
        <w:ind w:firstLine="1038" w:firstLineChars="431"/>
        <w:rPr>
          <w:bCs w:val="0"/>
          <w:color w:val="auto"/>
          <w:sz w:val="24"/>
          <w:szCs w:val="24"/>
        </w:rPr>
      </w:pPr>
      <w:r>
        <w:rPr>
          <w:b/>
          <w:color w:val="auto"/>
          <w:sz w:val="24"/>
          <w:szCs w:val="24"/>
        </w:rPr>
        <w:t>3</w:t>
      </w:r>
      <w:r>
        <w:rPr>
          <w:rFonts w:hint="eastAsia"/>
          <w:b/>
          <w:color w:val="auto"/>
          <w:sz w:val="24"/>
          <w:szCs w:val="24"/>
        </w:rPr>
        <w:t>）</w:t>
      </w:r>
      <w:r>
        <w:rPr>
          <w:rFonts w:hint="eastAsia"/>
          <w:bCs w:val="0"/>
          <w:color w:val="auto"/>
          <w:sz w:val="24"/>
          <w:szCs w:val="24"/>
        </w:rPr>
        <w:t>存在</w:t>
      </w:r>
      <w:r>
        <w:rPr>
          <w:bCs w:val="0"/>
          <w:color w:val="auto"/>
          <w:sz w:val="24"/>
          <w:szCs w:val="24"/>
        </w:rPr>
        <w:t>导电粉尘、</w:t>
      </w:r>
      <w:r>
        <w:rPr>
          <w:rFonts w:hint="eastAsia"/>
          <w:bCs w:val="0"/>
          <w:color w:val="auto"/>
          <w:sz w:val="24"/>
          <w:szCs w:val="24"/>
        </w:rPr>
        <w:t>导电液体、</w:t>
      </w:r>
      <w:r>
        <w:rPr>
          <w:bCs w:val="0"/>
          <w:color w:val="auto"/>
          <w:sz w:val="24"/>
          <w:szCs w:val="24"/>
        </w:rPr>
        <w:t>腐蚀介质、蒸汽及高温炎热的场所</w:t>
      </w:r>
      <w:r>
        <w:rPr>
          <w:rFonts w:hint="eastAsia"/>
          <w:bCs w:val="0"/>
          <w:color w:val="auto"/>
          <w:sz w:val="24"/>
          <w:szCs w:val="24"/>
        </w:rPr>
        <w:t>；</w:t>
      </w:r>
    </w:p>
    <w:p w14:paraId="4B1881A4">
      <w:pPr>
        <w:pStyle w:val="37"/>
        <w:spacing w:before="120" w:line="360" w:lineRule="auto"/>
        <w:ind w:firstLine="1038" w:firstLineChars="431"/>
        <w:rPr>
          <w:bCs w:val="0"/>
          <w:color w:val="auto"/>
          <w:sz w:val="24"/>
          <w:szCs w:val="24"/>
        </w:rPr>
      </w:pPr>
      <w:r>
        <w:rPr>
          <w:rFonts w:hint="eastAsia"/>
          <w:b/>
          <w:color w:val="auto"/>
          <w:sz w:val="24"/>
          <w:szCs w:val="24"/>
        </w:rPr>
        <w:t>4）</w:t>
      </w:r>
      <w:r>
        <w:rPr>
          <w:bCs w:val="0"/>
          <w:color w:val="auto"/>
          <w:sz w:val="24"/>
          <w:szCs w:val="24"/>
        </w:rPr>
        <w:t>金属结构构架</w:t>
      </w:r>
      <w:r>
        <w:rPr>
          <w:rFonts w:hint="eastAsia"/>
          <w:bCs w:val="0"/>
          <w:color w:val="auto"/>
          <w:sz w:val="24"/>
          <w:szCs w:val="24"/>
        </w:rPr>
        <w:t>施工作业</w:t>
      </w:r>
      <w:r>
        <w:rPr>
          <w:bCs w:val="0"/>
          <w:color w:val="auto"/>
          <w:sz w:val="24"/>
          <w:szCs w:val="24"/>
        </w:rPr>
        <w:t>场所</w:t>
      </w:r>
      <w:r>
        <w:rPr>
          <w:rFonts w:hint="eastAsia"/>
          <w:bCs w:val="0"/>
          <w:color w:val="auto"/>
          <w:sz w:val="24"/>
          <w:szCs w:val="24"/>
        </w:rPr>
        <w:t>。</w:t>
      </w:r>
    </w:p>
    <w:p w14:paraId="063246E7">
      <w:pPr>
        <w:pStyle w:val="37"/>
        <w:spacing w:before="120" w:line="360" w:lineRule="auto"/>
        <w:rPr>
          <w:bCs w:val="0"/>
          <w:color w:val="auto"/>
          <w:sz w:val="24"/>
          <w:szCs w:val="24"/>
        </w:rPr>
      </w:pPr>
      <w:bookmarkStart w:id="416" w:name="OLE_LINK70"/>
      <w:bookmarkStart w:id="417" w:name="OLE_LINK71"/>
      <w:bookmarkStart w:id="418" w:name="_Toc26663"/>
      <w:bookmarkStart w:id="419" w:name="_Toc32325"/>
      <w:bookmarkStart w:id="420" w:name="_Toc31217"/>
      <w:bookmarkStart w:id="421" w:name="_Toc31754"/>
      <w:r>
        <w:rPr>
          <w:rFonts w:hint="eastAsia"/>
          <w:b/>
          <w:color w:val="auto"/>
          <w:sz w:val="24"/>
          <w:szCs w:val="24"/>
        </w:rPr>
        <w:t xml:space="preserve">4  </w:t>
      </w:r>
      <w:r>
        <w:rPr>
          <w:bCs w:val="0"/>
          <w:color w:val="auto"/>
          <w:sz w:val="24"/>
          <w:szCs w:val="24"/>
        </w:rPr>
        <w:t>导电良好的金属地面</w:t>
      </w:r>
      <w:r>
        <w:rPr>
          <w:rFonts w:hint="eastAsia"/>
          <w:bCs w:val="0"/>
          <w:color w:val="auto"/>
          <w:sz w:val="24"/>
          <w:szCs w:val="24"/>
        </w:rPr>
        <w:t>，</w:t>
      </w:r>
      <w:r>
        <w:rPr>
          <w:bCs w:val="0"/>
          <w:color w:val="auto"/>
          <w:sz w:val="24"/>
          <w:szCs w:val="24"/>
        </w:rPr>
        <w:t>锅炉或金属容器等狭窄的导电</w:t>
      </w:r>
      <w:r>
        <w:rPr>
          <w:rFonts w:hint="eastAsia"/>
          <w:bCs w:val="0"/>
          <w:color w:val="auto"/>
          <w:sz w:val="24"/>
          <w:szCs w:val="24"/>
        </w:rPr>
        <w:t>环境</w:t>
      </w:r>
      <w:r>
        <w:rPr>
          <w:bCs w:val="0"/>
          <w:color w:val="auto"/>
          <w:sz w:val="24"/>
          <w:szCs w:val="24"/>
        </w:rPr>
        <w:t>的供电电压不应大于</w:t>
      </w:r>
      <w:r>
        <w:rPr>
          <w:rFonts w:hint="eastAsia"/>
          <w:bCs w:val="0"/>
          <w:color w:val="auto"/>
          <w:sz w:val="24"/>
          <w:szCs w:val="24"/>
        </w:rPr>
        <w:t>AC</w:t>
      </w:r>
      <w:r>
        <w:rPr>
          <w:bCs w:val="0"/>
          <w:color w:val="auto"/>
          <w:sz w:val="24"/>
          <w:szCs w:val="24"/>
        </w:rPr>
        <w:t>12V</w:t>
      </w:r>
      <w:r>
        <w:rPr>
          <w:rFonts w:hint="eastAsia"/>
          <w:bCs w:val="0"/>
          <w:color w:val="auto"/>
          <w:sz w:val="24"/>
          <w:szCs w:val="24"/>
        </w:rPr>
        <w:t>或DC30V；</w:t>
      </w:r>
    </w:p>
    <w:p w14:paraId="51D6AE16">
      <w:pPr>
        <w:pStyle w:val="37"/>
        <w:spacing w:before="120" w:line="360" w:lineRule="auto"/>
        <w:rPr>
          <w:bCs w:val="0"/>
          <w:color w:val="auto"/>
          <w:sz w:val="24"/>
          <w:szCs w:val="24"/>
        </w:rPr>
      </w:pPr>
      <w:r>
        <w:rPr>
          <w:rFonts w:hint="eastAsia"/>
          <w:b/>
          <w:color w:val="auto"/>
          <w:sz w:val="24"/>
          <w:szCs w:val="24"/>
        </w:rPr>
        <w:t>5</w:t>
      </w:r>
      <w:r>
        <w:rPr>
          <w:rFonts w:hint="eastAsia"/>
          <w:bCs w:val="0"/>
          <w:color w:val="auto"/>
          <w:sz w:val="24"/>
          <w:szCs w:val="24"/>
        </w:rPr>
        <w:t xml:space="preserve"> </w:t>
      </w:r>
      <w:bookmarkEnd w:id="416"/>
      <w:bookmarkEnd w:id="417"/>
      <w:r>
        <w:rPr>
          <w:rFonts w:hint="eastAsia"/>
          <w:bCs w:val="0"/>
          <w:color w:val="auto"/>
          <w:sz w:val="24"/>
          <w:szCs w:val="24"/>
        </w:rPr>
        <w:t xml:space="preserve"> </w:t>
      </w:r>
      <w:r>
        <w:rPr>
          <w:rFonts w:hint="eastAsia"/>
          <w:color w:val="auto"/>
          <w:sz w:val="24"/>
          <w:szCs w:val="24"/>
        </w:rPr>
        <w:t>安全隔离变压器</w:t>
      </w:r>
      <w:r>
        <w:rPr>
          <w:bCs w:val="0"/>
          <w:color w:val="auto"/>
          <w:sz w:val="24"/>
          <w:szCs w:val="24"/>
        </w:rPr>
        <w:t>应设</w:t>
      </w:r>
      <w:r>
        <w:rPr>
          <w:rFonts w:hint="eastAsia"/>
          <w:bCs w:val="0"/>
          <w:color w:val="auto"/>
          <w:sz w:val="24"/>
          <w:szCs w:val="24"/>
        </w:rPr>
        <w:t>置</w:t>
      </w:r>
      <w:r>
        <w:rPr>
          <w:bCs w:val="0"/>
          <w:color w:val="auto"/>
          <w:sz w:val="24"/>
          <w:szCs w:val="24"/>
        </w:rPr>
        <w:t>在有限空间、金属容器或金属管道外。</w:t>
      </w:r>
      <w:bookmarkEnd w:id="418"/>
      <w:bookmarkEnd w:id="419"/>
      <w:bookmarkEnd w:id="420"/>
      <w:bookmarkEnd w:id="421"/>
    </w:p>
    <w:p w14:paraId="33E1553D">
      <w:pPr>
        <w:pStyle w:val="35"/>
        <w:spacing w:before="120" w:line="360" w:lineRule="auto"/>
        <w:rPr>
          <w:b/>
          <w:color w:val="auto"/>
          <w:szCs w:val="24"/>
        </w:rPr>
      </w:pPr>
      <w:r>
        <w:rPr>
          <w:rFonts w:hint="eastAsia"/>
          <w:b/>
          <w:bCs w:val="0"/>
          <w:color w:val="auto"/>
          <w:szCs w:val="24"/>
        </w:rPr>
        <w:t>6.7</w:t>
      </w:r>
      <w:r>
        <w:rPr>
          <w:b/>
          <w:color w:val="auto"/>
          <w:szCs w:val="24"/>
        </w:rPr>
        <w:t>.</w:t>
      </w:r>
      <w:r>
        <w:rPr>
          <w:rFonts w:hint="eastAsia"/>
          <w:b/>
          <w:color w:val="auto"/>
          <w:szCs w:val="24"/>
        </w:rPr>
        <w:t xml:space="preserve">5  </w:t>
      </w:r>
      <w:r>
        <w:rPr>
          <w:bCs w:val="0"/>
          <w:color w:val="auto"/>
          <w:szCs w:val="24"/>
        </w:rPr>
        <w:t>照明灯具</w:t>
      </w:r>
      <w:r>
        <w:rPr>
          <w:rFonts w:hint="eastAsia"/>
          <w:bCs w:val="0"/>
          <w:color w:val="auto"/>
          <w:szCs w:val="24"/>
        </w:rPr>
        <w:t>采用直流供电时，</w:t>
      </w:r>
      <w:r>
        <w:rPr>
          <w:bCs w:val="0"/>
          <w:color w:val="auto"/>
          <w:szCs w:val="24"/>
        </w:rPr>
        <w:t>应符合下列规定：</w:t>
      </w:r>
    </w:p>
    <w:p w14:paraId="668FD76E">
      <w:pPr>
        <w:pStyle w:val="37"/>
        <w:spacing w:before="120" w:line="360" w:lineRule="auto"/>
        <w:rPr>
          <w:bCs w:val="0"/>
          <w:color w:val="auto"/>
          <w:sz w:val="24"/>
          <w:szCs w:val="24"/>
        </w:rPr>
      </w:pPr>
      <w:r>
        <w:rPr>
          <w:rFonts w:hint="eastAsia"/>
          <w:b/>
          <w:color w:val="auto"/>
          <w:sz w:val="24"/>
          <w:szCs w:val="24"/>
        </w:rPr>
        <w:t>1</w:t>
      </w:r>
      <w:r>
        <w:rPr>
          <w:rFonts w:hint="eastAsia"/>
          <w:bCs w:val="0"/>
          <w:color w:val="auto"/>
          <w:sz w:val="24"/>
          <w:szCs w:val="24"/>
        </w:rPr>
        <w:t xml:space="preserve">  移动式、手提式</w:t>
      </w:r>
      <w:r>
        <w:rPr>
          <w:bCs w:val="0"/>
          <w:color w:val="auto"/>
          <w:sz w:val="24"/>
          <w:szCs w:val="24"/>
        </w:rPr>
        <w:t>照明灯具</w:t>
      </w:r>
      <w:r>
        <w:rPr>
          <w:rFonts w:hint="eastAsia"/>
          <w:bCs w:val="0"/>
          <w:color w:val="auto"/>
          <w:sz w:val="24"/>
          <w:szCs w:val="24"/>
        </w:rPr>
        <w:t>应采用DC48V及以下电压供电；</w:t>
      </w:r>
    </w:p>
    <w:p w14:paraId="374881BC">
      <w:pPr>
        <w:pStyle w:val="37"/>
        <w:spacing w:before="120" w:line="360" w:lineRule="auto"/>
        <w:rPr>
          <w:bCs w:val="0"/>
          <w:color w:val="auto"/>
          <w:sz w:val="24"/>
          <w:szCs w:val="24"/>
        </w:rPr>
      </w:pPr>
      <w:r>
        <w:rPr>
          <w:rFonts w:hint="eastAsia"/>
          <w:b/>
          <w:color w:val="auto"/>
          <w:sz w:val="24"/>
          <w:szCs w:val="24"/>
        </w:rPr>
        <w:t>2</w:t>
      </w:r>
      <w:r>
        <w:rPr>
          <w:rFonts w:hint="eastAsia"/>
          <w:bCs w:val="0"/>
          <w:color w:val="auto"/>
          <w:sz w:val="24"/>
          <w:szCs w:val="24"/>
        </w:rPr>
        <w:t xml:space="preserve">  </w:t>
      </w:r>
      <w:r>
        <w:rPr>
          <w:bCs w:val="0"/>
          <w:color w:val="auto"/>
          <w:sz w:val="24"/>
          <w:szCs w:val="24"/>
        </w:rPr>
        <w:t>驱动电源负荷</w:t>
      </w:r>
      <w:r>
        <w:rPr>
          <w:rFonts w:hint="eastAsia"/>
          <w:color w:val="auto"/>
          <w:sz w:val="24"/>
          <w:szCs w:val="24"/>
        </w:rPr>
        <w:t>率</w:t>
      </w:r>
      <w:r>
        <w:rPr>
          <w:color w:val="auto"/>
          <w:sz w:val="24"/>
          <w:szCs w:val="24"/>
        </w:rPr>
        <w:t>应控制在8</w:t>
      </w:r>
      <w:r>
        <w:rPr>
          <w:rFonts w:hint="eastAsia"/>
          <w:color w:val="auto"/>
          <w:sz w:val="24"/>
          <w:szCs w:val="24"/>
        </w:rPr>
        <w:t>0</w:t>
      </w:r>
      <w:r>
        <w:rPr>
          <w:color w:val="auto"/>
          <w:sz w:val="24"/>
          <w:szCs w:val="24"/>
        </w:rPr>
        <w:t>%以内。</w:t>
      </w:r>
    </w:p>
    <w:p w14:paraId="73A5DCEA">
      <w:pPr>
        <w:pStyle w:val="35"/>
        <w:spacing w:before="120" w:line="360" w:lineRule="auto"/>
        <w:rPr>
          <w:b/>
          <w:color w:val="auto"/>
          <w:szCs w:val="24"/>
        </w:rPr>
      </w:pPr>
      <w:r>
        <w:rPr>
          <w:rFonts w:hint="eastAsia"/>
          <w:b/>
          <w:bCs w:val="0"/>
          <w:color w:val="auto"/>
          <w:szCs w:val="24"/>
        </w:rPr>
        <w:t>6.7</w:t>
      </w:r>
      <w:r>
        <w:rPr>
          <w:b/>
          <w:color w:val="auto"/>
          <w:szCs w:val="24"/>
        </w:rPr>
        <w:t>.</w:t>
      </w:r>
      <w:r>
        <w:rPr>
          <w:rFonts w:hint="eastAsia"/>
          <w:b/>
          <w:color w:val="auto"/>
          <w:szCs w:val="24"/>
        </w:rPr>
        <w:t xml:space="preserve">6  </w:t>
      </w:r>
      <w:r>
        <w:rPr>
          <w:rFonts w:hint="eastAsia"/>
          <w:bCs w:val="0"/>
          <w:color w:val="auto"/>
          <w:szCs w:val="24"/>
        </w:rPr>
        <w:t>电光源选用应以安全适用、高效节能、显色性良好、光通量维护率高及使用寿命长为原则。</w:t>
      </w:r>
    </w:p>
    <w:p w14:paraId="3D18F21F">
      <w:pPr>
        <w:pStyle w:val="35"/>
        <w:spacing w:before="120" w:line="360" w:lineRule="auto"/>
        <w:rPr>
          <w:bCs w:val="0"/>
          <w:color w:val="auto"/>
          <w:szCs w:val="24"/>
        </w:rPr>
      </w:pPr>
      <w:r>
        <w:rPr>
          <w:rFonts w:hint="eastAsia"/>
          <w:b/>
          <w:bCs w:val="0"/>
          <w:color w:val="auto"/>
          <w:szCs w:val="24"/>
        </w:rPr>
        <w:t>6.7</w:t>
      </w:r>
      <w:r>
        <w:rPr>
          <w:b/>
          <w:color w:val="auto"/>
          <w:szCs w:val="24"/>
        </w:rPr>
        <w:t>.</w:t>
      </w:r>
      <w:r>
        <w:rPr>
          <w:rFonts w:hint="eastAsia"/>
          <w:b/>
          <w:color w:val="auto"/>
          <w:szCs w:val="24"/>
        </w:rPr>
        <w:t xml:space="preserve">7 </w:t>
      </w:r>
      <w:r>
        <w:rPr>
          <w:b/>
          <w:color w:val="auto"/>
          <w:szCs w:val="24"/>
        </w:rPr>
        <w:t xml:space="preserve"> </w:t>
      </w:r>
      <w:bookmarkStart w:id="422" w:name="_Hlk204690437"/>
      <w:r>
        <w:rPr>
          <w:bCs w:val="0"/>
          <w:color w:val="auto"/>
          <w:szCs w:val="24"/>
        </w:rPr>
        <w:t>照明灯具选</w:t>
      </w:r>
      <w:r>
        <w:rPr>
          <w:rFonts w:hint="eastAsia"/>
          <w:bCs w:val="0"/>
          <w:color w:val="auto"/>
          <w:szCs w:val="24"/>
        </w:rPr>
        <w:t>用</w:t>
      </w:r>
      <w:r>
        <w:rPr>
          <w:bCs w:val="0"/>
          <w:color w:val="auto"/>
          <w:szCs w:val="24"/>
        </w:rPr>
        <w:t>应符合下列规定：</w:t>
      </w:r>
      <w:bookmarkEnd w:id="422"/>
    </w:p>
    <w:p w14:paraId="010D6582">
      <w:pPr>
        <w:pStyle w:val="37"/>
        <w:spacing w:before="120" w:line="360" w:lineRule="auto"/>
        <w:rPr>
          <w:bCs w:val="0"/>
          <w:color w:val="auto"/>
          <w:sz w:val="24"/>
          <w:szCs w:val="24"/>
        </w:rPr>
      </w:pPr>
      <w:bookmarkStart w:id="423" w:name="_Toc1412"/>
      <w:bookmarkStart w:id="424" w:name="_Toc20535"/>
      <w:bookmarkStart w:id="425" w:name="_Toc28530"/>
      <w:bookmarkStart w:id="426" w:name="_Toc7776"/>
      <w:r>
        <w:rPr>
          <w:b/>
          <w:color w:val="auto"/>
          <w:sz w:val="24"/>
          <w:szCs w:val="24"/>
        </w:rPr>
        <w:t>1</w:t>
      </w:r>
      <w:r>
        <w:rPr>
          <w:rFonts w:hint="eastAsia"/>
          <w:b/>
          <w:color w:val="auto"/>
          <w:sz w:val="24"/>
          <w:szCs w:val="24"/>
        </w:rPr>
        <w:t xml:space="preserve">  </w:t>
      </w:r>
      <w:r>
        <w:rPr>
          <w:rFonts w:hint="eastAsia"/>
          <w:color w:val="auto"/>
          <w:sz w:val="24"/>
          <w:szCs w:val="24"/>
        </w:rPr>
        <w:t>相导体、中性导体与灯具外露导体部分绝缘电阻值不应小于2</w:t>
      </w:r>
      <w:r>
        <w:rPr>
          <w:color w:val="auto"/>
          <w:sz w:val="24"/>
          <w:szCs w:val="24"/>
        </w:rPr>
        <w:t>MΩ；</w:t>
      </w:r>
      <w:bookmarkEnd w:id="423"/>
      <w:bookmarkEnd w:id="424"/>
      <w:bookmarkEnd w:id="425"/>
      <w:bookmarkEnd w:id="426"/>
    </w:p>
    <w:p w14:paraId="79FBE252">
      <w:pPr>
        <w:pStyle w:val="37"/>
        <w:spacing w:before="120" w:line="360" w:lineRule="auto"/>
        <w:rPr>
          <w:bCs w:val="0"/>
          <w:color w:val="auto"/>
          <w:sz w:val="24"/>
          <w:szCs w:val="24"/>
        </w:rPr>
      </w:pPr>
      <w:r>
        <w:rPr>
          <w:rFonts w:hint="eastAsia"/>
          <w:b/>
          <w:color w:val="auto"/>
          <w:sz w:val="24"/>
          <w:szCs w:val="24"/>
        </w:rPr>
        <w:t>2</w:t>
      </w:r>
      <w:r>
        <w:rPr>
          <w:rFonts w:hint="eastAsia"/>
          <w:bCs w:val="0"/>
          <w:color w:val="auto"/>
          <w:sz w:val="24"/>
          <w:szCs w:val="24"/>
        </w:rPr>
        <w:t xml:space="preserve">  </w:t>
      </w:r>
      <w:r>
        <w:rPr>
          <w:bCs w:val="0"/>
          <w:color w:val="auto"/>
          <w:sz w:val="24"/>
          <w:szCs w:val="24"/>
        </w:rPr>
        <w:t>有腐蚀性气体或蒸汽场所应采用相应防腐蚀功能的灯具；</w:t>
      </w:r>
    </w:p>
    <w:p w14:paraId="4F266989">
      <w:pPr>
        <w:pStyle w:val="37"/>
        <w:spacing w:before="120" w:line="360" w:lineRule="auto"/>
        <w:rPr>
          <w:bCs w:val="0"/>
          <w:color w:val="auto"/>
          <w:sz w:val="24"/>
          <w:szCs w:val="24"/>
        </w:rPr>
      </w:pPr>
      <w:r>
        <w:rPr>
          <w:rFonts w:hint="eastAsia"/>
          <w:b/>
          <w:color w:val="auto"/>
          <w:sz w:val="24"/>
          <w:szCs w:val="24"/>
        </w:rPr>
        <w:t>3</w:t>
      </w:r>
      <w:r>
        <w:rPr>
          <w:rFonts w:hint="eastAsia"/>
          <w:bCs w:val="0"/>
          <w:color w:val="auto"/>
          <w:sz w:val="24"/>
          <w:szCs w:val="24"/>
        </w:rPr>
        <w:t xml:space="preserve">  </w:t>
      </w:r>
      <w:r>
        <w:rPr>
          <w:bCs w:val="0"/>
          <w:color w:val="auto"/>
          <w:sz w:val="24"/>
          <w:szCs w:val="24"/>
        </w:rPr>
        <w:t>高温场所宜采用散热性能好、耐高温的灯具；</w:t>
      </w:r>
    </w:p>
    <w:p w14:paraId="0FAB9AFE">
      <w:pPr>
        <w:pStyle w:val="37"/>
        <w:spacing w:before="120" w:line="360" w:lineRule="auto"/>
        <w:rPr>
          <w:bCs w:val="0"/>
          <w:color w:val="auto"/>
          <w:sz w:val="24"/>
          <w:szCs w:val="24"/>
        </w:rPr>
      </w:pPr>
      <w:r>
        <w:rPr>
          <w:rFonts w:hint="eastAsia"/>
          <w:b/>
          <w:color w:val="auto"/>
          <w:sz w:val="24"/>
          <w:szCs w:val="24"/>
        </w:rPr>
        <w:t>4</w:t>
      </w:r>
      <w:r>
        <w:rPr>
          <w:rFonts w:hint="eastAsia"/>
          <w:bCs w:val="0"/>
          <w:color w:val="auto"/>
          <w:sz w:val="24"/>
          <w:szCs w:val="24"/>
        </w:rPr>
        <w:t xml:space="preserve">  有可燃粉尘、纤维</w:t>
      </w:r>
      <w:r>
        <w:rPr>
          <w:bCs w:val="0"/>
          <w:color w:val="auto"/>
          <w:sz w:val="24"/>
          <w:szCs w:val="24"/>
        </w:rPr>
        <w:t>场所应采用防护等级不低于IP5X的灯具</w:t>
      </w:r>
      <w:r>
        <w:rPr>
          <w:rFonts w:hint="eastAsia"/>
          <w:bCs w:val="0"/>
          <w:color w:val="auto"/>
          <w:sz w:val="24"/>
          <w:szCs w:val="24"/>
        </w:rPr>
        <w:t>，</w:t>
      </w:r>
      <w:r>
        <w:rPr>
          <w:bCs w:val="0"/>
          <w:color w:val="auto"/>
          <w:sz w:val="24"/>
          <w:szCs w:val="24"/>
        </w:rPr>
        <w:t>室外场所照明灯具防护等级不应低于IP54；</w:t>
      </w:r>
    </w:p>
    <w:p w14:paraId="4565BD2B">
      <w:pPr>
        <w:pStyle w:val="37"/>
        <w:spacing w:before="120" w:line="360" w:lineRule="auto"/>
        <w:rPr>
          <w:bCs w:val="0"/>
          <w:color w:val="auto"/>
          <w:sz w:val="24"/>
          <w:szCs w:val="24"/>
        </w:rPr>
      </w:pPr>
      <w:r>
        <w:rPr>
          <w:rFonts w:hint="eastAsia"/>
          <w:b/>
          <w:color w:val="auto"/>
          <w:sz w:val="24"/>
          <w:szCs w:val="24"/>
        </w:rPr>
        <w:t xml:space="preserve">5  </w:t>
      </w:r>
      <w:r>
        <w:rPr>
          <w:bCs w:val="0"/>
          <w:color w:val="auto"/>
          <w:sz w:val="24"/>
          <w:szCs w:val="24"/>
        </w:rPr>
        <w:t>爆炸危险场所</w:t>
      </w:r>
      <w:r>
        <w:rPr>
          <w:rFonts w:hint="eastAsia"/>
          <w:bCs w:val="0"/>
          <w:color w:val="auto"/>
          <w:sz w:val="24"/>
          <w:szCs w:val="24"/>
        </w:rPr>
        <w:t>照明</w:t>
      </w:r>
      <w:r>
        <w:rPr>
          <w:bCs w:val="0"/>
          <w:color w:val="auto"/>
          <w:sz w:val="24"/>
          <w:szCs w:val="24"/>
        </w:rPr>
        <w:t>应</w:t>
      </w:r>
      <w:r>
        <w:rPr>
          <w:rFonts w:hint="eastAsia"/>
          <w:bCs w:val="0"/>
          <w:color w:val="auto"/>
          <w:sz w:val="24"/>
          <w:szCs w:val="24"/>
        </w:rPr>
        <w:t>选用</w:t>
      </w:r>
      <w:r>
        <w:rPr>
          <w:bCs w:val="0"/>
          <w:color w:val="auto"/>
          <w:sz w:val="24"/>
          <w:szCs w:val="24"/>
        </w:rPr>
        <w:t>符合国家现行</w:t>
      </w:r>
      <w:r>
        <w:rPr>
          <w:rFonts w:hint="eastAsia"/>
          <w:bCs w:val="0"/>
          <w:color w:val="auto"/>
          <w:sz w:val="24"/>
          <w:szCs w:val="24"/>
        </w:rPr>
        <w:t>相</w:t>
      </w:r>
      <w:r>
        <w:rPr>
          <w:bCs w:val="0"/>
          <w:color w:val="auto"/>
          <w:sz w:val="24"/>
          <w:szCs w:val="24"/>
        </w:rPr>
        <w:t>关标准</w:t>
      </w:r>
      <w:r>
        <w:rPr>
          <w:rFonts w:hint="eastAsia"/>
          <w:bCs w:val="0"/>
          <w:color w:val="auto"/>
          <w:sz w:val="24"/>
          <w:szCs w:val="24"/>
        </w:rPr>
        <w:t>的灯具；</w:t>
      </w:r>
    </w:p>
    <w:p w14:paraId="6B16EB9E">
      <w:pPr>
        <w:pStyle w:val="37"/>
        <w:spacing w:before="120" w:line="360" w:lineRule="auto"/>
        <w:rPr>
          <w:b/>
          <w:color w:val="auto"/>
          <w:sz w:val="24"/>
          <w:szCs w:val="24"/>
        </w:rPr>
      </w:pPr>
      <w:r>
        <w:rPr>
          <w:rFonts w:hint="eastAsia"/>
          <w:b/>
          <w:color w:val="auto"/>
          <w:sz w:val="24"/>
          <w:szCs w:val="24"/>
        </w:rPr>
        <w:t xml:space="preserve">6  </w:t>
      </w:r>
      <w:r>
        <w:rPr>
          <w:bCs w:val="0"/>
          <w:color w:val="auto"/>
          <w:sz w:val="24"/>
          <w:szCs w:val="24"/>
        </w:rPr>
        <w:t>行灯选</w:t>
      </w:r>
      <w:r>
        <w:rPr>
          <w:rFonts w:hint="eastAsia"/>
          <w:bCs w:val="0"/>
          <w:color w:val="auto"/>
          <w:sz w:val="24"/>
          <w:szCs w:val="24"/>
        </w:rPr>
        <w:t>用</w:t>
      </w:r>
      <w:r>
        <w:rPr>
          <w:bCs w:val="0"/>
          <w:color w:val="auto"/>
          <w:sz w:val="24"/>
          <w:szCs w:val="24"/>
        </w:rPr>
        <w:t>应符合下列规定：</w:t>
      </w:r>
    </w:p>
    <w:p w14:paraId="6959F3CC">
      <w:pPr>
        <w:pStyle w:val="37"/>
        <w:numPr>
          <w:ilvl w:val="0"/>
          <w:numId w:val="4"/>
        </w:numPr>
        <w:spacing w:before="120" w:line="360" w:lineRule="auto"/>
        <w:ind w:firstLineChars="0"/>
        <w:rPr>
          <w:bCs w:val="0"/>
          <w:color w:val="auto"/>
          <w:sz w:val="24"/>
          <w:szCs w:val="24"/>
        </w:rPr>
      </w:pPr>
      <w:r>
        <w:rPr>
          <w:bCs w:val="0"/>
          <w:color w:val="auto"/>
          <w:sz w:val="24"/>
          <w:szCs w:val="24"/>
        </w:rPr>
        <w:t>行灯应采用Ⅲ类灯具</w:t>
      </w:r>
      <w:bookmarkStart w:id="427" w:name="OLE_LINK2"/>
      <w:bookmarkStart w:id="428" w:name="_Hlk187312031"/>
      <w:r>
        <w:rPr>
          <w:bCs w:val="0"/>
          <w:color w:val="auto"/>
          <w:sz w:val="24"/>
          <w:szCs w:val="24"/>
        </w:rPr>
        <w:t>，</w:t>
      </w:r>
      <w:r>
        <w:rPr>
          <w:rFonts w:hint="eastAsia"/>
          <w:bCs w:val="0"/>
          <w:color w:val="auto"/>
          <w:sz w:val="24"/>
          <w:szCs w:val="24"/>
        </w:rPr>
        <w:t>安全</w:t>
      </w:r>
      <w:r>
        <w:rPr>
          <w:bCs w:val="0"/>
          <w:color w:val="auto"/>
          <w:sz w:val="24"/>
          <w:szCs w:val="24"/>
        </w:rPr>
        <w:t>特低电压</w:t>
      </w:r>
      <w:bookmarkEnd w:id="427"/>
      <w:r>
        <w:rPr>
          <w:bCs w:val="0"/>
          <w:color w:val="auto"/>
          <w:sz w:val="24"/>
          <w:szCs w:val="24"/>
        </w:rPr>
        <w:t>不应超过</w:t>
      </w:r>
      <w:r>
        <w:rPr>
          <w:rFonts w:hint="eastAsia"/>
          <w:bCs w:val="0"/>
          <w:color w:val="auto"/>
          <w:sz w:val="24"/>
          <w:szCs w:val="24"/>
        </w:rPr>
        <w:t>AC</w:t>
      </w:r>
      <w:r>
        <w:rPr>
          <w:bCs w:val="0"/>
          <w:color w:val="auto"/>
          <w:sz w:val="24"/>
          <w:szCs w:val="24"/>
        </w:rPr>
        <w:t>24V</w:t>
      </w:r>
      <w:bookmarkEnd w:id="428"/>
      <w:r>
        <w:rPr>
          <w:bCs w:val="0"/>
          <w:color w:val="auto"/>
          <w:sz w:val="24"/>
          <w:szCs w:val="24"/>
        </w:rPr>
        <w:t>；</w:t>
      </w:r>
    </w:p>
    <w:p w14:paraId="3AEACC6D">
      <w:pPr>
        <w:pStyle w:val="37"/>
        <w:numPr>
          <w:ilvl w:val="0"/>
          <w:numId w:val="4"/>
        </w:numPr>
        <w:spacing w:before="120" w:line="360" w:lineRule="auto"/>
        <w:ind w:firstLineChars="0"/>
        <w:rPr>
          <w:bCs w:val="0"/>
          <w:color w:val="auto"/>
          <w:sz w:val="24"/>
          <w:szCs w:val="24"/>
        </w:rPr>
      </w:pPr>
      <w:r>
        <w:rPr>
          <w:bCs w:val="0"/>
          <w:color w:val="auto"/>
          <w:sz w:val="24"/>
          <w:szCs w:val="24"/>
        </w:rPr>
        <w:t>行灯灯体及手柄应绝缘良好、坚固，灯头与灯体应结合紧固；光源外部应</w:t>
      </w:r>
    </w:p>
    <w:p w14:paraId="5CB139FA">
      <w:pPr>
        <w:pStyle w:val="37"/>
        <w:spacing w:before="120" w:line="360" w:lineRule="auto"/>
        <w:ind w:firstLine="0" w:firstLineChars="0"/>
        <w:rPr>
          <w:bCs w:val="0"/>
          <w:color w:val="auto"/>
          <w:sz w:val="24"/>
          <w:szCs w:val="24"/>
        </w:rPr>
      </w:pPr>
      <w:r>
        <w:rPr>
          <w:bCs w:val="0"/>
          <w:color w:val="auto"/>
          <w:sz w:val="24"/>
          <w:szCs w:val="24"/>
        </w:rPr>
        <w:t>有金属保护网、反光罩及悬吊挂钩，挂钩应固定在灯具绝缘手柄上</w:t>
      </w:r>
      <w:r>
        <w:rPr>
          <w:rFonts w:hint="eastAsia"/>
          <w:bCs w:val="0"/>
          <w:color w:val="auto"/>
          <w:sz w:val="24"/>
          <w:szCs w:val="24"/>
        </w:rPr>
        <w:t>。</w:t>
      </w:r>
      <w:bookmarkStart w:id="429" w:name="_Hlk185339992"/>
    </w:p>
    <w:bookmarkEnd w:id="429"/>
    <w:p w14:paraId="160A177F">
      <w:pPr>
        <w:pStyle w:val="35"/>
        <w:spacing w:before="120" w:line="360" w:lineRule="auto"/>
        <w:rPr>
          <w:bCs w:val="0"/>
          <w:color w:val="auto"/>
          <w:szCs w:val="24"/>
        </w:rPr>
      </w:pPr>
      <w:bookmarkStart w:id="430" w:name="_Hlk225437210"/>
      <w:bookmarkStart w:id="431" w:name="_Toc759"/>
      <w:bookmarkStart w:id="432" w:name="_Toc8492"/>
      <w:bookmarkStart w:id="433" w:name="_Toc16869"/>
      <w:bookmarkStart w:id="434" w:name="_Toc31936"/>
      <w:r>
        <w:rPr>
          <w:rFonts w:hint="eastAsia"/>
          <w:b/>
          <w:bCs w:val="0"/>
          <w:color w:val="auto"/>
          <w:szCs w:val="24"/>
        </w:rPr>
        <w:t>6.7</w:t>
      </w:r>
      <w:r>
        <w:rPr>
          <w:b/>
          <w:color w:val="auto"/>
          <w:szCs w:val="24"/>
        </w:rPr>
        <w:t>.</w:t>
      </w:r>
      <w:r>
        <w:rPr>
          <w:rFonts w:hint="eastAsia"/>
          <w:b/>
          <w:color w:val="auto"/>
          <w:szCs w:val="24"/>
        </w:rPr>
        <w:t>8</w:t>
      </w:r>
      <w:bookmarkEnd w:id="430"/>
      <w:r>
        <w:rPr>
          <w:b/>
          <w:color w:val="auto"/>
          <w:szCs w:val="24"/>
        </w:rPr>
        <w:t xml:space="preserve"> </w:t>
      </w:r>
      <w:r>
        <w:rPr>
          <w:rFonts w:hint="eastAsia"/>
          <w:b/>
          <w:color w:val="auto"/>
          <w:szCs w:val="24"/>
        </w:rPr>
        <w:t xml:space="preserve"> </w:t>
      </w:r>
      <w:r>
        <w:rPr>
          <w:bCs w:val="0"/>
          <w:color w:val="auto"/>
          <w:szCs w:val="24"/>
        </w:rPr>
        <w:t>照明灯具</w:t>
      </w:r>
      <w:r>
        <w:rPr>
          <w:rFonts w:hint="eastAsia"/>
          <w:bCs w:val="0"/>
          <w:color w:val="auto"/>
          <w:szCs w:val="24"/>
        </w:rPr>
        <w:t>安装</w:t>
      </w:r>
      <w:r>
        <w:rPr>
          <w:bCs w:val="0"/>
          <w:color w:val="auto"/>
          <w:szCs w:val="24"/>
        </w:rPr>
        <w:t>应符合下列规定：</w:t>
      </w:r>
      <w:bookmarkEnd w:id="431"/>
      <w:bookmarkEnd w:id="432"/>
      <w:bookmarkEnd w:id="433"/>
      <w:bookmarkEnd w:id="434"/>
    </w:p>
    <w:p w14:paraId="1C34174A">
      <w:pPr>
        <w:pStyle w:val="37"/>
        <w:spacing w:before="120" w:line="360" w:lineRule="auto"/>
        <w:rPr>
          <w:bCs w:val="0"/>
          <w:color w:val="auto"/>
          <w:sz w:val="24"/>
          <w:szCs w:val="24"/>
        </w:rPr>
      </w:pPr>
      <w:r>
        <w:rPr>
          <w:rFonts w:hint="eastAsia"/>
          <w:b/>
          <w:bCs w:val="0"/>
          <w:color w:val="auto"/>
          <w:sz w:val="24"/>
          <w:szCs w:val="24"/>
        </w:rPr>
        <w:t xml:space="preserve">1 </w:t>
      </w:r>
      <w:r>
        <w:rPr>
          <w:rFonts w:hint="eastAsia"/>
          <w:color w:val="auto"/>
          <w:sz w:val="24"/>
          <w:szCs w:val="24"/>
        </w:rPr>
        <w:t xml:space="preserve"> 照明灯具与易燃、可燃物之间应保持安全间距，普通灯具不宜小于300mm，高发热灯具不宜小于500mm，且不应直接照射易燃易爆物体。当间距不符合要求时，应采取隔热措施；</w:t>
      </w:r>
    </w:p>
    <w:p w14:paraId="156E358C">
      <w:pPr>
        <w:pStyle w:val="37"/>
        <w:spacing w:before="120" w:line="360" w:lineRule="auto"/>
        <w:rPr>
          <w:bCs w:val="0"/>
          <w:color w:val="auto"/>
          <w:sz w:val="24"/>
          <w:szCs w:val="24"/>
        </w:rPr>
      </w:pPr>
      <w:r>
        <w:rPr>
          <w:b/>
          <w:color w:val="auto"/>
          <w:sz w:val="24"/>
          <w:szCs w:val="24"/>
        </w:rPr>
        <w:t>2</w:t>
      </w:r>
      <w:r>
        <w:rPr>
          <w:rFonts w:hint="eastAsia"/>
          <w:bCs w:val="0"/>
          <w:color w:val="auto"/>
          <w:sz w:val="24"/>
          <w:szCs w:val="24"/>
        </w:rPr>
        <w:t xml:space="preserve">  </w:t>
      </w:r>
      <w:r>
        <w:rPr>
          <w:bCs w:val="0"/>
          <w:color w:val="auto"/>
          <w:sz w:val="24"/>
          <w:szCs w:val="24"/>
        </w:rPr>
        <w:t>施工现场不应采用软线吊灯，照明分支线路应采用铜芯绝缘</w:t>
      </w:r>
      <w:r>
        <w:rPr>
          <w:rFonts w:hint="eastAsia"/>
          <w:bCs w:val="0"/>
          <w:color w:val="auto"/>
          <w:sz w:val="24"/>
          <w:szCs w:val="24"/>
        </w:rPr>
        <w:t>导</w:t>
      </w:r>
      <w:r>
        <w:rPr>
          <w:bCs w:val="0"/>
          <w:color w:val="auto"/>
          <w:sz w:val="24"/>
          <w:szCs w:val="24"/>
        </w:rPr>
        <w:t>线，分支</w:t>
      </w:r>
      <w:r>
        <w:rPr>
          <w:rFonts w:hint="eastAsia"/>
          <w:bCs w:val="0"/>
          <w:color w:val="auto"/>
          <w:sz w:val="24"/>
          <w:szCs w:val="24"/>
        </w:rPr>
        <w:t>导</w:t>
      </w:r>
      <w:r>
        <w:rPr>
          <w:bCs w:val="0"/>
          <w:color w:val="auto"/>
          <w:sz w:val="24"/>
          <w:szCs w:val="24"/>
        </w:rPr>
        <w:t>线截面</w:t>
      </w:r>
      <w:r>
        <w:rPr>
          <w:rFonts w:hint="eastAsia"/>
          <w:bCs w:val="0"/>
          <w:color w:val="auto"/>
          <w:sz w:val="24"/>
          <w:szCs w:val="24"/>
        </w:rPr>
        <w:t>积</w:t>
      </w:r>
      <w:r>
        <w:rPr>
          <w:bCs w:val="0"/>
          <w:color w:val="auto"/>
          <w:sz w:val="24"/>
          <w:szCs w:val="24"/>
        </w:rPr>
        <w:t>不应小于1.5mm</w:t>
      </w:r>
      <w:r>
        <w:rPr>
          <w:bCs w:val="0"/>
          <w:color w:val="auto"/>
          <w:sz w:val="24"/>
          <w:szCs w:val="24"/>
          <w:vertAlign w:val="superscript"/>
        </w:rPr>
        <w:t>2</w:t>
      </w:r>
      <w:r>
        <w:rPr>
          <w:bCs w:val="0"/>
          <w:color w:val="auto"/>
          <w:sz w:val="24"/>
          <w:szCs w:val="24"/>
        </w:rPr>
        <w:t>，引向单个灯具的绝缘导线截面积应与灯具功率相匹配，绝缘铜芯导线的线芯截面积不应小于1mm</w:t>
      </w:r>
      <w:r>
        <w:rPr>
          <w:bCs w:val="0"/>
          <w:color w:val="auto"/>
          <w:sz w:val="24"/>
          <w:szCs w:val="24"/>
          <w:vertAlign w:val="superscript"/>
        </w:rPr>
        <w:t>2</w:t>
      </w:r>
      <w:r>
        <w:rPr>
          <w:rFonts w:hint="eastAsia"/>
          <w:bCs w:val="0"/>
          <w:color w:val="auto"/>
          <w:sz w:val="24"/>
          <w:szCs w:val="24"/>
        </w:rPr>
        <w:t>；</w:t>
      </w:r>
    </w:p>
    <w:p w14:paraId="4008F029">
      <w:pPr>
        <w:pStyle w:val="37"/>
        <w:spacing w:before="120" w:line="360" w:lineRule="auto"/>
        <w:rPr>
          <w:bCs w:val="0"/>
          <w:color w:val="auto"/>
          <w:sz w:val="24"/>
          <w:szCs w:val="24"/>
        </w:rPr>
      </w:pPr>
      <w:r>
        <w:rPr>
          <w:rFonts w:hint="eastAsia"/>
          <w:b/>
          <w:color w:val="auto"/>
          <w:sz w:val="24"/>
          <w:szCs w:val="24"/>
        </w:rPr>
        <w:t xml:space="preserve">3 </w:t>
      </w:r>
      <w:r>
        <w:rPr>
          <w:rFonts w:hint="eastAsia"/>
          <w:bCs w:val="0"/>
          <w:color w:val="auto"/>
          <w:sz w:val="24"/>
          <w:szCs w:val="24"/>
        </w:rPr>
        <w:t xml:space="preserve"> </w:t>
      </w:r>
      <w:r>
        <w:rPr>
          <w:bCs w:val="0"/>
          <w:color w:val="auto"/>
          <w:sz w:val="24"/>
          <w:szCs w:val="24"/>
        </w:rPr>
        <w:t>振动、摆动设备场所安装的灯具、安装高度大于5</w:t>
      </w:r>
      <w:r>
        <w:rPr>
          <w:rFonts w:hint="eastAsia"/>
          <w:bCs w:val="0"/>
          <w:color w:val="auto"/>
          <w:sz w:val="24"/>
          <w:szCs w:val="24"/>
        </w:rPr>
        <w:t>m</w:t>
      </w:r>
      <w:r>
        <w:rPr>
          <w:bCs w:val="0"/>
          <w:color w:val="auto"/>
          <w:sz w:val="24"/>
          <w:szCs w:val="24"/>
        </w:rPr>
        <w:t>的灯具应</w:t>
      </w:r>
      <w:r>
        <w:rPr>
          <w:rFonts w:hint="eastAsia"/>
          <w:bCs w:val="0"/>
          <w:color w:val="auto"/>
          <w:sz w:val="24"/>
          <w:szCs w:val="24"/>
        </w:rPr>
        <w:t>采取</w:t>
      </w:r>
      <w:r>
        <w:rPr>
          <w:bCs w:val="0"/>
          <w:color w:val="auto"/>
          <w:sz w:val="24"/>
          <w:szCs w:val="24"/>
        </w:rPr>
        <w:t>防松脱措施；</w:t>
      </w:r>
    </w:p>
    <w:p w14:paraId="31F2267E">
      <w:pPr>
        <w:pStyle w:val="37"/>
        <w:spacing w:before="120" w:line="360" w:lineRule="auto"/>
        <w:rPr>
          <w:bCs w:val="0"/>
          <w:color w:val="auto"/>
          <w:sz w:val="24"/>
          <w:szCs w:val="24"/>
        </w:rPr>
      </w:pPr>
      <w:r>
        <w:rPr>
          <w:rFonts w:hint="eastAsia"/>
          <w:b/>
          <w:color w:val="auto"/>
          <w:sz w:val="24"/>
          <w:szCs w:val="24"/>
        </w:rPr>
        <w:t>4</w:t>
      </w:r>
      <w:r>
        <w:rPr>
          <w:rFonts w:hint="eastAsia"/>
          <w:bCs w:val="0"/>
          <w:color w:val="auto"/>
          <w:sz w:val="24"/>
          <w:szCs w:val="24"/>
        </w:rPr>
        <w:t xml:space="preserve">  灯具相线应经控制开关引入灯具；当采用螺口灯头时，相线应连接至螺口灯头中心的金属触点端子；</w:t>
      </w:r>
    </w:p>
    <w:p w14:paraId="31BB8232">
      <w:pPr>
        <w:pStyle w:val="37"/>
        <w:spacing w:before="120" w:line="360" w:lineRule="auto"/>
        <w:rPr>
          <w:bCs w:val="0"/>
          <w:color w:val="auto"/>
          <w:sz w:val="24"/>
          <w:szCs w:val="24"/>
        </w:rPr>
      </w:pPr>
      <w:r>
        <w:rPr>
          <w:rFonts w:hint="eastAsia"/>
          <w:b/>
          <w:color w:val="auto"/>
          <w:sz w:val="24"/>
          <w:szCs w:val="24"/>
        </w:rPr>
        <w:t>5</w:t>
      </w:r>
      <w:r>
        <w:rPr>
          <w:rFonts w:hint="eastAsia"/>
          <w:color w:val="auto"/>
          <w:sz w:val="24"/>
          <w:szCs w:val="24"/>
        </w:rPr>
        <w:t xml:space="preserve">  </w:t>
      </w:r>
      <w:r>
        <w:rPr>
          <w:bCs w:val="0"/>
          <w:color w:val="auto"/>
          <w:sz w:val="24"/>
          <w:szCs w:val="24"/>
        </w:rPr>
        <w:t>LED灯带应线状敷设在支架上，不应缠绕堆积</w:t>
      </w:r>
      <w:bookmarkStart w:id="435" w:name="_Toc18622"/>
      <w:bookmarkStart w:id="436" w:name="_Toc25543"/>
      <w:r>
        <w:rPr>
          <w:rFonts w:hint="eastAsia"/>
          <w:bCs w:val="0"/>
          <w:color w:val="auto"/>
          <w:sz w:val="24"/>
          <w:szCs w:val="24"/>
        </w:rPr>
        <w:t>。</w:t>
      </w:r>
    </w:p>
    <w:bookmarkEnd w:id="435"/>
    <w:bookmarkEnd w:id="436"/>
    <w:p w14:paraId="017E8A84">
      <w:pPr>
        <w:pStyle w:val="35"/>
        <w:spacing w:before="120" w:line="360" w:lineRule="auto"/>
        <w:rPr>
          <w:bCs w:val="0"/>
          <w:color w:val="auto"/>
          <w:szCs w:val="24"/>
        </w:rPr>
      </w:pPr>
      <w:r>
        <w:rPr>
          <w:rFonts w:hint="eastAsia"/>
          <w:b/>
          <w:bCs w:val="0"/>
          <w:color w:val="auto"/>
          <w:szCs w:val="24"/>
        </w:rPr>
        <w:t>6.7</w:t>
      </w:r>
      <w:r>
        <w:rPr>
          <w:b/>
          <w:color w:val="auto"/>
          <w:szCs w:val="24"/>
        </w:rPr>
        <w:t>.</w:t>
      </w:r>
      <w:r>
        <w:rPr>
          <w:rFonts w:hint="eastAsia"/>
          <w:b/>
          <w:color w:val="auto"/>
          <w:szCs w:val="24"/>
        </w:rPr>
        <w:t>9</w:t>
      </w:r>
      <w:r>
        <w:rPr>
          <w:b/>
          <w:color w:val="auto"/>
          <w:szCs w:val="24"/>
        </w:rPr>
        <w:t xml:space="preserve"> </w:t>
      </w:r>
      <w:r>
        <w:rPr>
          <w:rFonts w:hint="eastAsia"/>
          <w:b/>
          <w:color w:val="auto"/>
          <w:szCs w:val="24"/>
        </w:rPr>
        <w:t xml:space="preserve"> </w:t>
      </w:r>
      <w:r>
        <w:rPr>
          <w:bCs w:val="0"/>
          <w:color w:val="auto"/>
          <w:szCs w:val="24"/>
        </w:rPr>
        <w:t>施工现场室内场地照明标准值</w:t>
      </w:r>
      <w:r>
        <w:rPr>
          <w:rFonts w:hint="eastAsia"/>
          <w:bCs w:val="0"/>
          <w:color w:val="auto"/>
          <w:szCs w:val="24"/>
        </w:rPr>
        <w:t>不应低于</w:t>
      </w:r>
      <w:r>
        <w:rPr>
          <w:bCs w:val="0"/>
          <w:color w:val="auto"/>
          <w:szCs w:val="24"/>
        </w:rPr>
        <w:t>表</w:t>
      </w:r>
      <w:r>
        <w:rPr>
          <w:rFonts w:hint="eastAsia"/>
          <w:bCs w:val="0"/>
          <w:color w:val="auto"/>
          <w:szCs w:val="24"/>
        </w:rPr>
        <w:t>6</w:t>
      </w:r>
      <w:r>
        <w:rPr>
          <w:bCs w:val="0"/>
          <w:color w:val="auto"/>
          <w:szCs w:val="24"/>
        </w:rPr>
        <w:t>.</w:t>
      </w:r>
      <w:r>
        <w:rPr>
          <w:rFonts w:hint="eastAsia"/>
          <w:bCs w:val="0"/>
          <w:color w:val="auto"/>
          <w:szCs w:val="24"/>
        </w:rPr>
        <w:t>7</w:t>
      </w:r>
      <w:r>
        <w:rPr>
          <w:bCs w:val="0"/>
          <w:color w:val="auto"/>
          <w:szCs w:val="24"/>
        </w:rPr>
        <w:t>.</w:t>
      </w:r>
      <w:r>
        <w:rPr>
          <w:rFonts w:hint="eastAsia"/>
          <w:bCs w:val="0"/>
          <w:color w:val="auto"/>
          <w:szCs w:val="24"/>
        </w:rPr>
        <w:t>9</w:t>
      </w:r>
      <w:r>
        <w:rPr>
          <w:bCs w:val="0"/>
          <w:color w:val="auto"/>
          <w:szCs w:val="24"/>
        </w:rPr>
        <w:t>的规定，当施工作业</w:t>
      </w:r>
      <w:r>
        <w:rPr>
          <w:rFonts w:hint="eastAsia"/>
          <w:bCs w:val="0"/>
          <w:color w:val="auto"/>
          <w:szCs w:val="24"/>
        </w:rPr>
        <w:t>有精度要求</w:t>
      </w:r>
      <w:r>
        <w:rPr>
          <w:bCs w:val="0"/>
          <w:color w:val="auto"/>
          <w:szCs w:val="24"/>
        </w:rPr>
        <w:t>时，应</w:t>
      </w:r>
      <w:r>
        <w:rPr>
          <w:rFonts w:hint="eastAsia"/>
          <w:bCs w:val="0"/>
          <w:color w:val="auto"/>
          <w:szCs w:val="24"/>
        </w:rPr>
        <w:t>按工艺安装需求提高</w:t>
      </w:r>
      <w:r>
        <w:rPr>
          <w:bCs w:val="0"/>
          <w:color w:val="auto"/>
          <w:szCs w:val="24"/>
        </w:rPr>
        <w:t>。</w:t>
      </w:r>
    </w:p>
    <w:p w14:paraId="6E948EF7">
      <w:pPr>
        <w:pStyle w:val="40"/>
        <w:spacing w:before="120" w:line="360" w:lineRule="auto"/>
        <w:rPr>
          <w:b/>
          <w:color w:val="auto"/>
          <w:szCs w:val="21"/>
          <w:shd w:val="clear" w:color="auto" w:fill="FFFFFF"/>
        </w:rPr>
      </w:pPr>
      <w:bookmarkStart w:id="437" w:name="_Hlk196160927"/>
      <w:r>
        <w:rPr>
          <w:b/>
          <w:color w:val="auto"/>
          <w:szCs w:val="21"/>
        </w:rPr>
        <w:t>表</w:t>
      </w:r>
      <w:r>
        <w:rPr>
          <w:rFonts w:hint="eastAsia"/>
          <w:b/>
          <w:color w:val="auto"/>
          <w:szCs w:val="21"/>
        </w:rPr>
        <w:t>6</w:t>
      </w:r>
      <w:r>
        <w:rPr>
          <w:b/>
          <w:color w:val="auto"/>
          <w:szCs w:val="21"/>
        </w:rPr>
        <w:t>.</w:t>
      </w:r>
      <w:r>
        <w:rPr>
          <w:rFonts w:hint="eastAsia"/>
          <w:b/>
          <w:color w:val="auto"/>
          <w:szCs w:val="21"/>
        </w:rPr>
        <w:t>7</w:t>
      </w:r>
      <w:r>
        <w:rPr>
          <w:b/>
          <w:color w:val="auto"/>
          <w:szCs w:val="21"/>
        </w:rPr>
        <w:t>.</w:t>
      </w:r>
      <w:r>
        <w:rPr>
          <w:rFonts w:hint="eastAsia"/>
          <w:b/>
          <w:color w:val="auto"/>
          <w:szCs w:val="21"/>
        </w:rPr>
        <w:t xml:space="preserve">9 </w:t>
      </w:r>
      <w:r>
        <w:rPr>
          <w:b/>
          <w:color w:val="auto"/>
          <w:szCs w:val="21"/>
        </w:rPr>
        <w:t>施工现场室内场地照明标准值</w:t>
      </w:r>
      <w:bookmarkEnd w:id="437"/>
      <w:r>
        <w:rPr>
          <w:rFonts w:hint="eastAsia"/>
          <w:b/>
          <w:color w:val="auto"/>
          <w:szCs w:val="21"/>
        </w:rPr>
        <w:t xml:space="preserve"> </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6"/>
        <w:gridCol w:w="1722"/>
        <w:gridCol w:w="1757"/>
        <w:gridCol w:w="1369"/>
        <w:gridCol w:w="1192"/>
        <w:gridCol w:w="1272"/>
      </w:tblGrid>
      <w:tr w14:paraId="282B0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519" w:type="dxa"/>
            <w:vAlign w:val="center"/>
          </w:tcPr>
          <w:p w14:paraId="543D8F98">
            <w:pPr>
              <w:spacing w:line="360" w:lineRule="auto"/>
              <w:jc w:val="center"/>
              <w:rPr>
                <w:szCs w:val="21"/>
              </w:rPr>
            </w:pPr>
            <w:r>
              <w:rPr>
                <w:szCs w:val="21"/>
              </w:rPr>
              <w:t>场地名称</w:t>
            </w:r>
          </w:p>
        </w:tc>
        <w:tc>
          <w:tcPr>
            <w:tcW w:w="1770" w:type="dxa"/>
            <w:vAlign w:val="center"/>
          </w:tcPr>
          <w:p w14:paraId="58BA94F5">
            <w:pPr>
              <w:spacing w:line="360" w:lineRule="auto"/>
              <w:jc w:val="center"/>
              <w:rPr>
                <w:szCs w:val="21"/>
              </w:rPr>
            </w:pPr>
            <w:r>
              <w:rPr>
                <w:szCs w:val="21"/>
              </w:rPr>
              <w:t>参考平面及其高度</w:t>
            </w:r>
          </w:p>
        </w:tc>
        <w:tc>
          <w:tcPr>
            <w:tcW w:w="1804" w:type="dxa"/>
            <w:vAlign w:val="center"/>
          </w:tcPr>
          <w:p w14:paraId="08F15393">
            <w:pPr>
              <w:spacing w:line="360" w:lineRule="auto"/>
              <w:rPr>
                <w:szCs w:val="21"/>
              </w:rPr>
            </w:pPr>
            <w:r>
              <w:rPr>
                <w:szCs w:val="21"/>
              </w:rPr>
              <w:t>水平照度标准值</w:t>
            </w:r>
          </w:p>
          <w:p w14:paraId="2D1FD657">
            <w:pPr>
              <w:spacing w:line="360" w:lineRule="auto"/>
              <w:jc w:val="center"/>
              <w:rPr>
                <w:szCs w:val="21"/>
              </w:rPr>
            </w:pPr>
            <w:r>
              <w:rPr>
                <w:rFonts w:hint="eastAsia"/>
                <w:szCs w:val="21"/>
              </w:rPr>
              <w:t>（</w:t>
            </w:r>
            <w:r>
              <w:rPr>
                <w:szCs w:val="21"/>
              </w:rPr>
              <w:t>lx）</w:t>
            </w:r>
          </w:p>
        </w:tc>
        <w:tc>
          <w:tcPr>
            <w:tcW w:w="1408" w:type="dxa"/>
            <w:vAlign w:val="center"/>
          </w:tcPr>
          <w:p w14:paraId="396E9A54">
            <w:pPr>
              <w:spacing w:line="360" w:lineRule="auto"/>
              <w:jc w:val="center"/>
              <w:rPr>
                <w:szCs w:val="21"/>
              </w:rPr>
            </w:pPr>
            <w:r>
              <w:rPr>
                <w:szCs w:val="21"/>
              </w:rPr>
              <w:t>水平照度均匀度</w:t>
            </w:r>
          </w:p>
        </w:tc>
        <w:tc>
          <w:tcPr>
            <w:tcW w:w="1211" w:type="dxa"/>
            <w:vAlign w:val="center"/>
          </w:tcPr>
          <w:p w14:paraId="6323505F">
            <w:pPr>
              <w:spacing w:line="360" w:lineRule="auto"/>
              <w:jc w:val="center"/>
              <w:rPr>
                <w:szCs w:val="21"/>
              </w:rPr>
            </w:pPr>
            <w:r>
              <w:rPr>
                <w:rFonts w:hint="eastAsia"/>
                <w:szCs w:val="21"/>
              </w:rPr>
              <w:t>周边区域照度</w:t>
            </w:r>
            <w:r>
              <w:rPr>
                <w:szCs w:val="21"/>
              </w:rPr>
              <w:t>（lx</w:t>
            </w:r>
            <w:r>
              <w:rPr>
                <w:rFonts w:hint="eastAsia"/>
                <w:szCs w:val="21"/>
              </w:rPr>
              <w:t>）</w:t>
            </w:r>
          </w:p>
        </w:tc>
        <w:tc>
          <w:tcPr>
            <w:tcW w:w="1292" w:type="dxa"/>
            <w:vAlign w:val="center"/>
          </w:tcPr>
          <w:p w14:paraId="5CCF2DC4">
            <w:pPr>
              <w:spacing w:line="360" w:lineRule="auto"/>
              <w:jc w:val="center"/>
              <w:rPr>
                <w:szCs w:val="21"/>
              </w:rPr>
            </w:pPr>
            <w:r>
              <w:rPr>
                <w:szCs w:val="21"/>
              </w:rPr>
              <w:t>显色指数</w:t>
            </w:r>
          </w:p>
          <w:p w14:paraId="131BAF91">
            <w:pPr>
              <w:spacing w:line="360" w:lineRule="auto"/>
              <w:jc w:val="center"/>
              <w:rPr>
                <w:szCs w:val="21"/>
              </w:rPr>
            </w:pPr>
            <w:r>
              <w:rPr>
                <w:szCs w:val="21"/>
              </w:rPr>
              <w:t>（Ra）</w:t>
            </w:r>
          </w:p>
        </w:tc>
      </w:tr>
      <w:tr w14:paraId="4F679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519" w:type="dxa"/>
            <w:vAlign w:val="center"/>
          </w:tcPr>
          <w:p w14:paraId="16E04F6F">
            <w:pPr>
              <w:spacing w:line="360" w:lineRule="auto"/>
              <w:jc w:val="center"/>
              <w:rPr>
                <w:szCs w:val="21"/>
              </w:rPr>
            </w:pPr>
            <w:r>
              <w:rPr>
                <w:szCs w:val="21"/>
              </w:rPr>
              <w:t>一般施工作业区</w:t>
            </w:r>
          </w:p>
        </w:tc>
        <w:tc>
          <w:tcPr>
            <w:tcW w:w="1770" w:type="dxa"/>
            <w:vAlign w:val="center"/>
          </w:tcPr>
          <w:p w14:paraId="36541DB5">
            <w:pPr>
              <w:spacing w:line="360" w:lineRule="auto"/>
              <w:jc w:val="center"/>
              <w:rPr>
                <w:szCs w:val="21"/>
              </w:rPr>
            </w:pPr>
            <w:r>
              <w:rPr>
                <w:szCs w:val="21"/>
              </w:rPr>
              <w:t>地面</w:t>
            </w:r>
          </w:p>
        </w:tc>
        <w:tc>
          <w:tcPr>
            <w:tcW w:w="1804" w:type="dxa"/>
            <w:vAlign w:val="center"/>
          </w:tcPr>
          <w:p w14:paraId="54046E10">
            <w:pPr>
              <w:spacing w:line="360" w:lineRule="auto"/>
              <w:jc w:val="center"/>
              <w:rPr>
                <w:szCs w:val="21"/>
              </w:rPr>
            </w:pPr>
            <w:r>
              <w:rPr>
                <w:szCs w:val="21"/>
              </w:rPr>
              <w:t>100</w:t>
            </w:r>
          </w:p>
        </w:tc>
        <w:tc>
          <w:tcPr>
            <w:tcW w:w="1408" w:type="dxa"/>
            <w:vAlign w:val="center"/>
          </w:tcPr>
          <w:p w14:paraId="48FF3653">
            <w:pPr>
              <w:spacing w:line="360" w:lineRule="auto"/>
              <w:jc w:val="center"/>
              <w:rPr>
                <w:szCs w:val="21"/>
              </w:rPr>
            </w:pPr>
            <w:r>
              <w:rPr>
                <w:szCs w:val="21"/>
              </w:rPr>
              <w:t>0.40</w:t>
            </w:r>
          </w:p>
        </w:tc>
        <w:tc>
          <w:tcPr>
            <w:tcW w:w="1211" w:type="dxa"/>
            <w:vAlign w:val="center"/>
          </w:tcPr>
          <w:p w14:paraId="01D3F82E">
            <w:pPr>
              <w:spacing w:line="360" w:lineRule="auto"/>
              <w:jc w:val="center"/>
              <w:rPr>
                <w:szCs w:val="21"/>
              </w:rPr>
            </w:pPr>
            <w:r>
              <w:rPr>
                <w:rFonts w:hint="eastAsia"/>
                <w:szCs w:val="21"/>
              </w:rPr>
              <w:t>20</w:t>
            </w:r>
          </w:p>
        </w:tc>
        <w:tc>
          <w:tcPr>
            <w:tcW w:w="1292" w:type="dxa"/>
            <w:vAlign w:val="center"/>
          </w:tcPr>
          <w:p w14:paraId="3BE4B103">
            <w:pPr>
              <w:spacing w:line="360" w:lineRule="auto"/>
              <w:jc w:val="center"/>
              <w:rPr>
                <w:szCs w:val="21"/>
              </w:rPr>
            </w:pPr>
            <w:r>
              <w:rPr>
                <w:szCs w:val="21"/>
              </w:rPr>
              <w:t>80及以上</w:t>
            </w:r>
          </w:p>
        </w:tc>
      </w:tr>
      <w:tr w14:paraId="44166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519" w:type="dxa"/>
            <w:vAlign w:val="center"/>
          </w:tcPr>
          <w:p w14:paraId="534CF65C">
            <w:pPr>
              <w:spacing w:line="360" w:lineRule="auto"/>
              <w:jc w:val="center"/>
              <w:rPr>
                <w:szCs w:val="21"/>
              </w:rPr>
            </w:pPr>
            <w:r>
              <w:rPr>
                <w:szCs w:val="21"/>
              </w:rPr>
              <w:t>一般室内加工区</w:t>
            </w:r>
          </w:p>
        </w:tc>
        <w:tc>
          <w:tcPr>
            <w:tcW w:w="1770" w:type="dxa"/>
            <w:vMerge w:val="restart"/>
            <w:vAlign w:val="center"/>
          </w:tcPr>
          <w:p w14:paraId="4A941711">
            <w:pPr>
              <w:spacing w:line="360" w:lineRule="auto"/>
              <w:jc w:val="center"/>
              <w:rPr>
                <w:szCs w:val="21"/>
              </w:rPr>
            </w:pPr>
            <w:r>
              <w:rPr>
                <w:szCs w:val="21"/>
              </w:rPr>
              <w:t>0.75m水平面</w:t>
            </w:r>
          </w:p>
        </w:tc>
        <w:tc>
          <w:tcPr>
            <w:tcW w:w="1804" w:type="dxa"/>
            <w:vAlign w:val="center"/>
          </w:tcPr>
          <w:p w14:paraId="2E45B361">
            <w:pPr>
              <w:spacing w:line="360" w:lineRule="auto"/>
              <w:jc w:val="center"/>
              <w:rPr>
                <w:szCs w:val="21"/>
              </w:rPr>
            </w:pPr>
            <w:r>
              <w:rPr>
                <w:rFonts w:hint="eastAsia"/>
                <w:szCs w:val="21"/>
              </w:rPr>
              <w:t>2</w:t>
            </w:r>
            <w:r>
              <w:rPr>
                <w:szCs w:val="21"/>
              </w:rPr>
              <w:t>00</w:t>
            </w:r>
          </w:p>
        </w:tc>
        <w:tc>
          <w:tcPr>
            <w:tcW w:w="1408" w:type="dxa"/>
            <w:vAlign w:val="center"/>
          </w:tcPr>
          <w:p w14:paraId="42FF5FAA">
            <w:pPr>
              <w:spacing w:line="360" w:lineRule="auto"/>
              <w:jc w:val="center"/>
              <w:rPr>
                <w:szCs w:val="21"/>
              </w:rPr>
            </w:pPr>
            <w:r>
              <w:rPr>
                <w:szCs w:val="21"/>
              </w:rPr>
              <w:t>0.40</w:t>
            </w:r>
          </w:p>
        </w:tc>
        <w:tc>
          <w:tcPr>
            <w:tcW w:w="1211" w:type="dxa"/>
            <w:vAlign w:val="center"/>
          </w:tcPr>
          <w:p w14:paraId="5A05C4EA">
            <w:pPr>
              <w:spacing w:line="360" w:lineRule="auto"/>
              <w:jc w:val="center"/>
              <w:rPr>
                <w:szCs w:val="21"/>
              </w:rPr>
            </w:pPr>
            <w:r>
              <w:rPr>
                <w:rFonts w:hint="eastAsia"/>
                <w:szCs w:val="21"/>
              </w:rPr>
              <w:t>50</w:t>
            </w:r>
          </w:p>
        </w:tc>
        <w:tc>
          <w:tcPr>
            <w:tcW w:w="1292" w:type="dxa"/>
            <w:vAlign w:val="center"/>
          </w:tcPr>
          <w:p w14:paraId="2A601BC7">
            <w:pPr>
              <w:spacing w:line="360" w:lineRule="auto"/>
              <w:jc w:val="center"/>
              <w:rPr>
                <w:szCs w:val="21"/>
              </w:rPr>
            </w:pPr>
            <w:r>
              <w:rPr>
                <w:szCs w:val="21"/>
              </w:rPr>
              <w:t>80及以上</w:t>
            </w:r>
          </w:p>
        </w:tc>
      </w:tr>
      <w:tr w14:paraId="365BD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519" w:type="dxa"/>
            <w:vAlign w:val="center"/>
          </w:tcPr>
          <w:p w14:paraId="29B304BD">
            <w:pPr>
              <w:spacing w:line="360" w:lineRule="auto"/>
              <w:jc w:val="center"/>
              <w:rPr>
                <w:szCs w:val="21"/>
              </w:rPr>
            </w:pPr>
            <w:r>
              <w:rPr>
                <w:szCs w:val="21"/>
              </w:rPr>
              <w:t>配电间</w:t>
            </w:r>
          </w:p>
        </w:tc>
        <w:tc>
          <w:tcPr>
            <w:tcW w:w="1770" w:type="dxa"/>
            <w:vMerge w:val="continue"/>
            <w:vAlign w:val="center"/>
          </w:tcPr>
          <w:p w14:paraId="53C98586">
            <w:pPr>
              <w:spacing w:line="360" w:lineRule="auto"/>
              <w:jc w:val="center"/>
              <w:rPr>
                <w:szCs w:val="21"/>
              </w:rPr>
            </w:pPr>
          </w:p>
        </w:tc>
        <w:tc>
          <w:tcPr>
            <w:tcW w:w="1804" w:type="dxa"/>
            <w:vAlign w:val="center"/>
          </w:tcPr>
          <w:p w14:paraId="75144EBA">
            <w:pPr>
              <w:spacing w:line="360" w:lineRule="auto"/>
              <w:jc w:val="center"/>
              <w:rPr>
                <w:szCs w:val="21"/>
              </w:rPr>
            </w:pPr>
            <w:r>
              <w:rPr>
                <w:szCs w:val="21"/>
              </w:rPr>
              <w:t>200</w:t>
            </w:r>
          </w:p>
        </w:tc>
        <w:tc>
          <w:tcPr>
            <w:tcW w:w="1408" w:type="dxa"/>
            <w:vAlign w:val="center"/>
          </w:tcPr>
          <w:p w14:paraId="271D28BD">
            <w:pPr>
              <w:spacing w:line="360" w:lineRule="auto"/>
              <w:jc w:val="center"/>
              <w:rPr>
                <w:szCs w:val="21"/>
              </w:rPr>
            </w:pPr>
            <w:r>
              <w:rPr>
                <w:szCs w:val="21"/>
              </w:rPr>
              <w:t>0.60</w:t>
            </w:r>
          </w:p>
        </w:tc>
        <w:tc>
          <w:tcPr>
            <w:tcW w:w="1211" w:type="dxa"/>
            <w:vAlign w:val="center"/>
          </w:tcPr>
          <w:p w14:paraId="24B0952E">
            <w:pPr>
              <w:spacing w:line="360" w:lineRule="auto"/>
              <w:jc w:val="center"/>
              <w:rPr>
                <w:szCs w:val="21"/>
              </w:rPr>
            </w:pPr>
            <w:r>
              <w:rPr>
                <w:szCs w:val="21"/>
              </w:rPr>
              <w:t>-</w:t>
            </w:r>
          </w:p>
        </w:tc>
        <w:tc>
          <w:tcPr>
            <w:tcW w:w="1292" w:type="dxa"/>
            <w:vAlign w:val="center"/>
          </w:tcPr>
          <w:p w14:paraId="2557DA3B">
            <w:pPr>
              <w:spacing w:line="360" w:lineRule="auto"/>
              <w:jc w:val="center"/>
              <w:rPr>
                <w:szCs w:val="21"/>
              </w:rPr>
            </w:pPr>
            <w:r>
              <w:rPr>
                <w:szCs w:val="21"/>
              </w:rPr>
              <w:t>80及以上</w:t>
            </w:r>
          </w:p>
        </w:tc>
      </w:tr>
    </w:tbl>
    <w:p w14:paraId="7D89CD57">
      <w:pPr>
        <w:pStyle w:val="35"/>
        <w:spacing w:before="120" w:line="360" w:lineRule="auto"/>
        <w:rPr>
          <w:bCs w:val="0"/>
          <w:color w:val="auto"/>
          <w:kern w:val="2"/>
          <w:szCs w:val="24"/>
        </w:rPr>
      </w:pPr>
      <w:r>
        <w:rPr>
          <w:rFonts w:hint="eastAsia"/>
          <w:b/>
          <w:bCs w:val="0"/>
          <w:color w:val="auto"/>
          <w:szCs w:val="24"/>
        </w:rPr>
        <w:t>6.7</w:t>
      </w:r>
      <w:r>
        <w:rPr>
          <w:b/>
          <w:bCs w:val="0"/>
          <w:color w:val="auto"/>
          <w:szCs w:val="24"/>
        </w:rPr>
        <w:t>.</w:t>
      </w:r>
      <w:r>
        <w:rPr>
          <w:rFonts w:hint="eastAsia"/>
          <w:b/>
          <w:bCs w:val="0"/>
          <w:color w:val="auto"/>
          <w:szCs w:val="24"/>
        </w:rPr>
        <w:t>10</w:t>
      </w:r>
      <w:r>
        <w:rPr>
          <w:color w:val="auto"/>
          <w:szCs w:val="24"/>
        </w:rPr>
        <w:t xml:space="preserve"> </w:t>
      </w:r>
      <w:r>
        <w:rPr>
          <w:rFonts w:hint="eastAsia"/>
          <w:color w:val="auto"/>
          <w:szCs w:val="24"/>
        </w:rPr>
        <w:t xml:space="preserve"> </w:t>
      </w:r>
      <w:r>
        <w:rPr>
          <w:color w:val="auto"/>
          <w:szCs w:val="24"/>
        </w:rPr>
        <w:t>施工现场室外场地照明标准值</w:t>
      </w:r>
      <w:r>
        <w:rPr>
          <w:rFonts w:hint="eastAsia"/>
          <w:color w:val="auto"/>
          <w:szCs w:val="24"/>
        </w:rPr>
        <w:t>应不低于</w:t>
      </w:r>
      <w:r>
        <w:rPr>
          <w:color w:val="auto"/>
          <w:szCs w:val="24"/>
        </w:rPr>
        <w:t>表</w:t>
      </w:r>
      <w:r>
        <w:rPr>
          <w:rFonts w:hint="eastAsia"/>
          <w:bCs w:val="0"/>
          <w:color w:val="auto"/>
          <w:szCs w:val="24"/>
        </w:rPr>
        <w:t>6</w:t>
      </w:r>
      <w:r>
        <w:rPr>
          <w:bCs w:val="0"/>
          <w:color w:val="auto"/>
          <w:szCs w:val="24"/>
        </w:rPr>
        <w:t>.</w:t>
      </w:r>
      <w:r>
        <w:rPr>
          <w:rFonts w:hint="eastAsia"/>
          <w:bCs w:val="0"/>
          <w:color w:val="auto"/>
          <w:szCs w:val="24"/>
        </w:rPr>
        <w:t>7</w:t>
      </w:r>
      <w:r>
        <w:rPr>
          <w:bCs w:val="0"/>
          <w:color w:val="auto"/>
          <w:szCs w:val="24"/>
        </w:rPr>
        <w:t>.</w:t>
      </w:r>
      <w:r>
        <w:rPr>
          <w:rFonts w:hint="eastAsia"/>
          <w:bCs w:val="0"/>
          <w:color w:val="auto"/>
          <w:szCs w:val="24"/>
        </w:rPr>
        <w:t>10</w:t>
      </w:r>
      <w:r>
        <w:rPr>
          <w:color w:val="auto"/>
          <w:szCs w:val="24"/>
        </w:rPr>
        <w:t>的规定。</w:t>
      </w:r>
    </w:p>
    <w:p w14:paraId="2A9782F6">
      <w:pPr>
        <w:pStyle w:val="40"/>
        <w:spacing w:before="120" w:line="360" w:lineRule="auto"/>
        <w:rPr>
          <w:b/>
          <w:bCs w:val="0"/>
          <w:color w:val="auto"/>
          <w:szCs w:val="21"/>
        </w:rPr>
      </w:pPr>
      <w:r>
        <w:rPr>
          <w:b/>
          <w:bCs w:val="0"/>
          <w:color w:val="auto"/>
          <w:szCs w:val="21"/>
        </w:rPr>
        <w:t>表</w:t>
      </w:r>
      <w:r>
        <w:rPr>
          <w:rFonts w:hint="eastAsia"/>
          <w:b/>
          <w:bCs w:val="0"/>
          <w:color w:val="auto"/>
          <w:szCs w:val="21"/>
        </w:rPr>
        <w:t>6</w:t>
      </w:r>
      <w:r>
        <w:rPr>
          <w:b/>
          <w:bCs w:val="0"/>
          <w:color w:val="auto"/>
          <w:szCs w:val="21"/>
        </w:rPr>
        <w:t>.</w:t>
      </w:r>
      <w:r>
        <w:rPr>
          <w:rFonts w:hint="eastAsia"/>
          <w:b/>
          <w:bCs w:val="0"/>
          <w:color w:val="auto"/>
          <w:szCs w:val="21"/>
        </w:rPr>
        <w:t>7</w:t>
      </w:r>
      <w:r>
        <w:rPr>
          <w:b/>
          <w:bCs w:val="0"/>
          <w:color w:val="auto"/>
          <w:szCs w:val="21"/>
        </w:rPr>
        <w:t>.</w:t>
      </w:r>
      <w:r>
        <w:rPr>
          <w:rFonts w:hint="eastAsia"/>
          <w:b/>
          <w:bCs w:val="0"/>
          <w:color w:val="auto"/>
          <w:szCs w:val="21"/>
        </w:rPr>
        <w:t xml:space="preserve">10 </w:t>
      </w:r>
      <w:r>
        <w:rPr>
          <w:b/>
          <w:bCs w:val="0"/>
          <w:color w:val="auto"/>
          <w:szCs w:val="21"/>
        </w:rPr>
        <w:t>施工现场室外场地照明标准值</w:t>
      </w:r>
    </w:p>
    <w:tbl>
      <w:tblPr>
        <w:tblStyle w:val="18"/>
        <w:tblW w:w="9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2"/>
        <w:gridCol w:w="2015"/>
        <w:gridCol w:w="2175"/>
        <w:gridCol w:w="1714"/>
        <w:gridCol w:w="1750"/>
      </w:tblGrid>
      <w:tr w14:paraId="1701D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412" w:type="dxa"/>
            <w:vAlign w:val="center"/>
          </w:tcPr>
          <w:p w14:paraId="1187D0B1">
            <w:pPr>
              <w:spacing w:line="360" w:lineRule="auto"/>
              <w:jc w:val="center"/>
              <w:rPr>
                <w:szCs w:val="21"/>
              </w:rPr>
            </w:pPr>
            <w:r>
              <w:rPr>
                <w:szCs w:val="21"/>
              </w:rPr>
              <w:t>场地名称</w:t>
            </w:r>
          </w:p>
        </w:tc>
        <w:tc>
          <w:tcPr>
            <w:tcW w:w="2015" w:type="dxa"/>
            <w:vAlign w:val="center"/>
          </w:tcPr>
          <w:p w14:paraId="225DC80E">
            <w:pPr>
              <w:spacing w:line="360" w:lineRule="auto"/>
              <w:jc w:val="center"/>
              <w:rPr>
                <w:szCs w:val="21"/>
              </w:rPr>
            </w:pPr>
            <w:r>
              <w:rPr>
                <w:szCs w:val="21"/>
              </w:rPr>
              <w:t>参考平面及其高度</w:t>
            </w:r>
          </w:p>
        </w:tc>
        <w:tc>
          <w:tcPr>
            <w:tcW w:w="2175" w:type="dxa"/>
            <w:vAlign w:val="center"/>
          </w:tcPr>
          <w:p w14:paraId="02D08BF2">
            <w:pPr>
              <w:spacing w:line="360" w:lineRule="auto"/>
              <w:jc w:val="center"/>
              <w:rPr>
                <w:szCs w:val="21"/>
              </w:rPr>
            </w:pPr>
            <w:r>
              <w:rPr>
                <w:szCs w:val="21"/>
              </w:rPr>
              <w:t>水平照度标准值（lx）</w:t>
            </w:r>
          </w:p>
        </w:tc>
        <w:tc>
          <w:tcPr>
            <w:tcW w:w="1714" w:type="dxa"/>
            <w:vAlign w:val="center"/>
          </w:tcPr>
          <w:p w14:paraId="159561A3">
            <w:pPr>
              <w:spacing w:line="360" w:lineRule="auto"/>
              <w:jc w:val="center"/>
              <w:rPr>
                <w:szCs w:val="21"/>
              </w:rPr>
            </w:pPr>
            <w:r>
              <w:rPr>
                <w:szCs w:val="21"/>
              </w:rPr>
              <w:t>水平照度均匀度</w:t>
            </w:r>
          </w:p>
        </w:tc>
        <w:tc>
          <w:tcPr>
            <w:tcW w:w="1750" w:type="dxa"/>
            <w:vAlign w:val="center"/>
          </w:tcPr>
          <w:p w14:paraId="1ECF6FD4">
            <w:pPr>
              <w:spacing w:line="360" w:lineRule="auto"/>
              <w:jc w:val="center"/>
              <w:rPr>
                <w:szCs w:val="21"/>
              </w:rPr>
            </w:pPr>
            <w:bookmarkStart w:id="438" w:name="OLE_LINK83"/>
            <w:r>
              <w:rPr>
                <w:szCs w:val="21"/>
              </w:rPr>
              <w:t>显色指数（Ra）</w:t>
            </w:r>
            <w:bookmarkEnd w:id="438"/>
          </w:p>
        </w:tc>
      </w:tr>
      <w:tr w14:paraId="1F106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412" w:type="dxa"/>
            <w:vAlign w:val="center"/>
          </w:tcPr>
          <w:p w14:paraId="3CE25BAF">
            <w:pPr>
              <w:spacing w:line="360" w:lineRule="auto"/>
              <w:jc w:val="center"/>
              <w:rPr>
                <w:szCs w:val="21"/>
              </w:rPr>
            </w:pPr>
            <w:r>
              <w:rPr>
                <w:szCs w:val="21"/>
              </w:rPr>
              <w:t>施工作业区</w:t>
            </w:r>
          </w:p>
        </w:tc>
        <w:tc>
          <w:tcPr>
            <w:tcW w:w="2015" w:type="dxa"/>
            <w:vAlign w:val="center"/>
          </w:tcPr>
          <w:p w14:paraId="52E4258F">
            <w:pPr>
              <w:spacing w:line="360" w:lineRule="auto"/>
              <w:jc w:val="center"/>
              <w:rPr>
                <w:szCs w:val="21"/>
              </w:rPr>
            </w:pPr>
            <w:r>
              <w:rPr>
                <w:szCs w:val="21"/>
              </w:rPr>
              <w:t>地面</w:t>
            </w:r>
          </w:p>
        </w:tc>
        <w:tc>
          <w:tcPr>
            <w:tcW w:w="2175" w:type="dxa"/>
            <w:vAlign w:val="center"/>
          </w:tcPr>
          <w:p w14:paraId="1581C8C0">
            <w:pPr>
              <w:spacing w:line="360" w:lineRule="auto"/>
              <w:jc w:val="center"/>
              <w:rPr>
                <w:szCs w:val="21"/>
              </w:rPr>
            </w:pPr>
            <w:r>
              <w:rPr>
                <w:szCs w:val="21"/>
              </w:rPr>
              <w:t>50</w:t>
            </w:r>
          </w:p>
        </w:tc>
        <w:tc>
          <w:tcPr>
            <w:tcW w:w="1714" w:type="dxa"/>
            <w:vAlign w:val="center"/>
          </w:tcPr>
          <w:p w14:paraId="2EFF3382">
            <w:pPr>
              <w:spacing w:line="360" w:lineRule="auto"/>
              <w:jc w:val="center"/>
              <w:rPr>
                <w:szCs w:val="21"/>
              </w:rPr>
            </w:pPr>
            <w:r>
              <w:rPr>
                <w:szCs w:val="21"/>
              </w:rPr>
              <w:t>0.40</w:t>
            </w:r>
          </w:p>
        </w:tc>
        <w:tc>
          <w:tcPr>
            <w:tcW w:w="1750" w:type="dxa"/>
            <w:vAlign w:val="center"/>
          </w:tcPr>
          <w:p w14:paraId="0F67E031">
            <w:pPr>
              <w:spacing w:line="360" w:lineRule="auto"/>
              <w:jc w:val="center"/>
              <w:rPr>
                <w:szCs w:val="21"/>
              </w:rPr>
            </w:pPr>
            <w:r>
              <w:rPr>
                <w:szCs w:val="21"/>
              </w:rPr>
              <w:t>80及以上</w:t>
            </w:r>
          </w:p>
        </w:tc>
      </w:tr>
      <w:tr w14:paraId="0C3CA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412" w:type="dxa"/>
            <w:vAlign w:val="center"/>
          </w:tcPr>
          <w:p w14:paraId="52A8A335">
            <w:pPr>
              <w:spacing w:line="360" w:lineRule="auto"/>
              <w:jc w:val="center"/>
              <w:rPr>
                <w:szCs w:val="21"/>
              </w:rPr>
            </w:pPr>
            <w:r>
              <w:rPr>
                <w:szCs w:val="21"/>
              </w:rPr>
              <w:t>清理、挖掘、装卸区</w:t>
            </w:r>
          </w:p>
        </w:tc>
        <w:tc>
          <w:tcPr>
            <w:tcW w:w="2015" w:type="dxa"/>
            <w:vAlign w:val="center"/>
          </w:tcPr>
          <w:p w14:paraId="2A8A0B16">
            <w:pPr>
              <w:spacing w:line="360" w:lineRule="auto"/>
              <w:jc w:val="center"/>
              <w:rPr>
                <w:szCs w:val="21"/>
              </w:rPr>
            </w:pPr>
            <w:r>
              <w:rPr>
                <w:szCs w:val="21"/>
              </w:rPr>
              <w:t>地面</w:t>
            </w:r>
          </w:p>
        </w:tc>
        <w:tc>
          <w:tcPr>
            <w:tcW w:w="2175" w:type="dxa"/>
            <w:vAlign w:val="center"/>
          </w:tcPr>
          <w:p w14:paraId="0CD814E0">
            <w:pPr>
              <w:spacing w:line="360" w:lineRule="auto"/>
              <w:jc w:val="center"/>
              <w:rPr>
                <w:szCs w:val="21"/>
              </w:rPr>
            </w:pPr>
            <w:r>
              <w:rPr>
                <w:rFonts w:hint="eastAsia"/>
                <w:szCs w:val="21"/>
              </w:rPr>
              <w:t>2</w:t>
            </w:r>
            <w:r>
              <w:rPr>
                <w:szCs w:val="21"/>
              </w:rPr>
              <w:t>0</w:t>
            </w:r>
          </w:p>
        </w:tc>
        <w:tc>
          <w:tcPr>
            <w:tcW w:w="1714" w:type="dxa"/>
            <w:vAlign w:val="center"/>
          </w:tcPr>
          <w:p w14:paraId="58A58C99">
            <w:pPr>
              <w:spacing w:line="360" w:lineRule="auto"/>
              <w:jc w:val="center"/>
              <w:rPr>
                <w:szCs w:val="21"/>
              </w:rPr>
            </w:pPr>
            <w:r>
              <w:rPr>
                <w:szCs w:val="21"/>
              </w:rPr>
              <w:t>0.25</w:t>
            </w:r>
          </w:p>
        </w:tc>
        <w:tc>
          <w:tcPr>
            <w:tcW w:w="1750" w:type="dxa"/>
            <w:vAlign w:val="center"/>
          </w:tcPr>
          <w:p w14:paraId="620F9E66">
            <w:pPr>
              <w:spacing w:line="360" w:lineRule="auto"/>
              <w:jc w:val="center"/>
              <w:rPr>
                <w:szCs w:val="21"/>
              </w:rPr>
            </w:pPr>
            <w:r>
              <w:rPr>
                <w:szCs w:val="21"/>
              </w:rPr>
              <w:t>80及以上</w:t>
            </w:r>
          </w:p>
        </w:tc>
      </w:tr>
      <w:tr w14:paraId="158CB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412" w:type="dxa"/>
            <w:vAlign w:val="center"/>
          </w:tcPr>
          <w:p w14:paraId="0CE8E200">
            <w:pPr>
              <w:spacing w:line="360" w:lineRule="auto"/>
              <w:jc w:val="center"/>
              <w:rPr>
                <w:szCs w:val="21"/>
              </w:rPr>
            </w:pPr>
            <w:r>
              <w:rPr>
                <w:szCs w:val="21"/>
              </w:rPr>
              <w:t>排水管道安装区</w:t>
            </w:r>
          </w:p>
        </w:tc>
        <w:tc>
          <w:tcPr>
            <w:tcW w:w="2015" w:type="dxa"/>
            <w:vAlign w:val="center"/>
          </w:tcPr>
          <w:p w14:paraId="5D32CF1F">
            <w:pPr>
              <w:spacing w:line="360" w:lineRule="auto"/>
              <w:jc w:val="center"/>
              <w:rPr>
                <w:szCs w:val="21"/>
              </w:rPr>
            </w:pPr>
            <w:r>
              <w:rPr>
                <w:szCs w:val="21"/>
              </w:rPr>
              <w:t>地面</w:t>
            </w:r>
          </w:p>
        </w:tc>
        <w:tc>
          <w:tcPr>
            <w:tcW w:w="2175" w:type="dxa"/>
            <w:vAlign w:val="center"/>
          </w:tcPr>
          <w:p w14:paraId="0140D027">
            <w:pPr>
              <w:spacing w:line="360" w:lineRule="auto"/>
              <w:jc w:val="center"/>
              <w:rPr>
                <w:szCs w:val="21"/>
              </w:rPr>
            </w:pPr>
            <w:r>
              <w:rPr>
                <w:szCs w:val="21"/>
              </w:rPr>
              <w:t>50</w:t>
            </w:r>
          </w:p>
        </w:tc>
        <w:tc>
          <w:tcPr>
            <w:tcW w:w="1714" w:type="dxa"/>
            <w:vAlign w:val="center"/>
          </w:tcPr>
          <w:p w14:paraId="2E7E0D42">
            <w:pPr>
              <w:spacing w:line="360" w:lineRule="auto"/>
              <w:jc w:val="center"/>
              <w:rPr>
                <w:szCs w:val="21"/>
              </w:rPr>
            </w:pPr>
            <w:r>
              <w:rPr>
                <w:szCs w:val="21"/>
              </w:rPr>
              <w:t>0.40</w:t>
            </w:r>
          </w:p>
        </w:tc>
        <w:tc>
          <w:tcPr>
            <w:tcW w:w="1750" w:type="dxa"/>
            <w:vAlign w:val="center"/>
          </w:tcPr>
          <w:p w14:paraId="34CF7372">
            <w:pPr>
              <w:spacing w:line="360" w:lineRule="auto"/>
              <w:jc w:val="center"/>
              <w:rPr>
                <w:szCs w:val="21"/>
              </w:rPr>
            </w:pPr>
            <w:r>
              <w:rPr>
                <w:szCs w:val="21"/>
              </w:rPr>
              <w:t>80及以上</w:t>
            </w:r>
          </w:p>
        </w:tc>
      </w:tr>
      <w:tr w14:paraId="72F56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412" w:type="dxa"/>
            <w:vAlign w:val="center"/>
          </w:tcPr>
          <w:p w14:paraId="51B8C30A">
            <w:pPr>
              <w:spacing w:line="360" w:lineRule="auto"/>
              <w:jc w:val="center"/>
              <w:rPr>
                <w:szCs w:val="21"/>
              </w:rPr>
            </w:pPr>
            <w:r>
              <w:rPr>
                <w:szCs w:val="21"/>
              </w:rPr>
              <w:t>存储区</w:t>
            </w:r>
          </w:p>
        </w:tc>
        <w:tc>
          <w:tcPr>
            <w:tcW w:w="2015" w:type="dxa"/>
            <w:vAlign w:val="center"/>
          </w:tcPr>
          <w:p w14:paraId="381F3AC6">
            <w:pPr>
              <w:spacing w:line="360" w:lineRule="auto"/>
              <w:jc w:val="center"/>
              <w:rPr>
                <w:szCs w:val="21"/>
              </w:rPr>
            </w:pPr>
            <w:r>
              <w:rPr>
                <w:szCs w:val="21"/>
              </w:rPr>
              <w:t>地面</w:t>
            </w:r>
          </w:p>
        </w:tc>
        <w:tc>
          <w:tcPr>
            <w:tcW w:w="2175" w:type="dxa"/>
            <w:vAlign w:val="center"/>
          </w:tcPr>
          <w:p w14:paraId="211EA1E3">
            <w:pPr>
              <w:spacing w:line="360" w:lineRule="auto"/>
              <w:jc w:val="center"/>
              <w:rPr>
                <w:szCs w:val="21"/>
              </w:rPr>
            </w:pPr>
            <w:r>
              <w:rPr>
                <w:szCs w:val="21"/>
              </w:rPr>
              <w:t>30</w:t>
            </w:r>
          </w:p>
        </w:tc>
        <w:tc>
          <w:tcPr>
            <w:tcW w:w="1714" w:type="dxa"/>
            <w:vAlign w:val="center"/>
          </w:tcPr>
          <w:p w14:paraId="2F3540C8">
            <w:pPr>
              <w:spacing w:line="360" w:lineRule="auto"/>
              <w:jc w:val="center"/>
              <w:rPr>
                <w:szCs w:val="21"/>
              </w:rPr>
            </w:pPr>
            <w:r>
              <w:rPr>
                <w:szCs w:val="21"/>
              </w:rPr>
              <w:t>0.25</w:t>
            </w:r>
          </w:p>
        </w:tc>
        <w:tc>
          <w:tcPr>
            <w:tcW w:w="1750" w:type="dxa"/>
            <w:vAlign w:val="center"/>
          </w:tcPr>
          <w:p w14:paraId="2902FECA">
            <w:pPr>
              <w:spacing w:line="360" w:lineRule="auto"/>
              <w:jc w:val="center"/>
              <w:rPr>
                <w:szCs w:val="21"/>
              </w:rPr>
            </w:pPr>
            <w:r>
              <w:rPr>
                <w:szCs w:val="21"/>
              </w:rPr>
              <w:t>80及以上</w:t>
            </w:r>
          </w:p>
        </w:tc>
      </w:tr>
      <w:tr w14:paraId="308CF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412" w:type="dxa"/>
            <w:vAlign w:val="center"/>
          </w:tcPr>
          <w:p w14:paraId="4B500C58">
            <w:pPr>
              <w:spacing w:line="360" w:lineRule="auto"/>
              <w:jc w:val="center"/>
              <w:rPr>
                <w:szCs w:val="21"/>
              </w:rPr>
            </w:pPr>
            <w:r>
              <w:rPr>
                <w:szCs w:val="21"/>
              </w:rPr>
              <w:t>结构构件的拼装区</w:t>
            </w:r>
          </w:p>
        </w:tc>
        <w:tc>
          <w:tcPr>
            <w:tcW w:w="2015" w:type="dxa"/>
            <w:vAlign w:val="center"/>
          </w:tcPr>
          <w:p w14:paraId="58F66AE7">
            <w:pPr>
              <w:spacing w:line="360" w:lineRule="auto"/>
              <w:jc w:val="center"/>
              <w:rPr>
                <w:szCs w:val="21"/>
              </w:rPr>
            </w:pPr>
            <w:r>
              <w:rPr>
                <w:szCs w:val="21"/>
              </w:rPr>
              <w:t>操作面</w:t>
            </w:r>
          </w:p>
        </w:tc>
        <w:tc>
          <w:tcPr>
            <w:tcW w:w="2175" w:type="dxa"/>
            <w:vAlign w:val="center"/>
          </w:tcPr>
          <w:p w14:paraId="006FFF15">
            <w:pPr>
              <w:spacing w:line="360" w:lineRule="auto"/>
              <w:jc w:val="center"/>
              <w:rPr>
                <w:szCs w:val="21"/>
              </w:rPr>
            </w:pPr>
            <w:r>
              <w:rPr>
                <w:szCs w:val="21"/>
              </w:rPr>
              <w:t>100</w:t>
            </w:r>
          </w:p>
        </w:tc>
        <w:tc>
          <w:tcPr>
            <w:tcW w:w="1714" w:type="dxa"/>
            <w:vAlign w:val="center"/>
          </w:tcPr>
          <w:p w14:paraId="63996FF7">
            <w:pPr>
              <w:spacing w:line="360" w:lineRule="auto"/>
              <w:jc w:val="center"/>
              <w:rPr>
                <w:szCs w:val="21"/>
              </w:rPr>
            </w:pPr>
            <w:r>
              <w:rPr>
                <w:szCs w:val="21"/>
              </w:rPr>
              <w:t>0.25</w:t>
            </w:r>
          </w:p>
        </w:tc>
        <w:tc>
          <w:tcPr>
            <w:tcW w:w="1750" w:type="dxa"/>
            <w:vAlign w:val="center"/>
          </w:tcPr>
          <w:p w14:paraId="10693E70">
            <w:pPr>
              <w:spacing w:line="360" w:lineRule="auto"/>
              <w:jc w:val="center"/>
              <w:rPr>
                <w:szCs w:val="21"/>
              </w:rPr>
            </w:pPr>
            <w:r>
              <w:rPr>
                <w:szCs w:val="21"/>
              </w:rPr>
              <w:t>80及以上</w:t>
            </w:r>
          </w:p>
        </w:tc>
      </w:tr>
      <w:tr w14:paraId="23024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412" w:type="dxa"/>
            <w:vAlign w:val="center"/>
          </w:tcPr>
          <w:p w14:paraId="2ACFCB7E">
            <w:pPr>
              <w:spacing w:line="360" w:lineRule="auto"/>
              <w:jc w:val="center"/>
              <w:rPr>
                <w:szCs w:val="21"/>
              </w:rPr>
            </w:pPr>
            <w:r>
              <w:rPr>
                <w:szCs w:val="21"/>
              </w:rPr>
              <w:t>建筑构件的连接区</w:t>
            </w:r>
          </w:p>
        </w:tc>
        <w:tc>
          <w:tcPr>
            <w:tcW w:w="2015" w:type="dxa"/>
            <w:vAlign w:val="center"/>
          </w:tcPr>
          <w:p w14:paraId="00BE7D3D">
            <w:pPr>
              <w:spacing w:line="360" w:lineRule="auto"/>
              <w:jc w:val="center"/>
              <w:rPr>
                <w:szCs w:val="21"/>
              </w:rPr>
            </w:pPr>
            <w:r>
              <w:rPr>
                <w:szCs w:val="21"/>
              </w:rPr>
              <w:t>操作面</w:t>
            </w:r>
          </w:p>
        </w:tc>
        <w:tc>
          <w:tcPr>
            <w:tcW w:w="2175" w:type="dxa"/>
            <w:vAlign w:val="center"/>
          </w:tcPr>
          <w:p w14:paraId="26D7462F">
            <w:pPr>
              <w:spacing w:line="360" w:lineRule="auto"/>
              <w:jc w:val="center"/>
              <w:rPr>
                <w:szCs w:val="21"/>
              </w:rPr>
            </w:pPr>
            <w:r>
              <w:rPr>
                <w:szCs w:val="21"/>
              </w:rPr>
              <w:t>200</w:t>
            </w:r>
          </w:p>
        </w:tc>
        <w:tc>
          <w:tcPr>
            <w:tcW w:w="1714" w:type="dxa"/>
            <w:vAlign w:val="center"/>
          </w:tcPr>
          <w:p w14:paraId="2BAC3552">
            <w:pPr>
              <w:spacing w:line="360" w:lineRule="auto"/>
              <w:jc w:val="center"/>
              <w:rPr>
                <w:szCs w:val="21"/>
              </w:rPr>
            </w:pPr>
            <w:r>
              <w:rPr>
                <w:szCs w:val="21"/>
              </w:rPr>
              <w:t>0.40</w:t>
            </w:r>
          </w:p>
        </w:tc>
        <w:tc>
          <w:tcPr>
            <w:tcW w:w="1750" w:type="dxa"/>
            <w:vAlign w:val="center"/>
          </w:tcPr>
          <w:p w14:paraId="08864B45">
            <w:pPr>
              <w:spacing w:line="360" w:lineRule="auto"/>
              <w:jc w:val="center"/>
              <w:rPr>
                <w:szCs w:val="21"/>
              </w:rPr>
            </w:pPr>
            <w:r>
              <w:rPr>
                <w:szCs w:val="21"/>
              </w:rPr>
              <w:t>80及以上</w:t>
            </w:r>
          </w:p>
        </w:tc>
      </w:tr>
      <w:tr w14:paraId="566D2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412" w:type="dxa"/>
            <w:vAlign w:val="center"/>
          </w:tcPr>
          <w:p w14:paraId="28A8684C">
            <w:pPr>
              <w:spacing w:line="360" w:lineRule="auto"/>
              <w:jc w:val="center"/>
              <w:rPr>
                <w:szCs w:val="21"/>
              </w:rPr>
            </w:pPr>
            <w:r>
              <w:rPr>
                <w:szCs w:val="21"/>
              </w:rPr>
              <w:t>要求严格的电力、机械、管道安装区</w:t>
            </w:r>
          </w:p>
        </w:tc>
        <w:tc>
          <w:tcPr>
            <w:tcW w:w="2015" w:type="dxa"/>
            <w:vAlign w:val="center"/>
          </w:tcPr>
          <w:p w14:paraId="5FB5EE1B">
            <w:pPr>
              <w:spacing w:line="360" w:lineRule="auto"/>
              <w:jc w:val="center"/>
              <w:rPr>
                <w:szCs w:val="21"/>
              </w:rPr>
            </w:pPr>
            <w:r>
              <w:rPr>
                <w:szCs w:val="21"/>
              </w:rPr>
              <w:t>操作面</w:t>
            </w:r>
          </w:p>
        </w:tc>
        <w:tc>
          <w:tcPr>
            <w:tcW w:w="2175" w:type="dxa"/>
            <w:vAlign w:val="center"/>
          </w:tcPr>
          <w:p w14:paraId="617C76BC">
            <w:pPr>
              <w:spacing w:line="360" w:lineRule="auto"/>
              <w:jc w:val="center"/>
              <w:rPr>
                <w:szCs w:val="21"/>
              </w:rPr>
            </w:pPr>
            <w:r>
              <w:rPr>
                <w:szCs w:val="21"/>
              </w:rPr>
              <w:t>200</w:t>
            </w:r>
          </w:p>
        </w:tc>
        <w:tc>
          <w:tcPr>
            <w:tcW w:w="1714" w:type="dxa"/>
            <w:vAlign w:val="center"/>
          </w:tcPr>
          <w:p w14:paraId="7EE3E242">
            <w:pPr>
              <w:spacing w:line="360" w:lineRule="auto"/>
              <w:jc w:val="center"/>
              <w:rPr>
                <w:szCs w:val="21"/>
              </w:rPr>
            </w:pPr>
            <w:r>
              <w:rPr>
                <w:szCs w:val="21"/>
              </w:rPr>
              <w:t>0.40</w:t>
            </w:r>
          </w:p>
        </w:tc>
        <w:tc>
          <w:tcPr>
            <w:tcW w:w="1750" w:type="dxa"/>
            <w:vAlign w:val="center"/>
          </w:tcPr>
          <w:p w14:paraId="076C07A0">
            <w:pPr>
              <w:spacing w:line="360" w:lineRule="auto"/>
              <w:jc w:val="center"/>
              <w:rPr>
                <w:szCs w:val="21"/>
              </w:rPr>
            </w:pPr>
            <w:r>
              <w:rPr>
                <w:szCs w:val="21"/>
              </w:rPr>
              <w:t>80及以上</w:t>
            </w:r>
          </w:p>
        </w:tc>
      </w:tr>
      <w:tr w14:paraId="2B081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412" w:type="dxa"/>
            <w:vAlign w:val="center"/>
          </w:tcPr>
          <w:p w14:paraId="35441316">
            <w:pPr>
              <w:spacing w:line="360" w:lineRule="auto"/>
              <w:jc w:val="center"/>
              <w:rPr>
                <w:szCs w:val="21"/>
              </w:rPr>
            </w:pPr>
            <w:r>
              <w:rPr>
                <w:szCs w:val="21"/>
              </w:rPr>
              <w:t>场地道路</w:t>
            </w:r>
          </w:p>
        </w:tc>
        <w:tc>
          <w:tcPr>
            <w:tcW w:w="2015" w:type="dxa"/>
            <w:vAlign w:val="center"/>
          </w:tcPr>
          <w:p w14:paraId="0F9D05F1">
            <w:pPr>
              <w:spacing w:line="360" w:lineRule="auto"/>
              <w:jc w:val="center"/>
              <w:rPr>
                <w:szCs w:val="21"/>
              </w:rPr>
            </w:pPr>
            <w:r>
              <w:rPr>
                <w:szCs w:val="21"/>
              </w:rPr>
              <w:t>地面</w:t>
            </w:r>
          </w:p>
        </w:tc>
        <w:tc>
          <w:tcPr>
            <w:tcW w:w="2175" w:type="dxa"/>
            <w:vAlign w:val="center"/>
          </w:tcPr>
          <w:p w14:paraId="15F9A4F4">
            <w:pPr>
              <w:spacing w:line="360" w:lineRule="auto"/>
              <w:jc w:val="center"/>
              <w:rPr>
                <w:szCs w:val="21"/>
              </w:rPr>
            </w:pPr>
            <w:r>
              <w:rPr>
                <w:szCs w:val="21"/>
              </w:rPr>
              <w:t>20</w:t>
            </w:r>
          </w:p>
        </w:tc>
        <w:tc>
          <w:tcPr>
            <w:tcW w:w="1714" w:type="dxa"/>
            <w:vAlign w:val="center"/>
          </w:tcPr>
          <w:p w14:paraId="2539D32C">
            <w:pPr>
              <w:spacing w:line="360" w:lineRule="auto"/>
              <w:jc w:val="center"/>
              <w:rPr>
                <w:szCs w:val="21"/>
              </w:rPr>
            </w:pPr>
            <w:r>
              <w:rPr>
                <w:szCs w:val="21"/>
              </w:rPr>
              <w:t>0.40</w:t>
            </w:r>
          </w:p>
        </w:tc>
        <w:tc>
          <w:tcPr>
            <w:tcW w:w="1750" w:type="dxa"/>
            <w:vAlign w:val="center"/>
          </w:tcPr>
          <w:p w14:paraId="3667111B">
            <w:pPr>
              <w:spacing w:line="360" w:lineRule="auto"/>
              <w:jc w:val="center"/>
              <w:rPr>
                <w:szCs w:val="21"/>
              </w:rPr>
            </w:pPr>
            <w:r>
              <w:rPr>
                <w:szCs w:val="21"/>
              </w:rPr>
              <w:t>80及以上</w:t>
            </w:r>
          </w:p>
        </w:tc>
      </w:tr>
    </w:tbl>
    <w:p w14:paraId="703336CD">
      <w:pPr>
        <w:pStyle w:val="39"/>
        <w:spacing w:before="120" w:after="120" w:line="360" w:lineRule="auto"/>
        <w:jc w:val="both"/>
        <w:outlineLvl w:val="9"/>
        <w:rPr>
          <w:rFonts w:hint="default" w:ascii="Times New Roman" w:hAnsi="Times New Roman" w:eastAsia="宋体"/>
          <w:sz w:val="24"/>
          <w:szCs w:val="24"/>
        </w:rPr>
      </w:pPr>
    </w:p>
    <w:p w14:paraId="77CA4AD5">
      <w:pPr>
        <w:pStyle w:val="35"/>
        <w:spacing w:before="120" w:line="360" w:lineRule="auto"/>
        <w:rPr>
          <w:bCs w:val="0"/>
          <w:color w:val="auto"/>
          <w:szCs w:val="24"/>
        </w:rPr>
      </w:pPr>
      <w:r>
        <w:rPr>
          <w:rFonts w:hint="eastAsia"/>
          <w:b/>
          <w:bCs w:val="0"/>
          <w:color w:val="auto"/>
          <w:szCs w:val="24"/>
        </w:rPr>
        <w:t>6.7</w:t>
      </w:r>
      <w:r>
        <w:rPr>
          <w:b/>
          <w:color w:val="auto"/>
          <w:szCs w:val="24"/>
        </w:rPr>
        <w:t>.1</w:t>
      </w:r>
      <w:r>
        <w:rPr>
          <w:rFonts w:hint="eastAsia"/>
          <w:b/>
          <w:color w:val="auto"/>
          <w:szCs w:val="24"/>
        </w:rPr>
        <w:t>1</w:t>
      </w:r>
      <w:r>
        <w:rPr>
          <w:b/>
          <w:color w:val="auto"/>
          <w:szCs w:val="24"/>
        </w:rPr>
        <w:t xml:space="preserve">  </w:t>
      </w:r>
      <w:r>
        <w:rPr>
          <w:bCs w:val="0"/>
          <w:color w:val="auto"/>
          <w:szCs w:val="24"/>
        </w:rPr>
        <w:t>应急照明设置应符合下列规定：</w:t>
      </w:r>
    </w:p>
    <w:p w14:paraId="26A5D108">
      <w:pPr>
        <w:pStyle w:val="37"/>
        <w:spacing w:before="120" w:line="360" w:lineRule="auto"/>
        <w:rPr>
          <w:color w:val="auto"/>
          <w:sz w:val="24"/>
          <w:szCs w:val="24"/>
        </w:rPr>
      </w:pPr>
      <w:r>
        <w:rPr>
          <w:rFonts w:hint="eastAsia"/>
          <w:b/>
          <w:color w:val="auto"/>
          <w:sz w:val="24"/>
          <w:szCs w:val="24"/>
        </w:rPr>
        <w:t>1</w:t>
      </w:r>
      <w:r>
        <w:rPr>
          <w:rFonts w:hint="eastAsia"/>
          <w:bCs w:val="0"/>
          <w:color w:val="auto"/>
          <w:sz w:val="24"/>
          <w:szCs w:val="24"/>
        </w:rPr>
        <w:t xml:space="preserve">  变</w:t>
      </w:r>
      <w:r>
        <w:rPr>
          <w:bCs w:val="0"/>
          <w:color w:val="auto"/>
          <w:sz w:val="24"/>
          <w:szCs w:val="24"/>
        </w:rPr>
        <w:t>配电室、消防水泵房、自备发电机房等场所</w:t>
      </w:r>
      <w:r>
        <w:rPr>
          <w:rFonts w:hint="eastAsia"/>
          <w:bCs w:val="0"/>
          <w:color w:val="auto"/>
          <w:sz w:val="24"/>
          <w:szCs w:val="24"/>
        </w:rPr>
        <w:t>应设置应急照明；应急照明的照度不应低于正常工作照度；</w:t>
      </w:r>
    </w:p>
    <w:p w14:paraId="4250D8ED">
      <w:pPr>
        <w:pStyle w:val="37"/>
        <w:spacing w:before="120" w:line="360" w:lineRule="auto"/>
        <w:rPr>
          <w:bCs w:val="0"/>
          <w:color w:val="auto"/>
          <w:sz w:val="24"/>
          <w:szCs w:val="24"/>
        </w:rPr>
      </w:pPr>
      <w:r>
        <w:rPr>
          <w:rFonts w:hint="eastAsia"/>
          <w:b/>
          <w:color w:val="auto"/>
          <w:sz w:val="24"/>
          <w:szCs w:val="24"/>
        </w:rPr>
        <w:t xml:space="preserve">2 </w:t>
      </w:r>
      <w:r>
        <w:rPr>
          <w:rFonts w:hint="eastAsia"/>
          <w:bCs w:val="0"/>
          <w:color w:val="auto"/>
          <w:sz w:val="24"/>
          <w:szCs w:val="24"/>
        </w:rPr>
        <w:t xml:space="preserve"> </w:t>
      </w:r>
      <w:r>
        <w:rPr>
          <w:bCs w:val="0"/>
          <w:color w:val="auto"/>
          <w:sz w:val="24"/>
          <w:szCs w:val="24"/>
        </w:rPr>
        <w:t>隧道、井坑、沉箱、地下</w:t>
      </w:r>
      <w:r>
        <w:rPr>
          <w:rFonts w:hint="eastAsia"/>
          <w:bCs w:val="0"/>
          <w:color w:val="auto"/>
          <w:sz w:val="24"/>
          <w:szCs w:val="24"/>
        </w:rPr>
        <w:t>室</w:t>
      </w:r>
      <w:r>
        <w:rPr>
          <w:bCs w:val="0"/>
          <w:color w:val="auto"/>
          <w:sz w:val="24"/>
          <w:szCs w:val="24"/>
        </w:rPr>
        <w:t>、半地下</w:t>
      </w:r>
      <w:r>
        <w:rPr>
          <w:rFonts w:hint="eastAsia"/>
          <w:bCs w:val="0"/>
          <w:color w:val="auto"/>
          <w:sz w:val="24"/>
          <w:szCs w:val="24"/>
        </w:rPr>
        <w:t>室</w:t>
      </w:r>
      <w:r>
        <w:rPr>
          <w:bCs w:val="0"/>
          <w:color w:val="auto"/>
          <w:sz w:val="24"/>
          <w:szCs w:val="24"/>
        </w:rPr>
        <w:t>、高度超过100m在建工程等无天然采光作业场所的</w:t>
      </w:r>
      <w:r>
        <w:rPr>
          <w:rFonts w:hint="eastAsia"/>
          <w:bCs w:val="0"/>
          <w:color w:val="auto"/>
          <w:sz w:val="24"/>
          <w:szCs w:val="24"/>
        </w:rPr>
        <w:t>疏散通道、</w:t>
      </w:r>
      <w:r>
        <w:rPr>
          <w:bCs w:val="0"/>
          <w:color w:val="auto"/>
          <w:sz w:val="24"/>
          <w:szCs w:val="24"/>
        </w:rPr>
        <w:t>地下走道、转角处、安全出入口、楼梯间等区域，应设置</w:t>
      </w:r>
      <w:r>
        <w:rPr>
          <w:rFonts w:hint="eastAsia"/>
          <w:bCs w:val="0"/>
          <w:color w:val="auto"/>
          <w:sz w:val="24"/>
          <w:szCs w:val="24"/>
        </w:rPr>
        <w:t>疏散</w:t>
      </w:r>
      <w:r>
        <w:rPr>
          <w:bCs w:val="0"/>
          <w:color w:val="auto"/>
          <w:sz w:val="24"/>
          <w:szCs w:val="24"/>
        </w:rPr>
        <w:t>照明</w:t>
      </w:r>
      <w:r>
        <w:rPr>
          <w:rFonts w:hint="eastAsia"/>
          <w:bCs w:val="0"/>
          <w:color w:val="auto"/>
          <w:sz w:val="24"/>
          <w:szCs w:val="24"/>
        </w:rPr>
        <w:t>及</w:t>
      </w:r>
      <w:r>
        <w:rPr>
          <w:bCs w:val="0"/>
          <w:color w:val="auto"/>
          <w:sz w:val="24"/>
          <w:szCs w:val="24"/>
        </w:rPr>
        <w:t>疏散方向</w:t>
      </w:r>
      <w:r>
        <w:rPr>
          <w:rFonts w:hint="eastAsia"/>
          <w:bCs w:val="0"/>
          <w:color w:val="auto"/>
          <w:sz w:val="24"/>
          <w:szCs w:val="24"/>
        </w:rPr>
        <w:t>清晰明确、视觉连续的指示</w:t>
      </w:r>
      <w:r>
        <w:rPr>
          <w:bCs w:val="0"/>
          <w:color w:val="auto"/>
          <w:sz w:val="24"/>
          <w:szCs w:val="24"/>
        </w:rPr>
        <w:t>标识；</w:t>
      </w:r>
    </w:p>
    <w:p w14:paraId="329EDEB4">
      <w:pPr>
        <w:pStyle w:val="14"/>
        <w:widowControl/>
        <w:snapToGrid w:val="0"/>
        <w:spacing w:beforeAutospacing="0" w:afterAutospacing="0" w:line="360" w:lineRule="auto"/>
        <w:ind w:firstLine="482" w:firstLineChars="200"/>
        <w:rPr>
          <w:b/>
          <w:szCs w:val="24"/>
        </w:rPr>
      </w:pPr>
      <w:bookmarkStart w:id="439" w:name="OLE_LINK88"/>
      <w:r>
        <w:rPr>
          <w:rFonts w:hint="eastAsia"/>
          <w:b/>
          <w:bCs/>
          <w:kern w:val="2"/>
          <w:szCs w:val="24"/>
        </w:rPr>
        <w:t>3</w:t>
      </w:r>
      <w:r>
        <w:rPr>
          <w:rFonts w:hint="eastAsia"/>
          <w:kern w:val="2"/>
          <w:szCs w:val="24"/>
        </w:rPr>
        <w:t xml:space="preserve"> 办公区、生活区的疏散楼梯间、超过20m的疏散内走道应设置疏散指示及应急照明；</w:t>
      </w:r>
    </w:p>
    <w:p w14:paraId="13D27ABB">
      <w:pPr>
        <w:pStyle w:val="37"/>
        <w:spacing w:before="120" w:line="360" w:lineRule="auto"/>
        <w:rPr>
          <w:color w:val="auto"/>
          <w:sz w:val="24"/>
          <w:szCs w:val="24"/>
        </w:rPr>
      </w:pPr>
      <w:r>
        <w:rPr>
          <w:rFonts w:hint="eastAsia"/>
          <w:b/>
          <w:color w:val="auto"/>
          <w:sz w:val="24"/>
          <w:szCs w:val="24"/>
        </w:rPr>
        <w:t xml:space="preserve">4 </w:t>
      </w:r>
      <w:r>
        <w:rPr>
          <w:rFonts w:hint="eastAsia"/>
          <w:color w:val="auto"/>
          <w:sz w:val="24"/>
          <w:szCs w:val="24"/>
        </w:rPr>
        <w:t xml:space="preserve"> </w:t>
      </w:r>
      <w:r>
        <w:rPr>
          <w:color w:val="auto"/>
          <w:sz w:val="24"/>
          <w:szCs w:val="24"/>
        </w:rPr>
        <w:t>水平疏散通道</w:t>
      </w:r>
      <w:bookmarkStart w:id="440" w:name="_Hlk207108006"/>
      <w:r>
        <w:rPr>
          <w:rFonts w:hint="eastAsia"/>
          <w:color w:val="auto"/>
          <w:sz w:val="24"/>
          <w:szCs w:val="24"/>
        </w:rPr>
        <w:t>的</w:t>
      </w:r>
      <w:bookmarkEnd w:id="440"/>
      <w:r>
        <w:rPr>
          <w:color w:val="auto"/>
          <w:sz w:val="24"/>
          <w:szCs w:val="24"/>
        </w:rPr>
        <w:t>地面平均照度值</w:t>
      </w:r>
      <w:r>
        <w:rPr>
          <w:rFonts w:hint="eastAsia"/>
          <w:color w:val="auto"/>
          <w:sz w:val="24"/>
          <w:szCs w:val="24"/>
        </w:rPr>
        <w:t>不应低于3.0lx；</w:t>
      </w:r>
      <w:r>
        <w:rPr>
          <w:color w:val="auto"/>
          <w:sz w:val="24"/>
          <w:szCs w:val="24"/>
        </w:rPr>
        <w:t>垂直疏散区域的地面平均照度值不应低于</w:t>
      </w:r>
      <w:r>
        <w:rPr>
          <w:rFonts w:hint="eastAsia"/>
          <w:color w:val="auto"/>
          <w:sz w:val="24"/>
          <w:szCs w:val="24"/>
        </w:rPr>
        <w:t>10.0</w:t>
      </w:r>
      <w:r>
        <w:rPr>
          <w:color w:val="auto"/>
          <w:sz w:val="24"/>
          <w:szCs w:val="24"/>
        </w:rPr>
        <w:t>lx</w:t>
      </w:r>
      <w:r>
        <w:rPr>
          <w:rFonts w:hint="eastAsia"/>
          <w:color w:val="auto"/>
          <w:sz w:val="24"/>
          <w:szCs w:val="24"/>
        </w:rPr>
        <w:t>；</w:t>
      </w:r>
    </w:p>
    <w:bookmarkEnd w:id="439"/>
    <w:p w14:paraId="0CBB1B86">
      <w:pPr>
        <w:pStyle w:val="37"/>
        <w:spacing w:before="120" w:line="360" w:lineRule="auto"/>
        <w:rPr>
          <w:color w:val="auto"/>
          <w:sz w:val="24"/>
          <w:szCs w:val="24"/>
        </w:rPr>
      </w:pPr>
      <w:r>
        <w:rPr>
          <w:rFonts w:hint="eastAsia"/>
          <w:b/>
          <w:color w:val="auto"/>
          <w:sz w:val="24"/>
          <w:szCs w:val="24"/>
        </w:rPr>
        <w:t>5</w:t>
      </w:r>
      <w:r>
        <w:rPr>
          <w:rFonts w:hint="eastAsia"/>
          <w:color w:val="auto"/>
          <w:sz w:val="24"/>
          <w:szCs w:val="24"/>
        </w:rPr>
        <w:t xml:space="preserve">  </w:t>
      </w:r>
      <w:r>
        <w:rPr>
          <w:color w:val="auto"/>
          <w:sz w:val="24"/>
          <w:szCs w:val="24"/>
        </w:rPr>
        <w:t>施工现场应采用</w:t>
      </w:r>
      <w:r>
        <w:rPr>
          <w:rFonts w:hint="eastAsia"/>
          <w:color w:val="auto"/>
          <w:sz w:val="24"/>
          <w:szCs w:val="24"/>
        </w:rPr>
        <w:t>符合消防要求的</w:t>
      </w:r>
      <w:bookmarkStart w:id="441" w:name="_Hlk201326342"/>
      <w:r>
        <w:rPr>
          <w:color w:val="auto"/>
          <w:sz w:val="24"/>
          <w:szCs w:val="24"/>
        </w:rPr>
        <w:t>应急照明灯具</w:t>
      </w:r>
      <w:bookmarkEnd w:id="441"/>
      <w:r>
        <w:rPr>
          <w:rFonts w:hint="eastAsia"/>
          <w:color w:val="auto"/>
          <w:sz w:val="24"/>
          <w:szCs w:val="24"/>
        </w:rPr>
        <w:t>，</w:t>
      </w:r>
      <w:r>
        <w:rPr>
          <w:color w:val="auto"/>
          <w:sz w:val="24"/>
          <w:szCs w:val="24"/>
        </w:rPr>
        <w:t>自带电源应急供电时间应满足下列规定：</w:t>
      </w:r>
    </w:p>
    <w:p w14:paraId="011B9104">
      <w:pPr>
        <w:pStyle w:val="37"/>
        <w:spacing w:before="120" w:line="360" w:lineRule="auto"/>
        <w:ind w:firstLine="800" w:firstLineChars="332"/>
        <w:rPr>
          <w:color w:val="auto"/>
          <w:sz w:val="24"/>
          <w:szCs w:val="24"/>
        </w:rPr>
      </w:pPr>
      <w:bookmarkStart w:id="442" w:name="OLE_LINK54"/>
      <w:r>
        <w:rPr>
          <w:rFonts w:hint="eastAsia"/>
          <w:b/>
          <w:bCs w:val="0"/>
          <w:color w:val="auto"/>
          <w:sz w:val="24"/>
          <w:szCs w:val="24"/>
        </w:rPr>
        <w:t>1</w:t>
      </w:r>
      <w:r>
        <w:rPr>
          <w:b/>
          <w:bCs w:val="0"/>
          <w:color w:val="auto"/>
          <w:sz w:val="24"/>
          <w:szCs w:val="24"/>
        </w:rPr>
        <w:t>）</w:t>
      </w:r>
      <w:bookmarkEnd w:id="442"/>
      <w:r>
        <w:rPr>
          <w:rFonts w:hint="eastAsia"/>
          <w:b/>
          <w:bCs w:val="0"/>
          <w:color w:val="auto"/>
          <w:sz w:val="24"/>
          <w:szCs w:val="24"/>
        </w:rPr>
        <w:t xml:space="preserve"> </w:t>
      </w:r>
      <w:r>
        <w:rPr>
          <w:color w:val="auto"/>
          <w:sz w:val="24"/>
          <w:szCs w:val="24"/>
        </w:rPr>
        <w:t>一、二类隧道工程</w:t>
      </w:r>
      <w:r>
        <w:rPr>
          <w:rFonts w:hint="eastAsia"/>
          <w:color w:val="auto"/>
          <w:sz w:val="24"/>
          <w:szCs w:val="24"/>
        </w:rPr>
        <w:t>大于等于</w:t>
      </w:r>
      <w:r>
        <w:rPr>
          <w:color w:val="auto"/>
          <w:sz w:val="24"/>
          <w:szCs w:val="24"/>
        </w:rPr>
        <w:t>1.5h，隧道端口外接的站房</w:t>
      </w:r>
      <w:r>
        <w:rPr>
          <w:rFonts w:hint="eastAsia"/>
          <w:color w:val="auto"/>
          <w:sz w:val="24"/>
          <w:szCs w:val="24"/>
        </w:rPr>
        <w:t>大于等于</w:t>
      </w:r>
      <w:r>
        <w:rPr>
          <w:color w:val="auto"/>
          <w:sz w:val="24"/>
          <w:szCs w:val="24"/>
        </w:rPr>
        <w:t>2.0h；</w:t>
      </w:r>
    </w:p>
    <w:p w14:paraId="1996F5CF">
      <w:pPr>
        <w:pStyle w:val="37"/>
        <w:spacing w:before="120" w:line="360" w:lineRule="auto"/>
        <w:ind w:firstLine="800" w:firstLineChars="332"/>
        <w:rPr>
          <w:color w:val="auto"/>
          <w:sz w:val="24"/>
          <w:szCs w:val="24"/>
        </w:rPr>
      </w:pPr>
      <w:r>
        <w:rPr>
          <w:rFonts w:hint="eastAsia"/>
          <w:b/>
          <w:bCs w:val="0"/>
          <w:color w:val="auto"/>
          <w:sz w:val="24"/>
          <w:szCs w:val="24"/>
        </w:rPr>
        <w:t>2</w:t>
      </w:r>
      <w:r>
        <w:rPr>
          <w:b/>
          <w:bCs w:val="0"/>
          <w:color w:val="auto"/>
          <w:sz w:val="24"/>
          <w:szCs w:val="24"/>
        </w:rPr>
        <w:t>）</w:t>
      </w:r>
      <w:r>
        <w:rPr>
          <w:rFonts w:hint="eastAsia"/>
          <w:b/>
          <w:bCs w:val="0"/>
          <w:color w:val="auto"/>
          <w:sz w:val="24"/>
          <w:szCs w:val="24"/>
        </w:rPr>
        <w:t xml:space="preserve"> </w:t>
      </w:r>
      <w:r>
        <w:rPr>
          <w:color w:val="auto"/>
          <w:sz w:val="24"/>
          <w:szCs w:val="24"/>
        </w:rPr>
        <w:t>三、四类隧道工程</w:t>
      </w:r>
      <w:r>
        <w:rPr>
          <w:rFonts w:hint="eastAsia"/>
          <w:color w:val="auto"/>
          <w:sz w:val="24"/>
          <w:szCs w:val="24"/>
        </w:rPr>
        <w:t>大于等于</w:t>
      </w:r>
      <w:r>
        <w:rPr>
          <w:color w:val="auto"/>
          <w:sz w:val="24"/>
          <w:szCs w:val="24"/>
        </w:rPr>
        <w:t>1.0h，隧道端口外接的站房大于等于1.5h</w:t>
      </w:r>
      <w:r>
        <w:rPr>
          <w:rFonts w:hint="eastAsia"/>
          <w:color w:val="auto"/>
          <w:sz w:val="24"/>
          <w:szCs w:val="24"/>
        </w:rPr>
        <w:t>；</w:t>
      </w:r>
    </w:p>
    <w:p w14:paraId="4F60D83F">
      <w:pPr>
        <w:pStyle w:val="37"/>
        <w:spacing w:before="120" w:line="360" w:lineRule="auto"/>
        <w:ind w:firstLine="800" w:firstLineChars="332"/>
        <w:rPr>
          <w:b/>
          <w:bCs w:val="0"/>
          <w:color w:val="auto"/>
          <w:szCs w:val="24"/>
        </w:rPr>
      </w:pPr>
      <w:r>
        <w:rPr>
          <w:rFonts w:hint="eastAsia"/>
          <w:b/>
          <w:bCs w:val="0"/>
          <w:color w:val="auto"/>
          <w:sz w:val="24"/>
          <w:szCs w:val="24"/>
        </w:rPr>
        <w:t>3</w:t>
      </w:r>
      <w:r>
        <w:rPr>
          <w:b/>
          <w:bCs w:val="0"/>
          <w:color w:val="auto"/>
          <w:sz w:val="24"/>
          <w:szCs w:val="24"/>
        </w:rPr>
        <w:t>）</w:t>
      </w:r>
      <w:bookmarkStart w:id="443" w:name="OLE_LINK55"/>
      <w:bookmarkStart w:id="444" w:name="OLE_LINK56"/>
      <w:r>
        <w:rPr>
          <w:rFonts w:hint="eastAsia"/>
          <w:b/>
          <w:bCs w:val="0"/>
          <w:color w:val="auto"/>
          <w:sz w:val="24"/>
          <w:szCs w:val="24"/>
        </w:rPr>
        <w:t xml:space="preserve"> </w:t>
      </w:r>
      <w:r>
        <w:rPr>
          <w:color w:val="auto"/>
          <w:sz w:val="24"/>
          <w:szCs w:val="24"/>
        </w:rPr>
        <w:t>地下</w:t>
      </w:r>
      <w:r>
        <w:rPr>
          <w:rFonts w:hint="eastAsia"/>
          <w:color w:val="auto"/>
          <w:sz w:val="24"/>
          <w:szCs w:val="24"/>
        </w:rPr>
        <w:t>室</w:t>
      </w:r>
      <w:r>
        <w:rPr>
          <w:color w:val="auto"/>
          <w:sz w:val="24"/>
          <w:szCs w:val="24"/>
        </w:rPr>
        <w:t>、半地下</w:t>
      </w:r>
      <w:bookmarkEnd w:id="443"/>
      <w:bookmarkEnd w:id="444"/>
      <w:r>
        <w:rPr>
          <w:rFonts w:hint="eastAsia"/>
          <w:color w:val="auto"/>
          <w:sz w:val="24"/>
          <w:szCs w:val="24"/>
        </w:rPr>
        <w:t>室</w:t>
      </w:r>
      <w:r>
        <w:rPr>
          <w:color w:val="auto"/>
          <w:sz w:val="24"/>
          <w:szCs w:val="24"/>
        </w:rPr>
        <w:t>建筑</w:t>
      </w:r>
      <w:bookmarkStart w:id="445" w:name="OLE_LINK53"/>
      <w:bookmarkStart w:id="446" w:name="OLE_LINK52"/>
      <w:r>
        <w:rPr>
          <w:color w:val="auto"/>
          <w:sz w:val="24"/>
          <w:szCs w:val="24"/>
        </w:rPr>
        <w:t>作业区域</w:t>
      </w:r>
      <w:bookmarkEnd w:id="445"/>
      <w:bookmarkEnd w:id="446"/>
      <w:r>
        <w:rPr>
          <w:color w:val="auto"/>
          <w:sz w:val="24"/>
          <w:szCs w:val="24"/>
        </w:rPr>
        <w:t>大于等于1.0h</w:t>
      </w:r>
      <w:r>
        <w:rPr>
          <w:rFonts w:hint="eastAsia"/>
          <w:color w:val="auto"/>
          <w:sz w:val="24"/>
          <w:szCs w:val="24"/>
        </w:rPr>
        <w:t>。</w:t>
      </w:r>
    </w:p>
    <w:p w14:paraId="5154CA41">
      <w:pPr>
        <w:pStyle w:val="35"/>
        <w:spacing w:before="120" w:line="360" w:lineRule="auto"/>
        <w:rPr>
          <w:bCs w:val="0"/>
          <w:color w:val="auto"/>
          <w:szCs w:val="24"/>
        </w:rPr>
      </w:pPr>
      <w:r>
        <w:rPr>
          <w:rFonts w:hint="eastAsia"/>
          <w:b/>
          <w:bCs w:val="0"/>
          <w:color w:val="auto"/>
          <w:szCs w:val="24"/>
        </w:rPr>
        <w:t>6.7</w:t>
      </w:r>
      <w:r>
        <w:rPr>
          <w:b/>
          <w:color w:val="auto"/>
          <w:szCs w:val="24"/>
        </w:rPr>
        <w:t>.</w:t>
      </w:r>
      <w:r>
        <w:rPr>
          <w:rFonts w:hint="eastAsia"/>
          <w:b/>
          <w:color w:val="auto"/>
          <w:szCs w:val="24"/>
        </w:rPr>
        <w:t>1</w:t>
      </w:r>
      <w:r>
        <w:rPr>
          <w:b/>
          <w:color w:val="auto"/>
          <w:szCs w:val="24"/>
        </w:rPr>
        <w:t xml:space="preserve">2  </w:t>
      </w:r>
      <w:r>
        <w:rPr>
          <w:bCs w:val="0"/>
          <w:color w:val="auto"/>
          <w:szCs w:val="24"/>
        </w:rPr>
        <w:t>夜间影响人员、车辆通行的道路、障碍物，应设置醒目的红色信号灯</w:t>
      </w:r>
      <w:r>
        <w:rPr>
          <w:rFonts w:hint="eastAsia"/>
          <w:bCs w:val="0"/>
          <w:color w:val="auto"/>
          <w:szCs w:val="24"/>
        </w:rPr>
        <w:t>及</w:t>
      </w:r>
      <w:r>
        <w:rPr>
          <w:bCs w:val="0"/>
          <w:color w:val="auto"/>
          <w:szCs w:val="24"/>
        </w:rPr>
        <w:t>自备电源。</w:t>
      </w:r>
    </w:p>
    <w:p w14:paraId="3CE00E35">
      <w:pPr>
        <w:pStyle w:val="35"/>
        <w:spacing w:before="120" w:line="360" w:lineRule="auto"/>
        <w:rPr>
          <w:bCs w:val="0"/>
          <w:color w:val="auto"/>
          <w:szCs w:val="24"/>
        </w:rPr>
      </w:pPr>
      <w:r>
        <w:rPr>
          <w:rFonts w:hint="eastAsia"/>
          <w:b/>
          <w:bCs w:val="0"/>
          <w:color w:val="auto"/>
          <w:szCs w:val="24"/>
        </w:rPr>
        <w:t>6.7</w:t>
      </w:r>
      <w:r>
        <w:rPr>
          <w:b/>
          <w:color w:val="auto"/>
          <w:szCs w:val="24"/>
        </w:rPr>
        <w:t>.</w:t>
      </w:r>
      <w:r>
        <w:rPr>
          <w:rFonts w:hint="eastAsia"/>
          <w:b/>
          <w:color w:val="auto"/>
          <w:szCs w:val="24"/>
        </w:rPr>
        <w:t>1</w:t>
      </w:r>
      <w:r>
        <w:rPr>
          <w:b/>
          <w:color w:val="auto"/>
          <w:szCs w:val="24"/>
        </w:rPr>
        <w:t xml:space="preserve">3  </w:t>
      </w:r>
      <w:r>
        <w:rPr>
          <w:bCs w:val="0"/>
          <w:color w:val="auto"/>
          <w:szCs w:val="24"/>
        </w:rPr>
        <w:t>航空航路范围的建</w:t>
      </w:r>
      <w:r>
        <w:rPr>
          <w:rFonts w:hint="eastAsia"/>
          <w:bCs w:val="0"/>
          <w:color w:val="auto"/>
          <w:szCs w:val="24"/>
        </w:rPr>
        <w:t>（</w:t>
      </w:r>
      <w:r>
        <w:rPr>
          <w:bCs w:val="0"/>
          <w:color w:val="auto"/>
          <w:szCs w:val="24"/>
        </w:rPr>
        <w:t>构</w:t>
      </w:r>
      <w:r>
        <w:rPr>
          <w:rFonts w:hint="eastAsia"/>
          <w:bCs w:val="0"/>
          <w:color w:val="auto"/>
          <w:szCs w:val="24"/>
        </w:rPr>
        <w:t>）</w:t>
      </w:r>
      <w:r>
        <w:rPr>
          <w:bCs w:val="0"/>
          <w:color w:val="auto"/>
          <w:szCs w:val="24"/>
        </w:rPr>
        <w:t>筑物</w:t>
      </w:r>
      <w:r>
        <w:rPr>
          <w:rFonts w:hint="eastAsia"/>
          <w:bCs w:val="0"/>
          <w:color w:val="auto"/>
          <w:szCs w:val="24"/>
        </w:rPr>
        <w:t>顶端</w:t>
      </w:r>
      <w:r>
        <w:rPr>
          <w:bCs w:val="0"/>
          <w:color w:val="auto"/>
          <w:szCs w:val="24"/>
        </w:rPr>
        <w:t>，应根据航管</w:t>
      </w:r>
      <w:r>
        <w:rPr>
          <w:rFonts w:hint="eastAsia"/>
          <w:bCs w:val="0"/>
          <w:color w:val="auto"/>
          <w:szCs w:val="24"/>
        </w:rPr>
        <w:t>部门</w:t>
      </w:r>
      <w:r>
        <w:rPr>
          <w:bCs w:val="0"/>
          <w:color w:val="auto"/>
          <w:szCs w:val="24"/>
        </w:rPr>
        <w:t>相关安全规定设置航空障碍灯。</w:t>
      </w:r>
    </w:p>
    <w:bookmarkEnd w:id="399"/>
    <w:p w14:paraId="7A8DE4FC">
      <w:pPr>
        <w:pStyle w:val="33"/>
        <w:numPr>
          <w:ilvl w:val="0"/>
          <w:numId w:val="0"/>
        </w:numPr>
        <w:spacing w:before="120" w:line="360" w:lineRule="auto"/>
        <w:outlineLvl w:val="1"/>
        <w:rPr>
          <w:rFonts w:eastAsia="宋体"/>
          <w:b/>
          <w:bCs/>
          <w:sz w:val="24"/>
          <w:szCs w:val="24"/>
        </w:rPr>
      </w:pPr>
      <w:bookmarkStart w:id="447" w:name="_Hlk225437252"/>
      <w:bookmarkStart w:id="448" w:name="OLE_LINK8"/>
      <w:bookmarkStart w:id="449" w:name="_Toc4413"/>
      <w:bookmarkStart w:id="450" w:name="_Toc13015"/>
      <w:bookmarkStart w:id="451" w:name="_Toc8077"/>
      <w:bookmarkStart w:id="452" w:name="_Toc26633"/>
      <w:bookmarkStart w:id="453" w:name="_Toc1124"/>
      <w:bookmarkStart w:id="454" w:name="_Toc9076"/>
      <w:bookmarkStart w:id="455" w:name="_Toc5024"/>
      <w:r>
        <w:rPr>
          <w:rFonts w:hint="eastAsia" w:eastAsia="宋体"/>
          <w:b/>
          <w:bCs/>
          <w:sz w:val="24"/>
          <w:szCs w:val="24"/>
        </w:rPr>
        <w:t>6.8</w:t>
      </w:r>
      <w:bookmarkEnd w:id="447"/>
      <w:r>
        <w:rPr>
          <w:rFonts w:hint="eastAsia" w:eastAsia="宋体"/>
          <w:b/>
          <w:bCs/>
          <w:sz w:val="24"/>
          <w:szCs w:val="24"/>
        </w:rPr>
        <w:t xml:space="preserve"> 施工用电智能管理系统</w:t>
      </w:r>
      <w:bookmarkEnd w:id="448"/>
      <w:bookmarkEnd w:id="449"/>
      <w:bookmarkEnd w:id="450"/>
      <w:bookmarkEnd w:id="451"/>
      <w:bookmarkEnd w:id="452"/>
      <w:bookmarkEnd w:id="453"/>
      <w:bookmarkEnd w:id="454"/>
      <w:bookmarkEnd w:id="455"/>
    </w:p>
    <w:p w14:paraId="3096A0AB">
      <w:pPr>
        <w:pStyle w:val="35"/>
        <w:spacing w:before="120" w:line="360" w:lineRule="auto"/>
        <w:rPr>
          <w:color w:val="auto"/>
          <w:szCs w:val="24"/>
        </w:rPr>
      </w:pPr>
      <w:bookmarkStart w:id="456" w:name="_Hlk225437265"/>
      <w:bookmarkStart w:id="457" w:name="OLE_LINK138"/>
      <w:bookmarkStart w:id="458" w:name="_Hlk135639067"/>
      <w:r>
        <w:rPr>
          <w:rFonts w:hint="eastAsia"/>
          <w:b/>
          <w:color w:val="auto"/>
          <w:szCs w:val="24"/>
        </w:rPr>
        <w:t>6</w:t>
      </w:r>
      <w:r>
        <w:rPr>
          <w:b/>
          <w:color w:val="auto"/>
          <w:szCs w:val="24"/>
        </w:rPr>
        <w:t>.8.1</w:t>
      </w:r>
      <w:bookmarkEnd w:id="456"/>
      <w:r>
        <w:rPr>
          <w:rFonts w:hint="eastAsia"/>
          <w:b/>
          <w:color w:val="auto"/>
          <w:szCs w:val="24"/>
        </w:rPr>
        <w:t xml:space="preserve">  </w:t>
      </w:r>
      <w:r>
        <w:rPr>
          <w:rFonts w:hint="eastAsia"/>
          <w:color w:val="auto"/>
          <w:szCs w:val="24"/>
        </w:rPr>
        <w:t>施工现场电气系统宜设置智能管理系统</w:t>
      </w:r>
      <w:r>
        <w:rPr>
          <w:color w:val="auto"/>
          <w:szCs w:val="24"/>
        </w:rPr>
        <w:t>。</w:t>
      </w:r>
      <w:bookmarkEnd w:id="457"/>
    </w:p>
    <w:p w14:paraId="1D9E832F">
      <w:pPr>
        <w:pStyle w:val="35"/>
        <w:spacing w:before="120" w:line="360" w:lineRule="auto"/>
        <w:rPr>
          <w:bCs w:val="0"/>
          <w:color w:val="auto"/>
          <w:szCs w:val="24"/>
        </w:rPr>
      </w:pPr>
      <w:bookmarkStart w:id="459" w:name="_Hlk225437275"/>
      <w:r>
        <w:rPr>
          <w:rFonts w:hint="eastAsia"/>
          <w:b/>
          <w:color w:val="auto"/>
          <w:szCs w:val="24"/>
        </w:rPr>
        <w:t>6</w:t>
      </w:r>
      <w:r>
        <w:rPr>
          <w:b/>
          <w:color w:val="auto"/>
          <w:szCs w:val="24"/>
        </w:rPr>
        <w:t>.8.</w:t>
      </w:r>
      <w:r>
        <w:rPr>
          <w:rFonts w:hint="eastAsia"/>
          <w:b/>
          <w:color w:val="auto"/>
          <w:szCs w:val="24"/>
        </w:rPr>
        <w:t>2</w:t>
      </w:r>
      <w:bookmarkEnd w:id="459"/>
      <w:r>
        <w:rPr>
          <w:rFonts w:hint="eastAsia"/>
          <w:b/>
          <w:color w:val="auto"/>
          <w:szCs w:val="24"/>
        </w:rPr>
        <w:t xml:space="preserve">  </w:t>
      </w:r>
      <w:r>
        <w:rPr>
          <w:rFonts w:hint="eastAsia"/>
          <w:bCs w:val="0"/>
          <w:color w:val="auto"/>
          <w:szCs w:val="24"/>
        </w:rPr>
        <w:t>施工用电智能管理系统</w:t>
      </w:r>
      <w:r>
        <w:rPr>
          <w:rFonts w:hint="eastAsia"/>
          <w:color w:val="auto"/>
          <w:szCs w:val="24"/>
        </w:rPr>
        <w:t>宜</w:t>
      </w:r>
      <w:r>
        <w:rPr>
          <w:rFonts w:hint="eastAsia"/>
          <w:bCs w:val="0"/>
          <w:color w:val="auto"/>
          <w:szCs w:val="24"/>
        </w:rPr>
        <w:t>具备下列</w:t>
      </w:r>
      <w:r>
        <w:rPr>
          <w:bCs w:val="0"/>
          <w:color w:val="auto"/>
          <w:szCs w:val="24"/>
        </w:rPr>
        <w:t>功能：</w:t>
      </w:r>
    </w:p>
    <w:p w14:paraId="651B6B5A">
      <w:pPr>
        <w:pStyle w:val="37"/>
        <w:spacing w:before="120" w:line="360" w:lineRule="auto"/>
        <w:rPr>
          <w:bCs w:val="0"/>
          <w:color w:val="auto"/>
          <w:sz w:val="24"/>
          <w:szCs w:val="24"/>
        </w:rPr>
      </w:pPr>
      <w:r>
        <w:rPr>
          <w:rFonts w:hint="eastAsia"/>
          <w:b/>
          <w:color w:val="auto"/>
          <w:sz w:val="24"/>
          <w:szCs w:val="24"/>
        </w:rPr>
        <w:t xml:space="preserve">1  </w:t>
      </w:r>
      <w:r>
        <w:rPr>
          <w:rFonts w:hint="eastAsia"/>
          <w:color w:val="auto"/>
          <w:sz w:val="24"/>
          <w:szCs w:val="24"/>
        </w:rPr>
        <w:t>宜</w:t>
      </w:r>
      <w:r>
        <w:rPr>
          <w:rFonts w:hint="eastAsia"/>
          <w:bCs w:val="0"/>
          <w:color w:val="auto"/>
          <w:sz w:val="24"/>
          <w:szCs w:val="24"/>
        </w:rPr>
        <w:t>具备操作简便、运行可靠，满足施工安全用电场景人、机、物信息互联互通的功能需求及</w:t>
      </w:r>
      <w:r>
        <w:rPr>
          <w:bCs w:val="0"/>
          <w:color w:val="auto"/>
          <w:sz w:val="24"/>
          <w:szCs w:val="24"/>
        </w:rPr>
        <w:t>扩展功能</w:t>
      </w:r>
      <w:r>
        <w:rPr>
          <w:rFonts w:hint="eastAsia"/>
          <w:bCs w:val="0"/>
          <w:color w:val="auto"/>
          <w:sz w:val="24"/>
          <w:szCs w:val="24"/>
        </w:rPr>
        <w:t>；</w:t>
      </w:r>
    </w:p>
    <w:p w14:paraId="67F24E42">
      <w:pPr>
        <w:pStyle w:val="37"/>
        <w:spacing w:before="120" w:line="360" w:lineRule="auto"/>
        <w:rPr>
          <w:bCs w:val="0"/>
          <w:color w:val="auto"/>
          <w:sz w:val="24"/>
          <w:szCs w:val="24"/>
        </w:rPr>
      </w:pPr>
      <w:r>
        <w:rPr>
          <w:rFonts w:hint="eastAsia"/>
          <w:b/>
          <w:color w:val="auto"/>
          <w:sz w:val="24"/>
          <w:szCs w:val="24"/>
        </w:rPr>
        <w:t xml:space="preserve">2  </w:t>
      </w:r>
      <w:r>
        <w:rPr>
          <w:rFonts w:hint="eastAsia"/>
          <w:bCs w:val="0"/>
          <w:color w:val="auto"/>
          <w:sz w:val="24"/>
          <w:szCs w:val="24"/>
        </w:rPr>
        <w:t>宜具备各层级别的权限管理，支持多种认证方式登录；</w:t>
      </w:r>
    </w:p>
    <w:p w14:paraId="55B12FC3">
      <w:pPr>
        <w:pStyle w:val="37"/>
        <w:spacing w:before="120" w:line="360" w:lineRule="auto"/>
        <w:rPr>
          <w:bCs w:val="0"/>
          <w:color w:val="auto"/>
          <w:sz w:val="24"/>
          <w:szCs w:val="24"/>
        </w:rPr>
      </w:pPr>
      <w:r>
        <w:rPr>
          <w:rFonts w:hint="eastAsia"/>
          <w:b/>
          <w:color w:val="auto"/>
          <w:sz w:val="24"/>
          <w:szCs w:val="24"/>
        </w:rPr>
        <w:t xml:space="preserve">3  </w:t>
      </w:r>
      <w:r>
        <w:rPr>
          <w:rFonts w:hint="eastAsia"/>
          <w:bCs w:val="0"/>
          <w:color w:val="auto"/>
          <w:sz w:val="24"/>
          <w:szCs w:val="24"/>
        </w:rPr>
        <w:t>系统预设监控报警限值在监控界面</w:t>
      </w:r>
      <w:r>
        <w:rPr>
          <w:rFonts w:hint="eastAsia"/>
          <w:color w:val="auto"/>
          <w:sz w:val="24"/>
          <w:szCs w:val="24"/>
        </w:rPr>
        <w:t>宜</w:t>
      </w:r>
      <w:r>
        <w:rPr>
          <w:rFonts w:hint="eastAsia"/>
          <w:bCs w:val="0"/>
          <w:color w:val="auto"/>
          <w:sz w:val="24"/>
          <w:szCs w:val="24"/>
        </w:rPr>
        <w:t>可进行调整设置；</w:t>
      </w:r>
    </w:p>
    <w:p w14:paraId="09823A5D">
      <w:pPr>
        <w:pStyle w:val="37"/>
        <w:spacing w:before="120" w:line="360" w:lineRule="auto"/>
        <w:rPr>
          <w:bCs w:val="0"/>
          <w:color w:val="auto"/>
          <w:sz w:val="24"/>
          <w:szCs w:val="24"/>
        </w:rPr>
      </w:pPr>
      <w:r>
        <w:rPr>
          <w:rFonts w:hint="eastAsia"/>
          <w:b/>
          <w:color w:val="auto"/>
          <w:sz w:val="24"/>
          <w:szCs w:val="24"/>
        </w:rPr>
        <w:t xml:space="preserve">4  </w:t>
      </w:r>
      <w:r>
        <w:rPr>
          <w:rFonts w:hint="eastAsia"/>
          <w:bCs w:val="0"/>
          <w:color w:val="auto"/>
          <w:sz w:val="24"/>
          <w:szCs w:val="24"/>
        </w:rPr>
        <w:t>系统宜具备自动保护、容错、升级、扩展能力；</w:t>
      </w:r>
    </w:p>
    <w:p w14:paraId="6405B230">
      <w:pPr>
        <w:pStyle w:val="37"/>
        <w:spacing w:before="120" w:line="360" w:lineRule="auto"/>
        <w:rPr>
          <w:bCs w:val="0"/>
          <w:color w:val="auto"/>
          <w:sz w:val="24"/>
          <w:szCs w:val="24"/>
        </w:rPr>
      </w:pPr>
      <w:r>
        <w:rPr>
          <w:rFonts w:hint="eastAsia"/>
          <w:b/>
          <w:color w:val="auto"/>
          <w:sz w:val="24"/>
          <w:szCs w:val="24"/>
        </w:rPr>
        <w:t>5</w:t>
      </w:r>
      <w:r>
        <w:rPr>
          <w:rFonts w:hint="eastAsia"/>
          <w:bCs w:val="0"/>
          <w:color w:val="auto"/>
          <w:sz w:val="24"/>
          <w:szCs w:val="24"/>
        </w:rPr>
        <w:t xml:space="preserve">  </w:t>
      </w:r>
      <w:r>
        <w:rPr>
          <w:bCs w:val="0"/>
          <w:color w:val="auto"/>
          <w:sz w:val="24"/>
          <w:szCs w:val="24"/>
        </w:rPr>
        <w:t>现场总配电箱（柜）</w:t>
      </w:r>
      <w:r>
        <w:rPr>
          <w:rFonts w:hint="eastAsia"/>
          <w:bCs w:val="0"/>
          <w:color w:val="auto"/>
          <w:sz w:val="24"/>
          <w:szCs w:val="24"/>
        </w:rPr>
        <w:t>各分</w:t>
      </w:r>
      <w:r>
        <w:rPr>
          <w:bCs w:val="0"/>
          <w:color w:val="auto"/>
          <w:sz w:val="24"/>
          <w:szCs w:val="24"/>
        </w:rPr>
        <w:t>回路</w:t>
      </w:r>
      <w:r>
        <w:rPr>
          <w:rFonts w:hint="eastAsia"/>
          <w:bCs w:val="0"/>
          <w:color w:val="auto"/>
          <w:sz w:val="24"/>
          <w:szCs w:val="24"/>
        </w:rPr>
        <w:t>宜</w:t>
      </w:r>
      <w:r>
        <w:rPr>
          <w:bCs w:val="0"/>
          <w:color w:val="auto"/>
          <w:sz w:val="24"/>
          <w:szCs w:val="24"/>
        </w:rPr>
        <w:t>具备电流、电压、剩余电流、温升参数及故障状态监测、预警功能</w:t>
      </w:r>
      <w:r>
        <w:rPr>
          <w:rFonts w:hint="eastAsia"/>
          <w:bCs w:val="0"/>
          <w:color w:val="auto"/>
          <w:sz w:val="24"/>
          <w:szCs w:val="24"/>
        </w:rPr>
        <w:t>，数据应同步到远程终端及APP；</w:t>
      </w:r>
    </w:p>
    <w:p w14:paraId="4991C250">
      <w:pPr>
        <w:pStyle w:val="37"/>
        <w:spacing w:before="120" w:line="360" w:lineRule="auto"/>
        <w:rPr>
          <w:bCs w:val="0"/>
          <w:color w:val="auto"/>
          <w:sz w:val="24"/>
          <w:szCs w:val="24"/>
        </w:rPr>
      </w:pPr>
      <w:r>
        <w:rPr>
          <w:rFonts w:hint="eastAsia"/>
          <w:b/>
          <w:color w:val="auto"/>
          <w:sz w:val="24"/>
          <w:szCs w:val="24"/>
        </w:rPr>
        <w:t xml:space="preserve">6 </w:t>
      </w:r>
      <w:r>
        <w:rPr>
          <w:rFonts w:hint="eastAsia"/>
          <w:bCs w:val="0"/>
          <w:color w:val="auto"/>
          <w:sz w:val="24"/>
          <w:szCs w:val="24"/>
        </w:rPr>
        <w:t xml:space="preserve"> </w:t>
      </w:r>
      <w:bookmarkStart w:id="460" w:name="_Hlk198645842"/>
      <w:r>
        <w:rPr>
          <w:bCs w:val="0"/>
          <w:color w:val="auto"/>
          <w:sz w:val="24"/>
          <w:szCs w:val="24"/>
        </w:rPr>
        <w:t>分配</w:t>
      </w:r>
      <w:r>
        <w:rPr>
          <w:rFonts w:hint="eastAsia"/>
          <w:bCs w:val="0"/>
          <w:color w:val="auto"/>
          <w:sz w:val="24"/>
          <w:szCs w:val="24"/>
        </w:rPr>
        <w:t>电</w:t>
      </w:r>
      <w:r>
        <w:rPr>
          <w:bCs w:val="0"/>
          <w:color w:val="auto"/>
          <w:sz w:val="24"/>
          <w:szCs w:val="24"/>
        </w:rPr>
        <w:t>箱</w:t>
      </w:r>
      <w:r>
        <w:rPr>
          <w:rFonts w:hint="eastAsia"/>
          <w:bCs w:val="0"/>
          <w:color w:val="auto"/>
          <w:sz w:val="24"/>
          <w:szCs w:val="24"/>
        </w:rPr>
        <w:t>各分</w:t>
      </w:r>
      <w:r>
        <w:rPr>
          <w:bCs w:val="0"/>
          <w:color w:val="auto"/>
          <w:sz w:val="24"/>
          <w:szCs w:val="24"/>
        </w:rPr>
        <w:t>回路断路器</w:t>
      </w:r>
      <w:r>
        <w:rPr>
          <w:rFonts w:hint="eastAsia"/>
          <w:bCs w:val="0"/>
          <w:color w:val="auto"/>
          <w:sz w:val="24"/>
          <w:szCs w:val="24"/>
        </w:rPr>
        <w:t>或</w:t>
      </w:r>
      <w:r>
        <w:rPr>
          <w:bCs w:val="0"/>
          <w:color w:val="auto"/>
          <w:sz w:val="24"/>
          <w:szCs w:val="24"/>
        </w:rPr>
        <w:t>剩余电流动作保护电器</w:t>
      </w:r>
      <w:r>
        <w:rPr>
          <w:rFonts w:hint="eastAsia"/>
          <w:bCs w:val="0"/>
          <w:color w:val="auto"/>
          <w:sz w:val="24"/>
          <w:szCs w:val="24"/>
        </w:rPr>
        <w:t>宜</w:t>
      </w:r>
      <w:r>
        <w:rPr>
          <w:bCs w:val="0"/>
          <w:color w:val="auto"/>
          <w:sz w:val="24"/>
          <w:szCs w:val="24"/>
        </w:rPr>
        <w:t>具备电流、电压、剩余电流、温升参数及故障状态监测、预警或自动脱扣功能</w:t>
      </w:r>
      <w:r>
        <w:rPr>
          <w:rFonts w:hint="eastAsia"/>
          <w:bCs w:val="0"/>
          <w:color w:val="auto"/>
          <w:sz w:val="24"/>
          <w:szCs w:val="24"/>
        </w:rPr>
        <w:t>，数据宜同步到远程终端及APP；</w:t>
      </w:r>
      <w:bookmarkEnd w:id="460"/>
    </w:p>
    <w:p w14:paraId="77D85FF6">
      <w:pPr>
        <w:pStyle w:val="37"/>
        <w:spacing w:before="120" w:line="360" w:lineRule="auto"/>
        <w:rPr>
          <w:bCs w:val="0"/>
          <w:color w:val="auto"/>
          <w:sz w:val="24"/>
          <w:szCs w:val="24"/>
        </w:rPr>
      </w:pPr>
      <w:r>
        <w:rPr>
          <w:rFonts w:hint="eastAsia"/>
          <w:b/>
          <w:color w:val="auto"/>
          <w:sz w:val="24"/>
          <w:szCs w:val="24"/>
        </w:rPr>
        <w:t>7</w:t>
      </w:r>
      <w:r>
        <w:rPr>
          <w:rFonts w:hint="eastAsia"/>
          <w:bCs w:val="0"/>
          <w:color w:val="auto"/>
          <w:sz w:val="24"/>
          <w:szCs w:val="24"/>
        </w:rPr>
        <w:t xml:space="preserve">  当</w:t>
      </w:r>
      <w:r>
        <w:rPr>
          <w:bCs w:val="0"/>
          <w:color w:val="auto"/>
          <w:sz w:val="24"/>
          <w:szCs w:val="24"/>
        </w:rPr>
        <w:t>消防用电设备或</w:t>
      </w:r>
      <w:r>
        <w:rPr>
          <w:rFonts w:hint="eastAsia"/>
          <w:bCs w:val="0"/>
          <w:color w:val="auto"/>
          <w:sz w:val="24"/>
          <w:szCs w:val="24"/>
        </w:rPr>
        <w:t>监测</w:t>
      </w:r>
      <w:r>
        <w:rPr>
          <w:bCs w:val="0"/>
          <w:color w:val="auto"/>
          <w:sz w:val="24"/>
          <w:szCs w:val="24"/>
        </w:rPr>
        <w:t>回路的</w:t>
      </w:r>
      <w:r>
        <w:rPr>
          <w:rFonts w:hint="eastAsia"/>
          <w:bCs w:val="0"/>
          <w:color w:val="auto"/>
          <w:sz w:val="24"/>
          <w:szCs w:val="24"/>
        </w:rPr>
        <w:t>剩余电流处于</w:t>
      </w:r>
      <w:r>
        <w:rPr>
          <w:bCs w:val="0"/>
          <w:color w:val="auto"/>
          <w:sz w:val="24"/>
          <w:szCs w:val="24"/>
        </w:rPr>
        <w:t>临界值状态时，除现场控制电</w:t>
      </w:r>
      <w:r>
        <w:rPr>
          <w:rFonts w:hint="eastAsia"/>
          <w:bCs w:val="0"/>
          <w:color w:val="auto"/>
          <w:sz w:val="24"/>
          <w:szCs w:val="24"/>
        </w:rPr>
        <w:t>气</w:t>
      </w:r>
      <w:r>
        <w:rPr>
          <w:bCs w:val="0"/>
          <w:color w:val="auto"/>
          <w:sz w:val="24"/>
          <w:szCs w:val="24"/>
        </w:rPr>
        <w:t>装置发出声光报警外，</w:t>
      </w:r>
      <w:r>
        <w:rPr>
          <w:rFonts w:hint="eastAsia"/>
          <w:bCs w:val="0"/>
          <w:color w:val="auto"/>
          <w:sz w:val="24"/>
          <w:szCs w:val="24"/>
        </w:rPr>
        <w:t>施工用电智能管理系统宜</w:t>
      </w:r>
      <w:r>
        <w:rPr>
          <w:bCs w:val="0"/>
          <w:color w:val="auto"/>
          <w:sz w:val="24"/>
          <w:szCs w:val="24"/>
        </w:rPr>
        <w:t>远程终端APP报警</w:t>
      </w:r>
      <w:r>
        <w:rPr>
          <w:rFonts w:hint="eastAsia"/>
          <w:bCs w:val="0"/>
          <w:color w:val="auto"/>
          <w:sz w:val="24"/>
          <w:szCs w:val="24"/>
        </w:rPr>
        <w:t>；</w:t>
      </w:r>
    </w:p>
    <w:p w14:paraId="42E64598">
      <w:pPr>
        <w:pStyle w:val="37"/>
        <w:spacing w:before="120" w:line="360" w:lineRule="auto"/>
        <w:rPr>
          <w:bCs w:val="0"/>
          <w:color w:val="auto"/>
          <w:sz w:val="24"/>
          <w:szCs w:val="24"/>
        </w:rPr>
      </w:pPr>
      <w:r>
        <w:rPr>
          <w:rFonts w:hint="eastAsia"/>
          <w:b/>
          <w:color w:val="auto"/>
          <w:sz w:val="24"/>
          <w:szCs w:val="24"/>
        </w:rPr>
        <w:t xml:space="preserve">8 </w:t>
      </w:r>
      <w:r>
        <w:rPr>
          <w:rFonts w:hint="eastAsia"/>
          <w:bCs w:val="0"/>
          <w:color w:val="auto"/>
          <w:sz w:val="24"/>
          <w:szCs w:val="24"/>
        </w:rPr>
        <w:t xml:space="preserve"> 在施工现场区域内网络信息传输宜具备持续、全覆盖能力，网络故障消除后，宜能自动恢复联网功能；</w:t>
      </w:r>
    </w:p>
    <w:p w14:paraId="1708C159">
      <w:pPr>
        <w:pStyle w:val="37"/>
        <w:spacing w:before="120" w:line="360" w:lineRule="auto"/>
        <w:rPr>
          <w:bCs w:val="0"/>
          <w:color w:val="auto"/>
          <w:sz w:val="24"/>
          <w:szCs w:val="24"/>
        </w:rPr>
      </w:pPr>
      <w:r>
        <w:rPr>
          <w:rFonts w:hint="eastAsia"/>
          <w:b/>
          <w:color w:val="auto"/>
          <w:sz w:val="24"/>
          <w:szCs w:val="24"/>
        </w:rPr>
        <w:t>9</w:t>
      </w:r>
      <w:r>
        <w:rPr>
          <w:rFonts w:hint="eastAsia"/>
          <w:bCs w:val="0"/>
          <w:color w:val="auto"/>
          <w:sz w:val="24"/>
          <w:szCs w:val="24"/>
        </w:rPr>
        <w:t xml:space="preserve">  宜支持APP、浏览器和小程序访问；</w:t>
      </w:r>
    </w:p>
    <w:p w14:paraId="45EE20BD">
      <w:pPr>
        <w:pStyle w:val="37"/>
        <w:spacing w:before="120" w:line="360" w:lineRule="auto"/>
        <w:rPr>
          <w:bCs w:val="0"/>
          <w:color w:val="auto"/>
          <w:sz w:val="24"/>
          <w:szCs w:val="24"/>
        </w:rPr>
      </w:pPr>
      <w:r>
        <w:rPr>
          <w:rFonts w:hint="eastAsia"/>
          <w:b/>
          <w:color w:val="auto"/>
          <w:sz w:val="24"/>
          <w:szCs w:val="24"/>
        </w:rPr>
        <w:t xml:space="preserve">10  </w:t>
      </w:r>
      <w:r>
        <w:rPr>
          <w:rFonts w:hint="eastAsia"/>
          <w:bCs w:val="0"/>
          <w:color w:val="auto"/>
          <w:sz w:val="24"/>
          <w:szCs w:val="24"/>
        </w:rPr>
        <w:t>施工用电智能管理系统宜具有数据可追溯性，数据存储时间至少90d。</w:t>
      </w:r>
      <w:bookmarkEnd w:id="458"/>
      <w:bookmarkStart w:id="461" w:name="_Hlk225437297"/>
      <w:bookmarkStart w:id="462" w:name="_Toc24882"/>
      <w:bookmarkStart w:id="463" w:name="_Toc7325"/>
      <w:bookmarkStart w:id="464" w:name="_Toc30969"/>
      <w:bookmarkStart w:id="465" w:name="_Toc20024"/>
      <w:bookmarkStart w:id="466" w:name="_Toc8815"/>
    </w:p>
    <w:p w14:paraId="5B6ACF58">
      <w:pPr>
        <w:pStyle w:val="33"/>
        <w:numPr>
          <w:ilvl w:val="0"/>
          <w:numId w:val="0"/>
        </w:numPr>
        <w:spacing w:before="120" w:line="360" w:lineRule="auto"/>
        <w:outlineLvl w:val="1"/>
        <w:rPr>
          <w:rFonts w:eastAsia="宋体"/>
          <w:b/>
          <w:bCs/>
          <w:sz w:val="24"/>
          <w:szCs w:val="24"/>
        </w:rPr>
      </w:pPr>
      <w:bookmarkStart w:id="467" w:name="_Toc26294"/>
      <w:bookmarkStart w:id="468" w:name="_Toc30205"/>
      <w:r>
        <w:rPr>
          <w:rFonts w:hint="eastAsia" w:eastAsia="宋体"/>
          <w:b/>
          <w:bCs/>
          <w:sz w:val="24"/>
          <w:szCs w:val="24"/>
        </w:rPr>
        <w:t>6.9</w:t>
      </w:r>
      <w:bookmarkEnd w:id="461"/>
      <w:r>
        <w:rPr>
          <w:rFonts w:hint="eastAsia" w:eastAsia="宋体"/>
          <w:b/>
          <w:bCs/>
          <w:sz w:val="24"/>
          <w:szCs w:val="24"/>
        </w:rPr>
        <w:t xml:space="preserve"> 防雷</w:t>
      </w:r>
      <w:bookmarkEnd w:id="462"/>
      <w:bookmarkEnd w:id="463"/>
      <w:bookmarkEnd w:id="464"/>
      <w:bookmarkEnd w:id="465"/>
      <w:bookmarkEnd w:id="466"/>
      <w:bookmarkEnd w:id="467"/>
      <w:bookmarkEnd w:id="468"/>
    </w:p>
    <w:p w14:paraId="2BA15742">
      <w:pPr>
        <w:pStyle w:val="35"/>
        <w:spacing w:before="120" w:line="360" w:lineRule="auto"/>
        <w:rPr>
          <w:bCs w:val="0"/>
          <w:color w:val="auto"/>
          <w:szCs w:val="24"/>
        </w:rPr>
      </w:pPr>
      <w:bookmarkStart w:id="469" w:name="_Hlk225437334"/>
      <w:bookmarkStart w:id="470" w:name="_Toc4637"/>
      <w:bookmarkStart w:id="471" w:name="_Toc14322"/>
      <w:bookmarkStart w:id="472" w:name="_Toc27081"/>
      <w:bookmarkStart w:id="473" w:name="_Toc21662"/>
      <w:r>
        <w:rPr>
          <w:rFonts w:hint="eastAsia"/>
          <w:b/>
          <w:color w:val="auto"/>
          <w:szCs w:val="24"/>
        </w:rPr>
        <w:t>6</w:t>
      </w:r>
      <w:r>
        <w:rPr>
          <w:b/>
          <w:color w:val="auto"/>
          <w:szCs w:val="24"/>
        </w:rPr>
        <w:t>.9.1</w:t>
      </w:r>
      <w:bookmarkEnd w:id="469"/>
      <w:r>
        <w:rPr>
          <w:rFonts w:hint="eastAsia"/>
          <w:b/>
          <w:color w:val="auto"/>
          <w:szCs w:val="24"/>
        </w:rPr>
        <w:t xml:space="preserve"> </w:t>
      </w:r>
      <w:r>
        <w:rPr>
          <w:b/>
          <w:color w:val="auto"/>
          <w:szCs w:val="24"/>
        </w:rPr>
        <w:t xml:space="preserve"> </w:t>
      </w:r>
      <w:r>
        <w:rPr>
          <w:bCs w:val="0"/>
          <w:color w:val="auto"/>
          <w:szCs w:val="24"/>
        </w:rPr>
        <w:t>施工现场</w:t>
      </w:r>
      <w:r>
        <w:rPr>
          <w:rFonts w:hint="eastAsia"/>
          <w:bCs w:val="0"/>
          <w:color w:val="auto"/>
          <w:szCs w:val="24"/>
        </w:rPr>
        <w:t>临建及</w:t>
      </w:r>
      <w:r>
        <w:rPr>
          <w:bCs w:val="0"/>
          <w:color w:val="auto"/>
          <w:szCs w:val="24"/>
        </w:rPr>
        <w:t>设施设备防雷应符合下列规定：</w:t>
      </w:r>
      <w:bookmarkEnd w:id="470"/>
      <w:bookmarkEnd w:id="471"/>
      <w:bookmarkEnd w:id="472"/>
      <w:bookmarkEnd w:id="473"/>
    </w:p>
    <w:p w14:paraId="679D5538">
      <w:pPr>
        <w:pStyle w:val="37"/>
        <w:spacing w:before="120" w:line="360" w:lineRule="auto"/>
        <w:rPr>
          <w:bCs w:val="0"/>
          <w:color w:val="auto"/>
          <w:sz w:val="24"/>
          <w:szCs w:val="24"/>
        </w:rPr>
      </w:pPr>
      <w:r>
        <w:rPr>
          <w:b/>
          <w:color w:val="auto"/>
          <w:sz w:val="24"/>
          <w:szCs w:val="24"/>
        </w:rPr>
        <w:t>1</w:t>
      </w:r>
      <w:r>
        <w:rPr>
          <w:bCs w:val="0"/>
          <w:color w:val="auto"/>
          <w:sz w:val="24"/>
          <w:szCs w:val="24"/>
        </w:rPr>
        <w:t xml:space="preserve"> </w:t>
      </w:r>
      <w:r>
        <w:rPr>
          <w:rFonts w:hint="eastAsia"/>
          <w:bCs w:val="0"/>
          <w:color w:val="auto"/>
          <w:sz w:val="24"/>
          <w:szCs w:val="24"/>
        </w:rPr>
        <w:t xml:space="preserve"> </w:t>
      </w:r>
      <w:r>
        <w:rPr>
          <w:bCs w:val="0"/>
          <w:color w:val="auto"/>
          <w:sz w:val="24"/>
          <w:szCs w:val="24"/>
        </w:rPr>
        <w:t>高度在15m及以上的建（构）筑物、塔式起重机、龙门架、施工升降机、物料提升机、金属脚手架等设施</w:t>
      </w:r>
      <w:r>
        <w:rPr>
          <w:rFonts w:hint="eastAsia"/>
          <w:bCs w:val="0"/>
          <w:color w:val="auto"/>
          <w:sz w:val="24"/>
          <w:szCs w:val="24"/>
        </w:rPr>
        <w:t>设备</w:t>
      </w:r>
      <w:r>
        <w:rPr>
          <w:bCs w:val="0"/>
          <w:color w:val="auto"/>
          <w:sz w:val="24"/>
          <w:szCs w:val="24"/>
        </w:rPr>
        <w:t>应</w:t>
      </w:r>
      <w:r>
        <w:rPr>
          <w:rFonts w:hint="eastAsia"/>
          <w:bCs w:val="0"/>
          <w:color w:val="auto"/>
          <w:sz w:val="24"/>
          <w:szCs w:val="24"/>
        </w:rPr>
        <w:t>采取</w:t>
      </w:r>
      <w:r>
        <w:rPr>
          <w:bCs w:val="0"/>
          <w:color w:val="auto"/>
          <w:sz w:val="24"/>
          <w:szCs w:val="24"/>
        </w:rPr>
        <w:t>防雷</w:t>
      </w:r>
      <w:r>
        <w:rPr>
          <w:rFonts w:hint="eastAsia"/>
          <w:bCs w:val="0"/>
          <w:color w:val="auto"/>
          <w:sz w:val="24"/>
          <w:szCs w:val="24"/>
        </w:rPr>
        <w:t>保护措施</w:t>
      </w:r>
      <w:r>
        <w:rPr>
          <w:bCs w:val="0"/>
          <w:color w:val="auto"/>
          <w:sz w:val="24"/>
          <w:szCs w:val="24"/>
        </w:rPr>
        <w:t>；处于防雷保护范围内</w:t>
      </w:r>
      <w:r>
        <w:rPr>
          <w:rFonts w:hint="eastAsia"/>
          <w:bCs w:val="0"/>
          <w:color w:val="auto"/>
          <w:sz w:val="24"/>
          <w:szCs w:val="24"/>
        </w:rPr>
        <w:t>的临建及</w:t>
      </w:r>
      <w:r>
        <w:rPr>
          <w:bCs w:val="0"/>
          <w:color w:val="auto"/>
          <w:sz w:val="24"/>
          <w:szCs w:val="24"/>
        </w:rPr>
        <w:t>设施设备</w:t>
      </w:r>
      <w:r>
        <w:rPr>
          <w:rFonts w:hint="eastAsia"/>
          <w:bCs w:val="0"/>
          <w:color w:val="auto"/>
          <w:sz w:val="24"/>
          <w:szCs w:val="24"/>
        </w:rPr>
        <w:t>等，可不</w:t>
      </w:r>
      <w:r>
        <w:rPr>
          <w:bCs w:val="0"/>
          <w:color w:val="auto"/>
          <w:sz w:val="24"/>
          <w:szCs w:val="24"/>
        </w:rPr>
        <w:t>设</w:t>
      </w:r>
      <w:r>
        <w:rPr>
          <w:rFonts w:hint="eastAsia"/>
          <w:bCs w:val="0"/>
          <w:color w:val="auto"/>
          <w:sz w:val="24"/>
          <w:szCs w:val="24"/>
        </w:rPr>
        <w:t>防雷保护措施</w:t>
      </w:r>
      <w:r>
        <w:rPr>
          <w:bCs w:val="0"/>
          <w:color w:val="auto"/>
          <w:sz w:val="24"/>
          <w:szCs w:val="24"/>
        </w:rPr>
        <w:t>；</w:t>
      </w:r>
    </w:p>
    <w:p w14:paraId="19DB21CF">
      <w:pPr>
        <w:pStyle w:val="37"/>
        <w:spacing w:before="120" w:line="360" w:lineRule="auto"/>
        <w:rPr>
          <w:bCs w:val="0"/>
          <w:color w:val="auto"/>
          <w:sz w:val="24"/>
          <w:szCs w:val="24"/>
        </w:rPr>
      </w:pPr>
      <w:r>
        <w:rPr>
          <w:b/>
          <w:color w:val="auto"/>
          <w:sz w:val="24"/>
          <w:szCs w:val="24"/>
        </w:rPr>
        <w:t>2</w:t>
      </w:r>
      <w:r>
        <w:rPr>
          <w:rFonts w:hint="eastAsia"/>
          <w:b/>
          <w:color w:val="auto"/>
          <w:sz w:val="24"/>
          <w:szCs w:val="24"/>
        </w:rPr>
        <w:t xml:space="preserve"> </w:t>
      </w:r>
      <w:r>
        <w:rPr>
          <w:bCs w:val="0"/>
          <w:color w:val="auto"/>
          <w:sz w:val="24"/>
          <w:szCs w:val="24"/>
        </w:rPr>
        <w:t xml:space="preserve"> 设置在建筑物上孤立的金属结构应</w:t>
      </w:r>
      <w:r>
        <w:rPr>
          <w:rFonts w:hint="eastAsia"/>
          <w:bCs w:val="0"/>
          <w:color w:val="auto"/>
          <w:sz w:val="24"/>
          <w:szCs w:val="24"/>
        </w:rPr>
        <w:t>就近与</w:t>
      </w:r>
      <w:r>
        <w:rPr>
          <w:bCs w:val="0"/>
          <w:color w:val="auto"/>
          <w:sz w:val="24"/>
          <w:szCs w:val="24"/>
        </w:rPr>
        <w:t>建筑物防雷装置可靠连接；</w:t>
      </w:r>
    </w:p>
    <w:p w14:paraId="06ACBB39">
      <w:pPr>
        <w:pStyle w:val="37"/>
        <w:spacing w:before="120" w:line="360" w:lineRule="auto"/>
        <w:rPr>
          <w:bCs w:val="0"/>
          <w:color w:val="auto"/>
          <w:sz w:val="24"/>
          <w:szCs w:val="24"/>
        </w:rPr>
      </w:pPr>
      <w:r>
        <w:rPr>
          <w:b/>
          <w:color w:val="auto"/>
          <w:sz w:val="24"/>
          <w:szCs w:val="24"/>
        </w:rPr>
        <w:t>3</w:t>
      </w:r>
      <w:r>
        <w:rPr>
          <w:bCs w:val="0"/>
          <w:color w:val="auto"/>
          <w:sz w:val="24"/>
          <w:szCs w:val="24"/>
        </w:rPr>
        <w:t xml:space="preserve"> </w:t>
      </w:r>
      <w:r>
        <w:rPr>
          <w:rFonts w:hint="eastAsia"/>
          <w:bCs w:val="0"/>
          <w:color w:val="auto"/>
          <w:sz w:val="24"/>
          <w:szCs w:val="24"/>
        </w:rPr>
        <w:t xml:space="preserve"> </w:t>
      </w:r>
      <w:r>
        <w:rPr>
          <w:bCs w:val="0"/>
          <w:color w:val="auto"/>
          <w:sz w:val="24"/>
          <w:szCs w:val="24"/>
        </w:rPr>
        <w:t>设有防雷保护措施的机械设施</w:t>
      </w:r>
      <w:r>
        <w:rPr>
          <w:rFonts w:hint="eastAsia"/>
          <w:bCs w:val="0"/>
          <w:color w:val="auto"/>
          <w:sz w:val="24"/>
          <w:szCs w:val="24"/>
        </w:rPr>
        <w:t>设备</w:t>
      </w:r>
      <w:r>
        <w:rPr>
          <w:bCs w:val="0"/>
          <w:color w:val="auto"/>
          <w:sz w:val="24"/>
          <w:szCs w:val="24"/>
        </w:rPr>
        <w:t>，在其上敷设的通信、控制等线</w:t>
      </w:r>
      <w:r>
        <w:rPr>
          <w:rFonts w:hint="eastAsia"/>
          <w:bCs w:val="0"/>
          <w:color w:val="auto"/>
          <w:sz w:val="24"/>
          <w:szCs w:val="24"/>
        </w:rPr>
        <w:t>缆</w:t>
      </w:r>
      <w:r>
        <w:rPr>
          <w:bCs w:val="0"/>
          <w:color w:val="auto"/>
          <w:sz w:val="24"/>
          <w:szCs w:val="24"/>
        </w:rPr>
        <w:t>宜采用金属导管</w:t>
      </w:r>
      <w:r>
        <w:rPr>
          <w:rFonts w:hint="eastAsia"/>
          <w:bCs w:val="0"/>
          <w:color w:val="auto"/>
          <w:sz w:val="24"/>
          <w:szCs w:val="24"/>
        </w:rPr>
        <w:t>；</w:t>
      </w:r>
      <w:r>
        <w:rPr>
          <w:bCs w:val="0"/>
          <w:color w:val="auto"/>
          <w:sz w:val="24"/>
          <w:szCs w:val="24"/>
        </w:rPr>
        <w:t>金属导管应与其金属结构体</w:t>
      </w:r>
      <w:r>
        <w:rPr>
          <w:rFonts w:hint="eastAsia"/>
          <w:bCs w:val="0"/>
          <w:color w:val="auto"/>
          <w:sz w:val="24"/>
          <w:szCs w:val="24"/>
        </w:rPr>
        <w:t>进行</w:t>
      </w:r>
      <w:r>
        <w:rPr>
          <w:bCs w:val="0"/>
          <w:color w:val="auto"/>
          <w:sz w:val="24"/>
          <w:szCs w:val="24"/>
        </w:rPr>
        <w:t>可靠</w:t>
      </w:r>
      <w:r>
        <w:rPr>
          <w:rFonts w:hint="eastAsia"/>
          <w:bCs w:val="0"/>
          <w:color w:val="auto"/>
          <w:sz w:val="24"/>
          <w:szCs w:val="24"/>
        </w:rPr>
        <w:t>的电气</w:t>
      </w:r>
      <w:r>
        <w:rPr>
          <w:bCs w:val="0"/>
          <w:color w:val="auto"/>
          <w:sz w:val="24"/>
          <w:szCs w:val="24"/>
        </w:rPr>
        <w:t>连接。</w:t>
      </w:r>
      <w:r>
        <w:rPr>
          <w:rFonts w:hint="eastAsia"/>
          <w:bCs w:val="0"/>
          <w:color w:val="auto"/>
          <w:sz w:val="24"/>
          <w:szCs w:val="24"/>
        </w:rPr>
        <w:t xml:space="preserve"> </w:t>
      </w:r>
    </w:p>
    <w:p w14:paraId="2B9735F3">
      <w:pPr>
        <w:pStyle w:val="35"/>
        <w:spacing w:before="120" w:line="360" w:lineRule="auto"/>
        <w:rPr>
          <w:bCs w:val="0"/>
          <w:color w:val="auto"/>
          <w:szCs w:val="24"/>
        </w:rPr>
      </w:pPr>
      <w:bookmarkStart w:id="474" w:name="OLE_LINK24"/>
      <w:r>
        <w:rPr>
          <w:rFonts w:hint="eastAsia"/>
          <w:b/>
          <w:color w:val="auto"/>
          <w:szCs w:val="24"/>
        </w:rPr>
        <w:t>6</w:t>
      </w:r>
      <w:r>
        <w:rPr>
          <w:b/>
          <w:color w:val="auto"/>
          <w:szCs w:val="24"/>
        </w:rPr>
        <w:t>.9.</w:t>
      </w:r>
      <w:r>
        <w:rPr>
          <w:rFonts w:hint="eastAsia"/>
          <w:b/>
          <w:color w:val="auto"/>
          <w:szCs w:val="24"/>
        </w:rPr>
        <w:t>2</w:t>
      </w:r>
      <w:r>
        <w:rPr>
          <w:b/>
          <w:color w:val="auto"/>
          <w:szCs w:val="24"/>
        </w:rPr>
        <w:t xml:space="preserve"> </w:t>
      </w:r>
      <w:bookmarkEnd w:id="474"/>
      <w:r>
        <w:rPr>
          <w:rFonts w:hint="eastAsia"/>
          <w:b/>
          <w:color w:val="auto"/>
          <w:szCs w:val="24"/>
        </w:rPr>
        <w:t xml:space="preserve"> </w:t>
      </w:r>
      <w:r>
        <w:rPr>
          <w:bCs w:val="0"/>
          <w:color w:val="auto"/>
          <w:szCs w:val="24"/>
        </w:rPr>
        <w:t>塔式起重机</w:t>
      </w:r>
      <w:bookmarkStart w:id="475" w:name="OLE_LINK30"/>
      <w:r>
        <w:rPr>
          <w:bCs w:val="0"/>
          <w:color w:val="auto"/>
          <w:szCs w:val="24"/>
        </w:rPr>
        <w:t>接地</w:t>
      </w:r>
      <w:r>
        <w:rPr>
          <w:rFonts w:hint="eastAsia"/>
          <w:bCs w:val="0"/>
          <w:color w:val="auto"/>
          <w:szCs w:val="24"/>
        </w:rPr>
        <w:t>体</w:t>
      </w:r>
      <w:bookmarkEnd w:id="475"/>
      <w:r>
        <w:rPr>
          <w:rFonts w:hint="eastAsia"/>
          <w:bCs w:val="0"/>
          <w:color w:val="auto"/>
          <w:szCs w:val="24"/>
        </w:rPr>
        <w:t>可</w:t>
      </w:r>
      <w:r>
        <w:rPr>
          <w:bCs w:val="0"/>
          <w:color w:val="auto"/>
          <w:szCs w:val="24"/>
        </w:rPr>
        <w:t>利用基础钢筋，</w:t>
      </w:r>
      <w:r>
        <w:rPr>
          <w:rFonts w:hint="eastAsia"/>
          <w:bCs w:val="0"/>
          <w:color w:val="auto"/>
          <w:szCs w:val="24"/>
        </w:rPr>
        <w:t>接地体</w:t>
      </w:r>
      <w:r>
        <w:rPr>
          <w:bCs w:val="0"/>
          <w:color w:val="auto"/>
          <w:szCs w:val="24"/>
        </w:rPr>
        <w:t>与其金属结构连接不少于2处</w:t>
      </w:r>
      <w:r>
        <w:rPr>
          <w:rFonts w:hint="eastAsia"/>
          <w:bCs w:val="0"/>
          <w:color w:val="auto"/>
          <w:szCs w:val="24"/>
        </w:rPr>
        <w:t>。</w:t>
      </w:r>
    </w:p>
    <w:p w14:paraId="62FD869D">
      <w:pPr>
        <w:pStyle w:val="35"/>
        <w:spacing w:before="120" w:line="360" w:lineRule="auto"/>
        <w:rPr>
          <w:bCs w:val="0"/>
          <w:color w:val="auto"/>
          <w:szCs w:val="24"/>
        </w:rPr>
      </w:pPr>
      <w:r>
        <w:rPr>
          <w:rFonts w:hint="eastAsia"/>
          <w:b/>
          <w:color w:val="auto"/>
          <w:szCs w:val="24"/>
        </w:rPr>
        <w:t>6</w:t>
      </w:r>
      <w:r>
        <w:rPr>
          <w:b/>
          <w:color w:val="auto"/>
          <w:szCs w:val="24"/>
        </w:rPr>
        <w:t>.9.</w:t>
      </w:r>
      <w:r>
        <w:rPr>
          <w:rFonts w:hint="eastAsia"/>
          <w:b/>
          <w:color w:val="auto"/>
          <w:szCs w:val="24"/>
        </w:rPr>
        <w:t xml:space="preserve">3  </w:t>
      </w:r>
      <w:r>
        <w:rPr>
          <w:bCs w:val="0"/>
          <w:color w:val="auto"/>
          <w:szCs w:val="24"/>
        </w:rPr>
        <w:t>轨道式起重机的接地装置应符合下列规定：</w:t>
      </w:r>
      <w:bookmarkStart w:id="476" w:name="_Toc12622"/>
      <w:bookmarkStart w:id="477" w:name="_Toc3592"/>
      <w:bookmarkStart w:id="478" w:name="_Toc27477"/>
      <w:bookmarkStart w:id="479" w:name="_Toc26402"/>
      <w:r>
        <w:rPr>
          <w:rFonts w:hint="eastAsia"/>
          <w:b/>
          <w:color w:val="auto"/>
          <w:szCs w:val="24"/>
        </w:rPr>
        <w:t xml:space="preserve"> </w:t>
      </w:r>
      <w:bookmarkEnd w:id="476"/>
      <w:bookmarkEnd w:id="477"/>
      <w:bookmarkEnd w:id="478"/>
      <w:bookmarkEnd w:id="479"/>
    </w:p>
    <w:p w14:paraId="33221EFC">
      <w:pPr>
        <w:pStyle w:val="37"/>
        <w:spacing w:before="120" w:line="360" w:lineRule="auto"/>
        <w:rPr>
          <w:bCs w:val="0"/>
          <w:color w:val="auto"/>
          <w:sz w:val="24"/>
          <w:szCs w:val="24"/>
        </w:rPr>
      </w:pPr>
      <w:r>
        <w:rPr>
          <w:rFonts w:hint="eastAsia"/>
          <w:b/>
          <w:color w:val="auto"/>
          <w:sz w:val="24"/>
          <w:szCs w:val="24"/>
        </w:rPr>
        <w:t xml:space="preserve">1  </w:t>
      </w:r>
      <w:r>
        <w:rPr>
          <w:bCs w:val="0"/>
          <w:color w:val="auto"/>
          <w:sz w:val="24"/>
          <w:szCs w:val="24"/>
        </w:rPr>
        <w:t>轨道两端应各设一组接地装置；轨道相邻两</w:t>
      </w:r>
      <w:r>
        <w:rPr>
          <w:rFonts w:hint="eastAsia"/>
          <w:bCs w:val="0"/>
          <w:color w:val="auto"/>
          <w:sz w:val="24"/>
          <w:szCs w:val="24"/>
        </w:rPr>
        <w:t>接地</w:t>
      </w:r>
      <w:r>
        <w:rPr>
          <w:bCs w:val="0"/>
          <w:color w:val="auto"/>
          <w:sz w:val="24"/>
          <w:szCs w:val="24"/>
        </w:rPr>
        <w:t>装置间的</w:t>
      </w:r>
      <w:r>
        <w:rPr>
          <w:rFonts w:hint="eastAsia"/>
          <w:bCs w:val="0"/>
          <w:color w:val="auto"/>
          <w:sz w:val="24"/>
          <w:szCs w:val="24"/>
        </w:rPr>
        <w:t>最大</w:t>
      </w:r>
      <w:r>
        <w:rPr>
          <w:bCs w:val="0"/>
          <w:color w:val="auto"/>
          <w:sz w:val="24"/>
          <w:szCs w:val="24"/>
        </w:rPr>
        <w:t>距离不应</w:t>
      </w:r>
      <w:r>
        <w:rPr>
          <w:rFonts w:hint="eastAsia"/>
          <w:bCs w:val="0"/>
          <w:color w:val="auto"/>
          <w:sz w:val="24"/>
          <w:szCs w:val="24"/>
        </w:rPr>
        <w:t>超过</w:t>
      </w:r>
      <w:r>
        <w:rPr>
          <w:bCs w:val="0"/>
          <w:color w:val="auto"/>
          <w:sz w:val="24"/>
          <w:szCs w:val="24"/>
        </w:rPr>
        <w:t>2</w:t>
      </w:r>
      <w:r>
        <w:rPr>
          <w:rFonts w:hint="eastAsia"/>
          <w:bCs w:val="0"/>
          <w:color w:val="auto"/>
          <w:sz w:val="24"/>
          <w:szCs w:val="24"/>
        </w:rPr>
        <w:t>0</w:t>
      </w:r>
      <w:r>
        <w:rPr>
          <w:bCs w:val="0"/>
          <w:color w:val="auto"/>
          <w:sz w:val="24"/>
          <w:szCs w:val="24"/>
        </w:rPr>
        <w:t>m</w:t>
      </w:r>
      <w:r>
        <w:rPr>
          <w:rFonts w:hint="eastAsia"/>
          <w:bCs w:val="0"/>
          <w:color w:val="auto"/>
          <w:sz w:val="24"/>
          <w:szCs w:val="24"/>
        </w:rPr>
        <w:t>；</w:t>
      </w:r>
    </w:p>
    <w:p w14:paraId="3F0B7D3E">
      <w:pPr>
        <w:pStyle w:val="37"/>
        <w:spacing w:before="120" w:line="360" w:lineRule="auto"/>
        <w:rPr>
          <w:bCs w:val="0"/>
          <w:color w:val="auto"/>
          <w:sz w:val="24"/>
          <w:szCs w:val="24"/>
        </w:rPr>
      </w:pPr>
      <w:r>
        <w:rPr>
          <w:rFonts w:hint="eastAsia"/>
          <w:b/>
          <w:color w:val="auto"/>
          <w:sz w:val="24"/>
          <w:szCs w:val="24"/>
        </w:rPr>
        <w:t xml:space="preserve">2  </w:t>
      </w:r>
      <w:r>
        <w:rPr>
          <w:bCs w:val="0"/>
          <w:color w:val="auto"/>
          <w:sz w:val="24"/>
          <w:szCs w:val="24"/>
        </w:rPr>
        <w:t>轨道接头处应采用截面积不小于16mm</w:t>
      </w:r>
      <w:r>
        <w:rPr>
          <w:bCs w:val="0"/>
          <w:color w:val="auto"/>
          <w:sz w:val="24"/>
          <w:szCs w:val="24"/>
          <w:vertAlign w:val="superscript"/>
        </w:rPr>
        <w:t>2</w:t>
      </w:r>
      <w:r>
        <w:rPr>
          <w:rFonts w:hint="eastAsia"/>
          <w:bCs w:val="0"/>
          <w:color w:val="auto"/>
          <w:sz w:val="24"/>
          <w:szCs w:val="24"/>
        </w:rPr>
        <w:t>的铜</w:t>
      </w:r>
      <w:r>
        <w:rPr>
          <w:bCs w:val="0"/>
          <w:color w:val="auto"/>
          <w:sz w:val="24"/>
          <w:szCs w:val="24"/>
        </w:rPr>
        <w:t>芯软导线</w:t>
      </w:r>
      <w:r>
        <w:rPr>
          <w:rFonts w:hint="eastAsia"/>
          <w:bCs w:val="0"/>
          <w:color w:val="auto"/>
          <w:sz w:val="24"/>
          <w:szCs w:val="24"/>
        </w:rPr>
        <w:t>做</w:t>
      </w:r>
      <w:r>
        <w:rPr>
          <w:bCs w:val="0"/>
          <w:color w:val="auto"/>
          <w:sz w:val="24"/>
          <w:szCs w:val="24"/>
        </w:rPr>
        <w:t>电气连接；</w:t>
      </w:r>
    </w:p>
    <w:p w14:paraId="36D0893E">
      <w:pPr>
        <w:pStyle w:val="37"/>
        <w:spacing w:before="120" w:line="360" w:lineRule="auto"/>
        <w:rPr>
          <w:bCs w:val="0"/>
          <w:color w:val="auto"/>
          <w:sz w:val="24"/>
          <w:szCs w:val="24"/>
        </w:rPr>
      </w:pPr>
      <w:r>
        <w:rPr>
          <w:rFonts w:hint="eastAsia"/>
          <w:b/>
          <w:color w:val="auto"/>
          <w:sz w:val="24"/>
          <w:szCs w:val="24"/>
        </w:rPr>
        <w:t xml:space="preserve">3  </w:t>
      </w:r>
      <w:r>
        <w:rPr>
          <w:bCs w:val="0"/>
          <w:color w:val="auto"/>
          <w:sz w:val="24"/>
          <w:szCs w:val="24"/>
        </w:rPr>
        <w:t>两条轨道的端</w:t>
      </w:r>
      <w:r>
        <w:rPr>
          <w:rFonts w:hint="eastAsia"/>
          <w:bCs w:val="0"/>
          <w:color w:val="auto"/>
          <w:sz w:val="24"/>
          <w:szCs w:val="24"/>
        </w:rPr>
        <w:t>部</w:t>
      </w:r>
      <w:r>
        <w:rPr>
          <w:bCs w:val="0"/>
          <w:color w:val="auto"/>
          <w:sz w:val="24"/>
          <w:szCs w:val="24"/>
        </w:rPr>
        <w:t>应</w:t>
      </w:r>
      <w:r>
        <w:rPr>
          <w:rFonts w:hint="eastAsia"/>
          <w:bCs w:val="0"/>
          <w:color w:val="auto"/>
          <w:sz w:val="24"/>
          <w:szCs w:val="24"/>
        </w:rPr>
        <w:t>采用</w:t>
      </w:r>
      <w:r>
        <w:rPr>
          <w:bCs w:val="0"/>
          <w:color w:val="auto"/>
          <w:sz w:val="24"/>
          <w:szCs w:val="24"/>
        </w:rPr>
        <w:t>直径</w:t>
      </w:r>
      <w:r>
        <w:rPr>
          <w:rFonts w:hint="eastAsia"/>
          <w:bCs w:val="0"/>
          <w:color w:val="auto"/>
          <w:sz w:val="24"/>
          <w:szCs w:val="24"/>
        </w:rPr>
        <w:t>不小于10mm的金属</w:t>
      </w:r>
      <w:r>
        <w:rPr>
          <w:bCs w:val="0"/>
          <w:color w:val="auto"/>
          <w:sz w:val="24"/>
          <w:szCs w:val="24"/>
        </w:rPr>
        <w:t>导体闭环连接</w:t>
      </w:r>
      <w:r>
        <w:rPr>
          <w:rFonts w:hint="eastAsia"/>
          <w:bCs w:val="0"/>
          <w:color w:val="auto"/>
          <w:sz w:val="24"/>
          <w:szCs w:val="24"/>
        </w:rPr>
        <w:t>。</w:t>
      </w:r>
    </w:p>
    <w:p w14:paraId="792DE191">
      <w:pPr>
        <w:pStyle w:val="37"/>
        <w:spacing w:before="120" w:line="360" w:lineRule="auto"/>
        <w:ind w:firstLine="0" w:firstLineChars="0"/>
        <w:rPr>
          <w:bCs w:val="0"/>
          <w:color w:val="auto"/>
          <w:sz w:val="24"/>
          <w:szCs w:val="24"/>
        </w:rPr>
      </w:pPr>
      <w:r>
        <w:rPr>
          <w:rFonts w:hint="eastAsia"/>
          <w:b/>
          <w:color w:val="auto"/>
          <w:sz w:val="24"/>
          <w:szCs w:val="24"/>
        </w:rPr>
        <w:t>6</w:t>
      </w:r>
      <w:r>
        <w:rPr>
          <w:b/>
          <w:color w:val="auto"/>
          <w:sz w:val="24"/>
          <w:szCs w:val="24"/>
        </w:rPr>
        <w:t>.9.</w:t>
      </w:r>
      <w:r>
        <w:rPr>
          <w:rFonts w:hint="eastAsia"/>
          <w:b/>
          <w:color w:val="auto"/>
          <w:sz w:val="24"/>
          <w:szCs w:val="24"/>
        </w:rPr>
        <w:t>4</w:t>
      </w:r>
      <w:r>
        <w:rPr>
          <w:bCs w:val="0"/>
          <w:color w:val="auto"/>
          <w:sz w:val="24"/>
          <w:szCs w:val="24"/>
        </w:rPr>
        <w:t xml:space="preserve"> </w:t>
      </w:r>
      <w:r>
        <w:rPr>
          <w:rFonts w:hint="eastAsia"/>
          <w:bCs w:val="0"/>
          <w:color w:val="auto"/>
          <w:sz w:val="24"/>
          <w:szCs w:val="24"/>
        </w:rPr>
        <w:t xml:space="preserve"> </w:t>
      </w:r>
      <w:r>
        <w:rPr>
          <w:bCs w:val="0"/>
          <w:color w:val="auto"/>
          <w:sz w:val="24"/>
          <w:szCs w:val="24"/>
        </w:rPr>
        <w:t>落地式外墙金属脚手架应在其下部与接地装置连接，且不应少于2处；相邻两</w:t>
      </w:r>
      <w:r>
        <w:rPr>
          <w:rFonts w:hint="eastAsia"/>
          <w:bCs w:val="0"/>
          <w:color w:val="auto"/>
          <w:sz w:val="24"/>
          <w:szCs w:val="24"/>
        </w:rPr>
        <w:t>接地</w:t>
      </w:r>
      <w:r>
        <w:rPr>
          <w:bCs w:val="0"/>
          <w:color w:val="auto"/>
          <w:sz w:val="24"/>
          <w:szCs w:val="24"/>
        </w:rPr>
        <w:t>装置间的</w:t>
      </w:r>
      <w:r>
        <w:rPr>
          <w:rFonts w:hint="eastAsia"/>
          <w:bCs w:val="0"/>
          <w:color w:val="auto"/>
          <w:sz w:val="24"/>
          <w:szCs w:val="24"/>
        </w:rPr>
        <w:t>最大</w:t>
      </w:r>
      <w:r>
        <w:rPr>
          <w:bCs w:val="0"/>
          <w:color w:val="auto"/>
          <w:sz w:val="24"/>
          <w:szCs w:val="24"/>
        </w:rPr>
        <w:t>距离不应</w:t>
      </w:r>
      <w:r>
        <w:rPr>
          <w:rFonts w:hint="eastAsia"/>
          <w:bCs w:val="0"/>
          <w:color w:val="auto"/>
          <w:sz w:val="24"/>
          <w:szCs w:val="24"/>
        </w:rPr>
        <w:t>超过</w:t>
      </w:r>
      <w:r>
        <w:rPr>
          <w:bCs w:val="0"/>
          <w:color w:val="auto"/>
          <w:sz w:val="24"/>
          <w:szCs w:val="24"/>
        </w:rPr>
        <w:t>2</w:t>
      </w:r>
      <w:r>
        <w:rPr>
          <w:rFonts w:hint="eastAsia"/>
          <w:bCs w:val="0"/>
          <w:color w:val="auto"/>
          <w:sz w:val="24"/>
          <w:szCs w:val="24"/>
        </w:rPr>
        <w:t>0</w:t>
      </w:r>
      <w:r>
        <w:rPr>
          <w:bCs w:val="0"/>
          <w:color w:val="auto"/>
          <w:sz w:val="24"/>
          <w:szCs w:val="24"/>
        </w:rPr>
        <w:t>m</w:t>
      </w:r>
      <w:r>
        <w:rPr>
          <w:rFonts w:hint="eastAsia"/>
          <w:bCs w:val="0"/>
          <w:color w:val="auto"/>
          <w:sz w:val="24"/>
          <w:szCs w:val="24"/>
        </w:rPr>
        <w:t>。</w:t>
      </w:r>
    </w:p>
    <w:p w14:paraId="703373E7">
      <w:pPr>
        <w:pStyle w:val="37"/>
        <w:spacing w:before="120" w:line="360" w:lineRule="auto"/>
        <w:ind w:firstLine="0" w:firstLineChars="0"/>
        <w:rPr>
          <w:bCs w:val="0"/>
          <w:color w:val="auto"/>
          <w:sz w:val="24"/>
          <w:szCs w:val="24"/>
        </w:rPr>
      </w:pPr>
      <w:bookmarkStart w:id="480" w:name="_Hlk225437571"/>
      <w:bookmarkStart w:id="481" w:name="_Toc13477"/>
      <w:bookmarkStart w:id="482" w:name="_Toc6128"/>
      <w:bookmarkStart w:id="483" w:name="_Toc32564"/>
      <w:bookmarkStart w:id="484" w:name="_Toc16916"/>
      <w:r>
        <w:rPr>
          <w:rFonts w:hint="eastAsia"/>
          <w:b/>
          <w:color w:val="auto"/>
          <w:sz w:val="24"/>
          <w:szCs w:val="24"/>
        </w:rPr>
        <w:t>6</w:t>
      </w:r>
      <w:r>
        <w:rPr>
          <w:b/>
          <w:color w:val="auto"/>
          <w:sz w:val="24"/>
          <w:szCs w:val="24"/>
        </w:rPr>
        <w:t>.9.</w:t>
      </w:r>
      <w:r>
        <w:rPr>
          <w:rFonts w:hint="eastAsia"/>
          <w:b/>
          <w:color w:val="auto"/>
          <w:sz w:val="24"/>
          <w:szCs w:val="24"/>
        </w:rPr>
        <w:t>5</w:t>
      </w:r>
      <w:bookmarkEnd w:id="480"/>
      <w:r>
        <w:rPr>
          <w:bCs w:val="0"/>
          <w:color w:val="auto"/>
          <w:sz w:val="24"/>
          <w:szCs w:val="24"/>
        </w:rPr>
        <w:t xml:space="preserve"> </w:t>
      </w:r>
      <w:r>
        <w:rPr>
          <w:rFonts w:hint="eastAsia"/>
          <w:bCs w:val="0"/>
          <w:color w:val="auto"/>
          <w:sz w:val="24"/>
          <w:szCs w:val="24"/>
        </w:rPr>
        <w:t xml:space="preserve"> </w:t>
      </w:r>
      <w:bookmarkStart w:id="485" w:name="_Hlk225437491"/>
      <w:r>
        <w:rPr>
          <w:bCs w:val="0"/>
          <w:color w:val="auto"/>
          <w:sz w:val="24"/>
          <w:szCs w:val="24"/>
        </w:rPr>
        <w:t>施工现场防雷装置</w:t>
      </w:r>
      <w:r>
        <w:rPr>
          <w:rFonts w:hint="eastAsia"/>
          <w:bCs w:val="0"/>
          <w:color w:val="auto"/>
          <w:sz w:val="24"/>
          <w:szCs w:val="24"/>
        </w:rPr>
        <w:t>的材料及连接</w:t>
      </w:r>
      <w:r>
        <w:rPr>
          <w:bCs w:val="0"/>
          <w:color w:val="auto"/>
          <w:sz w:val="24"/>
          <w:szCs w:val="24"/>
        </w:rPr>
        <w:t>应符合下列规定</w:t>
      </w:r>
      <w:bookmarkEnd w:id="485"/>
      <w:r>
        <w:rPr>
          <w:bCs w:val="0"/>
          <w:color w:val="auto"/>
          <w:sz w:val="24"/>
          <w:szCs w:val="24"/>
        </w:rPr>
        <w:t>：</w:t>
      </w:r>
      <w:bookmarkEnd w:id="481"/>
      <w:bookmarkEnd w:id="482"/>
      <w:bookmarkEnd w:id="483"/>
      <w:bookmarkEnd w:id="484"/>
    </w:p>
    <w:p w14:paraId="00F26B6B">
      <w:pPr>
        <w:pStyle w:val="37"/>
        <w:spacing w:before="120" w:line="360" w:lineRule="auto"/>
        <w:rPr>
          <w:bCs w:val="0"/>
          <w:color w:val="auto"/>
          <w:sz w:val="24"/>
          <w:szCs w:val="24"/>
        </w:rPr>
      </w:pPr>
      <w:r>
        <w:rPr>
          <w:b/>
          <w:color w:val="auto"/>
          <w:sz w:val="24"/>
          <w:szCs w:val="24"/>
        </w:rPr>
        <w:t>1</w:t>
      </w:r>
      <w:r>
        <w:rPr>
          <w:rFonts w:hint="eastAsia"/>
          <w:bCs w:val="0"/>
          <w:color w:val="auto"/>
          <w:sz w:val="24"/>
          <w:szCs w:val="24"/>
        </w:rPr>
        <w:t xml:space="preserve">  </w:t>
      </w:r>
      <w:r>
        <w:rPr>
          <w:bCs w:val="0"/>
          <w:color w:val="auto"/>
          <w:sz w:val="24"/>
          <w:szCs w:val="24"/>
        </w:rPr>
        <w:t>接闪器和引下线采用圆钢直径不应小于8mm，扁钢厚度不应小于2.5mm</w:t>
      </w:r>
      <w:r>
        <w:rPr>
          <w:rFonts w:hint="eastAsia"/>
          <w:bCs w:val="0"/>
          <w:color w:val="auto"/>
          <w:sz w:val="24"/>
          <w:szCs w:val="24"/>
        </w:rPr>
        <w:t>；</w:t>
      </w:r>
    </w:p>
    <w:p w14:paraId="6F0F9D24">
      <w:pPr>
        <w:pStyle w:val="37"/>
        <w:spacing w:before="120" w:line="360" w:lineRule="auto"/>
        <w:rPr>
          <w:bCs w:val="0"/>
          <w:color w:val="auto"/>
          <w:sz w:val="24"/>
          <w:szCs w:val="24"/>
        </w:rPr>
      </w:pPr>
      <w:r>
        <w:rPr>
          <w:b/>
          <w:color w:val="auto"/>
          <w:sz w:val="24"/>
          <w:szCs w:val="24"/>
        </w:rPr>
        <w:t>2</w:t>
      </w:r>
      <w:r>
        <w:rPr>
          <w:rFonts w:hint="eastAsia"/>
          <w:b/>
          <w:color w:val="auto"/>
          <w:sz w:val="24"/>
          <w:szCs w:val="24"/>
        </w:rPr>
        <w:t xml:space="preserve"> </w:t>
      </w:r>
      <w:r>
        <w:rPr>
          <w:rFonts w:hint="eastAsia"/>
          <w:bCs w:val="0"/>
          <w:color w:val="auto"/>
          <w:sz w:val="24"/>
          <w:szCs w:val="24"/>
        </w:rPr>
        <w:t xml:space="preserve"> </w:t>
      </w:r>
      <w:r>
        <w:rPr>
          <w:bCs w:val="0"/>
          <w:color w:val="auto"/>
          <w:sz w:val="24"/>
          <w:szCs w:val="24"/>
        </w:rPr>
        <w:t>垂直接地体采用圆钢时，直径</w:t>
      </w:r>
      <w:r>
        <w:rPr>
          <w:rFonts w:hint="eastAsia"/>
          <w:bCs w:val="0"/>
          <w:color w:val="auto"/>
          <w:sz w:val="24"/>
          <w:szCs w:val="24"/>
        </w:rPr>
        <w:t>不</w:t>
      </w:r>
      <w:r>
        <w:rPr>
          <w:bCs w:val="0"/>
          <w:color w:val="auto"/>
          <w:sz w:val="24"/>
          <w:szCs w:val="24"/>
        </w:rPr>
        <w:t>应小于14mm</w:t>
      </w:r>
      <w:r>
        <w:rPr>
          <w:rFonts w:hint="eastAsia"/>
          <w:bCs w:val="0"/>
          <w:color w:val="auto"/>
          <w:sz w:val="24"/>
          <w:szCs w:val="24"/>
        </w:rPr>
        <w:t>。</w:t>
      </w:r>
      <w:r>
        <w:rPr>
          <w:bCs w:val="0"/>
          <w:color w:val="auto"/>
          <w:sz w:val="24"/>
          <w:szCs w:val="24"/>
        </w:rPr>
        <w:t>采用钢管时，直径不</w:t>
      </w:r>
      <w:r>
        <w:rPr>
          <w:rFonts w:hint="eastAsia"/>
          <w:bCs w:val="0"/>
          <w:color w:val="auto"/>
          <w:sz w:val="24"/>
          <w:szCs w:val="24"/>
        </w:rPr>
        <w:t>应</w:t>
      </w:r>
      <w:r>
        <w:rPr>
          <w:bCs w:val="0"/>
          <w:color w:val="auto"/>
          <w:sz w:val="24"/>
          <w:szCs w:val="24"/>
        </w:rPr>
        <w:t>小于20mm</w:t>
      </w:r>
      <w:bookmarkStart w:id="486" w:name="OLE_LINK110"/>
      <w:r>
        <w:rPr>
          <w:rFonts w:hint="eastAsia"/>
          <w:bCs w:val="0"/>
          <w:color w:val="auto"/>
          <w:sz w:val="24"/>
          <w:szCs w:val="24"/>
        </w:rPr>
        <w:t>。</w:t>
      </w:r>
      <w:r>
        <w:rPr>
          <w:bCs w:val="0"/>
          <w:color w:val="auto"/>
          <w:sz w:val="24"/>
          <w:szCs w:val="24"/>
        </w:rPr>
        <w:t>水平接地体采用圆钢时，直径不</w:t>
      </w:r>
      <w:r>
        <w:rPr>
          <w:rFonts w:hint="eastAsia"/>
          <w:bCs w:val="0"/>
          <w:color w:val="auto"/>
          <w:sz w:val="24"/>
          <w:szCs w:val="24"/>
        </w:rPr>
        <w:t>应</w:t>
      </w:r>
      <w:r>
        <w:rPr>
          <w:bCs w:val="0"/>
          <w:color w:val="auto"/>
          <w:sz w:val="24"/>
          <w:szCs w:val="24"/>
        </w:rPr>
        <w:t>小于10mm</w:t>
      </w:r>
      <w:bookmarkEnd w:id="486"/>
      <w:r>
        <w:rPr>
          <w:rFonts w:hint="eastAsia"/>
          <w:bCs w:val="0"/>
          <w:color w:val="auto"/>
          <w:sz w:val="24"/>
          <w:szCs w:val="24"/>
        </w:rPr>
        <w:t>。</w:t>
      </w:r>
      <w:r>
        <w:rPr>
          <w:bCs w:val="0"/>
          <w:color w:val="auto"/>
          <w:sz w:val="24"/>
          <w:szCs w:val="24"/>
        </w:rPr>
        <w:t>采用扁钢时，不</w:t>
      </w:r>
      <w:r>
        <w:rPr>
          <w:rFonts w:hint="eastAsia"/>
          <w:bCs w:val="0"/>
          <w:color w:val="auto"/>
          <w:sz w:val="24"/>
          <w:szCs w:val="24"/>
        </w:rPr>
        <w:t>应</w:t>
      </w:r>
      <w:r>
        <w:rPr>
          <w:bCs w:val="0"/>
          <w:color w:val="auto"/>
          <w:sz w:val="24"/>
          <w:szCs w:val="24"/>
        </w:rPr>
        <w:t>小于30mm×3mm</w:t>
      </w:r>
      <w:r>
        <w:rPr>
          <w:rFonts w:hint="eastAsia"/>
          <w:bCs w:val="0"/>
          <w:color w:val="auto"/>
          <w:sz w:val="24"/>
          <w:szCs w:val="24"/>
        </w:rPr>
        <w:t>；</w:t>
      </w:r>
    </w:p>
    <w:p w14:paraId="450C73E7">
      <w:pPr>
        <w:pStyle w:val="37"/>
        <w:spacing w:before="120" w:line="360" w:lineRule="auto"/>
        <w:rPr>
          <w:bCs w:val="0"/>
          <w:color w:val="auto"/>
          <w:sz w:val="24"/>
          <w:szCs w:val="24"/>
        </w:rPr>
      </w:pPr>
      <w:r>
        <w:rPr>
          <w:b/>
          <w:color w:val="auto"/>
          <w:sz w:val="24"/>
          <w:szCs w:val="24"/>
        </w:rPr>
        <w:t>3</w:t>
      </w:r>
      <w:r>
        <w:rPr>
          <w:rFonts w:hint="eastAsia"/>
          <w:bCs w:val="0"/>
          <w:color w:val="auto"/>
          <w:sz w:val="24"/>
          <w:szCs w:val="24"/>
        </w:rPr>
        <w:t xml:space="preserve">  </w:t>
      </w:r>
      <w:bookmarkStart w:id="487" w:name="_Toc3092"/>
      <w:bookmarkStart w:id="488" w:name="_Toc30770"/>
      <w:bookmarkStart w:id="489" w:name="_Toc16803"/>
      <w:bookmarkStart w:id="490" w:name="_Toc20855"/>
      <w:r>
        <w:rPr>
          <w:bCs w:val="0"/>
          <w:color w:val="auto"/>
          <w:sz w:val="24"/>
          <w:szCs w:val="24"/>
        </w:rPr>
        <w:t>接地装置</w:t>
      </w:r>
      <w:r>
        <w:rPr>
          <w:rFonts w:hint="eastAsia"/>
          <w:bCs w:val="0"/>
          <w:color w:val="auto"/>
          <w:sz w:val="24"/>
          <w:szCs w:val="24"/>
        </w:rPr>
        <w:t>应</w:t>
      </w:r>
      <w:r>
        <w:rPr>
          <w:bCs w:val="0"/>
          <w:color w:val="auto"/>
          <w:sz w:val="24"/>
          <w:szCs w:val="24"/>
        </w:rPr>
        <w:t>采用热浸镀锌材质；</w:t>
      </w:r>
      <w:bookmarkEnd w:id="487"/>
      <w:bookmarkEnd w:id="488"/>
      <w:bookmarkEnd w:id="489"/>
      <w:bookmarkEnd w:id="490"/>
    </w:p>
    <w:p w14:paraId="09C733AC">
      <w:pPr>
        <w:pStyle w:val="37"/>
        <w:spacing w:before="120" w:line="360" w:lineRule="auto"/>
        <w:rPr>
          <w:bCs w:val="0"/>
          <w:color w:val="auto"/>
          <w:sz w:val="24"/>
          <w:szCs w:val="24"/>
        </w:rPr>
      </w:pPr>
      <w:r>
        <w:rPr>
          <w:b/>
          <w:color w:val="auto"/>
          <w:sz w:val="24"/>
          <w:szCs w:val="24"/>
        </w:rPr>
        <w:t>4</w:t>
      </w:r>
      <w:r>
        <w:rPr>
          <w:rFonts w:hint="eastAsia"/>
          <w:bCs w:val="0"/>
          <w:color w:val="auto"/>
          <w:sz w:val="24"/>
          <w:szCs w:val="24"/>
        </w:rPr>
        <w:t xml:space="preserve">  </w:t>
      </w:r>
      <w:r>
        <w:rPr>
          <w:bCs w:val="0"/>
          <w:color w:val="auto"/>
          <w:sz w:val="24"/>
          <w:szCs w:val="24"/>
        </w:rPr>
        <w:t>接地装置</w:t>
      </w:r>
      <w:r>
        <w:rPr>
          <w:rFonts w:hint="eastAsia"/>
          <w:bCs w:val="0"/>
          <w:color w:val="auto"/>
          <w:sz w:val="24"/>
          <w:szCs w:val="24"/>
        </w:rPr>
        <w:t>间应</w:t>
      </w:r>
      <w:r>
        <w:rPr>
          <w:bCs w:val="0"/>
          <w:color w:val="auto"/>
          <w:sz w:val="24"/>
          <w:szCs w:val="24"/>
        </w:rPr>
        <w:t>采用焊接连接方式。</w:t>
      </w:r>
    </w:p>
    <w:p w14:paraId="3A15FD4A">
      <w:pPr>
        <w:pStyle w:val="35"/>
        <w:spacing w:before="120" w:line="360" w:lineRule="auto"/>
        <w:rPr>
          <w:bCs w:val="0"/>
          <w:color w:val="auto"/>
          <w:szCs w:val="24"/>
        </w:rPr>
      </w:pPr>
      <w:bookmarkStart w:id="491" w:name="_Hlk225437598"/>
      <w:r>
        <w:rPr>
          <w:rFonts w:hint="eastAsia"/>
          <w:b/>
          <w:color w:val="auto"/>
          <w:szCs w:val="24"/>
        </w:rPr>
        <w:t>6</w:t>
      </w:r>
      <w:r>
        <w:rPr>
          <w:b/>
          <w:color w:val="auto"/>
          <w:szCs w:val="24"/>
        </w:rPr>
        <w:t>.9.</w:t>
      </w:r>
      <w:r>
        <w:rPr>
          <w:rFonts w:hint="eastAsia"/>
          <w:b/>
          <w:color w:val="auto"/>
          <w:szCs w:val="24"/>
        </w:rPr>
        <w:t>6</w:t>
      </w:r>
      <w:bookmarkEnd w:id="491"/>
      <w:r>
        <w:rPr>
          <w:rFonts w:hint="eastAsia"/>
          <w:bCs w:val="0"/>
          <w:color w:val="auto"/>
          <w:szCs w:val="24"/>
        </w:rPr>
        <w:t xml:space="preserve">  </w:t>
      </w:r>
      <w:r>
        <w:rPr>
          <w:bCs w:val="0"/>
          <w:color w:val="auto"/>
          <w:szCs w:val="24"/>
        </w:rPr>
        <w:t>防雷接地装置的</w:t>
      </w:r>
      <w:r>
        <w:rPr>
          <w:rFonts w:hint="eastAsia"/>
          <w:bCs w:val="0"/>
          <w:color w:val="auto"/>
          <w:szCs w:val="24"/>
        </w:rPr>
        <w:t>冲击</w:t>
      </w:r>
      <w:r>
        <w:rPr>
          <w:bCs w:val="0"/>
          <w:color w:val="auto"/>
          <w:szCs w:val="24"/>
        </w:rPr>
        <w:t>接地电阻不应大于30Ω。</w:t>
      </w:r>
    </w:p>
    <w:p w14:paraId="78A2D55F">
      <w:pPr>
        <w:pStyle w:val="35"/>
        <w:spacing w:before="120" w:line="360" w:lineRule="auto"/>
        <w:rPr>
          <w:bCs w:val="0"/>
          <w:color w:val="auto"/>
          <w:szCs w:val="24"/>
        </w:rPr>
      </w:pPr>
      <w:bookmarkStart w:id="492" w:name="_Toc2141"/>
      <w:bookmarkStart w:id="493" w:name="_Toc10648"/>
      <w:bookmarkStart w:id="494" w:name="_Toc3344"/>
      <w:bookmarkStart w:id="495" w:name="_Toc3674"/>
      <w:r>
        <w:rPr>
          <w:rFonts w:hint="eastAsia"/>
          <w:b/>
          <w:color w:val="auto"/>
          <w:szCs w:val="24"/>
        </w:rPr>
        <w:t>6</w:t>
      </w:r>
      <w:r>
        <w:rPr>
          <w:b/>
          <w:color w:val="auto"/>
          <w:szCs w:val="24"/>
        </w:rPr>
        <w:t>.9.</w:t>
      </w:r>
      <w:r>
        <w:rPr>
          <w:rFonts w:hint="eastAsia"/>
          <w:b/>
          <w:color w:val="auto"/>
          <w:szCs w:val="24"/>
        </w:rPr>
        <w:t>7</w:t>
      </w:r>
      <w:r>
        <w:rPr>
          <w:bCs w:val="0"/>
          <w:color w:val="auto"/>
          <w:szCs w:val="24"/>
        </w:rPr>
        <w:t xml:space="preserve"> </w:t>
      </w:r>
      <w:r>
        <w:rPr>
          <w:rFonts w:hint="eastAsia"/>
          <w:bCs w:val="0"/>
          <w:color w:val="auto"/>
          <w:szCs w:val="24"/>
        </w:rPr>
        <w:t xml:space="preserve"> </w:t>
      </w:r>
      <w:r>
        <w:rPr>
          <w:bCs w:val="0"/>
          <w:color w:val="auto"/>
          <w:szCs w:val="24"/>
        </w:rPr>
        <w:t>防雷接地装置的敷设应符合下列规定：</w:t>
      </w:r>
      <w:bookmarkEnd w:id="492"/>
      <w:bookmarkEnd w:id="493"/>
      <w:bookmarkEnd w:id="494"/>
      <w:bookmarkEnd w:id="495"/>
    </w:p>
    <w:p w14:paraId="19E0A762">
      <w:pPr>
        <w:pStyle w:val="37"/>
        <w:spacing w:before="120" w:line="360" w:lineRule="auto"/>
        <w:rPr>
          <w:bCs w:val="0"/>
          <w:color w:val="auto"/>
          <w:sz w:val="24"/>
          <w:szCs w:val="24"/>
        </w:rPr>
      </w:pPr>
      <w:bookmarkStart w:id="496" w:name="_Toc22490"/>
      <w:bookmarkStart w:id="497" w:name="_Toc20560"/>
      <w:bookmarkStart w:id="498" w:name="_Toc19144"/>
      <w:bookmarkStart w:id="499" w:name="_Toc27211"/>
      <w:r>
        <w:rPr>
          <w:b/>
          <w:color w:val="auto"/>
          <w:sz w:val="24"/>
          <w:szCs w:val="24"/>
        </w:rPr>
        <w:t>1</w:t>
      </w:r>
      <w:r>
        <w:rPr>
          <w:rFonts w:hint="eastAsia"/>
          <w:b/>
          <w:color w:val="auto"/>
          <w:sz w:val="24"/>
          <w:szCs w:val="24"/>
        </w:rPr>
        <w:t xml:space="preserve"> </w:t>
      </w:r>
      <w:r>
        <w:rPr>
          <w:rFonts w:hint="eastAsia"/>
          <w:bCs w:val="0"/>
          <w:color w:val="auto"/>
          <w:sz w:val="24"/>
          <w:szCs w:val="24"/>
        </w:rPr>
        <w:t xml:space="preserve"> </w:t>
      </w:r>
      <w:r>
        <w:rPr>
          <w:bCs w:val="0"/>
          <w:color w:val="auto"/>
          <w:sz w:val="24"/>
          <w:szCs w:val="24"/>
        </w:rPr>
        <w:t>人工接地体的顶面埋设深度</w:t>
      </w:r>
      <w:r>
        <w:rPr>
          <w:rFonts w:hint="eastAsia"/>
          <w:bCs w:val="0"/>
          <w:color w:val="auto"/>
          <w:sz w:val="24"/>
          <w:szCs w:val="24"/>
        </w:rPr>
        <w:t>不应</w:t>
      </w:r>
      <w:r>
        <w:rPr>
          <w:bCs w:val="0"/>
          <w:color w:val="auto"/>
          <w:sz w:val="24"/>
          <w:szCs w:val="24"/>
        </w:rPr>
        <w:t>小于0.</w:t>
      </w:r>
      <w:r>
        <w:rPr>
          <w:rFonts w:hint="eastAsia"/>
          <w:bCs w:val="0"/>
          <w:color w:val="auto"/>
          <w:sz w:val="24"/>
          <w:szCs w:val="24"/>
        </w:rPr>
        <w:t>7</w:t>
      </w:r>
      <w:r>
        <w:rPr>
          <w:bCs w:val="0"/>
          <w:color w:val="auto"/>
          <w:sz w:val="24"/>
          <w:szCs w:val="24"/>
        </w:rPr>
        <w:t>m；</w:t>
      </w:r>
      <w:bookmarkEnd w:id="496"/>
      <w:bookmarkEnd w:id="497"/>
      <w:bookmarkEnd w:id="498"/>
      <w:bookmarkEnd w:id="499"/>
    </w:p>
    <w:p w14:paraId="5A821678">
      <w:pPr>
        <w:pStyle w:val="37"/>
        <w:spacing w:before="120" w:line="360" w:lineRule="auto"/>
        <w:rPr>
          <w:bCs w:val="0"/>
          <w:color w:val="auto"/>
          <w:sz w:val="24"/>
          <w:szCs w:val="24"/>
        </w:rPr>
      </w:pPr>
      <w:r>
        <w:rPr>
          <w:b/>
          <w:color w:val="auto"/>
          <w:sz w:val="24"/>
          <w:szCs w:val="24"/>
        </w:rPr>
        <w:t>2</w:t>
      </w:r>
      <w:r>
        <w:rPr>
          <w:rFonts w:hint="eastAsia"/>
          <w:bCs w:val="0"/>
          <w:color w:val="auto"/>
          <w:sz w:val="24"/>
          <w:szCs w:val="24"/>
        </w:rPr>
        <w:t xml:space="preserve">  </w:t>
      </w:r>
      <w:r>
        <w:rPr>
          <w:bCs w:val="0"/>
          <w:color w:val="auto"/>
          <w:sz w:val="24"/>
          <w:szCs w:val="24"/>
        </w:rPr>
        <w:t>人工垂直接地体应采用热浸镀锌圆钢、热浸镀锌角钢，长度</w:t>
      </w:r>
      <w:r>
        <w:rPr>
          <w:rFonts w:hint="eastAsia"/>
          <w:bCs w:val="0"/>
          <w:color w:val="auto"/>
          <w:sz w:val="24"/>
          <w:szCs w:val="24"/>
        </w:rPr>
        <w:t>应</w:t>
      </w:r>
      <w:r>
        <w:rPr>
          <w:bCs w:val="0"/>
          <w:color w:val="auto"/>
          <w:sz w:val="24"/>
          <w:szCs w:val="24"/>
        </w:rPr>
        <w:t>为2.5m，埋设间距不</w:t>
      </w:r>
      <w:r>
        <w:rPr>
          <w:rFonts w:hint="eastAsia"/>
          <w:bCs w:val="0"/>
          <w:color w:val="auto"/>
          <w:sz w:val="24"/>
          <w:szCs w:val="24"/>
        </w:rPr>
        <w:t>应</w:t>
      </w:r>
      <w:r>
        <w:rPr>
          <w:bCs w:val="0"/>
          <w:color w:val="auto"/>
          <w:sz w:val="24"/>
          <w:szCs w:val="24"/>
        </w:rPr>
        <w:t>小于5m</w:t>
      </w:r>
      <w:r>
        <w:rPr>
          <w:rFonts w:hint="eastAsia"/>
          <w:bCs w:val="0"/>
          <w:color w:val="auto"/>
          <w:sz w:val="24"/>
          <w:szCs w:val="24"/>
        </w:rPr>
        <w:t>，</w:t>
      </w:r>
      <w:r>
        <w:rPr>
          <w:bCs w:val="0"/>
          <w:color w:val="auto"/>
          <w:sz w:val="24"/>
          <w:szCs w:val="24"/>
        </w:rPr>
        <w:t>人工水平接地体采用热浸镀锌扁钢不</w:t>
      </w:r>
      <w:r>
        <w:rPr>
          <w:rFonts w:hint="eastAsia"/>
          <w:bCs w:val="0"/>
          <w:color w:val="auto"/>
          <w:sz w:val="24"/>
          <w:szCs w:val="24"/>
        </w:rPr>
        <w:t>应</w:t>
      </w:r>
      <w:r>
        <w:rPr>
          <w:bCs w:val="0"/>
          <w:color w:val="auto"/>
          <w:sz w:val="24"/>
          <w:szCs w:val="24"/>
        </w:rPr>
        <w:t>小于</w:t>
      </w:r>
      <w:r>
        <w:rPr>
          <w:rFonts w:hint="eastAsia"/>
          <w:bCs w:val="0"/>
          <w:color w:val="auto"/>
          <w:sz w:val="24"/>
          <w:szCs w:val="24"/>
        </w:rPr>
        <w:t>-</w:t>
      </w:r>
      <w:r>
        <w:rPr>
          <w:bCs w:val="0"/>
          <w:color w:val="auto"/>
          <w:sz w:val="24"/>
          <w:szCs w:val="24"/>
        </w:rPr>
        <w:t>40mm×3mm。</w:t>
      </w:r>
    </w:p>
    <w:p w14:paraId="4BA4D874">
      <w:pPr>
        <w:pStyle w:val="35"/>
        <w:spacing w:before="120" w:line="360" w:lineRule="auto"/>
        <w:rPr>
          <w:bCs w:val="0"/>
          <w:color w:val="auto"/>
          <w:szCs w:val="24"/>
        </w:rPr>
      </w:pPr>
      <w:r>
        <w:rPr>
          <w:rFonts w:hint="eastAsia"/>
          <w:b/>
          <w:color w:val="auto"/>
          <w:szCs w:val="24"/>
        </w:rPr>
        <w:t>6</w:t>
      </w:r>
      <w:r>
        <w:rPr>
          <w:b/>
          <w:color w:val="auto"/>
          <w:szCs w:val="24"/>
        </w:rPr>
        <w:t>.9.</w:t>
      </w:r>
      <w:r>
        <w:rPr>
          <w:rFonts w:hint="eastAsia"/>
          <w:b/>
          <w:color w:val="auto"/>
          <w:szCs w:val="24"/>
        </w:rPr>
        <w:t>8</w:t>
      </w:r>
      <w:r>
        <w:rPr>
          <w:rFonts w:hint="eastAsia"/>
          <w:bCs w:val="0"/>
          <w:color w:val="auto"/>
          <w:szCs w:val="24"/>
        </w:rPr>
        <w:t xml:space="preserve">  </w:t>
      </w:r>
      <w:r>
        <w:rPr>
          <w:bCs w:val="0"/>
          <w:color w:val="auto"/>
          <w:szCs w:val="24"/>
        </w:rPr>
        <w:t>接地装置的设置应考虑土壤干燥、冻结等季节因素影响。</w:t>
      </w:r>
      <w:bookmarkStart w:id="500" w:name="_Hlk192243691"/>
    </w:p>
    <w:p w14:paraId="0E10B256">
      <w:pPr>
        <w:pStyle w:val="33"/>
        <w:numPr>
          <w:ilvl w:val="0"/>
          <w:numId w:val="0"/>
        </w:numPr>
        <w:spacing w:before="120" w:line="360" w:lineRule="auto"/>
        <w:outlineLvl w:val="1"/>
        <w:rPr>
          <w:sz w:val="24"/>
          <w:szCs w:val="24"/>
        </w:rPr>
      </w:pPr>
      <w:bookmarkStart w:id="501" w:name="_Hlk225437636"/>
      <w:bookmarkStart w:id="502" w:name="_Toc17272"/>
      <w:bookmarkStart w:id="503" w:name="_Toc28724"/>
      <w:bookmarkStart w:id="504" w:name="_Toc17329"/>
      <w:bookmarkStart w:id="505" w:name="_Toc11242"/>
      <w:bookmarkStart w:id="506" w:name="_Toc11672"/>
      <w:bookmarkStart w:id="507" w:name="_Toc26325"/>
      <w:bookmarkStart w:id="508" w:name="_Toc19535"/>
      <w:bookmarkStart w:id="509" w:name="_Hlk192243236"/>
      <w:r>
        <w:rPr>
          <w:rFonts w:hint="eastAsia" w:eastAsia="宋体"/>
          <w:b/>
          <w:bCs/>
          <w:sz w:val="24"/>
          <w:szCs w:val="24"/>
        </w:rPr>
        <w:t xml:space="preserve">6.10 </w:t>
      </w:r>
      <w:bookmarkEnd w:id="501"/>
      <w:bookmarkStart w:id="510" w:name="OLE_LINK176"/>
      <w:r>
        <w:rPr>
          <w:rFonts w:hint="eastAsia" w:eastAsia="宋体"/>
          <w:b/>
          <w:bCs/>
          <w:sz w:val="24"/>
          <w:szCs w:val="24"/>
        </w:rPr>
        <w:t>电气设施设备检验与验收</w:t>
      </w:r>
      <w:bookmarkEnd w:id="502"/>
      <w:bookmarkEnd w:id="503"/>
      <w:bookmarkEnd w:id="504"/>
      <w:bookmarkEnd w:id="505"/>
      <w:bookmarkEnd w:id="506"/>
      <w:bookmarkEnd w:id="507"/>
      <w:bookmarkEnd w:id="508"/>
      <w:bookmarkEnd w:id="510"/>
    </w:p>
    <w:p w14:paraId="319638B4">
      <w:pPr>
        <w:pStyle w:val="35"/>
        <w:spacing w:before="120" w:line="360" w:lineRule="auto"/>
        <w:rPr>
          <w:bCs w:val="0"/>
          <w:color w:val="auto"/>
          <w:szCs w:val="24"/>
        </w:rPr>
      </w:pPr>
      <w:r>
        <w:rPr>
          <w:rFonts w:hint="eastAsia"/>
          <w:b/>
          <w:color w:val="auto"/>
          <w:szCs w:val="24"/>
        </w:rPr>
        <w:t>6</w:t>
      </w:r>
      <w:r>
        <w:rPr>
          <w:b/>
          <w:color w:val="auto"/>
          <w:szCs w:val="24"/>
        </w:rPr>
        <w:t>.10.1</w:t>
      </w:r>
      <w:r>
        <w:rPr>
          <w:bCs w:val="0"/>
          <w:color w:val="auto"/>
          <w:szCs w:val="24"/>
        </w:rPr>
        <w:t xml:space="preserve"> </w:t>
      </w:r>
      <w:r>
        <w:rPr>
          <w:rFonts w:hint="eastAsia"/>
          <w:bCs w:val="0"/>
          <w:color w:val="auto"/>
          <w:szCs w:val="24"/>
        </w:rPr>
        <w:t xml:space="preserve"> 现场检测、检验主要应包括下列三类</w:t>
      </w:r>
      <w:r>
        <w:rPr>
          <w:bCs w:val="0"/>
          <w:color w:val="auto"/>
          <w:szCs w:val="24"/>
        </w:rPr>
        <w:t>：</w:t>
      </w:r>
    </w:p>
    <w:p w14:paraId="6B0A125A">
      <w:pPr>
        <w:pStyle w:val="37"/>
        <w:spacing w:before="120" w:line="360" w:lineRule="auto"/>
        <w:rPr>
          <w:bCs w:val="0"/>
          <w:color w:val="auto"/>
          <w:sz w:val="24"/>
          <w:szCs w:val="24"/>
        </w:rPr>
      </w:pPr>
      <w:r>
        <w:rPr>
          <w:rFonts w:hint="eastAsia"/>
          <w:b/>
          <w:color w:val="auto"/>
          <w:sz w:val="24"/>
          <w:szCs w:val="24"/>
        </w:rPr>
        <w:t xml:space="preserve">1  </w:t>
      </w:r>
      <w:r>
        <w:rPr>
          <w:rFonts w:hint="eastAsia"/>
          <w:bCs w:val="0"/>
          <w:color w:val="auto"/>
          <w:sz w:val="24"/>
          <w:szCs w:val="24"/>
        </w:rPr>
        <w:t>进场材料检验；</w:t>
      </w:r>
    </w:p>
    <w:p w14:paraId="7C6EF30A">
      <w:pPr>
        <w:pStyle w:val="37"/>
        <w:spacing w:before="120" w:line="360" w:lineRule="auto"/>
        <w:rPr>
          <w:color w:val="auto"/>
          <w:sz w:val="24"/>
          <w:szCs w:val="24"/>
        </w:rPr>
      </w:pPr>
      <w:r>
        <w:rPr>
          <w:rFonts w:hint="eastAsia"/>
          <w:b/>
          <w:color w:val="auto"/>
          <w:sz w:val="24"/>
          <w:szCs w:val="24"/>
        </w:rPr>
        <w:t xml:space="preserve">2  </w:t>
      </w:r>
      <w:r>
        <w:rPr>
          <w:bCs w:val="0"/>
          <w:color w:val="auto"/>
          <w:sz w:val="24"/>
          <w:szCs w:val="24"/>
        </w:rPr>
        <w:t>电气系统、</w:t>
      </w:r>
      <w:r>
        <w:rPr>
          <w:color w:val="auto"/>
          <w:sz w:val="24"/>
          <w:szCs w:val="24"/>
        </w:rPr>
        <w:t>电线电缆、</w:t>
      </w:r>
      <w:r>
        <w:rPr>
          <w:bCs w:val="0"/>
          <w:color w:val="auto"/>
          <w:sz w:val="24"/>
          <w:szCs w:val="24"/>
        </w:rPr>
        <w:t>用电设施设备</w:t>
      </w:r>
      <w:r>
        <w:rPr>
          <w:color w:val="auto"/>
          <w:sz w:val="24"/>
          <w:szCs w:val="24"/>
        </w:rPr>
        <w:t>安装后</w:t>
      </w:r>
      <w:r>
        <w:rPr>
          <w:rFonts w:hint="eastAsia"/>
          <w:color w:val="auto"/>
          <w:sz w:val="24"/>
          <w:szCs w:val="24"/>
        </w:rPr>
        <w:t>、</w:t>
      </w:r>
      <w:r>
        <w:rPr>
          <w:color w:val="auto"/>
          <w:sz w:val="24"/>
          <w:szCs w:val="24"/>
        </w:rPr>
        <w:t>使用前检</w:t>
      </w:r>
      <w:r>
        <w:rPr>
          <w:rFonts w:hint="eastAsia"/>
          <w:color w:val="auto"/>
          <w:sz w:val="24"/>
          <w:szCs w:val="24"/>
        </w:rPr>
        <w:t>验；</w:t>
      </w:r>
    </w:p>
    <w:p w14:paraId="476EB9A6">
      <w:pPr>
        <w:pStyle w:val="37"/>
        <w:spacing w:before="120" w:line="360" w:lineRule="auto"/>
        <w:rPr>
          <w:color w:val="auto"/>
          <w:sz w:val="24"/>
          <w:szCs w:val="24"/>
        </w:rPr>
      </w:pPr>
      <w:r>
        <w:rPr>
          <w:rFonts w:hint="eastAsia"/>
          <w:b/>
          <w:bCs w:val="0"/>
          <w:color w:val="auto"/>
          <w:sz w:val="24"/>
          <w:szCs w:val="24"/>
        </w:rPr>
        <w:t>3</w:t>
      </w:r>
      <w:r>
        <w:rPr>
          <w:rFonts w:hint="eastAsia"/>
          <w:color w:val="auto"/>
          <w:sz w:val="24"/>
          <w:szCs w:val="24"/>
        </w:rPr>
        <w:t xml:space="preserve">  </w:t>
      </w:r>
      <w:r>
        <w:rPr>
          <w:bCs w:val="0"/>
          <w:color w:val="auto"/>
          <w:sz w:val="24"/>
          <w:szCs w:val="24"/>
        </w:rPr>
        <w:t>电气系统</w:t>
      </w:r>
      <w:r>
        <w:rPr>
          <w:rFonts w:hint="eastAsia"/>
          <w:bCs w:val="0"/>
          <w:color w:val="auto"/>
          <w:sz w:val="24"/>
          <w:szCs w:val="24"/>
        </w:rPr>
        <w:t>，配电</w:t>
      </w:r>
      <w:r>
        <w:rPr>
          <w:color w:val="auto"/>
          <w:sz w:val="24"/>
          <w:szCs w:val="24"/>
        </w:rPr>
        <w:t>、</w:t>
      </w:r>
      <w:r>
        <w:rPr>
          <w:bCs w:val="0"/>
          <w:color w:val="auto"/>
          <w:sz w:val="24"/>
          <w:szCs w:val="24"/>
        </w:rPr>
        <w:t>用电设施设备</w:t>
      </w:r>
      <w:r>
        <w:rPr>
          <w:rFonts w:hint="eastAsia"/>
          <w:color w:val="auto"/>
          <w:sz w:val="24"/>
          <w:szCs w:val="24"/>
        </w:rPr>
        <w:t>定期检验</w:t>
      </w:r>
      <w:r>
        <w:rPr>
          <w:color w:val="auto"/>
          <w:sz w:val="24"/>
          <w:szCs w:val="24"/>
        </w:rPr>
        <w:t>。</w:t>
      </w:r>
    </w:p>
    <w:p w14:paraId="7DD4E83F">
      <w:pPr>
        <w:pStyle w:val="35"/>
        <w:spacing w:before="120" w:line="360" w:lineRule="auto"/>
        <w:rPr>
          <w:b/>
          <w:color w:val="auto"/>
          <w:szCs w:val="24"/>
        </w:rPr>
      </w:pPr>
      <w:r>
        <w:rPr>
          <w:rFonts w:hint="eastAsia"/>
          <w:b/>
          <w:color w:val="auto"/>
          <w:szCs w:val="24"/>
        </w:rPr>
        <w:t>6</w:t>
      </w:r>
      <w:r>
        <w:rPr>
          <w:b/>
          <w:color w:val="auto"/>
          <w:szCs w:val="24"/>
        </w:rPr>
        <w:t xml:space="preserve">.10.2 </w:t>
      </w:r>
      <w:r>
        <w:rPr>
          <w:rFonts w:hint="eastAsia"/>
          <w:b/>
          <w:color w:val="auto"/>
          <w:szCs w:val="24"/>
        </w:rPr>
        <w:t xml:space="preserve"> </w:t>
      </w:r>
      <w:r>
        <w:rPr>
          <w:bCs w:val="0"/>
          <w:color w:val="auto"/>
          <w:szCs w:val="24"/>
        </w:rPr>
        <w:t>现场</w:t>
      </w:r>
      <w:bookmarkStart w:id="511" w:name="_Hlk216769208"/>
      <w:r>
        <w:rPr>
          <w:rFonts w:hint="eastAsia"/>
          <w:bCs w:val="0"/>
          <w:color w:val="auto"/>
          <w:szCs w:val="24"/>
        </w:rPr>
        <w:t>供电、配电</w:t>
      </w:r>
      <w:r>
        <w:rPr>
          <w:bCs w:val="0"/>
          <w:color w:val="auto"/>
          <w:szCs w:val="24"/>
        </w:rPr>
        <w:t>、</w:t>
      </w:r>
      <w:r>
        <w:rPr>
          <w:rFonts w:hint="eastAsia"/>
          <w:bCs w:val="0"/>
          <w:color w:val="auto"/>
          <w:szCs w:val="24"/>
        </w:rPr>
        <w:t>用电</w:t>
      </w:r>
      <w:r>
        <w:rPr>
          <w:bCs w:val="0"/>
          <w:color w:val="auto"/>
          <w:szCs w:val="24"/>
        </w:rPr>
        <w:t>设施设备</w:t>
      </w:r>
      <w:bookmarkEnd w:id="511"/>
      <w:r>
        <w:rPr>
          <w:rFonts w:hint="eastAsia"/>
          <w:bCs w:val="0"/>
          <w:color w:val="auto"/>
          <w:szCs w:val="24"/>
        </w:rPr>
        <w:t>检测、检验</w:t>
      </w:r>
      <w:r>
        <w:rPr>
          <w:bCs w:val="0"/>
          <w:color w:val="auto"/>
          <w:szCs w:val="24"/>
        </w:rPr>
        <w:t>周期应符合下列规定：</w:t>
      </w:r>
    </w:p>
    <w:p w14:paraId="6BDEBC02">
      <w:pPr>
        <w:pStyle w:val="37"/>
        <w:spacing w:before="120" w:line="360" w:lineRule="auto"/>
        <w:rPr>
          <w:bCs w:val="0"/>
          <w:color w:val="auto"/>
          <w:sz w:val="24"/>
          <w:szCs w:val="24"/>
        </w:rPr>
      </w:pPr>
      <w:r>
        <w:rPr>
          <w:b/>
          <w:color w:val="auto"/>
          <w:sz w:val="24"/>
          <w:szCs w:val="24"/>
        </w:rPr>
        <w:t>1</w:t>
      </w:r>
      <w:r>
        <w:rPr>
          <w:rFonts w:hint="eastAsia"/>
          <w:b/>
          <w:color w:val="auto"/>
          <w:sz w:val="24"/>
          <w:szCs w:val="24"/>
        </w:rPr>
        <w:t xml:space="preserve"> </w:t>
      </w:r>
      <w:r>
        <w:rPr>
          <w:rFonts w:hint="eastAsia"/>
          <w:bCs w:val="0"/>
          <w:color w:val="auto"/>
          <w:sz w:val="24"/>
          <w:szCs w:val="24"/>
        </w:rPr>
        <w:t xml:space="preserve"> 供电、配电</w:t>
      </w:r>
      <w:r>
        <w:rPr>
          <w:bCs w:val="0"/>
          <w:color w:val="auto"/>
          <w:sz w:val="24"/>
          <w:szCs w:val="24"/>
        </w:rPr>
        <w:t>、</w:t>
      </w:r>
      <w:r>
        <w:rPr>
          <w:rFonts w:hint="eastAsia"/>
          <w:bCs w:val="0"/>
          <w:color w:val="auto"/>
          <w:sz w:val="24"/>
          <w:szCs w:val="24"/>
        </w:rPr>
        <w:t>用电</w:t>
      </w:r>
      <w:r>
        <w:rPr>
          <w:bCs w:val="0"/>
          <w:color w:val="auto"/>
          <w:sz w:val="24"/>
          <w:szCs w:val="24"/>
        </w:rPr>
        <w:t>设施设备</w:t>
      </w:r>
      <w:r>
        <w:rPr>
          <w:rFonts w:hint="eastAsia"/>
          <w:bCs w:val="0"/>
          <w:color w:val="auto"/>
          <w:sz w:val="24"/>
          <w:szCs w:val="24"/>
        </w:rPr>
        <w:t>的</w:t>
      </w:r>
      <w:r>
        <w:rPr>
          <w:bCs w:val="0"/>
          <w:color w:val="auto"/>
          <w:sz w:val="24"/>
          <w:szCs w:val="24"/>
        </w:rPr>
        <w:t>绝缘</w:t>
      </w:r>
      <w:r>
        <w:rPr>
          <w:rFonts w:hint="eastAsia"/>
          <w:bCs w:val="0"/>
          <w:color w:val="auto"/>
          <w:sz w:val="24"/>
          <w:szCs w:val="24"/>
        </w:rPr>
        <w:t>强度</w:t>
      </w:r>
      <w:r>
        <w:rPr>
          <w:bCs w:val="0"/>
          <w:color w:val="auto"/>
          <w:sz w:val="24"/>
          <w:szCs w:val="24"/>
        </w:rPr>
        <w:t>每季度不应少于1次检测</w:t>
      </w:r>
      <w:r>
        <w:rPr>
          <w:rFonts w:hint="eastAsia"/>
          <w:bCs w:val="0"/>
          <w:color w:val="auto"/>
          <w:sz w:val="24"/>
          <w:szCs w:val="24"/>
        </w:rPr>
        <w:t>，施工现场开、复工使用前及降水、降雪等极端天气情况，应进行绝缘强度</w:t>
      </w:r>
      <w:r>
        <w:rPr>
          <w:bCs w:val="0"/>
          <w:color w:val="auto"/>
          <w:sz w:val="24"/>
          <w:szCs w:val="24"/>
        </w:rPr>
        <w:t>检测</w:t>
      </w:r>
      <w:r>
        <w:rPr>
          <w:rFonts w:hint="eastAsia"/>
          <w:bCs w:val="0"/>
          <w:color w:val="auto"/>
          <w:sz w:val="24"/>
          <w:szCs w:val="24"/>
        </w:rPr>
        <w:t>并符合要求；</w:t>
      </w:r>
    </w:p>
    <w:p w14:paraId="5ADF9422">
      <w:pPr>
        <w:pStyle w:val="37"/>
        <w:spacing w:before="120" w:line="360" w:lineRule="auto"/>
        <w:rPr>
          <w:bCs w:val="0"/>
          <w:color w:val="auto"/>
          <w:sz w:val="24"/>
          <w:szCs w:val="24"/>
        </w:rPr>
      </w:pPr>
      <w:r>
        <w:rPr>
          <w:b/>
          <w:color w:val="auto"/>
          <w:sz w:val="24"/>
          <w:szCs w:val="24"/>
        </w:rPr>
        <w:t>2</w:t>
      </w:r>
      <w:r>
        <w:rPr>
          <w:rFonts w:hint="eastAsia"/>
          <w:b/>
          <w:color w:val="auto"/>
          <w:sz w:val="24"/>
          <w:szCs w:val="24"/>
        </w:rPr>
        <w:t xml:space="preserve"> </w:t>
      </w:r>
      <w:r>
        <w:rPr>
          <w:rFonts w:hint="eastAsia"/>
          <w:bCs w:val="0"/>
          <w:color w:val="auto"/>
          <w:sz w:val="24"/>
          <w:szCs w:val="24"/>
        </w:rPr>
        <w:t xml:space="preserve"> </w:t>
      </w:r>
      <w:r>
        <w:rPr>
          <w:bCs w:val="0"/>
          <w:color w:val="auto"/>
          <w:sz w:val="24"/>
          <w:szCs w:val="24"/>
        </w:rPr>
        <w:t>各类接地装置每季度不应少于1次接地电阻检测</w:t>
      </w:r>
      <w:r>
        <w:rPr>
          <w:rFonts w:hint="eastAsia"/>
          <w:bCs w:val="0"/>
          <w:color w:val="auto"/>
          <w:sz w:val="24"/>
          <w:szCs w:val="24"/>
        </w:rPr>
        <w:t>，</w:t>
      </w:r>
      <w:r>
        <w:rPr>
          <w:bCs w:val="0"/>
          <w:color w:val="auto"/>
          <w:sz w:val="24"/>
          <w:szCs w:val="24"/>
        </w:rPr>
        <w:t>现场防雷接地装置每年雨季前应</w:t>
      </w:r>
      <w:r>
        <w:rPr>
          <w:rFonts w:hint="eastAsia"/>
          <w:bCs w:val="0"/>
          <w:color w:val="auto"/>
          <w:sz w:val="24"/>
          <w:szCs w:val="24"/>
        </w:rPr>
        <w:t>进行检测并符合要求</w:t>
      </w:r>
      <w:r>
        <w:rPr>
          <w:bCs w:val="0"/>
          <w:color w:val="auto"/>
          <w:sz w:val="24"/>
          <w:szCs w:val="24"/>
        </w:rPr>
        <w:t>；</w:t>
      </w:r>
    </w:p>
    <w:p w14:paraId="4E42BC7C">
      <w:pPr>
        <w:pStyle w:val="37"/>
        <w:spacing w:before="120" w:line="360" w:lineRule="auto"/>
        <w:rPr>
          <w:bCs w:val="0"/>
          <w:color w:val="auto"/>
          <w:sz w:val="24"/>
          <w:szCs w:val="24"/>
        </w:rPr>
      </w:pPr>
      <w:r>
        <w:rPr>
          <w:b/>
          <w:color w:val="auto"/>
          <w:sz w:val="24"/>
          <w:szCs w:val="24"/>
        </w:rPr>
        <w:t>3</w:t>
      </w:r>
      <w:r>
        <w:rPr>
          <w:rFonts w:hint="eastAsia"/>
          <w:b/>
          <w:color w:val="auto"/>
          <w:sz w:val="24"/>
          <w:szCs w:val="24"/>
        </w:rPr>
        <w:t xml:space="preserve"> </w:t>
      </w:r>
      <w:r>
        <w:rPr>
          <w:bCs w:val="0"/>
          <w:color w:val="auto"/>
          <w:sz w:val="24"/>
          <w:szCs w:val="24"/>
        </w:rPr>
        <w:t xml:space="preserve"> 剩余电流动作保护电器安装后使用</w:t>
      </w:r>
      <w:r>
        <w:rPr>
          <w:rFonts w:hint="eastAsia"/>
          <w:bCs w:val="0"/>
          <w:color w:val="auto"/>
          <w:sz w:val="24"/>
          <w:szCs w:val="24"/>
        </w:rPr>
        <w:t>前</w:t>
      </w:r>
      <w:r>
        <w:rPr>
          <w:bCs w:val="0"/>
          <w:color w:val="auto"/>
          <w:sz w:val="24"/>
          <w:szCs w:val="24"/>
        </w:rPr>
        <w:t>应</w:t>
      </w:r>
      <w:r>
        <w:rPr>
          <w:rFonts w:hint="eastAsia"/>
          <w:bCs w:val="0"/>
          <w:color w:val="auto"/>
          <w:sz w:val="24"/>
          <w:szCs w:val="24"/>
        </w:rPr>
        <w:t>进行</w:t>
      </w:r>
      <w:r>
        <w:rPr>
          <w:bCs w:val="0"/>
          <w:color w:val="auto"/>
          <w:sz w:val="24"/>
          <w:szCs w:val="24"/>
        </w:rPr>
        <w:t>参数检</w:t>
      </w:r>
      <w:r>
        <w:rPr>
          <w:rFonts w:hint="eastAsia"/>
          <w:bCs w:val="0"/>
          <w:color w:val="auto"/>
          <w:sz w:val="24"/>
          <w:szCs w:val="24"/>
        </w:rPr>
        <w:t>验，使用</w:t>
      </w:r>
      <w:r>
        <w:rPr>
          <w:bCs w:val="0"/>
          <w:color w:val="auto"/>
          <w:sz w:val="24"/>
          <w:szCs w:val="24"/>
        </w:rPr>
        <w:t>中每月不应少于1次参数检</w:t>
      </w:r>
      <w:r>
        <w:rPr>
          <w:rFonts w:hint="eastAsia"/>
          <w:bCs w:val="0"/>
          <w:color w:val="auto"/>
          <w:sz w:val="24"/>
          <w:szCs w:val="24"/>
        </w:rPr>
        <w:t>验，搁置6个月及以上、大电流脱扣的剩余电流动作保护电器经检验合格，方可投入使用；</w:t>
      </w:r>
    </w:p>
    <w:p w14:paraId="7145BC9B">
      <w:pPr>
        <w:pStyle w:val="37"/>
        <w:spacing w:before="120" w:line="360" w:lineRule="auto"/>
        <w:rPr>
          <w:bCs w:val="0"/>
          <w:color w:val="auto"/>
          <w:sz w:val="24"/>
          <w:szCs w:val="24"/>
        </w:rPr>
      </w:pPr>
      <w:r>
        <w:rPr>
          <w:b/>
          <w:color w:val="auto"/>
          <w:sz w:val="24"/>
          <w:szCs w:val="24"/>
        </w:rPr>
        <w:t>4</w:t>
      </w:r>
      <w:r>
        <w:rPr>
          <w:bCs w:val="0"/>
          <w:color w:val="auto"/>
          <w:sz w:val="24"/>
          <w:szCs w:val="24"/>
        </w:rPr>
        <w:t xml:space="preserve"> </w:t>
      </w:r>
      <w:r>
        <w:rPr>
          <w:rFonts w:hint="eastAsia"/>
          <w:bCs w:val="0"/>
          <w:color w:val="auto"/>
          <w:sz w:val="24"/>
          <w:szCs w:val="24"/>
        </w:rPr>
        <w:t xml:space="preserve"> </w:t>
      </w:r>
      <w:r>
        <w:rPr>
          <w:bCs w:val="0"/>
          <w:color w:val="auto"/>
          <w:sz w:val="24"/>
          <w:szCs w:val="24"/>
        </w:rPr>
        <w:t>末端电气设备安装后、使用前，应做末端回路阻抗检验。</w:t>
      </w:r>
    </w:p>
    <w:p w14:paraId="1B61852A">
      <w:pPr>
        <w:pStyle w:val="35"/>
        <w:spacing w:before="120" w:line="360" w:lineRule="auto"/>
        <w:rPr>
          <w:bCs w:val="0"/>
          <w:color w:val="auto"/>
          <w:szCs w:val="24"/>
        </w:rPr>
      </w:pPr>
      <w:bookmarkStart w:id="512" w:name="_Hlk225350389"/>
      <w:bookmarkStart w:id="513" w:name="_Hlk225437707"/>
      <w:bookmarkStart w:id="514" w:name="_Toc4615"/>
      <w:bookmarkStart w:id="515" w:name="_Toc12712"/>
      <w:r>
        <w:rPr>
          <w:rFonts w:hint="eastAsia"/>
          <w:b/>
          <w:color w:val="auto"/>
          <w:szCs w:val="24"/>
        </w:rPr>
        <w:t>6</w:t>
      </w:r>
      <w:r>
        <w:rPr>
          <w:b/>
          <w:color w:val="auto"/>
          <w:szCs w:val="24"/>
        </w:rPr>
        <w:t>.10</w:t>
      </w:r>
      <w:bookmarkEnd w:id="512"/>
      <w:r>
        <w:rPr>
          <w:b/>
          <w:color w:val="auto"/>
          <w:szCs w:val="24"/>
        </w:rPr>
        <w:t>.3</w:t>
      </w:r>
      <w:bookmarkEnd w:id="513"/>
      <w:r>
        <w:rPr>
          <w:rFonts w:hint="eastAsia"/>
          <w:bCs w:val="0"/>
          <w:color w:val="auto"/>
          <w:szCs w:val="24"/>
        </w:rPr>
        <w:t xml:space="preserve"> </w:t>
      </w:r>
      <w:r>
        <w:rPr>
          <w:bCs w:val="0"/>
          <w:color w:val="auto"/>
          <w:szCs w:val="24"/>
        </w:rPr>
        <w:t>检测仪表应在计量检定有效期内。</w:t>
      </w:r>
      <w:bookmarkEnd w:id="514"/>
      <w:bookmarkEnd w:id="515"/>
    </w:p>
    <w:p w14:paraId="073E63AB">
      <w:pPr>
        <w:pStyle w:val="35"/>
        <w:spacing w:before="120" w:line="360" w:lineRule="auto"/>
        <w:rPr>
          <w:color w:val="auto"/>
          <w:szCs w:val="24"/>
        </w:rPr>
      </w:pPr>
      <w:bookmarkStart w:id="516" w:name="_Hlk225437738"/>
      <w:r>
        <w:rPr>
          <w:rFonts w:hint="eastAsia"/>
          <w:b/>
          <w:color w:val="auto"/>
          <w:szCs w:val="24"/>
        </w:rPr>
        <w:t>6</w:t>
      </w:r>
      <w:r>
        <w:rPr>
          <w:b/>
          <w:color w:val="auto"/>
          <w:szCs w:val="24"/>
        </w:rPr>
        <w:t>.10.</w:t>
      </w:r>
      <w:r>
        <w:rPr>
          <w:rFonts w:hint="eastAsia"/>
          <w:b/>
          <w:color w:val="auto"/>
          <w:szCs w:val="24"/>
        </w:rPr>
        <w:t>4</w:t>
      </w:r>
      <w:bookmarkEnd w:id="516"/>
      <w:r>
        <w:rPr>
          <w:b/>
          <w:color w:val="auto"/>
          <w:szCs w:val="24"/>
        </w:rPr>
        <w:t xml:space="preserve">  </w:t>
      </w:r>
      <w:r>
        <w:rPr>
          <w:bCs w:val="0"/>
          <w:color w:val="auto"/>
          <w:szCs w:val="24"/>
        </w:rPr>
        <w:t>供用电装置安装后及停机检修通电前，应</w:t>
      </w:r>
      <w:r>
        <w:rPr>
          <w:rFonts w:hint="eastAsia"/>
          <w:bCs w:val="0"/>
          <w:color w:val="auto"/>
          <w:szCs w:val="24"/>
        </w:rPr>
        <w:t>检验</w:t>
      </w:r>
      <w:r>
        <w:rPr>
          <w:bCs w:val="0"/>
          <w:color w:val="auto"/>
          <w:szCs w:val="24"/>
        </w:rPr>
        <w:t>带电导体之间及带电导体与保护接地导体之间绝缘电阻</w:t>
      </w:r>
      <w:r>
        <w:rPr>
          <w:rFonts w:hint="eastAsia"/>
          <w:bCs w:val="0"/>
          <w:color w:val="auto"/>
          <w:szCs w:val="24"/>
        </w:rPr>
        <w:t>并记录，见附录A、表A.0.5 绝缘电阻测试记录。</w:t>
      </w:r>
      <w:r>
        <w:rPr>
          <w:bCs w:val="0"/>
          <w:color w:val="auto"/>
          <w:szCs w:val="24"/>
        </w:rPr>
        <w:t>测试值应符合表</w:t>
      </w:r>
      <w:r>
        <w:rPr>
          <w:rFonts w:hint="eastAsia"/>
          <w:color w:val="auto"/>
          <w:szCs w:val="24"/>
        </w:rPr>
        <w:t>6</w:t>
      </w:r>
      <w:r>
        <w:rPr>
          <w:color w:val="auto"/>
          <w:szCs w:val="24"/>
        </w:rPr>
        <w:t>.</w:t>
      </w:r>
      <w:r>
        <w:rPr>
          <w:rFonts w:hint="eastAsia"/>
          <w:color w:val="auto"/>
          <w:szCs w:val="24"/>
        </w:rPr>
        <w:t>10</w:t>
      </w:r>
      <w:r>
        <w:rPr>
          <w:color w:val="auto"/>
          <w:szCs w:val="24"/>
        </w:rPr>
        <w:t>.</w:t>
      </w:r>
      <w:r>
        <w:rPr>
          <w:rFonts w:hint="eastAsia"/>
          <w:color w:val="auto"/>
          <w:szCs w:val="24"/>
        </w:rPr>
        <w:t>4</w:t>
      </w:r>
      <w:r>
        <w:rPr>
          <w:bCs w:val="0"/>
          <w:color w:val="auto"/>
          <w:szCs w:val="24"/>
        </w:rPr>
        <w:t>规定；</w:t>
      </w:r>
    </w:p>
    <w:p w14:paraId="7F824E91">
      <w:pPr>
        <w:pStyle w:val="40"/>
        <w:spacing w:before="120" w:line="360" w:lineRule="auto"/>
        <w:rPr>
          <w:b/>
          <w:bCs w:val="0"/>
          <w:color w:val="auto"/>
          <w:szCs w:val="21"/>
        </w:rPr>
      </w:pPr>
      <w:r>
        <w:rPr>
          <w:b/>
          <w:bCs w:val="0"/>
          <w:color w:val="auto"/>
          <w:szCs w:val="21"/>
        </w:rPr>
        <w:t>表</w:t>
      </w:r>
      <w:r>
        <w:rPr>
          <w:rFonts w:hint="eastAsia"/>
          <w:b/>
          <w:bCs w:val="0"/>
          <w:color w:val="auto"/>
          <w:szCs w:val="21"/>
        </w:rPr>
        <w:t>6</w:t>
      </w:r>
      <w:r>
        <w:rPr>
          <w:b/>
          <w:bCs w:val="0"/>
          <w:color w:val="auto"/>
          <w:szCs w:val="21"/>
        </w:rPr>
        <w:t>.</w:t>
      </w:r>
      <w:r>
        <w:rPr>
          <w:rFonts w:hint="eastAsia"/>
          <w:b/>
          <w:bCs w:val="0"/>
          <w:color w:val="auto"/>
          <w:szCs w:val="21"/>
        </w:rPr>
        <w:t>10</w:t>
      </w:r>
      <w:r>
        <w:rPr>
          <w:b/>
          <w:bCs w:val="0"/>
          <w:color w:val="auto"/>
          <w:szCs w:val="21"/>
        </w:rPr>
        <w:t>.</w:t>
      </w:r>
      <w:r>
        <w:rPr>
          <w:rFonts w:hint="eastAsia"/>
          <w:b/>
          <w:bCs w:val="0"/>
          <w:color w:val="auto"/>
          <w:szCs w:val="21"/>
        </w:rPr>
        <w:t>4</w:t>
      </w:r>
      <w:r>
        <w:rPr>
          <w:b/>
          <w:bCs w:val="0"/>
          <w:color w:val="auto"/>
          <w:szCs w:val="21"/>
        </w:rPr>
        <w:t>绝缘电阻最小值</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1"/>
        <w:gridCol w:w="2045"/>
        <w:gridCol w:w="1936"/>
      </w:tblGrid>
      <w:tr w14:paraId="6AE9C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1" w:type="dxa"/>
            <w:vAlign w:val="center"/>
          </w:tcPr>
          <w:p w14:paraId="450CFA66">
            <w:pPr>
              <w:spacing w:line="360" w:lineRule="auto"/>
              <w:jc w:val="center"/>
              <w:rPr>
                <w:szCs w:val="21"/>
              </w:rPr>
            </w:pPr>
            <w:r>
              <w:rPr>
                <w:szCs w:val="21"/>
              </w:rPr>
              <w:t>设施或设备电源回路标称电压（V）</w:t>
            </w:r>
          </w:p>
        </w:tc>
        <w:tc>
          <w:tcPr>
            <w:tcW w:w="2045" w:type="dxa"/>
            <w:vAlign w:val="center"/>
          </w:tcPr>
          <w:p w14:paraId="1DEF0049">
            <w:pPr>
              <w:spacing w:line="360" w:lineRule="auto"/>
              <w:jc w:val="center"/>
              <w:rPr>
                <w:szCs w:val="21"/>
              </w:rPr>
            </w:pPr>
            <w:r>
              <w:rPr>
                <w:szCs w:val="21"/>
              </w:rPr>
              <w:t>直流测试电压（V）</w:t>
            </w:r>
          </w:p>
        </w:tc>
        <w:tc>
          <w:tcPr>
            <w:tcW w:w="1936" w:type="dxa"/>
            <w:vAlign w:val="center"/>
          </w:tcPr>
          <w:p w14:paraId="74EAB334">
            <w:pPr>
              <w:spacing w:line="360" w:lineRule="auto"/>
              <w:jc w:val="center"/>
              <w:rPr>
                <w:szCs w:val="21"/>
              </w:rPr>
            </w:pPr>
            <w:r>
              <w:rPr>
                <w:szCs w:val="21"/>
              </w:rPr>
              <w:t>绝缘电阻（MΩ）</w:t>
            </w:r>
          </w:p>
        </w:tc>
      </w:tr>
      <w:tr w14:paraId="7C00D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1" w:type="dxa"/>
            <w:vAlign w:val="center"/>
          </w:tcPr>
          <w:p w14:paraId="25398AF8">
            <w:pPr>
              <w:spacing w:line="360" w:lineRule="auto"/>
              <w:jc w:val="center"/>
              <w:rPr>
                <w:szCs w:val="21"/>
              </w:rPr>
            </w:pPr>
            <w:r>
              <w:rPr>
                <w:szCs w:val="21"/>
              </w:rPr>
              <w:t>SELV和PELV</w:t>
            </w:r>
          </w:p>
        </w:tc>
        <w:tc>
          <w:tcPr>
            <w:tcW w:w="2045" w:type="dxa"/>
            <w:vAlign w:val="center"/>
          </w:tcPr>
          <w:p w14:paraId="2B9520B0">
            <w:pPr>
              <w:spacing w:line="360" w:lineRule="auto"/>
              <w:jc w:val="center"/>
              <w:rPr>
                <w:szCs w:val="21"/>
              </w:rPr>
            </w:pPr>
            <w:r>
              <w:rPr>
                <w:szCs w:val="21"/>
              </w:rPr>
              <w:t>250</w:t>
            </w:r>
          </w:p>
        </w:tc>
        <w:tc>
          <w:tcPr>
            <w:tcW w:w="1936" w:type="dxa"/>
            <w:vAlign w:val="center"/>
          </w:tcPr>
          <w:p w14:paraId="1313DC8D">
            <w:pPr>
              <w:spacing w:line="360" w:lineRule="auto"/>
              <w:jc w:val="center"/>
              <w:rPr>
                <w:szCs w:val="21"/>
              </w:rPr>
            </w:pPr>
            <w:r>
              <w:rPr>
                <w:rFonts w:hint="eastAsia"/>
                <w:szCs w:val="21"/>
              </w:rPr>
              <w:t>0.5</w:t>
            </w:r>
          </w:p>
        </w:tc>
      </w:tr>
      <w:tr w14:paraId="7A413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1" w:type="dxa"/>
            <w:vAlign w:val="center"/>
          </w:tcPr>
          <w:p w14:paraId="46D8C313">
            <w:pPr>
              <w:spacing w:line="360" w:lineRule="auto"/>
              <w:jc w:val="center"/>
              <w:rPr>
                <w:szCs w:val="21"/>
              </w:rPr>
            </w:pPr>
            <w:r>
              <w:rPr>
                <w:szCs w:val="21"/>
              </w:rPr>
              <w:t>500 V及以下，包括FELV</w:t>
            </w:r>
          </w:p>
        </w:tc>
        <w:tc>
          <w:tcPr>
            <w:tcW w:w="2045" w:type="dxa"/>
            <w:vAlign w:val="center"/>
          </w:tcPr>
          <w:p w14:paraId="04C08C25">
            <w:pPr>
              <w:spacing w:line="360" w:lineRule="auto"/>
              <w:jc w:val="center"/>
              <w:rPr>
                <w:szCs w:val="21"/>
              </w:rPr>
            </w:pPr>
            <w:r>
              <w:rPr>
                <w:szCs w:val="21"/>
              </w:rPr>
              <w:t>500</w:t>
            </w:r>
          </w:p>
        </w:tc>
        <w:tc>
          <w:tcPr>
            <w:tcW w:w="1936" w:type="dxa"/>
            <w:vAlign w:val="center"/>
          </w:tcPr>
          <w:p w14:paraId="69CD0B8E">
            <w:pPr>
              <w:spacing w:line="360" w:lineRule="auto"/>
              <w:jc w:val="center"/>
              <w:rPr>
                <w:szCs w:val="21"/>
              </w:rPr>
            </w:pPr>
            <w:r>
              <w:rPr>
                <w:szCs w:val="21"/>
              </w:rPr>
              <w:t>1</w:t>
            </w:r>
          </w:p>
        </w:tc>
      </w:tr>
      <w:tr w14:paraId="6CD8E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1" w:type="dxa"/>
            <w:vAlign w:val="center"/>
          </w:tcPr>
          <w:p w14:paraId="32B062CD">
            <w:pPr>
              <w:spacing w:line="360" w:lineRule="auto"/>
              <w:jc w:val="center"/>
              <w:rPr>
                <w:szCs w:val="21"/>
              </w:rPr>
            </w:pPr>
            <w:r>
              <w:rPr>
                <w:szCs w:val="21"/>
              </w:rPr>
              <w:t>500 V以上</w:t>
            </w:r>
          </w:p>
        </w:tc>
        <w:tc>
          <w:tcPr>
            <w:tcW w:w="2045" w:type="dxa"/>
            <w:vAlign w:val="center"/>
          </w:tcPr>
          <w:p w14:paraId="33CB20A0">
            <w:pPr>
              <w:spacing w:line="360" w:lineRule="auto"/>
              <w:jc w:val="center"/>
              <w:rPr>
                <w:szCs w:val="21"/>
              </w:rPr>
            </w:pPr>
            <w:r>
              <w:rPr>
                <w:szCs w:val="21"/>
              </w:rPr>
              <w:t>1000</w:t>
            </w:r>
          </w:p>
        </w:tc>
        <w:tc>
          <w:tcPr>
            <w:tcW w:w="1936" w:type="dxa"/>
            <w:vAlign w:val="center"/>
          </w:tcPr>
          <w:p w14:paraId="12AF5EEA">
            <w:pPr>
              <w:spacing w:line="360" w:lineRule="auto"/>
              <w:jc w:val="center"/>
              <w:rPr>
                <w:szCs w:val="21"/>
              </w:rPr>
            </w:pPr>
            <w:r>
              <w:rPr>
                <w:szCs w:val="21"/>
              </w:rPr>
              <w:t>1</w:t>
            </w:r>
          </w:p>
        </w:tc>
      </w:tr>
      <w:tr w14:paraId="13964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1" w:type="dxa"/>
            <w:vAlign w:val="center"/>
          </w:tcPr>
          <w:p w14:paraId="5732B988">
            <w:pPr>
              <w:spacing w:line="360" w:lineRule="auto"/>
              <w:jc w:val="center"/>
              <w:rPr>
                <w:szCs w:val="21"/>
              </w:rPr>
            </w:pPr>
            <w:r>
              <w:rPr>
                <w:szCs w:val="21"/>
              </w:rPr>
              <w:t>高压电机的绝缘电阻测试</w:t>
            </w:r>
          </w:p>
        </w:tc>
        <w:tc>
          <w:tcPr>
            <w:tcW w:w="2045" w:type="dxa"/>
            <w:vAlign w:val="center"/>
          </w:tcPr>
          <w:p w14:paraId="50046E72">
            <w:pPr>
              <w:spacing w:line="360" w:lineRule="auto"/>
              <w:jc w:val="center"/>
              <w:rPr>
                <w:szCs w:val="21"/>
              </w:rPr>
            </w:pPr>
            <w:r>
              <w:rPr>
                <w:szCs w:val="21"/>
              </w:rPr>
              <w:t>2500</w:t>
            </w:r>
          </w:p>
        </w:tc>
        <w:tc>
          <w:tcPr>
            <w:tcW w:w="1936" w:type="dxa"/>
            <w:vAlign w:val="center"/>
          </w:tcPr>
          <w:p w14:paraId="550DF5A9">
            <w:pPr>
              <w:spacing w:line="360" w:lineRule="auto"/>
              <w:jc w:val="center"/>
              <w:rPr>
                <w:szCs w:val="21"/>
              </w:rPr>
            </w:pPr>
            <w:r>
              <w:rPr>
                <w:szCs w:val="21"/>
              </w:rPr>
              <w:t>10</w:t>
            </w:r>
          </w:p>
        </w:tc>
      </w:tr>
    </w:tbl>
    <w:p w14:paraId="06BA1FF8">
      <w:pPr>
        <w:pStyle w:val="35"/>
        <w:spacing w:before="120" w:line="360" w:lineRule="auto"/>
        <w:rPr>
          <w:bCs w:val="0"/>
          <w:color w:val="auto"/>
          <w:szCs w:val="24"/>
        </w:rPr>
      </w:pPr>
      <w:bookmarkStart w:id="517" w:name="_Hlk225437806"/>
      <w:r>
        <w:rPr>
          <w:rFonts w:hint="eastAsia"/>
          <w:b/>
          <w:color w:val="auto"/>
          <w:szCs w:val="24"/>
        </w:rPr>
        <w:t>6</w:t>
      </w:r>
      <w:r>
        <w:rPr>
          <w:b/>
          <w:color w:val="auto"/>
          <w:szCs w:val="24"/>
        </w:rPr>
        <w:t>.10.</w:t>
      </w:r>
      <w:r>
        <w:rPr>
          <w:rFonts w:hint="eastAsia"/>
          <w:b/>
          <w:color w:val="auto"/>
          <w:szCs w:val="24"/>
        </w:rPr>
        <w:t>5</w:t>
      </w:r>
      <w:bookmarkEnd w:id="517"/>
      <w:r>
        <w:rPr>
          <w:rFonts w:hint="eastAsia"/>
          <w:b/>
          <w:color w:val="auto"/>
          <w:szCs w:val="24"/>
        </w:rPr>
        <w:t xml:space="preserve">  </w:t>
      </w:r>
      <w:r>
        <w:rPr>
          <w:rFonts w:hint="eastAsia"/>
          <w:bCs w:val="0"/>
          <w:color w:val="auto"/>
          <w:szCs w:val="24"/>
        </w:rPr>
        <w:t>电气</w:t>
      </w:r>
      <w:r>
        <w:rPr>
          <w:bCs w:val="0"/>
          <w:color w:val="auto"/>
          <w:szCs w:val="24"/>
        </w:rPr>
        <w:t>系统接地、防雷接地等接地电阻</w:t>
      </w:r>
      <w:r>
        <w:rPr>
          <w:rFonts w:hint="eastAsia"/>
          <w:bCs w:val="0"/>
          <w:color w:val="auto"/>
          <w:szCs w:val="24"/>
        </w:rPr>
        <w:t>值</w:t>
      </w:r>
      <w:r>
        <w:rPr>
          <w:bCs w:val="0"/>
          <w:color w:val="auto"/>
          <w:szCs w:val="24"/>
        </w:rPr>
        <w:t>应符合</w:t>
      </w:r>
      <w:bookmarkStart w:id="518" w:name="_Hlk192079525"/>
      <w:r>
        <w:rPr>
          <w:bCs w:val="0"/>
          <w:color w:val="auto"/>
          <w:szCs w:val="24"/>
        </w:rPr>
        <w:t>本规程规定</w:t>
      </w:r>
      <w:r>
        <w:rPr>
          <w:rFonts w:hint="eastAsia"/>
          <w:bCs w:val="0"/>
          <w:color w:val="auto"/>
          <w:szCs w:val="24"/>
        </w:rPr>
        <w:t>并记录，见附录A、表A.0.6</w:t>
      </w:r>
      <w:bookmarkEnd w:id="518"/>
      <w:r>
        <w:rPr>
          <w:rFonts w:hint="eastAsia"/>
          <w:bCs w:val="0"/>
          <w:color w:val="auto"/>
          <w:szCs w:val="24"/>
        </w:rPr>
        <w:t>接地电阻测试记录。</w:t>
      </w:r>
    </w:p>
    <w:p w14:paraId="2D691A47">
      <w:pPr>
        <w:pStyle w:val="35"/>
        <w:spacing w:before="120" w:line="360" w:lineRule="auto"/>
        <w:rPr>
          <w:bCs w:val="0"/>
          <w:color w:val="auto"/>
          <w:szCs w:val="24"/>
        </w:rPr>
      </w:pPr>
      <w:bookmarkStart w:id="519" w:name="_Hlk225437844"/>
      <w:bookmarkStart w:id="520" w:name="OLE_LINK141"/>
      <w:bookmarkStart w:id="521" w:name="OLE_LINK140"/>
      <w:r>
        <w:rPr>
          <w:rFonts w:hint="eastAsia"/>
          <w:b/>
          <w:color w:val="auto"/>
          <w:szCs w:val="24"/>
        </w:rPr>
        <w:t>6</w:t>
      </w:r>
      <w:r>
        <w:rPr>
          <w:b/>
          <w:color w:val="auto"/>
          <w:szCs w:val="24"/>
        </w:rPr>
        <w:t>.10.</w:t>
      </w:r>
      <w:r>
        <w:rPr>
          <w:rFonts w:hint="eastAsia"/>
          <w:b/>
          <w:color w:val="auto"/>
          <w:szCs w:val="24"/>
        </w:rPr>
        <w:t>6</w:t>
      </w:r>
      <w:bookmarkEnd w:id="519"/>
      <w:r>
        <w:rPr>
          <w:b/>
          <w:color w:val="auto"/>
          <w:szCs w:val="24"/>
        </w:rPr>
        <w:t xml:space="preserve"> </w:t>
      </w:r>
      <w:r>
        <w:rPr>
          <w:rFonts w:hint="eastAsia"/>
          <w:b/>
          <w:color w:val="auto"/>
          <w:szCs w:val="24"/>
        </w:rPr>
        <w:t xml:space="preserve"> </w:t>
      </w:r>
      <w:r>
        <w:rPr>
          <w:bCs w:val="0"/>
          <w:color w:val="auto"/>
          <w:szCs w:val="24"/>
        </w:rPr>
        <w:t>剩余电流动作保护电器测试，应在配电箱电源接线端子或回路末端（插座或用电设备的电源接线端子）施加额定剩余动作电流（I</w:t>
      </w:r>
      <w:r>
        <w:rPr>
          <w:bCs w:val="0"/>
          <w:color w:val="auto"/>
          <w:szCs w:val="24"/>
          <w:vertAlign w:val="subscript"/>
        </w:rPr>
        <w:t>Δn</w:t>
      </w:r>
      <w:r>
        <w:rPr>
          <w:bCs w:val="0"/>
          <w:color w:val="auto"/>
          <w:szCs w:val="24"/>
        </w:rPr>
        <w:t>）；测试上游剩余电流动作保护电器动作时间，测试值应符合</w:t>
      </w:r>
      <w:r>
        <w:rPr>
          <w:rFonts w:hint="eastAsia"/>
          <w:bCs w:val="0"/>
          <w:color w:val="auto"/>
          <w:szCs w:val="24"/>
        </w:rPr>
        <w:t>本规程规定并记录，见附录A、表A.0.7剩余电流动作保护电器（RCD）测试记录。</w:t>
      </w:r>
      <w:bookmarkEnd w:id="520"/>
      <w:bookmarkEnd w:id="521"/>
      <w:bookmarkStart w:id="522" w:name="_Toc22365"/>
      <w:bookmarkStart w:id="523" w:name="_Toc4955"/>
    </w:p>
    <w:p w14:paraId="3421DD93">
      <w:pPr>
        <w:pStyle w:val="35"/>
        <w:spacing w:before="120" w:line="360" w:lineRule="auto"/>
        <w:rPr>
          <w:bCs w:val="0"/>
          <w:color w:val="auto"/>
          <w:szCs w:val="24"/>
        </w:rPr>
      </w:pPr>
      <w:r>
        <w:rPr>
          <w:rFonts w:hint="eastAsia"/>
          <w:b/>
          <w:color w:val="auto"/>
          <w:szCs w:val="24"/>
        </w:rPr>
        <w:t>6</w:t>
      </w:r>
      <w:r>
        <w:rPr>
          <w:b/>
          <w:color w:val="auto"/>
          <w:szCs w:val="24"/>
        </w:rPr>
        <w:t>.10.</w:t>
      </w:r>
      <w:r>
        <w:rPr>
          <w:rFonts w:hint="eastAsia"/>
          <w:b/>
          <w:color w:val="auto"/>
          <w:szCs w:val="24"/>
        </w:rPr>
        <w:t>7</w:t>
      </w:r>
      <w:r>
        <w:rPr>
          <w:b/>
          <w:color w:val="auto"/>
          <w:szCs w:val="24"/>
        </w:rPr>
        <w:t xml:space="preserve"> </w:t>
      </w:r>
      <w:r>
        <w:rPr>
          <w:rFonts w:hint="eastAsia"/>
          <w:bCs w:val="0"/>
          <w:color w:val="auto"/>
          <w:szCs w:val="24"/>
        </w:rPr>
        <w:t xml:space="preserve"> </w:t>
      </w:r>
      <w:r>
        <w:rPr>
          <w:bCs w:val="0"/>
          <w:color w:val="auto"/>
          <w:szCs w:val="24"/>
        </w:rPr>
        <w:t>在供、配、用电</w:t>
      </w:r>
      <w:r>
        <w:rPr>
          <w:rFonts w:hint="eastAsia"/>
          <w:bCs w:val="0"/>
          <w:color w:val="auto"/>
          <w:szCs w:val="24"/>
        </w:rPr>
        <w:t>设施设备</w:t>
      </w:r>
      <w:r>
        <w:rPr>
          <w:bCs w:val="0"/>
          <w:color w:val="auto"/>
          <w:szCs w:val="24"/>
        </w:rPr>
        <w:t>安装完成后，应根据施工用电工程方案进行</w:t>
      </w:r>
      <w:r>
        <w:rPr>
          <w:rFonts w:hint="eastAsia"/>
          <w:bCs w:val="0"/>
          <w:color w:val="auto"/>
          <w:szCs w:val="24"/>
        </w:rPr>
        <w:t>分项</w:t>
      </w:r>
      <w:r>
        <w:rPr>
          <w:bCs w:val="0"/>
          <w:color w:val="auto"/>
          <w:szCs w:val="24"/>
        </w:rPr>
        <w:t>验收并记录</w:t>
      </w:r>
      <w:r>
        <w:rPr>
          <w:rFonts w:hint="eastAsia"/>
          <w:bCs w:val="0"/>
          <w:color w:val="auto"/>
          <w:szCs w:val="24"/>
        </w:rPr>
        <w:t>。</w:t>
      </w:r>
    </w:p>
    <w:p w14:paraId="123E2AB2">
      <w:pPr>
        <w:pStyle w:val="35"/>
        <w:spacing w:before="120" w:line="360" w:lineRule="auto"/>
        <w:rPr>
          <w:bCs w:val="0"/>
          <w:color w:val="auto"/>
          <w:szCs w:val="24"/>
        </w:rPr>
      </w:pPr>
      <w:r>
        <w:rPr>
          <w:rFonts w:hint="eastAsia"/>
          <w:b/>
          <w:color w:val="auto"/>
          <w:szCs w:val="24"/>
        </w:rPr>
        <w:t>6</w:t>
      </w:r>
      <w:r>
        <w:rPr>
          <w:b/>
          <w:color w:val="auto"/>
          <w:szCs w:val="24"/>
        </w:rPr>
        <w:t>.10</w:t>
      </w:r>
      <w:r>
        <w:rPr>
          <w:rFonts w:hint="eastAsia"/>
          <w:b/>
          <w:color w:val="auto"/>
          <w:szCs w:val="24"/>
        </w:rPr>
        <w:t xml:space="preserve">.8  </w:t>
      </w:r>
      <w:r>
        <w:rPr>
          <w:rFonts w:hint="eastAsia"/>
          <w:bCs w:val="0"/>
          <w:color w:val="auto"/>
          <w:szCs w:val="24"/>
        </w:rPr>
        <w:t>供配电装置安装后、通电前，应检查以下内容：</w:t>
      </w:r>
    </w:p>
    <w:p w14:paraId="75F89D6B">
      <w:pPr>
        <w:pStyle w:val="37"/>
        <w:spacing w:before="120" w:line="360" w:lineRule="auto"/>
        <w:rPr>
          <w:bCs w:val="0"/>
          <w:color w:val="auto"/>
          <w:sz w:val="24"/>
          <w:szCs w:val="24"/>
        </w:rPr>
      </w:pPr>
      <w:r>
        <w:rPr>
          <w:rFonts w:hint="eastAsia"/>
          <w:b/>
          <w:color w:val="auto"/>
          <w:sz w:val="24"/>
          <w:szCs w:val="24"/>
        </w:rPr>
        <w:t>1</w:t>
      </w:r>
      <w:r>
        <w:rPr>
          <w:rFonts w:hint="eastAsia"/>
          <w:bCs w:val="0"/>
          <w:color w:val="auto"/>
          <w:sz w:val="24"/>
          <w:szCs w:val="24"/>
        </w:rPr>
        <w:t xml:space="preserve">  测试三相回路相序，各级配电箱内相序排列和色标应始终保持一致；</w:t>
      </w:r>
    </w:p>
    <w:p w14:paraId="5DBBF8E5">
      <w:pPr>
        <w:pStyle w:val="37"/>
        <w:spacing w:before="120" w:line="360" w:lineRule="auto"/>
        <w:rPr>
          <w:bCs w:val="0"/>
          <w:color w:val="auto"/>
          <w:sz w:val="24"/>
          <w:szCs w:val="24"/>
        </w:rPr>
      </w:pPr>
      <w:r>
        <w:rPr>
          <w:rFonts w:hint="eastAsia"/>
          <w:b/>
          <w:color w:val="auto"/>
          <w:sz w:val="24"/>
          <w:szCs w:val="24"/>
        </w:rPr>
        <w:t>2</w:t>
      </w:r>
      <w:r>
        <w:rPr>
          <w:rFonts w:hint="eastAsia"/>
          <w:bCs w:val="0"/>
          <w:color w:val="auto"/>
          <w:sz w:val="24"/>
          <w:szCs w:val="24"/>
        </w:rPr>
        <w:t xml:space="preserve">  保护电器应与被控用电设备相对应。</w:t>
      </w:r>
    </w:p>
    <w:p w14:paraId="0F48601B">
      <w:pPr>
        <w:pStyle w:val="35"/>
        <w:spacing w:before="120" w:line="360" w:lineRule="auto"/>
        <w:rPr>
          <w:bCs w:val="0"/>
          <w:color w:val="auto"/>
          <w:szCs w:val="24"/>
        </w:rPr>
      </w:pPr>
      <w:r>
        <w:rPr>
          <w:rFonts w:hint="eastAsia"/>
          <w:b/>
          <w:color w:val="auto"/>
          <w:szCs w:val="24"/>
        </w:rPr>
        <w:t>6</w:t>
      </w:r>
      <w:r>
        <w:rPr>
          <w:b/>
          <w:color w:val="auto"/>
          <w:szCs w:val="24"/>
        </w:rPr>
        <w:t>.10.</w:t>
      </w:r>
      <w:r>
        <w:rPr>
          <w:rFonts w:hint="eastAsia"/>
          <w:b/>
          <w:color w:val="auto"/>
          <w:szCs w:val="24"/>
        </w:rPr>
        <w:t xml:space="preserve">9  </w:t>
      </w:r>
      <w:r>
        <w:rPr>
          <w:bCs w:val="0"/>
          <w:color w:val="auto"/>
          <w:szCs w:val="24"/>
        </w:rPr>
        <w:t>固定安装的电气设备</w:t>
      </w:r>
      <w:r>
        <w:rPr>
          <w:rFonts w:hint="eastAsia"/>
          <w:bCs w:val="0"/>
          <w:color w:val="auto"/>
          <w:szCs w:val="24"/>
        </w:rPr>
        <w:t>安装后、</w:t>
      </w:r>
      <w:r>
        <w:rPr>
          <w:bCs w:val="0"/>
          <w:color w:val="auto"/>
          <w:szCs w:val="24"/>
        </w:rPr>
        <w:t>使用前，应检查以下内容：</w:t>
      </w:r>
    </w:p>
    <w:p w14:paraId="669BA966">
      <w:pPr>
        <w:pStyle w:val="37"/>
        <w:numPr>
          <w:ilvl w:val="0"/>
          <w:numId w:val="5"/>
        </w:numPr>
        <w:spacing w:before="120" w:line="360" w:lineRule="auto"/>
        <w:ind w:firstLineChars="0"/>
        <w:rPr>
          <w:bCs w:val="0"/>
          <w:color w:val="auto"/>
          <w:kern w:val="0"/>
          <w:sz w:val="24"/>
          <w:szCs w:val="24"/>
        </w:rPr>
      </w:pPr>
      <w:r>
        <w:rPr>
          <w:bCs w:val="0"/>
          <w:color w:val="auto"/>
          <w:kern w:val="0"/>
          <w:sz w:val="24"/>
          <w:szCs w:val="24"/>
        </w:rPr>
        <w:t>I类</w:t>
      </w:r>
      <w:bookmarkStart w:id="524" w:name="_Hlk192079905"/>
      <w:r>
        <w:rPr>
          <w:rFonts w:hint="eastAsia"/>
          <w:bCs w:val="0"/>
          <w:color w:val="auto"/>
          <w:kern w:val="0"/>
          <w:sz w:val="24"/>
          <w:szCs w:val="24"/>
        </w:rPr>
        <w:t>电气</w:t>
      </w:r>
      <w:r>
        <w:rPr>
          <w:bCs w:val="0"/>
          <w:color w:val="auto"/>
          <w:kern w:val="0"/>
          <w:sz w:val="24"/>
          <w:szCs w:val="24"/>
        </w:rPr>
        <w:t>设备</w:t>
      </w:r>
      <w:bookmarkEnd w:id="524"/>
      <w:r>
        <w:rPr>
          <w:bCs w:val="0"/>
          <w:color w:val="auto"/>
          <w:kern w:val="0"/>
          <w:sz w:val="24"/>
          <w:szCs w:val="24"/>
        </w:rPr>
        <w:t>的</w:t>
      </w:r>
      <w:r>
        <w:rPr>
          <w:rFonts w:hint="eastAsia"/>
          <w:bCs w:val="0"/>
          <w:color w:val="auto"/>
          <w:kern w:val="0"/>
          <w:sz w:val="24"/>
          <w:szCs w:val="24"/>
        </w:rPr>
        <w:t>外露导体</w:t>
      </w:r>
      <w:r>
        <w:rPr>
          <w:bCs w:val="0"/>
          <w:color w:val="auto"/>
          <w:kern w:val="0"/>
          <w:sz w:val="24"/>
          <w:szCs w:val="24"/>
        </w:rPr>
        <w:t>应</w:t>
      </w:r>
      <w:r>
        <w:rPr>
          <w:rFonts w:hint="eastAsia"/>
          <w:bCs w:val="0"/>
          <w:color w:val="auto"/>
          <w:kern w:val="0"/>
          <w:sz w:val="24"/>
          <w:szCs w:val="24"/>
        </w:rPr>
        <w:t>与</w:t>
      </w:r>
      <w:r>
        <w:rPr>
          <w:bCs w:val="0"/>
          <w:color w:val="auto"/>
          <w:kern w:val="0"/>
          <w:sz w:val="24"/>
          <w:szCs w:val="24"/>
        </w:rPr>
        <w:t>保护接地导体（PE）可靠连接；</w:t>
      </w:r>
    </w:p>
    <w:p w14:paraId="7CBE93BB">
      <w:pPr>
        <w:pStyle w:val="37"/>
        <w:numPr>
          <w:ilvl w:val="0"/>
          <w:numId w:val="5"/>
        </w:numPr>
        <w:spacing w:before="120" w:line="360" w:lineRule="auto"/>
        <w:ind w:firstLineChars="0"/>
        <w:rPr>
          <w:bCs w:val="0"/>
          <w:color w:val="auto"/>
          <w:kern w:val="0"/>
          <w:sz w:val="24"/>
          <w:szCs w:val="24"/>
        </w:rPr>
      </w:pPr>
      <w:r>
        <w:rPr>
          <w:bCs w:val="0"/>
          <w:color w:val="auto"/>
          <w:kern w:val="0"/>
          <w:sz w:val="24"/>
          <w:szCs w:val="24"/>
        </w:rPr>
        <w:t>带电导体与</w:t>
      </w:r>
      <w:bookmarkStart w:id="525" w:name="_Hlk190351352"/>
      <w:r>
        <w:rPr>
          <w:bCs w:val="0"/>
          <w:color w:val="auto"/>
          <w:kern w:val="0"/>
          <w:sz w:val="24"/>
          <w:szCs w:val="24"/>
        </w:rPr>
        <w:t>保护接地导体（PE）</w:t>
      </w:r>
      <w:bookmarkEnd w:id="525"/>
      <w:r>
        <w:rPr>
          <w:bCs w:val="0"/>
          <w:color w:val="auto"/>
          <w:kern w:val="0"/>
          <w:sz w:val="24"/>
          <w:szCs w:val="24"/>
        </w:rPr>
        <w:t>之间绝缘电阻</w:t>
      </w:r>
      <w:r>
        <w:rPr>
          <w:rFonts w:hint="eastAsia"/>
          <w:bCs w:val="0"/>
          <w:color w:val="auto"/>
          <w:kern w:val="0"/>
          <w:sz w:val="24"/>
          <w:szCs w:val="24"/>
        </w:rPr>
        <w:t>不应小于</w:t>
      </w:r>
      <w:r>
        <w:rPr>
          <w:color w:val="auto"/>
          <w:sz w:val="24"/>
          <w:szCs w:val="24"/>
        </w:rPr>
        <w:t>表</w:t>
      </w:r>
      <w:r>
        <w:rPr>
          <w:rFonts w:hint="eastAsia"/>
          <w:color w:val="auto"/>
          <w:sz w:val="24"/>
          <w:szCs w:val="24"/>
        </w:rPr>
        <w:t>5</w:t>
      </w:r>
      <w:r>
        <w:rPr>
          <w:color w:val="auto"/>
          <w:sz w:val="24"/>
          <w:szCs w:val="24"/>
        </w:rPr>
        <w:t>.</w:t>
      </w:r>
      <w:r>
        <w:rPr>
          <w:rFonts w:hint="eastAsia"/>
          <w:color w:val="auto"/>
          <w:sz w:val="24"/>
          <w:szCs w:val="24"/>
        </w:rPr>
        <w:t>10</w:t>
      </w:r>
      <w:r>
        <w:rPr>
          <w:color w:val="auto"/>
          <w:sz w:val="24"/>
          <w:szCs w:val="24"/>
        </w:rPr>
        <w:t>.</w:t>
      </w:r>
      <w:r>
        <w:rPr>
          <w:rFonts w:hint="eastAsia"/>
          <w:color w:val="auto"/>
          <w:sz w:val="24"/>
          <w:szCs w:val="24"/>
        </w:rPr>
        <w:t>4</w:t>
      </w:r>
      <w:r>
        <w:rPr>
          <w:rFonts w:hint="eastAsia"/>
          <w:bCs w:val="0"/>
          <w:color w:val="auto"/>
          <w:kern w:val="0"/>
          <w:sz w:val="24"/>
          <w:szCs w:val="24"/>
        </w:rPr>
        <w:t>的</w:t>
      </w:r>
      <w:r>
        <w:rPr>
          <w:bCs w:val="0"/>
          <w:color w:val="auto"/>
          <w:kern w:val="0"/>
          <w:sz w:val="24"/>
          <w:szCs w:val="24"/>
        </w:rPr>
        <w:t>规定；</w:t>
      </w:r>
    </w:p>
    <w:p w14:paraId="3636596E">
      <w:pPr>
        <w:pStyle w:val="37"/>
        <w:numPr>
          <w:ilvl w:val="0"/>
          <w:numId w:val="5"/>
        </w:numPr>
        <w:spacing w:before="120" w:line="360" w:lineRule="auto"/>
        <w:ind w:firstLineChars="0"/>
        <w:rPr>
          <w:bCs w:val="0"/>
          <w:color w:val="auto"/>
          <w:kern w:val="0"/>
          <w:sz w:val="24"/>
          <w:szCs w:val="24"/>
        </w:rPr>
      </w:pPr>
      <w:r>
        <w:rPr>
          <w:rFonts w:hint="eastAsia"/>
          <w:bCs w:val="0"/>
          <w:color w:val="auto"/>
          <w:kern w:val="0"/>
          <w:sz w:val="24"/>
          <w:szCs w:val="24"/>
        </w:rPr>
        <w:t>电气</w:t>
      </w:r>
      <w:r>
        <w:rPr>
          <w:bCs w:val="0"/>
          <w:color w:val="auto"/>
          <w:kern w:val="0"/>
          <w:sz w:val="24"/>
          <w:szCs w:val="24"/>
        </w:rPr>
        <w:t>设备外壳应完整、无破损；</w:t>
      </w:r>
    </w:p>
    <w:p w14:paraId="5E11AB66">
      <w:pPr>
        <w:pStyle w:val="37"/>
        <w:spacing w:before="120" w:line="360" w:lineRule="auto"/>
        <w:rPr>
          <w:bCs w:val="0"/>
          <w:color w:val="auto"/>
          <w:kern w:val="0"/>
          <w:sz w:val="24"/>
          <w:szCs w:val="24"/>
        </w:rPr>
      </w:pPr>
      <w:r>
        <w:rPr>
          <w:b/>
          <w:color w:val="auto"/>
          <w:kern w:val="0"/>
          <w:sz w:val="24"/>
          <w:szCs w:val="24"/>
        </w:rPr>
        <w:t xml:space="preserve">4 </w:t>
      </w:r>
      <w:r>
        <w:rPr>
          <w:rFonts w:hint="eastAsia"/>
          <w:b/>
          <w:color w:val="auto"/>
          <w:kern w:val="0"/>
          <w:sz w:val="24"/>
          <w:szCs w:val="24"/>
        </w:rPr>
        <w:t xml:space="preserve"> </w:t>
      </w:r>
      <w:r>
        <w:rPr>
          <w:bCs w:val="0"/>
          <w:color w:val="auto"/>
          <w:kern w:val="0"/>
          <w:sz w:val="24"/>
          <w:szCs w:val="24"/>
        </w:rPr>
        <w:t>紧急关断</w:t>
      </w:r>
      <w:r>
        <w:rPr>
          <w:rFonts w:hint="eastAsia"/>
          <w:bCs w:val="0"/>
          <w:color w:val="auto"/>
          <w:kern w:val="0"/>
          <w:sz w:val="24"/>
          <w:szCs w:val="24"/>
        </w:rPr>
        <w:t>、</w:t>
      </w:r>
      <w:r>
        <w:rPr>
          <w:bCs w:val="0"/>
          <w:color w:val="auto"/>
          <w:kern w:val="0"/>
          <w:sz w:val="24"/>
          <w:szCs w:val="24"/>
        </w:rPr>
        <w:t>紧急停止、报警等功能应正常；</w:t>
      </w:r>
    </w:p>
    <w:p w14:paraId="66E94B1C">
      <w:pPr>
        <w:pStyle w:val="37"/>
        <w:spacing w:before="120" w:line="360" w:lineRule="auto"/>
        <w:rPr>
          <w:bCs w:val="0"/>
          <w:color w:val="auto"/>
          <w:kern w:val="0"/>
          <w:sz w:val="24"/>
          <w:szCs w:val="24"/>
        </w:rPr>
      </w:pPr>
      <w:r>
        <w:rPr>
          <w:b/>
          <w:color w:val="auto"/>
          <w:kern w:val="0"/>
          <w:sz w:val="24"/>
          <w:szCs w:val="24"/>
        </w:rPr>
        <w:t>5</w:t>
      </w:r>
      <w:r>
        <w:rPr>
          <w:rFonts w:hint="eastAsia"/>
          <w:bCs w:val="0"/>
          <w:color w:val="auto"/>
          <w:kern w:val="0"/>
          <w:sz w:val="24"/>
          <w:szCs w:val="24"/>
        </w:rPr>
        <w:t xml:space="preserve">  电气设备</w:t>
      </w:r>
      <w:r>
        <w:rPr>
          <w:bCs w:val="0"/>
          <w:color w:val="auto"/>
          <w:kern w:val="0"/>
          <w:sz w:val="24"/>
          <w:szCs w:val="24"/>
        </w:rPr>
        <w:t>各控制开关、按钮及指示灯功能应正常；</w:t>
      </w:r>
    </w:p>
    <w:p w14:paraId="1EF34FF5">
      <w:pPr>
        <w:pStyle w:val="37"/>
        <w:spacing w:before="120" w:line="360" w:lineRule="auto"/>
        <w:rPr>
          <w:bCs w:val="0"/>
          <w:color w:val="auto"/>
          <w:kern w:val="0"/>
          <w:sz w:val="24"/>
          <w:szCs w:val="24"/>
        </w:rPr>
      </w:pPr>
      <w:r>
        <w:rPr>
          <w:b/>
          <w:color w:val="auto"/>
          <w:kern w:val="0"/>
          <w:sz w:val="24"/>
          <w:szCs w:val="24"/>
        </w:rPr>
        <w:t>6</w:t>
      </w:r>
      <w:r>
        <w:rPr>
          <w:rFonts w:hint="eastAsia"/>
          <w:bCs w:val="0"/>
          <w:color w:val="auto"/>
          <w:kern w:val="0"/>
          <w:sz w:val="24"/>
          <w:szCs w:val="24"/>
        </w:rPr>
        <w:t xml:space="preserve"> 电气设备</w:t>
      </w:r>
      <w:r>
        <w:rPr>
          <w:bCs w:val="0"/>
          <w:color w:val="auto"/>
          <w:kern w:val="0"/>
          <w:sz w:val="24"/>
          <w:szCs w:val="24"/>
        </w:rPr>
        <w:t>周围设置金属</w:t>
      </w:r>
      <w:r>
        <w:rPr>
          <w:rFonts w:hint="eastAsia"/>
          <w:bCs w:val="0"/>
          <w:color w:val="auto"/>
          <w:kern w:val="0"/>
          <w:sz w:val="24"/>
          <w:szCs w:val="24"/>
        </w:rPr>
        <w:t>防护</w:t>
      </w:r>
      <w:r>
        <w:rPr>
          <w:bCs w:val="0"/>
          <w:color w:val="auto"/>
          <w:kern w:val="0"/>
          <w:sz w:val="24"/>
          <w:szCs w:val="24"/>
        </w:rPr>
        <w:t>遮栏、围挡等措施时，应符合本规程</w:t>
      </w:r>
      <w:r>
        <w:rPr>
          <w:rFonts w:hint="eastAsia"/>
          <w:bCs w:val="0"/>
          <w:color w:val="auto"/>
          <w:kern w:val="0"/>
          <w:sz w:val="24"/>
          <w:szCs w:val="24"/>
        </w:rPr>
        <w:t>第5</w:t>
      </w:r>
      <w:r>
        <w:rPr>
          <w:bCs w:val="0"/>
          <w:color w:val="auto"/>
          <w:kern w:val="0"/>
          <w:sz w:val="24"/>
          <w:szCs w:val="24"/>
        </w:rPr>
        <w:t>.2.</w:t>
      </w:r>
      <w:r>
        <w:rPr>
          <w:rFonts w:hint="eastAsia"/>
          <w:bCs w:val="0"/>
          <w:color w:val="auto"/>
          <w:kern w:val="0"/>
          <w:sz w:val="24"/>
          <w:szCs w:val="24"/>
        </w:rPr>
        <w:t>5条</w:t>
      </w:r>
      <w:r>
        <w:rPr>
          <w:bCs w:val="0"/>
          <w:color w:val="auto"/>
          <w:kern w:val="0"/>
          <w:sz w:val="24"/>
          <w:szCs w:val="24"/>
        </w:rPr>
        <w:t>的规定。</w:t>
      </w:r>
    </w:p>
    <w:p w14:paraId="774F3B39">
      <w:pPr>
        <w:pStyle w:val="35"/>
        <w:spacing w:before="120" w:line="360" w:lineRule="auto"/>
        <w:rPr>
          <w:bCs w:val="0"/>
          <w:color w:val="auto"/>
          <w:szCs w:val="24"/>
        </w:rPr>
      </w:pPr>
      <w:bookmarkStart w:id="526" w:name="_Hlk225437873"/>
      <w:r>
        <w:rPr>
          <w:rFonts w:hint="eastAsia"/>
          <w:b/>
          <w:color w:val="auto"/>
          <w:szCs w:val="24"/>
        </w:rPr>
        <w:t>6</w:t>
      </w:r>
      <w:r>
        <w:rPr>
          <w:b/>
          <w:color w:val="auto"/>
          <w:szCs w:val="24"/>
        </w:rPr>
        <w:t>.10.</w:t>
      </w:r>
      <w:r>
        <w:rPr>
          <w:rFonts w:hint="eastAsia"/>
          <w:b/>
          <w:color w:val="auto"/>
          <w:szCs w:val="24"/>
        </w:rPr>
        <w:t>10</w:t>
      </w:r>
      <w:bookmarkEnd w:id="526"/>
      <w:r>
        <w:rPr>
          <w:bCs w:val="0"/>
          <w:color w:val="auto"/>
          <w:szCs w:val="24"/>
        </w:rPr>
        <w:t xml:space="preserve">  </w:t>
      </w:r>
      <w:bookmarkStart w:id="527" w:name="OLE_LINK81"/>
      <w:bookmarkStart w:id="528" w:name="OLE_LINK142"/>
      <w:r>
        <w:rPr>
          <w:bCs w:val="0"/>
          <w:color w:val="auto"/>
          <w:szCs w:val="24"/>
        </w:rPr>
        <w:t>移动式、手持式电气设备使用前，应检查以下内容</w:t>
      </w:r>
      <w:bookmarkEnd w:id="527"/>
      <w:bookmarkEnd w:id="528"/>
      <w:r>
        <w:rPr>
          <w:bCs w:val="0"/>
          <w:color w:val="auto"/>
          <w:szCs w:val="24"/>
        </w:rPr>
        <w:t>：</w:t>
      </w:r>
    </w:p>
    <w:p w14:paraId="359FF604">
      <w:pPr>
        <w:pStyle w:val="37"/>
        <w:spacing w:before="120" w:line="360" w:lineRule="auto"/>
        <w:rPr>
          <w:bCs w:val="0"/>
          <w:color w:val="auto"/>
          <w:sz w:val="24"/>
          <w:szCs w:val="24"/>
        </w:rPr>
      </w:pPr>
      <w:r>
        <w:rPr>
          <w:b/>
          <w:color w:val="auto"/>
          <w:sz w:val="24"/>
          <w:szCs w:val="24"/>
        </w:rPr>
        <w:t>1</w:t>
      </w:r>
      <w:r>
        <w:rPr>
          <w:rFonts w:hint="eastAsia"/>
          <w:b/>
          <w:color w:val="auto"/>
          <w:sz w:val="24"/>
          <w:szCs w:val="24"/>
        </w:rPr>
        <w:t xml:space="preserve">  </w:t>
      </w:r>
      <w:r>
        <w:rPr>
          <w:bCs w:val="0"/>
          <w:color w:val="auto"/>
          <w:sz w:val="24"/>
          <w:szCs w:val="24"/>
        </w:rPr>
        <w:t>I</w:t>
      </w:r>
      <w:r>
        <w:rPr>
          <w:rFonts w:hint="eastAsia"/>
          <w:bCs w:val="0"/>
          <w:color w:val="auto"/>
          <w:sz w:val="24"/>
          <w:szCs w:val="24"/>
        </w:rPr>
        <w:t>类设备带电导体与保护接地导体（PE）之间绝缘电阻应符合表</w:t>
      </w:r>
      <w:r>
        <w:rPr>
          <w:rFonts w:hint="eastAsia"/>
          <w:color w:val="auto"/>
          <w:sz w:val="24"/>
          <w:szCs w:val="24"/>
        </w:rPr>
        <w:t>5</w:t>
      </w:r>
      <w:r>
        <w:rPr>
          <w:color w:val="auto"/>
          <w:sz w:val="24"/>
          <w:szCs w:val="24"/>
        </w:rPr>
        <w:t>.</w:t>
      </w:r>
      <w:r>
        <w:rPr>
          <w:rFonts w:hint="eastAsia"/>
          <w:color w:val="auto"/>
          <w:sz w:val="24"/>
          <w:szCs w:val="24"/>
        </w:rPr>
        <w:t>10</w:t>
      </w:r>
      <w:r>
        <w:rPr>
          <w:color w:val="auto"/>
          <w:sz w:val="24"/>
          <w:szCs w:val="24"/>
        </w:rPr>
        <w:t>.</w:t>
      </w:r>
      <w:r>
        <w:rPr>
          <w:rFonts w:hint="eastAsia"/>
          <w:color w:val="auto"/>
          <w:sz w:val="24"/>
          <w:szCs w:val="24"/>
        </w:rPr>
        <w:t>4</w:t>
      </w:r>
      <w:r>
        <w:rPr>
          <w:rFonts w:hint="eastAsia"/>
          <w:bCs w:val="0"/>
          <w:color w:val="auto"/>
          <w:sz w:val="24"/>
          <w:szCs w:val="24"/>
        </w:rPr>
        <w:t>规定；</w:t>
      </w:r>
    </w:p>
    <w:p w14:paraId="54ADB81E">
      <w:pPr>
        <w:pStyle w:val="37"/>
        <w:spacing w:before="120" w:line="360" w:lineRule="auto"/>
        <w:rPr>
          <w:bCs w:val="0"/>
          <w:color w:val="auto"/>
          <w:sz w:val="24"/>
          <w:szCs w:val="24"/>
        </w:rPr>
      </w:pPr>
      <w:r>
        <w:rPr>
          <w:rFonts w:hint="eastAsia"/>
          <w:b/>
          <w:color w:val="auto"/>
          <w:sz w:val="24"/>
          <w:szCs w:val="24"/>
        </w:rPr>
        <w:t xml:space="preserve">2  </w:t>
      </w:r>
      <w:r>
        <w:rPr>
          <w:bCs w:val="0"/>
          <w:color w:val="auto"/>
          <w:sz w:val="24"/>
          <w:szCs w:val="24"/>
        </w:rPr>
        <w:t>设备电源引线、电源插头应完好无破损</w:t>
      </w:r>
      <w:r>
        <w:rPr>
          <w:rFonts w:hint="eastAsia"/>
          <w:bCs w:val="0"/>
          <w:color w:val="auto"/>
          <w:sz w:val="24"/>
          <w:szCs w:val="24"/>
        </w:rPr>
        <w:t>；</w:t>
      </w:r>
    </w:p>
    <w:p w14:paraId="277D2760">
      <w:pPr>
        <w:pStyle w:val="37"/>
        <w:spacing w:before="120" w:line="360" w:lineRule="auto"/>
        <w:rPr>
          <w:bCs w:val="0"/>
          <w:color w:val="auto"/>
          <w:sz w:val="24"/>
          <w:szCs w:val="24"/>
        </w:rPr>
      </w:pPr>
      <w:r>
        <w:rPr>
          <w:rFonts w:hint="eastAsia"/>
          <w:b/>
          <w:color w:val="auto"/>
          <w:sz w:val="24"/>
          <w:szCs w:val="24"/>
        </w:rPr>
        <w:t xml:space="preserve">3  </w:t>
      </w:r>
      <w:r>
        <w:rPr>
          <w:bCs w:val="0"/>
          <w:color w:val="auto"/>
          <w:sz w:val="24"/>
          <w:szCs w:val="24"/>
        </w:rPr>
        <w:t>电气设备外壳完整、无破损，</w:t>
      </w:r>
      <w:r>
        <w:rPr>
          <w:rFonts w:hint="eastAsia"/>
          <w:bCs w:val="0"/>
          <w:color w:val="auto"/>
          <w:sz w:val="24"/>
          <w:szCs w:val="24"/>
        </w:rPr>
        <w:t>开关开断功能正常。</w:t>
      </w:r>
      <w:bookmarkEnd w:id="500"/>
      <w:bookmarkEnd w:id="509"/>
      <w:bookmarkStart w:id="529" w:name="_Toc29788"/>
      <w:bookmarkStart w:id="530" w:name="_Toc19551"/>
      <w:bookmarkStart w:id="531" w:name="_Toc23787"/>
    </w:p>
    <w:p w14:paraId="075C4480">
      <w:pPr>
        <w:pStyle w:val="37"/>
        <w:spacing w:before="120" w:line="360" w:lineRule="auto"/>
        <w:ind w:firstLine="0" w:firstLineChars="0"/>
        <w:rPr>
          <w:bCs w:val="0"/>
          <w:color w:val="auto"/>
          <w:sz w:val="24"/>
          <w:szCs w:val="24"/>
        </w:rPr>
      </w:pPr>
    </w:p>
    <w:p w14:paraId="79BCA5EF">
      <w:pPr>
        <w:pStyle w:val="33"/>
        <w:numPr>
          <w:ilvl w:val="0"/>
          <w:numId w:val="0"/>
        </w:numPr>
        <w:spacing w:before="120" w:line="360" w:lineRule="auto"/>
        <w:outlineLvl w:val="1"/>
        <w:rPr>
          <w:rFonts w:eastAsia="宋体"/>
          <w:b/>
          <w:bCs/>
          <w:sz w:val="24"/>
          <w:szCs w:val="24"/>
        </w:rPr>
      </w:pPr>
      <w:bookmarkStart w:id="532" w:name="_Toc23013"/>
      <w:bookmarkStart w:id="533" w:name="_Toc24058"/>
      <w:r>
        <w:rPr>
          <w:rFonts w:hint="eastAsia" w:eastAsia="宋体"/>
          <w:b/>
          <w:bCs/>
          <w:sz w:val="24"/>
          <w:szCs w:val="24"/>
        </w:rPr>
        <w:t>6.1</w:t>
      </w:r>
      <w:bookmarkStart w:id="534" w:name="OLE_LINK121"/>
      <w:bookmarkStart w:id="535" w:name="OLE_LINK120"/>
      <w:r>
        <w:rPr>
          <w:rFonts w:hint="eastAsia" w:eastAsia="宋体"/>
          <w:b/>
          <w:bCs/>
          <w:sz w:val="24"/>
          <w:szCs w:val="24"/>
        </w:rPr>
        <w:t>1 电气设施、设备维护与拆除</w:t>
      </w:r>
      <w:bookmarkEnd w:id="522"/>
      <w:bookmarkEnd w:id="523"/>
      <w:bookmarkEnd w:id="529"/>
      <w:bookmarkEnd w:id="530"/>
      <w:bookmarkEnd w:id="531"/>
      <w:bookmarkEnd w:id="532"/>
      <w:bookmarkEnd w:id="533"/>
      <w:bookmarkEnd w:id="534"/>
      <w:bookmarkEnd w:id="535"/>
    </w:p>
    <w:p w14:paraId="5536ADF2">
      <w:pPr>
        <w:pStyle w:val="35"/>
        <w:spacing w:before="120" w:line="360" w:lineRule="auto"/>
        <w:rPr>
          <w:bCs w:val="0"/>
          <w:color w:val="auto"/>
          <w:szCs w:val="24"/>
        </w:rPr>
      </w:pPr>
      <w:r>
        <w:rPr>
          <w:rFonts w:hint="eastAsia"/>
          <w:b/>
          <w:color w:val="auto"/>
          <w:szCs w:val="24"/>
        </w:rPr>
        <w:t>6</w:t>
      </w:r>
      <w:r>
        <w:rPr>
          <w:b/>
          <w:color w:val="auto"/>
          <w:szCs w:val="24"/>
        </w:rPr>
        <w:t>.11.</w:t>
      </w:r>
      <w:r>
        <w:rPr>
          <w:rFonts w:hint="eastAsia"/>
          <w:b/>
          <w:color w:val="auto"/>
          <w:szCs w:val="24"/>
        </w:rPr>
        <w:t xml:space="preserve">1  </w:t>
      </w:r>
      <w:r>
        <w:rPr>
          <w:bCs w:val="0"/>
          <w:color w:val="auto"/>
          <w:szCs w:val="24"/>
        </w:rPr>
        <w:t>电气设施</w:t>
      </w:r>
      <w:r>
        <w:rPr>
          <w:rFonts w:hint="eastAsia"/>
          <w:bCs w:val="0"/>
          <w:color w:val="auto"/>
          <w:szCs w:val="24"/>
        </w:rPr>
        <w:t>、</w:t>
      </w:r>
      <w:r>
        <w:rPr>
          <w:bCs w:val="0"/>
          <w:color w:val="auto"/>
          <w:szCs w:val="24"/>
        </w:rPr>
        <w:t>设备维护与拆除作业时</w:t>
      </w:r>
      <w:r>
        <w:rPr>
          <w:rFonts w:hint="eastAsia"/>
          <w:bCs w:val="0"/>
          <w:color w:val="auto"/>
          <w:szCs w:val="24"/>
        </w:rPr>
        <w:t>，</w:t>
      </w:r>
      <w:r>
        <w:rPr>
          <w:bCs w:val="0"/>
          <w:color w:val="auto"/>
          <w:szCs w:val="24"/>
        </w:rPr>
        <w:t>不得带电作业</w:t>
      </w:r>
      <w:bookmarkStart w:id="536" w:name="_Toc25987"/>
      <w:bookmarkStart w:id="537" w:name="_Toc29681"/>
      <w:bookmarkStart w:id="538" w:name="OLE_LINK95"/>
      <w:bookmarkStart w:id="539" w:name="OLE_LINK94"/>
      <w:r>
        <w:rPr>
          <w:rFonts w:hint="eastAsia"/>
          <w:bCs w:val="0"/>
          <w:color w:val="auto"/>
          <w:szCs w:val="24"/>
        </w:rPr>
        <w:t>；</w:t>
      </w:r>
      <w:r>
        <w:rPr>
          <w:bCs w:val="0"/>
          <w:color w:val="auto"/>
          <w:szCs w:val="24"/>
        </w:rPr>
        <w:t>应将其</w:t>
      </w:r>
      <w:r>
        <w:rPr>
          <w:rFonts w:hint="eastAsia"/>
          <w:bCs w:val="0"/>
          <w:color w:val="auto"/>
          <w:szCs w:val="24"/>
        </w:rPr>
        <w:t>上</w:t>
      </w:r>
      <w:r>
        <w:rPr>
          <w:bCs w:val="0"/>
          <w:color w:val="auto"/>
          <w:szCs w:val="24"/>
        </w:rPr>
        <w:t>一级电源隔离开关</w:t>
      </w:r>
      <w:r>
        <w:rPr>
          <w:rFonts w:hint="eastAsia"/>
          <w:bCs w:val="0"/>
          <w:color w:val="auto"/>
          <w:szCs w:val="24"/>
        </w:rPr>
        <w:t>及</w:t>
      </w:r>
      <w:r>
        <w:rPr>
          <w:bCs w:val="0"/>
          <w:color w:val="auto"/>
          <w:szCs w:val="24"/>
        </w:rPr>
        <w:t>相应回路</w:t>
      </w:r>
      <w:r>
        <w:rPr>
          <w:rFonts w:hint="eastAsia"/>
          <w:bCs w:val="0"/>
          <w:color w:val="auto"/>
          <w:szCs w:val="24"/>
        </w:rPr>
        <w:t>的保护电器</w:t>
      </w:r>
      <w:r>
        <w:rPr>
          <w:bCs w:val="0"/>
          <w:color w:val="auto"/>
          <w:szCs w:val="24"/>
        </w:rPr>
        <w:t>分闸断电，并悬挂</w:t>
      </w:r>
      <w:r>
        <w:rPr>
          <w:rFonts w:hint="eastAsia"/>
          <w:bCs w:val="0"/>
          <w:color w:val="auto"/>
          <w:szCs w:val="24"/>
        </w:rPr>
        <w:t>“</w:t>
      </w:r>
      <w:r>
        <w:rPr>
          <w:bCs w:val="0"/>
          <w:color w:val="auto"/>
          <w:szCs w:val="24"/>
        </w:rPr>
        <w:t>有人工作</w:t>
      </w:r>
      <w:r>
        <w:rPr>
          <w:rFonts w:hint="eastAsia"/>
          <w:bCs w:val="0"/>
          <w:color w:val="auto"/>
          <w:szCs w:val="24"/>
        </w:rPr>
        <w:t>、</w:t>
      </w:r>
      <w:r>
        <w:rPr>
          <w:bCs w:val="0"/>
          <w:color w:val="auto"/>
          <w:szCs w:val="24"/>
        </w:rPr>
        <w:t>禁止合闸</w:t>
      </w:r>
      <w:r>
        <w:rPr>
          <w:rFonts w:hint="eastAsia"/>
          <w:bCs w:val="0"/>
          <w:color w:val="auto"/>
          <w:szCs w:val="24"/>
        </w:rPr>
        <w:t>”</w:t>
      </w:r>
      <w:r>
        <w:rPr>
          <w:bCs w:val="0"/>
          <w:color w:val="auto"/>
          <w:szCs w:val="24"/>
        </w:rPr>
        <w:t>警示标志。</w:t>
      </w:r>
    </w:p>
    <w:p w14:paraId="2DBBFAF3">
      <w:pPr>
        <w:pStyle w:val="35"/>
        <w:spacing w:before="120" w:line="360" w:lineRule="auto"/>
        <w:rPr>
          <w:bCs w:val="0"/>
          <w:color w:val="auto"/>
          <w:szCs w:val="24"/>
        </w:rPr>
      </w:pPr>
      <w:r>
        <w:rPr>
          <w:rFonts w:hint="eastAsia"/>
          <w:b/>
          <w:color w:val="auto"/>
          <w:szCs w:val="24"/>
        </w:rPr>
        <w:t>6</w:t>
      </w:r>
      <w:r>
        <w:rPr>
          <w:b/>
          <w:color w:val="auto"/>
          <w:szCs w:val="24"/>
        </w:rPr>
        <w:t>.11.</w:t>
      </w:r>
      <w:r>
        <w:rPr>
          <w:rFonts w:hint="eastAsia"/>
          <w:b/>
          <w:color w:val="auto"/>
          <w:szCs w:val="24"/>
        </w:rPr>
        <w:t xml:space="preserve">2  </w:t>
      </w:r>
      <w:r>
        <w:rPr>
          <w:bCs w:val="0"/>
          <w:color w:val="auto"/>
          <w:szCs w:val="24"/>
        </w:rPr>
        <w:t>被拆除部分应进行电气隔离</w:t>
      </w:r>
      <w:r>
        <w:rPr>
          <w:rFonts w:hint="eastAsia"/>
          <w:bCs w:val="0"/>
          <w:color w:val="auto"/>
          <w:szCs w:val="24"/>
        </w:rPr>
        <w:t>并</w:t>
      </w:r>
      <w:r>
        <w:rPr>
          <w:rFonts w:hint="eastAsia"/>
          <w:color w:val="auto"/>
          <w:szCs w:val="24"/>
        </w:rPr>
        <w:t>实施“</w:t>
      </w:r>
      <w:r>
        <w:rPr>
          <w:color w:val="auto"/>
          <w:szCs w:val="24"/>
        </w:rPr>
        <w:t>停电、验电</w:t>
      </w:r>
      <w:r>
        <w:rPr>
          <w:rFonts w:hint="eastAsia"/>
          <w:color w:val="auto"/>
          <w:szCs w:val="24"/>
        </w:rPr>
        <w:t>”</w:t>
      </w:r>
      <w:r>
        <w:rPr>
          <w:color w:val="auto"/>
          <w:szCs w:val="24"/>
        </w:rPr>
        <w:t>等安全</w:t>
      </w:r>
      <w:r>
        <w:rPr>
          <w:rFonts w:hint="eastAsia"/>
          <w:color w:val="auto"/>
          <w:szCs w:val="24"/>
        </w:rPr>
        <w:t>检验</w:t>
      </w:r>
      <w:r>
        <w:rPr>
          <w:color w:val="auto"/>
          <w:szCs w:val="24"/>
        </w:rPr>
        <w:t>措施</w:t>
      </w:r>
      <w:r>
        <w:rPr>
          <w:rFonts w:hint="eastAsia"/>
          <w:color w:val="auto"/>
          <w:szCs w:val="24"/>
        </w:rPr>
        <w:t>后</w:t>
      </w:r>
      <w:r>
        <w:rPr>
          <w:color w:val="auto"/>
          <w:szCs w:val="24"/>
        </w:rPr>
        <w:t>，</w:t>
      </w:r>
      <w:r>
        <w:rPr>
          <w:rFonts w:hint="eastAsia"/>
          <w:color w:val="auto"/>
          <w:szCs w:val="24"/>
        </w:rPr>
        <w:t>方可</w:t>
      </w:r>
      <w:r>
        <w:rPr>
          <w:bCs w:val="0"/>
          <w:color w:val="auto"/>
          <w:szCs w:val="24"/>
        </w:rPr>
        <w:t>进行拆除</w:t>
      </w:r>
      <w:r>
        <w:rPr>
          <w:rFonts w:hint="eastAsia"/>
          <w:color w:val="auto"/>
          <w:szCs w:val="24"/>
        </w:rPr>
        <w:t>作业。</w:t>
      </w:r>
      <w:bookmarkEnd w:id="536"/>
      <w:bookmarkEnd w:id="537"/>
    </w:p>
    <w:bookmarkEnd w:id="538"/>
    <w:bookmarkEnd w:id="539"/>
    <w:p w14:paraId="1F97148C">
      <w:pPr>
        <w:pStyle w:val="35"/>
        <w:spacing w:before="120" w:line="360" w:lineRule="auto"/>
        <w:rPr>
          <w:b/>
          <w:color w:val="auto"/>
          <w:szCs w:val="24"/>
        </w:rPr>
      </w:pPr>
      <w:bookmarkStart w:id="540" w:name="_Toc13498"/>
      <w:bookmarkStart w:id="541" w:name="_Toc12354"/>
      <w:bookmarkStart w:id="542" w:name="_Toc7534"/>
      <w:bookmarkStart w:id="543" w:name="_Toc8095"/>
      <w:bookmarkStart w:id="544" w:name="_Toc29470"/>
      <w:bookmarkStart w:id="545" w:name="_Toc12734"/>
      <w:bookmarkStart w:id="546" w:name="OLE_LINK97"/>
      <w:bookmarkStart w:id="547" w:name="OLE_LINK96"/>
      <w:r>
        <w:rPr>
          <w:rStyle w:val="53"/>
          <w:rFonts w:hint="eastAsia"/>
          <w:b/>
          <w:bCs w:val="0"/>
          <w:color w:val="auto"/>
          <w:sz w:val="24"/>
          <w:szCs w:val="24"/>
        </w:rPr>
        <w:t>6.</w:t>
      </w:r>
      <w:bookmarkEnd w:id="540"/>
      <w:bookmarkEnd w:id="541"/>
      <w:bookmarkEnd w:id="542"/>
      <w:bookmarkEnd w:id="543"/>
      <w:bookmarkEnd w:id="544"/>
      <w:bookmarkEnd w:id="545"/>
      <w:r>
        <w:rPr>
          <w:rFonts w:hint="eastAsia"/>
          <w:b/>
          <w:bCs w:val="0"/>
          <w:color w:val="auto"/>
          <w:szCs w:val="24"/>
        </w:rPr>
        <w:t>11</w:t>
      </w:r>
      <w:r>
        <w:rPr>
          <w:b/>
          <w:bCs w:val="0"/>
          <w:color w:val="auto"/>
          <w:szCs w:val="24"/>
        </w:rPr>
        <w:t>.</w:t>
      </w:r>
      <w:bookmarkEnd w:id="546"/>
      <w:bookmarkEnd w:id="547"/>
      <w:r>
        <w:rPr>
          <w:rFonts w:hint="eastAsia"/>
          <w:b/>
          <w:bCs w:val="0"/>
          <w:color w:val="auto"/>
          <w:szCs w:val="24"/>
        </w:rPr>
        <w:t>3</w:t>
      </w:r>
      <w:r>
        <w:rPr>
          <w:rFonts w:hint="eastAsia"/>
          <w:b/>
          <w:color w:val="auto"/>
          <w:szCs w:val="24"/>
        </w:rPr>
        <w:t xml:space="preserve">  </w:t>
      </w:r>
      <w:r>
        <w:rPr>
          <w:rFonts w:hint="eastAsia"/>
          <w:color w:val="auto"/>
          <w:szCs w:val="24"/>
        </w:rPr>
        <w:t>维护</w:t>
      </w:r>
      <w:r>
        <w:rPr>
          <w:rFonts w:hint="eastAsia"/>
          <w:bCs w:val="0"/>
          <w:color w:val="auto"/>
          <w:szCs w:val="24"/>
        </w:rPr>
        <w:t>包括供电、配电、用电线路及设施、设备工作状态</w:t>
      </w:r>
      <w:r>
        <w:rPr>
          <w:bCs w:val="0"/>
          <w:color w:val="auto"/>
          <w:szCs w:val="24"/>
        </w:rPr>
        <w:t>巡视检查</w:t>
      </w:r>
      <w:r>
        <w:rPr>
          <w:rFonts w:hint="eastAsia"/>
          <w:bCs w:val="0"/>
          <w:color w:val="auto"/>
          <w:szCs w:val="24"/>
        </w:rPr>
        <w:t>及记录。</w:t>
      </w:r>
    </w:p>
    <w:p w14:paraId="01FBF14A">
      <w:pPr>
        <w:pStyle w:val="35"/>
        <w:spacing w:before="120" w:line="360" w:lineRule="auto"/>
        <w:rPr>
          <w:bCs w:val="0"/>
          <w:color w:val="auto"/>
          <w:szCs w:val="24"/>
        </w:rPr>
      </w:pPr>
      <w:bookmarkStart w:id="548" w:name="_Toc10693"/>
      <w:bookmarkStart w:id="549" w:name="_Toc8734"/>
      <w:bookmarkStart w:id="550" w:name="_Toc4243"/>
      <w:bookmarkStart w:id="551" w:name="_Toc31910"/>
      <w:bookmarkStart w:id="552" w:name="_Toc15368"/>
      <w:bookmarkStart w:id="553" w:name="_Toc18082"/>
      <w:r>
        <w:rPr>
          <w:rStyle w:val="53"/>
          <w:rFonts w:hint="eastAsia"/>
          <w:b/>
          <w:bCs w:val="0"/>
          <w:color w:val="auto"/>
          <w:sz w:val="24"/>
          <w:szCs w:val="24"/>
        </w:rPr>
        <w:t>6.</w:t>
      </w:r>
      <w:bookmarkEnd w:id="548"/>
      <w:bookmarkEnd w:id="549"/>
      <w:bookmarkEnd w:id="550"/>
      <w:bookmarkEnd w:id="551"/>
      <w:bookmarkEnd w:id="552"/>
      <w:bookmarkEnd w:id="553"/>
      <w:r>
        <w:rPr>
          <w:rFonts w:hint="eastAsia"/>
          <w:b/>
          <w:bCs w:val="0"/>
          <w:color w:val="auto"/>
          <w:szCs w:val="24"/>
        </w:rPr>
        <w:t>11</w:t>
      </w:r>
      <w:r>
        <w:rPr>
          <w:b/>
          <w:bCs w:val="0"/>
          <w:color w:val="auto"/>
          <w:szCs w:val="24"/>
        </w:rPr>
        <w:t>.</w:t>
      </w:r>
      <w:r>
        <w:rPr>
          <w:rFonts w:hint="eastAsia"/>
          <w:b/>
          <w:bCs w:val="0"/>
          <w:color w:val="auto"/>
          <w:szCs w:val="24"/>
        </w:rPr>
        <w:t>4</w:t>
      </w:r>
      <w:r>
        <w:rPr>
          <w:rFonts w:hint="eastAsia"/>
          <w:b/>
          <w:color w:val="auto"/>
          <w:szCs w:val="24"/>
        </w:rPr>
        <w:t xml:space="preserve">  </w:t>
      </w:r>
      <w:r>
        <w:rPr>
          <w:bCs w:val="0"/>
          <w:color w:val="auto"/>
          <w:szCs w:val="24"/>
        </w:rPr>
        <w:t>电气设施、设备</w:t>
      </w:r>
      <w:bookmarkStart w:id="554" w:name="OLE_LINK98"/>
      <w:bookmarkStart w:id="555" w:name="OLE_LINK102"/>
      <w:r>
        <w:rPr>
          <w:bCs w:val="0"/>
          <w:color w:val="auto"/>
          <w:szCs w:val="24"/>
        </w:rPr>
        <w:t>巡视检查应符合下列规定</w:t>
      </w:r>
      <w:bookmarkEnd w:id="554"/>
      <w:bookmarkEnd w:id="555"/>
      <w:r>
        <w:rPr>
          <w:bCs w:val="0"/>
          <w:color w:val="auto"/>
          <w:szCs w:val="24"/>
        </w:rPr>
        <w:t>：</w:t>
      </w:r>
    </w:p>
    <w:p w14:paraId="396460BA">
      <w:pPr>
        <w:pStyle w:val="37"/>
        <w:spacing w:before="120" w:line="360" w:lineRule="auto"/>
        <w:rPr>
          <w:bCs w:val="0"/>
          <w:color w:val="auto"/>
          <w:sz w:val="24"/>
          <w:szCs w:val="24"/>
        </w:rPr>
      </w:pPr>
      <w:bookmarkStart w:id="556" w:name="OLE_LINK134"/>
      <w:bookmarkStart w:id="557" w:name="OLE_LINK133"/>
      <w:r>
        <w:rPr>
          <w:b/>
          <w:color w:val="auto"/>
          <w:sz w:val="24"/>
          <w:szCs w:val="24"/>
        </w:rPr>
        <w:t>1</w:t>
      </w:r>
      <w:r>
        <w:rPr>
          <w:rFonts w:hint="eastAsia"/>
          <w:b/>
          <w:color w:val="auto"/>
          <w:sz w:val="24"/>
          <w:szCs w:val="24"/>
        </w:rPr>
        <w:t xml:space="preserve">  </w:t>
      </w:r>
      <w:r>
        <w:rPr>
          <w:bCs w:val="0"/>
          <w:color w:val="auto"/>
          <w:sz w:val="24"/>
          <w:szCs w:val="24"/>
        </w:rPr>
        <w:t>配电保护电器、用电设施</w:t>
      </w:r>
      <w:r>
        <w:rPr>
          <w:rFonts w:hint="eastAsia"/>
          <w:bCs w:val="0"/>
          <w:color w:val="auto"/>
          <w:sz w:val="24"/>
          <w:szCs w:val="24"/>
        </w:rPr>
        <w:t>、</w:t>
      </w:r>
      <w:r>
        <w:rPr>
          <w:bCs w:val="0"/>
          <w:color w:val="auto"/>
          <w:sz w:val="24"/>
          <w:szCs w:val="24"/>
        </w:rPr>
        <w:t>设备</w:t>
      </w:r>
      <w:r>
        <w:rPr>
          <w:rFonts w:hint="eastAsia"/>
          <w:bCs w:val="0"/>
          <w:color w:val="auto"/>
          <w:sz w:val="24"/>
          <w:szCs w:val="24"/>
        </w:rPr>
        <w:t>每天不</w:t>
      </w:r>
      <w:r>
        <w:rPr>
          <w:bCs w:val="0"/>
          <w:color w:val="auto"/>
          <w:sz w:val="24"/>
          <w:szCs w:val="24"/>
        </w:rPr>
        <w:t>应少于1次巡视检查；</w:t>
      </w:r>
    </w:p>
    <w:p w14:paraId="5ADF85EE">
      <w:pPr>
        <w:pStyle w:val="37"/>
        <w:spacing w:before="120" w:line="360" w:lineRule="auto"/>
        <w:rPr>
          <w:bCs w:val="0"/>
          <w:color w:val="auto"/>
          <w:sz w:val="24"/>
          <w:szCs w:val="24"/>
        </w:rPr>
      </w:pPr>
      <w:r>
        <w:rPr>
          <w:b/>
          <w:color w:val="auto"/>
          <w:sz w:val="24"/>
          <w:szCs w:val="24"/>
        </w:rPr>
        <w:t>2</w:t>
      </w:r>
      <w:r>
        <w:rPr>
          <w:rFonts w:hint="eastAsia"/>
          <w:bCs w:val="0"/>
          <w:color w:val="auto"/>
          <w:sz w:val="24"/>
          <w:szCs w:val="24"/>
        </w:rPr>
        <w:t xml:space="preserve">  </w:t>
      </w:r>
      <w:r>
        <w:rPr>
          <w:bCs w:val="0"/>
          <w:color w:val="auto"/>
          <w:sz w:val="24"/>
          <w:szCs w:val="24"/>
        </w:rPr>
        <w:t>配电线路</w:t>
      </w:r>
      <w:bookmarkStart w:id="558" w:name="OLE_LINK92"/>
      <w:bookmarkStart w:id="559" w:name="OLE_LINK93"/>
      <w:r>
        <w:rPr>
          <w:bCs w:val="0"/>
          <w:color w:val="auto"/>
          <w:sz w:val="24"/>
          <w:szCs w:val="24"/>
        </w:rPr>
        <w:t>每周</w:t>
      </w:r>
      <w:bookmarkStart w:id="560" w:name="OLE_LINK90"/>
      <w:bookmarkStart w:id="561" w:name="OLE_LINK91"/>
      <w:r>
        <w:rPr>
          <w:rFonts w:hint="eastAsia"/>
          <w:bCs w:val="0"/>
          <w:color w:val="auto"/>
          <w:sz w:val="24"/>
          <w:szCs w:val="24"/>
        </w:rPr>
        <w:t>不</w:t>
      </w:r>
      <w:r>
        <w:rPr>
          <w:bCs w:val="0"/>
          <w:color w:val="auto"/>
          <w:sz w:val="24"/>
          <w:szCs w:val="24"/>
        </w:rPr>
        <w:t>应少于1次</w:t>
      </w:r>
      <w:bookmarkEnd w:id="558"/>
      <w:bookmarkEnd w:id="559"/>
      <w:bookmarkEnd w:id="560"/>
      <w:bookmarkEnd w:id="561"/>
      <w:r>
        <w:rPr>
          <w:bCs w:val="0"/>
          <w:color w:val="auto"/>
          <w:sz w:val="24"/>
          <w:szCs w:val="24"/>
        </w:rPr>
        <w:t>巡视检查；</w:t>
      </w:r>
    </w:p>
    <w:bookmarkEnd w:id="556"/>
    <w:bookmarkEnd w:id="557"/>
    <w:p w14:paraId="4C21DB72">
      <w:pPr>
        <w:pStyle w:val="37"/>
        <w:spacing w:before="120" w:line="360" w:lineRule="auto"/>
        <w:rPr>
          <w:bCs w:val="0"/>
          <w:color w:val="auto"/>
          <w:sz w:val="24"/>
          <w:szCs w:val="24"/>
        </w:rPr>
      </w:pPr>
      <w:r>
        <w:rPr>
          <w:b/>
          <w:color w:val="auto"/>
          <w:sz w:val="24"/>
          <w:szCs w:val="24"/>
        </w:rPr>
        <w:t>3</w:t>
      </w:r>
      <w:r>
        <w:rPr>
          <w:rFonts w:hint="eastAsia"/>
          <w:bCs w:val="0"/>
          <w:color w:val="auto"/>
          <w:sz w:val="24"/>
          <w:szCs w:val="24"/>
        </w:rPr>
        <w:t xml:space="preserve">  </w:t>
      </w:r>
      <w:r>
        <w:rPr>
          <w:bCs w:val="0"/>
          <w:color w:val="auto"/>
          <w:sz w:val="24"/>
          <w:szCs w:val="24"/>
        </w:rPr>
        <w:t>新投入、大修、停复工的电气设施、设备在72h内巡视检查无异常</w:t>
      </w:r>
      <w:r>
        <w:rPr>
          <w:rFonts w:hint="eastAsia"/>
          <w:bCs w:val="0"/>
          <w:color w:val="auto"/>
          <w:sz w:val="24"/>
          <w:szCs w:val="24"/>
        </w:rPr>
        <w:t>，</w:t>
      </w:r>
      <w:r>
        <w:rPr>
          <w:bCs w:val="0"/>
          <w:color w:val="auto"/>
          <w:sz w:val="24"/>
          <w:szCs w:val="24"/>
        </w:rPr>
        <w:t>方可按正常巡视检查周期进行；</w:t>
      </w:r>
    </w:p>
    <w:p w14:paraId="49EC720A">
      <w:pPr>
        <w:pStyle w:val="37"/>
        <w:spacing w:before="120" w:line="360" w:lineRule="auto"/>
        <w:rPr>
          <w:bCs w:val="0"/>
          <w:color w:val="auto"/>
          <w:sz w:val="24"/>
          <w:szCs w:val="24"/>
        </w:rPr>
      </w:pPr>
      <w:r>
        <w:rPr>
          <w:rFonts w:hint="eastAsia"/>
          <w:b/>
          <w:color w:val="auto"/>
          <w:sz w:val="24"/>
          <w:szCs w:val="24"/>
        </w:rPr>
        <w:t>4</w:t>
      </w:r>
      <w:r>
        <w:rPr>
          <w:rFonts w:hint="eastAsia"/>
          <w:bCs w:val="0"/>
          <w:color w:val="auto"/>
          <w:sz w:val="24"/>
          <w:szCs w:val="24"/>
        </w:rPr>
        <w:t xml:space="preserve">  </w:t>
      </w:r>
      <w:r>
        <w:rPr>
          <w:bCs w:val="0"/>
          <w:color w:val="auto"/>
          <w:sz w:val="24"/>
          <w:szCs w:val="24"/>
        </w:rPr>
        <w:t>冬季、雨季前应分别进行一次电气设施设备巡视检查</w:t>
      </w:r>
      <w:r>
        <w:rPr>
          <w:rFonts w:hint="eastAsia"/>
          <w:bCs w:val="0"/>
          <w:color w:val="auto"/>
          <w:sz w:val="24"/>
          <w:szCs w:val="24"/>
        </w:rPr>
        <w:t>；</w:t>
      </w:r>
    </w:p>
    <w:p w14:paraId="0EDFCA5E">
      <w:pPr>
        <w:pStyle w:val="37"/>
        <w:spacing w:before="120" w:line="360" w:lineRule="auto"/>
        <w:rPr>
          <w:bCs w:val="0"/>
          <w:color w:val="auto"/>
          <w:sz w:val="24"/>
          <w:szCs w:val="24"/>
        </w:rPr>
      </w:pPr>
      <w:r>
        <w:rPr>
          <w:rFonts w:hint="eastAsia"/>
          <w:b/>
          <w:color w:val="auto"/>
          <w:sz w:val="24"/>
          <w:szCs w:val="24"/>
        </w:rPr>
        <w:t>5</w:t>
      </w:r>
      <w:r>
        <w:rPr>
          <w:rFonts w:hint="eastAsia"/>
          <w:bCs w:val="0"/>
          <w:color w:val="auto"/>
          <w:sz w:val="24"/>
          <w:szCs w:val="24"/>
        </w:rPr>
        <w:t xml:space="preserve">  </w:t>
      </w:r>
      <w:r>
        <w:rPr>
          <w:bCs w:val="0"/>
          <w:color w:val="auto"/>
          <w:sz w:val="24"/>
          <w:szCs w:val="24"/>
        </w:rPr>
        <w:t>遇有大风、暴雨、冰雹、雪、霜、雾等恶劣天气时，应增加巡视检查频次</w:t>
      </w:r>
      <w:r>
        <w:rPr>
          <w:rFonts w:hint="eastAsia"/>
          <w:bCs w:val="0"/>
          <w:color w:val="auto"/>
          <w:sz w:val="24"/>
          <w:szCs w:val="24"/>
        </w:rPr>
        <w:t>。</w:t>
      </w:r>
      <w:bookmarkStart w:id="562" w:name="_Toc3287"/>
      <w:bookmarkStart w:id="563" w:name="_Toc32643"/>
      <w:bookmarkStart w:id="564" w:name="_Toc25264"/>
    </w:p>
    <w:bookmarkEnd w:id="562"/>
    <w:bookmarkEnd w:id="563"/>
    <w:bookmarkEnd w:id="564"/>
    <w:p w14:paraId="3A633EBB">
      <w:pPr>
        <w:pStyle w:val="35"/>
        <w:spacing w:before="120" w:line="360" w:lineRule="auto"/>
        <w:rPr>
          <w:bCs w:val="0"/>
          <w:color w:val="auto"/>
          <w:szCs w:val="24"/>
        </w:rPr>
      </w:pPr>
      <w:bookmarkStart w:id="565" w:name="_Toc19257"/>
      <w:bookmarkStart w:id="566" w:name="_Toc17759"/>
      <w:bookmarkStart w:id="567" w:name="_Toc10501"/>
      <w:bookmarkStart w:id="568" w:name="_Toc7355"/>
      <w:bookmarkStart w:id="569" w:name="_Toc17960"/>
      <w:bookmarkStart w:id="570" w:name="_Toc19449"/>
      <w:r>
        <w:rPr>
          <w:rStyle w:val="53"/>
          <w:rFonts w:hint="eastAsia"/>
          <w:b/>
          <w:bCs w:val="0"/>
          <w:color w:val="auto"/>
          <w:sz w:val="24"/>
          <w:szCs w:val="24"/>
        </w:rPr>
        <w:t>6.</w:t>
      </w:r>
      <w:bookmarkEnd w:id="565"/>
      <w:bookmarkEnd w:id="566"/>
      <w:bookmarkEnd w:id="567"/>
      <w:bookmarkEnd w:id="568"/>
      <w:bookmarkEnd w:id="569"/>
      <w:bookmarkEnd w:id="570"/>
      <w:r>
        <w:rPr>
          <w:rFonts w:hint="eastAsia"/>
          <w:b/>
          <w:bCs w:val="0"/>
          <w:color w:val="auto"/>
          <w:szCs w:val="24"/>
        </w:rPr>
        <w:t>11</w:t>
      </w:r>
      <w:r>
        <w:rPr>
          <w:b/>
          <w:bCs w:val="0"/>
          <w:color w:val="auto"/>
          <w:szCs w:val="24"/>
        </w:rPr>
        <w:t>.</w:t>
      </w:r>
      <w:r>
        <w:rPr>
          <w:rFonts w:hint="eastAsia"/>
          <w:b/>
          <w:bCs w:val="0"/>
          <w:color w:val="auto"/>
          <w:szCs w:val="24"/>
        </w:rPr>
        <w:t>5</w:t>
      </w:r>
      <w:r>
        <w:rPr>
          <w:b/>
          <w:bCs w:val="0"/>
          <w:color w:val="auto"/>
          <w:szCs w:val="24"/>
        </w:rPr>
        <w:t xml:space="preserve"> </w:t>
      </w:r>
      <w:r>
        <w:rPr>
          <w:rFonts w:hint="eastAsia"/>
          <w:bCs w:val="0"/>
          <w:color w:val="auto"/>
          <w:szCs w:val="24"/>
        </w:rPr>
        <w:t xml:space="preserve"> </w:t>
      </w:r>
      <w:r>
        <w:rPr>
          <w:bCs w:val="0"/>
          <w:color w:val="auto"/>
          <w:szCs w:val="24"/>
        </w:rPr>
        <w:t>拆除</w:t>
      </w:r>
      <w:r>
        <w:rPr>
          <w:rFonts w:hint="eastAsia"/>
          <w:bCs w:val="0"/>
          <w:color w:val="auto"/>
          <w:szCs w:val="24"/>
        </w:rPr>
        <w:t>作业</w:t>
      </w:r>
      <w:r>
        <w:rPr>
          <w:bCs w:val="0"/>
          <w:color w:val="auto"/>
          <w:szCs w:val="24"/>
        </w:rPr>
        <w:t>前，被拆除部分应进行电气隔离，验电后方可进行拆除作业。</w:t>
      </w:r>
    </w:p>
    <w:p w14:paraId="0C6A69D2">
      <w:pPr>
        <w:pStyle w:val="35"/>
        <w:spacing w:before="120" w:line="360" w:lineRule="auto"/>
        <w:rPr>
          <w:bCs w:val="0"/>
          <w:color w:val="auto"/>
          <w:szCs w:val="24"/>
        </w:rPr>
      </w:pPr>
      <w:bookmarkStart w:id="571" w:name="_Toc30347"/>
      <w:bookmarkStart w:id="572" w:name="_Toc20930"/>
      <w:bookmarkStart w:id="573" w:name="_Toc29771"/>
      <w:bookmarkStart w:id="574" w:name="_Toc15031"/>
      <w:bookmarkStart w:id="575" w:name="_Toc27134"/>
      <w:bookmarkStart w:id="576" w:name="_Toc12326"/>
      <w:r>
        <w:rPr>
          <w:rStyle w:val="53"/>
          <w:rFonts w:hint="eastAsia"/>
          <w:b/>
          <w:bCs w:val="0"/>
          <w:color w:val="auto"/>
          <w:sz w:val="24"/>
          <w:szCs w:val="24"/>
        </w:rPr>
        <w:t>6.</w:t>
      </w:r>
      <w:bookmarkEnd w:id="571"/>
      <w:bookmarkEnd w:id="572"/>
      <w:bookmarkEnd w:id="573"/>
      <w:bookmarkEnd w:id="574"/>
      <w:bookmarkEnd w:id="575"/>
      <w:bookmarkEnd w:id="576"/>
      <w:r>
        <w:rPr>
          <w:rFonts w:hint="eastAsia"/>
          <w:b/>
          <w:bCs w:val="0"/>
          <w:color w:val="auto"/>
          <w:szCs w:val="24"/>
        </w:rPr>
        <w:t>11</w:t>
      </w:r>
      <w:r>
        <w:rPr>
          <w:b/>
          <w:bCs w:val="0"/>
          <w:color w:val="auto"/>
          <w:szCs w:val="24"/>
        </w:rPr>
        <w:t>.</w:t>
      </w:r>
      <w:r>
        <w:rPr>
          <w:rFonts w:hint="eastAsia"/>
          <w:b/>
          <w:bCs w:val="0"/>
          <w:color w:val="auto"/>
          <w:szCs w:val="24"/>
        </w:rPr>
        <w:t>6</w:t>
      </w:r>
      <w:r>
        <w:rPr>
          <w:b/>
          <w:bCs w:val="0"/>
          <w:color w:val="auto"/>
          <w:szCs w:val="24"/>
        </w:rPr>
        <w:t xml:space="preserve"> </w:t>
      </w:r>
      <w:r>
        <w:rPr>
          <w:rFonts w:hint="eastAsia"/>
          <w:bCs w:val="0"/>
          <w:color w:val="auto"/>
          <w:szCs w:val="24"/>
        </w:rPr>
        <w:t xml:space="preserve"> </w:t>
      </w:r>
      <w:r>
        <w:rPr>
          <w:bCs w:val="0"/>
          <w:color w:val="auto"/>
          <w:szCs w:val="24"/>
        </w:rPr>
        <w:t>电缆及电容器拆除作业前，应逐相进行放电</w:t>
      </w:r>
      <w:r>
        <w:rPr>
          <w:rFonts w:hint="eastAsia"/>
          <w:bCs w:val="0"/>
          <w:color w:val="auto"/>
          <w:szCs w:val="24"/>
        </w:rPr>
        <w:t>、验电</w:t>
      </w:r>
      <w:r>
        <w:rPr>
          <w:bCs w:val="0"/>
          <w:color w:val="auto"/>
          <w:szCs w:val="24"/>
        </w:rPr>
        <w:t>。</w:t>
      </w:r>
      <w:r>
        <w:rPr>
          <w:rFonts w:hint="eastAsia"/>
          <w:bCs w:val="0"/>
          <w:color w:val="auto"/>
          <w:szCs w:val="24"/>
        </w:rPr>
        <w:t xml:space="preserve"> </w:t>
      </w:r>
    </w:p>
    <w:p w14:paraId="696A679E">
      <w:pPr>
        <w:pStyle w:val="35"/>
        <w:spacing w:before="120" w:line="360" w:lineRule="auto"/>
        <w:rPr>
          <w:bCs w:val="0"/>
          <w:color w:val="auto"/>
          <w:szCs w:val="24"/>
        </w:rPr>
      </w:pPr>
      <w:bookmarkStart w:id="577" w:name="_Toc26345"/>
      <w:bookmarkStart w:id="578" w:name="_Toc13070"/>
      <w:bookmarkStart w:id="579" w:name="_Toc24406"/>
      <w:bookmarkStart w:id="580" w:name="_Toc27148"/>
      <w:bookmarkStart w:id="581" w:name="_Toc26712"/>
      <w:bookmarkStart w:id="582" w:name="_Toc19006"/>
      <w:r>
        <w:rPr>
          <w:rStyle w:val="53"/>
          <w:rFonts w:hint="eastAsia"/>
          <w:b/>
          <w:bCs w:val="0"/>
          <w:color w:val="auto"/>
          <w:sz w:val="24"/>
          <w:szCs w:val="24"/>
        </w:rPr>
        <w:t>6.</w:t>
      </w:r>
      <w:bookmarkEnd w:id="577"/>
      <w:bookmarkEnd w:id="578"/>
      <w:bookmarkEnd w:id="579"/>
      <w:bookmarkEnd w:id="580"/>
      <w:bookmarkEnd w:id="581"/>
      <w:bookmarkEnd w:id="582"/>
      <w:r>
        <w:rPr>
          <w:rFonts w:hint="eastAsia"/>
          <w:b/>
          <w:bCs w:val="0"/>
          <w:color w:val="auto"/>
          <w:szCs w:val="24"/>
        </w:rPr>
        <w:t>11</w:t>
      </w:r>
      <w:r>
        <w:rPr>
          <w:b/>
          <w:bCs w:val="0"/>
          <w:color w:val="auto"/>
          <w:szCs w:val="24"/>
        </w:rPr>
        <w:t>.</w:t>
      </w:r>
      <w:r>
        <w:rPr>
          <w:rFonts w:hint="eastAsia"/>
          <w:b/>
          <w:bCs w:val="0"/>
          <w:color w:val="auto"/>
          <w:szCs w:val="24"/>
        </w:rPr>
        <w:t>7</w:t>
      </w:r>
      <w:r>
        <w:rPr>
          <w:rFonts w:hint="eastAsia"/>
          <w:bCs w:val="0"/>
          <w:color w:val="auto"/>
          <w:szCs w:val="24"/>
        </w:rPr>
        <w:t xml:space="preserve"> </w:t>
      </w:r>
      <w:r>
        <w:rPr>
          <w:bCs w:val="0"/>
          <w:color w:val="auto"/>
          <w:szCs w:val="24"/>
        </w:rPr>
        <w:t>拆除电气设施、设备</w:t>
      </w:r>
      <w:r>
        <w:rPr>
          <w:rFonts w:hint="eastAsia"/>
          <w:bCs w:val="0"/>
          <w:color w:val="auto"/>
          <w:szCs w:val="24"/>
        </w:rPr>
        <w:t>时</w:t>
      </w:r>
      <w:r>
        <w:rPr>
          <w:bCs w:val="0"/>
          <w:color w:val="auto"/>
          <w:szCs w:val="24"/>
        </w:rPr>
        <w:t>，应对</w:t>
      </w:r>
      <w:r>
        <w:rPr>
          <w:rFonts w:hint="eastAsia"/>
          <w:bCs w:val="0"/>
          <w:color w:val="auto"/>
          <w:szCs w:val="24"/>
        </w:rPr>
        <w:t>相邻</w:t>
      </w:r>
      <w:r>
        <w:rPr>
          <w:bCs w:val="0"/>
          <w:color w:val="auto"/>
          <w:szCs w:val="24"/>
        </w:rPr>
        <w:t>带电设施、设备</w:t>
      </w:r>
      <w:r>
        <w:rPr>
          <w:rFonts w:hint="eastAsia"/>
          <w:bCs w:val="0"/>
          <w:color w:val="auto"/>
          <w:szCs w:val="24"/>
        </w:rPr>
        <w:t>采取隔离</w:t>
      </w:r>
      <w:r>
        <w:rPr>
          <w:bCs w:val="0"/>
          <w:color w:val="auto"/>
          <w:szCs w:val="24"/>
        </w:rPr>
        <w:t>保护措施</w:t>
      </w:r>
      <w:r>
        <w:rPr>
          <w:rFonts w:hint="eastAsia"/>
          <w:bCs w:val="0"/>
          <w:color w:val="auto"/>
          <w:szCs w:val="24"/>
        </w:rPr>
        <w:t>，并设</w:t>
      </w:r>
      <w:r>
        <w:rPr>
          <w:bCs w:val="0"/>
          <w:color w:val="auto"/>
          <w:szCs w:val="24"/>
        </w:rPr>
        <w:t>专人监护。</w:t>
      </w:r>
    </w:p>
    <w:p w14:paraId="3215F96F">
      <w:pPr>
        <w:pStyle w:val="35"/>
        <w:spacing w:before="120" w:line="360" w:lineRule="auto"/>
        <w:rPr>
          <w:bCs w:val="0"/>
          <w:color w:val="auto"/>
          <w:szCs w:val="24"/>
        </w:rPr>
      </w:pPr>
      <w:bookmarkStart w:id="583" w:name="_Toc3548"/>
      <w:bookmarkStart w:id="584" w:name="_Toc18932"/>
      <w:bookmarkStart w:id="585" w:name="_Toc20255"/>
      <w:bookmarkStart w:id="586" w:name="_Toc26372"/>
      <w:bookmarkStart w:id="587" w:name="_Toc18736"/>
      <w:bookmarkStart w:id="588" w:name="_Toc27968"/>
      <w:r>
        <w:rPr>
          <w:rStyle w:val="53"/>
          <w:rFonts w:hint="eastAsia"/>
          <w:b/>
          <w:bCs w:val="0"/>
          <w:color w:val="auto"/>
          <w:sz w:val="24"/>
          <w:szCs w:val="24"/>
        </w:rPr>
        <w:t>6.</w:t>
      </w:r>
      <w:bookmarkEnd w:id="583"/>
      <w:bookmarkEnd w:id="584"/>
      <w:bookmarkEnd w:id="585"/>
      <w:bookmarkEnd w:id="586"/>
      <w:bookmarkEnd w:id="587"/>
      <w:bookmarkEnd w:id="588"/>
      <w:r>
        <w:rPr>
          <w:rFonts w:hint="eastAsia"/>
          <w:b/>
          <w:bCs w:val="0"/>
          <w:color w:val="auto"/>
          <w:szCs w:val="24"/>
        </w:rPr>
        <w:t>11</w:t>
      </w:r>
      <w:r>
        <w:rPr>
          <w:b/>
          <w:bCs w:val="0"/>
          <w:color w:val="auto"/>
          <w:szCs w:val="24"/>
        </w:rPr>
        <w:t>.</w:t>
      </w:r>
      <w:r>
        <w:rPr>
          <w:rFonts w:hint="eastAsia"/>
          <w:b/>
          <w:bCs w:val="0"/>
          <w:color w:val="auto"/>
          <w:szCs w:val="24"/>
        </w:rPr>
        <w:t>8</w:t>
      </w:r>
      <w:r>
        <w:rPr>
          <w:rFonts w:hint="eastAsia"/>
          <w:b/>
          <w:color w:val="auto"/>
          <w:szCs w:val="24"/>
        </w:rPr>
        <w:t xml:space="preserve">  </w:t>
      </w:r>
      <w:r>
        <w:rPr>
          <w:bCs w:val="0"/>
          <w:color w:val="auto"/>
          <w:szCs w:val="24"/>
        </w:rPr>
        <w:t>拆除线路与正常运行线路混合敷设时，在首末端、直线段、转弯处等应分段进行标识。</w:t>
      </w:r>
    </w:p>
    <w:p w14:paraId="100ED36C">
      <w:pPr>
        <w:pStyle w:val="35"/>
        <w:spacing w:before="120" w:line="360" w:lineRule="auto"/>
        <w:rPr>
          <w:color w:val="auto"/>
          <w:szCs w:val="24"/>
        </w:rPr>
      </w:pPr>
      <w:bookmarkStart w:id="589" w:name="_Toc3416"/>
      <w:bookmarkStart w:id="590" w:name="_Toc14288"/>
      <w:bookmarkStart w:id="591" w:name="_Toc3239"/>
      <w:bookmarkStart w:id="592" w:name="_Toc31484"/>
      <w:bookmarkStart w:id="593" w:name="_Toc1260"/>
      <w:bookmarkStart w:id="594" w:name="_Toc1334"/>
      <w:r>
        <w:rPr>
          <w:rStyle w:val="53"/>
          <w:rFonts w:hint="eastAsia"/>
          <w:b/>
          <w:bCs w:val="0"/>
          <w:color w:val="auto"/>
          <w:sz w:val="24"/>
          <w:szCs w:val="24"/>
        </w:rPr>
        <w:t>6.</w:t>
      </w:r>
      <w:bookmarkEnd w:id="589"/>
      <w:bookmarkEnd w:id="590"/>
      <w:bookmarkEnd w:id="591"/>
      <w:bookmarkEnd w:id="592"/>
      <w:bookmarkEnd w:id="593"/>
      <w:bookmarkEnd w:id="594"/>
      <w:r>
        <w:rPr>
          <w:rFonts w:hint="eastAsia"/>
          <w:b/>
          <w:bCs w:val="0"/>
          <w:color w:val="auto"/>
          <w:szCs w:val="24"/>
        </w:rPr>
        <w:t>11</w:t>
      </w:r>
      <w:r>
        <w:rPr>
          <w:b/>
          <w:bCs w:val="0"/>
          <w:color w:val="auto"/>
          <w:szCs w:val="24"/>
        </w:rPr>
        <w:t>.</w:t>
      </w:r>
      <w:r>
        <w:rPr>
          <w:rFonts w:hint="eastAsia"/>
          <w:b/>
          <w:bCs w:val="0"/>
          <w:color w:val="auto"/>
          <w:szCs w:val="24"/>
        </w:rPr>
        <w:t>9</w:t>
      </w:r>
      <w:r>
        <w:rPr>
          <w:b/>
          <w:color w:val="auto"/>
          <w:szCs w:val="24"/>
        </w:rPr>
        <w:t xml:space="preserve"> </w:t>
      </w:r>
      <w:r>
        <w:rPr>
          <w:rFonts w:hint="eastAsia"/>
          <w:b/>
          <w:color w:val="auto"/>
          <w:szCs w:val="24"/>
        </w:rPr>
        <w:t xml:space="preserve"> </w:t>
      </w:r>
      <w:r>
        <w:rPr>
          <w:bCs w:val="0"/>
          <w:color w:val="auto"/>
          <w:szCs w:val="24"/>
        </w:rPr>
        <w:t>施工现场防雷设施</w:t>
      </w:r>
      <w:r>
        <w:rPr>
          <w:rFonts w:hint="eastAsia"/>
          <w:bCs w:val="0"/>
          <w:color w:val="auto"/>
          <w:szCs w:val="24"/>
        </w:rPr>
        <w:t>拆除</w:t>
      </w:r>
      <w:r>
        <w:rPr>
          <w:bCs w:val="0"/>
          <w:color w:val="auto"/>
          <w:szCs w:val="24"/>
        </w:rPr>
        <w:t>应确认设施设备</w:t>
      </w:r>
      <w:r>
        <w:rPr>
          <w:rFonts w:hint="eastAsia"/>
          <w:bCs w:val="0"/>
          <w:color w:val="auto"/>
          <w:szCs w:val="24"/>
        </w:rPr>
        <w:t>已</w:t>
      </w:r>
      <w:r>
        <w:rPr>
          <w:bCs w:val="0"/>
          <w:color w:val="auto"/>
          <w:szCs w:val="24"/>
        </w:rPr>
        <w:t>得到有效保护</w:t>
      </w:r>
      <w:r>
        <w:rPr>
          <w:rFonts w:hint="eastAsia"/>
          <w:bCs w:val="0"/>
          <w:color w:val="auto"/>
          <w:szCs w:val="24"/>
        </w:rPr>
        <w:t>；</w:t>
      </w:r>
      <w:r>
        <w:rPr>
          <w:bCs w:val="0"/>
          <w:color w:val="auto"/>
          <w:szCs w:val="24"/>
        </w:rPr>
        <w:t>拆除按先上后下顺序进行。</w:t>
      </w:r>
    </w:p>
    <w:p w14:paraId="23D17D46">
      <w:pPr>
        <w:pStyle w:val="33"/>
        <w:numPr>
          <w:ilvl w:val="0"/>
          <w:numId w:val="0"/>
        </w:numPr>
        <w:spacing w:before="120" w:line="360" w:lineRule="auto"/>
        <w:outlineLvl w:val="1"/>
        <w:rPr>
          <w:rFonts w:eastAsia="宋体"/>
          <w:sz w:val="24"/>
          <w:szCs w:val="24"/>
        </w:rPr>
      </w:pPr>
      <w:bookmarkStart w:id="595" w:name="_Hlk225431930"/>
      <w:bookmarkStart w:id="596" w:name="_Toc1821"/>
      <w:bookmarkStart w:id="597" w:name="_Toc11704"/>
      <w:bookmarkStart w:id="598" w:name="_Toc14594"/>
      <w:bookmarkStart w:id="599" w:name="_Toc21346"/>
      <w:bookmarkStart w:id="600" w:name="_Toc22410"/>
      <w:bookmarkStart w:id="601" w:name="_Toc20298"/>
      <w:bookmarkStart w:id="602" w:name="_Toc23069"/>
      <w:r>
        <w:rPr>
          <w:rFonts w:hint="eastAsia" w:eastAsia="宋体"/>
          <w:b/>
          <w:bCs/>
          <w:sz w:val="24"/>
          <w:szCs w:val="24"/>
        </w:rPr>
        <w:t>6</w:t>
      </w:r>
      <w:r>
        <w:rPr>
          <w:rFonts w:eastAsia="宋体"/>
          <w:b/>
          <w:bCs/>
          <w:sz w:val="24"/>
          <w:szCs w:val="24"/>
        </w:rPr>
        <w:t>.12</w:t>
      </w:r>
      <w:bookmarkEnd w:id="595"/>
      <w:r>
        <w:rPr>
          <w:rFonts w:eastAsia="宋体"/>
          <w:sz w:val="24"/>
          <w:szCs w:val="24"/>
        </w:rPr>
        <w:t xml:space="preserve"> </w:t>
      </w:r>
      <w:r>
        <w:rPr>
          <w:rFonts w:eastAsia="宋体"/>
          <w:b/>
          <w:bCs/>
          <w:sz w:val="24"/>
          <w:szCs w:val="24"/>
        </w:rPr>
        <w:t>外电线路防护</w:t>
      </w:r>
      <w:bookmarkEnd w:id="596"/>
      <w:bookmarkEnd w:id="597"/>
      <w:bookmarkEnd w:id="598"/>
      <w:bookmarkEnd w:id="599"/>
      <w:bookmarkEnd w:id="600"/>
      <w:bookmarkEnd w:id="601"/>
      <w:bookmarkEnd w:id="602"/>
    </w:p>
    <w:p w14:paraId="36BFB242">
      <w:pPr>
        <w:pStyle w:val="35"/>
        <w:spacing w:before="120" w:line="360" w:lineRule="auto"/>
        <w:rPr>
          <w:bCs w:val="0"/>
          <w:color w:val="auto"/>
          <w:szCs w:val="24"/>
        </w:rPr>
      </w:pPr>
      <w:bookmarkStart w:id="603" w:name="_Hlk191051384"/>
      <w:r>
        <w:rPr>
          <w:rFonts w:hint="eastAsia"/>
          <w:b/>
          <w:bCs w:val="0"/>
          <w:color w:val="auto"/>
          <w:szCs w:val="24"/>
        </w:rPr>
        <w:t>6.12</w:t>
      </w:r>
      <w:r>
        <w:rPr>
          <w:b/>
          <w:color w:val="auto"/>
          <w:szCs w:val="24"/>
        </w:rPr>
        <w:t>.1</w:t>
      </w:r>
      <w:bookmarkEnd w:id="603"/>
      <w:r>
        <w:rPr>
          <w:rFonts w:hint="eastAsia"/>
          <w:b/>
          <w:color w:val="auto"/>
          <w:szCs w:val="24"/>
        </w:rPr>
        <w:t xml:space="preserve">  </w:t>
      </w:r>
      <w:r>
        <w:rPr>
          <w:bCs w:val="0"/>
          <w:color w:val="auto"/>
          <w:szCs w:val="24"/>
        </w:rPr>
        <w:t>当外电线路的最小距离或区域防护不满足本规程规定时，应编制外电线路防护方案。</w:t>
      </w:r>
    </w:p>
    <w:p w14:paraId="732660EB">
      <w:pPr>
        <w:pStyle w:val="35"/>
        <w:spacing w:before="120" w:line="360" w:lineRule="auto"/>
        <w:rPr>
          <w:bCs w:val="0"/>
          <w:color w:val="auto"/>
          <w:szCs w:val="24"/>
        </w:rPr>
      </w:pPr>
      <w:r>
        <w:rPr>
          <w:rFonts w:hint="eastAsia"/>
          <w:b/>
          <w:bCs w:val="0"/>
          <w:color w:val="auto"/>
          <w:szCs w:val="24"/>
        </w:rPr>
        <w:t>6.12</w:t>
      </w:r>
      <w:r>
        <w:rPr>
          <w:b/>
          <w:color w:val="auto"/>
          <w:szCs w:val="24"/>
        </w:rPr>
        <w:t>.2</w:t>
      </w:r>
      <w:r>
        <w:rPr>
          <w:rFonts w:hint="eastAsia"/>
          <w:b/>
          <w:color w:val="auto"/>
          <w:szCs w:val="24"/>
        </w:rPr>
        <w:t xml:space="preserve">  </w:t>
      </w:r>
      <w:r>
        <w:rPr>
          <w:bCs w:val="0"/>
          <w:color w:val="auto"/>
          <w:szCs w:val="24"/>
        </w:rPr>
        <w:t>外电线路防护方案应经</w:t>
      </w:r>
      <w:r>
        <w:rPr>
          <w:rFonts w:hint="eastAsia"/>
          <w:bCs w:val="0"/>
          <w:color w:val="auto"/>
          <w:szCs w:val="24"/>
        </w:rPr>
        <w:t>“</w:t>
      </w:r>
      <w:r>
        <w:rPr>
          <w:bCs w:val="0"/>
          <w:color w:val="auto"/>
          <w:szCs w:val="24"/>
        </w:rPr>
        <w:t>编制、审核</w:t>
      </w:r>
      <w:r>
        <w:rPr>
          <w:rFonts w:hint="eastAsia"/>
          <w:bCs w:val="0"/>
          <w:color w:val="auto"/>
          <w:szCs w:val="24"/>
        </w:rPr>
        <w:t>、</w:t>
      </w:r>
      <w:r>
        <w:rPr>
          <w:bCs w:val="0"/>
          <w:color w:val="auto"/>
          <w:szCs w:val="24"/>
        </w:rPr>
        <w:t>审批</w:t>
      </w:r>
      <w:r>
        <w:rPr>
          <w:rFonts w:hint="eastAsia"/>
          <w:bCs w:val="0"/>
          <w:color w:val="auto"/>
          <w:szCs w:val="24"/>
        </w:rPr>
        <w:t>”</w:t>
      </w:r>
      <w:r>
        <w:rPr>
          <w:bCs w:val="0"/>
          <w:color w:val="auto"/>
          <w:szCs w:val="24"/>
        </w:rPr>
        <w:t>程序，方可实施。</w:t>
      </w:r>
    </w:p>
    <w:p w14:paraId="22611A7F">
      <w:pPr>
        <w:pStyle w:val="35"/>
        <w:spacing w:before="120" w:line="360" w:lineRule="auto"/>
        <w:rPr>
          <w:bCs w:val="0"/>
          <w:color w:val="auto"/>
          <w:szCs w:val="24"/>
        </w:rPr>
      </w:pPr>
      <w:r>
        <w:rPr>
          <w:rFonts w:hint="eastAsia"/>
          <w:b/>
          <w:bCs w:val="0"/>
          <w:color w:val="auto"/>
          <w:szCs w:val="24"/>
        </w:rPr>
        <w:t>6.12</w:t>
      </w:r>
      <w:r>
        <w:rPr>
          <w:b/>
          <w:color w:val="auto"/>
          <w:szCs w:val="24"/>
        </w:rPr>
        <w:t>.3</w:t>
      </w:r>
      <w:r>
        <w:rPr>
          <w:rFonts w:hint="eastAsia"/>
          <w:b/>
          <w:color w:val="auto"/>
          <w:szCs w:val="24"/>
        </w:rPr>
        <w:t xml:space="preserve">  </w:t>
      </w:r>
      <w:r>
        <w:rPr>
          <w:bCs w:val="0"/>
          <w:color w:val="auto"/>
          <w:szCs w:val="24"/>
        </w:rPr>
        <w:t>外电线路防护架搭设完毕后应依据外电线路防护方案进行验收，符合要求后方可投入使用。</w:t>
      </w:r>
    </w:p>
    <w:p w14:paraId="02424F2F">
      <w:pPr>
        <w:snapToGrid w:val="0"/>
        <w:spacing w:line="360" w:lineRule="auto"/>
        <w:rPr>
          <w:bCs/>
          <w:sz w:val="24"/>
          <w:szCs w:val="24"/>
        </w:rPr>
      </w:pPr>
      <w:r>
        <w:rPr>
          <w:rFonts w:hint="eastAsia"/>
          <w:b/>
          <w:bCs/>
          <w:sz w:val="24"/>
          <w:szCs w:val="24"/>
        </w:rPr>
        <w:t>6.12</w:t>
      </w:r>
      <w:r>
        <w:rPr>
          <w:b/>
          <w:sz w:val="24"/>
          <w:szCs w:val="24"/>
        </w:rPr>
        <w:t>.4</w:t>
      </w:r>
      <w:r>
        <w:rPr>
          <w:rFonts w:hint="eastAsia"/>
          <w:b/>
          <w:sz w:val="24"/>
          <w:szCs w:val="24"/>
        </w:rPr>
        <w:t xml:space="preserve">  </w:t>
      </w:r>
      <w:r>
        <w:rPr>
          <w:bCs/>
          <w:sz w:val="24"/>
          <w:szCs w:val="24"/>
        </w:rPr>
        <w:t>外电线路防护</w:t>
      </w:r>
      <w:r>
        <w:rPr>
          <w:rFonts w:hint="eastAsia"/>
          <w:bCs/>
          <w:sz w:val="24"/>
          <w:szCs w:val="24"/>
        </w:rPr>
        <w:t>设施应绝缘、坚固、稳定</w:t>
      </w:r>
      <w:r>
        <w:rPr>
          <w:bCs/>
          <w:sz w:val="24"/>
          <w:szCs w:val="24"/>
        </w:rPr>
        <w:t>。</w:t>
      </w:r>
      <w:bookmarkStart w:id="604" w:name="_Toc30330"/>
      <w:bookmarkStart w:id="605" w:name="_Toc24579"/>
    </w:p>
    <w:p w14:paraId="44E477C5">
      <w:pPr>
        <w:snapToGrid w:val="0"/>
        <w:spacing w:line="360" w:lineRule="auto"/>
        <w:rPr>
          <w:bCs/>
          <w:sz w:val="24"/>
          <w:szCs w:val="24"/>
        </w:rPr>
      </w:pPr>
      <w:r>
        <w:rPr>
          <w:rFonts w:hint="eastAsia"/>
          <w:b/>
          <w:bCs/>
          <w:sz w:val="24"/>
          <w:szCs w:val="24"/>
        </w:rPr>
        <w:t>6.12</w:t>
      </w:r>
      <w:r>
        <w:rPr>
          <w:b/>
          <w:sz w:val="24"/>
          <w:szCs w:val="24"/>
        </w:rPr>
        <w:t>.</w:t>
      </w:r>
      <w:r>
        <w:rPr>
          <w:rFonts w:hint="eastAsia"/>
          <w:b/>
          <w:sz w:val="24"/>
          <w:szCs w:val="24"/>
        </w:rPr>
        <w:t xml:space="preserve">5  </w:t>
      </w:r>
      <w:r>
        <w:rPr>
          <w:bCs/>
          <w:sz w:val="24"/>
          <w:szCs w:val="24"/>
        </w:rPr>
        <w:t>外电线路防护架使用过程中，不应改变其结构体系。</w:t>
      </w:r>
      <w:bookmarkEnd w:id="604"/>
      <w:bookmarkEnd w:id="605"/>
    </w:p>
    <w:p w14:paraId="0BD3952B">
      <w:pPr>
        <w:pStyle w:val="35"/>
        <w:spacing w:before="120" w:line="360" w:lineRule="auto"/>
        <w:rPr>
          <w:bCs w:val="0"/>
          <w:color w:val="auto"/>
          <w:szCs w:val="24"/>
        </w:rPr>
      </w:pPr>
      <w:r>
        <w:rPr>
          <w:rFonts w:hint="eastAsia"/>
          <w:b/>
          <w:bCs w:val="0"/>
          <w:color w:val="auto"/>
          <w:szCs w:val="24"/>
        </w:rPr>
        <w:t>6.12</w:t>
      </w:r>
      <w:r>
        <w:rPr>
          <w:b/>
          <w:color w:val="auto"/>
          <w:szCs w:val="24"/>
        </w:rPr>
        <w:t>.</w:t>
      </w:r>
      <w:r>
        <w:rPr>
          <w:rFonts w:hint="eastAsia"/>
          <w:b/>
          <w:color w:val="auto"/>
          <w:szCs w:val="24"/>
        </w:rPr>
        <w:t>6</w:t>
      </w:r>
      <w:r>
        <w:rPr>
          <w:b/>
          <w:color w:val="auto"/>
          <w:szCs w:val="24"/>
        </w:rPr>
        <w:t xml:space="preserve"> </w:t>
      </w:r>
      <w:r>
        <w:rPr>
          <w:rFonts w:hint="eastAsia"/>
          <w:b/>
          <w:color w:val="auto"/>
          <w:szCs w:val="24"/>
        </w:rPr>
        <w:t xml:space="preserve"> </w:t>
      </w:r>
      <w:r>
        <w:rPr>
          <w:bCs w:val="0"/>
          <w:color w:val="auto"/>
          <w:szCs w:val="24"/>
        </w:rPr>
        <w:t>在建工程外电线路保护区域范围内不应搭设生产、生活等临时设施或堆放构件、架具、材料及其他杂物等。</w:t>
      </w:r>
    </w:p>
    <w:p w14:paraId="4F0E3982">
      <w:pPr>
        <w:pStyle w:val="35"/>
        <w:spacing w:before="120" w:line="360" w:lineRule="auto"/>
        <w:rPr>
          <w:bCs w:val="0"/>
          <w:color w:val="auto"/>
          <w:szCs w:val="24"/>
        </w:rPr>
      </w:pPr>
      <w:bookmarkStart w:id="606" w:name="_Hlk225432027"/>
      <w:r>
        <w:rPr>
          <w:rFonts w:hint="eastAsia"/>
          <w:b/>
          <w:bCs w:val="0"/>
          <w:color w:val="auto"/>
          <w:szCs w:val="24"/>
        </w:rPr>
        <w:t>6.12</w:t>
      </w:r>
      <w:r>
        <w:rPr>
          <w:b/>
          <w:color w:val="auto"/>
          <w:szCs w:val="24"/>
        </w:rPr>
        <w:t>.</w:t>
      </w:r>
      <w:r>
        <w:rPr>
          <w:rFonts w:hint="eastAsia"/>
          <w:b/>
          <w:color w:val="auto"/>
          <w:szCs w:val="24"/>
        </w:rPr>
        <w:t>7</w:t>
      </w:r>
      <w:bookmarkEnd w:id="606"/>
      <w:r>
        <w:rPr>
          <w:b/>
          <w:color w:val="auto"/>
          <w:szCs w:val="24"/>
        </w:rPr>
        <w:t xml:space="preserve"> </w:t>
      </w:r>
      <w:bookmarkStart w:id="607" w:name="_Hlk190965414"/>
      <w:r>
        <w:rPr>
          <w:rFonts w:hint="eastAsia"/>
          <w:b/>
          <w:color w:val="auto"/>
          <w:szCs w:val="24"/>
        </w:rPr>
        <w:t xml:space="preserve"> </w:t>
      </w:r>
      <w:r>
        <w:rPr>
          <w:bCs w:val="0"/>
          <w:color w:val="auto"/>
          <w:szCs w:val="24"/>
        </w:rPr>
        <w:t>现场施工道路、临时建筑物、设施设备等</w:t>
      </w:r>
      <w:bookmarkEnd w:id="607"/>
      <w:r>
        <w:rPr>
          <w:bCs w:val="0"/>
          <w:color w:val="auto"/>
          <w:szCs w:val="24"/>
        </w:rPr>
        <w:t>与外电架空线路的最小距离应符合表</w:t>
      </w:r>
      <w:r>
        <w:rPr>
          <w:rFonts w:hint="eastAsia"/>
          <w:bCs w:val="0"/>
          <w:color w:val="auto"/>
          <w:szCs w:val="24"/>
        </w:rPr>
        <w:t>6.12</w:t>
      </w:r>
      <w:r>
        <w:rPr>
          <w:bCs w:val="0"/>
          <w:color w:val="auto"/>
          <w:szCs w:val="24"/>
        </w:rPr>
        <w:t>.</w:t>
      </w:r>
      <w:r>
        <w:rPr>
          <w:rFonts w:hint="eastAsia"/>
          <w:bCs w:val="0"/>
          <w:color w:val="auto"/>
          <w:szCs w:val="24"/>
        </w:rPr>
        <w:t>7</w:t>
      </w:r>
      <w:r>
        <w:rPr>
          <w:bCs w:val="0"/>
          <w:color w:val="auto"/>
          <w:szCs w:val="24"/>
        </w:rPr>
        <w:t>的规定</w:t>
      </w:r>
      <w:r>
        <w:rPr>
          <w:rFonts w:hint="eastAsia"/>
          <w:bCs w:val="0"/>
          <w:color w:val="auto"/>
          <w:szCs w:val="24"/>
        </w:rPr>
        <w:t>；</w:t>
      </w:r>
      <w:r>
        <w:rPr>
          <w:bCs w:val="0"/>
          <w:color w:val="auto"/>
          <w:szCs w:val="24"/>
        </w:rPr>
        <w:t>与外电架空线路的最小距离达不到表</w:t>
      </w:r>
      <w:r>
        <w:rPr>
          <w:rFonts w:hint="eastAsia"/>
          <w:bCs w:val="0"/>
          <w:color w:val="auto"/>
          <w:szCs w:val="24"/>
        </w:rPr>
        <w:t>6.12</w:t>
      </w:r>
      <w:r>
        <w:rPr>
          <w:bCs w:val="0"/>
          <w:color w:val="auto"/>
          <w:szCs w:val="24"/>
        </w:rPr>
        <w:t>.</w:t>
      </w:r>
      <w:r>
        <w:rPr>
          <w:rFonts w:hint="eastAsia"/>
          <w:bCs w:val="0"/>
          <w:color w:val="auto"/>
          <w:szCs w:val="24"/>
        </w:rPr>
        <w:t>7</w:t>
      </w:r>
      <w:r>
        <w:rPr>
          <w:bCs w:val="0"/>
          <w:color w:val="auto"/>
          <w:szCs w:val="24"/>
        </w:rPr>
        <w:t>的规定时，应采取防护措施</w:t>
      </w:r>
      <w:r>
        <w:rPr>
          <w:rFonts w:hint="eastAsia"/>
          <w:bCs w:val="0"/>
          <w:color w:val="auto"/>
          <w:szCs w:val="24"/>
        </w:rPr>
        <w:t>。</w:t>
      </w:r>
    </w:p>
    <w:p w14:paraId="6FC1147A">
      <w:pPr>
        <w:pStyle w:val="40"/>
        <w:spacing w:before="120" w:line="360" w:lineRule="auto"/>
        <w:rPr>
          <w:b/>
          <w:bCs w:val="0"/>
          <w:color w:val="auto"/>
          <w:szCs w:val="21"/>
        </w:rPr>
      </w:pPr>
      <w:r>
        <w:rPr>
          <w:b/>
          <w:bCs w:val="0"/>
          <w:color w:val="auto"/>
          <w:szCs w:val="21"/>
        </w:rPr>
        <w:t>表</w:t>
      </w:r>
      <w:r>
        <w:rPr>
          <w:rFonts w:hint="eastAsia"/>
          <w:b/>
          <w:bCs w:val="0"/>
          <w:color w:val="auto"/>
          <w:szCs w:val="21"/>
        </w:rPr>
        <w:t>6.12</w:t>
      </w:r>
      <w:r>
        <w:rPr>
          <w:b/>
          <w:bCs w:val="0"/>
          <w:color w:val="auto"/>
          <w:szCs w:val="21"/>
        </w:rPr>
        <w:t>.</w:t>
      </w:r>
      <w:r>
        <w:rPr>
          <w:rFonts w:hint="eastAsia"/>
          <w:b/>
          <w:bCs w:val="0"/>
          <w:color w:val="auto"/>
          <w:szCs w:val="21"/>
        </w:rPr>
        <w:t>7</w:t>
      </w:r>
      <w:r>
        <w:rPr>
          <w:b/>
          <w:bCs w:val="0"/>
          <w:color w:val="auto"/>
          <w:szCs w:val="21"/>
        </w:rPr>
        <w:t xml:space="preserve"> 现场施工道路、临时建筑物、设施设备等与外电架空线路的最小距离（m）</w:t>
      </w:r>
    </w:p>
    <w:tbl>
      <w:tblPr>
        <w:tblStyle w:val="18"/>
        <w:tblW w:w="9093"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571"/>
        <w:gridCol w:w="2410"/>
        <w:gridCol w:w="1559"/>
        <w:gridCol w:w="1843"/>
        <w:gridCol w:w="1710"/>
      </w:tblGrid>
      <w:tr w14:paraId="7235B7C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14" w:hRule="atLeast"/>
          <w:jc w:val="center"/>
        </w:trPr>
        <w:tc>
          <w:tcPr>
            <w:tcW w:w="1571" w:type="dxa"/>
            <w:vMerge w:val="restart"/>
            <w:vAlign w:val="center"/>
          </w:tcPr>
          <w:p w14:paraId="5D3B8DDF">
            <w:pPr>
              <w:spacing w:line="360" w:lineRule="auto"/>
              <w:jc w:val="center"/>
              <w:rPr>
                <w:szCs w:val="21"/>
              </w:rPr>
            </w:pPr>
            <w:r>
              <w:rPr>
                <w:szCs w:val="21"/>
              </w:rPr>
              <w:t>类别</w:t>
            </w:r>
          </w:p>
        </w:tc>
        <w:tc>
          <w:tcPr>
            <w:tcW w:w="2410" w:type="dxa"/>
            <w:vMerge w:val="restart"/>
            <w:vAlign w:val="center"/>
          </w:tcPr>
          <w:p w14:paraId="50BE8019">
            <w:pPr>
              <w:spacing w:line="360" w:lineRule="auto"/>
              <w:jc w:val="center"/>
              <w:rPr>
                <w:szCs w:val="21"/>
              </w:rPr>
            </w:pPr>
            <w:r>
              <w:rPr>
                <w:szCs w:val="21"/>
              </w:rPr>
              <w:t>距离</w:t>
            </w:r>
          </w:p>
        </w:tc>
        <w:tc>
          <w:tcPr>
            <w:tcW w:w="5112" w:type="dxa"/>
            <w:gridSpan w:val="3"/>
          </w:tcPr>
          <w:p w14:paraId="374521FD">
            <w:pPr>
              <w:spacing w:line="360" w:lineRule="auto"/>
              <w:jc w:val="center"/>
              <w:rPr>
                <w:szCs w:val="21"/>
              </w:rPr>
            </w:pPr>
            <w:r>
              <w:rPr>
                <w:szCs w:val="21"/>
              </w:rPr>
              <w:t>外电线路电压等级</w:t>
            </w:r>
          </w:p>
        </w:tc>
      </w:tr>
      <w:tr w14:paraId="7EF6773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14" w:hRule="atLeast"/>
          <w:jc w:val="center"/>
        </w:trPr>
        <w:tc>
          <w:tcPr>
            <w:tcW w:w="1571" w:type="dxa"/>
            <w:vMerge w:val="continue"/>
            <w:vAlign w:val="center"/>
          </w:tcPr>
          <w:p w14:paraId="11D766F2">
            <w:pPr>
              <w:spacing w:line="360" w:lineRule="auto"/>
              <w:jc w:val="center"/>
              <w:rPr>
                <w:szCs w:val="21"/>
              </w:rPr>
            </w:pPr>
          </w:p>
        </w:tc>
        <w:tc>
          <w:tcPr>
            <w:tcW w:w="2410" w:type="dxa"/>
            <w:vMerge w:val="continue"/>
          </w:tcPr>
          <w:p w14:paraId="0F9500E6">
            <w:pPr>
              <w:spacing w:line="360" w:lineRule="auto"/>
              <w:jc w:val="center"/>
              <w:rPr>
                <w:szCs w:val="21"/>
              </w:rPr>
            </w:pPr>
          </w:p>
        </w:tc>
        <w:tc>
          <w:tcPr>
            <w:tcW w:w="1559" w:type="dxa"/>
          </w:tcPr>
          <w:p w14:paraId="625026C2">
            <w:pPr>
              <w:spacing w:line="360" w:lineRule="auto"/>
              <w:jc w:val="center"/>
              <w:rPr>
                <w:szCs w:val="21"/>
              </w:rPr>
            </w:pPr>
            <w:r>
              <w:rPr>
                <w:szCs w:val="21"/>
              </w:rPr>
              <w:t>10kV及以下</w:t>
            </w:r>
          </w:p>
        </w:tc>
        <w:tc>
          <w:tcPr>
            <w:tcW w:w="1843" w:type="dxa"/>
          </w:tcPr>
          <w:p w14:paraId="37EBCAF3">
            <w:pPr>
              <w:spacing w:line="360" w:lineRule="auto"/>
              <w:jc w:val="center"/>
              <w:rPr>
                <w:szCs w:val="21"/>
              </w:rPr>
            </w:pPr>
            <w:r>
              <w:rPr>
                <w:szCs w:val="21"/>
              </w:rPr>
              <w:t>220kV及以下</w:t>
            </w:r>
          </w:p>
        </w:tc>
        <w:tc>
          <w:tcPr>
            <w:tcW w:w="1710" w:type="dxa"/>
          </w:tcPr>
          <w:p w14:paraId="6BD5AA63">
            <w:pPr>
              <w:spacing w:line="360" w:lineRule="auto"/>
              <w:jc w:val="center"/>
              <w:rPr>
                <w:szCs w:val="21"/>
              </w:rPr>
            </w:pPr>
            <w:r>
              <w:rPr>
                <w:szCs w:val="21"/>
              </w:rPr>
              <w:t>500kV及以下</w:t>
            </w:r>
          </w:p>
        </w:tc>
      </w:tr>
      <w:tr w14:paraId="033EAAC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19" w:hRule="atLeast"/>
          <w:jc w:val="center"/>
        </w:trPr>
        <w:tc>
          <w:tcPr>
            <w:tcW w:w="1571" w:type="dxa"/>
            <w:vMerge w:val="restart"/>
            <w:vAlign w:val="center"/>
          </w:tcPr>
          <w:p w14:paraId="5047B445">
            <w:pPr>
              <w:spacing w:line="360" w:lineRule="auto"/>
              <w:jc w:val="center"/>
              <w:rPr>
                <w:szCs w:val="21"/>
              </w:rPr>
            </w:pPr>
            <w:r>
              <w:rPr>
                <w:szCs w:val="21"/>
              </w:rPr>
              <w:t>施工道路</w:t>
            </w:r>
          </w:p>
        </w:tc>
        <w:tc>
          <w:tcPr>
            <w:tcW w:w="2410" w:type="dxa"/>
            <w:vAlign w:val="center"/>
          </w:tcPr>
          <w:p w14:paraId="69DBA5B0">
            <w:pPr>
              <w:spacing w:line="360" w:lineRule="auto"/>
              <w:jc w:val="center"/>
              <w:rPr>
                <w:szCs w:val="21"/>
              </w:rPr>
            </w:pPr>
            <w:r>
              <w:rPr>
                <w:szCs w:val="21"/>
              </w:rPr>
              <w:t>跨越道路时距路面垂直距离</w:t>
            </w:r>
          </w:p>
        </w:tc>
        <w:tc>
          <w:tcPr>
            <w:tcW w:w="1559" w:type="dxa"/>
            <w:vAlign w:val="center"/>
          </w:tcPr>
          <w:p w14:paraId="2A703CFC">
            <w:pPr>
              <w:spacing w:line="360" w:lineRule="auto"/>
              <w:jc w:val="center"/>
              <w:rPr>
                <w:szCs w:val="21"/>
              </w:rPr>
            </w:pPr>
            <w:r>
              <w:rPr>
                <w:szCs w:val="21"/>
              </w:rPr>
              <w:t>7.0</w:t>
            </w:r>
          </w:p>
        </w:tc>
        <w:tc>
          <w:tcPr>
            <w:tcW w:w="1843" w:type="dxa"/>
            <w:vAlign w:val="center"/>
          </w:tcPr>
          <w:p w14:paraId="2EE0668A">
            <w:pPr>
              <w:spacing w:line="360" w:lineRule="auto"/>
              <w:jc w:val="center"/>
              <w:rPr>
                <w:szCs w:val="21"/>
              </w:rPr>
            </w:pPr>
            <w:r>
              <w:rPr>
                <w:szCs w:val="21"/>
              </w:rPr>
              <w:t>8.0</w:t>
            </w:r>
          </w:p>
        </w:tc>
        <w:tc>
          <w:tcPr>
            <w:tcW w:w="1710" w:type="dxa"/>
            <w:vAlign w:val="center"/>
          </w:tcPr>
          <w:p w14:paraId="71CA918C">
            <w:pPr>
              <w:spacing w:line="360" w:lineRule="auto"/>
              <w:jc w:val="center"/>
              <w:rPr>
                <w:szCs w:val="21"/>
              </w:rPr>
            </w:pPr>
            <w:r>
              <w:rPr>
                <w:szCs w:val="21"/>
              </w:rPr>
              <w:t>14.0</w:t>
            </w:r>
          </w:p>
        </w:tc>
      </w:tr>
      <w:tr w14:paraId="01A3E8A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19" w:hRule="atLeast"/>
          <w:jc w:val="center"/>
        </w:trPr>
        <w:tc>
          <w:tcPr>
            <w:tcW w:w="1571" w:type="dxa"/>
            <w:vMerge w:val="continue"/>
            <w:vAlign w:val="center"/>
          </w:tcPr>
          <w:p w14:paraId="1629BAE8">
            <w:pPr>
              <w:spacing w:line="360" w:lineRule="auto"/>
              <w:jc w:val="center"/>
              <w:rPr>
                <w:szCs w:val="21"/>
              </w:rPr>
            </w:pPr>
          </w:p>
        </w:tc>
        <w:tc>
          <w:tcPr>
            <w:tcW w:w="2410" w:type="dxa"/>
            <w:vAlign w:val="center"/>
          </w:tcPr>
          <w:p w14:paraId="59F4155F">
            <w:pPr>
              <w:spacing w:line="360" w:lineRule="auto"/>
              <w:jc w:val="center"/>
              <w:rPr>
                <w:szCs w:val="21"/>
              </w:rPr>
            </w:pPr>
            <w:r>
              <w:rPr>
                <w:szCs w:val="21"/>
              </w:rPr>
              <w:t>沿道路边敷设时距离路沿水平距离</w:t>
            </w:r>
          </w:p>
        </w:tc>
        <w:tc>
          <w:tcPr>
            <w:tcW w:w="1559" w:type="dxa"/>
            <w:vAlign w:val="center"/>
          </w:tcPr>
          <w:p w14:paraId="03E4CC1C">
            <w:pPr>
              <w:spacing w:line="360" w:lineRule="auto"/>
              <w:jc w:val="center"/>
              <w:rPr>
                <w:szCs w:val="21"/>
              </w:rPr>
            </w:pPr>
            <w:r>
              <w:rPr>
                <w:szCs w:val="21"/>
              </w:rPr>
              <w:t>0.5</w:t>
            </w:r>
          </w:p>
        </w:tc>
        <w:tc>
          <w:tcPr>
            <w:tcW w:w="1843" w:type="dxa"/>
            <w:vAlign w:val="center"/>
          </w:tcPr>
          <w:p w14:paraId="7B77058A">
            <w:pPr>
              <w:spacing w:line="360" w:lineRule="auto"/>
              <w:jc w:val="center"/>
              <w:rPr>
                <w:szCs w:val="21"/>
              </w:rPr>
            </w:pPr>
            <w:r>
              <w:rPr>
                <w:szCs w:val="21"/>
              </w:rPr>
              <w:t>5.0</w:t>
            </w:r>
          </w:p>
        </w:tc>
        <w:tc>
          <w:tcPr>
            <w:tcW w:w="1710" w:type="dxa"/>
            <w:vAlign w:val="center"/>
          </w:tcPr>
          <w:p w14:paraId="201C8841">
            <w:pPr>
              <w:spacing w:line="360" w:lineRule="auto"/>
              <w:jc w:val="center"/>
              <w:rPr>
                <w:szCs w:val="21"/>
              </w:rPr>
            </w:pPr>
            <w:r>
              <w:rPr>
                <w:szCs w:val="21"/>
              </w:rPr>
              <w:t>8.0</w:t>
            </w:r>
          </w:p>
        </w:tc>
      </w:tr>
      <w:tr w14:paraId="4D4722B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14" w:hRule="atLeast"/>
          <w:jc w:val="center"/>
        </w:trPr>
        <w:tc>
          <w:tcPr>
            <w:tcW w:w="1571" w:type="dxa"/>
            <w:vMerge w:val="restart"/>
            <w:vAlign w:val="center"/>
          </w:tcPr>
          <w:p w14:paraId="0821FE22">
            <w:pPr>
              <w:spacing w:line="360" w:lineRule="auto"/>
              <w:jc w:val="center"/>
              <w:rPr>
                <w:szCs w:val="21"/>
              </w:rPr>
            </w:pPr>
            <w:r>
              <w:rPr>
                <w:szCs w:val="21"/>
              </w:rPr>
              <w:t>临时建筑物</w:t>
            </w:r>
          </w:p>
        </w:tc>
        <w:tc>
          <w:tcPr>
            <w:tcW w:w="2410" w:type="dxa"/>
            <w:vAlign w:val="center"/>
          </w:tcPr>
          <w:p w14:paraId="1B1F0432">
            <w:pPr>
              <w:spacing w:line="360" w:lineRule="auto"/>
              <w:jc w:val="center"/>
              <w:rPr>
                <w:szCs w:val="21"/>
              </w:rPr>
            </w:pPr>
            <w:r>
              <w:rPr>
                <w:szCs w:val="21"/>
              </w:rPr>
              <w:t>垂直距离</w:t>
            </w:r>
          </w:p>
        </w:tc>
        <w:tc>
          <w:tcPr>
            <w:tcW w:w="1559" w:type="dxa"/>
            <w:vAlign w:val="center"/>
          </w:tcPr>
          <w:p w14:paraId="0FF0A6BB">
            <w:pPr>
              <w:spacing w:line="360" w:lineRule="auto"/>
              <w:jc w:val="center"/>
              <w:rPr>
                <w:szCs w:val="21"/>
              </w:rPr>
            </w:pPr>
            <w:r>
              <w:rPr>
                <w:szCs w:val="21"/>
              </w:rPr>
              <w:t>5.0</w:t>
            </w:r>
          </w:p>
        </w:tc>
        <w:tc>
          <w:tcPr>
            <w:tcW w:w="1843" w:type="dxa"/>
            <w:vAlign w:val="center"/>
          </w:tcPr>
          <w:p w14:paraId="1E390461">
            <w:pPr>
              <w:spacing w:line="360" w:lineRule="auto"/>
              <w:jc w:val="center"/>
              <w:rPr>
                <w:szCs w:val="21"/>
              </w:rPr>
            </w:pPr>
            <w:r>
              <w:rPr>
                <w:szCs w:val="21"/>
              </w:rPr>
              <w:t>8.0</w:t>
            </w:r>
          </w:p>
        </w:tc>
        <w:tc>
          <w:tcPr>
            <w:tcW w:w="1710" w:type="dxa"/>
            <w:vAlign w:val="center"/>
          </w:tcPr>
          <w:p w14:paraId="0C69AE0F">
            <w:pPr>
              <w:spacing w:line="360" w:lineRule="auto"/>
              <w:jc w:val="center"/>
              <w:rPr>
                <w:szCs w:val="21"/>
              </w:rPr>
            </w:pPr>
            <w:r>
              <w:rPr>
                <w:szCs w:val="21"/>
              </w:rPr>
              <w:t>14.0</w:t>
            </w:r>
          </w:p>
        </w:tc>
      </w:tr>
      <w:tr w14:paraId="7AA73EF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14" w:hRule="atLeast"/>
          <w:jc w:val="center"/>
        </w:trPr>
        <w:tc>
          <w:tcPr>
            <w:tcW w:w="1571" w:type="dxa"/>
            <w:vMerge w:val="continue"/>
            <w:vAlign w:val="center"/>
          </w:tcPr>
          <w:p w14:paraId="3D0CB870">
            <w:pPr>
              <w:spacing w:line="360" w:lineRule="auto"/>
              <w:jc w:val="center"/>
              <w:rPr>
                <w:szCs w:val="21"/>
              </w:rPr>
            </w:pPr>
          </w:p>
        </w:tc>
        <w:tc>
          <w:tcPr>
            <w:tcW w:w="2410" w:type="dxa"/>
            <w:vAlign w:val="center"/>
          </w:tcPr>
          <w:p w14:paraId="2C0C87F1">
            <w:pPr>
              <w:spacing w:line="360" w:lineRule="auto"/>
              <w:jc w:val="center"/>
              <w:rPr>
                <w:szCs w:val="21"/>
              </w:rPr>
            </w:pPr>
            <w:r>
              <w:rPr>
                <w:szCs w:val="21"/>
              </w:rPr>
              <w:t>水平距离</w:t>
            </w:r>
          </w:p>
        </w:tc>
        <w:tc>
          <w:tcPr>
            <w:tcW w:w="1559" w:type="dxa"/>
            <w:vAlign w:val="center"/>
          </w:tcPr>
          <w:p w14:paraId="77C7E790">
            <w:pPr>
              <w:spacing w:line="360" w:lineRule="auto"/>
              <w:jc w:val="center"/>
              <w:rPr>
                <w:szCs w:val="21"/>
              </w:rPr>
            </w:pPr>
            <w:r>
              <w:rPr>
                <w:szCs w:val="21"/>
              </w:rPr>
              <w:t>4.0</w:t>
            </w:r>
          </w:p>
        </w:tc>
        <w:tc>
          <w:tcPr>
            <w:tcW w:w="1843" w:type="dxa"/>
            <w:vAlign w:val="center"/>
          </w:tcPr>
          <w:p w14:paraId="4B0B764C">
            <w:pPr>
              <w:spacing w:line="360" w:lineRule="auto"/>
              <w:jc w:val="center"/>
              <w:rPr>
                <w:szCs w:val="21"/>
              </w:rPr>
            </w:pPr>
            <w:r>
              <w:rPr>
                <w:szCs w:val="21"/>
              </w:rPr>
              <w:t>5.0</w:t>
            </w:r>
          </w:p>
        </w:tc>
        <w:tc>
          <w:tcPr>
            <w:tcW w:w="1710" w:type="dxa"/>
            <w:vAlign w:val="center"/>
          </w:tcPr>
          <w:p w14:paraId="11C62C89">
            <w:pPr>
              <w:spacing w:line="360" w:lineRule="auto"/>
              <w:jc w:val="center"/>
              <w:rPr>
                <w:szCs w:val="21"/>
              </w:rPr>
            </w:pPr>
            <w:r>
              <w:rPr>
                <w:szCs w:val="21"/>
              </w:rPr>
              <w:t>8.0</w:t>
            </w:r>
          </w:p>
        </w:tc>
      </w:tr>
      <w:tr w14:paraId="7A0C14E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19" w:hRule="atLeast"/>
          <w:jc w:val="center"/>
        </w:trPr>
        <w:tc>
          <w:tcPr>
            <w:tcW w:w="1571" w:type="dxa"/>
            <w:vAlign w:val="center"/>
          </w:tcPr>
          <w:p w14:paraId="7D27503C">
            <w:pPr>
              <w:spacing w:line="360" w:lineRule="auto"/>
              <w:jc w:val="center"/>
              <w:rPr>
                <w:szCs w:val="21"/>
              </w:rPr>
            </w:pPr>
            <w:r>
              <w:rPr>
                <w:szCs w:val="21"/>
              </w:rPr>
              <w:t>在建工程脚手架</w:t>
            </w:r>
          </w:p>
        </w:tc>
        <w:tc>
          <w:tcPr>
            <w:tcW w:w="2410" w:type="dxa"/>
            <w:vAlign w:val="center"/>
          </w:tcPr>
          <w:p w14:paraId="683E0B26">
            <w:pPr>
              <w:spacing w:line="360" w:lineRule="auto"/>
              <w:jc w:val="center"/>
              <w:rPr>
                <w:szCs w:val="21"/>
              </w:rPr>
            </w:pPr>
            <w:r>
              <w:rPr>
                <w:szCs w:val="21"/>
              </w:rPr>
              <w:t>水平距离</w:t>
            </w:r>
          </w:p>
        </w:tc>
        <w:tc>
          <w:tcPr>
            <w:tcW w:w="1559" w:type="dxa"/>
            <w:vAlign w:val="center"/>
          </w:tcPr>
          <w:p w14:paraId="2F3EACAA">
            <w:pPr>
              <w:spacing w:line="360" w:lineRule="auto"/>
              <w:jc w:val="center"/>
              <w:rPr>
                <w:szCs w:val="21"/>
              </w:rPr>
            </w:pPr>
            <w:r>
              <w:rPr>
                <w:szCs w:val="21"/>
              </w:rPr>
              <w:t>7.0</w:t>
            </w:r>
          </w:p>
        </w:tc>
        <w:tc>
          <w:tcPr>
            <w:tcW w:w="1843" w:type="dxa"/>
            <w:vAlign w:val="center"/>
          </w:tcPr>
          <w:p w14:paraId="1272B2E7">
            <w:pPr>
              <w:spacing w:line="360" w:lineRule="auto"/>
              <w:jc w:val="center"/>
              <w:rPr>
                <w:szCs w:val="21"/>
              </w:rPr>
            </w:pPr>
            <w:r>
              <w:rPr>
                <w:szCs w:val="21"/>
              </w:rPr>
              <w:t>10.0</w:t>
            </w:r>
          </w:p>
        </w:tc>
        <w:tc>
          <w:tcPr>
            <w:tcW w:w="1710" w:type="dxa"/>
            <w:vAlign w:val="center"/>
          </w:tcPr>
          <w:p w14:paraId="554603C9">
            <w:pPr>
              <w:spacing w:line="360" w:lineRule="auto"/>
              <w:jc w:val="center"/>
              <w:rPr>
                <w:szCs w:val="21"/>
              </w:rPr>
            </w:pPr>
            <w:r>
              <w:rPr>
                <w:szCs w:val="21"/>
              </w:rPr>
              <w:t>15.0</w:t>
            </w:r>
          </w:p>
        </w:tc>
      </w:tr>
      <w:tr w14:paraId="2E3E767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14" w:hRule="atLeast"/>
          <w:jc w:val="center"/>
        </w:trPr>
        <w:tc>
          <w:tcPr>
            <w:tcW w:w="1571" w:type="dxa"/>
            <w:vMerge w:val="restart"/>
            <w:vAlign w:val="center"/>
          </w:tcPr>
          <w:p w14:paraId="3C89D3EE">
            <w:pPr>
              <w:spacing w:line="360" w:lineRule="auto"/>
              <w:jc w:val="center"/>
              <w:rPr>
                <w:szCs w:val="21"/>
              </w:rPr>
            </w:pPr>
            <w:r>
              <w:rPr>
                <w:szCs w:val="21"/>
              </w:rPr>
              <w:t>起重机械</w:t>
            </w:r>
          </w:p>
        </w:tc>
        <w:tc>
          <w:tcPr>
            <w:tcW w:w="2410" w:type="dxa"/>
            <w:vAlign w:val="center"/>
          </w:tcPr>
          <w:p w14:paraId="0E94235C">
            <w:pPr>
              <w:spacing w:line="360" w:lineRule="auto"/>
              <w:jc w:val="center"/>
              <w:rPr>
                <w:szCs w:val="21"/>
              </w:rPr>
            </w:pPr>
            <w:r>
              <w:rPr>
                <w:szCs w:val="21"/>
              </w:rPr>
              <w:t>沿垂直方向</w:t>
            </w:r>
          </w:p>
        </w:tc>
        <w:tc>
          <w:tcPr>
            <w:tcW w:w="1559" w:type="dxa"/>
            <w:vAlign w:val="center"/>
          </w:tcPr>
          <w:p w14:paraId="641D485A">
            <w:pPr>
              <w:spacing w:line="360" w:lineRule="auto"/>
              <w:jc w:val="center"/>
              <w:rPr>
                <w:szCs w:val="21"/>
              </w:rPr>
            </w:pPr>
            <w:r>
              <w:rPr>
                <w:szCs w:val="21"/>
              </w:rPr>
              <w:t>3.0</w:t>
            </w:r>
          </w:p>
        </w:tc>
        <w:tc>
          <w:tcPr>
            <w:tcW w:w="1843" w:type="dxa"/>
            <w:vMerge w:val="restart"/>
            <w:vAlign w:val="center"/>
          </w:tcPr>
          <w:p w14:paraId="526D8CEB">
            <w:pPr>
              <w:spacing w:line="360" w:lineRule="auto"/>
              <w:jc w:val="center"/>
              <w:rPr>
                <w:szCs w:val="21"/>
              </w:rPr>
            </w:pPr>
            <w:r>
              <w:rPr>
                <w:szCs w:val="21"/>
              </w:rPr>
              <w:t>6.0</w:t>
            </w:r>
          </w:p>
        </w:tc>
        <w:tc>
          <w:tcPr>
            <w:tcW w:w="1710" w:type="dxa"/>
            <w:vMerge w:val="restart"/>
            <w:vAlign w:val="center"/>
          </w:tcPr>
          <w:p w14:paraId="4FC4069C">
            <w:pPr>
              <w:spacing w:line="360" w:lineRule="auto"/>
              <w:jc w:val="center"/>
              <w:rPr>
                <w:szCs w:val="21"/>
              </w:rPr>
            </w:pPr>
            <w:r>
              <w:rPr>
                <w:szCs w:val="21"/>
              </w:rPr>
              <w:t>8.5</w:t>
            </w:r>
          </w:p>
        </w:tc>
      </w:tr>
      <w:tr w14:paraId="01F849C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14" w:hRule="atLeast"/>
          <w:jc w:val="center"/>
        </w:trPr>
        <w:tc>
          <w:tcPr>
            <w:tcW w:w="1571" w:type="dxa"/>
            <w:vMerge w:val="continue"/>
            <w:vAlign w:val="center"/>
          </w:tcPr>
          <w:p w14:paraId="2D52E335">
            <w:pPr>
              <w:spacing w:line="360" w:lineRule="auto"/>
              <w:jc w:val="center"/>
              <w:rPr>
                <w:szCs w:val="21"/>
              </w:rPr>
            </w:pPr>
          </w:p>
        </w:tc>
        <w:tc>
          <w:tcPr>
            <w:tcW w:w="2410" w:type="dxa"/>
            <w:vAlign w:val="center"/>
          </w:tcPr>
          <w:p w14:paraId="5FE34264">
            <w:pPr>
              <w:spacing w:line="360" w:lineRule="auto"/>
              <w:jc w:val="center"/>
              <w:rPr>
                <w:szCs w:val="21"/>
              </w:rPr>
            </w:pPr>
            <w:r>
              <w:rPr>
                <w:szCs w:val="21"/>
              </w:rPr>
              <w:t>沿水平方向</w:t>
            </w:r>
          </w:p>
        </w:tc>
        <w:tc>
          <w:tcPr>
            <w:tcW w:w="1559" w:type="dxa"/>
            <w:vAlign w:val="center"/>
          </w:tcPr>
          <w:p w14:paraId="2C76E3E0">
            <w:pPr>
              <w:spacing w:line="360" w:lineRule="auto"/>
              <w:jc w:val="center"/>
              <w:rPr>
                <w:szCs w:val="21"/>
              </w:rPr>
            </w:pPr>
            <w:r>
              <w:rPr>
                <w:szCs w:val="21"/>
              </w:rPr>
              <w:t>2.0</w:t>
            </w:r>
          </w:p>
        </w:tc>
        <w:tc>
          <w:tcPr>
            <w:tcW w:w="1843" w:type="dxa"/>
            <w:vMerge w:val="continue"/>
            <w:vAlign w:val="center"/>
          </w:tcPr>
          <w:p w14:paraId="6810D147">
            <w:pPr>
              <w:spacing w:line="360" w:lineRule="auto"/>
              <w:jc w:val="center"/>
              <w:rPr>
                <w:szCs w:val="21"/>
              </w:rPr>
            </w:pPr>
          </w:p>
        </w:tc>
        <w:tc>
          <w:tcPr>
            <w:tcW w:w="1710" w:type="dxa"/>
            <w:vMerge w:val="continue"/>
            <w:vAlign w:val="center"/>
          </w:tcPr>
          <w:p w14:paraId="683986E1">
            <w:pPr>
              <w:spacing w:line="360" w:lineRule="auto"/>
              <w:jc w:val="center"/>
              <w:rPr>
                <w:szCs w:val="21"/>
              </w:rPr>
            </w:pPr>
          </w:p>
        </w:tc>
      </w:tr>
      <w:tr w14:paraId="7E3C08B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23" w:hRule="atLeast"/>
          <w:jc w:val="center"/>
        </w:trPr>
        <w:tc>
          <w:tcPr>
            <w:tcW w:w="3981" w:type="dxa"/>
            <w:gridSpan w:val="2"/>
            <w:vAlign w:val="center"/>
          </w:tcPr>
          <w:p w14:paraId="2D32D0DA">
            <w:pPr>
              <w:spacing w:line="360" w:lineRule="auto"/>
              <w:jc w:val="center"/>
              <w:rPr>
                <w:szCs w:val="21"/>
              </w:rPr>
            </w:pPr>
            <w:r>
              <w:rPr>
                <w:szCs w:val="21"/>
              </w:rPr>
              <w:t>其他施工机械外缘</w:t>
            </w:r>
          </w:p>
        </w:tc>
        <w:tc>
          <w:tcPr>
            <w:tcW w:w="1559" w:type="dxa"/>
            <w:vAlign w:val="center"/>
          </w:tcPr>
          <w:p w14:paraId="1182FD36">
            <w:pPr>
              <w:spacing w:line="360" w:lineRule="auto"/>
              <w:jc w:val="center"/>
              <w:rPr>
                <w:szCs w:val="21"/>
              </w:rPr>
            </w:pPr>
            <w:r>
              <w:rPr>
                <w:szCs w:val="21"/>
              </w:rPr>
              <w:t>2.0</w:t>
            </w:r>
          </w:p>
        </w:tc>
        <w:tc>
          <w:tcPr>
            <w:tcW w:w="1843" w:type="dxa"/>
            <w:vMerge w:val="continue"/>
            <w:vAlign w:val="center"/>
          </w:tcPr>
          <w:p w14:paraId="6938CC11">
            <w:pPr>
              <w:spacing w:line="360" w:lineRule="auto"/>
              <w:jc w:val="center"/>
              <w:rPr>
                <w:szCs w:val="21"/>
              </w:rPr>
            </w:pPr>
          </w:p>
        </w:tc>
        <w:tc>
          <w:tcPr>
            <w:tcW w:w="1710" w:type="dxa"/>
            <w:vMerge w:val="continue"/>
            <w:vAlign w:val="center"/>
          </w:tcPr>
          <w:p w14:paraId="42F9A502">
            <w:pPr>
              <w:spacing w:line="360" w:lineRule="auto"/>
              <w:jc w:val="center"/>
              <w:rPr>
                <w:szCs w:val="21"/>
              </w:rPr>
            </w:pPr>
          </w:p>
        </w:tc>
      </w:tr>
    </w:tbl>
    <w:p w14:paraId="6027C0F4">
      <w:pPr>
        <w:spacing w:line="360" w:lineRule="auto"/>
        <w:jc w:val="center"/>
        <w:rPr>
          <w:sz w:val="24"/>
          <w:szCs w:val="24"/>
        </w:rPr>
      </w:pPr>
    </w:p>
    <w:p w14:paraId="7022345E">
      <w:pPr>
        <w:pStyle w:val="35"/>
        <w:spacing w:before="120" w:line="360" w:lineRule="auto"/>
        <w:rPr>
          <w:bCs w:val="0"/>
          <w:color w:val="auto"/>
          <w:szCs w:val="24"/>
        </w:rPr>
      </w:pPr>
      <w:r>
        <w:rPr>
          <w:rFonts w:hint="eastAsia"/>
          <w:b/>
          <w:bCs w:val="0"/>
          <w:color w:val="auto"/>
          <w:szCs w:val="24"/>
        </w:rPr>
        <w:t>6.12</w:t>
      </w:r>
      <w:r>
        <w:rPr>
          <w:b/>
          <w:color w:val="auto"/>
          <w:szCs w:val="24"/>
        </w:rPr>
        <w:t>.</w:t>
      </w:r>
      <w:r>
        <w:rPr>
          <w:rFonts w:hint="eastAsia"/>
          <w:b/>
          <w:color w:val="auto"/>
          <w:szCs w:val="24"/>
        </w:rPr>
        <w:t xml:space="preserve">8  </w:t>
      </w:r>
      <w:r>
        <w:rPr>
          <w:bCs w:val="0"/>
          <w:color w:val="auto"/>
          <w:szCs w:val="24"/>
        </w:rPr>
        <w:t>搭设和拆除外电架空线路防护设施应符合下列规定：</w:t>
      </w:r>
    </w:p>
    <w:p w14:paraId="6B3FF148">
      <w:pPr>
        <w:pStyle w:val="37"/>
        <w:spacing w:before="120" w:line="360" w:lineRule="auto"/>
        <w:ind w:left="921" w:hanging="360" w:firstLineChars="0"/>
        <w:rPr>
          <w:bCs w:val="0"/>
          <w:color w:val="auto"/>
          <w:kern w:val="0"/>
          <w:sz w:val="24"/>
          <w:szCs w:val="24"/>
        </w:rPr>
      </w:pPr>
      <w:r>
        <w:rPr>
          <w:b/>
          <w:bCs w:val="0"/>
          <w:color w:val="auto"/>
          <w:kern w:val="0"/>
          <w:sz w:val="24"/>
          <w:szCs w:val="24"/>
        </w:rPr>
        <w:t>1</w:t>
      </w:r>
      <w:r>
        <w:rPr>
          <w:rFonts w:hint="eastAsia"/>
          <w:bCs w:val="0"/>
          <w:color w:val="auto"/>
          <w:kern w:val="0"/>
          <w:sz w:val="24"/>
          <w:szCs w:val="24"/>
        </w:rPr>
        <w:t xml:space="preserve">  </w:t>
      </w:r>
      <w:r>
        <w:rPr>
          <w:bCs w:val="0"/>
          <w:color w:val="auto"/>
          <w:kern w:val="0"/>
          <w:sz w:val="24"/>
          <w:szCs w:val="24"/>
        </w:rPr>
        <w:t>编制外电架空线路防护方案</w:t>
      </w:r>
      <w:r>
        <w:rPr>
          <w:rFonts w:hint="eastAsia"/>
          <w:bCs w:val="0"/>
          <w:color w:val="auto"/>
          <w:kern w:val="0"/>
          <w:sz w:val="24"/>
          <w:szCs w:val="24"/>
        </w:rPr>
        <w:t>；</w:t>
      </w:r>
    </w:p>
    <w:p w14:paraId="0F18502B">
      <w:pPr>
        <w:pStyle w:val="37"/>
        <w:spacing w:before="120" w:line="360" w:lineRule="auto"/>
        <w:ind w:left="921" w:hanging="360" w:firstLineChars="0"/>
        <w:rPr>
          <w:bCs w:val="0"/>
          <w:color w:val="auto"/>
          <w:kern w:val="0"/>
          <w:sz w:val="24"/>
          <w:szCs w:val="24"/>
        </w:rPr>
      </w:pPr>
      <w:r>
        <w:rPr>
          <w:b/>
          <w:bCs w:val="0"/>
          <w:color w:val="auto"/>
          <w:kern w:val="0"/>
          <w:sz w:val="24"/>
          <w:szCs w:val="24"/>
        </w:rPr>
        <w:t>2</w:t>
      </w:r>
      <w:r>
        <w:rPr>
          <w:rFonts w:hint="eastAsia"/>
          <w:bCs w:val="0"/>
          <w:color w:val="auto"/>
          <w:kern w:val="0"/>
          <w:sz w:val="24"/>
          <w:szCs w:val="24"/>
        </w:rPr>
        <w:t xml:space="preserve">  </w:t>
      </w:r>
      <w:r>
        <w:rPr>
          <w:bCs w:val="0"/>
          <w:color w:val="auto"/>
          <w:kern w:val="0"/>
          <w:sz w:val="24"/>
          <w:szCs w:val="24"/>
        </w:rPr>
        <w:t>搭设</w:t>
      </w:r>
      <w:r>
        <w:rPr>
          <w:rFonts w:hint="eastAsia"/>
          <w:bCs w:val="0"/>
          <w:color w:val="auto"/>
          <w:kern w:val="0"/>
          <w:sz w:val="24"/>
          <w:szCs w:val="24"/>
        </w:rPr>
        <w:t>、拆除</w:t>
      </w:r>
      <w:r>
        <w:rPr>
          <w:bCs w:val="0"/>
          <w:color w:val="auto"/>
          <w:kern w:val="0"/>
          <w:sz w:val="24"/>
          <w:szCs w:val="24"/>
        </w:rPr>
        <w:t>外电架空线路防护设施</w:t>
      </w:r>
      <w:r>
        <w:rPr>
          <w:rFonts w:hint="eastAsia"/>
          <w:bCs w:val="0"/>
          <w:color w:val="auto"/>
          <w:kern w:val="0"/>
          <w:sz w:val="24"/>
          <w:szCs w:val="24"/>
        </w:rPr>
        <w:t>前，</w:t>
      </w:r>
      <w:r>
        <w:rPr>
          <w:bCs w:val="0"/>
          <w:color w:val="auto"/>
          <w:kern w:val="0"/>
          <w:sz w:val="24"/>
          <w:szCs w:val="24"/>
        </w:rPr>
        <w:t>由建设单位向辖区供电部门提出停电</w:t>
      </w:r>
    </w:p>
    <w:p w14:paraId="32C84296">
      <w:pPr>
        <w:pStyle w:val="37"/>
        <w:spacing w:before="120" w:line="360" w:lineRule="auto"/>
        <w:ind w:firstLine="0" w:firstLineChars="0"/>
        <w:rPr>
          <w:bCs w:val="0"/>
          <w:color w:val="auto"/>
          <w:kern w:val="0"/>
          <w:sz w:val="24"/>
          <w:szCs w:val="24"/>
        </w:rPr>
      </w:pPr>
      <w:r>
        <w:rPr>
          <w:bCs w:val="0"/>
          <w:color w:val="auto"/>
          <w:kern w:val="0"/>
          <w:sz w:val="24"/>
          <w:szCs w:val="24"/>
        </w:rPr>
        <w:t>申请；</w:t>
      </w:r>
    </w:p>
    <w:p w14:paraId="47AF3A7A">
      <w:pPr>
        <w:pStyle w:val="37"/>
        <w:spacing w:before="120" w:line="360" w:lineRule="auto"/>
        <w:ind w:firstLineChars="0"/>
        <w:rPr>
          <w:bCs w:val="0"/>
          <w:color w:val="auto"/>
          <w:kern w:val="0"/>
          <w:sz w:val="24"/>
          <w:szCs w:val="24"/>
        </w:rPr>
      </w:pPr>
      <w:r>
        <w:rPr>
          <w:rFonts w:hint="eastAsia"/>
          <w:b/>
          <w:color w:val="auto"/>
          <w:kern w:val="0"/>
          <w:sz w:val="24"/>
          <w:szCs w:val="24"/>
        </w:rPr>
        <w:t>3</w:t>
      </w:r>
      <w:r>
        <w:rPr>
          <w:rFonts w:hint="eastAsia"/>
          <w:bCs w:val="0"/>
          <w:color w:val="auto"/>
          <w:kern w:val="0"/>
          <w:sz w:val="24"/>
          <w:szCs w:val="24"/>
        </w:rPr>
        <w:t xml:space="preserve">  </w:t>
      </w:r>
      <w:r>
        <w:rPr>
          <w:bCs w:val="0"/>
          <w:color w:val="auto"/>
          <w:kern w:val="0"/>
          <w:sz w:val="24"/>
          <w:szCs w:val="24"/>
        </w:rPr>
        <w:t>搭设</w:t>
      </w:r>
      <w:r>
        <w:rPr>
          <w:rFonts w:hint="eastAsia"/>
          <w:bCs w:val="0"/>
          <w:color w:val="auto"/>
          <w:kern w:val="0"/>
          <w:sz w:val="24"/>
          <w:szCs w:val="24"/>
        </w:rPr>
        <w:t>、拆除</w:t>
      </w:r>
      <w:r>
        <w:rPr>
          <w:bCs w:val="0"/>
          <w:color w:val="auto"/>
          <w:kern w:val="0"/>
          <w:sz w:val="24"/>
          <w:szCs w:val="24"/>
        </w:rPr>
        <w:t>外电架空线路防护设施</w:t>
      </w:r>
      <w:r>
        <w:rPr>
          <w:rFonts w:hint="eastAsia"/>
          <w:bCs w:val="0"/>
          <w:color w:val="auto"/>
          <w:kern w:val="0"/>
          <w:sz w:val="24"/>
          <w:szCs w:val="24"/>
        </w:rPr>
        <w:t>作业时，</w:t>
      </w:r>
      <w:r>
        <w:rPr>
          <w:bCs w:val="0"/>
          <w:color w:val="auto"/>
          <w:kern w:val="0"/>
          <w:sz w:val="24"/>
          <w:szCs w:val="24"/>
        </w:rPr>
        <w:t>外电线路应停电并</w:t>
      </w:r>
      <w:r>
        <w:rPr>
          <w:rFonts w:hint="eastAsia"/>
          <w:bCs w:val="0"/>
          <w:color w:val="auto"/>
          <w:kern w:val="0"/>
          <w:sz w:val="24"/>
          <w:szCs w:val="24"/>
        </w:rPr>
        <w:t>设</w:t>
      </w:r>
      <w:r>
        <w:rPr>
          <w:bCs w:val="0"/>
          <w:color w:val="auto"/>
          <w:kern w:val="0"/>
          <w:sz w:val="24"/>
          <w:szCs w:val="24"/>
        </w:rPr>
        <w:t>电气专业人员</w:t>
      </w:r>
      <w:r>
        <w:rPr>
          <w:rFonts w:hint="eastAsia"/>
          <w:bCs w:val="0"/>
          <w:color w:val="auto"/>
          <w:kern w:val="0"/>
          <w:sz w:val="24"/>
          <w:szCs w:val="24"/>
        </w:rPr>
        <w:t>或</w:t>
      </w:r>
      <w:r>
        <w:rPr>
          <w:bCs w:val="0"/>
          <w:color w:val="auto"/>
          <w:kern w:val="0"/>
          <w:sz w:val="24"/>
          <w:szCs w:val="24"/>
        </w:rPr>
        <w:t>专职安全人员</w:t>
      </w:r>
      <w:r>
        <w:rPr>
          <w:rFonts w:hint="eastAsia"/>
          <w:bCs w:val="0"/>
          <w:color w:val="auto"/>
          <w:kern w:val="0"/>
          <w:sz w:val="24"/>
          <w:szCs w:val="24"/>
        </w:rPr>
        <w:t>现场</w:t>
      </w:r>
      <w:r>
        <w:rPr>
          <w:bCs w:val="0"/>
          <w:color w:val="auto"/>
          <w:kern w:val="0"/>
          <w:sz w:val="24"/>
          <w:szCs w:val="24"/>
        </w:rPr>
        <w:t>监护；</w:t>
      </w:r>
    </w:p>
    <w:p w14:paraId="286326D3">
      <w:pPr>
        <w:pStyle w:val="37"/>
        <w:spacing w:before="120" w:line="360" w:lineRule="auto"/>
        <w:rPr>
          <w:bCs w:val="0"/>
          <w:color w:val="auto"/>
          <w:kern w:val="0"/>
          <w:sz w:val="24"/>
          <w:szCs w:val="24"/>
        </w:rPr>
      </w:pPr>
      <w:bookmarkStart w:id="608" w:name="_Toc21822"/>
      <w:bookmarkStart w:id="609" w:name="_Toc31714"/>
      <w:bookmarkStart w:id="610" w:name="_Toc10577"/>
      <w:bookmarkStart w:id="611" w:name="_Toc27897"/>
      <w:r>
        <w:rPr>
          <w:rFonts w:hint="eastAsia"/>
          <w:b/>
          <w:color w:val="auto"/>
          <w:kern w:val="0"/>
          <w:sz w:val="24"/>
          <w:szCs w:val="24"/>
        </w:rPr>
        <w:t xml:space="preserve">4 </w:t>
      </w:r>
      <w:r>
        <w:rPr>
          <w:rFonts w:hint="eastAsia"/>
          <w:bCs w:val="0"/>
          <w:color w:val="auto"/>
          <w:kern w:val="0"/>
          <w:sz w:val="24"/>
          <w:szCs w:val="24"/>
        </w:rPr>
        <w:t xml:space="preserve"> </w:t>
      </w:r>
      <w:r>
        <w:rPr>
          <w:bCs w:val="0"/>
          <w:color w:val="auto"/>
          <w:kern w:val="0"/>
          <w:sz w:val="24"/>
          <w:szCs w:val="24"/>
        </w:rPr>
        <w:t>防护设施</w:t>
      </w:r>
      <w:r>
        <w:rPr>
          <w:rFonts w:hint="eastAsia"/>
          <w:bCs w:val="0"/>
          <w:color w:val="auto"/>
          <w:kern w:val="0"/>
          <w:sz w:val="24"/>
          <w:szCs w:val="24"/>
        </w:rPr>
        <w:t>顶端、角端</w:t>
      </w:r>
      <w:r>
        <w:rPr>
          <w:bCs w:val="0"/>
          <w:color w:val="auto"/>
          <w:kern w:val="0"/>
          <w:sz w:val="24"/>
          <w:szCs w:val="24"/>
        </w:rPr>
        <w:t>应悬挂醒目的昼夜警告标</w:t>
      </w:r>
      <w:bookmarkEnd w:id="608"/>
      <w:bookmarkEnd w:id="609"/>
      <w:bookmarkEnd w:id="610"/>
      <w:bookmarkEnd w:id="611"/>
      <w:r>
        <w:rPr>
          <w:bCs w:val="0"/>
          <w:color w:val="auto"/>
          <w:kern w:val="0"/>
          <w:sz w:val="24"/>
          <w:szCs w:val="24"/>
        </w:rPr>
        <w:t>识；</w:t>
      </w:r>
    </w:p>
    <w:p w14:paraId="7ED53195">
      <w:pPr>
        <w:pStyle w:val="37"/>
        <w:spacing w:before="120" w:line="360" w:lineRule="auto"/>
        <w:rPr>
          <w:bCs w:val="0"/>
          <w:color w:val="auto"/>
          <w:kern w:val="0"/>
          <w:sz w:val="24"/>
          <w:szCs w:val="24"/>
        </w:rPr>
      </w:pPr>
      <w:r>
        <w:rPr>
          <w:rFonts w:hint="eastAsia"/>
          <w:b/>
          <w:color w:val="auto"/>
          <w:kern w:val="0"/>
          <w:sz w:val="24"/>
          <w:szCs w:val="24"/>
        </w:rPr>
        <w:t xml:space="preserve">5 </w:t>
      </w:r>
      <w:r>
        <w:rPr>
          <w:rFonts w:hint="eastAsia"/>
          <w:bCs w:val="0"/>
          <w:color w:val="auto"/>
          <w:kern w:val="0"/>
          <w:sz w:val="24"/>
          <w:szCs w:val="24"/>
        </w:rPr>
        <w:t xml:space="preserve"> </w:t>
      </w:r>
      <w:r>
        <w:rPr>
          <w:bCs w:val="0"/>
          <w:color w:val="auto"/>
          <w:kern w:val="0"/>
          <w:sz w:val="24"/>
          <w:szCs w:val="24"/>
        </w:rPr>
        <w:t>防护设施与外电架空线路之间的最小安全距离应不小于表</w:t>
      </w:r>
      <w:r>
        <w:rPr>
          <w:rFonts w:hint="eastAsia"/>
          <w:bCs w:val="0"/>
          <w:color w:val="auto"/>
          <w:kern w:val="0"/>
          <w:sz w:val="24"/>
          <w:szCs w:val="24"/>
        </w:rPr>
        <w:t>6.12</w:t>
      </w:r>
      <w:r>
        <w:rPr>
          <w:bCs w:val="0"/>
          <w:color w:val="auto"/>
          <w:kern w:val="0"/>
          <w:sz w:val="24"/>
          <w:szCs w:val="24"/>
        </w:rPr>
        <w:t>.</w:t>
      </w:r>
      <w:r>
        <w:rPr>
          <w:rFonts w:hint="eastAsia"/>
          <w:bCs w:val="0"/>
          <w:color w:val="auto"/>
          <w:kern w:val="0"/>
          <w:sz w:val="24"/>
          <w:szCs w:val="24"/>
        </w:rPr>
        <w:t>8</w:t>
      </w:r>
      <w:r>
        <w:rPr>
          <w:bCs w:val="0"/>
          <w:color w:val="auto"/>
          <w:kern w:val="0"/>
          <w:sz w:val="24"/>
          <w:szCs w:val="24"/>
        </w:rPr>
        <w:t>的规定。</w:t>
      </w:r>
    </w:p>
    <w:p w14:paraId="53DC2587">
      <w:pPr>
        <w:pStyle w:val="40"/>
        <w:spacing w:before="120" w:line="360" w:lineRule="auto"/>
        <w:rPr>
          <w:b/>
          <w:bCs w:val="0"/>
          <w:color w:val="auto"/>
          <w:szCs w:val="21"/>
        </w:rPr>
      </w:pPr>
      <w:r>
        <w:rPr>
          <w:b/>
          <w:bCs w:val="0"/>
          <w:color w:val="auto"/>
          <w:szCs w:val="21"/>
        </w:rPr>
        <w:t>表</w:t>
      </w:r>
      <w:r>
        <w:rPr>
          <w:rFonts w:hint="eastAsia"/>
          <w:b/>
          <w:bCs w:val="0"/>
          <w:color w:val="auto"/>
          <w:szCs w:val="21"/>
        </w:rPr>
        <w:t>6</w:t>
      </w:r>
      <w:r>
        <w:rPr>
          <w:b/>
          <w:bCs w:val="0"/>
          <w:color w:val="auto"/>
          <w:szCs w:val="21"/>
        </w:rPr>
        <w:t>.12.8 防护设施与外电架空线路之间的最小安全距离（m）</w:t>
      </w:r>
    </w:p>
    <w:tbl>
      <w:tblPr>
        <w:tblStyle w:val="18"/>
        <w:tblW w:w="9736" w:type="dxa"/>
        <w:jc w:val="center"/>
        <w:tblLayout w:type="fixed"/>
        <w:tblCellMar>
          <w:top w:w="0" w:type="dxa"/>
          <w:left w:w="0" w:type="dxa"/>
          <w:bottom w:w="0" w:type="dxa"/>
          <w:right w:w="0" w:type="dxa"/>
        </w:tblCellMar>
      </w:tblPr>
      <w:tblGrid>
        <w:gridCol w:w="4524"/>
        <w:gridCol w:w="934"/>
        <w:gridCol w:w="933"/>
        <w:gridCol w:w="936"/>
        <w:gridCol w:w="803"/>
        <w:gridCol w:w="671"/>
        <w:gridCol w:w="935"/>
      </w:tblGrid>
      <w:tr w14:paraId="56D0CE86">
        <w:tblPrEx>
          <w:tblCellMar>
            <w:top w:w="0" w:type="dxa"/>
            <w:left w:w="0" w:type="dxa"/>
            <w:bottom w:w="0" w:type="dxa"/>
            <w:right w:w="0" w:type="dxa"/>
          </w:tblCellMar>
        </w:tblPrEx>
        <w:trPr>
          <w:trHeight w:val="624" w:hRule="atLeast"/>
          <w:jc w:val="center"/>
        </w:trPr>
        <w:tc>
          <w:tcPr>
            <w:tcW w:w="4524" w:type="dxa"/>
            <w:tcBorders>
              <w:top w:val="single" w:color="auto" w:sz="8" w:space="0"/>
              <w:left w:val="single" w:color="auto" w:sz="8" w:space="0"/>
              <w:bottom w:val="single" w:color="auto" w:sz="4" w:space="0"/>
              <w:right w:val="single" w:color="auto" w:sz="4" w:space="0"/>
            </w:tcBorders>
            <w:tcMar>
              <w:top w:w="0" w:type="dxa"/>
              <w:left w:w="108" w:type="dxa"/>
              <w:bottom w:w="0" w:type="dxa"/>
              <w:right w:w="108" w:type="dxa"/>
            </w:tcMar>
            <w:vAlign w:val="center"/>
          </w:tcPr>
          <w:p w14:paraId="3F988462">
            <w:pPr>
              <w:spacing w:line="360" w:lineRule="auto"/>
              <w:jc w:val="center"/>
              <w:rPr>
                <w:szCs w:val="21"/>
              </w:rPr>
            </w:pPr>
            <w:r>
              <w:rPr>
                <w:szCs w:val="21"/>
              </w:rPr>
              <w:t>外电架空线路电压等级（kV）</w:t>
            </w:r>
          </w:p>
        </w:tc>
        <w:tc>
          <w:tcPr>
            <w:tcW w:w="934" w:type="dxa"/>
            <w:tcBorders>
              <w:top w:val="single" w:color="auto" w:sz="8" w:space="0"/>
              <w:left w:val="nil"/>
              <w:bottom w:val="single" w:color="auto" w:sz="4" w:space="0"/>
              <w:right w:val="single" w:color="auto" w:sz="4" w:space="0"/>
            </w:tcBorders>
            <w:tcMar>
              <w:top w:w="0" w:type="dxa"/>
              <w:left w:w="108" w:type="dxa"/>
              <w:bottom w:w="0" w:type="dxa"/>
              <w:right w:w="108" w:type="dxa"/>
            </w:tcMar>
            <w:vAlign w:val="center"/>
          </w:tcPr>
          <w:p w14:paraId="591B835C">
            <w:pPr>
              <w:spacing w:line="360" w:lineRule="auto"/>
              <w:jc w:val="center"/>
              <w:rPr>
                <w:szCs w:val="21"/>
              </w:rPr>
            </w:pPr>
            <w:r>
              <w:rPr>
                <w:szCs w:val="21"/>
              </w:rPr>
              <w:t>≤10</w:t>
            </w:r>
          </w:p>
        </w:tc>
        <w:tc>
          <w:tcPr>
            <w:tcW w:w="933" w:type="dxa"/>
            <w:tcBorders>
              <w:top w:val="single" w:color="auto" w:sz="8" w:space="0"/>
              <w:left w:val="nil"/>
              <w:bottom w:val="single" w:color="auto" w:sz="4" w:space="0"/>
              <w:right w:val="single" w:color="auto" w:sz="4" w:space="0"/>
            </w:tcBorders>
            <w:tcMar>
              <w:top w:w="0" w:type="dxa"/>
              <w:left w:w="108" w:type="dxa"/>
              <w:bottom w:w="0" w:type="dxa"/>
              <w:right w:w="108" w:type="dxa"/>
            </w:tcMar>
            <w:vAlign w:val="center"/>
          </w:tcPr>
          <w:p w14:paraId="0F8B3F82">
            <w:pPr>
              <w:spacing w:line="360" w:lineRule="auto"/>
              <w:jc w:val="center"/>
              <w:rPr>
                <w:szCs w:val="21"/>
              </w:rPr>
            </w:pPr>
            <w:r>
              <w:rPr>
                <w:szCs w:val="21"/>
              </w:rPr>
              <w:t>35</w:t>
            </w:r>
          </w:p>
        </w:tc>
        <w:tc>
          <w:tcPr>
            <w:tcW w:w="936" w:type="dxa"/>
            <w:tcBorders>
              <w:top w:val="single" w:color="auto" w:sz="8" w:space="0"/>
              <w:left w:val="nil"/>
              <w:bottom w:val="single" w:color="auto" w:sz="4" w:space="0"/>
              <w:right w:val="single" w:color="auto" w:sz="4" w:space="0"/>
            </w:tcBorders>
            <w:tcMar>
              <w:top w:w="0" w:type="dxa"/>
              <w:left w:w="108" w:type="dxa"/>
              <w:bottom w:w="0" w:type="dxa"/>
              <w:right w:w="108" w:type="dxa"/>
            </w:tcMar>
            <w:vAlign w:val="center"/>
          </w:tcPr>
          <w:p w14:paraId="6C1024F5">
            <w:pPr>
              <w:spacing w:line="360" w:lineRule="auto"/>
              <w:jc w:val="center"/>
              <w:rPr>
                <w:szCs w:val="21"/>
              </w:rPr>
            </w:pPr>
            <w:r>
              <w:rPr>
                <w:szCs w:val="21"/>
              </w:rPr>
              <w:t>110</w:t>
            </w:r>
          </w:p>
        </w:tc>
        <w:tc>
          <w:tcPr>
            <w:tcW w:w="803" w:type="dxa"/>
            <w:tcBorders>
              <w:top w:val="single" w:color="auto" w:sz="8" w:space="0"/>
              <w:left w:val="nil"/>
              <w:bottom w:val="single" w:color="auto" w:sz="4" w:space="0"/>
              <w:right w:val="single" w:color="auto" w:sz="4" w:space="0"/>
            </w:tcBorders>
            <w:tcMar>
              <w:top w:w="0" w:type="dxa"/>
              <w:left w:w="108" w:type="dxa"/>
              <w:bottom w:w="0" w:type="dxa"/>
              <w:right w:w="108" w:type="dxa"/>
            </w:tcMar>
            <w:vAlign w:val="center"/>
          </w:tcPr>
          <w:p w14:paraId="4266B6D3">
            <w:pPr>
              <w:spacing w:line="360" w:lineRule="auto"/>
              <w:jc w:val="center"/>
              <w:rPr>
                <w:szCs w:val="21"/>
              </w:rPr>
            </w:pPr>
            <w:r>
              <w:rPr>
                <w:szCs w:val="21"/>
              </w:rPr>
              <w:t>220</w:t>
            </w:r>
          </w:p>
        </w:tc>
        <w:tc>
          <w:tcPr>
            <w:tcW w:w="671" w:type="dxa"/>
            <w:tcBorders>
              <w:top w:val="single" w:color="auto" w:sz="8" w:space="0"/>
              <w:left w:val="nil"/>
              <w:bottom w:val="single" w:color="auto" w:sz="4" w:space="0"/>
              <w:right w:val="single" w:color="auto" w:sz="4" w:space="0"/>
            </w:tcBorders>
            <w:tcMar>
              <w:top w:w="0" w:type="dxa"/>
              <w:left w:w="108" w:type="dxa"/>
              <w:bottom w:w="0" w:type="dxa"/>
              <w:right w:w="108" w:type="dxa"/>
            </w:tcMar>
            <w:vAlign w:val="center"/>
          </w:tcPr>
          <w:p w14:paraId="7980A52D">
            <w:pPr>
              <w:spacing w:line="360" w:lineRule="auto"/>
              <w:jc w:val="center"/>
              <w:rPr>
                <w:szCs w:val="21"/>
              </w:rPr>
            </w:pPr>
            <w:r>
              <w:rPr>
                <w:szCs w:val="21"/>
              </w:rPr>
              <w:t>330</w:t>
            </w:r>
          </w:p>
        </w:tc>
        <w:tc>
          <w:tcPr>
            <w:tcW w:w="935" w:type="dxa"/>
            <w:tcBorders>
              <w:top w:val="single" w:color="auto" w:sz="8" w:space="0"/>
              <w:left w:val="nil"/>
              <w:bottom w:val="single" w:color="auto" w:sz="4" w:space="0"/>
              <w:right w:val="single" w:color="auto" w:sz="8" w:space="0"/>
            </w:tcBorders>
            <w:tcMar>
              <w:top w:w="0" w:type="dxa"/>
              <w:left w:w="108" w:type="dxa"/>
              <w:bottom w:w="0" w:type="dxa"/>
              <w:right w:w="108" w:type="dxa"/>
            </w:tcMar>
            <w:vAlign w:val="center"/>
          </w:tcPr>
          <w:p w14:paraId="574D9819">
            <w:pPr>
              <w:spacing w:line="360" w:lineRule="auto"/>
              <w:jc w:val="center"/>
              <w:rPr>
                <w:szCs w:val="21"/>
              </w:rPr>
            </w:pPr>
            <w:r>
              <w:rPr>
                <w:szCs w:val="21"/>
              </w:rPr>
              <w:t>500</w:t>
            </w:r>
          </w:p>
        </w:tc>
      </w:tr>
      <w:tr w14:paraId="62176F2F">
        <w:tblPrEx>
          <w:tblCellMar>
            <w:top w:w="0" w:type="dxa"/>
            <w:left w:w="0" w:type="dxa"/>
            <w:bottom w:w="0" w:type="dxa"/>
            <w:right w:w="0" w:type="dxa"/>
          </w:tblCellMar>
        </w:tblPrEx>
        <w:trPr>
          <w:trHeight w:val="624" w:hRule="atLeast"/>
          <w:jc w:val="center"/>
        </w:trPr>
        <w:tc>
          <w:tcPr>
            <w:tcW w:w="4524" w:type="dxa"/>
            <w:tcBorders>
              <w:top w:val="nil"/>
              <w:left w:val="single" w:color="auto" w:sz="8" w:space="0"/>
              <w:bottom w:val="single" w:color="auto" w:sz="4" w:space="0"/>
              <w:right w:val="single" w:color="auto" w:sz="4" w:space="0"/>
            </w:tcBorders>
            <w:tcMar>
              <w:top w:w="0" w:type="dxa"/>
              <w:left w:w="108" w:type="dxa"/>
              <w:bottom w:w="0" w:type="dxa"/>
              <w:right w:w="108" w:type="dxa"/>
            </w:tcMar>
            <w:vAlign w:val="center"/>
          </w:tcPr>
          <w:p w14:paraId="238FC38C">
            <w:pPr>
              <w:spacing w:line="360" w:lineRule="auto"/>
              <w:jc w:val="center"/>
              <w:rPr>
                <w:szCs w:val="21"/>
              </w:rPr>
            </w:pPr>
            <w:r>
              <w:rPr>
                <w:szCs w:val="21"/>
              </w:rPr>
              <w:t>防护设施与外电架空线路之间的最小安全距离</w:t>
            </w:r>
          </w:p>
        </w:tc>
        <w:tc>
          <w:tcPr>
            <w:tcW w:w="934" w:type="dxa"/>
            <w:tcBorders>
              <w:top w:val="nil"/>
              <w:left w:val="nil"/>
              <w:bottom w:val="single" w:color="auto" w:sz="4" w:space="0"/>
              <w:right w:val="single" w:color="auto" w:sz="4" w:space="0"/>
            </w:tcBorders>
            <w:tcMar>
              <w:top w:w="0" w:type="dxa"/>
              <w:left w:w="108" w:type="dxa"/>
              <w:bottom w:w="0" w:type="dxa"/>
              <w:right w:w="108" w:type="dxa"/>
            </w:tcMar>
            <w:vAlign w:val="center"/>
          </w:tcPr>
          <w:p w14:paraId="5D4D95AB">
            <w:pPr>
              <w:spacing w:line="360" w:lineRule="auto"/>
              <w:jc w:val="center"/>
              <w:rPr>
                <w:szCs w:val="21"/>
              </w:rPr>
            </w:pPr>
            <w:r>
              <w:rPr>
                <w:szCs w:val="21"/>
              </w:rPr>
              <w:t>2.0</w:t>
            </w:r>
          </w:p>
        </w:tc>
        <w:tc>
          <w:tcPr>
            <w:tcW w:w="933" w:type="dxa"/>
            <w:tcBorders>
              <w:top w:val="nil"/>
              <w:left w:val="nil"/>
              <w:bottom w:val="single" w:color="auto" w:sz="4" w:space="0"/>
              <w:right w:val="single" w:color="auto" w:sz="4" w:space="0"/>
            </w:tcBorders>
            <w:tcMar>
              <w:top w:w="0" w:type="dxa"/>
              <w:left w:w="108" w:type="dxa"/>
              <w:bottom w:w="0" w:type="dxa"/>
              <w:right w:w="108" w:type="dxa"/>
            </w:tcMar>
            <w:vAlign w:val="center"/>
          </w:tcPr>
          <w:p w14:paraId="0473A9BA">
            <w:pPr>
              <w:spacing w:line="360" w:lineRule="auto"/>
              <w:jc w:val="center"/>
              <w:rPr>
                <w:szCs w:val="21"/>
              </w:rPr>
            </w:pPr>
            <w:r>
              <w:rPr>
                <w:szCs w:val="21"/>
              </w:rPr>
              <w:t>3.5</w:t>
            </w:r>
          </w:p>
        </w:tc>
        <w:tc>
          <w:tcPr>
            <w:tcW w:w="936" w:type="dxa"/>
            <w:tcBorders>
              <w:top w:val="nil"/>
              <w:left w:val="nil"/>
              <w:bottom w:val="single" w:color="auto" w:sz="4" w:space="0"/>
              <w:right w:val="single" w:color="auto" w:sz="4" w:space="0"/>
            </w:tcBorders>
            <w:tcMar>
              <w:top w:w="0" w:type="dxa"/>
              <w:left w:w="108" w:type="dxa"/>
              <w:bottom w:w="0" w:type="dxa"/>
              <w:right w:w="108" w:type="dxa"/>
            </w:tcMar>
            <w:vAlign w:val="center"/>
          </w:tcPr>
          <w:p w14:paraId="6442E78F">
            <w:pPr>
              <w:spacing w:line="360" w:lineRule="auto"/>
              <w:jc w:val="center"/>
              <w:rPr>
                <w:szCs w:val="21"/>
              </w:rPr>
            </w:pPr>
            <w:r>
              <w:rPr>
                <w:szCs w:val="21"/>
              </w:rPr>
              <w:t>4.0</w:t>
            </w:r>
          </w:p>
        </w:tc>
        <w:tc>
          <w:tcPr>
            <w:tcW w:w="803" w:type="dxa"/>
            <w:tcBorders>
              <w:top w:val="nil"/>
              <w:left w:val="nil"/>
              <w:bottom w:val="single" w:color="auto" w:sz="4" w:space="0"/>
              <w:right w:val="single" w:color="auto" w:sz="4" w:space="0"/>
            </w:tcBorders>
            <w:tcMar>
              <w:top w:w="0" w:type="dxa"/>
              <w:left w:w="108" w:type="dxa"/>
              <w:bottom w:w="0" w:type="dxa"/>
              <w:right w:w="108" w:type="dxa"/>
            </w:tcMar>
            <w:vAlign w:val="center"/>
          </w:tcPr>
          <w:p w14:paraId="75BA527B">
            <w:pPr>
              <w:spacing w:line="360" w:lineRule="auto"/>
              <w:jc w:val="center"/>
              <w:rPr>
                <w:szCs w:val="21"/>
              </w:rPr>
            </w:pPr>
            <w:r>
              <w:rPr>
                <w:szCs w:val="21"/>
              </w:rPr>
              <w:t>5.0</w:t>
            </w:r>
          </w:p>
        </w:tc>
        <w:tc>
          <w:tcPr>
            <w:tcW w:w="671" w:type="dxa"/>
            <w:tcBorders>
              <w:top w:val="nil"/>
              <w:left w:val="nil"/>
              <w:bottom w:val="single" w:color="auto" w:sz="4" w:space="0"/>
              <w:right w:val="single" w:color="auto" w:sz="4" w:space="0"/>
            </w:tcBorders>
            <w:tcMar>
              <w:top w:w="0" w:type="dxa"/>
              <w:left w:w="108" w:type="dxa"/>
              <w:bottom w:w="0" w:type="dxa"/>
              <w:right w:w="108" w:type="dxa"/>
            </w:tcMar>
            <w:vAlign w:val="center"/>
          </w:tcPr>
          <w:p w14:paraId="07FB2A5B">
            <w:pPr>
              <w:spacing w:line="360" w:lineRule="auto"/>
              <w:jc w:val="center"/>
              <w:rPr>
                <w:szCs w:val="21"/>
              </w:rPr>
            </w:pPr>
            <w:r>
              <w:rPr>
                <w:szCs w:val="21"/>
              </w:rPr>
              <w:t>6.0</w:t>
            </w:r>
          </w:p>
        </w:tc>
        <w:tc>
          <w:tcPr>
            <w:tcW w:w="935" w:type="dxa"/>
            <w:tcBorders>
              <w:top w:val="nil"/>
              <w:left w:val="nil"/>
              <w:bottom w:val="single" w:color="auto" w:sz="4" w:space="0"/>
              <w:right w:val="single" w:color="auto" w:sz="8" w:space="0"/>
            </w:tcBorders>
            <w:tcMar>
              <w:top w:w="0" w:type="dxa"/>
              <w:left w:w="108" w:type="dxa"/>
              <w:bottom w:w="0" w:type="dxa"/>
              <w:right w:w="108" w:type="dxa"/>
            </w:tcMar>
            <w:vAlign w:val="center"/>
          </w:tcPr>
          <w:p w14:paraId="4994874D">
            <w:pPr>
              <w:spacing w:line="360" w:lineRule="auto"/>
              <w:jc w:val="center"/>
              <w:rPr>
                <w:szCs w:val="21"/>
              </w:rPr>
            </w:pPr>
            <w:r>
              <w:rPr>
                <w:szCs w:val="21"/>
              </w:rPr>
              <w:t>7.0</w:t>
            </w:r>
          </w:p>
        </w:tc>
      </w:tr>
    </w:tbl>
    <w:p w14:paraId="38115297">
      <w:pPr>
        <w:pStyle w:val="39"/>
        <w:spacing w:before="120" w:after="120" w:line="360" w:lineRule="auto"/>
        <w:jc w:val="both"/>
        <w:outlineLvl w:val="9"/>
        <w:rPr>
          <w:sz w:val="24"/>
          <w:szCs w:val="24"/>
        </w:rPr>
      </w:pPr>
    </w:p>
    <w:p w14:paraId="0B9A2FA5">
      <w:pPr>
        <w:pStyle w:val="35"/>
        <w:spacing w:before="120" w:line="360" w:lineRule="auto"/>
        <w:rPr>
          <w:bCs w:val="0"/>
          <w:color w:val="auto"/>
          <w:szCs w:val="24"/>
        </w:rPr>
      </w:pPr>
      <w:r>
        <w:rPr>
          <w:rFonts w:hint="eastAsia"/>
          <w:b/>
          <w:bCs w:val="0"/>
          <w:color w:val="auto"/>
          <w:szCs w:val="24"/>
        </w:rPr>
        <w:t>6.12</w:t>
      </w:r>
      <w:r>
        <w:rPr>
          <w:b/>
          <w:color w:val="auto"/>
          <w:szCs w:val="24"/>
        </w:rPr>
        <w:t>.</w:t>
      </w:r>
      <w:r>
        <w:rPr>
          <w:rFonts w:hint="eastAsia"/>
          <w:b/>
          <w:color w:val="auto"/>
          <w:szCs w:val="24"/>
        </w:rPr>
        <w:t>9</w:t>
      </w:r>
      <w:r>
        <w:rPr>
          <w:b/>
          <w:color w:val="auto"/>
          <w:szCs w:val="24"/>
        </w:rPr>
        <w:t xml:space="preserve">  </w:t>
      </w:r>
      <w:r>
        <w:rPr>
          <w:bCs w:val="0"/>
          <w:color w:val="auto"/>
          <w:szCs w:val="24"/>
        </w:rPr>
        <w:t>施工现场开挖沟槽边缘与外电埋地电缆沟槽边缘之间的距离不应小于0.5m。</w:t>
      </w:r>
    </w:p>
    <w:p w14:paraId="352276AD">
      <w:pPr>
        <w:pStyle w:val="35"/>
        <w:spacing w:before="120" w:line="360" w:lineRule="auto"/>
        <w:rPr>
          <w:bCs w:val="0"/>
          <w:color w:val="auto"/>
          <w:szCs w:val="24"/>
        </w:rPr>
      </w:pPr>
      <w:r>
        <w:rPr>
          <w:rFonts w:hint="eastAsia"/>
          <w:b/>
          <w:bCs w:val="0"/>
          <w:color w:val="auto"/>
          <w:szCs w:val="24"/>
        </w:rPr>
        <w:t>6.12</w:t>
      </w:r>
      <w:r>
        <w:rPr>
          <w:b/>
          <w:color w:val="auto"/>
          <w:szCs w:val="24"/>
        </w:rPr>
        <w:t>.</w:t>
      </w:r>
      <w:r>
        <w:rPr>
          <w:rFonts w:hint="eastAsia"/>
          <w:b/>
          <w:color w:val="auto"/>
          <w:szCs w:val="24"/>
        </w:rPr>
        <w:t>10</w:t>
      </w:r>
      <w:r>
        <w:rPr>
          <w:b/>
          <w:color w:val="auto"/>
          <w:szCs w:val="24"/>
        </w:rPr>
        <w:t xml:space="preserve">  </w:t>
      </w:r>
      <w:r>
        <w:rPr>
          <w:bCs w:val="0"/>
          <w:color w:val="auto"/>
          <w:szCs w:val="24"/>
        </w:rPr>
        <w:t>在外电架空线路附近开挖沟槽时，应根据不同电压等级</w:t>
      </w:r>
      <w:r>
        <w:rPr>
          <w:rFonts w:hint="eastAsia"/>
          <w:bCs w:val="0"/>
          <w:color w:val="auto"/>
          <w:szCs w:val="24"/>
        </w:rPr>
        <w:t>保持符合规定的安全间距，并</w:t>
      </w:r>
      <w:r>
        <w:rPr>
          <w:bCs w:val="0"/>
          <w:color w:val="auto"/>
          <w:szCs w:val="24"/>
        </w:rPr>
        <w:t>符合供电部门</w:t>
      </w:r>
      <w:r>
        <w:rPr>
          <w:rFonts w:hint="eastAsia"/>
          <w:bCs w:val="0"/>
          <w:color w:val="auto"/>
          <w:szCs w:val="24"/>
        </w:rPr>
        <w:t>的相关规定</w:t>
      </w:r>
      <w:r>
        <w:rPr>
          <w:bCs w:val="0"/>
          <w:color w:val="auto"/>
          <w:szCs w:val="24"/>
        </w:rPr>
        <w:t>。</w:t>
      </w:r>
    </w:p>
    <w:p w14:paraId="062FAB5C">
      <w:pPr>
        <w:rPr>
          <w:szCs w:val="24"/>
        </w:rPr>
      </w:pPr>
      <w:r>
        <w:rPr>
          <w:szCs w:val="24"/>
        </w:rPr>
        <w:br w:type="page"/>
      </w:r>
    </w:p>
    <w:p w14:paraId="6DCD9A19">
      <w:pPr>
        <w:spacing w:line="360" w:lineRule="auto"/>
        <w:jc w:val="center"/>
        <w:outlineLvl w:val="0"/>
        <w:rPr>
          <w:rFonts w:eastAsia="黑体"/>
          <w:sz w:val="28"/>
          <w:szCs w:val="28"/>
        </w:rPr>
      </w:pPr>
      <w:bookmarkStart w:id="612" w:name="_Toc24556"/>
      <w:r>
        <w:rPr>
          <w:rFonts w:hint="eastAsia"/>
          <w:b/>
          <w:bCs/>
          <w:kern w:val="0"/>
          <w:sz w:val="28"/>
          <w:szCs w:val="28"/>
        </w:rPr>
        <w:t>7</w:t>
      </w:r>
      <w:r>
        <w:rPr>
          <w:kern w:val="44"/>
          <w:sz w:val="28"/>
          <w:szCs w:val="28"/>
        </w:rPr>
        <w:t xml:space="preserve"> </w:t>
      </w:r>
      <w:r>
        <w:rPr>
          <w:rFonts w:eastAsia="黑体"/>
          <w:sz w:val="28"/>
          <w:szCs w:val="28"/>
        </w:rPr>
        <w:t>消防安全</w:t>
      </w:r>
      <w:bookmarkEnd w:id="612"/>
    </w:p>
    <w:p w14:paraId="039D9B56">
      <w:pPr>
        <w:pStyle w:val="3"/>
        <w:widowControl/>
        <w:adjustRightInd/>
        <w:spacing w:before="0" w:after="0"/>
        <w:rPr>
          <w:rFonts w:ascii="Times New Roman" w:hAnsi="Times New Roman" w:cs="Times New Roman"/>
          <w:color w:val="auto"/>
          <w:sz w:val="24"/>
          <w:szCs w:val="24"/>
        </w:rPr>
      </w:pPr>
      <w:bookmarkStart w:id="613" w:name="_Toc28765"/>
      <w:r>
        <w:rPr>
          <w:rFonts w:hint="eastAsia" w:ascii="Times New Roman" w:hAnsi="Times New Roman" w:cs="Times New Roman"/>
          <w:color w:val="auto"/>
          <w:sz w:val="24"/>
          <w:szCs w:val="24"/>
        </w:rPr>
        <w:t>7</w:t>
      </w:r>
      <w:r>
        <w:rPr>
          <w:rFonts w:ascii="Times New Roman" w:hAnsi="Times New Roman" w:cs="Times New Roman"/>
          <w:color w:val="auto"/>
          <w:sz w:val="24"/>
          <w:szCs w:val="24"/>
        </w:rPr>
        <w:t xml:space="preserve">.1 </w:t>
      </w:r>
      <w:r>
        <w:rPr>
          <w:rFonts w:hint="eastAsia" w:ascii="宋体" w:hAnsi="宋体" w:cs="宋体"/>
          <w:color w:val="auto"/>
          <w:sz w:val="24"/>
          <w:szCs w:val="24"/>
        </w:rPr>
        <w:t>一般规定</w:t>
      </w:r>
      <w:bookmarkEnd w:id="613"/>
    </w:p>
    <w:p w14:paraId="505CD53C">
      <w:pPr>
        <w:pStyle w:val="14"/>
        <w:widowControl/>
        <w:snapToGrid w:val="0"/>
        <w:spacing w:beforeAutospacing="0" w:afterAutospacing="0" w:line="360" w:lineRule="auto"/>
        <w:rPr>
          <w:strike/>
          <w:color w:val="FF0000"/>
          <w:szCs w:val="24"/>
        </w:rPr>
      </w:pPr>
      <w:r>
        <w:rPr>
          <w:rFonts w:hint="eastAsia"/>
          <w:b/>
          <w:bCs/>
          <w:szCs w:val="24"/>
        </w:rPr>
        <w:t>7</w:t>
      </w:r>
      <w:r>
        <w:rPr>
          <w:b/>
          <w:bCs/>
          <w:szCs w:val="24"/>
        </w:rPr>
        <w:t>.1.1</w:t>
      </w:r>
      <w:r>
        <w:rPr>
          <w:rFonts w:hint="eastAsia"/>
          <w:szCs w:val="24"/>
        </w:rPr>
        <w:t xml:space="preserve">  </w:t>
      </w:r>
      <w:r>
        <w:rPr>
          <w:szCs w:val="24"/>
        </w:rPr>
        <w:t>施工单位应根据建设项目规模、现场消防安全管理的重点，在施工现场建立消防安全管理组织及志愿消防组织，</w:t>
      </w:r>
      <w:r>
        <w:rPr>
          <w:rFonts w:hint="eastAsia"/>
          <w:szCs w:val="24"/>
        </w:rPr>
        <w:t>配备</w:t>
      </w:r>
      <w:r>
        <w:rPr>
          <w:szCs w:val="24"/>
        </w:rPr>
        <w:t>消防安全管理人员</w:t>
      </w:r>
      <w:r>
        <w:rPr>
          <w:rFonts w:hint="eastAsia"/>
          <w:szCs w:val="24"/>
        </w:rPr>
        <w:t>。</w:t>
      </w:r>
    </w:p>
    <w:p w14:paraId="146D31F8">
      <w:pPr>
        <w:pStyle w:val="14"/>
        <w:widowControl/>
        <w:snapToGrid w:val="0"/>
        <w:spacing w:beforeAutospacing="0" w:afterAutospacing="0" w:line="360" w:lineRule="auto"/>
        <w:rPr>
          <w:szCs w:val="24"/>
        </w:rPr>
      </w:pPr>
      <w:r>
        <w:rPr>
          <w:rFonts w:hint="eastAsia"/>
          <w:b/>
          <w:bCs/>
          <w:szCs w:val="24"/>
        </w:rPr>
        <w:t>7.1.2</w:t>
      </w:r>
      <w:r>
        <w:rPr>
          <w:rFonts w:hint="eastAsia"/>
          <w:szCs w:val="24"/>
        </w:rPr>
        <w:t xml:space="preserve">  安全网应采用阻燃型防护网，并符合现行国家标准《坠落防护 安全网》GB 5725的相关规定。</w:t>
      </w:r>
    </w:p>
    <w:p w14:paraId="3C22C266">
      <w:pPr>
        <w:pStyle w:val="14"/>
        <w:widowControl/>
        <w:snapToGrid w:val="0"/>
        <w:spacing w:beforeAutospacing="0" w:afterAutospacing="0" w:line="360" w:lineRule="auto"/>
        <w:rPr>
          <w:rFonts w:hint="eastAsia" w:ascii="宋体" w:hAnsi="宋体" w:cs="宋体"/>
          <w:szCs w:val="24"/>
        </w:rPr>
      </w:pPr>
      <w:r>
        <w:rPr>
          <w:rFonts w:hint="eastAsia"/>
          <w:b/>
          <w:bCs/>
          <w:kern w:val="2"/>
          <w:szCs w:val="24"/>
        </w:rPr>
        <w:t>7.</w:t>
      </w:r>
      <w:r>
        <w:rPr>
          <w:rFonts w:hint="eastAsia"/>
          <w:b/>
          <w:bCs/>
          <w:szCs w:val="24"/>
        </w:rPr>
        <w:t>1.3</w:t>
      </w:r>
      <w:r>
        <w:rPr>
          <w:rFonts w:hint="eastAsia"/>
          <w:szCs w:val="24"/>
        </w:rPr>
        <w:t xml:space="preserve">  施工现场</w:t>
      </w:r>
      <w:r>
        <w:rPr>
          <w:rFonts w:hint="eastAsia" w:ascii="宋体" w:hAnsi="宋体" w:cs="宋体"/>
          <w:szCs w:val="24"/>
        </w:rPr>
        <w:t>狭窄基坑和肥槽进行防水作业时应确保有双向疏散通道和金属爬梯。</w:t>
      </w:r>
    </w:p>
    <w:p w14:paraId="1C888B96">
      <w:pPr>
        <w:pStyle w:val="14"/>
        <w:widowControl/>
        <w:snapToGrid w:val="0"/>
        <w:spacing w:beforeAutospacing="0" w:afterAutospacing="0" w:line="360" w:lineRule="auto"/>
        <w:rPr>
          <w:rFonts w:hint="eastAsia" w:ascii="宋体" w:hAnsi="宋体" w:cs="宋体"/>
          <w:szCs w:val="24"/>
        </w:rPr>
      </w:pPr>
      <w:r>
        <w:rPr>
          <w:rFonts w:hint="eastAsia"/>
          <w:b/>
          <w:bCs/>
          <w:szCs w:val="24"/>
        </w:rPr>
        <w:t xml:space="preserve">7.1.4  </w:t>
      </w:r>
      <w:r>
        <w:rPr>
          <w:rFonts w:hint="eastAsia"/>
          <w:szCs w:val="24"/>
        </w:rPr>
        <w:t>在建</w:t>
      </w:r>
      <w:r>
        <w:rPr>
          <w:rFonts w:hint="eastAsia" w:ascii="宋体" w:hAnsi="宋体" w:cs="宋体"/>
          <w:szCs w:val="24"/>
        </w:rPr>
        <w:t>工程内不得设置宿舍和仓库。库房内不得设办公室、休息室，不得住人。</w:t>
      </w:r>
    </w:p>
    <w:p w14:paraId="3D5FCCBD">
      <w:pPr>
        <w:spacing w:line="360" w:lineRule="auto"/>
        <w:rPr>
          <w:szCs w:val="24"/>
        </w:rPr>
      </w:pPr>
      <w:r>
        <w:rPr>
          <w:rFonts w:hint="eastAsia"/>
          <w:b/>
          <w:bCs/>
          <w:sz w:val="24"/>
          <w:szCs w:val="24"/>
        </w:rPr>
        <w:t>7</w:t>
      </w:r>
      <w:r>
        <w:rPr>
          <w:b/>
          <w:bCs/>
          <w:sz w:val="24"/>
          <w:szCs w:val="24"/>
        </w:rPr>
        <w:t>.</w:t>
      </w:r>
      <w:r>
        <w:rPr>
          <w:rFonts w:hint="eastAsia"/>
          <w:b/>
          <w:bCs/>
          <w:sz w:val="24"/>
          <w:szCs w:val="24"/>
        </w:rPr>
        <w:t>1</w:t>
      </w:r>
      <w:r>
        <w:rPr>
          <w:b/>
          <w:bCs/>
          <w:sz w:val="24"/>
          <w:szCs w:val="24"/>
        </w:rPr>
        <w:t>.</w:t>
      </w:r>
      <w:r>
        <w:rPr>
          <w:rFonts w:hint="eastAsia"/>
          <w:b/>
          <w:bCs/>
          <w:sz w:val="24"/>
          <w:szCs w:val="24"/>
        </w:rPr>
        <w:t>5</w:t>
      </w:r>
      <w:r>
        <w:rPr>
          <w:rFonts w:hint="eastAsia"/>
          <w:b/>
          <w:bCs/>
          <w:szCs w:val="24"/>
        </w:rPr>
        <w:t xml:space="preserve">  </w:t>
      </w:r>
      <w:r>
        <w:rPr>
          <w:sz w:val="24"/>
          <w:szCs w:val="24"/>
        </w:rPr>
        <w:t>施工现场宜</w:t>
      </w:r>
      <w:r>
        <w:rPr>
          <w:rFonts w:hint="eastAsia"/>
          <w:sz w:val="24"/>
          <w:szCs w:val="24"/>
        </w:rPr>
        <w:t>独立设置</w:t>
      </w:r>
      <w:r>
        <w:rPr>
          <w:sz w:val="24"/>
          <w:szCs w:val="24"/>
        </w:rPr>
        <w:t>微型消防站，</w:t>
      </w:r>
      <w:r>
        <w:rPr>
          <w:rFonts w:hint="eastAsia"/>
          <w:sz w:val="24"/>
          <w:szCs w:val="24"/>
        </w:rPr>
        <w:t>微型消防站建设标准应符合现行</w:t>
      </w:r>
      <w:r>
        <w:rPr>
          <w:rFonts w:hint="eastAsia" w:ascii="Arial" w:hAnsi="Arial" w:cs="Arial"/>
          <w:sz w:val="24"/>
          <w:szCs w:val="24"/>
          <w:shd w:val="clear" w:color="auto" w:fill="FFFFFF"/>
        </w:rPr>
        <w:t>地方标准《微型消防站建设与管理规范》</w:t>
      </w:r>
      <w:r>
        <w:rPr>
          <w:rFonts w:hint="eastAsia"/>
          <w:kern w:val="0"/>
          <w:sz w:val="24"/>
          <w:szCs w:val="24"/>
        </w:rPr>
        <w:t>DB11/T 2455</w:t>
      </w:r>
      <w:r>
        <w:rPr>
          <w:rFonts w:hint="eastAsia" w:ascii="Arial" w:hAnsi="Arial" w:cs="Arial"/>
          <w:sz w:val="24"/>
          <w:szCs w:val="24"/>
          <w:shd w:val="clear" w:color="auto" w:fill="FFFFFF"/>
        </w:rPr>
        <w:t>的相关规定。</w:t>
      </w:r>
    </w:p>
    <w:p w14:paraId="1F3E40EF">
      <w:pPr>
        <w:pStyle w:val="14"/>
        <w:widowControl/>
        <w:snapToGrid w:val="0"/>
        <w:spacing w:beforeAutospacing="0" w:afterAutospacing="0" w:line="360" w:lineRule="auto"/>
        <w:rPr>
          <w:rFonts w:hint="eastAsia" w:ascii="宋体" w:hAnsi="宋体" w:cs="宋体"/>
          <w:szCs w:val="24"/>
        </w:rPr>
      </w:pPr>
    </w:p>
    <w:p w14:paraId="324DD53C">
      <w:pPr>
        <w:pStyle w:val="3"/>
        <w:widowControl/>
        <w:adjustRightInd/>
        <w:spacing w:before="0" w:after="0"/>
        <w:rPr>
          <w:rFonts w:ascii="Times New Roman" w:hAnsi="Times New Roman" w:cs="Times New Roman"/>
          <w:color w:val="auto"/>
          <w:sz w:val="24"/>
          <w:szCs w:val="24"/>
        </w:rPr>
      </w:pPr>
      <w:bookmarkStart w:id="614" w:name="_Toc21533"/>
      <w:r>
        <w:rPr>
          <w:rFonts w:hint="eastAsia" w:ascii="Times New Roman" w:hAnsi="Times New Roman" w:cs="Times New Roman"/>
          <w:color w:val="auto"/>
          <w:sz w:val="24"/>
          <w:szCs w:val="24"/>
        </w:rPr>
        <w:t>7</w:t>
      </w:r>
      <w:r>
        <w:rPr>
          <w:rFonts w:ascii="Times New Roman" w:hAnsi="Times New Roman" w:cs="Times New Roman"/>
          <w:color w:val="auto"/>
          <w:sz w:val="24"/>
          <w:szCs w:val="24"/>
        </w:rPr>
        <w:t xml:space="preserve">.2 </w:t>
      </w:r>
      <w:r>
        <w:rPr>
          <w:rFonts w:hint="eastAsia" w:ascii="Times New Roman" w:hAnsi="Times New Roman" w:cs="Times New Roman"/>
          <w:color w:val="auto"/>
          <w:sz w:val="24"/>
          <w:szCs w:val="24"/>
        </w:rPr>
        <w:t>消防</w:t>
      </w:r>
      <w:r>
        <w:rPr>
          <w:rFonts w:ascii="Times New Roman" w:hAnsi="Times New Roman" w:cs="Times New Roman"/>
          <w:color w:val="auto"/>
          <w:sz w:val="24"/>
          <w:szCs w:val="24"/>
        </w:rPr>
        <w:t>平面布置</w:t>
      </w:r>
      <w:bookmarkEnd w:id="614"/>
    </w:p>
    <w:p w14:paraId="6EFA326A">
      <w:pPr>
        <w:pStyle w:val="14"/>
        <w:widowControl/>
        <w:snapToGrid w:val="0"/>
        <w:spacing w:beforeAutospacing="0" w:afterAutospacing="0" w:line="360" w:lineRule="auto"/>
        <w:rPr>
          <w:szCs w:val="24"/>
        </w:rPr>
      </w:pPr>
      <w:r>
        <w:rPr>
          <w:rFonts w:hint="eastAsia"/>
          <w:b/>
          <w:bCs/>
          <w:szCs w:val="24"/>
        </w:rPr>
        <w:t>7</w:t>
      </w:r>
      <w:r>
        <w:rPr>
          <w:b/>
          <w:bCs/>
          <w:szCs w:val="24"/>
        </w:rPr>
        <w:t>.2.</w:t>
      </w:r>
      <w:r>
        <w:rPr>
          <w:rFonts w:hint="eastAsia"/>
          <w:b/>
          <w:bCs/>
          <w:szCs w:val="24"/>
        </w:rPr>
        <w:t>1</w:t>
      </w:r>
      <w:r>
        <w:rPr>
          <w:rFonts w:hint="eastAsia"/>
          <w:szCs w:val="24"/>
        </w:rPr>
        <w:t xml:space="preserve">  </w:t>
      </w:r>
      <w:r>
        <w:rPr>
          <w:szCs w:val="24"/>
        </w:rPr>
        <w:t>施工现场</w:t>
      </w:r>
      <w:r>
        <w:rPr>
          <w:rFonts w:hint="eastAsia"/>
          <w:szCs w:val="24"/>
        </w:rPr>
        <w:t>应设置</w:t>
      </w:r>
      <w:r>
        <w:rPr>
          <w:szCs w:val="24"/>
        </w:rPr>
        <w:t>满足消防车通行的</w:t>
      </w:r>
      <w:r>
        <w:rPr>
          <w:rFonts w:hint="eastAsia"/>
          <w:szCs w:val="24"/>
        </w:rPr>
        <w:t>出入口，出入口不宜少于2个，且</w:t>
      </w:r>
      <w:r>
        <w:rPr>
          <w:szCs w:val="24"/>
        </w:rPr>
        <w:t>宜布置在不同方向。</w:t>
      </w:r>
      <w:r>
        <w:rPr>
          <w:rFonts w:hint="eastAsia"/>
          <w:szCs w:val="24"/>
        </w:rPr>
        <w:t>施工现场受地形环境条件限制</w:t>
      </w:r>
      <w:r>
        <w:rPr>
          <w:szCs w:val="24"/>
        </w:rPr>
        <w:t>只能设置1个出入口时，应在施工现场内设置满足消防车通行的环形</w:t>
      </w:r>
      <w:r>
        <w:rPr>
          <w:rFonts w:hint="eastAsia"/>
          <w:szCs w:val="24"/>
        </w:rPr>
        <w:t>消防车道或</w:t>
      </w:r>
      <w:r>
        <w:rPr>
          <w:szCs w:val="24"/>
        </w:rPr>
        <w:t>在道路尽头设置回车场。</w:t>
      </w:r>
    </w:p>
    <w:p w14:paraId="0F6D01A0">
      <w:pPr>
        <w:pStyle w:val="14"/>
        <w:widowControl/>
        <w:snapToGrid w:val="0"/>
        <w:spacing w:beforeAutospacing="0" w:afterAutospacing="0" w:line="360" w:lineRule="auto"/>
        <w:rPr>
          <w:szCs w:val="24"/>
        </w:rPr>
      </w:pPr>
      <w:r>
        <w:rPr>
          <w:rFonts w:hint="eastAsia"/>
          <w:b/>
          <w:bCs/>
          <w:szCs w:val="24"/>
        </w:rPr>
        <w:t>7</w:t>
      </w:r>
      <w:r>
        <w:rPr>
          <w:b/>
          <w:bCs/>
          <w:szCs w:val="24"/>
        </w:rPr>
        <w:t>.2.</w:t>
      </w:r>
      <w:r>
        <w:rPr>
          <w:rFonts w:hint="eastAsia"/>
          <w:b/>
          <w:bCs/>
          <w:szCs w:val="24"/>
        </w:rPr>
        <w:t>2</w:t>
      </w:r>
      <w:r>
        <w:rPr>
          <w:rFonts w:hint="eastAsia"/>
          <w:szCs w:val="24"/>
        </w:rPr>
        <w:t xml:space="preserve">  施工现场临时用房、临时设施、可燃材料堆场及其加工场、固定动火作业场、易燃易爆危险品库房的</w:t>
      </w:r>
      <w:r>
        <w:rPr>
          <w:szCs w:val="24"/>
        </w:rPr>
        <w:t>防火</w:t>
      </w:r>
      <w:r>
        <w:rPr>
          <w:rFonts w:hint="eastAsia"/>
          <w:szCs w:val="24"/>
        </w:rPr>
        <w:t>布置及防火间距</w:t>
      </w:r>
      <w:r>
        <w:rPr>
          <w:szCs w:val="24"/>
        </w:rPr>
        <w:t>应符合现行国家标准《建设工程施工现场消防安全技术标准》GB/T 50720的</w:t>
      </w:r>
      <w:r>
        <w:rPr>
          <w:rFonts w:hint="eastAsia"/>
          <w:szCs w:val="24"/>
        </w:rPr>
        <w:t>相关</w:t>
      </w:r>
      <w:r>
        <w:rPr>
          <w:szCs w:val="24"/>
        </w:rPr>
        <w:t>规定。</w:t>
      </w:r>
    </w:p>
    <w:p w14:paraId="63E40701">
      <w:pPr>
        <w:pStyle w:val="14"/>
        <w:widowControl/>
        <w:snapToGrid w:val="0"/>
        <w:spacing w:beforeAutospacing="0" w:afterAutospacing="0" w:line="360" w:lineRule="auto"/>
        <w:rPr>
          <w:rFonts w:hint="eastAsia" w:ascii="宋体" w:hAnsi="宋体" w:cs="宋体"/>
          <w:szCs w:val="24"/>
        </w:rPr>
      </w:pPr>
      <w:r>
        <w:rPr>
          <w:rFonts w:hint="eastAsia"/>
          <w:b/>
          <w:bCs/>
          <w:szCs w:val="24"/>
        </w:rPr>
        <w:t xml:space="preserve">7.2.3  </w:t>
      </w:r>
      <w:r>
        <w:rPr>
          <w:rFonts w:hint="eastAsia" w:ascii="宋体" w:hAnsi="宋体" w:cs="宋体"/>
          <w:szCs w:val="24"/>
        </w:rPr>
        <w:t>市政基础设施的施工区与非施工区应采用不燃材质进行防火分割，涉及林区施工的应设置防火隔离带。</w:t>
      </w:r>
    </w:p>
    <w:p w14:paraId="3DED8DD3">
      <w:pPr>
        <w:pStyle w:val="14"/>
        <w:widowControl/>
        <w:snapToGrid w:val="0"/>
        <w:spacing w:beforeAutospacing="0" w:afterAutospacing="0" w:line="360" w:lineRule="auto"/>
        <w:rPr>
          <w:szCs w:val="24"/>
        </w:rPr>
      </w:pPr>
      <w:r>
        <w:rPr>
          <w:rFonts w:hint="eastAsia"/>
          <w:b/>
          <w:bCs/>
          <w:szCs w:val="24"/>
        </w:rPr>
        <w:t>7</w:t>
      </w:r>
      <w:r>
        <w:rPr>
          <w:b/>
          <w:bCs/>
          <w:szCs w:val="24"/>
        </w:rPr>
        <w:t>.2.</w:t>
      </w:r>
      <w:r>
        <w:rPr>
          <w:rFonts w:hint="eastAsia"/>
          <w:b/>
          <w:bCs/>
          <w:szCs w:val="24"/>
        </w:rPr>
        <w:t>4</w:t>
      </w:r>
      <w:r>
        <w:rPr>
          <w:rFonts w:hint="eastAsia"/>
          <w:szCs w:val="24"/>
        </w:rPr>
        <w:t xml:space="preserve">  施工现场应设置临时消防消防车道和救援场地。临时消防车道和救援场地除</w:t>
      </w:r>
      <w:r>
        <w:rPr>
          <w:szCs w:val="24"/>
        </w:rPr>
        <w:t>符合现行国家标准《建设工程施工现场消防安全技术标准》GB/T 50720的</w:t>
      </w:r>
      <w:r>
        <w:rPr>
          <w:rFonts w:hint="eastAsia"/>
          <w:szCs w:val="24"/>
        </w:rPr>
        <w:t>相关</w:t>
      </w:r>
      <w:r>
        <w:rPr>
          <w:szCs w:val="24"/>
        </w:rPr>
        <w:t>规定</w:t>
      </w:r>
      <w:r>
        <w:rPr>
          <w:rFonts w:hint="eastAsia"/>
          <w:szCs w:val="24"/>
        </w:rPr>
        <w:t>外，还应符合下列要求：</w:t>
      </w:r>
    </w:p>
    <w:p w14:paraId="5D66B709">
      <w:pPr>
        <w:widowControl/>
        <w:snapToGrid w:val="0"/>
        <w:spacing w:line="360" w:lineRule="auto"/>
        <w:ind w:firstLine="482" w:firstLineChars="200"/>
        <w:rPr>
          <w:sz w:val="24"/>
          <w:szCs w:val="24"/>
        </w:rPr>
      </w:pPr>
      <w:r>
        <w:rPr>
          <w:rFonts w:hint="eastAsia"/>
          <w:b/>
          <w:bCs/>
          <w:kern w:val="0"/>
          <w:sz w:val="24"/>
          <w:szCs w:val="24"/>
        </w:rPr>
        <w:t>1</w:t>
      </w:r>
      <w:r>
        <w:rPr>
          <w:sz w:val="24"/>
          <w:szCs w:val="24"/>
        </w:rPr>
        <w:t xml:space="preserve"> 消防车道转弯半径应满足消防车转弯的要求；</w:t>
      </w:r>
    </w:p>
    <w:p w14:paraId="4888B6E0">
      <w:pPr>
        <w:widowControl/>
        <w:snapToGrid w:val="0"/>
        <w:spacing w:line="360" w:lineRule="auto"/>
        <w:ind w:firstLine="482" w:firstLineChars="200"/>
        <w:rPr>
          <w:sz w:val="24"/>
          <w:szCs w:val="24"/>
        </w:rPr>
      </w:pPr>
      <w:r>
        <w:rPr>
          <w:rFonts w:hint="eastAsia"/>
          <w:b/>
          <w:bCs/>
          <w:kern w:val="0"/>
          <w:sz w:val="24"/>
          <w:szCs w:val="24"/>
        </w:rPr>
        <w:t>2</w:t>
      </w:r>
      <w:r>
        <w:rPr>
          <w:sz w:val="24"/>
          <w:szCs w:val="24"/>
        </w:rPr>
        <w:t xml:space="preserve"> 消防车道</w:t>
      </w:r>
      <w:r>
        <w:rPr>
          <w:rFonts w:hint="eastAsia"/>
          <w:sz w:val="24"/>
          <w:szCs w:val="24"/>
        </w:rPr>
        <w:t>和救援场地</w:t>
      </w:r>
      <w:r>
        <w:rPr>
          <w:sz w:val="24"/>
          <w:szCs w:val="24"/>
        </w:rPr>
        <w:t>与在建工程消防扑救面之间不应有妨碍消防车操作的障碍物</w:t>
      </w:r>
      <w:r>
        <w:rPr>
          <w:rFonts w:hint="eastAsia"/>
          <w:sz w:val="24"/>
          <w:szCs w:val="24"/>
        </w:rPr>
        <w:t>；</w:t>
      </w:r>
    </w:p>
    <w:p w14:paraId="3FDC8AB7">
      <w:pPr>
        <w:widowControl/>
        <w:snapToGrid w:val="0"/>
        <w:spacing w:line="360" w:lineRule="auto"/>
        <w:ind w:firstLine="482" w:firstLineChars="200"/>
        <w:rPr>
          <w:sz w:val="24"/>
          <w:szCs w:val="24"/>
        </w:rPr>
      </w:pPr>
      <w:r>
        <w:rPr>
          <w:rFonts w:hint="eastAsia"/>
          <w:b/>
          <w:bCs/>
          <w:kern w:val="0"/>
          <w:sz w:val="24"/>
          <w:szCs w:val="24"/>
        </w:rPr>
        <w:t>3</w:t>
      </w:r>
      <w:r>
        <w:rPr>
          <w:rFonts w:hint="eastAsia"/>
          <w:sz w:val="24"/>
          <w:szCs w:val="24"/>
        </w:rPr>
        <w:t xml:space="preserve"> </w:t>
      </w:r>
      <w:r>
        <w:rPr>
          <w:sz w:val="24"/>
          <w:szCs w:val="24"/>
        </w:rPr>
        <w:t>消防车道</w:t>
      </w:r>
      <w:r>
        <w:rPr>
          <w:rFonts w:hint="eastAsia"/>
          <w:sz w:val="24"/>
          <w:szCs w:val="24"/>
        </w:rPr>
        <w:t>和救援场地</w:t>
      </w:r>
      <w:r>
        <w:rPr>
          <w:sz w:val="24"/>
          <w:szCs w:val="24"/>
        </w:rPr>
        <w:t>路基、路面及其下部设施应能承受消防车</w:t>
      </w:r>
      <w:r>
        <w:rPr>
          <w:rFonts w:hint="eastAsia"/>
          <w:sz w:val="24"/>
          <w:szCs w:val="24"/>
        </w:rPr>
        <w:t>辆</w:t>
      </w:r>
      <w:r>
        <w:rPr>
          <w:sz w:val="24"/>
          <w:szCs w:val="24"/>
        </w:rPr>
        <w:t>满载通行压力及工作负荷</w:t>
      </w:r>
      <w:r>
        <w:rPr>
          <w:rFonts w:hint="eastAsia"/>
          <w:sz w:val="24"/>
          <w:szCs w:val="24"/>
        </w:rPr>
        <w:t>。</w:t>
      </w:r>
    </w:p>
    <w:p w14:paraId="0AC25212">
      <w:pPr>
        <w:pStyle w:val="14"/>
        <w:widowControl/>
        <w:snapToGrid w:val="0"/>
        <w:spacing w:beforeAutospacing="0" w:afterAutospacing="0" w:line="360" w:lineRule="auto"/>
        <w:rPr>
          <w:szCs w:val="24"/>
        </w:rPr>
      </w:pPr>
      <w:r>
        <w:rPr>
          <w:rFonts w:hint="eastAsia"/>
          <w:b/>
          <w:bCs/>
          <w:szCs w:val="24"/>
        </w:rPr>
        <w:t>7</w:t>
      </w:r>
      <w:r>
        <w:rPr>
          <w:b/>
          <w:bCs/>
          <w:szCs w:val="24"/>
        </w:rPr>
        <w:t>.2.</w:t>
      </w:r>
      <w:r>
        <w:rPr>
          <w:rFonts w:hint="eastAsia"/>
          <w:b/>
          <w:bCs/>
          <w:szCs w:val="24"/>
        </w:rPr>
        <w:t>5</w:t>
      </w:r>
      <w:r>
        <w:rPr>
          <w:rFonts w:hint="eastAsia"/>
          <w:szCs w:val="24"/>
        </w:rPr>
        <w:t xml:space="preserve">  </w:t>
      </w:r>
      <w:r>
        <w:rPr>
          <w:szCs w:val="24"/>
        </w:rPr>
        <w:t>施工现场</w:t>
      </w:r>
      <w:r>
        <w:rPr>
          <w:rFonts w:hint="eastAsia"/>
          <w:szCs w:val="24"/>
        </w:rPr>
        <w:t>因受环境限制</w:t>
      </w:r>
      <w:r>
        <w:rPr>
          <w:szCs w:val="24"/>
        </w:rPr>
        <w:t>不具备设置临时消防车道</w:t>
      </w:r>
      <w:r>
        <w:rPr>
          <w:rFonts w:hint="eastAsia"/>
          <w:szCs w:val="24"/>
        </w:rPr>
        <w:t>和救援场地</w:t>
      </w:r>
      <w:r>
        <w:rPr>
          <w:szCs w:val="24"/>
        </w:rPr>
        <w:t>条件，且周边道路满足消防车通行及灭火救援要求时，可利用周边道路作为临时消防车道</w:t>
      </w:r>
      <w:r>
        <w:rPr>
          <w:rFonts w:hint="eastAsia"/>
          <w:szCs w:val="24"/>
        </w:rPr>
        <w:t>和救援场地</w:t>
      </w:r>
      <w:r>
        <w:rPr>
          <w:szCs w:val="24"/>
        </w:rPr>
        <w:t>。</w:t>
      </w:r>
    </w:p>
    <w:p w14:paraId="5BD329DF">
      <w:pPr>
        <w:pStyle w:val="14"/>
        <w:widowControl/>
        <w:snapToGrid w:val="0"/>
        <w:spacing w:beforeAutospacing="0" w:afterAutospacing="0" w:line="360" w:lineRule="auto"/>
        <w:rPr>
          <w:szCs w:val="24"/>
        </w:rPr>
      </w:pPr>
      <w:r>
        <w:rPr>
          <w:rFonts w:hint="eastAsia"/>
          <w:b/>
          <w:bCs/>
          <w:szCs w:val="24"/>
        </w:rPr>
        <w:t>7</w:t>
      </w:r>
      <w:r>
        <w:rPr>
          <w:b/>
          <w:bCs/>
          <w:szCs w:val="24"/>
        </w:rPr>
        <w:t>.2.</w:t>
      </w:r>
      <w:r>
        <w:rPr>
          <w:rFonts w:hint="eastAsia"/>
          <w:b/>
          <w:bCs/>
          <w:szCs w:val="24"/>
        </w:rPr>
        <w:t xml:space="preserve">6 </w:t>
      </w:r>
      <w:r>
        <w:rPr>
          <w:rFonts w:hint="eastAsia"/>
          <w:szCs w:val="24"/>
        </w:rPr>
        <w:t xml:space="preserve"> </w:t>
      </w:r>
      <w:r>
        <w:rPr>
          <w:szCs w:val="24"/>
        </w:rPr>
        <w:t>既有建筑改造工程</w:t>
      </w:r>
      <w:r>
        <w:rPr>
          <w:rFonts w:hint="eastAsia"/>
          <w:szCs w:val="24"/>
        </w:rPr>
        <w:t>施工现场临时消防车道和救援场地可</w:t>
      </w:r>
      <w:r>
        <w:rPr>
          <w:szCs w:val="24"/>
        </w:rPr>
        <w:t>利用</w:t>
      </w:r>
      <w:r>
        <w:rPr>
          <w:rFonts w:hint="eastAsia"/>
          <w:szCs w:val="24"/>
        </w:rPr>
        <w:t>既</w:t>
      </w:r>
      <w:r>
        <w:rPr>
          <w:szCs w:val="24"/>
        </w:rPr>
        <w:t>有消防</w:t>
      </w:r>
      <w:r>
        <w:rPr>
          <w:rFonts w:hint="eastAsia"/>
          <w:szCs w:val="24"/>
        </w:rPr>
        <w:t>车道和</w:t>
      </w:r>
      <w:r>
        <w:rPr>
          <w:szCs w:val="24"/>
        </w:rPr>
        <w:t>救援场地</w:t>
      </w:r>
      <w:r>
        <w:rPr>
          <w:rFonts w:hint="eastAsia"/>
          <w:szCs w:val="24"/>
        </w:rPr>
        <w:t>。</w:t>
      </w:r>
    </w:p>
    <w:p w14:paraId="4EFA25BB">
      <w:pPr>
        <w:pStyle w:val="14"/>
        <w:widowControl/>
        <w:snapToGrid w:val="0"/>
        <w:spacing w:beforeAutospacing="0" w:afterAutospacing="0" w:line="360" w:lineRule="auto"/>
        <w:rPr>
          <w:b/>
          <w:bCs/>
          <w:strike/>
          <w:szCs w:val="24"/>
        </w:rPr>
      </w:pPr>
      <w:r>
        <w:rPr>
          <w:rFonts w:hint="eastAsia"/>
          <w:b/>
          <w:bCs/>
          <w:szCs w:val="24"/>
        </w:rPr>
        <w:t>7</w:t>
      </w:r>
      <w:r>
        <w:rPr>
          <w:b/>
          <w:bCs/>
          <w:szCs w:val="24"/>
        </w:rPr>
        <w:t>.2.</w:t>
      </w:r>
      <w:r>
        <w:rPr>
          <w:rFonts w:hint="eastAsia"/>
          <w:b/>
          <w:bCs/>
          <w:szCs w:val="24"/>
        </w:rPr>
        <w:t xml:space="preserve">7 </w:t>
      </w:r>
      <w:r>
        <w:rPr>
          <w:rFonts w:hint="eastAsia"/>
          <w:szCs w:val="24"/>
        </w:rPr>
        <w:t xml:space="preserve"> </w:t>
      </w:r>
      <w:r>
        <w:rPr>
          <w:szCs w:val="24"/>
        </w:rPr>
        <w:t>临时消防车道和救援场地应</w:t>
      </w:r>
      <w:r>
        <w:rPr>
          <w:rFonts w:hint="eastAsia"/>
          <w:szCs w:val="24"/>
        </w:rPr>
        <w:t>设明显标识，</w:t>
      </w:r>
      <w:r>
        <w:rPr>
          <w:szCs w:val="24"/>
        </w:rPr>
        <w:t>保持畅通，不得占用堵塞。</w:t>
      </w:r>
    </w:p>
    <w:p w14:paraId="6D8648FA">
      <w:pPr>
        <w:pStyle w:val="3"/>
        <w:widowControl/>
        <w:adjustRightInd/>
        <w:spacing w:before="0" w:after="0"/>
        <w:rPr>
          <w:rFonts w:ascii="Times New Roman" w:hAnsi="Times New Roman" w:cs="Times New Roman"/>
          <w:color w:val="auto"/>
          <w:sz w:val="24"/>
          <w:szCs w:val="24"/>
        </w:rPr>
      </w:pPr>
      <w:bookmarkStart w:id="615" w:name="_Toc14741"/>
      <w:r>
        <w:rPr>
          <w:rFonts w:hint="eastAsia" w:ascii="Times New Roman" w:hAnsi="Times New Roman" w:cs="Times New Roman"/>
          <w:color w:val="auto"/>
          <w:sz w:val="24"/>
          <w:szCs w:val="24"/>
        </w:rPr>
        <w:t>7</w:t>
      </w:r>
      <w:r>
        <w:rPr>
          <w:rFonts w:ascii="Times New Roman" w:hAnsi="Times New Roman" w:cs="Times New Roman"/>
          <w:color w:val="auto"/>
          <w:sz w:val="24"/>
          <w:szCs w:val="24"/>
        </w:rPr>
        <w:t>.3 消防设施</w:t>
      </w:r>
      <w:r>
        <w:rPr>
          <w:rFonts w:hint="eastAsia" w:ascii="Times New Roman" w:hAnsi="Times New Roman" w:cs="Times New Roman"/>
          <w:color w:val="auto"/>
          <w:sz w:val="24"/>
          <w:szCs w:val="24"/>
        </w:rPr>
        <w:t>器材</w:t>
      </w:r>
      <w:bookmarkEnd w:id="615"/>
    </w:p>
    <w:p w14:paraId="53AA9B0D">
      <w:pPr>
        <w:pStyle w:val="14"/>
        <w:widowControl/>
        <w:snapToGrid w:val="0"/>
        <w:spacing w:beforeAutospacing="0" w:afterAutospacing="0" w:line="360" w:lineRule="auto"/>
        <w:rPr>
          <w:szCs w:val="24"/>
        </w:rPr>
      </w:pPr>
      <w:r>
        <w:rPr>
          <w:rFonts w:hint="eastAsia"/>
          <w:b/>
          <w:bCs/>
          <w:szCs w:val="24"/>
        </w:rPr>
        <w:t>7</w:t>
      </w:r>
      <w:r>
        <w:rPr>
          <w:b/>
          <w:bCs/>
          <w:szCs w:val="24"/>
        </w:rPr>
        <w:t>.3.1</w:t>
      </w:r>
      <w:r>
        <w:rPr>
          <w:szCs w:val="24"/>
        </w:rPr>
        <w:t xml:space="preserve">  </w:t>
      </w:r>
      <w:r>
        <w:rPr>
          <w:rFonts w:hint="eastAsia"/>
          <w:szCs w:val="24"/>
        </w:rPr>
        <w:t>施工现场应配备充足消防设施器材并合理布置，</w:t>
      </w:r>
      <w:r>
        <w:rPr>
          <w:szCs w:val="24"/>
        </w:rPr>
        <w:t>设置位置</w:t>
      </w:r>
      <w:r>
        <w:rPr>
          <w:rFonts w:hint="eastAsia"/>
          <w:szCs w:val="24"/>
        </w:rPr>
        <w:t>应</w:t>
      </w:r>
      <w:r>
        <w:rPr>
          <w:szCs w:val="24"/>
        </w:rPr>
        <w:t>明显和便于取用，且不应影响人员安全疏散。</w:t>
      </w:r>
    </w:p>
    <w:p w14:paraId="530B21DB">
      <w:pPr>
        <w:pStyle w:val="14"/>
        <w:widowControl/>
        <w:snapToGrid w:val="0"/>
        <w:spacing w:beforeAutospacing="0" w:afterAutospacing="0" w:line="360" w:lineRule="auto"/>
        <w:rPr>
          <w:szCs w:val="24"/>
        </w:rPr>
      </w:pPr>
      <w:r>
        <w:rPr>
          <w:rFonts w:hint="eastAsia"/>
          <w:b/>
          <w:bCs/>
          <w:szCs w:val="24"/>
        </w:rPr>
        <w:t>7</w:t>
      </w:r>
      <w:r>
        <w:rPr>
          <w:b/>
          <w:bCs/>
          <w:szCs w:val="24"/>
        </w:rPr>
        <w:t>.3.</w:t>
      </w:r>
      <w:r>
        <w:rPr>
          <w:rFonts w:hint="eastAsia"/>
          <w:b/>
          <w:bCs/>
          <w:szCs w:val="24"/>
        </w:rPr>
        <w:t>2</w:t>
      </w:r>
      <w:r>
        <w:rPr>
          <w:szCs w:val="24"/>
        </w:rPr>
        <w:t xml:space="preserve">  施工现场</w:t>
      </w:r>
      <w:r>
        <w:rPr>
          <w:rFonts w:hint="eastAsia"/>
          <w:szCs w:val="24"/>
        </w:rPr>
        <w:t>应配备灭火器。</w:t>
      </w:r>
      <w:r>
        <w:rPr>
          <w:szCs w:val="24"/>
        </w:rPr>
        <w:t>灭火器配置应符合</w:t>
      </w:r>
      <w:r>
        <w:rPr>
          <w:rFonts w:hint="eastAsia"/>
          <w:szCs w:val="24"/>
        </w:rPr>
        <w:t>现行国家标准《建设工程施工</w:t>
      </w:r>
    </w:p>
    <w:p w14:paraId="6D1EAA1E">
      <w:pPr>
        <w:pStyle w:val="14"/>
        <w:widowControl/>
        <w:snapToGrid w:val="0"/>
        <w:spacing w:beforeAutospacing="0" w:afterAutospacing="0" w:line="360" w:lineRule="auto"/>
        <w:rPr>
          <w:b/>
          <w:bCs/>
          <w:szCs w:val="24"/>
        </w:rPr>
      </w:pPr>
      <w:r>
        <w:rPr>
          <w:rFonts w:hint="eastAsia"/>
          <w:szCs w:val="24"/>
        </w:rPr>
        <w:t>现场消防安全技术标准》GB/T 50720的相关规定。</w:t>
      </w:r>
    </w:p>
    <w:p w14:paraId="4C713FC0">
      <w:pPr>
        <w:pStyle w:val="14"/>
        <w:widowControl/>
        <w:snapToGrid w:val="0"/>
        <w:spacing w:beforeAutospacing="0" w:afterAutospacing="0" w:line="360" w:lineRule="auto"/>
        <w:rPr>
          <w:b/>
          <w:bCs/>
          <w:szCs w:val="24"/>
        </w:rPr>
      </w:pPr>
      <w:r>
        <w:rPr>
          <w:rFonts w:hint="eastAsia"/>
          <w:b/>
          <w:bCs/>
          <w:szCs w:val="24"/>
        </w:rPr>
        <w:t>7</w:t>
      </w:r>
      <w:r>
        <w:rPr>
          <w:b/>
          <w:bCs/>
          <w:szCs w:val="24"/>
        </w:rPr>
        <w:t>.3.</w:t>
      </w:r>
      <w:r>
        <w:rPr>
          <w:rFonts w:hint="eastAsia"/>
          <w:b/>
          <w:bCs/>
          <w:szCs w:val="24"/>
        </w:rPr>
        <w:t>3</w:t>
      </w:r>
      <w:r>
        <w:rPr>
          <w:rFonts w:hint="eastAsia"/>
          <w:szCs w:val="24"/>
        </w:rPr>
        <w:t xml:space="preserve">  易燃易爆物危险品的库房及料场、木工操作间、厨房、配电室、泵房等重要场所的灭火器数量不应少于4具。</w:t>
      </w:r>
    </w:p>
    <w:p w14:paraId="2FA79685">
      <w:pPr>
        <w:pStyle w:val="14"/>
        <w:widowControl/>
        <w:snapToGrid w:val="0"/>
        <w:spacing w:beforeAutospacing="0" w:afterAutospacing="0" w:line="360" w:lineRule="auto"/>
        <w:rPr>
          <w:szCs w:val="24"/>
        </w:rPr>
      </w:pPr>
      <w:r>
        <w:rPr>
          <w:rFonts w:hint="eastAsia"/>
          <w:b/>
          <w:bCs/>
          <w:szCs w:val="24"/>
        </w:rPr>
        <w:t>7</w:t>
      </w:r>
      <w:r>
        <w:rPr>
          <w:b/>
          <w:bCs/>
          <w:szCs w:val="24"/>
        </w:rPr>
        <w:t>.3.</w:t>
      </w:r>
      <w:r>
        <w:rPr>
          <w:rFonts w:hint="eastAsia"/>
          <w:b/>
          <w:bCs/>
          <w:szCs w:val="24"/>
        </w:rPr>
        <w:t>4</w:t>
      </w:r>
      <w:r>
        <w:rPr>
          <w:rFonts w:hint="eastAsia"/>
          <w:szCs w:val="24"/>
        </w:rPr>
        <w:t xml:space="preserve">  </w:t>
      </w:r>
      <w:r>
        <w:rPr>
          <w:szCs w:val="24"/>
        </w:rPr>
        <w:t>灭火器</w:t>
      </w:r>
      <w:r>
        <w:rPr>
          <w:rFonts w:hint="eastAsia"/>
          <w:szCs w:val="24"/>
        </w:rPr>
        <w:t>应设置在灭火器箱内，</w:t>
      </w:r>
      <w:r>
        <w:rPr>
          <w:szCs w:val="24"/>
        </w:rPr>
        <w:t>不应设置在可能超出其使用温度范围的场所。在同一灭火器配置场所，宜选用相同类型和操作方法的灭火器，当同一灭火器配置场所存在不同火灾种类时，应选用通用型灭火器。当选用两种或两种以上类型灭火器时，应采用灭火剂相容的灭火器。</w:t>
      </w:r>
    </w:p>
    <w:p w14:paraId="4B464A20">
      <w:pPr>
        <w:pStyle w:val="14"/>
        <w:widowControl/>
        <w:snapToGrid w:val="0"/>
        <w:spacing w:beforeAutospacing="0" w:afterAutospacing="0" w:line="360" w:lineRule="auto"/>
        <w:rPr>
          <w:szCs w:val="24"/>
        </w:rPr>
      </w:pPr>
      <w:r>
        <w:rPr>
          <w:rFonts w:hint="eastAsia"/>
          <w:b/>
          <w:bCs/>
          <w:szCs w:val="24"/>
        </w:rPr>
        <w:t>7</w:t>
      </w:r>
      <w:r>
        <w:rPr>
          <w:b/>
          <w:bCs/>
          <w:szCs w:val="24"/>
        </w:rPr>
        <w:t>.3.</w:t>
      </w:r>
      <w:r>
        <w:rPr>
          <w:rFonts w:hint="eastAsia"/>
          <w:b/>
          <w:bCs/>
          <w:szCs w:val="24"/>
        </w:rPr>
        <w:t>5</w:t>
      </w:r>
      <w:r>
        <w:rPr>
          <w:rFonts w:hint="eastAsia"/>
          <w:szCs w:val="24"/>
        </w:rPr>
        <w:t xml:space="preserve">  </w:t>
      </w:r>
      <w:r>
        <w:rPr>
          <w:szCs w:val="24"/>
        </w:rPr>
        <w:t>在建工程及临时用房的下列场所宜配置灭火毯</w:t>
      </w:r>
      <w:r>
        <w:rPr>
          <w:rFonts w:hint="eastAsia"/>
          <w:szCs w:val="24"/>
        </w:rPr>
        <w:t>，并应按说明书规范使用</w:t>
      </w:r>
      <w:r>
        <w:rPr>
          <w:szCs w:val="24"/>
        </w:rPr>
        <w:t>：</w:t>
      </w:r>
    </w:p>
    <w:p w14:paraId="62969759">
      <w:pPr>
        <w:widowControl/>
        <w:snapToGrid w:val="0"/>
        <w:spacing w:line="360" w:lineRule="auto"/>
        <w:ind w:firstLine="482" w:firstLineChars="200"/>
        <w:rPr>
          <w:sz w:val="24"/>
          <w:szCs w:val="24"/>
        </w:rPr>
      </w:pPr>
      <w:r>
        <w:rPr>
          <w:b/>
          <w:bCs/>
          <w:sz w:val="24"/>
          <w:szCs w:val="24"/>
        </w:rPr>
        <w:t>1</w:t>
      </w:r>
      <w:r>
        <w:rPr>
          <w:sz w:val="24"/>
          <w:szCs w:val="24"/>
        </w:rPr>
        <w:t xml:space="preserve"> 动火作业场所；</w:t>
      </w:r>
    </w:p>
    <w:p w14:paraId="4639167C">
      <w:pPr>
        <w:widowControl/>
        <w:snapToGrid w:val="0"/>
        <w:spacing w:line="360" w:lineRule="auto"/>
        <w:ind w:firstLine="482" w:firstLineChars="200"/>
        <w:rPr>
          <w:sz w:val="24"/>
          <w:szCs w:val="24"/>
        </w:rPr>
      </w:pPr>
      <w:r>
        <w:rPr>
          <w:b/>
          <w:bCs/>
          <w:sz w:val="24"/>
          <w:szCs w:val="24"/>
        </w:rPr>
        <w:t>2</w:t>
      </w:r>
      <w:r>
        <w:rPr>
          <w:sz w:val="24"/>
          <w:szCs w:val="24"/>
        </w:rPr>
        <w:t xml:space="preserve"> 可燃材料存放、加工及使用场所；</w:t>
      </w:r>
    </w:p>
    <w:p w14:paraId="17207521">
      <w:pPr>
        <w:widowControl/>
        <w:snapToGrid w:val="0"/>
        <w:spacing w:line="360" w:lineRule="auto"/>
        <w:ind w:firstLine="482" w:firstLineChars="200"/>
        <w:rPr>
          <w:sz w:val="24"/>
          <w:szCs w:val="24"/>
        </w:rPr>
      </w:pPr>
      <w:r>
        <w:rPr>
          <w:b/>
          <w:bCs/>
          <w:sz w:val="24"/>
          <w:szCs w:val="24"/>
        </w:rPr>
        <w:t>3</w:t>
      </w:r>
      <w:r>
        <w:rPr>
          <w:sz w:val="24"/>
          <w:szCs w:val="24"/>
        </w:rPr>
        <w:t xml:space="preserve"> 厨房操作间、办公用房、宿舍等临时用房</w:t>
      </w:r>
      <w:r>
        <w:rPr>
          <w:rFonts w:hint="eastAsia"/>
          <w:sz w:val="24"/>
          <w:szCs w:val="24"/>
        </w:rPr>
        <w:t>；</w:t>
      </w:r>
    </w:p>
    <w:p w14:paraId="533A43E9">
      <w:pPr>
        <w:widowControl/>
        <w:snapToGrid w:val="0"/>
        <w:spacing w:line="360" w:lineRule="auto"/>
        <w:ind w:firstLine="482" w:firstLineChars="200"/>
        <w:rPr>
          <w:sz w:val="24"/>
          <w:szCs w:val="24"/>
        </w:rPr>
      </w:pPr>
      <w:r>
        <w:rPr>
          <w:rFonts w:hint="eastAsia"/>
          <w:b/>
          <w:bCs/>
          <w:kern w:val="0"/>
          <w:sz w:val="24"/>
          <w:szCs w:val="24"/>
        </w:rPr>
        <w:t>4</w:t>
      </w:r>
      <w:r>
        <w:rPr>
          <w:rFonts w:hint="eastAsia"/>
          <w:sz w:val="24"/>
          <w:szCs w:val="24"/>
        </w:rPr>
        <w:t xml:space="preserve"> 其他具有火灾危险的场所。</w:t>
      </w:r>
    </w:p>
    <w:p w14:paraId="7D4C2213">
      <w:pPr>
        <w:pStyle w:val="14"/>
        <w:widowControl/>
        <w:snapToGrid w:val="0"/>
        <w:spacing w:beforeAutospacing="0" w:afterAutospacing="0" w:line="360" w:lineRule="auto"/>
        <w:rPr>
          <w:szCs w:val="24"/>
        </w:rPr>
      </w:pPr>
      <w:r>
        <w:rPr>
          <w:rFonts w:hint="eastAsia"/>
          <w:b/>
          <w:bCs/>
          <w:szCs w:val="24"/>
        </w:rPr>
        <w:t>7</w:t>
      </w:r>
      <w:r>
        <w:rPr>
          <w:b/>
          <w:bCs/>
          <w:szCs w:val="24"/>
        </w:rPr>
        <w:t>.3.</w:t>
      </w:r>
      <w:r>
        <w:rPr>
          <w:rFonts w:hint="eastAsia"/>
          <w:b/>
          <w:bCs/>
          <w:szCs w:val="24"/>
        </w:rPr>
        <w:t>6</w:t>
      </w:r>
      <w:r>
        <w:rPr>
          <w:rFonts w:hint="eastAsia"/>
          <w:szCs w:val="24"/>
        </w:rPr>
        <w:t xml:space="preserve">  施工现场应设临时消防给水系统。临时消防给水系统的消防水源的水量应充足、可靠。消防水源可采用天然水源、市政管网、消防水池（箱）。</w:t>
      </w:r>
    </w:p>
    <w:p w14:paraId="6CC42A56">
      <w:pPr>
        <w:pStyle w:val="14"/>
        <w:widowControl/>
        <w:snapToGrid w:val="0"/>
        <w:spacing w:beforeAutospacing="0" w:afterAutospacing="0" w:line="360" w:lineRule="auto"/>
        <w:rPr>
          <w:szCs w:val="24"/>
        </w:rPr>
      </w:pPr>
      <w:r>
        <w:rPr>
          <w:rFonts w:hint="eastAsia"/>
          <w:b/>
          <w:bCs/>
          <w:szCs w:val="24"/>
        </w:rPr>
        <w:t>7</w:t>
      </w:r>
      <w:r>
        <w:rPr>
          <w:b/>
          <w:bCs/>
          <w:szCs w:val="24"/>
        </w:rPr>
        <w:t>.3.</w:t>
      </w:r>
      <w:r>
        <w:rPr>
          <w:rFonts w:hint="eastAsia"/>
          <w:b/>
          <w:bCs/>
          <w:szCs w:val="24"/>
        </w:rPr>
        <w:t>7</w:t>
      </w:r>
      <w:r>
        <w:rPr>
          <w:rFonts w:hint="eastAsia"/>
          <w:szCs w:val="24"/>
        </w:rPr>
        <w:t xml:space="preserve">  室外地上消火栓栓口距地面的高度宜为450mm，并应设置防碰撞措施。室外地下消火栓栓口距井盖底面的距离不应大于400mm，且不应小于井盖的半径</w:t>
      </w:r>
      <w:r>
        <w:rPr>
          <w:rFonts w:hint="eastAsia"/>
          <w:b/>
          <w:bCs/>
          <w:szCs w:val="24"/>
        </w:rPr>
        <w:t>，</w:t>
      </w:r>
      <w:r>
        <w:rPr>
          <w:rFonts w:hint="eastAsia"/>
          <w:szCs w:val="24"/>
        </w:rPr>
        <w:t>消火栓井直径不宜小于1.5m，井盖宜使用铸铁井盖，并涂红色。室外消火栓处昼夜应有明显标志。</w:t>
      </w:r>
    </w:p>
    <w:p w14:paraId="3C9913C3">
      <w:pPr>
        <w:pStyle w:val="14"/>
        <w:widowControl/>
        <w:snapToGrid w:val="0"/>
        <w:spacing w:beforeAutospacing="0" w:afterAutospacing="0" w:line="360" w:lineRule="auto"/>
        <w:rPr>
          <w:b/>
          <w:bCs/>
          <w:szCs w:val="24"/>
        </w:rPr>
      </w:pPr>
      <w:r>
        <w:rPr>
          <w:rFonts w:hint="eastAsia"/>
          <w:b/>
          <w:bCs/>
          <w:szCs w:val="24"/>
        </w:rPr>
        <w:t>7</w:t>
      </w:r>
      <w:r>
        <w:rPr>
          <w:b/>
          <w:bCs/>
          <w:szCs w:val="24"/>
        </w:rPr>
        <w:t>.3.</w:t>
      </w:r>
      <w:r>
        <w:rPr>
          <w:rFonts w:hint="eastAsia"/>
          <w:b/>
          <w:bCs/>
          <w:szCs w:val="24"/>
        </w:rPr>
        <w:t>8</w:t>
      </w:r>
      <w:r>
        <w:rPr>
          <w:rFonts w:hint="eastAsia"/>
          <w:szCs w:val="24"/>
        </w:rPr>
        <w:t xml:space="preserve">  室内消火栓应设置在楼梯间、走道等明显、易于取用的位置。室内消火栓栓口距地面高度宜为1.1m，其出水方向应便于消防水带敷设，并宜与设置消火栓的墙面成90°角或向下。</w:t>
      </w:r>
    </w:p>
    <w:p w14:paraId="5797F6AE">
      <w:pPr>
        <w:pStyle w:val="14"/>
        <w:widowControl/>
        <w:snapToGrid w:val="0"/>
        <w:spacing w:beforeAutospacing="0" w:afterAutospacing="0" w:line="360" w:lineRule="auto"/>
        <w:rPr>
          <w:szCs w:val="24"/>
        </w:rPr>
      </w:pPr>
      <w:r>
        <w:rPr>
          <w:rFonts w:hint="eastAsia"/>
          <w:b/>
          <w:bCs/>
          <w:szCs w:val="24"/>
        </w:rPr>
        <w:t>7</w:t>
      </w:r>
      <w:r>
        <w:rPr>
          <w:b/>
          <w:bCs/>
          <w:szCs w:val="24"/>
        </w:rPr>
        <w:t>.3.</w:t>
      </w:r>
      <w:r>
        <w:rPr>
          <w:rFonts w:hint="eastAsia"/>
          <w:b/>
          <w:bCs/>
          <w:szCs w:val="24"/>
        </w:rPr>
        <w:t>9</w:t>
      </w:r>
      <w:r>
        <w:rPr>
          <w:rFonts w:hint="eastAsia"/>
          <w:szCs w:val="24"/>
        </w:rPr>
        <w:t xml:space="preserve">  消火栓处应配备有效开启工具和消防水带、消防水枪，消火栓周围3m内不得堆放物品。</w:t>
      </w:r>
    </w:p>
    <w:p w14:paraId="7BDF5F0D">
      <w:pPr>
        <w:pStyle w:val="14"/>
        <w:widowControl/>
        <w:snapToGrid w:val="0"/>
        <w:spacing w:beforeAutospacing="0" w:afterAutospacing="0" w:line="360" w:lineRule="auto"/>
        <w:rPr>
          <w:szCs w:val="24"/>
        </w:rPr>
      </w:pPr>
      <w:r>
        <w:rPr>
          <w:rFonts w:hint="eastAsia"/>
          <w:b/>
          <w:bCs/>
          <w:szCs w:val="24"/>
        </w:rPr>
        <w:t>7</w:t>
      </w:r>
      <w:r>
        <w:rPr>
          <w:b/>
          <w:bCs/>
          <w:szCs w:val="24"/>
        </w:rPr>
        <w:t>.3.</w:t>
      </w:r>
      <w:r>
        <w:rPr>
          <w:rFonts w:hint="eastAsia"/>
          <w:b/>
          <w:bCs/>
          <w:szCs w:val="24"/>
        </w:rPr>
        <w:t>10</w:t>
      </w:r>
      <w:r>
        <w:rPr>
          <w:rFonts w:hint="eastAsia"/>
          <w:szCs w:val="24"/>
        </w:rPr>
        <w:t xml:space="preserve">  </w:t>
      </w:r>
      <w:r>
        <w:rPr>
          <w:szCs w:val="24"/>
        </w:rPr>
        <w:t>消防管道应符合下列要求：</w:t>
      </w:r>
    </w:p>
    <w:p w14:paraId="434E80DD">
      <w:pPr>
        <w:widowControl/>
        <w:snapToGrid w:val="0"/>
        <w:spacing w:line="360" w:lineRule="auto"/>
        <w:ind w:firstLine="482" w:firstLineChars="200"/>
        <w:rPr>
          <w:sz w:val="24"/>
          <w:szCs w:val="24"/>
        </w:rPr>
      </w:pPr>
      <w:r>
        <w:rPr>
          <w:b/>
          <w:bCs/>
          <w:sz w:val="24"/>
          <w:szCs w:val="24"/>
        </w:rPr>
        <w:t>1</w:t>
      </w:r>
      <w:r>
        <w:rPr>
          <w:sz w:val="24"/>
          <w:szCs w:val="24"/>
        </w:rPr>
        <w:t xml:space="preserve"> 室</w:t>
      </w:r>
      <w:r>
        <w:rPr>
          <w:rFonts w:hint="eastAsia"/>
          <w:sz w:val="24"/>
          <w:szCs w:val="24"/>
        </w:rPr>
        <w:t>内、</w:t>
      </w:r>
      <w:r>
        <w:rPr>
          <w:sz w:val="24"/>
          <w:szCs w:val="24"/>
        </w:rPr>
        <w:t>外消防给水管道布设成环状的同时应合理设置阀门，设置的位置应可用于控制两路水源，当管网中某一段进行维修或发生故障时，其余管段</w:t>
      </w:r>
      <w:r>
        <w:rPr>
          <w:rFonts w:hint="eastAsia"/>
          <w:sz w:val="24"/>
          <w:szCs w:val="24"/>
        </w:rPr>
        <w:t>应</w:t>
      </w:r>
      <w:r>
        <w:rPr>
          <w:sz w:val="24"/>
          <w:szCs w:val="24"/>
        </w:rPr>
        <w:t>仍能保证消防用水量和用水压力；</w:t>
      </w:r>
    </w:p>
    <w:p w14:paraId="35B283F7">
      <w:pPr>
        <w:widowControl/>
        <w:snapToGrid w:val="0"/>
        <w:spacing w:line="360" w:lineRule="auto"/>
        <w:ind w:firstLine="482" w:firstLineChars="200"/>
        <w:rPr>
          <w:b/>
          <w:bCs/>
          <w:szCs w:val="24"/>
        </w:rPr>
      </w:pPr>
      <w:r>
        <w:rPr>
          <w:b/>
          <w:bCs/>
          <w:sz w:val="24"/>
          <w:szCs w:val="24"/>
        </w:rPr>
        <w:t>2</w:t>
      </w:r>
      <w:r>
        <w:rPr>
          <w:sz w:val="24"/>
          <w:szCs w:val="24"/>
        </w:rPr>
        <w:t xml:space="preserve"> </w:t>
      </w:r>
      <w:r>
        <w:rPr>
          <w:rFonts w:hint="eastAsia"/>
          <w:sz w:val="24"/>
          <w:szCs w:val="24"/>
        </w:rPr>
        <w:t>管道的埋地与架空设置应符合现行国家标准《消防给水及消火栓系统技术规范》GB 50974的相关规定</w:t>
      </w:r>
      <w:r>
        <w:rPr>
          <w:sz w:val="24"/>
          <w:szCs w:val="24"/>
        </w:rPr>
        <w:t>。</w:t>
      </w:r>
    </w:p>
    <w:p w14:paraId="1C7D60DE">
      <w:pPr>
        <w:pStyle w:val="14"/>
        <w:widowControl/>
        <w:snapToGrid w:val="0"/>
        <w:spacing w:beforeAutospacing="0" w:afterAutospacing="0" w:line="360" w:lineRule="auto"/>
        <w:rPr>
          <w:b/>
          <w:bCs/>
          <w:szCs w:val="24"/>
        </w:rPr>
      </w:pPr>
      <w:r>
        <w:rPr>
          <w:rFonts w:hint="eastAsia"/>
          <w:b/>
          <w:bCs/>
          <w:szCs w:val="24"/>
        </w:rPr>
        <w:t>7</w:t>
      </w:r>
      <w:r>
        <w:rPr>
          <w:b/>
          <w:bCs/>
          <w:szCs w:val="24"/>
        </w:rPr>
        <w:t>.3.1</w:t>
      </w:r>
      <w:r>
        <w:rPr>
          <w:rFonts w:hint="eastAsia"/>
          <w:b/>
          <w:bCs/>
          <w:szCs w:val="24"/>
        </w:rPr>
        <w:t>1</w:t>
      </w:r>
      <w:r>
        <w:rPr>
          <w:szCs w:val="24"/>
        </w:rPr>
        <w:t xml:space="preserve">  </w:t>
      </w:r>
      <w:r>
        <w:rPr>
          <w:rFonts w:hint="eastAsia"/>
          <w:szCs w:val="24"/>
        </w:rPr>
        <w:t>室内消防给水系统应设置水泵接合器，水泵接合器应设置在室内消防给水管网之上。</w:t>
      </w:r>
    </w:p>
    <w:p w14:paraId="10F9D8BA">
      <w:pPr>
        <w:pStyle w:val="14"/>
        <w:widowControl/>
        <w:snapToGrid w:val="0"/>
        <w:spacing w:beforeAutospacing="0" w:afterAutospacing="0" w:line="360" w:lineRule="auto"/>
        <w:rPr>
          <w:szCs w:val="24"/>
        </w:rPr>
      </w:pPr>
      <w:r>
        <w:rPr>
          <w:rFonts w:hint="eastAsia"/>
          <w:b/>
          <w:bCs/>
          <w:szCs w:val="24"/>
        </w:rPr>
        <w:t>7</w:t>
      </w:r>
      <w:r>
        <w:rPr>
          <w:b/>
          <w:bCs/>
          <w:szCs w:val="24"/>
        </w:rPr>
        <w:t>.3.</w:t>
      </w:r>
      <w:r>
        <w:rPr>
          <w:rFonts w:hint="eastAsia"/>
          <w:b/>
          <w:bCs/>
          <w:szCs w:val="24"/>
        </w:rPr>
        <w:t>12</w:t>
      </w:r>
      <w:r>
        <w:rPr>
          <w:rFonts w:hint="eastAsia"/>
          <w:szCs w:val="24"/>
        </w:rPr>
        <w:t xml:space="preserve">  施工现场</w:t>
      </w:r>
      <w:r>
        <w:rPr>
          <w:szCs w:val="24"/>
        </w:rPr>
        <w:t>消防水池（箱）应符合下列规定：</w:t>
      </w:r>
    </w:p>
    <w:p w14:paraId="5BFC1443">
      <w:pPr>
        <w:widowControl/>
        <w:snapToGrid w:val="0"/>
        <w:spacing w:line="360" w:lineRule="auto"/>
        <w:ind w:firstLine="482" w:firstLineChars="200"/>
        <w:rPr>
          <w:sz w:val="24"/>
          <w:szCs w:val="24"/>
        </w:rPr>
      </w:pPr>
      <w:r>
        <w:rPr>
          <w:b/>
          <w:bCs/>
          <w:sz w:val="24"/>
          <w:szCs w:val="24"/>
        </w:rPr>
        <w:t>1</w:t>
      </w:r>
      <w:r>
        <w:rPr>
          <w:sz w:val="24"/>
          <w:szCs w:val="24"/>
        </w:rPr>
        <w:t xml:space="preserve"> 消防水池（箱）的出水管应保证消防水池有效容积内的水能被全部利用；</w:t>
      </w:r>
    </w:p>
    <w:p w14:paraId="70A22D1F">
      <w:pPr>
        <w:widowControl/>
        <w:snapToGrid w:val="0"/>
        <w:spacing w:line="360" w:lineRule="auto"/>
        <w:ind w:firstLine="482" w:firstLineChars="200"/>
        <w:rPr>
          <w:sz w:val="24"/>
          <w:szCs w:val="24"/>
        </w:rPr>
      </w:pPr>
      <w:r>
        <w:rPr>
          <w:b/>
          <w:bCs/>
          <w:sz w:val="24"/>
          <w:szCs w:val="24"/>
        </w:rPr>
        <w:t>2</w:t>
      </w:r>
      <w:r>
        <w:rPr>
          <w:sz w:val="24"/>
          <w:szCs w:val="24"/>
        </w:rPr>
        <w:t xml:space="preserve"> 消防水池（箱）应设置最低水位显示装置；</w:t>
      </w:r>
    </w:p>
    <w:p w14:paraId="18A9F5DA">
      <w:pPr>
        <w:widowControl/>
        <w:snapToGrid w:val="0"/>
        <w:spacing w:line="360" w:lineRule="auto"/>
        <w:ind w:firstLine="482" w:firstLineChars="200"/>
        <w:rPr>
          <w:sz w:val="24"/>
          <w:szCs w:val="24"/>
        </w:rPr>
      </w:pPr>
      <w:r>
        <w:rPr>
          <w:b/>
          <w:bCs/>
          <w:sz w:val="24"/>
          <w:szCs w:val="24"/>
        </w:rPr>
        <w:t>3</w:t>
      </w:r>
      <w:r>
        <w:rPr>
          <w:sz w:val="24"/>
          <w:szCs w:val="24"/>
        </w:rPr>
        <w:t xml:space="preserve"> 消防水池（箱）应设置溢流水管和排水设施</w:t>
      </w:r>
      <w:r>
        <w:rPr>
          <w:rFonts w:hint="eastAsia"/>
          <w:sz w:val="24"/>
          <w:szCs w:val="24"/>
        </w:rPr>
        <w:t>；</w:t>
      </w:r>
    </w:p>
    <w:p w14:paraId="4B495BC6">
      <w:pPr>
        <w:widowControl/>
        <w:snapToGrid w:val="0"/>
        <w:spacing w:line="360" w:lineRule="auto"/>
        <w:ind w:firstLine="482" w:firstLineChars="200"/>
        <w:rPr>
          <w:szCs w:val="24"/>
        </w:rPr>
      </w:pPr>
      <w:r>
        <w:rPr>
          <w:rFonts w:hint="eastAsia"/>
          <w:b/>
          <w:bCs/>
          <w:sz w:val="24"/>
          <w:szCs w:val="24"/>
        </w:rPr>
        <w:t>4</w:t>
      </w:r>
      <w:r>
        <w:rPr>
          <w:rFonts w:hint="eastAsia"/>
          <w:sz w:val="24"/>
          <w:szCs w:val="24"/>
        </w:rPr>
        <w:t xml:space="preserve"> 与生产、生活或其他用水合用时，消防水池（箱）应设置消防用水不被挪作他用的技术措施。</w:t>
      </w:r>
    </w:p>
    <w:p w14:paraId="5852A1E1">
      <w:pPr>
        <w:pStyle w:val="14"/>
        <w:widowControl/>
        <w:snapToGrid w:val="0"/>
        <w:spacing w:beforeAutospacing="0" w:afterAutospacing="0" w:line="360" w:lineRule="auto"/>
        <w:rPr>
          <w:b/>
          <w:bCs/>
          <w:szCs w:val="24"/>
        </w:rPr>
      </w:pPr>
      <w:r>
        <w:rPr>
          <w:rFonts w:hint="eastAsia"/>
          <w:b/>
          <w:bCs/>
          <w:szCs w:val="24"/>
        </w:rPr>
        <w:t>7</w:t>
      </w:r>
      <w:r>
        <w:rPr>
          <w:b/>
          <w:bCs/>
          <w:szCs w:val="24"/>
        </w:rPr>
        <w:t>.3.1</w:t>
      </w:r>
      <w:r>
        <w:rPr>
          <w:rFonts w:hint="eastAsia"/>
          <w:b/>
          <w:bCs/>
          <w:szCs w:val="24"/>
        </w:rPr>
        <w:t>3</w:t>
      </w:r>
      <w:r>
        <w:rPr>
          <w:szCs w:val="24"/>
        </w:rPr>
        <w:t xml:space="preserve">  既有建筑改造工程</w:t>
      </w:r>
      <w:r>
        <w:rPr>
          <w:rFonts w:hint="eastAsia"/>
          <w:szCs w:val="24"/>
        </w:rPr>
        <w:t>施工现场可利用既有建筑消防给水系统作为施工现场临时消防给水系统；既有建筑未设置消防给水系统的，应按照本规程及现行国家标准《建设工程施工现场消防安全技术标准》GB/T 50720的相关规定，设置临时消防给水系统。</w:t>
      </w:r>
    </w:p>
    <w:p w14:paraId="7519249A">
      <w:pPr>
        <w:pStyle w:val="14"/>
        <w:widowControl/>
        <w:snapToGrid w:val="0"/>
        <w:spacing w:beforeAutospacing="0" w:afterAutospacing="0" w:line="360" w:lineRule="auto"/>
        <w:rPr>
          <w:szCs w:val="24"/>
        </w:rPr>
      </w:pPr>
      <w:r>
        <w:rPr>
          <w:rFonts w:hint="eastAsia"/>
          <w:b/>
          <w:bCs/>
          <w:szCs w:val="24"/>
        </w:rPr>
        <w:t>7</w:t>
      </w:r>
      <w:r>
        <w:rPr>
          <w:b/>
          <w:bCs/>
          <w:szCs w:val="24"/>
        </w:rPr>
        <w:t>.3.1</w:t>
      </w:r>
      <w:r>
        <w:rPr>
          <w:rFonts w:hint="eastAsia"/>
          <w:b/>
          <w:bCs/>
          <w:szCs w:val="24"/>
        </w:rPr>
        <w:t>4</w:t>
      </w:r>
      <w:r>
        <w:rPr>
          <w:szCs w:val="24"/>
        </w:rPr>
        <w:t xml:space="preserve">  </w:t>
      </w:r>
      <w:r>
        <w:rPr>
          <w:rFonts w:hint="eastAsia"/>
          <w:szCs w:val="24"/>
        </w:rPr>
        <w:t>市政基础设施工程的施工现场宜至少设置一辆洒水车为临时消防车，洒水车的有效容积不宜小于10m³，并根据工程规模及火灾风险增设车辆数量。</w:t>
      </w:r>
    </w:p>
    <w:p w14:paraId="609E2F6A">
      <w:pPr>
        <w:pStyle w:val="14"/>
        <w:widowControl/>
        <w:snapToGrid w:val="0"/>
        <w:spacing w:beforeAutospacing="0" w:afterAutospacing="0" w:line="360" w:lineRule="auto"/>
        <w:rPr>
          <w:szCs w:val="24"/>
        </w:rPr>
      </w:pPr>
      <w:r>
        <w:rPr>
          <w:rFonts w:hint="eastAsia"/>
          <w:b/>
          <w:bCs/>
          <w:szCs w:val="24"/>
        </w:rPr>
        <w:t>7</w:t>
      </w:r>
      <w:r>
        <w:rPr>
          <w:b/>
          <w:bCs/>
          <w:szCs w:val="24"/>
        </w:rPr>
        <w:t>.3.1</w:t>
      </w:r>
      <w:r>
        <w:rPr>
          <w:rFonts w:hint="eastAsia"/>
          <w:b/>
          <w:bCs/>
          <w:szCs w:val="24"/>
        </w:rPr>
        <w:t>5</w:t>
      </w:r>
      <w:r>
        <w:rPr>
          <w:szCs w:val="24"/>
        </w:rPr>
        <w:t xml:space="preserve">  施工现场应设置消防安全标志。消防安全标志的设置应符合现行国家标准《</w:t>
      </w:r>
      <w:r>
        <w:rPr>
          <w:rFonts w:hint="eastAsia"/>
          <w:szCs w:val="24"/>
        </w:rPr>
        <w:t>消防安全标志 第1部分：标志</w:t>
      </w:r>
      <w:r>
        <w:rPr>
          <w:szCs w:val="24"/>
        </w:rPr>
        <w:t>》GB 13495</w:t>
      </w:r>
      <w:r>
        <w:rPr>
          <w:rFonts w:hint="eastAsia"/>
          <w:szCs w:val="24"/>
          <w:lang w:val="en-US" w:eastAsia="zh-CN"/>
        </w:rPr>
        <w:t>.1</w:t>
      </w:r>
      <w:r>
        <w:rPr>
          <w:szCs w:val="24"/>
        </w:rPr>
        <w:t>、《消防安全标志 第3部分：设置要求》GB13495.3和现行地方标准《消防安全疏散标志设置标准》DB11/T 1024的</w:t>
      </w:r>
      <w:r>
        <w:rPr>
          <w:rFonts w:hint="eastAsia"/>
          <w:szCs w:val="24"/>
        </w:rPr>
        <w:t>相关</w:t>
      </w:r>
      <w:r>
        <w:rPr>
          <w:szCs w:val="24"/>
        </w:rPr>
        <w:t>规定。</w:t>
      </w:r>
    </w:p>
    <w:p w14:paraId="2F8DDEEF">
      <w:pPr>
        <w:pStyle w:val="14"/>
        <w:widowControl/>
        <w:snapToGrid w:val="0"/>
        <w:spacing w:beforeAutospacing="0" w:afterAutospacing="0" w:line="360" w:lineRule="auto"/>
        <w:rPr>
          <w:szCs w:val="24"/>
        </w:rPr>
      </w:pPr>
      <w:r>
        <w:rPr>
          <w:rFonts w:hint="eastAsia"/>
          <w:b/>
          <w:bCs/>
          <w:szCs w:val="24"/>
        </w:rPr>
        <w:t>7</w:t>
      </w:r>
      <w:r>
        <w:rPr>
          <w:b/>
          <w:bCs/>
          <w:szCs w:val="24"/>
        </w:rPr>
        <w:t>.3.</w:t>
      </w:r>
      <w:r>
        <w:rPr>
          <w:rFonts w:hint="eastAsia"/>
          <w:b/>
          <w:bCs/>
          <w:szCs w:val="24"/>
        </w:rPr>
        <w:t xml:space="preserve">16 </w:t>
      </w:r>
      <w:r>
        <w:rPr>
          <w:rFonts w:hint="eastAsia"/>
          <w:szCs w:val="24"/>
        </w:rPr>
        <w:t xml:space="preserve"> </w:t>
      </w:r>
      <w:r>
        <w:rPr>
          <w:szCs w:val="24"/>
        </w:rPr>
        <w:t>消防安全标志应设置在醒目位置，不得遮挡和随意挪动</w:t>
      </w:r>
      <w:r>
        <w:rPr>
          <w:rFonts w:hint="eastAsia"/>
          <w:szCs w:val="24"/>
        </w:rPr>
        <w:t>。</w:t>
      </w:r>
    </w:p>
    <w:p w14:paraId="70AE401A">
      <w:pPr>
        <w:spacing w:line="360" w:lineRule="auto"/>
        <w:jc w:val="center"/>
        <w:outlineLvl w:val="1"/>
        <w:rPr>
          <w:b/>
          <w:bCs/>
          <w:sz w:val="24"/>
          <w:szCs w:val="24"/>
        </w:rPr>
      </w:pPr>
      <w:bookmarkStart w:id="616" w:name="_Toc10041"/>
      <w:r>
        <w:rPr>
          <w:rFonts w:hint="eastAsia"/>
          <w:b/>
          <w:bCs/>
          <w:sz w:val="24"/>
          <w:szCs w:val="24"/>
        </w:rPr>
        <w:t>7</w:t>
      </w:r>
      <w:r>
        <w:rPr>
          <w:b/>
          <w:bCs/>
          <w:sz w:val="24"/>
          <w:szCs w:val="24"/>
        </w:rPr>
        <w:t>.4</w:t>
      </w:r>
      <w:r>
        <w:rPr>
          <w:rFonts w:hint="eastAsia"/>
          <w:b/>
          <w:bCs/>
          <w:sz w:val="24"/>
          <w:szCs w:val="24"/>
        </w:rPr>
        <w:t xml:space="preserve"> 临时用房、设施防火</w:t>
      </w:r>
      <w:bookmarkEnd w:id="616"/>
    </w:p>
    <w:p w14:paraId="67DE1802">
      <w:pPr>
        <w:spacing w:line="360" w:lineRule="auto"/>
        <w:rPr>
          <w:sz w:val="24"/>
          <w:szCs w:val="24"/>
        </w:rPr>
      </w:pPr>
      <w:r>
        <w:rPr>
          <w:rFonts w:hint="eastAsia"/>
          <w:b/>
          <w:bCs/>
          <w:sz w:val="24"/>
          <w:szCs w:val="24"/>
        </w:rPr>
        <w:t xml:space="preserve">7.4.1  </w:t>
      </w:r>
      <w:r>
        <w:rPr>
          <w:rFonts w:hint="eastAsia" w:ascii="宋体" w:hAnsi="宋体" w:cs="宋体"/>
          <w:sz w:val="24"/>
          <w:szCs w:val="24"/>
        </w:rPr>
        <w:t>临时用房应采取防火分隔和安全疏散等防火技术措施，防火设计应符合现行地方标准《施工现场临建房屋应用技术标准》DB11/T 693的相关规定。</w:t>
      </w:r>
    </w:p>
    <w:p w14:paraId="4E4BFA97">
      <w:pPr>
        <w:pStyle w:val="14"/>
        <w:widowControl/>
        <w:snapToGrid w:val="0"/>
        <w:spacing w:beforeAutospacing="0" w:afterAutospacing="0" w:line="360" w:lineRule="auto"/>
        <w:rPr>
          <w:rFonts w:hint="eastAsia" w:ascii="宋体" w:hAnsi="宋体" w:cs="宋体"/>
          <w:szCs w:val="24"/>
        </w:rPr>
      </w:pPr>
      <w:r>
        <w:rPr>
          <w:rFonts w:hint="eastAsia"/>
          <w:b/>
          <w:bCs/>
          <w:szCs w:val="24"/>
        </w:rPr>
        <w:t xml:space="preserve">7.4.2  </w:t>
      </w:r>
      <w:r>
        <w:rPr>
          <w:rFonts w:hint="eastAsia" w:ascii="宋体" w:hAnsi="宋体" w:cs="宋体"/>
          <w:szCs w:val="24"/>
        </w:rPr>
        <w:t>临时用房的装饰装修应符合现行国家标准《建筑内部装修设计防火规范》GB 50222的相关规定。既有建筑作为临时办公、生活场所的，场所应符合现行国家标准《建筑设计防火规范》GB 50016的相关规定。</w:t>
      </w:r>
    </w:p>
    <w:p w14:paraId="53D941FB">
      <w:pPr>
        <w:pStyle w:val="14"/>
        <w:widowControl/>
        <w:snapToGrid w:val="0"/>
        <w:spacing w:beforeAutospacing="0" w:afterAutospacing="0" w:line="360" w:lineRule="auto"/>
        <w:rPr>
          <w:rFonts w:hint="eastAsia" w:ascii="宋体" w:hAnsi="宋体" w:cs="宋体"/>
          <w:szCs w:val="24"/>
        </w:rPr>
      </w:pPr>
      <w:r>
        <w:rPr>
          <w:rFonts w:hint="eastAsia"/>
          <w:b/>
          <w:bCs/>
          <w:szCs w:val="24"/>
        </w:rPr>
        <w:t xml:space="preserve">7.4.3  </w:t>
      </w:r>
      <w:r>
        <w:rPr>
          <w:rFonts w:hint="eastAsia" w:ascii="宋体" w:hAnsi="宋体" w:cs="宋体"/>
          <w:szCs w:val="24"/>
        </w:rPr>
        <w:t>临时用房宜设置自动喷水灭火系统。</w:t>
      </w:r>
    </w:p>
    <w:p w14:paraId="50C50CD4">
      <w:pPr>
        <w:pStyle w:val="14"/>
        <w:widowControl/>
        <w:snapToGrid w:val="0"/>
        <w:spacing w:beforeAutospacing="0" w:afterAutospacing="0" w:line="360" w:lineRule="auto"/>
        <w:rPr>
          <w:rFonts w:hint="eastAsia" w:ascii="宋体" w:hAnsi="宋体" w:cs="宋体"/>
          <w:szCs w:val="24"/>
        </w:rPr>
      </w:pPr>
      <w:r>
        <w:rPr>
          <w:rFonts w:hint="eastAsia"/>
          <w:b/>
          <w:bCs/>
          <w:szCs w:val="24"/>
        </w:rPr>
        <w:t xml:space="preserve">7.4.4  </w:t>
      </w:r>
      <w:r>
        <w:rPr>
          <w:rFonts w:hint="eastAsia" w:ascii="宋体" w:hAnsi="宋体" w:cs="宋体"/>
          <w:szCs w:val="24"/>
        </w:rPr>
        <w:t>生活区、办公区等临时用房的疏散门、安全出口、疏散楼梯、疏散通道等应标志明显、保持畅通、符合紧急疏散要求。</w:t>
      </w:r>
    </w:p>
    <w:p w14:paraId="328A0845">
      <w:pPr>
        <w:pStyle w:val="14"/>
        <w:widowControl/>
        <w:snapToGrid w:val="0"/>
        <w:spacing w:beforeAutospacing="0" w:afterAutospacing="0" w:line="360" w:lineRule="auto"/>
        <w:rPr>
          <w:rFonts w:hint="eastAsia" w:ascii="宋体" w:hAnsi="宋体" w:cs="宋体"/>
          <w:szCs w:val="24"/>
        </w:rPr>
      </w:pPr>
      <w:r>
        <w:rPr>
          <w:rFonts w:hint="eastAsia"/>
          <w:b/>
          <w:bCs/>
          <w:szCs w:val="24"/>
        </w:rPr>
        <w:t xml:space="preserve">7.4.5  </w:t>
      </w:r>
      <w:r>
        <w:rPr>
          <w:rFonts w:hint="eastAsia" w:ascii="宋体" w:hAnsi="宋体" w:cs="宋体"/>
          <w:szCs w:val="24"/>
        </w:rPr>
        <w:t>宿舍层数为三层或宿舍楼外沿长度超过30m时，宜增设紧急逃生设施；宿舍的门窗不得设置影响逃生和灭火救援的障碍物；宿舍内应设置感烟火灾报警器。</w:t>
      </w:r>
    </w:p>
    <w:p w14:paraId="746BFE14">
      <w:pPr>
        <w:spacing w:line="360" w:lineRule="auto"/>
        <w:rPr>
          <w:rFonts w:hint="eastAsia" w:ascii="宋体" w:hAnsi="宋体" w:cs="宋体"/>
          <w:sz w:val="24"/>
          <w:szCs w:val="24"/>
        </w:rPr>
      </w:pPr>
      <w:r>
        <w:rPr>
          <w:rFonts w:hint="eastAsia"/>
          <w:b/>
          <w:bCs/>
          <w:kern w:val="0"/>
          <w:sz w:val="24"/>
          <w:szCs w:val="24"/>
        </w:rPr>
        <w:t xml:space="preserve">7.4.6  </w:t>
      </w:r>
      <w:r>
        <w:rPr>
          <w:rFonts w:hint="eastAsia" w:ascii="宋体" w:hAnsi="宋体" w:cs="宋体"/>
          <w:sz w:val="24"/>
          <w:szCs w:val="24"/>
        </w:rPr>
        <w:t>食堂应使用电炊具，设置油烟净化装置，排油烟道应采用不燃材料建造，定期维护保养，集烟罩和烟道入口处应每日清洗，排油烟管道应由专业人员每60日清理1次。厨房墙体的耐火极限不应低于0.50h，厨房灶具、烟道等高温部位应采用防火隔热措施。</w:t>
      </w:r>
    </w:p>
    <w:p w14:paraId="6DFF3C40">
      <w:pPr>
        <w:spacing w:line="360" w:lineRule="auto"/>
        <w:rPr>
          <w:rFonts w:hint="eastAsia" w:ascii="宋体" w:hAnsi="宋体" w:cs="宋体"/>
          <w:strike/>
          <w:color w:val="FF0000"/>
          <w:sz w:val="24"/>
          <w:szCs w:val="24"/>
        </w:rPr>
      </w:pPr>
      <w:r>
        <w:rPr>
          <w:rFonts w:hint="eastAsia"/>
          <w:b/>
          <w:bCs/>
          <w:sz w:val="24"/>
          <w:szCs w:val="24"/>
        </w:rPr>
        <w:t xml:space="preserve">7.4.7 </w:t>
      </w:r>
      <w:r>
        <w:rPr>
          <w:rFonts w:hint="eastAsia"/>
          <w:b/>
          <w:bCs/>
          <w:szCs w:val="24"/>
        </w:rPr>
        <w:t xml:space="preserve"> </w:t>
      </w:r>
      <w:r>
        <w:rPr>
          <w:rFonts w:hint="eastAsia"/>
          <w:sz w:val="24"/>
          <w:szCs w:val="24"/>
        </w:rPr>
        <w:t>材料存放及各类</w:t>
      </w:r>
      <w:r>
        <w:rPr>
          <w:rFonts w:hint="eastAsia" w:ascii="宋体" w:hAnsi="宋体" w:cs="宋体"/>
          <w:sz w:val="24"/>
          <w:szCs w:val="24"/>
        </w:rPr>
        <w:t>加工区域应单独设置，采用不燃材质设置防火分隔。</w:t>
      </w:r>
    </w:p>
    <w:p w14:paraId="73B74E2B">
      <w:pPr>
        <w:pStyle w:val="3"/>
        <w:widowControl/>
        <w:adjustRightInd/>
        <w:spacing w:before="0" w:after="0"/>
        <w:rPr>
          <w:rFonts w:ascii="Times New Roman" w:hAnsi="Times New Roman" w:cs="Times New Roman"/>
          <w:color w:val="auto"/>
          <w:sz w:val="24"/>
          <w:szCs w:val="24"/>
        </w:rPr>
      </w:pPr>
      <w:bookmarkStart w:id="617" w:name="_Toc21399"/>
      <w:r>
        <w:rPr>
          <w:rFonts w:hint="eastAsia" w:ascii="Times New Roman" w:hAnsi="Times New Roman" w:cs="Times New Roman"/>
          <w:color w:val="auto"/>
          <w:sz w:val="24"/>
          <w:szCs w:val="24"/>
        </w:rPr>
        <w:t>7</w:t>
      </w:r>
      <w:r>
        <w:rPr>
          <w:rFonts w:ascii="Times New Roman" w:hAnsi="Times New Roman" w:cs="Times New Roman"/>
          <w:color w:val="auto"/>
          <w:sz w:val="24"/>
          <w:szCs w:val="24"/>
        </w:rPr>
        <w:t>.</w:t>
      </w:r>
      <w:r>
        <w:rPr>
          <w:rFonts w:hint="eastAsia" w:ascii="Times New Roman" w:hAnsi="Times New Roman" w:cs="Times New Roman"/>
          <w:color w:val="auto"/>
          <w:sz w:val="24"/>
          <w:szCs w:val="24"/>
        </w:rPr>
        <w:t>5 动火作业</w:t>
      </w:r>
      <w:bookmarkEnd w:id="617"/>
    </w:p>
    <w:p w14:paraId="5A3ECF9D">
      <w:pPr>
        <w:pStyle w:val="14"/>
        <w:widowControl/>
        <w:snapToGrid w:val="0"/>
        <w:spacing w:beforeAutospacing="0" w:afterAutospacing="0" w:line="360" w:lineRule="auto"/>
        <w:rPr>
          <w:rFonts w:hint="eastAsia" w:ascii="宋体" w:hAnsi="宋体" w:cs="宋体"/>
          <w:szCs w:val="24"/>
        </w:rPr>
      </w:pPr>
      <w:r>
        <w:rPr>
          <w:rFonts w:hint="eastAsia"/>
          <w:b/>
          <w:bCs/>
          <w:szCs w:val="24"/>
        </w:rPr>
        <w:t xml:space="preserve">7.5.1  </w:t>
      </w:r>
      <w:r>
        <w:rPr>
          <w:rFonts w:hint="eastAsia" w:ascii="宋体" w:hAnsi="宋体" w:cs="宋体"/>
          <w:szCs w:val="24"/>
        </w:rPr>
        <w:t>施工单位应建立动火作业安全管理制度，制定动火作业方案，明确管理部门和管理责任人，严格动火作业内部审批。动火作业审批应明确动火作业内容、作业风险、作业地点、作业时长、审批有效期、动火操作人员、监护人员、现场管控和应急处置措施等内容。</w:t>
      </w:r>
    </w:p>
    <w:p w14:paraId="36AFADF3">
      <w:pPr>
        <w:spacing w:line="360" w:lineRule="auto"/>
        <w:rPr>
          <w:b/>
          <w:bCs/>
          <w:sz w:val="24"/>
          <w:szCs w:val="24"/>
        </w:rPr>
      </w:pPr>
      <w:r>
        <w:rPr>
          <w:rFonts w:hint="eastAsia"/>
          <w:b/>
          <w:bCs/>
          <w:sz w:val="24"/>
          <w:szCs w:val="24"/>
        </w:rPr>
        <w:t xml:space="preserve">7.5.2  </w:t>
      </w:r>
      <w:r>
        <w:rPr>
          <w:rFonts w:hint="eastAsia" w:ascii="宋体" w:hAnsi="宋体"/>
          <w:sz w:val="24"/>
          <w:szCs w:val="24"/>
        </w:rPr>
        <w:t>动火作业前，应对动火作业现场及附近的可燃易燃物进行清理；作业现场及其附近无法移走的可燃物，应采用不燃材料对其覆盖或隔离；对于焊接、切割作业产生的火花、焊渣等高温熔融物，应在作业点下方及周围设置不燃材料制作的接火斗或使用不燃材料进行防火封围；动火点下方及附近的管道、桥架、孔洞、沟井等，应采用不燃材料进行封盖或隔离。</w:t>
      </w:r>
    </w:p>
    <w:p w14:paraId="0CB11D0B">
      <w:pPr>
        <w:spacing w:line="360" w:lineRule="auto"/>
        <w:rPr>
          <w:rFonts w:hint="eastAsia" w:ascii="宋体" w:hAnsi="宋体" w:cs="宋体"/>
          <w:sz w:val="24"/>
          <w:szCs w:val="24"/>
        </w:rPr>
      </w:pPr>
      <w:r>
        <w:rPr>
          <w:rFonts w:hint="eastAsia"/>
          <w:b/>
          <w:bCs/>
          <w:sz w:val="24"/>
          <w:szCs w:val="24"/>
        </w:rPr>
        <w:t xml:space="preserve">7.5.3  </w:t>
      </w:r>
      <w:r>
        <w:rPr>
          <w:rFonts w:hint="eastAsia" w:ascii="宋体" w:hAnsi="宋体" w:cs="宋体"/>
          <w:sz w:val="24"/>
          <w:szCs w:val="24"/>
        </w:rPr>
        <w:t xml:space="preserve">动火审批时，动火许可签发人应查验动火作业现场安全条件，确认防火措施落实后，再签发动火许可证，并进行“企安安”动火报备。 </w:t>
      </w:r>
      <w:r>
        <w:rPr>
          <w:rFonts w:hint="eastAsia" w:ascii="宋体" w:hAnsi="宋体"/>
          <w:sz w:val="24"/>
          <w:szCs w:val="24"/>
        </w:rPr>
        <w:t>施工8小时以外时间、节假日及重大活动服务保障期间动火作业的应提级审批、提级管理。</w:t>
      </w:r>
    </w:p>
    <w:p w14:paraId="01B3F9B4">
      <w:pPr>
        <w:spacing w:line="360" w:lineRule="auto"/>
        <w:rPr>
          <w:rFonts w:hint="eastAsia" w:ascii="宋体" w:hAnsi="宋体"/>
          <w:sz w:val="24"/>
          <w:szCs w:val="24"/>
        </w:rPr>
      </w:pPr>
      <w:r>
        <w:rPr>
          <w:rFonts w:hint="eastAsia"/>
          <w:b/>
          <w:bCs/>
          <w:sz w:val="24"/>
          <w:szCs w:val="24"/>
        </w:rPr>
        <w:t>7.5.4</w:t>
      </w:r>
      <w:r>
        <w:rPr>
          <w:rFonts w:hint="eastAsia" w:ascii="宋体" w:hAnsi="宋体"/>
          <w:sz w:val="24"/>
          <w:szCs w:val="24"/>
        </w:rPr>
        <w:t xml:space="preserve">  动火人员在取得动火证后应在指定地点、规定时间内作业，用火地点变更、作业环境发生变化、动火监护人有调整时，应重新办理动火许可证。</w:t>
      </w:r>
    </w:p>
    <w:p w14:paraId="707F2589">
      <w:pPr>
        <w:spacing w:line="360" w:lineRule="auto"/>
        <w:rPr>
          <w:rFonts w:hint="eastAsia" w:ascii="宋体" w:hAnsi="宋体"/>
          <w:sz w:val="24"/>
          <w:szCs w:val="24"/>
        </w:rPr>
      </w:pPr>
      <w:r>
        <w:rPr>
          <w:rFonts w:hint="eastAsia"/>
          <w:b/>
          <w:bCs/>
          <w:sz w:val="24"/>
          <w:szCs w:val="24"/>
        </w:rPr>
        <w:t>7.5.5</w:t>
      </w:r>
      <w:r>
        <w:rPr>
          <w:rFonts w:hint="eastAsia" w:ascii="宋体" w:hAnsi="宋体"/>
          <w:sz w:val="24"/>
          <w:szCs w:val="24"/>
        </w:rPr>
        <w:t xml:space="preserve">  动火许可证不得涂改、代签，1张《动火许可证》只限定1名动火作业人和1名动火监护人；高处动火作业点及下方有火星、火花溅落风险的区域应增加看护部位及动火监护人数量。</w:t>
      </w:r>
    </w:p>
    <w:p w14:paraId="58CFECFC">
      <w:pPr>
        <w:pStyle w:val="14"/>
        <w:widowControl/>
        <w:snapToGrid w:val="0"/>
        <w:spacing w:beforeAutospacing="0" w:afterAutospacing="0" w:line="360" w:lineRule="auto"/>
        <w:rPr>
          <w:rFonts w:hint="eastAsia" w:ascii="宋体" w:hAnsi="宋体" w:cs="宋体"/>
          <w:szCs w:val="24"/>
        </w:rPr>
      </w:pPr>
      <w:r>
        <w:rPr>
          <w:rFonts w:hint="eastAsia"/>
          <w:b/>
          <w:bCs/>
          <w:szCs w:val="24"/>
        </w:rPr>
        <w:t xml:space="preserve">7.5.6  </w:t>
      </w:r>
      <w:r>
        <w:rPr>
          <w:rFonts w:hint="eastAsia" w:ascii="宋体" w:hAnsi="宋体" w:cs="宋体"/>
          <w:szCs w:val="24"/>
        </w:rPr>
        <w:t>不得在产生易燃易爆气体的场所动火作业，不得立体交叉动火作业。五级（含）及以上风力时，应停止焊接、切割等室外动火作业。</w:t>
      </w:r>
    </w:p>
    <w:p w14:paraId="3BC365D3">
      <w:pPr>
        <w:spacing w:line="360" w:lineRule="auto"/>
        <w:rPr>
          <w:rFonts w:hint="eastAsia" w:ascii="宋体" w:hAnsi="宋体"/>
          <w:kern w:val="0"/>
          <w:sz w:val="24"/>
          <w:szCs w:val="24"/>
        </w:rPr>
      </w:pPr>
      <w:r>
        <w:rPr>
          <w:rFonts w:hint="eastAsia"/>
          <w:b/>
          <w:bCs/>
          <w:kern w:val="0"/>
          <w:sz w:val="24"/>
          <w:szCs w:val="24"/>
        </w:rPr>
        <w:t xml:space="preserve">7.5.7  </w:t>
      </w:r>
      <w:r>
        <w:rPr>
          <w:rFonts w:hint="eastAsia" w:ascii="宋体" w:hAnsi="宋体"/>
          <w:sz w:val="24"/>
          <w:szCs w:val="24"/>
        </w:rPr>
        <w:t>不得在人员密集场所营业期间进行动火作业。宾馆、医院、养老院等需要连续使用、运营的场所及既有建筑改造工程确需动火作业的，应使用不燃材料将动火区域与使用、运营区域进行防火分隔；</w:t>
      </w:r>
      <w:r>
        <w:rPr>
          <w:rFonts w:hint="eastAsia" w:ascii="宋体" w:hAnsi="宋体" w:cs="宋体"/>
          <w:sz w:val="24"/>
          <w:szCs w:val="24"/>
        </w:rPr>
        <w:t>动火区域应安装感烟报警器、设置视频监控和人员巡查相结合的监测预警措施，且</w:t>
      </w:r>
      <w:r>
        <w:rPr>
          <w:rFonts w:hint="eastAsia" w:ascii="宋体" w:hAnsi="宋体"/>
          <w:sz w:val="24"/>
          <w:szCs w:val="24"/>
        </w:rPr>
        <w:t>通过公告、入户通知等方式，将动火作业的时间、区域和安全风险告知周边涉及的单位和人员，未经告知风险的，不得进行动火作业，并在建筑出入口、施工区域显著位置公示动火信息和安全提示。</w:t>
      </w:r>
    </w:p>
    <w:p w14:paraId="5226272B">
      <w:pPr>
        <w:pStyle w:val="14"/>
        <w:widowControl/>
        <w:snapToGrid w:val="0"/>
        <w:spacing w:beforeAutospacing="0" w:afterAutospacing="0" w:line="360" w:lineRule="auto"/>
        <w:rPr>
          <w:rFonts w:hint="eastAsia" w:ascii="宋体" w:hAnsi="宋体" w:cs="宋体"/>
          <w:szCs w:val="24"/>
        </w:rPr>
      </w:pPr>
      <w:r>
        <w:rPr>
          <w:rFonts w:hint="eastAsia"/>
          <w:b/>
          <w:bCs/>
          <w:szCs w:val="24"/>
        </w:rPr>
        <w:t xml:space="preserve">7.5.8  </w:t>
      </w:r>
      <w:r>
        <w:rPr>
          <w:rFonts w:hint="eastAsia" w:ascii="宋体" w:hAnsi="宋体" w:cs="宋体"/>
          <w:szCs w:val="24"/>
        </w:rPr>
        <w:t>动火结束后，动火作业人员应对现场进行清理、检查，并应在确认无火灾危险后方可离开，监护人员在动火作业结束后，应至少在现场监护30min，并在看护结束后1至2h进行复查。</w:t>
      </w:r>
    </w:p>
    <w:p w14:paraId="1CB97C75">
      <w:pPr>
        <w:pStyle w:val="14"/>
        <w:widowControl/>
        <w:snapToGrid w:val="0"/>
        <w:spacing w:beforeAutospacing="0" w:afterAutospacing="0" w:line="360" w:lineRule="auto"/>
        <w:rPr>
          <w:rFonts w:hint="eastAsia" w:ascii="宋体" w:hAnsi="宋体" w:cs="宋体"/>
          <w:szCs w:val="24"/>
        </w:rPr>
      </w:pPr>
      <w:r>
        <w:rPr>
          <w:rFonts w:hint="eastAsia"/>
          <w:b/>
          <w:bCs/>
          <w:szCs w:val="24"/>
        </w:rPr>
        <w:t xml:space="preserve">7.5.9  </w:t>
      </w:r>
      <w:r>
        <w:rPr>
          <w:rFonts w:hint="eastAsia" w:ascii="宋体" w:hAnsi="宋体" w:cs="宋体"/>
          <w:kern w:val="2"/>
          <w:szCs w:val="24"/>
        </w:rPr>
        <w:t>有限空间内进行动火作业时，应先进行通风，并对易燃易爆气体进行检测</w:t>
      </w:r>
      <w:r>
        <w:rPr>
          <w:rFonts w:hint="eastAsia" w:ascii="宋体" w:hAnsi="宋体" w:cs="宋体"/>
          <w:szCs w:val="24"/>
        </w:rPr>
        <w:t>，气体浓度超限报警时，不得动火作业；动火过程中要持续监测，发现气体浓度超限报警时，应当立即停止作业。</w:t>
      </w:r>
    </w:p>
    <w:p w14:paraId="12E85432">
      <w:pPr>
        <w:pStyle w:val="14"/>
        <w:widowControl/>
        <w:snapToGrid w:val="0"/>
        <w:spacing w:beforeAutospacing="0" w:afterAutospacing="0" w:line="360" w:lineRule="auto"/>
        <w:rPr>
          <w:rFonts w:hint="eastAsia" w:ascii="宋体" w:hAnsi="宋体" w:cs="宋体"/>
          <w:szCs w:val="24"/>
        </w:rPr>
      </w:pPr>
      <w:r>
        <w:rPr>
          <w:rFonts w:hint="eastAsia"/>
          <w:b/>
          <w:bCs/>
          <w:szCs w:val="24"/>
        </w:rPr>
        <w:t xml:space="preserve">7.5.10  </w:t>
      </w:r>
      <w:r>
        <w:rPr>
          <w:rFonts w:hint="eastAsia" w:ascii="宋体" w:hAnsi="宋体" w:cs="宋体"/>
          <w:szCs w:val="24"/>
        </w:rPr>
        <w:t>地下工程进行暗挖隧道变形缝和环向施工缝模板支撑等有防水材料的部位施工时，钢筋连接工艺应采用绑扎、卡具、栓接等形式，不得使用明火焊接或切割作业。</w:t>
      </w:r>
    </w:p>
    <w:p w14:paraId="75F2C4C6">
      <w:pPr>
        <w:pStyle w:val="14"/>
        <w:widowControl/>
        <w:snapToGrid w:val="0"/>
        <w:spacing w:beforeAutospacing="0" w:afterAutospacing="0" w:line="360" w:lineRule="auto"/>
        <w:rPr>
          <w:rFonts w:hint="eastAsia" w:ascii="宋体" w:hAnsi="宋体" w:cs="宋体"/>
          <w:szCs w:val="24"/>
        </w:rPr>
      </w:pPr>
      <w:r>
        <w:rPr>
          <w:rFonts w:hint="eastAsia"/>
          <w:b/>
          <w:bCs/>
          <w:szCs w:val="24"/>
        </w:rPr>
        <w:t xml:space="preserve">7.5.11  </w:t>
      </w:r>
      <w:r>
        <w:rPr>
          <w:rFonts w:hint="eastAsia" w:ascii="宋体" w:hAnsi="宋体" w:cs="宋体"/>
          <w:szCs w:val="24"/>
        </w:rPr>
        <w:t>防水工程宜选用不动火防水施工工艺。</w:t>
      </w:r>
    </w:p>
    <w:p w14:paraId="7D73CC1F">
      <w:pPr>
        <w:pStyle w:val="14"/>
        <w:widowControl/>
        <w:snapToGrid w:val="0"/>
        <w:spacing w:beforeAutospacing="0" w:afterAutospacing="0" w:line="360" w:lineRule="auto"/>
        <w:rPr>
          <w:szCs w:val="24"/>
        </w:rPr>
      </w:pPr>
      <w:r>
        <w:rPr>
          <w:rFonts w:hint="eastAsia"/>
          <w:b/>
          <w:bCs/>
          <w:szCs w:val="24"/>
        </w:rPr>
        <w:t xml:space="preserve">7.5.12  </w:t>
      </w:r>
      <w:r>
        <w:rPr>
          <w:rFonts w:hint="eastAsia"/>
          <w:szCs w:val="24"/>
        </w:rPr>
        <w:t>冬期施工不得采用明火升温措施。办公区、生活区不得使用明火取暖。</w:t>
      </w:r>
    </w:p>
    <w:p w14:paraId="5E6ACC8D">
      <w:pPr>
        <w:pStyle w:val="14"/>
        <w:widowControl/>
        <w:snapToGrid w:val="0"/>
        <w:spacing w:beforeAutospacing="0" w:afterAutospacing="0" w:line="360" w:lineRule="auto"/>
        <w:jc w:val="center"/>
        <w:outlineLvl w:val="1"/>
        <w:rPr>
          <w:b/>
          <w:bCs/>
          <w:szCs w:val="24"/>
        </w:rPr>
      </w:pPr>
      <w:bookmarkStart w:id="618" w:name="_Toc16466"/>
      <w:r>
        <w:rPr>
          <w:rFonts w:hint="eastAsia"/>
          <w:b/>
          <w:bCs/>
          <w:szCs w:val="24"/>
        </w:rPr>
        <w:t>7</w:t>
      </w:r>
      <w:r>
        <w:rPr>
          <w:b/>
          <w:bCs/>
          <w:szCs w:val="24"/>
        </w:rPr>
        <w:t>.</w:t>
      </w:r>
      <w:r>
        <w:rPr>
          <w:rFonts w:hint="eastAsia"/>
          <w:b/>
          <w:bCs/>
          <w:szCs w:val="24"/>
        </w:rPr>
        <w:t>6 可燃物及易燃易爆危险品</w:t>
      </w:r>
      <w:bookmarkEnd w:id="618"/>
    </w:p>
    <w:p w14:paraId="423630D6">
      <w:pPr>
        <w:pStyle w:val="14"/>
        <w:widowControl/>
        <w:snapToGrid w:val="0"/>
        <w:spacing w:beforeAutospacing="0" w:afterAutospacing="0" w:line="360" w:lineRule="auto"/>
        <w:rPr>
          <w:rFonts w:hint="eastAsia" w:ascii="宋体" w:hAnsi="宋体" w:cs="宋体"/>
          <w:strike/>
          <w:szCs w:val="24"/>
        </w:rPr>
      </w:pPr>
      <w:r>
        <w:rPr>
          <w:rFonts w:hint="eastAsia"/>
          <w:b/>
          <w:bCs/>
          <w:szCs w:val="24"/>
        </w:rPr>
        <w:t>7.6.1</w:t>
      </w:r>
      <w:r>
        <w:rPr>
          <w:rFonts w:hint="eastAsia" w:ascii="宋体" w:hAnsi="宋体" w:cs="宋体"/>
          <w:szCs w:val="24"/>
        </w:rPr>
        <w:t> 施工现场冬季施工保温封围和建筑物内防噪、防尘、成品保护及施工现场物资材料覆盖应采用不燃或难燃材料。</w:t>
      </w:r>
    </w:p>
    <w:p w14:paraId="33FC65FF">
      <w:pPr>
        <w:pStyle w:val="14"/>
        <w:widowControl/>
        <w:snapToGrid w:val="0"/>
        <w:spacing w:beforeAutospacing="0" w:afterAutospacing="0" w:line="360" w:lineRule="auto"/>
        <w:rPr>
          <w:rFonts w:hint="eastAsia" w:ascii="宋体" w:hAnsi="宋体" w:cs="宋体"/>
          <w:szCs w:val="24"/>
        </w:rPr>
      </w:pPr>
      <w:r>
        <w:rPr>
          <w:rFonts w:hint="eastAsia"/>
          <w:b/>
          <w:bCs/>
          <w:szCs w:val="24"/>
        </w:rPr>
        <w:t>7.6.2</w:t>
      </w:r>
      <w:r>
        <w:rPr>
          <w:rFonts w:hint="eastAsia" w:ascii="宋体" w:hAnsi="宋体" w:cs="宋体"/>
          <w:szCs w:val="24"/>
        </w:rPr>
        <w:t> 外保温、防水施工应分区段进行，并保持防火间距，保温、防水面层裸露不得超过2天，超过2天的应在保温、防水面层设置防火保护隔离措施。</w:t>
      </w:r>
    </w:p>
    <w:p w14:paraId="74E1C2D2">
      <w:pPr>
        <w:pStyle w:val="14"/>
        <w:widowControl/>
        <w:snapToGrid w:val="0"/>
        <w:spacing w:beforeAutospacing="0" w:afterAutospacing="0" w:line="360" w:lineRule="auto"/>
        <w:rPr>
          <w:rFonts w:hint="eastAsia" w:ascii="宋体" w:hAnsi="宋体" w:cs="宋体"/>
          <w:strike/>
          <w:szCs w:val="24"/>
        </w:rPr>
      </w:pPr>
      <w:r>
        <w:rPr>
          <w:rFonts w:hint="eastAsia"/>
          <w:b/>
          <w:bCs/>
          <w:szCs w:val="24"/>
        </w:rPr>
        <w:t>7.6.3</w:t>
      </w:r>
      <w:r>
        <w:rPr>
          <w:rFonts w:hint="eastAsia" w:ascii="宋体" w:hAnsi="宋体" w:cs="宋体"/>
          <w:szCs w:val="24"/>
        </w:rPr>
        <w:t> 易燃易爆危险品进场应进行安全验收，留存生产、经营、运输企业资质及产品合格证明，并建立使用台账。</w:t>
      </w:r>
    </w:p>
    <w:p w14:paraId="13FBF4AB">
      <w:pPr>
        <w:pStyle w:val="14"/>
        <w:widowControl/>
        <w:snapToGrid w:val="0"/>
        <w:spacing w:beforeAutospacing="0" w:afterAutospacing="0" w:line="360" w:lineRule="auto"/>
        <w:rPr>
          <w:rFonts w:hint="eastAsia" w:ascii="宋体" w:hAnsi="宋体" w:cs="宋体"/>
          <w:szCs w:val="24"/>
        </w:rPr>
      </w:pPr>
      <w:r>
        <w:rPr>
          <w:rFonts w:hint="eastAsia"/>
          <w:b/>
          <w:bCs/>
          <w:szCs w:val="24"/>
        </w:rPr>
        <w:t>7.6.4</w:t>
      </w:r>
      <w:r>
        <w:rPr>
          <w:rFonts w:hint="eastAsia" w:ascii="宋体" w:hAnsi="宋体" w:cs="宋体"/>
          <w:szCs w:val="24"/>
        </w:rPr>
        <w:t> 既有建筑改扩建和人员密集场所施工应指定专人对易燃易爆危险品进行管理，当日施工作业后对易燃易爆危险品进行清点回收。</w:t>
      </w:r>
    </w:p>
    <w:p w14:paraId="43E5F9B2">
      <w:pPr>
        <w:pStyle w:val="14"/>
        <w:widowControl/>
        <w:snapToGrid w:val="0"/>
        <w:spacing w:beforeAutospacing="0" w:afterAutospacing="0" w:line="360" w:lineRule="auto"/>
        <w:rPr>
          <w:rFonts w:hint="eastAsia" w:ascii="宋体" w:hAnsi="宋体" w:cs="宋体"/>
          <w:szCs w:val="24"/>
        </w:rPr>
      </w:pPr>
      <w:r>
        <w:rPr>
          <w:rFonts w:hint="eastAsia"/>
          <w:b/>
          <w:bCs/>
          <w:szCs w:val="24"/>
        </w:rPr>
        <w:t>7.6.5</w:t>
      </w:r>
      <w:r>
        <w:rPr>
          <w:rFonts w:hint="eastAsia" w:ascii="宋体" w:hAnsi="宋体" w:cs="宋体"/>
          <w:szCs w:val="24"/>
        </w:rPr>
        <w:t> 施工现场用气的搬运、使用应符合现行国家标准《气瓶搬运、装卸、储存和使用安全规定》GB/T 34525的相关规定，并应符合下列规定：</w:t>
      </w:r>
    </w:p>
    <w:p w14:paraId="68A8F6A1">
      <w:pPr>
        <w:widowControl/>
        <w:snapToGrid w:val="0"/>
        <w:spacing w:line="360" w:lineRule="auto"/>
        <w:ind w:firstLine="482" w:firstLineChars="200"/>
        <w:rPr>
          <w:sz w:val="24"/>
          <w:szCs w:val="24"/>
        </w:rPr>
      </w:pPr>
      <w:r>
        <w:rPr>
          <w:b/>
          <w:bCs/>
          <w:sz w:val="24"/>
          <w:szCs w:val="24"/>
        </w:rPr>
        <w:t>1</w:t>
      </w:r>
      <w:r>
        <w:rPr>
          <w:sz w:val="24"/>
          <w:szCs w:val="24"/>
        </w:rPr>
        <w:t xml:space="preserve"> 气瓶应搬运或者移动时应使用专用推车，使用时应稳固竖立或装在专用车（架）或固定装置上；</w:t>
      </w:r>
    </w:p>
    <w:p w14:paraId="350A7DF1">
      <w:pPr>
        <w:widowControl/>
        <w:snapToGrid w:val="0"/>
        <w:spacing w:line="360" w:lineRule="auto"/>
        <w:ind w:firstLine="482" w:firstLineChars="200"/>
        <w:rPr>
          <w:sz w:val="24"/>
          <w:szCs w:val="24"/>
        </w:rPr>
      </w:pPr>
      <w:r>
        <w:rPr>
          <w:b/>
          <w:bCs/>
          <w:sz w:val="24"/>
          <w:szCs w:val="24"/>
        </w:rPr>
        <w:t>2</w:t>
      </w:r>
      <w:r>
        <w:rPr>
          <w:sz w:val="24"/>
          <w:szCs w:val="24"/>
        </w:rPr>
        <w:t xml:space="preserve"> 气瓶颜色、标识应符合现行国家标准《气瓶颜色标志》GB/T 7144的相关规定，不得使用模糊不清的气瓶；</w:t>
      </w:r>
    </w:p>
    <w:p w14:paraId="6E8E5F43">
      <w:pPr>
        <w:widowControl/>
        <w:snapToGrid w:val="0"/>
        <w:spacing w:line="360" w:lineRule="auto"/>
        <w:ind w:firstLine="482" w:firstLineChars="200"/>
        <w:rPr>
          <w:sz w:val="24"/>
          <w:szCs w:val="24"/>
        </w:rPr>
      </w:pPr>
      <w:r>
        <w:rPr>
          <w:b/>
          <w:bCs/>
          <w:sz w:val="24"/>
          <w:szCs w:val="24"/>
        </w:rPr>
        <w:t>3</w:t>
      </w:r>
      <w:r>
        <w:rPr>
          <w:sz w:val="24"/>
          <w:szCs w:val="24"/>
        </w:rPr>
        <w:t xml:space="preserve"> 气瓶使用前，应检查气瓶及气瓶附件的完好性，检查连接气路的气密性；橡胶软管的尺寸、工作压力、机械性能、颜色等应符合现行国家标准《气体焊接设备 焊接、切割和类似作业用橡胶软管》GB/T 2550的相关规定，软管接头应符合《气焊设备 焊接、切割和相关工艺设备用软管接头》GB/T 5107的相关规定；</w:t>
      </w:r>
    </w:p>
    <w:p w14:paraId="66E98FF0">
      <w:pPr>
        <w:widowControl/>
        <w:snapToGrid w:val="0"/>
        <w:spacing w:line="360" w:lineRule="auto"/>
        <w:ind w:firstLine="482" w:firstLineChars="200"/>
        <w:rPr>
          <w:sz w:val="24"/>
          <w:szCs w:val="24"/>
        </w:rPr>
      </w:pPr>
      <w:r>
        <w:rPr>
          <w:b/>
          <w:bCs/>
          <w:sz w:val="24"/>
          <w:szCs w:val="24"/>
        </w:rPr>
        <w:t>4</w:t>
      </w:r>
      <w:r>
        <w:rPr>
          <w:sz w:val="24"/>
          <w:szCs w:val="24"/>
        </w:rPr>
        <w:t xml:space="preserve"> 夏季使用气瓶，应采取避免高温和防止曝晒的措施</w:t>
      </w:r>
      <w:r>
        <w:rPr>
          <w:rFonts w:hint="eastAsia"/>
          <w:sz w:val="24"/>
          <w:szCs w:val="24"/>
        </w:rPr>
        <w:t>。</w:t>
      </w:r>
    </w:p>
    <w:p w14:paraId="2943DB1B">
      <w:pPr>
        <w:pStyle w:val="14"/>
        <w:widowControl/>
        <w:snapToGrid w:val="0"/>
        <w:spacing w:beforeAutospacing="0" w:afterAutospacing="0" w:line="360" w:lineRule="auto"/>
        <w:rPr>
          <w:rFonts w:hint="eastAsia" w:ascii="宋体" w:hAnsi="宋体" w:cs="宋体"/>
          <w:szCs w:val="24"/>
        </w:rPr>
      </w:pPr>
      <w:r>
        <w:rPr>
          <w:rFonts w:hint="eastAsia"/>
          <w:b/>
          <w:bCs/>
          <w:szCs w:val="24"/>
        </w:rPr>
        <w:t>7.6.6</w:t>
      </w:r>
      <w:r>
        <w:rPr>
          <w:rFonts w:hint="eastAsia" w:ascii="宋体" w:hAnsi="宋体" w:cs="宋体"/>
          <w:szCs w:val="24"/>
        </w:rPr>
        <w:t> 易燃易爆危险品应专业回收无害化处置，不得随意处置易燃易爆危险品。</w:t>
      </w:r>
    </w:p>
    <w:p w14:paraId="2B396A62">
      <w:pPr>
        <w:pStyle w:val="14"/>
        <w:widowControl/>
        <w:snapToGrid w:val="0"/>
        <w:spacing w:beforeAutospacing="0" w:afterAutospacing="0" w:line="360" w:lineRule="auto"/>
        <w:rPr>
          <w:rFonts w:hint="eastAsia" w:ascii="宋体" w:hAnsi="宋体" w:cs="宋体"/>
          <w:strike/>
          <w:color w:val="FF0000"/>
          <w:szCs w:val="24"/>
        </w:rPr>
      </w:pPr>
      <w:r>
        <w:rPr>
          <w:rFonts w:hint="eastAsia"/>
          <w:b/>
          <w:bCs/>
          <w:szCs w:val="24"/>
        </w:rPr>
        <w:t xml:space="preserve">7.6.7  </w:t>
      </w:r>
      <w:r>
        <w:rPr>
          <w:rFonts w:hint="eastAsia"/>
          <w:szCs w:val="24"/>
        </w:rPr>
        <w:t>不得在施工现场存放、燃放烟花爆竹。</w:t>
      </w:r>
    </w:p>
    <w:p w14:paraId="54B307B1">
      <w:pPr>
        <w:rPr>
          <w:rFonts w:hint="eastAsia" w:asciiTheme="minorEastAsia" w:hAnsiTheme="minorEastAsia" w:eastAsiaTheme="minorEastAsia"/>
          <w:sz w:val="24"/>
          <w:szCs w:val="24"/>
        </w:rPr>
      </w:pPr>
    </w:p>
    <w:p w14:paraId="733B0630">
      <w:pPr>
        <w:rPr>
          <w:b/>
          <w:bCs/>
        </w:rPr>
      </w:pPr>
      <w:bookmarkStart w:id="619" w:name="_Toc14865"/>
      <w:bookmarkStart w:id="620" w:name="OLE_LINK78"/>
      <w:bookmarkStart w:id="621" w:name="_Toc7609"/>
      <w:bookmarkStart w:id="622" w:name="_Toc17042"/>
      <w:bookmarkStart w:id="623" w:name="_Toc6827"/>
      <w:bookmarkStart w:id="624" w:name="_Toc3364"/>
      <w:bookmarkStart w:id="625" w:name="_Toc31820"/>
      <w:bookmarkStart w:id="626" w:name="OLE_LINK144"/>
      <w:bookmarkStart w:id="627" w:name="_Toc3652"/>
      <w:bookmarkStart w:id="628" w:name="_Toc10608"/>
      <w:bookmarkStart w:id="629" w:name="PageNo101630157"/>
      <w:bookmarkStart w:id="630" w:name="_Toc17860"/>
      <w:bookmarkStart w:id="631" w:name="_Toc212627782"/>
      <w:r>
        <w:rPr>
          <w:rFonts w:hint="eastAsia"/>
          <w:b/>
          <w:bCs/>
        </w:rPr>
        <w:br w:type="page"/>
      </w:r>
    </w:p>
    <w:p w14:paraId="3A694710">
      <w:pPr>
        <w:pStyle w:val="33"/>
        <w:numPr>
          <w:ilvl w:val="0"/>
          <w:numId w:val="0"/>
        </w:numPr>
        <w:spacing w:before="120"/>
        <w:rPr>
          <w:rFonts w:eastAsia="宋体"/>
          <w:b/>
          <w:bCs/>
          <w:sz w:val="20"/>
          <w:szCs w:val="20"/>
        </w:rPr>
      </w:pPr>
      <w:bookmarkStart w:id="632" w:name="_Toc28558"/>
      <w:r>
        <w:rPr>
          <w:rFonts w:hint="eastAsia" w:eastAsia="宋体"/>
          <w:b/>
          <w:bCs/>
        </w:rPr>
        <w:t>附录</w:t>
      </w:r>
      <w:r>
        <w:rPr>
          <w:rFonts w:eastAsia="宋体"/>
          <w:b/>
          <w:bCs/>
        </w:rPr>
        <w:t xml:space="preserve">A </w:t>
      </w:r>
      <w:r>
        <w:rPr>
          <w:rFonts w:hint="eastAsia" w:eastAsia="宋体"/>
          <w:b/>
          <w:bCs/>
        </w:rPr>
        <w:t>施工用电工程记录</w:t>
      </w:r>
      <w:bookmarkEnd w:id="619"/>
      <w:bookmarkEnd w:id="620"/>
      <w:bookmarkEnd w:id="621"/>
      <w:bookmarkEnd w:id="622"/>
      <w:bookmarkEnd w:id="623"/>
      <w:bookmarkEnd w:id="624"/>
      <w:bookmarkEnd w:id="625"/>
      <w:bookmarkEnd w:id="632"/>
      <w:r>
        <w:rPr>
          <w:rFonts w:eastAsia="宋体"/>
          <w:b/>
          <w:bCs/>
          <w:sz w:val="28"/>
        </w:rPr>
        <w:t xml:space="preserve"> </w:t>
      </w:r>
    </w:p>
    <w:p w14:paraId="73D812BE">
      <w:pPr>
        <w:pStyle w:val="40"/>
        <w:spacing w:before="120"/>
        <w:jc w:val="both"/>
        <w:rPr>
          <w:color w:val="auto"/>
          <w:sz w:val="24"/>
          <w:szCs w:val="24"/>
        </w:rPr>
      </w:pPr>
      <w:bookmarkStart w:id="633" w:name="_Hlk189161310"/>
      <w:r>
        <w:rPr>
          <w:b/>
          <w:bCs w:val="0"/>
          <w:color w:val="auto"/>
          <w:sz w:val="24"/>
          <w:szCs w:val="24"/>
        </w:rPr>
        <w:t>A.0.1</w:t>
      </w:r>
      <w:r>
        <w:rPr>
          <w:color w:val="auto"/>
          <w:sz w:val="24"/>
          <w:szCs w:val="24"/>
        </w:rPr>
        <w:t xml:space="preserve">  </w:t>
      </w:r>
      <w:r>
        <w:rPr>
          <w:rFonts w:hint="eastAsia"/>
          <w:color w:val="auto"/>
          <w:sz w:val="24"/>
          <w:szCs w:val="24"/>
        </w:rPr>
        <w:t>施工用电安全技术交底记录应符合表</w:t>
      </w:r>
      <w:r>
        <w:rPr>
          <w:color w:val="auto"/>
          <w:sz w:val="24"/>
          <w:szCs w:val="24"/>
        </w:rPr>
        <w:t>A.0.1</w:t>
      </w:r>
      <w:r>
        <w:rPr>
          <w:rFonts w:hint="eastAsia"/>
          <w:color w:val="auto"/>
          <w:sz w:val="24"/>
          <w:szCs w:val="24"/>
        </w:rPr>
        <w:t>的规定。</w:t>
      </w:r>
    </w:p>
    <w:p w14:paraId="4353EC5F">
      <w:pPr>
        <w:pStyle w:val="40"/>
        <w:spacing w:before="120"/>
        <w:rPr>
          <w:b/>
          <w:bCs w:val="0"/>
          <w:color w:val="auto"/>
          <w:szCs w:val="24"/>
        </w:rPr>
      </w:pPr>
      <w:r>
        <w:rPr>
          <w:rFonts w:hint="eastAsia"/>
          <w:b/>
          <w:bCs w:val="0"/>
          <w:color w:val="auto"/>
          <w:szCs w:val="24"/>
        </w:rPr>
        <w:t>表</w:t>
      </w:r>
      <w:r>
        <w:rPr>
          <w:b/>
          <w:bCs w:val="0"/>
          <w:color w:val="auto"/>
          <w:szCs w:val="24"/>
        </w:rPr>
        <w:t xml:space="preserve">A.0.1 </w:t>
      </w:r>
      <w:r>
        <w:rPr>
          <w:rFonts w:hint="eastAsia"/>
          <w:b/>
          <w:bCs w:val="0"/>
          <w:color w:val="auto"/>
          <w:szCs w:val="24"/>
        </w:rPr>
        <w:t>施工用电安全技术交底记录表</w:t>
      </w:r>
    </w:p>
    <w:tbl>
      <w:tblPr>
        <w:tblStyle w:val="18"/>
        <w:tblW w:w="963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1174"/>
        <w:gridCol w:w="269"/>
        <w:gridCol w:w="1941"/>
        <w:gridCol w:w="1692"/>
        <w:gridCol w:w="52"/>
        <w:gridCol w:w="1640"/>
        <w:gridCol w:w="61"/>
        <w:gridCol w:w="1164"/>
        <w:gridCol w:w="1639"/>
      </w:tblGrid>
      <w:tr w14:paraId="7A6F4F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75" w:hRule="atLeast"/>
          <w:jc w:val="center"/>
        </w:trPr>
        <w:tc>
          <w:tcPr>
            <w:tcW w:w="5128" w:type="dxa"/>
            <w:gridSpan w:val="5"/>
            <w:tcBorders>
              <w:top w:val="single" w:color="auto" w:sz="12" w:space="0"/>
              <w:left w:val="single" w:color="auto" w:sz="12" w:space="0"/>
              <w:bottom w:val="single" w:color="auto" w:sz="6" w:space="0"/>
              <w:right w:val="single" w:color="auto" w:sz="6" w:space="0"/>
            </w:tcBorders>
            <w:vAlign w:val="center"/>
          </w:tcPr>
          <w:p w14:paraId="059FE157">
            <w:pPr>
              <w:pStyle w:val="40"/>
              <w:spacing w:before="120"/>
              <w:rPr>
                <w:color w:val="auto"/>
              </w:rPr>
            </w:pPr>
            <w:r>
              <w:rPr>
                <w:rFonts w:hint="eastAsia"/>
                <w:bCs w:val="0"/>
                <w:color w:val="auto"/>
                <w:kern w:val="0"/>
              </w:rPr>
              <w:t>安全技术交底记录</w:t>
            </w:r>
          </w:p>
        </w:tc>
        <w:tc>
          <w:tcPr>
            <w:tcW w:w="1701" w:type="dxa"/>
            <w:gridSpan w:val="2"/>
            <w:tcBorders>
              <w:top w:val="single" w:color="auto" w:sz="12" w:space="0"/>
              <w:left w:val="single" w:color="auto" w:sz="6" w:space="0"/>
              <w:bottom w:val="single" w:color="auto" w:sz="6" w:space="0"/>
              <w:right w:val="single" w:color="auto" w:sz="6" w:space="0"/>
            </w:tcBorders>
            <w:vAlign w:val="center"/>
          </w:tcPr>
          <w:p w14:paraId="61947E80">
            <w:pPr>
              <w:pStyle w:val="40"/>
              <w:spacing w:before="120"/>
              <w:rPr>
                <w:color w:val="auto"/>
              </w:rPr>
            </w:pPr>
            <w:r>
              <w:rPr>
                <w:rFonts w:hint="eastAsia"/>
                <w:color w:val="auto"/>
              </w:rPr>
              <w:t>编号</w:t>
            </w:r>
          </w:p>
        </w:tc>
        <w:tc>
          <w:tcPr>
            <w:tcW w:w="2803" w:type="dxa"/>
            <w:gridSpan w:val="2"/>
            <w:tcBorders>
              <w:top w:val="single" w:color="auto" w:sz="12" w:space="0"/>
              <w:left w:val="single" w:color="auto" w:sz="6" w:space="0"/>
              <w:bottom w:val="single" w:color="auto" w:sz="6" w:space="0"/>
              <w:right w:val="single" w:color="auto" w:sz="12" w:space="0"/>
            </w:tcBorders>
            <w:vAlign w:val="center"/>
          </w:tcPr>
          <w:p w14:paraId="18C5E1AC">
            <w:pPr>
              <w:pStyle w:val="40"/>
              <w:spacing w:before="120"/>
              <w:rPr>
                <w:color w:val="auto"/>
              </w:rPr>
            </w:pPr>
          </w:p>
        </w:tc>
      </w:tr>
      <w:tr w14:paraId="6433D6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45" w:hRule="atLeast"/>
          <w:jc w:val="center"/>
        </w:trPr>
        <w:tc>
          <w:tcPr>
            <w:tcW w:w="1174" w:type="dxa"/>
            <w:tcBorders>
              <w:top w:val="single" w:color="auto" w:sz="6" w:space="0"/>
              <w:left w:val="single" w:color="auto" w:sz="12" w:space="0"/>
              <w:bottom w:val="single" w:color="auto" w:sz="6" w:space="0"/>
              <w:right w:val="single" w:color="auto" w:sz="6" w:space="0"/>
            </w:tcBorders>
            <w:vAlign w:val="center"/>
          </w:tcPr>
          <w:p w14:paraId="1B5981FA">
            <w:pPr>
              <w:pStyle w:val="40"/>
              <w:spacing w:before="120"/>
              <w:rPr>
                <w:color w:val="auto"/>
              </w:rPr>
            </w:pPr>
            <w:r>
              <w:rPr>
                <w:rFonts w:hint="eastAsia"/>
                <w:color w:val="auto"/>
              </w:rPr>
              <w:t>工程名称</w:t>
            </w:r>
          </w:p>
        </w:tc>
        <w:tc>
          <w:tcPr>
            <w:tcW w:w="3954" w:type="dxa"/>
            <w:gridSpan w:val="4"/>
            <w:tcBorders>
              <w:top w:val="single" w:color="auto" w:sz="6" w:space="0"/>
              <w:left w:val="single" w:color="auto" w:sz="6" w:space="0"/>
              <w:bottom w:val="single" w:color="auto" w:sz="6" w:space="0"/>
              <w:right w:val="single" w:color="auto" w:sz="6" w:space="0"/>
            </w:tcBorders>
            <w:vAlign w:val="center"/>
          </w:tcPr>
          <w:p w14:paraId="53DC0FB0">
            <w:pPr>
              <w:pStyle w:val="40"/>
              <w:spacing w:before="120"/>
              <w:rPr>
                <w:color w:val="auto"/>
              </w:rPr>
            </w:pPr>
          </w:p>
        </w:tc>
        <w:tc>
          <w:tcPr>
            <w:tcW w:w="1701" w:type="dxa"/>
            <w:gridSpan w:val="2"/>
            <w:tcBorders>
              <w:top w:val="single" w:color="auto" w:sz="6" w:space="0"/>
              <w:left w:val="single" w:color="auto" w:sz="6" w:space="0"/>
              <w:bottom w:val="single" w:color="auto" w:sz="6" w:space="0"/>
              <w:right w:val="single" w:color="auto" w:sz="6" w:space="0"/>
            </w:tcBorders>
            <w:vAlign w:val="center"/>
          </w:tcPr>
          <w:p w14:paraId="3C52B1CC">
            <w:pPr>
              <w:pStyle w:val="40"/>
              <w:spacing w:before="120"/>
              <w:rPr>
                <w:color w:val="auto"/>
              </w:rPr>
            </w:pPr>
            <w:r>
              <w:rPr>
                <w:rFonts w:hint="eastAsia"/>
                <w:color w:val="auto"/>
              </w:rPr>
              <w:t>交底日期</w:t>
            </w:r>
          </w:p>
        </w:tc>
        <w:tc>
          <w:tcPr>
            <w:tcW w:w="2803" w:type="dxa"/>
            <w:gridSpan w:val="2"/>
            <w:tcBorders>
              <w:top w:val="single" w:color="auto" w:sz="6" w:space="0"/>
              <w:left w:val="single" w:color="auto" w:sz="6" w:space="0"/>
              <w:bottom w:val="single" w:color="auto" w:sz="6" w:space="0"/>
              <w:right w:val="single" w:color="auto" w:sz="12" w:space="0"/>
            </w:tcBorders>
            <w:vAlign w:val="center"/>
          </w:tcPr>
          <w:p w14:paraId="4B7BB74D">
            <w:pPr>
              <w:pStyle w:val="40"/>
              <w:spacing w:before="120"/>
              <w:rPr>
                <w:color w:val="auto"/>
              </w:rPr>
            </w:pPr>
          </w:p>
        </w:tc>
      </w:tr>
      <w:tr w14:paraId="37A404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45" w:hRule="atLeast"/>
          <w:jc w:val="center"/>
        </w:trPr>
        <w:tc>
          <w:tcPr>
            <w:tcW w:w="1174" w:type="dxa"/>
            <w:tcBorders>
              <w:top w:val="single" w:color="auto" w:sz="6" w:space="0"/>
              <w:left w:val="single" w:color="auto" w:sz="12" w:space="0"/>
              <w:bottom w:val="single" w:color="auto" w:sz="6" w:space="0"/>
              <w:right w:val="single" w:color="auto" w:sz="6" w:space="0"/>
            </w:tcBorders>
            <w:vAlign w:val="center"/>
          </w:tcPr>
          <w:p w14:paraId="33C41113">
            <w:pPr>
              <w:pStyle w:val="40"/>
              <w:spacing w:before="120"/>
              <w:rPr>
                <w:color w:val="auto"/>
              </w:rPr>
            </w:pPr>
            <w:r>
              <w:rPr>
                <w:rFonts w:hint="eastAsia"/>
                <w:color w:val="auto"/>
              </w:rPr>
              <w:t>施工单位</w:t>
            </w:r>
          </w:p>
        </w:tc>
        <w:tc>
          <w:tcPr>
            <w:tcW w:w="3954" w:type="dxa"/>
            <w:gridSpan w:val="4"/>
            <w:tcBorders>
              <w:top w:val="single" w:color="auto" w:sz="6" w:space="0"/>
              <w:left w:val="single" w:color="auto" w:sz="6" w:space="0"/>
              <w:bottom w:val="single" w:color="auto" w:sz="6" w:space="0"/>
              <w:right w:val="single" w:color="auto" w:sz="6" w:space="0"/>
            </w:tcBorders>
            <w:vAlign w:val="center"/>
          </w:tcPr>
          <w:p w14:paraId="03CFCBE4">
            <w:pPr>
              <w:pStyle w:val="40"/>
              <w:spacing w:before="120"/>
              <w:rPr>
                <w:color w:val="auto"/>
              </w:rPr>
            </w:pPr>
          </w:p>
        </w:tc>
        <w:tc>
          <w:tcPr>
            <w:tcW w:w="1701" w:type="dxa"/>
            <w:gridSpan w:val="2"/>
            <w:tcBorders>
              <w:top w:val="single" w:color="auto" w:sz="6" w:space="0"/>
              <w:left w:val="single" w:color="auto" w:sz="6" w:space="0"/>
              <w:bottom w:val="single" w:color="auto" w:sz="6" w:space="0"/>
              <w:right w:val="single" w:color="auto" w:sz="6" w:space="0"/>
            </w:tcBorders>
            <w:vAlign w:val="center"/>
          </w:tcPr>
          <w:p w14:paraId="55CD8FF7">
            <w:pPr>
              <w:pStyle w:val="40"/>
              <w:spacing w:before="120"/>
              <w:rPr>
                <w:color w:val="auto"/>
              </w:rPr>
            </w:pPr>
            <w:r>
              <w:rPr>
                <w:rFonts w:hint="eastAsia"/>
                <w:color w:val="auto"/>
              </w:rPr>
              <w:t>分项工程名称</w:t>
            </w:r>
          </w:p>
        </w:tc>
        <w:tc>
          <w:tcPr>
            <w:tcW w:w="2803" w:type="dxa"/>
            <w:gridSpan w:val="2"/>
            <w:tcBorders>
              <w:top w:val="single" w:color="auto" w:sz="6" w:space="0"/>
              <w:left w:val="single" w:color="auto" w:sz="6" w:space="0"/>
              <w:bottom w:val="single" w:color="auto" w:sz="6" w:space="0"/>
              <w:right w:val="single" w:color="auto" w:sz="12" w:space="0"/>
            </w:tcBorders>
            <w:vAlign w:val="center"/>
          </w:tcPr>
          <w:p w14:paraId="4A18E207">
            <w:pPr>
              <w:pStyle w:val="40"/>
              <w:spacing w:before="120"/>
              <w:rPr>
                <w:color w:val="auto"/>
              </w:rPr>
            </w:pPr>
          </w:p>
        </w:tc>
      </w:tr>
      <w:tr w14:paraId="2E2558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45" w:hRule="atLeast"/>
          <w:jc w:val="center"/>
        </w:trPr>
        <w:tc>
          <w:tcPr>
            <w:tcW w:w="1174" w:type="dxa"/>
            <w:tcBorders>
              <w:top w:val="single" w:color="auto" w:sz="6" w:space="0"/>
              <w:left w:val="single" w:color="auto" w:sz="12" w:space="0"/>
              <w:bottom w:val="single" w:color="auto" w:sz="6" w:space="0"/>
              <w:right w:val="single" w:color="auto" w:sz="6" w:space="0"/>
            </w:tcBorders>
            <w:vAlign w:val="center"/>
          </w:tcPr>
          <w:p w14:paraId="2A507A08">
            <w:pPr>
              <w:pStyle w:val="40"/>
              <w:spacing w:before="120"/>
              <w:rPr>
                <w:color w:val="auto"/>
              </w:rPr>
            </w:pPr>
            <w:r>
              <w:rPr>
                <w:rFonts w:hint="eastAsia"/>
                <w:color w:val="auto"/>
              </w:rPr>
              <w:t>交底提要</w:t>
            </w:r>
          </w:p>
        </w:tc>
        <w:tc>
          <w:tcPr>
            <w:tcW w:w="8458" w:type="dxa"/>
            <w:gridSpan w:val="8"/>
            <w:tcBorders>
              <w:top w:val="single" w:color="auto" w:sz="6" w:space="0"/>
              <w:left w:val="single" w:color="auto" w:sz="6" w:space="0"/>
              <w:bottom w:val="single" w:color="auto" w:sz="6" w:space="0"/>
              <w:right w:val="single" w:color="auto" w:sz="12" w:space="0"/>
            </w:tcBorders>
            <w:vAlign w:val="center"/>
          </w:tcPr>
          <w:p w14:paraId="6C665DB2">
            <w:pPr>
              <w:pStyle w:val="40"/>
              <w:spacing w:before="120"/>
              <w:rPr>
                <w:color w:val="auto"/>
              </w:rPr>
            </w:pPr>
          </w:p>
        </w:tc>
      </w:tr>
      <w:tr w14:paraId="49335E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105" w:hRule="atLeast"/>
          <w:jc w:val="center"/>
        </w:trPr>
        <w:tc>
          <w:tcPr>
            <w:tcW w:w="9632" w:type="dxa"/>
            <w:gridSpan w:val="9"/>
            <w:tcBorders>
              <w:top w:val="single" w:color="auto" w:sz="6" w:space="0"/>
              <w:left w:val="single" w:color="auto" w:sz="12" w:space="0"/>
              <w:bottom w:val="single" w:color="auto" w:sz="6" w:space="0"/>
              <w:right w:val="single" w:color="auto" w:sz="12" w:space="0"/>
            </w:tcBorders>
          </w:tcPr>
          <w:p w14:paraId="69CF295E">
            <w:pPr>
              <w:pStyle w:val="40"/>
              <w:spacing w:before="120"/>
              <w:jc w:val="both"/>
              <w:rPr>
                <w:color w:val="auto"/>
              </w:rPr>
            </w:pPr>
            <w:r>
              <w:rPr>
                <w:rFonts w:hint="eastAsia"/>
                <w:color w:val="auto"/>
              </w:rPr>
              <w:t>交底内容：</w:t>
            </w:r>
          </w:p>
          <w:p w14:paraId="4B72EA7E">
            <w:pPr>
              <w:pStyle w:val="40"/>
              <w:spacing w:before="120"/>
              <w:rPr>
                <w:color w:val="auto"/>
              </w:rPr>
            </w:pPr>
          </w:p>
          <w:p w14:paraId="129ABA78">
            <w:pPr>
              <w:pStyle w:val="40"/>
              <w:spacing w:before="120"/>
              <w:rPr>
                <w:color w:val="auto"/>
              </w:rPr>
            </w:pPr>
          </w:p>
          <w:p w14:paraId="54F04723">
            <w:pPr>
              <w:pStyle w:val="40"/>
              <w:spacing w:before="120"/>
              <w:rPr>
                <w:color w:val="auto"/>
              </w:rPr>
            </w:pPr>
          </w:p>
          <w:p w14:paraId="20E5F6BD">
            <w:pPr>
              <w:pStyle w:val="40"/>
              <w:spacing w:before="120"/>
              <w:rPr>
                <w:color w:val="auto"/>
              </w:rPr>
            </w:pPr>
          </w:p>
          <w:p w14:paraId="31376F27">
            <w:pPr>
              <w:pStyle w:val="40"/>
              <w:spacing w:before="120"/>
              <w:rPr>
                <w:color w:val="auto"/>
              </w:rPr>
            </w:pPr>
          </w:p>
          <w:p w14:paraId="36AFF160">
            <w:pPr>
              <w:pStyle w:val="40"/>
              <w:spacing w:before="120"/>
              <w:rPr>
                <w:color w:val="auto"/>
              </w:rPr>
            </w:pPr>
          </w:p>
          <w:p w14:paraId="16CBD149">
            <w:pPr>
              <w:pStyle w:val="40"/>
              <w:spacing w:before="120"/>
              <w:rPr>
                <w:color w:val="auto"/>
              </w:rPr>
            </w:pPr>
          </w:p>
          <w:p w14:paraId="24289618">
            <w:pPr>
              <w:pStyle w:val="40"/>
              <w:spacing w:before="120"/>
              <w:rPr>
                <w:color w:val="auto"/>
              </w:rPr>
            </w:pPr>
          </w:p>
          <w:p w14:paraId="4412CF84">
            <w:pPr>
              <w:pStyle w:val="40"/>
              <w:spacing w:before="120"/>
              <w:rPr>
                <w:color w:val="auto"/>
              </w:rPr>
            </w:pPr>
          </w:p>
          <w:p w14:paraId="20AFC8A8">
            <w:pPr>
              <w:pStyle w:val="40"/>
              <w:spacing w:before="120"/>
              <w:rPr>
                <w:color w:val="auto"/>
              </w:rPr>
            </w:pPr>
          </w:p>
          <w:p w14:paraId="12B1965F">
            <w:pPr>
              <w:pStyle w:val="40"/>
              <w:spacing w:before="120"/>
              <w:rPr>
                <w:color w:val="auto"/>
              </w:rPr>
            </w:pPr>
          </w:p>
          <w:p w14:paraId="41E27CF9">
            <w:pPr>
              <w:pStyle w:val="40"/>
              <w:spacing w:before="120"/>
              <w:jc w:val="both"/>
              <w:rPr>
                <w:color w:val="auto"/>
              </w:rPr>
            </w:pPr>
          </w:p>
          <w:p w14:paraId="28E13AB8">
            <w:pPr>
              <w:pStyle w:val="40"/>
              <w:spacing w:before="120"/>
              <w:rPr>
                <w:color w:val="auto"/>
              </w:rPr>
            </w:pPr>
          </w:p>
          <w:p w14:paraId="63966BA6">
            <w:pPr>
              <w:pStyle w:val="40"/>
              <w:spacing w:before="120"/>
              <w:rPr>
                <w:color w:val="auto"/>
              </w:rPr>
            </w:pPr>
          </w:p>
          <w:p w14:paraId="1CACB219">
            <w:pPr>
              <w:pStyle w:val="40"/>
              <w:spacing w:before="120"/>
              <w:rPr>
                <w:color w:val="auto"/>
              </w:rPr>
            </w:pPr>
          </w:p>
          <w:p w14:paraId="2839270D">
            <w:pPr>
              <w:pStyle w:val="40"/>
              <w:spacing w:before="120"/>
              <w:rPr>
                <w:color w:val="auto"/>
              </w:rPr>
            </w:pPr>
          </w:p>
          <w:p w14:paraId="339BD984">
            <w:pPr>
              <w:pStyle w:val="40"/>
              <w:spacing w:before="120"/>
              <w:rPr>
                <w:color w:val="auto"/>
              </w:rPr>
            </w:pPr>
          </w:p>
          <w:p w14:paraId="7CF474D7">
            <w:pPr>
              <w:pStyle w:val="40"/>
              <w:spacing w:before="120"/>
              <w:jc w:val="both"/>
              <w:rPr>
                <w:color w:val="auto"/>
              </w:rPr>
            </w:pPr>
          </w:p>
        </w:tc>
      </w:tr>
      <w:tr w14:paraId="302876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55" w:hRule="atLeast"/>
          <w:jc w:val="center"/>
        </w:trPr>
        <w:tc>
          <w:tcPr>
            <w:tcW w:w="1443" w:type="dxa"/>
            <w:gridSpan w:val="2"/>
            <w:tcBorders>
              <w:top w:val="single" w:color="auto" w:sz="6" w:space="0"/>
              <w:left w:val="single" w:color="auto" w:sz="12" w:space="0"/>
              <w:bottom w:val="single" w:color="auto" w:sz="12" w:space="0"/>
              <w:right w:val="single" w:color="auto" w:sz="6" w:space="0"/>
            </w:tcBorders>
            <w:vAlign w:val="center"/>
          </w:tcPr>
          <w:p w14:paraId="52C7F01A">
            <w:pPr>
              <w:spacing w:line="0" w:lineRule="atLeast"/>
              <w:jc w:val="center"/>
            </w:pPr>
            <w:r>
              <w:rPr>
                <w:rFonts w:hint="eastAsia"/>
              </w:rPr>
              <w:t>审核人</w:t>
            </w:r>
          </w:p>
        </w:tc>
        <w:tc>
          <w:tcPr>
            <w:tcW w:w="1941" w:type="dxa"/>
            <w:tcBorders>
              <w:top w:val="single" w:color="auto" w:sz="6" w:space="0"/>
              <w:left w:val="single" w:color="auto" w:sz="6" w:space="0"/>
              <w:bottom w:val="single" w:color="auto" w:sz="12" w:space="0"/>
              <w:right w:val="single" w:color="auto" w:sz="6" w:space="0"/>
            </w:tcBorders>
            <w:vAlign w:val="center"/>
          </w:tcPr>
          <w:p w14:paraId="5B53004B">
            <w:pPr>
              <w:spacing w:line="0" w:lineRule="atLeast"/>
              <w:jc w:val="center"/>
            </w:pPr>
          </w:p>
        </w:tc>
        <w:tc>
          <w:tcPr>
            <w:tcW w:w="1692" w:type="dxa"/>
            <w:tcBorders>
              <w:top w:val="single" w:color="auto" w:sz="6" w:space="0"/>
              <w:left w:val="single" w:color="auto" w:sz="6" w:space="0"/>
              <w:bottom w:val="single" w:color="auto" w:sz="12" w:space="0"/>
              <w:right w:val="single" w:color="auto" w:sz="6" w:space="0"/>
            </w:tcBorders>
            <w:vAlign w:val="center"/>
          </w:tcPr>
          <w:p w14:paraId="1A3F17D6">
            <w:pPr>
              <w:spacing w:line="0" w:lineRule="atLeast"/>
              <w:jc w:val="center"/>
            </w:pPr>
            <w:r>
              <w:rPr>
                <w:rFonts w:hint="eastAsia"/>
              </w:rPr>
              <w:t>交底人</w:t>
            </w:r>
          </w:p>
        </w:tc>
        <w:tc>
          <w:tcPr>
            <w:tcW w:w="1692" w:type="dxa"/>
            <w:gridSpan w:val="2"/>
            <w:tcBorders>
              <w:top w:val="single" w:color="auto" w:sz="6" w:space="0"/>
              <w:left w:val="single" w:color="auto" w:sz="6" w:space="0"/>
              <w:bottom w:val="single" w:color="auto" w:sz="12" w:space="0"/>
              <w:right w:val="single" w:color="auto" w:sz="6" w:space="0"/>
            </w:tcBorders>
            <w:vAlign w:val="center"/>
          </w:tcPr>
          <w:p w14:paraId="01823760">
            <w:pPr>
              <w:spacing w:line="0" w:lineRule="atLeast"/>
              <w:jc w:val="center"/>
            </w:pPr>
          </w:p>
        </w:tc>
        <w:tc>
          <w:tcPr>
            <w:tcW w:w="1225" w:type="dxa"/>
            <w:gridSpan w:val="2"/>
            <w:tcBorders>
              <w:top w:val="single" w:color="auto" w:sz="6" w:space="0"/>
              <w:left w:val="single" w:color="auto" w:sz="6" w:space="0"/>
              <w:bottom w:val="single" w:color="auto" w:sz="12" w:space="0"/>
              <w:right w:val="single" w:color="auto" w:sz="6" w:space="0"/>
            </w:tcBorders>
            <w:vAlign w:val="center"/>
          </w:tcPr>
          <w:p w14:paraId="7B930E0D">
            <w:pPr>
              <w:spacing w:line="0" w:lineRule="atLeast"/>
              <w:jc w:val="center"/>
            </w:pPr>
            <w:r>
              <w:rPr>
                <w:rFonts w:hint="eastAsia"/>
              </w:rPr>
              <w:t>接受交底人</w:t>
            </w:r>
          </w:p>
        </w:tc>
        <w:tc>
          <w:tcPr>
            <w:tcW w:w="1639" w:type="dxa"/>
            <w:tcBorders>
              <w:top w:val="single" w:color="auto" w:sz="6" w:space="0"/>
              <w:left w:val="single" w:color="auto" w:sz="6" w:space="0"/>
              <w:bottom w:val="single" w:color="auto" w:sz="12" w:space="0"/>
              <w:right w:val="single" w:color="auto" w:sz="12" w:space="0"/>
            </w:tcBorders>
            <w:vAlign w:val="center"/>
          </w:tcPr>
          <w:p w14:paraId="538F010F">
            <w:pPr>
              <w:spacing w:line="0" w:lineRule="atLeast"/>
              <w:jc w:val="center"/>
            </w:pPr>
          </w:p>
        </w:tc>
      </w:tr>
    </w:tbl>
    <w:p w14:paraId="1B65C586">
      <w:r>
        <w:rPr>
          <w:rFonts w:hint="eastAsia"/>
        </w:rPr>
        <w:t>注：本表由施工单位填写；一式两份，监理单位、施工单位各留存一份。</w:t>
      </w:r>
    </w:p>
    <w:p w14:paraId="2A575E1A">
      <w:pPr>
        <w:ind w:firstLine="211" w:firstLineChars="100"/>
        <w:rPr>
          <w:b/>
          <w:bCs/>
        </w:rPr>
      </w:pPr>
    </w:p>
    <w:p w14:paraId="74C1DCAA">
      <w:pPr>
        <w:pStyle w:val="40"/>
        <w:spacing w:before="120"/>
        <w:jc w:val="both"/>
        <w:rPr>
          <w:b/>
          <w:color w:val="auto"/>
          <w:sz w:val="20"/>
        </w:rPr>
      </w:pPr>
      <w:r>
        <w:rPr>
          <w:b/>
          <w:bCs w:val="0"/>
          <w:color w:val="auto"/>
          <w:sz w:val="24"/>
          <w:szCs w:val="24"/>
        </w:rPr>
        <w:t>A.0.2</w:t>
      </w:r>
      <w:r>
        <w:rPr>
          <w:color w:val="auto"/>
          <w:sz w:val="24"/>
          <w:szCs w:val="24"/>
        </w:rPr>
        <w:t xml:space="preserve">  </w:t>
      </w:r>
      <w:r>
        <w:rPr>
          <w:rFonts w:hint="eastAsia"/>
          <w:color w:val="auto"/>
          <w:sz w:val="24"/>
          <w:szCs w:val="24"/>
        </w:rPr>
        <w:t>电工巡视检查记录应符合表</w:t>
      </w:r>
      <w:r>
        <w:rPr>
          <w:color w:val="auto"/>
          <w:sz w:val="24"/>
          <w:szCs w:val="24"/>
        </w:rPr>
        <w:t>A.0.2</w:t>
      </w:r>
      <w:r>
        <w:rPr>
          <w:rFonts w:hint="eastAsia"/>
          <w:color w:val="auto"/>
          <w:sz w:val="24"/>
          <w:szCs w:val="24"/>
        </w:rPr>
        <w:t>的规定。</w:t>
      </w:r>
    </w:p>
    <w:p w14:paraId="4C3B6210">
      <w:pPr>
        <w:pStyle w:val="40"/>
        <w:spacing w:before="120"/>
        <w:rPr>
          <w:b/>
          <w:bCs w:val="0"/>
          <w:color w:val="auto"/>
          <w:szCs w:val="24"/>
        </w:rPr>
      </w:pPr>
      <w:r>
        <w:rPr>
          <w:rFonts w:hint="eastAsia"/>
          <w:b/>
          <w:bCs w:val="0"/>
          <w:color w:val="auto"/>
          <w:szCs w:val="24"/>
        </w:rPr>
        <w:t>表</w:t>
      </w:r>
      <w:r>
        <w:rPr>
          <w:b/>
          <w:bCs w:val="0"/>
          <w:color w:val="auto"/>
          <w:szCs w:val="24"/>
        </w:rPr>
        <w:t xml:space="preserve">A.0.2 </w:t>
      </w:r>
      <w:r>
        <w:rPr>
          <w:rFonts w:hint="eastAsia"/>
          <w:b/>
          <w:bCs w:val="0"/>
          <w:color w:val="auto"/>
          <w:szCs w:val="24"/>
        </w:rPr>
        <w:t>电工巡视检查记录表</w:t>
      </w:r>
    </w:p>
    <w:tbl>
      <w:tblPr>
        <w:tblStyle w:val="18"/>
        <w:tblW w:w="9305" w:type="dxa"/>
        <w:tblInd w:w="79"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102" w:type="dxa"/>
          <w:left w:w="28" w:type="dxa"/>
          <w:bottom w:w="102" w:type="dxa"/>
          <w:right w:w="28" w:type="dxa"/>
        </w:tblCellMar>
      </w:tblPr>
      <w:tblGrid>
        <w:gridCol w:w="581"/>
        <w:gridCol w:w="1495"/>
        <w:gridCol w:w="2150"/>
        <w:gridCol w:w="1262"/>
        <w:gridCol w:w="863"/>
        <w:gridCol w:w="1111"/>
        <w:gridCol w:w="1843"/>
      </w:tblGrid>
      <w:tr w14:paraId="373917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02" w:type="dxa"/>
            <w:left w:w="28" w:type="dxa"/>
            <w:bottom w:w="102" w:type="dxa"/>
            <w:right w:w="28" w:type="dxa"/>
          </w:tblCellMar>
        </w:tblPrEx>
        <w:trPr>
          <w:trHeight w:val="587" w:hRule="atLeast"/>
        </w:trPr>
        <w:tc>
          <w:tcPr>
            <w:tcW w:w="5488" w:type="dxa"/>
            <w:gridSpan w:val="4"/>
            <w:tcBorders>
              <w:top w:val="single" w:color="auto" w:sz="6" w:space="0"/>
              <w:left w:val="single" w:color="auto" w:sz="6" w:space="0"/>
              <w:bottom w:val="single" w:color="auto" w:sz="6" w:space="0"/>
              <w:right w:val="single" w:color="auto" w:sz="6" w:space="0"/>
            </w:tcBorders>
            <w:vAlign w:val="center"/>
          </w:tcPr>
          <w:p w14:paraId="1D2DE6D7">
            <w:pPr>
              <w:widowControl/>
              <w:snapToGrid w:val="0"/>
              <w:jc w:val="center"/>
              <w:textAlignment w:val="center"/>
              <w:rPr>
                <w:bCs/>
                <w:lang w:bidi="ar"/>
              </w:rPr>
            </w:pPr>
            <w:r>
              <w:rPr>
                <w:rFonts w:hint="eastAsia"/>
                <w:bCs/>
                <w:lang w:bidi="ar"/>
              </w:rPr>
              <w:t>电工巡检记录</w:t>
            </w:r>
          </w:p>
        </w:tc>
        <w:tc>
          <w:tcPr>
            <w:tcW w:w="863" w:type="dxa"/>
            <w:tcBorders>
              <w:top w:val="single" w:color="auto" w:sz="6" w:space="0"/>
              <w:left w:val="single" w:color="auto" w:sz="6" w:space="0"/>
              <w:bottom w:val="single" w:color="auto" w:sz="6" w:space="0"/>
              <w:right w:val="single" w:color="auto" w:sz="6" w:space="0"/>
            </w:tcBorders>
            <w:vAlign w:val="center"/>
          </w:tcPr>
          <w:p w14:paraId="04FD9695">
            <w:pPr>
              <w:snapToGrid w:val="0"/>
              <w:jc w:val="center"/>
              <w:rPr>
                <w:position w:val="-3"/>
              </w:rPr>
            </w:pPr>
            <w:r>
              <w:rPr>
                <w:rFonts w:hint="eastAsia"/>
                <w:position w:val="-3"/>
              </w:rPr>
              <w:t>编号</w:t>
            </w:r>
          </w:p>
        </w:tc>
        <w:tc>
          <w:tcPr>
            <w:tcW w:w="2954" w:type="dxa"/>
            <w:gridSpan w:val="2"/>
            <w:tcBorders>
              <w:top w:val="single" w:color="auto" w:sz="6" w:space="0"/>
              <w:left w:val="single" w:color="auto" w:sz="6" w:space="0"/>
              <w:bottom w:val="single" w:color="auto" w:sz="6" w:space="0"/>
              <w:right w:val="single" w:color="auto" w:sz="6" w:space="0"/>
            </w:tcBorders>
            <w:vAlign w:val="center"/>
          </w:tcPr>
          <w:p w14:paraId="0F8688C1">
            <w:pPr>
              <w:snapToGrid w:val="0"/>
              <w:rPr>
                <w:position w:val="-3"/>
              </w:rPr>
            </w:pPr>
          </w:p>
        </w:tc>
      </w:tr>
      <w:tr w14:paraId="1B728A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02" w:type="dxa"/>
            <w:left w:w="28" w:type="dxa"/>
            <w:bottom w:w="102" w:type="dxa"/>
            <w:right w:w="28" w:type="dxa"/>
          </w:tblCellMar>
        </w:tblPrEx>
        <w:trPr>
          <w:trHeight w:val="500" w:hRule="atLeast"/>
        </w:trPr>
        <w:tc>
          <w:tcPr>
            <w:tcW w:w="2076" w:type="dxa"/>
            <w:gridSpan w:val="2"/>
            <w:tcBorders>
              <w:top w:val="single" w:color="auto" w:sz="6" w:space="0"/>
              <w:left w:val="single" w:color="auto" w:sz="6" w:space="0"/>
              <w:bottom w:val="single" w:color="auto" w:sz="6" w:space="0"/>
              <w:right w:val="single" w:color="auto" w:sz="6" w:space="0"/>
            </w:tcBorders>
            <w:vAlign w:val="center"/>
          </w:tcPr>
          <w:p w14:paraId="244941FC">
            <w:pPr>
              <w:jc w:val="center"/>
              <w:rPr>
                <w:position w:val="-3"/>
              </w:rPr>
            </w:pPr>
            <w:r>
              <w:rPr>
                <w:rFonts w:hint="eastAsia"/>
              </w:rPr>
              <w:t>巡检维修日期</w:t>
            </w:r>
          </w:p>
        </w:tc>
        <w:tc>
          <w:tcPr>
            <w:tcW w:w="2150" w:type="dxa"/>
            <w:tcBorders>
              <w:top w:val="single" w:color="auto" w:sz="6" w:space="0"/>
              <w:left w:val="single" w:color="auto" w:sz="6" w:space="0"/>
              <w:bottom w:val="single" w:color="auto" w:sz="6" w:space="0"/>
              <w:right w:val="single" w:color="auto" w:sz="6" w:space="0"/>
            </w:tcBorders>
            <w:vAlign w:val="center"/>
          </w:tcPr>
          <w:p w14:paraId="29751825">
            <w:pPr>
              <w:jc w:val="center"/>
            </w:pPr>
          </w:p>
        </w:tc>
        <w:tc>
          <w:tcPr>
            <w:tcW w:w="1262" w:type="dxa"/>
            <w:tcBorders>
              <w:top w:val="single" w:color="auto" w:sz="6" w:space="0"/>
              <w:left w:val="single" w:color="auto" w:sz="6" w:space="0"/>
              <w:bottom w:val="single" w:color="auto" w:sz="6" w:space="0"/>
              <w:right w:val="single" w:color="auto" w:sz="6" w:space="0"/>
            </w:tcBorders>
            <w:vAlign w:val="center"/>
          </w:tcPr>
          <w:p w14:paraId="0C2C14BE">
            <w:pPr>
              <w:jc w:val="center"/>
            </w:pPr>
            <w:r>
              <w:rPr>
                <w:rFonts w:hint="eastAsia"/>
              </w:rPr>
              <w:t>天气情况</w:t>
            </w:r>
          </w:p>
        </w:tc>
        <w:tc>
          <w:tcPr>
            <w:tcW w:w="3817" w:type="dxa"/>
            <w:gridSpan w:val="3"/>
            <w:tcBorders>
              <w:top w:val="single" w:color="auto" w:sz="6" w:space="0"/>
              <w:left w:val="single" w:color="auto" w:sz="6" w:space="0"/>
              <w:bottom w:val="single" w:color="auto" w:sz="6" w:space="0"/>
              <w:right w:val="single" w:color="auto" w:sz="6" w:space="0"/>
            </w:tcBorders>
            <w:vAlign w:val="center"/>
          </w:tcPr>
          <w:p w14:paraId="12247393">
            <w:pPr>
              <w:jc w:val="center"/>
              <w:rPr>
                <w:position w:val="-1"/>
              </w:rPr>
            </w:pPr>
          </w:p>
        </w:tc>
      </w:tr>
      <w:tr w14:paraId="5B2A79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02" w:type="dxa"/>
            <w:left w:w="28" w:type="dxa"/>
            <w:bottom w:w="102" w:type="dxa"/>
            <w:right w:w="28" w:type="dxa"/>
          </w:tblCellMar>
        </w:tblPrEx>
        <w:trPr>
          <w:trHeight w:val="618" w:hRule="atLeast"/>
        </w:trPr>
        <w:tc>
          <w:tcPr>
            <w:tcW w:w="581" w:type="dxa"/>
            <w:tcBorders>
              <w:top w:val="single" w:color="auto" w:sz="6" w:space="0"/>
              <w:left w:val="single" w:color="auto" w:sz="6" w:space="0"/>
              <w:bottom w:val="single" w:color="auto" w:sz="6" w:space="0"/>
              <w:right w:val="single" w:color="auto" w:sz="6" w:space="0"/>
            </w:tcBorders>
            <w:vAlign w:val="center"/>
          </w:tcPr>
          <w:p w14:paraId="144656E5">
            <w:pPr>
              <w:jc w:val="center"/>
            </w:pPr>
            <w:r>
              <w:rPr>
                <w:rFonts w:hint="eastAsia"/>
              </w:rPr>
              <w:t>序号</w:t>
            </w:r>
          </w:p>
        </w:tc>
        <w:tc>
          <w:tcPr>
            <w:tcW w:w="1495" w:type="dxa"/>
            <w:tcBorders>
              <w:top w:val="single" w:color="auto" w:sz="6" w:space="0"/>
              <w:left w:val="single" w:color="auto" w:sz="6" w:space="0"/>
              <w:bottom w:val="single" w:color="auto" w:sz="6" w:space="0"/>
              <w:right w:val="single" w:color="auto" w:sz="6" w:space="0"/>
            </w:tcBorders>
            <w:vAlign w:val="center"/>
          </w:tcPr>
          <w:p w14:paraId="69804669">
            <w:pPr>
              <w:jc w:val="center"/>
            </w:pPr>
            <w:r>
              <w:rPr>
                <w:rFonts w:hint="eastAsia"/>
              </w:rPr>
              <w:t>巡检项目</w:t>
            </w:r>
          </w:p>
        </w:tc>
        <w:tc>
          <w:tcPr>
            <w:tcW w:w="4275" w:type="dxa"/>
            <w:gridSpan w:val="3"/>
            <w:tcBorders>
              <w:top w:val="single" w:color="auto" w:sz="6" w:space="0"/>
              <w:left w:val="single" w:color="auto" w:sz="6" w:space="0"/>
              <w:bottom w:val="single" w:color="auto" w:sz="6" w:space="0"/>
              <w:right w:val="single" w:color="auto" w:sz="6" w:space="0"/>
            </w:tcBorders>
            <w:vAlign w:val="center"/>
          </w:tcPr>
          <w:p w14:paraId="791A2553">
            <w:pPr>
              <w:jc w:val="center"/>
            </w:pPr>
            <w:r>
              <w:rPr>
                <w:rFonts w:hint="eastAsia"/>
              </w:rPr>
              <w:t>巡检内容及要求</w:t>
            </w:r>
          </w:p>
        </w:tc>
        <w:tc>
          <w:tcPr>
            <w:tcW w:w="1111" w:type="dxa"/>
            <w:tcBorders>
              <w:top w:val="single" w:color="auto" w:sz="6" w:space="0"/>
              <w:left w:val="single" w:color="auto" w:sz="6" w:space="0"/>
              <w:bottom w:val="single" w:color="auto" w:sz="6" w:space="0"/>
              <w:right w:val="single" w:color="auto" w:sz="6" w:space="0"/>
            </w:tcBorders>
            <w:vAlign w:val="center"/>
          </w:tcPr>
          <w:p w14:paraId="7B16D2AA">
            <w:pPr>
              <w:jc w:val="center"/>
            </w:pPr>
            <w:r>
              <w:rPr>
                <w:rFonts w:hint="eastAsia"/>
              </w:rPr>
              <w:t>巡检结果</w:t>
            </w:r>
          </w:p>
        </w:tc>
        <w:tc>
          <w:tcPr>
            <w:tcW w:w="1843" w:type="dxa"/>
            <w:tcBorders>
              <w:top w:val="single" w:color="auto" w:sz="6" w:space="0"/>
              <w:left w:val="single" w:color="auto" w:sz="6" w:space="0"/>
              <w:bottom w:val="single" w:color="auto" w:sz="6" w:space="0"/>
              <w:right w:val="single" w:color="auto" w:sz="6" w:space="0"/>
            </w:tcBorders>
            <w:vAlign w:val="center"/>
          </w:tcPr>
          <w:p w14:paraId="359CCB27">
            <w:pPr>
              <w:jc w:val="center"/>
            </w:pPr>
            <w:r>
              <w:rPr>
                <w:rFonts w:hint="eastAsia"/>
              </w:rPr>
              <w:t>维修情况</w:t>
            </w:r>
          </w:p>
        </w:tc>
      </w:tr>
      <w:tr w14:paraId="223ACE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02" w:type="dxa"/>
            <w:left w:w="28" w:type="dxa"/>
            <w:bottom w:w="102" w:type="dxa"/>
            <w:right w:w="28" w:type="dxa"/>
          </w:tblCellMar>
        </w:tblPrEx>
        <w:trPr>
          <w:trHeight w:val="982" w:hRule="atLeast"/>
        </w:trPr>
        <w:tc>
          <w:tcPr>
            <w:tcW w:w="581" w:type="dxa"/>
            <w:tcBorders>
              <w:top w:val="single" w:color="auto" w:sz="6" w:space="0"/>
              <w:left w:val="single" w:color="auto" w:sz="6" w:space="0"/>
              <w:bottom w:val="single" w:color="auto" w:sz="6" w:space="0"/>
              <w:right w:val="single" w:color="auto" w:sz="6" w:space="0"/>
            </w:tcBorders>
            <w:vAlign w:val="center"/>
          </w:tcPr>
          <w:p w14:paraId="078B9C66">
            <w:pPr>
              <w:jc w:val="center"/>
            </w:pPr>
            <w:r>
              <w:t>1</w:t>
            </w:r>
          </w:p>
        </w:tc>
        <w:tc>
          <w:tcPr>
            <w:tcW w:w="1495" w:type="dxa"/>
            <w:tcBorders>
              <w:top w:val="single" w:color="auto" w:sz="6" w:space="0"/>
              <w:left w:val="single" w:color="auto" w:sz="6" w:space="0"/>
              <w:bottom w:val="single" w:color="auto" w:sz="6" w:space="0"/>
              <w:right w:val="single" w:color="auto" w:sz="6" w:space="0"/>
            </w:tcBorders>
            <w:vAlign w:val="center"/>
          </w:tcPr>
          <w:p w14:paraId="11FBBCC4">
            <w:pPr>
              <w:ind w:left="59" w:hanging="58" w:hangingChars="28"/>
              <w:jc w:val="left"/>
            </w:pPr>
            <w:r>
              <w:rPr>
                <w:rFonts w:hint="eastAsia"/>
              </w:rPr>
              <w:t>变配电装置</w:t>
            </w:r>
          </w:p>
        </w:tc>
        <w:tc>
          <w:tcPr>
            <w:tcW w:w="4275" w:type="dxa"/>
            <w:gridSpan w:val="3"/>
            <w:tcBorders>
              <w:top w:val="single" w:color="auto" w:sz="6" w:space="0"/>
              <w:left w:val="single" w:color="auto" w:sz="6" w:space="0"/>
              <w:bottom w:val="single" w:color="auto" w:sz="6" w:space="0"/>
              <w:right w:val="single" w:color="auto" w:sz="6" w:space="0"/>
            </w:tcBorders>
            <w:vAlign w:val="center"/>
          </w:tcPr>
          <w:p w14:paraId="0185582A">
            <w:pPr>
              <w:jc w:val="left"/>
              <w:rPr>
                <w:position w:val="-1"/>
              </w:rPr>
            </w:pPr>
            <w:r>
              <w:rPr>
                <w:rFonts w:hint="eastAsia"/>
              </w:rPr>
              <w:t>变配电装置绝缘、接地、标识符合规定要求</w:t>
            </w:r>
          </w:p>
        </w:tc>
        <w:tc>
          <w:tcPr>
            <w:tcW w:w="1111" w:type="dxa"/>
            <w:tcBorders>
              <w:top w:val="single" w:color="auto" w:sz="6" w:space="0"/>
              <w:left w:val="single" w:color="auto" w:sz="6" w:space="0"/>
              <w:bottom w:val="single" w:color="auto" w:sz="6" w:space="0"/>
              <w:right w:val="single" w:color="auto" w:sz="6" w:space="0"/>
            </w:tcBorders>
            <w:vAlign w:val="center"/>
          </w:tcPr>
          <w:p w14:paraId="7393F622">
            <w:pPr>
              <w:jc w:val="center"/>
              <w:rPr>
                <w:position w:val="-1"/>
              </w:rPr>
            </w:pPr>
          </w:p>
        </w:tc>
        <w:tc>
          <w:tcPr>
            <w:tcW w:w="1843" w:type="dxa"/>
            <w:tcBorders>
              <w:top w:val="single" w:color="auto" w:sz="6" w:space="0"/>
              <w:left w:val="single" w:color="auto" w:sz="6" w:space="0"/>
              <w:bottom w:val="single" w:color="auto" w:sz="6" w:space="0"/>
              <w:right w:val="single" w:color="auto" w:sz="6" w:space="0"/>
            </w:tcBorders>
            <w:vAlign w:val="center"/>
          </w:tcPr>
          <w:p w14:paraId="0E565D02">
            <w:pPr>
              <w:jc w:val="center"/>
              <w:rPr>
                <w:position w:val="-1"/>
              </w:rPr>
            </w:pPr>
          </w:p>
        </w:tc>
      </w:tr>
      <w:tr w14:paraId="4937FA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02" w:type="dxa"/>
            <w:left w:w="28" w:type="dxa"/>
            <w:bottom w:w="102" w:type="dxa"/>
            <w:right w:w="28" w:type="dxa"/>
          </w:tblCellMar>
        </w:tblPrEx>
        <w:trPr>
          <w:trHeight w:val="708" w:hRule="atLeast"/>
        </w:trPr>
        <w:tc>
          <w:tcPr>
            <w:tcW w:w="581" w:type="dxa"/>
            <w:tcBorders>
              <w:top w:val="single" w:color="auto" w:sz="6" w:space="0"/>
              <w:left w:val="single" w:color="auto" w:sz="6" w:space="0"/>
              <w:bottom w:val="single" w:color="auto" w:sz="6" w:space="0"/>
              <w:right w:val="single" w:color="auto" w:sz="6" w:space="0"/>
            </w:tcBorders>
            <w:vAlign w:val="center"/>
          </w:tcPr>
          <w:p w14:paraId="452017BC">
            <w:pPr>
              <w:jc w:val="center"/>
            </w:pPr>
            <w:r>
              <w:t>2</w:t>
            </w:r>
          </w:p>
        </w:tc>
        <w:tc>
          <w:tcPr>
            <w:tcW w:w="1495" w:type="dxa"/>
            <w:tcBorders>
              <w:top w:val="single" w:color="auto" w:sz="6" w:space="0"/>
              <w:left w:val="single" w:color="auto" w:sz="6" w:space="0"/>
              <w:bottom w:val="single" w:color="auto" w:sz="6" w:space="0"/>
              <w:right w:val="single" w:color="auto" w:sz="6" w:space="0"/>
            </w:tcBorders>
            <w:vAlign w:val="center"/>
          </w:tcPr>
          <w:p w14:paraId="7B3B5A64">
            <w:pPr>
              <w:jc w:val="left"/>
            </w:pPr>
            <w:r>
              <w:rPr>
                <w:rFonts w:hint="eastAsia"/>
              </w:rPr>
              <w:t>供配电线路</w:t>
            </w:r>
          </w:p>
        </w:tc>
        <w:tc>
          <w:tcPr>
            <w:tcW w:w="4275" w:type="dxa"/>
            <w:gridSpan w:val="3"/>
            <w:tcBorders>
              <w:top w:val="single" w:color="auto" w:sz="6" w:space="0"/>
              <w:left w:val="single" w:color="auto" w:sz="6" w:space="0"/>
              <w:bottom w:val="single" w:color="auto" w:sz="6" w:space="0"/>
              <w:right w:val="single" w:color="auto" w:sz="6" w:space="0"/>
            </w:tcBorders>
            <w:vAlign w:val="center"/>
          </w:tcPr>
          <w:p w14:paraId="2F079907">
            <w:pPr>
              <w:jc w:val="left"/>
              <w:rPr>
                <w:position w:val="-1"/>
              </w:rPr>
            </w:pPr>
            <w:r>
              <w:rPr>
                <w:rFonts w:hint="eastAsia"/>
              </w:rPr>
              <w:t>用供配电线路规格、型号、敷设符合规定要求</w:t>
            </w:r>
          </w:p>
        </w:tc>
        <w:tc>
          <w:tcPr>
            <w:tcW w:w="1111" w:type="dxa"/>
            <w:tcBorders>
              <w:top w:val="single" w:color="auto" w:sz="6" w:space="0"/>
              <w:left w:val="single" w:color="auto" w:sz="6" w:space="0"/>
              <w:bottom w:val="single" w:color="auto" w:sz="6" w:space="0"/>
              <w:right w:val="single" w:color="auto" w:sz="6" w:space="0"/>
            </w:tcBorders>
            <w:vAlign w:val="center"/>
          </w:tcPr>
          <w:p w14:paraId="51866E32">
            <w:pPr>
              <w:jc w:val="center"/>
              <w:rPr>
                <w:position w:val="-1"/>
              </w:rPr>
            </w:pPr>
          </w:p>
        </w:tc>
        <w:tc>
          <w:tcPr>
            <w:tcW w:w="1843" w:type="dxa"/>
            <w:tcBorders>
              <w:top w:val="single" w:color="auto" w:sz="6" w:space="0"/>
              <w:left w:val="single" w:color="auto" w:sz="6" w:space="0"/>
              <w:bottom w:val="single" w:color="auto" w:sz="6" w:space="0"/>
              <w:right w:val="single" w:color="auto" w:sz="6" w:space="0"/>
            </w:tcBorders>
            <w:vAlign w:val="center"/>
          </w:tcPr>
          <w:p w14:paraId="2D3E4709">
            <w:pPr>
              <w:jc w:val="center"/>
              <w:rPr>
                <w:position w:val="-1"/>
              </w:rPr>
            </w:pPr>
          </w:p>
        </w:tc>
      </w:tr>
      <w:tr w14:paraId="2EED10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02" w:type="dxa"/>
            <w:left w:w="28" w:type="dxa"/>
            <w:bottom w:w="102" w:type="dxa"/>
            <w:right w:w="28" w:type="dxa"/>
          </w:tblCellMar>
        </w:tblPrEx>
        <w:trPr>
          <w:trHeight w:val="982" w:hRule="atLeast"/>
        </w:trPr>
        <w:tc>
          <w:tcPr>
            <w:tcW w:w="581" w:type="dxa"/>
            <w:tcBorders>
              <w:top w:val="single" w:color="auto" w:sz="6" w:space="0"/>
              <w:left w:val="single" w:color="auto" w:sz="6" w:space="0"/>
              <w:bottom w:val="single" w:color="auto" w:sz="6" w:space="0"/>
              <w:right w:val="single" w:color="auto" w:sz="6" w:space="0"/>
            </w:tcBorders>
            <w:vAlign w:val="center"/>
          </w:tcPr>
          <w:p w14:paraId="038110D5">
            <w:pPr>
              <w:jc w:val="center"/>
            </w:pPr>
            <w:r>
              <w:t>3</w:t>
            </w:r>
          </w:p>
        </w:tc>
        <w:tc>
          <w:tcPr>
            <w:tcW w:w="1495" w:type="dxa"/>
            <w:tcBorders>
              <w:top w:val="single" w:color="auto" w:sz="6" w:space="0"/>
              <w:left w:val="single" w:color="auto" w:sz="6" w:space="0"/>
              <w:bottom w:val="single" w:color="auto" w:sz="6" w:space="0"/>
              <w:right w:val="single" w:color="auto" w:sz="6" w:space="0"/>
            </w:tcBorders>
            <w:vAlign w:val="center"/>
          </w:tcPr>
          <w:p w14:paraId="096F66C4">
            <w:pPr>
              <w:jc w:val="left"/>
            </w:pPr>
            <w:r>
              <w:rPr>
                <w:rFonts w:hint="eastAsia"/>
              </w:rPr>
              <w:t>保护接地导体（</w:t>
            </w:r>
            <w:r>
              <w:t>PE</w:t>
            </w:r>
            <w:r>
              <w:rPr>
                <w:rFonts w:hint="eastAsia"/>
              </w:rPr>
              <w:t>）连接</w:t>
            </w:r>
          </w:p>
        </w:tc>
        <w:tc>
          <w:tcPr>
            <w:tcW w:w="4275" w:type="dxa"/>
            <w:gridSpan w:val="3"/>
            <w:tcBorders>
              <w:top w:val="single" w:color="auto" w:sz="6" w:space="0"/>
              <w:left w:val="single" w:color="auto" w:sz="6" w:space="0"/>
              <w:bottom w:val="single" w:color="auto" w:sz="6" w:space="0"/>
              <w:right w:val="single" w:color="auto" w:sz="6" w:space="0"/>
            </w:tcBorders>
            <w:vAlign w:val="center"/>
          </w:tcPr>
          <w:p w14:paraId="11C62733">
            <w:pPr>
              <w:pStyle w:val="16"/>
              <w:ind w:firstLine="0" w:firstLineChars="0"/>
              <w:jc w:val="left"/>
              <w:rPr>
                <w:sz w:val="21"/>
                <w:lang w:val="en-US"/>
              </w:rPr>
            </w:pPr>
            <w:r>
              <w:rPr>
                <w:rFonts w:hint="eastAsia"/>
                <w:sz w:val="21"/>
                <w:lang w:val="en-US"/>
              </w:rPr>
              <w:t>保护接地导体（</w:t>
            </w:r>
            <w:r>
              <w:rPr>
                <w:sz w:val="21"/>
                <w:lang w:val="en-US"/>
              </w:rPr>
              <w:t>PE</w:t>
            </w:r>
            <w:r>
              <w:rPr>
                <w:rFonts w:hint="eastAsia"/>
                <w:sz w:val="21"/>
                <w:lang w:val="en-US"/>
              </w:rPr>
              <w:t>）的连续性及与用电设施设备外露可导电部分连接符合规定</w:t>
            </w:r>
          </w:p>
        </w:tc>
        <w:tc>
          <w:tcPr>
            <w:tcW w:w="1111" w:type="dxa"/>
            <w:tcBorders>
              <w:top w:val="single" w:color="auto" w:sz="6" w:space="0"/>
              <w:left w:val="single" w:color="auto" w:sz="6" w:space="0"/>
              <w:bottom w:val="single" w:color="auto" w:sz="6" w:space="0"/>
              <w:right w:val="single" w:color="auto" w:sz="6" w:space="0"/>
            </w:tcBorders>
            <w:vAlign w:val="center"/>
          </w:tcPr>
          <w:p w14:paraId="79DA99A1">
            <w:pPr>
              <w:jc w:val="center"/>
              <w:rPr>
                <w:position w:val="-1"/>
              </w:rPr>
            </w:pPr>
          </w:p>
        </w:tc>
        <w:tc>
          <w:tcPr>
            <w:tcW w:w="1843" w:type="dxa"/>
            <w:tcBorders>
              <w:top w:val="single" w:color="auto" w:sz="6" w:space="0"/>
              <w:left w:val="single" w:color="auto" w:sz="6" w:space="0"/>
              <w:bottom w:val="single" w:color="auto" w:sz="6" w:space="0"/>
              <w:right w:val="single" w:color="auto" w:sz="6" w:space="0"/>
            </w:tcBorders>
            <w:vAlign w:val="center"/>
          </w:tcPr>
          <w:p w14:paraId="5244A7FA">
            <w:pPr>
              <w:jc w:val="center"/>
              <w:rPr>
                <w:position w:val="-1"/>
              </w:rPr>
            </w:pPr>
          </w:p>
        </w:tc>
      </w:tr>
      <w:tr w14:paraId="56F016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02" w:type="dxa"/>
            <w:left w:w="28" w:type="dxa"/>
            <w:bottom w:w="102" w:type="dxa"/>
            <w:right w:w="28" w:type="dxa"/>
          </w:tblCellMar>
        </w:tblPrEx>
        <w:trPr>
          <w:trHeight w:val="982" w:hRule="atLeast"/>
        </w:trPr>
        <w:tc>
          <w:tcPr>
            <w:tcW w:w="581" w:type="dxa"/>
            <w:tcBorders>
              <w:top w:val="single" w:color="auto" w:sz="6" w:space="0"/>
              <w:left w:val="single" w:color="auto" w:sz="6" w:space="0"/>
              <w:bottom w:val="single" w:color="auto" w:sz="6" w:space="0"/>
              <w:right w:val="single" w:color="auto" w:sz="6" w:space="0"/>
            </w:tcBorders>
            <w:vAlign w:val="center"/>
          </w:tcPr>
          <w:p w14:paraId="57A42FDB">
            <w:pPr>
              <w:jc w:val="center"/>
            </w:pPr>
            <w:r>
              <w:t>4</w:t>
            </w:r>
          </w:p>
        </w:tc>
        <w:tc>
          <w:tcPr>
            <w:tcW w:w="1495" w:type="dxa"/>
            <w:tcBorders>
              <w:top w:val="single" w:color="auto" w:sz="6" w:space="0"/>
              <w:left w:val="single" w:color="auto" w:sz="6" w:space="0"/>
              <w:bottom w:val="single" w:color="auto" w:sz="6" w:space="0"/>
              <w:right w:val="single" w:color="auto" w:sz="6" w:space="0"/>
            </w:tcBorders>
            <w:vAlign w:val="center"/>
          </w:tcPr>
          <w:p w14:paraId="50CCBAF3">
            <w:pPr>
              <w:jc w:val="left"/>
            </w:pPr>
            <w:r>
              <w:rPr>
                <w:rFonts w:hint="eastAsia"/>
              </w:rPr>
              <w:t>配电箱（柜）</w:t>
            </w:r>
          </w:p>
        </w:tc>
        <w:tc>
          <w:tcPr>
            <w:tcW w:w="4275" w:type="dxa"/>
            <w:gridSpan w:val="3"/>
            <w:tcBorders>
              <w:top w:val="single" w:color="auto" w:sz="6" w:space="0"/>
              <w:left w:val="single" w:color="auto" w:sz="6" w:space="0"/>
              <w:bottom w:val="single" w:color="auto" w:sz="6" w:space="0"/>
              <w:right w:val="single" w:color="auto" w:sz="6" w:space="0"/>
            </w:tcBorders>
            <w:vAlign w:val="center"/>
          </w:tcPr>
          <w:p w14:paraId="592CE6AD">
            <w:pPr>
              <w:jc w:val="left"/>
              <w:rPr>
                <w:position w:val="-1"/>
              </w:rPr>
            </w:pPr>
            <w:r>
              <w:rPr>
                <w:rFonts w:hint="eastAsia"/>
              </w:rPr>
              <w:t>保护电器及器件安装合理、牢固，防护措施齐全，设置系统图、标识</w:t>
            </w:r>
          </w:p>
        </w:tc>
        <w:tc>
          <w:tcPr>
            <w:tcW w:w="1111" w:type="dxa"/>
            <w:tcBorders>
              <w:top w:val="single" w:color="auto" w:sz="6" w:space="0"/>
              <w:left w:val="single" w:color="auto" w:sz="6" w:space="0"/>
              <w:bottom w:val="single" w:color="auto" w:sz="6" w:space="0"/>
              <w:right w:val="single" w:color="auto" w:sz="6" w:space="0"/>
            </w:tcBorders>
            <w:vAlign w:val="center"/>
          </w:tcPr>
          <w:p w14:paraId="2A9A51FE">
            <w:pPr>
              <w:jc w:val="center"/>
              <w:rPr>
                <w:position w:val="-1"/>
              </w:rPr>
            </w:pPr>
          </w:p>
        </w:tc>
        <w:tc>
          <w:tcPr>
            <w:tcW w:w="1843" w:type="dxa"/>
            <w:tcBorders>
              <w:top w:val="single" w:color="auto" w:sz="6" w:space="0"/>
              <w:left w:val="single" w:color="auto" w:sz="6" w:space="0"/>
              <w:bottom w:val="single" w:color="auto" w:sz="6" w:space="0"/>
              <w:right w:val="single" w:color="auto" w:sz="6" w:space="0"/>
            </w:tcBorders>
            <w:vAlign w:val="center"/>
          </w:tcPr>
          <w:p w14:paraId="7D483A43">
            <w:pPr>
              <w:jc w:val="center"/>
              <w:rPr>
                <w:position w:val="-1"/>
              </w:rPr>
            </w:pPr>
          </w:p>
        </w:tc>
      </w:tr>
      <w:tr w14:paraId="7B5AE3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02" w:type="dxa"/>
            <w:left w:w="28" w:type="dxa"/>
            <w:bottom w:w="102" w:type="dxa"/>
            <w:right w:w="28" w:type="dxa"/>
          </w:tblCellMar>
        </w:tblPrEx>
        <w:trPr>
          <w:trHeight w:val="982" w:hRule="atLeast"/>
        </w:trPr>
        <w:tc>
          <w:tcPr>
            <w:tcW w:w="581" w:type="dxa"/>
            <w:tcBorders>
              <w:top w:val="single" w:color="auto" w:sz="6" w:space="0"/>
              <w:left w:val="single" w:color="auto" w:sz="6" w:space="0"/>
              <w:bottom w:val="single" w:color="auto" w:sz="6" w:space="0"/>
              <w:right w:val="single" w:color="auto" w:sz="6" w:space="0"/>
            </w:tcBorders>
            <w:vAlign w:val="center"/>
          </w:tcPr>
          <w:p w14:paraId="53AF1BD0">
            <w:pPr>
              <w:spacing w:line="300" w:lineRule="exact"/>
              <w:jc w:val="center"/>
            </w:pPr>
            <w:r>
              <w:t>5</w:t>
            </w:r>
          </w:p>
        </w:tc>
        <w:tc>
          <w:tcPr>
            <w:tcW w:w="1495" w:type="dxa"/>
            <w:tcBorders>
              <w:top w:val="single" w:color="auto" w:sz="6" w:space="0"/>
              <w:left w:val="single" w:color="auto" w:sz="6" w:space="0"/>
              <w:bottom w:val="single" w:color="auto" w:sz="6" w:space="0"/>
              <w:right w:val="single" w:color="auto" w:sz="6" w:space="0"/>
            </w:tcBorders>
            <w:vAlign w:val="center"/>
          </w:tcPr>
          <w:p w14:paraId="7FCAD8F8">
            <w:pPr>
              <w:spacing w:line="300" w:lineRule="exact"/>
              <w:jc w:val="left"/>
            </w:pPr>
            <w:r>
              <w:rPr>
                <w:rFonts w:hint="eastAsia"/>
              </w:rPr>
              <w:t>现场及生活区照明</w:t>
            </w:r>
            <w:r>
              <w:tab/>
            </w:r>
          </w:p>
        </w:tc>
        <w:tc>
          <w:tcPr>
            <w:tcW w:w="4275" w:type="dxa"/>
            <w:gridSpan w:val="3"/>
            <w:tcBorders>
              <w:top w:val="single" w:color="auto" w:sz="6" w:space="0"/>
              <w:left w:val="single" w:color="auto" w:sz="6" w:space="0"/>
              <w:bottom w:val="single" w:color="auto" w:sz="6" w:space="0"/>
              <w:right w:val="single" w:color="auto" w:sz="6" w:space="0"/>
            </w:tcBorders>
            <w:vAlign w:val="center"/>
          </w:tcPr>
          <w:p w14:paraId="23F29D34">
            <w:pPr>
              <w:jc w:val="left"/>
            </w:pPr>
            <w:r>
              <w:rPr>
                <w:rFonts w:hint="eastAsia"/>
              </w:rPr>
              <w:t>现场及生活区照明回路剩余电流动作保护电器、灯具使用过程符合规定要求</w:t>
            </w:r>
          </w:p>
        </w:tc>
        <w:tc>
          <w:tcPr>
            <w:tcW w:w="1111" w:type="dxa"/>
            <w:tcBorders>
              <w:top w:val="single" w:color="auto" w:sz="6" w:space="0"/>
              <w:left w:val="single" w:color="auto" w:sz="6" w:space="0"/>
              <w:bottom w:val="single" w:color="auto" w:sz="6" w:space="0"/>
              <w:right w:val="single" w:color="auto" w:sz="6" w:space="0"/>
            </w:tcBorders>
            <w:vAlign w:val="center"/>
          </w:tcPr>
          <w:p w14:paraId="2D859827">
            <w:pPr>
              <w:jc w:val="center"/>
              <w:rPr>
                <w:position w:val="-1"/>
              </w:rPr>
            </w:pPr>
          </w:p>
        </w:tc>
        <w:tc>
          <w:tcPr>
            <w:tcW w:w="1843" w:type="dxa"/>
            <w:tcBorders>
              <w:top w:val="single" w:color="auto" w:sz="6" w:space="0"/>
              <w:left w:val="single" w:color="auto" w:sz="6" w:space="0"/>
              <w:bottom w:val="single" w:color="auto" w:sz="6" w:space="0"/>
              <w:right w:val="single" w:color="auto" w:sz="6" w:space="0"/>
            </w:tcBorders>
            <w:vAlign w:val="center"/>
          </w:tcPr>
          <w:p w14:paraId="792AD5D9">
            <w:pPr>
              <w:jc w:val="center"/>
              <w:rPr>
                <w:position w:val="-1"/>
              </w:rPr>
            </w:pPr>
          </w:p>
        </w:tc>
      </w:tr>
      <w:tr w14:paraId="4B3A63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02" w:type="dxa"/>
            <w:left w:w="28" w:type="dxa"/>
            <w:bottom w:w="102" w:type="dxa"/>
            <w:right w:w="28" w:type="dxa"/>
          </w:tblCellMar>
        </w:tblPrEx>
        <w:trPr>
          <w:trHeight w:val="1277" w:hRule="atLeast"/>
        </w:trPr>
        <w:tc>
          <w:tcPr>
            <w:tcW w:w="581" w:type="dxa"/>
            <w:tcBorders>
              <w:top w:val="single" w:color="auto" w:sz="6" w:space="0"/>
              <w:left w:val="single" w:color="auto" w:sz="6" w:space="0"/>
              <w:bottom w:val="single" w:color="auto" w:sz="6" w:space="0"/>
              <w:right w:val="single" w:color="auto" w:sz="6" w:space="0"/>
            </w:tcBorders>
            <w:vAlign w:val="center"/>
          </w:tcPr>
          <w:p w14:paraId="68CA7DEE">
            <w:pPr>
              <w:spacing w:line="300" w:lineRule="exact"/>
              <w:jc w:val="center"/>
            </w:pPr>
            <w:r>
              <w:t>6</w:t>
            </w:r>
          </w:p>
        </w:tc>
        <w:tc>
          <w:tcPr>
            <w:tcW w:w="1495" w:type="dxa"/>
            <w:tcBorders>
              <w:top w:val="single" w:color="auto" w:sz="6" w:space="0"/>
              <w:left w:val="single" w:color="auto" w:sz="6" w:space="0"/>
              <w:bottom w:val="single" w:color="auto" w:sz="6" w:space="0"/>
              <w:right w:val="single" w:color="auto" w:sz="6" w:space="0"/>
            </w:tcBorders>
            <w:vAlign w:val="center"/>
          </w:tcPr>
          <w:p w14:paraId="3B4DF70B">
            <w:pPr>
              <w:spacing w:line="300" w:lineRule="exact"/>
              <w:ind w:left="59" w:hanging="58" w:hangingChars="28"/>
              <w:jc w:val="left"/>
            </w:pPr>
            <w:r>
              <w:rPr>
                <w:rFonts w:hint="eastAsia"/>
              </w:rPr>
              <w:t>用电设备</w:t>
            </w:r>
          </w:p>
        </w:tc>
        <w:tc>
          <w:tcPr>
            <w:tcW w:w="4275" w:type="dxa"/>
            <w:gridSpan w:val="3"/>
            <w:tcBorders>
              <w:top w:val="single" w:color="auto" w:sz="6" w:space="0"/>
              <w:left w:val="single" w:color="auto" w:sz="6" w:space="0"/>
              <w:bottom w:val="single" w:color="auto" w:sz="6" w:space="0"/>
              <w:right w:val="single" w:color="auto" w:sz="6" w:space="0"/>
            </w:tcBorders>
            <w:vAlign w:val="center"/>
          </w:tcPr>
          <w:p w14:paraId="390B23D5">
            <w:pPr>
              <w:jc w:val="left"/>
            </w:pPr>
            <w:r>
              <w:rPr>
                <w:rFonts w:hint="eastAsia"/>
              </w:rPr>
              <w:t>用电设备安装、使用符合规定规定要求</w:t>
            </w:r>
          </w:p>
        </w:tc>
        <w:tc>
          <w:tcPr>
            <w:tcW w:w="1111" w:type="dxa"/>
            <w:tcBorders>
              <w:top w:val="single" w:color="auto" w:sz="6" w:space="0"/>
              <w:left w:val="single" w:color="auto" w:sz="6" w:space="0"/>
              <w:bottom w:val="single" w:color="auto" w:sz="6" w:space="0"/>
              <w:right w:val="single" w:color="auto" w:sz="6" w:space="0"/>
            </w:tcBorders>
            <w:vAlign w:val="center"/>
          </w:tcPr>
          <w:p w14:paraId="7B6A7D1D">
            <w:pPr>
              <w:jc w:val="center"/>
              <w:rPr>
                <w:position w:val="-1"/>
              </w:rPr>
            </w:pPr>
          </w:p>
        </w:tc>
        <w:tc>
          <w:tcPr>
            <w:tcW w:w="1843" w:type="dxa"/>
            <w:tcBorders>
              <w:top w:val="single" w:color="auto" w:sz="6" w:space="0"/>
              <w:left w:val="single" w:color="auto" w:sz="6" w:space="0"/>
              <w:bottom w:val="single" w:color="auto" w:sz="6" w:space="0"/>
              <w:right w:val="single" w:color="auto" w:sz="6" w:space="0"/>
            </w:tcBorders>
            <w:vAlign w:val="center"/>
          </w:tcPr>
          <w:p w14:paraId="3F4EC077">
            <w:pPr>
              <w:jc w:val="center"/>
              <w:rPr>
                <w:position w:val="-1"/>
              </w:rPr>
            </w:pPr>
          </w:p>
        </w:tc>
      </w:tr>
      <w:tr w14:paraId="76CE69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02" w:type="dxa"/>
            <w:left w:w="28" w:type="dxa"/>
            <w:bottom w:w="102" w:type="dxa"/>
            <w:right w:w="28" w:type="dxa"/>
          </w:tblCellMar>
        </w:tblPrEx>
        <w:trPr>
          <w:trHeight w:val="1057" w:hRule="atLeast"/>
        </w:trPr>
        <w:tc>
          <w:tcPr>
            <w:tcW w:w="581" w:type="dxa"/>
            <w:tcBorders>
              <w:top w:val="single" w:color="auto" w:sz="6" w:space="0"/>
              <w:left w:val="single" w:color="auto" w:sz="6" w:space="0"/>
              <w:bottom w:val="single" w:color="auto" w:sz="6" w:space="0"/>
              <w:right w:val="single" w:color="auto" w:sz="6" w:space="0"/>
            </w:tcBorders>
            <w:vAlign w:val="center"/>
          </w:tcPr>
          <w:p w14:paraId="1A0EEADF">
            <w:pPr>
              <w:spacing w:line="300" w:lineRule="exact"/>
              <w:jc w:val="center"/>
            </w:pPr>
            <w:r>
              <w:t>7</w:t>
            </w:r>
          </w:p>
        </w:tc>
        <w:tc>
          <w:tcPr>
            <w:tcW w:w="1495" w:type="dxa"/>
            <w:tcBorders>
              <w:top w:val="single" w:color="auto" w:sz="6" w:space="0"/>
              <w:left w:val="single" w:color="auto" w:sz="6" w:space="0"/>
              <w:bottom w:val="single" w:color="auto" w:sz="6" w:space="0"/>
              <w:right w:val="single" w:color="auto" w:sz="6" w:space="0"/>
            </w:tcBorders>
            <w:vAlign w:val="center"/>
          </w:tcPr>
          <w:p w14:paraId="49552CA0">
            <w:pPr>
              <w:spacing w:line="300" w:lineRule="exact"/>
              <w:ind w:left="59" w:hanging="58" w:hangingChars="28"/>
              <w:jc w:val="left"/>
            </w:pPr>
            <w:r>
              <w:rPr>
                <w:rFonts w:hint="eastAsia"/>
              </w:rPr>
              <w:t>防雷装置</w:t>
            </w:r>
          </w:p>
        </w:tc>
        <w:tc>
          <w:tcPr>
            <w:tcW w:w="4275" w:type="dxa"/>
            <w:gridSpan w:val="3"/>
            <w:tcBorders>
              <w:top w:val="single" w:color="auto" w:sz="6" w:space="0"/>
              <w:left w:val="single" w:color="auto" w:sz="6" w:space="0"/>
              <w:bottom w:val="single" w:color="auto" w:sz="6" w:space="0"/>
              <w:right w:val="single" w:color="auto" w:sz="6" w:space="0"/>
            </w:tcBorders>
            <w:vAlign w:val="center"/>
          </w:tcPr>
          <w:p w14:paraId="639DD821">
            <w:pPr>
              <w:jc w:val="left"/>
              <w:rPr>
                <w:position w:val="-1"/>
              </w:rPr>
            </w:pPr>
            <w:r>
              <w:rPr>
                <w:rFonts w:hint="eastAsia"/>
                <w:position w:val="-1"/>
              </w:rPr>
              <w:t>防雷装置安装、使用符合规定</w:t>
            </w:r>
            <w:r>
              <w:rPr>
                <w:rFonts w:hint="eastAsia"/>
              </w:rPr>
              <w:t>规定要求</w:t>
            </w:r>
          </w:p>
        </w:tc>
        <w:tc>
          <w:tcPr>
            <w:tcW w:w="1111" w:type="dxa"/>
            <w:tcBorders>
              <w:top w:val="single" w:color="auto" w:sz="6" w:space="0"/>
              <w:left w:val="single" w:color="auto" w:sz="6" w:space="0"/>
              <w:bottom w:val="single" w:color="auto" w:sz="6" w:space="0"/>
              <w:right w:val="single" w:color="auto" w:sz="6" w:space="0"/>
            </w:tcBorders>
            <w:vAlign w:val="center"/>
          </w:tcPr>
          <w:p w14:paraId="39795A4E">
            <w:pPr>
              <w:jc w:val="center"/>
              <w:rPr>
                <w:position w:val="-1"/>
              </w:rPr>
            </w:pPr>
          </w:p>
        </w:tc>
        <w:tc>
          <w:tcPr>
            <w:tcW w:w="1843" w:type="dxa"/>
            <w:tcBorders>
              <w:top w:val="single" w:color="auto" w:sz="6" w:space="0"/>
              <w:left w:val="single" w:color="auto" w:sz="6" w:space="0"/>
              <w:bottom w:val="single" w:color="auto" w:sz="6" w:space="0"/>
              <w:right w:val="single" w:color="auto" w:sz="6" w:space="0"/>
            </w:tcBorders>
            <w:vAlign w:val="center"/>
          </w:tcPr>
          <w:p w14:paraId="7F8A46E3">
            <w:pPr>
              <w:jc w:val="center"/>
              <w:rPr>
                <w:position w:val="-1"/>
              </w:rPr>
            </w:pPr>
          </w:p>
        </w:tc>
      </w:tr>
      <w:tr w14:paraId="0121B2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02" w:type="dxa"/>
            <w:left w:w="28" w:type="dxa"/>
            <w:bottom w:w="102" w:type="dxa"/>
            <w:right w:w="28" w:type="dxa"/>
          </w:tblCellMar>
        </w:tblPrEx>
        <w:trPr>
          <w:trHeight w:val="746" w:hRule="atLeast"/>
        </w:trPr>
        <w:tc>
          <w:tcPr>
            <w:tcW w:w="581" w:type="dxa"/>
            <w:tcBorders>
              <w:top w:val="single" w:color="auto" w:sz="6" w:space="0"/>
              <w:left w:val="single" w:color="auto" w:sz="6" w:space="0"/>
              <w:bottom w:val="single" w:color="auto" w:sz="6" w:space="0"/>
              <w:right w:val="single" w:color="auto" w:sz="4" w:space="0"/>
            </w:tcBorders>
            <w:vAlign w:val="center"/>
          </w:tcPr>
          <w:p w14:paraId="67B32BA5">
            <w:pPr>
              <w:spacing w:line="300" w:lineRule="exact"/>
              <w:jc w:val="center"/>
              <w:rPr>
                <w:position w:val="-1"/>
              </w:rPr>
            </w:pPr>
            <w:r>
              <w:rPr>
                <w:position w:val="-1"/>
              </w:rPr>
              <w:t>8</w:t>
            </w:r>
          </w:p>
        </w:tc>
        <w:tc>
          <w:tcPr>
            <w:tcW w:w="1495" w:type="dxa"/>
            <w:tcBorders>
              <w:top w:val="single" w:color="auto" w:sz="6" w:space="0"/>
              <w:left w:val="single" w:color="auto" w:sz="4" w:space="0"/>
              <w:bottom w:val="single" w:color="auto" w:sz="6" w:space="0"/>
              <w:right w:val="single" w:color="auto" w:sz="6" w:space="0"/>
            </w:tcBorders>
            <w:vAlign w:val="center"/>
          </w:tcPr>
          <w:p w14:paraId="5F9E3D6B">
            <w:pPr>
              <w:spacing w:line="300" w:lineRule="exact"/>
              <w:jc w:val="left"/>
              <w:rPr>
                <w:position w:val="-1"/>
              </w:rPr>
            </w:pPr>
            <w:r>
              <w:rPr>
                <w:rFonts w:hint="eastAsia"/>
                <w:position w:val="-1"/>
              </w:rPr>
              <w:t>其他</w:t>
            </w:r>
          </w:p>
        </w:tc>
        <w:tc>
          <w:tcPr>
            <w:tcW w:w="4275" w:type="dxa"/>
            <w:gridSpan w:val="3"/>
            <w:tcBorders>
              <w:top w:val="single" w:color="auto" w:sz="6" w:space="0"/>
              <w:left w:val="single" w:color="auto" w:sz="6" w:space="0"/>
              <w:bottom w:val="single" w:color="auto" w:sz="6" w:space="0"/>
              <w:right w:val="single" w:color="auto" w:sz="6" w:space="0"/>
            </w:tcBorders>
            <w:vAlign w:val="center"/>
          </w:tcPr>
          <w:p w14:paraId="54A721F6">
            <w:pPr>
              <w:spacing w:line="300" w:lineRule="exact"/>
              <w:jc w:val="left"/>
              <w:rPr>
                <w:position w:val="-1"/>
              </w:rPr>
            </w:pPr>
          </w:p>
        </w:tc>
        <w:tc>
          <w:tcPr>
            <w:tcW w:w="1111" w:type="dxa"/>
            <w:tcBorders>
              <w:top w:val="single" w:color="auto" w:sz="6" w:space="0"/>
              <w:left w:val="single" w:color="auto" w:sz="6" w:space="0"/>
              <w:bottom w:val="single" w:color="auto" w:sz="6" w:space="0"/>
              <w:right w:val="single" w:color="auto" w:sz="6" w:space="0"/>
            </w:tcBorders>
            <w:vAlign w:val="center"/>
          </w:tcPr>
          <w:p w14:paraId="2ACED062">
            <w:pPr>
              <w:spacing w:line="300" w:lineRule="exact"/>
              <w:jc w:val="center"/>
              <w:rPr>
                <w:position w:val="-1"/>
              </w:rPr>
            </w:pPr>
          </w:p>
        </w:tc>
        <w:tc>
          <w:tcPr>
            <w:tcW w:w="1843" w:type="dxa"/>
            <w:tcBorders>
              <w:top w:val="single" w:color="auto" w:sz="6" w:space="0"/>
              <w:left w:val="single" w:color="auto" w:sz="6" w:space="0"/>
              <w:bottom w:val="single" w:color="auto" w:sz="6" w:space="0"/>
              <w:right w:val="single" w:color="auto" w:sz="6" w:space="0"/>
            </w:tcBorders>
            <w:vAlign w:val="center"/>
          </w:tcPr>
          <w:p w14:paraId="5B1CF64C">
            <w:pPr>
              <w:jc w:val="center"/>
              <w:rPr>
                <w:position w:val="-1"/>
              </w:rPr>
            </w:pPr>
          </w:p>
        </w:tc>
      </w:tr>
      <w:tr w14:paraId="155B91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02" w:type="dxa"/>
            <w:left w:w="28" w:type="dxa"/>
            <w:bottom w:w="102" w:type="dxa"/>
            <w:right w:w="28" w:type="dxa"/>
          </w:tblCellMar>
        </w:tblPrEx>
        <w:trPr>
          <w:trHeight w:val="746" w:hRule="atLeast"/>
        </w:trPr>
        <w:tc>
          <w:tcPr>
            <w:tcW w:w="2076" w:type="dxa"/>
            <w:gridSpan w:val="2"/>
            <w:tcBorders>
              <w:top w:val="single" w:color="auto" w:sz="6" w:space="0"/>
              <w:left w:val="single" w:color="auto" w:sz="6" w:space="0"/>
              <w:bottom w:val="single" w:color="auto" w:sz="6" w:space="0"/>
              <w:right w:val="single" w:color="auto" w:sz="6" w:space="0"/>
            </w:tcBorders>
            <w:vAlign w:val="center"/>
          </w:tcPr>
          <w:p w14:paraId="04C4F4E1">
            <w:pPr>
              <w:spacing w:line="300" w:lineRule="exact"/>
              <w:jc w:val="center"/>
              <w:rPr>
                <w:position w:val="-1"/>
              </w:rPr>
            </w:pPr>
            <w:r>
              <w:rPr>
                <w:rFonts w:hint="eastAsia"/>
                <w:position w:val="-1"/>
              </w:rPr>
              <w:t>巡检电工签字</w:t>
            </w:r>
          </w:p>
        </w:tc>
        <w:tc>
          <w:tcPr>
            <w:tcW w:w="4275" w:type="dxa"/>
            <w:gridSpan w:val="3"/>
            <w:tcBorders>
              <w:top w:val="single" w:color="auto" w:sz="6" w:space="0"/>
              <w:left w:val="single" w:color="auto" w:sz="6" w:space="0"/>
              <w:bottom w:val="single" w:color="auto" w:sz="6" w:space="0"/>
              <w:right w:val="single" w:color="auto" w:sz="6" w:space="0"/>
            </w:tcBorders>
            <w:vAlign w:val="center"/>
          </w:tcPr>
          <w:p w14:paraId="12F313B7">
            <w:pPr>
              <w:spacing w:line="300" w:lineRule="exact"/>
              <w:jc w:val="center"/>
              <w:rPr>
                <w:position w:val="-1"/>
              </w:rPr>
            </w:pPr>
          </w:p>
        </w:tc>
        <w:tc>
          <w:tcPr>
            <w:tcW w:w="1111" w:type="dxa"/>
            <w:tcBorders>
              <w:top w:val="single" w:color="auto" w:sz="6" w:space="0"/>
              <w:left w:val="single" w:color="auto" w:sz="6" w:space="0"/>
              <w:bottom w:val="single" w:color="auto" w:sz="6" w:space="0"/>
              <w:right w:val="single" w:color="auto" w:sz="6" w:space="0"/>
            </w:tcBorders>
            <w:vAlign w:val="center"/>
          </w:tcPr>
          <w:p w14:paraId="12480665">
            <w:pPr>
              <w:spacing w:line="300" w:lineRule="exact"/>
              <w:jc w:val="center"/>
            </w:pPr>
            <w:r>
              <w:rPr>
                <w:rFonts w:hint="eastAsia"/>
                <w:position w:val="-1"/>
              </w:rPr>
              <w:t>记录人</w:t>
            </w:r>
          </w:p>
        </w:tc>
        <w:tc>
          <w:tcPr>
            <w:tcW w:w="1843" w:type="dxa"/>
            <w:tcBorders>
              <w:top w:val="single" w:color="auto" w:sz="6" w:space="0"/>
              <w:left w:val="single" w:color="auto" w:sz="6" w:space="0"/>
              <w:bottom w:val="single" w:color="auto" w:sz="6" w:space="0"/>
              <w:right w:val="single" w:color="auto" w:sz="6" w:space="0"/>
            </w:tcBorders>
            <w:vAlign w:val="center"/>
          </w:tcPr>
          <w:p w14:paraId="7029F9A8">
            <w:pPr>
              <w:jc w:val="center"/>
              <w:rPr>
                <w:position w:val="-1"/>
              </w:rPr>
            </w:pPr>
          </w:p>
        </w:tc>
      </w:tr>
    </w:tbl>
    <w:p w14:paraId="74E70E7C">
      <w:pPr>
        <w:pStyle w:val="17"/>
        <w:rPr>
          <w:color w:val="auto"/>
          <w:sz w:val="21"/>
          <w:szCs w:val="21"/>
        </w:rPr>
      </w:pPr>
      <w:bookmarkStart w:id="634" w:name="PageNo101640158"/>
      <w:bookmarkStart w:id="635" w:name="_Toc2024"/>
      <w:bookmarkStart w:id="636" w:name="_Toc21773"/>
      <w:r>
        <w:rPr>
          <w:rFonts w:hint="eastAsia"/>
          <w:color w:val="auto"/>
          <w:sz w:val="21"/>
          <w:szCs w:val="21"/>
        </w:rPr>
        <w:t>注</w:t>
      </w:r>
      <w:bookmarkEnd w:id="634"/>
      <w:r>
        <w:rPr>
          <w:rFonts w:hint="eastAsia"/>
          <w:color w:val="auto"/>
          <w:sz w:val="21"/>
          <w:szCs w:val="21"/>
        </w:rPr>
        <w:t>：本表由施工单位巡检电工填写</w:t>
      </w:r>
      <w:bookmarkEnd w:id="635"/>
      <w:bookmarkEnd w:id="636"/>
      <w:r>
        <w:rPr>
          <w:rFonts w:hint="eastAsia"/>
          <w:color w:val="auto"/>
          <w:sz w:val="21"/>
          <w:szCs w:val="21"/>
        </w:rPr>
        <w:t>；</w:t>
      </w:r>
      <w:r>
        <w:rPr>
          <w:rFonts w:hint="eastAsia"/>
          <w:color w:val="auto"/>
          <w:sz w:val="21"/>
        </w:rPr>
        <w:t>一式两份，监理单位、施工单位各</w:t>
      </w:r>
      <w:r>
        <w:rPr>
          <w:rFonts w:hint="eastAsia"/>
          <w:color w:val="auto"/>
          <w:sz w:val="21"/>
          <w:szCs w:val="21"/>
        </w:rPr>
        <w:t>留存</w:t>
      </w:r>
      <w:r>
        <w:rPr>
          <w:rFonts w:hint="eastAsia"/>
          <w:color w:val="auto"/>
          <w:sz w:val="21"/>
        </w:rPr>
        <w:t>一份。</w:t>
      </w:r>
    </w:p>
    <w:bookmarkEnd w:id="626"/>
    <w:bookmarkEnd w:id="627"/>
    <w:bookmarkEnd w:id="628"/>
    <w:bookmarkEnd w:id="633"/>
    <w:p w14:paraId="5F23AFF8">
      <w:pPr>
        <w:pStyle w:val="40"/>
        <w:spacing w:before="120"/>
        <w:jc w:val="both"/>
        <w:rPr>
          <w:b/>
          <w:color w:val="auto"/>
          <w:sz w:val="20"/>
        </w:rPr>
      </w:pPr>
      <w:r>
        <w:rPr>
          <w:b/>
          <w:bCs w:val="0"/>
          <w:color w:val="auto"/>
          <w:sz w:val="24"/>
          <w:szCs w:val="24"/>
        </w:rPr>
        <w:t>A.0.3</w:t>
      </w:r>
      <w:r>
        <w:rPr>
          <w:color w:val="auto"/>
          <w:sz w:val="24"/>
          <w:szCs w:val="24"/>
        </w:rPr>
        <w:t xml:space="preserve">  </w:t>
      </w:r>
      <w:r>
        <w:rPr>
          <w:rFonts w:hint="eastAsia"/>
          <w:color w:val="auto"/>
          <w:sz w:val="24"/>
          <w:szCs w:val="24"/>
        </w:rPr>
        <w:t>施工用电工程方案审批应符合表</w:t>
      </w:r>
      <w:r>
        <w:rPr>
          <w:color w:val="auto"/>
          <w:sz w:val="24"/>
          <w:szCs w:val="24"/>
        </w:rPr>
        <w:t>A.0.3</w:t>
      </w:r>
      <w:r>
        <w:rPr>
          <w:rFonts w:hint="eastAsia"/>
          <w:color w:val="auto"/>
          <w:sz w:val="24"/>
          <w:szCs w:val="24"/>
        </w:rPr>
        <w:t>的规定。</w:t>
      </w:r>
    </w:p>
    <w:p w14:paraId="77229FEC">
      <w:pPr>
        <w:pStyle w:val="40"/>
        <w:spacing w:before="120"/>
        <w:rPr>
          <w:b/>
          <w:bCs w:val="0"/>
          <w:color w:val="auto"/>
          <w:szCs w:val="24"/>
        </w:rPr>
      </w:pPr>
      <w:r>
        <w:rPr>
          <w:rFonts w:hint="eastAsia"/>
          <w:b/>
          <w:bCs w:val="0"/>
          <w:color w:val="auto"/>
          <w:szCs w:val="24"/>
        </w:rPr>
        <w:t>表</w:t>
      </w:r>
      <w:r>
        <w:rPr>
          <w:b/>
          <w:bCs w:val="0"/>
          <w:color w:val="auto"/>
          <w:szCs w:val="24"/>
        </w:rPr>
        <w:t xml:space="preserve">A.0.3 </w:t>
      </w:r>
      <w:r>
        <w:rPr>
          <w:rFonts w:hint="eastAsia"/>
          <w:b/>
          <w:bCs w:val="0"/>
          <w:color w:val="auto"/>
          <w:szCs w:val="24"/>
        </w:rPr>
        <w:t>施工用电工程方案审批表</w:t>
      </w:r>
    </w:p>
    <w:tbl>
      <w:tblPr>
        <w:tblStyle w:val="18"/>
        <w:tblW w:w="932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06"/>
        <w:gridCol w:w="4166"/>
        <w:gridCol w:w="1605"/>
        <w:gridCol w:w="2645"/>
      </w:tblGrid>
      <w:tr w14:paraId="039D78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1" w:hRule="atLeast"/>
        </w:trPr>
        <w:tc>
          <w:tcPr>
            <w:tcW w:w="5072" w:type="dxa"/>
            <w:gridSpan w:val="2"/>
            <w:vAlign w:val="center"/>
          </w:tcPr>
          <w:p w14:paraId="065E10FB">
            <w:pPr>
              <w:widowControl/>
              <w:jc w:val="center"/>
              <w:rPr>
                <w:bCs/>
                <w:kern w:val="0"/>
              </w:rPr>
            </w:pPr>
            <w:r>
              <w:rPr>
                <w:rFonts w:hint="eastAsia"/>
                <w:bCs/>
                <w:kern w:val="0"/>
              </w:rPr>
              <w:t>施工用电工程方案审批表</w:t>
            </w:r>
          </w:p>
        </w:tc>
        <w:tc>
          <w:tcPr>
            <w:tcW w:w="1605" w:type="dxa"/>
            <w:tcBorders>
              <w:right w:val="single" w:color="auto" w:sz="4" w:space="0"/>
            </w:tcBorders>
            <w:vAlign w:val="center"/>
          </w:tcPr>
          <w:p w14:paraId="61BE248E">
            <w:pPr>
              <w:spacing w:line="360" w:lineRule="auto"/>
              <w:jc w:val="center"/>
            </w:pPr>
            <w:r>
              <w:rPr>
                <w:kern w:val="0"/>
              </w:rPr>
              <w:t xml:space="preserve"> </w:t>
            </w:r>
            <w:r>
              <w:rPr>
                <w:rFonts w:hint="eastAsia"/>
                <w:kern w:val="0"/>
              </w:rPr>
              <w:t>编号</w:t>
            </w:r>
          </w:p>
        </w:tc>
        <w:tc>
          <w:tcPr>
            <w:tcW w:w="2645" w:type="dxa"/>
            <w:tcBorders>
              <w:left w:val="single" w:color="auto" w:sz="4" w:space="0"/>
            </w:tcBorders>
            <w:vAlign w:val="center"/>
          </w:tcPr>
          <w:p w14:paraId="568D3E57">
            <w:pPr>
              <w:spacing w:line="360" w:lineRule="auto"/>
              <w:ind w:firstLine="630" w:firstLineChars="300"/>
              <w:jc w:val="center"/>
            </w:pPr>
            <w:r>
              <w:rPr>
                <w:bCs/>
                <w:kern w:val="0"/>
              </w:rPr>
              <w:t xml:space="preserve"> </w:t>
            </w:r>
          </w:p>
        </w:tc>
      </w:tr>
      <w:tr w14:paraId="4AFFE4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906" w:type="dxa"/>
            <w:vAlign w:val="center"/>
          </w:tcPr>
          <w:p w14:paraId="4B333172">
            <w:pPr>
              <w:jc w:val="center"/>
            </w:pPr>
            <w:r>
              <w:rPr>
                <w:rFonts w:hint="eastAsia"/>
              </w:rPr>
              <w:t>工程名称</w:t>
            </w:r>
          </w:p>
        </w:tc>
        <w:tc>
          <w:tcPr>
            <w:tcW w:w="8416" w:type="dxa"/>
            <w:gridSpan w:val="3"/>
          </w:tcPr>
          <w:p w14:paraId="05FCB6DD">
            <w:pPr>
              <w:spacing w:line="360" w:lineRule="auto"/>
              <w:ind w:firstLine="630" w:firstLineChars="300"/>
              <w:jc w:val="right"/>
            </w:pPr>
          </w:p>
        </w:tc>
      </w:tr>
      <w:tr w14:paraId="0017EC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58" w:hRule="atLeast"/>
        </w:trPr>
        <w:tc>
          <w:tcPr>
            <w:tcW w:w="9322" w:type="dxa"/>
            <w:gridSpan w:val="4"/>
          </w:tcPr>
          <w:p w14:paraId="55F190C8">
            <w:pPr>
              <w:spacing w:line="360" w:lineRule="auto"/>
            </w:pPr>
          </w:p>
          <w:p w14:paraId="2F4C2246">
            <w:pPr>
              <w:spacing w:line="360" w:lineRule="auto"/>
            </w:pPr>
            <w:r>
              <w:rPr>
                <w:rFonts w:hint="eastAsia"/>
              </w:rPr>
              <w:t>致：</w:t>
            </w:r>
            <w:r>
              <w:rPr>
                <w:u w:val="single"/>
              </w:rPr>
              <w:t xml:space="preserve">                                                   </w:t>
            </w:r>
            <w:r>
              <w:rPr>
                <w:rFonts w:hint="eastAsia"/>
              </w:rPr>
              <w:t>（项目监理机构）</w:t>
            </w:r>
          </w:p>
          <w:p w14:paraId="16CB9433">
            <w:pPr>
              <w:spacing w:line="360" w:lineRule="auto"/>
              <w:ind w:firstLine="420" w:firstLineChars="200"/>
            </w:pPr>
            <w:r>
              <w:rPr>
                <w:rFonts w:hint="eastAsia"/>
              </w:rPr>
              <w:t>我方已完成</w:t>
            </w:r>
            <w:r>
              <w:rPr>
                <w:u w:val="single"/>
              </w:rPr>
              <w:t xml:space="preserve">                                               </w:t>
            </w:r>
            <w:r>
              <w:rPr>
                <w:rFonts w:hint="eastAsia"/>
              </w:rPr>
              <w:t>施工用电工程方案的编制和审批，请予以审查。</w:t>
            </w:r>
          </w:p>
          <w:p w14:paraId="1B0127EB">
            <w:pPr>
              <w:spacing w:line="360" w:lineRule="auto"/>
              <w:ind w:firstLine="420" w:firstLineChars="200"/>
            </w:pPr>
            <w:r>
              <w:rPr>
                <w:rFonts w:hint="eastAsia"/>
              </w:rPr>
              <w:t>附件：□ 施工用电工程方案</w:t>
            </w:r>
          </w:p>
          <w:p w14:paraId="16652F7A">
            <w:pPr>
              <w:wordWrap w:val="0"/>
              <w:spacing w:line="360" w:lineRule="auto"/>
              <w:ind w:right="840" w:firstLine="5460" w:firstLineChars="2600"/>
            </w:pPr>
          </w:p>
          <w:p w14:paraId="42DB0B46">
            <w:pPr>
              <w:wordWrap w:val="0"/>
              <w:spacing w:line="360" w:lineRule="auto"/>
              <w:ind w:right="840" w:firstLine="5460" w:firstLineChars="2600"/>
            </w:pPr>
          </w:p>
          <w:p w14:paraId="684C5FDB">
            <w:pPr>
              <w:wordWrap w:val="0"/>
              <w:spacing w:line="360" w:lineRule="auto"/>
              <w:ind w:right="840" w:firstLine="5460" w:firstLineChars="2600"/>
            </w:pPr>
            <w:r>
              <w:rPr>
                <w:rFonts w:hint="eastAsia"/>
              </w:rPr>
              <w:t>企业技术负责人（签字）：</w:t>
            </w:r>
          </w:p>
          <w:p w14:paraId="5506562F">
            <w:pPr>
              <w:wordWrap w:val="0"/>
              <w:spacing w:line="360" w:lineRule="auto"/>
              <w:ind w:right="840" w:firstLine="6090" w:firstLineChars="2900"/>
            </w:pPr>
            <w:r>
              <w:rPr>
                <w:rFonts w:hint="eastAsia"/>
              </w:rPr>
              <w:t>施工企业（盖章）</w:t>
            </w:r>
          </w:p>
          <w:p w14:paraId="6F252C0D">
            <w:pPr>
              <w:spacing w:line="360" w:lineRule="auto"/>
              <w:ind w:right="420"/>
            </w:pPr>
            <w:r>
              <w:t xml:space="preserve">                                                           </w:t>
            </w:r>
            <w:r>
              <w:rPr>
                <w:rFonts w:hint="eastAsia"/>
              </w:rPr>
              <w:t>年</w:t>
            </w:r>
            <w:r>
              <w:t xml:space="preserve">   </w:t>
            </w:r>
            <w:r>
              <w:rPr>
                <w:rFonts w:hint="eastAsia"/>
              </w:rPr>
              <w:t>月</w:t>
            </w:r>
            <w:r>
              <w:t xml:space="preserve">   </w:t>
            </w:r>
            <w:r>
              <w:rPr>
                <w:rFonts w:hint="eastAsia"/>
              </w:rPr>
              <w:t>日</w:t>
            </w:r>
          </w:p>
        </w:tc>
      </w:tr>
      <w:tr w14:paraId="7A7BAE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51" w:hRule="atLeast"/>
        </w:trPr>
        <w:tc>
          <w:tcPr>
            <w:tcW w:w="9322" w:type="dxa"/>
            <w:gridSpan w:val="4"/>
          </w:tcPr>
          <w:p w14:paraId="30E82F43">
            <w:pPr>
              <w:spacing w:line="360" w:lineRule="auto"/>
            </w:pPr>
            <w:r>
              <w:rPr>
                <w:rFonts w:hint="eastAsia"/>
              </w:rPr>
              <w:t>审查意见：</w:t>
            </w:r>
          </w:p>
          <w:p w14:paraId="5669F2E9">
            <w:pPr>
              <w:wordWrap w:val="0"/>
              <w:spacing w:line="360" w:lineRule="auto"/>
              <w:ind w:right="1050"/>
              <w:jc w:val="right"/>
            </w:pPr>
          </w:p>
          <w:p w14:paraId="3998A664">
            <w:pPr>
              <w:spacing w:line="360" w:lineRule="auto"/>
              <w:ind w:right="2130"/>
              <w:jc w:val="right"/>
            </w:pPr>
          </w:p>
          <w:p w14:paraId="30342AB0">
            <w:pPr>
              <w:spacing w:line="360" w:lineRule="auto"/>
              <w:ind w:right="1380"/>
              <w:jc w:val="right"/>
            </w:pPr>
            <w:r>
              <w:rPr>
                <w:rFonts w:hint="eastAsia"/>
              </w:rPr>
              <w:t>专业监理工程师（签字）：</w:t>
            </w:r>
            <w:r>
              <w:t xml:space="preserve">                                                       </w:t>
            </w:r>
          </w:p>
          <w:p w14:paraId="5C566C0A">
            <w:pPr>
              <w:spacing w:line="360" w:lineRule="auto"/>
              <w:ind w:right="1470"/>
              <w:jc w:val="center"/>
            </w:pPr>
            <w:r>
              <w:t xml:space="preserve">                                                      </w:t>
            </w:r>
            <w:r>
              <w:rPr>
                <w:rFonts w:hint="eastAsia"/>
              </w:rPr>
              <w:t>年</w:t>
            </w:r>
            <w:r>
              <w:t xml:space="preserve">   </w:t>
            </w:r>
            <w:r>
              <w:rPr>
                <w:rFonts w:hint="eastAsia"/>
              </w:rPr>
              <w:t>月</w:t>
            </w:r>
            <w:r>
              <w:t xml:space="preserve">   </w:t>
            </w:r>
            <w:r>
              <w:rPr>
                <w:rFonts w:hint="eastAsia"/>
              </w:rPr>
              <w:t>日</w:t>
            </w:r>
            <w:r>
              <w:t xml:space="preserve">  </w:t>
            </w:r>
          </w:p>
        </w:tc>
      </w:tr>
      <w:tr w14:paraId="6CE01D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10" w:hRule="atLeast"/>
        </w:trPr>
        <w:tc>
          <w:tcPr>
            <w:tcW w:w="9322" w:type="dxa"/>
            <w:gridSpan w:val="4"/>
          </w:tcPr>
          <w:p w14:paraId="75D3CA14">
            <w:pPr>
              <w:spacing w:line="360" w:lineRule="auto"/>
            </w:pPr>
            <w:r>
              <w:rPr>
                <w:rFonts w:hint="eastAsia"/>
              </w:rPr>
              <w:t>审核意见：</w:t>
            </w:r>
          </w:p>
          <w:p w14:paraId="58FC53FB">
            <w:pPr>
              <w:wordWrap w:val="0"/>
              <w:spacing w:line="360" w:lineRule="auto"/>
            </w:pPr>
            <w:r>
              <w:t xml:space="preserve">                                          </w:t>
            </w:r>
          </w:p>
          <w:p w14:paraId="632EA19E">
            <w:pPr>
              <w:wordWrap w:val="0"/>
              <w:spacing w:line="360" w:lineRule="auto"/>
            </w:pPr>
          </w:p>
          <w:p w14:paraId="0EFB17A6">
            <w:pPr>
              <w:wordWrap w:val="0"/>
              <w:spacing w:line="360" w:lineRule="auto"/>
              <w:ind w:firstLine="3990" w:firstLineChars="1900"/>
            </w:pPr>
            <w:r>
              <w:rPr>
                <w:rFonts w:hint="eastAsia"/>
              </w:rPr>
              <w:t>总监理工程师（签字、盖职业资格印章）：</w:t>
            </w:r>
          </w:p>
          <w:p w14:paraId="51C6E856">
            <w:pPr>
              <w:wordWrap w:val="0"/>
              <w:spacing w:line="360" w:lineRule="auto"/>
              <w:ind w:firstLine="6090" w:firstLineChars="2900"/>
            </w:pPr>
            <w:r>
              <w:rPr>
                <w:rFonts w:hint="eastAsia"/>
              </w:rPr>
              <w:t>监理单位（盖章）</w:t>
            </w:r>
            <w:r>
              <w:t xml:space="preserve"> </w:t>
            </w:r>
          </w:p>
          <w:p w14:paraId="56CC0B73">
            <w:pPr>
              <w:spacing w:line="360" w:lineRule="auto"/>
              <w:ind w:right="420"/>
            </w:pPr>
            <w:r>
              <w:t xml:space="preserve">                                                            </w:t>
            </w:r>
            <w:r>
              <w:rPr>
                <w:rFonts w:hint="eastAsia"/>
              </w:rPr>
              <w:t>年</w:t>
            </w:r>
            <w:r>
              <w:t xml:space="preserve">   </w:t>
            </w:r>
            <w:r>
              <w:rPr>
                <w:rFonts w:hint="eastAsia"/>
              </w:rPr>
              <w:t>月</w:t>
            </w:r>
            <w:r>
              <w:t xml:space="preserve">   </w:t>
            </w:r>
            <w:r>
              <w:rPr>
                <w:rFonts w:hint="eastAsia"/>
              </w:rPr>
              <w:t>日</w:t>
            </w:r>
          </w:p>
        </w:tc>
      </w:tr>
      <w:tr w14:paraId="02C32C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54" w:hRule="atLeast"/>
        </w:trPr>
        <w:tc>
          <w:tcPr>
            <w:tcW w:w="9322" w:type="dxa"/>
            <w:gridSpan w:val="4"/>
          </w:tcPr>
          <w:p w14:paraId="6CD13411">
            <w:pPr>
              <w:spacing w:line="360" w:lineRule="auto"/>
            </w:pPr>
            <w:r>
              <w:rPr>
                <w:rFonts w:hint="eastAsia"/>
              </w:rPr>
              <w:t>审批意见：</w:t>
            </w:r>
          </w:p>
          <w:p w14:paraId="30C75E66">
            <w:pPr>
              <w:wordWrap w:val="0"/>
              <w:spacing w:line="360" w:lineRule="auto"/>
              <w:ind w:right="240"/>
            </w:pPr>
            <w:r>
              <w:t xml:space="preserve">                                          </w:t>
            </w:r>
          </w:p>
          <w:p w14:paraId="6B7D2A05">
            <w:pPr>
              <w:wordWrap w:val="0"/>
              <w:spacing w:line="360" w:lineRule="auto"/>
              <w:ind w:right="240"/>
            </w:pPr>
          </w:p>
          <w:p w14:paraId="3BC20025">
            <w:pPr>
              <w:wordWrap w:val="0"/>
              <w:spacing w:line="360" w:lineRule="auto"/>
              <w:ind w:right="240" w:firstLine="5670" w:firstLineChars="2700"/>
            </w:pPr>
            <w:r>
              <w:rPr>
                <w:rFonts w:hint="eastAsia"/>
              </w:rPr>
              <w:t>建设单位代表（签字）：</w:t>
            </w:r>
          </w:p>
          <w:p w14:paraId="1C8C6EE0">
            <w:pPr>
              <w:wordWrap w:val="0"/>
              <w:spacing w:line="360" w:lineRule="auto"/>
              <w:ind w:right="240" w:firstLine="6090" w:firstLineChars="2900"/>
            </w:pPr>
            <w:r>
              <w:rPr>
                <w:rFonts w:hint="eastAsia"/>
              </w:rPr>
              <w:t>建设单位（盖章）</w:t>
            </w:r>
            <w:r>
              <w:t xml:space="preserve"> </w:t>
            </w:r>
          </w:p>
          <w:p w14:paraId="52863C46">
            <w:pPr>
              <w:spacing w:line="360" w:lineRule="auto"/>
              <w:ind w:right="420"/>
            </w:pPr>
            <w:r>
              <w:t xml:space="preserve">                                                            </w:t>
            </w:r>
            <w:r>
              <w:rPr>
                <w:rFonts w:hint="eastAsia"/>
              </w:rPr>
              <w:t>年</w:t>
            </w:r>
            <w:r>
              <w:t xml:space="preserve">   </w:t>
            </w:r>
            <w:r>
              <w:rPr>
                <w:rFonts w:hint="eastAsia"/>
              </w:rPr>
              <w:t>月</w:t>
            </w:r>
            <w:r>
              <w:t xml:space="preserve">   </w:t>
            </w:r>
            <w:r>
              <w:rPr>
                <w:rFonts w:hint="eastAsia"/>
              </w:rPr>
              <w:t>日</w:t>
            </w:r>
          </w:p>
        </w:tc>
      </w:tr>
    </w:tbl>
    <w:p w14:paraId="148B8FF7">
      <w:pPr>
        <w:rPr>
          <w:szCs w:val="24"/>
        </w:rPr>
      </w:pPr>
      <w:r>
        <w:rPr>
          <w:rFonts w:hint="eastAsia"/>
        </w:rPr>
        <w:t>注：本表由施工单位填写；一式三份，建设单位、监理单位、施工单位各留存一份。</w:t>
      </w:r>
    </w:p>
    <w:bookmarkEnd w:id="629"/>
    <w:p w14:paraId="491EA5B6">
      <w:pPr>
        <w:pStyle w:val="40"/>
        <w:spacing w:before="120"/>
        <w:rPr>
          <w:rFonts w:hint="eastAsia" w:ascii="宋体" w:hAnsi="宋体" w:cs="宋体"/>
          <w:color w:val="auto"/>
          <w:szCs w:val="24"/>
        </w:rPr>
      </w:pPr>
      <w:r>
        <w:rPr>
          <w:rFonts w:hint="eastAsia" w:ascii="宋体" w:hAnsi="宋体" w:cs="宋体"/>
          <w:color w:val="auto"/>
          <w:szCs w:val="24"/>
        </w:rPr>
        <w:br w:type="page"/>
      </w:r>
    </w:p>
    <w:p w14:paraId="37C823B0">
      <w:pPr>
        <w:pStyle w:val="40"/>
        <w:spacing w:before="120"/>
        <w:jc w:val="both"/>
        <w:rPr>
          <w:b/>
          <w:bCs w:val="0"/>
          <w:color w:val="auto"/>
          <w:szCs w:val="24"/>
        </w:rPr>
      </w:pPr>
      <w:r>
        <w:rPr>
          <w:b/>
          <w:bCs w:val="0"/>
          <w:color w:val="auto"/>
          <w:sz w:val="24"/>
          <w:szCs w:val="24"/>
        </w:rPr>
        <w:t>A.0.4</w:t>
      </w:r>
      <w:r>
        <w:rPr>
          <w:color w:val="auto"/>
          <w:sz w:val="24"/>
          <w:szCs w:val="24"/>
        </w:rPr>
        <w:t xml:space="preserve">  </w:t>
      </w:r>
      <w:r>
        <w:rPr>
          <w:rFonts w:hint="eastAsia"/>
          <w:color w:val="auto"/>
          <w:sz w:val="24"/>
          <w:szCs w:val="24"/>
        </w:rPr>
        <w:t>施工用电分项工程验收应符合表</w:t>
      </w:r>
      <w:r>
        <w:rPr>
          <w:color w:val="auto"/>
          <w:sz w:val="24"/>
          <w:szCs w:val="24"/>
        </w:rPr>
        <w:t>A.0.4</w:t>
      </w:r>
      <w:r>
        <w:rPr>
          <w:rFonts w:hint="eastAsia"/>
          <w:color w:val="auto"/>
          <w:sz w:val="24"/>
          <w:szCs w:val="24"/>
        </w:rPr>
        <w:t>的规定。</w:t>
      </w:r>
    </w:p>
    <w:p w14:paraId="140DF859">
      <w:pPr>
        <w:pStyle w:val="40"/>
        <w:spacing w:before="120"/>
        <w:rPr>
          <w:b/>
          <w:bCs w:val="0"/>
          <w:color w:val="auto"/>
          <w:szCs w:val="24"/>
        </w:rPr>
      </w:pPr>
      <w:r>
        <w:rPr>
          <w:rFonts w:hint="eastAsia"/>
          <w:b/>
          <w:bCs w:val="0"/>
          <w:color w:val="auto"/>
          <w:szCs w:val="24"/>
        </w:rPr>
        <w:t>表</w:t>
      </w:r>
      <w:r>
        <w:rPr>
          <w:b/>
          <w:bCs w:val="0"/>
          <w:color w:val="auto"/>
          <w:szCs w:val="24"/>
        </w:rPr>
        <w:t xml:space="preserve">A.0.4 </w:t>
      </w:r>
      <w:r>
        <w:rPr>
          <w:rFonts w:hint="eastAsia"/>
          <w:b/>
          <w:bCs w:val="0"/>
          <w:color w:val="auto"/>
          <w:szCs w:val="24"/>
        </w:rPr>
        <w:t>施工用电分项工程验收表</w:t>
      </w:r>
    </w:p>
    <w:tbl>
      <w:tblPr>
        <w:tblStyle w:val="18"/>
        <w:tblW w:w="916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102" w:type="dxa"/>
          <w:left w:w="28" w:type="dxa"/>
          <w:bottom w:w="102" w:type="dxa"/>
          <w:right w:w="28" w:type="dxa"/>
        </w:tblCellMar>
      </w:tblPr>
      <w:tblGrid>
        <w:gridCol w:w="880"/>
        <w:gridCol w:w="1418"/>
        <w:gridCol w:w="1287"/>
        <w:gridCol w:w="1428"/>
        <w:gridCol w:w="1308"/>
        <w:gridCol w:w="1476"/>
        <w:gridCol w:w="1365"/>
      </w:tblGrid>
      <w:tr w14:paraId="5D70AA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02" w:type="dxa"/>
            <w:left w:w="28" w:type="dxa"/>
            <w:bottom w:w="102" w:type="dxa"/>
            <w:right w:w="28" w:type="dxa"/>
          </w:tblCellMar>
        </w:tblPrEx>
        <w:trPr>
          <w:trHeight w:val="445" w:hRule="atLeast"/>
          <w:jc w:val="center"/>
        </w:trPr>
        <w:tc>
          <w:tcPr>
            <w:tcW w:w="6321" w:type="dxa"/>
            <w:gridSpan w:val="5"/>
            <w:tcBorders>
              <w:top w:val="single" w:color="auto" w:sz="6" w:space="0"/>
              <w:left w:val="single" w:color="auto" w:sz="6" w:space="0"/>
              <w:bottom w:val="single" w:color="auto" w:sz="6" w:space="0"/>
              <w:right w:val="single" w:color="auto" w:sz="6" w:space="0"/>
            </w:tcBorders>
            <w:vAlign w:val="center"/>
          </w:tcPr>
          <w:p w14:paraId="76FD26E6">
            <w:pPr>
              <w:widowControl/>
              <w:snapToGrid w:val="0"/>
              <w:jc w:val="center"/>
              <w:textAlignment w:val="center"/>
              <w:rPr>
                <w:bCs/>
                <w:lang w:bidi="ar"/>
              </w:rPr>
            </w:pPr>
            <w:r>
              <w:rPr>
                <w:rFonts w:hint="eastAsia"/>
                <w:bCs/>
                <w:lang w:bidi="ar"/>
              </w:rPr>
              <w:t>施工用电分项工程验收表</w:t>
            </w:r>
          </w:p>
        </w:tc>
        <w:tc>
          <w:tcPr>
            <w:tcW w:w="1476" w:type="dxa"/>
            <w:tcBorders>
              <w:top w:val="single" w:color="auto" w:sz="6" w:space="0"/>
              <w:left w:val="single" w:color="auto" w:sz="6" w:space="0"/>
              <w:bottom w:val="single" w:color="auto" w:sz="6" w:space="0"/>
              <w:right w:val="single" w:color="auto" w:sz="6" w:space="0"/>
            </w:tcBorders>
            <w:vAlign w:val="center"/>
          </w:tcPr>
          <w:p w14:paraId="68CA4B13">
            <w:pPr>
              <w:snapToGrid w:val="0"/>
              <w:jc w:val="center"/>
              <w:rPr>
                <w:position w:val="-3"/>
              </w:rPr>
            </w:pPr>
            <w:r>
              <w:rPr>
                <w:rFonts w:hint="eastAsia"/>
                <w:position w:val="-3"/>
              </w:rPr>
              <w:t>编号</w:t>
            </w:r>
          </w:p>
        </w:tc>
        <w:tc>
          <w:tcPr>
            <w:tcW w:w="1365" w:type="dxa"/>
            <w:tcBorders>
              <w:top w:val="single" w:color="auto" w:sz="6" w:space="0"/>
              <w:left w:val="single" w:color="auto" w:sz="6" w:space="0"/>
              <w:bottom w:val="single" w:color="auto" w:sz="6" w:space="0"/>
              <w:right w:val="single" w:color="auto" w:sz="6" w:space="0"/>
            </w:tcBorders>
            <w:vAlign w:val="center"/>
          </w:tcPr>
          <w:p w14:paraId="33AF0C1E">
            <w:pPr>
              <w:snapToGrid w:val="0"/>
              <w:rPr>
                <w:position w:val="-3"/>
              </w:rPr>
            </w:pPr>
          </w:p>
        </w:tc>
      </w:tr>
      <w:tr w14:paraId="18913A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02" w:type="dxa"/>
            <w:left w:w="28" w:type="dxa"/>
            <w:bottom w:w="102" w:type="dxa"/>
            <w:right w:w="28" w:type="dxa"/>
          </w:tblCellMar>
        </w:tblPrEx>
        <w:trPr>
          <w:trHeight w:val="90" w:hRule="atLeast"/>
          <w:jc w:val="center"/>
        </w:trPr>
        <w:tc>
          <w:tcPr>
            <w:tcW w:w="2298" w:type="dxa"/>
            <w:gridSpan w:val="2"/>
            <w:tcBorders>
              <w:top w:val="single" w:color="auto" w:sz="6" w:space="0"/>
              <w:left w:val="single" w:color="auto" w:sz="6" w:space="0"/>
              <w:bottom w:val="single" w:color="auto" w:sz="6" w:space="0"/>
              <w:right w:val="single" w:color="auto" w:sz="6" w:space="0"/>
            </w:tcBorders>
            <w:vAlign w:val="center"/>
          </w:tcPr>
          <w:p w14:paraId="463D3A91">
            <w:pPr>
              <w:jc w:val="center"/>
              <w:rPr>
                <w:position w:val="-3"/>
              </w:rPr>
            </w:pPr>
            <w:r>
              <w:rPr>
                <w:rFonts w:hint="eastAsia"/>
              </w:rPr>
              <w:t>工程名称</w:t>
            </w:r>
          </w:p>
        </w:tc>
        <w:tc>
          <w:tcPr>
            <w:tcW w:w="2715" w:type="dxa"/>
            <w:gridSpan w:val="2"/>
            <w:tcBorders>
              <w:top w:val="single" w:color="auto" w:sz="6" w:space="0"/>
              <w:left w:val="single" w:color="auto" w:sz="6" w:space="0"/>
              <w:bottom w:val="single" w:color="auto" w:sz="6" w:space="0"/>
              <w:right w:val="single" w:color="auto" w:sz="6" w:space="0"/>
            </w:tcBorders>
          </w:tcPr>
          <w:p w14:paraId="35FCABB0">
            <w:pPr>
              <w:jc w:val="center"/>
            </w:pPr>
          </w:p>
        </w:tc>
        <w:tc>
          <w:tcPr>
            <w:tcW w:w="1308" w:type="dxa"/>
            <w:tcBorders>
              <w:top w:val="single" w:color="auto" w:sz="6" w:space="0"/>
              <w:left w:val="single" w:color="auto" w:sz="6" w:space="0"/>
              <w:bottom w:val="single" w:color="auto" w:sz="6" w:space="0"/>
              <w:right w:val="single" w:color="auto" w:sz="6" w:space="0"/>
            </w:tcBorders>
            <w:vAlign w:val="center"/>
          </w:tcPr>
          <w:p w14:paraId="39533EB4">
            <w:pPr>
              <w:jc w:val="center"/>
            </w:pPr>
            <w:r>
              <w:rPr>
                <w:rFonts w:hint="eastAsia"/>
              </w:rPr>
              <w:t>施工单位</w:t>
            </w:r>
          </w:p>
        </w:tc>
        <w:tc>
          <w:tcPr>
            <w:tcW w:w="2841" w:type="dxa"/>
            <w:gridSpan w:val="2"/>
            <w:tcBorders>
              <w:top w:val="single" w:color="auto" w:sz="6" w:space="0"/>
              <w:left w:val="single" w:color="auto" w:sz="6" w:space="0"/>
              <w:bottom w:val="single" w:color="auto" w:sz="6" w:space="0"/>
              <w:right w:val="single" w:color="auto" w:sz="6" w:space="0"/>
            </w:tcBorders>
            <w:vAlign w:val="center"/>
          </w:tcPr>
          <w:p w14:paraId="499948F8">
            <w:pPr>
              <w:jc w:val="center"/>
              <w:rPr>
                <w:position w:val="-1"/>
              </w:rPr>
            </w:pPr>
          </w:p>
        </w:tc>
      </w:tr>
      <w:tr w14:paraId="7F5CCD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02" w:type="dxa"/>
            <w:left w:w="28" w:type="dxa"/>
            <w:bottom w:w="102" w:type="dxa"/>
            <w:right w:w="28" w:type="dxa"/>
          </w:tblCellMar>
        </w:tblPrEx>
        <w:trPr>
          <w:trHeight w:val="90" w:hRule="atLeast"/>
          <w:jc w:val="center"/>
        </w:trPr>
        <w:tc>
          <w:tcPr>
            <w:tcW w:w="2298" w:type="dxa"/>
            <w:gridSpan w:val="2"/>
            <w:tcBorders>
              <w:top w:val="single" w:color="auto" w:sz="6" w:space="0"/>
              <w:left w:val="single" w:color="auto" w:sz="6" w:space="0"/>
              <w:bottom w:val="single" w:color="auto" w:sz="6" w:space="0"/>
              <w:right w:val="single" w:color="auto" w:sz="6" w:space="0"/>
            </w:tcBorders>
            <w:vAlign w:val="center"/>
          </w:tcPr>
          <w:p w14:paraId="167168ED">
            <w:pPr>
              <w:jc w:val="center"/>
              <w:rPr>
                <w:position w:val="-3"/>
              </w:rPr>
            </w:pPr>
            <w:r>
              <w:rPr>
                <w:rFonts w:hint="eastAsia"/>
                <w:position w:val="-3"/>
              </w:rPr>
              <w:t>单位工程</w:t>
            </w:r>
            <w:r>
              <w:rPr>
                <w:position w:val="-3"/>
              </w:rPr>
              <w:t>/</w:t>
            </w:r>
            <w:r>
              <w:rPr>
                <w:rFonts w:hint="eastAsia"/>
                <w:position w:val="-3"/>
              </w:rPr>
              <w:t>施工阶段</w:t>
            </w:r>
          </w:p>
        </w:tc>
        <w:tc>
          <w:tcPr>
            <w:tcW w:w="2715" w:type="dxa"/>
            <w:gridSpan w:val="2"/>
            <w:tcBorders>
              <w:top w:val="single" w:color="auto" w:sz="6" w:space="0"/>
              <w:left w:val="single" w:color="auto" w:sz="6" w:space="0"/>
              <w:bottom w:val="single" w:color="auto" w:sz="6" w:space="0"/>
              <w:right w:val="single" w:color="auto" w:sz="6" w:space="0"/>
            </w:tcBorders>
          </w:tcPr>
          <w:p w14:paraId="17D315C1">
            <w:pPr>
              <w:jc w:val="center"/>
            </w:pPr>
          </w:p>
        </w:tc>
        <w:tc>
          <w:tcPr>
            <w:tcW w:w="1308" w:type="dxa"/>
            <w:tcBorders>
              <w:top w:val="single" w:color="auto" w:sz="6" w:space="0"/>
              <w:left w:val="single" w:color="auto" w:sz="6" w:space="0"/>
              <w:bottom w:val="single" w:color="auto" w:sz="6" w:space="0"/>
              <w:right w:val="single" w:color="auto" w:sz="6" w:space="0"/>
            </w:tcBorders>
            <w:vAlign w:val="center"/>
          </w:tcPr>
          <w:p w14:paraId="17F655CC">
            <w:pPr>
              <w:jc w:val="center"/>
            </w:pPr>
            <w:r>
              <w:rPr>
                <w:rFonts w:hint="eastAsia"/>
              </w:rPr>
              <w:t>安装单位</w:t>
            </w:r>
          </w:p>
        </w:tc>
        <w:tc>
          <w:tcPr>
            <w:tcW w:w="2841" w:type="dxa"/>
            <w:gridSpan w:val="2"/>
            <w:tcBorders>
              <w:top w:val="single" w:color="auto" w:sz="6" w:space="0"/>
              <w:left w:val="single" w:color="auto" w:sz="6" w:space="0"/>
              <w:bottom w:val="single" w:color="auto" w:sz="6" w:space="0"/>
              <w:right w:val="single" w:color="auto" w:sz="6" w:space="0"/>
            </w:tcBorders>
            <w:vAlign w:val="center"/>
          </w:tcPr>
          <w:p w14:paraId="60462DED">
            <w:pPr>
              <w:jc w:val="center"/>
              <w:rPr>
                <w:position w:val="-1"/>
              </w:rPr>
            </w:pPr>
          </w:p>
        </w:tc>
      </w:tr>
      <w:tr w14:paraId="47328C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90" w:hRule="atLeast"/>
          <w:jc w:val="center"/>
        </w:trPr>
        <w:tc>
          <w:tcPr>
            <w:tcW w:w="880" w:type="dxa"/>
            <w:tcBorders>
              <w:top w:val="single" w:color="auto" w:sz="6" w:space="0"/>
              <w:left w:val="single" w:color="auto" w:sz="6" w:space="0"/>
              <w:bottom w:val="single" w:color="auto" w:sz="6" w:space="0"/>
              <w:right w:val="single" w:color="auto" w:sz="6" w:space="0"/>
            </w:tcBorders>
            <w:vAlign w:val="center"/>
          </w:tcPr>
          <w:p w14:paraId="26441FEF">
            <w:pPr>
              <w:jc w:val="center"/>
            </w:pPr>
            <w:r>
              <w:rPr>
                <w:rFonts w:hint="eastAsia"/>
              </w:rPr>
              <w:t>序号</w:t>
            </w:r>
          </w:p>
        </w:tc>
        <w:tc>
          <w:tcPr>
            <w:tcW w:w="2705" w:type="dxa"/>
            <w:gridSpan w:val="2"/>
            <w:tcBorders>
              <w:top w:val="single" w:color="auto" w:sz="6" w:space="0"/>
              <w:left w:val="single" w:color="auto" w:sz="6" w:space="0"/>
              <w:bottom w:val="single" w:color="auto" w:sz="6" w:space="0"/>
              <w:right w:val="single" w:color="auto" w:sz="6" w:space="0"/>
            </w:tcBorders>
            <w:vAlign w:val="center"/>
          </w:tcPr>
          <w:p w14:paraId="1E89E07A">
            <w:pPr>
              <w:jc w:val="center"/>
            </w:pPr>
            <w:r>
              <w:rPr>
                <w:rFonts w:hint="eastAsia"/>
              </w:rPr>
              <w:t>验收项目</w:t>
            </w:r>
          </w:p>
        </w:tc>
        <w:tc>
          <w:tcPr>
            <w:tcW w:w="4212" w:type="dxa"/>
            <w:gridSpan w:val="3"/>
            <w:tcBorders>
              <w:top w:val="single" w:color="auto" w:sz="6" w:space="0"/>
              <w:left w:val="single" w:color="auto" w:sz="6" w:space="0"/>
              <w:bottom w:val="single" w:color="auto" w:sz="6" w:space="0"/>
              <w:right w:val="single" w:color="auto" w:sz="6" w:space="0"/>
            </w:tcBorders>
            <w:vAlign w:val="center"/>
          </w:tcPr>
          <w:p w14:paraId="2A757B31">
            <w:pPr>
              <w:jc w:val="center"/>
            </w:pPr>
            <w:r>
              <w:rPr>
                <w:rFonts w:hint="eastAsia"/>
              </w:rPr>
              <w:t>验收内容及要求</w:t>
            </w:r>
          </w:p>
        </w:tc>
        <w:tc>
          <w:tcPr>
            <w:tcW w:w="1365" w:type="dxa"/>
            <w:tcBorders>
              <w:top w:val="single" w:color="auto" w:sz="6" w:space="0"/>
              <w:left w:val="single" w:color="auto" w:sz="6" w:space="0"/>
              <w:bottom w:val="single" w:color="auto" w:sz="6" w:space="0"/>
              <w:right w:val="single" w:color="auto" w:sz="6" w:space="0"/>
            </w:tcBorders>
            <w:vAlign w:val="center"/>
          </w:tcPr>
          <w:p w14:paraId="7803DC97">
            <w:pPr>
              <w:jc w:val="center"/>
              <w:rPr>
                <w:position w:val="-1"/>
              </w:rPr>
            </w:pPr>
            <w:r>
              <w:rPr>
                <w:rFonts w:hint="eastAsia"/>
                <w:position w:val="-1"/>
              </w:rPr>
              <w:t>验收结果</w:t>
            </w:r>
          </w:p>
        </w:tc>
      </w:tr>
      <w:tr w14:paraId="561983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02" w:type="dxa"/>
            <w:left w:w="28" w:type="dxa"/>
            <w:bottom w:w="102" w:type="dxa"/>
            <w:right w:w="28" w:type="dxa"/>
          </w:tblCellMar>
        </w:tblPrEx>
        <w:trPr>
          <w:trHeight w:val="340" w:hRule="exact"/>
          <w:jc w:val="center"/>
        </w:trPr>
        <w:tc>
          <w:tcPr>
            <w:tcW w:w="880" w:type="dxa"/>
            <w:tcBorders>
              <w:top w:val="single" w:color="auto" w:sz="6" w:space="0"/>
              <w:left w:val="single" w:color="auto" w:sz="6" w:space="0"/>
              <w:bottom w:val="single" w:color="auto" w:sz="6" w:space="0"/>
              <w:right w:val="single" w:color="auto" w:sz="6" w:space="0"/>
            </w:tcBorders>
            <w:vAlign w:val="center"/>
          </w:tcPr>
          <w:p w14:paraId="793AAB8A">
            <w:pPr>
              <w:jc w:val="center"/>
            </w:pPr>
            <w:r>
              <w:t>1</w:t>
            </w:r>
          </w:p>
        </w:tc>
        <w:tc>
          <w:tcPr>
            <w:tcW w:w="2705" w:type="dxa"/>
            <w:gridSpan w:val="2"/>
            <w:tcBorders>
              <w:top w:val="single" w:color="auto" w:sz="6" w:space="0"/>
              <w:left w:val="single" w:color="auto" w:sz="6" w:space="0"/>
              <w:bottom w:val="single" w:color="auto" w:sz="6" w:space="0"/>
              <w:right w:val="single" w:color="auto" w:sz="6" w:space="0"/>
            </w:tcBorders>
            <w:vAlign w:val="center"/>
          </w:tcPr>
          <w:p w14:paraId="5AD3D3DA">
            <w:pPr>
              <w:jc w:val="left"/>
            </w:pPr>
            <w:r>
              <w:rPr>
                <w:rFonts w:hint="eastAsia"/>
              </w:rPr>
              <w:t>施工用电工程方案</w:t>
            </w:r>
          </w:p>
        </w:tc>
        <w:tc>
          <w:tcPr>
            <w:tcW w:w="4212" w:type="dxa"/>
            <w:gridSpan w:val="3"/>
            <w:tcBorders>
              <w:top w:val="single" w:color="auto" w:sz="6" w:space="0"/>
              <w:left w:val="single" w:color="auto" w:sz="6" w:space="0"/>
              <w:bottom w:val="single" w:color="auto" w:sz="6" w:space="0"/>
              <w:right w:val="single" w:color="auto" w:sz="6" w:space="0"/>
            </w:tcBorders>
            <w:vAlign w:val="center"/>
          </w:tcPr>
          <w:p w14:paraId="0B7342D1">
            <w:pPr>
              <w:jc w:val="left"/>
            </w:pPr>
            <w:r>
              <w:rPr>
                <w:rFonts w:hint="eastAsia"/>
              </w:rPr>
              <w:t>施工用电工程方案及审批资料齐全有效</w:t>
            </w:r>
          </w:p>
        </w:tc>
        <w:tc>
          <w:tcPr>
            <w:tcW w:w="1365" w:type="dxa"/>
            <w:tcBorders>
              <w:top w:val="single" w:color="auto" w:sz="6" w:space="0"/>
              <w:left w:val="single" w:color="auto" w:sz="6" w:space="0"/>
              <w:bottom w:val="single" w:color="auto" w:sz="6" w:space="0"/>
              <w:right w:val="single" w:color="auto" w:sz="6" w:space="0"/>
            </w:tcBorders>
            <w:vAlign w:val="center"/>
          </w:tcPr>
          <w:p w14:paraId="5FD6FFA0">
            <w:pPr>
              <w:jc w:val="left"/>
              <w:rPr>
                <w:position w:val="-1"/>
              </w:rPr>
            </w:pPr>
          </w:p>
        </w:tc>
      </w:tr>
      <w:tr w14:paraId="6D16E9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02" w:type="dxa"/>
            <w:left w:w="28" w:type="dxa"/>
            <w:bottom w:w="102" w:type="dxa"/>
            <w:right w:w="28" w:type="dxa"/>
          </w:tblCellMar>
        </w:tblPrEx>
        <w:trPr>
          <w:trHeight w:val="393" w:hRule="exact"/>
          <w:jc w:val="center"/>
        </w:trPr>
        <w:tc>
          <w:tcPr>
            <w:tcW w:w="880" w:type="dxa"/>
            <w:tcBorders>
              <w:top w:val="single" w:color="auto" w:sz="6" w:space="0"/>
              <w:left w:val="single" w:color="auto" w:sz="6" w:space="0"/>
              <w:bottom w:val="single" w:color="auto" w:sz="6" w:space="0"/>
              <w:right w:val="single" w:color="auto" w:sz="6" w:space="0"/>
            </w:tcBorders>
            <w:vAlign w:val="center"/>
          </w:tcPr>
          <w:p w14:paraId="2BDE5D6B">
            <w:pPr>
              <w:jc w:val="center"/>
            </w:pPr>
            <w:r>
              <w:t>2</w:t>
            </w:r>
          </w:p>
        </w:tc>
        <w:tc>
          <w:tcPr>
            <w:tcW w:w="2705" w:type="dxa"/>
            <w:gridSpan w:val="2"/>
            <w:tcBorders>
              <w:top w:val="single" w:color="auto" w:sz="6" w:space="0"/>
              <w:left w:val="single" w:color="auto" w:sz="6" w:space="0"/>
              <w:bottom w:val="single" w:color="auto" w:sz="6" w:space="0"/>
              <w:right w:val="single" w:color="auto" w:sz="6" w:space="0"/>
            </w:tcBorders>
            <w:vAlign w:val="center"/>
          </w:tcPr>
          <w:p w14:paraId="0CB2A139">
            <w:pPr>
              <w:snapToGrid w:val="0"/>
              <w:jc w:val="left"/>
            </w:pPr>
            <w:r>
              <w:rPr>
                <w:rFonts w:hint="eastAsia"/>
              </w:rPr>
              <w:t>外电线路防护</w:t>
            </w:r>
          </w:p>
        </w:tc>
        <w:tc>
          <w:tcPr>
            <w:tcW w:w="4212" w:type="dxa"/>
            <w:gridSpan w:val="3"/>
            <w:tcBorders>
              <w:top w:val="single" w:color="auto" w:sz="6" w:space="0"/>
              <w:left w:val="single" w:color="auto" w:sz="6" w:space="0"/>
              <w:bottom w:val="single" w:color="auto" w:sz="6" w:space="0"/>
              <w:right w:val="single" w:color="auto" w:sz="6" w:space="0"/>
            </w:tcBorders>
            <w:vAlign w:val="center"/>
          </w:tcPr>
          <w:p w14:paraId="3BDFC8E5">
            <w:pPr>
              <w:snapToGrid w:val="0"/>
              <w:jc w:val="left"/>
            </w:pPr>
            <w:r>
              <w:rPr>
                <w:rFonts w:hint="eastAsia"/>
              </w:rPr>
              <w:t>按规定设置外电线路安全防护措施</w:t>
            </w:r>
          </w:p>
        </w:tc>
        <w:tc>
          <w:tcPr>
            <w:tcW w:w="1365" w:type="dxa"/>
            <w:tcBorders>
              <w:top w:val="single" w:color="auto" w:sz="6" w:space="0"/>
              <w:left w:val="single" w:color="auto" w:sz="6" w:space="0"/>
              <w:bottom w:val="single" w:color="auto" w:sz="6" w:space="0"/>
              <w:right w:val="single" w:color="auto" w:sz="6" w:space="0"/>
            </w:tcBorders>
            <w:vAlign w:val="center"/>
          </w:tcPr>
          <w:p w14:paraId="132AD415">
            <w:pPr>
              <w:jc w:val="left"/>
              <w:rPr>
                <w:position w:val="-1"/>
              </w:rPr>
            </w:pPr>
          </w:p>
        </w:tc>
      </w:tr>
      <w:tr w14:paraId="180EF6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02" w:type="dxa"/>
            <w:left w:w="28" w:type="dxa"/>
            <w:bottom w:w="102" w:type="dxa"/>
            <w:right w:w="28" w:type="dxa"/>
          </w:tblCellMar>
        </w:tblPrEx>
        <w:trPr>
          <w:trHeight w:val="384" w:hRule="exact"/>
          <w:jc w:val="center"/>
        </w:trPr>
        <w:tc>
          <w:tcPr>
            <w:tcW w:w="880" w:type="dxa"/>
            <w:tcBorders>
              <w:top w:val="single" w:color="auto" w:sz="6" w:space="0"/>
              <w:left w:val="single" w:color="auto" w:sz="6" w:space="0"/>
              <w:bottom w:val="single" w:color="auto" w:sz="6" w:space="0"/>
              <w:right w:val="single" w:color="auto" w:sz="6" w:space="0"/>
            </w:tcBorders>
            <w:vAlign w:val="center"/>
          </w:tcPr>
          <w:p w14:paraId="2312F0A0">
            <w:pPr>
              <w:jc w:val="center"/>
            </w:pPr>
            <w:r>
              <w:t>3</w:t>
            </w:r>
          </w:p>
        </w:tc>
        <w:tc>
          <w:tcPr>
            <w:tcW w:w="2705" w:type="dxa"/>
            <w:gridSpan w:val="2"/>
            <w:tcBorders>
              <w:top w:val="single" w:color="auto" w:sz="6" w:space="0"/>
              <w:left w:val="single" w:color="auto" w:sz="6" w:space="0"/>
              <w:bottom w:val="single" w:color="auto" w:sz="6" w:space="0"/>
              <w:right w:val="single" w:color="auto" w:sz="6" w:space="0"/>
            </w:tcBorders>
            <w:vAlign w:val="center"/>
          </w:tcPr>
          <w:p w14:paraId="28A5FDAC">
            <w:pPr>
              <w:snapToGrid w:val="0"/>
              <w:jc w:val="left"/>
            </w:pPr>
            <w:bookmarkStart w:id="637" w:name="OLE_LINK115"/>
            <w:bookmarkStart w:id="638" w:name="OLE_LINK116"/>
            <w:r>
              <w:rPr>
                <w:rFonts w:hint="eastAsia"/>
              </w:rPr>
              <w:t>系统接地型式</w:t>
            </w:r>
            <w:bookmarkEnd w:id="637"/>
            <w:bookmarkEnd w:id="638"/>
          </w:p>
        </w:tc>
        <w:tc>
          <w:tcPr>
            <w:tcW w:w="4212" w:type="dxa"/>
            <w:gridSpan w:val="3"/>
            <w:tcBorders>
              <w:top w:val="single" w:color="auto" w:sz="6" w:space="0"/>
              <w:left w:val="single" w:color="auto" w:sz="6" w:space="0"/>
              <w:bottom w:val="single" w:color="auto" w:sz="6" w:space="0"/>
              <w:right w:val="single" w:color="auto" w:sz="6" w:space="0"/>
            </w:tcBorders>
            <w:vAlign w:val="center"/>
          </w:tcPr>
          <w:p w14:paraId="03017745">
            <w:pPr>
              <w:snapToGrid w:val="0"/>
              <w:jc w:val="left"/>
            </w:pPr>
            <w:r>
              <w:t>TN</w:t>
            </w:r>
            <w:r>
              <w:rPr>
                <w:rFonts w:hint="eastAsia"/>
              </w:rPr>
              <w:t>系统或</w:t>
            </w:r>
            <w:r>
              <w:t>TT</w:t>
            </w:r>
            <w:r>
              <w:rPr>
                <w:rFonts w:hint="eastAsia"/>
              </w:rPr>
              <w:t>系统</w:t>
            </w:r>
            <w:r>
              <w:t xml:space="preserve">    </w:t>
            </w:r>
          </w:p>
        </w:tc>
        <w:tc>
          <w:tcPr>
            <w:tcW w:w="1365" w:type="dxa"/>
            <w:tcBorders>
              <w:top w:val="single" w:color="auto" w:sz="6" w:space="0"/>
              <w:left w:val="single" w:color="auto" w:sz="6" w:space="0"/>
              <w:bottom w:val="single" w:color="auto" w:sz="6" w:space="0"/>
              <w:right w:val="single" w:color="auto" w:sz="6" w:space="0"/>
            </w:tcBorders>
            <w:vAlign w:val="center"/>
          </w:tcPr>
          <w:p w14:paraId="6A4945FD">
            <w:pPr>
              <w:jc w:val="left"/>
            </w:pPr>
          </w:p>
        </w:tc>
      </w:tr>
      <w:tr w14:paraId="50118A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02" w:type="dxa"/>
            <w:left w:w="28" w:type="dxa"/>
            <w:bottom w:w="102" w:type="dxa"/>
            <w:right w:w="28" w:type="dxa"/>
          </w:tblCellMar>
        </w:tblPrEx>
        <w:trPr>
          <w:trHeight w:val="590" w:hRule="exact"/>
          <w:jc w:val="center"/>
        </w:trPr>
        <w:tc>
          <w:tcPr>
            <w:tcW w:w="880" w:type="dxa"/>
            <w:tcBorders>
              <w:top w:val="single" w:color="auto" w:sz="6" w:space="0"/>
              <w:left w:val="single" w:color="auto" w:sz="6" w:space="0"/>
              <w:bottom w:val="single" w:color="auto" w:sz="6" w:space="0"/>
              <w:right w:val="single" w:color="auto" w:sz="6" w:space="0"/>
            </w:tcBorders>
            <w:vAlign w:val="center"/>
          </w:tcPr>
          <w:p w14:paraId="110F585C">
            <w:pPr>
              <w:jc w:val="center"/>
            </w:pPr>
            <w:r>
              <w:t>4</w:t>
            </w:r>
          </w:p>
        </w:tc>
        <w:tc>
          <w:tcPr>
            <w:tcW w:w="2705" w:type="dxa"/>
            <w:gridSpan w:val="2"/>
            <w:tcBorders>
              <w:top w:val="single" w:color="auto" w:sz="6" w:space="0"/>
              <w:left w:val="single" w:color="auto" w:sz="6" w:space="0"/>
              <w:bottom w:val="single" w:color="auto" w:sz="6" w:space="0"/>
              <w:right w:val="single" w:color="auto" w:sz="6" w:space="0"/>
            </w:tcBorders>
            <w:vAlign w:val="center"/>
          </w:tcPr>
          <w:p w14:paraId="14BD88D5">
            <w:pPr>
              <w:jc w:val="left"/>
            </w:pPr>
            <w:r>
              <w:rPr>
                <w:rFonts w:hint="eastAsia"/>
              </w:rPr>
              <w:t>剩余电流动作保护</w:t>
            </w:r>
          </w:p>
        </w:tc>
        <w:tc>
          <w:tcPr>
            <w:tcW w:w="4212" w:type="dxa"/>
            <w:gridSpan w:val="3"/>
            <w:tcBorders>
              <w:top w:val="single" w:color="auto" w:sz="6" w:space="0"/>
              <w:left w:val="single" w:color="auto" w:sz="6" w:space="0"/>
              <w:bottom w:val="single" w:color="auto" w:sz="6" w:space="0"/>
              <w:right w:val="single" w:color="auto" w:sz="6" w:space="0"/>
            </w:tcBorders>
            <w:vAlign w:val="center"/>
          </w:tcPr>
          <w:p w14:paraId="46370AD3">
            <w:pPr>
              <w:jc w:val="left"/>
            </w:pPr>
            <w:r>
              <w:rPr>
                <w:rFonts w:hint="eastAsia"/>
              </w:rPr>
              <w:t>应实行逐级剩余电流动作保护，保护装置应灵敏、有效，参数应匹配</w:t>
            </w:r>
          </w:p>
        </w:tc>
        <w:tc>
          <w:tcPr>
            <w:tcW w:w="1365" w:type="dxa"/>
            <w:tcBorders>
              <w:top w:val="single" w:color="auto" w:sz="6" w:space="0"/>
              <w:left w:val="single" w:color="auto" w:sz="6" w:space="0"/>
              <w:bottom w:val="single" w:color="auto" w:sz="6" w:space="0"/>
              <w:right w:val="single" w:color="auto" w:sz="6" w:space="0"/>
            </w:tcBorders>
            <w:vAlign w:val="center"/>
          </w:tcPr>
          <w:p w14:paraId="48A72A60">
            <w:pPr>
              <w:jc w:val="left"/>
            </w:pPr>
          </w:p>
        </w:tc>
      </w:tr>
      <w:tr w14:paraId="22501F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02" w:type="dxa"/>
            <w:left w:w="28" w:type="dxa"/>
            <w:bottom w:w="102" w:type="dxa"/>
            <w:right w:w="28" w:type="dxa"/>
          </w:tblCellMar>
        </w:tblPrEx>
        <w:trPr>
          <w:trHeight w:val="614" w:hRule="exact"/>
          <w:jc w:val="center"/>
        </w:trPr>
        <w:tc>
          <w:tcPr>
            <w:tcW w:w="880" w:type="dxa"/>
            <w:tcBorders>
              <w:top w:val="single" w:color="auto" w:sz="6" w:space="0"/>
              <w:left w:val="single" w:color="auto" w:sz="6" w:space="0"/>
              <w:bottom w:val="single" w:color="auto" w:sz="6" w:space="0"/>
              <w:right w:val="single" w:color="auto" w:sz="6" w:space="0"/>
            </w:tcBorders>
            <w:vAlign w:val="center"/>
          </w:tcPr>
          <w:p w14:paraId="4BE910A0">
            <w:pPr>
              <w:jc w:val="center"/>
            </w:pPr>
            <w:r>
              <w:t>5</w:t>
            </w:r>
          </w:p>
        </w:tc>
        <w:tc>
          <w:tcPr>
            <w:tcW w:w="2705" w:type="dxa"/>
            <w:gridSpan w:val="2"/>
            <w:tcBorders>
              <w:top w:val="single" w:color="auto" w:sz="6" w:space="0"/>
              <w:left w:val="single" w:color="auto" w:sz="6" w:space="0"/>
              <w:bottom w:val="single" w:color="auto" w:sz="6" w:space="0"/>
              <w:right w:val="single" w:color="auto" w:sz="6" w:space="0"/>
            </w:tcBorders>
            <w:vAlign w:val="center"/>
          </w:tcPr>
          <w:p w14:paraId="472F9B0C">
            <w:pPr>
              <w:widowControl/>
              <w:jc w:val="left"/>
            </w:pPr>
            <w:r>
              <w:rPr>
                <w:rFonts w:hint="eastAsia"/>
              </w:rPr>
              <w:t>配电室</w:t>
            </w:r>
          </w:p>
        </w:tc>
        <w:tc>
          <w:tcPr>
            <w:tcW w:w="4212" w:type="dxa"/>
            <w:gridSpan w:val="3"/>
            <w:tcBorders>
              <w:top w:val="single" w:color="auto" w:sz="6" w:space="0"/>
              <w:left w:val="single" w:color="auto" w:sz="6" w:space="0"/>
              <w:bottom w:val="single" w:color="auto" w:sz="6" w:space="0"/>
              <w:right w:val="single" w:color="auto" w:sz="6" w:space="0"/>
            </w:tcBorders>
            <w:vAlign w:val="center"/>
          </w:tcPr>
          <w:p w14:paraId="085BFBCC">
            <w:pPr>
              <w:widowControl/>
              <w:jc w:val="left"/>
            </w:pPr>
            <w:r>
              <w:rPr>
                <w:rFonts w:hint="eastAsia"/>
              </w:rPr>
              <w:t>配电室选址、防火、照明、系统接地型式等设置应符合规定要求</w:t>
            </w:r>
          </w:p>
        </w:tc>
        <w:tc>
          <w:tcPr>
            <w:tcW w:w="1365" w:type="dxa"/>
            <w:tcBorders>
              <w:top w:val="single" w:color="auto" w:sz="6" w:space="0"/>
              <w:left w:val="single" w:color="auto" w:sz="6" w:space="0"/>
              <w:bottom w:val="single" w:color="auto" w:sz="6" w:space="0"/>
              <w:right w:val="single" w:color="auto" w:sz="6" w:space="0"/>
            </w:tcBorders>
            <w:vAlign w:val="center"/>
          </w:tcPr>
          <w:p w14:paraId="4BD76BD1">
            <w:pPr>
              <w:jc w:val="left"/>
            </w:pPr>
          </w:p>
        </w:tc>
      </w:tr>
      <w:tr w14:paraId="6A4FE2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02" w:type="dxa"/>
            <w:left w:w="28" w:type="dxa"/>
            <w:bottom w:w="102" w:type="dxa"/>
            <w:right w:w="28" w:type="dxa"/>
          </w:tblCellMar>
        </w:tblPrEx>
        <w:trPr>
          <w:trHeight w:val="905" w:hRule="exact"/>
          <w:jc w:val="center"/>
        </w:trPr>
        <w:tc>
          <w:tcPr>
            <w:tcW w:w="880" w:type="dxa"/>
            <w:tcBorders>
              <w:top w:val="single" w:color="auto" w:sz="6" w:space="0"/>
              <w:left w:val="single" w:color="auto" w:sz="6" w:space="0"/>
              <w:bottom w:val="single" w:color="auto" w:sz="6" w:space="0"/>
              <w:right w:val="single" w:color="auto" w:sz="6" w:space="0"/>
            </w:tcBorders>
            <w:vAlign w:val="center"/>
          </w:tcPr>
          <w:p w14:paraId="76CD6F70">
            <w:pPr>
              <w:jc w:val="center"/>
            </w:pPr>
            <w:r>
              <w:t>6</w:t>
            </w:r>
          </w:p>
        </w:tc>
        <w:tc>
          <w:tcPr>
            <w:tcW w:w="2705" w:type="dxa"/>
            <w:gridSpan w:val="2"/>
            <w:tcBorders>
              <w:top w:val="single" w:color="auto" w:sz="6" w:space="0"/>
              <w:left w:val="single" w:color="auto" w:sz="6" w:space="0"/>
              <w:bottom w:val="single" w:color="auto" w:sz="6" w:space="0"/>
              <w:right w:val="single" w:color="auto" w:sz="6" w:space="0"/>
            </w:tcBorders>
            <w:vAlign w:val="center"/>
          </w:tcPr>
          <w:p w14:paraId="42390ACE">
            <w:pPr>
              <w:widowControl/>
              <w:jc w:val="left"/>
            </w:pPr>
            <w:r>
              <w:rPr>
                <w:rFonts w:hint="eastAsia"/>
              </w:rPr>
              <w:t>各级配电箱（柜）</w:t>
            </w:r>
          </w:p>
        </w:tc>
        <w:tc>
          <w:tcPr>
            <w:tcW w:w="4212" w:type="dxa"/>
            <w:gridSpan w:val="3"/>
            <w:tcBorders>
              <w:top w:val="single" w:color="auto" w:sz="6" w:space="0"/>
              <w:left w:val="single" w:color="auto" w:sz="6" w:space="0"/>
              <w:bottom w:val="single" w:color="auto" w:sz="6" w:space="0"/>
              <w:right w:val="single" w:color="auto" w:sz="6" w:space="0"/>
            </w:tcBorders>
            <w:vAlign w:val="center"/>
          </w:tcPr>
          <w:p w14:paraId="21606910">
            <w:pPr>
              <w:widowControl/>
              <w:jc w:val="left"/>
            </w:pPr>
            <w:r>
              <w:rPr>
                <w:rFonts w:hint="eastAsia"/>
              </w:rPr>
              <w:t>各级配电箱（柜）元器件安装合理、牢固，防护措施齐全，系统图、标识清晰明确</w:t>
            </w:r>
          </w:p>
        </w:tc>
        <w:tc>
          <w:tcPr>
            <w:tcW w:w="1365" w:type="dxa"/>
            <w:tcBorders>
              <w:top w:val="single" w:color="auto" w:sz="6" w:space="0"/>
              <w:left w:val="single" w:color="auto" w:sz="6" w:space="0"/>
              <w:bottom w:val="single" w:color="auto" w:sz="6" w:space="0"/>
              <w:right w:val="single" w:color="auto" w:sz="6" w:space="0"/>
            </w:tcBorders>
            <w:vAlign w:val="center"/>
          </w:tcPr>
          <w:p w14:paraId="0AAB57B1">
            <w:pPr>
              <w:jc w:val="left"/>
            </w:pPr>
          </w:p>
        </w:tc>
      </w:tr>
      <w:tr w14:paraId="2A14BD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02" w:type="dxa"/>
            <w:left w:w="28" w:type="dxa"/>
            <w:bottom w:w="102" w:type="dxa"/>
            <w:right w:w="28" w:type="dxa"/>
          </w:tblCellMar>
        </w:tblPrEx>
        <w:trPr>
          <w:trHeight w:val="414" w:hRule="exact"/>
          <w:jc w:val="center"/>
        </w:trPr>
        <w:tc>
          <w:tcPr>
            <w:tcW w:w="880" w:type="dxa"/>
            <w:tcBorders>
              <w:top w:val="single" w:color="auto" w:sz="6" w:space="0"/>
              <w:left w:val="single" w:color="auto" w:sz="6" w:space="0"/>
              <w:bottom w:val="single" w:color="auto" w:sz="6" w:space="0"/>
              <w:right w:val="single" w:color="auto" w:sz="6" w:space="0"/>
            </w:tcBorders>
            <w:vAlign w:val="center"/>
          </w:tcPr>
          <w:p w14:paraId="15B94FEA">
            <w:pPr>
              <w:jc w:val="center"/>
            </w:pPr>
            <w:r>
              <w:t>7</w:t>
            </w:r>
          </w:p>
        </w:tc>
        <w:tc>
          <w:tcPr>
            <w:tcW w:w="2705" w:type="dxa"/>
            <w:gridSpan w:val="2"/>
            <w:tcBorders>
              <w:top w:val="single" w:color="auto" w:sz="6" w:space="0"/>
              <w:left w:val="single" w:color="auto" w:sz="6" w:space="0"/>
              <w:bottom w:val="single" w:color="auto" w:sz="6" w:space="0"/>
              <w:right w:val="single" w:color="auto" w:sz="6" w:space="0"/>
            </w:tcBorders>
            <w:vAlign w:val="center"/>
          </w:tcPr>
          <w:p w14:paraId="013B77CA">
            <w:pPr>
              <w:jc w:val="left"/>
            </w:pPr>
            <w:r>
              <w:rPr>
                <w:rFonts w:hint="eastAsia"/>
              </w:rPr>
              <w:t>配电线路</w:t>
            </w:r>
          </w:p>
        </w:tc>
        <w:tc>
          <w:tcPr>
            <w:tcW w:w="4212" w:type="dxa"/>
            <w:gridSpan w:val="3"/>
            <w:tcBorders>
              <w:top w:val="single" w:color="auto" w:sz="6" w:space="0"/>
              <w:left w:val="single" w:color="auto" w:sz="6" w:space="0"/>
              <w:bottom w:val="single" w:color="auto" w:sz="6" w:space="0"/>
              <w:right w:val="single" w:color="auto" w:sz="6" w:space="0"/>
            </w:tcBorders>
            <w:vAlign w:val="center"/>
          </w:tcPr>
          <w:p w14:paraId="616F2133">
            <w:pPr>
              <w:jc w:val="left"/>
            </w:pPr>
            <w:r>
              <w:rPr>
                <w:rFonts w:hint="eastAsia"/>
              </w:rPr>
              <w:t>配电线路规格、型号、敷设符合规定</w:t>
            </w:r>
          </w:p>
        </w:tc>
        <w:tc>
          <w:tcPr>
            <w:tcW w:w="1365" w:type="dxa"/>
            <w:tcBorders>
              <w:top w:val="single" w:color="auto" w:sz="6" w:space="0"/>
              <w:left w:val="single" w:color="auto" w:sz="6" w:space="0"/>
              <w:bottom w:val="single" w:color="auto" w:sz="6" w:space="0"/>
              <w:right w:val="single" w:color="auto" w:sz="6" w:space="0"/>
            </w:tcBorders>
            <w:vAlign w:val="center"/>
          </w:tcPr>
          <w:p w14:paraId="7F5990CB">
            <w:pPr>
              <w:jc w:val="left"/>
            </w:pPr>
          </w:p>
        </w:tc>
      </w:tr>
      <w:tr w14:paraId="1C8FF4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02" w:type="dxa"/>
            <w:left w:w="28" w:type="dxa"/>
            <w:bottom w:w="102" w:type="dxa"/>
            <w:right w:w="28" w:type="dxa"/>
          </w:tblCellMar>
        </w:tblPrEx>
        <w:trPr>
          <w:trHeight w:val="90" w:hRule="atLeast"/>
          <w:jc w:val="center"/>
        </w:trPr>
        <w:tc>
          <w:tcPr>
            <w:tcW w:w="880" w:type="dxa"/>
            <w:tcBorders>
              <w:top w:val="single" w:color="auto" w:sz="6" w:space="0"/>
              <w:left w:val="single" w:color="auto" w:sz="6" w:space="0"/>
              <w:bottom w:val="single" w:color="auto" w:sz="6" w:space="0"/>
              <w:right w:val="single" w:color="auto" w:sz="6" w:space="0"/>
            </w:tcBorders>
            <w:vAlign w:val="center"/>
          </w:tcPr>
          <w:p w14:paraId="78AEE8B1">
            <w:pPr>
              <w:jc w:val="center"/>
            </w:pPr>
            <w:r>
              <w:t>8</w:t>
            </w:r>
          </w:p>
        </w:tc>
        <w:tc>
          <w:tcPr>
            <w:tcW w:w="2705" w:type="dxa"/>
            <w:gridSpan w:val="2"/>
            <w:tcBorders>
              <w:top w:val="single" w:color="auto" w:sz="6" w:space="0"/>
              <w:left w:val="single" w:color="auto" w:sz="6" w:space="0"/>
              <w:bottom w:val="single" w:color="auto" w:sz="6" w:space="0"/>
              <w:right w:val="single" w:color="auto" w:sz="6" w:space="0"/>
            </w:tcBorders>
            <w:vAlign w:val="center"/>
          </w:tcPr>
          <w:p w14:paraId="6921D791">
            <w:pPr>
              <w:jc w:val="left"/>
            </w:pPr>
            <w:r>
              <w:rPr>
                <w:rFonts w:hint="eastAsia"/>
              </w:rPr>
              <w:t>现场照明</w:t>
            </w:r>
          </w:p>
        </w:tc>
        <w:tc>
          <w:tcPr>
            <w:tcW w:w="4212" w:type="dxa"/>
            <w:gridSpan w:val="3"/>
            <w:tcBorders>
              <w:top w:val="single" w:color="auto" w:sz="6" w:space="0"/>
              <w:left w:val="single" w:color="auto" w:sz="6" w:space="0"/>
              <w:bottom w:val="single" w:color="auto" w:sz="6" w:space="0"/>
              <w:right w:val="single" w:color="auto" w:sz="6" w:space="0"/>
            </w:tcBorders>
            <w:vAlign w:val="center"/>
          </w:tcPr>
          <w:p w14:paraId="5257CCE3">
            <w:pPr>
              <w:jc w:val="left"/>
            </w:pPr>
            <w:r>
              <w:rPr>
                <w:rFonts w:hint="eastAsia"/>
              </w:rPr>
              <w:t>灯具供电电压、安装高度符合要求</w:t>
            </w:r>
          </w:p>
        </w:tc>
        <w:tc>
          <w:tcPr>
            <w:tcW w:w="1365" w:type="dxa"/>
            <w:tcBorders>
              <w:top w:val="single" w:color="auto" w:sz="6" w:space="0"/>
              <w:left w:val="single" w:color="auto" w:sz="6" w:space="0"/>
              <w:bottom w:val="single" w:color="auto" w:sz="6" w:space="0"/>
              <w:right w:val="single" w:color="auto" w:sz="6" w:space="0"/>
            </w:tcBorders>
            <w:vAlign w:val="center"/>
          </w:tcPr>
          <w:p w14:paraId="0D5BF9EF">
            <w:pPr>
              <w:jc w:val="left"/>
            </w:pPr>
          </w:p>
        </w:tc>
      </w:tr>
      <w:tr w14:paraId="004C19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02" w:type="dxa"/>
            <w:left w:w="28" w:type="dxa"/>
            <w:bottom w:w="102" w:type="dxa"/>
            <w:right w:w="28" w:type="dxa"/>
          </w:tblCellMar>
        </w:tblPrEx>
        <w:trPr>
          <w:trHeight w:val="169" w:hRule="atLeast"/>
          <w:jc w:val="center"/>
        </w:trPr>
        <w:tc>
          <w:tcPr>
            <w:tcW w:w="880" w:type="dxa"/>
            <w:tcBorders>
              <w:top w:val="single" w:color="auto" w:sz="6" w:space="0"/>
              <w:left w:val="single" w:color="auto" w:sz="6" w:space="0"/>
              <w:bottom w:val="single" w:color="auto" w:sz="6" w:space="0"/>
              <w:right w:val="single" w:color="auto" w:sz="6" w:space="0"/>
            </w:tcBorders>
            <w:vAlign w:val="center"/>
          </w:tcPr>
          <w:p w14:paraId="59A998A9">
            <w:pPr>
              <w:jc w:val="center"/>
            </w:pPr>
            <w:r>
              <w:t>9</w:t>
            </w:r>
          </w:p>
        </w:tc>
        <w:tc>
          <w:tcPr>
            <w:tcW w:w="2705" w:type="dxa"/>
            <w:gridSpan w:val="2"/>
            <w:tcBorders>
              <w:top w:val="single" w:color="auto" w:sz="6" w:space="0"/>
              <w:left w:val="single" w:color="auto" w:sz="6" w:space="0"/>
              <w:bottom w:val="single" w:color="auto" w:sz="6" w:space="0"/>
              <w:right w:val="single" w:color="auto" w:sz="6" w:space="0"/>
            </w:tcBorders>
            <w:vAlign w:val="center"/>
          </w:tcPr>
          <w:p w14:paraId="5A527E1C">
            <w:pPr>
              <w:jc w:val="left"/>
            </w:pPr>
            <w:r>
              <w:rPr>
                <w:rFonts w:hint="eastAsia"/>
              </w:rPr>
              <w:t>用电设备</w:t>
            </w:r>
          </w:p>
        </w:tc>
        <w:tc>
          <w:tcPr>
            <w:tcW w:w="4212" w:type="dxa"/>
            <w:gridSpan w:val="3"/>
            <w:tcBorders>
              <w:top w:val="single" w:color="auto" w:sz="6" w:space="0"/>
              <w:left w:val="single" w:color="auto" w:sz="6" w:space="0"/>
              <w:bottom w:val="single" w:color="auto" w:sz="6" w:space="0"/>
              <w:right w:val="single" w:color="auto" w:sz="6" w:space="0"/>
            </w:tcBorders>
            <w:vAlign w:val="center"/>
          </w:tcPr>
          <w:p w14:paraId="29BCD589">
            <w:pPr>
              <w:jc w:val="left"/>
            </w:pPr>
            <w:r>
              <w:rPr>
                <w:rFonts w:hint="eastAsia"/>
              </w:rPr>
              <w:t>低压变压器应设专用配电箱；交流弧焊机二次空载降压保护装置</w:t>
            </w:r>
          </w:p>
        </w:tc>
        <w:tc>
          <w:tcPr>
            <w:tcW w:w="1365" w:type="dxa"/>
            <w:tcBorders>
              <w:top w:val="single" w:color="auto" w:sz="6" w:space="0"/>
              <w:left w:val="single" w:color="auto" w:sz="6" w:space="0"/>
              <w:bottom w:val="single" w:color="auto" w:sz="6" w:space="0"/>
              <w:right w:val="single" w:color="auto" w:sz="6" w:space="0"/>
            </w:tcBorders>
            <w:vAlign w:val="center"/>
          </w:tcPr>
          <w:p w14:paraId="4C58A8AF">
            <w:pPr>
              <w:jc w:val="left"/>
            </w:pPr>
          </w:p>
        </w:tc>
      </w:tr>
      <w:tr w14:paraId="7335E5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02" w:type="dxa"/>
            <w:left w:w="28" w:type="dxa"/>
            <w:bottom w:w="102" w:type="dxa"/>
            <w:right w:w="28" w:type="dxa"/>
          </w:tblCellMar>
        </w:tblPrEx>
        <w:trPr>
          <w:trHeight w:val="278" w:hRule="atLeast"/>
          <w:jc w:val="center"/>
        </w:trPr>
        <w:tc>
          <w:tcPr>
            <w:tcW w:w="880" w:type="dxa"/>
            <w:tcBorders>
              <w:top w:val="single" w:color="auto" w:sz="6" w:space="0"/>
              <w:left w:val="single" w:color="auto" w:sz="6" w:space="0"/>
              <w:bottom w:val="single" w:color="auto" w:sz="6" w:space="0"/>
              <w:right w:val="single" w:color="auto" w:sz="6" w:space="0"/>
            </w:tcBorders>
            <w:vAlign w:val="center"/>
          </w:tcPr>
          <w:p w14:paraId="026B6731">
            <w:pPr>
              <w:jc w:val="center"/>
            </w:pPr>
            <w:r>
              <w:t>10</w:t>
            </w:r>
          </w:p>
        </w:tc>
        <w:tc>
          <w:tcPr>
            <w:tcW w:w="2705" w:type="dxa"/>
            <w:gridSpan w:val="2"/>
            <w:tcBorders>
              <w:top w:val="single" w:color="auto" w:sz="6" w:space="0"/>
              <w:left w:val="single" w:color="auto" w:sz="6" w:space="0"/>
              <w:bottom w:val="single" w:color="auto" w:sz="6" w:space="0"/>
              <w:right w:val="single" w:color="auto" w:sz="6" w:space="0"/>
            </w:tcBorders>
            <w:vAlign w:val="center"/>
          </w:tcPr>
          <w:p w14:paraId="6D62827D">
            <w:pPr>
              <w:jc w:val="left"/>
            </w:pPr>
            <w:r>
              <w:rPr>
                <w:rFonts w:hint="eastAsia"/>
              </w:rPr>
              <w:t>防雷装置</w:t>
            </w:r>
          </w:p>
        </w:tc>
        <w:tc>
          <w:tcPr>
            <w:tcW w:w="4212" w:type="dxa"/>
            <w:gridSpan w:val="3"/>
            <w:tcBorders>
              <w:top w:val="single" w:color="auto" w:sz="6" w:space="0"/>
              <w:left w:val="single" w:color="auto" w:sz="6" w:space="0"/>
              <w:bottom w:val="single" w:color="auto" w:sz="6" w:space="0"/>
              <w:right w:val="single" w:color="auto" w:sz="6" w:space="0"/>
            </w:tcBorders>
            <w:vAlign w:val="center"/>
          </w:tcPr>
          <w:p w14:paraId="7734ECC2">
            <w:pPr>
              <w:jc w:val="left"/>
            </w:pPr>
            <w:r>
              <w:rPr>
                <w:rFonts w:hint="eastAsia"/>
              </w:rPr>
              <w:t>防雷装置安装符合规定要</w:t>
            </w:r>
          </w:p>
        </w:tc>
        <w:tc>
          <w:tcPr>
            <w:tcW w:w="1365" w:type="dxa"/>
            <w:tcBorders>
              <w:top w:val="single" w:color="auto" w:sz="6" w:space="0"/>
              <w:left w:val="single" w:color="auto" w:sz="6" w:space="0"/>
              <w:bottom w:val="single" w:color="auto" w:sz="6" w:space="0"/>
              <w:right w:val="single" w:color="auto" w:sz="6" w:space="0"/>
            </w:tcBorders>
            <w:vAlign w:val="center"/>
          </w:tcPr>
          <w:p w14:paraId="446BB61A">
            <w:pPr>
              <w:jc w:val="left"/>
            </w:pPr>
          </w:p>
        </w:tc>
      </w:tr>
      <w:tr w14:paraId="055CB1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75" w:hRule="atLeast"/>
          <w:jc w:val="center"/>
        </w:trPr>
        <w:tc>
          <w:tcPr>
            <w:tcW w:w="880" w:type="dxa"/>
            <w:tcBorders>
              <w:top w:val="single" w:color="auto" w:sz="6" w:space="0"/>
              <w:left w:val="single" w:color="auto" w:sz="6" w:space="0"/>
              <w:bottom w:val="single" w:color="auto" w:sz="6" w:space="0"/>
              <w:right w:val="single" w:color="auto" w:sz="6" w:space="0"/>
            </w:tcBorders>
            <w:vAlign w:val="center"/>
          </w:tcPr>
          <w:p w14:paraId="75AD7D39">
            <w:pPr>
              <w:jc w:val="center"/>
            </w:pPr>
            <w:r>
              <w:t>11</w:t>
            </w:r>
          </w:p>
        </w:tc>
        <w:tc>
          <w:tcPr>
            <w:tcW w:w="2705" w:type="dxa"/>
            <w:gridSpan w:val="2"/>
            <w:tcBorders>
              <w:top w:val="single" w:color="auto" w:sz="6" w:space="0"/>
              <w:left w:val="single" w:color="auto" w:sz="6" w:space="0"/>
              <w:bottom w:val="single" w:color="auto" w:sz="6" w:space="0"/>
              <w:right w:val="single" w:color="auto" w:sz="6" w:space="0"/>
            </w:tcBorders>
            <w:vAlign w:val="center"/>
          </w:tcPr>
          <w:p w14:paraId="1BA9DC89">
            <w:pPr>
              <w:jc w:val="left"/>
            </w:pPr>
            <w:r>
              <w:rPr>
                <w:rFonts w:hint="eastAsia"/>
              </w:rPr>
              <w:t>其他验收项目</w:t>
            </w:r>
          </w:p>
        </w:tc>
        <w:tc>
          <w:tcPr>
            <w:tcW w:w="4212" w:type="dxa"/>
            <w:gridSpan w:val="3"/>
            <w:tcBorders>
              <w:top w:val="single" w:color="auto" w:sz="6" w:space="0"/>
              <w:left w:val="single" w:color="auto" w:sz="6" w:space="0"/>
              <w:bottom w:val="single" w:color="auto" w:sz="6" w:space="0"/>
              <w:right w:val="single" w:color="auto" w:sz="6" w:space="0"/>
            </w:tcBorders>
          </w:tcPr>
          <w:p w14:paraId="5E7E2BBD">
            <w:pPr>
              <w:jc w:val="left"/>
            </w:pPr>
          </w:p>
        </w:tc>
        <w:tc>
          <w:tcPr>
            <w:tcW w:w="1365" w:type="dxa"/>
            <w:tcBorders>
              <w:top w:val="single" w:color="auto" w:sz="6" w:space="0"/>
              <w:left w:val="single" w:color="auto" w:sz="6" w:space="0"/>
              <w:bottom w:val="single" w:color="auto" w:sz="6" w:space="0"/>
              <w:right w:val="single" w:color="auto" w:sz="6" w:space="0"/>
            </w:tcBorders>
            <w:vAlign w:val="center"/>
          </w:tcPr>
          <w:p w14:paraId="2960E5CD">
            <w:pPr>
              <w:jc w:val="left"/>
            </w:pPr>
          </w:p>
        </w:tc>
      </w:tr>
      <w:tr w14:paraId="20C23C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02" w:type="dxa"/>
            <w:left w:w="28" w:type="dxa"/>
            <w:bottom w:w="102" w:type="dxa"/>
            <w:right w:w="28" w:type="dxa"/>
          </w:tblCellMar>
        </w:tblPrEx>
        <w:trPr>
          <w:trHeight w:val="391" w:hRule="atLeast"/>
          <w:jc w:val="center"/>
        </w:trPr>
        <w:tc>
          <w:tcPr>
            <w:tcW w:w="880" w:type="dxa"/>
            <w:tcBorders>
              <w:top w:val="single" w:color="auto" w:sz="6" w:space="0"/>
              <w:left w:val="single" w:color="auto" w:sz="6" w:space="0"/>
              <w:bottom w:val="single" w:color="auto" w:sz="6" w:space="0"/>
              <w:right w:val="single" w:color="auto" w:sz="6" w:space="0"/>
            </w:tcBorders>
            <w:vAlign w:val="center"/>
          </w:tcPr>
          <w:p w14:paraId="501D03FF">
            <w:pPr>
              <w:jc w:val="center"/>
            </w:pPr>
            <w:r>
              <w:rPr>
                <w:rFonts w:hint="eastAsia"/>
              </w:rPr>
              <w:t>验收结论</w:t>
            </w:r>
            <w:r>
              <w:t xml:space="preserve"> </w:t>
            </w:r>
          </w:p>
        </w:tc>
        <w:tc>
          <w:tcPr>
            <w:tcW w:w="8282" w:type="dxa"/>
            <w:gridSpan w:val="6"/>
            <w:tcBorders>
              <w:top w:val="single" w:color="auto" w:sz="6" w:space="0"/>
              <w:left w:val="single" w:color="auto" w:sz="6" w:space="0"/>
              <w:bottom w:val="single" w:color="auto" w:sz="6" w:space="0"/>
              <w:right w:val="single" w:color="auto" w:sz="6" w:space="0"/>
            </w:tcBorders>
          </w:tcPr>
          <w:p w14:paraId="042F2C46">
            <w:r>
              <w:t xml:space="preserve">                                                          </w:t>
            </w:r>
            <w:r>
              <w:rPr>
                <w:rFonts w:hint="eastAsia"/>
              </w:rPr>
              <w:t>年</w:t>
            </w:r>
            <w:r>
              <w:t xml:space="preserve">    </w:t>
            </w:r>
            <w:r>
              <w:rPr>
                <w:rFonts w:hint="eastAsia"/>
              </w:rPr>
              <w:t>月</w:t>
            </w:r>
            <w:r>
              <w:t xml:space="preserve">    </w:t>
            </w:r>
            <w:r>
              <w:rPr>
                <w:rFonts w:hint="eastAsia"/>
              </w:rPr>
              <w:t>日</w:t>
            </w:r>
          </w:p>
        </w:tc>
      </w:tr>
      <w:tr w14:paraId="49B98A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02" w:type="dxa"/>
            <w:left w:w="28" w:type="dxa"/>
            <w:bottom w:w="102" w:type="dxa"/>
            <w:right w:w="28" w:type="dxa"/>
          </w:tblCellMar>
        </w:tblPrEx>
        <w:trPr>
          <w:trHeight w:val="627" w:hRule="atLeast"/>
          <w:jc w:val="center"/>
        </w:trPr>
        <w:tc>
          <w:tcPr>
            <w:tcW w:w="880" w:type="dxa"/>
            <w:vMerge w:val="restart"/>
            <w:tcBorders>
              <w:top w:val="single" w:color="auto" w:sz="6" w:space="0"/>
              <w:left w:val="single" w:color="auto" w:sz="6" w:space="0"/>
              <w:right w:val="single" w:color="auto" w:sz="6" w:space="0"/>
            </w:tcBorders>
            <w:vAlign w:val="center"/>
          </w:tcPr>
          <w:p w14:paraId="56A016AA">
            <w:pPr>
              <w:jc w:val="center"/>
            </w:pPr>
            <w:r>
              <w:rPr>
                <w:rFonts w:hint="eastAsia"/>
              </w:rPr>
              <w:t>验收人</w:t>
            </w:r>
          </w:p>
          <w:p w14:paraId="56925DF5">
            <w:pPr>
              <w:jc w:val="center"/>
            </w:pPr>
            <w:r>
              <w:rPr>
                <w:rFonts w:hint="eastAsia"/>
              </w:rPr>
              <w:t>签字</w:t>
            </w:r>
          </w:p>
        </w:tc>
        <w:tc>
          <w:tcPr>
            <w:tcW w:w="2705" w:type="dxa"/>
            <w:gridSpan w:val="2"/>
            <w:tcBorders>
              <w:top w:val="single" w:color="auto" w:sz="6" w:space="0"/>
              <w:left w:val="single" w:color="auto" w:sz="6" w:space="0"/>
              <w:bottom w:val="single" w:color="auto" w:sz="6" w:space="0"/>
              <w:right w:val="single" w:color="auto" w:sz="6" w:space="0"/>
            </w:tcBorders>
            <w:vAlign w:val="center"/>
          </w:tcPr>
          <w:p w14:paraId="482B76EA">
            <w:pPr>
              <w:jc w:val="center"/>
            </w:pPr>
            <w:r>
              <w:rPr>
                <w:rFonts w:hint="eastAsia"/>
              </w:rPr>
              <w:t>总承包单位</w:t>
            </w:r>
          </w:p>
          <w:p w14:paraId="467DD2F6">
            <w:pPr>
              <w:jc w:val="center"/>
            </w:pPr>
            <w:r>
              <w:rPr>
                <w:rFonts w:hint="eastAsia"/>
              </w:rPr>
              <w:t>项目电气技术负责人</w:t>
            </w:r>
          </w:p>
        </w:tc>
        <w:tc>
          <w:tcPr>
            <w:tcW w:w="2736" w:type="dxa"/>
            <w:gridSpan w:val="2"/>
            <w:tcBorders>
              <w:top w:val="single" w:color="auto" w:sz="6" w:space="0"/>
              <w:left w:val="single" w:color="auto" w:sz="6" w:space="0"/>
              <w:bottom w:val="single" w:color="auto" w:sz="6" w:space="0"/>
              <w:right w:val="single" w:color="auto" w:sz="6" w:space="0"/>
            </w:tcBorders>
            <w:vAlign w:val="center"/>
          </w:tcPr>
          <w:p w14:paraId="64130D0B">
            <w:pPr>
              <w:jc w:val="center"/>
            </w:pPr>
            <w:r>
              <w:rPr>
                <w:rFonts w:hint="eastAsia"/>
              </w:rPr>
              <w:t>施工单位</w:t>
            </w:r>
          </w:p>
          <w:p w14:paraId="49E84B7E">
            <w:pPr>
              <w:jc w:val="center"/>
            </w:pPr>
            <w:r>
              <w:rPr>
                <w:rFonts w:hint="eastAsia"/>
              </w:rPr>
              <w:t>施工用电工程方案编制人</w:t>
            </w:r>
          </w:p>
        </w:tc>
        <w:tc>
          <w:tcPr>
            <w:tcW w:w="1476" w:type="dxa"/>
            <w:tcBorders>
              <w:top w:val="single" w:color="auto" w:sz="6" w:space="0"/>
              <w:left w:val="single" w:color="auto" w:sz="6" w:space="0"/>
              <w:bottom w:val="single" w:color="auto" w:sz="6" w:space="0"/>
              <w:right w:val="single" w:color="auto" w:sz="6" w:space="0"/>
            </w:tcBorders>
            <w:vAlign w:val="center"/>
          </w:tcPr>
          <w:p w14:paraId="6FA4FB36">
            <w:pPr>
              <w:jc w:val="center"/>
            </w:pPr>
            <w:r>
              <w:rPr>
                <w:rFonts w:hint="eastAsia"/>
              </w:rPr>
              <w:t>安装单位</w:t>
            </w:r>
          </w:p>
        </w:tc>
        <w:tc>
          <w:tcPr>
            <w:tcW w:w="1365" w:type="dxa"/>
            <w:tcBorders>
              <w:top w:val="single" w:color="auto" w:sz="6" w:space="0"/>
              <w:left w:val="single" w:color="auto" w:sz="6" w:space="0"/>
              <w:bottom w:val="single" w:color="auto" w:sz="6" w:space="0"/>
              <w:right w:val="single" w:color="auto" w:sz="6" w:space="0"/>
            </w:tcBorders>
            <w:vAlign w:val="center"/>
          </w:tcPr>
          <w:p w14:paraId="274629AD">
            <w:pPr>
              <w:jc w:val="center"/>
            </w:pPr>
            <w:r>
              <w:rPr>
                <w:rFonts w:hint="eastAsia"/>
              </w:rPr>
              <w:t>其他单位</w:t>
            </w:r>
          </w:p>
        </w:tc>
      </w:tr>
      <w:tr w14:paraId="3832D8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02" w:type="dxa"/>
            <w:left w:w="28" w:type="dxa"/>
            <w:bottom w:w="102" w:type="dxa"/>
            <w:right w:w="28" w:type="dxa"/>
          </w:tblCellMar>
        </w:tblPrEx>
        <w:trPr>
          <w:trHeight w:val="356" w:hRule="atLeast"/>
          <w:jc w:val="center"/>
        </w:trPr>
        <w:tc>
          <w:tcPr>
            <w:tcW w:w="880" w:type="dxa"/>
            <w:vMerge w:val="continue"/>
            <w:tcBorders>
              <w:left w:val="single" w:color="auto" w:sz="6" w:space="0"/>
              <w:bottom w:val="single" w:color="auto" w:sz="6" w:space="0"/>
              <w:right w:val="single" w:color="auto" w:sz="6" w:space="0"/>
            </w:tcBorders>
            <w:vAlign w:val="center"/>
          </w:tcPr>
          <w:p w14:paraId="6E000A07">
            <w:pPr>
              <w:jc w:val="center"/>
            </w:pPr>
          </w:p>
        </w:tc>
        <w:tc>
          <w:tcPr>
            <w:tcW w:w="2705" w:type="dxa"/>
            <w:gridSpan w:val="2"/>
            <w:tcBorders>
              <w:top w:val="single" w:color="auto" w:sz="6" w:space="0"/>
              <w:left w:val="single" w:color="auto" w:sz="6" w:space="0"/>
              <w:bottom w:val="single" w:color="auto" w:sz="6" w:space="0"/>
              <w:right w:val="single" w:color="auto" w:sz="6" w:space="0"/>
            </w:tcBorders>
            <w:vAlign w:val="center"/>
          </w:tcPr>
          <w:p w14:paraId="128DA29C">
            <w:pPr>
              <w:jc w:val="center"/>
            </w:pPr>
          </w:p>
        </w:tc>
        <w:tc>
          <w:tcPr>
            <w:tcW w:w="2736" w:type="dxa"/>
            <w:gridSpan w:val="2"/>
            <w:tcBorders>
              <w:top w:val="single" w:color="auto" w:sz="6" w:space="0"/>
              <w:left w:val="single" w:color="auto" w:sz="6" w:space="0"/>
              <w:bottom w:val="single" w:color="auto" w:sz="6" w:space="0"/>
              <w:right w:val="single" w:color="auto" w:sz="6" w:space="0"/>
            </w:tcBorders>
            <w:vAlign w:val="center"/>
          </w:tcPr>
          <w:p w14:paraId="5EA3FC15">
            <w:pPr>
              <w:jc w:val="center"/>
            </w:pPr>
          </w:p>
        </w:tc>
        <w:tc>
          <w:tcPr>
            <w:tcW w:w="1476" w:type="dxa"/>
            <w:tcBorders>
              <w:top w:val="single" w:color="auto" w:sz="6" w:space="0"/>
              <w:left w:val="single" w:color="auto" w:sz="6" w:space="0"/>
              <w:bottom w:val="single" w:color="auto" w:sz="6" w:space="0"/>
              <w:right w:val="single" w:color="auto" w:sz="6" w:space="0"/>
            </w:tcBorders>
            <w:vAlign w:val="center"/>
          </w:tcPr>
          <w:p w14:paraId="540AA16C">
            <w:pPr>
              <w:jc w:val="center"/>
            </w:pPr>
          </w:p>
        </w:tc>
        <w:tc>
          <w:tcPr>
            <w:tcW w:w="1365" w:type="dxa"/>
            <w:tcBorders>
              <w:top w:val="single" w:color="auto" w:sz="6" w:space="0"/>
              <w:left w:val="single" w:color="auto" w:sz="6" w:space="0"/>
              <w:bottom w:val="single" w:color="auto" w:sz="6" w:space="0"/>
              <w:right w:val="single" w:color="auto" w:sz="6" w:space="0"/>
            </w:tcBorders>
            <w:vAlign w:val="center"/>
          </w:tcPr>
          <w:p w14:paraId="36DF8660">
            <w:pPr>
              <w:jc w:val="center"/>
            </w:pPr>
          </w:p>
        </w:tc>
      </w:tr>
      <w:tr w14:paraId="03AB27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02" w:type="dxa"/>
            <w:left w:w="28" w:type="dxa"/>
            <w:bottom w:w="102" w:type="dxa"/>
            <w:right w:w="28" w:type="dxa"/>
          </w:tblCellMar>
        </w:tblPrEx>
        <w:trPr>
          <w:trHeight w:val="505" w:hRule="atLeast"/>
          <w:jc w:val="center"/>
        </w:trPr>
        <w:tc>
          <w:tcPr>
            <w:tcW w:w="9162" w:type="dxa"/>
            <w:gridSpan w:val="7"/>
            <w:tcBorders>
              <w:top w:val="single" w:color="auto" w:sz="6" w:space="0"/>
              <w:left w:val="single" w:color="auto" w:sz="6" w:space="0"/>
              <w:bottom w:val="single" w:color="auto" w:sz="6" w:space="0"/>
              <w:right w:val="single" w:color="auto" w:sz="6" w:space="0"/>
            </w:tcBorders>
            <w:vAlign w:val="center"/>
          </w:tcPr>
          <w:p w14:paraId="1197805C">
            <w:r>
              <w:rPr>
                <w:rFonts w:hint="eastAsia"/>
              </w:rPr>
              <w:t>监理单位意见：</w:t>
            </w:r>
          </w:p>
          <w:p w14:paraId="7C23F2C7"/>
          <w:p w14:paraId="0A25C6B0"/>
          <w:p w14:paraId="6644144B">
            <w:pPr>
              <w:ind w:firstLine="5460" w:firstLineChars="2600"/>
            </w:pPr>
            <w:r>
              <w:rPr>
                <w:rFonts w:hint="eastAsia"/>
              </w:rPr>
              <w:t>专业监理工程师（签字）：</w:t>
            </w:r>
            <w:r>
              <w:t xml:space="preserve">                                    </w:t>
            </w:r>
          </w:p>
          <w:p w14:paraId="5CCB7097">
            <w:r>
              <w:t xml:space="preserve">                                                        </w:t>
            </w:r>
            <w:r>
              <w:rPr>
                <w:rFonts w:hint="eastAsia"/>
              </w:rPr>
              <w:t>年</w:t>
            </w:r>
            <w:r>
              <w:t xml:space="preserve">    </w:t>
            </w:r>
            <w:r>
              <w:rPr>
                <w:rFonts w:hint="eastAsia"/>
              </w:rPr>
              <w:t>月</w:t>
            </w:r>
            <w:r>
              <w:t xml:space="preserve">    </w:t>
            </w:r>
            <w:r>
              <w:rPr>
                <w:rFonts w:hint="eastAsia"/>
              </w:rPr>
              <w:t>日</w:t>
            </w:r>
          </w:p>
        </w:tc>
      </w:tr>
    </w:tbl>
    <w:p w14:paraId="581905C4">
      <w:bookmarkStart w:id="639" w:name="_Hlk216453328"/>
      <w:r>
        <w:rPr>
          <w:rFonts w:hint="eastAsia"/>
        </w:rPr>
        <w:t>注：</w:t>
      </w:r>
      <w:r>
        <w:t xml:space="preserve">1 </w:t>
      </w:r>
      <w:r>
        <w:rPr>
          <w:rFonts w:hint="eastAsia"/>
        </w:rPr>
        <w:t>表中其他单位包括分包单位、使用单位等；</w:t>
      </w:r>
    </w:p>
    <w:p w14:paraId="52FF1D39">
      <w:pPr>
        <w:ind w:firstLine="420" w:firstLineChars="200"/>
        <w:rPr>
          <w:szCs w:val="24"/>
        </w:rPr>
      </w:pPr>
      <w:bookmarkStart w:id="640" w:name="_Toc4556"/>
      <w:bookmarkStart w:id="641" w:name="_Toc14460"/>
      <w:r>
        <w:t xml:space="preserve">2 </w:t>
      </w:r>
      <w:bookmarkEnd w:id="640"/>
      <w:bookmarkEnd w:id="641"/>
      <w:bookmarkStart w:id="642" w:name="_Hlk189161483"/>
      <w:r>
        <w:rPr>
          <w:rFonts w:hint="eastAsia"/>
        </w:rPr>
        <w:t>本表由施工单位填写；一式两份，监理单位、施工单位各留存一份。</w:t>
      </w:r>
      <w:bookmarkEnd w:id="639"/>
    </w:p>
    <w:bookmarkEnd w:id="642"/>
    <w:p w14:paraId="2010F890">
      <w:pPr>
        <w:pStyle w:val="40"/>
        <w:spacing w:before="120"/>
        <w:jc w:val="both"/>
        <w:rPr>
          <w:b/>
          <w:bCs w:val="0"/>
          <w:color w:val="auto"/>
          <w:szCs w:val="24"/>
        </w:rPr>
      </w:pPr>
      <w:r>
        <w:rPr>
          <w:rFonts w:hint="eastAsia" w:ascii="宋体" w:hAnsi="宋体" w:cs="宋体"/>
          <w:color w:val="auto"/>
          <w:szCs w:val="24"/>
        </w:rPr>
        <w:br w:type="page"/>
      </w:r>
      <w:r>
        <w:rPr>
          <w:b/>
          <w:bCs w:val="0"/>
          <w:color w:val="auto"/>
          <w:sz w:val="24"/>
          <w:szCs w:val="24"/>
        </w:rPr>
        <w:t>A.0.5</w:t>
      </w:r>
      <w:r>
        <w:rPr>
          <w:color w:val="auto"/>
          <w:sz w:val="24"/>
          <w:szCs w:val="24"/>
        </w:rPr>
        <w:t xml:space="preserve">  </w:t>
      </w:r>
      <w:r>
        <w:rPr>
          <w:rFonts w:hint="eastAsia"/>
          <w:color w:val="auto"/>
          <w:sz w:val="24"/>
          <w:szCs w:val="24"/>
        </w:rPr>
        <w:t>绝缘电阻测试记录应符合表</w:t>
      </w:r>
      <w:r>
        <w:rPr>
          <w:color w:val="auto"/>
          <w:sz w:val="24"/>
          <w:szCs w:val="24"/>
        </w:rPr>
        <w:t>A.0.5</w:t>
      </w:r>
      <w:r>
        <w:rPr>
          <w:rFonts w:hint="eastAsia"/>
          <w:color w:val="auto"/>
          <w:sz w:val="24"/>
          <w:szCs w:val="24"/>
        </w:rPr>
        <w:t>的规定。</w:t>
      </w:r>
    </w:p>
    <w:p w14:paraId="461C7285">
      <w:pPr>
        <w:pStyle w:val="40"/>
        <w:spacing w:before="120"/>
        <w:rPr>
          <w:b/>
          <w:bCs w:val="0"/>
          <w:color w:val="auto"/>
          <w:szCs w:val="24"/>
        </w:rPr>
      </w:pPr>
      <w:r>
        <w:rPr>
          <w:rFonts w:hint="eastAsia"/>
          <w:b/>
          <w:bCs w:val="0"/>
          <w:color w:val="auto"/>
          <w:szCs w:val="24"/>
        </w:rPr>
        <w:t>表</w:t>
      </w:r>
      <w:r>
        <w:rPr>
          <w:b/>
          <w:bCs w:val="0"/>
          <w:color w:val="auto"/>
          <w:szCs w:val="24"/>
        </w:rPr>
        <w:t xml:space="preserve">A.0.5 </w:t>
      </w:r>
      <w:r>
        <w:rPr>
          <w:rFonts w:hint="eastAsia"/>
          <w:b/>
          <w:bCs w:val="0"/>
          <w:color w:val="auto"/>
          <w:szCs w:val="24"/>
        </w:rPr>
        <w:t>绝缘电阻测试记录表</w:t>
      </w:r>
    </w:p>
    <w:tbl>
      <w:tblPr>
        <w:tblStyle w:val="18"/>
        <w:tblW w:w="963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85" w:type="dxa"/>
          <w:left w:w="28" w:type="dxa"/>
          <w:bottom w:w="85" w:type="dxa"/>
          <w:right w:w="28" w:type="dxa"/>
        </w:tblCellMar>
      </w:tblPr>
      <w:tblGrid>
        <w:gridCol w:w="993"/>
        <w:gridCol w:w="1134"/>
        <w:gridCol w:w="851"/>
        <w:gridCol w:w="278"/>
        <w:gridCol w:w="572"/>
        <w:gridCol w:w="1021"/>
        <w:gridCol w:w="851"/>
        <w:gridCol w:w="778"/>
        <w:gridCol w:w="742"/>
        <w:gridCol w:w="700"/>
        <w:gridCol w:w="769"/>
        <w:gridCol w:w="941"/>
      </w:tblGrid>
      <w:tr w14:paraId="0F5B1B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trHeight w:val="509" w:hRule="atLeast"/>
          <w:jc w:val="center"/>
        </w:trPr>
        <w:tc>
          <w:tcPr>
            <w:tcW w:w="5700" w:type="dxa"/>
            <w:gridSpan w:val="7"/>
            <w:tcBorders>
              <w:top w:val="single" w:color="auto" w:sz="6" w:space="0"/>
              <w:left w:val="single" w:color="auto" w:sz="6" w:space="0"/>
              <w:bottom w:val="single" w:color="auto" w:sz="6" w:space="0"/>
              <w:right w:val="single" w:color="auto" w:sz="6" w:space="0"/>
            </w:tcBorders>
            <w:vAlign w:val="center"/>
          </w:tcPr>
          <w:p w14:paraId="4C6239B9">
            <w:pPr>
              <w:widowControl/>
              <w:snapToGrid w:val="0"/>
              <w:jc w:val="center"/>
              <w:textAlignment w:val="center"/>
              <w:rPr>
                <w:bCs/>
                <w:lang w:bidi="ar"/>
              </w:rPr>
            </w:pPr>
            <w:r>
              <w:rPr>
                <w:rFonts w:hint="eastAsia"/>
                <w:bCs/>
                <w:lang w:bidi="ar"/>
              </w:rPr>
              <w:t>绝缘电阻测试记录</w:t>
            </w:r>
          </w:p>
        </w:tc>
        <w:tc>
          <w:tcPr>
            <w:tcW w:w="1520" w:type="dxa"/>
            <w:gridSpan w:val="2"/>
            <w:tcBorders>
              <w:top w:val="single" w:color="auto" w:sz="6" w:space="0"/>
              <w:left w:val="single" w:color="auto" w:sz="6" w:space="0"/>
              <w:bottom w:val="single" w:color="auto" w:sz="6" w:space="0"/>
              <w:right w:val="single" w:color="auto" w:sz="6" w:space="0"/>
            </w:tcBorders>
            <w:vAlign w:val="center"/>
          </w:tcPr>
          <w:p w14:paraId="6F4D4D23">
            <w:pPr>
              <w:snapToGrid w:val="0"/>
              <w:jc w:val="center"/>
            </w:pPr>
            <w:r>
              <w:rPr>
                <w:rFonts w:hint="eastAsia"/>
              </w:rPr>
              <w:t>编号</w:t>
            </w:r>
          </w:p>
        </w:tc>
        <w:tc>
          <w:tcPr>
            <w:tcW w:w="2410" w:type="dxa"/>
            <w:gridSpan w:val="3"/>
            <w:tcBorders>
              <w:top w:val="single" w:color="auto" w:sz="6" w:space="0"/>
              <w:left w:val="single" w:color="auto" w:sz="6" w:space="0"/>
              <w:bottom w:val="single" w:color="auto" w:sz="6" w:space="0"/>
              <w:right w:val="single" w:color="auto" w:sz="6" w:space="0"/>
            </w:tcBorders>
            <w:vAlign w:val="center"/>
          </w:tcPr>
          <w:p w14:paraId="03953D3E">
            <w:pPr>
              <w:snapToGrid w:val="0"/>
              <w:jc w:val="center"/>
            </w:pPr>
            <w:r>
              <w:rPr>
                <w:bCs/>
                <w:lang w:bidi="ar"/>
              </w:rPr>
              <w:t xml:space="preserve"> </w:t>
            </w:r>
          </w:p>
        </w:tc>
      </w:tr>
      <w:tr w14:paraId="47793F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trHeight w:val="392" w:hRule="atLeast"/>
          <w:jc w:val="center"/>
        </w:trPr>
        <w:tc>
          <w:tcPr>
            <w:tcW w:w="993" w:type="dxa"/>
            <w:tcBorders>
              <w:top w:val="single" w:color="auto" w:sz="6" w:space="0"/>
              <w:left w:val="single" w:color="auto" w:sz="6" w:space="0"/>
              <w:bottom w:val="single" w:color="auto" w:sz="6" w:space="0"/>
              <w:right w:val="single" w:color="auto" w:sz="6" w:space="0"/>
            </w:tcBorders>
            <w:vAlign w:val="center"/>
          </w:tcPr>
          <w:p w14:paraId="3528115D">
            <w:pPr>
              <w:jc w:val="center"/>
            </w:pPr>
            <w:r>
              <w:rPr>
                <w:rFonts w:hint="eastAsia"/>
              </w:rPr>
              <w:t>工程名称</w:t>
            </w:r>
          </w:p>
        </w:tc>
        <w:tc>
          <w:tcPr>
            <w:tcW w:w="4707" w:type="dxa"/>
            <w:gridSpan w:val="6"/>
            <w:tcBorders>
              <w:top w:val="single" w:color="auto" w:sz="6" w:space="0"/>
              <w:left w:val="single" w:color="auto" w:sz="6" w:space="0"/>
              <w:bottom w:val="single" w:color="auto" w:sz="6" w:space="0"/>
              <w:right w:val="single" w:color="auto" w:sz="6" w:space="0"/>
            </w:tcBorders>
            <w:vAlign w:val="center"/>
          </w:tcPr>
          <w:p w14:paraId="5D2EFD5E"/>
        </w:tc>
        <w:tc>
          <w:tcPr>
            <w:tcW w:w="1520" w:type="dxa"/>
            <w:gridSpan w:val="2"/>
            <w:tcBorders>
              <w:top w:val="single" w:color="auto" w:sz="6" w:space="0"/>
              <w:left w:val="single" w:color="auto" w:sz="6" w:space="0"/>
              <w:bottom w:val="single" w:color="auto" w:sz="6" w:space="0"/>
              <w:right w:val="single" w:color="auto" w:sz="6" w:space="0"/>
            </w:tcBorders>
            <w:vAlign w:val="center"/>
          </w:tcPr>
          <w:p w14:paraId="6EBADE28">
            <w:pPr>
              <w:jc w:val="center"/>
            </w:pPr>
            <w:r>
              <w:rPr>
                <w:rFonts w:hint="eastAsia"/>
              </w:rPr>
              <w:t>施工单位</w:t>
            </w:r>
          </w:p>
        </w:tc>
        <w:tc>
          <w:tcPr>
            <w:tcW w:w="2410" w:type="dxa"/>
            <w:gridSpan w:val="3"/>
            <w:tcBorders>
              <w:top w:val="single" w:color="auto" w:sz="6" w:space="0"/>
              <w:left w:val="single" w:color="auto" w:sz="6" w:space="0"/>
              <w:bottom w:val="single" w:color="auto" w:sz="6" w:space="0"/>
              <w:right w:val="single" w:color="auto" w:sz="6" w:space="0"/>
            </w:tcBorders>
            <w:vAlign w:val="center"/>
          </w:tcPr>
          <w:p w14:paraId="11E98AA9">
            <w:pPr>
              <w:jc w:val="center"/>
            </w:pPr>
          </w:p>
        </w:tc>
      </w:tr>
      <w:tr w14:paraId="1F59EB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trHeight w:val="392" w:hRule="atLeast"/>
          <w:jc w:val="center"/>
        </w:trPr>
        <w:tc>
          <w:tcPr>
            <w:tcW w:w="993" w:type="dxa"/>
            <w:tcBorders>
              <w:top w:val="single" w:color="auto" w:sz="6" w:space="0"/>
              <w:left w:val="single" w:color="auto" w:sz="6" w:space="0"/>
              <w:bottom w:val="single" w:color="auto" w:sz="6" w:space="0"/>
              <w:right w:val="single" w:color="auto" w:sz="6" w:space="0"/>
            </w:tcBorders>
            <w:vAlign w:val="center"/>
          </w:tcPr>
          <w:p w14:paraId="11749E68">
            <w:pPr>
              <w:jc w:val="center"/>
            </w:pPr>
            <w:r>
              <w:rPr>
                <w:rFonts w:hint="eastAsia"/>
              </w:rPr>
              <w:t>计量单位</w:t>
            </w:r>
          </w:p>
        </w:tc>
        <w:tc>
          <w:tcPr>
            <w:tcW w:w="4707" w:type="dxa"/>
            <w:gridSpan w:val="6"/>
            <w:tcBorders>
              <w:top w:val="single" w:color="auto" w:sz="6" w:space="0"/>
              <w:left w:val="single" w:color="auto" w:sz="6" w:space="0"/>
              <w:bottom w:val="single" w:color="auto" w:sz="6" w:space="0"/>
              <w:right w:val="single" w:color="auto" w:sz="6" w:space="0"/>
            </w:tcBorders>
            <w:vAlign w:val="center"/>
          </w:tcPr>
          <w:p w14:paraId="41EDB69A">
            <w:pPr>
              <w:jc w:val="center"/>
            </w:pPr>
            <w:r>
              <w:t>MΩ</w:t>
            </w:r>
          </w:p>
        </w:tc>
        <w:tc>
          <w:tcPr>
            <w:tcW w:w="1520" w:type="dxa"/>
            <w:gridSpan w:val="2"/>
            <w:tcBorders>
              <w:top w:val="single" w:color="auto" w:sz="6" w:space="0"/>
              <w:left w:val="single" w:color="auto" w:sz="6" w:space="0"/>
              <w:bottom w:val="single" w:color="auto" w:sz="6" w:space="0"/>
              <w:right w:val="single" w:color="auto" w:sz="6" w:space="0"/>
            </w:tcBorders>
            <w:vAlign w:val="center"/>
          </w:tcPr>
          <w:p w14:paraId="5782FBF9">
            <w:pPr>
              <w:jc w:val="center"/>
            </w:pPr>
            <w:r>
              <w:rPr>
                <w:rFonts w:hint="eastAsia"/>
              </w:rPr>
              <w:t>测试日期</w:t>
            </w:r>
          </w:p>
        </w:tc>
        <w:tc>
          <w:tcPr>
            <w:tcW w:w="2410" w:type="dxa"/>
            <w:gridSpan w:val="3"/>
            <w:tcBorders>
              <w:top w:val="single" w:color="auto" w:sz="6" w:space="0"/>
              <w:left w:val="single" w:color="auto" w:sz="6" w:space="0"/>
              <w:bottom w:val="single" w:color="auto" w:sz="6" w:space="0"/>
              <w:right w:val="single" w:color="auto" w:sz="6" w:space="0"/>
            </w:tcBorders>
            <w:vAlign w:val="center"/>
          </w:tcPr>
          <w:p w14:paraId="57096AFA">
            <w:pPr>
              <w:jc w:val="center"/>
            </w:pPr>
            <w:r>
              <w:t xml:space="preserve">     </w:t>
            </w:r>
            <w:r>
              <w:rPr>
                <w:rFonts w:hint="eastAsia"/>
              </w:rPr>
              <w:t>年</w:t>
            </w:r>
            <w:r>
              <w:t xml:space="preserve">   </w:t>
            </w:r>
            <w:r>
              <w:rPr>
                <w:rFonts w:hint="eastAsia"/>
              </w:rPr>
              <w:t>月</w:t>
            </w:r>
            <w:r>
              <w:t xml:space="preserve">   </w:t>
            </w:r>
            <w:r>
              <w:rPr>
                <w:rFonts w:hint="eastAsia"/>
              </w:rPr>
              <w:t>日</w:t>
            </w:r>
          </w:p>
        </w:tc>
      </w:tr>
      <w:tr w14:paraId="78F3CB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trHeight w:val="392" w:hRule="atLeast"/>
          <w:jc w:val="center"/>
        </w:trPr>
        <w:tc>
          <w:tcPr>
            <w:tcW w:w="993" w:type="dxa"/>
            <w:tcBorders>
              <w:top w:val="single" w:color="auto" w:sz="6" w:space="0"/>
              <w:left w:val="single" w:color="auto" w:sz="6" w:space="0"/>
              <w:bottom w:val="single" w:color="auto" w:sz="6" w:space="0"/>
              <w:right w:val="single" w:color="auto" w:sz="6" w:space="0"/>
            </w:tcBorders>
            <w:vAlign w:val="center"/>
          </w:tcPr>
          <w:p w14:paraId="57B663BE">
            <w:pPr>
              <w:jc w:val="center"/>
            </w:pPr>
            <w:bookmarkStart w:id="643" w:name="OLE_LINK150"/>
            <w:bookmarkStart w:id="644" w:name="OLE_LINK149"/>
            <w:r>
              <w:rPr>
                <w:rFonts w:hint="eastAsia"/>
              </w:rPr>
              <w:t>仪表型号</w:t>
            </w:r>
            <w:bookmarkEnd w:id="643"/>
            <w:bookmarkEnd w:id="644"/>
          </w:p>
        </w:tc>
        <w:tc>
          <w:tcPr>
            <w:tcW w:w="2263" w:type="dxa"/>
            <w:gridSpan w:val="3"/>
            <w:tcBorders>
              <w:top w:val="single" w:color="auto" w:sz="6" w:space="0"/>
              <w:left w:val="single" w:color="auto" w:sz="6" w:space="0"/>
              <w:bottom w:val="single" w:color="auto" w:sz="6" w:space="0"/>
              <w:right w:val="single" w:color="auto" w:sz="6" w:space="0"/>
            </w:tcBorders>
            <w:vAlign w:val="center"/>
          </w:tcPr>
          <w:p w14:paraId="0B1D49F1"/>
        </w:tc>
        <w:tc>
          <w:tcPr>
            <w:tcW w:w="572" w:type="dxa"/>
            <w:tcBorders>
              <w:top w:val="single" w:color="auto" w:sz="6" w:space="0"/>
              <w:left w:val="single" w:color="auto" w:sz="6" w:space="0"/>
              <w:bottom w:val="single" w:color="auto" w:sz="6" w:space="0"/>
              <w:right w:val="single" w:color="auto" w:sz="6" w:space="0"/>
            </w:tcBorders>
            <w:vAlign w:val="center"/>
          </w:tcPr>
          <w:p w14:paraId="7DAA54D3">
            <w:pPr>
              <w:jc w:val="center"/>
            </w:pPr>
            <w:r>
              <w:rPr>
                <w:rFonts w:hint="eastAsia"/>
              </w:rPr>
              <w:t>电压</w:t>
            </w:r>
          </w:p>
        </w:tc>
        <w:tc>
          <w:tcPr>
            <w:tcW w:w="1872" w:type="dxa"/>
            <w:gridSpan w:val="2"/>
            <w:tcBorders>
              <w:top w:val="single" w:color="auto" w:sz="6" w:space="0"/>
              <w:left w:val="single" w:color="auto" w:sz="6" w:space="0"/>
              <w:bottom w:val="single" w:color="auto" w:sz="6" w:space="0"/>
              <w:right w:val="single" w:color="auto" w:sz="6" w:space="0"/>
            </w:tcBorders>
            <w:vAlign w:val="center"/>
          </w:tcPr>
          <w:p w14:paraId="0A851E4A"/>
        </w:tc>
        <w:tc>
          <w:tcPr>
            <w:tcW w:w="1520" w:type="dxa"/>
            <w:gridSpan w:val="2"/>
            <w:tcBorders>
              <w:top w:val="single" w:color="auto" w:sz="6" w:space="0"/>
              <w:left w:val="single" w:color="auto" w:sz="6" w:space="0"/>
              <w:bottom w:val="single" w:color="auto" w:sz="6" w:space="0"/>
              <w:right w:val="single" w:color="auto" w:sz="6" w:space="0"/>
            </w:tcBorders>
            <w:vAlign w:val="center"/>
          </w:tcPr>
          <w:p w14:paraId="2FE7A545">
            <w:pPr>
              <w:jc w:val="center"/>
            </w:pPr>
            <w:r>
              <w:rPr>
                <w:rFonts w:hint="eastAsia"/>
              </w:rPr>
              <w:t>天气情况</w:t>
            </w:r>
          </w:p>
        </w:tc>
        <w:tc>
          <w:tcPr>
            <w:tcW w:w="700" w:type="dxa"/>
            <w:tcBorders>
              <w:top w:val="single" w:color="auto" w:sz="6" w:space="0"/>
              <w:left w:val="single" w:color="auto" w:sz="6" w:space="0"/>
              <w:bottom w:val="single" w:color="auto" w:sz="6" w:space="0"/>
              <w:right w:val="single" w:color="auto" w:sz="6" w:space="0"/>
            </w:tcBorders>
            <w:vAlign w:val="center"/>
          </w:tcPr>
          <w:p w14:paraId="64BC1E3B">
            <w:pPr>
              <w:jc w:val="center"/>
            </w:pPr>
          </w:p>
        </w:tc>
        <w:tc>
          <w:tcPr>
            <w:tcW w:w="769" w:type="dxa"/>
            <w:tcBorders>
              <w:top w:val="single" w:color="auto" w:sz="6" w:space="0"/>
              <w:left w:val="single" w:color="auto" w:sz="6" w:space="0"/>
              <w:bottom w:val="single" w:color="auto" w:sz="6" w:space="0"/>
              <w:right w:val="single" w:color="auto" w:sz="6" w:space="0"/>
            </w:tcBorders>
            <w:vAlign w:val="center"/>
          </w:tcPr>
          <w:p w14:paraId="1FE0B94B">
            <w:pPr>
              <w:jc w:val="center"/>
            </w:pPr>
            <w:r>
              <w:rPr>
                <w:rFonts w:hint="eastAsia"/>
              </w:rPr>
              <w:t>气温</w:t>
            </w:r>
          </w:p>
        </w:tc>
        <w:tc>
          <w:tcPr>
            <w:tcW w:w="941" w:type="dxa"/>
            <w:tcBorders>
              <w:top w:val="single" w:color="auto" w:sz="6" w:space="0"/>
              <w:left w:val="single" w:color="auto" w:sz="6" w:space="0"/>
              <w:bottom w:val="single" w:color="auto" w:sz="6" w:space="0"/>
              <w:right w:val="single" w:color="auto" w:sz="6" w:space="0"/>
            </w:tcBorders>
            <w:vAlign w:val="center"/>
          </w:tcPr>
          <w:p w14:paraId="0B312F64">
            <w:pPr>
              <w:jc w:val="right"/>
            </w:pPr>
            <w:r>
              <w:rPr>
                <w:rFonts w:hint="eastAsia"/>
              </w:rPr>
              <w:t>℃</w:t>
            </w:r>
          </w:p>
        </w:tc>
      </w:tr>
      <w:tr w14:paraId="4D442E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trHeight w:val="392" w:hRule="atLeast"/>
          <w:jc w:val="center"/>
        </w:trPr>
        <w:tc>
          <w:tcPr>
            <w:tcW w:w="993" w:type="dxa"/>
            <w:tcBorders>
              <w:top w:val="single" w:color="auto" w:sz="6" w:space="0"/>
              <w:left w:val="single" w:color="auto" w:sz="6" w:space="0"/>
              <w:bottom w:val="single" w:color="auto" w:sz="6" w:space="0"/>
              <w:right w:val="single" w:color="auto" w:sz="6" w:space="0"/>
            </w:tcBorders>
            <w:vAlign w:val="center"/>
          </w:tcPr>
          <w:p w14:paraId="3BC71C06">
            <w:pPr>
              <w:jc w:val="center"/>
            </w:pPr>
            <w:r>
              <w:rPr>
                <w:rFonts w:hint="eastAsia"/>
              </w:rPr>
              <w:t>测试项目</w:t>
            </w:r>
          </w:p>
        </w:tc>
        <w:tc>
          <w:tcPr>
            <w:tcW w:w="2835" w:type="dxa"/>
            <w:gridSpan w:val="4"/>
            <w:tcBorders>
              <w:top w:val="single" w:color="auto" w:sz="6" w:space="0"/>
              <w:left w:val="single" w:color="auto" w:sz="6" w:space="0"/>
              <w:bottom w:val="single" w:color="auto" w:sz="6" w:space="0"/>
              <w:right w:val="single" w:color="auto" w:sz="6" w:space="0"/>
            </w:tcBorders>
            <w:vAlign w:val="center"/>
          </w:tcPr>
          <w:p w14:paraId="608AEA85">
            <w:pPr>
              <w:jc w:val="center"/>
            </w:pPr>
            <w:r>
              <w:t>L-L</w:t>
            </w:r>
          </w:p>
        </w:tc>
        <w:tc>
          <w:tcPr>
            <w:tcW w:w="2650" w:type="dxa"/>
            <w:gridSpan w:val="3"/>
            <w:tcBorders>
              <w:top w:val="single" w:color="auto" w:sz="6" w:space="0"/>
              <w:left w:val="single" w:color="auto" w:sz="6" w:space="0"/>
              <w:bottom w:val="single" w:color="auto" w:sz="6" w:space="0"/>
              <w:right w:val="single" w:color="auto" w:sz="6" w:space="0"/>
            </w:tcBorders>
            <w:vAlign w:val="center"/>
          </w:tcPr>
          <w:p w14:paraId="4C53D013">
            <w:pPr>
              <w:jc w:val="center"/>
            </w:pPr>
            <w:r>
              <w:t>L-N</w:t>
            </w:r>
          </w:p>
        </w:tc>
        <w:tc>
          <w:tcPr>
            <w:tcW w:w="2211" w:type="dxa"/>
            <w:gridSpan w:val="3"/>
            <w:tcBorders>
              <w:top w:val="single" w:color="auto" w:sz="6" w:space="0"/>
              <w:left w:val="single" w:color="auto" w:sz="6" w:space="0"/>
              <w:bottom w:val="single" w:color="auto" w:sz="6" w:space="0"/>
              <w:right w:val="single" w:color="auto" w:sz="6" w:space="0"/>
            </w:tcBorders>
            <w:vAlign w:val="center"/>
          </w:tcPr>
          <w:p w14:paraId="466247FC">
            <w:pPr>
              <w:jc w:val="center"/>
            </w:pPr>
            <w:r>
              <w:t>L-PE</w:t>
            </w:r>
          </w:p>
        </w:tc>
        <w:tc>
          <w:tcPr>
            <w:tcW w:w="941" w:type="dxa"/>
            <w:tcBorders>
              <w:top w:val="single" w:color="auto" w:sz="6" w:space="0"/>
              <w:left w:val="single" w:color="auto" w:sz="6" w:space="0"/>
              <w:bottom w:val="single" w:color="auto" w:sz="6" w:space="0"/>
              <w:right w:val="single" w:color="auto" w:sz="6" w:space="0"/>
            </w:tcBorders>
            <w:vAlign w:val="center"/>
          </w:tcPr>
          <w:p w14:paraId="43707BA5">
            <w:pPr>
              <w:jc w:val="center"/>
            </w:pPr>
            <w:r>
              <w:t>N-PE</w:t>
            </w:r>
          </w:p>
        </w:tc>
      </w:tr>
      <w:tr w14:paraId="5C74DC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trHeight w:val="392" w:hRule="atLeast"/>
          <w:jc w:val="center"/>
        </w:trPr>
        <w:tc>
          <w:tcPr>
            <w:tcW w:w="993" w:type="dxa"/>
            <w:tcBorders>
              <w:top w:val="single" w:color="auto" w:sz="6" w:space="0"/>
              <w:left w:val="single" w:color="auto" w:sz="6" w:space="0"/>
              <w:bottom w:val="single" w:color="auto" w:sz="6" w:space="0"/>
              <w:right w:val="single" w:color="auto" w:sz="6" w:space="0"/>
            </w:tcBorders>
            <w:vAlign w:val="center"/>
          </w:tcPr>
          <w:p w14:paraId="4BB4E781">
            <w:pPr>
              <w:jc w:val="center"/>
            </w:pPr>
            <w:r>
              <w:rPr>
                <w:rFonts w:hint="eastAsia"/>
              </w:rPr>
              <w:t>测试内容</w:t>
            </w:r>
          </w:p>
        </w:tc>
        <w:tc>
          <w:tcPr>
            <w:tcW w:w="1134" w:type="dxa"/>
            <w:tcBorders>
              <w:top w:val="single" w:color="auto" w:sz="6" w:space="0"/>
              <w:left w:val="single" w:color="auto" w:sz="6" w:space="0"/>
              <w:bottom w:val="single" w:color="auto" w:sz="6" w:space="0"/>
              <w:right w:val="single" w:color="auto" w:sz="6" w:space="0"/>
            </w:tcBorders>
            <w:vAlign w:val="center"/>
          </w:tcPr>
          <w:p w14:paraId="762221A4">
            <w:pPr>
              <w:jc w:val="center"/>
            </w:pPr>
            <w:r>
              <w:t>L1-L2</w:t>
            </w:r>
          </w:p>
        </w:tc>
        <w:tc>
          <w:tcPr>
            <w:tcW w:w="851" w:type="dxa"/>
            <w:tcBorders>
              <w:top w:val="single" w:color="auto" w:sz="6" w:space="0"/>
              <w:left w:val="single" w:color="auto" w:sz="6" w:space="0"/>
              <w:bottom w:val="single" w:color="auto" w:sz="6" w:space="0"/>
              <w:right w:val="single" w:color="auto" w:sz="6" w:space="0"/>
            </w:tcBorders>
            <w:vAlign w:val="center"/>
          </w:tcPr>
          <w:p w14:paraId="1671925B">
            <w:pPr>
              <w:jc w:val="center"/>
            </w:pPr>
            <w:r>
              <w:t>L2-L3</w:t>
            </w:r>
          </w:p>
        </w:tc>
        <w:tc>
          <w:tcPr>
            <w:tcW w:w="850" w:type="dxa"/>
            <w:gridSpan w:val="2"/>
            <w:tcBorders>
              <w:top w:val="single" w:color="auto" w:sz="6" w:space="0"/>
              <w:left w:val="single" w:color="auto" w:sz="6" w:space="0"/>
              <w:bottom w:val="single" w:color="auto" w:sz="6" w:space="0"/>
              <w:right w:val="single" w:color="auto" w:sz="6" w:space="0"/>
            </w:tcBorders>
            <w:vAlign w:val="center"/>
          </w:tcPr>
          <w:p w14:paraId="1E08779D">
            <w:pPr>
              <w:jc w:val="center"/>
            </w:pPr>
            <w:r>
              <w:t>L3-L1</w:t>
            </w:r>
          </w:p>
        </w:tc>
        <w:tc>
          <w:tcPr>
            <w:tcW w:w="1021" w:type="dxa"/>
            <w:tcBorders>
              <w:top w:val="single" w:color="auto" w:sz="6" w:space="0"/>
              <w:left w:val="single" w:color="auto" w:sz="6" w:space="0"/>
              <w:bottom w:val="single" w:color="auto" w:sz="6" w:space="0"/>
              <w:right w:val="single" w:color="auto" w:sz="6" w:space="0"/>
            </w:tcBorders>
            <w:vAlign w:val="center"/>
          </w:tcPr>
          <w:p w14:paraId="45E1919C">
            <w:pPr>
              <w:jc w:val="center"/>
            </w:pPr>
            <w:r>
              <w:t>L1-N</w:t>
            </w:r>
          </w:p>
        </w:tc>
        <w:tc>
          <w:tcPr>
            <w:tcW w:w="851" w:type="dxa"/>
            <w:tcBorders>
              <w:top w:val="single" w:color="auto" w:sz="6" w:space="0"/>
              <w:left w:val="single" w:color="auto" w:sz="6" w:space="0"/>
              <w:bottom w:val="single" w:color="auto" w:sz="6" w:space="0"/>
              <w:right w:val="single" w:color="auto" w:sz="6" w:space="0"/>
            </w:tcBorders>
            <w:vAlign w:val="center"/>
          </w:tcPr>
          <w:p w14:paraId="799BE3C3">
            <w:pPr>
              <w:jc w:val="center"/>
            </w:pPr>
            <w:r>
              <w:t>L2-N</w:t>
            </w:r>
          </w:p>
        </w:tc>
        <w:tc>
          <w:tcPr>
            <w:tcW w:w="778" w:type="dxa"/>
            <w:tcBorders>
              <w:top w:val="single" w:color="auto" w:sz="6" w:space="0"/>
              <w:left w:val="single" w:color="auto" w:sz="6" w:space="0"/>
              <w:bottom w:val="single" w:color="auto" w:sz="6" w:space="0"/>
              <w:right w:val="single" w:color="auto" w:sz="6" w:space="0"/>
            </w:tcBorders>
            <w:vAlign w:val="center"/>
          </w:tcPr>
          <w:p w14:paraId="6C7DA4BA">
            <w:pPr>
              <w:jc w:val="center"/>
            </w:pPr>
            <w:r>
              <w:t>L3-N</w:t>
            </w:r>
          </w:p>
        </w:tc>
        <w:tc>
          <w:tcPr>
            <w:tcW w:w="742" w:type="dxa"/>
            <w:tcBorders>
              <w:top w:val="single" w:color="auto" w:sz="6" w:space="0"/>
              <w:left w:val="single" w:color="auto" w:sz="6" w:space="0"/>
              <w:bottom w:val="single" w:color="auto" w:sz="6" w:space="0"/>
              <w:right w:val="single" w:color="auto" w:sz="6" w:space="0"/>
            </w:tcBorders>
            <w:vAlign w:val="center"/>
          </w:tcPr>
          <w:p w14:paraId="2B255B33">
            <w:pPr>
              <w:jc w:val="center"/>
            </w:pPr>
            <w:r>
              <w:t>L1-PE</w:t>
            </w:r>
          </w:p>
        </w:tc>
        <w:tc>
          <w:tcPr>
            <w:tcW w:w="700" w:type="dxa"/>
            <w:tcBorders>
              <w:top w:val="single" w:color="auto" w:sz="6" w:space="0"/>
              <w:left w:val="single" w:color="auto" w:sz="6" w:space="0"/>
              <w:bottom w:val="single" w:color="auto" w:sz="6" w:space="0"/>
              <w:right w:val="single" w:color="auto" w:sz="6" w:space="0"/>
            </w:tcBorders>
            <w:vAlign w:val="center"/>
          </w:tcPr>
          <w:p w14:paraId="53286F18">
            <w:pPr>
              <w:jc w:val="center"/>
            </w:pPr>
            <w:r>
              <w:t>L2-PE</w:t>
            </w:r>
          </w:p>
        </w:tc>
        <w:tc>
          <w:tcPr>
            <w:tcW w:w="769" w:type="dxa"/>
            <w:tcBorders>
              <w:top w:val="single" w:color="auto" w:sz="6" w:space="0"/>
              <w:left w:val="single" w:color="auto" w:sz="6" w:space="0"/>
              <w:bottom w:val="single" w:color="auto" w:sz="6" w:space="0"/>
              <w:right w:val="single" w:color="auto" w:sz="6" w:space="0"/>
            </w:tcBorders>
            <w:vAlign w:val="center"/>
          </w:tcPr>
          <w:p w14:paraId="513AD511">
            <w:pPr>
              <w:jc w:val="center"/>
            </w:pPr>
            <w:r>
              <w:t>L3-PE</w:t>
            </w:r>
          </w:p>
        </w:tc>
        <w:tc>
          <w:tcPr>
            <w:tcW w:w="941" w:type="dxa"/>
            <w:tcBorders>
              <w:top w:val="single" w:color="auto" w:sz="6" w:space="0"/>
              <w:left w:val="single" w:color="auto" w:sz="6" w:space="0"/>
              <w:bottom w:val="single" w:color="auto" w:sz="6" w:space="0"/>
              <w:right w:val="single" w:color="auto" w:sz="6" w:space="0"/>
            </w:tcBorders>
            <w:vAlign w:val="center"/>
          </w:tcPr>
          <w:p w14:paraId="590CD5D9">
            <w:pPr>
              <w:jc w:val="center"/>
            </w:pPr>
            <w:r>
              <w:t>N-PE</w:t>
            </w:r>
          </w:p>
        </w:tc>
      </w:tr>
      <w:tr w14:paraId="22A057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trHeight w:val="392" w:hRule="atLeast"/>
          <w:jc w:val="center"/>
        </w:trPr>
        <w:tc>
          <w:tcPr>
            <w:tcW w:w="993" w:type="dxa"/>
            <w:tcBorders>
              <w:top w:val="single" w:color="auto" w:sz="6" w:space="0"/>
              <w:left w:val="single" w:color="auto" w:sz="6" w:space="0"/>
              <w:bottom w:val="single" w:color="auto" w:sz="6" w:space="0"/>
              <w:right w:val="single" w:color="auto" w:sz="6" w:space="0"/>
            </w:tcBorders>
          </w:tcPr>
          <w:p w14:paraId="0A3CA95F"/>
        </w:tc>
        <w:tc>
          <w:tcPr>
            <w:tcW w:w="1134" w:type="dxa"/>
            <w:tcBorders>
              <w:top w:val="single" w:color="auto" w:sz="6" w:space="0"/>
              <w:left w:val="single" w:color="auto" w:sz="6" w:space="0"/>
              <w:bottom w:val="single" w:color="auto" w:sz="6" w:space="0"/>
              <w:right w:val="single" w:color="auto" w:sz="6" w:space="0"/>
            </w:tcBorders>
          </w:tcPr>
          <w:p w14:paraId="543A46D3"/>
        </w:tc>
        <w:tc>
          <w:tcPr>
            <w:tcW w:w="851" w:type="dxa"/>
            <w:tcBorders>
              <w:top w:val="single" w:color="auto" w:sz="6" w:space="0"/>
              <w:left w:val="single" w:color="auto" w:sz="6" w:space="0"/>
              <w:bottom w:val="single" w:color="auto" w:sz="6" w:space="0"/>
              <w:right w:val="single" w:color="auto" w:sz="6" w:space="0"/>
            </w:tcBorders>
          </w:tcPr>
          <w:p w14:paraId="5ABBF806"/>
        </w:tc>
        <w:tc>
          <w:tcPr>
            <w:tcW w:w="850" w:type="dxa"/>
            <w:gridSpan w:val="2"/>
            <w:tcBorders>
              <w:top w:val="single" w:color="auto" w:sz="6" w:space="0"/>
              <w:left w:val="single" w:color="auto" w:sz="6" w:space="0"/>
              <w:bottom w:val="single" w:color="auto" w:sz="6" w:space="0"/>
              <w:right w:val="single" w:color="auto" w:sz="6" w:space="0"/>
            </w:tcBorders>
          </w:tcPr>
          <w:p w14:paraId="7826E32E"/>
        </w:tc>
        <w:tc>
          <w:tcPr>
            <w:tcW w:w="1021" w:type="dxa"/>
            <w:tcBorders>
              <w:top w:val="single" w:color="auto" w:sz="6" w:space="0"/>
              <w:left w:val="single" w:color="auto" w:sz="6" w:space="0"/>
              <w:bottom w:val="single" w:color="auto" w:sz="6" w:space="0"/>
              <w:right w:val="single" w:color="auto" w:sz="6" w:space="0"/>
            </w:tcBorders>
          </w:tcPr>
          <w:p w14:paraId="06E65639"/>
        </w:tc>
        <w:tc>
          <w:tcPr>
            <w:tcW w:w="851" w:type="dxa"/>
            <w:tcBorders>
              <w:top w:val="single" w:color="auto" w:sz="6" w:space="0"/>
              <w:left w:val="single" w:color="auto" w:sz="6" w:space="0"/>
              <w:bottom w:val="single" w:color="auto" w:sz="6" w:space="0"/>
              <w:right w:val="single" w:color="auto" w:sz="6" w:space="0"/>
            </w:tcBorders>
          </w:tcPr>
          <w:p w14:paraId="4D867B95"/>
        </w:tc>
        <w:tc>
          <w:tcPr>
            <w:tcW w:w="778" w:type="dxa"/>
            <w:tcBorders>
              <w:top w:val="single" w:color="auto" w:sz="6" w:space="0"/>
              <w:left w:val="single" w:color="auto" w:sz="6" w:space="0"/>
              <w:bottom w:val="single" w:color="auto" w:sz="6" w:space="0"/>
              <w:right w:val="single" w:color="auto" w:sz="6" w:space="0"/>
            </w:tcBorders>
          </w:tcPr>
          <w:p w14:paraId="3B3FE9C8"/>
        </w:tc>
        <w:tc>
          <w:tcPr>
            <w:tcW w:w="742" w:type="dxa"/>
            <w:tcBorders>
              <w:top w:val="single" w:color="auto" w:sz="6" w:space="0"/>
              <w:left w:val="single" w:color="auto" w:sz="6" w:space="0"/>
              <w:bottom w:val="single" w:color="auto" w:sz="6" w:space="0"/>
              <w:right w:val="single" w:color="auto" w:sz="6" w:space="0"/>
            </w:tcBorders>
          </w:tcPr>
          <w:p w14:paraId="1DF871A7"/>
        </w:tc>
        <w:tc>
          <w:tcPr>
            <w:tcW w:w="700" w:type="dxa"/>
            <w:tcBorders>
              <w:top w:val="single" w:color="auto" w:sz="6" w:space="0"/>
              <w:left w:val="single" w:color="auto" w:sz="6" w:space="0"/>
              <w:bottom w:val="single" w:color="auto" w:sz="6" w:space="0"/>
              <w:right w:val="single" w:color="auto" w:sz="6" w:space="0"/>
            </w:tcBorders>
          </w:tcPr>
          <w:p w14:paraId="5F2CDEE5"/>
        </w:tc>
        <w:tc>
          <w:tcPr>
            <w:tcW w:w="769" w:type="dxa"/>
            <w:tcBorders>
              <w:top w:val="single" w:color="auto" w:sz="6" w:space="0"/>
              <w:left w:val="single" w:color="auto" w:sz="6" w:space="0"/>
              <w:bottom w:val="single" w:color="auto" w:sz="6" w:space="0"/>
              <w:right w:val="single" w:color="auto" w:sz="6" w:space="0"/>
            </w:tcBorders>
          </w:tcPr>
          <w:p w14:paraId="576FDF1E"/>
        </w:tc>
        <w:tc>
          <w:tcPr>
            <w:tcW w:w="941" w:type="dxa"/>
            <w:tcBorders>
              <w:top w:val="single" w:color="auto" w:sz="6" w:space="0"/>
              <w:left w:val="single" w:color="auto" w:sz="6" w:space="0"/>
              <w:bottom w:val="single" w:color="auto" w:sz="6" w:space="0"/>
              <w:right w:val="single" w:color="auto" w:sz="6" w:space="0"/>
            </w:tcBorders>
          </w:tcPr>
          <w:p w14:paraId="79CF5943"/>
        </w:tc>
      </w:tr>
      <w:tr w14:paraId="7E89DC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trHeight w:val="392" w:hRule="atLeast"/>
          <w:jc w:val="center"/>
        </w:trPr>
        <w:tc>
          <w:tcPr>
            <w:tcW w:w="993" w:type="dxa"/>
            <w:tcBorders>
              <w:top w:val="single" w:color="auto" w:sz="6" w:space="0"/>
              <w:left w:val="single" w:color="auto" w:sz="6" w:space="0"/>
              <w:bottom w:val="single" w:color="auto" w:sz="6" w:space="0"/>
              <w:right w:val="single" w:color="auto" w:sz="6" w:space="0"/>
            </w:tcBorders>
          </w:tcPr>
          <w:p w14:paraId="7C4D76F3"/>
        </w:tc>
        <w:tc>
          <w:tcPr>
            <w:tcW w:w="1134" w:type="dxa"/>
            <w:tcBorders>
              <w:top w:val="single" w:color="auto" w:sz="6" w:space="0"/>
              <w:left w:val="single" w:color="auto" w:sz="6" w:space="0"/>
              <w:bottom w:val="single" w:color="auto" w:sz="6" w:space="0"/>
              <w:right w:val="single" w:color="auto" w:sz="6" w:space="0"/>
            </w:tcBorders>
          </w:tcPr>
          <w:p w14:paraId="42D93779"/>
        </w:tc>
        <w:tc>
          <w:tcPr>
            <w:tcW w:w="851" w:type="dxa"/>
            <w:tcBorders>
              <w:top w:val="single" w:color="auto" w:sz="6" w:space="0"/>
              <w:left w:val="single" w:color="auto" w:sz="6" w:space="0"/>
              <w:bottom w:val="single" w:color="auto" w:sz="6" w:space="0"/>
              <w:right w:val="single" w:color="auto" w:sz="6" w:space="0"/>
            </w:tcBorders>
          </w:tcPr>
          <w:p w14:paraId="2231E5B7"/>
        </w:tc>
        <w:tc>
          <w:tcPr>
            <w:tcW w:w="850" w:type="dxa"/>
            <w:gridSpan w:val="2"/>
            <w:tcBorders>
              <w:top w:val="single" w:color="auto" w:sz="6" w:space="0"/>
              <w:left w:val="single" w:color="auto" w:sz="6" w:space="0"/>
              <w:bottom w:val="single" w:color="auto" w:sz="6" w:space="0"/>
              <w:right w:val="single" w:color="auto" w:sz="6" w:space="0"/>
            </w:tcBorders>
          </w:tcPr>
          <w:p w14:paraId="6F465F44"/>
        </w:tc>
        <w:tc>
          <w:tcPr>
            <w:tcW w:w="1021" w:type="dxa"/>
            <w:tcBorders>
              <w:top w:val="single" w:color="auto" w:sz="6" w:space="0"/>
              <w:left w:val="single" w:color="auto" w:sz="6" w:space="0"/>
              <w:bottom w:val="single" w:color="auto" w:sz="6" w:space="0"/>
              <w:right w:val="single" w:color="auto" w:sz="6" w:space="0"/>
            </w:tcBorders>
          </w:tcPr>
          <w:p w14:paraId="79C19FF9"/>
        </w:tc>
        <w:tc>
          <w:tcPr>
            <w:tcW w:w="851" w:type="dxa"/>
            <w:tcBorders>
              <w:top w:val="single" w:color="auto" w:sz="6" w:space="0"/>
              <w:left w:val="single" w:color="auto" w:sz="6" w:space="0"/>
              <w:bottom w:val="single" w:color="auto" w:sz="6" w:space="0"/>
              <w:right w:val="single" w:color="auto" w:sz="6" w:space="0"/>
            </w:tcBorders>
          </w:tcPr>
          <w:p w14:paraId="1422FF6F"/>
        </w:tc>
        <w:tc>
          <w:tcPr>
            <w:tcW w:w="778" w:type="dxa"/>
            <w:tcBorders>
              <w:top w:val="single" w:color="auto" w:sz="6" w:space="0"/>
              <w:left w:val="single" w:color="auto" w:sz="6" w:space="0"/>
              <w:bottom w:val="single" w:color="auto" w:sz="6" w:space="0"/>
              <w:right w:val="single" w:color="auto" w:sz="6" w:space="0"/>
            </w:tcBorders>
          </w:tcPr>
          <w:p w14:paraId="1DADEF10"/>
        </w:tc>
        <w:tc>
          <w:tcPr>
            <w:tcW w:w="742" w:type="dxa"/>
            <w:tcBorders>
              <w:top w:val="single" w:color="auto" w:sz="6" w:space="0"/>
              <w:left w:val="single" w:color="auto" w:sz="6" w:space="0"/>
              <w:bottom w:val="single" w:color="auto" w:sz="6" w:space="0"/>
              <w:right w:val="single" w:color="auto" w:sz="6" w:space="0"/>
            </w:tcBorders>
          </w:tcPr>
          <w:p w14:paraId="34B8F2F5"/>
        </w:tc>
        <w:tc>
          <w:tcPr>
            <w:tcW w:w="700" w:type="dxa"/>
            <w:tcBorders>
              <w:top w:val="single" w:color="auto" w:sz="6" w:space="0"/>
              <w:left w:val="single" w:color="auto" w:sz="6" w:space="0"/>
              <w:bottom w:val="single" w:color="auto" w:sz="6" w:space="0"/>
              <w:right w:val="single" w:color="auto" w:sz="6" w:space="0"/>
            </w:tcBorders>
          </w:tcPr>
          <w:p w14:paraId="364D790C"/>
        </w:tc>
        <w:tc>
          <w:tcPr>
            <w:tcW w:w="769" w:type="dxa"/>
            <w:tcBorders>
              <w:top w:val="single" w:color="auto" w:sz="6" w:space="0"/>
              <w:left w:val="single" w:color="auto" w:sz="6" w:space="0"/>
              <w:bottom w:val="single" w:color="auto" w:sz="6" w:space="0"/>
              <w:right w:val="single" w:color="auto" w:sz="6" w:space="0"/>
            </w:tcBorders>
          </w:tcPr>
          <w:p w14:paraId="5529853E"/>
        </w:tc>
        <w:tc>
          <w:tcPr>
            <w:tcW w:w="941" w:type="dxa"/>
            <w:tcBorders>
              <w:top w:val="single" w:color="auto" w:sz="6" w:space="0"/>
              <w:left w:val="single" w:color="auto" w:sz="6" w:space="0"/>
              <w:bottom w:val="single" w:color="auto" w:sz="6" w:space="0"/>
              <w:right w:val="single" w:color="auto" w:sz="6" w:space="0"/>
            </w:tcBorders>
          </w:tcPr>
          <w:p w14:paraId="34E98B18"/>
        </w:tc>
      </w:tr>
      <w:tr w14:paraId="0DAFAA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trHeight w:val="392" w:hRule="atLeast"/>
          <w:jc w:val="center"/>
        </w:trPr>
        <w:tc>
          <w:tcPr>
            <w:tcW w:w="993" w:type="dxa"/>
            <w:tcBorders>
              <w:top w:val="single" w:color="auto" w:sz="6" w:space="0"/>
              <w:left w:val="single" w:color="auto" w:sz="6" w:space="0"/>
              <w:bottom w:val="single" w:color="auto" w:sz="6" w:space="0"/>
              <w:right w:val="single" w:color="auto" w:sz="6" w:space="0"/>
            </w:tcBorders>
          </w:tcPr>
          <w:p w14:paraId="09EE5030"/>
        </w:tc>
        <w:tc>
          <w:tcPr>
            <w:tcW w:w="1134" w:type="dxa"/>
            <w:tcBorders>
              <w:top w:val="single" w:color="auto" w:sz="6" w:space="0"/>
              <w:left w:val="single" w:color="auto" w:sz="6" w:space="0"/>
              <w:bottom w:val="single" w:color="auto" w:sz="6" w:space="0"/>
              <w:right w:val="single" w:color="auto" w:sz="6" w:space="0"/>
            </w:tcBorders>
          </w:tcPr>
          <w:p w14:paraId="1687094C"/>
        </w:tc>
        <w:tc>
          <w:tcPr>
            <w:tcW w:w="851" w:type="dxa"/>
            <w:tcBorders>
              <w:top w:val="single" w:color="auto" w:sz="6" w:space="0"/>
              <w:left w:val="single" w:color="auto" w:sz="6" w:space="0"/>
              <w:bottom w:val="single" w:color="auto" w:sz="6" w:space="0"/>
              <w:right w:val="single" w:color="auto" w:sz="6" w:space="0"/>
            </w:tcBorders>
          </w:tcPr>
          <w:p w14:paraId="557C6381"/>
        </w:tc>
        <w:tc>
          <w:tcPr>
            <w:tcW w:w="850" w:type="dxa"/>
            <w:gridSpan w:val="2"/>
            <w:tcBorders>
              <w:top w:val="single" w:color="auto" w:sz="6" w:space="0"/>
              <w:left w:val="single" w:color="auto" w:sz="6" w:space="0"/>
              <w:bottom w:val="single" w:color="auto" w:sz="6" w:space="0"/>
              <w:right w:val="single" w:color="auto" w:sz="6" w:space="0"/>
            </w:tcBorders>
          </w:tcPr>
          <w:p w14:paraId="20021CDD"/>
        </w:tc>
        <w:tc>
          <w:tcPr>
            <w:tcW w:w="1021" w:type="dxa"/>
            <w:tcBorders>
              <w:top w:val="single" w:color="auto" w:sz="6" w:space="0"/>
              <w:left w:val="single" w:color="auto" w:sz="6" w:space="0"/>
              <w:bottom w:val="single" w:color="auto" w:sz="6" w:space="0"/>
              <w:right w:val="single" w:color="auto" w:sz="6" w:space="0"/>
            </w:tcBorders>
          </w:tcPr>
          <w:p w14:paraId="0C1A0B54"/>
        </w:tc>
        <w:tc>
          <w:tcPr>
            <w:tcW w:w="851" w:type="dxa"/>
            <w:tcBorders>
              <w:top w:val="single" w:color="auto" w:sz="6" w:space="0"/>
              <w:left w:val="single" w:color="auto" w:sz="6" w:space="0"/>
              <w:bottom w:val="single" w:color="auto" w:sz="6" w:space="0"/>
              <w:right w:val="single" w:color="auto" w:sz="6" w:space="0"/>
            </w:tcBorders>
          </w:tcPr>
          <w:p w14:paraId="5E313C1A"/>
        </w:tc>
        <w:tc>
          <w:tcPr>
            <w:tcW w:w="778" w:type="dxa"/>
            <w:tcBorders>
              <w:top w:val="single" w:color="auto" w:sz="6" w:space="0"/>
              <w:left w:val="single" w:color="auto" w:sz="6" w:space="0"/>
              <w:bottom w:val="single" w:color="auto" w:sz="6" w:space="0"/>
              <w:right w:val="single" w:color="auto" w:sz="6" w:space="0"/>
            </w:tcBorders>
          </w:tcPr>
          <w:p w14:paraId="21DBA031"/>
        </w:tc>
        <w:tc>
          <w:tcPr>
            <w:tcW w:w="742" w:type="dxa"/>
            <w:tcBorders>
              <w:top w:val="single" w:color="auto" w:sz="6" w:space="0"/>
              <w:left w:val="single" w:color="auto" w:sz="6" w:space="0"/>
              <w:bottom w:val="single" w:color="auto" w:sz="6" w:space="0"/>
              <w:right w:val="single" w:color="auto" w:sz="6" w:space="0"/>
            </w:tcBorders>
          </w:tcPr>
          <w:p w14:paraId="019D3D1D"/>
        </w:tc>
        <w:tc>
          <w:tcPr>
            <w:tcW w:w="700" w:type="dxa"/>
            <w:tcBorders>
              <w:top w:val="single" w:color="auto" w:sz="6" w:space="0"/>
              <w:left w:val="single" w:color="auto" w:sz="6" w:space="0"/>
              <w:bottom w:val="single" w:color="auto" w:sz="6" w:space="0"/>
              <w:right w:val="single" w:color="auto" w:sz="6" w:space="0"/>
            </w:tcBorders>
          </w:tcPr>
          <w:p w14:paraId="083E35B0"/>
        </w:tc>
        <w:tc>
          <w:tcPr>
            <w:tcW w:w="769" w:type="dxa"/>
            <w:tcBorders>
              <w:top w:val="single" w:color="auto" w:sz="6" w:space="0"/>
              <w:left w:val="single" w:color="auto" w:sz="6" w:space="0"/>
              <w:bottom w:val="single" w:color="auto" w:sz="6" w:space="0"/>
              <w:right w:val="single" w:color="auto" w:sz="6" w:space="0"/>
            </w:tcBorders>
          </w:tcPr>
          <w:p w14:paraId="559E6499"/>
        </w:tc>
        <w:tc>
          <w:tcPr>
            <w:tcW w:w="941" w:type="dxa"/>
            <w:tcBorders>
              <w:top w:val="single" w:color="auto" w:sz="6" w:space="0"/>
              <w:left w:val="single" w:color="auto" w:sz="6" w:space="0"/>
              <w:bottom w:val="single" w:color="auto" w:sz="6" w:space="0"/>
              <w:right w:val="single" w:color="auto" w:sz="6" w:space="0"/>
            </w:tcBorders>
          </w:tcPr>
          <w:p w14:paraId="388627BF"/>
        </w:tc>
      </w:tr>
      <w:tr w14:paraId="4C8BFF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trHeight w:val="222" w:hRule="atLeast"/>
          <w:jc w:val="center"/>
        </w:trPr>
        <w:tc>
          <w:tcPr>
            <w:tcW w:w="993" w:type="dxa"/>
            <w:tcBorders>
              <w:top w:val="single" w:color="auto" w:sz="6" w:space="0"/>
              <w:left w:val="single" w:color="auto" w:sz="6" w:space="0"/>
              <w:bottom w:val="single" w:color="auto" w:sz="6" w:space="0"/>
              <w:right w:val="single" w:color="auto" w:sz="6" w:space="0"/>
            </w:tcBorders>
          </w:tcPr>
          <w:p w14:paraId="27306BC0"/>
        </w:tc>
        <w:tc>
          <w:tcPr>
            <w:tcW w:w="1134" w:type="dxa"/>
            <w:tcBorders>
              <w:top w:val="single" w:color="auto" w:sz="6" w:space="0"/>
              <w:left w:val="single" w:color="auto" w:sz="6" w:space="0"/>
              <w:bottom w:val="single" w:color="auto" w:sz="6" w:space="0"/>
              <w:right w:val="single" w:color="auto" w:sz="6" w:space="0"/>
            </w:tcBorders>
          </w:tcPr>
          <w:p w14:paraId="07A2791F"/>
        </w:tc>
        <w:tc>
          <w:tcPr>
            <w:tcW w:w="851" w:type="dxa"/>
            <w:tcBorders>
              <w:top w:val="single" w:color="auto" w:sz="6" w:space="0"/>
              <w:left w:val="single" w:color="auto" w:sz="6" w:space="0"/>
              <w:bottom w:val="single" w:color="auto" w:sz="6" w:space="0"/>
              <w:right w:val="single" w:color="auto" w:sz="6" w:space="0"/>
            </w:tcBorders>
          </w:tcPr>
          <w:p w14:paraId="7F0D61F7"/>
        </w:tc>
        <w:tc>
          <w:tcPr>
            <w:tcW w:w="850" w:type="dxa"/>
            <w:gridSpan w:val="2"/>
            <w:tcBorders>
              <w:top w:val="single" w:color="auto" w:sz="6" w:space="0"/>
              <w:left w:val="single" w:color="auto" w:sz="6" w:space="0"/>
              <w:bottom w:val="single" w:color="auto" w:sz="6" w:space="0"/>
              <w:right w:val="single" w:color="auto" w:sz="6" w:space="0"/>
            </w:tcBorders>
          </w:tcPr>
          <w:p w14:paraId="3F743A6A"/>
        </w:tc>
        <w:tc>
          <w:tcPr>
            <w:tcW w:w="1021" w:type="dxa"/>
            <w:tcBorders>
              <w:top w:val="single" w:color="auto" w:sz="6" w:space="0"/>
              <w:left w:val="single" w:color="auto" w:sz="6" w:space="0"/>
              <w:bottom w:val="single" w:color="auto" w:sz="6" w:space="0"/>
              <w:right w:val="single" w:color="auto" w:sz="6" w:space="0"/>
            </w:tcBorders>
          </w:tcPr>
          <w:p w14:paraId="68F1CDBF"/>
        </w:tc>
        <w:tc>
          <w:tcPr>
            <w:tcW w:w="851" w:type="dxa"/>
            <w:tcBorders>
              <w:top w:val="single" w:color="auto" w:sz="6" w:space="0"/>
              <w:left w:val="single" w:color="auto" w:sz="6" w:space="0"/>
              <w:bottom w:val="single" w:color="auto" w:sz="6" w:space="0"/>
              <w:right w:val="single" w:color="auto" w:sz="6" w:space="0"/>
            </w:tcBorders>
          </w:tcPr>
          <w:p w14:paraId="1F6EFF0A"/>
        </w:tc>
        <w:tc>
          <w:tcPr>
            <w:tcW w:w="778" w:type="dxa"/>
            <w:tcBorders>
              <w:top w:val="single" w:color="auto" w:sz="6" w:space="0"/>
              <w:left w:val="single" w:color="auto" w:sz="6" w:space="0"/>
              <w:bottom w:val="single" w:color="auto" w:sz="6" w:space="0"/>
              <w:right w:val="single" w:color="auto" w:sz="6" w:space="0"/>
            </w:tcBorders>
          </w:tcPr>
          <w:p w14:paraId="003AF6A2"/>
        </w:tc>
        <w:tc>
          <w:tcPr>
            <w:tcW w:w="742" w:type="dxa"/>
            <w:tcBorders>
              <w:top w:val="single" w:color="auto" w:sz="6" w:space="0"/>
              <w:left w:val="single" w:color="auto" w:sz="6" w:space="0"/>
              <w:bottom w:val="single" w:color="auto" w:sz="6" w:space="0"/>
              <w:right w:val="single" w:color="auto" w:sz="6" w:space="0"/>
            </w:tcBorders>
          </w:tcPr>
          <w:p w14:paraId="711449B7"/>
        </w:tc>
        <w:tc>
          <w:tcPr>
            <w:tcW w:w="700" w:type="dxa"/>
            <w:tcBorders>
              <w:top w:val="single" w:color="auto" w:sz="6" w:space="0"/>
              <w:left w:val="single" w:color="auto" w:sz="6" w:space="0"/>
              <w:bottom w:val="single" w:color="auto" w:sz="6" w:space="0"/>
              <w:right w:val="single" w:color="auto" w:sz="6" w:space="0"/>
            </w:tcBorders>
          </w:tcPr>
          <w:p w14:paraId="325CD969"/>
        </w:tc>
        <w:tc>
          <w:tcPr>
            <w:tcW w:w="769" w:type="dxa"/>
            <w:tcBorders>
              <w:top w:val="single" w:color="auto" w:sz="6" w:space="0"/>
              <w:left w:val="single" w:color="auto" w:sz="6" w:space="0"/>
              <w:bottom w:val="single" w:color="auto" w:sz="6" w:space="0"/>
              <w:right w:val="single" w:color="auto" w:sz="6" w:space="0"/>
            </w:tcBorders>
          </w:tcPr>
          <w:p w14:paraId="2F0D509C"/>
        </w:tc>
        <w:tc>
          <w:tcPr>
            <w:tcW w:w="941" w:type="dxa"/>
            <w:tcBorders>
              <w:top w:val="single" w:color="auto" w:sz="6" w:space="0"/>
              <w:left w:val="single" w:color="auto" w:sz="6" w:space="0"/>
              <w:bottom w:val="single" w:color="auto" w:sz="6" w:space="0"/>
              <w:right w:val="single" w:color="auto" w:sz="6" w:space="0"/>
            </w:tcBorders>
          </w:tcPr>
          <w:p w14:paraId="2CDA44BE"/>
        </w:tc>
      </w:tr>
      <w:tr w14:paraId="694B18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trHeight w:val="222" w:hRule="atLeast"/>
          <w:jc w:val="center"/>
        </w:trPr>
        <w:tc>
          <w:tcPr>
            <w:tcW w:w="993" w:type="dxa"/>
            <w:tcBorders>
              <w:top w:val="single" w:color="auto" w:sz="6" w:space="0"/>
              <w:left w:val="single" w:color="auto" w:sz="6" w:space="0"/>
              <w:bottom w:val="single" w:color="auto" w:sz="6" w:space="0"/>
              <w:right w:val="single" w:color="auto" w:sz="6" w:space="0"/>
            </w:tcBorders>
          </w:tcPr>
          <w:p w14:paraId="31CAEB26"/>
        </w:tc>
        <w:tc>
          <w:tcPr>
            <w:tcW w:w="1134" w:type="dxa"/>
            <w:tcBorders>
              <w:top w:val="single" w:color="auto" w:sz="6" w:space="0"/>
              <w:left w:val="single" w:color="auto" w:sz="6" w:space="0"/>
              <w:bottom w:val="single" w:color="auto" w:sz="6" w:space="0"/>
              <w:right w:val="single" w:color="auto" w:sz="6" w:space="0"/>
            </w:tcBorders>
          </w:tcPr>
          <w:p w14:paraId="50ABE88C"/>
        </w:tc>
        <w:tc>
          <w:tcPr>
            <w:tcW w:w="851" w:type="dxa"/>
            <w:tcBorders>
              <w:top w:val="single" w:color="auto" w:sz="6" w:space="0"/>
              <w:left w:val="single" w:color="auto" w:sz="6" w:space="0"/>
              <w:bottom w:val="single" w:color="auto" w:sz="6" w:space="0"/>
              <w:right w:val="single" w:color="auto" w:sz="6" w:space="0"/>
            </w:tcBorders>
          </w:tcPr>
          <w:p w14:paraId="6E05113B"/>
        </w:tc>
        <w:tc>
          <w:tcPr>
            <w:tcW w:w="850" w:type="dxa"/>
            <w:gridSpan w:val="2"/>
            <w:tcBorders>
              <w:top w:val="single" w:color="auto" w:sz="6" w:space="0"/>
              <w:left w:val="single" w:color="auto" w:sz="6" w:space="0"/>
              <w:bottom w:val="single" w:color="auto" w:sz="6" w:space="0"/>
              <w:right w:val="single" w:color="auto" w:sz="6" w:space="0"/>
            </w:tcBorders>
          </w:tcPr>
          <w:p w14:paraId="5373047C"/>
        </w:tc>
        <w:tc>
          <w:tcPr>
            <w:tcW w:w="1021" w:type="dxa"/>
            <w:tcBorders>
              <w:top w:val="single" w:color="auto" w:sz="6" w:space="0"/>
              <w:left w:val="single" w:color="auto" w:sz="6" w:space="0"/>
              <w:bottom w:val="single" w:color="auto" w:sz="6" w:space="0"/>
              <w:right w:val="single" w:color="auto" w:sz="6" w:space="0"/>
            </w:tcBorders>
          </w:tcPr>
          <w:p w14:paraId="7E7FF337"/>
        </w:tc>
        <w:tc>
          <w:tcPr>
            <w:tcW w:w="851" w:type="dxa"/>
            <w:tcBorders>
              <w:top w:val="single" w:color="auto" w:sz="6" w:space="0"/>
              <w:left w:val="single" w:color="auto" w:sz="6" w:space="0"/>
              <w:bottom w:val="single" w:color="auto" w:sz="6" w:space="0"/>
              <w:right w:val="single" w:color="auto" w:sz="6" w:space="0"/>
            </w:tcBorders>
          </w:tcPr>
          <w:p w14:paraId="0DA293F2"/>
        </w:tc>
        <w:tc>
          <w:tcPr>
            <w:tcW w:w="778" w:type="dxa"/>
            <w:tcBorders>
              <w:top w:val="single" w:color="auto" w:sz="6" w:space="0"/>
              <w:left w:val="single" w:color="auto" w:sz="6" w:space="0"/>
              <w:bottom w:val="single" w:color="auto" w:sz="6" w:space="0"/>
              <w:right w:val="single" w:color="auto" w:sz="6" w:space="0"/>
            </w:tcBorders>
          </w:tcPr>
          <w:p w14:paraId="31127445"/>
        </w:tc>
        <w:tc>
          <w:tcPr>
            <w:tcW w:w="742" w:type="dxa"/>
            <w:tcBorders>
              <w:top w:val="single" w:color="auto" w:sz="6" w:space="0"/>
              <w:left w:val="single" w:color="auto" w:sz="6" w:space="0"/>
              <w:bottom w:val="single" w:color="auto" w:sz="6" w:space="0"/>
              <w:right w:val="single" w:color="auto" w:sz="6" w:space="0"/>
            </w:tcBorders>
          </w:tcPr>
          <w:p w14:paraId="2C034E3D"/>
        </w:tc>
        <w:tc>
          <w:tcPr>
            <w:tcW w:w="700" w:type="dxa"/>
            <w:tcBorders>
              <w:top w:val="single" w:color="auto" w:sz="6" w:space="0"/>
              <w:left w:val="single" w:color="auto" w:sz="6" w:space="0"/>
              <w:bottom w:val="single" w:color="auto" w:sz="6" w:space="0"/>
              <w:right w:val="single" w:color="auto" w:sz="6" w:space="0"/>
            </w:tcBorders>
          </w:tcPr>
          <w:p w14:paraId="15DD4577"/>
        </w:tc>
        <w:tc>
          <w:tcPr>
            <w:tcW w:w="769" w:type="dxa"/>
            <w:tcBorders>
              <w:top w:val="single" w:color="auto" w:sz="6" w:space="0"/>
              <w:left w:val="single" w:color="auto" w:sz="6" w:space="0"/>
              <w:bottom w:val="single" w:color="auto" w:sz="6" w:space="0"/>
              <w:right w:val="single" w:color="auto" w:sz="6" w:space="0"/>
            </w:tcBorders>
          </w:tcPr>
          <w:p w14:paraId="64BEAEC2"/>
        </w:tc>
        <w:tc>
          <w:tcPr>
            <w:tcW w:w="941" w:type="dxa"/>
            <w:tcBorders>
              <w:top w:val="single" w:color="auto" w:sz="6" w:space="0"/>
              <w:left w:val="single" w:color="auto" w:sz="6" w:space="0"/>
              <w:bottom w:val="single" w:color="auto" w:sz="6" w:space="0"/>
              <w:right w:val="single" w:color="auto" w:sz="6" w:space="0"/>
            </w:tcBorders>
          </w:tcPr>
          <w:p w14:paraId="02434217"/>
        </w:tc>
      </w:tr>
      <w:tr w14:paraId="677B59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trHeight w:val="222" w:hRule="atLeast"/>
          <w:jc w:val="center"/>
        </w:trPr>
        <w:tc>
          <w:tcPr>
            <w:tcW w:w="993" w:type="dxa"/>
            <w:tcBorders>
              <w:top w:val="single" w:color="auto" w:sz="6" w:space="0"/>
              <w:left w:val="single" w:color="auto" w:sz="6" w:space="0"/>
              <w:bottom w:val="single" w:color="auto" w:sz="6" w:space="0"/>
              <w:right w:val="single" w:color="auto" w:sz="6" w:space="0"/>
            </w:tcBorders>
          </w:tcPr>
          <w:p w14:paraId="00EEAD1F"/>
        </w:tc>
        <w:tc>
          <w:tcPr>
            <w:tcW w:w="1134" w:type="dxa"/>
            <w:tcBorders>
              <w:top w:val="single" w:color="auto" w:sz="6" w:space="0"/>
              <w:left w:val="single" w:color="auto" w:sz="6" w:space="0"/>
              <w:bottom w:val="single" w:color="auto" w:sz="6" w:space="0"/>
              <w:right w:val="single" w:color="auto" w:sz="6" w:space="0"/>
            </w:tcBorders>
          </w:tcPr>
          <w:p w14:paraId="5F741C28"/>
        </w:tc>
        <w:tc>
          <w:tcPr>
            <w:tcW w:w="851" w:type="dxa"/>
            <w:tcBorders>
              <w:top w:val="single" w:color="auto" w:sz="6" w:space="0"/>
              <w:left w:val="single" w:color="auto" w:sz="6" w:space="0"/>
              <w:bottom w:val="single" w:color="auto" w:sz="6" w:space="0"/>
              <w:right w:val="single" w:color="auto" w:sz="6" w:space="0"/>
            </w:tcBorders>
          </w:tcPr>
          <w:p w14:paraId="04691695"/>
        </w:tc>
        <w:tc>
          <w:tcPr>
            <w:tcW w:w="850" w:type="dxa"/>
            <w:gridSpan w:val="2"/>
            <w:tcBorders>
              <w:top w:val="single" w:color="auto" w:sz="6" w:space="0"/>
              <w:left w:val="single" w:color="auto" w:sz="6" w:space="0"/>
              <w:bottom w:val="single" w:color="auto" w:sz="6" w:space="0"/>
              <w:right w:val="single" w:color="auto" w:sz="6" w:space="0"/>
            </w:tcBorders>
          </w:tcPr>
          <w:p w14:paraId="4E940E39"/>
        </w:tc>
        <w:tc>
          <w:tcPr>
            <w:tcW w:w="1021" w:type="dxa"/>
            <w:tcBorders>
              <w:top w:val="single" w:color="auto" w:sz="6" w:space="0"/>
              <w:left w:val="single" w:color="auto" w:sz="6" w:space="0"/>
              <w:bottom w:val="single" w:color="auto" w:sz="6" w:space="0"/>
              <w:right w:val="single" w:color="auto" w:sz="6" w:space="0"/>
            </w:tcBorders>
          </w:tcPr>
          <w:p w14:paraId="20F26E1C"/>
        </w:tc>
        <w:tc>
          <w:tcPr>
            <w:tcW w:w="851" w:type="dxa"/>
            <w:tcBorders>
              <w:top w:val="single" w:color="auto" w:sz="6" w:space="0"/>
              <w:left w:val="single" w:color="auto" w:sz="6" w:space="0"/>
              <w:bottom w:val="single" w:color="auto" w:sz="6" w:space="0"/>
              <w:right w:val="single" w:color="auto" w:sz="6" w:space="0"/>
            </w:tcBorders>
          </w:tcPr>
          <w:p w14:paraId="0F76F401"/>
        </w:tc>
        <w:tc>
          <w:tcPr>
            <w:tcW w:w="778" w:type="dxa"/>
            <w:tcBorders>
              <w:top w:val="single" w:color="auto" w:sz="6" w:space="0"/>
              <w:left w:val="single" w:color="auto" w:sz="6" w:space="0"/>
              <w:bottom w:val="single" w:color="auto" w:sz="6" w:space="0"/>
              <w:right w:val="single" w:color="auto" w:sz="6" w:space="0"/>
            </w:tcBorders>
          </w:tcPr>
          <w:p w14:paraId="617B76F2"/>
        </w:tc>
        <w:tc>
          <w:tcPr>
            <w:tcW w:w="742" w:type="dxa"/>
            <w:tcBorders>
              <w:top w:val="single" w:color="auto" w:sz="6" w:space="0"/>
              <w:left w:val="single" w:color="auto" w:sz="6" w:space="0"/>
              <w:bottom w:val="single" w:color="auto" w:sz="6" w:space="0"/>
              <w:right w:val="single" w:color="auto" w:sz="6" w:space="0"/>
            </w:tcBorders>
          </w:tcPr>
          <w:p w14:paraId="588EFEAD"/>
        </w:tc>
        <w:tc>
          <w:tcPr>
            <w:tcW w:w="700" w:type="dxa"/>
            <w:tcBorders>
              <w:top w:val="single" w:color="auto" w:sz="6" w:space="0"/>
              <w:left w:val="single" w:color="auto" w:sz="6" w:space="0"/>
              <w:bottom w:val="single" w:color="auto" w:sz="6" w:space="0"/>
              <w:right w:val="single" w:color="auto" w:sz="6" w:space="0"/>
            </w:tcBorders>
          </w:tcPr>
          <w:p w14:paraId="00CD07BF"/>
        </w:tc>
        <w:tc>
          <w:tcPr>
            <w:tcW w:w="769" w:type="dxa"/>
            <w:tcBorders>
              <w:top w:val="single" w:color="auto" w:sz="6" w:space="0"/>
              <w:left w:val="single" w:color="auto" w:sz="6" w:space="0"/>
              <w:bottom w:val="single" w:color="auto" w:sz="6" w:space="0"/>
              <w:right w:val="single" w:color="auto" w:sz="6" w:space="0"/>
            </w:tcBorders>
          </w:tcPr>
          <w:p w14:paraId="54AED625"/>
        </w:tc>
        <w:tc>
          <w:tcPr>
            <w:tcW w:w="941" w:type="dxa"/>
            <w:tcBorders>
              <w:top w:val="single" w:color="auto" w:sz="6" w:space="0"/>
              <w:left w:val="single" w:color="auto" w:sz="6" w:space="0"/>
              <w:bottom w:val="single" w:color="auto" w:sz="6" w:space="0"/>
              <w:right w:val="single" w:color="auto" w:sz="6" w:space="0"/>
            </w:tcBorders>
          </w:tcPr>
          <w:p w14:paraId="525A2647"/>
        </w:tc>
      </w:tr>
      <w:tr w14:paraId="138349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trHeight w:val="222" w:hRule="atLeast"/>
          <w:jc w:val="center"/>
        </w:trPr>
        <w:tc>
          <w:tcPr>
            <w:tcW w:w="993" w:type="dxa"/>
            <w:tcBorders>
              <w:top w:val="single" w:color="auto" w:sz="6" w:space="0"/>
              <w:left w:val="single" w:color="auto" w:sz="6" w:space="0"/>
              <w:bottom w:val="single" w:color="auto" w:sz="6" w:space="0"/>
              <w:right w:val="single" w:color="auto" w:sz="6" w:space="0"/>
            </w:tcBorders>
          </w:tcPr>
          <w:p w14:paraId="0216C040"/>
        </w:tc>
        <w:tc>
          <w:tcPr>
            <w:tcW w:w="1134" w:type="dxa"/>
            <w:tcBorders>
              <w:top w:val="single" w:color="auto" w:sz="6" w:space="0"/>
              <w:left w:val="single" w:color="auto" w:sz="6" w:space="0"/>
              <w:bottom w:val="single" w:color="auto" w:sz="6" w:space="0"/>
              <w:right w:val="single" w:color="auto" w:sz="6" w:space="0"/>
            </w:tcBorders>
          </w:tcPr>
          <w:p w14:paraId="3DD9FD64"/>
        </w:tc>
        <w:tc>
          <w:tcPr>
            <w:tcW w:w="851" w:type="dxa"/>
            <w:tcBorders>
              <w:top w:val="single" w:color="auto" w:sz="6" w:space="0"/>
              <w:left w:val="single" w:color="auto" w:sz="6" w:space="0"/>
              <w:bottom w:val="single" w:color="auto" w:sz="6" w:space="0"/>
              <w:right w:val="single" w:color="auto" w:sz="6" w:space="0"/>
            </w:tcBorders>
          </w:tcPr>
          <w:p w14:paraId="6EDAAA43"/>
        </w:tc>
        <w:tc>
          <w:tcPr>
            <w:tcW w:w="850" w:type="dxa"/>
            <w:gridSpan w:val="2"/>
            <w:tcBorders>
              <w:top w:val="single" w:color="auto" w:sz="6" w:space="0"/>
              <w:left w:val="single" w:color="auto" w:sz="6" w:space="0"/>
              <w:bottom w:val="single" w:color="auto" w:sz="6" w:space="0"/>
              <w:right w:val="single" w:color="auto" w:sz="6" w:space="0"/>
            </w:tcBorders>
          </w:tcPr>
          <w:p w14:paraId="55C2C160"/>
        </w:tc>
        <w:tc>
          <w:tcPr>
            <w:tcW w:w="1021" w:type="dxa"/>
            <w:tcBorders>
              <w:top w:val="single" w:color="auto" w:sz="6" w:space="0"/>
              <w:left w:val="single" w:color="auto" w:sz="6" w:space="0"/>
              <w:bottom w:val="single" w:color="auto" w:sz="6" w:space="0"/>
              <w:right w:val="single" w:color="auto" w:sz="6" w:space="0"/>
            </w:tcBorders>
          </w:tcPr>
          <w:p w14:paraId="2B817597"/>
        </w:tc>
        <w:tc>
          <w:tcPr>
            <w:tcW w:w="851" w:type="dxa"/>
            <w:tcBorders>
              <w:top w:val="single" w:color="auto" w:sz="6" w:space="0"/>
              <w:left w:val="single" w:color="auto" w:sz="6" w:space="0"/>
              <w:bottom w:val="single" w:color="auto" w:sz="6" w:space="0"/>
              <w:right w:val="single" w:color="auto" w:sz="6" w:space="0"/>
            </w:tcBorders>
          </w:tcPr>
          <w:p w14:paraId="2088E30C"/>
        </w:tc>
        <w:tc>
          <w:tcPr>
            <w:tcW w:w="778" w:type="dxa"/>
            <w:tcBorders>
              <w:top w:val="single" w:color="auto" w:sz="6" w:space="0"/>
              <w:left w:val="single" w:color="auto" w:sz="6" w:space="0"/>
              <w:bottom w:val="single" w:color="auto" w:sz="6" w:space="0"/>
              <w:right w:val="single" w:color="auto" w:sz="6" w:space="0"/>
            </w:tcBorders>
          </w:tcPr>
          <w:p w14:paraId="3E7AF7E2"/>
        </w:tc>
        <w:tc>
          <w:tcPr>
            <w:tcW w:w="742" w:type="dxa"/>
            <w:tcBorders>
              <w:top w:val="single" w:color="auto" w:sz="6" w:space="0"/>
              <w:left w:val="single" w:color="auto" w:sz="6" w:space="0"/>
              <w:bottom w:val="single" w:color="auto" w:sz="6" w:space="0"/>
              <w:right w:val="single" w:color="auto" w:sz="6" w:space="0"/>
            </w:tcBorders>
          </w:tcPr>
          <w:p w14:paraId="0E847F9B"/>
        </w:tc>
        <w:tc>
          <w:tcPr>
            <w:tcW w:w="700" w:type="dxa"/>
            <w:tcBorders>
              <w:top w:val="single" w:color="auto" w:sz="6" w:space="0"/>
              <w:left w:val="single" w:color="auto" w:sz="6" w:space="0"/>
              <w:bottom w:val="single" w:color="auto" w:sz="6" w:space="0"/>
              <w:right w:val="single" w:color="auto" w:sz="6" w:space="0"/>
            </w:tcBorders>
          </w:tcPr>
          <w:p w14:paraId="0C20235F"/>
        </w:tc>
        <w:tc>
          <w:tcPr>
            <w:tcW w:w="769" w:type="dxa"/>
            <w:tcBorders>
              <w:top w:val="single" w:color="auto" w:sz="6" w:space="0"/>
              <w:left w:val="single" w:color="auto" w:sz="6" w:space="0"/>
              <w:bottom w:val="single" w:color="auto" w:sz="6" w:space="0"/>
              <w:right w:val="single" w:color="auto" w:sz="6" w:space="0"/>
            </w:tcBorders>
          </w:tcPr>
          <w:p w14:paraId="47F9A09E"/>
        </w:tc>
        <w:tc>
          <w:tcPr>
            <w:tcW w:w="941" w:type="dxa"/>
            <w:tcBorders>
              <w:top w:val="single" w:color="auto" w:sz="6" w:space="0"/>
              <w:left w:val="single" w:color="auto" w:sz="6" w:space="0"/>
              <w:bottom w:val="single" w:color="auto" w:sz="6" w:space="0"/>
              <w:right w:val="single" w:color="auto" w:sz="6" w:space="0"/>
            </w:tcBorders>
          </w:tcPr>
          <w:p w14:paraId="4E93B493"/>
        </w:tc>
      </w:tr>
      <w:tr w14:paraId="7B7147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trHeight w:val="222" w:hRule="atLeast"/>
          <w:jc w:val="center"/>
        </w:trPr>
        <w:tc>
          <w:tcPr>
            <w:tcW w:w="993" w:type="dxa"/>
            <w:tcBorders>
              <w:top w:val="single" w:color="auto" w:sz="6" w:space="0"/>
              <w:left w:val="single" w:color="auto" w:sz="6" w:space="0"/>
              <w:bottom w:val="single" w:color="auto" w:sz="6" w:space="0"/>
              <w:right w:val="single" w:color="auto" w:sz="6" w:space="0"/>
            </w:tcBorders>
          </w:tcPr>
          <w:p w14:paraId="2EB3854F"/>
        </w:tc>
        <w:tc>
          <w:tcPr>
            <w:tcW w:w="1134" w:type="dxa"/>
            <w:tcBorders>
              <w:top w:val="single" w:color="auto" w:sz="6" w:space="0"/>
              <w:left w:val="single" w:color="auto" w:sz="6" w:space="0"/>
              <w:bottom w:val="single" w:color="auto" w:sz="6" w:space="0"/>
              <w:right w:val="single" w:color="auto" w:sz="6" w:space="0"/>
            </w:tcBorders>
          </w:tcPr>
          <w:p w14:paraId="380DEBE3"/>
        </w:tc>
        <w:tc>
          <w:tcPr>
            <w:tcW w:w="851" w:type="dxa"/>
            <w:tcBorders>
              <w:top w:val="single" w:color="auto" w:sz="6" w:space="0"/>
              <w:left w:val="single" w:color="auto" w:sz="6" w:space="0"/>
              <w:bottom w:val="single" w:color="auto" w:sz="6" w:space="0"/>
              <w:right w:val="single" w:color="auto" w:sz="6" w:space="0"/>
            </w:tcBorders>
          </w:tcPr>
          <w:p w14:paraId="091F222F"/>
        </w:tc>
        <w:tc>
          <w:tcPr>
            <w:tcW w:w="850" w:type="dxa"/>
            <w:gridSpan w:val="2"/>
            <w:tcBorders>
              <w:top w:val="single" w:color="auto" w:sz="6" w:space="0"/>
              <w:left w:val="single" w:color="auto" w:sz="6" w:space="0"/>
              <w:bottom w:val="single" w:color="auto" w:sz="6" w:space="0"/>
              <w:right w:val="single" w:color="auto" w:sz="6" w:space="0"/>
            </w:tcBorders>
          </w:tcPr>
          <w:p w14:paraId="0A6F19D4"/>
        </w:tc>
        <w:tc>
          <w:tcPr>
            <w:tcW w:w="1021" w:type="dxa"/>
            <w:tcBorders>
              <w:top w:val="single" w:color="auto" w:sz="6" w:space="0"/>
              <w:left w:val="single" w:color="auto" w:sz="6" w:space="0"/>
              <w:bottom w:val="single" w:color="auto" w:sz="6" w:space="0"/>
              <w:right w:val="single" w:color="auto" w:sz="6" w:space="0"/>
            </w:tcBorders>
          </w:tcPr>
          <w:p w14:paraId="633E88B2"/>
        </w:tc>
        <w:tc>
          <w:tcPr>
            <w:tcW w:w="851" w:type="dxa"/>
            <w:tcBorders>
              <w:top w:val="single" w:color="auto" w:sz="6" w:space="0"/>
              <w:left w:val="single" w:color="auto" w:sz="6" w:space="0"/>
              <w:bottom w:val="single" w:color="auto" w:sz="6" w:space="0"/>
              <w:right w:val="single" w:color="auto" w:sz="6" w:space="0"/>
            </w:tcBorders>
          </w:tcPr>
          <w:p w14:paraId="710EF4B8"/>
        </w:tc>
        <w:tc>
          <w:tcPr>
            <w:tcW w:w="778" w:type="dxa"/>
            <w:tcBorders>
              <w:top w:val="single" w:color="auto" w:sz="6" w:space="0"/>
              <w:left w:val="single" w:color="auto" w:sz="6" w:space="0"/>
              <w:bottom w:val="single" w:color="auto" w:sz="6" w:space="0"/>
              <w:right w:val="single" w:color="auto" w:sz="6" w:space="0"/>
            </w:tcBorders>
          </w:tcPr>
          <w:p w14:paraId="65CF31CD"/>
        </w:tc>
        <w:tc>
          <w:tcPr>
            <w:tcW w:w="742" w:type="dxa"/>
            <w:tcBorders>
              <w:top w:val="single" w:color="auto" w:sz="6" w:space="0"/>
              <w:left w:val="single" w:color="auto" w:sz="6" w:space="0"/>
              <w:bottom w:val="single" w:color="auto" w:sz="6" w:space="0"/>
              <w:right w:val="single" w:color="auto" w:sz="6" w:space="0"/>
            </w:tcBorders>
          </w:tcPr>
          <w:p w14:paraId="58B66228"/>
        </w:tc>
        <w:tc>
          <w:tcPr>
            <w:tcW w:w="700" w:type="dxa"/>
            <w:tcBorders>
              <w:top w:val="single" w:color="auto" w:sz="6" w:space="0"/>
              <w:left w:val="single" w:color="auto" w:sz="6" w:space="0"/>
              <w:bottom w:val="single" w:color="auto" w:sz="6" w:space="0"/>
              <w:right w:val="single" w:color="auto" w:sz="6" w:space="0"/>
            </w:tcBorders>
          </w:tcPr>
          <w:p w14:paraId="67E08CD1"/>
        </w:tc>
        <w:tc>
          <w:tcPr>
            <w:tcW w:w="769" w:type="dxa"/>
            <w:tcBorders>
              <w:top w:val="single" w:color="auto" w:sz="6" w:space="0"/>
              <w:left w:val="single" w:color="auto" w:sz="6" w:space="0"/>
              <w:bottom w:val="single" w:color="auto" w:sz="6" w:space="0"/>
              <w:right w:val="single" w:color="auto" w:sz="6" w:space="0"/>
            </w:tcBorders>
          </w:tcPr>
          <w:p w14:paraId="2C872A88"/>
        </w:tc>
        <w:tc>
          <w:tcPr>
            <w:tcW w:w="941" w:type="dxa"/>
            <w:tcBorders>
              <w:top w:val="single" w:color="auto" w:sz="6" w:space="0"/>
              <w:left w:val="single" w:color="auto" w:sz="6" w:space="0"/>
              <w:bottom w:val="single" w:color="auto" w:sz="6" w:space="0"/>
              <w:right w:val="single" w:color="auto" w:sz="6" w:space="0"/>
            </w:tcBorders>
          </w:tcPr>
          <w:p w14:paraId="58777FDE"/>
        </w:tc>
      </w:tr>
      <w:tr w14:paraId="63AFC3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trHeight w:val="90" w:hRule="atLeast"/>
          <w:jc w:val="center"/>
        </w:trPr>
        <w:tc>
          <w:tcPr>
            <w:tcW w:w="993" w:type="dxa"/>
            <w:tcBorders>
              <w:top w:val="single" w:color="auto" w:sz="6" w:space="0"/>
              <w:left w:val="single" w:color="auto" w:sz="6" w:space="0"/>
              <w:bottom w:val="single" w:color="auto" w:sz="6" w:space="0"/>
              <w:right w:val="single" w:color="auto" w:sz="6" w:space="0"/>
            </w:tcBorders>
          </w:tcPr>
          <w:p w14:paraId="43BEE083"/>
        </w:tc>
        <w:tc>
          <w:tcPr>
            <w:tcW w:w="1134" w:type="dxa"/>
            <w:tcBorders>
              <w:top w:val="single" w:color="auto" w:sz="6" w:space="0"/>
              <w:left w:val="single" w:color="auto" w:sz="6" w:space="0"/>
              <w:bottom w:val="single" w:color="auto" w:sz="6" w:space="0"/>
              <w:right w:val="single" w:color="auto" w:sz="6" w:space="0"/>
            </w:tcBorders>
          </w:tcPr>
          <w:p w14:paraId="0CB7DCEE"/>
        </w:tc>
        <w:tc>
          <w:tcPr>
            <w:tcW w:w="851" w:type="dxa"/>
            <w:tcBorders>
              <w:top w:val="single" w:color="auto" w:sz="6" w:space="0"/>
              <w:left w:val="single" w:color="auto" w:sz="6" w:space="0"/>
              <w:bottom w:val="single" w:color="auto" w:sz="6" w:space="0"/>
              <w:right w:val="single" w:color="auto" w:sz="6" w:space="0"/>
            </w:tcBorders>
          </w:tcPr>
          <w:p w14:paraId="04A35A0D"/>
        </w:tc>
        <w:tc>
          <w:tcPr>
            <w:tcW w:w="850" w:type="dxa"/>
            <w:gridSpan w:val="2"/>
            <w:tcBorders>
              <w:top w:val="single" w:color="auto" w:sz="6" w:space="0"/>
              <w:left w:val="single" w:color="auto" w:sz="6" w:space="0"/>
              <w:bottom w:val="single" w:color="auto" w:sz="6" w:space="0"/>
              <w:right w:val="single" w:color="auto" w:sz="6" w:space="0"/>
            </w:tcBorders>
          </w:tcPr>
          <w:p w14:paraId="09C2520F"/>
        </w:tc>
        <w:tc>
          <w:tcPr>
            <w:tcW w:w="1021" w:type="dxa"/>
            <w:tcBorders>
              <w:top w:val="single" w:color="auto" w:sz="6" w:space="0"/>
              <w:left w:val="single" w:color="auto" w:sz="6" w:space="0"/>
              <w:bottom w:val="single" w:color="auto" w:sz="6" w:space="0"/>
              <w:right w:val="single" w:color="auto" w:sz="6" w:space="0"/>
            </w:tcBorders>
          </w:tcPr>
          <w:p w14:paraId="7ED2B8CD"/>
        </w:tc>
        <w:tc>
          <w:tcPr>
            <w:tcW w:w="851" w:type="dxa"/>
            <w:tcBorders>
              <w:top w:val="single" w:color="auto" w:sz="6" w:space="0"/>
              <w:left w:val="single" w:color="auto" w:sz="6" w:space="0"/>
              <w:bottom w:val="single" w:color="auto" w:sz="6" w:space="0"/>
              <w:right w:val="single" w:color="auto" w:sz="6" w:space="0"/>
            </w:tcBorders>
          </w:tcPr>
          <w:p w14:paraId="750888E1"/>
        </w:tc>
        <w:tc>
          <w:tcPr>
            <w:tcW w:w="778" w:type="dxa"/>
            <w:tcBorders>
              <w:top w:val="single" w:color="auto" w:sz="6" w:space="0"/>
              <w:left w:val="single" w:color="auto" w:sz="6" w:space="0"/>
              <w:bottom w:val="single" w:color="auto" w:sz="6" w:space="0"/>
              <w:right w:val="single" w:color="auto" w:sz="6" w:space="0"/>
            </w:tcBorders>
          </w:tcPr>
          <w:p w14:paraId="63781C0B"/>
        </w:tc>
        <w:tc>
          <w:tcPr>
            <w:tcW w:w="742" w:type="dxa"/>
            <w:tcBorders>
              <w:top w:val="single" w:color="auto" w:sz="6" w:space="0"/>
              <w:left w:val="single" w:color="auto" w:sz="6" w:space="0"/>
              <w:bottom w:val="single" w:color="auto" w:sz="6" w:space="0"/>
              <w:right w:val="single" w:color="auto" w:sz="6" w:space="0"/>
            </w:tcBorders>
          </w:tcPr>
          <w:p w14:paraId="11D8B907"/>
        </w:tc>
        <w:tc>
          <w:tcPr>
            <w:tcW w:w="700" w:type="dxa"/>
            <w:tcBorders>
              <w:top w:val="single" w:color="auto" w:sz="6" w:space="0"/>
              <w:left w:val="single" w:color="auto" w:sz="6" w:space="0"/>
              <w:bottom w:val="single" w:color="auto" w:sz="6" w:space="0"/>
              <w:right w:val="single" w:color="auto" w:sz="6" w:space="0"/>
            </w:tcBorders>
          </w:tcPr>
          <w:p w14:paraId="423EEBA7"/>
        </w:tc>
        <w:tc>
          <w:tcPr>
            <w:tcW w:w="769" w:type="dxa"/>
            <w:tcBorders>
              <w:top w:val="single" w:color="auto" w:sz="6" w:space="0"/>
              <w:left w:val="single" w:color="auto" w:sz="6" w:space="0"/>
              <w:bottom w:val="single" w:color="auto" w:sz="6" w:space="0"/>
              <w:right w:val="single" w:color="auto" w:sz="6" w:space="0"/>
            </w:tcBorders>
          </w:tcPr>
          <w:p w14:paraId="02E342A8"/>
        </w:tc>
        <w:tc>
          <w:tcPr>
            <w:tcW w:w="941" w:type="dxa"/>
            <w:tcBorders>
              <w:top w:val="single" w:color="auto" w:sz="6" w:space="0"/>
              <w:left w:val="single" w:color="auto" w:sz="6" w:space="0"/>
              <w:bottom w:val="single" w:color="auto" w:sz="6" w:space="0"/>
              <w:right w:val="single" w:color="auto" w:sz="6" w:space="0"/>
            </w:tcBorders>
          </w:tcPr>
          <w:p w14:paraId="6380EA77"/>
        </w:tc>
      </w:tr>
      <w:tr w14:paraId="6BD980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trHeight w:val="90" w:hRule="atLeast"/>
          <w:jc w:val="center"/>
        </w:trPr>
        <w:tc>
          <w:tcPr>
            <w:tcW w:w="993" w:type="dxa"/>
            <w:tcBorders>
              <w:top w:val="single" w:color="auto" w:sz="6" w:space="0"/>
              <w:left w:val="single" w:color="auto" w:sz="6" w:space="0"/>
              <w:bottom w:val="single" w:color="auto" w:sz="6" w:space="0"/>
              <w:right w:val="single" w:color="auto" w:sz="6" w:space="0"/>
            </w:tcBorders>
          </w:tcPr>
          <w:p w14:paraId="68E648A8"/>
        </w:tc>
        <w:tc>
          <w:tcPr>
            <w:tcW w:w="1134" w:type="dxa"/>
            <w:tcBorders>
              <w:top w:val="single" w:color="auto" w:sz="6" w:space="0"/>
              <w:left w:val="single" w:color="auto" w:sz="6" w:space="0"/>
              <w:bottom w:val="single" w:color="auto" w:sz="6" w:space="0"/>
              <w:right w:val="single" w:color="auto" w:sz="6" w:space="0"/>
            </w:tcBorders>
          </w:tcPr>
          <w:p w14:paraId="657E43A0"/>
        </w:tc>
        <w:tc>
          <w:tcPr>
            <w:tcW w:w="851" w:type="dxa"/>
            <w:tcBorders>
              <w:top w:val="single" w:color="auto" w:sz="6" w:space="0"/>
              <w:left w:val="single" w:color="auto" w:sz="6" w:space="0"/>
              <w:bottom w:val="single" w:color="auto" w:sz="6" w:space="0"/>
              <w:right w:val="single" w:color="auto" w:sz="6" w:space="0"/>
            </w:tcBorders>
          </w:tcPr>
          <w:p w14:paraId="37F52EDC"/>
        </w:tc>
        <w:tc>
          <w:tcPr>
            <w:tcW w:w="850" w:type="dxa"/>
            <w:gridSpan w:val="2"/>
            <w:tcBorders>
              <w:top w:val="single" w:color="auto" w:sz="6" w:space="0"/>
              <w:left w:val="single" w:color="auto" w:sz="6" w:space="0"/>
              <w:bottom w:val="single" w:color="auto" w:sz="6" w:space="0"/>
              <w:right w:val="single" w:color="auto" w:sz="6" w:space="0"/>
            </w:tcBorders>
          </w:tcPr>
          <w:p w14:paraId="541390AD"/>
        </w:tc>
        <w:tc>
          <w:tcPr>
            <w:tcW w:w="1021" w:type="dxa"/>
            <w:tcBorders>
              <w:top w:val="single" w:color="auto" w:sz="6" w:space="0"/>
              <w:left w:val="single" w:color="auto" w:sz="6" w:space="0"/>
              <w:bottom w:val="single" w:color="auto" w:sz="6" w:space="0"/>
              <w:right w:val="single" w:color="auto" w:sz="6" w:space="0"/>
            </w:tcBorders>
          </w:tcPr>
          <w:p w14:paraId="0DA22620"/>
        </w:tc>
        <w:tc>
          <w:tcPr>
            <w:tcW w:w="851" w:type="dxa"/>
            <w:tcBorders>
              <w:top w:val="single" w:color="auto" w:sz="6" w:space="0"/>
              <w:left w:val="single" w:color="auto" w:sz="6" w:space="0"/>
              <w:bottom w:val="single" w:color="auto" w:sz="6" w:space="0"/>
              <w:right w:val="single" w:color="auto" w:sz="6" w:space="0"/>
            </w:tcBorders>
          </w:tcPr>
          <w:p w14:paraId="209D54F8"/>
        </w:tc>
        <w:tc>
          <w:tcPr>
            <w:tcW w:w="778" w:type="dxa"/>
            <w:tcBorders>
              <w:top w:val="single" w:color="auto" w:sz="6" w:space="0"/>
              <w:left w:val="single" w:color="auto" w:sz="6" w:space="0"/>
              <w:bottom w:val="single" w:color="auto" w:sz="6" w:space="0"/>
              <w:right w:val="single" w:color="auto" w:sz="6" w:space="0"/>
            </w:tcBorders>
          </w:tcPr>
          <w:p w14:paraId="4ED1828A"/>
        </w:tc>
        <w:tc>
          <w:tcPr>
            <w:tcW w:w="742" w:type="dxa"/>
            <w:tcBorders>
              <w:top w:val="single" w:color="auto" w:sz="6" w:space="0"/>
              <w:left w:val="single" w:color="auto" w:sz="6" w:space="0"/>
              <w:bottom w:val="single" w:color="auto" w:sz="6" w:space="0"/>
              <w:right w:val="single" w:color="auto" w:sz="6" w:space="0"/>
            </w:tcBorders>
          </w:tcPr>
          <w:p w14:paraId="5689B6CE"/>
        </w:tc>
        <w:tc>
          <w:tcPr>
            <w:tcW w:w="700" w:type="dxa"/>
            <w:tcBorders>
              <w:top w:val="single" w:color="auto" w:sz="6" w:space="0"/>
              <w:left w:val="single" w:color="auto" w:sz="6" w:space="0"/>
              <w:bottom w:val="single" w:color="auto" w:sz="6" w:space="0"/>
              <w:right w:val="single" w:color="auto" w:sz="6" w:space="0"/>
            </w:tcBorders>
          </w:tcPr>
          <w:p w14:paraId="7C36F265"/>
        </w:tc>
        <w:tc>
          <w:tcPr>
            <w:tcW w:w="769" w:type="dxa"/>
            <w:tcBorders>
              <w:top w:val="single" w:color="auto" w:sz="6" w:space="0"/>
              <w:left w:val="single" w:color="auto" w:sz="6" w:space="0"/>
              <w:bottom w:val="single" w:color="auto" w:sz="6" w:space="0"/>
              <w:right w:val="single" w:color="auto" w:sz="6" w:space="0"/>
            </w:tcBorders>
          </w:tcPr>
          <w:p w14:paraId="62FE0CAB"/>
        </w:tc>
        <w:tc>
          <w:tcPr>
            <w:tcW w:w="941" w:type="dxa"/>
            <w:tcBorders>
              <w:top w:val="single" w:color="auto" w:sz="6" w:space="0"/>
              <w:left w:val="single" w:color="auto" w:sz="6" w:space="0"/>
              <w:bottom w:val="single" w:color="auto" w:sz="6" w:space="0"/>
              <w:right w:val="single" w:color="auto" w:sz="6" w:space="0"/>
            </w:tcBorders>
          </w:tcPr>
          <w:p w14:paraId="4738DF40"/>
        </w:tc>
      </w:tr>
      <w:tr w14:paraId="38A8B8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cantSplit/>
          <w:trHeight w:val="1316" w:hRule="atLeast"/>
          <w:jc w:val="center"/>
        </w:trPr>
        <w:tc>
          <w:tcPr>
            <w:tcW w:w="993" w:type="dxa"/>
            <w:tcBorders>
              <w:top w:val="single" w:color="auto" w:sz="6" w:space="0"/>
              <w:left w:val="single" w:color="auto" w:sz="6" w:space="0"/>
              <w:bottom w:val="single" w:color="auto" w:sz="6" w:space="0"/>
              <w:right w:val="single" w:color="auto" w:sz="6" w:space="0"/>
            </w:tcBorders>
            <w:vAlign w:val="center"/>
          </w:tcPr>
          <w:p w14:paraId="12107378">
            <w:pPr>
              <w:jc w:val="center"/>
            </w:pPr>
            <w:r>
              <w:rPr>
                <w:rFonts w:hint="eastAsia"/>
              </w:rPr>
              <w:t>测</w:t>
            </w:r>
          </w:p>
          <w:p w14:paraId="1C2A72A0">
            <w:pPr>
              <w:jc w:val="center"/>
            </w:pPr>
            <w:r>
              <w:rPr>
                <w:rFonts w:hint="eastAsia"/>
              </w:rPr>
              <w:t>试</w:t>
            </w:r>
          </w:p>
          <w:p w14:paraId="237C2829">
            <w:pPr>
              <w:jc w:val="center"/>
            </w:pPr>
            <w:r>
              <w:rPr>
                <w:rFonts w:hint="eastAsia"/>
              </w:rPr>
              <w:t>结</w:t>
            </w:r>
          </w:p>
          <w:p w14:paraId="6D1D8409">
            <w:pPr>
              <w:jc w:val="center"/>
            </w:pPr>
            <w:r>
              <w:rPr>
                <w:rFonts w:hint="eastAsia"/>
              </w:rPr>
              <w:t>论</w:t>
            </w:r>
          </w:p>
        </w:tc>
        <w:tc>
          <w:tcPr>
            <w:tcW w:w="8637" w:type="dxa"/>
            <w:gridSpan w:val="11"/>
            <w:tcBorders>
              <w:top w:val="single" w:color="auto" w:sz="6" w:space="0"/>
              <w:left w:val="single" w:color="auto" w:sz="6" w:space="0"/>
              <w:bottom w:val="single" w:color="auto" w:sz="6" w:space="0"/>
              <w:right w:val="single" w:color="auto" w:sz="6" w:space="0"/>
            </w:tcBorders>
            <w:vAlign w:val="center"/>
          </w:tcPr>
          <w:p w14:paraId="205F30A0"/>
          <w:p w14:paraId="7ED93E91"/>
          <w:p w14:paraId="6F4235B6"/>
          <w:p w14:paraId="5A137CD4"/>
        </w:tc>
      </w:tr>
      <w:tr w14:paraId="5340B4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cantSplit/>
          <w:trHeight w:val="392" w:hRule="atLeast"/>
          <w:jc w:val="center"/>
        </w:trPr>
        <w:tc>
          <w:tcPr>
            <w:tcW w:w="993" w:type="dxa"/>
            <w:vMerge w:val="restart"/>
            <w:tcBorders>
              <w:top w:val="single" w:color="auto" w:sz="6" w:space="0"/>
              <w:left w:val="single" w:color="auto" w:sz="6" w:space="0"/>
              <w:bottom w:val="single" w:color="auto" w:sz="6" w:space="0"/>
              <w:right w:val="single" w:color="auto" w:sz="6" w:space="0"/>
            </w:tcBorders>
            <w:vAlign w:val="center"/>
          </w:tcPr>
          <w:p w14:paraId="3BC04D6F">
            <w:pPr>
              <w:jc w:val="center"/>
            </w:pPr>
            <w:r>
              <w:rPr>
                <w:rFonts w:hint="eastAsia"/>
              </w:rPr>
              <w:t>施工单位</w:t>
            </w:r>
          </w:p>
        </w:tc>
        <w:tc>
          <w:tcPr>
            <w:tcW w:w="5485" w:type="dxa"/>
            <w:gridSpan w:val="7"/>
            <w:tcBorders>
              <w:top w:val="single" w:color="auto" w:sz="6" w:space="0"/>
              <w:left w:val="single" w:color="auto" w:sz="6" w:space="0"/>
              <w:bottom w:val="single" w:color="auto" w:sz="6" w:space="0"/>
              <w:right w:val="single" w:color="auto" w:sz="6" w:space="0"/>
            </w:tcBorders>
            <w:vAlign w:val="center"/>
          </w:tcPr>
          <w:p w14:paraId="5B677DB4">
            <w:pPr>
              <w:ind w:firstLine="945" w:firstLineChars="450"/>
            </w:pPr>
            <w:r>
              <w:rPr>
                <w:rFonts w:hint="eastAsia"/>
              </w:rPr>
              <w:t>电气负责人</w:t>
            </w:r>
          </w:p>
        </w:tc>
        <w:tc>
          <w:tcPr>
            <w:tcW w:w="3152" w:type="dxa"/>
            <w:gridSpan w:val="4"/>
            <w:tcBorders>
              <w:top w:val="single" w:color="auto" w:sz="6" w:space="0"/>
              <w:left w:val="single" w:color="auto" w:sz="6" w:space="0"/>
              <w:bottom w:val="single" w:color="auto" w:sz="6" w:space="0"/>
              <w:right w:val="single" w:color="auto" w:sz="6" w:space="0"/>
            </w:tcBorders>
            <w:vAlign w:val="center"/>
          </w:tcPr>
          <w:p w14:paraId="2C4E4F30">
            <w:pPr>
              <w:jc w:val="center"/>
            </w:pPr>
            <w:r>
              <w:rPr>
                <w:rFonts w:hint="eastAsia"/>
              </w:rPr>
              <w:t>测试电工（两人）</w:t>
            </w:r>
          </w:p>
        </w:tc>
      </w:tr>
      <w:tr w14:paraId="4E320A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cantSplit/>
          <w:trHeight w:val="392" w:hRule="atLeast"/>
          <w:jc w:val="center"/>
        </w:trPr>
        <w:tc>
          <w:tcPr>
            <w:tcW w:w="993" w:type="dxa"/>
            <w:vMerge w:val="continue"/>
            <w:tcBorders>
              <w:top w:val="single" w:color="auto" w:sz="6" w:space="0"/>
              <w:left w:val="single" w:color="auto" w:sz="6" w:space="0"/>
              <w:bottom w:val="single" w:color="auto" w:sz="6" w:space="0"/>
              <w:right w:val="single" w:color="auto" w:sz="6" w:space="0"/>
            </w:tcBorders>
            <w:textDirection w:val="tbRlV"/>
            <w:vAlign w:val="center"/>
          </w:tcPr>
          <w:p w14:paraId="74550C88"/>
        </w:tc>
        <w:tc>
          <w:tcPr>
            <w:tcW w:w="5485" w:type="dxa"/>
            <w:gridSpan w:val="7"/>
            <w:tcBorders>
              <w:top w:val="single" w:color="auto" w:sz="6" w:space="0"/>
              <w:left w:val="single" w:color="auto" w:sz="6" w:space="0"/>
              <w:bottom w:val="single" w:color="auto" w:sz="6" w:space="0"/>
              <w:right w:val="single" w:color="auto" w:sz="6" w:space="0"/>
            </w:tcBorders>
            <w:vAlign w:val="center"/>
          </w:tcPr>
          <w:p w14:paraId="7DCEC40D"/>
        </w:tc>
        <w:tc>
          <w:tcPr>
            <w:tcW w:w="3152" w:type="dxa"/>
            <w:gridSpan w:val="4"/>
            <w:tcBorders>
              <w:top w:val="single" w:color="auto" w:sz="6" w:space="0"/>
              <w:left w:val="single" w:color="auto" w:sz="6" w:space="0"/>
              <w:bottom w:val="single" w:color="auto" w:sz="6" w:space="0"/>
              <w:right w:val="single" w:color="auto" w:sz="6" w:space="0"/>
            </w:tcBorders>
            <w:vAlign w:val="center"/>
          </w:tcPr>
          <w:p w14:paraId="0044104D"/>
        </w:tc>
      </w:tr>
      <w:tr w14:paraId="35EFD2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cantSplit/>
          <w:trHeight w:val="1492" w:hRule="atLeast"/>
          <w:jc w:val="center"/>
        </w:trPr>
        <w:tc>
          <w:tcPr>
            <w:tcW w:w="9630" w:type="dxa"/>
            <w:gridSpan w:val="12"/>
            <w:tcBorders>
              <w:top w:val="single" w:color="auto" w:sz="6" w:space="0"/>
              <w:left w:val="single" w:color="auto" w:sz="6" w:space="0"/>
              <w:bottom w:val="single" w:color="auto" w:sz="6" w:space="0"/>
              <w:right w:val="single" w:color="auto" w:sz="6" w:space="0"/>
            </w:tcBorders>
          </w:tcPr>
          <w:p w14:paraId="70D90AD8">
            <w:r>
              <w:rPr>
                <w:rFonts w:hint="eastAsia"/>
              </w:rPr>
              <w:t>监理单位意见：</w:t>
            </w:r>
          </w:p>
          <w:p w14:paraId="51820145"/>
          <w:p w14:paraId="03779733"/>
          <w:p w14:paraId="1DF03EEB">
            <w:pPr>
              <w:ind w:firstLine="5670" w:firstLineChars="2700"/>
            </w:pPr>
            <w:r>
              <w:rPr>
                <w:rFonts w:hint="eastAsia"/>
              </w:rPr>
              <w:t>专业监理工程师（签字）：</w:t>
            </w:r>
            <w:r>
              <w:t xml:space="preserve">                                         </w:t>
            </w:r>
          </w:p>
          <w:p w14:paraId="24AA8A79">
            <w:pPr>
              <w:ind w:firstLine="5250" w:firstLineChars="2500"/>
            </w:pPr>
          </w:p>
          <w:p w14:paraId="3D8F1A46">
            <w:pPr>
              <w:ind w:firstLine="6090" w:firstLineChars="2900"/>
            </w:pPr>
            <w:r>
              <w:rPr>
                <w:rFonts w:hint="eastAsia"/>
              </w:rPr>
              <w:t>年</w:t>
            </w:r>
            <w:r>
              <w:t xml:space="preserve">    </w:t>
            </w:r>
            <w:r>
              <w:rPr>
                <w:rFonts w:hint="eastAsia"/>
              </w:rPr>
              <w:t>月</w:t>
            </w:r>
            <w:r>
              <w:t xml:space="preserve">    </w:t>
            </w:r>
            <w:r>
              <w:rPr>
                <w:rFonts w:hint="eastAsia"/>
              </w:rPr>
              <w:t>日</w:t>
            </w:r>
          </w:p>
        </w:tc>
      </w:tr>
    </w:tbl>
    <w:p w14:paraId="4C791D2F">
      <w:r>
        <w:rPr>
          <w:rFonts w:hint="eastAsia"/>
        </w:rPr>
        <w:t>注：本表由施工单位填写；一式两份，监理单位、施工单位各留存一份。</w:t>
      </w:r>
    </w:p>
    <w:p w14:paraId="5D61770E">
      <w:pPr>
        <w:pStyle w:val="40"/>
        <w:spacing w:before="120"/>
        <w:jc w:val="both"/>
        <w:rPr>
          <w:b/>
          <w:color w:val="auto"/>
          <w:szCs w:val="24"/>
        </w:rPr>
      </w:pPr>
      <w:r>
        <w:rPr>
          <w:color w:val="auto"/>
          <w:szCs w:val="24"/>
        </w:rPr>
        <w:t xml:space="preserve"> </w:t>
      </w:r>
      <w:r>
        <w:rPr>
          <w:b/>
          <w:bCs w:val="0"/>
          <w:color w:val="auto"/>
          <w:sz w:val="24"/>
          <w:szCs w:val="24"/>
        </w:rPr>
        <w:t>A.0.6</w:t>
      </w:r>
      <w:r>
        <w:rPr>
          <w:color w:val="auto"/>
          <w:sz w:val="24"/>
          <w:szCs w:val="24"/>
        </w:rPr>
        <w:t xml:space="preserve">  </w:t>
      </w:r>
      <w:r>
        <w:rPr>
          <w:rFonts w:hint="eastAsia"/>
          <w:color w:val="auto"/>
          <w:sz w:val="24"/>
          <w:szCs w:val="24"/>
        </w:rPr>
        <w:t>地电阻测试记录应符合表</w:t>
      </w:r>
      <w:r>
        <w:rPr>
          <w:color w:val="auto"/>
          <w:sz w:val="24"/>
          <w:szCs w:val="24"/>
        </w:rPr>
        <w:t>A.0.6</w:t>
      </w:r>
      <w:r>
        <w:rPr>
          <w:rFonts w:hint="eastAsia"/>
          <w:color w:val="auto"/>
          <w:sz w:val="24"/>
          <w:szCs w:val="24"/>
        </w:rPr>
        <w:t>的规定。</w:t>
      </w:r>
    </w:p>
    <w:p w14:paraId="7F212BE6">
      <w:pPr>
        <w:pStyle w:val="40"/>
        <w:spacing w:before="120"/>
        <w:rPr>
          <w:b/>
          <w:bCs w:val="0"/>
          <w:color w:val="auto"/>
          <w:szCs w:val="24"/>
        </w:rPr>
      </w:pPr>
      <w:r>
        <w:rPr>
          <w:rFonts w:hint="eastAsia"/>
          <w:b/>
          <w:bCs w:val="0"/>
          <w:color w:val="auto"/>
          <w:szCs w:val="24"/>
        </w:rPr>
        <w:t>表</w:t>
      </w:r>
      <w:r>
        <w:rPr>
          <w:b/>
          <w:bCs w:val="0"/>
          <w:color w:val="auto"/>
          <w:szCs w:val="24"/>
        </w:rPr>
        <w:t xml:space="preserve">A.0.6 </w:t>
      </w:r>
      <w:r>
        <w:rPr>
          <w:rFonts w:hint="eastAsia"/>
          <w:b/>
          <w:bCs w:val="0"/>
          <w:color w:val="auto"/>
          <w:szCs w:val="24"/>
        </w:rPr>
        <w:t>接地电阻测试记录表</w:t>
      </w:r>
    </w:p>
    <w:tbl>
      <w:tblPr>
        <w:tblStyle w:val="18"/>
        <w:tblW w:w="933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85" w:type="dxa"/>
          <w:left w:w="28" w:type="dxa"/>
          <w:bottom w:w="85" w:type="dxa"/>
          <w:right w:w="28" w:type="dxa"/>
        </w:tblCellMar>
      </w:tblPr>
      <w:tblGrid>
        <w:gridCol w:w="2068"/>
        <w:gridCol w:w="1382"/>
        <w:gridCol w:w="1383"/>
        <w:gridCol w:w="1313"/>
        <w:gridCol w:w="70"/>
        <w:gridCol w:w="1383"/>
        <w:gridCol w:w="46"/>
        <w:gridCol w:w="609"/>
        <w:gridCol w:w="1082"/>
      </w:tblGrid>
      <w:tr w14:paraId="6B54DB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trHeight w:val="609" w:hRule="atLeast"/>
          <w:jc w:val="center"/>
        </w:trPr>
        <w:tc>
          <w:tcPr>
            <w:tcW w:w="6216" w:type="dxa"/>
            <w:gridSpan w:val="5"/>
            <w:tcBorders>
              <w:top w:val="single" w:color="auto" w:sz="6" w:space="0"/>
              <w:left w:val="single" w:color="auto" w:sz="6" w:space="0"/>
              <w:bottom w:val="single" w:color="auto" w:sz="6" w:space="0"/>
              <w:right w:val="single" w:color="auto" w:sz="6" w:space="0"/>
            </w:tcBorders>
            <w:vAlign w:val="center"/>
          </w:tcPr>
          <w:p w14:paraId="369E1243">
            <w:pPr>
              <w:widowControl/>
              <w:snapToGrid w:val="0"/>
              <w:jc w:val="center"/>
              <w:textAlignment w:val="center"/>
              <w:rPr>
                <w:bCs/>
                <w:lang w:bidi="ar"/>
              </w:rPr>
            </w:pPr>
            <w:r>
              <w:rPr>
                <w:rFonts w:hint="eastAsia"/>
                <w:bCs/>
                <w:lang w:bidi="ar"/>
              </w:rPr>
              <w:t>接地电阻测试记录</w:t>
            </w:r>
          </w:p>
        </w:tc>
        <w:tc>
          <w:tcPr>
            <w:tcW w:w="1429" w:type="dxa"/>
            <w:gridSpan w:val="2"/>
            <w:tcBorders>
              <w:top w:val="single" w:color="auto" w:sz="6" w:space="0"/>
              <w:left w:val="single" w:color="auto" w:sz="6" w:space="0"/>
              <w:bottom w:val="single" w:color="auto" w:sz="6" w:space="0"/>
              <w:right w:val="single" w:color="auto" w:sz="6" w:space="0"/>
            </w:tcBorders>
            <w:vAlign w:val="center"/>
          </w:tcPr>
          <w:p w14:paraId="692F69FB">
            <w:pPr>
              <w:snapToGrid w:val="0"/>
              <w:jc w:val="center"/>
            </w:pPr>
            <w:r>
              <w:rPr>
                <w:rFonts w:hint="eastAsia"/>
              </w:rPr>
              <w:t>编号</w:t>
            </w:r>
          </w:p>
        </w:tc>
        <w:tc>
          <w:tcPr>
            <w:tcW w:w="1691" w:type="dxa"/>
            <w:gridSpan w:val="2"/>
            <w:tcBorders>
              <w:top w:val="single" w:color="auto" w:sz="6" w:space="0"/>
              <w:left w:val="single" w:color="auto" w:sz="6" w:space="0"/>
              <w:bottom w:val="single" w:color="auto" w:sz="6" w:space="0"/>
              <w:right w:val="single" w:color="auto" w:sz="6" w:space="0"/>
            </w:tcBorders>
            <w:vAlign w:val="center"/>
          </w:tcPr>
          <w:p w14:paraId="5B01B3A0">
            <w:pPr>
              <w:snapToGrid w:val="0"/>
              <w:jc w:val="center"/>
            </w:pPr>
            <w:r>
              <w:rPr>
                <w:bCs/>
                <w:lang w:bidi="ar"/>
              </w:rPr>
              <w:t xml:space="preserve"> </w:t>
            </w:r>
          </w:p>
        </w:tc>
      </w:tr>
      <w:tr w14:paraId="276695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trHeight w:val="392" w:hRule="atLeast"/>
          <w:jc w:val="center"/>
        </w:trPr>
        <w:tc>
          <w:tcPr>
            <w:tcW w:w="2068" w:type="dxa"/>
            <w:tcBorders>
              <w:top w:val="single" w:color="auto" w:sz="6" w:space="0"/>
              <w:left w:val="single" w:color="auto" w:sz="6" w:space="0"/>
              <w:bottom w:val="single" w:color="auto" w:sz="6" w:space="0"/>
              <w:right w:val="single" w:color="auto" w:sz="6" w:space="0"/>
            </w:tcBorders>
            <w:vAlign w:val="center"/>
          </w:tcPr>
          <w:p w14:paraId="3166C725">
            <w:pPr>
              <w:jc w:val="center"/>
            </w:pPr>
            <w:r>
              <w:rPr>
                <w:rFonts w:hint="eastAsia"/>
              </w:rPr>
              <w:t>工程名称</w:t>
            </w:r>
          </w:p>
        </w:tc>
        <w:tc>
          <w:tcPr>
            <w:tcW w:w="2765" w:type="dxa"/>
            <w:gridSpan w:val="2"/>
            <w:tcBorders>
              <w:top w:val="single" w:color="auto" w:sz="6" w:space="0"/>
              <w:left w:val="single" w:color="auto" w:sz="6" w:space="0"/>
              <w:bottom w:val="single" w:color="auto" w:sz="6" w:space="0"/>
              <w:right w:val="single" w:color="auto" w:sz="6" w:space="0"/>
            </w:tcBorders>
            <w:vAlign w:val="center"/>
          </w:tcPr>
          <w:p w14:paraId="4EF2A797">
            <w:pPr>
              <w:jc w:val="center"/>
            </w:pPr>
          </w:p>
        </w:tc>
        <w:tc>
          <w:tcPr>
            <w:tcW w:w="1383" w:type="dxa"/>
            <w:gridSpan w:val="2"/>
            <w:tcBorders>
              <w:top w:val="single" w:color="auto" w:sz="6" w:space="0"/>
              <w:left w:val="single" w:color="auto" w:sz="6" w:space="0"/>
              <w:bottom w:val="single" w:color="auto" w:sz="6" w:space="0"/>
              <w:right w:val="single" w:color="auto" w:sz="6" w:space="0"/>
            </w:tcBorders>
            <w:vAlign w:val="center"/>
          </w:tcPr>
          <w:p w14:paraId="4E141AD4">
            <w:pPr>
              <w:jc w:val="center"/>
            </w:pPr>
            <w:r>
              <w:rPr>
                <w:rFonts w:hint="eastAsia"/>
              </w:rPr>
              <w:t>施工单位</w:t>
            </w:r>
          </w:p>
        </w:tc>
        <w:tc>
          <w:tcPr>
            <w:tcW w:w="3120" w:type="dxa"/>
            <w:gridSpan w:val="4"/>
            <w:tcBorders>
              <w:top w:val="single" w:color="auto" w:sz="6" w:space="0"/>
              <w:left w:val="single" w:color="auto" w:sz="6" w:space="0"/>
              <w:bottom w:val="single" w:color="auto" w:sz="6" w:space="0"/>
              <w:right w:val="single" w:color="auto" w:sz="6" w:space="0"/>
            </w:tcBorders>
            <w:vAlign w:val="center"/>
          </w:tcPr>
          <w:p w14:paraId="74562216">
            <w:pPr>
              <w:jc w:val="center"/>
            </w:pPr>
          </w:p>
        </w:tc>
      </w:tr>
      <w:tr w14:paraId="505B21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trHeight w:val="392" w:hRule="atLeast"/>
          <w:jc w:val="center"/>
        </w:trPr>
        <w:tc>
          <w:tcPr>
            <w:tcW w:w="2068" w:type="dxa"/>
            <w:tcBorders>
              <w:top w:val="single" w:color="auto" w:sz="6" w:space="0"/>
              <w:left w:val="single" w:color="auto" w:sz="6" w:space="0"/>
              <w:bottom w:val="single" w:color="auto" w:sz="6" w:space="0"/>
              <w:right w:val="single" w:color="auto" w:sz="6" w:space="0"/>
            </w:tcBorders>
            <w:vAlign w:val="center"/>
          </w:tcPr>
          <w:p w14:paraId="25819AAD">
            <w:pPr>
              <w:jc w:val="center"/>
            </w:pPr>
            <w:r>
              <w:rPr>
                <w:rFonts w:hint="eastAsia"/>
              </w:rPr>
              <w:t>仪表型号</w:t>
            </w:r>
          </w:p>
        </w:tc>
        <w:tc>
          <w:tcPr>
            <w:tcW w:w="2765" w:type="dxa"/>
            <w:gridSpan w:val="2"/>
            <w:tcBorders>
              <w:top w:val="single" w:color="auto" w:sz="6" w:space="0"/>
              <w:left w:val="single" w:color="auto" w:sz="6" w:space="0"/>
              <w:bottom w:val="single" w:color="auto" w:sz="6" w:space="0"/>
              <w:right w:val="single" w:color="auto" w:sz="6" w:space="0"/>
            </w:tcBorders>
            <w:vAlign w:val="center"/>
          </w:tcPr>
          <w:p w14:paraId="7817B683">
            <w:pPr>
              <w:jc w:val="center"/>
            </w:pPr>
          </w:p>
        </w:tc>
        <w:tc>
          <w:tcPr>
            <w:tcW w:w="1383" w:type="dxa"/>
            <w:gridSpan w:val="2"/>
            <w:tcBorders>
              <w:top w:val="single" w:color="auto" w:sz="6" w:space="0"/>
              <w:left w:val="single" w:color="auto" w:sz="6" w:space="0"/>
              <w:bottom w:val="single" w:color="auto" w:sz="6" w:space="0"/>
              <w:right w:val="single" w:color="auto" w:sz="6" w:space="0"/>
            </w:tcBorders>
            <w:vAlign w:val="center"/>
          </w:tcPr>
          <w:p w14:paraId="40C1AD5C">
            <w:pPr>
              <w:jc w:val="center"/>
            </w:pPr>
            <w:r>
              <w:rPr>
                <w:rFonts w:hint="eastAsia"/>
              </w:rPr>
              <w:t>测试日期</w:t>
            </w:r>
          </w:p>
        </w:tc>
        <w:tc>
          <w:tcPr>
            <w:tcW w:w="3120" w:type="dxa"/>
            <w:gridSpan w:val="4"/>
            <w:tcBorders>
              <w:top w:val="single" w:color="auto" w:sz="6" w:space="0"/>
              <w:left w:val="single" w:color="auto" w:sz="6" w:space="0"/>
              <w:bottom w:val="single" w:color="auto" w:sz="6" w:space="0"/>
              <w:right w:val="single" w:color="auto" w:sz="6" w:space="0"/>
            </w:tcBorders>
            <w:vAlign w:val="center"/>
          </w:tcPr>
          <w:p w14:paraId="6124804E">
            <w:pPr>
              <w:jc w:val="center"/>
            </w:pPr>
            <w:r>
              <w:t xml:space="preserve">        </w:t>
            </w:r>
            <w:r>
              <w:rPr>
                <w:rFonts w:hint="eastAsia"/>
              </w:rPr>
              <w:t>年</w:t>
            </w:r>
            <w:r>
              <w:t xml:space="preserve">    </w:t>
            </w:r>
            <w:r>
              <w:rPr>
                <w:rFonts w:hint="eastAsia"/>
              </w:rPr>
              <w:t>月</w:t>
            </w:r>
            <w:r>
              <w:t xml:space="preserve">     </w:t>
            </w:r>
            <w:r>
              <w:rPr>
                <w:rFonts w:hint="eastAsia"/>
              </w:rPr>
              <w:t>日</w:t>
            </w:r>
          </w:p>
        </w:tc>
      </w:tr>
      <w:tr w14:paraId="344BA5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trHeight w:val="392" w:hRule="atLeast"/>
          <w:jc w:val="center"/>
        </w:trPr>
        <w:tc>
          <w:tcPr>
            <w:tcW w:w="2068" w:type="dxa"/>
            <w:tcBorders>
              <w:top w:val="single" w:color="auto" w:sz="6" w:space="0"/>
              <w:left w:val="single" w:color="auto" w:sz="6" w:space="0"/>
              <w:bottom w:val="single" w:color="auto" w:sz="6" w:space="0"/>
              <w:right w:val="single" w:color="auto" w:sz="6" w:space="0"/>
            </w:tcBorders>
            <w:vAlign w:val="center"/>
          </w:tcPr>
          <w:p w14:paraId="530EEA93">
            <w:pPr>
              <w:jc w:val="center"/>
            </w:pPr>
            <w:r>
              <w:rPr>
                <w:rFonts w:hint="eastAsia"/>
              </w:rPr>
              <w:t>计量单位</w:t>
            </w:r>
          </w:p>
        </w:tc>
        <w:tc>
          <w:tcPr>
            <w:tcW w:w="2765" w:type="dxa"/>
            <w:gridSpan w:val="2"/>
            <w:tcBorders>
              <w:top w:val="single" w:color="auto" w:sz="6" w:space="0"/>
              <w:left w:val="single" w:color="auto" w:sz="6" w:space="0"/>
              <w:bottom w:val="single" w:color="auto" w:sz="6" w:space="0"/>
              <w:right w:val="single" w:color="auto" w:sz="6" w:space="0"/>
            </w:tcBorders>
            <w:vAlign w:val="center"/>
          </w:tcPr>
          <w:p w14:paraId="7E49EBDB">
            <w:pPr>
              <w:ind w:right="840" w:firstLine="1260" w:firstLineChars="600"/>
            </w:pPr>
            <w:r>
              <w:t>Ω</w:t>
            </w:r>
          </w:p>
        </w:tc>
        <w:tc>
          <w:tcPr>
            <w:tcW w:w="1383" w:type="dxa"/>
            <w:gridSpan w:val="2"/>
            <w:tcBorders>
              <w:top w:val="single" w:color="auto" w:sz="6" w:space="0"/>
              <w:left w:val="single" w:color="auto" w:sz="6" w:space="0"/>
              <w:bottom w:val="single" w:color="auto" w:sz="6" w:space="0"/>
              <w:right w:val="single" w:color="auto" w:sz="6" w:space="0"/>
            </w:tcBorders>
            <w:vAlign w:val="center"/>
          </w:tcPr>
          <w:p w14:paraId="74EA2452">
            <w:pPr>
              <w:jc w:val="center"/>
            </w:pPr>
            <w:r>
              <w:rPr>
                <w:rFonts w:hint="eastAsia"/>
              </w:rPr>
              <w:t>天气情况</w:t>
            </w:r>
          </w:p>
        </w:tc>
        <w:tc>
          <w:tcPr>
            <w:tcW w:w="1383" w:type="dxa"/>
            <w:tcBorders>
              <w:top w:val="single" w:color="auto" w:sz="6" w:space="0"/>
              <w:left w:val="single" w:color="auto" w:sz="6" w:space="0"/>
              <w:bottom w:val="single" w:color="auto" w:sz="6" w:space="0"/>
              <w:right w:val="single" w:color="auto" w:sz="6" w:space="0"/>
            </w:tcBorders>
            <w:vAlign w:val="center"/>
          </w:tcPr>
          <w:p w14:paraId="5580500E">
            <w:pPr>
              <w:jc w:val="center"/>
            </w:pPr>
          </w:p>
        </w:tc>
        <w:tc>
          <w:tcPr>
            <w:tcW w:w="655" w:type="dxa"/>
            <w:gridSpan w:val="2"/>
            <w:tcBorders>
              <w:top w:val="single" w:color="auto" w:sz="6" w:space="0"/>
              <w:left w:val="single" w:color="auto" w:sz="6" w:space="0"/>
              <w:bottom w:val="single" w:color="auto" w:sz="6" w:space="0"/>
              <w:right w:val="single" w:color="auto" w:sz="6" w:space="0"/>
            </w:tcBorders>
            <w:vAlign w:val="center"/>
          </w:tcPr>
          <w:p w14:paraId="368C0313">
            <w:pPr>
              <w:jc w:val="center"/>
            </w:pPr>
            <w:r>
              <w:rPr>
                <w:rFonts w:hint="eastAsia"/>
              </w:rPr>
              <w:t>气温</w:t>
            </w:r>
          </w:p>
        </w:tc>
        <w:tc>
          <w:tcPr>
            <w:tcW w:w="1082" w:type="dxa"/>
            <w:tcBorders>
              <w:top w:val="single" w:color="auto" w:sz="6" w:space="0"/>
              <w:left w:val="single" w:color="auto" w:sz="6" w:space="0"/>
              <w:bottom w:val="single" w:color="auto" w:sz="6" w:space="0"/>
              <w:right w:val="single" w:color="auto" w:sz="6" w:space="0"/>
            </w:tcBorders>
            <w:vAlign w:val="center"/>
          </w:tcPr>
          <w:p w14:paraId="345ECF83">
            <w:pPr>
              <w:jc w:val="right"/>
            </w:pPr>
            <w:r>
              <w:rPr>
                <w:rFonts w:hint="eastAsia"/>
              </w:rPr>
              <w:t>℃</w:t>
            </w:r>
          </w:p>
        </w:tc>
      </w:tr>
      <w:tr w14:paraId="18F627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trHeight w:val="392" w:hRule="atLeast"/>
          <w:jc w:val="center"/>
        </w:trPr>
        <w:tc>
          <w:tcPr>
            <w:tcW w:w="2068" w:type="dxa"/>
            <w:tcBorders>
              <w:top w:val="single" w:color="auto" w:sz="6" w:space="0"/>
              <w:left w:val="single" w:color="auto" w:sz="6" w:space="0"/>
              <w:bottom w:val="single" w:color="auto" w:sz="6" w:space="0"/>
              <w:right w:val="single" w:color="auto" w:sz="6" w:space="0"/>
              <w:tl2br w:val="single" w:color="auto" w:sz="6" w:space="0"/>
            </w:tcBorders>
          </w:tcPr>
          <w:p w14:paraId="552212A2">
            <w:pPr>
              <w:snapToGrid w:val="0"/>
            </w:pPr>
            <w:r>
              <w:t xml:space="preserve">    </w:t>
            </w:r>
            <w:r>
              <w:rPr>
                <w:rFonts w:hint="eastAsia"/>
              </w:rPr>
              <w:t>接地类型</w:t>
            </w:r>
          </w:p>
          <w:p w14:paraId="1731BBED">
            <w:pPr>
              <w:pStyle w:val="16"/>
              <w:ind w:firstLine="0" w:firstLineChars="0"/>
              <w:rPr>
                <w:sz w:val="21"/>
                <w:lang w:val="en-US"/>
              </w:rPr>
            </w:pPr>
            <w:r>
              <w:rPr>
                <w:rFonts w:hint="eastAsia"/>
                <w:sz w:val="21"/>
                <w:lang w:val="en-US"/>
              </w:rPr>
              <w:t>测试部位</w:t>
            </w:r>
          </w:p>
        </w:tc>
        <w:tc>
          <w:tcPr>
            <w:tcW w:w="1382" w:type="dxa"/>
            <w:tcBorders>
              <w:top w:val="single" w:color="auto" w:sz="6" w:space="0"/>
              <w:left w:val="single" w:color="auto" w:sz="6" w:space="0"/>
              <w:bottom w:val="single" w:color="auto" w:sz="6" w:space="0"/>
              <w:right w:val="single" w:color="auto" w:sz="6" w:space="0"/>
            </w:tcBorders>
            <w:vAlign w:val="center"/>
          </w:tcPr>
          <w:p w14:paraId="6A033C3A">
            <w:pPr>
              <w:jc w:val="center"/>
            </w:pPr>
            <w:r>
              <w:rPr>
                <w:rFonts w:hint="eastAsia"/>
              </w:rPr>
              <w:t>系统接地</w:t>
            </w:r>
          </w:p>
        </w:tc>
        <w:tc>
          <w:tcPr>
            <w:tcW w:w="1383" w:type="dxa"/>
            <w:tcBorders>
              <w:top w:val="single" w:color="auto" w:sz="6" w:space="0"/>
              <w:left w:val="single" w:color="auto" w:sz="6" w:space="0"/>
              <w:bottom w:val="single" w:color="auto" w:sz="6" w:space="0"/>
              <w:right w:val="single" w:color="auto" w:sz="6" w:space="0"/>
            </w:tcBorders>
            <w:vAlign w:val="center"/>
          </w:tcPr>
          <w:p w14:paraId="192A61B4">
            <w:pPr>
              <w:jc w:val="center"/>
            </w:pPr>
            <w:r>
              <w:rPr>
                <w:rFonts w:hint="eastAsia"/>
              </w:rPr>
              <w:t>保护接地</w:t>
            </w:r>
          </w:p>
        </w:tc>
        <w:tc>
          <w:tcPr>
            <w:tcW w:w="1383" w:type="dxa"/>
            <w:gridSpan w:val="2"/>
            <w:tcBorders>
              <w:top w:val="single" w:color="auto" w:sz="6" w:space="0"/>
              <w:left w:val="single" w:color="auto" w:sz="6" w:space="0"/>
              <w:bottom w:val="single" w:color="auto" w:sz="6" w:space="0"/>
              <w:right w:val="single" w:color="auto" w:sz="6" w:space="0"/>
            </w:tcBorders>
            <w:vAlign w:val="center"/>
          </w:tcPr>
          <w:p w14:paraId="09F2E7B2">
            <w:pPr>
              <w:jc w:val="center"/>
            </w:pPr>
            <w:r>
              <w:rPr>
                <w:rFonts w:hint="eastAsia"/>
              </w:rPr>
              <w:t>防雷接地</w:t>
            </w:r>
          </w:p>
        </w:tc>
        <w:tc>
          <w:tcPr>
            <w:tcW w:w="1383" w:type="dxa"/>
            <w:tcBorders>
              <w:top w:val="single" w:color="auto" w:sz="6" w:space="0"/>
              <w:left w:val="single" w:color="auto" w:sz="6" w:space="0"/>
              <w:bottom w:val="single" w:color="auto" w:sz="6" w:space="0"/>
              <w:right w:val="single" w:color="auto" w:sz="6" w:space="0"/>
            </w:tcBorders>
            <w:vAlign w:val="center"/>
          </w:tcPr>
          <w:p w14:paraId="46AF5F12">
            <w:pPr>
              <w:jc w:val="center"/>
            </w:pPr>
            <w:r>
              <w:rPr>
                <w:u w:val="single"/>
              </w:rPr>
              <w:t xml:space="preserve">      </w:t>
            </w:r>
            <w:r>
              <w:rPr>
                <w:rFonts w:hint="eastAsia"/>
              </w:rPr>
              <w:t>接地</w:t>
            </w:r>
          </w:p>
        </w:tc>
        <w:tc>
          <w:tcPr>
            <w:tcW w:w="1737" w:type="dxa"/>
            <w:gridSpan w:val="3"/>
            <w:tcBorders>
              <w:top w:val="single" w:color="auto" w:sz="6" w:space="0"/>
              <w:left w:val="single" w:color="auto" w:sz="6" w:space="0"/>
              <w:bottom w:val="single" w:color="auto" w:sz="6" w:space="0"/>
              <w:right w:val="single" w:color="auto" w:sz="6" w:space="0"/>
            </w:tcBorders>
            <w:vAlign w:val="center"/>
          </w:tcPr>
          <w:p w14:paraId="50DF1359">
            <w:pPr>
              <w:jc w:val="center"/>
            </w:pPr>
            <w:r>
              <w:rPr>
                <w:u w:val="single"/>
              </w:rPr>
              <w:t xml:space="preserve">      </w:t>
            </w:r>
            <w:r>
              <w:rPr>
                <w:rFonts w:hint="eastAsia"/>
              </w:rPr>
              <w:t>接地</w:t>
            </w:r>
          </w:p>
        </w:tc>
      </w:tr>
      <w:tr w14:paraId="108845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trHeight w:val="392" w:hRule="atLeast"/>
          <w:jc w:val="center"/>
        </w:trPr>
        <w:tc>
          <w:tcPr>
            <w:tcW w:w="2068" w:type="dxa"/>
            <w:tcBorders>
              <w:top w:val="single" w:color="auto" w:sz="6" w:space="0"/>
              <w:left w:val="single" w:color="auto" w:sz="6" w:space="0"/>
              <w:bottom w:val="single" w:color="auto" w:sz="6" w:space="0"/>
              <w:right w:val="single" w:color="auto" w:sz="6" w:space="0"/>
            </w:tcBorders>
            <w:vAlign w:val="center"/>
          </w:tcPr>
          <w:p w14:paraId="3645293D">
            <w:pPr>
              <w:jc w:val="center"/>
            </w:pPr>
          </w:p>
        </w:tc>
        <w:tc>
          <w:tcPr>
            <w:tcW w:w="1382" w:type="dxa"/>
            <w:tcBorders>
              <w:top w:val="single" w:color="auto" w:sz="6" w:space="0"/>
              <w:left w:val="single" w:color="auto" w:sz="6" w:space="0"/>
              <w:bottom w:val="single" w:color="auto" w:sz="6" w:space="0"/>
              <w:right w:val="single" w:color="auto" w:sz="6" w:space="0"/>
            </w:tcBorders>
            <w:vAlign w:val="center"/>
          </w:tcPr>
          <w:p w14:paraId="164BEB3F">
            <w:pPr>
              <w:jc w:val="center"/>
            </w:pPr>
          </w:p>
        </w:tc>
        <w:tc>
          <w:tcPr>
            <w:tcW w:w="1383" w:type="dxa"/>
            <w:tcBorders>
              <w:top w:val="single" w:color="auto" w:sz="6" w:space="0"/>
              <w:left w:val="single" w:color="auto" w:sz="6" w:space="0"/>
              <w:bottom w:val="single" w:color="auto" w:sz="6" w:space="0"/>
              <w:right w:val="single" w:color="auto" w:sz="6" w:space="0"/>
            </w:tcBorders>
            <w:vAlign w:val="center"/>
          </w:tcPr>
          <w:p w14:paraId="798C7A71">
            <w:pPr>
              <w:jc w:val="center"/>
            </w:pPr>
          </w:p>
        </w:tc>
        <w:tc>
          <w:tcPr>
            <w:tcW w:w="1383" w:type="dxa"/>
            <w:gridSpan w:val="2"/>
            <w:tcBorders>
              <w:top w:val="single" w:color="auto" w:sz="6" w:space="0"/>
              <w:left w:val="single" w:color="auto" w:sz="6" w:space="0"/>
              <w:bottom w:val="single" w:color="auto" w:sz="6" w:space="0"/>
              <w:right w:val="single" w:color="auto" w:sz="6" w:space="0"/>
            </w:tcBorders>
            <w:vAlign w:val="center"/>
          </w:tcPr>
          <w:p w14:paraId="1D4247D9">
            <w:pPr>
              <w:jc w:val="center"/>
            </w:pPr>
          </w:p>
        </w:tc>
        <w:tc>
          <w:tcPr>
            <w:tcW w:w="1383" w:type="dxa"/>
            <w:tcBorders>
              <w:top w:val="single" w:color="auto" w:sz="6" w:space="0"/>
              <w:left w:val="single" w:color="auto" w:sz="6" w:space="0"/>
              <w:bottom w:val="single" w:color="auto" w:sz="6" w:space="0"/>
              <w:right w:val="single" w:color="auto" w:sz="6" w:space="0"/>
            </w:tcBorders>
            <w:vAlign w:val="center"/>
          </w:tcPr>
          <w:p w14:paraId="12CB20FC">
            <w:pPr>
              <w:jc w:val="center"/>
            </w:pPr>
          </w:p>
        </w:tc>
        <w:tc>
          <w:tcPr>
            <w:tcW w:w="1737" w:type="dxa"/>
            <w:gridSpan w:val="3"/>
            <w:tcBorders>
              <w:top w:val="single" w:color="auto" w:sz="6" w:space="0"/>
              <w:left w:val="single" w:color="auto" w:sz="6" w:space="0"/>
              <w:bottom w:val="single" w:color="auto" w:sz="6" w:space="0"/>
              <w:right w:val="single" w:color="auto" w:sz="6" w:space="0"/>
            </w:tcBorders>
            <w:vAlign w:val="center"/>
          </w:tcPr>
          <w:p w14:paraId="15BD0C29">
            <w:pPr>
              <w:jc w:val="center"/>
            </w:pPr>
          </w:p>
        </w:tc>
      </w:tr>
      <w:tr w14:paraId="13DB26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trHeight w:val="392" w:hRule="atLeast"/>
          <w:jc w:val="center"/>
        </w:trPr>
        <w:tc>
          <w:tcPr>
            <w:tcW w:w="2068" w:type="dxa"/>
            <w:tcBorders>
              <w:top w:val="single" w:color="auto" w:sz="6" w:space="0"/>
              <w:left w:val="single" w:color="auto" w:sz="6" w:space="0"/>
              <w:bottom w:val="single" w:color="auto" w:sz="6" w:space="0"/>
              <w:right w:val="single" w:color="auto" w:sz="6" w:space="0"/>
            </w:tcBorders>
            <w:vAlign w:val="center"/>
          </w:tcPr>
          <w:p w14:paraId="56E31470">
            <w:pPr>
              <w:jc w:val="center"/>
            </w:pPr>
          </w:p>
        </w:tc>
        <w:tc>
          <w:tcPr>
            <w:tcW w:w="1382" w:type="dxa"/>
            <w:tcBorders>
              <w:top w:val="single" w:color="auto" w:sz="6" w:space="0"/>
              <w:left w:val="single" w:color="auto" w:sz="6" w:space="0"/>
              <w:bottom w:val="single" w:color="auto" w:sz="6" w:space="0"/>
              <w:right w:val="single" w:color="auto" w:sz="6" w:space="0"/>
            </w:tcBorders>
            <w:vAlign w:val="center"/>
          </w:tcPr>
          <w:p w14:paraId="6093F151">
            <w:pPr>
              <w:jc w:val="center"/>
            </w:pPr>
          </w:p>
        </w:tc>
        <w:tc>
          <w:tcPr>
            <w:tcW w:w="1383" w:type="dxa"/>
            <w:tcBorders>
              <w:top w:val="single" w:color="auto" w:sz="6" w:space="0"/>
              <w:left w:val="single" w:color="auto" w:sz="6" w:space="0"/>
              <w:bottom w:val="single" w:color="auto" w:sz="6" w:space="0"/>
              <w:right w:val="single" w:color="auto" w:sz="6" w:space="0"/>
            </w:tcBorders>
            <w:vAlign w:val="center"/>
          </w:tcPr>
          <w:p w14:paraId="269D8818">
            <w:pPr>
              <w:jc w:val="center"/>
            </w:pPr>
          </w:p>
        </w:tc>
        <w:tc>
          <w:tcPr>
            <w:tcW w:w="1383" w:type="dxa"/>
            <w:gridSpan w:val="2"/>
            <w:tcBorders>
              <w:top w:val="single" w:color="auto" w:sz="6" w:space="0"/>
              <w:left w:val="single" w:color="auto" w:sz="6" w:space="0"/>
              <w:bottom w:val="single" w:color="auto" w:sz="6" w:space="0"/>
              <w:right w:val="single" w:color="auto" w:sz="6" w:space="0"/>
            </w:tcBorders>
            <w:vAlign w:val="center"/>
          </w:tcPr>
          <w:p w14:paraId="047AC821">
            <w:pPr>
              <w:jc w:val="center"/>
            </w:pPr>
          </w:p>
        </w:tc>
        <w:tc>
          <w:tcPr>
            <w:tcW w:w="1383" w:type="dxa"/>
            <w:tcBorders>
              <w:top w:val="single" w:color="auto" w:sz="6" w:space="0"/>
              <w:left w:val="single" w:color="auto" w:sz="6" w:space="0"/>
              <w:bottom w:val="single" w:color="auto" w:sz="6" w:space="0"/>
              <w:right w:val="single" w:color="auto" w:sz="6" w:space="0"/>
            </w:tcBorders>
            <w:vAlign w:val="center"/>
          </w:tcPr>
          <w:p w14:paraId="755C516F">
            <w:pPr>
              <w:jc w:val="center"/>
            </w:pPr>
          </w:p>
        </w:tc>
        <w:tc>
          <w:tcPr>
            <w:tcW w:w="1737" w:type="dxa"/>
            <w:gridSpan w:val="3"/>
            <w:tcBorders>
              <w:top w:val="single" w:color="auto" w:sz="6" w:space="0"/>
              <w:left w:val="single" w:color="auto" w:sz="6" w:space="0"/>
              <w:bottom w:val="single" w:color="auto" w:sz="6" w:space="0"/>
              <w:right w:val="single" w:color="auto" w:sz="6" w:space="0"/>
            </w:tcBorders>
            <w:vAlign w:val="center"/>
          </w:tcPr>
          <w:p w14:paraId="71ACF90C">
            <w:pPr>
              <w:jc w:val="center"/>
            </w:pPr>
          </w:p>
        </w:tc>
      </w:tr>
      <w:tr w14:paraId="6C7DE2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trHeight w:val="392" w:hRule="atLeast"/>
          <w:jc w:val="center"/>
        </w:trPr>
        <w:tc>
          <w:tcPr>
            <w:tcW w:w="2068" w:type="dxa"/>
            <w:tcBorders>
              <w:top w:val="single" w:color="auto" w:sz="6" w:space="0"/>
              <w:left w:val="single" w:color="auto" w:sz="6" w:space="0"/>
              <w:bottom w:val="single" w:color="auto" w:sz="6" w:space="0"/>
              <w:right w:val="single" w:color="auto" w:sz="6" w:space="0"/>
            </w:tcBorders>
            <w:vAlign w:val="center"/>
          </w:tcPr>
          <w:p w14:paraId="5964319E">
            <w:pPr>
              <w:jc w:val="center"/>
            </w:pPr>
          </w:p>
        </w:tc>
        <w:tc>
          <w:tcPr>
            <w:tcW w:w="1382" w:type="dxa"/>
            <w:tcBorders>
              <w:top w:val="single" w:color="auto" w:sz="6" w:space="0"/>
              <w:left w:val="single" w:color="auto" w:sz="6" w:space="0"/>
              <w:bottom w:val="single" w:color="auto" w:sz="6" w:space="0"/>
              <w:right w:val="single" w:color="auto" w:sz="6" w:space="0"/>
            </w:tcBorders>
            <w:vAlign w:val="center"/>
          </w:tcPr>
          <w:p w14:paraId="73D04E2A">
            <w:pPr>
              <w:jc w:val="center"/>
            </w:pPr>
          </w:p>
        </w:tc>
        <w:tc>
          <w:tcPr>
            <w:tcW w:w="1383" w:type="dxa"/>
            <w:tcBorders>
              <w:top w:val="single" w:color="auto" w:sz="6" w:space="0"/>
              <w:left w:val="single" w:color="auto" w:sz="6" w:space="0"/>
              <w:bottom w:val="single" w:color="auto" w:sz="6" w:space="0"/>
              <w:right w:val="single" w:color="auto" w:sz="6" w:space="0"/>
            </w:tcBorders>
            <w:vAlign w:val="center"/>
          </w:tcPr>
          <w:p w14:paraId="1953A44F">
            <w:pPr>
              <w:jc w:val="center"/>
            </w:pPr>
          </w:p>
        </w:tc>
        <w:tc>
          <w:tcPr>
            <w:tcW w:w="1383" w:type="dxa"/>
            <w:gridSpan w:val="2"/>
            <w:tcBorders>
              <w:top w:val="single" w:color="auto" w:sz="6" w:space="0"/>
              <w:left w:val="single" w:color="auto" w:sz="6" w:space="0"/>
              <w:bottom w:val="single" w:color="auto" w:sz="6" w:space="0"/>
              <w:right w:val="single" w:color="auto" w:sz="6" w:space="0"/>
            </w:tcBorders>
            <w:vAlign w:val="center"/>
          </w:tcPr>
          <w:p w14:paraId="38D338B3">
            <w:pPr>
              <w:jc w:val="center"/>
            </w:pPr>
          </w:p>
        </w:tc>
        <w:tc>
          <w:tcPr>
            <w:tcW w:w="1383" w:type="dxa"/>
            <w:tcBorders>
              <w:top w:val="single" w:color="auto" w:sz="6" w:space="0"/>
              <w:left w:val="single" w:color="auto" w:sz="6" w:space="0"/>
              <w:bottom w:val="single" w:color="auto" w:sz="6" w:space="0"/>
              <w:right w:val="single" w:color="auto" w:sz="6" w:space="0"/>
            </w:tcBorders>
            <w:vAlign w:val="center"/>
          </w:tcPr>
          <w:p w14:paraId="1A33083E">
            <w:pPr>
              <w:jc w:val="center"/>
            </w:pPr>
          </w:p>
        </w:tc>
        <w:tc>
          <w:tcPr>
            <w:tcW w:w="1737" w:type="dxa"/>
            <w:gridSpan w:val="3"/>
            <w:tcBorders>
              <w:top w:val="single" w:color="auto" w:sz="6" w:space="0"/>
              <w:left w:val="single" w:color="auto" w:sz="6" w:space="0"/>
              <w:bottom w:val="single" w:color="auto" w:sz="6" w:space="0"/>
              <w:right w:val="single" w:color="auto" w:sz="6" w:space="0"/>
            </w:tcBorders>
            <w:vAlign w:val="center"/>
          </w:tcPr>
          <w:p w14:paraId="32CFE480">
            <w:pPr>
              <w:jc w:val="center"/>
            </w:pPr>
          </w:p>
        </w:tc>
      </w:tr>
      <w:tr w14:paraId="124523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2" w:hRule="atLeast"/>
          <w:jc w:val="center"/>
        </w:trPr>
        <w:tc>
          <w:tcPr>
            <w:tcW w:w="2068" w:type="dxa"/>
            <w:tcBorders>
              <w:top w:val="single" w:color="auto" w:sz="6" w:space="0"/>
              <w:left w:val="single" w:color="auto" w:sz="6" w:space="0"/>
              <w:bottom w:val="single" w:color="auto" w:sz="6" w:space="0"/>
              <w:right w:val="single" w:color="auto" w:sz="6" w:space="0"/>
            </w:tcBorders>
            <w:vAlign w:val="center"/>
          </w:tcPr>
          <w:p w14:paraId="345DDD10">
            <w:pPr>
              <w:jc w:val="center"/>
            </w:pPr>
          </w:p>
        </w:tc>
        <w:tc>
          <w:tcPr>
            <w:tcW w:w="1382" w:type="dxa"/>
            <w:tcBorders>
              <w:top w:val="single" w:color="auto" w:sz="6" w:space="0"/>
              <w:left w:val="single" w:color="auto" w:sz="6" w:space="0"/>
              <w:bottom w:val="single" w:color="auto" w:sz="6" w:space="0"/>
              <w:right w:val="single" w:color="auto" w:sz="6" w:space="0"/>
            </w:tcBorders>
            <w:vAlign w:val="center"/>
          </w:tcPr>
          <w:p w14:paraId="0FF6759F">
            <w:pPr>
              <w:jc w:val="center"/>
            </w:pPr>
          </w:p>
        </w:tc>
        <w:tc>
          <w:tcPr>
            <w:tcW w:w="1383" w:type="dxa"/>
            <w:tcBorders>
              <w:top w:val="single" w:color="auto" w:sz="6" w:space="0"/>
              <w:left w:val="single" w:color="auto" w:sz="6" w:space="0"/>
              <w:bottom w:val="single" w:color="auto" w:sz="6" w:space="0"/>
              <w:right w:val="single" w:color="auto" w:sz="6" w:space="0"/>
            </w:tcBorders>
            <w:vAlign w:val="center"/>
          </w:tcPr>
          <w:p w14:paraId="7D0B212F">
            <w:pPr>
              <w:jc w:val="center"/>
            </w:pPr>
          </w:p>
        </w:tc>
        <w:tc>
          <w:tcPr>
            <w:tcW w:w="1383" w:type="dxa"/>
            <w:gridSpan w:val="2"/>
            <w:tcBorders>
              <w:top w:val="single" w:color="auto" w:sz="6" w:space="0"/>
              <w:left w:val="single" w:color="auto" w:sz="6" w:space="0"/>
              <w:bottom w:val="single" w:color="auto" w:sz="6" w:space="0"/>
              <w:right w:val="single" w:color="auto" w:sz="6" w:space="0"/>
            </w:tcBorders>
            <w:vAlign w:val="center"/>
          </w:tcPr>
          <w:p w14:paraId="2F0512C5">
            <w:pPr>
              <w:jc w:val="center"/>
            </w:pPr>
          </w:p>
        </w:tc>
        <w:tc>
          <w:tcPr>
            <w:tcW w:w="1383" w:type="dxa"/>
            <w:tcBorders>
              <w:top w:val="single" w:color="auto" w:sz="6" w:space="0"/>
              <w:left w:val="single" w:color="auto" w:sz="6" w:space="0"/>
              <w:bottom w:val="single" w:color="auto" w:sz="6" w:space="0"/>
              <w:right w:val="single" w:color="auto" w:sz="6" w:space="0"/>
            </w:tcBorders>
            <w:vAlign w:val="center"/>
          </w:tcPr>
          <w:p w14:paraId="70ADCB6E">
            <w:pPr>
              <w:jc w:val="center"/>
            </w:pPr>
          </w:p>
        </w:tc>
        <w:tc>
          <w:tcPr>
            <w:tcW w:w="1737" w:type="dxa"/>
            <w:gridSpan w:val="3"/>
            <w:tcBorders>
              <w:top w:val="single" w:color="auto" w:sz="6" w:space="0"/>
              <w:left w:val="single" w:color="auto" w:sz="6" w:space="0"/>
              <w:bottom w:val="single" w:color="auto" w:sz="6" w:space="0"/>
              <w:right w:val="single" w:color="auto" w:sz="6" w:space="0"/>
            </w:tcBorders>
            <w:vAlign w:val="center"/>
          </w:tcPr>
          <w:p w14:paraId="5662402F">
            <w:pPr>
              <w:jc w:val="center"/>
            </w:pPr>
          </w:p>
        </w:tc>
      </w:tr>
      <w:tr w14:paraId="3A62D7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trHeight w:val="392" w:hRule="atLeast"/>
          <w:jc w:val="center"/>
        </w:trPr>
        <w:tc>
          <w:tcPr>
            <w:tcW w:w="2068" w:type="dxa"/>
            <w:tcBorders>
              <w:top w:val="single" w:color="auto" w:sz="6" w:space="0"/>
              <w:left w:val="single" w:color="auto" w:sz="6" w:space="0"/>
              <w:bottom w:val="single" w:color="auto" w:sz="6" w:space="0"/>
              <w:right w:val="single" w:color="auto" w:sz="6" w:space="0"/>
            </w:tcBorders>
            <w:vAlign w:val="center"/>
          </w:tcPr>
          <w:p w14:paraId="016C7945">
            <w:pPr>
              <w:jc w:val="center"/>
            </w:pPr>
          </w:p>
        </w:tc>
        <w:tc>
          <w:tcPr>
            <w:tcW w:w="1382" w:type="dxa"/>
            <w:tcBorders>
              <w:top w:val="single" w:color="auto" w:sz="6" w:space="0"/>
              <w:left w:val="single" w:color="auto" w:sz="6" w:space="0"/>
              <w:bottom w:val="single" w:color="auto" w:sz="6" w:space="0"/>
              <w:right w:val="single" w:color="auto" w:sz="6" w:space="0"/>
            </w:tcBorders>
            <w:vAlign w:val="center"/>
          </w:tcPr>
          <w:p w14:paraId="397504CA">
            <w:pPr>
              <w:jc w:val="center"/>
            </w:pPr>
          </w:p>
        </w:tc>
        <w:tc>
          <w:tcPr>
            <w:tcW w:w="1383" w:type="dxa"/>
            <w:tcBorders>
              <w:top w:val="single" w:color="auto" w:sz="6" w:space="0"/>
              <w:left w:val="single" w:color="auto" w:sz="6" w:space="0"/>
              <w:bottom w:val="single" w:color="auto" w:sz="6" w:space="0"/>
              <w:right w:val="single" w:color="auto" w:sz="6" w:space="0"/>
            </w:tcBorders>
            <w:vAlign w:val="center"/>
          </w:tcPr>
          <w:p w14:paraId="5945801D">
            <w:pPr>
              <w:jc w:val="center"/>
            </w:pPr>
          </w:p>
        </w:tc>
        <w:tc>
          <w:tcPr>
            <w:tcW w:w="1383" w:type="dxa"/>
            <w:gridSpan w:val="2"/>
            <w:tcBorders>
              <w:top w:val="single" w:color="auto" w:sz="6" w:space="0"/>
              <w:left w:val="single" w:color="auto" w:sz="6" w:space="0"/>
              <w:bottom w:val="single" w:color="auto" w:sz="6" w:space="0"/>
              <w:right w:val="single" w:color="auto" w:sz="6" w:space="0"/>
            </w:tcBorders>
            <w:vAlign w:val="center"/>
          </w:tcPr>
          <w:p w14:paraId="5A50CFD2">
            <w:pPr>
              <w:jc w:val="center"/>
            </w:pPr>
          </w:p>
        </w:tc>
        <w:tc>
          <w:tcPr>
            <w:tcW w:w="1383" w:type="dxa"/>
            <w:tcBorders>
              <w:top w:val="single" w:color="auto" w:sz="6" w:space="0"/>
              <w:left w:val="single" w:color="auto" w:sz="6" w:space="0"/>
              <w:bottom w:val="single" w:color="auto" w:sz="6" w:space="0"/>
              <w:right w:val="single" w:color="auto" w:sz="6" w:space="0"/>
            </w:tcBorders>
            <w:vAlign w:val="center"/>
          </w:tcPr>
          <w:p w14:paraId="69418BB8">
            <w:pPr>
              <w:jc w:val="center"/>
            </w:pPr>
          </w:p>
        </w:tc>
        <w:tc>
          <w:tcPr>
            <w:tcW w:w="1737" w:type="dxa"/>
            <w:gridSpan w:val="3"/>
            <w:tcBorders>
              <w:top w:val="single" w:color="auto" w:sz="6" w:space="0"/>
              <w:left w:val="single" w:color="auto" w:sz="6" w:space="0"/>
              <w:bottom w:val="single" w:color="auto" w:sz="6" w:space="0"/>
              <w:right w:val="single" w:color="auto" w:sz="6" w:space="0"/>
            </w:tcBorders>
            <w:vAlign w:val="center"/>
          </w:tcPr>
          <w:p w14:paraId="129A0948">
            <w:pPr>
              <w:jc w:val="center"/>
            </w:pPr>
          </w:p>
        </w:tc>
      </w:tr>
      <w:tr w14:paraId="41D41E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trHeight w:val="392" w:hRule="atLeast"/>
          <w:jc w:val="center"/>
        </w:trPr>
        <w:tc>
          <w:tcPr>
            <w:tcW w:w="2068" w:type="dxa"/>
            <w:tcBorders>
              <w:top w:val="single" w:color="auto" w:sz="6" w:space="0"/>
              <w:left w:val="single" w:color="auto" w:sz="6" w:space="0"/>
              <w:bottom w:val="single" w:color="auto" w:sz="6" w:space="0"/>
              <w:right w:val="single" w:color="auto" w:sz="6" w:space="0"/>
            </w:tcBorders>
            <w:vAlign w:val="center"/>
          </w:tcPr>
          <w:p w14:paraId="7CE52F16">
            <w:pPr>
              <w:jc w:val="center"/>
            </w:pPr>
          </w:p>
        </w:tc>
        <w:tc>
          <w:tcPr>
            <w:tcW w:w="1382" w:type="dxa"/>
            <w:tcBorders>
              <w:top w:val="single" w:color="auto" w:sz="6" w:space="0"/>
              <w:left w:val="single" w:color="auto" w:sz="6" w:space="0"/>
              <w:bottom w:val="single" w:color="auto" w:sz="6" w:space="0"/>
              <w:right w:val="single" w:color="auto" w:sz="6" w:space="0"/>
            </w:tcBorders>
            <w:vAlign w:val="center"/>
          </w:tcPr>
          <w:p w14:paraId="7F4C4E1B">
            <w:pPr>
              <w:jc w:val="center"/>
            </w:pPr>
          </w:p>
        </w:tc>
        <w:tc>
          <w:tcPr>
            <w:tcW w:w="1383" w:type="dxa"/>
            <w:tcBorders>
              <w:top w:val="single" w:color="auto" w:sz="6" w:space="0"/>
              <w:left w:val="single" w:color="auto" w:sz="6" w:space="0"/>
              <w:bottom w:val="single" w:color="auto" w:sz="6" w:space="0"/>
              <w:right w:val="single" w:color="auto" w:sz="6" w:space="0"/>
            </w:tcBorders>
            <w:vAlign w:val="center"/>
          </w:tcPr>
          <w:p w14:paraId="2D5D7066">
            <w:pPr>
              <w:jc w:val="center"/>
            </w:pPr>
          </w:p>
        </w:tc>
        <w:tc>
          <w:tcPr>
            <w:tcW w:w="1383" w:type="dxa"/>
            <w:gridSpan w:val="2"/>
            <w:tcBorders>
              <w:top w:val="single" w:color="auto" w:sz="6" w:space="0"/>
              <w:left w:val="single" w:color="auto" w:sz="6" w:space="0"/>
              <w:bottom w:val="single" w:color="auto" w:sz="6" w:space="0"/>
              <w:right w:val="single" w:color="auto" w:sz="6" w:space="0"/>
            </w:tcBorders>
            <w:vAlign w:val="center"/>
          </w:tcPr>
          <w:p w14:paraId="74ADC601">
            <w:pPr>
              <w:jc w:val="center"/>
            </w:pPr>
          </w:p>
        </w:tc>
        <w:tc>
          <w:tcPr>
            <w:tcW w:w="1383" w:type="dxa"/>
            <w:tcBorders>
              <w:top w:val="single" w:color="auto" w:sz="6" w:space="0"/>
              <w:left w:val="single" w:color="auto" w:sz="6" w:space="0"/>
              <w:bottom w:val="single" w:color="auto" w:sz="6" w:space="0"/>
              <w:right w:val="single" w:color="auto" w:sz="6" w:space="0"/>
            </w:tcBorders>
            <w:vAlign w:val="center"/>
          </w:tcPr>
          <w:p w14:paraId="4992031B">
            <w:pPr>
              <w:jc w:val="center"/>
            </w:pPr>
          </w:p>
        </w:tc>
        <w:tc>
          <w:tcPr>
            <w:tcW w:w="1737" w:type="dxa"/>
            <w:gridSpan w:val="3"/>
            <w:tcBorders>
              <w:top w:val="single" w:color="auto" w:sz="6" w:space="0"/>
              <w:left w:val="single" w:color="auto" w:sz="6" w:space="0"/>
              <w:bottom w:val="single" w:color="auto" w:sz="6" w:space="0"/>
              <w:right w:val="single" w:color="auto" w:sz="6" w:space="0"/>
            </w:tcBorders>
            <w:vAlign w:val="center"/>
          </w:tcPr>
          <w:p w14:paraId="018E0EA2">
            <w:pPr>
              <w:jc w:val="center"/>
            </w:pPr>
          </w:p>
        </w:tc>
      </w:tr>
      <w:tr w14:paraId="35F253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trHeight w:val="392" w:hRule="atLeast"/>
          <w:jc w:val="center"/>
        </w:trPr>
        <w:tc>
          <w:tcPr>
            <w:tcW w:w="2068" w:type="dxa"/>
            <w:tcBorders>
              <w:top w:val="single" w:color="auto" w:sz="6" w:space="0"/>
              <w:left w:val="single" w:color="auto" w:sz="6" w:space="0"/>
              <w:bottom w:val="single" w:color="auto" w:sz="6" w:space="0"/>
              <w:right w:val="single" w:color="auto" w:sz="6" w:space="0"/>
            </w:tcBorders>
            <w:vAlign w:val="center"/>
          </w:tcPr>
          <w:p w14:paraId="01B3BEF9">
            <w:pPr>
              <w:jc w:val="center"/>
            </w:pPr>
          </w:p>
        </w:tc>
        <w:tc>
          <w:tcPr>
            <w:tcW w:w="1382" w:type="dxa"/>
            <w:tcBorders>
              <w:top w:val="single" w:color="auto" w:sz="6" w:space="0"/>
              <w:left w:val="single" w:color="auto" w:sz="6" w:space="0"/>
              <w:bottom w:val="single" w:color="auto" w:sz="6" w:space="0"/>
              <w:right w:val="single" w:color="auto" w:sz="6" w:space="0"/>
            </w:tcBorders>
            <w:vAlign w:val="center"/>
          </w:tcPr>
          <w:p w14:paraId="67B216F8">
            <w:pPr>
              <w:jc w:val="center"/>
            </w:pPr>
          </w:p>
        </w:tc>
        <w:tc>
          <w:tcPr>
            <w:tcW w:w="1383" w:type="dxa"/>
            <w:tcBorders>
              <w:top w:val="single" w:color="auto" w:sz="6" w:space="0"/>
              <w:left w:val="single" w:color="auto" w:sz="6" w:space="0"/>
              <w:bottom w:val="single" w:color="auto" w:sz="6" w:space="0"/>
              <w:right w:val="single" w:color="auto" w:sz="6" w:space="0"/>
            </w:tcBorders>
            <w:vAlign w:val="center"/>
          </w:tcPr>
          <w:p w14:paraId="362810FF">
            <w:pPr>
              <w:jc w:val="center"/>
            </w:pPr>
          </w:p>
        </w:tc>
        <w:tc>
          <w:tcPr>
            <w:tcW w:w="1383" w:type="dxa"/>
            <w:gridSpan w:val="2"/>
            <w:tcBorders>
              <w:top w:val="single" w:color="auto" w:sz="6" w:space="0"/>
              <w:left w:val="single" w:color="auto" w:sz="6" w:space="0"/>
              <w:bottom w:val="single" w:color="auto" w:sz="6" w:space="0"/>
              <w:right w:val="single" w:color="auto" w:sz="6" w:space="0"/>
            </w:tcBorders>
            <w:vAlign w:val="center"/>
          </w:tcPr>
          <w:p w14:paraId="3A20DC81">
            <w:pPr>
              <w:jc w:val="center"/>
            </w:pPr>
          </w:p>
        </w:tc>
        <w:tc>
          <w:tcPr>
            <w:tcW w:w="1383" w:type="dxa"/>
            <w:tcBorders>
              <w:top w:val="single" w:color="auto" w:sz="6" w:space="0"/>
              <w:left w:val="single" w:color="auto" w:sz="6" w:space="0"/>
              <w:bottom w:val="single" w:color="auto" w:sz="6" w:space="0"/>
              <w:right w:val="single" w:color="auto" w:sz="6" w:space="0"/>
            </w:tcBorders>
            <w:vAlign w:val="center"/>
          </w:tcPr>
          <w:p w14:paraId="19B820D9">
            <w:pPr>
              <w:jc w:val="center"/>
            </w:pPr>
          </w:p>
        </w:tc>
        <w:tc>
          <w:tcPr>
            <w:tcW w:w="1737" w:type="dxa"/>
            <w:gridSpan w:val="3"/>
            <w:tcBorders>
              <w:top w:val="single" w:color="auto" w:sz="6" w:space="0"/>
              <w:left w:val="single" w:color="auto" w:sz="6" w:space="0"/>
              <w:bottom w:val="single" w:color="auto" w:sz="6" w:space="0"/>
              <w:right w:val="single" w:color="auto" w:sz="6" w:space="0"/>
            </w:tcBorders>
            <w:vAlign w:val="center"/>
          </w:tcPr>
          <w:p w14:paraId="47D0F275">
            <w:pPr>
              <w:jc w:val="center"/>
            </w:pPr>
          </w:p>
        </w:tc>
      </w:tr>
      <w:tr w14:paraId="384832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trHeight w:val="392" w:hRule="atLeast"/>
          <w:jc w:val="center"/>
        </w:trPr>
        <w:tc>
          <w:tcPr>
            <w:tcW w:w="2068" w:type="dxa"/>
            <w:tcBorders>
              <w:top w:val="single" w:color="auto" w:sz="6" w:space="0"/>
              <w:left w:val="single" w:color="auto" w:sz="6" w:space="0"/>
              <w:bottom w:val="single" w:color="auto" w:sz="6" w:space="0"/>
              <w:right w:val="single" w:color="auto" w:sz="6" w:space="0"/>
            </w:tcBorders>
            <w:vAlign w:val="center"/>
          </w:tcPr>
          <w:p w14:paraId="2C7011BE">
            <w:pPr>
              <w:jc w:val="center"/>
            </w:pPr>
          </w:p>
        </w:tc>
        <w:tc>
          <w:tcPr>
            <w:tcW w:w="1382" w:type="dxa"/>
            <w:tcBorders>
              <w:top w:val="single" w:color="auto" w:sz="6" w:space="0"/>
              <w:left w:val="single" w:color="auto" w:sz="6" w:space="0"/>
              <w:bottom w:val="single" w:color="auto" w:sz="6" w:space="0"/>
              <w:right w:val="single" w:color="auto" w:sz="6" w:space="0"/>
            </w:tcBorders>
            <w:vAlign w:val="center"/>
          </w:tcPr>
          <w:p w14:paraId="626583E8">
            <w:pPr>
              <w:jc w:val="center"/>
            </w:pPr>
          </w:p>
        </w:tc>
        <w:tc>
          <w:tcPr>
            <w:tcW w:w="1383" w:type="dxa"/>
            <w:tcBorders>
              <w:top w:val="single" w:color="auto" w:sz="6" w:space="0"/>
              <w:left w:val="single" w:color="auto" w:sz="6" w:space="0"/>
              <w:bottom w:val="single" w:color="auto" w:sz="6" w:space="0"/>
              <w:right w:val="single" w:color="auto" w:sz="6" w:space="0"/>
            </w:tcBorders>
            <w:vAlign w:val="center"/>
          </w:tcPr>
          <w:p w14:paraId="6B824BF9">
            <w:pPr>
              <w:jc w:val="center"/>
            </w:pPr>
          </w:p>
        </w:tc>
        <w:tc>
          <w:tcPr>
            <w:tcW w:w="1383" w:type="dxa"/>
            <w:gridSpan w:val="2"/>
            <w:tcBorders>
              <w:top w:val="single" w:color="auto" w:sz="6" w:space="0"/>
              <w:left w:val="single" w:color="auto" w:sz="6" w:space="0"/>
              <w:bottom w:val="single" w:color="auto" w:sz="6" w:space="0"/>
              <w:right w:val="single" w:color="auto" w:sz="6" w:space="0"/>
            </w:tcBorders>
            <w:vAlign w:val="center"/>
          </w:tcPr>
          <w:p w14:paraId="00A9707E">
            <w:pPr>
              <w:jc w:val="center"/>
            </w:pPr>
          </w:p>
        </w:tc>
        <w:tc>
          <w:tcPr>
            <w:tcW w:w="1383" w:type="dxa"/>
            <w:tcBorders>
              <w:top w:val="single" w:color="auto" w:sz="6" w:space="0"/>
              <w:left w:val="single" w:color="auto" w:sz="6" w:space="0"/>
              <w:bottom w:val="single" w:color="auto" w:sz="6" w:space="0"/>
              <w:right w:val="single" w:color="auto" w:sz="6" w:space="0"/>
            </w:tcBorders>
            <w:vAlign w:val="center"/>
          </w:tcPr>
          <w:p w14:paraId="7F4D4DF0">
            <w:pPr>
              <w:jc w:val="center"/>
            </w:pPr>
          </w:p>
        </w:tc>
        <w:tc>
          <w:tcPr>
            <w:tcW w:w="1737" w:type="dxa"/>
            <w:gridSpan w:val="3"/>
            <w:tcBorders>
              <w:top w:val="single" w:color="auto" w:sz="6" w:space="0"/>
              <w:left w:val="single" w:color="auto" w:sz="6" w:space="0"/>
              <w:bottom w:val="single" w:color="auto" w:sz="6" w:space="0"/>
              <w:right w:val="single" w:color="auto" w:sz="6" w:space="0"/>
            </w:tcBorders>
            <w:vAlign w:val="center"/>
          </w:tcPr>
          <w:p w14:paraId="53B3EAEC">
            <w:pPr>
              <w:jc w:val="center"/>
            </w:pPr>
          </w:p>
        </w:tc>
      </w:tr>
      <w:tr w14:paraId="48BDD2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trHeight w:val="392" w:hRule="atLeast"/>
          <w:jc w:val="center"/>
        </w:trPr>
        <w:tc>
          <w:tcPr>
            <w:tcW w:w="2068" w:type="dxa"/>
            <w:tcBorders>
              <w:top w:val="single" w:color="auto" w:sz="6" w:space="0"/>
              <w:left w:val="single" w:color="auto" w:sz="6" w:space="0"/>
              <w:bottom w:val="single" w:color="auto" w:sz="6" w:space="0"/>
              <w:right w:val="single" w:color="auto" w:sz="6" w:space="0"/>
            </w:tcBorders>
            <w:vAlign w:val="center"/>
          </w:tcPr>
          <w:p w14:paraId="44D89974">
            <w:pPr>
              <w:jc w:val="center"/>
            </w:pPr>
          </w:p>
        </w:tc>
        <w:tc>
          <w:tcPr>
            <w:tcW w:w="1382" w:type="dxa"/>
            <w:tcBorders>
              <w:top w:val="single" w:color="auto" w:sz="6" w:space="0"/>
              <w:left w:val="single" w:color="auto" w:sz="6" w:space="0"/>
              <w:bottom w:val="single" w:color="auto" w:sz="6" w:space="0"/>
              <w:right w:val="single" w:color="auto" w:sz="6" w:space="0"/>
            </w:tcBorders>
            <w:vAlign w:val="center"/>
          </w:tcPr>
          <w:p w14:paraId="4483E1EA">
            <w:pPr>
              <w:jc w:val="center"/>
            </w:pPr>
          </w:p>
        </w:tc>
        <w:tc>
          <w:tcPr>
            <w:tcW w:w="1383" w:type="dxa"/>
            <w:tcBorders>
              <w:top w:val="single" w:color="auto" w:sz="6" w:space="0"/>
              <w:left w:val="single" w:color="auto" w:sz="6" w:space="0"/>
              <w:bottom w:val="single" w:color="auto" w:sz="6" w:space="0"/>
              <w:right w:val="single" w:color="auto" w:sz="6" w:space="0"/>
            </w:tcBorders>
            <w:vAlign w:val="center"/>
          </w:tcPr>
          <w:p w14:paraId="127EA1A2">
            <w:pPr>
              <w:jc w:val="center"/>
            </w:pPr>
          </w:p>
        </w:tc>
        <w:tc>
          <w:tcPr>
            <w:tcW w:w="1383" w:type="dxa"/>
            <w:gridSpan w:val="2"/>
            <w:tcBorders>
              <w:top w:val="single" w:color="auto" w:sz="6" w:space="0"/>
              <w:left w:val="single" w:color="auto" w:sz="6" w:space="0"/>
              <w:bottom w:val="single" w:color="auto" w:sz="6" w:space="0"/>
              <w:right w:val="single" w:color="auto" w:sz="6" w:space="0"/>
            </w:tcBorders>
            <w:vAlign w:val="center"/>
          </w:tcPr>
          <w:p w14:paraId="1F0B6C3E">
            <w:pPr>
              <w:jc w:val="center"/>
            </w:pPr>
          </w:p>
        </w:tc>
        <w:tc>
          <w:tcPr>
            <w:tcW w:w="1383" w:type="dxa"/>
            <w:tcBorders>
              <w:top w:val="single" w:color="auto" w:sz="6" w:space="0"/>
              <w:left w:val="single" w:color="auto" w:sz="6" w:space="0"/>
              <w:bottom w:val="single" w:color="auto" w:sz="6" w:space="0"/>
              <w:right w:val="single" w:color="auto" w:sz="6" w:space="0"/>
            </w:tcBorders>
            <w:vAlign w:val="center"/>
          </w:tcPr>
          <w:p w14:paraId="14443655">
            <w:pPr>
              <w:jc w:val="center"/>
            </w:pPr>
          </w:p>
        </w:tc>
        <w:tc>
          <w:tcPr>
            <w:tcW w:w="1737" w:type="dxa"/>
            <w:gridSpan w:val="3"/>
            <w:tcBorders>
              <w:top w:val="single" w:color="auto" w:sz="6" w:space="0"/>
              <w:left w:val="single" w:color="auto" w:sz="6" w:space="0"/>
              <w:bottom w:val="single" w:color="auto" w:sz="6" w:space="0"/>
              <w:right w:val="single" w:color="auto" w:sz="6" w:space="0"/>
            </w:tcBorders>
            <w:vAlign w:val="center"/>
          </w:tcPr>
          <w:p w14:paraId="17E50A03">
            <w:pPr>
              <w:jc w:val="center"/>
            </w:pPr>
          </w:p>
        </w:tc>
      </w:tr>
      <w:tr w14:paraId="36CC83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trHeight w:val="392" w:hRule="atLeast"/>
          <w:jc w:val="center"/>
        </w:trPr>
        <w:tc>
          <w:tcPr>
            <w:tcW w:w="2068" w:type="dxa"/>
            <w:tcBorders>
              <w:top w:val="single" w:color="auto" w:sz="6" w:space="0"/>
              <w:left w:val="single" w:color="auto" w:sz="6" w:space="0"/>
              <w:bottom w:val="single" w:color="auto" w:sz="6" w:space="0"/>
              <w:right w:val="single" w:color="auto" w:sz="6" w:space="0"/>
            </w:tcBorders>
            <w:vAlign w:val="center"/>
          </w:tcPr>
          <w:p w14:paraId="353703AA">
            <w:pPr>
              <w:jc w:val="center"/>
            </w:pPr>
            <w:r>
              <w:rPr>
                <w:rFonts w:hint="eastAsia"/>
              </w:rPr>
              <w:t>标准规定</w:t>
            </w:r>
          </w:p>
        </w:tc>
        <w:tc>
          <w:tcPr>
            <w:tcW w:w="1382" w:type="dxa"/>
            <w:tcBorders>
              <w:top w:val="single" w:color="auto" w:sz="6" w:space="0"/>
              <w:left w:val="single" w:color="auto" w:sz="6" w:space="0"/>
              <w:bottom w:val="single" w:color="auto" w:sz="6" w:space="0"/>
              <w:right w:val="single" w:color="auto" w:sz="6" w:space="0"/>
            </w:tcBorders>
            <w:vAlign w:val="center"/>
          </w:tcPr>
          <w:p w14:paraId="1A946F9F">
            <w:pPr>
              <w:jc w:val="center"/>
            </w:pPr>
            <w:r>
              <w:rPr>
                <w:rFonts w:hint="eastAsia"/>
              </w:rPr>
              <w:t xml:space="preserve">≤  </w:t>
            </w:r>
            <w:r>
              <w:t xml:space="preserve">  Ω</w:t>
            </w:r>
          </w:p>
        </w:tc>
        <w:tc>
          <w:tcPr>
            <w:tcW w:w="1383" w:type="dxa"/>
            <w:tcBorders>
              <w:top w:val="single" w:color="auto" w:sz="6" w:space="0"/>
              <w:left w:val="single" w:color="auto" w:sz="6" w:space="0"/>
              <w:bottom w:val="single" w:color="auto" w:sz="6" w:space="0"/>
              <w:right w:val="single" w:color="auto" w:sz="6" w:space="0"/>
            </w:tcBorders>
            <w:vAlign w:val="center"/>
          </w:tcPr>
          <w:p w14:paraId="4B8AD897">
            <w:pPr>
              <w:jc w:val="center"/>
            </w:pPr>
            <w:r>
              <w:rPr>
                <w:rFonts w:hint="eastAsia"/>
              </w:rPr>
              <w:t>≤    Ω</w:t>
            </w:r>
          </w:p>
        </w:tc>
        <w:tc>
          <w:tcPr>
            <w:tcW w:w="1383" w:type="dxa"/>
            <w:gridSpan w:val="2"/>
            <w:tcBorders>
              <w:top w:val="single" w:color="auto" w:sz="6" w:space="0"/>
              <w:left w:val="single" w:color="auto" w:sz="6" w:space="0"/>
              <w:bottom w:val="single" w:color="auto" w:sz="6" w:space="0"/>
              <w:right w:val="single" w:color="auto" w:sz="6" w:space="0"/>
            </w:tcBorders>
            <w:vAlign w:val="center"/>
          </w:tcPr>
          <w:p w14:paraId="28A3EAAE">
            <w:pPr>
              <w:jc w:val="center"/>
            </w:pPr>
            <w:r>
              <w:rPr>
                <w:rFonts w:hint="eastAsia"/>
              </w:rPr>
              <w:t xml:space="preserve">≤   </w:t>
            </w:r>
            <w:r>
              <w:t xml:space="preserve"> Ω</w:t>
            </w:r>
          </w:p>
        </w:tc>
        <w:tc>
          <w:tcPr>
            <w:tcW w:w="1383" w:type="dxa"/>
            <w:tcBorders>
              <w:top w:val="single" w:color="auto" w:sz="6" w:space="0"/>
              <w:left w:val="single" w:color="auto" w:sz="6" w:space="0"/>
              <w:bottom w:val="single" w:color="auto" w:sz="6" w:space="0"/>
              <w:right w:val="single" w:color="auto" w:sz="6" w:space="0"/>
            </w:tcBorders>
            <w:vAlign w:val="center"/>
          </w:tcPr>
          <w:p w14:paraId="336ED62D">
            <w:pPr>
              <w:jc w:val="center"/>
            </w:pPr>
            <w:r>
              <w:rPr>
                <w:rFonts w:hint="eastAsia"/>
              </w:rPr>
              <w:t xml:space="preserve">≤   </w:t>
            </w:r>
            <w:r>
              <w:t xml:space="preserve"> Ω</w:t>
            </w:r>
          </w:p>
        </w:tc>
        <w:tc>
          <w:tcPr>
            <w:tcW w:w="1737" w:type="dxa"/>
            <w:gridSpan w:val="3"/>
            <w:tcBorders>
              <w:top w:val="single" w:color="auto" w:sz="6" w:space="0"/>
              <w:left w:val="single" w:color="auto" w:sz="6" w:space="0"/>
              <w:bottom w:val="single" w:color="auto" w:sz="6" w:space="0"/>
              <w:right w:val="single" w:color="auto" w:sz="6" w:space="0"/>
            </w:tcBorders>
            <w:vAlign w:val="center"/>
          </w:tcPr>
          <w:p w14:paraId="3E1B4255">
            <w:pPr>
              <w:jc w:val="center"/>
            </w:pPr>
            <w:r>
              <w:rPr>
                <w:rFonts w:hint="eastAsia"/>
              </w:rPr>
              <w:t xml:space="preserve">≤   </w:t>
            </w:r>
            <w:r>
              <w:t xml:space="preserve">  Ω</w:t>
            </w:r>
          </w:p>
        </w:tc>
      </w:tr>
      <w:tr w14:paraId="55D40B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cantSplit/>
          <w:trHeight w:val="460" w:hRule="atLeast"/>
          <w:jc w:val="center"/>
        </w:trPr>
        <w:tc>
          <w:tcPr>
            <w:tcW w:w="2068" w:type="dxa"/>
            <w:tcBorders>
              <w:top w:val="single" w:color="auto" w:sz="6" w:space="0"/>
              <w:left w:val="single" w:color="auto" w:sz="6" w:space="0"/>
              <w:bottom w:val="single" w:color="auto" w:sz="6" w:space="0"/>
              <w:right w:val="single" w:color="auto" w:sz="6" w:space="0"/>
            </w:tcBorders>
            <w:vAlign w:val="center"/>
          </w:tcPr>
          <w:p w14:paraId="5ED90B89">
            <w:pPr>
              <w:jc w:val="center"/>
            </w:pPr>
            <w:r>
              <w:rPr>
                <w:rFonts w:hint="eastAsia"/>
              </w:rPr>
              <w:t>测试结论</w:t>
            </w:r>
          </w:p>
        </w:tc>
        <w:tc>
          <w:tcPr>
            <w:tcW w:w="7268" w:type="dxa"/>
            <w:gridSpan w:val="8"/>
            <w:tcBorders>
              <w:top w:val="single" w:color="auto" w:sz="6" w:space="0"/>
              <w:left w:val="single" w:color="auto" w:sz="6" w:space="0"/>
              <w:bottom w:val="single" w:color="auto" w:sz="6" w:space="0"/>
              <w:right w:val="single" w:color="auto" w:sz="6" w:space="0"/>
            </w:tcBorders>
            <w:vAlign w:val="center"/>
          </w:tcPr>
          <w:p w14:paraId="479C64CE"/>
        </w:tc>
      </w:tr>
      <w:tr w14:paraId="1C7A98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cantSplit/>
          <w:trHeight w:val="392" w:hRule="atLeast"/>
          <w:jc w:val="center"/>
        </w:trPr>
        <w:tc>
          <w:tcPr>
            <w:tcW w:w="2068" w:type="dxa"/>
            <w:vMerge w:val="restart"/>
            <w:tcBorders>
              <w:top w:val="single" w:color="auto" w:sz="6" w:space="0"/>
              <w:left w:val="single" w:color="auto" w:sz="6" w:space="0"/>
              <w:bottom w:val="single" w:color="auto" w:sz="6" w:space="0"/>
              <w:right w:val="single" w:color="auto" w:sz="6" w:space="0"/>
            </w:tcBorders>
            <w:vAlign w:val="center"/>
          </w:tcPr>
          <w:p w14:paraId="42BABD3C">
            <w:pPr>
              <w:jc w:val="center"/>
            </w:pPr>
            <w:r>
              <w:rPr>
                <w:rFonts w:hint="eastAsia"/>
              </w:rPr>
              <w:t>施工单位</w:t>
            </w:r>
          </w:p>
        </w:tc>
        <w:tc>
          <w:tcPr>
            <w:tcW w:w="4078" w:type="dxa"/>
            <w:gridSpan w:val="3"/>
            <w:tcBorders>
              <w:top w:val="single" w:color="auto" w:sz="6" w:space="0"/>
              <w:left w:val="single" w:color="auto" w:sz="6" w:space="0"/>
              <w:bottom w:val="single" w:color="auto" w:sz="6" w:space="0"/>
              <w:right w:val="single" w:color="auto" w:sz="6" w:space="0"/>
            </w:tcBorders>
            <w:vAlign w:val="center"/>
          </w:tcPr>
          <w:p w14:paraId="10FA8A01">
            <w:pPr>
              <w:jc w:val="center"/>
            </w:pPr>
            <w:r>
              <w:rPr>
                <w:rFonts w:hint="eastAsia"/>
              </w:rPr>
              <w:t>电气技术人员</w:t>
            </w:r>
          </w:p>
        </w:tc>
        <w:tc>
          <w:tcPr>
            <w:tcW w:w="3190" w:type="dxa"/>
            <w:gridSpan w:val="5"/>
            <w:tcBorders>
              <w:top w:val="single" w:color="auto" w:sz="6" w:space="0"/>
              <w:left w:val="single" w:color="auto" w:sz="6" w:space="0"/>
              <w:bottom w:val="single" w:color="auto" w:sz="6" w:space="0"/>
              <w:right w:val="single" w:color="auto" w:sz="6" w:space="0"/>
            </w:tcBorders>
            <w:vAlign w:val="center"/>
          </w:tcPr>
          <w:p w14:paraId="768D0EB8">
            <w:pPr>
              <w:jc w:val="center"/>
            </w:pPr>
            <w:r>
              <w:rPr>
                <w:rFonts w:hint="eastAsia"/>
              </w:rPr>
              <w:t>测试电工（两人）</w:t>
            </w:r>
          </w:p>
        </w:tc>
      </w:tr>
      <w:tr w14:paraId="35377B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cantSplit/>
          <w:trHeight w:val="392" w:hRule="atLeast"/>
          <w:jc w:val="center"/>
        </w:trPr>
        <w:tc>
          <w:tcPr>
            <w:tcW w:w="2068" w:type="dxa"/>
            <w:vMerge w:val="continue"/>
            <w:tcBorders>
              <w:top w:val="single" w:color="auto" w:sz="6" w:space="0"/>
              <w:left w:val="single" w:color="auto" w:sz="6" w:space="0"/>
              <w:bottom w:val="single" w:color="auto" w:sz="6" w:space="0"/>
              <w:right w:val="single" w:color="auto" w:sz="6" w:space="0"/>
            </w:tcBorders>
            <w:textDirection w:val="tbRlV"/>
            <w:vAlign w:val="center"/>
          </w:tcPr>
          <w:p w14:paraId="262D4048"/>
        </w:tc>
        <w:tc>
          <w:tcPr>
            <w:tcW w:w="4078" w:type="dxa"/>
            <w:gridSpan w:val="3"/>
            <w:tcBorders>
              <w:top w:val="single" w:color="auto" w:sz="6" w:space="0"/>
              <w:left w:val="single" w:color="auto" w:sz="6" w:space="0"/>
              <w:bottom w:val="single" w:color="auto" w:sz="6" w:space="0"/>
              <w:right w:val="single" w:color="auto" w:sz="6" w:space="0"/>
            </w:tcBorders>
            <w:vAlign w:val="center"/>
          </w:tcPr>
          <w:p w14:paraId="3107D1A4"/>
        </w:tc>
        <w:tc>
          <w:tcPr>
            <w:tcW w:w="3190" w:type="dxa"/>
            <w:gridSpan w:val="5"/>
            <w:tcBorders>
              <w:top w:val="single" w:color="auto" w:sz="6" w:space="0"/>
              <w:left w:val="single" w:color="auto" w:sz="6" w:space="0"/>
              <w:bottom w:val="single" w:color="auto" w:sz="6" w:space="0"/>
              <w:right w:val="single" w:color="auto" w:sz="6" w:space="0"/>
            </w:tcBorders>
            <w:vAlign w:val="center"/>
          </w:tcPr>
          <w:p w14:paraId="14023EFF"/>
        </w:tc>
      </w:tr>
      <w:tr w14:paraId="4F7114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5" w:type="dxa"/>
            <w:left w:w="28" w:type="dxa"/>
            <w:bottom w:w="85" w:type="dxa"/>
            <w:right w:w="28" w:type="dxa"/>
          </w:tblCellMar>
        </w:tblPrEx>
        <w:trPr>
          <w:cantSplit/>
          <w:trHeight w:val="1290" w:hRule="atLeast"/>
          <w:jc w:val="center"/>
        </w:trPr>
        <w:tc>
          <w:tcPr>
            <w:tcW w:w="9336" w:type="dxa"/>
            <w:gridSpan w:val="9"/>
            <w:tcBorders>
              <w:top w:val="single" w:color="auto" w:sz="6" w:space="0"/>
              <w:left w:val="single" w:color="auto" w:sz="6" w:space="0"/>
              <w:bottom w:val="single" w:color="auto" w:sz="6" w:space="0"/>
              <w:right w:val="single" w:color="auto" w:sz="6" w:space="0"/>
            </w:tcBorders>
          </w:tcPr>
          <w:p w14:paraId="2C9825E8">
            <w:bookmarkStart w:id="645" w:name="OLE_LINK161"/>
            <w:bookmarkStart w:id="646" w:name="OLE_LINK162"/>
            <w:r>
              <w:rPr>
                <w:rFonts w:hint="eastAsia"/>
              </w:rPr>
              <w:t>监理单位：</w:t>
            </w:r>
          </w:p>
          <w:p w14:paraId="63F2ED7A">
            <w:pPr>
              <w:ind w:firstLine="5670" w:firstLineChars="2700"/>
            </w:pPr>
            <w:r>
              <w:rPr>
                <w:rFonts w:hint="eastAsia"/>
              </w:rPr>
              <w:t>专业监理工程师（签字）：</w:t>
            </w:r>
            <w:r>
              <w:t xml:space="preserve">                                     </w:t>
            </w:r>
          </w:p>
          <w:p w14:paraId="798D43FF">
            <w:pPr>
              <w:ind w:firstLine="4830" w:firstLineChars="2300"/>
            </w:pPr>
          </w:p>
          <w:p w14:paraId="3B76964E">
            <w:pPr>
              <w:ind w:firstLine="6090" w:firstLineChars="2900"/>
            </w:pPr>
            <w:r>
              <w:rPr>
                <w:rFonts w:hint="eastAsia"/>
              </w:rPr>
              <w:t>年</w:t>
            </w:r>
            <w:r>
              <w:t xml:space="preserve">    </w:t>
            </w:r>
            <w:r>
              <w:rPr>
                <w:rFonts w:hint="eastAsia"/>
              </w:rPr>
              <w:t>月</w:t>
            </w:r>
            <w:r>
              <w:t xml:space="preserve">    </w:t>
            </w:r>
            <w:r>
              <w:rPr>
                <w:rFonts w:hint="eastAsia"/>
              </w:rPr>
              <w:t>日</w:t>
            </w:r>
            <w:bookmarkEnd w:id="645"/>
            <w:bookmarkEnd w:id="646"/>
          </w:p>
        </w:tc>
      </w:tr>
    </w:tbl>
    <w:p w14:paraId="401F6354">
      <w:r>
        <w:rPr>
          <w:rFonts w:hint="eastAsia"/>
        </w:rPr>
        <w:t>注：本表由施工单位填写；一式两份，监理单位、施工单位各留存一份。</w:t>
      </w:r>
    </w:p>
    <w:p w14:paraId="0F325FB7">
      <w:pPr>
        <w:pStyle w:val="40"/>
        <w:spacing w:before="120"/>
        <w:jc w:val="both"/>
        <w:rPr>
          <w:b/>
          <w:color w:val="auto"/>
          <w:szCs w:val="24"/>
        </w:rPr>
      </w:pPr>
      <w:r>
        <w:rPr>
          <w:rFonts w:hint="eastAsia" w:ascii="宋体" w:hAnsi="宋体" w:cs="宋体"/>
          <w:color w:val="auto"/>
          <w:szCs w:val="24"/>
        </w:rPr>
        <w:br w:type="page"/>
      </w:r>
      <w:r>
        <w:rPr>
          <w:rFonts w:hint="eastAsia"/>
          <w:color w:val="auto"/>
          <w:szCs w:val="24"/>
        </w:rPr>
        <w:t xml:space="preserve"> </w:t>
      </w:r>
      <w:r>
        <w:rPr>
          <w:b/>
          <w:bCs w:val="0"/>
          <w:color w:val="auto"/>
          <w:sz w:val="24"/>
          <w:szCs w:val="24"/>
        </w:rPr>
        <w:t>A.0.7</w:t>
      </w:r>
      <w:r>
        <w:rPr>
          <w:color w:val="auto"/>
          <w:sz w:val="24"/>
          <w:szCs w:val="24"/>
        </w:rPr>
        <w:t xml:space="preserve">  </w:t>
      </w:r>
      <w:r>
        <w:rPr>
          <w:rFonts w:hint="eastAsia"/>
          <w:color w:val="auto"/>
          <w:sz w:val="24"/>
          <w:szCs w:val="24"/>
        </w:rPr>
        <w:t>剩余电流动作保护电器（</w:t>
      </w:r>
      <w:r>
        <w:rPr>
          <w:color w:val="auto"/>
          <w:sz w:val="24"/>
          <w:szCs w:val="24"/>
        </w:rPr>
        <w:t>RCD</w:t>
      </w:r>
      <w:r>
        <w:rPr>
          <w:rFonts w:hint="eastAsia"/>
          <w:color w:val="auto"/>
          <w:sz w:val="24"/>
          <w:szCs w:val="24"/>
        </w:rPr>
        <w:t>）测试记录应符合表</w:t>
      </w:r>
      <w:r>
        <w:rPr>
          <w:color w:val="auto"/>
          <w:sz w:val="24"/>
          <w:szCs w:val="24"/>
        </w:rPr>
        <w:t>A.0.7</w:t>
      </w:r>
      <w:r>
        <w:rPr>
          <w:rFonts w:hint="eastAsia"/>
          <w:color w:val="auto"/>
          <w:sz w:val="24"/>
          <w:szCs w:val="24"/>
        </w:rPr>
        <w:t>的规定。</w:t>
      </w:r>
    </w:p>
    <w:p w14:paraId="1A8EACED">
      <w:pPr>
        <w:pStyle w:val="40"/>
        <w:spacing w:before="120"/>
        <w:rPr>
          <w:b/>
          <w:bCs w:val="0"/>
          <w:color w:val="auto"/>
          <w:szCs w:val="24"/>
        </w:rPr>
      </w:pPr>
      <w:r>
        <w:rPr>
          <w:rFonts w:hint="eastAsia"/>
          <w:b/>
          <w:bCs w:val="0"/>
          <w:color w:val="auto"/>
          <w:szCs w:val="24"/>
        </w:rPr>
        <w:t>表</w:t>
      </w:r>
      <w:r>
        <w:rPr>
          <w:b/>
          <w:bCs w:val="0"/>
          <w:color w:val="auto"/>
          <w:szCs w:val="24"/>
        </w:rPr>
        <w:t xml:space="preserve">A.0.7 </w:t>
      </w:r>
      <w:r>
        <w:rPr>
          <w:rFonts w:hint="eastAsia"/>
          <w:b/>
          <w:bCs w:val="0"/>
          <w:color w:val="auto"/>
          <w:szCs w:val="24"/>
        </w:rPr>
        <w:t>剩余电流动作保护电器（</w:t>
      </w:r>
      <w:r>
        <w:rPr>
          <w:b/>
          <w:bCs w:val="0"/>
          <w:color w:val="auto"/>
          <w:szCs w:val="24"/>
        </w:rPr>
        <w:t>RCD</w:t>
      </w:r>
      <w:r>
        <w:rPr>
          <w:rFonts w:hint="eastAsia"/>
          <w:b/>
          <w:bCs w:val="0"/>
          <w:color w:val="auto"/>
          <w:szCs w:val="24"/>
        </w:rPr>
        <w:t>）测试记录表</w:t>
      </w:r>
    </w:p>
    <w:tbl>
      <w:tblPr>
        <w:tblStyle w:val="18"/>
        <w:tblW w:w="9356" w:type="dxa"/>
        <w:tblInd w:w="-25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125" w:type="dxa"/>
          <w:left w:w="28" w:type="dxa"/>
          <w:bottom w:w="125" w:type="dxa"/>
          <w:right w:w="28" w:type="dxa"/>
        </w:tblCellMar>
      </w:tblPr>
      <w:tblGrid>
        <w:gridCol w:w="851"/>
        <w:gridCol w:w="851"/>
        <w:gridCol w:w="1417"/>
        <w:gridCol w:w="851"/>
        <w:gridCol w:w="992"/>
        <w:gridCol w:w="992"/>
        <w:gridCol w:w="1276"/>
        <w:gridCol w:w="1134"/>
        <w:gridCol w:w="992"/>
      </w:tblGrid>
      <w:tr w14:paraId="750D8F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25" w:type="dxa"/>
            <w:left w:w="28" w:type="dxa"/>
            <w:bottom w:w="125" w:type="dxa"/>
            <w:right w:w="28" w:type="dxa"/>
          </w:tblCellMar>
        </w:tblPrEx>
        <w:trPr>
          <w:trHeight w:val="564" w:hRule="atLeast"/>
        </w:trPr>
        <w:tc>
          <w:tcPr>
            <w:tcW w:w="7230" w:type="dxa"/>
            <w:gridSpan w:val="7"/>
            <w:tcBorders>
              <w:top w:val="single" w:color="auto" w:sz="6" w:space="0"/>
              <w:left w:val="single" w:color="auto" w:sz="6" w:space="0"/>
              <w:bottom w:val="single" w:color="auto" w:sz="6" w:space="0"/>
              <w:right w:val="single" w:color="auto" w:sz="6" w:space="0"/>
            </w:tcBorders>
            <w:vAlign w:val="center"/>
          </w:tcPr>
          <w:p w14:paraId="6E8CB179">
            <w:pPr>
              <w:widowControl/>
              <w:snapToGrid w:val="0"/>
              <w:jc w:val="center"/>
              <w:textAlignment w:val="center"/>
              <w:rPr>
                <w:bCs/>
                <w:lang w:bidi="ar"/>
              </w:rPr>
            </w:pPr>
            <w:bookmarkStart w:id="647" w:name="PageNo101620156"/>
            <w:r>
              <w:rPr>
                <w:rFonts w:hint="eastAsia"/>
                <w:bCs/>
                <w:lang w:bidi="ar"/>
              </w:rPr>
              <w:t>剩余电流动作保护电器（</w:t>
            </w:r>
            <w:r>
              <w:rPr>
                <w:bCs/>
                <w:lang w:bidi="ar"/>
              </w:rPr>
              <w:t>RCD</w:t>
            </w:r>
            <w:r>
              <w:rPr>
                <w:rFonts w:hint="eastAsia"/>
                <w:bCs/>
                <w:lang w:bidi="ar"/>
              </w:rPr>
              <w:t>）测试记录</w:t>
            </w:r>
          </w:p>
        </w:tc>
        <w:tc>
          <w:tcPr>
            <w:tcW w:w="1134" w:type="dxa"/>
            <w:tcBorders>
              <w:top w:val="single" w:color="auto" w:sz="6" w:space="0"/>
              <w:left w:val="single" w:color="auto" w:sz="6" w:space="0"/>
              <w:bottom w:val="single" w:color="auto" w:sz="6" w:space="0"/>
              <w:right w:val="single" w:color="auto" w:sz="6" w:space="0"/>
            </w:tcBorders>
            <w:vAlign w:val="center"/>
          </w:tcPr>
          <w:p w14:paraId="268163B2">
            <w:pPr>
              <w:snapToGrid w:val="0"/>
              <w:jc w:val="center"/>
              <w:textAlignment w:val="center"/>
            </w:pPr>
            <w:r>
              <w:rPr>
                <w:rFonts w:hint="eastAsia"/>
              </w:rPr>
              <w:t>编号</w:t>
            </w:r>
          </w:p>
        </w:tc>
        <w:tc>
          <w:tcPr>
            <w:tcW w:w="992" w:type="dxa"/>
            <w:tcBorders>
              <w:top w:val="single" w:color="auto" w:sz="6" w:space="0"/>
              <w:left w:val="single" w:color="auto" w:sz="6" w:space="0"/>
              <w:bottom w:val="single" w:color="auto" w:sz="6" w:space="0"/>
              <w:right w:val="single" w:color="auto" w:sz="6" w:space="0"/>
            </w:tcBorders>
            <w:vAlign w:val="center"/>
          </w:tcPr>
          <w:p w14:paraId="4CDA7D81">
            <w:pPr>
              <w:snapToGrid w:val="0"/>
              <w:textAlignment w:val="center"/>
            </w:pPr>
            <w:r>
              <w:rPr>
                <w:bCs/>
                <w:lang w:bidi="ar"/>
              </w:rPr>
              <w:t xml:space="preserve"> </w:t>
            </w:r>
          </w:p>
        </w:tc>
      </w:tr>
      <w:tr w14:paraId="36736A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25" w:type="dxa"/>
            <w:left w:w="28" w:type="dxa"/>
            <w:bottom w:w="125" w:type="dxa"/>
            <w:right w:w="28" w:type="dxa"/>
          </w:tblCellMar>
        </w:tblPrEx>
        <w:trPr>
          <w:trHeight w:val="521" w:hRule="atLeast"/>
        </w:trPr>
        <w:tc>
          <w:tcPr>
            <w:tcW w:w="1702" w:type="dxa"/>
            <w:gridSpan w:val="2"/>
            <w:tcBorders>
              <w:top w:val="single" w:color="auto" w:sz="6" w:space="0"/>
              <w:left w:val="single" w:color="auto" w:sz="6" w:space="0"/>
              <w:bottom w:val="single" w:color="auto" w:sz="6" w:space="0"/>
              <w:right w:val="single" w:color="auto" w:sz="6" w:space="0"/>
            </w:tcBorders>
            <w:vAlign w:val="center"/>
          </w:tcPr>
          <w:p w14:paraId="24485429">
            <w:pPr>
              <w:jc w:val="center"/>
              <w:textAlignment w:val="center"/>
            </w:pPr>
            <w:r>
              <w:rPr>
                <w:rFonts w:hint="eastAsia"/>
              </w:rPr>
              <w:t>工程名称</w:t>
            </w:r>
          </w:p>
        </w:tc>
        <w:tc>
          <w:tcPr>
            <w:tcW w:w="3260" w:type="dxa"/>
            <w:gridSpan w:val="3"/>
            <w:tcBorders>
              <w:top w:val="single" w:color="auto" w:sz="6" w:space="0"/>
              <w:left w:val="single" w:color="auto" w:sz="6" w:space="0"/>
              <w:bottom w:val="single" w:color="auto" w:sz="6" w:space="0"/>
              <w:right w:val="single" w:color="auto" w:sz="6" w:space="0"/>
            </w:tcBorders>
            <w:vAlign w:val="center"/>
          </w:tcPr>
          <w:p w14:paraId="05D17733">
            <w:pPr>
              <w:jc w:val="center"/>
              <w:textAlignment w:val="center"/>
            </w:pPr>
          </w:p>
        </w:tc>
        <w:tc>
          <w:tcPr>
            <w:tcW w:w="2268" w:type="dxa"/>
            <w:gridSpan w:val="2"/>
            <w:tcBorders>
              <w:top w:val="single" w:color="auto" w:sz="6" w:space="0"/>
              <w:left w:val="single" w:color="auto" w:sz="6" w:space="0"/>
              <w:bottom w:val="single" w:color="auto" w:sz="6" w:space="0"/>
              <w:right w:val="single" w:color="auto" w:sz="6" w:space="0"/>
            </w:tcBorders>
            <w:vAlign w:val="center"/>
          </w:tcPr>
          <w:p w14:paraId="4FD68BE2">
            <w:pPr>
              <w:jc w:val="center"/>
              <w:textAlignment w:val="center"/>
            </w:pPr>
            <w:r>
              <w:rPr>
                <w:rFonts w:hint="eastAsia"/>
              </w:rPr>
              <w:t>施工单位</w:t>
            </w:r>
          </w:p>
        </w:tc>
        <w:tc>
          <w:tcPr>
            <w:tcW w:w="2126" w:type="dxa"/>
            <w:gridSpan w:val="2"/>
            <w:tcBorders>
              <w:top w:val="single" w:color="auto" w:sz="6" w:space="0"/>
              <w:left w:val="single" w:color="auto" w:sz="6" w:space="0"/>
              <w:bottom w:val="single" w:color="auto" w:sz="6" w:space="0"/>
              <w:right w:val="single" w:color="auto" w:sz="6" w:space="0"/>
            </w:tcBorders>
            <w:vAlign w:val="center"/>
          </w:tcPr>
          <w:p w14:paraId="74C14B51">
            <w:pPr>
              <w:jc w:val="center"/>
              <w:textAlignment w:val="center"/>
            </w:pPr>
          </w:p>
        </w:tc>
      </w:tr>
      <w:tr w14:paraId="79D80E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83" w:hRule="atLeast"/>
        </w:trPr>
        <w:tc>
          <w:tcPr>
            <w:tcW w:w="1702" w:type="dxa"/>
            <w:gridSpan w:val="2"/>
            <w:tcBorders>
              <w:top w:val="single" w:color="auto" w:sz="6" w:space="0"/>
              <w:left w:val="single" w:color="auto" w:sz="6" w:space="0"/>
              <w:bottom w:val="single" w:color="auto" w:sz="6" w:space="0"/>
              <w:right w:val="single" w:color="auto" w:sz="6" w:space="0"/>
            </w:tcBorders>
            <w:vAlign w:val="center"/>
          </w:tcPr>
          <w:p w14:paraId="04B81F83">
            <w:pPr>
              <w:jc w:val="center"/>
              <w:textAlignment w:val="center"/>
            </w:pPr>
            <w:r>
              <w:rPr>
                <w:rFonts w:hint="eastAsia"/>
              </w:rPr>
              <w:t>仪表型号</w:t>
            </w:r>
          </w:p>
        </w:tc>
        <w:tc>
          <w:tcPr>
            <w:tcW w:w="3260" w:type="dxa"/>
            <w:gridSpan w:val="3"/>
            <w:tcBorders>
              <w:top w:val="single" w:color="auto" w:sz="6" w:space="0"/>
              <w:left w:val="single" w:color="auto" w:sz="6" w:space="0"/>
              <w:bottom w:val="single" w:color="auto" w:sz="6" w:space="0"/>
              <w:right w:val="single" w:color="auto" w:sz="6" w:space="0"/>
            </w:tcBorders>
            <w:vAlign w:val="center"/>
          </w:tcPr>
          <w:p w14:paraId="269D8D34">
            <w:pPr>
              <w:jc w:val="center"/>
              <w:textAlignment w:val="center"/>
            </w:pPr>
          </w:p>
        </w:tc>
        <w:tc>
          <w:tcPr>
            <w:tcW w:w="2268" w:type="dxa"/>
            <w:gridSpan w:val="2"/>
            <w:tcBorders>
              <w:top w:val="single" w:color="auto" w:sz="6" w:space="0"/>
              <w:left w:val="single" w:color="auto" w:sz="6" w:space="0"/>
              <w:bottom w:val="single" w:color="auto" w:sz="6" w:space="0"/>
              <w:right w:val="single" w:color="auto" w:sz="6" w:space="0"/>
            </w:tcBorders>
            <w:vAlign w:val="center"/>
          </w:tcPr>
          <w:p w14:paraId="053EC89B">
            <w:pPr>
              <w:jc w:val="center"/>
            </w:pPr>
            <w:r>
              <w:rPr>
                <w:rFonts w:hint="eastAsia"/>
              </w:rPr>
              <w:t>测试日期</w:t>
            </w:r>
            <w:r>
              <w:t xml:space="preserve"> </w:t>
            </w:r>
          </w:p>
        </w:tc>
        <w:tc>
          <w:tcPr>
            <w:tcW w:w="2126" w:type="dxa"/>
            <w:gridSpan w:val="2"/>
            <w:tcBorders>
              <w:top w:val="single" w:color="auto" w:sz="6" w:space="0"/>
              <w:left w:val="single" w:color="auto" w:sz="6" w:space="0"/>
              <w:bottom w:val="single" w:color="auto" w:sz="6" w:space="0"/>
              <w:right w:val="single" w:color="auto" w:sz="6" w:space="0"/>
            </w:tcBorders>
            <w:vAlign w:val="center"/>
          </w:tcPr>
          <w:p w14:paraId="54A28513">
            <w:pPr>
              <w:jc w:val="center"/>
            </w:pPr>
            <w:r>
              <w:t xml:space="preserve">     </w:t>
            </w:r>
            <w:r>
              <w:rPr>
                <w:rFonts w:hint="eastAsia"/>
              </w:rPr>
              <w:t>年</w:t>
            </w:r>
            <w:r>
              <w:t xml:space="preserve">   </w:t>
            </w:r>
            <w:r>
              <w:rPr>
                <w:rFonts w:hint="eastAsia"/>
              </w:rPr>
              <w:t>月</w:t>
            </w:r>
            <w:r>
              <w:t xml:space="preserve">   </w:t>
            </w:r>
            <w:r>
              <w:rPr>
                <w:rFonts w:hint="eastAsia"/>
              </w:rPr>
              <w:t>日</w:t>
            </w:r>
          </w:p>
        </w:tc>
      </w:tr>
      <w:tr w14:paraId="157746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25" w:type="dxa"/>
            <w:left w:w="28" w:type="dxa"/>
            <w:bottom w:w="125" w:type="dxa"/>
            <w:right w:w="28" w:type="dxa"/>
          </w:tblCellMar>
        </w:tblPrEx>
        <w:trPr>
          <w:trHeight w:val="543" w:hRule="atLeast"/>
        </w:trPr>
        <w:tc>
          <w:tcPr>
            <w:tcW w:w="851" w:type="dxa"/>
            <w:vMerge w:val="restart"/>
            <w:tcBorders>
              <w:top w:val="single" w:color="auto" w:sz="6" w:space="0"/>
              <w:left w:val="single" w:color="auto" w:sz="6" w:space="0"/>
              <w:bottom w:val="single" w:color="auto" w:sz="6" w:space="0"/>
              <w:right w:val="single" w:color="auto" w:sz="6" w:space="0"/>
            </w:tcBorders>
            <w:vAlign w:val="center"/>
          </w:tcPr>
          <w:p w14:paraId="70B24F12">
            <w:pPr>
              <w:jc w:val="center"/>
              <w:textAlignment w:val="center"/>
            </w:pPr>
            <w:r>
              <w:rPr>
                <w:rFonts w:hint="eastAsia"/>
              </w:rPr>
              <w:t>序号</w:t>
            </w:r>
          </w:p>
        </w:tc>
        <w:tc>
          <w:tcPr>
            <w:tcW w:w="851" w:type="dxa"/>
            <w:vMerge w:val="restart"/>
            <w:tcBorders>
              <w:top w:val="single" w:color="auto" w:sz="6" w:space="0"/>
              <w:left w:val="single" w:color="auto" w:sz="6" w:space="0"/>
              <w:bottom w:val="single" w:color="auto" w:sz="6" w:space="0"/>
              <w:right w:val="single" w:color="auto" w:sz="6" w:space="0"/>
            </w:tcBorders>
            <w:vAlign w:val="center"/>
          </w:tcPr>
          <w:p w14:paraId="03905376">
            <w:pPr>
              <w:jc w:val="center"/>
              <w:textAlignment w:val="center"/>
            </w:pPr>
            <w:r>
              <w:rPr>
                <w:rFonts w:hint="eastAsia"/>
              </w:rPr>
              <w:t>配电箱编号</w:t>
            </w:r>
          </w:p>
        </w:tc>
        <w:tc>
          <w:tcPr>
            <w:tcW w:w="1417" w:type="dxa"/>
            <w:vMerge w:val="restart"/>
            <w:tcBorders>
              <w:top w:val="single" w:color="auto" w:sz="6" w:space="0"/>
              <w:left w:val="single" w:color="auto" w:sz="6" w:space="0"/>
              <w:bottom w:val="single" w:color="auto" w:sz="6" w:space="0"/>
              <w:right w:val="single" w:color="auto" w:sz="6" w:space="0"/>
            </w:tcBorders>
            <w:vAlign w:val="center"/>
          </w:tcPr>
          <w:p w14:paraId="52DE9B53">
            <w:pPr>
              <w:jc w:val="center"/>
              <w:textAlignment w:val="center"/>
            </w:pPr>
            <w:r>
              <w:rPr>
                <w:rFonts w:hint="eastAsia"/>
              </w:rPr>
              <w:t>剩余电流动作保护电器型号</w:t>
            </w:r>
          </w:p>
        </w:tc>
        <w:tc>
          <w:tcPr>
            <w:tcW w:w="851" w:type="dxa"/>
            <w:tcBorders>
              <w:top w:val="single" w:color="auto" w:sz="6" w:space="0"/>
              <w:left w:val="single" w:color="auto" w:sz="6" w:space="0"/>
              <w:bottom w:val="single" w:color="auto" w:sz="6" w:space="0"/>
              <w:right w:val="single" w:color="auto" w:sz="4" w:space="0"/>
            </w:tcBorders>
            <w:vAlign w:val="center"/>
          </w:tcPr>
          <w:p w14:paraId="40F9A79A">
            <w:pPr>
              <w:jc w:val="center"/>
              <w:textAlignment w:val="center"/>
            </w:pPr>
            <w:r>
              <w:rPr>
                <w:rFonts w:hint="eastAsia"/>
              </w:rPr>
              <w:t>额定剩余动作电流</w:t>
            </w:r>
          </w:p>
          <w:p w14:paraId="449FA0BA">
            <w:pPr>
              <w:jc w:val="center"/>
              <w:textAlignment w:val="center"/>
            </w:pPr>
            <w:r>
              <w:t>(I</w:t>
            </w:r>
            <w:r>
              <w:rPr>
                <w:rFonts w:hint="eastAsia" w:ascii="华文中宋" w:hAnsi="华文中宋"/>
                <w:vertAlign w:val="subscript"/>
              </w:rPr>
              <w:t>Δ</w:t>
            </w:r>
            <w:r>
              <w:rPr>
                <w:vertAlign w:val="subscript"/>
              </w:rPr>
              <w:t>n)</w:t>
            </w:r>
          </w:p>
        </w:tc>
        <w:tc>
          <w:tcPr>
            <w:tcW w:w="992" w:type="dxa"/>
            <w:tcBorders>
              <w:top w:val="single" w:color="auto" w:sz="6" w:space="0"/>
              <w:left w:val="single" w:color="auto" w:sz="4" w:space="0"/>
              <w:bottom w:val="single" w:color="auto" w:sz="6" w:space="0"/>
              <w:right w:val="single" w:color="auto" w:sz="6" w:space="0"/>
            </w:tcBorders>
            <w:vAlign w:val="center"/>
          </w:tcPr>
          <w:p w14:paraId="3AE5DAFC">
            <w:pPr>
              <w:ind w:left="60"/>
              <w:jc w:val="center"/>
              <w:textAlignment w:val="center"/>
            </w:pPr>
            <w:r>
              <w:rPr>
                <w:rFonts w:hint="eastAsia"/>
              </w:rPr>
              <w:t>额定剩余电流动作时间</w:t>
            </w:r>
          </w:p>
          <w:p w14:paraId="1F0EC01A">
            <w:pPr>
              <w:ind w:left="60"/>
              <w:jc w:val="center"/>
              <w:textAlignment w:val="center"/>
            </w:pPr>
            <w:r>
              <w:t>(T</w:t>
            </w:r>
            <w:r>
              <w:rPr>
                <w:rFonts w:hint="eastAsia"/>
                <w:vertAlign w:val="subscript"/>
              </w:rPr>
              <w:t>Δ</w:t>
            </w:r>
            <w:r>
              <w:rPr>
                <w:vertAlign w:val="subscript"/>
              </w:rPr>
              <w:t>n</w:t>
            </w:r>
            <w:r>
              <w:t>)</w:t>
            </w:r>
          </w:p>
        </w:tc>
        <w:tc>
          <w:tcPr>
            <w:tcW w:w="992" w:type="dxa"/>
            <w:tcBorders>
              <w:top w:val="single" w:color="auto" w:sz="6" w:space="0"/>
              <w:left w:val="single" w:color="auto" w:sz="6" w:space="0"/>
              <w:bottom w:val="single" w:color="auto" w:sz="6" w:space="0"/>
              <w:right w:val="single" w:color="auto" w:sz="4" w:space="0"/>
            </w:tcBorders>
            <w:vAlign w:val="center"/>
          </w:tcPr>
          <w:p w14:paraId="13EC7506">
            <w:pPr>
              <w:jc w:val="center"/>
              <w:textAlignment w:val="center"/>
            </w:pPr>
            <w:r>
              <w:rPr>
                <w:rFonts w:hint="eastAsia"/>
              </w:rPr>
              <w:t>测试剩余动作电流</w:t>
            </w:r>
          </w:p>
          <w:p w14:paraId="715216E8">
            <w:pPr>
              <w:jc w:val="center"/>
              <w:textAlignment w:val="center"/>
            </w:pPr>
            <w:r>
              <w:t>(I</w:t>
            </w:r>
            <w:r>
              <w:rPr>
                <w:vertAlign w:val="subscript"/>
              </w:rPr>
              <w:t>Δn</w:t>
            </w:r>
            <w:r>
              <w:t>)</w:t>
            </w:r>
          </w:p>
        </w:tc>
        <w:tc>
          <w:tcPr>
            <w:tcW w:w="1276" w:type="dxa"/>
            <w:tcBorders>
              <w:top w:val="single" w:color="auto" w:sz="6" w:space="0"/>
              <w:left w:val="single" w:color="auto" w:sz="4" w:space="0"/>
              <w:bottom w:val="single" w:color="auto" w:sz="6" w:space="0"/>
              <w:right w:val="single" w:color="auto" w:sz="6" w:space="0"/>
            </w:tcBorders>
            <w:vAlign w:val="center"/>
          </w:tcPr>
          <w:p w14:paraId="7545B72B">
            <w:pPr>
              <w:jc w:val="center"/>
              <w:textAlignment w:val="center"/>
            </w:pPr>
            <w:r>
              <w:rPr>
                <w:rFonts w:hint="eastAsia"/>
              </w:rPr>
              <w:t>测试剩余电流动作时间</w:t>
            </w:r>
          </w:p>
          <w:p w14:paraId="0E90D440">
            <w:pPr>
              <w:jc w:val="center"/>
              <w:textAlignment w:val="center"/>
            </w:pPr>
            <w:r>
              <w:t>(T</w:t>
            </w:r>
            <w:r>
              <w:rPr>
                <w:vertAlign w:val="subscript"/>
              </w:rPr>
              <w:t>Δn</w:t>
            </w:r>
            <w:r>
              <w:t>)</w:t>
            </w:r>
          </w:p>
        </w:tc>
        <w:tc>
          <w:tcPr>
            <w:tcW w:w="1134" w:type="dxa"/>
            <w:vMerge w:val="restart"/>
            <w:tcBorders>
              <w:top w:val="single" w:color="auto" w:sz="6" w:space="0"/>
              <w:left w:val="single" w:color="auto" w:sz="6" w:space="0"/>
              <w:bottom w:val="single" w:color="auto" w:sz="6" w:space="0"/>
              <w:right w:val="single" w:color="auto" w:sz="6" w:space="0"/>
            </w:tcBorders>
            <w:vAlign w:val="center"/>
          </w:tcPr>
          <w:p w14:paraId="652B56D1">
            <w:pPr>
              <w:jc w:val="center"/>
              <w:textAlignment w:val="center"/>
            </w:pPr>
            <w:r>
              <w:rPr>
                <w:rFonts w:hint="eastAsia"/>
              </w:rPr>
              <w:t>试验按钮</w:t>
            </w:r>
          </w:p>
          <w:p w14:paraId="4AAE7946">
            <w:pPr>
              <w:jc w:val="center"/>
              <w:textAlignment w:val="center"/>
            </w:pPr>
            <w:r>
              <w:rPr>
                <w:rFonts w:hint="eastAsia"/>
              </w:rPr>
              <w:t>及外观</w:t>
            </w:r>
          </w:p>
        </w:tc>
        <w:tc>
          <w:tcPr>
            <w:tcW w:w="992" w:type="dxa"/>
            <w:vMerge w:val="restart"/>
            <w:tcBorders>
              <w:top w:val="single" w:color="auto" w:sz="6" w:space="0"/>
              <w:left w:val="single" w:color="auto" w:sz="6" w:space="0"/>
              <w:bottom w:val="single" w:color="auto" w:sz="6" w:space="0"/>
              <w:right w:val="single" w:color="auto" w:sz="6" w:space="0"/>
            </w:tcBorders>
            <w:vAlign w:val="center"/>
          </w:tcPr>
          <w:p w14:paraId="226F5B1B">
            <w:pPr>
              <w:jc w:val="center"/>
              <w:textAlignment w:val="center"/>
            </w:pPr>
            <w:r>
              <w:rPr>
                <w:rFonts w:hint="eastAsia"/>
              </w:rPr>
              <w:t>检测</w:t>
            </w:r>
          </w:p>
          <w:p w14:paraId="2506EB22">
            <w:pPr>
              <w:jc w:val="center"/>
              <w:textAlignment w:val="center"/>
            </w:pPr>
            <w:r>
              <w:rPr>
                <w:rFonts w:hint="eastAsia"/>
              </w:rPr>
              <w:t>结论</w:t>
            </w:r>
          </w:p>
        </w:tc>
      </w:tr>
      <w:tr w14:paraId="1BDB0A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25" w:type="dxa"/>
            <w:left w:w="28" w:type="dxa"/>
            <w:bottom w:w="125" w:type="dxa"/>
            <w:right w:w="28" w:type="dxa"/>
          </w:tblCellMar>
        </w:tblPrEx>
        <w:trPr>
          <w:trHeight w:val="546" w:hRule="atLeast"/>
        </w:trPr>
        <w:tc>
          <w:tcPr>
            <w:tcW w:w="851" w:type="dxa"/>
            <w:vMerge w:val="continue"/>
            <w:tcBorders>
              <w:top w:val="single" w:color="auto" w:sz="6" w:space="0"/>
              <w:left w:val="single" w:color="auto" w:sz="6" w:space="0"/>
              <w:bottom w:val="single" w:color="auto" w:sz="6" w:space="0"/>
              <w:right w:val="single" w:color="auto" w:sz="6" w:space="0"/>
            </w:tcBorders>
            <w:vAlign w:val="center"/>
          </w:tcPr>
          <w:p w14:paraId="1BD4A919">
            <w:pPr>
              <w:jc w:val="center"/>
            </w:pPr>
          </w:p>
        </w:tc>
        <w:tc>
          <w:tcPr>
            <w:tcW w:w="851" w:type="dxa"/>
            <w:vMerge w:val="continue"/>
            <w:tcBorders>
              <w:top w:val="single" w:color="auto" w:sz="6" w:space="0"/>
              <w:left w:val="single" w:color="auto" w:sz="6" w:space="0"/>
              <w:bottom w:val="single" w:color="auto" w:sz="6" w:space="0"/>
              <w:right w:val="single" w:color="auto" w:sz="6" w:space="0"/>
            </w:tcBorders>
            <w:vAlign w:val="center"/>
          </w:tcPr>
          <w:p w14:paraId="4867E917">
            <w:pPr>
              <w:jc w:val="center"/>
            </w:pPr>
          </w:p>
        </w:tc>
        <w:tc>
          <w:tcPr>
            <w:tcW w:w="1417" w:type="dxa"/>
            <w:vMerge w:val="continue"/>
            <w:tcBorders>
              <w:top w:val="single" w:color="auto" w:sz="6" w:space="0"/>
              <w:left w:val="single" w:color="auto" w:sz="6" w:space="0"/>
              <w:bottom w:val="single" w:color="auto" w:sz="6" w:space="0"/>
              <w:right w:val="single" w:color="auto" w:sz="6" w:space="0"/>
            </w:tcBorders>
            <w:vAlign w:val="center"/>
          </w:tcPr>
          <w:p w14:paraId="5565FC5C">
            <w:pPr>
              <w:jc w:val="center"/>
            </w:pPr>
          </w:p>
        </w:tc>
        <w:tc>
          <w:tcPr>
            <w:tcW w:w="851" w:type="dxa"/>
            <w:tcBorders>
              <w:top w:val="single" w:color="auto" w:sz="6" w:space="0"/>
              <w:left w:val="single" w:color="auto" w:sz="6" w:space="0"/>
              <w:bottom w:val="single" w:color="auto" w:sz="6" w:space="0"/>
              <w:right w:val="single" w:color="auto" w:sz="4" w:space="0"/>
            </w:tcBorders>
            <w:vAlign w:val="center"/>
          </w:tcPr>
          <w:p w14:paraId="448F2991">
            <w:pPr>
              <w:jc w:val="center"/>
              <w:textAlignment w:val="center"/>
            </w:pPr>
            <w:r>
              <w:t>mA</w:t>
            </w:r>
          </w:p>
        </w:tc>
        <w:tc>
          <w:tcPr>
            <w:tcW w:w="992" w:type="dxa"/>
            <w:tcBorders>
              <w:top w:val="single" w:color="auto" w:sz="6" w:space="0"/>
              <w:left w:val="single" w:color="auto" w:sz="4" w:space="0"/>
              <w:bottom w:val="single" w:color="auto" w:sz="6" w:space="0"/>
              <w:right w:val="single" w:color="auto" w:sz="6" w:space="0"/>
            </w:tcBorders>
            <w:vAlign w:val="center"/>
          </w:tcPr>
          <w:p w14:paraId="433A78D7">
            <w:pPr>
              <w:jc w:val="center"/>
              <w:textAlignment w:val="center"/>
            </w:pPr>
            <w:r>
              <w:t>ms</w:t>
            </w:r>
          </w:p>
        </w:tc>
        <w:tc>
          <w:tcPr>
            <w:tcW w:w="992" w:type="dxa"/>
            <w:tcBorders>
              <w:top w:val="single" w:color="auto" w:sz="6" w:space="0"/>
              <w:left w:val="single" w:color="auto" w:sz="6" w:space="0"/>
              <w:bottom w:val="single" w:color="auto" w:sz="6" w:space="0"/>
              <w:right w:val="single" w:color="auto" w:sz="4" w:space="0"/>
            </w:tcBorders>
            <w:vAlign w:val="center"/>
          </w:tcPr>
          <w:p w14:paraId="353AAFCA">
            <w:pPr>
              <w:jc w:val="center"/>
              <w:textAlignment w:val="center"/>
            </w:pPr>
            <w:r>
              <w:t>mA</w:t>
            </w:r>
          </w:p>
        </w:tc>
        <w:tc>
          <w:tcPr>
            <w:tcW w:w="1276" w:type="dxa"/>
            <w:tcBorders>
              <w:top w:val="single" w:color="auto" w:sz="6" w:space="0"/>
              <w:left w:val="single" w:color="auto" w:sz="4" w:space="0"/>
              <w:bottom w:val="single" w:color="auto" w:sz="6" w:space="0"/>
              <w:right w:val="single" w:color="auto" w:sz="6" w:space="0"/>
            </w:tcBorders>
            <w:vAlign w:val="center"/>
          </w:tcPr>
          <w:p w14:paraId="2776B080">
            <w:pPr>
              <w:jc w:val="center"/>
              <w:textAlignment w:val="center"/>
            </w:pPr>
            <w:r>
              <w:t>ms</w:t>
            </w:r>
          </w:p>
        </w:tc>
        <w:tc>
          <w:tcPr>
            <w:tcW w:w="1134" w:type="dxa"/>
            <w:vMerge w:val="continue"/>
            <w:tcBorders>
              <w:top w:val="single" w:color="auto" w:sz="6" w:space="0"/>
              <w:left w:val="single" w:color="auto" w:sz="6" w:space="0"/>
              <w:bottom w:val="single" w:color="auto" w:sz="6" w:space="0"/>
              <w:right w:val="single" w:color="auto" w:sz="6" w:space="0"/>
            </w:tcBorders>
            <w:vAlign w:val="center"/>
          </w:tcPr>
          <w:p w14:paraId="0F5DE95B">
            <w:pPr>
              <w:jc w:val="center"/>
            </w:pPr>
          </w:p>
        </w:tc>
        <w:tc>
          <w:tcPr>
            <w:tcW w:w="992" w:type="dxa"/>
            <w:vMerge w:val="continue"/>
            <w:tcBorders>
              <w:top w:val="single" w:color="auto" w:sz="6" w:space="0"/>
              <w:left w:val="single" w:color="auto" w:sz="6" w:space="0"/>
              <w:bottom w:val="single" w:color="auto" w:sz="6" w:space="0"/>
              <w:right w:val="single" w:color="auto" w:sz="6" w:space="0"/>
            </w:tcBorders>
            <w:vAlign w:val="center"/>
          </w:tcPr>
          <w:p w14:paraId="20CE0D25">
            <w:pPr>
              <w:jc w:val="center"/>
            </w:pPr>
          </w:p>
        </w:tc>
      </w:tr>
      <w:tr w14:paraId="2A3F71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25" w:type="dxa"/>
            <w:left w:w="28" w:type="dxa"/>
            <w:bottom w:w="125" w:type="dxa"/>
            <w:right w:w="28" w:type="dxa"/>
          </w:tblCellMar>
        </w:tblPrEx>
        <w:trPr>
          <w:trHeight w:val="507" w:hRule="atLeast"/>
        </w:trPr>
        <w:tc>
          <w:tcPr>
            <w:tcW w:w="851" w:type="dxa"/>
            <w:tcBorders>
              <w:top w:val="single" w:color="auto" w:sz="6" w:space="0"/>
              <w:left w:val="single" w:color="auto" w:sz="6" w:space="0"/>
              <w:bottom w:val="single" w:color="auto" w:sz="6" w:space="0"/>
              <w:right w:val="single" w:color="auto" w:sz="6" w:space="0"/>
            </w:tcBorders>
            <w:vAlign w:val="center"/>
          </w:tcPr>
          <w:p w14:paraId="3D1D64BF">
            <w:pPr>
              <w:jc w:val="center"/>
            </w:pPr>
          </w:p>
        </w:tc>
        <w:tc>
          <w:tcPr>
            <w:tcW w:w="851" w:type="dxa"/>
            <w:tcBorders>
              <w:top w:val="single" w:color="auto" w:sz="6" w:space="0"/>
              <w:left w:val="single" w:color="auto" w:sz="6" w:space="0"/>
              <w:bottom w:val="single" w:color="auto" w:sz="6" w:space="0"/>
              <w:right w:val="single" w:color="auto" w:sz="6" w:space="0"/>
            </w:tcBorders>
            <w:vAlign w:val="center"/>
          </w:tcPr>
          <w:p w14:paraId="2BAECCED">
            <w:pPr>
              <w:jc w:val="center"/>
            </w:pPr>
          </w:p>
        </w:tc>
        <w:tc>
          <w:tcPr>
            <w:tcW w:w="1417" w:type="dxa"/>
            <w:tcBorders>
              <w:top w:val="single" w:color="auto" w:sz="6" w:space="0"/>
              <w:left w:val="single" w:color="auto" w:sz="6" w:space="0"/>
              <w:bottom w:val="single" w:color="auto" w:sz="6" w:space="0"/>
              <w:right w:val="single" w:color="auto" w:sz="6" w:space="0"/>
            </w:tcBorders>
            <w:vAlign w:val="center"/>
          </w:tcPr>
          <w:p w14:paraId="6BF87C42">
            <w:pPr>
              <w:jc w:val="center"/>
            </w:pPr>
          </w:p>
        </w:tc>
        <w:tc>
          <w:tcPr>
            <w:tcW w:w="851" w:type="dxa"/>
            <w:tcBorders>
              <w:top w:val="single" w:color="auto" w:sz="6" w:space="0"/>
              <w:left w:val="single" w:color="auto" w:sz="6" w:space="0"/>
              <w:bottom w:val="single" w:color="auto" w:sz="6" w:space="0"/>
              <w:right w:val="single" w:color="auto" w:sz="6" w:space="0"/>
            </w:tcBorders>
            <w:vAlign w:val="center"/>
          </w:tcPr>
          <w:p w14:paraId="36C3D9DA">
            <w:pPr>
              <w:jc w:val="center"/>
            </w:pPr>
          </w:p>
        </w:tc>
        <w:tc>
          <w:tcPr>
            <w:tcW w:w="992" w:type="dxa"/>
            <w:tcBorders>
              <w:top w:val="single" w:color="auto" w:sz="6" w:space="0"/>
              <w:left w:val="single" w:color="auto" w:sz="6" w:space="0"/>
              <w:bottom w:val="single" w:color="auto" w:sz="6" w:space="0"/>
              <w:right w:val="single" w:color="auto" w:sz="6" w:space="0"/>
            </w:tcBorders>
            <w:vAlign w:val="center"/>
          </w:tcPr>
          <w:p w14:paraId="12894D00">
            <w:pPr>
              <w:jc w:val="center"/>
            </w:pPr>
          </w:p>
        </w:tc>
        <w:tc>
          <w:tcPr>
            <w:tcW w:w="992" w:type="dxa"/>
            <w:tcBorders>
              <w:top w:val="single" w:color="auto" w:sz="6" w:space="0"/>
              <w:left w:val="single" w:color="auto" w:sz="6" w:space="0"/>
              <w:bottom w:val="single" w:color="auto" w:sz="6" w:space="0"/>
              <w:right w:val="single" w:color="auto" w:sz="4" w:space="0"/>
            </w:tcBorders>
            <w:vAlign w:val="center"/>
          </w:tcPr>
          <w:p w14:paraId="385BB372">
            <w:pPr>
              <w:jc w:val="center"/>
            </w:pPr>
          </w:p>
        </w:tc>
        <w:tc>
          <w:tcPr>
            <w:tcW w:w="1276" w:type="dxa"/>
            <w:tcBorders>
              <w:top w:val="single" w:color="auto" w:sz="6" w:space="0"/>
              <w:left w:val="single" w:color="auto" w:sz="4" w:space="0"/>
              <w:bottom w:val="single" w:color="auto" w:sz="6" w:space="0"/>
              <w:right w:val="single" w:color="auto" w:sz="6" w:space="0"/>
            </w:tcBorders>
            <w:vAlign w:val="center"/>
          </w:tcPr>
          <w:p w14:paraId="30FFE9F7">
            <w:pPr>
              <w:jc w:val="center"/>
            </w:pPr>
          </w:p>
        </w:tc>
        <w:tc>
          <w:tcPr>
            <w:tcW w:w="1134" w:type="dxa"/>
            <w:tcBorders>
              <w:top w:val="single" w:color="auto" w:sz="6" w:space="0"/>
              <w:left w:val="single" w:color="auto" w:sz="6" w:space="0"/>
              <w:bottom w:val="single" w:color="auto" w:sz="6" w:space="0"/>
              <w:right w:val="single" w:color="auto" w:sz="6" w:space="0"/>
            </w:tcBorders>
            <w:vAlign w:val="center"/>
          </w:tcPr>
          <w:p w14:paraId="64BF827E">
            <w:pPr>
              <w:jc w:val="center"/>
            </w:pPr>
          </w:p>
        </w:tc>
        <w:tc>
          <w:tcPr>
            <w:tcW w:w="992" w:type="dxa"/>
            <w:tcBorders>
              <w:top w:val="single" w:color="auto" w:sz="6" w:space="0"/>
              <w:left w:val="single" w:color="auto" w:sz="6" w:space="0"/>
              <w:bottom w:val="single" w:color="auto" w:sz="6" w:space="0"/>
              <w:right w:val="single" w:color="auto" w:sz="6" w:space="0"/>
            </w:tcBorders>
            <w:vAlign w:val="center"/>
          </w:tcPr>
          <w:p w14:paraId="21FE0CD8">
            <w:pPr>
              <w:jc w:val="center"/>
            </w:pPr>
          </w:p>
        </w:tc>
      </w:tr>
      <w:tr w14:paraId="2C8822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25" w:type="dxa"/>
            <w:left w:w="28" w:type="dxa"/>
            <w:bottom w:w="125" w:type="dxa"/>
            <w:right w:w="28" w:type="dxa"/>
          </w:tblCellMar>
        </w:tblPrEx>
        <w:trPr>
          <w:trHeight w:val="507" w:hRule="atLeast"/>
        </w:trPr>
        <w:tc>
          <w:tcPr>
            <w:tcW w:w="851" w:type="dxa"/>
            <w:tcBorders>
              <w:top w:val="single" w:color="auto" w:sz="6" w:space="0"/>
              <w:left w:val="single" w:color="auto" w:sz="6" w:space="0"/>
              <w:bottom w:val="single" w:color="auto" w:sz="6" w:space="0"/>
              <w:right w:val="single" w:color="auto" w:sz="6" w:space="0"/>
            </w:tcBorders>
            <w:vAlign w:val="center"/>
          </w:tcPr>
          <w:p w14:paraId="5EF6883F">
            <w:pPr>
              <w:jc w:val="center"/>
            </w:pPr>
          </w:p>
        </w:tc>
        <w:tc>
          <w:tcPr>
            <w:tcW w:w="851" w:type="dxa"/>
            <w:tcBorders>
              <w:top w:val="single" w:color="auto" w:sz="6" w:space="0"/>
              <w:left w:val="single" w:color="auto" w:sz="6" w:space="0"/>
              <w:bottom w:val="single" w:color="auto" w:sz="6" w:space="0"/>
              <w:right w:val="single" w:color="auto" w:sz="6" w:space="0"/>
            </w:tcBorders>
            <w:vAlign w:val="center"/>
          </w:tcPr>
          <w:p w14:paraId="32D5CE86">
            <w:pPr>
              <w:jc w:val="center"/>
            </w:pPr>
          </w:p>
        </w:tc>
        <w:tc>
          <w:tcPr>
            <w:tcW w:w="1417" w:type="dxa"/>
            <w:tcBorders>
              <w:top w:val="single" w:color="auto" w:sz="6" w:space="0"/>
              <w:left w:val="single" w:color="auto" w:sz="6" w:space="0"/>
              <w:bottom w:val="single" w:color="auto" w:sz="6" w:space="0"/>
              <w:right w:val="single" w:color="auto" w:sz="6" w:space="0"/>
            </w:tcBorders>
            <w:vAlign w:val="center"/>
          </w:tcPr>
          <w:p w14:paraId="4F60CB43">
            <w:pPr>
              <w:jc w:val="center"/>
            </w:pPr>
          </w:p>
        </w:tc>
        <w:tc>
          <w:tcPr>
            <w:tcW w:w="851" w:type="dxa"/>
            <w:tcBorders>
              <w:top w:val="single" w:color="auto" w:sz="6" w:space="0"/>
              <w:left w:val="single" w:color="auto" w:sz="6" w:space="0"/>
              <w:bottom w:val="single" w:color="auto" w:sz="6" w:space="0"/>
              <w:right w:val="single" w:color="auto" w:sz="6" w:space="0"/>
            </w:tcBorders>
            <w:vAlign w:val="center"/>
          </w:tcPr>
          <w:p w14:paraId="4F62A859">
            <w:pPr>
              <w:jc w:val="center"/>
            </w:pPr>
          </w:p>
        </w:tc>
        <w:tc>
          <w:tcPr>
            <w:tcW w:w="992" w:type="dxa"/>
            <w:tcBorders>
              <w:top w:val="single" w:color="auto" w:sz="6" w:space="0"/>
              <w:left w:val="single" w:color="auto" w:sz="6" w:space="0"/>
              <w:bottom w:val="single" w:color="auto" w:sz="6" w:space="0"/>
              <w:right w:val="single" w:color="auto" w:sz="6" w:space="0"/>
            </w:tcBorders>
            <w:vAlign w:val="center"/>
          </w:tcPr>
          <w:p w14:paraId="16E14476">
            <w:pPr>
              <w:jc w:val="center"/>
            </w:pPr>
          </w:p>
        </w:tc>
        <w:tc>
          <w:tcPr>
            <w:tcW w:w="992" w:type="dxa"/>
            <w:tcBorders>
              <w:top w:val="single" w:color="auto" w:sz="6" w:space="0"/>
              <w:left w:val="single" w:color="auto" w:sz="6" w:space="0"/>
              <w:bottom w:val="single" w:color="auto" w:sz="6" w:space="0"/>
              <w:right w:val="single" w:color="auto" w:sz="6" w:space="0"/>
            </w:tcBorders>
            <w:vAlign w:val="center"/>
          </w:tcPr>
          <w:p w14:paraId="5B0C2C72">
            <w:pPr>
              <w:jc w:val="center"/>
            </w:pPr>
          </w:p>
        </w:tc>
        <w:tc>
          <w:tcPr>
            <w:tcW w:w="1276" w:type="dxa"/>
            <w:tcBorders>
              <w:top w:val="single" w:color="auto" w:sz="6" w:space="0"/>
              <w:left w:val="single" w:color="auto" w:sz="6" w:space="0"/>
              <w:bottom w:val="single" w:color="auto" w:sz="6" w:space="0"/>
              <w:right w:val="single" w:color="auto" w:sz="6" w:space="0"/>
            </w:tcBorders>
            <w:vAlign w:val="center"/>
          </w:tcPr>
          <w:p w14:paraId="7D11F97C">
            <w:pPr>
              <w:jc w:val="center"/>
            </w:pPr>
          </w:p>
        </w:tc>
        <w:tc>
          <w:tcPr>
            <w:tcW w:w="1134" w:type="dxa"/>
            <w:tcBorders>
              <w:top w:val="single" w:color="auto" w:sz="6" w:space="0"/>
              <w:left w:val="single" w:color="auto" w:sz="6" w:space="0"/>
              <w:bottom w:val="single" w:color="auto" w:sz="6" w:space="0"/>
              <w:right w:val="single" w:color="auto" w:sz="6" w:space="0"/>
            </w:tcBorders>
            <w:vAlign w:val="center"/>
          </w:tcPr>
          <w:p w14:paraId="359D15B7">
            <w:pPr>
              <w:jc w:val="center"/>
            </w:pPr>
          </w:p>
        </w:tc>
        <w:tc>
          <w:tcPr>
            <w:tcW w:w="992" w:type="dxa"/>
            <w:tcBorders>
              <w:top w:val="single" w:color="auto" w:sz="6" w:space="0"/>
              <w:left w:val="single" w:color="auto" w:sz="6" w:space="0"/>
              <w:bottom w:val="single" w:color="auto" w:sz="6" w:space="0"/>
              <w:right w:val="single" w:color="auto" w:sz="6" w:space="0"/>
            </w:tcBorders>
            <w:vAlign w:val="center"/>
          </w:tcPr>
          <w:p w14:paraId="6656D722">
            <w:pPr>
              <w:jc w:val="center"/>
            </w:pPr>
          </w:p>
        </w:tc>
      </w:tr>
      <w:tr w14:paraId="637BF5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07" w:hRule="atLeast"/>
        </w:trPr>
        <w:tc>
          <w:tcPr>
            <w:tcW w:w="851" w:type="dxa"/>
            <w:tcBorders>
              <w:top w:val="single" w:color="auto" w:sz="6" w:space="0"/>
              <w:left w:val="single" w:color="auto" w:sz="6" w:space="0"/>
              <w:bottom w:val="single" w:color="auto" w:sz="6" w:space="0"/>
              <w:right w:val="single" w:color="auto" w:sz="6" w:space="0"/>
            </w:tcBorders>
            <w:vAlign w:val="center"/>
          </w:tcPr>
          <w:p w14:paraId="7D9C5DDF">
            <w:pPr>
              <w:jc w:val="center"/>
            </w:pPr>
          </w:p>
        </w:tc>
        <w:tc>
          <w:tcPr>
            <w:tcW w:w="851" w:type="dxa"/>
            <w:tcBorders>
              <w:top w:val="single" w:color="auto" w:sz="6" w:space="0"/>
              <w:left w:val="single" w:color="auto" w:sz="6" w:space="0"/>
              <w:bottom w:val="single" w:color="auto" w:sz="6" w:space="0"/>
              <w:right w:val="single" w:color="auto" w:sz="6" w:space="0"/>
            </w:tcBorders>
            <w:vAlign w:val="center"/>
          </w:tcPr>
          <w:p w14:paraId="72CA2467">
            <w:pPr>
              <w:jc w:val="center"/>
            </w:pPr>
          </w:p>
        </w:tc>
        <w:tc>
          <w:tcPr>
            <w:tcW w:w="1417" w:type="dxa"/>
            <w:tcBorders>
              <w:top w:val="single" w:color="auto" w:sz="6" w:space="0"/>
              <w:left w:val="single" w:color="auto" w:sz="6" w:space="0"/>
              <w:bottom w:val="single" w:color="auto" w:sz="6" w:space="0"/>
              <w:right w:val="single" w:color="auto" w:sz="6" w:space="0"/>
            </w:tcBorders>
            <w:vAlign w:val="center"/>
          </w:tcPr>
          <w:p w14:paraId="4FE36EF0">
            <w:pPr>
              <w:jc w:val="center"/>
            </w:pPr>
          </w:p>
        </w:tc>
        <w:tc>
          <w:tcPr>
            <w:tcW w:w="851" w:type="dxa"/>
            <w:tcBorders>
              <w:top w:val="single" w:color="auto" w:sz="6" w:space="0"/>
              <w:left w:val="single" w:color="auto" w:sz="6" w:space="0"/>
              <w:bottom w:val="single" w:color="auto" w:sz="6" w:space="0"/>
              <w:right w:val="single" w:color="auto" w:sz="6" w:space="0"/>
            </w:tcBorders>
            <w:vAlign w:val="center"/>
          </w:tcPr>
          <w:p w14:paraId="6323E033">
            <w:pPr>
              <w:jc w:val="center"/>
            </w:pPr>
          </w:p>
        </w:tc>
        <w:tc>
          <w:tcPr>
            <w:tcW w:w="992" w:type="dxa"/>
            <w:tcBorders>
              <w:top w:val="single" w:color="auto" w:sz="6" w:space="0"/>
              <w:left w:val="single" w:color="auto" w:sz="6" w:space="0"/>
              <w:bottom w:val="single" w:color="auto" w:sz="6" w:space="0"/>
              <w:right w:val="single" w:color="auto" w:sz="6" w:space="0"/>
            </w:tcBorders>
            <w:vAlign w:val="center"/>
          </w:tcPr>
          <w:p w14:paraId="725CFDC2">
            <w:pPr>
              <w:jc w:val="center"/>
            </w:pPr>
          </w:p>
        </w:tc>
        <w:tc>
          <w:tcPr>
            <w:tcW w:w="992" w:type="dxa"/>
            <w:tcBorders>
              <w:top w:val="single" w:color="auto" w:sz="6" w:space="0"/>
              <w:left w:val="single" w:color="auto" w:sz="6" w:space="0"/>
              <w:bottom w:val="single" w:color="auto" w:sz="6" w:space="0"/>
              <w:right w:val="single" w:color="auto" w:sz="6" w:space="0"/>
            </w:tcBorders>
            <w:vAlign w:val="center"/>
          </w:tcPr>
          <w:p w14:paraId="747FF7A1">
            <w:pPr>
              <w:jc w:val="center"/>
            </w:pPr>
          </w:p>
        </w:tc>
        <w:tc>
          <w:tcPr>
            <w:tcW w:w="1276" w:type="dxa"/>
            <w:tcBorders>
              <w:top w:val="single" w:color="auto" w:sz="6" w:space="0"/>
              <w:left w:val="single" w:color="auto" w:sz="6" w:space="0"/>
              <w:bottom w:val="single" w:color="auto" w:sz="6" w:space="0"/>
              <w:right w:val="single" w:color="auto" w:sz="6" w:space="0"/>
            </w:tcBorders>
            <w:vAlign w:val="center"/>
          </w:tcPr>
          <w:p w14:paraId="6C4BDAF0">
            <w:pPr>
              <w:jc w:val="center"/>
            </w:pPr>
          </w:p>
        </w:tc>
        <w:tc>
          <w:tcPr>
            <w:tcW w:w="1134" w:type="dxa"/>
            <w:tcBorders>
              <w:top w:val="single" w:color="auto" w:sz="6" w:space="0"/>
              <w:left w:val="single" w:color="auto" w:sz="6" w:space="0"/>
              <w:bottom w:val="single" w:color="auto" w:sz="6" w:space="0"/>
              <w:right w:val="single" w:color="auto" w:sz="6" w:space="0"/>
            </w:tcBorders>
            <w:vAlign w:val="center"/>
          </w:tcPr>
          <w:p w14:paraId="351B2858">
            <w:pPr>
              <w:jc w:val="center"/>
            </w:pPr>
          </w:p>
        </w:tc>
        <w:tc>
          <w:tcPr>
            <w:tcW w:w="992" w:type="dxa"/>
            <w:tcBorders>
              <w:top w:val="single" w:color="auto" w:sz="6" w:space="0"/>
              <w:left w:val="single" w:color="auto" w:sz="6" w:space="0"/>
              <w:bottom w:val="single" w:color="auto" w:sz="6" w:space="0"/>
              <w:right w:val="single" w:color="auto" w:sz="6" w:space="0"/>
            </w:tcBorders>
            <w:vAlign w:val="center"/>
          </w:tcPr>
          <w:p w14:paraId="6DE774E2">
            <w:pPr>
              <w:jc w:val="center"/>
            </w:pPr>
          </w:p>
        </w:tc>
      </w:tr>
      <w:tr w14:paraId="6E8136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25" w:type="dxa"/>
            <w:left w:w="28" w:type="dxa"/>
            <w:bottom w:w="125" w:type="dxa"/>
            <w:right w:w="28" w:type="dxa"/>
          </w:tblCellMar>
        </w:tblPrEx>
        <w:trPr>
          <w:trHeight w:val="507" w:hRule="atLeast"/>
        </w:trPr>
        <w:tc>
          <w:tcPr>
            <w:tcW w:w="851" w:type="dxa"/>
            <w:tcBorders>
              <w:top w:val="single" w:color="auto" w:sz="6" w:space="0"/>
              <w:left w:val="single" w:color="auto" w:sz="6" w:space="0"/>
              <w:bottom w:val="single" w:color="auto" w:sz="6" w:space="0"/>
              <w:right w:val="single" w:color="auto" w:sz="6" w:space="0"/>
            </w:tcBorders>
            <w:vAlign w:val="center"/>
          </w:tcPr>
          <w:p w14:paraId="2591319B">
            <w:pPr>
              <w:jc w:val="center"/>
            </w:pPr>
          </w:p>
        </w:tc>
        <w:tc>
          <w:tcPr>
            <w:tcW w:w="851" w:type="dxa"/>
            <w:tcBorders>
              <w:top w:val="single" w:color="auto" w:sz="6" w:space="0"/>
              <w:left w:val="single" w:color="auto" w:sz="6" w:space="0"/>
              <w:bottom w:val="single" w:color="auto" w:sz="6" w:space="0"/>
              <w:right w:val="single" w:color="auto" w:sz="6" w:space="0"/>
            </w:tcBorders>
            <w:vAlign w:val="center"/>
          </w:tcPr>
          <w:p w14:paraId="4E28DE60">
            <w:pPr>
              <w:jc w:val="center"/>
            </w:pPr>
          </w:p>
        </w:tc>
        <w:tc>
          <w:tcPr>
            <w:tcW w:w="1417" w:type="dxa"/>
            <w:tcBorders>
              <w:top w:val="single" w:color="auto" w:sz="6" w:space="0"/>
              <w:left w:val="single" w:color="auto" w:sz="6" w:space="0"/>
              <w:bottom w:val="single" w:color="auto" w:sz="6" w:space="0"/>
              <w:right w:val="single" w:color="auto" w:sz="6" w:space="0"/>
            </w:tcBorders>
            <w:vAlign w:val="center"/>
          </w:tcPr>
          <w:p w14:paraId="10E7E544">
            <w:pPr>
              <w:jc w:val="center"/>
            </w:pPr>
          </w:p>
        </w:tc>
        <w:tc>
          <w:tcPr>
            <w:tcW w:w="851" w:type="dxa"/>
            <w:tcBorders>
              <w:top w:val="single" w:color="auto" w:sz="6" w:space="0"/>
              <w:left w:val="single" w:color="auto" w:sz="6" w:space="0"/>
              <w:bottom w:val="single" w:color="auto" w:sz="6" w:space="0"/>
              <w:right w:val="single" w:color="auto" w:sz="6" w:space="0"/>
            </w:tcBorders>
            <w:vAlign w:val="center"/>
          </w:tcPr>
          <w:p w14:paraId="2B5313C2">
            <w:pPr>
              <w:jc w:val="center"/>
            </w:pPr>
          </w:p>
        </w:tc>
        <w:tc>
          <w:tcPr>
            <w:tcW w:w="992" w:type="dxa"/>
            <w:tcBorders>
              <w:top w:val="single" w:color="auto" w:sz="6" w:space="0"/>
              <w:left w:val="single" w:color="auto" w:sz="6" w:space="0"/>
              <w:bottom w:val="single" w:color="auto" w:sz="6" w:space="0"/>
              <w:right w:val="single" w:color="auto" w:sz="6" w:space="0"/>
            </w:tcBorders>
            <w:vAlign w:val="center"/>
          </w:tcPr>
          <w:p w14:paraId="2D29B9D7">
            <w:pPr>
              <w:jc w:val="center"/>
            </w:pPr>
          </w:p>
        </w:tc>
        <w:tc>
          <w:tcPr>
            <w:tcW w:w="992" w:type="dxa"/>
            <w:tcBorders>
              <w:top w:val="single" w:color="auto" w:sz="6" w:space="0"/>
              <w:left w:val="single" w:color="auto" w:sz="6" w:space="0"/>
              <w:bottom w:val="single" w:color="auto" w:sz="6" w:space="0"/>
              <w:right w:val="single" w:color="auto" w:sz="6" w:space="0"/>
            </w:tcBorders>
            <w:vAlign w:val="center"/>
          </w:tcPr>
          <w:p w14:paraId="34CB4812">
            <w:pPr>
              <w:jc w:val="center"/>
            </w:pPr>
          </w:p>
        </w:tc>
        <w:tc>
          <w:tcPr>
            <w:tcW w:w="1276" w:type="dxa"/>
            <w:tcBorders>
              <w:top w:val="single" w:color="auto" w:sz="6" w:space="0"/>
              <w:left w:val="single" w:color="auto" w:sz="6" w:space="0"/>
              <w:bottom w:val="single" w:color="auto" w:sz="6" w:space="0"/>
              <w:right w:val="single" w:color="auto" w:sz="6" w:space="0"/>
            </w:tcBorders>
            <w:vAlign w:val="center"/>
          </w:tcPr>
          <w:p w14:paraId="7598A1A5">
            <w:pPr>
              <w:jc w:val="center"/>
            </w:pPr>
          </w:p>
        </w:tc>
        <w:tc>
          <w:tcPr>
            <w:tcW w:w="1134" w:type="dxa"/>
            <w:tcBorders>
              <w:top w:val="single" w:color="auto" w:sz="6" w:space="0"/>
              <w:left w:val="single" w:color="auto" w:sz="6" w:space="0"/>
              <w:bottom w:val="single" w:color="auto" w:sz="6" w:space="0"/>
              <w:right w:val="single" w:color="auto" w:sz="6" w:space="0"/>
            </w:tcBorders>
            <w:vAlign w:val="center"/>
          </w:tcPr>
          <w:p w14:paraId="7B7E1F3D">
            <w:pPr>
              <w:jc w:val="center"/>
            </w:pPr>
          </w:p>
        </w:tc>
        <w:tc>
          <w:tcPr>
            <w:tcW w:w="992" w:type="dxa"/>
            <w:tcBorders>
              <w:top w:val="single" w:color="auto" w:sz="6" w:space="0"/>
              <w:left w:val="single" w:color="auto" w:sz="6" w:space="0"/>
              <w:bottom w:val="single" w:color="auto" w:sz="6" w:space="0"/>
              <w:right w:val="single" w:color="auto" w:sz="6" w:space="0"/>
            </w:tcBorders>
            <w:vAlign w:val="center"/>
          </w:tcPr>
          <w:p w14:paraId="3081615F">
            <w:pPr>
              <w:jc w:val="center"/>
            </w:pPr>
          </w:p>
        </w:tc>
      </w:tr>
      <w:tr w14:paraId="176F1A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25" w:type="dxa"/>
            <w:left w:w="28" w:type="dxa"/>
            <w:bottom w:w="125" w:type="dxa"/>
            <w:right w:w="28" w:type="dxa"/>
          </w:tblCellMar>
        </w:tblPrEx>
        <w:trPr>
          <w:trHeight w:val="507" w:hRule="atLeast"/>
        </w:trPr>
        <w:tc>
          <w:tcPr>
            <w:tcW w:w="851" w:type="dxa"/>
            <w:tcBorders>
              <w:top w:val="single" w:color="auto" w:sz="6" w:space="0"/>
              <w:left w:val="single" w:color="auto" w:sz="6" w:space="0"/>
              <w:bottom w:val="single" w:color="auto" w:sz="6" w:space="0"/>
              <w:right w:val="single" w:color="auto" w:sz="6" w:space="0"/>
            </w:tcBorders>
            <w:vAlign w:val="center"/>
          </w:tcPr>
          <w:p w14:paraId="6E232682">
            <w:pPr>
              <w:jc w:val="center"/>
            </w:pPr>
          </w:p>
        </w:tc>
        <w:tc>
          <w:tcPr>
            <w:tcW w:w="851" w:type="dxa"/>
            <w:tcBorders>
              <w:top w:val="single" w:color="auto" w:sz="6" w:space="0"/>
              <w:left w:val="single" w:color="auto" w:sz="6" w:space="0"/>
              <w:bottom w:val="single" w:color="auto" w:sz="6" w:space="0"/>
              <w:right w:val="single" w:color="auto" w:sz="6" w:space="0"/>
            </w:tcBorders>
            <w:vAlign w:val="center"/>
          </w:tcPr>
          <w:p w14:paraId="5589423C">
            <w:pPr>
              <w:jc w:val="center"/>
            </w:pPr>
          </w:p>
        </w:tc>
        <w:tc>
          <w:tcPr>
            <w:tcW w:w="1417" w:type="dxa"/>
            <w:tcBorders>
              <w:top w:val="single" w:color="auto" w:sz="6" w:space="0"/>
              <w:left w:val="single" w:color="auto" w:sz="6" w:space="0"/>
              <w:bottom w:val="single" w:color="auto" w:sz="6" w:space="0"/>
              <w:right w:val="single" w:color="auto" w:sz="6" w:space="0"/>
            </w:tcBorders>
            <w:vAlign w:val="center"/>
          </w:tcPr>
          <w:p w14:paraId="0DBEDF20">
            <w:pPr>
              <w:jc w:val="center"/>
            </w:pPr>
          </w:p>
        </w:tc>
        <w:tc>
          <w:tcPr>
            <w:tcW w:w="851" w:type="dxa"/>
            <w:tcBorders>
              <w:top w:val="single" w:color="auto" w:sz="6" w:space="0"/>
              <w:left w:val="single" w:color="auto" w:sz="6" w:space="0"/>
              <w:bottom w:val="single" w:color="auto" w:sz="6" w:space="0"/>
              <w:right w:val="single" w:color="auto" w:sz="6" w:space="0"/>
            </w:tcBorders>
            <w:vAlign w:val="center"/>
          </w:tcPr>
          <w:p w14:paraId="6E82949B">
            <w:pPr>
              <w:jc w:val="center"/>
            </w:pPr>
          </w:p>
        </w:tc>
        <w:tc>
          <w:tcPr>
            <w:tcW w:w="992" w:type="dxa"/>
            <w:tcBorders>
              <w:top w:val="single" w:color="auto" w:sz="6" w:space="0"/>
              <w:left w:val="single" w:color="auto" w:sz="6" w:space="0"/>
              <w:bottom w:val="single" w:color="auto" w:sz="6" w:space="0"/>
              <w:right w:val="single" w:color="auto" w:sz="6" w:space="0"/>
            </w:tcBorders>
            <w:vAlign w:val="center"/>
          </w:tcPr>
          <w:p w14:paraId="228BF12D">
            <w:pPr>
              <w:jc w:val="center"/>
            </w:pPr>
          </w:p>
        </w:tc>
        <w:tc>
          <w:tcPr>
            <w:tcW w:w="992" w:type="dxa"/>
            <w:tcBorders>
              <w:top w:val="single" w:color="auto" w:sz="6" w:space="0"/>
              <w:left w:val="single" w:color="auto" w:sz="6" w:space="0"/>
              <w:bottom w:val="single" w:color="auto" w:sz="6" w:space="0"/>
              <w:right w:val="single" w:color="auto" w:sz="6" w:space="0"/>
            </w:tcBorders>
            <w:vAlign w:val="center"/>
          </w:tcPr>
          <w:p w14:paraId="6DB0105B">
            <w:pPr>
              <w:jc w:val="center"/>
            </w:pPr>
          </w:p>
        </w:tc>
        <w:tc>
          <w:tcPr>
            <w:tcW w:w="1276" w:type="dxa"/>
            <w:tcBorders>
              <w:top w:val="single" w:color="auto" w:sz="6" w:space="0"/>
              <w:left w:val="single" w:color="auto" w:sz="6" w:space="0"/>
              <w:bottom w:val="single" w:color="auto" w:sz="6" w:space="0"/>
              <w:right w:val="single" w:color="auto" w:sz="6" w:space="0"/>
            </w:tcBorders>
            <w:vAlign w:val="center"/>
          </w:tcPr>
          <w:p w14:paraId="16705811">
            <w:pPr>
              <w:jc w:val="center"/>
            </w:pPr>
          </w:p>
        </w:tc>
        <w:tc>
          <w:tcPr>
            <w:tcW w:w="1134" w:type="dxa"/>
            <w:tcBorders>
              <w:top w:val="single" w:color="auto" w:sz="6" w:space="0"/>
              <w:left w:val="single" w:color="auto" w:sz="6" w:space="0"/>
              <w:bottom w:val="single" w:color="auto" w:sz="6" w:space="0"/>
              <w:right w:val="single" w:color="auto" w:sz="6" w:space="0"/>
            </w:tcBorders>
            <w:vAlign w:val="center"/>
          </w:tcPr>
          <w:p w14:paraId="6EEF31F4">
            <w:pPr>
              <w:jc w:val="center"/>
            </w:pPr>
          </w:p>
        </w:tc>
        <w:tc>
          <w:tcPr>
            <w:tcW w:w="992" w:type="dxa"/>
            <w:tcBorders>
              <w:top w:val="single" w:color="auto" w:sz="6" w:space="0"/>
              <w:left w:val="single" w:color="auto" w:sz="6" w:space="0"/>
              <w:bottom w:val="single" w:color="auto" w:sz="6" w:space="0"/>
              <w:right w:val="single" w:color="auto" w:sz="6" w:space="0"/>
            </w:tcBorders>
            <w:vAlign w:val="center"/>
          </w:tcPr>
          <w:p w14:paraId="695C5D2B">
            <w:pPr>
              <w:jc w:val="center"/>
            </w:pPr>
          </w:p>
        </w:tc>
      </w:tr>
      <w:tr w14:paraId="1FDB39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25" w:type="dxa"/>
            <w:left w:w="28" w:type="dxa"/>
            <w:bottom w:w="125" w:type="dxa"/>
            <w:right w:w="28" w:type="dxa"/>
          </w:tblCellMar>
        </w:tblPrEx>
        <w:trPr>
          <w:trHeight w:val="507" w:hRule="atLeast"/>
        </w:trPr>
        <w:tc>
          <w:tcPr>
            <w:tcW w:w="851" w:type="dxa"/>
            <w:tcBorders>
              <w:top w:val="single" w:color="auto" w:sz="6" w:space="0"/>
              <w:left w:val="single" w:color="auto" w:sz="6" w:space="0"/>
              <w:bottom w:val="single" w:color="auto" w:sz="6" w:space="0"/>
              <w:right w:val="single" w:color="auto" w:sz="6" w:space="0"/>
            </w:tcBorders>
            <w:vAlign w:val="center"/>
          </w:tcPr>
          <w:p w14:paraId="1C56BA32">
            <w:pPr>
              <w:jc w:val="center"/>
            </w:pPr>
          </w:p>
        </w:tc>
        <w:tc>
          <w:tcPr>
            <w:tcW w:w="851" w:type="dxa"/>
            <w:tcBorders>
              <w:top w:val="single" w:color="auto" w:sz="6" w:space="0"/>
              <w:left w:val="single" w:color="auto" w:sz="6" w:space="0"/>
              <w:bottom w:val="single" w:color="auto" w:sz="6" w:space="0"/>
              <w:right w:val="single" w:color="auto" w:sz="6" w:space="0"/>
            </w:tcBorders>
            <w:vAlign w:val="center"/>
          </w:tcPr>
          <w:p w14:paraId="4631D2C6">
            <w:pPr>
              <w:jc w:val="center"/>
            </w:pPr>
          </w:p>
        </w:tc>
        <w:tc>
          <w:tcPr>
            <w:tcW w:w="1417" w:type="dxa"/>
            <w:tcBorders>
              <w:top w:val="single" w:color="auto" w:sz="6" w:space="0"/>
              <w:left w:val="single" w:color="auto" w:sz="6" w:space="0"/>
              <w:bottom w:val="single" w:color="auto" w:sz="6" w:space="0"/>
              <w:right w:val="single" w:color="auto" w:sz="6" w:space="0"/>
            </w:tcBorders>
            <w:vAlign w:val="center"/>
          </w:tcPr>
          <w:p w14:paraId="006FE221">
            <w:pPr>
              <w:jc w:val="center"/>
            </w:pPr>
          </w:p>
        </w:tc>
        <w:tc>
          <w:tcPr>
            <w:tcW w:w="851" w:type="dxa"/>
            <w:tcBorders>
              <w:top w:val="single" w:color="auto" w:sz="6" w:space="0"/>
              <w:left w:val="single" w:color="auto" w:sz="6" w:space="0"/>
              <w:bottom w:val="single" w:color="auto" w:sz="6" w:space="0"/>
              <w:right w:val="single" w:color="auto" w:sz="6" w:space="0"/>
            </w:tcBorders>
            <w:vAlign w:val="center"/>
          </w:tcPr>
          <w:p w14:paraId="5F42CA8D">
            <w:pPr>
              <w:jc w:val="center"/>
            </w:pPr>
          </w:p>
        </w:tc>
        <w:tc>
          <w:tcPr>
            <w:tcW w:w="992" w:type="dxa"/>
            <w:tcBorders>
              <w:top w:val="single" w:color="auto" w:sz="6" w:space="0"/>
              <w:left w:val="single" w:color="auto" w:sz="6" w:space="0"/>
              <w:bottom w:val="single" w:color="auto" w:sz="6" w:space="0"/>
              <w:right w:val="single" w:color="auto" w:sz="6" w:space="0"/>
            </w:tcBorders>
            <w:vAlign w:val="center"/>
          </w:tcPr>
          <w:p w14:paraId="206176C4">
            <w:pPr>
              <w:jc w:val="center"/>
            </w:pPr>
          </w:p>
        </w:tc>
        <w:tc>
          <w:tcPr>
            <w:tcW w:w="992" w:type="dxa"/>
            <w:tcBorders>
              <w:top w:val="single" w:color="auto" w:sz="6" w:space="0"/>
              <w:left w:val="single" w:color="auto" w:sz="6" w:space="0"/>
              <w:bottom w:val="single" w:color="auto" w:sz="6" w:space="0"/>
              <w:right w:val="single" w:color="auto" w:sz="6" w:space="0"/>
            </w:tcBorders>
            <w:vAlign w:val="center"/>
          </w:tcPr>
          <w:p w14:paraId="5615FF97">
            <w:pPr>
              <w:jc w:val="center"/>
            </w:pPr>
          </w:p>
        </w:tc>
        <w:tc>
          <w:tcPr>
            <w:tcW w:w="1276" w:type="dxa"/>
            <w:tcBorders>
              <w:top w:val="single" w:color="auto" w:sz="6" w:space="0"/>
              <w:left w:val="single" w:color="auto" w:sz="6" w:space="0"/>
              <w:bottom w:val="single" w:color="auto" w:sz="6" w:space="0"/>
              <w:right w:val="single" w:color="auto" w:sz="6" w:space="0"/>
            </w:tcBorders>
            <w:vAlign w:val="center"/>
          </w:tcPr>
          <w:p w14:paraId="24FB1B26">
            <w:pPr>
              <w:jc w:val="center"/>
            </w:pPr>
          </w:p>
        </w:tc>
        <w:tc>
          <w:tcPr>
            <w:tcW w:w="1134" w:type="dxa"/>
            <w:tcBorders>
              <w:top w:val="single" w:color="auto" w:sz="6" w:space="0"/>
              <w:left w:val="single" w:color="auto" w:sz="6" w:space="0"/>
              <w:bottom w:val="single" w:color="auto" w:sz="6" w:space="0"/>
              <w:right w:val="single" w:color="auto" w:sz="6" w:space="0"/>
            </w:tcBorders>
            <w:vAlign w:val="center"/>
          </w:tcPr>
          <w:p w14:paraId="504D4BBB">
            <w:pPr>
              <w:jc w:val="center"/>
            </w:pPr>
          </w:p>
        </w:tc>
        <w:tc>
          <w:tcPr>
            <w:tcW w:w="992" w:type="dxa"/>
            <w:tcBorders>
              <w:top w:val="single" w:color="auto" w:sz="6" w:space="0"/>
              <w:left w:val="single" w:color="auto" w:sz="6" w:space="0"/>
              <w:bottom w:val="single" w:color="auto" w:sz="6" w:space="0"/>
              <w:right w:val="single" w:color="auto" w:sz="6" w:space="0"/>
            </w:tcBorders>
            <w:vAlign w:val="center"/>
          </w:tcPr>
          <w:p w14:paraId="405F3759">
            <w:pPr>
              <w:jc w:val="center"/>
            </w:pPr>
          </w:p>
        </w:tc>
      </w:tr>
      <w:tr w14:paraId="439E93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25" w:type="dxa"/>
            <w:left w:w="28" w:type="dxa"/>
            <w:bottom w:w="125" w:type="dxa"/>
            <w:right w:w="28" w:type="dxa"/>
          </w:tblCellMar>
        </w:tblPrEx>
        <w:trPr>
          <w:trHeight w:val="507" w:hRule="atLeast"/>
        </w:trPr>
        <w:tc>
          <w:tcPr>
            <w:tcW w:w="1702" w:type="dxa"/>
            <w:gridSpan w:val="2"/>
            <w:vMerge w:val="restart"/>
            <w:tcBorders>
              <w:top w:val="single" w:color="auto" w:sz="6" w:space="0"/>
              <w:left w:val="single" w:color="auto" w:sz="6" w:space="0"/>
              <w:right w:val="single" w:color="auto" w:sz="6" w:space="0"/>
            </w:tcBorders>
            <w:vAlign w:val="center"/>
          </w:tcPr>
          <w:p w14:paraId="382D9079">
            <w:pPr>
              <w:jc w:val="center"/>
            </w:pPr>
            <w:r>
              <w:rPr>
                <w:rFonts w:hint="eastAsia"/>
              </w:rPr>
              <w:t>施工单位</w:t>
            </w:r>
          </w:p>
        </w:tc>
        <w:tc>
          <w:tcPr>
            <w:tcW w:w="4252" w:type="dxa"/>
            <w:gridSpan w:val="4"/>
            <w:tcBorders>
              <w:top w:val="single" w:color="auto" w:sz="6" w:space="0"/>
              <w:left w:val="single" w:color="auto" w:sz="6" w:space="0"/>
              <w:bottom w:val="single" w:color="auto" w:sz="6" w:space="0"/>
              <w:right w:val="single" w:color="auto" w:sz="6" w:space="0"/>
            </w:tcBorders>
            <w:vAlign w:val="center"/>
          </w:tcPr>
          <w:p w14:paraId="470C47F9">
            <w:pPr>
              <w:jc w:val="center"/>
            </w:pPr>
            <w:r>
              <w:rPr>
                <w:rFonts w:hint="eastAsia"/>
              </w:rPr>
              <w:t>电气技术人员</w:t>
            </w:r>
          </w:p>
        </w:tc>
        <w:tc>
          <w:tcPr>
            <w:tcW w:w="3402" w:type="dxa"/>
            <w:gridSpan w:val="3"/>
            <w:tcBorders>
              <w:top w:val="single" w:color="auto" w:sz="6" w:space="0"/>
              <w:left w:val="single" w:color="auto" w:sz="6" w:space="0"/>
              <w:bottom w:val="single" w:color="auto" w:sz="6" w:space="0"/>
              <w:right w:val="single" w:color="auto" w:sz="6" w:space="0"/>
            </w:tcBorders>
            <w:vAlign w:val="center"/>
          </w:tcPr>
          <w:p w14:paraId="3D320961">
            <w:pPr>
              <w:jc w:val="center"/>
            </w:pPr>
            <w:r>
              <w:rPr>
                <w:rFonts w:hint="eastAsia"/>
              </w:rPr>
              <w:t>测试电工（两人）</w:t>
            </w:r>
          </w:p>
        </w:tc>
      </w:tr>
      <w:tr w14:paraId="0575E7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25" w:type="dxa"/>
            <w:left w:w="28" w:type="dxa"/>
            <w:bottom w:w="125" w:type="dxa"/>
            <w:right w:w="28" w:type="dxa"/>
          </w:tblCellMar>
        </w:tblPrEx>
        <w:trPr>
          <w:trHeight w:val="417" w:hRule="atLeast"/>
        </w:trPr>
        <w:tc>
          <w:tcPr>
            <w:tcW w:w="1702" w:type="dxa"/>
            <w:gridSpan w:val="2"/>
            <w:vMerge w:val="continue"/>
            <w:tcBorders>
              <w:left w:val="single" w:color="auto" w:sz="6" w:space="0"/>
              <w:bottom w:val="single" w:color="auto" w:sz="6" w:space="0"/>
              <w:right w:val="single" w:color="auto" w:sz="6" w:space="0"/>
            </w:tcBorders>
            <w:vAlign w:val="center"/>
          </w:tcPr>
          <w:p w14:paraId="35921C3F">
            <w:pPr>
              <w:jc w:val="center"/>
            </w:pPr>
          </w:p>
        </w:tc>
        <w:tc>
          <w:tcPr>
            <w:tcW w:w="4252" w:type="dxa"/>
            <w:gridSpan w:val="4"/>
            <w:tcBorders>
              <w:top w:val="single" w:color="auto" w:sz="6" w:space="0"/>
              <w:left w:val="single" w:color="auto" w:sz="6" w:space="0"/>
              <w:bottom w:val="single" w:color="auto" w:sz="6" w:space="0"/>
              <w:right w:val="single" w:color="auto" w:sz="6" w:space="0"/>
            </w:tcBorders>
            <w:vAlign w:val="center"/>
          </w:tcPr>
          <w:p w14:paraId="41525C6D">
            <w:pPr>
              <w:jc w:val="center"/>
            </w:pPr>
          </w:p>
        </w:tc>
        <w:tc>
          <w:tcPr>
            <w:tcW w:w="3402" w:type="dxa"/>
            <w:gridSpan w:val="3"/>
            <w:tcBorders>
              <w:top w:val="single" w:color="auto" w:sz="6" w:space="0"/>
              <w:left w:val="single" w:color="auto" w:sz="6" w:space="0"/>
              <w:bottom w:val="single" w:color="auto" w:sz="6" w:space="0"/>
              <w:right w:val="single" w:color="auto" w:sz="6" w:space="0"/>
            </w:tcBorders>
            <w:vAlign w:val="center"/>
          </w:tcPr>
          <w:p w14:paraId="0FB09CA4">
            <w:pPr>
              <w:jc w:val="center"/>
            </w:pPr>
          </w:p>
        </w:tc>
      </w:tr>
      <w:tr w14:paraId="7C5F4C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25" w:type="dxa"/>
            <w:left w:w="28" w:type="dxa"/>
            <w:bottom w:w="125" w:type="dxa"/>
            <w:right w:w="28" w:type="dxa"/>
          </w:tblCellMar>
        </w:tblPrEx>
        <w:trPr>
          <w:trHeight w:val="867" w:hRule="atLeast"/>
        </w:trPr>
        <w:tc>
          <w:tcPr>
            <w:tcW w:w="9356" w:type="dxa"/>
            <w:gridSpan w:val="9"/>
            <w:tcBorders>
              <w:top w:val="single" w:color="auto" w:sz="6" w:space="0"/>
              <w:left w:val="single" w:color="auto" w:sz="6" w:space="0"/>
              <w:bottom w:val="single" w:color="auto" w:sz="4" w:space="0"/>
              <w:right w:val="single" w:color="auto" w:sz="6" w:space="0"/>
            </w:tcBorders>
            <w:vAlign w:val="center"/>
          </w:tcPr>
          <w:p w14:paraId="1736E611">
            <w:r>
              <w:rPr>
                <w:rFonts w:hint="eastAsia"/>
              </w:rPr>
              <w:t>监理单位：</w:t>
            </w:r>
          </w:p>
          <w:p w14:paraId="3024C808">
            <w:pPr>
              <w:jc w:val="center"/>
            </w:pPr>
          </w:p>
          <w:p w14:paraId="0E1ABB0B">
            <w:pPr>
              <w:ind w:firstLine="5460" w:firstLineChars="2600"/>
            </w:pPr>
            <w:r>
              <w:rPr>
                <w:rFonts w:hint="eastAsia"/>
              </w:rPr>
              <w:t>专业监理工程师（签字）：</w:t>
            </w:r>
            <w:r>
              <w:t xml:space="preserve">                                           </w:t>
            </w:r>
          </w:p>
          <w:p w14:paraId="32864A32">
            <w:r>
              <w:t xml:space="preserve">                                                  </w:t>
            </w:r>
          </w:p>
          <w:p w14:paraId="64D938A7">
            <w:pPr>
              <w:ind w:firstLine="5880" w:firstLineChars="2800"/>
            </w:pPr>
            <w:r>
              <w:rPr>
                <w:rFonts w:hint="eastAsia"/>
              </w:rPr>
              <w:t>年</w:t>
            </w:r>
            <w:r>
              <w:t xml:space="preserve">    </w:t>
            </w:r>
            <w:r>
              <w:rPr>
                <w:rFonts w:hint="eastAsia"/>
              </w:rPr>
              <w:t>月</w:t>
            </w:r>
            <w:r>
              <w:t xml:space="preserve">    </w:t>
            </w:r>
            <w:r>
              <w:rPr>
                <w:rFonts w:hint="eastAsia"/>
              </w:rPr>
              <w:t>日</w:t>
            </w:r>
          </w:p>
        </w:tc>
      </w:tr>
      <w:bookmarkEnd w:id="647"/>
    </w:tbl>
    <w:p w14:paraId="6F0162A0">
      <w:pPr>
        <w:ind w:firstLine="210" w:firstLineChars="100"/>
      </w:pPr>
      <w:r>
        <w:rPr>
          <w:rFonts w:hint="eastAsia"/>
        </w:rPr>
        <w:t>注：本表由施工单位填写；一式两份，监理单位、施工单位各留存一份。</w:t>
      </w:r>
    </w:p>
    <w:p w14:paraId="2331820C">
      <w:pPr>
        <w:pageBreakBefore/>
        <w:spacing w:before="120" w:beforeLines="50" w:after="120" w:line="300" w:lineRule="auto"/>
        <w:jc w:val="center"/>
        <w:outlineLvl w:val="0"/>
        <w:rPr>
          <w:rFonts w:hint="eastAsia" w:ascii="黑体" w:hAnsi="黑体" w:eastAsia="黑体"/>
          <w:color w:val="000000"/>
          <w:sz w:val="30"/>
          <w:szCs w:val="30"/>
        </w:rPr>
      </w:pPr>
      <w:bookmarkStart w:id="648" w:name="_Toc24769"/>
      <w:r>
        <w:rPr>
          <w:rFonts w:hint="eastAsia" w:ascii="黑体" w:hAnsi="黑体" w:eastAsia="黑体"/>
          <w:color w:val="000000"/>
          <w:sz w:val="30"/>
          <w:szCs w:val="30"/>
        </w:rPr>
        <w:t>本标准用词说明</w:t>
      </w:r>
      <w:bookmarkEnd w:id="630"/>
      <w:bookmarkEnd w:id="631"/>
      <w:bookmarkEnd w:id="648"/>
    </w:p>
    <w:p w14:paraId="3D56CBD2">
      <w:pPr>
        <w:kinsoku w:val="0"/>
        <w:overflowPunct w:val="0"/>
        <w:autoSpaceDE w:val="0"/>
        <w:autoSpaceDN w:val="0"/>
        <w:adjustRightInd w:val="0"/>
        <w:spacing w:before="120" w:after="160" w:line="300" w:lineRule="auto"/>
        <w:ind w:firstLine="480" w:firstLineChars="200"/>
        <w:jc w:val="left"/>
        <w:rPr>
          <w:rFonts w:hint="eastAsia" w:ascii="宋体" w:hAnsi="宋体" w:cs="微软雅黑"/>
          <w:color w:val="000000"/>
          <w:kern w:val="0"/>
          <w:sz w:val="24"/>
        </w:rPr>
      </w:pPr>
      <w:r>
        <w:rPr>
          <w:rFonts w:cs="Courier New"/>
          <w:color w:val="000000"/>
          <w:sz w:val="24"/>
        </w:rPr>
        <w:t>1</w:t>
      </w:r>
      <w:r>
        <w:rPr>
          <w:rFonts w:hint="eastAsia" w:ascii="宋体" w:hAnsi="宋体" w:cs="微软雅黑"/>
          <w:bCs/>
          <w:color w:val="000000"/>
          <w:kern w:val="0"/>
          <w:sz w:val="24"/>
        </w:rPr>
        <w:t xml:space="preserve"> </w:t>
      </w:r>
      <w:r>
        <w:rPr>
          <w:rFonts w:hint="eastAsia" w:ascii="宋体" w:hAnsi="宋体" w:cs="微软雅黑"/>
          <w:color w:val="000000"/>
          <w:kern w:val="0"/>
          <w:sz w:val="24"/>
        </w:rPr>
        <w:t>为便于在执行本标准条文时区别对待，对要求严格程度不同的用词说明如下：</w:t>
      </w:r>
    </w:p>
    <w:p w14:paraId="45D5F960">
      <w:pPr>
        <w:kinsoku w:val="0"/>
        <w:overflowPunct w:val="0"/>
        <w:autoSpaceDE w:val="0"/>
        <w:autoSpaceDN w:val="0"/>
        <w:adjustRightInd w:val="0"/>
        <w:spacing w:before="120" w:after="160" w:line="300" w:lineRule="auto"/>
        <w:ind w:firstLine="720" w:firstLineChars="300"/>
        <w:jc w:val="left"/>
        <w:rPr>
          <w:rFonts w:hint="eastAsia" w:ascii="宋体" w:hAnsi="宋体" w:cs="微软雅黑"/>
          <w:color w:val="000000"/>
          <w:kern w:val="0"/>
          <w:sz w:val="24"/>
        </w:rPr>
      </w:pPr>
      <w:r>
        <w:rPr>
          <w:rFonts w:cs="Courier New"/>
          <w:color w:val="000000"/>
          <w:sz w:val="24"/>
        </w:rPr>
        <w:t>1)</w:t>
      </w:r>
      <w:r>
        <w:rPr>
          <w:rFonts w:hint="eastAsia" w:ascii="宋体" w:hAnsi="宋体"/>
          <w:bCs/>
          <w:color w:val="000000"/>
          <w:kern w:val="0"/>
          <w:sz w:val="24"/>
        </w:rPr>
        <w:t xml:space="preserve"> </w:t>
      </w:r>
      <w:r>
        <w:rPr>
          <w:rFonts w:hint="eastAsia" w:ascii="宋体" w:hAnsi="宋体" w:cs="微软雅黑"/>
          <w:color w:val="000000"/>
          <w:kern w:val="0"/>
          <w:sz w:val="24"/>
        </w:rPr>
        <w:t>表示很严格,非这样做不可的：</w:t>
      </w:r>
    </w:p>
    <w:p w14:paraId="3CCCB9A8">
      <w:pPr>
        <w:kinsoku w:val="0"/>
        <w:overflowPunct w:val="0"/>
        <w:autoSpaceDE w:val="0"/>
        <w:autoSpaceDN w:val="0"/>
        <w:adjustRightInd w:val="0"/>
        <w:spacing w:before="120" w:after="160" w:line="300" w:lineRule="auto"/>
        <w:ind w:firstLine="1080" w:firstLineChars="450"/>
        <w:jc w:val="left"/>
        <w:rPr>
          <w:rFonts w:hint="eastAsia" w:ascii="宋体" w:hAnsi="宋体" w:cs="微软雅黑"/>
          <w:color w:val="000000"/>
          <w:kern w:val="0"/>
          <w:sz w:val="24"/>
        </w:rPr>
      </w:pPr>
      <w:r>
        <w:rPr>
          <w:rFonts w:hint="eastAsia" w:ascii="宋体" w:hAnsi="宋体" w:cs="微软雅黑"/>
          <w:color w:val="000000"/>
          <w:kern w:val="0"/>
          <w:sz w:val="24"/>
        </w:rPr>
        <w:t>正面词采用“必须”，反面词采用“严禁”；</w:t>
      </w:r>
    </w:p>
    <w:p w14:paraId="14FB3D72">
      <w:pPr>
        <w:kinsoku w:val="0"/>
        <w:overflowPunct w:val="0"/>
        <w:autoSpaceDE w:val="0"/>
        <w:autoSpaceDN w:val="0"/>
        <w:adjustRightInd w:val="0"/>
        <w:spacing w:before="120" w:after="160" w:line="300" w:lineRule="auto"/>
        <w:ind w:firstLine="720" w:firstLineChars="300"/>
        <w:jc w:val="left"/>
        <w:rPr>
          <w:rFonts w:hint="eastAsia" w:ascii="宋体" w:hAnsi="宋体"/>
          <w:bCs/>
          <w:color w:val="000000"/>
          <w:kern w:val="0"/>
          <w:sz w:val="24"/>
        </w:rPr>
      </w:pPr>
      <w:r>
        <w:rPr>
          <w:rFonts w:cs="Courier New"/>
          <w:color w:val="000000"/>
          <w:sz w:val="24"/>
        </w:rPr>
        <w:t>2)</w:t>
      </w:r>
      <w:r>
        <w:rPr>
          <w:rFonts w:hint="eastAsia" w:ascii="宋体" w:hAnsi="宋体"/>
          <w:bCs/>
          <w:color w:val="000000"/>
          <w:kern w:val="0"/>
          <w:sz w:val="24"/>
        </w:rPr>
        <w:t xml:space="preserve"> 表示严格,在正常情况下均应这样做的：</w:t>
      </w:r>
    </w:p>
    <w:p w14:paraId="057108F9">
      <w:pPr>
        <w:kinsoku w:val="0"/>
        <w:overflowPunct w:val="0"/>
        <w:autoSpaceDE w:val="0"/>
        <w:autoSpaceDN w:val="0"/>
        <w:adjustRightInd w:val="0"/>
        <w:spacing w:before="120" w:after="160" w:line="300" w:lineRule="auto"/>
        <w:ind w:firstLine="1080" w:firstLineChars="450"/>
        <w:jc w:val="left"/>
        <w:rPr>
          <w:rFonts w:hint="eastAsia" w:ascii="宋体" w:hAnsi="宋体" w:cs="微软雅黑"/>
          <w:color w:val="000000"/>
          <w:kern w:val="0"/>
          <w:sz w:val="24"/>
        </w:rPr>
      </w:pPr>
      <w:r>
        <w:rPr>
          <w:rFonts w:hint="eastAsia" w:ascii="宋体" w:hAnsi="宋体" w:cs="微软雅黑"/>
          <w:color w:val="000000"/>
          <w:kern w:val="0"/>
          <w:sz w:val="24"/>
        </w:rPr>
        <w:t>正面词采用“应”，反面词采用“不应”或“不得”；</w:t>
      </w:r>
    </w:p>
    <w:p w14:paraId="5C71E1AB">
      <w:pPr>
        <w:kinsoku w:val="0"/>
        <w:overflowPunct w:val="0"/>
        <w:autoSpaceDE w:val="0"/>
        <w:autoSpaceDN w:val="0"/>
        <w:adjustRightInd w:val="0"/>
        <w:spacing w:before="120" w:after="160" w:line="300" w:lineRule="auto"/>
        <w:ind w:firstLine="720" w:firstLineChars="300"/>
        <w:jc w:val="left"/>
        <w:rPr>
          <w:rFonts w:hint="eastAsia" w:ascii="宋体" w:hAnsi="宋体"/>
          <w:bCs/>
          <w:color w:val="000000"/>
          <w:kern w:val="0"/>
          <w:sz w:val="24"/>
        </w:rPr>
      </w:pPr>
      <w:r>
        <w:rPr>
          <w:rFonts w:cs="Courier New"/>
          <w:color w:val="000000"/>
          <w:sz w:val="24"/>
        </w:rPr>
        <w:t>3)</w:t>
      </w:r>
      <w:r>
        <w:rPr>
          <w:rFonts w:ascii="宋体" w:hAnsi="宋体"/>
          <w:bCs/>
          <w:color w:val="000000"/>
          <w:kern w:val="0"/>
          <w:sz w:val="24"/>
        </w:rPr>
        <w:t xml:space="preserve"> </w:t>
      </w:r>
      <w:r>
        <w:rPr>
          <w:rFonts w:hint="eastAsia" w:ascii="宋体" w:hAnsi="宋体"/>
          <w:bCs/>
          <w:color w:val="000000"/>
          <w:kern w:val="0"/>
          <w:sz w:val="24"/>
        </w:rPr>
        <w:t>表示允许稍有选择，在条件许可时首先应这样做的：</w:t>
      </w:r>
    </w:p>
    <w:p w14:paraId="17EB3337">
      <w:pPr>
        <w:kinsoku w:val="0"/>
        <w:overflowPunct w:val="0"/>
        <w:autoSpaceDE w:val="0"/>
        <w:autoSpaceDN w:val="0"/>
        <w:adjustRightInd w:val="0"/>
        <w:spacing w:before="120" w:after="160" w:line="300" w:lineRule="auto"/>
        <w:ind w:firstLine="1080" w:firstLineChars="450"/>
        <w:jc w:val="left"/>
        <w:rPr>
          <w:rFonts w:hint="eastAsia" w:ascii="宋体" w:hAnsi="宋体" w:cs="微软雅黑"/>
          <w:color w:val="000000"/>
          <w:kern w:val="0"/>
          <w:sz w:val="24"/>
        </w:rPr>
      </w:pPr>
      <w:r>
        <w:rPr>
          <w:rFonts w:hint="eastAsia" w:ascii="宋体" w:hAnsi="宋体" w:cs="微软雅黑"/>
          <w:color w:val="000000"/>
          <w:kern w:val="0"/>
          <w:sz w:val="24"/>
        </w:rPr>
        <w:t>正面词采用“宜”，反面词采用“不宜”；</w:t>
      </w:r>
    </w:p>
    <w:p w14:paraId="35189382">
      <w:pPr>
        <w:kinsoku w:val="0"/>
        <w:overflowPunct w:val="0"/>
        <w:autoSpaceDE w:val="0"/>
        <w:autoSpaceDN w:val="0"/>
        <w:adjustRightInd w:val="0"/>
        <w:spacing w:before="120" w:after="160" w:line="300" w:lineRule="auto"/>
        <w:ind w:firstLine="720" w:firstLineChars="300"/>
        <w:jc w:val="left"/>
        <w:rPr>
          <w:rFonts w:hint="eastAsia" w:ascii="宋体" w:hAnsi="宋体"/>
          <w:bCs/>
          <w:color w:val="000000"/>
          <w:kern w:val="0"/>
          <w:sz w:val="24"/>
        </w:rPr>
      </w:pPr>
      <w:r>
        <w:rPr>
          <w:rFonts w:cs="Courier New"/>
          <w:color w:val="000000"/>
          <w:sz w:val="24"/>
        </w:rPr>
        <w:t>4)</w:t>
      </w:r>
      <w:r>
        <w:rPr>
          <w:rFonts w:ascii="宋体" w:hAnsi="宋体"/>
          <w:bCs/>
          <w:color w:val="000000"/>
          <w:kern w:val="0"/>
          <w:sz w:val="24"/>
        </w:rPr>
        <w:t xml:space="preserve"> </w:t>
      </w:r>
      <w:r>
        <w:rPr>
          <w:rFonts w:hint="eastAsia" w:ascii="宋体" w:hAnsi="宋体"/>
          <w:bCs/>
          <w:color w:val="000000"/>
          <w:kern w:val="0"/>
          <w:sz w:val="24"/>
        </w:rPr>
        <w:t>表示有选择，在一定条件下可以这样做的用词：采用“可”。</w:t>
      </w:r>
    </w:p>
    <w:p w14:paraId="0ADFA37E">
      <w:pPr>
        <w:kinsoku w:val="0"/>
        <w:overflowPunct w:val="0"/>
        <w:autoSpaceDE w:val="0"/>
        <w:autoSpaceDN w:val="0"/>
        <w:adjustRightInd w:val="0"/>
        <w:spacing w:before="120" w:after="160" w:line="300" w:lineRule="auto"/>
        <w:ind w:firstLine="480" w:firstLineChars="200"/>
        <w:jc w:val="left"/>
        <w:rPr>
          <w:bCs/>
          <w:color w:val="000000"/>
          <w:kern w:val="0"/>
          <w:sz w:val="24"/>
        </w:rPr>
      </w:pPr>
      <w:r>
        <w:rPr>
          <w:rFonts w:cs="Courier New"/>
          <w:color w:val="000000"/>
          <w:sz w:val="24"/>
        </w:rPr>
        <w:t>2</w:t>
      </w:r>
      <w:r>
        <w:rPr>
          <w:rFonts w:hint="eastAsia"/>
          <w:bCs/>
          <w:color w:val="000000"/>
          <w:kern w:val="0"/>
          <w:sz w:val="24"/>
        </w:rPr>
        <w:t xml:space="preserve"> 条文中指明应按其他有关标准执行的写法为：“应符合……的规定”或“应按……执行”。</w:t>
      </w:r>
    </w:p>
    <w:p w14:paraId="408FD444">
      <w:pPr>
        <w:rPr>
          <w:b/>
          <w:sz w:val="32"/>
          <w:szCs w:val="32"/>
        </w:rPr>
      </w:pPr>
      <w:r>
        <w:rPr>
          <w:rFonts w:hint="eastAsia"/>
          <w:b/>
          <w:sz w:val="32"/>
          <w:szCs w:val="32"/>
        </w:rPr>
        <w:br w:type="page"/>
      </w:r>
    </w:p>
    <w:p w14:paraId="68CF1715">
      <w:pPr>
        <w:jc w:val="center"/>
        <w:outlineLvl w:val="0"/>
        <w:rPr>
          <w:rFonts w:hint="eastAsia" w:ascii="黑体" w:hAnsi="黑体" w:eastAsia="黑体" w:cs="黑体"/>
          <w:b/>
          <w:bCs/>
          <w:sz w:val="28"/>
          <w:szCs w:val="28"/>
        </w:rPr>
      </w:pPr>
      <w:bookmarkStart w:id="649" w:name="_Toc13029"/>
      <w:r>
        <w:rPr>
          <w:rFonts w:hint="eastAsia" w:ascii="黑体" w:hAnsi="黑体" w:eastAsia="黑体" w:cs="黑体"/>
          <w:b/>
          <w:bCs/>
          <w:sz w:val="28"/>
          <w:szCs w:val="28"/>
        </w:rPr>
        <w:t>引用标准名录</w:t>
      </w:r>
      <w:bookmarkEnd w:id="649"/>
    </w:p>
    <w:tbl>
      <w:tblPr>
        <w:tblStyle w:val="18"/>
        <w:tblW w:w="8787" w:type="dxa"/>
        <w:tblInd w:w="93" w:type="dxa"/>
        <w:tblLayout w:type="fixed"/>
        <w:tblCellMar>
          <w:top w:w="0" w:type="dxa"/>
          <w:left w:w="108" w:type="dxa"/>
          <w:bottom w:w="0" w:type="dxa"/>
          <w:right w:w="108" w:type="dxa"/>
        </w:tblCellMar>
      </w:tblPr>
      <w:tblGrid>
        <w:gridCol w:w="600"/>
        <w:gridCol w:w="6750"/>
        <w:gridCol w:w="1437"/>
      </w:tblGrid>
      <w:tr w14:paraId="12BBE31E">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6BB56D6C">
            <w:pPr>
              <w:jc w:val="center"/>
              <w:rPr>
                <w:color w:val="000000"/>
                <w:szCs w:val="21"/>
              </w:rPr>
            </w:pPr>
            <w:r>
              <w:rPr>
                <w:rFonts w:hint="eastAsia" w:ascii="黑体" w:hAnsi="黑体" w:eastAsia="黑体" w:cs="黑体"/>
                <w:b/>
                <w:bCs/>
                <w:szCs w:val="21"/>
              </w:rPr>
              <w:br w:type="page"/>
            </w:r>
            <w:r>
              <w:rPr>
                <w:color w:val="000000"/>
                <w:kern w:val="0"/>
                <w:szCs w:val="21"/>
                <w:lang w:bidi="ar"/>
              </w:rPr>
              <w:t>1</w:t>
            </w:r>
          </w:p>
        </w:tc>
        <w:tc>
          <w:tcPr>
            <w:tcW w:w="6750" w:type="dxa"/>
            <w:tcBorders>
              <w:top w:val="nil"/>
              <w:left w:val="nil"/>
              <w:bottom w:val="nil"/>
              <w:right w:val="nil"/>
            </w:tcBorders>
            <w:noWrap/>
            <w:vAlign w:val="center"/>
          </w:tcPr>
          <w:p w14:paraId="2A33BE8C">
            <w:pPr>
              <w:widowControl/>
              <w:jc w:val="left"/>
              <w:textAlignment w:val="center"/>
              <w:rPr>
                <w:color w:val="000000"/>
                <w:szCs w:val="21"/>
              </w:rPr>
            </w:pPr>
            <w:r>
              <w:rPr>
                <w:rStyle w:val="48"/>
                <w:rFonts w:hint="default"/>
                <w:sz w:val="21"/>
                <w:szCs w:val="21"/>
                <w:lang w:bidi="ar"/>
              </w:rPr>
              <w:t>《木结构设计规范》</w:t>
            </w:r>
          </w:p>
        </w:tc>
        <w:tc>
          <w:tcPr>
            <w:tcW w:w="1437" w:type="dxa"/>
            <w:tcBorders>
              <w:top w:val="nil"/>
              <w:left w:val="nil"/>
              <w:bottom w:val="nil"/>
              <w:right w:val="nil"/>
            </w:tcBorders>
            <w:noWrap/>
            <w:vAlign w:val="center"/>
          </w:tcPr>
          <w:p w14:paraId="1E21D382">
            <w:pPr>
              <w:widowControl/>
              <w:jc w:val="left"/>
              <w:textAlignment w:val="center"/>
              <w:rPr>
                <w:color w:val="000000"/>
                <w:szCs w:val="21"/>
              </w:rPr>
            </w:pPr>
            <w:r>
              <w:rPr>
                <w:color w:val="000000"/>
                <w:kern w:val="0"/>
                <w:szCs w:val="21"/>
                <w:lang w:bidi="ar"/>
              </w:rPr>
              <w:t>GB 50005</w:t>
            </w:r>
          </w:p>
        </w:tc>
      </w:tr>
      <w:tr w14:paraId="119FC9B4">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4D04B4EA">
            <w:pPr>
              <w:widowControl/>
              <w:jc w:val="center"/>
              <w:textAlignment w:val="center"/>
              <w:rPr>
                <w:color w:val="000000"/>
                <w:szCs w:val="21"/>
              </w:rPr>
            </w:pPr>
            <w:r>
              <w:rPr>
                <w:color w:val="000000"/>
                <w:kern w:val="0"/>
                <w:szCs w:val="21"/>
                <w:lang w:bidi="ar"/>
              </w:rPr>
              <w:t>2</w:t>
            </w:r>
          </w:p>
        </w:tc>
        <w:tc>
          <w:tcPr>
            <w:tcW w:w="6750" w:type="dxa"/>
            <w:tcBorders>
              <w:top w:val="nil"/>
              <w:left w:val="nil"/>
              <w:bottom w:val="nil"/>
              <w:right w:val="nil"/>
            </w:tcBorders>
            <w:noWrap/>
            <w:vAlign w:val="center"/>
          </w:tcPr>
          <w:p w14:paraId="489D45A1">
            <w:pPr>
              <w:widowControl/>
              <w:jc w:val="left"/>
              <w:textAlignment w:val="center"/>
              <w:rPr>
                <w:color w:val="000000"/>
                <w:szCs w:val="21"/>
              </w:rPr>
            </w:pPr>
            <w:r>
              <w:rPr>
                <w:rStyle w:val="48"/>
                <w:rFonts w:hint="default"/>
                <w:sz w:val="21"/>
                <w:szCs w:val="21"/>
                <w:lang w:bidi="ar"/>
              </w:rPr>
              <w:t>《建筑设计防火规范》</w:t>
            </w:r>
          </w:p>
        </w:tc>
        <w:tc>
          <w:tcPr>
            <w:tcW w:w="1437" w:type="dxa"/>
            <w:tcBorders>
              <w:top w:val="nil"/>
              <w:left w:val="nil"/>
              <w:bottom w:val="nil"/>
              <w:right w:val="nil"/>
            </w:tcBorders>
            <w:noWrap/>
            <w:vAlign w:val="center"/>
          </w:tcPr>
          <w:p w14:paraId="54851C69">
            <w:pPr>
              <w:widowControl/>
              <w:jc w:val="left"/>
              <w:textAlignment w:val="center"/>
              <w:rPr>
                <w:color w:val="000000"/>
                <w:szCs w:val="21"/>
              </w:rPr>
            </w:pPr>
            <w:r>
              <w:rPr>
                <w:color w:val="000000"/>
                <w:kern w:val="0"/>
                <w:szCs w:val="21"/>
                <w:lang w:bidi="ar"/>
              </w:rPr>
              <w:t>GB 50016</w:t>
            </w:r>
          </w:p>
        </w:tc>
      </w:tr>
      <w:tr w14:paraId="5304B870">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3A09C4E6">
            <w:pPr>
              <w:widowControl/>
              <w:jc w:val="center"/>
              <w:textAlignment w:val="center"/>
              <w:rPr>
                <w:color w:val="000000"/>
                <w:szCs w:val="21"/>
              </w:rPr>
            </w:pPr>
            <w:r>
              <w:rPr>
                <w:color w:val="000000"/>
                <w:kern w:val="0"/>
                <w:szCs w:val="21"/>
                <w:lang w:bidi="ar"/>
              </w:rPr>
              <w:t>3</w:t>
            </w:r>
          </w:p>
        </w:tc>
        <w:tc>
          <w:tcPr>
            <w:tcW w:w="6750" w:type="dxa"/>
            <w:tcBorders>
              <w:top w:val="nil"/>
              <w:left w:val="nil"/>
              <w:bottom w:val="nil"/>
              <w:right w:val="nil"/>
            </w:tcBorders>
            <w:noWrap/>
            <w:vAlign w:val="center"/>
          </w:tcPr>
          <w:p w14:paraId="23D38279">
            <w:pPr>
              <w:widowControl/>
              <w:jc w:val="left"/>
              <w:textAlignment w:val="center"/>
              <w:rPr>
                <w:color w:val="000000"/>
                <w:szCs w:val="21"/>
              </w:rPr>
            </w:pPr>
            <w:r>
              <w:rPr>
                <w:rStyle w:val="48"/>
                <w:rFonts w:hint="default"/>
                <w:sz w:val="21"/>
                <w:szCs w:val="21"/>
                <w:lang w:bidi="ar"/>
              </w:rPr>
              <w:t>《爆炸危险环境电力装置设计规范》</w:t>
            </w:r>
          </w:p>
        </w:tc>
        <w:tc>
          <w:tcPr>
            <w:tcW w:w="1437" w:type="dxa"/>
            <w:tcBorders>
              <w:top w:val="nil"/>
              <w:left w:val="nil"/>
              <w:bottom w:val="nil"/>
              <w:right w:val="nil"/>
            </w:tcBorders>
            <w:noWrap/>
            <w:vAlign w:val="center"/>
          </w:tcPr>
          <w:p w14:paraId="04412A69">
            <w:pPr>
              <w:widowControl/>
              <w:jc w:val="left"/>
              <w:textAlignment w:val="center"/>
              <w:rPr>
                <w:color w:val="000000"/>
                <w:szCs w:val="21"/>
              </w:rPr>
            </w:pPr>
            <w:r>
              <w:rPr>
                <w:color w:val="000000"/>
                <w:kern w:val="0"/>
                <w:szCs w:val="21"/>
                <w:lang w:bidi="ar"/>
              </w:rPr>
              <w:t>GB 50058</w:t>
            </w:r>
          </w:p>
        </w:tc>
      </w:tr>
      <w:tr w14:paraId="112CD917">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772486A9">
            <w:pPr>
              <w:widowControl/>
              <w:jc w:val="center"/>
              <w:textAlignment w:val="center"/>
              <w:rPr>
                <w:color w:val="000000"/>
                <w:szCs w:val="21"/>
              </w:rPr>
            </w:pPr>
            <w:r>
              <w:rPr>
                <w:color w:val="000000"/>
                <w:kern w:val="0"/>
                <w:szCs w:val="21"/>
                <w:lang w:bidi="ar"/>
              </w:rPr>
              <w:t>4</w:t>
            </w:r>
          </w:p>
        </w:tc>
        <w:tc>
          <w:tcPr>
            <w:tcW w:w="6750" w:type="dxa"/>
            <w:tcBorders>
              <w:top w:val="nil"/>
              <w:left w:val="nil"/>
              <w:bottom w:val="nil"/>
              <w:right w:val="nil"/>
            </w:tcBorders>
            <w:noWrap/>
            <w:vAlign w:val="center"/>
          </w:tcPr>
          <w:p w14:paraId="4F4F09C3">
            <w:pPr>
              <w:widowControl/>
              <w:jc w:val="left"/>
              <w:textAlignment w:val="center"/>
              <w:rPr>
                <w:color w:val="000000"/>
                <w:szCs w:val="21"/>
              </w:rPr>
            </w:pPr>
            <w:r>
              <w:rPr>
                <w:rStyle w:val="48"/>
                <w:rFonts w:hint="default"/>
                <w:sz w:val="21"/>
                <w:szCs w:val="21"/>
                <w:lang w:bidi="ar"/>
              </w:rPr>
              <w:t>《电力工程电缆设计标准》</w:t>
            </w:r>
          </w:p>
        </w:tc>
        <w:tc>
          <w:tcPr>
            <w:tcW w:w="1437" w:type="dxa"/>
            <w:tcBorders>
              <w:top w:val="nil"/>
              <w:left w:val="nil"/>
              <w:bottom w:val="nil"/>
              <w:right w:val="nil"/>
            </w:tcBorders>
            <w:noWrap/>
            <w:vAlign w:val="center"/>
          </w:tcPr>
          <w:p w14:paraId="26366E29">
            <w:pPr>
              <w:widowControl/>
              <w:jc w:val="left"/>
              <w:textAlignment w:val="center"/>
              <w:rPr>
                <w:color w:val="000000"/>
                <w:szCs w:val="21"/>
              </w:rPr>
            </w:pPr>
            <w:r>
              <w:rPr>
                <w:color w:val="000000"/>
                <w:kern w:val="0"/>
                <w:szCs w:val="21"/>
                <w:lang w:bidi="ar"/>
              </w:rPr>
              <w:t>GB 50217</w:t>
            </w:r>
          </w:p>
        </w:tc>
      </w:tr>
      <w:tr w14:paraId="44295C7D">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0090F1B2">
            <w:pPr>
              <w:widowControl/>
              <w:jc w:val="center"/>
              <w:textAlignment w:val="center"/>
              <w:rPr>
                <w:color w:val="000000"/>
                <w:szCs w:val="21"/>
              </w:rPr>
            </w:pPr>
            <w:r>
              <w:rPr>
                <w:color w:val="000000"/>
                <w:kern w:val="0"/>
                <w:szCs w:val="21"/>
                <w:lang w:bidi="ar"/>
              </w:rPr>
              <w:t>5</w:t>
            </w:r>
          </w:p>
        </w:tc>
        <w:tc>
          <w:tcPr>
            <w:tcW w:w="6750" w:type="dxa"/>
            <w:tcBorders>
              <w:top w:val="nil"/>
              <w:left w:val="nil"/>
              <w:bottom w:val="nil"/>
              <w:right w:val="nil"/>
            </w:tcBorders>
            <w:noWrap/>
            <w:vAlign w:val="center"/>
          </w:tcPr>
          <w:p w14:paraId="5394DED4">
            <w:pPr>
              <w:widowControl/>
              <w:jc w:val="left"/>
              <w:textAlignment w:val="center"/>
              <w:rPr>
                <w:color w:val="000000"/>
                <w:szCs w:val="21"/>
              </w:rPr>
            </w:pPr>
            <w:r>
              <w:rPr>
                <w:rStyle w:val="48"/>
                <w:rFonts w:hint="default"/>
                <w:sz w:val="21"/>
                <w:szCs w:val="21"/>
                <w:lang w:bidi="ar"/>
              </w:rPr>
              <w:t>《建筑内部装修设计防火规范》</w:t>
            </w:r>
          </w:p>
        </w:tc>
        <w:tc>
          <w:tcPr>
            <w:tcW w:w="1437" w:type="dxa"/>
            <w:tcBorders>
              <w:top w:val="nil"/>
              <w:left w:val="nil"/>
              <w:bottom w:val="nil"/>
              <w:right w:val="nil"/>
            </w:tcBorders>
            <w:noWrap/>
            <w:vAlign w:val="center"/>
          </w:tcPr>
          <w:p w14:paraId="11354875">
            <w:pPr>
              <w:widowControl/>
              <w:jc w:val="left"/>
              <w:textAlignment w:val="center"/>
              <w:rPr>
                <w:color w:val="000000"/>
                <w:szCs w:val="21"/>
              </w:rPr>
            </w:pPr>
            <w:r>
              <w:rPr>
                <w:color w:val="000000"/>
                <w:kern w:val="0"/>
                <w:szCs w:val="21"/>
                <w:lang w:bidi="ar"/>
              </w:rPr>
              <w:t>GB 50222</w:t>
            </w:r>
          </w:p>
        </w:tc>
      </w:tr>
      <w:tr w14:paraId="5B64E1B8">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01CDF2CB">
            <w:pPr>
              <w:widowControl/>
              <w:jc w:val="center"/>
              <w:textAlignment w:val="center"/>
              <w:rPr>
                <w:color w:val="000000"/>
                <w:szCs w:val="21"/>
              </w:rPr>
            </w:pPr>
            <w:r>
              <w:rPr>
                <w:color w:val="000000"/>
                <w:kern w:val="0"/>
                <w:szCs w:val="21"/>
                <w:lang w:bidi="ar"/>
              </w:rPr>
              <w:t>6</w:t>
            </w:r>
          </w:p>
        </w:tc>
        <w:tc>
          <w:tcPr>
            <w:tcW w:w="6750" w:type="dxa"/>
            <w:tcBorders>
              <w:top w:val="nil"/>
              <w:left w:val="nil"/>
              <w:bottom w:val="nil"/>
              <w:right w:val="nil"/>
            </w:tcBorders>
            <w:noWrap/>
            <w:vAlign w:val="center"/>
          </w:tcPr>
          <w:p w14:paraId="54E7FEE1">
            <w:pPr>
              <w:widowControl/>
              <w:jc w:val="left"/>
              <w:textAlignment w:val="center"/>
              <w:rPr>
                <w:color w:val="000000"/>
                <w:szCs w:val="21"/>
              </w:rPr>
            </w:pPr>
            <w:r>
              <w:rPr>
                <w:rStyle w:val="48"/>
                <w:rFonts w:hint="default"/>
                <w:sz w:val="21"/>
                <w:szCs w:val="21"/>
                <w:lang w:bidi="ar"/>
              </w:rPr>
              <w:t>《电气装置安装工程爆炸和火灾危险环境电气装置施工及验收规范》</w:t>
            </w:r>
          </w:p>
        </w:tc>
        <w:tc>
          <w:tcPr>
            <w:tcW w:w="1437" w:type="dxa"/>
            <w:tcBorders>
              <w:top w:val="nil"/>
              <w:left w:val="nil"/>
              <w:bottom w:val="nil"/>
              <w:right w:val="nil"/>
            </w:tcBorders>
            <w:noWrap/>
            <w:vAlign w:val="center"/>
          </w:tcPr>
          <w:p w14:paraId="6329F33A">
            <w:pPr>
              <w:widowControl/>
              <w:jc w:val="left"/>
              <w:textAlignment w:val="center"/>
              <w:rPr>
                <w:color w:val="000000"/>
                <w:szCs w:val="21"/>
              </w:rPr>
            </w:pPr>
            <w:r>
              <w:rPr>
                <w:color w:val="000000"/>
                <w:kern w:val="0"/>
                <w:szCs w:val="21"/>
                <w:lang w:bidi="ar"/>
              </w:rPr>
              <w:t>GB 50257</w:t>
            </w:r>
          </w:p>
        </w:tc>
      </w:tr>
      <w:tr w14:paraId="4E49EFC7">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48342E07">
            <w:pPr>
              <w:widowControl/>
              <w:jc w:val="center"/>
              <w:textAlignment w:val="center"/>
              <w:rPr>
                <w:color w:val="000000"/>
                <w:szCs w:val="21"/>
              </w:rPr>
            </w:pPr>
            <w:r>
              <w:rPr>
                <w:color w:val="000000"/>
                <w:kern w:val="0"/>
                <w:szCs w:val="21"/>
                <w:lang w:bidi="ar"/>
              </w:rPr>
              <w:t>7</w:t>
            </w:r>
          </w:p>
        </w:tc>
        <w:tc>
          <w:tcPr>
            <w:tcW w:w="6750" w:type="dxa"/>
            <w:tcBorders>
              <w:top w:val="nil"/>
              <w:left w:val="nil"/>
              <w:bottom w:val="nil"/>
              <w:right w:val="nil"/>
            </w:tcBorders>
            <w:noWrap/>
            <w:vAlign w:val="center"/>
          </w:tcPr>
          <w:p w14:paraId="14D6A8C0">
            <w:pPr>
              <w:widowControl/>
              <w:jc w:val="left"/>
              <w:textAlignment w:val="center"/>
              <w:rPr>
                <w:color w:val="000000"/>
                <w:szCs w:val="21"/>
              </w:rPr>
            </w:pPr>
            <w:r>
              <w:rPr>
                <w:rStyle w:val="48"/>
                <w:rFonts w:hint="default"/>
                <w:sz w:val="21"/>
                <w:szCs w:val="21"/>
                <w:lang w:bidi="ar"/>
              </w:rPr>
              <w:t>《城市工程管线综合规划规范》</w:t>
            </w:r>
          </w:p>
        </w:tc>
        <w:tc>
          <w:tcPr>
            <w:tcW w:w="1437" w:type="dxa"/>
            <w:tcBorders>
              <w:top w:val="nil"/>
              <w:left w:val="nil"/>
              <w:bottom w:val="nil"/>
              <w:right w:val="nil"/>
            </w:tcBorders>
            <w:noWrap/>
            <w:vAlign w:val="center"/>
          </w:tcPr>
          <w:p w14:paraId="0A1477F0">
            <w:pPr>
              <w:widowControl/>
              <w:jc w:val="left"/>
              <w:textAlignment w:val="center"/>
              <w:rPr>
                <w:color w:val="000000"/>
                <w:szCs w:val="21"/>
              </w:rPr>
            </w:pPr>
            <w:r>
              <w:rPr>
                <w:color w:val="000000"/>
                <w:kern w:val="0"/>
                <w:szCs w:val="21"/>
                <w:lang w:bidi="ar"/>
              </w:rPr>
              <w:t>GB 50289</w:t>
            </w:r>
          </w:p>
        </w:tc>
      </w:tr>
      <w:tr w14:paraId="3F21C74D">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05808AF9">
            <w:pPr>
              <w:widowControl/>
              <w:jc w:val="center"/>
              <w:textAlignment w:val="center"/>
              <w:rPr>
                <w:color w:val="000000"/>
                <w:szCs w:val="21"/>
              </w:rPr>
            </w:pPr>
            <w:r>
              <w:rPr>
                <w:color w:val="000000"/>
                <w:kern w:val="0"/>
                <w:szCs w:val="21"/>
                <w:lang w:bidi="ar"/>
              </w:rPr>
              <w:t>8</w:t>
            </w:r>
          </w:p>
        </w:tc>
        <w:tc>
          <w:tcPr>
            <w:tcW w:w="6750" w:type="dxa"/>
            <w:tcBorders>
              <w:top w:val="nil"/>
              <w:left w:val="nil"/>
              <w:bottom w:val="nil"/>
              <w:right w:val="nil"/>
            </w:tcBorders>
            <w:noWrap/>
            <w:vAlign w:val="center"/>
          </w:tcPr>
          <w:p w14:paraId="2F603897">
            <w:pPr>
              <w:widowControl/>
              <w:jc w:val="left"/>
              <w:textAlignment w:val="center"/>
              <w:rPr>
                <w:color w:val="000000"/>
                <w:szCs w:val="21"/>
              </w:rPr>
            </w:pPr>
            <w:r>
              <w:rPr>
                <w:rStyle w:val="48"/>
                <w:rFonts w:hint="default"/>
                <w:sz w:val="21"/>
                <w:szCs w:val="21"/>
                <w:lang w:bidi="ar"/>
              </w:rPr>
              <w:t>《钢结构焊接规范》</w:t>
            </w:r>
          </w:p>
        </w:tc>
        <w:tc>
          <w:tcPr>
            <w:tcW w:w="1437" w:type="dxa"/>
            <w:tcBorders>
              <w:top w:val="nil"/>
              <w:left w:val="nil"/>
              <w:bottom w:val="nil"/>
              <w:right w:val="nil"/>
            </w:tcBorders>
            <w:noWrap/>
            <w:vAlign w:val="center"/>
          </w:tcPr>
          <w:p w14:paraId="1967D34C">
            <w:pPr>
              <w:widowControl/>
              <w:jc w:val="left"/>
              <w:textAlignment w:val="center"/>
              <w:rPr>
                <w:color w:val="000000"/>
                <w:szCs w:val="21"/>
              </w:rPr>
            </w:pPr>
            <w:r>
              <w:rPr>
                <w:color w:val="000000"/>
                <w:kern w:val="0"/>
                <w:szCs w:val="21"/>
                <w:lang w:bidi="ar"/>
              </w:rPr>
              <w:t>GB 50661</w:t>
            </w:r>
          </w:p>
        </w:tc>
      </w:tr>
      <w:tr w14:paraId="4B62D30B">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0DE7B3C3">
            <w:pPr>
              <w:widowControl/>
              <w:jc w:val="center"/>
              <w:textAlignment w:val="center"/>
              <w:rPr>
                <w:color w:val="000000"/>
                <w:szCs w:val="21"/>
              </w:rPr>
            </w:pPr>
            <w:r>
              <w:rPr>
                <w:color w:val="000000"/>
                <w:kern w:val="0"/>
                <w:szCs w:val="21"/>
                <w:lang w:bidi="ar"/>
              </w:rPr>
              <w:t>9</w:t>
            </w:r>
          </w:p>
        </w:tc>
        <w:tc>
          <w:tcPr>
            <w:tcW w:w="6750" w:type="dxa"/>
            <w:tcBorders>
              <w:top w:val="nil"/>
              <w:left w:val="nil"/>
              <w:bottom w:val="nil"/>
              <w:right w:val="nil"/>
            </w:tcBorders>
            <w:noWrap/>
            <w:vAlign w:val="center"/>
          </w:tcPr>
          <w:p w14:paraId="0CE7EAB4">
            <w:pPr>
              <w:widowControl/>
              <w:jc w:val="left"/>
              <w:textAlignment w:val="center"/>
              <w:rPr>
                <w:color w:val="000000"/>
                <w:szCs w:val="21"/>
              </w:rPr>
            </w:pPr>
            <w:r>
              <w:rPr>
                <w:rStyle w:val="48"/>
                <w:rFonts w:hint="default"/>
                <w:sz w:val="21"/>
                <w:szCs w:val="21"/>
                <w:lang w:bidi="ar"/>
              </w:rPr>
              <w:t>《建设工程施工现场消防安全技术标准》</w:t>
            </w:r>
          </w:p>
        </w:tc>
        <w:tc>
          <w:tcPr>
            <w:tcW w:w="1437" w:type="dxa"/>
            <w:tcBorders>
              <w:top w:val="nil"/>
              <w:left w:val="nil"/>
              <w:bottom w:val="nil"/>
              <w:right w:val="nil"/>
            </w:tcBorders>
            <w:noWrap/>
            <w:vAlign w:val="center"/>
          </w:tcPr>
          <w:p w14:paraId="3823AAF9">
            <w:pPr>
              <w:widowControl/>
              <w:jc w:val="left"/>
              <w:textAlignment w:val="center"/>
              <w:rPr>
                <w:color w:val="000000"/>
                <w:szCs w:val="21"/>
              </w:rPr>
            </w:pPr>
            <w:r>
              <w:rPr>
                <w:color w:val="000000"/>
                <w:kern w:val="0"/>
                <w:szCs w:val="21"/>
                <w:lang w:bidi="ar"/>
              </w:rPr>
              <w:t>GB/T 50720</w:t>
            </w:r>
          </w:p>
        </w:tc>
      </w:tr>
      <w:tr w14:paraId="0EEE4965">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29473CDE">
            <w:pPr>
              <w:widowControl/>
              <w:jc w:val="center"/>
              <w:textAlignment w:val="center"/>
              <w:rPr>
                <w:color w:val="000000"/>
                <w:szCs w:val="21"/>
              </w:rPr>
            </w:pPr>
            <w:r>
              <w:rPr>
                <w:color w:val="000000"/>
                <w:kern w:val="0"/>
                <w:szCs w:val="21"/>
                <w:lang w:bidi="ar"/>
              </w:rPr>
              <w:t>10</w:t>
            </w:r>
          </w:p>
        </w:tc>
        <w:tc>
          <w:tcPr>
            <w:tcW w:w="6750" w:type="dxa"/>
            <w:tcBorders>
              <w:top w:val="nil"/>
              <w:left w:val="nil"/>
              <w:bottom w:val="nil"/>
              <w:right w:val="nil"/>
            </w:tcBorders>
            <w:noWrap/>
            <w:vAlign w:val="center"/>
          </w:tcPr>
          <w:p w14:paraId="2CF6CB65">
            <w:pPr>
              <w:widowControl/>
              <w:jc w:val="left"/>
              <w:textAlignment w:val="center"/>
              <w:rPr>
                <w:color w:val="000000"/>
                <w:szCs w:val="21"/>
              </w:rPr>
            </w:pPr>
            <w:r>
              <w:rPr>
                <w:rStyle w:val="48"/>
                <w:rFonts w:hint="default"/>
                <w:sz w:val="21"/>
                <w:szCs w:val="21"/>
                <w:lang w:bidi="ar"/>
              </w:rPr>
              <w:t>《消防给水及消火栓系统技术规范》</w:t>
            </w:r>
          </w:p>
        </w:tc>
        <w:tc>
          <w:tcPr>
            <w:tcW w:w="1437" w:type="dxa"/>
            <w:tcBorders>
              <w:top w:val="nil"/>
              <w:left w:val="nil"/>
              <w:bottom w:val="nil"/>
              <w:right w:val="nil"/>
            </w:tcBorders>
            <w:noWrap/>
            <w:vAlign w:val="center"/>
          </w:tcPr>
          <w:p w14:paraId="12E5A4C1">
            <w:pPr>
              <w:widowControl/>
              <w:jc w:val="left"/>
              <w:textAlignment w:val="center"/>
              <w:rPr>
                <w:color w:val="000000"/>
                <w:szCs w:val="21"/>
              </w:rPr>
            </w:pPr>
            <w:r>
              <w:rPr>
                <w:rFonts w:hint="eastAsia"/>
                <w:color w:val="000000"/>
                <w:kern w:val="0"/>
                <w:szCs w:val="21"/>
                <w:lang w:bidi="ar"/>
              </w:rPr>
              <w:t>GB 50974</w:t>
            </w:r>
          </w:p>
        </w:tc>
      </w:tr>
      <w:tr w14:paraId="16C2FE5B">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668273E4">
            <w:pPr>
              <w:widowControl/>
              <w:jc w:val="center"/>
              <w:textAlignment w:val="center"/>
              <w:rPr>
                <w:color w:val="000000"/>
                <w:szCs w:val="21"/>
              </w:rPr>
            </w:pPr>
            <w:r>
              <w:rPr>
                <w:color w:val="000000"/>
                <w:kern w:val="0"/>
                <w:szCs w:val="21"/>
                <w:lang w:bidi="ar"/>
              </w:rPr>
              <w:t>11</w:t>
            </w:r>
          </w:p>
        </w:tc>
        <w:tc>
          <w:tcPr>
            <w:tcW w:w="6750" w:type="dxa"/>
            <w:tcBorders>
              <w:top w:val="nil"/>
              <w:left w:val="nil"/>
              <w:bottom w:val="nil"/>
              <w:right w:val="nil"/>
            </w:tcBorders>
            <w:noWrap/>
            <w:vAlign w:val="center"/>
          </w:tcPr>
          <w:p w14:paraId="35A4E79E">
            <w:pPr>
              <w:widowControl/>
              <w:jc w:val="left"/>
              <w:textAlignment w:val="center"/>
              <w:rPr>
                <w:color w:val="000000"/>
                <w:szCs w:val="21"/>
              </w:rPr>
            </w:pPr>
            <w:r>
              <w:rPr>
                <w:rStyle w:val="48"/>
                <w:rFonts w:hint="default"/>
                <w:sz w:val="21"/>
                <w:szCs w:val="21"/>
                <w:lang w:bidi="ar"/>
              </w:rPr>
              <w:t>《施工脚手架通用规范》</w:t>
            </w:r>
          </w:p>
        </w:tc>
        <w:tc>
          <w:tcPr>
            <w:tcW w:w="1437" w:type="dxa"/>
            <w:tcBorders>
              <w:top w:val="nil"/>
              <w:left w:val="nil"/>
              <w:bottom w:val="nil"/>
              <w:right w:val="nil"/>
            </w:tcBorders>
            <w:noWrap/>
            <w:vAlign w:val="center"/>
          </w:tcPr>
          <w:p w14:paraId="1256608F">
            <w:pPr>
              <w:widowControl/>
              <w:jc w:val="left"/>
              <w:textAlignment w:val="center"/>
              <w:rPr>
                <w:color w:val="000000"/>
                <w:szCs w:val="21"/>
              </w:rPr>
            </w:pPr>
            <w:r>
              <w:rPr>
                <w:color w:val="000000"/>
                <w:kern w:val="0"/>
                <w:szCs w:val="21"/>
                <w:lang w:bidi="ar"/>
              </w:rPr>
              <w:t>GB 55023</w:t>
            </w:r>
          </w:p>
        </w:tc>
      </w:tr>
      <w:tr w14:paraId="3778D58F">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51A4A992">
            <w:pPr>
              <w:widowControl/>
              <w:jc w:val="center"/>
              <w:textAlignment w:val="center"/>
              <w:rPr>
                <w:color w:val="000000"/>
                <w:szCs w:val="21"/>
              </w:rPr>
            </w:pPr>
            <w:r>
              <w:rPr>
                <w:color w:val="000000"/>
                <w:kern w:val="0"/>
                <w:szCs w:val="21"/>
                <w:lang w:bidi="ar"/>
              </w:rPr>
              <w:t>12</w:t>
            </w:r>
          </w:p>
        </w:tc>
        <w:tc>
          <w:tcPr>
            <w:tcW w:w="6750" w:type="dxa"/>
            <w:tcBorders>
              <w:top w:val="nil"/>
              <w:left w:val="nil"/>
              <w:bottom w:val="nil"/>
              <w:right w:val="nil"/>
            </w:tcBorders>
            <w:noWrap/>
            <w:vAlign w:val="center"/>
          </w:tcPr>
          <w:p w14:paraId="350A2EF1">
            <w:pPr>
              <w:widowControl/>
              <w:jc w:val="left"/>
              <w:textAlignment w:val="center"/>
              <w:rPr>
                <w:color w:val="000000"/>
                <w:szCs w:val="21"/>
              </w:rPr>
            </w:pPr>
            <w:r>
              <w:rPr>
                <w:rStyle w:val="48"/>
                <w:rFonts w:hint="default"/>
                <w:sz w:val="21"/>
                <w:szCs w:val="21"/>
                <w:lang w:bidi="ar"/>
              </w:rPr>
              <w:t>《碳素结构钢》</w:t>
            </w:r>
          </w:p>
        </w:tc>
        <w:tc>
          <w:tcPr>
            <w:tcW w:w="1437" w:type="dxa"/>
            <w:tcBorders>
              <w:top w:val="nil"/>
              <w:left w:val="nil"/>
              <w:bottom w:val="nil"/>
              <w:right w:val="nil"/>
            </w:tcBorders>
            <w:noWrap/>
            <w:vAlign w:val="center"/>
          </w:tcPr>
          <w:p w14:paraId="62B7926A">
            <w:pPr>
              <w:widowControl/>
              <w:jc w:val="left"/>
              <w:textAlignment w:val="center"/>
              <w:rPr>
                <w:color w:val="000000"/>
                <w:szCs w:val="21"/>
              </w:rPr>
            </w:pPr>
            <w:r>
              <w:rPr>
                <w:color w:val="000000"/>
                <w:kern w:val="0"/>
                <w:szCs w:val="21"/>
                <w:lang w:bidi="ar"/>
              </w:rPr>
              <w:t>GB/T 700</w:t>
            </w:r>
          </w:p>
        </w:tc>
      </w:tr>
      <w:tr w14:paraId="12E6D444">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31A59BC0">
            <w:pPr>
              <w:widowControl/>
              <w:jc w:val="center"/>
              <w:textAlignment w:val="center"/>
              <w:rPr>
                <w:color w:val="000000"/>
                <w:szCs w:val="21"/>
              </w:rPr>
            </w:pPr>
            <w:r>
              <w:rPr>
                <w:color w:val="000000"/>
                <w:kern w:val="0"/>
                <w:szCs w:val="21"/>
                <w:lang w:bidi="ar"/>
              </w:rPr>
              <w:t>13</w:t>
            </w:r>
          </w:p>
        </w:tc>
        <w:tc>
          <w:tcPr>
            <w:tcW w:w="6750" w:type="dxa"/>
            <w:tcBorders>
              <w:top w:val="nil"/>
              <w:left w:val="nil"/>
              <w:bottom w:val="nil"/>
              <w:right w:val="nil"/>
            </w:tcBorders>
            <w:noWrap/>
            <w:vAlign w:val="center"/>
          </w:tcPr>
          <w:p w14:paraId="3954F58F">
            <w:pPr>
              <w:widowControl/>
              <w:jc w:val="left"/>
              <w:textAlignment w:val="center"/>
              <w:rPr>
                <w:color w:val="000000"/>
                <w:szCs w:val="21"/>
              </w:rPr>
            </w:pPr>
            <w:r>
              <w:rPr>
                <w:rStyle w:val="48"/>
                <w:rFonts w:hint="default"/>
                <w:sz w:val="21"/>
                <w:szCs w:val="21"/>
                <w:lang w:bidi="ar"/>
              </w:rPr>
              <w:t>《低合金高强度结构钢》</w:t>
            </w:r>
          </w:p>
        </w:tc>
        <w:tc>
          <w:tcPr>
            <w:tcW w:w="1437" w:type="dxa"/>
            <w:tcBorders>
              <w:top w:val="nil"/>
              <w:left w:val="nil"/>
              <w:bottom w:val="nil"/>
              <w:right w:val="nil"/>
            </w:tcBorders>
            <w:noWrap/>
            <w:vAlign w:val="center"/>
          </w:tcPr>
          <w:p w14:paraId="0B5D3C81">
            <w:pPr>
              <w:widowControl/>
              <w:jc w:val="left"/>
              <w:textAlignment w:val="center"/>
              <w:rPr>
                <w:color w:val="000000"/>
                <w:szCs w:val="21"/>
              </w:rPr>
            </w:pPr>
            <w:r>
              <w:rPr>
                <w:color w:val="000000"/>
                <w:kern w:val="0"/>
                <w:szCs w:val="21"/>
                <w:lang w:bidi="ar"/>
              </w:rPr>
              <w:t>GB/T 1591</w:t>
            </w:r>
          </w:p>
        </w:tc>
      </w:tr>
      <w:tr w14:paraId="45F5D35B">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3C69FF68">
            <w:pPr>
              <w:widowControl/>
              <w:jc w:val="center"/>
              <w:textAlignment w:val="center"/>
              <w:rPr>
                <w:color w:val="000000"/>
                <w:szCs w:val="21"/>
              </w:rPr>
            </w:pPr>
            <w:r>
              <w:rPr>
                <w:color w:val="000000"/>
                <w:kern w:val="0"/>
                <w:szCs w:val="21"/>
                <w:lang w:bidi="ar"/>
              </w:rPr>
              <w:t>14</w:t>
            </w:r>
          </w:p>
        </w:tc>
        <w:tc>
          <w:tcPr>
            <w:tcW w:w="6750" w:type="dxa"/>
            <w:tcBorders>
              <w:top w:val="nil"/>
              <w:left w:val="nil"/>
              <w:bottom w:val="nil"/>
              <w:right w:val="nil"/>
            </w:tcBorders>
            <w:noWrap/>
            <w:vAlign w:val="center"/>
          </w:tcPr>
          <w:p w14:paraId="4978164B">
            <w:pPr>
              <w:widowControl/>
              <w:jc w:val="left"/>
              <w:textAlignment w:val="center"/>
              <w:rPr>
                <w:color w:val="000000"/>
                <w:szCs w:val="21"/>
              </w:rPr>
            </w:pPr>
            <w:r>
              <w:rPr>
                <w:rStyle w:val="48"/>
                <w:rFonts w:hint="default"/>
                <w:sz w:val="21"/>
                <w:szCs w:val="21"/>
                <w:lang w:bidi="ar"/>
              </w:rPr>
              <w:t>《气体焊接设备</w:t>
            </w:r>
            <w:r>
              <w:rPr>
                <w:rStyle w:val="49"/>
                <w:sz w:val="21"/>
                <w:szCs w:val="21"/>
                <w:lang w:bidi="ar"/>
              </w:rPr>
              <w:t xml:space="preserve"> </w:t>
            </w:r>
            <w:r>
              <w:rPr>
                <w:rStyle w:val="48"/>
                <w:rFonts w:hint="default"/>
                <w:sz w:val="21"/>
                <w:szCs w:val="21"/>
                <w:lang w:bidi="ar"/>
              </w:rPr>
              <w:t>焊接、切割和类似作业用橡胶软管》</w:t>
            </w:r>
          </w:p>
        </w:tc>
        <w:tc>
          <w:tcPr>
            <w:tcW w:w="1437" w:type="dxa"/>
            <w:tcBorders>
              <w:top w:val="nil"/>
              <w:left w:val="nil"/>
              <w:bottom w:val="nil"/>
              <w:right w:val="nil"/>
            </w:tcBorders>
            <w:noWrap/>
            <w:vAlign w:val="center"/>
          </w:tcPr>
          <w:p w14:paraId="1EFC0919">
            <w:pPr>
              <w:widowControl/>
              <w:jc w:val="left"/>
              <w:textAlignment w:val="center"/>
              <w:rPr>
                <w:color w:val="000000"/>
                <w:szCs w:val="21"/>
              </w:rPr>
            </w:pPr>
            <w:r>
              <w:rPr>
                <w:color w:val="000000"/>
                <w:kern w:val="0"/>
                <w:szCs w:val="21"/>
                <w:lang w:bidi="ar"/>
              </w:rPr>
              <w:t>GB/T 2550</w:t>
            </w:r>
          </w:p>
        </w:tc>
      </w:tr>
      <w:tr w14:paraId="5741E858">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02BA2AA5">
            <w:pPr>
              <w:widowControl/>
              <w:jc w:val="center"/>
              <w:textAlignment w:val="center"/>
              <w:rPr>
                <w:color w:val="000000"/>
                <w:szCs w:val="21"/>
              </w:rPr>
            </w:pPr>
            <w:r>
              <w:rPr>
                <w:color w:val="000000"/>
                <w:kern w:val="0"/>
                <w:szCs w:val="21"/>
                <w:lang w:bidi="ar"/>
              </w:rPr>
              <w:t>15</w:t>
            </w:r>
          </w:p>
        </w:tc>
        <w:tc>
          <w:tcPr>
            <w:tcW w:w="6750" w:type="dxa"/>
            <w:tcBorders>
              <w:top w:val="nil"/>
              <w:left w:val="nil"/>
              <w:bottom w:val="nil"/>
              <w:right w:val="nil"/>
            </w:tcBorders>
            <w:noWrap/>
            <w:vAlign w:val="center"/>
          </w:tcPr>
          <w:p w14:paraId="3B02B496">
            <w:pPr>
              <w:widowControl/>
              <w:jc w:val="left"/>
              <w:textAlignment w:val="center"/>
              <w:rPr>
                <w:color w:val="000000"/>
                <w:szCs w:val="21"/>
              </w:rPr>
            </w:pPr>
            <w:r>
              <w:rPr>
                <w:rStyle w:val="48"/>
                <w:rFonts w:hint="default"/>
                <w:sz w:val="21"/>
                <w:szCs w:val="21"/>
                <w:lang w:bidi="ar"/>
              </w:rPr>
              <w:t>《低压流体输送用焊接钢管》</w:t>
            </w:r>
          </w:p>
        </w:tc>
        <w:tc>
          <w:tcPr>
            <w:tcW w:w="1437" w:type="dxa"/>
            <w:tcBorders>
              <w:top w:val="nil"/>
              <w:left w:val="nil"/>
              <w:bottom w:val="nil"/>
              <w:right w:val="nil"/>
            </w:tcBorders>
            <w:noWrap/>
            <w:vAlign w:val="center"/>
          </w:tcPr>
          <w:p w14:paraId="71D6C49E">
            <w:pPr>
              <w:widowControl/>
              <w:jc w:val="left"/>
              <w:textAlignment w:val="center"/>
              <w:rPr>
                <w:color w:val="000000"/>
                <w:szCs w:val="21"/>
              </w:rPr>
            </w:pPr>
            <w:r>
              <w:rPr>
                <w:color w:val="000000"/>
                <w:kern w:val="0"/>
                <w:szCs w:val="21"/>
                <w:lang w:bidi="ar"/>
              </w:rPr>
              <w:t>GB/T 3091</w:t>
            </w:r>
          </w:p>
        </w:tc>
      </w:tr>
      <w:tr w14:paraId="26FA7AD7">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167B570E">
            <w:pPr>
              <w:widowControl/>
              <w:jc w:val="center"/>
              <w:textAlignment w:val="center"/>
              <w:rPr>
                <w:color w:val="000000"/>
                <w:szCs w:val="21"/>
              </w:rPr>
            </w:pPr>
            <w:r>
              <w:rPr>
                <w:color w:val="000000"/>
                <w:kern w:val="0"/>
                <w:szCs w:val="21"/>
                <w:lang w:bidi="ar"/>
              </w:rPr>
              <w:t>16</w:t>
            </w:r>
          </w:p>
        </w:tc>
        <w:tc>
          <w:tcPr>
            <w:tcW w:w="6750" w:type="dxa"/>
            <w:tcBorders>
              <w:top w:val="nil"/>
              <w:left w:val="nil"/>
              <w:bottom w:val="nil"/>
              <w:right w:val="nil"/>
            </w:tcBorders>
            <w:noWrap/>
            <w:vAlign w:val="center"/>
          </w:tcPr>
          <w:p w14:paraId="14C77AD2">
            <w:pPr>
              <w:widowControl/>
              <w:jc w:val="left"/>
              <w:textAlignment w:val="center"/>
              <w:rPr>
                <w:color w:val="000000"/>
                <w:szCs w:val="21"/>
              </w:rPr>
            </w:pPr>
            <w:r>
              <w:rPr>
                <w:rStyle w:val="48"/>
                <w:rFonts w:hint="default"/>
                <w:sz w:val="21"/>
                <w:szCs w:val="21"/>
                <w:lang w:bidi="ar"/>
              </w:rPr>
              <w:t>《紧固件机械性能</w:t>
            </w:r>
            <w:r>
              <w:rPr>
                <w:rStyle w:val="49"/>
                <w:sz w:val="21"/>
                <w:szCs w:val="21"/>
                <w:lang w:bidi="ar"/>
              </w:rPr>
              <w:t xml:space="preserve"> </w:t>
            </w:r>
            <w:r>
              <w:rPr>
                <w:rStyle w:val="48"/>
                <w:rFonts w:hint="default"/>
                <w:sz w:val="21"/>
                <w:szCs w:val="21"/>
                <w:lang w:bidi="ar"/>
              </w:rPr>
              <w:t>螺栓、螺钉和螺柱》</w:t>
            </w:r>
          </w:p>
        </w:tc>
        <w:tc>
          <w:tcPr>
            <w:tcW w:w="1437" w:type="dxa"/>
            <w:tcBorders>
              <w:top w:val="nil"/>
              <w:left w:val="nil"/>
              <w:bottom w:val="nil"/>
              <w:right w:val="nil"/>
            </w:tcBorders>
            <w:noWrap/>
            <w:vAlign w:val="center"/>
          </w:tcPr>
          <w:p w14:paraId="43BF8FBF">
            <w:pPr>
              <w:widowControl/>
              <w:jc w:val="left"/>
              <w:textAlignment w:val="center"/>
              <w:rPr>
                <w:color w:val="000000"/>
                <w:szCs w:val="21"/>
              </w:rPr>
            </w:pPr>
            <w:r>
              <w:rPr>
                <w:color w:val="000000"/>
                <w:kern w:val="0"/>
                <w:szCs w:val="21"/>
                <w:lang w:bidi="ar"/>
              </w:rPr>
              <w:t>GB/T 3098.1</w:t>
            </w:r>
          </w:p>
        </w:tc>
      </w:tr>
      <w:tr w14:paraId="55160D01">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72474585">
            <w:pPr>
              <w:widowControl/>
              <w:jc w:val="center"/>
              <w:textAlignment w:val="center"/>
              <w:rPr>
                <w:color w:val="000000"/>
                <w:szCs w:val="21"/>
              </w:rPr>
            </w:pPr>
            <w:r>
              <w:rPr>
                <w:color w:val="000000"/>
                <w:kern w:val="0"/>
                <w:szCs w:val="21"/>
                <w:lang w:bidi="ar"/>
              </w:rPr>
              <w:t>17</w:t>
            </w:r>
          </w:p>
        </w:tc>
        <w:tc>
          <w:tcPr>
            <w:tcW w:w="6750" w:type="dxa"/>
            <w:tcBorders>
              <w:top w:val="nil"/>
              <w:left w:val="nil"/>
              <w:bottom w:val="nil"/>
              <w:right w:val="nil"/>
            </w:tcBorders>
            <w:noWrap/>
            <w:vAlign w:val="center"/>
          </w:tcPr>
          <w:p w14:paraId="33430118">
            <w:pPr>
              <w:widowControl/>
              <w:jc w:val="left"/>
              <w:textAlignment w:val="center"/>
              <w:rPr>
                <w:color w:val="000000"/>
                <w:szCs w:val="21"/>
              </w:rPr>
            </w:pPr>
            <w:r>
              <w:rPr>
                <w:rStyle w:val="48"/>
                <w:rFonts w:hint="default"/>
                <w:sz w:val="21"/>
                <w:szCs w:val="21"/>
                <w:lang w:bidi="ar"/>
              </w:rPr>
              <w:t>《紧固件机械性能</w:t>
            </w:r>
            <w:r>
              <w:rPr>
                <w:rStyle w:val="49"/>
                <w:sz w:val="21"/>
                <w:szCs w:val="21"/>
                <w:lang w:bidi="ar"/>
              </w:rPr>
              <w:t xml:space="preserve"> </w:t>
            </w:r>
            <w:r>
              <w:rPr>
                <w:rStyle w:val="48"/>
                <w:rFonts w:hint="default"/>
                <w:sz w:val="21"/>
                <w:szCs w:val="21"/>
                <w:lang w:bidi="ar"/>
              </w:rPr>
              <w:t>紧定螺钉》</w:t>
            </w:r>
          </w:p>
        </w:tc>
        <w:tc>
          <w:tcPr>
            <w:tcW w:w="1437" w:type="dxa"/>
            <w:tcBorders>
              <w:top w:val="nil"/>
              <w:left w:val="nil"/>
              <w:bottom w:val="nil"/>
              <w:right w:val="nil"/>
            </w:tcBorders>
            <w:noWrap/>
            <w:vAlign w:val="center"/>
          </w:tcPr>
          <w:p w14:paraId="2C8DC046">
            <w:pPr>
              <w:widowControl/>
              <w:jc w:val="left"/>
              <w:textAlignment w:val="center"/>
              <w:rPr>
                <w:color w:val="000000"/>
                <w:szCs w:val="21"/>
              </w:rPr>
            </w:pPr>
            <w:r>
              <w:rPr>
                <w:color w:val="000000"/>
                <w:kern w:val="0"/>
                <w:szCs w:val="21"/>
                <w:lang w:bidi="ar"/>
              </w:rPr>
              <w:t>GB/T 3098.3</w:t>
            </w:r>
          </w:p>
        </w:tc>
      </w:tr>
      <w:tr w14:paraId="71C6CF7A">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49FDB575">
            <w:pPr>
              <w:widowControl/>
              <w:jc w:val="center"/>
              <w:textAlignment w:val="center"/>
              <w:rPr>
                <w:color w:val="000000"/>
                <w:szCs w:val="21"/>
              </w:rPr>
            </w:pPr>
            <w:r>
              <w:rPr>
                <w:color w:val="000000"/>
                <w:kern w:val="0"/>
                <w:szCs w:val="21"/>
                <w:lang w:bidi="ar"/>
              </w:rPr>
              <w:t>18</w:t>
            </w:r>
          </w:p>
        </w:tc>
        <w:tc>
          <w:tcPr>
            <w:tcW w:w="6750" w:type="dxa"/>
            <w:tcBorders>
              <w:top w:val="nil"/>
              <w:left w:val="nil"/>
              <w:bottom w:val="nil"/>
              <w:right w:val="nil"/>
            </w:tcBorders>
            <w:noWrap/>
            <w:vAlign w:val="center"/>
          </w:tcPr>
          <w:p w14:paraId="25271808">
            <w:pPr>
              <w:widowControl/>
              <w:jc w:val="left"/>
              <w:textAlignment w:val="center"/>
              <w:rPr>
                <w:color w:val="000000"/>
                <w:szCs w:val="21"/>
              </w:rPr>
            </w:pPr>
            <w:r>
              <w:rPr>
                <w:rStyle w:val="48"/>
                <w:rFonts w:hint="default"/>
                <w:sz w:val="21"/>
                <w:szCs w:val="21"/>
                <w:lang w:bidi="ar"/>
              </w:rPr>
              <w:t>《高处作业分级》</w:t>
            </w:r>
          </w:p>
        </w:tc>
        <w:tc>
          <w:tcPr>
            <w:tcW w:w="1437" w:type="dxa"/>
            <w:tcBorders>
              <w:top w:val="nil"/>
              <w:left w:val="nil"/>
              <w:bottom w:val="nil"/>
              <w:right w:val="nil"/>
            </w:tcBorders>
            <w:noWrap/>
            <w:vAlign w:val="center"/>
          </w:tcPr>
          <w:p w14:paraId="67D1AC2B">
            <w:pPr>
              <w:widowControl/>
              <w:jc w:val="left"/>
              <w:textAlignment w:val="center"/>
              <w:rPr>
                <w:color w:val="000000"/>
                <w:szCs w:val="21"/>
              </w:rPr>
            </w:pPr>
            <w:r>
              <w:rPr>
                <w:color w:val="000000"/>
                <w:kern w:val="0"/>
                <w:szCs w:val="21"/>
                <w:lang w:bidi="ar"/>
              </w:rPr>
              <w:t>GB 3608</w:t>
            </w:r>
          </w:p>
        </w:tc>
      </w:tr>
      <w:tr w14:paraId="6B20EE46">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73125DB3">
            <w:pPr>
              <w:widowControl/>
              <w:jc w:val="center"/>
              <w:textAlignment w:val="center"/>
              <w:rPr>
                <w:color w:val="000000"/>
                <w:szCs w:val="21"/>
              </w:rPr>
            </w:pPr>
            <w:r>
              <w:rPr>
                <w:color w:val="000000"/>
                <w:kern w:val="0"/>
                <w:szCs w:val="21"/>
                <w:lang w:bidi="ar"/>
              </w:rPr>
              <w:t>19</w:t>
            </w:r>
          </w:p>
        </w:tc>
        <w:tc>
          <w:tcPr>
            <w:tcW w:w="6750" w:type="dxa"/>
            <w:tcBorders>
              <w:top w:val="nil"/>
              <w:left w:val="nil"/>
              <w:bottom w:val="nil"/>
              <w:right w:val="nil"/>
            </w:tcBorders>
            <w:noWrap/>
            <w:vAlign w:val="center"/>
          </w:tcPr>
          <w:p w14:paraId="22A188E6">
            <w:pPr>
              <w:widowControl/>
              <w:jc w:val="left"/>
              <w:textAlignment w:val="center"/>
              <w:rPr>
                <w:color w:val="000000"/>
                <w:szCs w:val="21"/>
              </w:rPr>
            </w:pPr>
            <w:r>
              <w:rPr>
                <w:rStyle w:val="48"/>
                <w:rFonts w:hint="default"/>
                <w:sz w:val="21"/>
                <w:szCs w:val="21"/>
                <w:lang w:bidi="ar"/>
              </w:rPr>
              <w:t>《爆炸性环境</w:t>
            </w:r>
            <w:r>
              <w:rPr>
                <w:rStyle w:val="49"/>
                <w:sz w:val="21"/>
                <w:szCs w:val="21"/>
                <w:lang w:bidi="ar"/>
              </w:rPr>
              <w:t xml:space="preserve"> </w:t>
            </w:r>
            <w:r>
              <w:rPr>
                <w:rStyle w:val="48"/>
                <w:rFonts w:hint="default"/>
                <w:sz w:val="21"/>
                <w:szCs w:val="21"/>
                <w:lang w:bidi="ar"/>
              </w:rPr>
              <w:t>第</w:t>
            </w:r>
            <w:r>
              <w:rPr>
                <w:rStyle w:val="49"/>
                <w:sz w:val="21"/>
                <w:szCs w:val="21"/>
                <w:lang w:bidi="ar"/>
              </w:rPr>
              <w:t>1</w:t>
            </w:r>
            <w:r>
              <w:rPr>
                <w:rStyle w:val="48"/>
                <w:rFonts w:hint="default"/>
                <w:sz w:val="21"/>
                <w:szCs w:val="21"/>
                <w:lang w:bidi="ar"/>
              </w:rPr>
              <w:t>部分：设备</w:t>
            </w:r>
            <w:r>
              <w:rPr>
                <w:rStyle w:val="49"/>
                <w:sz w:val="21"/>
                <w:szCs w:val="21"/>
                <w:lang w:bidi="ar"/>
              </w:rPr>
              <w:t xml:space="preserve"> </w:t>
            </w:r>
            <w:r>
              <w:rPr>
                <w:rStyle w:val="48"/>
                <w:rFonts w:hint="default"/>
                <w:sz w:val="21"/>
                <w:szCs w:val="21"/>
                <w:lang w:bidi="ar"/>
              </w:rPr>
              <w:t>通用要求》</w:t>
            </w:r>
          </w:p>
        </w:tc>
        <w:tc>
          <w:tcPr>
            <w:tcW w:w="1437" w:type="dxa"/>
            <w:tcBorders>
              <w:top w:val="nil"/>
              <w:left w:val="nil"/>
              <w:bottom w:val="nil"/>
              <w:right w:val="nil"/>
            </w:tcBorders>
            <w:noWrap/>
            <w:vAlign w:val="center"/>
          </w:tcPr>
          <w:p w14:paraId="2A0DB68C">
            <w:pPr>
              <w:widowControl/>
              <w:jc w:val="left"/>
              <w:textAlignment w:val="center"/>
              <w:rPr>
                <w:color w:val="000000"/>
                <w:szCs w:val="21"/>
              </w:rPr>
            </w:pPr>
            <w:r>
              <w:rPr>
                <w:color w:val="000000"/>
                <w:kern w:val="0"/>
                <w:szCs w:val="21"/>
                <w:lang w:bidi="ar"/>
              </w:rPr>
              <w:t>GB/T 3836.1</w:t>
            </w:r>
          </w:p>
        </w:tc>
      </w:tr>
      <w:tr w14:paraId="36F53F1B">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6961F654">
            <w:pPr>
              <w:widowControl/>
              <w:jc w:val="center"/>
              <w:textAlignment w:val="center"/>
              <w:rPr>
                <w:color w:val="000000"/>
                <w:szCs w:val="21"/>
              </w:rPr>
            </w:pPr>
            <w:r>
              <w:rPr>
                <w:color w:val="000000"/>
                <w:kern w:val="0"/>
                <w:szCs w:val="21"/>
                <w:lang w:bidi="ar"/>
              </w:rPr>
              <w:t>20</w:t>
            </w:r>
          </w:p>
        </w:tc>
        <w:tc>
          <w:tcPr>
            <w:tcW w:w="6750" w:type="dxa"/>
            <w:tcBorders>
              <w:top w:val="nil"/>
              <w:left w:val="nil"/>
              <w:bottom w:val="nil"/>
              <w:right w:val="nil"/>
            </w:tcBorders>
            <w:noWrap/>
            <w:vAlign w:val="center"/>
          </w:tcPr>
          <w:p w14:paraId="6E33DAF1">
            <w:pPr>
              <w:widowControl/>
              <w:jc w:val="left"/>
              <w:textAlignment w:val="center"/>
              <w:rPr>
                <w:color w:val="000000"/>
                <w:szCs w:val="21"/>
              </w:rPr>
            </w:pPr>
            <w:r>
              <w:rPr>
                <w:rStyle w:val="48"/>
                <w:rFonts w:hint="default"/>
                <w:sz w:val="21"/>
                <w:szCs w:val="21"/>
                <w:lang w:bidi="ar"/>
              </w:rPr>
              <w:t>《气焊设备</w:t>
            </w:r>
            <w:r>
              <w:rPr>
                <w:rStyle w:val="49"/>
                <w:sz w:val="21"/>
                <w:szCs w:val="21"/>
                <w:lang w:bidi="ar"/>
              </w:rPr>
              <w:t xml:space="preserve"> </w:t>
            </w:r>
            <w:r>
              <w:rPr>
                <w:rStyle w:val="48"/>
                <w:rFonts w:hint="default"/>
                <w:sz w:val="21"/>
                <w:szCs w:val="21"/>
                <w:lang w:bidi="ar"/>
              </w:rPr>
              <w:t>焊接、切割和相关工艺设备用软管接头》</w:t>
            </w:r>
          </w:p>
        </w:tc>
        <w:tc>
          <w:tcPr>
            <w:tcW w:w="1437" w:type="dxa"/>
            <w:tcBorders>
              <w:top w:val="nil"/>
              <w:left w:val="nil"/>
              <w:bottom w:val="nil"/>
              <w:right w:val="nil"/>
            </w:tcBorders>
            <w:noWrap/>
            <w:vAlign w:val="center"/>
          </w:tcPr>
          <w:p w14:paraId="56633501">
            <w:pPr>
              <w:widowControl/>
              <w:jc w:val="left"/>
              <w:textAlignment w:val="center"/>
              <w:rPr>
                <w:color w:val="000000"/>
                <w:szCs w:val="21"/>
              </w:rPr>
            </w:pPr>
            <w:r>
              <w:rPr>
                <w:color w:val="000000"/>
                <w:kern w:val="0"/>
                <w:szCs w:val="21"/>
                <w:lang w:bidi="ar"/>
              </w:rPr>
              <w:t>GB/T 5107</w:t>
            </w:r>
          </w:p>
        </w:tc>
      </w:tr>
      <w:tr w14:paraId="12B5C7B1">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7982BD2E">
            <w:pPr>
              <w:widowControl/>
              <w:jc w:val="center"/>
              <w:textAlignment w:val="center"/>
              <w:rPr>
                <w:color w:val="000000"/>
                <w:szCs w:val="21"/>
              </w:rPr>
            </w:pPr>
            <w:r>
              <w:rPr>
                <w:color w:val="000000"/>
                <w:kern w:val="0"/>
                <w:szCs w:val="21"/>
                <w:lang w:bidi="ar"/>
              </w:rPr>
              <w:t>21</w:t>
            </w:r>
          </w:p>
        </w:tc>
        <w:tc>
          <w:tcPr>
            <w:tcW w:w="6750" w:type="dxa"/>
            <w:tcBorders>
              <w:top w:val="nil"/>
              <w:left w:val="nil"/>
              <w:bottom w:val="nil"/>
              <w:right w:val="nil"/>
            </w:tcBorders>
            <w:noWrap/>
            <w:vAlign w:val="center"/>
          </w:tcPr>
          <w:p w14:paraId="27A08DC4">
            <w:pPr>
              <w:widowControl/>
              <w:jc w:val="left"/>
              <w:textAlignment w:val="center"/>
              <w:rPr>
                <w:color w:val="000000"/>
                <w:szCs w:val="21"/>
              </w:rPr>
            </w:pPr>
            <w:r>
              <w:rPr>
                <w:rStyle w:val="48"/>
                <w:rFonts w:hint="default"/>
                <w:sz w:val="21"/>
                <w:szCs w:val="21"/>
                <w:lang w:bidi="ar"/>
              </w:rPr>
              <w:t>《坠落防护</w:t>
            </w:r>
            <w:r>
              <w:rPr>
                <w:rStyle w:val="49"/>
                <w:sz w:val="21"/>
                <w:szCs w:val="21"/>
                <w:lang w:bidi="ar"/>
              </w:rPr>
              <w:t xml:space="preserve"> </w:t>
            </w:r>
            <w:r>
              <w:rPr>
                <w:rStyle w:val="48"/>
                <w:rFonts w:hint="default"/>
                <w:sz w:val="21"/>
                <w:szCs w:val="21"/>
                <w:lang w:bidi="ar"/>
              </w:rPr>
              <w:t>安全网》</w:t>
            </w:r>
          </w:p>
        </w:tc>
        <w:tc>
          <w:tcPr>
            <w:tcW w:w="1437" w:type="dxa"/>
            <w:tcBorders>
              <w:top w:val="nil"/>
              <w:left w:val="nil"/>
              <w:bottom w:val="nil"/>
              <w:right w:val="nil"/>
            </w:tcBorders>
            <w:noWrap/>
            <w:vAlign w:val="center"/>
          </w:tcPr>
          <w:p w14:paraId="556B5C03">
            <w:pPr>
              <w:widowControl/>
              <w:jc w:val="left"/>
              <w:textAlignment w:val="center"/>
              <w:rPr>
                <w:color w:val="000000"/>
                <w:szCs w:val="21"/>
              </w:rPr>
            </w:pPr>
            <w:r>
              <w:rPr>
                <w:color w:val="000000"/>
                <w:kern w:val="0"/>
                <w:szCs w:val="21"/>
                <w:lang w:bidi="ar"/>
              </w:rPr>
              <w:t>GB 5725</w:t>
            </w:r>
          </w:p>
        </w:tc>
      </w:tr>
      <w:tr w14:paraId="029DC6B3">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62BA9AA7">
            <w:pPr>
              <w:widowControl/>
              <w:jc w:val="center"/>
              <w:textAlignment w:val="center"/>
              <w:rPr>
                <w:color w:val="000000"/>
                <w:szCs w:val="21"/>
              </w:rPr>
            </w:pPr>
            <w:r>
              <w:rPr>
                <w:color w:val="000000"/>
                <w:kern w:val="0"/>
                <w:szCs w:val="21"/>
                <w:lang w:bidi="ar"/>
              </w:rPr>
              <w:t>22</w:t>
            </w:r>
          </w:p>
        </w:tc>
        <w:tc>
          <w:tcPr>
            <w:tcW w:w="6750" w:type="dxa"/>
            <w:tcBorders>
              <w:top w:val="nil"/>
              <w:left w:val="nil"/>
              <w:bottom w:val="nil"/>
              <w:right w:val="nil"/>
            </w:tcBorders>
            <w:noWrap/>
            <w:vAlign w:val="center"/>
          </w:tcPr>
          <w:p w14:paraId="2BCBF234">
            <w:pPr>
              <w:widowControl/>
              <w:jc w:val="left"/>
              <w:textAlignment w:val="center"/>
              <w:rPr>
                <w:color w:val="000000"/>
                <w:szCs w:val="21"/>
              </w:rPr>
            </w:pPr>
            <w:r>
              <w:rPr>
                <w:rStyle w:val="48"/>
                <w:rFonts w:hint="default"/>
                <w:sz w:val="21"/>
                <w:szCs w:val="21"/>
                <w:lang w:bidi="ar"/>
              </w:rPr>
              <w:t>《</w:t>
            </w:r>
            <w:r>
              <w:rPr>
                <w:rStyle w:val="49"/>
                <w:sz w:val="21"/>
                <w:szCs w:val="21"/>
                <w:lang w:bidi="ar"/>
              </w:rPr>
              <w:t>紧固件 六角头螺栓</w:t>
            </w:r>
            <w:r>
              <w:rPr>
                <w:rStyle w:val="48"/>
                <w:rFonts w:hint="default"/>
                <w:sz w:val="21"/>
                <w:szCs w:val="21"/>
                <w:lang w:bidi="ar"/>
              </w:rPr>
              <w:t>》</w:t>
            </w:r>
          </w:p>
        </w:tc>
        <w:tc>
          <w:tcPr>
            <w:tcW w:w="1437" w:type="dxa"/>
            <w:tcBorders>
              <w:top w:val="nil"/>
              <w:left w:val="nil"/>
              <w:bottom w:val="nil"/>
              <w:right w:val="nil"/>
            </w:tcBorders>
            <w:noWrap/>
            <w:vAlign w:val="center"/>
          </w:tcPr>
          <w:p w14:paraId="4A178031">
            <w:pPr>
              <w:widowControl/>
              <w:jc w:val="left"/>
              <w:textAlignment w:val="center"/>
              <w:rPr>
                <w:color w:val="000000"/>
                <w:szCs w:val="21"/>
              </w:rPr>
            </w:pPr>
            <w:r>
              <w:rPr>
                <w:color w:val="000000"/>
                <w:kern w:val="0"/>
                <w:szCs w:val="21"/>
                <w:lang w:bidi="ar"/>
              </w:rPr>
              <w:t>GB/T 5782</w:t>
            </w:r>
          </w:p>
        </w:tc>
      </w:tr>
      <w:tr w14:paraId="660D1071">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79DC6DE8">
            <w:pPr>
              <w:widowControl/>
              <w:jc w:val="center"/>
              <w:textAlignment w:val="center"/>
              <w:rPr>
                <w:color w:val="000000"/>
                <w:szCs w:val="21"/>
              </w:rPr>
            </w:pPr>
            <w:r>
              <w:rPr>
                <w:color w:val="000000"/>
                <w:kern w:val="0"/>
                <w:szCs w:val="21"/>
                <w:lang w:bidi="ar"/>
              </w:rPr>
              <w:t>23</w:t>
            </w:r>
          </w:p>
        </w:tc>
        <w:tc>
          <w:tcPr>
            <w:tcW w:w="6750" w:type="dxa"/>
            <w:tcBorders>
              <w:top w:val="nil"/>
              <w:left w:val="nil"/>
              <w:bottom w:val="nil"/>
              <w:right w:val="nil"/>
            </w:tcBorders>
            <w:noWrap/>
            <w:vAlign w:val="center"/>
          </w:tcPr>
          <w:p w14:paraId="187155EC">
            <w:pPr>
              <w:widowControl/>
              <w:jc w:val="left"/>
              <w:textAlignment w:val="center"/>
              <w:rPr>
                <w:color w:val="000000"/>
                <w:szCs w:val="21"/>
              </w:rPr>
            </w:pPr>
            <w:r>
              <w:rPr>
                <w:rStyle w:val="48"/>
                <w:rFonts w:hint="default"/>
                <w:sz w:val="21"/>
                <w:szCs w:val="21"/>
                <w:lang w:bidi="ar"/>
              </w:rPr>
              <w:t>《梯形螺纹第</w:t>
            </w:r>
            <w:r>
              <w:rPr>
                <w:rStyle w:val="49"/>
                <w:sz w:val="21"/>
                <w:szCs w:val="21"/>
                <w:lang w:bidi="ar"/>
              </w:rPr>
              <w:t>2</w:t>
            </w:r>
            <w:r>
              <w:rPr>
                <w:rStyle w:val="48"/>
                <w:rFonts w:hint="default"/>
                <w:sz w:val="21"/>
                <w:szCs w:val="21"/>
                <w:lang w:bidi="ar"/>
              </w:rPr>
              <w:t>部分</w:t>
            </w:r>
            <w:r>
              <w:rPr>
                <w:rStyle w:val="49"/>
                <w:sz w:val="21"/>
                <w:szCs w:val="21"/>
                <w:lang w:bidi="ar"/>
              </w:rPr>
              <w:t>:</w:t>
            </w:r>
            <w:r>
              <w:rPr>
                <w:rStyle w:val="48"/>
                <w:rFonts w:hint="default"/>
                <w:sz w:val="21"/>
                <w:szCs w:val="21"/>
                <w:lang w:bidi="ar"/>
              </w:rPr>
              <w:t>直径与螺距系列》</w:t>
            </w:r>
          </w:p>
        </w:tc>
        <w:tc>
          <w:tcPr>
            <w:tcW w:w="1437" w:type="dxa"/>
            <w:tcBorders>
              <w:top w:val="nil"/>
              <w:left w:val="nil"/>
              <w:bottom w:val="nil"/>
              <w:right w:val="nil"/>
            </w:tcBorders>
            <w:noWrap/>
            <w:vAlign w:val="center"/>
          </w:tcPr>
          <w:p w14:paraId="4EF9F3DC">
            <w:pPr>
              <w:widowControl/>
              <w:jc w:val="left"/>
              <w:textAlignment w:val="center"/>
              <w:rPr>
                <w:color w:val="000000"/>
                <w:szCs w:val="21"/>
              </w:rPr>
            </w:pPr>
            <w:r>
              <w:rPr>
                <w:color w:val="000000"/>
                <w:kern w:val="0"/>
                <w:szCs w:val="21"/>
                <w:lang w:bidi="ar"/>
              </w:rPr>
              <w:t>GB/T 5796.2</w:t>
            </w:r>
          </w:p>
        </w:tc>
      </w:tr>
      <w:tr w14:paraId="181E98F1">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1E3CB0DF">
            <w:pPr>
              <w:widowControl/>
              <w:jc w:val="center"/>
              <w:textAlignment w:val="center"/>
              <w:rPr>
                <w:color w:val="000000"/>
                <w:szCs w:val="21"/>
              </w:rPr>
            </w:pPr>
            <w:r>
              <w:rPr>
                <w:color w:val="000000"/>
                <w:kern w:val="0"/>
                <w:szCs w:val="21"/>
                <w:lang w:bidi="ar"/>
              </w:rPr>
              <w:t>24</w:t>
            </w:r>
          </w:p>
        </w:tc>
        <w:tc>
          <w:tcPr>
            <w:tcW w:w="6750" w:type="dxa"/>
            <w:tcBorders>
              <w:top w:val="nil"/>
              <w:left w:val="nil"/>
              <w:bottom w:val="nil"/>
              <w:right w:val="nil"/>
            </w:tcBorders>
            <w:noWrap/>
            <w:vAlign w:val="center"/>
          </w:tcPr>
          <w:p w14:paraId="195A0B1E">
            <w:pPr>
              <w:widowControl/>
              <w:jc w:val="left"/>
              <w:textAlignment w:val="center"/>
              <w:rPr>
                <w:color w:val="000000"/>
                <w:szCs w:val="21"/>
              </w:rPr>
            </w:pPr>
            <w:r>
              <w:rPr>
                <w:rStyle w:val="48"/>
                <w:rFonts w:hint="default"/>
                <w:sz w:val="21"/>
                <w:szCs w:val="21"/>
                <w:lang w:bidi="ar"/>
              </w:rPr>
              <w:t>《梯形螺纹第</w:t>
            </w:r>
            <w:r>
              <w:rPr>
                <w:rStyle w:val="49"/>
                <w:sz w:val="21"/>
                <w:szCs w:val="21"/>
                <w:lang w:bidi="ar"/>
              </w:rPr>
              <w:t>3</w:t>
            </w:r>
            <w:r>
              <w:rPr>
                <w:rStyle w:val="48"/>
                <w:rFonts w:hint="default"/>
                <w:sz w:val="21"/>
                <w:szCs w:val="21"/>
                <w:lang w:bidi="ar"/>
              </w:rPr>
              <w:t>部分</w:t>
            </w:r>
            <w:r>
              <w:rPr>
                <w:rStyle w:val="49"/>
                <w:sz w:val="21"/>
                <w:szCs w:val="21"/>
                <w:lang w:bidi="ar"/>
              </w:rPr>
              <w:t>:</w:t>
            </w:r>
            <w:r>
              <w:rPr>
                <w:rStyle w:val="48"/>
                <w:rFonts w:hint="default"/>
                <w:sz w:val="21"/>
                <w:szCs w:val="21"/>
                <w:lang w:bidi="ar"/>
              </w:rPr>
              <w:t>基本尺寸》</w:t>
            </w:r>
          </w:p>
        </w:tc>
        <w:tc>
          <w:tcPr>
            <w:tcW w:w="1437" w:type="dxa"/>
            <w:tcBorders>
              <w:top w:val="nil"/>
              <w:left w:val="nil"/>
              <w:bottom w:val="nil"/>
              <w:right w:val="nil"/>
            </w:tcBorders>
            <w:noWrap/>
            <w:vAlign w:val="center"/>
          </w:tcPr>
          <w:p w14:paraId="2E6948E7">
            <w:pPr>
              <w:widowControl/>
              <w:jc w:val="left"/>
              <w:textAlignment w:val="center"/>
              <w:rPr>
                <w:color w:val="000000"/>
                <w:szCs w:val="21"/>
              </w:rPr>
            </w:pPr>
            <w:r>
              <w:rPr>
                <w:color w:val="000000"/>
                <w:kern w:val="0"/>
                <w:szCs w:val="21"/>
                <w:lang w:bidi="ar"/>
              </w:rPr>
              <w:t>GB/T 5796.3</w:t>
            </w:r>
          </w:p>
        </w:tc>
      </w:tr>
      <w:tr w14:paraId="51AF3B80">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68DE12EA">
            <w:pPr>
              <w:widowControl/>
              <w:jc w:val="center"/>
              <w:textAlignment w:val="center"/>
              <w:rPr>
                <w:color w:val="000000"/>
                <w:szCs w:val="21"/>
              </w:rPr>
            </w:pPr>
            <w:r>
              <w:rPr>
                <w:color w:val="000000"/>
                <w:kern w:val="0"/>
                <w:szCs w:val="21"/>
                <w:lang w:bidi="ar"/>
              </w:rPr>
              <w:t>25</w:t>
            </w:r>
          </w:p>
        </w:tc>
        <w:tc>
          <w:tcPr>
            <w:tcW w:w="6750" w:type="dxa"/>
            <w:tcBorders>
              <w:top w:val="nil"/>
              <w:left w:val="nil"/>
              <w:bottom w:val="nil"/>
              <w:right w:val="nil"/>
            </w:tcBorders>
            <w:noWrap/>
            <w:vAlign w:val="center"/>
          </w:tcPr>
          <w:p w14:paraId="2A889225">
            <w:pPr>
              <w:widowControl/>
              <w:jc w:val="left"/>
              <w:textAlignment w:val="center"/>
              <w:rPr>
                <w:color w:val="000000"/>
                <w:szCs w:val="21"/>
              </w:rPr>
            </w:pPr>
            <w:r>
              <w:rPr>
                <w:rStyle w:val="48"/>
                <w:rFonts w:hint="default"/>
                <w:sz w:val="21"/>
                <w:szCs w:val="21"/>
                <w:lang w:bidi="ar"/>
              </w:rPr>
              <w:t>《剩余电流动作保护电器的一般安全要求》</w:t>
            </w:r>
          </w:p>
        </w:tc>
        <w:tc>
          <w:tcPr>
            <w:tcW w:w="1437" w:type="dxa"/>
            <w:tcBorders>
              <w:top w:val="nil"/>
              <w:left w:val="nil"/>
              <w:bottom w:val="nil"/>
              <w:right w:val="nil"/>
            </w:tcBorders>
            <w:noWrap/>
            <w:vAlign w:val="center"/>
          </w:tcPr>
          <w:p w14:paraId="545B67F0">
            <w:pPr>
              <w:widowControl/>
              <w:jc w:val="left"/>
              <w:textAlignment w:val="center"/>
              <w:rPr>
                <w:color w:val="000000"/>
                <w:szCs w:val="21"/>
              </w:rPr>
            </w:pPr>
            <w:r>
              <w:rPr>
                <w:color w:val="000000"/>
                <w:kern w:val="0"/>
                <w:szCs w:val="21"/>
                <w:lang w:bidi="ar"/>
              </w:rPr>
              <w:t>GB/T 6829</w:t>
            </w:r>
          </w:p>
        </w:tc>
      </w:tr>
      <w:tr w14:paraId="4F853DD4">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4A8A8B1F">
            <w:pPr>
              <w:widowControl/>
              <w:jc w:val="center"/>
              <w:textAlignment w:val="center"/>
              <w:rPr>
                <w:color w:val="000000"/>
                <w:szCs w:val="21"/>
              </w:rPr>
            </w:pPr>
            <w:r>
              <w:rPr>
                <w:color w:val="000000"/>
                <w:kern w:val="0"/>
                <w:szCs w:val="21"/>
                <w:lang w:bidi="ar"/>
              </w:rPr>
              <w:t>26</w:t>
            </w:r>
          </w:p>
        </w:tc>
        <w:tc>
          <w:tcPr>
            <w:tcW w:w="6750" w:type="dxa"/>
            <w:tcBorders>
              <w:top w:val="nil"/>
              <w:left w:val="nil"/>
              <w:bottom w:val="nil"/>
              <w:right w:val="nil"/>
            </w:tcBorders>
            <w:noWrap/>
            <w:vAlign w:val="center"/>
          </w:tcPr>
          <w:p w14:paraId="4007F423">
            <w:pPr>
              <w:widowControl/>
              <w:jc w:val="left"/>
              <w:textAlignment w:val="center"/>
              <w:rPr>
                <w:color w:val="000000"/>
                <w:szCs w:val="21"/>
              </w:rPr>
            </w:pPr>
            <w:r>
              <w:rPr>
                <w:rStyle w:val="48"/>
                <w:rFonts w:hint="default"/>
                <w:sz w:val="21"/>
                <w:szCs w:val="21"/>
                <w:lang w:bidi="ar"/>
              </w:rPr>
              <w:t>《气瓶颜色标志》</w:t>
            </w:r>
          </w:p>
        </w:tc>
        <w:tc>
          <w:tcPr>
            <w:tcW w:w="1437" w:type="dxa"/>
            <w:tcBorders>
              <w:top w:val="nil"/>
              <w:left w:val="nil"/>
              <w:bottom w:val="nil"/>
              <w:right w:val="nil"/>
            </w:tcBorders>
            <w:noWrap/>
            <w:vAlign w:val="center"/>
          </w:tcPr>
          <w:p w14:paraId="0C2DAE52">
            <w:pPr>
              <w:widowControl/>
              <w:jc w:val="left"/>
              <w:textAlignment w:val="center"/>
              <w:rPr>
                <w:color w:val="000000"/>
                <w:szCs w:val="21"/>
              </w:rPr>
            </w:pPr>
            <w:r>
              <w:rPr>
                <w:color w:val="000000"/>
                <w:kern w:val="0"/>
                <w:szCs w:val="21"/>
                <w:lang w:bidi="ar"/>
              </w:rPr>
              <w:t>GB/T 7144</w:t>
            </w:r>
          </w:p>
        </w:tc>
      </w:tr>
      <w:tr w14:paraId="34CA2451">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45A1D724">
            <w:pPr>
              <w:widowControl/>
              <w:jc w:val="center"/>
              <w:textAlignment w:val="center"/>
              <w:rPr>
                <w:color w:val="000000"/>
                <w:szCs w:val="21"/>
              </w:rPr>
            </w:pPr>
            <w:r>
              <w:rPr>
                <w:color w:val="000000"/>
                <w:kern w:val="0"/>
                <w:szCs w:val="21"/>
                <w:lang w:bidi="ar"/>
              </w:rPr>
              <w:t>27</w:t>
            </w:r>
          </w:p>
        </w:tc>
        <w:tc>
          <w:tcPr>
            <w:tcW w:w="6750" w:type="dxa"/>
            <w:tcBorders>
              <w:top w:val="nil"/>
              <w:left w:val="nil"/>
              <w:bottom w:val="nil"/>
              <w:right w:val="nil"/>
            </w:tcBorders>
            <w:noWrap/>
            <w:vAlign w:val="center"/>
          </w:tcPr>
          <w:p w14:paraId="6CC753D8">
            <w:pPr>
              <w:widowControl/>
              <w:jc w:val="left"/>
              <w:textAlignment w:val="center"/>
              <w:rPr>
                <w:color w:val="000000"/>
                <w:szCs w:val="21"/>
              </w:rPr>
            </w:pPr>
            <w:r>
              <w:rPr>
                <w:rStyle w:val="48"/>
                <w:rFonts w:hint="default"/>
                <w:sz w:val="21"/>
                <w:szCs w:val="21"/>
                <w:lang w:bidi="ar"/>
              </w:rPr>
              <w:t>《低压成套开关设备和控制设备</w:t>
            </w:r>
            <w:r>
              <w:rPr>
                <w:rStyle w:val="49"/>
                <w:sz w:val="21"/>
                <w:szCs w:val="21"/>
                <w:lang w:bidi="ar"/>
              </w:rPr>
              <w:t xml:space="preserve"> </w:t>
            </w:r>
            <w:r>
              <w:rPr>
                <w:rStyle w:val="48"/>
                <w:rFonts w:hint="default"/>
                <w:sz w:val="21"/>
                <w:szCs w:val="21"/>
                <w:lang w:bidi="ar"/>
              </w:rPr>
              <w:t>第</w:t>
            </w:r>
            <w:r>
              <w:rPr>
                <w:rStyle w:val="49"/>
                <w:sz w:val="21"/>
                <w:szCs w:val="21"/>
                <w:lang w:bidi="ar"/>
              </w:rPr>
              <w:t>4</w:t>
            </w:r>
            <w:r>
              <w:rPr>
                <w:rStyle w:val="48"/>
                <w:rFonts w:hint="default"/>
                <w:sz w:val="21"/>
                <w:szCs w:val="21"/>
                <w:lang w:bidi="ar"/>
              </w:rPr>
              <w:t>部分：对建筑工地用成套设备</w:t>
            </w:r>
            <w:r>
              <w:rPr>
                <w:rStyle w:val="49"/>
                <w:sz w:val="21"/>
                <w:szCs w:val="21"/>
                <w:lang w:bidi="ar"/>
              </w:rPr>
              <w:t>(ACS)</w:t>
            </w:r>
            <w:r>
              <w:rPr>
                <w:rStyle w:val="48"/>
                <w:rFonts w:hint="default"/>
                <w:sz w:val="21"/>
                <w:szCs w:val="21"/>
                <w:lang w:bidi="ar"/>
              </w:rPr>
              <w:t>的特殊要求》</w:t>
            </w:r>
          </w:p>
        </w:tc>
        <w:tc>
          <w:tcPr>
            <w:tcW w:w="1437" w:type="dxa"/>
            <w:tcBorders>
              <w:top w:val="nil"/>
              <w:left w:val="nil"/>
              <w:bottom w:val="nil"/>
              <w:right w:val="nil"/>
            </w:tcBorders>
            <w:noWrap/>
            <w:vAlign w:val="center"/>
          </w:tcPr>
          <w:p w14:paraId="35E88885">
            <w:pPr>
              <w:widowControl/>
              <w:jc w:val="left"/>
              <w:textAlignment w:val="center"/>
              <w:rPr>
                <w:color w:val="000000"/>
                <w:szCs w:val="21"/>
              </w:rPr>
            </w:pPr>
            <w:r>
              <w:rPr>
                <w:color w:val="000000"/>
                <w:kern w:val="0"/>
                <w:szCs w:val="21"/>
                <w:lang w:bidi="ar"/>
              </w:rPr>
              <w:t>GB/T 7251.4</w:t>
            </w:r>
          </w:p>
        </w:tc>
      </w:tr>
      <w:tr w14:paraId="5480CB0D">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49E014A3">
            <w:pPr>
              <w:widowControl/>
              <w:jc w:val="center"/>
              <w:textAlignment w:val="center"/>
              <w:rPr>
                <w:color w:val="000000"/>
                <w:szCs w:val="21"/>
              </w:rPr>
            </w:pPr>
            <w:r>
              <w:rPr>
                <w:color w:val="000000"/>
                <w:kern w:val="0"/>
                <w:szCs w:val="21"/>
                <w:lang w:bidi="ar"/>
              </w:rPr>
              <w:t>28</w:t>
            </w:r>
          </w:p>
        </w:tc>
        <w:tc>
          <w:tcPr>
            <w:tcW w:w="6750" w:type="dxa"/>
            <w:tcBorders>
              <w:top w:val="nil"/>
              <w:left w:val="nil"/>
              <w:bottom w:val="nil"/>
              <w:right w:val="nil"/>
            </w:tcBorders>
            <w:noWrap/>
            <w:vAlign w:val="center"/>
          </w:tcPr>
          <w:p w14:paraId="3484898E">
            <w:pPr>
              <w:widowControl/>
              <w:jc w:val="left"/>
              <w:textAlignment w:val="center"/>
              <w:rPr>
                <w:color w:val="000000"/>
                <w:szCs w:val="21"/>
              </w:rPr>
            </w:pPr>
            <w:r>
              <w:rPr>
                <w:rStyle w:val="48"/>
                <w:rFonts w:hint="default"/>
                <w:sz w:val="21"/>
                <w:szCs w:val="21"/>
                <w:lang w:bidi="ar"/>
              </w:rPr>
              <w:t>《消防安全标志 第1部分：标志》</w:t>
            </w:r>
          </w:p>
        </w:tc>
        <w:tc>
          <w:tcPr>
            <w:tcW w:w="1437" w:type="dxa"/>
            <w:tcBorders>
              <w:top w:val="nil"/>
              <w:left w:val="nil"/>
              <w:bottom w:val="nil"/>
              <w:right w:val="nil"/>
            </w:tcBorders>
            <w:noWrap/>
            <w:vAlign w:val="center"/>
          </w:tcPr>
          <w:p w14:paraId="5B9DEC58">
            <w:pPr>
              <w:widowControl/>
              <w:jc w:val="left"/>
              <w:textAlignment w:val="center"/>
              <w:rPr>
                <w:color w:val="000000"/>
                <w:szCs w:val="21"/>
              </w:rPr>
            </w:pPr>
            <w:r>
              <w:rPr>
                <w:rFonts w:hint="eastAsia"/>
                <w:color w:val="000000"/>
                <w:kern w:val="0"/>
                <w:szCs w:val="21"/>
                <w:lang w:bidi="ar"/>
              </w:rPr>
              <w:t>GB 13495.1</w:t>
            </w:r>
          </w:p>
        </w:tc>
      </w:tr>
      <w:tr w14:paraId="2236C627">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shd w:val="clear"/>
            <w:noWrap/>
            <w:vAlign w:val="center"/>
          </w:tcPr>
          <w:p w14:paraId="06B1C085">
            <w:pPr>
              <w:widowControl/>
              <w:jc w:val="center"/>
              <w:textAlignment w:val="center"/>
              <w:rPr>
                <w:rFonts w:ascii="Times New Roman" w:hAnsi="Times New Roman" w:eastAsia="宋体" w:cs="Times New Roman"/>
                <w:color w:val="000000"/>
                <w:kern w:val="2"/>
                <w:sz w:val="21"/>
                <w:szCs w:val="21"/>
                <w:lang w:val="en-US" w:eastAsia="zh-CN" w:bidi="ar-SA"/>
              </w:rPr>
            </w:pPr>
            <w:r>
              <w:rPr>
                <w:color w:val="000000"/>
                <w:kern w:val="0"/>
                <w:szCs w:val="21"/>
                <w:lang w:bidi="ar"/>
              </w:rPr>
              <w:t>29</w:t>
            </w:r>
          </w:p>
        </w:tc>
        <w:tc>
          <w:tcPr>
            <w:tcW w:w="6750" w:type="dxa"/>
            <w:tcBorders>
              <w:top w:val="nil"/>
              <w:left w:val="nil"/>
              <w:bottom w:val="nil"/>
              <w:right w:val="nil"/>
            </w:tcBorders>
            <w:shd w:val="clear"/>
            <w:noWrap/>
            <w:vAlign w:val="center"/>
          </w:tcPr>
          <w:p w14:paraId="644AEB3D">
            <w:pPr>
              <w:widowControl/>
              <w:jc w:val="left"/>
              <w:textAlignment w:val="center"/>
              <w:rPr>
                <w:rFonts w:hint="default" w:ascii="Times New Roman" w:hAnsi="Times New Roman" w:eastAsia="宋体" w:cs="Times New Roman"/>
                <w:color w:val="000000"/>
                <w:kern w:val="2"/>
                <w:sz w:val="21"/>
                <w:szCs w:val="21"/>
                <w:lang w:val="en-US" w:eastAsia="zh-CN" w:bidi="ar-SA"/>
              </w:rPr>
            </w:pPr>
            <w:r>
              <w:rPr>
                <w:rStyle w:val="48"/>
                <w:rFonts w:hint="default"/>
                <w:sz w:val="21"/>
                <w:szCs w:val="21"/>
                <w:lang w:bidi="ar"/>
              </w:rPr>
              <w:t>《消防安全标志 第3部分：设置要求》</w:t>
            </w:r>
          </w:p>
        </w:tc>
        <w:tc>
          <w:tcPr>
            <w:tcW w:w="1437" w:type="dxa"/>
            <w:tcBorders>
              <w:top w:val="nil"/>
              <w:left w:val="nil"/>
              <w:bottom w:val="nil"/>
              <w:right w:val="nil"/>
            </w:tcBorders>
            <w:shd w:val="clear"/>
            <w:noWrap/>
            <w:vAlign w:val="center"/>
          </w:tcPr>
          <w:p w14:paraId="3227B4B0">
            <w:pPr>
              <w:widowControl/>
              <w:jc w:val="left"/>
              <w:textAlignment w:val="center"/>
              <w:rPr>
                <w:rFonts w:ascii="Times New Roman" w:hAnsi="Times New Roman" w:eastAsia="宋体" w:cs="Times New Roman"/>
                <w:color w:val="000000"/>
                <w:kern w:val="2"/>
                <w:sz w:val="21"/>
                <w:szCs w:val="21"/>
                <w:lang w:val="en-US" w:eastAsia="zh-CN" w:bidi="ar-SA"/>
              </w:rPr>
            </w:pPr>
            <w:r>
              <w:rPr>
                <w:color w:val="000000"/>
                <w:kern w:val="0"/>
                <w:szCs w:val="21"/>
                <w:lang w:bidi="ar"/>
              </w:rPr>
              <w:t>GB 13495.3</w:t>
            </w:r>
          </w:p>
        </w:tc>
      </w:tr>
      <w:tr w14:paraId="4669D965">
        <w:tblPrEx>
          <w:tblCellMar>
            <w:top w:w="0" w:type="dxa"/>
            <w:left w:w="108" w:type="dxa"/>
            <w:bottom w:w="0" w:type="dxa"/>
            <w:right w:w="108" w:type="dxa"/>
          </w:tblCellMar>
        </w:tblPrEx>
        <w:trPr>
          <w:trHeight w:val="600" w:hRule="atLeast"/>
        </w:trPr>
        <w:tc>
          <w:tcPr>
            <w:tcW w:w="600" w:type="dxa"/>
            <w:tcBorders>
              <w:top w:val="nil"/>
              <w:left w:val="nil"/>
              <w:bottom w:val="nil"/>
              <w:right w:val="nil"/>
            </w:tcBorders>
            <w:shd w:val="clear"/>
            <w:noWrap/>
            <w:vAlign w:val="center"/>
          </w:tcPr>
          <w:p w14:paraId="6BFA9ED1">
            <w:pPr>
              <w:widowControl/>
              <w:jc w:val="center"/>
              <w:textAlignment w:val="center"/>
              <w:rPr>
                <w:rFonts w:ascii="Times New Roman" w:hAnsi="Times New Roman" w:eastAsia="宋体" w:cs="Times New Roman"/>
                <w:color w:val="000000"/>
                <w:kern w:val="2"/>
                <w:sz w:val="21"/>
                <w:szCs w:val="21"/>
                <w:lang w:val="en-US" w:eastAsia="zh-CN" w:bidi="ar-SA"/>
              </w:rPr>
            </w:pPr>
            <w:r>
              <w:rPr>
                <w:color w:val="000000"/>
                <w:kern w:val="0"/>
                <w:szCs w:val="21"/>
                <w:lang w:bidi="ar"/>
              </w:rPr>
              <w:t>30</w:t>
            </w:r>
          </w:p>
        </w:tc>
        <w:tc>
          <w:tcPr>
            <w:tcW w:w="6750" w:type="dxa"/>
            <w:tcBorders>
              <w:top w:val="nil"/>
              <w:left w:val="nil"/>
              <w:bottom w:val="nil"/>
              <w:right w:val="nil"/>
            </w:tcBorders>
            <w:vAlign w:val="center"/>
          </w:tcPr>
          <w:p w14:paraId="08ABA3C0">
            <w:pPr>
              <w:widowControl/>
              <w:jc w:val="left"/>
              <w:textAlignment w:val="center"/>
              <w:rPr>
                <w:color w:val="000000"/>
                <w:szCs w:val="21"/>
              </w:rPr>
            </w:pPr>
            <w:r>
              <w:rPr>
                <w:rStyle w:val="48"/>
                <w:rFonts w:hint="default"/>
                <w:sz w:val="21"/>
                <w:szCs w:val="21"/>
                <w:lang w:bidi="ar"/>
              </w:rPr>
              <w:t>《结构用碳素钢和低合金钢焊接钢管》</w:t>
            </w:r>
          </w:p>
        </w:tc>
        <w:tc>
          <w:tcPr>
            <w:tcW w:w="1437" w:type="dxa"/>
            <w:tcBorders>
              <w:top w:val="nil"/>
              <w:left w:val="nil"/>
              <w:bottom w:val="nil"/>
              <w:right w:val="nil"/>
            </w:tcBorders>
            <w:noWrap/>
            <w:vAlign w:val="center"/>
          </w:tcPr>
          <w:p w14:paraId="3BB5BEEA">
            <w:pPr>
              <w:widowControl/>
              <w:jc w:val="left"/>
              <w:textAlignment w:val="center"/>
              <w:rPr>
                <w:color w:val="000000"/>
                <w:szCs w:val="21"/>
              </w:rPr>
            </w:pPr>
            <w:r>
              <w:rPr>
                <w:color w:val="000000"/>
                <w:kern w:val="0"/>
                <w:szCs w:val="21"/>
                <w:lang w:bidi="ar"/>
              </w:rPr>
              <w:t>GB/T 13793</w:t>
            </w:r>
          </w:p>
        </w:tc>
      </w:tr>
      <w:tr w14:paraId="01B1EC71">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shd w:val="clear"/>
            <w:noWrap/>
            <w:vAlign w:val="center"/>
          </w:tcPr>
          <w:p w14:paraId="65C5CEFB">
            <w:pPr>
              <w:widowControl/>
              <w:jc w:val="center"/>
              <w:textAlignment w:val="center"/>
              <w:rPr>
                <w:rFonts w:ascii="Times New Roman" w:hAnsi="Times New Roman" w:eastAsia="宋体" w:cs="Times New Roman"/>
                <w:color w:val="000000"/>
                <w:kern w:val="2"/>
                <w:sz w:val="21"/>
                <w:szCs w:val="21"/>
                <w:lang w:val="en-US" w:eastAsia="zh-CN" w:bidi="ar-SA"/>
              </w:rPr>
            </w:pPr>
            <w:r>
              <w:rPr>
                <w:color w:val="000000"/>
                <w:kern w:val="0"/>
                <w:szCs w:val="21"/>
                <w:lang w:bidi="ar"/>
              </w:rPr>
              <w:t>31</w:t>
            </w:r>
          </w:p>
        </w:tc>
        <w:tc>
          <w:tcPr>
            <w:tcW w:w="6750" w:type="dxa"/>
            <w:tcBorders>
              <w:top w:val="nil"/>
              <w:left w:val="nil"/>
              <w:bottom w:val="nil"/>
              <w:right w:val="nil"/>
            </w:tcBorders>
            <w:noWrap/>
            <w:vAlign w:val="center"/>
          </w:tcPr>
          <w:p w14:paraId="70A26479">
            <w:pPr>
              <w:widowControl/>
              <w:jc w:val="left"/>
              <w:textAlignment w:val="center"/>
              <w:rPr>
                <w:color w:val="000000"/>
                <w:szCs w:val="21"/>
              </w:rPr>
            </w:pPr>
            <w:r>
              <w:rPr>
                <w:rStyle w:val="48"/>
                <w:rFonts w:hint="default"/>
                <w:sz w:val="21"/>
                <w:szCs w:val="21"/>
                <w:lang w:bidi="ar"/>
              </w:rPr>
              <w:t>《粉尘防爆安全规程》</w:t>
            </w:r>
          </w:p>
        </w:tc>
        <w:tc>
          <w:tcPr>
            <w:tcW w:w="1437" w:type="dxa"/>
            <w:tcBorders>
              <w:top w:val="nil"/>
              <w:left w:val="nil"/>
              <w:bottom w:val="nil"/>
              <w:right w:val="nil"/>
            </w:tcBorders>
            <w:noWrap/>
            <w:vAlign w:val="center"/>
          </w:tcPr>
          <w:p w14:paraId="20F56860">
            <w:pPr>
              <w:widowControl/>
              <w:jc w:val="left"/>
              <w:textAlignment w:val="center"/>
              <w:rPr>
                <w:color w:val="000000"/>
                <w:szCs w:val="21"/>
              </w:rPr>
            </w:pPr>
            <w:r>
              <w:rPr>
                <w:color w:val="000000"/>
                <w:kern w:val="0"/>
                <w:szCs w:val="21"/>
                <w:lang w:bidi="ar"/>
              </w:rPr>
              <w:t>GB 15577</w:t>
            </w:r>
          </w:p>
        </w:tc>
      </w:tr>
      <w:tr w14:paraId="7CA8895E">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7307052B">
            <w:pPr>
              <w:widowControl/>
              <w:jc w:val="center"/>
              <w:textAlignment w:val="center"/>
              <w:rPr>
                <w:color w:val="000000"/>
                <w:szCs w:val="21"/>
              </w:rPr>
            </w:pPr>
            <w:r>
              <w:rPr>
                <w:color w:val="000000"/>
                <w:kern w:val="0"/>
                <w:szCs w:val="21"/>
                <w:lang w:bidi="ar"/>
              </w:rPr>
              <w:t>32</w:t>
            </w:r>
          </w:p>
        </w:tc>
        <w:tc>
          <w:tcPr>
            <w:tcW w:w="6750" w:type="dxa"/>
            <w:tcBorders>
              <w:top w:val="nil"/>
              <w:left w:val="nil"/>
              <w:bottom w:val="nil"/>
              <w:right w:val="nil"/>
            </w:tcBorders>
            <w:noWrap/>
            <w:vAlign w:val="center"/>
          </w:tcPr>
          <w:p w14:paraId="6F5E2A52">
            <w:pPr>
              <w:widowControl/>
              <w:jc w:val="left"/>
              <w:textAlignment w:val="center"/>
              <w:rPr>
                <w:color w:val="000000"/>
                <w:szCs w:val="21"/>
              </w:rPr>
            </w:pPr>
            <w:r>
              <w:rPr>
                <w:rStyle w:val="48"/>
                <w:rFonts w:hint="default"/>
                <w:sz w:val="21"/>
                <w:szCs w:val="21"/>
                <w:lang w:bidi="ar"/>
              </w:rPr>
              <w:t>《钢管脚手架扣件》</w:t>
            </w:r>
          </w:p>
        </w:tc>
        <w:tc>
          <w:tcPr>
            <w:tcW w:w="1437" w:type="dxa"/>
            <w:tcBorders>
              <w:top w:val="nil"/>
              <w:left w:val="nil"/>
              <w:bottom w:val="nil"/>
              <w:right w:val="nil"/>
            </w:tcBorders>
            <w:noWrap/>
            <w:vAlign w:val="center"/>
          </w:tcPr>
          <w:p w14:paraId="0A8A749E">
            <w:pPr>
              <w:widowControl/>
              <w:jc w:val="left"/>
              <w:textAlignment w:val="center"/>
              <w:rPr>
                <w:color w:val="000000"/>
                <w:szCs w:val="21"/>
              </w:rPr>
            </w:pPr>
            <w:r>
              <w:rPr>
                <w:color w:val="000000"/>
                <w:kern w:val="0"/>
                <w:szCs w:val="21"/>
                <w:lang w:bidi="ar"/>
              </w:rPr>
              <w:t>GB/T 15831</w:t>
            </w:r>
          </w:p>
        </w:tc>
      </w:tr>
      <w:tr w14:paraId="299E37A5">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68AACF49">
            <w:pPr>
              <w:widowControl/>
              <w:jc w:val="center"/>
              <w:textAlignment w:val="center"/>
              <w:rPr>
                <w:color w:val="000000"/>
                <w:szCs w:val="21"/>
              </w:rPr>
            </w:pPr>
            <w:r>
              <w:rPr>
                <w:color w:val="000000"/>
                <w:kern w:val="0"/>
                <w:szCs w:val="21"/>
                <w:lang w:bidi="ar"/>
              </w:rPr>
              <w:t>33</w:t>
            </w:r>
          </w:p>
        </w:tc>
        <w:tc>
          <w:tcPr>
            <w:tcW w:w="6750" w:type="dxa"/>
            <w:tcBorders>
              <w:top w:val="nil"/>
              <w:left w:val="nil"/>
              <w:bottom w:val="nil"/>
              <w:right w:val="nil"/>
            </w:tcBorders>
            <w:noWrap/>
            <w:vAlign w:val="center"/>
          </w:tcPr>
          <w:p w14:paraId="7BDF1256">
            <w:pPr>
              <w:widowControl/>
              <w:jc w:val="left"/>
              <w:textAlignment w:val="center"/>
              <w:rPr>
                <w:color w:val="000000"/>
                <w:szCs w:val="21"/>
              </w:rPr>
            </w:pPr>
            <w:r>
              <w:rPr>
                <w:rStyle w:val="48"/>
                <w:rFonts w:hint="default"/>
                <w:sz w:val="21"/>
                <w:szCs w:val="21"/>
                <w:lang w:bidi="ar"/>
              </w:rPr>
              <w:t>《高处作业吊篮》</w:t>
            </w:r>
          </w:p>
        </w:tc>
        <w:tc>
          <w:tcPr>
            <w:tcW w:w="1437" w:type="dxa"/>
            <w:tcBorders>
              <w:top w:val="nil"/>
              <w:left w:val="nil"/>
              <w:bottom w:val="nil"/>
              <w:right w:val="nil"/>
            </w:tcBorders>
            <w:noWrap/>
            <w:vAlign w:val="center"/>
          </w:tcPr>
          <w:p w14:paraId="37CF5FE2">
            <w:pPr>
              <w:widowControl/>
              <w:jc w:val="left"/>
              <w:textAlignment w:val="center"/>
              <w:rPr>
                <w:color w:val="000000"/>
                <w:szCs w:val="21"/>
              </w:rPr>
            </w:pPr>
            <w:r>
              <w:rPr>
                <w:color w:val="000000"/>
                <w:kern w:val="0"/>
                <w:szCs w:val="21"/>
                <w:lang w:bidi="ar"/>
              </w:rPr>
              <w:t>GB/T 19155</w:t>
            </w:r>
          </w:p>
        </w:tc>
      </w:tr>
      <w:tr w14:paraId="0F346038">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35C986EA">
            <w:pPr>
              <w:widowControl/>
              <w:jc w:val="center"/>
              <w:textAlignment w:val="center"/>
              <w:rPr>
                <w:color w:val="000000"/>
                <w:szCs w:val="21"/>
              </w:rPr>
            </w:pPr>
            <w:r>
              <w:rPr>
                <w:color w:val="000000"/>
                <w:kern w:val="0"/>
                <w:szCs w:val="21"/>
                <w:lang w:bidi="ar"/>
              </w:rPr>
              <w:t>34</w:t>
            </w:r>
          </w:p>
        </w:tc>
        <w:tc>
          <w:tcPr>
            <w:tcW w:w="6750" w:type="dxa"/>
            <w:tcBorders>
              <w:top w:val="nil"/>
              <w:left w:val="nil"/>
              <w:bottom w:val="nil"/>
              <w:right w:val="nil"/>
            </w:tcBorders>
            <w:noWrap/>
            <w:vAlign w:val="center"/>
          </w:tcPr>
          <w:p w14:paraId="0F498DE9">
            <w:pPr>
              <w:widowControl/>
              <w:jc w:val="left"/>
              <w:textAlignment w:val="center"/>
              <w:rPr>
                <w:color w:val="000000"/>
                <w:szCs w:val="21"/>
              </w:rPr>
            </w:pPr>
            <w:r>
              <w:rPr>
                <w:rStyle w:val="48"/>
                <w:rFonts w:hint="default"/>
                <w:sz w:val="21"/>
                <w:szCs w:val="21"/>
                <w:lang w:bidi="ar"/>
              </w:rPr>
              <w:t>《钢丝绳通用技术条件》</w:t>
            </w:r>
          </w:p>
        </w:tc>
        <w:tc>
          <w:tcPr>
            <w:tcW w:w="1437" w:type="dxa"/>
            <w:tcBorders>
              <w:top w:val="nil"/>
              <w:left w:val="nil"/>
              <w:bottom w:val="nil"/>
              <w:right w:val="nil"/>
            </w:tcBorders>
            <w:noWrap/>
            <w:vAlign w:val="center"/>
          </w:tcPr>
          <w:p w14:paraId="13D5E163">
            <w:pPr>
              <w:widowControl/>
              <w:jc w:val="left"/>
              <w:textAlignment w:val="center"/>
              <w:rPr>
                <w:color w:val="000000"/>
                <w:szCs w:val="21"/>
              </w:rPr>
            </w:pPr>
            <w:r>
              <w:rPr>
                <w:color w:val="000000"/>
                <w:kern w:val="0"/>
                <w:szCs w:val="21"/>
                <w:lang w:bidi="ar"/>
              </w:rPr>
              <w:t>GB/T 20118</w:t>
            </w:r>
          </w:p>
        </w:tc>
      </w:tr>
      <w:tr w14:paraId="191AAEE4">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675C023C">
            <w:pPr>
              <w:widowControl/>
              <w:jc w:val="center"/>
              <w:textAlignment w:val="center"/>
              <w:rPr>
                <w:color w:val="000000"/>
                <w:szCs w:val="21"/>
              </w:rPr>
            </w:pPr>
            <w:r>
              <w:rPr>
                <w:color w:val="000000"/>
                <w:kern w:val="0"/>
                <w:szCs w:val="21"/>
                <w:lang w:bidi="ar"/>
              </w:rPr>
              <w:t>35</w:t>
            </w:r>
          </w:p>
        </w:tc>
        <w:tc>
          <w:tcPr>
            <w:tcW w:w="6750" w:type="dxa"/>
            <w:tcBorders>
              <w:top w:val="nil"/>
              <w:left w:val="nil"/>
              <w:bottom w:val="nil"/>
              <w:right w:val="nil"/>
            </w:tcBorders>
            <w:noWrap/>
            <w:vAlign w:val="center"/>
          </w:tcPr>
          <w:p w14:paraId="4FCE92FC">
            <w:pPr>
              <w:widowControl/>
              <w:jc w:val="left"/>
              <w:textAlignment w:val="center"/>
              <w:rPr>
                <w:color w:val="000000"/>
                <w:szCs w:val="21"/>
              </w:rPr>
            </w:pPr>
            <w:r>
              <w:rPr>
                <w:rStyle w:val="48"/>
                <w:rFonts w:hint="default"/>
                <w:sz w:val="21"/>
                <w:szCs w:val="21"/>
                <w:lang w:bidi="ar"/>
              </w:rPr>
              <w:t>《气瓶搬运、装卸、储存和使用安全规定》</w:t>
            </w:r>
          </w:p>
        </w:tc>
        <w:tc>
          <w:tcPr>
            <w:tcW w:w="1437" w:type="dxa"/>
            <w:tcBorders>
              <w:top w:val="nil"/>
              <w:left w:val="nil"/>
              <w:bottom w:val="nil"/>
              <w:right w:val="nil"/>
            </w:tcBorders>
            <w:noWrap/>
            <w:vAlign w:val="center"/>
          </w:tcPr>
          <w:p w14:paraId="42E9A98F">
            <w:pPr>
              <w:widowControl/>
              <w:jc w:val="left"/>
              <w:textAlignment w:val="center"/>
              <w:rPr>
                <w:color w:val="000000"/>
                <w:szCs w:val="21"/>
              </w:rPr>
            </w:pPr>
            <w:r>
              <w:rPr>
                <w:color w:val="000000"/>
                <w:kern w:val="0"/>
                <w:szCs w:val="21"/>
                <w:lang w:bidi="ar"/>
              </w:rPr>
              <w:t>GB/T 34525</w:t>
            </w:r>
          </w:p>
        </w:tc>
      </w:tr>
      <w:tr w14:paraId="027833F3">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2FB40F6F">
            <w:pPr>
              <w:widowControl/>
              <w:jc w:val="center"/>
              <w:textAlignment w:val="center"/>
              <w:rPr>
                <w:color w:val="000000"/>
                <w:szCs w:val="21"/>
              </w:rPr>
            </w:pPr>
            <w:r>
              <w:rPr>
                <w:color w:val="000000"/>
                <w:kern w:val="0"/>
                <w:szCs w:val="21"/>
                <w:lang w:bidi="ar"/>
              </w:rPr>
              <w:t>36</w:t>
            </w:r>
          </w:p>
        </w:tc>
        <w:tc>
          <w:tcPr>
            <w:tcW w:w="6750" w:type="dxa"/>
            <w:tcBorders>
              <w:top w:val="nil"/>
              <w:left w:val="nil"/>
              <w:bottom w:val="nil"/>
              <w:right w:val="nil"/>
            </w:tcBorders>
            <w:noWrap/>
            <w:vAlign w:val="center"/>
          </w:tcPr>
          <w:p w14:paraId="29C0EE6A">
            <w:pPr>
              <w:widowControl/>
              <w:jc w:val="left"/>
              <w:textAlignment w:val="center"/>
              <w:rPr>
                <w:rStyle w:val="48"/>
                <w:rFonts w:hint="default"/>
                <w:sz w:val="21"/>
                <w:szCs w:val="21"/>
                <w:lang w:bidi="ar"/>
              </w:rPr>
            </w:pPr>
            <w:r>
              <w:rPr>
                <w:rStyle w:val="48"/>
                <w:rFonts w:hint="default"/>
                <w:sz w:val="21"/>
                <w:szCs w:val="21"/>
                <w:lang w:bidi="ar"/>
              </w:rPr>
              <w:t>《有限空间作业安全技术规范》</w:t>
            </w:r>
          </w:p>
        </w:tc>
        <w:tc>
          <w:tcPr>
            <w:tcW w:w="1437" w:type="dxa"/>
            <w:tcBorders>
              <w:top w:val="nil"/>
              <w:left w:val="nil"/>
              <w:bottom w:val="nil"/>
              <w:right w:val="nil"/>
            </w:tcBorders>
            <w:noWrap/>
            <w:vAlign w:val="center"/>
          </w:tcPr>
          <w:p w14:paraId="69873138">
            <w:pPr>
              <w:widowControl/>
              <w:jc w:val="left"/>
              <w:textAlignment w:val="center"/>
              <w:rPr>
                <w:color w:val="000000"/>
                <w:kern w:val="0"/>
                <w:szCs w:val="21"/>
                <w:lang w:bidi="ar"/>
              </w:rPr>
            </w:pPr>
            <w:r>
              <w:rPr>
                <w:rFonts w:hint="eastAsia"/>
                <w:color w:val="000000"/>
                <w:kern w:val="0"/>
                <w:szCs w:val="21"/>
                <w:lang w:bidi="ar"/>
              </w:rPr>
              <w:t>GB 46768</w:t>
            </w:r>
          </w:p>
        </w:tc>
      </w:tr>
      <w:tr w14:paraId="6F717A2C">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586D9564">
            <w:pPr>
              <w:widowControl/>
              <w:jc w:val="center"/>
              <w:textAlignment w:val="center"/>
              <w:rPr>
                <w:color w:val="000000"/>
                <w:szCs w:val="21"/>
              </w:rPr>
            </w:pPr>
            <w:r>
              <w:rPr>
                <w:color w:val="000000"/>
                <w:kern w:val="0"/>
                <w:szCs w:val="21"/>
                <w:lang w:bidi="ar"/>
              </w:rPr>
              <w:t>37</w:t>
            </w:r>
          </w:p>
        </w:tc>
        <w:tc>
          <w:tcPr>
            <w:tcW w:w="6750" w:type="dxa"/>
            <w:tcBorders>
              <w:top w:val="nil"/>
              <w:left w:val="nil"/>
              <w:bottom w:val="nil"/>
              <w:right w:val="nil"/>
            </w:tcBorders>
            <w:noWrap/>
            <w:vAlign w:val="center"/>
          </w:tcPr>
          <w:p w14:paraId="7F090C4C">
            <w:pPr>
              <w:widowControl/>
              <w:jc w:val="left"/>
              <w:textAlignment w:val="center"/>
              <w:rPr>
                <w:color w:val="000000"/>
                <w:szCs w:val="21"/>
              </w:rPr>
            </w:pPr>
            <w:r>
              <w:rPr>
                <w:rStyle w:val="48"/>
                <w:rFonts w:hint="default"/>
                <w:sz w:val="21"/>
                <w:szCs w:val="21"/>
                <w:lang w:bidi="ar"/>
              </w:rPr>
              <w:t>《建筑施工高处作业安全技术规范》</w:t>
            </w:r>
          </w:p>
        </w:tc>
        <w:tc>
          <w:tcPr>
            <w:tcW w:w="1437" w:type="dxa"/>
            <w:tcBorders>
              <w:top w:val="nil"/>
              <w:left w:val="nil"/>
              <w:bottom w:val="nil"/>
              <w:right w:val="nil"/>
            </w:tcBorders>
            <w:noWrap/>
            <w:vAlign w:val="center"/>
          </w:tcPr>
          <w:p w14:paraId="1929B0D4">
            <w:pPr>
              <w:widowControl/>
              <w:jc w:val="left"/>
              <w:textAlignment w:val="center"/>
              <w:rPr>
                <w:color w:val="000000"/>
                <w:szCs w:val="21"/>
              </w:rPr>
            </w:pPr>
            <w:r>
              <w:rPr>
                <w:color w:val="000000"/>
                <w:kern w:val="0"/>
                <w:szCs w:val="21"/>
                <w:lang w:bidi="ar"/>
              </w:rPr>
              <w:t>JGJ 80</w:t>
            </w:r>
          </w:p>
        </w:tc>
      </w:tr>
      <w:tr w14:paraId="548B8E4D">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6F68DCEC">
            <w:pPr>
              <w:widowControl/>
              <w:jc w:val="center"/>
              <w:textAlignment w:val="center"/>
              <w:rPr>
                <w:color w:val="000000"/>
                <w:szCs w:val="21"/>
              </w:rPr>
            </w:pPr>
            <w:r>
              <w:rPr>
                <w:color w:val="000000"/>
                <w:kern w:val="0"/>
                <w:szCs w:val="21"/>
                <w:lang w:bidi="ar"/>
              </w:rPr>
              <w:t>38</w:t>
            </w:r>
          </w:p>
        </w:tc>
        <w:tc>
          <w:tcPr>
            <w:tcW w:w="6750" w:type="dxa"/>
            <w:tcBorders>
              <w:top w:val="nil"/>
              <w:left w:val="nil"/>
              <w:bottom w:val="nil"/>
              <w:right w:val="nil"/>
            </w:tcBorders>
            <w:noWrap/>
            <w:vAlign w:val="center"/>
          </w:tcPr>
          <w:p w14:paraId="24F03C27">
            <w:pPr>
              <w:widowControl/>
              <w:jc w:val="left"/>
              <w:textAlignment w:val="center"/>
              <w:rPr>
                <w:color w:val="000000"/>
                <w:szCs w:val="21"/>
              </w:rPr>
            </w:pPr>
            <w:r>
              <w:rPr>
                <w:rStyle w:val="48"/>
                <w:rFonts w:hint="default"/>
                <w:sz w:val="21"/>
                <w:szCs w:val="21"/>
                <w:lang w:bidi="ar"/>
              </w:rPr>
              <w:t>《建筑施工扣件式钢管脚手架安全技术规范》</w:t>
            </w:r>
          </w:p>
        </w:tc>
        <w:tc>
          <w:tcPr>
            <w:tcW w:w="1437" w:type="dxa"/>
            <w:tcBorders>
              <w:top w:val="nil"/>
              <w:left w:val="nil"/>
              <w:bottom w:val="nil"/>
              <w:right w:val="nil"/>
            </w:tcBorders>
            <w:noWrap/>
            <w:vAlign w:val="center"/>
          </w:tcPr>
          <w:p w14:paraId="2F4065BB">
            <w:pPr>
              <w:widowControl/>
              <w:jc w:val="left"/>
              <w:textAlignment w:val="center"/>
              <w:rPr>
                <w:color w:val="000000"/>
                <w:szCs w:val="21"/>
              </w:rPr>
            </w:pPr>
            <w:r>
              <w:rPr>
                <w:color w:val="000000"/>
                <w:kern w:val="0"/>
                <w:szCs w:val="21"/>
                <w:lang w:bidi="ar"/>
              </w:rPr>
              <w:t>JGJ 130</w:t>
            </w:r>
          </w:p>
        </w:tc>
      </w:tr>
      <w:tr w14:paraId="7E89673E">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08DEF1DF">
            <w:pPr>
              <w:widowControl/>
              <w:jc w:val="center"/>
              <w:textAlignment w:val="center"/>
              <w:rPr>
                <w:color w:val="000000"/>
                <w:szCs w:val="21"/>
              </w:rPr>
            </w:pPr>
            <w:r>
              <w:rPr>
                <w:color w:val="000000"/>
                <w:kern w:val="0"/>
                <w:szCs w:val="21"/>
                <w:lang w:bidi="ar"/>
              </w:rPr>
              <w:t>39</w:t>
            </w:r>
          </w:p>
        </w:tc>
        <w:tc>
          <w:tcPr>
            <w:tcW w:w="6750" w:type="dxa"/>
            <w:tcBorders>
              <w:top w:val="nil"/>
              <w:left w:val="nil"/>
              <w:bottom w:val="nil"/>
              <w:right w:val="nil"/>
            </w:tcBorders>
            <w:noWrap/>
            <w:vAlign w:val="center"/>
          </w:tcPr>
          <w:p w14:paraId="6BF1BFF1">
            <w:pPr>
              <w:widowControl/>
              <w:jc w:val="left"/>
              <w:textAlignment w:val="center"/>
              <w:rPr>
                <w:color w:val="000000"/>
                <w:szCs w:val="21"/>
              </w:rPr>
            </w:pPr>
            <w:r>
              <w:rPr>
                <w:rStyle w:val="48"/>
                <w:rFonts w:hint="default"/>
                <w:sz w:val="21"/>
                <w:szCs w:val="21"/>
                <w:lang w:bidi="ar"/>
              </w:rPr>
              <w:t>《钢管满堂支架预压技术规程》</w:t>
            </w:r>
          </w:p>
        </w:tc>
        <w:tc>
          <w:tcPr>
            <w:tcW w:w="1437" w:type="dxa"/>
            <w:tcBorders>
              <w:top w:val="nil"/>
              <w:left w:val="nil"/>
              <w:bottom w:val="nil"/>
              <w:right w:val="nil"/>
            </w:tcBorders>
            <w:noWrap/>
            <w:vAlign w:val="center"/>
          </w:tcPr>
          <w:p w14:paraId="345D68C7">
            <w:pPr>
              <w:widowControl/>
              <w:jc w:val="left"/>
              <w:textAlignment w:val="center"/>
              <w:rPr>
                <w:color w:val="000000"/>
                <w:szCs w:val="21"/>
              </w:rPr>
            </w:pPr>
            <w:r>
              <w:rPr>
                <w:color w:val="000000"/>
                <w:kern w:val="0"/>
                <w:szCs w:val="21"/>
                <w:lang w:bidi="ar"/>
              </w:rPr>
              <w:t>JGJ/T 194</w:t>
            </w:r>
          </w:p>
        </w:tc>
      </w:tr>
      <w:tr w14:paraId="6A04CCA3">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784AA444">
            <w:pPr>
              <w:widowControl/>
              <w:jc w:val="center"/>
              <w:textAlignment w:val="center"/>
              <w:rPr>
                <w:color w:val="000000"/>
                <w:szCs w:val="21"/>
              </w:rPr>
            </w:pPr>
            <w:r>
              <w:rPr>
                <w:color w:val="000000"/>
                <w:kern w:val="0"/>
                <w:szCs w:val="21"/>
                <w:lang w:bidi="ar"/>
              </w:rPr>
              <w:t>40</w:t>
            </w:r>
          </w:p>
        </w:tc>
        <w:tc>
          <w:tcPr>
            <w:tcW w:w="6750" w:type="dxa"/>
            <w:tcBorders>
              <w:top w:val="nil"/>
              <w:left w:val="nil"/>
              <w:bottom w:val="nil"/>
              <w:right w:val="nil"/>
            </w:tcBorders>
            <w:noWrap/>
            <w:vAlign w:val="center"/>
          </w:tcPr>
          <w:p w14:paraId="628CB086">
            <w:pPr>
              <w:widowControl/>
              <w:jc w:val="left"/>
              <w:textAlignment w:val="center"/>
              <w:rPr>
                <w:color w:val="000000"/>
                <w:szCs w:val="21"/>
              </w:rPr>
            </w:pPr>
            <w:r>
              <w:rPr>
                <w:rStyle w:val="48"/>
                <w:rFonts w:hint="default"/>
                <w:sz w:val="21"/>
                <w:szCs w:val="21"/>
                <w:lang w:bidi="ar"/>
              </w:rPr>
              <w:t>《承插型盘扣式钢管支架构件》</w:t>
            </w:r>
          </w:p>
        </w:tc>
        <w:tc>
          <w:tcPr>
            <w:tcW w:w="1437" w:type="dxa"/>
            <w:tcBorders>
              <w:top w:val="nil"/>
              <w:left w:val="nil"/>
              <w:bottom w:val="nil"/>
              <w:right w:val="nil"/>
            </w:tcBorders>
            <w:noWrap/>
            <w:vAlign w:val="center"/>
          </w:tcPr>
          <w:p w14:paraId="4A5CED34">
            <w:pPr>
              <w:widowControl/>
              <w:jc w:val="left"/>
              <w:textAlignment w:val="center"/>
              <w:rPr>
                <w:color w:val="000000"/>
                <w:szCs w:val="21"/>
              </w:rPr>
            </w:pPr>
            <w:r>
              <w:rPr>
                <w:color w:val="000000"/>
                <w:kern w:val="0"/>
                <w:szCs w:val="21"/>
                <w:lang w:bidi="ar"/>
              </w:rPr>
              <w:t>JG/T 503</w:t>
            </w:r>
          </w:p>
        </w:tc>
      </w:tr>
      <w:tr w14:paraId="5A70DBCC">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552B86DE">
            <w:pPr>
              <w:widowControl/>
              <w:jc w:val="center"/>
              <w:textAlignment w:val="center"/>
              <w:rPr>
                <w:color w:val="000000"/>
                <w:szCs w:val="21"/>
              </w:rPr>
            </w:pPr>
            <w:r>
              <w:rPr>
                <w:color w:val="000000"/>
                <w:kern w:val="0"/>
                <w:szCs w:val="21"/>
                <w:lang w:bidi="ar"/>
              </w:rPr>
              <w:t>41</w:t>
            </w:r>
          </w:p>
        </w:tc>
        <w:tc>
          <w:tcPr>
            <w:tcW w:w="6750" w:type="dxa"/>
            <w:tcBorders>
              <w:top w:val="nil"/>
              <w:left w:val="nil"/>
              <w:bottom w:val="nil"/>
              <w:right w:val="nil"/>
            </w:tcBorders>
            <w:noWrap/>
            <w:vAlign w:val="center"/>
          </w:tcPr>
          <w:p w14:paraId="01E1E3F2">
            <w:pPr>
              <w:widowControl/>
              <w:jc w:val="left"/>
              <w:textAlignment w:val="center"/>
              <w:rPr>
                <w:color w:val="000000"/>
                <w:szCs w:val="21"/>
              </w:rPr>
            </w:pPr>
            <w:r>
              <w:rPr>
                <w:rStyle w:val="48"/>
                <w:rFonts w:hint="default"/>
                <w:sz w:val="21"/>
                <w:szCs w:val="21"/>
                <w:lang w:bidi="ar"/>
              </w:rPr>
              <w:t>《建筑工程施工现场安全资料管理规程》</w:t>
            </w:r>
          </w:p>
        </w:tc>
        <w:tc>
          <w:tcPr>
            <w:tcW w:w="1437" w:type="dxa"/>
            <w:tcBorders>
              <w:top w:val="nil"/>
              <w:left w:val="nil"/>
              <w:bottom w:val="nil"/>
              <w:right w:val="nil"/>
            </w:tcBorders>
            <w:noWrap/>
            <w:vAlign w:val="center"/>
          </w:tcPr>
          <w:p w14:paraId="51F2609A">
            <w:pPr>
              <w:widowControl/>
              <w:jc w:val="left"/>
              <w:textAlignment w:val="center"/>
              <w:rPr>
                <w:color w:val="000000"/>
                <w:szCs w:val="21"/>
              </w:rPr>
            </w:pPr>
            <w:r>
              <w:rPr>
                <w:color w:val="000000"/>
                <w:kern w:val="0"/>
                <w:szCs w:val="21"/>
                <w:lang w:bidi="ar"/>
              </w:rPr>
              <w:t>DB11/T 383</w:t>
            </w:r>
          </w:p>
        </w:tc>
      </w:tr>
      <w:tr w14:paraId="1AD9AF0D">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36AD0883">
            <w:pPr>
              <w:widowControl/>
              <w:jc w:val="center"/>
              <w:textAlignment w:val="center"/>
              <w:rPr>
                <w:color w:val="000000"/>
                <w:szCs w:val="21"/>
              </w:rPr>
            </w:pPr>
            <w:r>
              <w:rPr>
                <w:color w:val="000000"/>
                <w:kern w:val="0"/>
                <w:szCs w:val="21"/>
                <w:lang w:bidi="ar"/>
              </w:rPr>
              <w:t>42</w:t>
            </w:r>
          </w:p>
        </w:tc>
        <w:tc>
          <w:tcPr>
            <w:tcW w:w="6750" w:type="dxa"/>
            <w:tcBorders>
              <w:top w:val="nil"/>
              <w:left w:val="nil"/>
              <w:bottom w:val="nil"/>
              <w:right w:val="nil"/>
            </w:tcBorders>
            <w:noWrap/>
            <w:vAlign w:val="center"/>
          </w:tcPr>
          <w:p w14:paraId="272C568B">
            <w:pPr>
              <w:widowControl/>
              <w:jc w:val="left"/>
              <w:textAlignment w:val="center"/>
              <w:rPr>
                <w:color w:val="000000"/>
                <w:szCs w:val="21"/>
              </w:rPr>
            </w:pPr>
            <w:r>
              <w:rPr>
                <w:rStyle w:val="48"/>
                <w:rFonts w:hint="default"/>
                <w:sz w:val="21"/>
                <w:szCs w:val="21"/>
                <w:lang w:bidi="ar"/>
              </w:rPr>
              <w:t>《扣件式和碗扣式钢管脚手架安全选用技术规程》</w:t>
            </w:r>
          </w:p>
        </w:tc>
        <w:tc>
          <w:tcPr>
            <w:tcW w:w="1437" w:type="dxa"/>
            <w:tcBorders>
              <w:top w:val="nil"/>
              <w:left w:val="nil"/>
              <w:bottom w:val="nil"/>
              <w:right w:val="nil"/>
            </w:tcBorders>
            <w:noWrap/>
            <w:vAlign w:val="center"/>
          </w:tcPr>
          <w:p w14:paraId="6B00DAE0">
            <w:pPr>
              <w:widowControl/>
              <w:jc w:val="left"/>
              <w:textAlignment w:val="center"/>
              <w:rPr>
                <w:color w:val="000000"/>
                <w:szCs w:val="21"/>
              </w:rPr>
            </w:pPr>
            <w:r>
              <w:rPr>
                <w:color w:val="000000"/>
                <w:kern w:val="0"/>
                <w:szCs w:val="21"/>
                <w:lang w:bidi="ar"/>
              </w:rPr>
              <w:t>DB11/T 583</w:t>
            </w:r>
          </w:p>
        </w:tc>
      </w:tr>
      <w:tr w14:paraId="317353B3">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2C1D39F3">
            <w:pPr>
              <w:widowControl/>
              <w:jc w:val="center"/>
              <w:textAlignment w:val="center"/>
              <w:rPr>
                <w:color w:val="000000"/>
                <w:szCs w:val="21"/>
              </w:rPr>
            </w:pPr>
            <w:r>
              <w:rPr>
                <w:color w:val="000000"/>
                <w:kern w:val="0"/>
                <w:szCs w:val="21"/>
                <w:lang w:bidi="ar"/>
              </w:rPr>
              <w:t>43</w:t>
            </w:r>
          </w:p>
        </w:tc>
        <w:tc>
          <w:tcPr>
            <w:tcW w:w="6750" w:type="dxa"/>
            <w:tcBorders>
              <w:top w:val="nil"/>
              <w:left w:val="nil"/>
              <w:bottom w:val="nil"/>
              <w:right w:val="nil"/>
            </w:tcBorders>
            <w:noWrap/>
            <w:vAlign w:val="center"/>
          </w:tcPr>
          <w:p w14:paraId="7844E9E7">
            <w:pPr>
              <w:widowControl/>
              <w:jc w:val="left"/>
              <w:textAlignment w:val="center"/>
              <w:rPr>
                <w:color w:val="000000"/>
                <w:szCs w:val="21"/>
              </w:rPr>
            </w:pPr>
            <w:r>
              <w:rPr>
                <w:rStyle w:val="48"/>
                <w:rFonts w:hint="default"/>
                <w:sz w:val="21"/>
                <w:szCs w:val="21"/>
                <w:lang w:bidi="ar"/>
              </w:rPr>
              <w:t>《施工现场临建房屋应用技术标准》</w:t>
            </w:r>
          </w:p>
        </w:tc>
        <w:tc>
          <w:tcPr>
            <w:tcW w:w="1437" w:type="dxa"/>
            <w:tcBorders>
              <w:top w:val="nil"/>
              <w:left w:val="nil"/>
              <w:bottom w:val="nil"/>
              <w:right w:val="nil"/>
            </w:tcBorders>
            <w:noWrap/>
            <w:vAlign w:val="center"/>
          </w:tcPr>
          <w:p w14:paraId="06CE3FD4">
            <w:pPr>
              <w:widowControl/>
              <w:jc w:val="left"/>
              <w:textAlignment w:val="center"/>
              <w:rPr>
                <w:color w:val="000000"/>
                <w:szCs w:val="21"/>
              </w:rPr>
            </w:pPr>
            <w:r>
              <w:rPr>
                <w:color w:val="000000"/>
                <w:kern w:val="0"/>
                <w:szCs w:val="21"/>
                <w:lang w:bidi="ar"/>
              </w:rPr>
              <w:t>DB11/T 693</w:t>
            </w:r>
          </w:p>
        </w:tc>
      </w:tr>
      <w:tr w14:paraId="36BA3431">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305ECFE5">
            <w:pPr>
              <w:widowControl/>
              <w:jc w:val="center"/>
              <w:textAlignment w:val="center"/>
              <w:rPr>
                <w:color w:val="000000"/>
                <w:szCs w:val="21"/>
              </w:rPr>
            </w:pPr>
            <w:r>
              <w:rPr>
                <w:color w:val="000000"/>
                <w:kern w:val="0"/>
                <w:szCs w:val="21"/>
                <w:lang w:bidi="ar"/>
              </w:rPr>
              <w:t>44</w:t>
            </w:r>
          </w:p>
        </w:tc>
        <w:tc>
          <w:tcPr>
            <w:tcW w:w="6750" w:type="dxa"/>
            <w:tcBorders>
              <w:top w:val="nil"/>
              <w:left w:val="nil"/>
              <w:bottom w:val="nil"/>
              <w:right w:val="nil"/>
            </w:tcBorders>
            <w:noWrap/>
            <w:vAlign w:val="center"/>
          </w:tcPr>
          <w:p w14:paraId="405A642D">
            <w:pPr>
              <w:widowControl/>
              <w:jc w:val="left"/>
              <w:textAlignment w:val="center"/>
              <w:rPr>
                <w:color w:val="000000"/>
                <w:szCs w:val="21"/>
              </w:rPr>
            </w:pPr>
            <w:r>
              <w:rPr>
                <w:rStyle w:val="48"/>
                <w:rFonts w:hint="default"/>
                <w:sz w:val="21"/>
                <w:szCs w:val="21"/>
                <w:lang w:bidi="ar"/>
              </w:rPr>
              <w:t>《消防安全疏散标志设置标准》</w:t>
            </w:r>
          </w:p>
        </w:tc>
        <w:tc>
          <w:tcPr>
            <w:tcW w:w="1437" w:type="dxa"/>
            <w:tcBorders>
              <w:top w:val="nil"/>
              <w:left w:val="nil"/>
              <w:bottom w:val="nil"/>
              <w:right w:val="nil"/>
            </w:tcBorders>
            <w:noWrap/>
            <w:vAlign w:val="center"/>
          </w:tcPr>
          <w:p w14:paraId="66C1DFF9">
            <w:pPr>
              <w:widowControl/>
              <w:jc w:val="left"/>
              <w:textAlignment w:val="center"/>
              <w:rPr>
                <w:color w:val="000000"/>
                <w:szCs w:val="21"/>
              </w:rPr>
            </w:pPr>
            <w:r>
              <w:rPr>
                <w:color w:val="000000"/>
                <w:kern w:val="0"/>
                <w:szCs w:val="21"/>
                <w:lang w:bidi="ar"/>
              </w:rPr>
              <w:t>DB11/T 1024</w:t>
            </w:r>
          </w:p>
        </w:tc>
      </w:tr>
      <w:tr w14:paraId="07DA43B2">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20710263">
            <w:pPr>
              <w:widowControl/>
              <w:jc w:val="center"/>
              <w:textAlignment w:val="center"/>
              <w:rPr>
                <w:color w:val="000000"/>
                <w:szCs w:val="21"/>
              </w:rPr>
            </w:pPr>
            <w:r>
              <w:rPr>
                <w:rFonts w:hint="eastAsia"/>
                <w:color w:val="000000"/>
                <w:szCs w:val="21"/>
              </w:rPr>
              <w:t>45</w:t>
            </w:r>
          </w:p>
        </w:tc>
        <w:tc>
          <w:tcPr>
            <w:tcW w:w="6750" w:type="dxa"/>
            <w:tcBorders>
              <w:top w:val="nil"/>
              <w:left w:val="nil"/>
              <w:bottom w:val="nil"/>
              <w:right w:val="nil"/>
            </w:tcBorders>
            <w:noWrap/>
            <w:vAlign w:val="center"/>
          </w:tcPr>
          <w:p w14:paraId="2A75477D">
            <w:pPr>
              <w:widowControl/>
              <w:jc w:val="left"/>
              <w:textAlignment w:val="center"/>
              <w:rPr>
                <w:rStyle w:val="48"/>
                <w:rFonts w:hint="default"/>
                <w:sz w:val="21"/>
                <w:szCs w:val="21"/>
                <w:lang w:bidi="ar"/>
              </w:rPr>
            </w:pPr>
            <w:r>
              <w:rPr>
                <w:rStyle w:val="48"/>
                <w:rFonts w:hint="default"/>
                <w:sz w:val="21"/>
                <w:szCs w:val="21"/>
                <w:lang w:bidi="ar"/>
              </w:rPr>
              <w:t>《建筑施工现场应急预案编制规程》</w:t>
            </w:r>
          </w:p>
        </w:tc>
        <w:tc>
          <w:tcPr>
            <w:tcW w:w="1437" w:type="dxa"/>
            <w:tcBorders>
              <w:top w:val="nil"/>
              <w:left w:val="nil"/>
              <w:bottom w:val="nil"/>
              <w:right w:val="nil"/>
            </w:tcBorders>
            <w:noWrap/>
            <w:vAlign w:val="center"/>
          </w:tcPr>
          <w:p w14:paraId="704450BD">
            <w:pPr>
              <w:widowControl/>
              <w:jc w:val="left"/>
              <w:textAlignment w:val="center"/>
              <w:rPr>
                <w:color w:val="000000"/>
                <w:kern w:val="0"/>
                <w:szCs w:val="21"/>
                <w:lang w:bidi="ar"/>
              </w:rPr>
            </w:pPr>
            <w:r>
              <w:rPr>
                <w:rFonts w:hint="eastAsia"/>
                <w:color w:val="000000"/>
                <w:kern w:val="0"/>
                <w:szCs w:val="21"/>
                <w:lang w:bidi="ar"/>
              </w:rPr>
              <w:t>DB11/T 2001</w:t>
            </w:r>
          </w:p>
        </w:tc>
      </w:tr>
      <w:tr w14:paraId="277446D3">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5B63BFD5">
            <w:pPr>
              <w:widowControl/>
              <w:jc w:val="center"/>
              <w:textAlignment w:val="center"/>
              <w:rPr>
                <w:color w:val="000000"/>
                <w:szCs w:val="21"/>
              </w:rPr>
            </w:pPr>
            <w:r>
              <w:rPr>
                <w:rFonts w:hint="eastAsia"/>
                <w:color w:val="000000"/>
                <w:szCs w:val="21"/>
              </w:rPr>
              <w:t>46</w:t>
            </w:r>
          </w:p>
        </w:tc>
        <w:tc>
          <w:tcPr>
            <w:tcW w:w="6750" w:type="dxa"/>
            <w:tcBorders>
              <w:top w:val="nil"/>
              <w:left w:val="nil"/>
              <w:bottom w:val="nil"/>
              <w:right w:val="nil"/>
            </w:tcBorders>
            <w:noWrap/>
            <w:vAlign w:val="center"/>
          </w:tcPr>
          <w:p w14:paraId="1CC322C0">
            <w:pPr>
              <w:widowControl/>
              <w:jc w:val="left"/>
              <w:textAlignment w:val="center"/>
              <w:rPr>
                <w:color w:val="000000"/>
                <w:szCs w:val="21"/>
              </w:rPr>
            </w:pPr>
            <w:r>
              <w:rPr>
                <w:rStyle w:val="48"/>
                <w:rFonts w:hint="default"/>
                <w:sz w:val="21"/>
                <w:szCs w:val="21"/>
                <w:lang w:bidi="ar"/>
              </w:rPr>
              <w:t>《脚手架钢板立网防护应用技术规程》</w:t>
            </w:r>
          </w:p>
        </w:tc>
        <w:tc>
          <w:tcPr>
            <w:tcW w:w="1437" w:type="dxa"/>
            <w:tcBorders>
              <w:top w:val="nil"/>
              <w:left w:val="nil"/>
              <w:bottom w:val="nil"/>
              <w:right w:val="nil"/>
            </w:tcBorders>
            <w:noWrap/>
            <w:vAlign w:val="center"/>
          </w:tcPr>
          <w:p w14:paraId="0518E776">
            <w:pPr>
              <w:widowControl/>
              <w:jc w:val="left"/>
              <w:textAlignment w:val="center"/>
              <w:rPr>
                <w:color w:val="000000"/>
                <w:szCs w:val="21"/>
              </w:rPr>
            </w:pPr>
            <w:r>
              <w:rPr>
                <w:color w:val="000000"/>
                <w:kern w:val="0"/>
                <w:szCs w:val="21"/>
                <w:lang w:bidi="ar"/>
              </w:rPr>
              <w:t>DB11/T 2324</w:t>
            </w:r>
          </w:p>
        </w:tc>
      </w:tr>
      <w:tr w14:paraId="77BCAA70">
        <w:tblPrEx>
          <w:tblCellMar>
            <w:top w:w="0" w:type="dxa"/>
            <w:left w:w="108" w:type="dxa"/>
            <w:bottom w:w="0" w:type="dxa"/>
            <w:right w:w="108" w:type="dxa"/>
          </w:tblCellMar>
        </w:tblPrEx>
        <w:trPr>
          <w:trHeight w:val="300" w:hRule="atLeast"/>
        </w:trPr>
        <w:tc>
          <w:tcPr>
            <w:tcW w:w="600" w:type="dxa"/>
            <w:tcBorders>
              <w:top w:val="nil"/>
              <w:left w:val="nil"/>
              <w:bottom w:val="nil"/>
              <w:right w:val="nil"/>
            </w:tcBorders>
            <w:noWrap/>
            <w:vAlign w:val="center"/>
          </w:tcPr>
          <w:p w14:paraId="32CDE5E5">
            <w:pPr>
              <w:widowControl/>
              <w:jc w:val="center"/>
              <w:textAlignment w:val="center"/>
              <w:rPr>
                <w:color w:val="000000"/>
                <w:szCs w:val="21"/>
              </w:rPr>
            </w:pPr>
            <w:r>
              <w:rPr>
                <w:rFonts w:hint="eastAsia"/>
                <w:color w:val="000000"/>
                <w:szCs w:val="21"/>
              </w:rPr>
              <w:t>47</w:t>
            </w:r>
          </w:p>
        </w:tc>
        <w:tc>
          <w:tcPr>
            <w:tcW w:w="6750" w:type="dxa"/>
            <w:tcBorders>
              <w:top w:val="nil"/>
              <w:left w:val="nil"/>
              <w:bottom w:val="nil"/>
              <w:right w:val="nil"/>
            </w:tcBorders>
            <w:noWrap/>
            <w:vAlign w:val="center"/>
          </w:tcPr>
          <w:p w14:paraId="1FF9427B">
            <w:pPr>
              <w:widowControl/>
              <w:jc w:val="left"/>
              <w:textAlignment w:val="center"/>
              <w:rPr>
                <w:color w:val="000000"/>
                <w:szCs w:val="21"/>
              </w:rPr>
            </w:pPr>
            <w:r>
              <w:rPr>
                <w:rFonts w:hint="eastAsia"/>
                <w:color w:val="000000"/>
                <w:szCs w:val="21"/>
              </w:rPr>
              <w:t>《微型消防站建设与管理规范》</w:t>
            </w:r>
          </w:p>
        </w:tc>
        <w:tc>
          <w:tcPr>
            <w:tcW w:w="1437" w:type="dxa"/>
            <w:tcBorders>
              <w:top w:val="nil"/>
              <w:left w:val="nil"/>
              <w:bottom w:val="nil"/>
              <w:right w:val="nil"/>
            </w:tcBorders>
            <w:noWrap/>
            <w:vAlign w:val="center"/>
          </w:tcPr>
          <w:p w14:paraId="38783CAE">
            <w:pPr>
              <w:widowControl/>
              <w:jc w:val="left"/>
              <w:textAlignment w:val="center"/>
              <w:rPr>
                <w:color w:val="000000"/>
                <w:szCs w:val="21"/>
              </w:rPr>
            </w:pPr>
            <w:r>
              <w:rPr>
                <w:color w:val="000000"/>
                <w:kern w:val="0"/>
                <w:szCs w:val="21"/>
                <w:lang w:bidi="ar"/>
              </w:rPr>
              <w:t>DB11/T 2455</w:t>
            </w:r>
          </w:p>
        </w:tc>
      </w:tr>
    </w:tbl>
    <w:p w14:paraId="7F3B5CD8">
      <w:pPr>
        <w:rPr>
          <w:rFonts w:hint="eastAsia" w:ascii="黑体" w:hAnsi="黑体" w:eastAsia="黑体" w:cs="黑体"/>
          <w:b/>
          <w:bCs/>
          <w:sz w:val="28"/>
          <w:szCs w:val="28"/>
        </w:rPr>
      </w:pPr>
    </w:p>
    <w:p w14:paraId="7FB0C879">
      <w:pPr>
        <w:jc w:val="center"/>
        <w:rPr>
          <w:rFonts w:eastAsia="黑体"/>
          <w:b/>
          <w:sz w:val="32"/>
          <w:szCs w:val="32"/>
        </w:rPr>
      </w:pPr>
    </w:p>
    <w:p w14:paraId="3C07C930">
      <w:pPr>
        <w:jc w:val="center"/>
        <w:rPr>
          <w:rFonts w:eastAsia="黑体"/>
          <w:b/>
          <w:sz w:val="32"/>
          <w:szCs w:val="32"/>
        </w:rPr>
      </w:pPr>
    </w:p>
    <w:p w14:paraId="11BDFA67">
      <w:pPr>
        <w:rPr>
          <w:rFonts w:eastAsia="黑体"/>
          <w:b/>
          <w:sz w:val="32"/>
          <w:szCs w:val="32"/>
        </w:rPr>
      </w:pPr>
      <w:r>
        <w:rPr>
          <w:rFonts w:eastAsia="黑体"/>
          <w:b/>
          <w:sz w:val="32"/>
          <w:szCs w:val="32"/>
        </w:rPr>
        <w:br w:type="page"/>
      </w:r>
    </w:p>
    <w:p w14:paraId="403BEB3A">
      <w:pPr>
        <w:jc w:val="center"/>
        <w:rPr>
          <w:rFonts w:eastAsia="黑体"/>
          <w:b/>
          <w:sz w:val="32"/>
          <w:szCs w:val="32"/>
        </w:rPr>
      </w:pPr>
      <w:r>
        <w:rPr>
          <w:rFonts w:eastAsia="黑体"/>
          <w:b/>
          <w:sz w:val="32"/>
          <w:szCs w:val="32"/>
        </w:rPr>
        <w:t>北京市地方标准</w:t>
      </w:r>
    </w:p>
    <w:p w14:paraId="55BBF78C">
      <w:pPr>
        <w:rPr>
          <w:rFonts w:eastAsia="黑体"/>
          <w:b/>
          <w:sz w:val="32"/>
          <w:szCs w:val="32"/>
        </w:rPr>
      </w:pPr>
    </w:p>
    <w:p w14:paraId="271489C8">
      <w:pPr>
        <w:rPr>
          <w:rFonts w:eastAsia="黑体"/>
          <w:b/>
          <w:sz w:val="32"/>
          <w:szCs w:val="32"/>
        </w:rPr>
      </w:pPr>
    </w:p>
    <w:p w14:paraId="59F681EA">
      <w:pPr>
        <w:jc w:val="center"/>
        <w:rPr>
          <w:rFonts w:eastAsia="黑体"/>
          <w:b/>
          <w:sz w:val="32"/>
          <w:szCs w:val="32"/>
        </w:rPr>
      </w:pPr>
    </w:p>
    <w:p w14:paraId="60E2DA0D">
      <w:pPr>
        <w:pStyle w:val="26"/>
        <w:spacing w:line="240" w:lineRule="auto"/>
        <w:rPr>
          <w:rFonts w:ascii="Times New Roman"/>
          <w:sz w:val="44"/>
          <w:szCs w:val="44"/>
        </w:rPr>
      </w:pPr>
      <w:r>
        <w:rPr>
          <w:rFonts w:ascii="Times New Roman"/>
          <w:sz w:val="44"/>
          <w:szCs w:val="44"/>
        </w:rPr>
        <w:t>建设工程施工现场安全防护、场容卫生及消防保卫标准 第</w:t>
      </w:r>
      <w:r>
        <w:rPr>
          <w:rFonts w:hint="eastAsia" w:ascii="Times New Roman"/>
          <w:sz w:val="44"/>
          <w:szCs w:val="44"/>
        </w:rPr>
        <w:t>4</w:t>
      </w:r>
      <w:r>
        <w:rPr>
          <w:rFonts w:ascii="Times New Roman"/>
          <w:sz w:val="44"/>
          <w:szCs w:val="44"/>
        </w:rPr>
        <w:t>部分：</w:t>
      </w:r>
      <w:r>
        <w:rPr>
          <w:rFonts w:hint="eastAsia" w:ascii="Times New Roman"/>
          <w:sz w:val="44"/>
          <w:szCs w:val="44"/>
        </w:rPr>
        <w:t>消防安全</w:t>
      </w:r>
    </w:p>
    <w:p w14:paraId="79D42213">
      <w:pPr>
        <w:pStyle w:val="26"/>
        <w:spacing w:line="240" w:lineRule="auto"/>
        <w:rPr>
          <w:rFonts w:ascii="Times New Roman"/>
          <w:sz w:val="28"/>
          <w:szCs w:val="28"/>
        </w:rPr>
      </w:pPr>
      <w:r>
        <w:rPr>
          <w:rFonts w:hint="eastAsia" w:ascii="Times New Roman"/>
          <w:sz w:val="28"/>
          <w:szCs w:val="28"/>
        </w:rPr>
        <w:t>Construction site safety protection, site capacity sanitation and fire protection standards for construction projects—Part 4: Fire safety</w:t>
      </w:r>
    </w:p>
    <w:p w14:paraId="5A2C2EAF">
      <w:pPr>
        <w:pStyle w:val="9"/>
        <w:rPr>
          <w:rFonts w:hint="eastAsia" w:ascii="宋体" w:hAnsi="宋体" w:cs="宋体"/>
          <w:sz w:val="40"/>
          <w:szCs w:val="22"/>
        </w:rPr>
      </w:pPr>
    </w:p>
    <w:p w14:paraId="6C07CC1C">
      <w:pPr>
        <w:pStyle w:val="9"/>
        <w:rPr>
          <w:rFonts w:hint="eastAsia" w:ascii="宋体" w:hAnsi="宋体" w:cs="宋体"/>
          <w:sz w:val="40"/>
          <w:szCs w:val="22"/>
        </w:rPr>
      </w:pPr>
    </w:p>
    <w:p w14:paraId="022E3487">
      <w:pPr>
        <w:pStyle w:val="9"/>
        <w:rPr>
          <w:rFonts w:hint="eastAsia" w:ascii="宋体" w:hAnsi="宋体" w:cs="宋体"/>
          <w:sz w:val="40"/>
          <w:szCs w:val="22"/>
        </w:rPr>
      </w:pPr>
    </w:p>
    <w:p w14:paraId="41A1D750">
      <w:pPr>
        <w:pStyle w:val="9"/>
        <w:jc w:val="center"/>
        <w:outlineLvl w:val="0"/>
        <w:rPr>
          <w:rFonts w:hint="eastAsia" w:ascii="黑体" w:hAnsi="黑体" w:eastAsia="黑体" w:cs="黑体"/>
          <w:sz w:val="32"/>
          <w:szCs w:val="32"/>
        </w:rPr>
      </w:pPr>
      <w:bookmarkStart w:id="650" w:name="_Toc10344"/>
      <w:bookmarkStart w:id="651" w:name="_Toc897"/>
      <w:bookmarkStart w:id="652" w:name="_Toc17462"/>
      <w:bookmarkStart w:id="653" w:name="_Toc1014"/>
      <w:bookmarkStart w:id="654" w:name="_Toc24595"/>
      <w:bookmarkStart w:id="655" w:name="_Toc9199"/>
      <w:bookmarkStart w:id="656" w:name="_Toc14457"/>
      <w:r>
        <w:rPr>
          <w:rFonts w:hint="eastAsia" w:ascii="黑体" w:hAnsi="黑体" w:eastAsia="黑体" w:cs="黑体"/>
          <w:sz w:val="32"/>
          <w:szCs w:val="32"/>
        </w:rPr>
        <w:t>条文说明</w:t>
      </w:r>
      <w:bookmarkEnd w:id="650"/>
      <w:bookmarkEnd w:id="651"/>
      <w:bookmarkEnd w:id="652"/>
      <w:bookmarkEnd w:id="653"/>
      <w:bookmarkEnd w:id="654"/>
      <w:bookmarkEnd w:id="655"/>
      <w:bookmarkEnd w:id="656"/>
    </w:p>
    <w:p w14:paraId="78CE01B6">
      <w:pPr>
        <w:adjustRightInd w:val="0"/>
        <w:snapToGrid w:val="0"/>
        <w:spacing w:line="360" w:lineRule="auto"/>
        <w:rPr>
          <w:rFonts w:hint="eastAsia" w:ascii="宋体" w:hAnsi="宋体"/>
          <w:szCs w:val="21"/>
        </w:rPr>
      </w:pPr>
    </w:p>
    <w:p w14:paraId="1224984F">
      <w:pPr>
        <w:spacing w:line="360" w:lineRule="auto"/>
        <w:jc w:val="center"/>
        <w:rPr>
          <w:rFonts w:hint="eastAsia" w:ascii="黑体" w:hAnsi="黑体" w:eastAsia="黑体" w:cs="宋体"/>
          <w:sz w:val="18"/>
          <w:szCs w:val="18"/>
        </w:rPr>
      </w:pPr>
    </w:p>
    <w:p w14:paraId="20F3C579">
      <w:pPr>
        <w:rPr>
          <w:szCs w:val="21"/>
        </w:rPr>
      </w:pPr>
      <w:r>
        <w:rPr>
          <w:szCs w:val="21"/>
        </w:rPr>
        <w:br w:type="page"/>
      </w:r>
    </w:p>
    <w:p w14:paraId="42EB8454">
      <w:pPr>
        <w:pStyle w:val="2"/>
        <w:keepNext w:val="0"/>
        <w:keepLines w:val="0"/>
        <w:numPr>
          <w:ilvl w:val="0"/>
          <w:numId w:val="0"/>
        </w:numPr>
        <w:tabs>
          <w:tab w:val="clear" w:pos="425"/>
        </w:tabs>
        <w:spacing w:line="360" w:lineRule="auto"/>
        <w:rPr>
          <w:rFonts w:ascii="Times New Roman" w:hAnsi="Times New Roman" w:eastAsia="黑体"/>
          <w:b/>
          <w:bCs/>
          <w:sz w:val="28"/>
          <w:szCs w:val="28"/>
        </w:rPr>
      </w:pPr>
      <w:bookmarkStart w:id="657" w:name="_Toc530649543"/>
      <w:bookmarkStart w:id="658" w:name="_Toc7259"/>
      <w:bookmarkStart w:id="659" w:name="_Toc8280"/>
      <w:bookmarkStart w:id="660" w:name="_Toc24621"/>
      <w:bookmarkStart w:id="661" w:name="_Toc20578"/>
      <w:bookmarkStart w:id="662" w:name="_Toc8471"/>
      <w:r>
        <w:rPr>
          <w:rFonts w:ascii="Times New Roman" w:hAnsi="Times New Roman" w:eastAsia="黑体"/>
          <w:b/>
          <w:bCs/>
          <w:sz w:val="28"/>
          <w:szCs w:val="28"/>
        </w:rPr>
        <w:t>3</w:t>
      </w:r>
      <w:r>
        <w:rPr>
          <w:rFonts w:hint="eastAsia" w:ascii="Times New Roman" w:hAnsi="Times New Roman" w:eastAsia="黑体"/>
          <w:b/>
          <w:bCs/>
          <w:sz w:val="28"/>
          <w:szCs w:val="28"/>
        </w:rPr>
        <w:t xml:space="preserve"> </w:t>
      </w:r>
      <w:bookmarkEnd w:id="657"/>
      <w:r>
        <w:rPr>
          <w:rFonts w:hint="eastAsia" w:ascii="Times New Roman" w:hAnsi="Times New Roman" w:eastAsia="黑体"/>
          <w:b/>
          <w:bCs/>
          <w:sz w:val="28"/>
          <w:szCs w:val="28"/>
        </w:rPr>
        <w:t>基本规定</w:t>
      </w:r>
      <w:bookmarkEnd w:id="658"/>
      <w:bookmarkEnd w:id="659"/>
      <w:bookmarkEnd w:id="660"/>
      <w:bookmarkEnd w:id="661"/>
      <w:bookmarkEnd w:id="662"/>
    </w:p>
    <w:p w14:paraId="60406E65">
      <w:pPr>
        <w:snapToGrid w:val="0"/>
        <w:spacing w:line="360" w:lineRule="auto"/>
        <w:rPr>
          <w:sz w:val="24"/>
        </w:rPr>
      </w:pPr>
      <w:r>
        <w:rPr>
          <w:rFonts w:hint="eastAsia"/>
          <w:b/>
          <w:sz w:val="24"/>
          <w:szCs w:val="24"/>
        </w:rPr>
        <w:t>3.</w:t>
      </w:r>
      <w:r>
        <w:rPr>
          <w:b/>
          <w:sz w:val="24"/>
          <w:szCs w:val="24"/>
        </w:rPr>
        <w:t>0</w:t>
      </w:r>
      <w:r>
        <w:rPr>
          <w:rFonts w:hint="eastAsia"/>
          <w:b/>
          <w:sz w:val="24"/>
          <w:szCs w:val="24"/>
        </w:rPr>
        <w:t>.</w:t>
      </w:r>
      <w:r>
        <w:rPr>
          <w:b/>
          <w:sz w:val="24"/>
          <w:szCs w:val="24"/>
        </w:rPr>
        <w:t xml:space="preserve">3 </w:t>
      </w:r>
      <w:r>
        <w:rPr>
          <w:sz w:val="24"/>
          <w:szCs w:val="24"/>
        </w:rPr>
        <w:t xml:space="preserve"> </w:t>
      </w:r>
      <w:r>
        <w:rPr>
          <w:rFonts w:hint="eastAsia"/>
          <w:sz w:val="24"/>
          <w:szCs w:val="24"/>
        </w:rPr>
        <w:t>体验式安全培训教育应按照《北京市建筑施工项目从业人员体验式安全培训教育管理办法（试行）》（京建法〔</w:t>
      </w:r>
      <w:r>
        <w:rPr>
          <w:sz w:val="24"/>
          <w:szCs w:val="24"/>
        </w:rPr>
        <w:t>2018〕4号）</w:t>
      </w:r>
      <w:r>
        <w:rPr>
          <w:rFonts w:hint="eastAsia"/>
          <w:sz w:val="24"/>
          <w:szCs w:val="24"/>
        </w:rPr>
        <w:t>文件要求执行。</w:t>
      </w:r>
    </w:p>
    <w:p w14:paraId="22D7F767">
      <w:pPr>
        <w:snapToGrid w:val="0"/>
        <w:spacing w:line="360" w:lineRule="auto"/>
        <w:rPr>
          <w:rFonts w:hint="eastAsia" w:ascii="宋体" w:hAnsi="宋体"/>
          <w:sz w:val="24"/>
        </w:rPr>
      </w:pPr>
      <w:r>
        <w:rPr>
          <w:rFonts w:hint="eastAsia"/>
          <w:b/>
          <w:sz w:val="24"/>
          <w:szCs w:val="24"/>
        </w:rPr>
        <w:t>3.</w:t>
      </w:r>
      <w:r>
        <w:rPr>
          <w:b/>
          <w:sz w:val="24"/>
          <w:szCs w:val="24"/>
        </w:rPr>
        <w:t>0</w:t>
      </w:r>
      <w:r>
        <w:rPr>
          <w:rFonts w:hint="eastAsia"/>
          <w:b/>
          <w:sz w:val="24"/>
          <w:szCs w:val="24"/>
        </w:rPr>
        <w:t>.</w:t>
      </w:r>
      <w:r>
        <w:rPr>
          <w:b/>
          <w:sz w:val="24"/>
          <w:szCs w:val="24"/>
        </w:rPr>
        <w:t xml:space="preserve">6 </w:t>
      </w:r>
      <w:r>
        <w:rPr>
          <w:rFonts w:ascii="宋体" w:hAnsi="宋体"/>
          <w:sz w:val="24"/>
          <w:szCs w:val="24"/>
        </w:rPr>
        <w:t xml:space="preserve"> </w:t>
      </w:r>
      <w:r>
        <w:rPr>
          <w:rFonts w:hint="eastAsia" w:ascii="宋体" w:hAnsi="宋体"/>
          <w:sz w:val="24"/>
          <w:szCs w:val="24"/>
        </w:rPr>
        <w:t>施工单位应在危险性较大的分部分项工程施工前组织工程技术人员编制专项施工方案，专项施工方案应由施工单位技术负责人审核签字、加盖单位公章，并由总监理工程师审查签字、加盖执业印章后方可实施；危大工程实行分包并由分包单位编制专项施工方案的，专项施工方案应由总承包单位技术负责人及分包单位技术负责人共同审核签字并加盖单位公章。实行施工总承包的，由施工总承包单位组织召开专家论证会。专家论证前专项施工方案应通过施工单位审核和总监理工程师审查。专家应从地方人民政府住房城乡建设主管部门建立的专家库中选取，符合专业要求且人数不得少于5名。与本工程有利害关系的人员不得以专家身份参加专家论证会。</w:t>
      </w:r>
    </w:p>
    <w:p w14:paraId="523AF4AC">
      <w:pPr>
        <w:snapToGrid w:val="0"/>
        <w:spacing w:line="360" w:lineRule="auto"/>
        <w:rPr>
          <w:rFonts w:hint="eastAsia" w:ascii="宋体" w:hAnsi="宋体"/>
          <w:sz w:val="24"/>
          <w:szCs w:val="24"/>
        </w:rPr>
      </w:pPr>
      <w:r>
        <w:rPr>
          <w:rFonts w:hint="eastAsia"/>
          <w:b/>
          <w:sz w:val="24"/>
          <w:szCs w:val="24"/>
        </w:rPr>
        <w:t>3.</w:t>
      </w:r>
      <w:r>
        <w:rPr>
          <w:b/>
          <w:sz w:val="24"/>
          <w:szCs w:val="24"/>
        </w:rPr>
        <w:t>0</w:t>
      </w:r>
      <w:r>
        <w:rPr>
          <w:rFonts w:hint="eastAsia"/>
          <w:b/>
          <w:sz w:val="24"/>
          <w:szCs w:val="24"/>
        </w:rPr>
        <w:t>.</w:t>
      </w:r>
      <w:r>
        <w:rPr>
          <w:b/>
          <w:sz w:val="24"/>
          <w:szCs w:val="24"/>
        </w:rPr>
        <w:t xml:space="preserve">11 </w:t>
      </w:r>
      <w:r>
        <w:rPr>
          <w:rFonts w:ascii="宋体" w:hAnsi="宋体"/>
          <w:sz w:val="24"/>
          <w:szCs w:val="24"/>
        </w:rPr>
        <w:t xml:space="preserve"> </w:t>
      </w:r>
      <w:r>
        <w:rPr>
          <w:rFonts w:hint="eastAsia" w:ascii="宋体" w:hAnsi="宋体"/>
          <w:sz w:val="24"/>
          <w:szCs w:val="24"/>
        </w:rPr>
        <w:t>应根据施工现场存在的风险源，制定有针对性的应急预案，使事故控制在局部，消除蔓延条件，防止发生次生事故，并且能在事故发生后迅速有效控制和处理事故，减轻事故对人和财产的影响。施工现场应根据应急预案妥善组织救援，避免盲目抢险导致事故扩大化。</w:t>
      </w:r>
    </w:p>
    <w:p w14:paraId="3AC9448C">
      <w:pPr>
        <w:rPr>
          <w:rFonts w:eastAsia="黑体"/>
          <w:b/>
          <w:bCs/>
          <w:sz w:val="28"/>
          <w:szCs w:val="28"/>
        </w:rPr>
      </w:pPr>
      <w:r>
        <w:rPr>
          <w:rFonts w:eastAsia="黑体"/>
          <w:b/>
          <w:bCs/>
          <w:sz w:val="28"/>
          <w:szCs w:val="28"/>
        </w:rPr>
        <w:br w:type="page"/>
      </w:r>
    </w:p>
    <w:p w14:paraId="5657956F">
      <w:pPr>
        <w:pStyle w:val="2"/>
        <w:numPr>
          <w:ilvl w:val="0"/>
          <w:numId w:val="0"/>
        </w:numPr>
        <w:spacing w:line="360" w:lineRule="auto"/>
        <w:rPr>
          <w:rFonts w:ascii="Times New Roman" w:hAnsi="Times New Roman" w:eastAsia="黑体"/>
          <w:b/>
          <w:bCs/>
          <w:sz w:val="28"/>
          <w:szCs w:val="28"/>
        </w:rPr>
      </w:pPr>
      <w:bookmarkStart w:id="663" w:name="_Toc10566"/>
      <w:bookmarkStart w:id="664" w:name="_Toc27268"/>
      <w:bookmarkStart w:id="665" w:name="_Toc802"/>
      <w:bookmarkStart w:id="666" w:name="_Toc13654"/>
      <w:bookmarkStart w:id="667" w:name="_Toc25829"/>
      <w:r>
        <w:rPr>
          <w:rFonts w:ascii="Times New Roman" w:hAnsi="Times New Roman" w:eastAsia="黑体"/>
          <w:b/>
          <w:bCs/>
          <w:sz w:val="28"/>
          <w:szCs w:val="28"/>
        </w:rPr>
        <w:t>4</w:t>
      </w:r>
      <w:r>
        <w:rPr>
          <w:rFonts w:hint="eastAsia" w:ascii="Times New Roman" w:hAnsi="Times New Roman" w:eastAsia="黑体"/>
          <w:b/>
          <w:bCs/>
          <w:sz w:val="28"/>
          <w:szCs w:val="28"/>
        </w:rPr>
        <w:t xml:space="preserve"> 防护设施</w:t>
      </w:r>
      <w:bookmarkEnd w:id="663"/>
      <w:bookmarkEnd w:id="664"/>
      <w:bookmarkEnd w:id="665"/>
      <w:bookmarkEnd w:id="666"/>
      <w:bookmarkEnd w:id="667"/>
    </w:p>
    <w:p w14:paraId="790CB6B6">
      <w:pPr>
        <w:pStyle w:val="3"/>
        <w:rPr>
          <w:rFonts w:ascii="Times New Roman" w:hAnsi="Times New Roman" w:cs="Times New Roman"/>
          <w:bCs w:val="0"/>
          <w:color w:val="auto"/>
          <w:sz w:val="24"/>
          <w:szCs w:val="24"/>
        </w:rPr>
      </w:pPr>
      <w:bookmarkStart w:id="668" w:name="_Toc31749"/>
      <w:bookmarkStart w:id="669" w:name="_Toc8991"/>
      <w:r>
        <w:rPr>
          <w:rFonts w:ascii="Times New Roman" w:hAnsi="Times New Roman" w:cs="Times New Roman"/>
          <w:bCs w:val="0"/>
          <w:color w:val="auto"/>
          <w:sz w:val="24"/>
          <w:szCs w:val="24"/>
        </w:rPr>
        <w:t>4.1  一般规定</w:t>
      </w:r>
      <w:bookmarkEnd w:id="668"/>
      <w:bookmarkEnd w:id="669"/>
    </w:p>
    <w:p w14:paraId="77CA59D4">
      <w:pPr>
        <w:spacing w:line="360" w:lineRule="auto"/>
      </w:pPr>
      <w:r>
        <w:rPr>
          <w:rFonts w:hint="eastAsia"/>
          <w:b/>
          <w:sz w:val="24"/>
          <w:szCs w:val="24"/>
        </w:rPr>
        <w:t>4</w:t>
      </w:r>
      <w:r>
        <w:rPr>
          <w:b/>
          <w:sz w:val="24"/>
          <w:szCs w:val="24"/>
        </w:rPr>
        <w:t xml:space="preserve">.1.3  </w:t>
      </w:r>
      <w:r>
        <w:rPr>
          <w:sz w:val="24"/>
          <w:szCs w:val="24"/>
        </w:rPr>
        <w:t>脚手架钢管应</w:t>
      </w:r>
      <w:r>
        <w:rPr>
          <w:rFonts w:hint="eastAsia"/>
          <w:sz w:val="24"/>
          <w:szCs w:val="24"/>
        </w:rPr>
        <w:t>符合</w:t>
      </w:r>
      <w:r>
        <w:rPr>
          <w:sz w:val="24"/>
          <w:szCs w:val="24"/>
        </w:rPr>
        <w:t>现行国家标准《</w:t>
      </w:r>
      <w:r>
        <w:rPr>
          <w:rFonts w:hint="eastAsia"/>
          <w:sz w:val="24"/>
          <w:szCs w:val="24"/>
        </w:rPr>
        <w:t>结构用碳素钢和低合金钢焊接钢管</w:t>
      </w:r>
      <w:r>
        <w:rPr>
          <w:sz w:val="24"/>
          <w:szCs w:val="24"/>
        </w:rPr>
        <w:t>》GB/T</w:t>
      </w:r>
      <w:r>
        <w:rPr>
          <w:rFonts w:hint="eastAsia"/>
          <w:sz w:val="24"/>
          <w:szCs w:val="24"/>
          <w:lang w:val="en-US" w:eastAsia="zh-CN"/>
        </w:rPr>
        <w:t xml:space="preserve"> </w:t>
      </w:r>
      <w:bookmarkStart w:id="786" w:name="_GoBack"/>
      <w:bookmarkEnd w:id="786"/>
      <w:r>
        <w:rPr>
          <w:sz w:val="24"/>
          <w:szCs w:val="24"/>
        </w:rPr>
        <w:t>13793或《低压流体输送用焊接钢管》GB/T3091中规定的Q235普通钢管；钢管的钢材质量应符合现行国家标准《碳素结构钢》GB/T700中Q235级钢的规定；扣件应采用可锻铸铁或铸钢制作，其质量和性能应符合现行国家标准《钢管脚手架扣件》GB15831的规定；冲孔钢板应符合现行国家标准《碳素结构钢冷轧钢板及钢带》GB/T 11253的规定，其材质应符合现行国家标准《碳素结构钢》GB/T 700中Q195级钢的规定；冲压钢脚手板的材质应符合现行国家标准《碳素结构钢》GB/T700中Q235 级钢的规定；木脚手板材质应符合现行国家标准《木结构设计规范》GB50005中IIa级材质的规定。</w:t>
      </w:r>
    </w:p>
    <w:p w14:paraId="28E501A5">
      <w:pPr>
        <w:pStyle w:val="3"/>
        <w:rPr>
          <w:rFonts w:ascii="Times New Roman" w:hAnsi="Times New Roman" w:cs="Times New Roman"/>
          <w:bCs w:val="0"/>
          <w:color w:val="auto"/>
          <w:sz w:val="24"/>
          <w:szCs w:val="24"/>
        </w:rPr>
      </w:pPr>
      <w:bookmarkStart w:id="670" w:name="_Toc4296"/>
      <w:bookmarkStart w:id="671" w:name="_Toc13312"/>
      <w:bookmarkStart w:id="672" w:name="_Toc3854"/>
      <w:bookmarkStart w:id="673" w:name="_Toc17578"/>
      <w:bookmarkStart w:id="674" w:name="_Toc29692"/>
      <w:r>
        <w:rPr>
          <w:rFonts w:ascii="Times New Roman" w:hAnsi="Times New Roman" w:cs="Times New Roman"/>
          <w:bCs w:val="0"/>
          <w:color w:val="auto"/>
          <w:sz w:val="24"/>
          <w:szCs w:val="24"/>
        </w:rPr>
        <w:t>4.2  临边安全防护</w:t>
      </w:r>
      <w:bookmarkEnd w:id="670"/>
      <w:bookmarkEnd w:id="671"/>
      <w:bookmarkEnd w:id="672"/>
      <w:bookmarkEnd w:id="673"/>
      <w:bookmarkEnd w:id="674"/>
    </w:p>
    <w:p w14:paraId="747CD282">
      <w:pPr>
        <w:adjustRightInd w:val="0"/>
        <w:snapToGrid w:val="0"/>
        <w:spacing w:line="360" w:lineRule="auto"/>
        <w:rPr>
          <w:b/>
          <w:sz w:val="24"/>
          <w:szCs w:val="24"/>
        </w:rPr>
      </w:pPr>
      <w:r>
        <w:rPr>
          <w:b/>
          <w:sz w:val="24"/>
          <w:szCs w:val="24"/>
        </w:rPr>
        <w:t xml:space="preserve">4.2.9～4.2.10 </w:t>
      </w:r>
      <w:r>
        <w:rPr>
          <w:sz w:val="24"/>
          <w:szCs w:val="24"/>
        </w:rPr>
        <w:t xml:space="preserve"> 增大连接钢板尺寸和连接螺栓规格，有利于防护设施整体的稳定和安全。</w:t>
      </w:r>
    </w:p>
    <w:p w14:paraId="73A4AE93">
      <w:pPr>
        <w:adjustRightInd w:val="0"/>
        <w:snapToGrid w:val="0"/>
        <w:spacing w:line="360" w:lineRule="auto"/>
        <w:rPr>
          <w:sz w:val="24"/>
          <w:szCs w:val="24"/>
        </w:rPr>
      </w:pPr>
      <w:r>
        <w:rPr>
          <w:b/>
          <w:bCs/>
          <w:sz w:val="24"/>
          <w:szCs w:val="24"/>
        </w:rPr>
        <w:t xml:space="preserve">4.2.16 </w:t>
      </w:r>
      <w:r>
        <w:rPr>
          <w:sz w:val="24"/>
          <w:szCs w:val="24"/>
        </w:rPr>
        <w:t xml:space="preserve"> 无脚手架围护的作业面临边区域、高低跨区域等部位，存在高处坠落和物体打击风险，规范设置临边防护设施，能有效防止人员和材料坠落，降低安全风险。</w:t>
      </w:r>
    </w:p>
    <w:p w14:paraId="0FCA263B">
      <w:pPr>
        <w:adjustRightInd w:val="0"/>
        <w:snapToGrid w:val="0"/>
        <w:spacing w:line="360" w:lineRule="auto"/>
        <w:rPr>
          <w:sz w:val="24"/>
          <w:szCs w:val="24"/>
        </w:rPr>
      </w:pPr>
      <w:r>
        <w:rPr>
          <w:b/>
          <w:bCs/>
          <w:sz w:val="24"/>
          <w:szCs w:val="24"/>
        </w:rPr>
        <w:t>4.2.17、</w:t>
      </w:r>
      <w:r>
        <w:rPr>
          <w:rFonts w:hint="eastAsia"/>
          <w:b/>
          <w:bCs/>
          <w:sz w:val="24"/>
          <w:szCs w:val="24"/>
        </w:rPr>
        <w:t>4</w:t>
      </w:r>
      <w:r>
        <w:rPr>
          <w:b/>
          <w:bCs/>
          <w:sz w:val="24"/>
          <w:szCs w:val="24"/>
        </w:rPr>
        <w:t xml:space="preserve">.2.18 </w:t>
      </w:r>
      <w:r>
        <w:rPr>
          <w:sz w:val="24"/>
          <w:szCs w:val="24"/>
        </w:rPr>
        <w:t xml:space="preserve"> 本条依据现行地方标准《市政基础设施工程暗挖施工安全技术规程》DB11/T 1944和《城市轨道交通工程施工安全检查与评价规范》DB11/T 2098的相关规定，卸渣口底部挡堰、防倾覆钢索应固定牢固，并满足强度要求。.</w:t>
      </w:r>
    </w:p>
    <w:p w14:paraId="59295D67">
      <w:pPr>
        <w:adjustRightInd w:val="0"/>
        <w:snapToGrid w:val="0"/>
        <w:spacing w:line="360" w:lineRule="auto"/>
        <w:rPr>
          <w:sz w:val="24"/>
          <w:szCs w:val="24"/>
        </w:rPr>
      </w:pPr>
      <w:r>
        <w:rPr>
          <w:b/>
          <w:bCs/>
          <w:sz w:val="24"/>
          <w:szCs w:val="24"/>
        </w:rPr>
        <w:t xml:space="preserve">4.2.19 </w:t>
      </w:r>
      <w:r>
        <w:rPr>
          <w:sz w:val="24"/>
          <w:szCs w:val="24"/>
        </w:rPr>
        <w:t xml:space="preserve"> 本条依据现行行业标准《建筑拆除工程安全技术规范》JGJ 147相关规定，明确了老旧小区改造工程中，重新搭设临边防护设施的构造要求。</w:t>
      </w:r>
    </w:p>
    <w:p w14:paraId="22F12C8F">
      <w:pPr>
        <w:pStyle w:val="3"/>
        <w:rPr>
          <w:rFonts w:ascii="Times New Roman" w:hAnsi="Times New Roman" w:cs="Times New Roman"/>
          <w:bCs w:val="0"/>
          <w:color w:val="auto"/>
          <w:sz w:val="24"/>
          <w:szCs w:val="24"/>
        </w:rPr>
      </w:pPr>
      <w:bookmarkStart w:id="675" w:name="_Toc9773"/>
      <w:bookmarkStart w:id="676" w:name="_Toc3765"/>
      <w:bookmarkStart w:id="677" w:name="_Toc9678"/>
      <w:bookmarkStart w:id="678" w:name="_Toc6841"/>
      <w:bookmarkStart w:id="679" w:name="_Toc8775"/>
      <w:r>
        <w:rPr>
          <w:rFonts w:ascii="Times New Roman" w:hAnsi="Times New Roman" w:cs="Times New Roman"/>
          <w:bCs w:val="0"/>
          <w:color w:val="auto"/>
          <w:sz w:val="24"/>
          <w:szCs w:val="24"/>
        </w:rPr>
        <w:t>4.3  洞口安全防护</w:t>
      </w:r>
      <w:bookmarkEnd w:id="675"/>
      <w:bookmarkEnd w:id="676"/>
      <w:bookmarkEnd w:id="677"/>
      <w:bookmarkEnd w:id="678"/>
      <w:bookmarkEnd w:id="679"/>
    </w:p>
    <w:p w14:paraId="19473242">
      <w:pPr>
        <w:spacing w:line="360" w:lineRule="auto"/>
        <w:rPr>
          <w:sz w:val="24"/>
          <w:szCs w:val="24"/>
        </w:rPr>
      </w:pPr>
      <w:r>
        <w:rPr>
          <w:b/>
          <w:bCs/>
          <w:sz w:val="24"/>
          <w:szCs w:val="24"/>
        </w:rPr>
        <w:t xml:space="preserve">4.3.5  </w:t>
      </w:r>
      <w:r>
        <w:rPr>
          <w:sz w:val="24"/>
          <w:szCs w:val="24"/>
        </w:rPr>
        <w:t>对人员和物体有坠落风险的洞口采取盖板防护，能防止发生坠落、物体打击和火灾事故，盖板的主要作用是防人坠落，本条提出荷载要求，是盖板承受垂直于盖板方向的荷载标准值，对于车辆行驶道旁的洞口、深沟与管道坑、槽等部位的盖板，应能承受不小于额定卡车后轮有效承载力2倍的荷载。</w:t>
      </w:r>
    </w:p>
    <w:p w14:paraId="5B5FCC51">
      <w:pPr>
        <w:snapToGrid w:val="0"/>
        <w:spacing w:line="360" w:lineRule="auto"/>
        <w:rPr>
          <w:rFonts w:hint="eastAsia" w:ascii="宋体" w:hAnsi="宋体"/>
          <w:sz w:val="24"/>
        </w:rPr>
      </w:pPr>
      <w:r>
        <w:rPr>
          <w:b/>
          <w:bCs/>
          <w:sz w:val="24"/>
          <w:szCs w:val="24"/>
        </w:rPr>
        <w:t>4.3.7</w:t>
      </w:r>
      <w:r>
        <w:rPr>
          <w:sz w:val="24"/>
          <w:szCs w:val="24"/>
        </w:rPr>
        <w:t xml:space="preserve">  刚性材料是指在一定外力作用下，有良好的抵抗变形的能力的材料，这里通常采用直径小于12㎜的螺纹钢、水电钢管，也可使用100㎜×50㎜的短木方进行固定。</w:t>
      </w:r>
    </w:p>
    <w:p w14:paraId="052E1E10">
      <w:pPr>
        <w:spacing w:line="360" w:lineRule="auto"/>
        <w:rPr>
          <w:sz w:val="24"/>
          <w:szCs w:val="24"/>
        </w:rPr>
      </w:pPr>
      <w:r>
        <w:rPr>
          <w:b/>
          <w:bCs/>
          <w:sz w:val="24"/>
          <w:szCs w:val="24"/>
        </w:rPr>
        <w:t xml:space="preserve">4.3.11 </w:t>
      </w:r>
      <w:r>
        <w:rPr>
          <w:sz w:val="24"/>
          <w:szCs w:val="24"/>
        </w:rPr>
        <w:t xml:space="preserve"> 依据现行国家标准《建筑与市政施工现场安全卫生与职业健康通用规范》GB 55034的相关规定，对底部墙体高度小于1200㎜的竖向洞口设置防护栏杆。</w:t>
      </w:r>
    </w:p>
    <w:p w14:paraId="55440F19">
      <w:pPr>
        <w:spacing w:line="360" w:lineRule="auto"/>
        <w:rPr>
          <w:sz w:val="24"/>
          <w:szCs w:val="24"/>
        </w:rPr>
      </w:pPr>
      <w:r>
        <w:rPr>
          <w:b/>
          <w:bCs/>
          <w:sz w:val="24"/>
          <w:szCs w:val="24"/>
        </w:rPr>
        <w:t xml:space="preserve">4.3.18 </w:t>
      </w:r>
      <w:r>
        <w:rPr>
          <w:sz w:val="24"/>
          <w:szCs w:val="24"/>
        </w:rPr>
        <w:t xml:space="preserve"> 电梯井道内首层设置双层水平安全网，这里要求的首层防护的上层水平安全网应设置在高度低于正负零100㎜的位置，防止因首层水平安全网高于地面，出现侧向空洞引发人员坠落；电梯井道内水平安全网每隔2层设置的要求包括地下室的电梯井道，但对于超过一层的地下室又达不到每隔2层或间隔10米要求的，也应在倒数第二层地下室设置水平安全网进行防护。</w:t>
      </w:r>
    </w:p>
    <w:p w14:paraId="2F041045">
      <w:pPr>
        <w:spacing w:line="360" w:lineRule="auto"/>
        <w:rPr>
          <w:sz w:val="24"/>
          <w:szCs w:val="24"/>
        </w:rPr>
      </w:pPr>
      <w:r>
        <w:rPr>
          <w:b/>
          <w:sz w:val="24"/>
          <w:szCs w:val="24"/>
        </w:rPr>
        <w:t>4.3.20</w:t>
      </w:r>
      <w:r>
        <w:rPr>
          <w:sz w:val="24"/>
          <w:szCs w:val="24"/>
        </w:rPr>
        <w:t xml:space="preserve"> 依据现行行业标准《建筑拆除工程安全技术规范》JGJ 147相关规定，增加拆除工程对于洞口防护的管理要求。</w:t>
      </w:r>
    </w:p>
    <w:p w14:paraId="49F0E6E8">
      <w:pPr>
        <w:spacing w:line="360" w:lineRule="auto"/>
        <w:rPr>
          <w:sz w:val="24"/>
          <w:szCs w:val="24"/>
        </w:rPr>
      </w:pPr>
      <w:r>
        <w:rPr>
          <w:b/>
          <w:sz w:val="24"/>
          <w:szCs w:val="24"/>
        </w:rPr>
        <w:t xml:space="preserve">4.3.21 </w:t>
      </w:r>
      <w:r>
        <w:rPr>
          <w:sz w:val="24"/>
          <w:szCs w:val="24"/>
        </w:rPr>
        <w:t>依据现行行业标准《建筑施工高处作业安全技术规范》JGJ 80相关条款，针对当前装配式结构施工预制楼梯防护安装时间靠后的情况，提供一种新型防护措施。</w:t>
      </w:r>
    </w:p>
    <w:p w14:paraId="39D722D4">
      <w:pPr>
        <w:pStyle w:val="3"/>
        <w:rPr>
          <w:rFonts w:ascii="Times New Roman" w:hAnsi="Times New Roman" w:cs="Times New Roman"/>
          <w:bCs w:val="0"/>
          <w:color w:val="auto"/>
          <w:sz w:val="24"/>
          <w:szCs w:val="24"/>
        </w:rPr>
      </w:pPr>
      <w:bookmarkStart w:id="680" w:name="_Toc13607"/>
      <w:bookmarkStart w:id="681" w:name="_Toc16881"/>
      <w:bookmarkStart w:id="682" w:name="_Toc2971"/>
      <w:bookmarkStart w:id="683" w:name="_Toc7646"/>
      <w:bookmarkStart w:id="684" w:name="_Toc5029"/>
      <w:r>
        <w:rPr>
          <w:rFonts w:ascii="Times New Roman" w:hAnsi="Times New Roman" w:cs="Times New Roman"/>
          <w:bCs w:val="0"/>
          <w:color w:val="auto"/>
          <w:sz w:val="24"/>
          <w:szCs w:val="24"/>
        </w:rPr>
        <w:t>4.6  交叉作业安全防护</w:t>
      </w:r>
      <w:bookmarkEnd w:id="680"/>
      <w:bookmarkEnd w:id="681"/>
      <w:bookmarkEnd w:id="682"/>
      <w:bookmarkEnd w:id="683"/>
      <w:bookmarkEnd w:id="684"/>
    </w:p>
    <w:p w14:paraId="0D6002F9">
      <w:pPr>
        <w:adjustRightInd w:val="0"/>
        <w:snapToGrid w:val="0"/>
        <w:spacing w:line="360" w:lineRule="auto"/>
        <w:rPr>
          <w:bCs/>
          <w:sz w:val="24"/>
          <w:szCs w:val="24"/>
        </w:rPr>
      </w:pPr>
      <w:r>
        <w:rPr>
          <w:b/>
          <w:sz w:val="24"/>
          <w:szCs w:val="24"/>
        </w:rPr>
        <w:t xml:space="preserve">4.6.11 </w:t>
      </w:r>
      <w:r>
        <w:rPr>
          <w:bCs/>
          <w:sz w:val="24"/>
          <w:szCs w:val="24"/>
        </w:rPr>
        <w:t xml:space="preserve"> 悬挑脚手架在搭设或拆除施工作业过程中仍存在人员高坠或坠物伤人的风险，因此在采用悬挑脚手架时应按照条文规定搭设水平安全网防护；采用落地式脚手架时为防止人员高坠或坠物伤人风险，因此在满足条件的前提下建议设置水平安全网；附着式升降脚手架因一次搭设、逐步提升，外立面、架体层间均封闭严密，人员高坠或坠物伤人风险较低，因此鼓励项目设置水平安全网；吊篮施工作业时因受施工环境影响，水平安全网可能导致吊篮无法正常落地，因此建议可采取其它防高坠的安全措施代替此条文相关规定。</w:t>
      </w:r>
    </w:p>
    <w:p w14:paraId="375EC9C6">
      <w:pPr>
        <w:adjustRightInd w:val="0"/>
        <w:snapToGrid w:val="0"/>
        <w:spacing w:line="360" w:lineRule="auto"/>
        <w:jc w:val="center"/>
        <w:rPr>
          <w:b/>
          <w:sz w:val="24"/>
          <w:szCs w:val="24"/>
        </w:rPr>
      </w:pPr>
      <w:r>
        <w:rPr>
          <w:rFonts w:hint="eastAsia"/>
          <w:b/>
          <w:sz w:val="24"/>
          <w:szCs w:val="24"/>
        </w:rPr>
        <w:t xml:space="preserve">4.7  </w:t>
      </w:r>
      <w:r>
        <w:rPr>
          <w:b/>
          <w:sz w:val="24"/>
          <w:szCs w:val="24"/>
        </w:rPr>
        <w:t>施工机械安全防护</w:t>
      </w:r>
    </w:p>
    <w:p w14:paraId="4A6F7710">
      <w:pPr>
        <w:adjustRightInd w:val="0"/>
        <w:snapToGrid w:val="0"/>
        <w:spacing w:line="360" w:lineRule="auto"/>
        <w:rPr>
          <w:sz w:val="24"/>
          <w:szCs w:val="24"/>
        </w:rPr>
      </w:pPr>
      <w:r>
        <w:rPr>
          <w:b/>
          <w:sz w:val="24"/>
          <w:szCs w:val="24"/>
        </w:rPr>
        <w:t>4.7.17</w:t>
      </w:r>
      <w:r>
        <w:rPr>
          <w:sz w:val="24"/>
          <w:szCs w:val="24"/>
        </w:rPr>
        <w:t xml:space="preserve">  十字作业法是设备维护保养的一种基本方法，特指班组设备日常维护中归纳出的“清洁、</w:t>
      </w:r>
      <w:r>
        <w:fldChar w:fldCharType="begin"/>
      </w:r>
      <w:r>
        <w:instrText xml:space="preserve"> HYPERLINK "https://baike.baidu.com/item/%E6%B6%A6%E6%BB%91/554802?fromModule=lemma_inlink" \t "_blank" </w:instrText>
      </w:r>
      <w:r>
        <w:fldChar w:fldCharType="separate"/>
      </w:r>
      <w:r>
        <w:rPr>
          <w:sz w:val="24"/>
          <w:szCs w:val="24"/>
        </w:rPr>
        <w:t>润滑</w:t>
      </w:r>
      <w:r>
        <w:rPr>
          <w:sz w:val="24"/>
          <w:szCs w:val="24"/>
        </w:rPr>
        <w:fldChar w:fldCharType="end"/>
      </w:r>
      <w:r>
        <w:rPr>
          <w:sz w:val="24"/>
          <w:szCs w:val="24"/>
        </w:rPr>
        <w:t>、调整、</w:t>
      </w:r>
      <w:r>
        <w:fldChar w:fldCharType="begin"/>
      </w:r>
      <w:r>
        <w:instrText xml:space="preserve"> HYPERLINK "https://baike.baidu.com/item/%E7%B4%A7%E5%9B%BA/7391764?fromModule=lemma_inlink" \t "_blank" </w:instrText>
      </w:r>
      <w:r>
        <w:fldChar w:fldCharType="separate"/>
      </w:r>
      <w:r>
        <w:rPr>
          <w:sz w:val="24"/>
          <w:szCs w:val="24"/>
        </w:rPr>
        <w:t>紧固</w:t>
      </w:r>
      <w:r>
        <w:rPr>
          <w:sz w:val="24"/>
          <w:szCs w:val="24"/>
        </w:rPr>
        <w:fldChar w:fldCharType="end"/>
      </w:r>
      <w:r>
        <w:rPr>
          <w:sz w:val="24"/>
          <w:szCs w:val="24"/>
        </w:rPr>
        <w:t>、防腐”十个字作业要求。该方法要求对设备进行清洁、按时加油换油、调整运动部位、紧固连接部位以及进行防腐处理。</w:t>
      </w:r>
    </w:p>
    <w:p w14:paraId="31377B41">
      <w:pPr>
        <w:spacing w:line="360" w:lineRule="auto"/>
        <w:rPr>
          <w:bCs/>
          <w:sz w:val="24"/>
          <w:szCs w:val="24"/>
        </w:rPr>
      </w:pPr>
    </w:p>
    <w:p w14:paraId="3880294E">
      <w:pPr>
        <w:rPr>
          <w:rFonts w:hint="eastAsia" w:ascii="黑体" w:hAnsi="黑体" w:eastAsia="黑体" w:cs="黑体"/>
          <w:b/>
          <w:bCs/>
          <w:spacing w:val="-20"/>
          <w:sz w:val="28"/>
        </w:rPr>
      </w:pPr>
      <w:bookmarkStart w:id="685" w:name="_Toc13515"/>
      <w:bookmarkStart w:id="686" w:name="_Toc13581"/>
      <w:bookmarkStart w:id="687" w:name="_Toc26118"/>
      <w:bookmarkStart w:id="688" w:name="_Toc16148"/>
      <w:r>
        <w:rPr>
          <w:rFonts w:hint="eastAsia" w:ascii="黑体" w:hAnsi="黑体" w:eastAsia="黑体" w:cs="黑体"/>
          <w:b/>
          <w:bCs/>
          <w:spacing w:val="-20"/>
          <w:sz w:val="28"/>
        </w:rPr>
        <w:br w:type="page"/>
      </w:r>
    </w:p>
    <w:p w14:paraId="27BD741F">
      <w:pPr>
        <w:spacing w:line="360" w:lineRule="auto"/>
        <w:jc w:val="center"/>
        <w:outlineLvl w:val="0"/>
        <w:rPr>
          <w:b/>
          <w:bCs/>
          <w:kern w:val="44"/>
          <w:sz w:val="32"/>
          <w:szCs w:val="32"/>
        </w:rPr>
      </w:pPr>
      <w:bookmarkStart w:id="689" w:name="_Toc17793"/>
      <w:bookmarkStart w:id="690" w:name="_Toc31681"/>
      <w:bookmarkStart w:id="691" w:name="_Toc28977"/>
      <w:bookmarkStart w:id="692" w:name="_Toc24230"/>
      <w:bookmarkStart w:id="693" w:name="_Toc29226"/>
      <w:bookmarkStart w:id="694" w:name="_Toc31788"/>
      <w:r>
        <w:rPr>
          <w:rFonts w:hint="eastAsia"/>
          <w:b/>
          <w:bCs/>
          <w:kern w:val="44"/>
          <w:sz w:val="32"/>
          <w:szCs w:val="32"/>
        </w:rPr>
        <w:t>5 脚手架</w:t>
      </w:r>
      <w:bookmarkEnd w:id="689"/>
      <w:bookmarkEnd w:id="690"/>
      <w:bookmarkEnd w:id="691"/>
      <w:bookmarkEnd w:id="692"/>
      <w:bookmarkEnd w:id="693"/>
      <w:bookmarkEnd w:id="694"/>
    </w:p>
    <w:p w14:paraId="2A1C9A7C">
      <w:pPr>
        <w:spacing w:line="360" w:lineRule="auto"/>
        <w:jc w:val="center"/>
        <w:outlineLvl w:val="0"/>
        <w:rPr>
          <w:b/>
          <w:bCs/>
          <w:color w:val="000000" w:themeColor="text1"/>
          <w:sz w:val="24"/>
          <w:szCs w:val="24"/>
          <w14:textFill>
            <w14:solidFill>
              <w14:schemeClr w14:val="tx1"/>
            </w14:solidFill>
          </w14:textFill>
        </w:rPr>
      </w:pPr>
      <w:bookmarkStart w:id="695" w:name="_Toc6723"/>
      <w:bookmarkStart w:id="696" w:name="_Toc26356"/>
      <w:bookmarkStart w:id="697" w:name="_Toc13905"/>
      <w:bookmarkStart w:id="698" w:name="_Toc26466"/>
      <w:bookmarkStart w:id="699" w:name="_Toc5809"/>
      <w:bookmarkStart w:id="700" w:name="_Toc31384"/>
      <w:r>
        <w:rPr>
          <w:rFonts w:hint="eastAsia"/>
          <w:b/>
          <w:bCs/>
          <w:sz w:val="24"/>
          <w:szCs w:val="24"/>
        </w:rPr>
        <w:t>5</w:t>
      </w:r>
      <w:r>
        <w:rPr>
          <w:b/>
          <w:bCs/>
          <w:sz w:val="24"/>
          <w:szCs w:val="24"/>
        </w:rPr>
        <w:t>.</w:t>
      </w:r>
      <w:r>
        <w:rPr>
          <w:rFonts w:hint="eastAsia"/>
          <w:b/>
          <w:bCs/>
          <w:sz w:val="24"/>
          <w:szCs w:val="24"/>
        </w:rPr>
        <w:t>3</w:t>
      </w:r>
      <w:r>
        <w:rPr>
          <w:b/>
          <w:bCs/>
          <w:sz w:val="24"/>
          <w:szCs w:val="24"/>
        </w:rPr>
        <w:t xml:space="preserve">  搭设、使用与拆除</w:t>
      </w:r>
      <w:bookmarkEnd w:id="695"/>
      <w:bookmarkEnd w:id="696"/>
      <w:bookmarkEnd w:id="697"/>
      <w:bookmarkEnd w:id="698"/>
      <w:bookmarkEnd w:id="699"/>
      <w:bookmarkEnd w:id="700"/>
    </w:p>
    <w:p w14:paraId="265F5CFE">
      <w:pPr>
        <w:pStyle w:val="14"/>
        <w:widowControl/>
        <w:spacing w:beforeAutospacing="0" w:afterAutospacing="0" w:line="360" w:lineRule="auto"/>
        <w:rPr>
          <w:color w:val="000000" w:themeColor="text1"/>
          <w:szCs w:val="24"/>
          <w14:textFill>
            <w14:solidFill>
              <w14:schemeClr w14:val="tx1"/>
            </w14:solidFill>
          </w14:textFill>
        </w:rPr>
      </w:pPr>
      <w:r>
        <w:rPr>
          <w:rFonts w:hint="eastAsia"/>
          <w:b/>
          <w:bCs/>
          <w:color w:val="000000" w:themeColor="text1"/>
          <w:szCs w:val="24"/>
          <w14:textFill>
            <w14:solidFill>
              <w14:schemeClr w14:val="tx1"/>
            </w14:solidFill>
          </w14:textFill>
        </w:rPr>
        <w:t>5.3.30</w:t>
      </w:r>
      <w:r>
        <w:rPr>
          <w:rFonts w:hint="eastAsia" w:ascii="宋体" w:hAnsi="宋体" w:cs="宋体"/>
          <w:b/>
          <w:bCs/>
          <w:color w:val="000000" w:themeColor="text1"/>
          <w:szCs w:val="24"/>
          <w14:textFill>
            <w14:solidFill>
              <w14:schemeClr w14:val="tx1"/>
            </w14:solidFill>
          </w14:textFill>
        </w:rPr>
        <w:t xml:space="preserve">  </w:t>
      </w:r>
      <w:r>
        <w:rPr>
          <w:rFonts w:hint="eastAsia" w:ascii="宋体" w:hAnsi="宋体" w:cs="宋体"/>
          <w:color w:val="000000" w:themeColor="text1"/>
          <w:szCs w:val="24"/>
          <w14:textFill>
            <w14:solidFill>
              <w14:schemeClr w14:val="tx1"/>
            </w14:solidFill>
          </w14:textFill>
        </w:rPr>
        <w:t>脚手架拆除作业易发生零散材料坠落风险，因此必须设置警戒区域及警示标志，关于警戒区域范围设置在《高处作业分级》GB 3608中关于“可能坠落范围”可以作为依据，警戒范围不应小于可能坠落范围，以确保不会发生物体打击事故。此外，脚手架拆除作业需设置专人现场指挥及监护，一方面保证脚手架拆除符合专项施工方案及安全操作规程要求，另外一方面要防止无关人员擅自进入拆除警戒区域。</w:t>
      </w:r>
    </w:p>
    <w:p w14:paraId="337F3CDD">
      <w:pPr>
        <w:pStyle w:val="14"/>
        <w:widowControl/>
        <w:spacing w:beforeAutospacing="0" w:afterAutospacing="0" w:line="360" w:lineRule="auto"/>
        <w:rPr>
          <w:rFonts w:hint="eastAsia" w:ascii="宋体" w:hAnsi="宋体" w:cs="宋体"/>
          <w:color w:val="000000" w:themeColor="text1"/>
          <w:szCs w:val="24"/>
          <w14:textFill>
            <w14:solidFill>
              <w14:schemeClr w14:val="tx1"/>
            </w14:solidFill>
          </w14:textFill>
        </w:rPr>
      </w:pPr>
      <w:r>
        <w:rPr>
          <w:rFonts w:hint="eastAsia"/>
          <w:b/>
          <w:bCs/>
          <w:color w:val="000000" w:themeColor="text1"/>
          <w:szCs w:val="24"/>
          <w14:textFill>
            <w14:solidFill>
              <w14:schemeClr w14:val="tx1"/>
            </w14:solidFill>
          </w14:textFill>
        </w:rPr>
        <w:t>5.3.31</w:t>
      </w:r>
      <w:r>
        <w:rPr>
          <w:rFonts w:hint="eastAsia" w:ascii="宋体" w:hAnsi="宋体" w:cs="宋体"/>
          <w:b/>
          <w:bCs/>
          <w:color w:val="000000" w:themeColor="text1"/>
          <w:szCs w:val="24"/>
          <w14:textFill>
            <w14:solidFill>
              <w14:schemeClr w14:val="tx1"/>
            </w14:solidFill>
          </w14:textFill>
        </w:rPr>
        <w:t xml:space="preserve">  </w:t>
      </w:r>
      <w:r>
        <w:rPr>
          <w:rFonts w:hint="eastAsia" w:ascii="宋体" w:hAnsi="宋体" w:cs="宋体"/>
          <w:color w:val="000000" w:themeColor="text1"/>
          <w:szCs w:val="24"/>
          <w14:textFill>
            <w14:solidFill>
              <w14:schemeClr w14:val="tx1"/>
            </w14:solidFill>
          </w14:textFill>
        </w:rPr>
        <w:t>根据本规程“防护设施”章节关于脚手架水平安全网设置的要求及生产实际，悬挑脚手架在搭设或拆除施工作业过程中仍存在人员高坠或坠物伤人的风险，因此 在采用悬挑脚手架时应按照条文规定搭设水平安全网防护；采用落地式脚手架时为防止人员 高坠或坠物伤人风险，因此在满足条件的前提下建议设置水平安全网；附着式升降脚手架因 一次搭设、逐步提升，外立面、架体层间均封闭严密，人员高坠或坠物伤人风险较低，因此 鼓励项目设置水平安全网；吊篮施工作业时因受施工环境影响，水平安全网可能导致吊篮无法正常落地，因此建议可采取其它防高坠的安全措施代替此条文相关规定。</w:t>
      </w:r>
    </w:p>
    <w:p w14:paraId="334EB3CA">
      <w:pPr>
        <w:rPr>
          <w:rFonts w:hint="eastAsia" w:ascii="黑体" w:hAnsi="黑体" w:eastAsia="黑体" w:cs="黑体"/>
          <w:b/>
          <w:bCs/>
          <w:spacing w:val="-20"/>
          <w:sz w:val="28"/>
        </w:rPr>
      </w:pPr>
      <w:r>
        <w:rPr>
          <w:rFonts w:hint="eastAsia" w:ascii="黑体" w:hAnsi="黑体" w:eastAsia="黑体" w:cs="黑体"/>
          <w:b/>
          <w:bCs/>
          <w:spacing w:val="-20"/>
          <w:sz w:val="28"/>
        </w:rPr>
        <w:br w:type="page"/>
      </w:r>
    </w:p>
    <w:p w14:paraId="6D542D7D">
      <w:pPr>
        <w:pStyle w:val="33"/>
        <w:numPr>
          <w:ilvl w:val="0"/>
          <w:numId w:val="0"/>
        </w:numPr>
        <w:spacing w:before="120"/>
        <w:rPr>
          <w:rFonts w:hint="eastAsia" w:ascii="黑体" w:hAnsi="黑体" w:eastAsia="黑体" w:cs="黑体"/>
          <w:b/>
          <w:bCs/>
          <w:spacing w:val="-20"/>
          <w:sz w:val="28"/>
        </w:rPr>
      </w:pPr>
      <w:bookmarkStart w:id="701" w:name="_Toc21807"/>
      <w:bookmarkStart w:id="702" w:name="_Toc21511"/>
      <w:r>
        <w:rPr>
          <w:rFonts w:hint="eastAsia" w:ascii="黑体" w:hAnsi="黑体" w:eastAsia="黑体" w:cs="黑体"/>
          <w:b/>
          <w:bCs/>
          <w:spacing w:val="-20"/>
          <w:sz w:val="28"/>
        </w:rPr>
        <w:t>6 施工用电安全</w:t>
      </w:r>
      <w:bookmarkEnd w:id="685"/>
      <w:bookmarkEnd w:id="686"/>
      <w:bookmarkEnd w:id="687"/>
      <w:bookmarkEnd w:id="688"/>
      <w:bookmarkEnd w:id="701"/>
      <w:bookmarkEnd w:id="702"/>
    </w:p>
    <w:p w14:paraId="5161FDD5">
      <w:pPr>
        <w:pStyle w:val="33"/>
        <w:numPr>
          <w:ilvl w:val="0"/>
          <w:numId w:val="0"/>
        </w:numPr>
        <w:spacing w:before="120"/>
        <w:rPr>
          <w:rFonts w:hint="eastAsia" w:ascii="宋体" w:hAnsi="宋体" w:eastAsia="宋体" w:cs="宋体"/>
          <w:b/>
          <w:bCs/>
          <w:sz w:val="24"/>
          <w:szCs w:val="24"/>
        </w:rPr>
      </w:pPr>
      <w:bookmarkStart w:id="703" w:name="_Toc27716"/>
      <w:bookmarkStart w:id="704" w:name="_Toc32184"/>
      <w:bookmarkStart w:id="705" w:name="_Toc27684"/>
      <w:bookmarkStart w:id="706" w:name="_Toc17607"/>
      <w:bookmarkStart w:id="707" w:name="_Toc2929"/>
      <w:bookmarkStart w:id="708" w:name="_Toc4409"/>
      <w:r>
        <w:rPr>
          <w:rFonts w:hint="eastAsia" w:ascii="宋体" w:hAnsi="宋体" w:eastAsia="宋体" w:cs="宋体"/>
          <w:b/>
          <w:bCs/>
          <w:sz w:val="24"/>
          <w:szCs w:val="24"/>
        </w:rPr>
        <w:t>6.1 一般规定</w:t>
      </w:r>
      <w:bookmarkEnd w:id="703"/>
      <w:bookmarkEnd w:id="704"/>
      <w:bookmarkEnd w:id="705"/>
      <w:bookmarkEnd w:id="706"/>
      <w:bookmarkEnd w:id="707"/>
      <w:bookmarkEnd w:id="708"/>
    </w:p>
    <w:p w14:paraId="3753C419">
      <w:pPr>
        <w:pStyle w:val="46"/>
        <w:rPr>
          <w:color w:val="auto"/>
          <w:sz w:val="24"/>
        </w:rPr>
      </w:pPr>
      <w:r>
        <w:rPr>
          <w:rFonts w:hint="eastAsia"/>
          <w:b/>
          <w:bCs w:val="0"/>
          <w:color w:val="auto"/>
          <w:sz w:val="24"/>
        </w:rPr>
        <w:t>6</w:t>
      </w:r>
      <w:r>
        <w:rPr>
          <w:b/>
          <w:bCs w:val="0"/>
          <w:color w:val="auto"/>
          <w:sz w:val="24"/>
        </w:rPr>
        <w:t>.1.15</w:t>
      </w:r>
      <w:r>
        <w:rPr>
          <w:rFonts w:hint="eastAsia"/>
          <w:b/>
          <w:bCs w:val="0"/>
          <w:color w:val="auto"/>
          <w:sz w:val="24"/>
        </w:rPr>
        <w:t xml:space="preserve">  </w:t>
      </w:r>
      <w:r>
        <w:rPr>
          <w:rFonts w:hint="eastAsia" w:eastAsia="华文中宋"/>
          <w:color w:val="auto"/>
          <w:sz w:val="24"/>
        </w:rPr>
        <w:t xml:space="preserve"> </w:t>
      </w:r>
      <w:r>
        <w:rPr>
          <w:color w:val="auto"/>
          <w:sz w:val="24"/>
        </w:rPr>
        <w:t>禁止标识、警告标识、指令标识、提示标识、文字辅助标识参考</w:t>
      </w:r>
      <w:r>
        <w:rPr>
          <w:rFonts w:hint="eastAsia"/>
          <w:color w:val="auto"/>
          <w:sz w:val="24"/>
        </w:rPr>
        <w:t>了</w:t>
      </w:r>
      <w:r>
        <w:rPr>
          <w:color w:val="auto"/>
          <w:sz w:val="24"/>
        </w:rPr>
        <w:t>国家标准《安全色和安全标志》GB</w:t>
      </w:r>
      <w:r>
        <w:rPr>
          <w:rFonts w:hint="eastAsia"/>
          <w:color w:val="auto"/>
          <w:sz w:val="24"/>
        </w:rPr>
        <w:t xml:space="preserve"> </w:t>
      </w:r>
      <w:r>
        <w:rPr>
          <w:color w:val="auto"/>
          <w:sz w:val="24"/>
        </w:rPr>
        <w:t>289</w:t>
      </w:r>
      <w:r>
        <w:rPr>
          <w:rFonts w:hint="eastAsia"/>
          <w:color w:val="auto"/>
          <w:sz w:val="24"/>
        </w:rPr>
        <w:t>4</w:t>
      </w:r>
      <w:r>
        <w:rPr>
          <w:color w:val="auto"/>
          <w:sz w:val="24"/>
        </w:rPr>
        <w:t>和《电气安全标志》GB/T</w:t>
      </w:r>
      <w:r>
        <w:rPr>
          <w:rFonts w:hint="eastAsia"/>
          <w:color w:val="auto"/>
          <w:sz w:val="24"/>
        </w:rPr>
        <w:t xml:space="preserve"> </w:t>
      </w:r>
      <w:r>
        <w:rPr>
          <w:color w:val="auto"/>
          <w:sz w:val="24"/>
        </w:rPr>
        <w:t>2948</w:t>
      </w:r>
      <w:r>
        <w:rPr>
          <w:rFonts w:hint="eastAsia"/>
          <w:color w:val="auto"/>
          <w:sz w:val="24"/>
        </w:rPr>
        <w:t>1的相关规定；</w:t>
      </w:r>
      <w:r>
        <w:rPr>
          <w:color w:val="auto"/>
          <w:sz w:val="24"/>
        </w:rPr>
        <w:t>现场施工用电供、配、用系统设施设备范围包括如下，但不局限：</w:t>
      </w:r>
    </w:p>
    <w:p w14:paraId="2396C641">
      <w:pPr>
        <w:pStyle w:val="47"/>
        <w:ind w:left="480" w:firstLine="482"/>
        <w:rPr>
          <w:sz w:val="24"/>
        </w:rPr>
      </w:pPr>
      <w:r>
        <w:rPr>
          <w:b/>
          <w:bCs/>
          <w:sz w:val="24"/>
        </w:rPr>
        <w:t>1</w:t>
      </w:r>
      <w:r>
        <w:rPr>
          <w:sz w:val="24"/>
        </w:rPr>
        <w:t xml:space="preserve"> </w:t>
      </w:r>
      <w:r>
        <w:rPr>
          <w:rFonts w:hint="eastAsia"/>
          <w:sz w:val="24"/>
        </w:rPr>
        <w:t xml:space="preserve"> </w:t>
      </w:r>
      <w:r>
        <w:rPr>
          <w:sz w:val="24"/>
        </w:rPr>
        <w:t>发电设施：发电机；</w:t>
      </w:r>
    </w:p>
    <w:p w14:paraId="6A4076EA">
      <w:pPr>
        <w:pStyle w:val="47"/>
        <w:ind w:left="480" w:firstLine="482"/>
        <w:rPr>
          <w:sz w:val="24"/>
        </w:rPr>
      </w:pPr>
      <w:r>
        <w:rPr>
          <w:rFonts w:hint="eastAsia"/>
          <w:b/>
          <w:bCs/>
          <w:sz w:val="24"/>
        </w:rPr>
        <w:t>2</w:t>
      </w:r>
      <w:r>
        <w:rPr>
          <w:rFonts w:hint="eastAsia"/>
          <w:sz w:val="24"/>
        </w:rPr>
        <w:t xml:space="preserve">  变电设施：变压器、箱式变电站、变配电室；</w:t>
      </w:r>
    </w:p>
    <w:p w14:paraId="461EDDE7">
      <w:pPr>
        <w:pStyle w:val="47"/>
        <w:ind w:left="480" w:firstLine="482"/>
        <w:rPr>
          <w:sz w:val="24"/>
        </w:rPr>
      </w:pPr>
      <w:r>
        <w:rPr>
          <w:rFonts w:hint="eastAsia"/>
          <w:b/>
          <w:bCs/>
          <w:sz w:val="24"/>
        </w:rPr>
        <w:t>3</w:t>
      </w:r>
      <w:r>
        <w:rPr>
          <w:rFonts w:hint="eastAsia"/>
          <w:sz w:val="24"/>
        </w:rPr>
        <w:t xml:space="preserve">  配电设施：配电室、总配电箱（柜），标志“A”；分配电箱，标志“B”；末级配电箱，标志“C”；便携式末级配电箱、标志“BC”；末级专用配电箱、标志“ZC”；</w:t>
      </w:r>
    </w:p>
    <w:p w14:paraId="2933BA2A">
      <w:pPr>
        <w:pStyle w:val="47"/>
        <w:ind w:left="480" w:firstLine="482"/>
        <w:rPr>
          <w:sz w:val="24"/>
        </w:rPr>
      </w:pPr>
      <w:r>
        <w:rPr>
          <w:rFonts w:hint="eastAsia"/>
          <w:b/>
          <w:bCs/>
          <w:sz w:val="24"/>
        </w:rPr>
        <w:t>4</w:t>
      </w:r>
      <w:r>
        <w:rPr>
          <w:rFonts w:hint="eastAsia"/>
          <w:sz w:val="24"/>
        </w:rPr>
        <w:t xml:space="preserve">  布线系统：架空线路、直埋线路、外电线路；</w:t>
      </w:r>
    </w:p>
    <w:p w14:paraId="4079AF88">
      <w:pPr>
        <w:pStyle w:val="47"/>
        <w:ind w:left="480" w:firstLine="482"/>
        <w:rPr>
          <w:sz w:val="24"/>
        </w:rPr>
      </w:pPr>
      <w:r>
        <w:rPr>
          <w:rFonts w:hint="eastAsia"/>
          <w:b/>
          <w:bCs/>
          <w:sz w:val="24"/>
        </w:rPr>
        <w:t xml:space="preserve">5 </w:t>
      </w:r>
      <w:r>
        <w:rPr>
          <w:rFonts w:hint="eastAsia"/>
          <w:sz w:val="24"/>
        </w:rPr>
        <w:t xml:space="preserve"> 接地装置：发电机中性点、用电设备保护导体、接地装置；</w:t>
      </w:r>
    </w:p>
    <w:p w14:paraId="174FB8D2">
      <w:pPr>
        <w:pStyle w:val="47"/>
        <w:ind w:left="480" w:firstLine="482"/>
        <w:rPr>
          <w:bCs/>
        </w:rPr>
      </w:pPr>
      <w:r>
        <w:rPr>
          <w:rFonts w:hint="eastAsia"/>
          <w:b/>
          <w:bCs/>
          <w:sz w:val="24"/>
        </w:rPr>
        <w:t>6</w:t>
      </w:r>
      <w:r>
        <w:rPr>
          <w:rFonts w:hint="eastAsia"/>
          <w:sz w:val="24"/>
        </w:rPr>
        <w:t xml:space="preserve">  机具设备：起重机械、桩工机械、钢筋加工设备、焊接设备、施工升降机、夯土机械、充电设施设备、水泵电机等电气设施设备及机具。</w:t>
      </w:r>
    </w:p>
    <w:p w14:paraId="6871FD8B">
      <w:pPr>
        <w:pStyle w:val="33"/>
        <w:numPr>
          <w:ilvl w:val="0"/>
          <w:numId w:val="0"/>
        </w:numPr>
        <w:spacing w:before="120"/>
        <w:rPr>
          <w:b/>
          <w:szCs w:val="24"/>
        </w:rPr>
      </w:pPr>
      <w:bookmarkStart w:id="709" w:name="_Toc1018"/>
      <w:bookmarkStart w:id="710" w:name="_Toc598"/>
      <w:bookmarkStart w:id="711" w:name="_Toc28829"/>
      <w:bookmarkStart w:id="712" w:name="_Toc28140"/>
      <w:bookmarkStart w:id="713" w:name="_Toc29130"/>
      <w:bookmarkStart w:id="714" w:name="_Toc8972"/>
      <w:r>
        <w:rPr>
          <w:rFonts w:hint="eastAsia" w:eastAsia="宋体"/>
          <w:b/>
          <w:bCs/>
          <w:sz w:val="24"/>
          <w:szCs w:val="24"/>
        </w:rPr>
        <w:t>6</w:t>
      </w:r>
      <w:r>
        <w:rPr>
          <w:rFonts w:eastAsia="宋体"/>
          <w:b/>
          <w:bCs/>
          <w:sz w:val="24"/>
          <w:szCs w:val="24"/>
        </w:rPr>
        <w:t>.2 供电系统</w:t>
      </w:r>
      <w:bookmarkEnd w:id="709"/>
      <w:bookmarkEnd w:id="710"/>
      <w:bookmarkEnd w:id="711"/>
      <w:bookmarkEnd w:id="712"/>
      <w:bookmarkEnd w:id="713"/>
      <w:bookmarkEnd w:id="714"/>
    </w:p>
    <w:p w14:paraId="7818B29B">
      <w:pPr>
        <w:pStyle w:val="46"/>
        <w:rPr>
          <w:color w:val="auto"/>
          <w:sz w:val="24"/>
        </w:rPr>
      </w:pPr>
      <w:r>
        <w:rPr>
          <w:rFonts w:hint="eastAsia"/>
          <w:b/>
          <w:bCs w:val="0"/>
          <w:color w:val="auto"/>
          <w:sz w:val="24"/>
        </w:rPr>
        <w:t>6</w:t>
      </w:r>
      <w:r>
        <w:rPr>
          <w:b/>
          <w:bCs w:val="0"/>
          <w:color w:val="auto"/>
          <w:sz w:val="24"/>
        </w:rPr>
        <w:t>.2.1</w:t>
      </w:r>
      <w:r>
        <w:rPr>
          <w:rFonts w:hint="eastAsia"/>
          <w:b/>
          <w:color w:val="auto"/>
          <w:sz w:val="24"/>
        </w:rPr>
        <w:t xml:space="preserve">  </w:t>
      </w:r>
      <w:r>
        <w:rPr>
          <w:color w:val="auto"/>
          <w:sz w:val="24"/>
        </w:rPr>
        <w:t>本条文参考</w:t>
      </w:r>
      <w:r>
        <w:rPr>
          <w:rFonts w:hint="eastAsia"/>
          <w:color w:val="auto"/>
          <w:sz w:val="24"/>
        </w:rPr>
        <w:t>了</w:t>
      </w:r>
      <w:r>
        <w:rPr>
          <w:color w:val="auto"/>
          <w:sz w:val="24"/>
        </w:rPr>
        <w:t>《建设工程施工现场供用电安全规范》GB</w:t>
      </w:r>
      <w:r>
        <w:rPr>
          <w:rFonts w:hint="eastAsia"/>
          <w:color w:val="auto"/>
          <w:sz w:val="24"/>
        </w:rPr>
        <w:t xml:space="preserve"> </w:t>
      </w:r>
      <w:r>
        <w:rPr>
          <w:color w:val="auto"/>
          <w:sz w:val="24"/>
        </w:rPr>
        <w:t>50194</w:t>
      </w:r>
      <w:r>
        <w:rPr>
          <w:rFonts w:hint="eastAsia"/>
          <w:color w:val="auto"/>
          <w:sz w:val="24"/>
        </w:rPr>
        <w:t>的相关规定</w:t>
      </w:r>
      <w:r>
        <w:rPr>
          <w:color w:val="auto"/>
          <w:sz w:val="24"/>
        </w:rPr>
        <w:t>。高压设备的保护接地与变压器的中性点接地分开设置，采用不同的接地装置，可避免高压设备发生接地故障时，将故障高电位传至低压系统引发电击事故，两组接地装置的间距不小于10m。当受条件限制，高压设备的保护接地与变压器的中性点接地无法分开时，要求变压器接地电阻不大于1Ω，因为电阻越小对系统的安全运行越有利。</w:t>
      </w:r>
    </w:p>
    <w:p w14:paraId="6688E0D6">
      <w:pPr>
        <w:pStyle w:val="46"/>
        <w:rPr>
          <w:color w:val="auto"/>
          <w:sz w:val="24"/>
        </w:rPr>
      </w:pPr>
      <w:r>
        <w:rPr>
          <w:rFonts w:hint="eastAsia"/>
          <w:b/>
          <w:bCs w:val="0"/>
          <w:color w:val="auto"/>
          <w:sz w:val="24"/>
        </w:rPr>
        <w:t>6</w:t>
      </w:r>
      <w:r>
        <w:rPr>
          <w:b/>
          <w:bCs w:val="0"/>
          <w:color w:val="auto"/>
          <w:sz w:val="24"/>
        </w:rPr>
        <w:t>.2.</w:t>
      </w:r>
      <w:r>
        <w:rPr>
          <w:rFonts w:hint="eastAsia"/>
          <w:b/>
          <w:bCs w:val="0"/>
          <w:color w:val="auto"/>
          <w:sz w:val="24"/>
        </w:rPr>
        <w:t>5</w:t>
      </w:r>
      <w:r>
        <w:rPr>
          <w:color w:val="auto"/>
          <w:sz w:val="24"/>
        </w:rPr>
        <w:t xml:space="preserve"> </w:t>
      </w:r>
      <w:r>
        <w:rPr>
          <w:rFonts w:hint="eastAsia"/>
          <w:color w:val="auto"/>
          <w:sz w:val="24"/>
        </w:rPr>
        <w:t xml:space="preserve"> </w:t>
      </w:r>
      <w:r>
        <w:rPr>
          <w:color w:val="auto"/>
          <w:sz w:val="24"/>
        </w:rPr>
        <w:t>本条文参考</w:t>
      </w:r>
      <w:r>
        <w:rPr>
          <w:rFonts w:hint="eastAsia"/>
          <w:color w:val="auto"/>
          <w:sz w:val="24"/>
        </w:rPr>
        <w:t>了</w:t>
      </w:r>
      <w:r>
        <w:rPr>
          <w:color w:val="auto"/>
          <w:sz w:val="24"/>
        </w:rPr>
        <w:t>《20kV及以下变电所设计规范》GB</w:t>
      </w:r>
      <w:r>
        <w:rPr>
          <w:rFonts w:hint="eastAsia"/>
          <w:color w:val="auto"/>
          <w:sz w:val="24"/>
        </w:rPr>
        <w:t xml:space="preserve"> </w:t>
      </w:r>
      <w:r>
        <w:rPr>
          <w:color w:val="auto"/>
          <w:sz w:val="24"/>
        </w:rPr>
        <w:t>50053</w:t>
      </w:r>
      <w:r>
        <w:rPr>
          <w:rFonts w:hint="eastAsia"/>
          <w:color w:val="auto"/>
          <w:sz w:val="24"/>
        </w:rPr>
        <w:t>及</w:t>
      </w:r>
      <w:r>
        <w:rPr>
          <w:color w:val="auto"/>
          <w:sz w:val="24"/>
        </w:rPr>
        <w:t>《3～110kV高压配电装置设计规范》GB</w:t>
      </w:r>
      <w:r>
        <w:rPr>
          <w:rFonts w:hint="eastAsia"/>
          <w:color w:val="auto"/>
          <w:sz w:val="24"/>
        </w:rPr>
        <w:t xml:space="preserve"> </w:t>
      </w:r>
      <w:r>
        <w:rPr>
          <w:color w:val="auto"/>
          <w:sz w:val="24"/>
        </w:rPr>
        <w:t>50060关于配电装置的最小电气安全净距</w:t>
      </w:r>
      <w:r>
        <w:rPr>
          <w:rFonts w:hint="eastAsia"/>
          <w:color w:val="auto"/>
          <w:sz w:val="24"/>
        </w:rPr>
        <w:t>的规定；且规定</w:t>
      </w:r>
      <w:r>
        <w:rPr>
          <w:color w:val="auto"/>
          <w:sz w:val="24"/>
        </w:rPr>
        <w:t>电气设备外绝缘体最低部位距地小于2</w:t>
      </w:r>
      <w:r>
        <w:rPr>
          <w:rFonts w:hint="eastAsia"/>
          <w:color w:val="auto"/>
          <w:sz w:val="24"/>
        </w:rPr>
        <w:t>.</w:t>
      </w:r>
      <w:r>
        <w:rPr>
          <w:color w:val="auto"/>
          <w:sz w:val="24"/>
        </w:rPr>
        <w:t>5m时</w:t>
      </w:r>
      <w:r>
        <w:rPr>
          <w:rFonts w:hint="eastAsia"/>
          <w:color w:val="auto"/>
          <w:sz w:val="24"/>
        </w:rPr>
        <w:t>，</w:t>
      </w:r>
      <w:r>
        <w:rPr>
          <w:color w:val="auto"/>
          <w:sz w:val="24"/>
        </w:rPr>
        <w:t>装设固定</w:t>
      </w:r>
      <w:r>
        <w:rPr>
          <w:rFonts w:hint="eastAsia"/>
          <w:color w:val="auto"/>
          <w:sz w:val="24"/>
        </w:rPr>
        <w:t>防护</w:t>
      </w:r>
      <w:r>
        <w:rPr>
          <w:color w:val="auto"/>
          <w:sz w:val="24"/>
        </w:rPr>
        <w:t>遮栏</w:t>
      </w:r>
      <w:r>
        <w:rPr>
          <w:rFonts w:hint="eastAsia"/>
          <w:color w:val="auto"/>
          <w:sz w:val="24"/>
        </w:rPr>
        <w:t>。</w:t>
      </w:r>
    </w:p>
    <w:p w14:paraId="2C266DC0">
      <w:pPr>
        <w:pStyle w:val="46"/>
        <w:ind w:firstLine="480" w:firstLineChars="200"/>
        <w:rPr>
          <w:color w:val="auto"/>
          <w:sz w:val="24"/>
        </w:rPr>
      </w:pPr>
      <w:r>
        <w:rPr>
          <w:color w:val="auto"/>
          <w:sz w:val="24"/>
        </w:rPr>
        <w:t>考虑施工现场</w:t>
      </w:r>
      <w:r>
        <w:rPr>
          <w:rFonts w:hint="eastAsia"/>
          <w:color w:val="auto"/>
          <w:sz w:val="24"/>
        </w:rPr>
        <w:t>电击风险</w:t>
      </w:r>
      <w:r>
        <w:rPr>
          <w:color w:val="auto"/>
          <w:sz w:val="24"/>
        </w:rPr>
        <w:t>因素</w:t>
      </w:r>
      <w:r>
        <w:rPr>
          <w:rFonts w:hint="eastAsia"/>
          <w:color w:val="auto"/>
          <w:sz w:val="24"/>
        </w:rPr>
        <w:t>较</w:t>
      </w:r>
      <w:r>
        <w:rPr>
          <w:color w:val="auto"/>
          <w:sz w:val="24"/>
        </w:rPr>
        <w:t>多</w:t>
      </w:r>
      <w:r>
        <w:rPr>
          <w:rFonts w:hint="eastAsia"/>
          <w:color w:val="auto"/>
          <w:sz w:val="24"/>
        </w:rPr>
        <w:t>的情况</w:t>
      </w:r>
      <w:r>
        <w:rPr>
          <w:color w:val="auto"/>
          <w:sz w:val="24"/>
        </w:rPr>
        <w:t>，均要求装设固定</w:t>
      </w:r>
      <w:r>
        <w:rPr>
          <w:rFonts w:hint="eastAsia"/>
          <w:color w:val="auto"/>
          <w:sz w:val="24"/>
        </w:rPr>
        <w:t>防护</w:t>
      </w:r>
      <w:r>
        <w:rPr>
          <w:color w:val="auto"/>
          <w:sz w:val="24"/>
        </w:rPr>
        <w:t>遮栏；为了便于操作，本条文未区分栏状</w:t>
      </w:r>
      <w:r>
        <w:rPr>
          <w:rFonts w:hint="eastAsia"/>
          <w:color w:val="auto"/>
          <w:sz w:val="24"/>
        </w:rPr>
        <w:t>防护</w:t>
      </w:r>
      <w:r>
        <w:rPr>
          <w:color w:val="auto"/>
          <w:sz w:val="24"/>
        </w:rPr>
        <w:t>遮栏和网状</w:t>
      </w:r>
      <w:r>
        <w:rPr>
          <w:rFonts w:hint="eastAsia"/>
          <w:color w:val="auto"/>
          <w:sz w:val="24"/>
        </w:rPr>
        <w:t>防护</w:t>
      </w:r>
      <w:r>
        <w:rPr>
          <w:color w:val="auto"/>
          <w:sz w:val="24"/>
        </w:rPr>
        <w:t>遮栏，而是做了统</w:t>
      </w:r>
      <w:r>
        <w:rPr>
          <w:rFonts w:hint="eastAsia"/>
          <w:color w:val="auto"/>
          <w:sz w:val="24"/>
        </w:rPr>
        <w:t>一</w:t>
      </w:r>
      <w:r>
        <w:rPr>
          <w:color w:val="auto"/>
          <w:sz w:val="24"/>
        </w:rPr>
        <w:t>规定。</w:t>
      </w:r>
    </w:p>
    <w:p w14:paraId="594D29D4">
      <w:pPr>
        <w:pStyle w:val="33"/>
        <w:numPr>
          <w:ilvl w:val="0"/>
          <w:numId w:val="0"/>
        </w:numPr>
        <w:spacing w:before="120"/>
        <w:rPr>
          <w:rFonts w:eastAsia="宋体"/>
          <w:b/>
          <w:sz w:val="24"/>
          <w:szCs w:val="24"/>
        </w:rPr>
      </w:pPr>
      <w:bookmarkStart w:id="715" w:name="_Toc2592"/>
      <w:bookmarkStart w:id="716" w:name="_Toc8686"/>
      <w:bookmarkStart w:id="717" w:name="_Toc12826"/>
      <w:bookmarkStart w:id="718" w:name="_Toc387"/>
      <w:bookmarkStart w:id="719" w:name="_Toc7790"/>
      <w:bookmarkStart w:id="720" w:name="_Toc6166"/>
      <w:r>
        <w:rPr>
          <w:rFonts w:eastAsia="宋体"/>
          <w:b/>
          <w:kern w:val="0"/>
          <w:sz w:val="24"/>
          <w:szCs w:val="24"/>
        </w:rPr>
        <w:t xml:space="preserve">5.3 </w:t>
      </w:r>
      <w:r>
        <w:rPr>
          <w:rFonts w:eastAsia="宋体"/>
          <w:b/>
          <w:sz w:val="24"/>
          <w:szCs w:val="24"/>
        </w:rPr>
        <w:t>配电系统</w:t>
      </w:r>
      <w:bookmarkEnd w:id="715"/>
      <w:bookmarkEnd w:id="716"/>
      <w:bookmarkEnd w:id="717"/>
      <w:bookmarkEnd w:id="718"/>
      <w:bookmarkEnd w:id="719"/>
      <w:bookmarkEnd w:id="720"/>
    </w:p>
    <w:p w14:paraId="004A8402">
      <w:pPr>
        <w:pStyle w:val="46"/>
        <w:rPr>
          <w:color w:val="auto"/>
          <w:sz w:val="24"/>
        </w:rPr>
      </w:pPr>
      <w:r>
        <w:rPr>
          <w:b/>
          <w:bCs w:val="0"/>
          <w:color w:val="auto"/>
          <w:sz w:val="24"/>
        </w:rPr>
        <w:t>5.</w:t>
      </w:r>
      <w:r>
        <w:rPr>
          <w:rFonts w:hint="eastAsia"/>
          <w:b/>
          <w:bCs w:val="0"/>
          <w:color w:val="auto"/>
          <w:sz w:val="24"/>
        </w:rPr>
        <w:t>3</w:t>
      </w:r>
      <w:r>
        <w:rPr>
          <w:b/>
          <w:bCs w:val="0"/>
          <w:color w:val="auto"/>
          <w:sz w:val="24"/>
        </w:rPr>
        <w:t>.</w:t>
      </w:r>
      <w:r>
        <w:rPr>
          <w:rFonts w:hint="eastAsia"/>
          <w:b/>
          <w:bCs w:val="0"/>
          <w:color w:val="auto"/>
          <w:sz w:val="24"/>
        </w:rPr>
        <w:t>5</w:t>
      </w:r>
      <w:r>
        <w:rPr>
          <w:rFonts w:hint="eastAsia"/>
          <w:color w:val="auto"/>
          <w:sz w:val="24"/>
        </w:rPr>
        <w:t>电弧故障保护电器参考了国家标准《电弧故障保护电器（AFDD）的一般要求》GB/T 31143的相关规定。</w:t>
      </w:r>
    </w:p>
    <w:p w14:paraId="45B6F9F9">
      <w:pPr>
        <w:pStyle w:val="46"/>
        <w:rPr>
          <w:color w:val="auto"/>
          <w:sz w:val="24"/>
        </w:rPr>
      </w:pPr>
      <w:r>
        <w:rPr>
          <w:b/>
          <w:bCs w:val="0"/>
          <w:color w:val="auto"/>
          <w:sz w:val="24"/>
        </w:rPr>
        <w:t>5.</w:t>
      </w:r>
      <w:r>
        <w:rPr>
          <w:rFonts w:hint="eastAsia"/>
          <w:b/>
          <w:bCs w:val="0"/>
          <w:color w:val="auto"/>
          <w:sz w:val="24"/>
        </w:rPr>
        <w:t>3</w:t>
      </w:r>
      <w:r>
        <w:rPr>
          <w:b/>
          <w:bCs w:val="0"/>
          <w:color w:val="auto"/>
          <w:sz w:val="24"/>
        </w:rPr>
        <w:t>.1</w:t>
      </w:r>
      <w:r>
        <w:rPr>
          <w:rFonts w:hint="eastAsia"/>
          <w:b/>
          <w:bCs w:val="0"/>
          <w:color w:val="auto"/>
          <w:sz w:val="24"/>
        </w:rPr>
        <w:t>0</w:t>
      </w:r>
      <w:r>
        <w:rPr>
          <w:rFonts w:hint="eastAsia"/>
          <w:b/>
          <w:color w:val="auto"/>
          <w:sz w:val="24"/>
        </w:rPr>
        <w:t xml:space="preserve"> </w:t>
      </w:r>
      <w:r>
        <w:rPr>
          <w:color w:val="auto"/>
          <w:sz w:val="24"/>
        </w:rPr>
        <w:t>在TN系统中，配电回路中的PE</w:t>
      </w:r>
      <w:r>
        <w:rPr>
          <w:rFonts w:hint="eastAsia"/>
          <w:color w:val="auto"/>
          <w:sz w:val="24"/>
        </w:rPr>
        <w:t>导体</w:t>
      </w:r>
      <w:r>
        <w:rPr>
          <w:color w:val="auto"/>
          <w:sz w:val="24"/>
        </w:rPr>
        <w:t>会将电源端或其他用电设备的故障电压传导至非故障I类设备的金属外壳，在</w:t>
      </w:r>
      <w:r>
        <w:rPr>
          <w:rFonts w:hint="eastAsia"/>
          <w:color w:val="auto"/>
          <w:sz w:val="24"/>
        </w:rPr>
        <w:t>具</w:t>
      </w:r>
      <w:r>
        <w:rPr>
          <w:color w:val="auto"/>
          <w:sz w:val="24"/>
        </w:rPr>
        <w:t>有等电位联结的场所，该故障电压不会造成电击风险</w:t>
      </w:r>
      <w:r>
        <w:rPr>
          <w:rFonts w:hint="eastAsia"/>
          <w:color w:val="auto"/>
          <w:sz w:val="24"/>
        </w:rPr>
        <w:t>；</w:t>
      </w:r>
      <w:r>
        <w:rPr>
          <w:color w:val="auto"/>
          <w:sz w:val="24"/>
        </w:rPr>
        <w:t>但是</w:t>
      </w:r>
      <w:r>
        <w:rPr>
          <w:rFonts w:hint="eastAsia"/>
          <w:color w:val="auto"/>
          <w:sz w:val="24"/>
        </w:rPr>
        <w:t>室</w:t>
      </w:r>
      <w:r>
        <w:rPr>
          <w:color w:val="auto"/>
          <w:sz w:val="24"/>
        </w:rPr>
        <w:t>外场所不具备等电位联结条件，该故障电压可能会造成电击事故，采用TT系统可以避免这一</w:t>
      </w:r>
      <w:r>
        <w:rPr>
          <w:rFonts w:hint="eastAsia"/>
          <w:color w:val="auto"/>
          <w:sz w:val="24"/>
        </w:rPr>
        <w:t>情况</w:t>
      </w:r>
      <w:r>
        <w:rPr>
          <w:color w:val="auto"/>
          <w:sz w:val="24"/>
        </w:rPr>
        <w:t>出现，因此在局部范围内采用TT系统为室外用电设备供电，并按照TT系统要求采取</w:t>
      </w:r>
      <w:r>
        <w:rPr>
          <w:rFonts w:hint="eastAsia"/>
          <w:color w:val="auto"/>
          <w:sz w:val="24"/>
        </w:rPr>
        <w:t>相应的</w:t>
      </w:r>
      <w:r>
        <w:rPr>
          <w:color w:val="auto"/>
          <w:sz w:val="24"/>
        </w:rPr>
        <w:t>电击防护措施。</w:t>
      </w:r>
    </w:p>
    <w:p w14:paraId="17A0969C">
      <w:pPr>
        <w:snapToGrid w:val="0"/>
        <w:spacing w:line="360" w:lineRule="auto"/>
        <w:ind w:firstLine="480" w:firstLineChars="200"/>
        <w:rPr>
          <w:bCs/>
          <w:sz w:val="24"/>
          <w:szCs w:val="24"/>
        </w:rPr>
      </w:pPr>
      <w:r>
        <w:rPr>
          <w:bCs/>
          <w:sz w:val="24"/>
          <w:szCs w:val="24"/>
        </w:rPr>
        <w:t>TN-S系统，见图1所示。TN-C-S 系统，见图2所示。</w:t>
      </w:r>
    </w:p>
    <w:p w14:paraId="06BE95AC">
      <w:pPr>
        <w:spacing w:line="360" w:lineRule="auto"/>
        <w:jc w:val="center"/>
        <w:rPr>
          <w:bCs/>
        </w:rPr>
      </w:pPr>
      <w:r>
        <w:drawing>
          <wp:inline distT="0" distB="0" distL="114300" distR="114300">
            <wp:extent cx="4319905" cy="3055620"/>
            <wp:effectExtent l="0" t="0" r="4445" b="11430"/>
            <wp:docPr id="82"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1" descr="1"/>
                    <pic:cNvPicPr>
                      <a:picLocks noChangeAspect="1"/>
                    </pic:cNvPicPr>
                  </pic:nvPicPr>
                  <pic:blipFill>
                    <a:blip r:embed="rId83" cstate="print"/>
                    <a:stretch>
                      <a:fillRect/>
                    </a:stretch>
                  </pic:blipFill>
                  <pic:spPr>
                    <a:xfrm>
                      <a:off x="0" y="0"/>
                      <a:ext cx="4319905" cy="3055620"/>
                    </a:xfrm>
                    <a:prstGeom prst="rect">
                      <a:avLst/>
                    </a:prstGeom>
                    <a:noFill/>
                    <a:ln>
                      <a:noFill/>
                    </a:ln>
                  </pic:spPr>
                </pic:pic>
              </a:graphicData>
            </a:graphic>
          </wp:inline>
        </w:drawing>
      </w:r>
    </w:p>
    <w:p w14:paraId="5880A766">
      <w:pPr>
        <w:spacing w:line="360" w:lineRule="auto"/>
        <w:jc w:val="center"/>
        <w:rPr>
          <w:sz w:val="18"/>
          <w:szCs w:val="18"/>
        </w:rPr>
      </w:pPr>
      <w:r>
        <w:rPr>
          <w:sz w:val="18"/>
          <w:szCs w:val="18"/>
        </w:rPr>
        <w:t>图1  TN-S系统</w:t>
      </w:r>
    </w:p>
    <w:p w14:paraId="5AA2CB92">
      <w:pPr>
        <w:spacing w:line="360" w:lineRule="auto"/>
        <w:jc w:val="center"/>
        <w:rPr>
          <w:bCs/>
          <w:sz w:val="20"/>
        </w:rPr>
      </w:pPr>
      <w:r>
        <w:rPr>
          <w:bCs/>
          <w:sz w:val="20"/>
        </w:rPr>
        <w:t>1-系统接地；2-电气设备金属外壳（正常不带电的外露可导电部分）;3-电源；4-装置；</w:t>
      </w:r>
    </w:p>
    <w:p w14:paraId="32687FE0">
      <w:pPr>
        <w:spacing w:line="360" w:lineRule="auto"/>
        <w:jc w:val="center"/>
        <w:rPr>
          <w:bCs/>
          <w:sz w:val="20"/>
        </w:rPr>
      </w:pPr>
      <w:r>
        <w:rPr>
          <w:bCs/>
          <w:sz w:val="20"/>
        </w:rPr>
        <w:t>L1、L2、L3- 相导体；N-中性导体：PE-保护接地导体</w:t>
      </w:r>
    </w:p>
    <w:p w14:paraId="6DFE7410">
      <w:pPr>
        <w:tabs>
          <w:tab w:val="left" w:pos="7400"/>
        </w:tabs>
        <w:spacing w:line="360" w:lineRule="auto"/>
        <w:ind w:firstLine="3990" w:firstLineChars="1900"/>
        <w:rPr>
          <w:bCs/>
        </w:rPr>
      </w:pPr>
      <w:r>
        <w:rPr>
          <w:bCs/>
        </w:rPr>
        <w:tab/>
      </w:r>
    </w:p>
    <w:p w14:paraId="55B772C9">
      <w:pPr>
        <w:spacing w:line="360" w:lineRule="auto"/>
        <w:jc w:val="center"/>
        <w:rPr>
          <w:bCs/>
        </w:rPr>
      </w:pPr>
      <w:r>
        <w:drawing>
          <wp:inline distT="0" distB="0" distL="114300" distR="114300">
            <wp:extent cx="4327525" cy="3029585"/>
            <wp:effectExtent l="0" t="0" r="15875" b="18415"/>
            <wp:docPr id="86" name="图片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2" descr="2"/>
                    <pic:cNvPicPr>
                      <a:picLocks noChangeAspect="1"/>
                    </pic:cNvPicPr>
                  </pic:nvPicPr>
                  <pic:blipFill>
                    <a:blip r:embed="rId84" cstate="print"/>
                    <a:srcRect r="2444"/>
                    <a:stretch>
                      <a:fillRect/>
                    </a:stretch>
                  </pic:blipFill>
                  <pic:spPr>
                    <a:xfrm>
                      <a:off x="0" y="0"/>
                      <a:ext cx="4327525" cy="3029585"/>
                    </a:xfrm>
                    <a:prstGeom prst="rect">
                      <a:avLst/>
                    </a:prstGeom>
                    <a:noFill/>
                    <a:ln>
                      <a:noFill/>
                    </a:ln>
                  </pic:spPr>
                </pic:pic>
              </a:graphicData>
            </a:graphic>
          </wp:inline>
        </w:drawing>
      </w:r>
    </w:p>
    <w:p w14:paraId="79BB754A">
      <w:pPr>
        <w:spacing w:line="360" w:lineRule="auto"/>
        <w:jc w:val="center"/>
        <w:rPr>
          <w:sz w:val="18"/>
          <w:szCs w:val="18"/>
        </w:rPr>
      </w:pPr>
      <w:r>
        <w:rPr>
          <w:sz w:val="18"/>
          <w:szCs w:val="18"/>
        </w:rPr>
        <w:t>图2 TN-C-S 系统</w:t>
      </w:r>
    </w:p>
    <w:p w14:paraId="278F83C8">
      <w:pPr>
        <w:spacing w:line="360" w:lineRule="auto"/>
        <w:ind w:left="360"/>
        <w:jc w:val="center"/>
        <w:rPr>
          <w:bCs/>
        </w:rPr>
      </w:pPr>
      <w:r>
        <w:rPr>
          <w:bCs/>
          <w:sz w:val="20"/>
        </w:rPr>
        <w:t>1-系统接地；2-装置的受电点；3-电气设备金属外壳（正常不带电的外露可导电部分）;4-电源；5-装置；L1、L2、L3- 相导体；N-中性导体；PEN-保护接地中性导体</w:t>
      </w:r>
    </w:p>
    <w:p w14:paraId="47BF58B6">
      <w:pPr>
        <w:pStyle w:val="46"/>
        <w:rPr>
          <w:color w:val="auto"/>
          <w:sz w:val="24"/>
        </w:rPr>
      </w:pPr>
      <w:r>
        <w:rPr>
          <w:rFonts w:hint="eastAsia"/>
          <w:b/>
          <w:bCs w:val="0"/>
          <w:color w:val="auto"/>
          <w:sz w:val="24"/>
        </w:rPr>
        <w:t>6</w:t>
      </w:r>
      <w:r>
        <w:rPr>
          <w:b/>
          <w:bCs w:val="0"/>
          <w:color w:val="auto"/>
          <w:sz w:val="24"/>
        </w:rPr>
        <w:t>.</w:t>
      </w:r>
      <w:r>
        <w:rPr>
          <w:rFonts w:hint="eastAsia"/>
          <w:b/>
          <w:bCs w:val="0"/>
          <w:color w:val="auto"/>
          <w:sz w:val="24"/>
        </w:rPr>
        <w:t>3</w:t>
      </w:r>
      <w:r>
        <w:rPr>
          <w:b/>
          <w:bCs w:val="0"/>
          <w:color w:val="auto"/>
          <w:sz w:val="24"/>
        </w:rPr>
        <w:t>.</w:t>
      </w:r>
      <w:r>
        <w:rPr>
          <w:rFonts w:hint="eastAsia"/>
          <w:b/>
          <w:bCs w:val="0"/>
          <w:color w:val="auto"/>
          <w:sz w:val="24"/>
        </w:rPr>
        <w:t>13</w:t>
      </w:r>
      <w:r>
        <w:rPr>
          <w:rFonts w:hint="eastAsia"/>
          <w:color w:val="auto"/>
          <w:sz w:val="24"/>
        </w:rPr>
        <w:t xml:space="preserve">  </w:t>
      </w:r>
      <w:r>
        <w:rPr>
          <w:color w:val="auto"/>
          <w:sz w:val="24"/>
        </w:rPr>
        <w:t>总配电箱</w:t>
      </w:r>
      <w:r>
        <w:rPr>
          <w:rFonts w:hint="eastAsia"/>
          <w:color w:val="auto"/>
          <w:sz w:val="24"/>
        </w:rPr>
        <w:t>（柜）</w:t>
      </w:r>
      <w:r>
        <w:rPr>
          <w:color w:val="auto"/>
          <w:sz w:val="24"/>
        </w:rPr>
        <w:t>TN-C-S系统</w:t>
      </w:r>
      <w:r>
        <w:rPr>
          <w:rFonts w:hint="eastAsia"/>
          <w:color w:val="auto"/>
          <w:sz w:val="24"/>
        </w:rPr>
        <w:t>，</w:t>
      </w:r>
      <w:r>
        <w:rPr>
          <w:color w:val="auto"/>
          <w:sz w:val="24"/>
        </w:rPr>
        <w:t>保护接地中性导体（PEN）</w:t>
      </w:r>
      <w:r>
        <w:rPr>
          <w:rFonts w:hint="eastAsia"/>
          <w:color w:val="auto"/>
          <w:sz w:val="24"/>
        </w:rPr>
        <w:t>优</w:t>
      </w:r>
      <w:r>
        <w:rPr>
          <w:color w:val="auto"/>
          <w:sz w:val="24"/>
        </w:rPr>
        <w:t>先接至保护接地</w:t>
      </w:r>
      <w:r>
        <w:rPr>
          <w:rFonts w:hint="eastAsia"/>
          <w:color w:val="auto"/>
          <w:sz w:val="24"/>
        </w:rPr>
        <w:t>导体</w:t>
      </w:r>
      <w:r>
        <w:rPr>
          <w:color w:val="auto"/>
          <w:sz w:val="24"/>
        </w:rPr>
        <w:t>汇流排（PE）</w:t>
      </w:r>
      <w:r>
        <w:rPr>
          <w:rFonts w:hint="eastAsia"/>
          <w:color w:val="auto"/>
          <w:sz w:val="24"/>
        </w:rPr>
        <w:t>，</w:t>
      </w:r>
      <w:r>
        <w:rPr>
          <w:color w:val="auto"/>
          <w:sz w:val="24"/>
        </w:rPr>
        <w:t>见图</w:t>
      </w:r>
      <w:r>
        <w:rPr>
          <w:rFonts w:hint="eastAsia"/>
          <w:color w:val="auto"/>
          <w:sz w:val="24"/>
        </w:rPr>
        <w:t>3</w:t>
      </w:r>
      <w:r>
        <w:rPr>
          <w:color w:val="auto"/>
          <w:sz w:val="24"/>
        </w:rPr>
        <w:t>所示</w:t>
      </w:r>
      <w:r>
        <w:rPr>
          <w:rFonts w:hint="eastAsia"/>
          <w:color w:val="auto"/>
          <w:sz w:val="24"/>
        </w:rPr>
        <w:t>。</w:t>
      </w:r>
    </w:p>
    <w:p w14:paraId="12BB1BC8">
      <w:pPr>
        <w:snapToGrid w:val="0"/>
        <w:spacing w:line="360" w:lineRule="auto"/>
        <w:ind w:firstLine="418" w:firstLineChars="209"/>
        <w:rPr>
          <w:bCs/>
          <w:sz w:val="20"/>
        </w:rPr>
      </w:pPr>
    </w:p>
    <w:p w14:paraId="2F257D15">
      <w:pPr>
        <w:snapToGrid w:val="0"/>
        <w:spacing w:line="360" w:lineRule="auto"/>
        <w:jc w:val="center"/>
        <w:rPr>
          <w:bCs/>
          <w:sz w:val="20"/>
        </w:rPr>
      </w:pPr>
      <w:r>
        <w:rPr>
          <w:sz w:val="20"/>
        </w:rPr>
        <w:drawing>
          <wp:inline distT="0" distB="0" distL="114300" distR="114300">
            <wp:extent cx="4322445" cy="2266315"/>
            <wp:effectExtent l="0" t="0" r="1905" b="635"/>
            <wp:docPr id="83" name="图片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3" descr="3"/>
                    <pic:cNvPicPr>
                      <a:picLocks noChangeAspect="1"/>
                    </pic:cNvPicPr>
                  </pic:nvPicPr>
                  <pic:blipFill>
                    <a:blip r:embed="rId85" cstate="print"/>
                    <a:srcRect t="16226" b="4919"/>
                    <a:stretch>
                      <a:fillRect/>
                    </a:stretch>
                  </pic:blipFill>
                  <pic:spPr>
                    <a:xfrm>
                      <a:off x="0" y="0"/>
                      <a:ext cx="4322445" cy="2266315"/>
                    </a:xfrm>
                    <a:prstGeom prst="rect">
                      <a:avLst/>
                    </a:prstGeom>
                    <a:noFill/>
                    <a:ln>
                      <a:noFill/>
                    </a:ln>
                  </pic:spPr>
                </pic:pic>
              </a:graphicData>
            </a:graphic>
          </wp:inline>
        </w:drawing>
      </w:r>
    </w:p>
    <w:p w14:paraId="4C3C55A9">
      <w:pPr>
        <w:snapToGrid w:val="0"/>
        <w:spacing w:line="360" w:lineRule="auto"/>
        <w:jc w:val="center"/>
        <w:rPr>
          <w:sz w:val="18"/>
          <w:szCs w:val="18"/>
        </w:rPr>
      </w:pPr>
      <w:r>
        <w:rPr>
          <w:sz w:val="18"/>
          <w:szCs w:val="18"/>
        </w:rPr>
        <w:t xml:space="preserve">        图3  TN-C-S 系统 </w:t>
      </w:r>
    </w:p>
    <w:p w14:paraId="41AF15BA">
      <w:pPr>
        <w:spacing w:line="360" w:lineRule="auto"/>
        <w:ind w:left="360"/>
        <w:jc w:val="center"/>
      </w:pPr>
      <w:r>
        <w:rPr>
          <w:bCs/>
          <w:sz w:val="20"/>
        </w:rPr>
        <w:t>1-保护接地导体（PE）；2-中性导体（N）；3-L1相导体汇流排；4-L2相导体汇流排；5-L3相导体汇流排；6-中性导体（N）汇流排；7-保护接地中性导体（PEN）汇流排、保护接地导体（PE）汇流排；L1、L2、L3-相导体；PEN-保护接地中性导体</w:t>
      </w:r>
    </w:p>
    <w:p w14:paraId="74E15889">
      <w:pPr>
        <w:pStyle w:val="46"/>
        <w:rPr>
          <w:color w:val="auto"/>
          <w:sz w:val="24"/>
        </w:rPr>
      </w:pPr>
      <w:r>
        <w:rPr>
          <w:rFonts w:hint="eastAsia"/>
          <w:b/>
          <w:bCs w:val="0"/>
          <w:color w:val="auto"/>
          <w:sz w:val="24"/>
        </w:rPr>
        <w:t>6</w:t>
      </w:r>
      <w:r>
        <w:rPr>
          <w:b/>
          <w:bCs w:val="0"/>
          <w:color w:val="auto"/>
          <w:sz w:val="24"/>
        </w:rPr>
        <w:t>.</w:t>
      </w:r>
      <w:r>
        <w:rPr>
          <w:rFonts w:hint="eastAsia"/>
          <w:b/>
          <w:bCs w:val="0"/>
          <w:color w:val="auto"/>
          <w:sz w:val="24"/>
        </w:rPr>
        <w:t>3</w:t>
      </w:r>
      <w:r>
        <w:rPr>
          <w:b/>
          <w:bCs w:val="0"/>
          <w:color w:val="auto"/>
          <w:sz w:val="24"/>
        </w:rPr>
        <w:t>.</w:t>
      </w:r>
      <w:r>
        <w:rPr>
          <w:rFonts w:hint="eastAsia"/>
          <w:b/>
          <w:bCs w:val="0"/>
          <w:color w:val="auto"/>
          <w:sz w:val="24"/>
        </w:rPr>
        <w:t>15</w:t>
      </w:r>
      <w:r>
        <w:rPr>
          <w:rFonts w:hint="eastAsia"/>
          <w:b/>
          <w:color w:val="auto"/>
          <w:sz w:val="24"/>
        </w:rPr>
        <w:t xml:space="preserve">  </w:t>
      </w:r>
      <w:r>
        <w:rPr>
          <w:color w:val="auto"/>
          <w:sz w:val="24"/>
        </w:rPr>
        <w:t>TT接地系统中</w:t>
      </w:r>
      <w:r>
        <w:rPr>
          <w:rFonts w:hint="eastAsia"/>
          <w:color w:val="auto"/>
          <w:sz w:val="24"/>
        </w:rPr>
        <w:t>采用剩余电流动作保护电器作为故障防护电器，</w:t>
      </w:r>
      <w:r>
        <w:rPr>
          <w:color w:val="auto"/>
          <w:sz w:val="24"/>
        </w:rPr>
        <w:t>用电设备的外露可导电部分通过保护接地导体（PE）就近与接地装置连接，该接地装置不与变压器中性点的接地装置相连接。</w:t>
      </w:r>
      <w:r>
        <w:rPr>
          <w:rFonts w:hint="eastAsia"/>
          <w:color w:val="auto"/>
          <w:sz w:val="24"/>
        </w:rPr>
        <w:t>当多台用电设备之间相距较近时，共用接地装置。</w:t>
      </w:r>
    </w:p>
    <w:p w14:paraId="040E630E">
      <w:pPr>
        <w:spacing w:line="360" w:lineRule="auto"/>
        <w:ind w:firstLine="480" w:firstLineChars="200"/>
        <w:rPr>
          <w:sz w:val="24"/>
          <w:szCs w:val="24"/>
        </w:rPr>
      </w:pPr>
      <w:r>
        <w:rPr>
          <w:sz w:val="24"/>
          <w:szCs w:val="24"/>
        </w:rPr>
        <w:t>TT</w:t>
      </w:r>
      <w:r>
        <w:rPr>
          <w:rFonts w:hint="eastAsia"/>
          <w:sz w:val="24"/>
          <w:szCs w:val="24"/>
        </w:rPr>
        <w:t>系统用电设备接地，见图4、</w:t>
      </w:r>
      <w:r>
        <w:rPr>
          <w:sz w:val="24"/>
          <w:szCs w:val="24"/>
        </w:rPr>
        <w:t>图</w:t>
      </w:r>
      <w:r>
        <w:rPr>
          <w:rFonts w:hint="eastAsia"/>
          <w:sz w:val="24"/>
          <w:szCs w:val="24"/>
        </w:rPr>
        <w:t>5、图6所示。</w:t>
      </w:r>
    </w:p>
    <w:p w14:paraId="36FAB720">
      <w:pPr>
        <w:spacing w:line="360" w:lineRule="auto"/>
        <w:jc w:val="center"/>
      </w:pPr>
      <w:r>
        <w:drawing>
          <wp:inline distT="0" distB="0" distL="114300" distR="114300">
            <wp:extent cx="4323080" cy="3038475"/>
            <wp:effectExtent l="0" t="0" r="1270" b="9525"/>
            <wp:docPr id="87" name="图片 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4" descr="4"/>
                    <pic:cNvPicPr>
                      <a:picLocks noChangeAspect="1"/>
                    </pic:cNvPicPr>
                  </pic:nvPicPr>
                  <pic:blipFill>
                    <a:blip r:embed="rId86" cstate="print"/>
                    <a:stretch>
                      <a:fillRect/>
                    </a:stretch>
                  </pic:blipFill>
                  <pic:spPr>
                    <a:xfrm>
                      <a:off x="0" y="0"/>
                      <a:ext cx="4323080" cy="3038475"/>
                    </a:xfrm>
                    <a:prstGeom prst="rect">
                      <a:avLst/>
                    </a:prstGeom>
                    <a:noFill/>
                    <a:ln>
                      <a:noFill/>
                    </a:ln>
                  </pic:spPr>
                </pic:pic>
              </a:graphicData>
            </a:graphic>
          </wp:inline>
        </w:drawing>
      </w:r>
    </w:p>
    <w:p w14:paraId="4B501274">
      <w:pPr>
        <w:spacing w:line="360" w:lineRule="auto"/>
        <w:jc w:val="center"/>
      </w:pPr>
      <w:r>
        <w:rPr>
          <w:bCs/>
          <w:sz w:val="18"/>
          <w:szCs w:val="18"/>
        </w:rPr>
        <w:t>图4  TT系统用电设备各自设置接地</w:t>
      </w:r>
    </w:p>
    <w:p w14:paraId="59E0BF16">
      <w:pPr>
        <w:numPr>
          <w:ilvl w:val="0"/>
          <w:numId w:val="6"/>
        </w:numPr>
        <w:spacing w:line="360" w:lineRule="auto"/>
        <w:ind w:left="360"/>
        <w:jc w:val="center"/>
        <w:rPr>
          <w:bCs/>
          <w:sz w:val="20"/>
        </w:rPr>
      </w:pPr>
      <w:r>
        <w:rPr>
          <w:bCs/>
          <w:sz w:val="20"/>
        </w:rPr>
        <w:t>系统接地；2-配电箱；3-电气设备金属外壳（正常不带电的外露可导电部分）；4-电源；</w:t>
      </w:r>
    </w:p>
    <w:p w14:paraId="1E0F8BC1">
      <w:pPr>
        <w:spacing w:line="360" w:lineRule="auto"/>
        <w:ind w:left="360" w:firstLine="1200" w:firstLineChars="600"/>
        <w:rPr>
          <w:bCs/>
          <w:sz w:val="20"/>
        </w:rPr>
      </w:pPr>
      <w:r>
        <w:rPr>
          <w:bCs/>
          <w:sz w:val="20"/>
        </w:rPr>
        <w:t>5-装置；L1、L2、L3- 相导体；N-中性导体；PE-保护接地导体</w:t>
      </w:r>
    </w:p>
    <w:p w14:paraId="55714002">
      <w:pPr>
        <w:spacing w:line="360" w:lineRule="auto"/>
        <w:jc w:val="center"/>
      </w:pPr>
      <w:r>
        <w:t xml:space="preserve"> </w:t>
      </w:r>
      <w:r>
        <w:drawing>
          <wp:inline distT="0" distB="0" distL="114300" distR="114300">
            <wp:extent cx="4323715" cy="2905125"/>
            <wp:effectExtent l="0" t="0" r="635" b="9525"/>
            <wp:docPr id="84" name="图片 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5" descr="5"/>
                    <pic:cNvPicPr>
                      <a:picLocks noChangeAspect="1"/>
                    </pic:cNvPicPr>
                  </pic:nvPicPr>
                  <pic:blipFill>
                    <a:blip r:embed="rId87" cstate="print"/>
                    <a:srcRect l="1817" r="3024"/>
                    <a:stretch>
                      <a:fillRect/>
                    </a:stretch>
                  </pic:blipFill>
                  <pic:spPr>
                    <a:xfrm>
                      <a:off x="0" y="0"/>
                      <a:ext cx="4323715" cy="2905125"/>
                    </a:xfrm>
                    <a:prstGeom prst="rect">
                      <a:avLst/>
                    </a:prstGeom>
                    <a:noFill/>
                    <a:ln>
                      <a:noFill/>
                    </a:ln>
                  </pic:spPr>
                </pic:pic>
              </a:graphicData>
            </a:graphic>
          </wp:inline>
        </w:drawing>
      </w:r>
    </w:p>
    <w:p w14:paraId="74B15ED8">
      <w:pPr>
        <w:spacing w:line="360" w:lineRule="auto"/>
        <w:jc w:val="center"/>
      </w:pPr>
      <w:r>
        <w:rPr>
          <w:bCs/>
          <w:sz w:val="18"/>
          <w:szCs w:val="18"/>
        </w:rPr>
        <w:t>图5  TT系统用电设备共用接地</w:t>
      </w:r>
    </w:p>
    <w:p w14:paraId="539087AB">
      <w:pPr>
        <w:spacing w:line="360" w:lineRule="auto"/>
        <w:jc w:val="center"/>
        <w:rPr>
          <w:bCs/>
          <w:sz w:val="20"/>
        </w:rPr>
      </w:pPr>
      <w:r>
        <w:rPr>
          <w:bCs/>
          <w:sz w:val="20"/>
        </w:rPr>
        <w:t>1-系统接地；2-配电箱；3-电气设备金属外壳（正常不带电的外露可导电部分）；4-电源；5-装置；</w:t>
      </w:r>
    </w:p>
    <w:p w14:paraId="6AB1870E">
      <w:pPr>
        <w:spacing w:line="360" w:lineRule="auto"/>
        <w:ind w:left="360" w:firstLine="400"/>
        <w:jc w:val="center"/>
        <w:rPr>
          <w:bCs/>
          <w:sz w:val="20"/>
        </w:rPr>
      </w:pPr>
      <w:r>
        <w:rPr>
          <w:bCs/>
          <w:sz w:val="20"/>
        </w:rPr>
        <w:t>L1、L2、L3- 相导体；N-中性导体；PE-保护接地导体</w:t>
      </w:r>
    </w:p>
    <w:p w14:paraId="37971F6B">
      <w:pPr>
        <w:snapToGrid w:val="0"/>
        <w:spacing w:line="360" w:lineRule="auto"/>
        <w:jc w:val="center"/>
        <w:rPr>
          <w:b/>
        </w:rPr>
      </w:pPr>
      <w:r>
        <w:rPr>
          <w:b/>
        </w:rPr>
        <w:drawing>
          <wp:inline distT="0" distB="0" distL="114300" distR="114300">
            <wp:extent cx="4324350" cy="2924175"/>
            <wp:effectExtent l="0" t="0" r="0" b="9525"/>
            <wp:docPr id="85" name="图片 6"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6" descr="000"/>
                    <pic:cNvPicPr>
                      <a:picLocks noChangeAspect="1"/>
                    </pic:cNvPicPr>
                  </pic:nvPicPr>
                  <pic:blipFill>
                    <a:blip r:embed="rId88" cstate="print"/>
                    <a:stretch>
                      <a:fillRect/>
                    </a:stretch>
                  </pic:blipFill>
                  <pic:spPr>
                    <a:xfrm>
                      <a:off x="0" y="0"/>
                      <a:ext cx="4324350" cy="2924175"/>
                    </a:xfrm>
                    <a:prstGeom prst="rect">
                      <a:avLst/>
                    </a:prstGeom>
                    <a:noFill/>
                    <a:ln>
                      <a:noFill/>
                    </a:ln>
                  </pic:spPr>
                </pic:pic>
              </a:graphicData>
            </a:graphic>
          </wp:inline>
        </w:drawing>
      </w:r>
    </w:p>
    <w:p w14:paraId="3B9D24F6">
      <w:pPr>
        <w:spacing w:line="360" w:lineRule="auto"/>
        <w:jc w:val="center"/>
      </w:pPr>
      <w:r>
        <w:rPr>
          <w:bCs/>
          <w:sz w:val="18"/>
          <w:szCs w:val="18"/>
        </w:rPr>
        <w:t>图6  TT系统单相用电设备接地</w:t>
      </w:r>
    </w:p>
    <w:p w14:paraId="169FCA16">
      <w:pPr>
        <w:spacing w:line="360" w:lineRule="auto"/>
        <w:jc w:val="center"/>
        <w:rPr>
          <w:bCs/>
          <w:sz w:val="20"/>
        </w:rPr>
      </w:pPr>
      <w:r>
        <w:rPr>
          <w:bCs/>
          <w:sz w:val="20"/>
        </w:rPr>
        <w:t>1-引自上级配电箱；2-进线隔离开关；3-出线断路器；4-末级配电箱；5-用电设备；L-相导体；</w:t>
      </w:r>
    </w:p>
    <w:p w14:paraId="0B1863DF">
      <w:pPr>
        <w:spacing w:line="360" w:lineRule="auto"/>
        <w:jc w:val="center"/>
      </w:pPr>
      <w:r>
        <w:rPr>
          <w:bCs/>
          <w:sz w:val="20"/>
        </w:rPr>
        <w:t>N-中性导体；PE-保护接地导体</w:t>
      </w:r>
    </w:p>
    <w:p w14:paraId="41BC0621">
      <w:pPr>
        <w:pStyle w:val="46"/>
        <w:rPr>
          <w:color w:val="auto"/>
          <w:sz w:val="24"/>
        </w:rPr>
      </w:pPr>
      <w:r>
        <w:rPr>
          <w:rFonts w:hint="eastAsia"/>
          <w:b/>
          <w:bCs w:val="0"/>
          <w:color w:val="auto"/>
          <w:sz w:val="24"/>
        </w:rPr>
        <w:t>6</w:t>
      </w:r>
      <w:r>
        <w:rPr>
          <w:b/>
          <w:bCs w:val="0"/>
          <w:color w:val="auto"/>
          <w:sz w:val="24"/>
        </w:rPr>
        <w:t>.3.16</w:t>
      </w:r>
      <w:r>
        <w:rPr>
          <w:b/>
          <w:color w:val="auto"/>
          <w:sz w:val="24"/>
        </w:rPr>
        <w:t xml:space="preserve">  </w:t>
      </w:r>
      <w:r>
        <w:rPr>
          <w:color w:val="auto"/>
          <w:sz w:val="24"/>
        </w:rPr>
        <w:t>本条文参考了现行国家标准《低压电气装置 第4-41部分 安全防护 电击防护》GB/T 16895.21的相关规定，当发生接地故障回路预期剩余电流大于5 I</w:t>
      </w:r>
      <w:r>
        <w:rPr>
          <w:color w:val="auto"/>
          <w:sz w:val="24"/>
          <w:vertAlign w:val="subscript"/>
        </w:rPr>
        <w:t>△n</w:t>
      </w:r>
      <w:r>
        <w:rPr>
          <w:color w:val="auto"/>
          <w:sz w:val="24"/>
        </w:rPr>
        <w:t>时，能够在规定时间内切断电源。</w:t>
      </w:r>
    </w:p>
    <w:p w14:paraId="6543E898">
      <w:pPr>
        <w:pStyle w:val="46"/>
        <w:rPr>
          <w:color w:val="auto"/>
          <w:sz w:val="24"/>
        </w:rPr>
      </w:pPr>
      <w:r>
        <w:rPr>
          <w:rFonts w:hint="eastAsia"/>
          <w:b/>
          <w:bCs w:val="0"/>
          <w:color w:val="auto"/>
          <w:sz w:val="24"/>
        </w:rPr>
        <w:t>6</w:t>
      </w:r>
      <w:r>
        <w:rPr>
          <w:b/>
          <w:bCs w:val="0"/>
          <w:color w:val="auto"/>
          <w:sz w:val="24"/>
        </w:rPr>
        <w:t>.3.17</w:t>
      </w:r>
      <w:r>
        <w:rPr>
          <w:color w:val="auto"/>
          <w:sz w:val="24"/>
        </w:rPr>
        <w:t xml:space="preserve"> 低压配电按总配电箱（柜）、分配电箱、末级配电箱三级设置。配电系统配电级数过多，故障可能性增加，保护电器的选择性难度加大。低压配电按照三级设置满足现场大部分供电需求作为优选方案。为了供电可靠，大功率用电设备专用线路是指从总配电箱（柜）处采用放射式直接配电至末级专用配电箱。</w:t>
      </w:r>
    </w:p>
    <w:p w14:paraId="793EE96E">
      <w:pPr>
        <w:pStyle w:val="46"/>
        <w:rPr>
          <w:color w:val="auto"/>
          <w:sz w:val="24"/>
        </w:rPr>
      </w:pPr>
      <w:r>
        <w:rPr>
          <w:rFonts w:hint="eastAsia"/>
          <w:b/>
          <w:bCs w:val="0"/>
          <w:color w:val="auto"/>
          <w:sz w:val="24"/>
        </w:rPr>
        <w:t>6</w:t>
      </w:r>
      <w:r>
        <w:rPr>
          <w:b/>
          <w:bCs w:val="0"/>
          <w:color w:val="auto"/>
          <w:sz w:val="24"/>
        </w:rPr>
        <w:t>.3.18</w:t>
      </w:r>
      <w:r>
        <w:rPr>
          <w:b/>
          <w:color w:val="auto"/>
          <w:sz w:val="24"/>
        </w:rPr>
        <w:t xml:space="preserve">  </w:t>
      </w:r>
      <w:r>
        <w:rPr>
          <w:color w:val="auto"/>
          <w:sz w:val="24"/>
        </w:rPr>
        <w:t>总配电箱（柜）设在进场电源附近，便于系统转换及分配电源；分配电箱设在用电负荷相对集中区域，便于分配电源；末级配电箱设在用电设备附近，便于应急状态操作。</w:t>
      </w:r>
    </w:p>
    <w:p w14:paraId="7D8E1579">
      <w:pPr>
        <w:pStyle w:val="46"/>
        <w:rPr>
          <w:color w:val="auto"/>
          <w:sz w:val="24"/>
        </w:rPr>
      </w:pPr>
      <w:r>
        <w:rPr>
          <w:rFonts w:hint="eastAsia"/>
          <w:b/>
          <w:bCs w:val="0"/>
          <w:color w:val="auto"/>
          <w:sz w:val="24"/>
        </w:rPr>
        <w:t>6</w:t>
      </w:r>
      <w:r>
        <w:rPr>
          <w:b/>
          <w:bCs w:val="0"/>
          <w:color w:val="auto"/>
          <w:sz w:val="24"/>
        </w:rPr>
        <w:t>.3.21</w:t>
      </w:r>
      <w:r>
        <w:rPr>
          <w:color w:val="auto"/>
          <w:sz w:val="24"/>
        </w:rPr>
        <w:t xml:space="preserve">  剩余电流动作保护电器的额定剩余不动作电流为0.5 I</w:t>
      </w:r>
      <w:r>
        <w:rPr>
          <w:color w:val="auto"/>
          <w:sz w:val="24"/>
          <w:vertAlign w:val="subscript"/>
        </w:rPr>
        <w:t>Δn</w:t>
      </w:r>
      <w:r>
        <w:rPr>
          <w:color w:val="auto"/>
          <w:sz w:val="24"/>
        </w:rPr>
        <w:t>，为了减少误动作，参考了《低压电气装置 第5-53部分：电气设备的选择和安装用于安全防护、隔离、通断、控制和监测的电器》GB/T 16895.22的相关规定，正常运行时剩余电流动作保护电器下游的泄漏电流总和小于剩余电流动作保护电器额定剩余动作电流（I</w:t>
      </w:r>
      <w:r>
        <w:rPr>
          <w:color w:val="auto"/>
          <w:sz w:val="24"/>
          <w:vertAlign w:val="subscript"/>
        </w:rPr>
        <w:t>Δn</w:t>
      </w:r>
      <w:r>
        <w:rPr>
          <w:color w:val="auto"/>
          <w:sz w:val="24"/>
        </w:rPr>
        <w:t>）的0.3倍。</w:t>
      </w:r>
    </w:p>
    <w:p w14:paraId="4EDAAE2E">
      <w:pPr>
        <w:pStyle w:val="46"/>
        <w:rPr>
          <w:sz w:val="24"/>
        </w:rPr>
      </w:pPr>
      <w:r>
        <w:rPr>
          <w:rFonts w:hint="eastAsia"/>
          <w:b/>
          <w:bCs w:val="0"/>
          <w:color w:val="auto"/>
          <w:sz w:val="24"/>
        </w:rPr>
        <w:t>6</w:t>
      </w:r>
      <w:r>
        <w:rPr>
          <w:b/>
          <w:bCs w:val="0"/>
          <w:color w:val="auto"/>
          <w:sz w:val="24"/>
        </w:rPr>
        <w:t>.3.22</w:t>
      </w:r>
      <w:r>
        <w:rPr>
          <w:rFonts w:hint="eastAsia"/>
          <w:b/>
          <w:bCs w:val="0"/>
          <w:color w:val="auto"/>
          <w:sz w:val="24"/>
        </w:rPr>
        <w:t xml:space="preserve">  </w:t>
      </w:r>
      <w:r>
        <w:rPr>
          <w:b/>
          <w:sz w:val="24"/>
        </w:rPr>
        <w:t>1</w:t>
      </w:r>
      <w:r>
        <w:rPr>
          <w:sz w:val="24"/>
        </w:rPr>
        <w:t xml:space="preserve">  剩余电流动作保护电器既可以较好地避免用电设备、配电线路绝缘故障时可能发生的电击事故，也可以保证施工现场长距离配电线路在末端发生接地故障时可靠切断故障回路，剩余电流动作保护电器的装设简化了对保护电器的整定要求。</w:t>
      </w:r>
    </w:p>
    <w:p w14:paraId="3658F1DA">
      <w:pPr>
        <w:pStyle w:val="47"/>
        <w:ind w:firstLine="482"/>
        <w:rPr>
          <w:sz w:val="24"/>
        </w:rPr>
      </w:pPr>
      <w:r>
        <w:rPr>
          <w:b/>
          <w:bCs/>
          <w:sz w:val="24"/>
        </w:rPr>
        <w:t>2</w:t>
      </w:r>
      <w:r>
        <w:rPr>
          <w:sz w:val="24"/>
        </w:rPr>
        <w:t xml:space="preserve">  上下级串联的剩余电流动作保护电器，为了避免上级剩余电流动作保护电器越级脱扣，上级剩余电流动作保护电器的额定剩余电流是下级剩余电流动作保护电器的3倍以上，例如下级剩余电流动作保护电器的额定剩余电流值为30mA，上级剩余电流动作保护电器的额定剩余电流动作值至少为100mA，且选择延时型剩余电流动作保护电器或S型剩余电流动作保护电器，延时型剩余电流动作保护电器的标准与塑壳断路器相同，S型剩余电流动作保护电器的标准与微断相同。</w:t>
      </w:r>
    </w:p>
    <w:p w14:paraId="0D431B8E">
      <w:pPr>
        <w:pStyle w:val="47"/>
        <w:ind w:firstLine="482"/>
        <w:rPr>
          <w:sz w:val="24"/>
          <w:highlight w:val="yellow"/>
        </w:rPr>
      </w:pPr>
      <w:r>
        <w:rPr>
          <w:b/>
          <w:bCs/>
          <w:sz w:val="24"/>
        </w:rPr>
        <w:t xml:space="preserve">3 </w:t>
      </w:r>
      <w:r>
        <w:rPr>
          <w:sz w:val="24"/>
        </w:rPr>
        <w:t xml:space="preserve"> 本条文中的剩余电流动作保护电器作为附加防护措施，其回路及保护电器额定剩余电流动作值小于等于30mA。</w:t>
      </w:r>
    </w:p>
    <w:p w14:paraId="6284C484">
      <w:pPr>
        <w:pStyle w:val="46"/>
        <w:rPr>
          <w:color w:val="auto"/>
          <w:sz w:val="24"/>
        </w:rPr>
      </w:pPr>
      <w:r>
        <w:rPr>
          <w:rFonts w:hint="eastAsia"/>
          <w:b/>
          <w:bCs w:val="0"/>
          <w:color w:val="auto"/>
          <w:sz w:val="24"/>
        </w:rPr>
        <w:t>6</w:t>
      </w:r>
      <w:r>
        <w:rPr>
          <w:b/>
          <w:bCs w:val="0"/>
          <w:color w:val="auto"/>
          <w:sz w:val="24"/>
        </w:rPr>
        <w:t>.3.23</w:t>
      </w:r>
      <w:r>
        <w:rPr>
          <w:color w:val="auto"/>
          <w:sz w:val="24"/>
        </w:rPr>
        <w:t xml:space="preserve">  短路会产生大量热量及很大的机械应力，造成火灾风险及机械损坏，因此短路保护电器在造成危害之前及时切断电源；短路保护电器的动作时间不同，配电线路的热稳定校验公式也有所不同。</w:t>
      </w:r>
    </w:p>
    <w:p w14:paraId="1A73E30F">
      <w:pPr>
        <w:pStyle w:val="46"/>
        <w:rPr>
          <w:color w:val="auto"/>
          <w:sz w:val="24"/>
        </w:rPr>
      </w:pPr>
      <w:r>
        <w:rPr>
          <w:rFonts w:hint="eastAsia"/>
          <w:b/>
          <w:bCs w:val="0"/>
          <w:color w:val="auto"/>
          <w:sz w:val="24"/>
        </w:rPr>
        <w:t>6</w:t>
      </w:r>
      <w:r>
        <w:rPr>
          <w:b/>
          <w:bCs w:val="0"/>
          <w:color w:val="auto"/>
          <w:sz w:val="24"/>
        </w:rPr>
        <w:t>.3.24</w:t>
      </w:r>
      <w:r>
        <w:rPr>
          <w:b/>
          <w:color w:val="auto"/>
          <w:sz w:val="24"/>
        </w:rPr>
        <w:t xml:space="preserve">  </w:t>
      </w:r>
      <w:r>
        <w:rPr>
          <w:color w:val="auto"/>
          <w:sz w:val="24"/>
        </w:rPr>
        <w:t>电缆导体允许持续载流量不仅大于回路的负荷电流，还大于断路器的额定电流或长延时整定电流。</w:t>
      </w:r>
    </w:p>
    <w:p w14:paraId="6ADA6786">
      <w:pPr>
        <w:pStyle w:val="46"/>
        <w:rPr>
          <w:sz w:val="24"/>
        </w:rPr>
      </w:pPr>
      <w:r>
        <w:rPr>
          <w:rFonts w:hint="eastAsia"/>
          <w:b/>
          <w:bCs w:val="0"/>
          <w:color w:val="auto"/>
          <w:sz w:val="24"/>
        </w:rPr>
        <w:t>6</w:t>
      </w:r>
      <w:r>
        <w:rPr>
          <w:b/>
          <w:bCs w:val="0"/>
          <w:color w:val="auto"/>
          <w:sz w:val="24"/>
        </w:rPr>
        <w:t>.3.34</w:t>
      </w:r>
      <w:r>
        <w:rPr>
          <w:rFonts w:hint="eastAsia"/>
          <w:b/>
          <w:bCs w:val="0"/>
          <w:color w:val="auto"/>
          <w:sz w:val="24"/>
        </w:rPr>
        <w:t xml:space="preserve">  </w:t>
      </w:r>
      <w:r>
        <w:rPr>
          <w:b/>
          <w:sz w:val="24"/>
        </w:rPr>
        <w:t>2</w:t>
      </w:r>
      <w:r>
        <w:rPr>
          <w:sz w:val="24"/>
        </w:rPr>
        <w:t xml:space="preserve">  本条款便携式末级配电箱内允许最多设置两个供用电回路，并预设条件为分回路分别设置额定电流16A及以下过电流、剩余电流动作保护电器，此规定不会因此降低用电安全使用水平。</w:t>
      </w:r>
    </w:p>
    <w:p w14:paraId="57C27EE8">
      <w:pPr>
        <w:pStyle w:val="46"/>
        <w:rPr>
          <w:color w:val="auto"/>
          <w:sz w:val="24"/>
        </w:rPr>
      </w:pPr>
      <w:r>
        <w:rPr>
          <w:rFonts w:hint="eastAsia"/>
          <w:b/>
          <w:bCs w:val="0"/>
          <w:color w:val="auto"/>
          <w:sz w:val="24"/>
        </w:rPr>
        <w:t>6</w:t>
      </w:r>
      <w:r>
        <w:rPr>
          <w:b/>
          <w:bCs w:val="0"/>
          <w:color w:val="auto"/>
          <w:sz w:val="24"/>
        </w:rPr>
        <w:t>.3.36</w:t>
      </w:r>
      <w:r>
        <w:rPr>
          <w:color w:val="auto"/>
          <w:sz w:val="24"/>
        </w:rPr>
        <w:t xml:space="preserve">  建筑工地用成套设备（ACS）防止触及带电部分以及外来固体和水进入，参考了《外壳防护等级（IP代码）》GB/T 4208中IP代码标识的相关规定。</w:t>
      </w:r>
    </w:p>
    <w:p w14:paraId="5B8B749A">
      <w:pPr>
        <w:pStyle w:val="33"/>
        <w:numPr>
          <w:ilvl w:val="0"/>
          <w:numId w:val="0"/>
        </w:numPr>
        <w:spacing w:before="120"/>
        <w:rPr>
          <w:rFonts w:eastAsia="宋体"/>
          <w:b/>
          <w:bCs/>
          <w:sz w:val="24"/>
          <w:szCs w:val="24"/>
        </w:rPr>
      </w:pPr>
      <w:bookmarkStart w:id="721" w:name="_Toc29164"/>
      <w:bookmarkStart w:id="722" w:name="_Toc21883"/>
      <w:bookmarkStart w:id="723" w:name="_Toc29425"/>
      <w:bookmarkStart w:id="724" w:name="_Toc31320"/>
      <w:bookmarkStart w:id="725" w:name="_Toc25063"/>
      <w:bookmarkStart w:id="726" w:name="_Toc5612"/>
      <w:r>
        <w:rPr>
          <w:rFonts w:hint="eastAsia" w:eastAsia="宋体"/>
          <w:b/>
          <w:bCs/>
          <w:sz w:val="24"/>
          <w:szCs w:val="24"/>
        </w:rPr>
        <w:t>6</w:t>
      </w:r>
      <w:r>
        <w:rPr>
          <w:rFonts w:eastAsia="宋体"/>
          <w:b/>
          <w:bCs/>
          <w:sz w:val="24"/>
          <w:szCs w:val="24"/>
        </w:rPr>
        <w:t>.4 布线系统</w:t>
      </w:r>
      <w:bookmarkEnd w:id="721"/>
      <w:bookmarkEnd w:id="722"/>
      <w:bookmarkEnd w:id="723"/>
      <w:bookmarkEnd w:id="724"/>
      <w:bookmarkEnd w:id="725"/>
      <w:bookmarkEnd w:id="726"/>
    </w:p>
    <w:p w14:paraId="10052E7C">
      <w:pPr>
        <w:pStyle w:val="46"/>
        <w:rPr>
          <w:bCs w:val="0"/>
          <w:color w:val="auto"/>
          <w:sz w:val="24"/>
        </w:rPr>
      </w:pPr>
      <w:r>
        <w:rPr>
          <w:rFonts w:hint="eastAsia"/>
          <w:b/>
          <w:bCs w:val="0"/>
          <w:color w:val="auto"/>
          <w:sz w:val="24"/>
        </w:rPr>
        <w:t>6.4.7</w:t>
      </w:r>
      <w:r>
        <w:rPr>
          <w:rFonts w:hint="eastAsia"/>
          <w:color w:val="auto"/>
          <w:sz w:val="24"/>
        </w:rPr>
        <w:t xml:space="preserve">  本条文参考了《电力工程电缆设计标准》GB 50217的相关规定。</w:t>
      </w:r>
    </w:p>
    <w:p w14:paraId="31D50C29">
      <w:pPr>
        <w:pStyle w:val="33"/>
        <w:numPr>
          <w:ilvl w:val="0"/>
          <w:numId w:val="0"/>
        </w:numPr>
        <w:spacing w:before="120"/>
        <w:rPr>
          <w:rFonts w:eastAsia="宋体"/>
          <w:b/>
          <w:bCs/>
          <w:sz w:val="24"/>
          <w:szCs w:val="24"/>
        </w:rPr>
      </w:pPr>
      <w:bookmarkStart w:id="727" w:name="_Toc3922"/>
      <w:bookmarkStart w:id="728" w:name="_Toc14610"/>
      <w:bookmarkStart w:id="729" w:name="_Toc17849"/>
      <w:bookmarkStart w:id="730" w:name="_Toc28005"/>
      <w:bookmarkStart w:id="731" w:name="_Toc18925"/>
      <w:bookmarkStart w:id="732" w:name="_Toc9086"/>
      <w:r>
        <w:rPr>
          <w:rFonts w:hint="eastAsia" w:eastAsia="宋体"/>
          <w:b/>
          <w:bCs/>
          <w:sz w:val="24"/>
          <w:szCs w:val="24"/>
        </w:rPr>
        <w:t>6</w:t>
      </w:r>
      <w:r>
        <w:rPr>
          <w:rFonts w:eastAsia="宋体"/>
          <w:b/>
          <w:bCs/>
          <w:sz w:val="24"/>
          <w:szCs w:val="24"/>
        </w:rPr>
        <w:t>.5 用电设施设备</w:t>
      </w:r>
      <w:bookmarkEnd w:id="727"/>
      <w:bookmarkEnd w:id="728"/>
      <w:bookmarkEnd w:id="729"/>
      <w:bookmarkEnd w:id="730"/>
      <w:bookmarkEnd w:id="731"/>
      <w:bookmarkEnd w:id="732"/>
    </w:p>
    <w:p w14:paraId="554054D0">
      <w:pPr>
        <w:pStyle w:val="46"/>
        <w:rPr>
          <w:color w:val="auto"/>
          <w:sz w:val="24"/>
        </w:rPr>
      </w:pPr>
      <w:r>
        <w:rPr>
          <w:rFonts w:hint="eastAsia"/>
          <w:b/>
          <w:color w:val="auto"/>
          <w:sz w:val="24"/>
        </w:rPr>
        <w:t>6</w:t>
      </w:r>
      <w:r>
        <w:rPr>
          <w:b/>
          <w:color w:val="auto"/>
          <w:sz w:val="24"/>
        </w:rPr>
        <w:t>.5.2</w:t>
      </w:r>
      <w:r>
        <w:rPr>
          <w:bCs w:val="0"/>
          <w:color w:val="auto"/>
          <w:sz w:val="24"/>
        </w:rPr>
        <w:t xml:space="preserve">  </w:t>
      </w:r>
      <w:r>
        <w:rPr>
          <w:rFonts w:hint="eastAsia"/>
          <w:color w:val="auto"/>
          <w:sz w:val="24"/>
        </w:rPr>
        <w:t>本条文参考了 《用电安全导则》GB/T 13869的相关安装要求。附加措施包括：为用电设备提供防止外来电气、机械、化学和物理应力的防护，用电设备的周围应留有足够的安全通道和工作空间，且避免堆放易燃、易爆和腐蚀性物品。</w:t>
      </w:r>
    </w:p>
    <w:p w14:paraId="20029A30">
      <w:pPr>
        <w:pStyle w:val="46"/>
        <w:rPr>
          <w:color w:val="auto"/>
          <w:sz w:val="24"/>
        </w:rPr>
      </w:pPr>
      <w:r>
        <w:rPr>
          <w:rFonts w:hint="eastAsia"/>
          <w:b/>
          <w:color w:val="auto"/>
          <w:sz w:val="24"/>
        </w:rPr>
        <w:t>6</w:t>
      </w:r>
      <w:r>
        <w:rPr>
          <w:b/>
          <w:color w:val="auto"/>
          <w:sz w:val="24"/>
        </w:rPr>
        <w:t>.5.3</w:t>
      </w:r>
      <w:r>
        <w:rPr>
          <w:rFonts w:hint="eastAsia"/>
          <w:color w:val="auto"/>
          <w:sz w:val="24"/>
        </w:rPr>
        <w:t xml:space="preserve">  振动用电设施设备包括振动平台、振动试验台、夯土机械等。</w:t>
      </w:r>
    </w:p>
    <w:p w14:paraId="1EE1E920">
      <w:pPr>
        <w:pStyle w:val="46"/>
        <w:rPr>
          <w:color w:val="auto"/>
          <w:sz w:val="24"/>
        </w:rPr>
      </w:pPr>
      <w:r>
        <w:rPr>
          <w:rFonts w:hint="eastAsia"/>
          <w:b/>
          <w:color w:val="auto"/>
          <w:sz w:val="24"/>
        </w:rPr>
        <w:t>6</w:t>
      </w:r>
      <w:r>
        <w:rPr>
          <w:b/>
          <w:color w:val="auto"/>
          <w:sz w:val="24"/>
        </w:rPr>
        <w:t xml:space="preserve">.5.4 </w:t>
      </w:r>
      <w:r>
        <w:rPr>
          <w:rFonts w:hint="eastAsia"/>
          <w:color w:val="auto"/>
          <w:sz w:val="24"/>
        </w:rPr>
        <w:t xml:space="preserve"> 剩余电流包含直流分量（含整流器的Ⅰ类设备）的回路选用A型RCD，剩余电流包含直流分量和斩波频率电流（含单相变频器的Ⅰ类设备）的回路选用F型RCD，三相变频器的供电回路选用B型RCD。</w:t>
      </w:r>
    </w:p>
    <w:p w14:paraId="5BB92141">
      <w:pPr>
        <w:pStyle w:val="46"/>
        <w:rPr>
          <w:color w:val="auto"/>
          <w:sz w:val="24"/>
        </w:rPr>
      </w:pPr>
      <w:r>
        <w:rPr>
          <w:rFonts w:hint="eastAsia"/>
          <w:b/>
          <w:color w:val="auto"/>
          <w:sz w:val="24"/>
        </w:rPr>
        <w:t>6</w:t>
      </w:r>
      <w:r>
        <w:rPr>
          <w:b/>
          <w:color w:val="auto"/>
          <w:sz w:val="24"/>
        </w:rPr>
        <w:t>.5.</w:t>
      </w:r>
      <w:r>
        <w:rPr>
          <w:rFonts w:hint="eastAsia"/>
          <w:b/>
          <w:color w:val="auto"/>
          <w:sz w:val="24"/>
        </w:rPr>
        <w:t>14</w:t>
      </w:r>
      <w:r>
        <w:rPr>
          <w:bCs w:val="0"/>
          <w:color w:val="auto"/>
          <w:sz w:val="24"/>
        </w:rPr>
        <w:t xml:space="preserve"> </w:t>
      </w:r>
      <w:r>
        <w:rPr>
          <w:color w:val="auto"/>
          <w:sz w:val="24"/>
        </w:rPr>
        <w:t xml:space="preserve"> 鉴于施工</w:t>
      </w:r>
      <w:r>
        <w:rPr>
          <w:rFonts w:hint="eastAsia"/>
          <w:color w:val="auto"/>
          <w:sz w:val="24"/>
        </w:rPr>
        <w:t>现场</w:t>
      </w:r>
      <w:r>
        <w:rPr>
          <w:color w:val="auto"/>
          <w:sz w:val="24"/>
        </w:rPr>
        <w:t>钢筋弯曲机外引</w:t>
      </w:r>
      <w:r>
        <w:rPr>
          <w:rFonts w:hint="eastAsia"/>
          <w:color w:val="auto"/>
          <w:sz w:val="24"/>
        </w:rPr>
        <w:t>控制回路线缆</w:t>
      </w:r>
      <w:r>
        <w:rPr>
          <w:color w:val="auto"/>
          <w:sz w:val="24"/>
        </w:rPr>
        <w:t>易</w:t>
      </w:r>
      <w:r>
        <w:rPr>
          <w:rFonts w:hint="eastAsia"/>
          <w:color w:val="auto"/>
          <w:sz w:val="24"/>
        </w:rPr>
        <w:t>遭受</w:t>
      </w:r>
      <w:r>
        <w:rPr>
          <w:color w:val="auto"/>
          <w:sz w:val="24"/>
        </w:rPr>
        <w:t>机械损伤</w:t>
      </w:r>
      <w:r>
        <w:rPr>
          <w:rFonts w:hint="eastAsia"/>
          <w:color w:val="auto"/>
          <w:sz w:val="24"/>
        </w:rPr>
        <w:t>导致电击事故发生，特</w:t>
      </w:r>
      <w:r>
        <w:rPr>
          <w:color w:val="auto"/>
          <w:sz w:val="24"/>
        </w:rPr>
        <w:t>制订本条</w:t>
      </w:r>
      <w:r>
        <w:rPr>
          <w:rFonts w:hint="eastAsia"/>
          <w:color w:val="auto"/>
          <w:sz w:val="24"/>
        </w:rPr>
        <w:t>款</w:t>
      </w:r>
      <w:r>
        <w:rPr>
          <w:color w:val="auto"/>
          <w:sz w:val="24"/>
        </w:rPr>
        <w:t>。</w:t>
      </w:r>
    </w:p>
    <w:p w14:paraId="683D9008">
      <w:pPr>
        <w:pStyle w:val="46"/>
        <w:rPr>
          <w:color w:val="auto"/>
          <w:sz w:val="24"/>
        </w:rPr>
      </w:pPr>
      <w:r>
        <w:rPr>
          <w:rFonts w:hint="eastAsia"/>
          <w:b/>
          <w:color w:val="auto"/>
          <w:sz w:val="24"/>
        </w:rPr>
        <w:t>6</w:t>
      </w:r>
      <w:r>
        <w:rPr>
          <w:b/>
          <w:color w:val="auto"/>
          <w:sz w:val="24"/>
        </w:rPr>
        <w:t>.5.</w:t>
      </w:r>
      <w:r>
        <w:rPr>
          <w:rFonts w:hint="eastAsia"/>
          <w:b/>
          <w:color w:val="auto"/>
          <w:sz w:val="24"/>
        </w:rPr>
        <w:t xml:space="preserve">24  </w:t>
      </w:r>
      <w:r>
        <w:rPr>
          <w:rFonts w:hint="eastAsia"/>
          <w:color w:val="auto"/>
          <w:sz w:val="24"/>
        </w:rPr>
        <w:t>电焊机直接放置在结构钢筋或钢结构拖行移动时，结构钢筋可能损伤电焊机及线缆，降低电焊机防护及绝缘。</w:t>
      </w:r>
    </w:p>
    <w:p w14:paraId="1CCB5F72">
      <w:pPr>
        <w:pStyle w:val="46"/>
        <w:ind w:left="241" w:hanging="241" w:hangingChars="100"/>
        <w:rPr>
          <w:color w:val="auto"/>
          <w:sz w:val="24"/>
        </w:rPr>
      </w:pPr>
      <w:r>
        <w:rPr>
          <w:rFonts w:hint="eastAsia"/>
          <w:b/>
          <w:color w:val="auto"/>
          <w:sz w:val="24"/>
        </w:rPr>
        <w:t>6</w:t>
      </w:r>
      <w:r>
        <w:rPr>
          <w:b/>
          <w:color w:val="auto"/>
          <w:sz w:val="24"/>
        </w:rPr>
        <w:t>.5.</w:t>
      </w:r>
      <w:r>
        <w:rPr>
          <w:rFonts w:hint="eastAsia"/>
          <w:b/>
          <w:color w:val="auto"/>
          <w:sz w:val="24"/>
        </w:rPr>
        <w:t>34</w:t>
      </w:r>
      <w:r>
        <w:rPr>
          <w:color w:val="auto"/>
          <w:sz w:val="24"/>
        </w:rPr>
        <w:t xml:space="preserve"> </w:t>
      </w:r>
      <w:r>
        <w:rPr>
          <w:rFonts w:hint="eastAsia"/>
          <w:color w:val="auto"/>
          <w:sz w:val="24"/>
        </w:rPr>
        <w:t xml:space="preserve"> </w:t>
      </w:r>
      <w:r>
        <w:rPr>
          <w:color w:val="auto"/>
          <w:sz w:val="24"/>
        </w:rPr>
        <w:t>本条文参考</w:t>
      </w:r>
      <w:r>
        <w:rPr>
          <w:rFonts w:hint="eastAsia"/>
          <w:color w:val="auto"/>
          <w:sz w:val="24"/>
        </w:rPr>
        <w:t>了</w:t>
      </w:r>
      <w:r>
        <w:rPr>
          <w:color w:val="auto"/>
          <w:sz w:val="24"/>
        </w:rPr>
        <w:t>《手持式电动工具的管理、使用、检查和维修安全技术规程》</w:t>
      </w:r>
    </w:p>
    <w:p w14:paraId="41195867">
      <w:pPr>
        <w:pStyle w:val="46"/>
        <w:ind w:left="240" w:hanging="240" w:hangingChars="100"/>
        <w:rPr>
          <w:color w:val="auto"/>
          <w:sz w:val="24"/>
        </w:rPr>
      </w:pPr>
      <w:r>
        <w:rPr>
          <w:color w:val="auto"/>
          <w:sz w:val="24"/>
        </w:rPr>
        <w:t>GB/T 3787中工具使用场所及工具使用条件，结合现场实际情况制定。</w:t>
      </w:r>
    </w:p>
    <w:p w14:paraId="046145E8">
      <w:pPr>
        <w:pStyle w:val="46"/>
        <w:rPr>
          <w:color w:val="auto"/>
          <w:sz w:val="24"/>
        </w:rPr>
      </w:pPr>
      <w:r>
        <w:rPr>
          <w:rFonts w:hint="eastAsia"/>
          <w:b/>
          <w:color w:val="auto"/>
          <w:sz w:val="24"/>
        </w:rPr>
        <w:t>6</w:t>
      </w:r>
      <w:r>
        <w:rPr>
          <w:b/>
          <w:color w:val="auto"/>
          <w:sz w:val="24"/>
        </w:rPr>
        <w:t>.5.</w:t>
      </w:r>
      <w:r>
        <w:rPr>
          <w:rFonts w:hint="eastAsia"/>
          <w:b/>
          <w:color w:val="auto"/>
          <w:sz w:val="24"/>
        </w:rPr>
        <w:t>35</w:t>
      </w:r>
      <w:r>
        <w:rPr>
          <w:rFonts w:hint="eastAsia"/>
          <w:color w:val="auto"/>
          <w:sz w:val="24"/>
        </w:rPr>
        <w:t xml:space="preserve">  为避免自燃引起的电气火灾，现场避免采用钴酸锂、三元锂等含钴元素的</w:t>
      </w:r>
      <w:r>
        <w:rPr>
          <w:color w:val="auto"/>
          <w:sz w:val="24"/>
        </w:rPr>
        <w:t>移动</w:t>
      </w:r>
      <w:r>
        <w:rPr>
          <w:rFonts w:hint="eastAsia"/>
          <w:color w:val="auto"/>
          <w:sz w:val="24"/>
        </w:rPr>
        <w:t>锂电池</w:t>
      </w:r>
      <w:r>
        <w:rPr>
          <w:color w:val="auto"/>
          <w:sz w:val="24"/>
        </w:rPr>
        <w:t>。</w:t>
      </w:r>
    </w:p>
    <w:p w14:paraId="22C38AA2">
      <w:pPr>
        <w:pStyle w:val="46"/>
        <w:rPr>
          <w:color w:val="auto"/>
          <w:sz w:val="24"/>
        </w:rPr>
      </w:pPr>
      <w:r>
        <w:rPr>
          <w:rFonts w:hint="eastAsia"/>
          <w:b/>
          <w:color w:val="auto"/>
          <w:sz w:val="24"/>
        </w:rPr>
        <w:t>6</w:t>
      </w:r>
      <w:r>
        <w:rPr>
          <w:b/>
          <w:color w:val="auto"/>
          <w:sz w:val="24"/>
        </w:rPr>
        <w:t>.5.</w:t>
      </w:r>
      <w:r>
        <w:rPr>
          <w:rFonts w:hint="eastAsia"/>
          <w:b/>
          <w:color w:val="auto"/>
          <w:sz w:val="24"/>
        </w:rPr>
        <w:t>40</w:t>
      </w:r>
      <w:r>
        <w:rPr>
          <w:color w:val="auto"/>
          <w:sz w:val="24"/>
        </w:rPr>
        <w:t xml:space="preserve"> </w:t>
      </w:r>
      <w:r>
        <w:rPr>
          <w:rFonts w:hint="eastAsia"/>
          <w:color w:val="auto"/>
          <w:sz w:val="24"/>
        </w:rPr>
        <w:t xml:space="preserve"> </w:t>
      </w:r>
      <w:r>
        <w:rPr>
          <w:color w:val="auto"/>
          <w:sz w:val="24"/>
        </w:rPr>
        <w:t>防止因下雨或其他原因导致接线端或开关进水短路，影响设备使用安全。</w:t>
      </w:r>
    </w:p>
    <w:p w14:paraId="42AA28EA">
      <w:pPr>
        <w:pStyle w:val="46"/>
        <w:rPr>
          <w:color w:val="auto"/>
          <w:sz w:val="24"/>
        </w:rPr>
      </w:pPr>
      <w:r>
        <w:rPr>
          <w:rFonts w:hint="eastAsia"/>
          <w:b/>
          <w:color w:val="auto"/>
          <w:sz w:val="24"/>
        </w:rPr>
        <w:t>6</w:t>
      </w:r>
      <w:r>
        <w:rPr>
          <w:b/>
          <w:color w:val="auto"/>
          <w:sz w:val="24"/>
        </w:rPr>
        <w:t>.5.</w:t>
      </w:r>
      <w:r>
        <w:rPr>
          <w:rFonts w:hint="eastAsia"/>
          <w:b/>
          <w:color w:val="auto"/>
          <w:sz w:val="24"/>
        </w:rPr>
        <w:t>41</w:t>
      </w:r>
      <w:r>
        <w:rPr>
          <w:bCs w:val="0"/>
          <w:color w:val="auto"/>
          <w:sz w:val="24"/>
        </w:rPr>
        <w:t xml:space="preserve"> </w:t>
      </w:r>
      <w:r>
        <w:rPr>
          <w:rFonts w:hint="eastAsia"/>
          <w:bCs w:val="0"/>
          <w:color w:val="auto"/>
          <w:sz w:val="24"/>
        </w:rPr>
        <w:t xml:space="preserve"> </w:t>
      </w:r>
      <w:r>
        <w:rPr>
          <w:color w:val="auto"/>
          <w:sz w:val="24"/>
        </w:rPr>
        <w:t>本条文参考</w:t>
      </w:r>
      <w:r>
        <w:rPr>
          <w:rFonts w:hint="eastAsia"/>
          <w:color w:val="auto"/>
          <w:sz w:val="24"/>
        </w:rPr>
        <w:t>了</w:t>
      </w:r>
      <w:r>
        <w:rPr>
          <w:color w:val="auto"/>
          <w:sz w:val="24"/>
        </w:rPr>
        <w:t>《建筑电气与智能化通用规范》GB</w:t>
      </w:r>
      <w:r>
        <w:rPr>
          <w:rFonts w:hint="eastAsia"/>
          <w:color w:val="auto"/>
          <w:sz w:val="24"/>
        </w:rPr>
        <w:t xml:space="preserve"> </w:t>
      </w:r>
      <w:r>
        <w:rPr>
          <w:color w:val="auto"/>
          <w:sz w:val="24"/>
        </w:rPr>
        <w:t>55024</w:t>
      </w:r>
      <w:r>
        <w:rPr>
          <w:rFonts w:hint="eastAsia"/>
          <w:color w:val="auto"/>
          <w:sz w:val="24"/>
        </w:rPr>
        <w:t>的相关规定；当提升</w:t>
      </w:r>
      <w:r>
        <w:rPr>
          <w:color w:val="auto"/>
          <w:sz w:val="24"/>
        </w:rPr>
        <w:t>机出现</w:t>
      </w:r>
      <w:r>
        <w:rPr>
          <w:rFonts w:hint="eastAsia"/>
          <w:color w:val="auto"/>
          <w:sz w:val="24"/>
        </w:rPr>
        <w:t>故障时，能够</w:t>
      </w:r>
      <w:r>
        <w:rPr>
          <w:color w:val="auto"/>
          <w:sz w:val="24"/>
        </w:rPr>
        <w:t>及时</w:t>
      </w:r>
      <w:r>
        <w:rPr>
          <w:rFonts w:hint="eastAsia"/>
          <w:color w:val="auto"/>
          <w:sz w:val="24"/>
        </w:rPr>
        <w:t>切断电源</w:t>
      </w:r>
      <w:r>
        <w:rPr>
          <w:color w:val="auto"/>
          <w:sz w:val="24"/>
        </w:rPr>
        <w:t>。</w:t>
      </w:r>
    </w:p>
    <w:p w14:paraId="14F07E77">
      <w:pPr>
        <w:pStyle w:val="46"/>
        <w:rPr>
          <w:color w:val="auto"/>
          <w:sz w:val="24"/>
        </w:rPr>
      </w:pPr>
      <w:r>
        <w:rPr>
          <w:rFonts w:hint="eastAsia"/>
          <w:b/>
          <w:color w:val="auto"/>
          <w:sz w:val="24"/>
        </w:rPr>
        <w:t>6</w:t>
      </w:r>
      <w:r>
        <w:rPr>
          <w:b/>
          <w:color w:val="auto"/>
          <w:sz w:val="24"/>
        </w:rPr>
        <w:t>.5.4</w:t>
      </w:r>
      <w:r>
        <w:rPr>
          <w:rFonts w:hint="eastAsia"/>
          <w:b/>
          <w:color w:val="auto"/>
          <w:sz w:val="24"/>
        </w:rPr>
        <w:t>2</w:t>
      </w:r>
      <w:r>
        <w:rPr>
          <w:b/>
          <w:color w:val="auto"/>
          <w:sz w:val="24"/>
        </w:rPr>
        <w:t xml:space="preserve"> </w:t>
      </w:r>
      <w:r>
        <w:rPr>
          <w:rFonts w:hint="eastAsia"/>
          <w:color w:val="auto"/>
          <w:sz w:val="24"/>
        </w:rPr>
        <w:t xml:space="preserve"> </w:t>
      </w:r>
      <w:r>
        <w:rPr>
          <w:color w:val="auto"/>
          <w:sz w:val="24"/>
        </w:rPr>
        <w:t>方便检修，也防止接头因外部原因影响电伴热使用。</w:t>
      </w:r>
    </w:p>
    <w:p w14:paraId="69304C75">
      <w:pPr>
        <w:pStyle w:val="46"/>
        <w:jc w:val="center"/>
        <w:rPr>
          <w:b/>
          <w:sz w:val="24"/>
        </w:rPr>
      </w:pPr>
      <w:r>
        <w:rPr>
          <w:rFonts w:hint="eastAsia"/>
          <w:b/>
          <w:sz w:val="24"/>
        </w:rPr>
        <w:t>6</w:t>
      </w:r>
      <w:r>
        <w:rPr>
          <w:b/>
          <w:sz w:val="24"/>
        </w:rPr>
        <w:t>.6 办公区、生活区用电</w:t>
      </w:r>
    </w:p>
    <w:p w14:paraId="7CF20B4D">
      <w:pPr>
        <w:pStyle w:val="46"/>
        <w:rPr>
          <w:color w:val="auto"/>
          <w:sz w:val="24"/>
        </w:rPr>
      </w:pPr>
      <w:r>
        <w:rPr>
          <w:rFonts w:hint="eastAsia"/>
          <w:b/>
          <w:color w:val="auto"/>
          <w:sz w:val="24"/>
        </w:rPr>
        <w:t>6</w:t>
      </w:r>
      <w:r>
        <w:rPr>
          <w:b/>
          <w:color w:val="auto"/>
          <w:sz w:val="24"/>
        </w:rPr>
        <w:t>.6.</w:t>
      </w:r>
      <w:r>
        <w:rPr>
          <w:rFonts w:hint="eastAsia"/>
          <w:b/>
          <w:color w:val="auto"/>
          <w:sz w:val="24"/>
        </w:rPr>
        <w:t xml:space="preserve">7  </w:t>
      </w:r>
      <w:r>
        <w:rPr>
          <w:rFonts w:hint="eastAsia"/>
          <w:color w:val="auto"/>
          <w:sz w:val="24"/>
        </w:rPr>
        <w:t>淋浴间采取</w:t>
      </w:r>
      <w:r>
        <w:rPr>
          <w:color w:val="auto"/>
          <w:sz w:val="24"/>
        </w:rPr>
        <w:t>辅助等电位</w:t>
      </w:r>
      <w:r>
        <w:rPr>
          <w:rFonts w:hint="eastAsia"/>
          <w:color w:val="auto"/>
          <w:sz w:val="24"/>
        </w:rPr>
        <w:t>（SEB）等安全防护</w:t>
      </w:r>
      <w:r>
        <w:rPr>
          <w:color w:val="auto"/>
          <w:sz w:val="24"/>
        </w:rPr>
        <w:t>措施</w:t>
      </w:r>
      <w:r>
        <w:rPr>
          <w:rFonts w:hint="eastAsia"/>
          <w:color w:val="auto"/>
          <w:sz w:val="24"/>
        </w:rPr>
        <w:t>，目的是避免</w:t>
      </w:r>
      <w:r>
        <w:rPr>
          <w:color w:val="auto"/>
          <w:sz w:val="24"/>
        </w:rPr>
        <w:t>人体表</w:t>
      </w:r>
      <w:r>
        <w:rPr>
          <w:rFonts w:hint="eastAsia"/>
          <w:color w:val="auto"/>
          <w:sz w:val="24"/>
        </w:rPr>
        <w:t>面皮肤</w:t>
      </w:r>
      <w:r>
        <w:rPr>
          <w:color w:val="auto"/>
          <w:sz w:val="24"/>
        </w:rPr>
        <w:t>湿</w:t>
      </w:r>
      <w:r>
        <w:rPr>
          <w:rFonts w:hint="eastAsia"/>
          <w:color w:val="auto"/>
          <w:sz w:val="24"/>
        </w:rPr>
        <w:t>润状态整体</w:t>
      </w:r>
      <w:r>
        <w:rPr>
          <w:color w:val="auto"/>
          <w:sz w:val="24"/>
        </w:rPr>
        <w:t>阻抗</w:t>
      </w:r>
      <w:r>
        <w:rPr>
          <w:rFonts w:hint="eastAsia"/>
          <w:color w:val="auto"/>
          <w:sz w:val="24"/>
        </w:rPr>
        <w:t>降低</w:t>
      </w:r>
      <w:r>
        <w:rPr>
          <w:color w:val="auto"/>
          <w:sz w:val="24"/>
        </w:rPr>
        <w:t>，</w:t>
      </w:r>
      <w:r>
        <w:rPr>
          <w:rFonts w:hint="eastAsia"/>
          <w:color w:val="auto"/>
          <w:sz w:val="24"/>
        </w:rPr>
        <w:t>降低</w:t>
      </w:r>
      <w:r>
        <w:rPr>
          <w:color w:val="auto"/>
          <w:sz w:val="24"/>
        </w:rPr>
        <w:t>电击</w:t>
      </w:r>
      <w:r>
        <w:rPr>
          <w:rFonts w:hint="eastAsia"/>
          <w:color w:val="auto"/>
          <w:sz w:val="24"/>
        </w:rPr>
        <w:t>伤害</w:t>
      </w:r>
      <w:r>
        <w:rPr>
          <w:color w:val="auto"/>
          <w:sz w:val="24"/>
        </w:rPr>
        <w:t>风险。</w:t>
      </w:r>
    </w:p>
    <w:p w14:paraId="6CA89144">
      <w:pPr>
        <w:pStyle w:val="33"/>
        <w:numPr>
          <w:ilvl w:val="0"/>
          <w:numId w:val="0"/>
        </w:numPr>
        <w:spacing w:before="120"/>
        <w:rPr>
          <w:rFonts w:eastAsia="宋体"/>
          <w:b/>
          <w:bCs/>
          <w:sz w:val="24"/>
          <w:szCs w:val="24"/>
        </w:rPr>
      </w:pPr>
      <w:bookmarkStart w:id="733" w:name="_Toc3245"/>
      <w:bookmarkStart w:id="734" w:name="_Toc8249"/>
      <w:bookmarkStart w:id="735" w:name="_Toc30013"/>
      <w:bookmarkStart w:id="736" w:name="_Toc15156"/>
      <w:bookmarkStart w:id="737" w:name="_Toc24029"/>
      <w:bookmarkStart w:id="738" w:name="_Toc19039"/>
      <w:r>
        <w:rPr>
          <w:rFonts w:hint="eastAsia" w:eastAsia="宋体"/>
          <w:b/>
          <w:bCs/>
          <w:sz w:val="24"/>
          <w:szCs w:val="24"/>
        </w:rPr>
        <w:t>6</w:t>
      </w:r>
      <w:r>
        <w:rPr>
          <w:rFonts w:eastAsia="宋体"/>
          <w:b/>
          <w:bCs/>
          <w:sz w:val="24"/>
          <w:szCs w:val="24"/>
        </w:rPr>
        <w:t>.7 施工照明</w:t>
      </w:r>
      <w:bookmarkEnd w:id="733"/>
      <w:bookmarkEnd w:id="734"/>
      <w:bookmarkEnd w:id="735"/>
      <w:bookmarkEnd w:id="736"/>
      <w:bookmarkEnd w:id="737"/>
      <w:bookmarkEnd w:id="738"/>
    </w:p>
    <w:p w14:paraId="19D9C721">
      <w:pPr>
        <w:pStyle w:val="46"/>
        <w:rPr>
          <w:color w:val="auto"/>
          <w:sz w:val="24"/>
        </w:rPr>
      </w:pPr>
      <w:r>
        <w:rPr>
          <w:rFonts w:hint="eastAsia"/>
          <w:b/>
          <w:bCs w:val="0"/>
          <w:color w:val="auto"/>
          <w:sz w:val="24"/>
        </w:rPr>
        <w:t>6.7</w:t>
      </w:r>
      <w:r>
        <w:rPr>
          <w:rFonts w:hint="eastAsia"/>
          <w:b/>
          <w:color w:val="auto"/>
          <w:sz w:val="24"/>
        </w:rPr>
        <w:t>.2</w:t>
      </w:r>
      <w:r>
        <w:rPr>
          <w:rFonts w:hint="eastAsia"/>
          <w:color w:val="auto"/>
          <w:sz w:val="24"/>
        </w:rPr>
        <w:t xml:space="preserve">  利用建筑主体施工阶段电气预埋管敷设施工照明线路的电线规格、敷设安装应符合设计及规范要求。</w:t>
      </w:r>
    </w:p>
    <w:p w14:paraId="52B90658">
      <w:pPr>
        <w:pStyle w:val="46"/>
        <w:rPr>
          <w:sz w:val="24"/>
        </w:rPr>
      </w:pPr>
      <w:r>
        <w:rPr>
          <w:rFonts w:hint="eastAsia"/>
          <w:b/>
          <w:bCs w:val="0"/>
          <w:color w:val="auto"/>
          <w:sz w:val="24"/>
        </w:rPr>
        <w:t>6.7</w:t>
      </w:r>
      <w:r>
        <w:rPr>
          <w:b/>
          <w:color w:val="auto"/>
          <w:sz w:val="24"/>
        </w:rPr>
        <w:t>.</w:t>
      </w:r>
      <w:r>
        <w:rPr>
          <w:rFonts w:hint="eastAsia"/>
          <w:b/>
          <w:color w:val="auto"/>
          <w:sz w:val="24"/>
        </w:rPr>
        <w:t>4</w:t>
      </w:r>
      <w:r>
        <w:rPr>
          <w:rFonts w:hint="eastAsia"/>
          <w:bCs w:val="0"/>
          <w:color w:val="auto"/>
          <w:sz w:val="24"/>
        </w:rPr>
        <w:t xml:space="preserve">  </w:t>
      </w:r>
      <w:r>
        <w:rPr>
          <w:rFonts w:hint="eastAsia"/>
          <w:b/>
          <w:sz w:val="24"/>
        </w:rPr>
        <w:t>2</w:t>
      </w:r>
      <w:r>
        <w:rPr>
          <w:rFonts w:hint="eastAsia"/>
          <w:sz w:val="24"/>
        </w:rPr>
        <w:t xml:space="preserve">  设置过流保护电器的目的是降低安全隔离变压器二次侧线路、设备绝缘故障时引起的电气火灾风险。</w:t>
      </w:r>
    </w:p>
    <w:p w14:paraId="1F353124">
      <w:pPr>
        <w:pStyle w:val="46"/>
      </w:pPr>
      <w:r>
        <w:rPr>
          <w:rFonts w:hint="eastAsia"/>
          <w:b/>
          <w:bCs w:val="0"/>
          <w:color w:val="auto"/>
          <w:sz w:val="24"/>
        </w:rPr>
        <w:t>6.7</w:t>
      </w:r>
      <w:r>
        <w:rPr>
          <w:b/>
          <w:color w:val="auto"/>
          <w:sz w:val="24"/>
        </w:rPr>
        <w:t>.</w:t>
      </w:r>
      <w:r>
        <w:rPr>
          <w:rFonts w:hint="eastAsia"/>
          <w:b/>
          <w:color w:val="auto"/>
          <w:sz w:val="24"/>
        </w:rPr>
        <w:t xml:space="preserve">8  3 </w:t>
      </w:r>
      <w:r>
        <w:rPr>
          <w:color w:val="auto"/>
          <w:sz w:val="24"/>
        </w:rPr>
        <w:t>振动和摆动场</w:t>
      </w:r>
      <w:r>
        <w:rPr>
          <w:rFonts w:hint="eastAsia"/>
          <w:color w:val="auto"/>
          <w:sz w:val="24"/>
        </w:rPr>
        <w:t>所安装的</w:t>
      </w:r>
      <w:r>
        <w:rPr>
          <w:color w:val="auto"/>
          <w:sz w:val="24"/>
        </w:rPr>
        <w:t>灯具易发生脱落，</w:t>
      </w:r>
      <w:r>
        <w:rPr>
          <w:rFonts w:hint="eastAsia"/>
          <w:color w:val="auto"/>
          <w:sz w:val="24"/>
        </w:rPr>
        <w:t>安装</w:t>
      </w:r>
      <w:r>
        <w:rPr>
          <w:color w:val="auto"/>
          <w:sz w:val="24"/>
        </w:rPr>
        <w:t>高度大于5m的灯具脱落安全隐患较大，</w:t>
      </w:r>
      <w:r>
        <w:rPr>
          <w:rFonts w:hint="eastAsia"/>
          <w:color w:val="auto"/>
          <w:sz w:val="24"/>
        </w:rPr>
        <w:t>所以灯具安装</w:t>
      </w:r>
      <w:r>
        <w:rPr>
          <w:color w:val="auto"/>
          <w:sz w:val="24"/>
        </w:rPr>
        <w:t>采取防松脱措施。</w:t>
      </w:r>
    </w:p>
    <w:p w14:paraId="56AAFD61">
      <w:pPr>
        <w:pStyle w:val="33"/>
        <w:numPr>
          <w:ilvl w:val="0"/>
          <w:numId w:val="0"/>
        </w:numPr>
        <w:spacing w:before="120"/>
        <w:rPr>
          <w:rFonts w:eastAsia="宋体"/>
          <w:b/>
          <w:bCs/>
          <w:sz w:val="24"/>
          <w:szCs w:val="24"/>
        </w:rPr>
      </w:pPr>
      <w:bookmarkStart w:id="739" w:name="_Toc27492"/>
      <w:bookmarkStart w:id="740" w:name="_Toc13403"/>
      <w:bookmarkStart w:id="741" w:name="_Toc8605"/>
      <w:bookmarkStart w:id="742" w:name="_Toc25597"/>
      <w:bookmarkStart w:id="743" w:name="_Toc17066"/>
      <w:bookmarkStart w:id="744" w:name="_Toc8111"/>
      <w:r>
        <w:rPr>
          <w:rFonts w:hint="eastAsia" w:eastAsia="宋体"/>
          <w:b/>
          <w:bCs/>
          <w:sz w:val="24"/>
          <w:szCs w:val="24"/>
        </w:rPr>
        <w:t>6</w:t>
      </w:r>
      <w:r>
        <w:rPr>
          <w:rFonts w:eastAsia="宋体"/>
          <w:b/>
          <w:bCs/>
          <w:sz w:val="24"/>
          <w:szCs w:val="24"/>
        </w:rPr>
        <w:t>.8 施工用电智能管理系统</w:t>
      </w:r>
      <w:bookmarkEnd w:id="739"/>
      <w:bookmarkEnd w:id="740"/>
      <w:bookmarkEnd w:id="741"/>
      <w:bookmarkEnd w:id="742"/>
      <w:bookmarkEnd w:id="743"/>
      <w:bookmarkEnd w:id="744"/>
    </w:p>
    <w:p w14:paraId="78C76121">
      <w:pPr>
        <w:pStyle w:val="46"/>
        <w:rPr>
          <w:color w:val="auto"/>
          <w:sz w:val="24"/>
        </w:rPr>
      </w:pPr>
      <w:r>
        <w:rPr>
          <w:rFonts w:hint="eastAsia"/>
          <w:b/>
          <w:color w:val="auto"/>
          <w:sz w:val="24"/>
        </w:rPr>
        <w:t>6</w:t>
      </w:r>
      <w:r>
        <w:rPr>
          <w:b/>
          <w:color w:val="auto"/>
          <w:sz w:val="24"/>
        </w:rPr>
        <w:t>.8.1</w:t>
      </w:r>
      <w:r>
        <w:rPr>
          <w:rFonts w:hint="eastAsia"/>
          <w:b/>
          <w:color w:val="auto"/>
          <w:sz w:val="24"/>
        </w:rPr>
        <w:t xml:space="preserve">  </w:t>
      </w:r>
      <w:r>
        <w:rPr>
          <w:rFonts w:hint="eastAsia"/>
          <w:color w:val="auto"/>
          <w:sz w:val="24"/>
        </w:rPr>
        <w:t>施工用电智能管理系统是集现场数据采集、通讯和智能分析控制为一体的预警、预控的施工安全用电工具。</w:t>
      </w:r>
      <w:r>
        <w:rPr>
          <w:rFonts w:hint="eastAsia"/>
          <w:b/>
          <w:color w:val="auto"/>
          <w:sz w:val="24"/>
        </w:rPr>
        <w:t xml:space="preserve"> </w:t>
      </w:r>
    </w:p>
    <w:p w14:paraId="13E6289A">
      <w:pPr>
        <w:pStyle w:val="46"/>
        <w:rPr>
          <w:color w:val="auto"/>
          <w:sz w:val="24"/>
        </w:rPr>
      </w:pPr>
      <w:r>
        <w:rPr>
          <w:rFonts w:hint="eastAsia"/>
          <w:b/>
          <w:color w:val="auto"/>
          <w:sz w:val="24"/>
        </w:rPr>
        <w:t>6</w:t>
      </w:r>
      <w:r>
        <w:rPr>
          <w:b/>
          <w:color w:val="auto"/>
          <w:sz w:val="24"/>
        </w:rPr>
        <w:t>.8.</w:t>
      </w:r>
      <w:r>
        <w:rPr>
          <w:rFonts w:hint="eastAsia"/>
          <w:b/>
          <w:color w:val="auto"/>
          <w:sz w:val="24"/>
        </w:rPr>
        <w:t xml:space="preserve">2  </w:t>
      </w:r>
      <w:r>
        <w:rPr>
          <w:color w:val="auto"/>
          <w:sz w:val="24"/>
        </w:rPr>
        <w:t>无线网络数据传输采用4G</w:t>
      </w:r>
      <w:r>
        <w:rPr>
          <w:rFonts w:hint="eastAsia"/>
          <w:color w:val="auto"/>
          <w:sz w:val="24"/>
        </w:rPr>
        <w:t>/</w:t>
      </w:r>
      <w:r>
        <w:rPr>
          <w:color w:val="auto"/>
          <w:sz w:val="24"/>
        </w:rPr>
        <w:t>5G、局域网（LAN）、无线局域网</w:t>
      </w:r>
      <w:r>
        <w:rPr>
          <w:rFonts w:hint="eastAsia"/>
          <w:color w:val="auto"/>
          <w:sz w:val="24"/>
        </w:rPr>
        <w:t>（</w:t>
      </w:r>
      <w:r>
        <w:rPr>
          <w:color w:val="auto"/>
          <w:sz w:val="24"/>
        </w:rPr>
        <w:t>WLAN</w:t>
      </w:r>
      <w:r>
        <w:rPr>
          <w:rFonts w:hint="eastAsia"/>
          <w:color w:val="auto"/>
          <w:sz w:val="24"/>
        </w:rPr>
        <w:t>）</w:t>
      </w:r>
      <w:r>
        <w:rPr>
          <w:color w:val="auto"/>
          <w:sz w:val="24"/>
        </w:rPr>
        <w:t>、窄带物联网</w:t>
      </w:r>
      <w:r>
        <w:rPr>
          <w:rFonts w:hint="eastAsia"/>
          <w:color w:val="auto"/>
          <w:sz w:val="24"/>
        </w:rPr>
        <w:t>（</w:t>
      </w:r>
      <w:r>
        <w:rPr>
          <w:color w:val="auto"/>
          <w:sz w:val="24"/>
        </w:rPr>
        <w:t>NB-IOT</w:t>
      </w:r>
      <w:r>
        <w:rPr>
          <w:rFonts w:hint="eastAsia"/>
          <w:color w:val="auto"/>
          <w:sz w:val="24"/>
        </w:rPr>
        <w:t>）</w:t>
      </w:r>
      <w:r>
        <w:rPr>
          <w:color w:val="auto"/>
          <w:sz w:val="24"/>
        </w:rPr>
        <w:t>、无线保真（Wi-Fi）、蓝牙、双向无线通讯（ZigBee）等标准化通讯</w:t>
      </w:r>
      <w:r>
        <w:rPr>
          <w:rFonts w:hint="eastAsia"/>
          <w:color w:val="auto"/>
          <w:sz w:val="24"/>
        </w:rPr>
        <w:t>方式</w:t>
      </w:r>
      <w:r>
        <w:rPr>
          <w:color w:val="auto"/>
          <w:sz w:val="24"/>
        </w:rPr>
        <w:t>。</w:t>
      </w:r>
    </w:p>
    <w:p w14:paraId="7FB047ED">
      <w:pPr>
        <w:pStyle w:val="33"/>
        <w:numPr>
          <w:ilvl w:val="0"/>
          <w:numId w:val="0"/>
        </w:numPr>
        <w:spacing w:before="120"/>
        <w:rPr>
          <w:rFonts w:eastAsia="宋体"/>
          <w:b/>
          <w:bCs/>
          <w:sz w:val="24"/>
          <w:szCs w:val="24"/>
        </w:rPr>
      </w:pPr>
      <w:bookmarkStart w:id="745" w:name="_Toc23830"/>
      <w:bookmarkStart w:id="746" w:name="_Toc18541"/>
      <w:bookmarkStart w:id="747" w:name="_Toc17989"/>
      <w:bookmarkStart w:id="748" w:name="_Toc1176"/>
      <w:bookmarkStart w:id="749" w:name="_Toc31144"/>
      <w:bookmarkStart w:id="750" w:name="_Toc23572"/>
      <w:r>
        <w:rPr>
          <w:rFonts w:hint="eastAsia" w:eastAsia="宋体"/>
          <w:b/>
          <w:bCs/>
          <w:sz w:val="24"/>
          <w:szCs w:val="24"/>
        </w:rPr>
        <w:t>6</w:t>
      </w:r>
      <w:r>
        <w:rPr>
          <w:rFonts w:eastAsia="宋体"/>
          <w:b/>
          <w:bCs/>
          <w:sz w:val="24"/>
          <w:szCs w:val="24"/>
        </w:rPr>
        <w:t>.9 防雷</w:t>
      </w:r>
      <w:bookmarkEnd w:id="745"/>
      <w:bookmarkEnd w:id="746"/>
      <w:bookmarkEnd w:id="747"/>
      <w:bookmarkEnd w:id="748"/>
      <w:bookmarkEnd w:id="749"/>
      <w:bookmarkEnd w:id="750"/>
    </w:p>
    <w:p w14:paraId="28C440D7">
      <w:pPr>
        <w:pStyle w:val="46"/>
        <w:rPr>
          <w:sz w:val="24"/>
        </w:rPr>
      </w:pPr>
      <w:r>
        <w:rPr>
          <w:rFonts w:hint="eastAsia"/>
          <w:b/>
          <w:color w:val="auto"/>
          <w:sz w:val="24"/>
        </w:rPr>
        <w:t>6</w:t>
      </w:r>
      <w:r>
        <w:rPr>
          <w:b/>
          <w:color w:val="auto"/>
          <w:sz w:val="24"/>
        </w:rPr>
        <w:t>.9.1</w:t>
      </w:r>
      <w:r>
        <w:rPr>
          <w:rFonts w:hint="eastAsia"/>
          <w:b/>
          <w:color w:val="auto"/>
          <w:sz w:val="24"/>
        </w:rPr>
        <w:t xml:space="preserve">  </w:t>
      </w:r>
      <w:r>
        <w:rPr>
          <w:rFonts w:hint="eastAsia"/>
          <w:b/>
          <w:sz w:val="24"/>
        </w:rPr>
        <w:t>1</w:t>
      </w:r>
      <w:r>
        <w:rPr>
          <w:rFonts w:hint="eastAsia"/>
          <w:sz w:val="24"/>
        </w:rPr>
        <w:t xml:space="preserve">  </w:t>
      </w:r>
      <w:r>
        <w:rPr>
          <w:sz w:val="24"/>
        </w:rPr>
        <w:t>本条文参考</w:t>
      </w:r>
      <w:r>
        <w:rPr>
          <w:rFonts w:hint="eastAsia"/>
          <w:sz w:val="24"/>
        </w:rPr>
        <w:t>了《建筑物防雷设计规范》GB 50057的相关规定，在年平均雷暴日大于15d/a的地区，高度在15m及以上的烟囱、水塔等孤立的高耸建筑物划为第三类防雷建筑物。</w:t>
      </w:r>
    </w:p>
    <w:p w14:paraId="0BF847C2">
      <w:pPr>
        <w:pStyle w:val="47"/>
        <w:ind w:firstLine="480"/>
        <w:rPr>
          <w:sz w:val="24"/>
        </w:rPr>
      </w:pPr>
      <w:r>
        <w:rPr>
          <w:rFonts w:hint="eastAsia"/>
          <w:sz w:val="24"/>
        </w:rPr>
        <w:t>根据上述规定及中国气象局发布的北京地区年平均雷暴日为36.3d/a的数据资料做出本款规定。当施工现场、生活和办公等设施处于雷电活动高发的山区时，设防高度适当降低。</w:t>
      </w:r>
    </w:p>
    <w:p w14:paraId="4EE5942C">
      <w:pPr>
        <w:pStyle w:val="47"/>
        <w:ind w:firstLine="480"/>
        <w:rPr>
          <w:sz w:val="24"/>
        </w:rPr>
      </w:pPr>
      <w:r>
        <w:rPr>
          <w:rFonts w:hint="eastAsia"/>
          <w:sz w:val="24"/>
        </w:rPr>
        <w:t>当以上设施在其他建筑物或设施的防雷保护范围之内，且采用滚球半径为60m的滚球法覆盖时，参考了《建筑物防雷设计规范》GB 50057附录D的相关规定进行计算。</w:t>
      </w:r>
    </w:p>
    <w:p w14:paraId="58724CC0">
      <w:pPr>
        <w:pStyle w:val="47"/>
        <w:ind w:firstLine="482"/>
        <w:rPr>
          <w:bCs/>
          <w:sz w:val="24"/>
        </w:rPr>
      </w:pPr>
      <w:r>
        <w:rPr>
          <w:rFonts w:hint="eastAsia"/>
          <w:b/>
          <w:bCs/>
          <w:sz w:val="24"/>
        </w:rPr>
        <w:t>2</w:t>
      </w:r>
      <w:r>
        <w:rPr>
          <w:rFonts w:hint="eastAsia"/>
          <w:sz w:val="24"/>
        </w:rPr>
        <w:t xml:space="preserve">  工程外立面施工时采用吊篮施工，屋面设置承载配重的金属结构易遭受雷击，所以规定其金属结构要与附近的建筑物防雷装置连接可靠。</w:t>
      </w:r>
    </w:p>
    <w:p w14:paraId="33F749C0">
      <w:pPr>
        <w:pStyle w:val="46"/>
        <w:rPr>
          <w:color w:val="auto"/>
          <w:sz w:val="24"/>
        </w:rPr>
      </w:pPr>
      <w:r>
        <w:rPr>
          <w:rFonts w:hint="eastAsia"/>
          <w:b/>
          <w:color w:val="auto"/>
          <w:sz w:val="24"/>
        </w:rPr>
        <w:t>6</w:t>
      </w:r>
      <w:r>
        <w:rPr>
          <w:b/>
          <w:color w:val="auto"/>
          <w:sz w:val="24"/>
        </w:rPr>
        <w:t>.9.</w:t>
      </w:r>
      <w:r>
        <w:rPr>
          <w:rFonts w:hint="eastAsia"/>
          <w:b/>
          <w:color w:val="auto"/>
          <w:sz w:val="24"/>
        </w:rPr>
        <w:t>5</w:t>
      </w:r>
      <w:r>
        <w:rPr>
          <w:rFonts w:hint="eastAsia"/>
          <w:color w:val="auto"/>
          <w:sz w:val="24"/>
        </w:rPr>
        <w:t xml:space="preserve">  </w:t>
      </w:r>
      <w:r>
        <w:rPr>
          <w:rFonts w:hint="eastAsia"/>
          <w:b/>
          <w:color w:val="auto"/>
          <w:sz w:val="24"/>
        </w:rPr>
        <w:t>1、2</w:t>
      </w:r>
      <w:r>
        <w:rPr>
          <w:rFonts w:hint="eastAsia"/>
          <w:color w:val="auto"/>
          <w:sz w:val="24"/>
        </w:rPr>
        <w:t xml:space="preserve">  施工现场防雷装置常用材料选择，参考了《建筑物防雷设计规范》GB 50057</w:t>
      </w:r>
    </w:p>
    <w:p w14:paraId="30D52916">
      <w:pPr>
        <w:pStyle w:val="46"/>
        <w:rPr>
          <w:color w:val="auto"/>
          <w:sz w:val="24"/>
        </w:rPr>
      </w:pPr>
      <w:r>
        <w:rPr>
          <w:rFonts w:hint="eastAsia"/>
          <w:color w:val="auto"/>
          <w:sz w:val="24"/>
        </w:rPr>
        <w:t>的相关规定。</w:t>
      </w:r>
    </w:p>
    <w:p w14:paraId="7C95FEC4">
      <w:pPr>
        <w:pStyle w:val="47"/>
        <w:ind w:firstLine="0" w:firstLineChars="0"/>
        <w:rPr>
          <w:sz w:val="24"/>
        </w:rPr>
      </w:pPr>
      <w:r>
        <w:rPr>
          <w:rFonts w:hint="eastAsia"/>
          <w:b/>
          <w:sz w:val="24"/>
        </w:rPr>
        <w:t>6</w:t>
      </w:r>
      <w:r>
        <w:rPr>
          <w:b/>
          <w:sz w:val="24"/>
        </w:rPr>
        <w:t>.9.</w:t>
      </w:r>
      <w:r>
        <w:rPr>
          <w:rFonts w:hint="eastAsia"/>
          <w:b/>
          <w:sz w:val="24"/>
        </w:rPr>
        <w:t xml:space="preserve">6  </w:t>
      </w:r>
      <w:r>
        <w:rPr>
          <w:rFonts w:hint="eastAsia"/>
          <w:sz w:val="24"/>
        </w:rPr>
        <w:t>依据《建筑物防雷设计规范》GB 50057规定提出防雷接地装置的冲击接地电阻不大于30Ω；接地装置工频接地电阻通过下表转换为冲击接地电阻。</w:t>
      </w:r>
    </w:p>
    <w:p w14:paraId="215B93E0">
      <w:pPr>
        <w:pStyle w:val="47"/>
        <w:ind w:left="480" w:firstLine="1680" w:firstLineChars="700"/>
        <w:rPr>
          <w:sz w:val="24"/>
        </w:rPr>
      </w:pPr>
      <w:r>
        <w:rPr>
          <w:rFonts w:hint="eastAsia"/>
          <w:sz w:val="24"/>
        </w:rPr>
        <w:t>表4 接地装置工频接地电阻与冲击接地电阻的比值</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75"/>
        <w:gridCol w:w="1549"/>
        <w:gridCol w:w="1549"/>
        <w:gridCol w:w="1551"/>
        <w:gridCol w:w="1554"/>
      </w:tblGrid>
      <w:tr w14:paraId="7AA14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0" w:type="dxa"/>
          </w:tcPr>
          <w:p w14:paraId="5144B6CA">
            <w:pPr>
              <w:jc w:val="center"/>
              <w:rPr>
                <w:sz w:val="24"/>
                <w:szCs w:val="24"/>
              </w:rPr>
            </w:pPr>
            <w:r>
              <w:rPr>
                <w:rFonts w:hint="eastAsia"/>
                <w:sz w:val="24"/>
                <w:szCs w:val="24"/>
              </w:rPr>
              <w:t>土壤电阻率</w:t>
            </w:r>
            <w:r>
              <w:rPr>
                <w:rFonts w:hint="eastAsia"/>
                <w:i/>
                <w:iCs/>
                <w:sz w:val="24"/>
                <w:szCs w:val="24"/>
              </w:rPr>
              <w:t>ρ</w:t>
            </w:r>
            <w:r>
              <w:rPr>
                <w:rFonts w:hint="eastAsia"/>
                <w:sz w:val="24"/>
                <w:szCs w:val="24"/>
              </w:rPr>
              <w:t>（Ωm）</w:t>
            </w:r>
          </w:p>
        </w:tc>
        <w:tc>
          <w:tcPr>
            <w:tcW w:w="1572" w:type="dxa"/>
          </w:tcPr>
          <w:p w14:paraId="542548FC">
            <w:pPr>
              <w:jc w:val="center"/>
              <w:rPr>
                <w:sz w:val="24"/>
                <w:szCs w:val="24"/>
              </w:rPr>
            </w:pPr>
            <w:r>
              <w:rPr>
                <w:rFonts w:hint="eastAsia"/>
                <w:sz w:val="24"/>
                <w:szCs w:val="24"/>
              </w:rPr>
              <w:t>≤100</w:t>
            </w:r>
          </w:p>
        </w:tc>
        <w:tc>
          <w:tcPr>
            <w:tcW w:w="1572" w:type="dxa"/>
          </w:tcPr>
          <w:p w14:paraId="356DD113">
            <w:pPr>
              <w:jc w:val="center"/>
              <w:rPr>
                <w:sz w:val="24"/>
                <w:szCs w:val="24"/>
              </w:rPr>
            </w:pPr>
            <w:r>
              <w:rPr>
                <w:rFonts w:hint="eastAsia"/>
                <w:sz w:val="24"/>
                <w:szCs w:val="24"/>
              </w:rPr>
              <w:t>500</w:t>
            </w:r>
          </w:p>
        </w:tc>
        <w:tc>
          <w:tcPr>
            <w:tcW w:w="1572" w:type="dxa"/>
          </w:tcPr>
          <w:p w14:paraId="50FAA476">
            <w:pPr>
              <w:jc w:val="center"/>
              <w:rPr>
                <w:sz w:val="24"/>
                <w:szCs w:val="24"/>
              </w:rPr>
            </w:pPr>
            <w:r>
              <w:rPr>
                <w:rFonts w:hint="eastAsia"/>
                <w:sz w:val="24"/>
                <w:szCs w:val="24"/>
              </w:rPr>
              <w:t>1000</w:t>
            </w:r>
          </w:p>
        </w:tc>
        <w:tc>
          <w:tcPr>
            <w:tcW w:w="1575" w:type="dxa"/>
          </w:tcPr>
          <w:p w14:paraId="3A84258C">
            <w:pPr>
              <w:jc w:val="center"/>
              <w:rPr>
                <w:sz w:val="24"/>
                <w:szCs w:val="24"/>
              </w:rPr>
            </w:pPr>
            <w:r>
              <w:rPr>
                <w:rFonts w:hint="eastAsia"/>
                <w:sz w:val="24"/>
                <w:szCs w:val="24"/>
              </w:rPr>
              <w:t>≥2000</w:t>
            </w:r>
          </w:p>
        </w:tc>
      </w:tr>
      <w:tr w14:paraId="62FCE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0" w:type="dxa"/>
          </w:tcPr>
          <w:p w14:paraId="19408717">
            <w:pPr>
              <w:jc w:val="center"/>
              <w:rPr>
                <w:sz w:val="24"/>
                <w:szCs w:val="24"/>
              </w:rPr>
            </w:pPr>
            <w:r>
              <w:rPr>
                <w:rFonts w:hint="eastAsia"/>
                <w:sz w:val="24"/>
                <w:szCs w:val="24"/>
              </w:rPr>
              <w:t>工频接地电阻与冲击接地电阻的比值</w:t>
            </w:r>
            <w:r>
              <w:rPr>
                <w:rFonts w:hint="eastAsia"/>
                <w:i/>
                <w:iCs/>
                <w:sz w:val="24"/>
                <w:szCs w:val="24"/>
              </w:rPr>
              <w:t>R</w:t>
            </w:r>
            <w:r>
              <w:rPr>
                <w:rFonts w:hint="eastAsia"/>
                <w:i/>
                <w:iCs/>
                <w:sz w:val="24"/>
                <w:szCs w:val="24"/>
                <w:vertAlign w:val="subscript"/>
              </w:rPr>
              <w:t>~</w:t>
            </w:r>
            <w:r>
              <w:rPr>
                <w:rFonts w:hint="eastAsia"/>
                <w:i/>
                <w:iCs/>
                <w:sz w:val="24"/>
                <w:szCs w:val="24"/>
              </w:rPr>
              <w:t>/R</w:t>
            </w:r>
            <w:r>
              <w:rPr>
                <w:rFonts w:hint="eastAsia"/>
                <w:i/>
                <w:iCs/>
                <w:sz w:val="24"/>
                <w:szCs w:val="24"/>
                <w:vertAlign w:val="subscript"/>
              </w:rPr>
              <w:t>i</w:t>
            </w:r>
          </w:p>
        </w:tc>
        <w:tc>
          <w:tcPr>
            <w:tcW w:w="1572" w:type="dxa"/>
            <w:vAlign w:val="center"/>
          </w:tcPr>
          <w:p w14:paraId="5B8B2B23">
            <w:pPr>
              <w:jc w:val="center"/>
              <w:rPr>
                <w:sz w:val="24"/>
                <w:szCs w:val="24"/>
              </w:rPr>
            </w:pPr>
            <w:r>
              <w:rPr>
                <w:rFonts w:hint="eastAsia"/>
                <w:sz w:val="24"/>
                <w:szCs w:val="24"/>
              </w:rPr>
              <w:t>1.0</w:t>
            </w:r>
          </w:p>
        </w:tc>
        <w:tc>
          <w:tcPr>
            <w:tcW w:w="1572" w:type="dxa"/>
            <w:vAlign w:val="center"/>
          </w:tcPr>
          <w:p w14:paraId="0502B6E2">
            <w:pPr>
              <w:jc w:val="center"/>
              <w:rPr>
                <w:sz w:val="24"/>
                <w:szCs w:val="24"/>
              </w:rPr>
            </w:pPr>
            <w:r>
              <w:rPr>
                <w:rFonts w:hint="eastAsia"/>
                <w:sz w:val="24"/>
                <w:szCs w:val="24"/>
              </w:rPr>
              <w:t>1.5</w:t>
            </w:r>
          </w:p>
        </w:tc>
        <w:tc>
          <w:tcPr>
            <w:tcW w:w="1572" w:type="dxa"/>
            <w:vAlign w:val="center"/>
          </w:tcPr>
          <w:p w14:paraId="542EB56C">
            <w:pPr>
              <w:jc w:val="center"/>
              <w:rPr>
                <w:sz w:val="24"/>
                <w:szCs w:val="24"/>
              </w:rPr>
            </w:pPr>
            <w:r>
              <w:rPr>
                <w:rFonts w:hint="eastAsia"/>
                <w:sz w:val="24"/>
                <w:szCs w:val="24"/>
              </w:rPr>
              <w:t>2.0</w:t>
            </w:r>
          </w:p>
        </w:tc>
        <w:tc>
          <w:tcPr>
            <w:tcW w:w="1575" w:type="dxa"/>
            <w:vAlign w:val="center"/>
          </w:tcPr>
          <w:p w14:paraId="1EF2C85A">
            <w:pPr>
              <w:jc w:val="center"/>
              <w:rPr>
                <w:sz w:val="24"/>
                <w:szCs w:val="24"/>
              </w:rPr>
            </w:pPr>
            <w:r>
              <w:rPr>
                <w:rFonts w:hint="eastAsia"/>
                <w:sz w:val="24"/>
                <w:szCs w:val="24"/>
              </w:rPr>
              <w:t>3.0</w:t>
            </w:r>
          </w:p>
        </w:tc>
      </w:tr>
    </w:tbl>
    <w:p w14:paraId="1C7EB94F">
      <w:pPr>
        <w:pStyle w:val="47"/>
        <w:ind w:left="480" w:firstLine="240" w:firstLineChars="100"/>
        <w:rPr>
          <w:sz w:val="24"/>
        </w:rPr>
      </w:pPr>
      <w:r>
        <w:rPr>
          <w:rFonts w:hint="eastAsia"/>
          <w:sz w:val="24"/>
        </w:rPr>
        <w:t>注：如土壤电阻率在两个数值之间时，用插入法求得相应的比值。</w:t>
      </w:r>
    </w:p>
    <w:p w14:paraId="4497D14F">
      <w:pPr>
        <w:pStyle w:val="47"/>
        <w:ind w:firstLine="480"/>
        <w:rPr>
          <w:sz w:val="24"/>
        </w:rPr>
      </w:pPr>
      <w:r>
        <w:rPr>
          <w:rFonts w:hint="eastAsia"/>
          <w:sz w:val="24"/>
        </w:rPr>
        <w:t>参考了《塔式起重机安全规程》GB 5144的相关规定，塔机的金属结构、轨道、所有电气设备的金属外壳、金属管线、安全照明的变压器低压侧等均可靠接地，接地电阻不大于4Ω。</w:t>
      </w:r>
    </w:p>
    <w:p w14:paraId="0F4593BA">
      <w:pPr>
        <w:pStyle w:val="47"/>
        <w:ind w:firstLine="480"/>
      </w:pPr>
      <w:r>
        <w:rPr>
          <w:rFonts w:hint="eastAsia"/>
          <w:sz w:val="24"/>
        </w:rPr>
        <w:t>参考了北京市地方标准《施工现场施工升降机检验技术规程》DB11/T 636的相关规定，施工升降机金属结构和电气设备的金属外壳等均应接地，接地电阻不大于4Ω。</w:t>
      </w:r>
    </w:p>
    <w:p w14:paraId="7B40F9BE">
      <w:pPr>
        <w:rPr>
          <w:sz w:val="24"/>
          <w:szCs w:val="24"/>
        </w:rPr>
      </w:pPr>
    </w:p>
    <w:p w14:paraId="06B9F08D">
      <w:pPr>
        <w:pStyle w:val="33"/>
        <w:numPr>
          <w:ilvl w:val="0"/>
          <w:numId w:val="0"/>
        </w:numPr>
        <w:spacing w:before="120"/>
        <w:rPr>
          <w:rFonts w:eastAsia="宋体"/>
          <w:b/>
          <w:bCs/>
          <w:sz w:val="24"/>
          <w:szCs w:val="24"/>
        </w:rPr>
      </w:pPr>
      <w:bookmarkStart w:id="751" w:name="_Toc32639"/>
      <w:bookmarkStart w:id="752" w:name="_Toc7364"/>
      <w:bookmarkStart w:id="753" w:name="_Toc16543"/>
      <w:bookmarkStart w:id="754" w:name="_Toc4898"/>
      <w:bookmarkStart w:id="755" w:name="_Toc9146"/>
      <w:bookmarkStart w:id="756" w:name="_Toc29937"/>
      <w:r>
        <w:rPr>
          <w:rFonts w:hint="eastAsia" w:eastAsia="宋体"/>
          <w:b/>
          <w:bCs/>
          <w:sz w:val="24"/>
          <w:szCs w:val="24"/>
        </w:rPr>
        <w:t>6</w:t>
      </w:r>
      <w:r>
        <w:rPr>
          <w:rFonts w:eastAsia="宋体"/>
          <w:b/>
          <w:bCs/>
          <w:sz w:val="24"/>
          <w:szCs w:val="24"/>
        </w:rPr>
        <w:t>.10  电气设施设备检验与验收</w:t>
      </w:r>
      <w:bookmarkEnd w:id="751"/>
      <w:bookmarkEnd w:id="752"/>
      <w:bookmarkEnd w:id="753"/>
      <w:bookmarkEnd w:id="754"/>
      <w:bookmarkEnd w:id="755"/>
      <w:bookmarkEnd w:id="756"/>
    </w:p>
    <w:p w14:paraId="264E14E3">
      <w:pPr>
        <w:pStyle w:val="46"/>
        <w:rPr>
          <w:color w:val="auto"/>
          <w:sz w:val="24"/>
        </w:rPr>
      </w:pPr>
      <w:r>
        <w:rPr>
          <w:rFonts w:hint="eastAsia"/>
          <w:b/>
          <w:color w:val="auto"/>
          <w:sz w:val="24"/>
        </w:rPr>
        <w:t>6</w:t>
      </w:r>
      <w:r>
        <w:rPr>
          <w:b/>
          <w:color w:val="auto"/>
          <w:sz w:val="24"/>
        </w:rPr>
        <w:t>.10.3</w:t>
      </w:r>
      <w:r>
        <w:rPr>
          <w:rFonts w:hint="eastAsia"/>
          <w:color w:val="auto"/>
          <w:sz w:val="24"/>
        </w:rPr>
        <w:t xml:space="preserve">  检测仪器仪表使用的三个必要条件：1仪器仪表粘贴有法定计量单位检定合格标识；2具有计量检定合格证书；3在计量检定合格有效期内。</w:t>
      </w:r>
    </w:p>
    <w:p w14:paraId="1C83FCC4">
      <w:pPr>
        <w:pStyle w:val="46"/>
        <w:rPr>
          <w:color w:val="auto"/>
          <w:sz w:val="24"/>
        </w:rPr>
      </w:pPr>
      <w:r>
        <w:rPr>
          <w:rFonts w:hint="eastAsia"/>
          <w:b/>
          <w:color w:val="auto"/>
          <w:sz w:val="24"/>
        </w:rPr>
        <w:t>6</w:t>
      </w:r>
      <w:r>
        <w:rPr>
          <w:b/>
          <w:color w:val="auto"/>
          <w:sz w:val="24"/>
        </w:rPr>
        <w:t>.10.</w:t>
      </w:r>
      <w:r>
        <w:rPr>
          <w:rFonts w:hint="eastAsia"/>
          <w:b/>
          <w:color w:val="auto"/>
          <w:sz w:val="24"/>
        </w:rPr>
        <w:t>4</w:t>
      </w:r>
      <w:r>
        <w:rPr>
          <w:rFonts w:hint="eastAsia"/>
          <w:color w:val="auto"/>
          <w:sz w:val="24"/>
        </w:rPr>
        <w:t xml:space="preserve">  </w:t>
      </w:r>
      <w:r>
        <w:rPr>
          <w:color w:val="auto"/>
          <w:sz w:val="24"/>
        </w:rPr>
        <w:t>绝缘电阻测试</w:t>
      </w:r>
      <w:r>
        <w:rPr>
          <w:rFonts w:hint="eastAsia"/>
          <w:color w:val="auto"/>
          <w:sz w:val="24"/>
        </w:rPr>
        <w:t>参考了</w:t>
      </w:r>
      <w:r>
        <w:rPr>
          <w:color w:val="auto"/>
          <w:sz w:val="24"/>
        </w:rPr>
        <w:t>《交流1000V和直流1500V以下低压配电系统电气安全防护检测的试验、测量或监控设备 第2部分 绝缘电阻》GB/T</w:t>
      </w:r>
      <w:r>
        <w:rPr>
          <w:rFonts w:hint="eastAsia"/>
          <w:color w:val="auto"/>
          <w:sz w:val="24"/>
        </w:rPr>
        <w:t xml:space="preserve"> </w:t>
      </w:r>
      <w:r>
        <w:rPr>
          <w:color w:val="auto"/>
          <w:sz w:val="24"/>
        </w:rPr>
        <w:t>18219.2</w:t>
      </w:r>
      <w:r>
        <w:rPr>
          <w:rFonts w:hint="eastAsia"/>
          <w:color w:val="auto"/>
          <w:sz w:val="24"/>
        </w:rPr>
        <w:t>的相关规定</w:t>
      </w:r>
      <w:r>
        <w:rPr>
          <w:color w:val="auto"/>
          <w:sz w:val="24"/>
        </w:rPr>
        <w:t>；除仪表施加的测试电压外，被测导体上不带电；被测回路不连接用电设备；临时拆除被测回路中的</w:t>
      </w:r>
      <w:r>
        <w:rPr>
          <w:rFonts w:hint="eastAsia"/>
          <w:color w:val="auto"/>
          <w:sz w:val="24"/>
        </w:rPr>
        <w:t>电涌</w:t>
      </w:r>
      <w:r>
        <w:rPr>
          <w:color w:val="auto"/>
          <w:sz w:val="24"/>
        </w:rPr>
        <w:t>保护器（SPD）。</w:t>
      </w:r>
    </w:p>
    <w:p w14:paraId="0E84BCCE">
      <w:pPr>
        <w:pStyle w:val="46"/>
        <w:rPr>
          <w:color w:val="auto"/>
          <w:sz w:val="24"/>
        </w:rPr>
      </w:pPr>
      <w:r>
        <w:rPr>
          <w:rFonts w:hint="eastAsia"/>
          <w:b/>
          <w:color w:val="auto"/>
          <w:sz w:val="24"/>
        </w:rPr>
        <w:t>6</w:t>
      </w:r>
      <w:r>
        <w:rPr>
          <w:b/>
          <w:color w:val="auto"/>
          <w:sz w:val="24"/>
        </w:rPr>
        <w:t>.10.</w:t>
      </w:r>
      <w:r>
        <w:rPr>
          <w:rFonts w:hint="eastAsia"/>
          <w:b/>
          <w:color w:val="auto"/>
          <w:sz w:val="24"/>
        </w:rPr>
        <w:t>5</w:t>
      </w:r>
      <w:r>
        <w:rPr>
          <w:rFonts w:hint="eastAsia"/>
          <w:color w:val="auto"/>
          <w:sz w:val="24"/>
        </w:rPr>
        <w:t xml:space="preserve">  根据配电系统接地形式以及接地极具体安装情况，选择接地电阻测试仪表与方法：</w:t>
      </w:r>
    </w:p>
    <w:p w14:paraId="154BD6E6">
      <w:pPr>
        <w:pStyle w:val="47"/>
        <w:ind w:left="480" w:firstLine="482"/>
        <w:rPr>
          <w:sz w:val="24"/>
        </w:rPr>
      </w:pPr>
      <w:r>
        <w:rPr>
          <w:rFonts w:hint="eastAsia"/>
          <w:b/>
          <w:bCs/>
          <w:sz w:val="24"/>
        </w:rPr>
        <w:t>1</w:t>
      </w:r>
      <w:r>
        <w:rPr>
          <w:rFonts w:hint="eastAsia"/>
          <w:sz w:val="24"/>
        </w:rPr>
        <w:t xml:space="preserve">  当测试孤立接地极的接地电阻，且有条件设置辅助接地极时，</w:t>
      </w:r>
      <w:r>
        <w:rPr>
          <w:sz w:val="24"/>
        </w:rPr>
        <w:t>参考</w:t>
      </w:r>
      <w:r>
        <w:rPr>
          <w:rFonts w:hint="eastAsia"/>
          <w:sz w:val="24"/>
        </w:rPr>
        <w:t>了《交流1000V和直流1500V以下低压配电系统电气安全 防护措施的试验、测量或监控设备 第5部分：对地阻抗》GB/T 18219.5的相关规定，采用三电极法测试接地电阻；</w:t>
      </w:r>
    </w:p>
    <w:p w14:paraId="197FE18A">
      <w:pPr>
        <w:pStyle w:val="47"/>
        <w:ind w:left="480" w:firstLine="482"/>
        <w:rPr>
          <w:sz w:val="24"/>
        </w:rPr>
      </w:pPr>
      <w:r>
        <w:rPr>
          <w:rFonts w:hint="eastAsia"/>
          <w:b/>
          <w:bCs/>
          <w:sz w:val="24"/>
        </w:rPr>
        <w:t>2</w:t>
      </w:r>
      <w:r>
        <w:rPr>
          <w:rFonts w:hint="eastAsia"/>
          <w:sz w:val="24"/>
        </w:rPr>
        <w:t xml:space="preserve">  当不适于采用三电极法测试接地电阻时，</w:t>
      </w:r>
      <w:r>
        <w:rPr>
          <w:sz w:val="24"/>
        </w:rPr>
        <w:t>参考</w:t>
      </w:r>
      <w:r>
        <w:rPr>
          <w:rFonts w:hint="eastAsia"/>
          <w:sz w:val="24"/>
        </w:rPr>
        <w:t>了《交流1000V和直流1500V以下低压配电系统电气安全 防护措施的试验、测量或监控设备 第3部分：环路阻抗》GB/T 18219.3的相关规定，通过测试接地故障回路阻抗间接测试接地电阻；</w:t>
      </w:r>
    </w:p>
    <w:p w14:paraId="59FC3682">
      <w:pPr>
        <w:pStyle w:val="47"/>
        <w:ind w:left="480" w:firstLine="482"/>
        <w:rPr>
          <w:bCs/>
          <w:sz w:val="24"/>
        </w:rPr>
      </w:pPr>
      <w:r>
        <w:rPr>
          <w:rFonts w:hint="eastAsia"/>
          <w:b/>
          <w:bCs/>
          <w:sz w:val="24"/>
        </w:rPr>
        <w:t>3</w:t>
      </w:r>
      <w:r>
        <w:rPr>
          <w:rFonts w:hint="eastAsia"/>
          <w:sz w:val="24"/>
        </w:rPr>
        <w:t xml:space="preserve">  当多个接地极已彼此形成闭合回路，且不适于采用三电极法测试其接地电阻时，采用钳形接地电阻测试仪测试接地电阻。</w:t>
      </w:r>
    </w:p>
    <w:p w14:paraId="3BC40F17">
      <w:pPr>
        <w:pStyle w:val="46"/>
        <w:rPr>
          <w:color w:val="auto"/>
          <w:sz w:val="24"/>
        </w:rPr>
      </w:pPr>
      <w:r>
        <w:rPr>
          <w:rFonts w:hint="eastAsia"/>
          <w:b/>
          <w:color w:val="auto"/>
          <w:sz w:val="24"/>
        </w:rPr>
        <w:t>6</w:t>
      </w:r>
      <w:r>
        <w:rPr>
          <w:b/>
          <w:color w:val="auto"/>
          <w:sz w:val="24"/>
        </w:rPr>
        <w:t>.10.</w:t>
      </w:r>
      <w:r>
        <w:rPr>
          <w:rFonts w:hint="eastAsia"/>
          <w:b/>
          <w:color w:val="auto"/>
          <w:sz w:val="24"/>
        </w:rPr>
        <w:t>6</w:t>
      </w:r>
      <w:r>
        <w:rPr>
          <w:rFonts w:hint="eastAsia"/>
          <w:color w:val="auto"/>
          <w:sz w:val="24"/>
        </w:rPr>
        <w:t xml:space="preserve">  </w:t>
      </w:r>
      <w:r>
        <w:rPr>
          <w:rFonts w:hint="eastAsia"/>
          <w:bCs w:val="0"/>
          <w:color w:val="auto"/>
          <w:sz w:val="24"/>
        </w:rPr>
        <w:t>本条内容说明如下：</w:t>
      </w:r>
    </w:p>
    <w:p w14:paraId="6B83B47A">
      <w:pPr>
        <w:pStyle w:val="47"/>
        <w:ind w:left="480" w:firstLine="482"/>
        <w:rPr>
          <w:sz w:val="24"/>
        </w:rPr>
      </w:pPr>
      <w:r>
        <w:rPr>
          <w:rFonts w:hint="eastAsia"/>
          <w:b/>
          <w:bCs/>
          <w:sz w:val="24"/>
        </w:rPr>
        <w:t>1</w:t>
      </w:r>
      <w:r>
        <w:rPr>
          <w:rFonts w:hint="eastAsia"/>
          <w:sz w:val="24"/>
        </w:rPr>
        <w:t xml:space="preserve">  在配电箱电源入口或回路末端测试、验证回路上游PE导体的连通性，仅凭剩余电流动作保护电器本身的测试按钮，无法达到此目的。</w:t>
      </w:r>
    </w:p>
    <w:p w14:paraId="36AFA555">
      <w:pPr>
        <w:pStyle w:val="47"/>
        <w:ind w:left="480" w:firstLine="482"/>
        <w:rPr>
          <w:sz w:val="24"/>
        </w:rPr>
      </w:pPr>
      <w:r>
        <w:rPr>
          <w:rFonts w:hint="eastAsia"/>
          <w:b/>
          <w:bCs/>
          <w:sz w:val="24"/>
        </w:rPr>
        <w:t>2</w:t>
      </w:r>
      <w:r>
        <w:rPr>
          <w:rFonts w:hint="eastAsia"/>
          <w:sz w:val="24"/>
        </w:rPr>
        <w:t xml:space="preserve">  在TN-S系统的回路末端，通过测试中性线（N）与保护接地导体（PE）的串联电阻，协助判断PE导体是否存在虚接或开路故障。</w:t>
      </w:r>
    </w:p>
    <w:p w14:paraId="0B666ED8">
      <w:pPr>
        <w:pStyle w:val="47"/>
        <w:ind w:left="480" w:firstLine="482"/>
        <w:rPr>
          <w:sz w:val="24"/>
        </w:rPr>
      </w:pPr>
      <w:r>
        <w:rPr>
          <w:rFonts w:hint="eastAsia"/>
          <w:b/>
          <w:bCs/>
          <w:sz w:val="24"/>
        </w:rPr>
        <w:t>3</w:t>
      </w:r>
      <w:r>
        <w:rPr>
          <w:rFonts w:hint="eastAsia"/>
          <w:sz w:val="24"/>
        </w:rPr>
        <w:t xml:space="preserve">  剩余电流动作保护电器测试</w:t>
      </w:r>
      <w:r>
        <w:rPr>
          <w:sz w:val="24"/>
        </w:rPr>
        <w:t>参考</w:t>
      </w:r>
      <w:r>
        <w:rPr>
          <w:rFonts w:hint="eastAsia"/>
          <w:sz w:val="24"/>
        </w:rPr>
        <w:t>了《交流1000V和直流1500V以下低压配电系统电气安全 防护检测的试验、测量或监控设备 第6部分在TT和TN系统中的剩余电流装置》GB/T 18219.6的相关规定。</w:t>
      </w:r>
    </w:p>
    <w:p w14:paraId="73B71A73">
      <w:pPr>
        <w:pStyle w:val="47"/>
        <w:ind w:left="480" w:firstLine="482"/>
        <w:rPr>
          <w:sz w:val="24"/>
        </w:rPr>
      </w:pPr>
      <w:r>
        <w:rPr>
          <w:rFonts w:hint="eastAsia"/>
          <w:b/>
          <w:bCs/>
          <w:sz w:val="24"/>
        </w:rPr>
        <w:t>4</w:t>
      </w:r>
      <w:r>
        <w:rPr>
          <w:rFonts w:hint="eastAsia"/>
          <w:sz w:val="24"/>
        </w:rPr>
        <w:t xml:space="preserve">  被测回路处于正常带电状态；</w:t>
      </w:r>
    </w:p>
    <w:p w14:paraId="527EA0A4">
      <w:pPr>
        <w:pStyle w:val="47"/>
        <w:ind w:left="480" w:firstLine="482"/>
        <w:rPr>
          <w:sz w:val="24"/>
        </w:rPr>
      </w:pPr>
      <w:r>
        <w:rPr>
          <w:rFonts w:hint="eastAsia"/>
          <w:b/>
          <w:bCs/>
          <w:sz w:val="24"/>
        </w:rPr>
        <w:t>5</w:t>
      </w:r>
      <w:r>
        <w:rPr>
          <w:rFonts w:hint="eastAsia"/>
          <w:sz w:val="24"/>
        </w:rPr>
        <w:t xml:space="preserve">  当测试剩余电流动作保护电器实际脱扣时间时，根据被测剩余电流动作保护电器类型和额定动作剩余电流值（I</w:t>
      </w:r>
      <w:r>
        <w:rPr>
          <w:rFonts w:hint="eastAsia"/>
          <w:sz w:val="24"/>
          <w:vertAlign w:val="subscript"/>
        </w:rPr>
        <w:t>Δ</w:t>
      </w:r>
      <w:r>
        <w:rPr>
          <w:rFonts w:hint="eastAsia"/>
          <w:sz w:val="24"/>
        </w:rPr>
        <w:t>n）设置仪表；</w:t>
      </w:r>
    </w:p>
    <w:p w14:paraId="5EE59EF3">
      <w:pPr>
        <w:pStyle w:val="47"/>
        <w:ind w:left="480" w:firstLine="482"/>
        <w:rPr>
          <w:b/>
          <w:sz w:val="24"/>
        </w:rPr>
      </w:pPr>
      <w:r>
        <w:rPr>
          <w:rFonts w:hint="eastAsia"/>
          <w:b/>
          <w:bCs/>
          <w:sz w:val="24"/>
        </w:rPr>
        <w:t>6</w:t>
      </w:r>
      <w:r>
        <w:rPr>
          <w:rFonts w:hint="eastAsia"/>
          <w:sz w:val="24"/>
        </w:rPr>
        <w:t xml:space="preserve">  当测试剩余电流动作保护电器实际剩余动作电流时，选择仪表的“斜坡电流（ramp）”功能模式。</w:t>
      </w:r>
    </w:p>
    <w:p w14:paraId="2A0FB548">
      <w:pPr>
        <w:pStyle w:val="46"/>
        <w:rPr>
          <w:color w:val="auto"/>
          <w:sz w:val="24"/>
        </w:rPr>
      </w:pPr>
      <w:r>
        <w:rPr>
          <w:rFonts w:hint="eastAsia"/>
          <w:b/>
          <w:color w:val="auto"/>
          <w:sz w:val="24"/>
        </w:rPr>
        <w:t>6</w:t>
      </w:r>
      <w:r>
        <w:rPr>
          <w:b/>
          <w:color w:val="auto"/>
          <w:sz w:val="24"/>
        </w:rPr>
        <w:t>.10.</w:t>
      </w:r>
      <w:r>
        <w:rPr>
          <w:rFonts w:hint="eastAsia"/>
          <w:b/>
          <w:color w:val="auto"/>
          <w:sz w:val="24"/>
        </w:rPr>
        <w:t xml:space="preserve">10  </w:t>
      </w:r>
      <w:r>
        <w:rPr>
          <w:color w:val="auto"/>
          <w:sz w:val="24"/>
        </w:rPr>
        <w:t>本条文参考</w:t>
      </w:r>
      <w:r>
        <w:rPr>
          <w:rFonts w:hint="eastAsia"/>
          <w:color w:val="auto"/>
          <w:sz w:val="24"/>
        </w:rPr>
        <w:t>了《手持式电动工具的管理、使用、检查和维修安全技术规程》</w:t>
      </w:r>
    </w:p>
    <w:p w14:paraId="37AA5F4D">
      <w:pPr>
        <w:autoSpaceDE w:val="0"/>
        <w:autoSpaceDN w:val="0"/>
        <w:spacing w:line="360" w:lineRule="auto"/>
        <w:rPr>
          <w:sz w:val="24"/>
          <w:szCs w:val="24"/>
        </w:rPr>
      </w:pPr>
      <w:r>
        <w:rPr>
          <w:rFonts w:hint="eastAsia"/>
          <w:sz w:val="24"/>
          <w:szCs w:val="24"/>
        </w:rPr>
        <w:t>GB/T 3787的相关规定。</w:t>
      </w:r>
    </w:p>
    <w:p w14:paraId="1E16E624">
      <w:pPr>
        <w:rPr>
          <w:bCs/>
          <w:sz w:val="24"/>
          <w:szCs w:val="24"/>
        </w:rPr>
      </w:pPr>
      <w:r>
        <w:rPr>
          <w:bCs/>
          <w:sz w:val="24"/>
          <w:szCs w:val="24"/>
        </w:rPr>
        <w:br w:type="page"/>
      </w:r>
    </w:p>
    <w:p w14:paraId="6F87AC65">
      <w:pPr>
        <w:pStyle w:val="3"/>
        <w:widowControl/>
        <w:adjustRightInd/>
        <w:spacing w:before="0" w:after="0"/>
        <w:rPr>
          <w:rFonts w:ascii="Times New Roman" w:hAnsi="Times New Roman" w:cs="Times New Roman"/>
          <w:color w:val="000000"/>
          <w:sz w:val="24"/>
          <w:szCs w:val="24"/>
        </w:rPr>
      </w:pPr>
      <w:bookmarkStart w:id="757" w:name="_Toc7962"/>
      <w:bookmarkStart w:id="758" w:name="_Toc10882"/>
      <w:bookmarkStart w:id="759" w:name="_Toc28641"/>
      <w:bookmarkStart w:id="760" w:name="_Toc3640"/>
      <w:bookmarkStart w:id="761" w:name="_Toc29423"/>
      <w:bookmarkStart w:id="762" w:name="_Toc10360"/>
      <w:r>
        <w:rPr>
          <w:rFonts w:hint="eastAsia" w:ascii="Times New Roman" w:hAnsi="Times New Roman" w:cs="Times New Roman"/>
          <w:color w:val="auto"/>
          <w:kern w:val="44"/>
          <w:sz w:val="32"/>
          <w:szCs w:val="32"/>
        </w:rPr>
        <w:t>7</w:t>
      </w:r>
      <w:r>
        <w:rPr>
          <w:rFonts w:ascii="Times New Roman" w:hAnsi="Times New Roman" w:cs="Times New Roman"/>
          <w:color w:val="auto"/>
          <w:kern w:val="44"/>
          <w:sz w:val="32"/>
          <w:szCs w:val="32"/>
        </w:rPr>
        <w:t xml:space="preserve">  </w:t>
      </w:r>
      <w:r>
        <w:rPr>
          <w:rFonts w:ascii="Times New Roman" w:hAnsi="Times New Roman" w:eastAsia="黑体" w:cs="Times New Roman"/>
          <w:b w:val="0"/>
          <w:bCs w:val="0"/>
          <w:color w:val="auto"/>
          <w:sz w:val="32"/>
          <w:szCs w:val="32"/>
        </w:rPr>
        <w:t>消防安全</w:t>
      </w:r>
      <w:bookmarkEnd w:id="757"/>
      <w:bookmarkEnd w:id="758"/>
      <w:bookmarkEnd w:id="759"/>
      <w:bookmarkEnd w:id="760"/>
      <w:bookmarkEnd w:id="761"/>
      <w:bookmarkEnd w:id="762"/>
    </w:p>
    <w:p w14:paraId="42ED9D2C">
      <w:pPr>
        <w:pStyle w:val="14"/>
        <w:widowControl/>
        <w:snapToGrid w:val="0"/>
        <w:spacing w:beforeAutospacing="0" w:afterAutospacing="0" w:line="360" w:lineRule="auto"/>
        <w:rPr>
          <w:rFonts w:hint="eastAsia" w:ascii="宋体" w:hAnsi="宋体" w:cs="宋体"/>
          <w:szCs w:val="24"/>
        </w:rPr>
      </w:pPr>
      <w:bookmarkStart w:id="763" w:name="_Toc19938"/>
      <w:bookmarkStart w:id="764" w:name="_Toc18822"/>
      <w:bookmarkStart w:id="765" w:name="_Toc18307"/>
      <w:bookmarkStart w:id="766" w:name="_Toc30009"/>
      <w:r>
        <w:rPr>
          <w:rFonts w:hint="eastAsia"/>
          <w:b/>
          <w:bCs/>
          <w:kern w:val="2"/>
          <w:szCs w:val="24"/>
        </w:rPr>
        <w:t>7</w:t>
      </w:r>
      <w:r>
        <w:rPr>
          <w:rFonts w:hint="eastAsia"/>
          <w:b/>
          <w:bCs/>
          <w:szCs w:val="24"/>
        </w:rPr>
        <w:t>.1.4</w:t>
      </w:r>
      <w:r>
        <w:rPr>
          <w:rFonts w:hint="eastAsia" w:ascii="宋体" w:hAnsi="宋体" w:cs="宋体"/>
          <w:szCs w:val="24"/>
        </w:rPr>
        <w:t xml:space="preserve"> 库房作为施工现场各类物资的集中存储场所，目的是保障物资安全存放，而非人员办公、休息或居住。施工现场库房普遍存在物资集中、部分材料具有可燃或易燃易爆特性，若库房内设置办公室、休息室或住人，主要风险是人员活动易引发火源，如违规使用电器、吸烟遗留火种等，一旦接触可燃或易燃易爆物资，极易引发火灾事故。</w:t>
      </w:r>
    </w:p>
    <w:p w14:paraId="30B36BD7">
      <w:pPr>
        <w:pStyle w:val="3"/>
        <w:widowControl/>
        <w:adjustRightInd/>
        <w:spacing w:before="0" w:after="0"/>
        <w:rPr>
          <w:rFonts w:ascii="Times New Roman" w:hAnsi="Times New Roman" w:cs="Times New Roman"/>
          <w:color w:val="000000"/>
          <w:sz w:val="24"/>
          <w:szCs w:val="24"/>
        </w:rPr>
      </w:pPr>
      <w:bookmarkStart w:id="767" w:name="_Toc24384"/>
      <w:bookmarkStart w:id="768" w:name="_Toc1588"/>
      <w:r>
        <w:rPr>
          <w:rFonts w:hint="eastAsia" w:ascii="Times New Roman" w:hAnsi="Times New Roman" w:cs="Times New Roman"/>
          <w:color w:val="000000"/>
          <w:sz w:val="24"/>
          <w:szCs w:val="24"/>
        </w:rPr>
        <w:t>7</w:t>
      </w:r>
      <w:r>
        <w:rPr>
          <w:rFonts w:ascii="Times New Roman" w:hAnsi="Times New Roman" w:cs="Times New Roman"/>
          <w:color w:val="000000"/>
          <w:sz w:val="24"/>
          <w:szCs w:val="24"/>
        </w:rPr>
        <w:t>.2</w:t>
      </w:r>
      <w:r>
        <w:rPr>
          <w:rFonts w:hint="eastAsia" w:ascii="宋体" w:hAnsi="宋体" w:cs="宋体"/>
          <w:color w:val="000000"/>
          <w:sz w:val="24"/>
          <w:szCs w:val="24"/>
        </w:rPr>
        <w:t xml:space="preserve">  </w:t>
      </w:r>
      <w:r>
        <w:rPr>
          <w:rFonts w:hint="eastAsia" w:eastAsia="黑体"/>
          <w:b w:val="0"/>
          <w:bCs w:val="0"/>
          <w:color w:val="000000"/>
          <w:sz w:val="24"/>
          <w:szCs w:val="24"/>
        </w:rPr>
        <w:t>现场平面布置</w:t>
      </w:r>
      <w:bookmarkEnd w:id="763"/>
      <w:bookmarkEnd w:id="764"/>
      <w:bookmarkEnd w:id="765"/>
      <w:bookmarkEnd w:id="767"/>
      <w:bookmarkEnd w:id="768"/>
    </w:p>
    <w:p w14:paraId="6E3CDC30">
      <w:pPr>
        <w:pStyle w:val="14"/>
        <w:widowControl/>
        <w:snapToGrid w:val="0"/>
        <w:spacing w:beforeAutospacing="0" w:afterAutospacing="0" w:line="360" w:lineRule="auto"/>
        <w:rPr>
          <w:rFonts w:hint="eastAsia" w:ascii="宋体" w:hAnsi="宋体" w:cs="宋体"/>
          <w:color w:val="000000"/>
          <w:szCs w:val="24"/>
        </w:rPr>
      </w:pPr>
      <w:r>
        <w:rPr>
          <w:rFonts w:hint="eastAsia"/>
          <w:b/>
          <w:bCs/>
          <w:color w:val="000000"/>
          <w:szCs w:val="24"/>
        </w:rPr>
        <w:t>7</w:t>
      </w:r>
      <w:r>
        <w:rPr>
          <w:b/>
          <w:bCs/>
          <w:color w:val="000000"/>
          <w:szCs w:val="24"/>
        </w:rPr>
        <w:t>.2.</w:t>
      </w:r>
      <w:r>
        <w:rPr>
          <w:rFonts w:hint="eastAsia"/>
          <w:b/>
          <w:bCs/>
          <w:color w:val="000000"/>
          <w:szCs w:val="24"/>
        </w:rPr>
        <w:t>2</w:t>
      </w:r>
      <w:r>
        <w:rPr>
          <w:rFonts w:hint="eastAsia" w:ascii="宋体" w:hAnsi="宋体" w:cs="宋体"/>
          <w:color w:val="000000"/>
          <w:szCs w:val="24"/>
        </w:rPr>
        <w:t xml:space="preserve"> 办公区、生活区人员密集，用电设备多，火灾荷载相对较大，且人员防火意识与应急能力不一。施工作业区则存在明火作业、易燃材料堆放、电气线路复杂等固有火灾隐患。将两者分开设置，并采用防火措施进行分隔的措施，能有效阻隔火势蔓延，为人员疏散和初期火灾扑救创造有利条件。</w:t>
      </w:r>
    </w:p>
    <w:p w14:paraId="2FD80969">
      <w:pPr>
        <w:pStyle w:val="14"/>
        <w:widowControl/>
        <w:snapToGrid w:val="0"/>
        <w:spacing w:beforeAutospacing="0" w:afterAutospacing="0" w:line="360" w:lineRule="auto"/>
        <w:rPr>
          <w:b/>
          <w:bCs/>
          <w:szCs w:val="24"/>
        </w:rPr>
      </w:pPr>
      <w:r>
        <w:rPr>
          <w:rFonts w:hint="eastAsia"/>
          <w:b/>
          <w:bCs/>
          <w:szCs w:val="24"/>
        </w:rPr>
        <w:t>7.2.3</w:t>
      </w:r>
      <w:r>
        <w:rPr>
          <w:rFonts w:hint="eastAsia" w:ascii="宋体" w:hAnsi="宋体" w:cs="宋体"/>
          <w:szCs w:val="24"/>
        </w:rPr>
        <w:t xml:space="preserve"> 施工区与非施工区采用不燃材质进行防火分隔，可借助其不燃烧、耐高温、隔热隔烟的特性，从物理层面阻挡火焰穿透、高温辐射扩散，特别是林区施工的市政工程，设置防火隔离带则能通过预留安全缓冲空间，减少施工区与非施工区的接触概率，降低火灾传播的风险。</w:t>
      </w:r>
    </w:p>
    <w:p w14:paraId="0DEDD13F">
      <w:pPr>
        <w:pStyle w:val="14"/>
        <w:widowControl/>
        <w:snapToGrid w:val="0"/>
        <w:spacing w:beforeAutospacing="0" w:afterAutospacing="0" w:line="360" w:lineRule="auto"/>
        <w:rPr>
          <w:rFonts w:hint="eastAsia" w:ascii="宋体" w:hAnsi="宋体" w:cs="宋体"/>
          <w:color w:val="000000"/>
          <w:szCs w:val="24"/>
        </w:rPr>
      </w:pPr>
    </w:p>
    <w:p w14:paraId="77811807">
      <w:pPr>
        <w:pStyle w:val="3"/>
        <w:widowControl/>
        <w:adjustRightInd/>
        <w:spacing w:before="0" w:after="0"/>
        <w:rPr>
          <w:rFonts w:hint="eastAsia" w:ascii="宋体" w:hAnsi="宋体" w:cs="宋体"/>
          <w:color w:val="000000"/>
          <w:sz w:val="24"/>
          <w:szCs w:val="24"/>
        </w:rPr>
      </w:pPr>
      <w:bookmarkStart w:id="769" w:name="_Toc6845"/>
      <w:bookmarkStart w:id="770" w:name="_Toc32569"/>
      <w:bookmarkStart w:id="771" w:name="_Toc2601"/>
      <w:bookmarkStart w:id="772" w:name="_Toc21375"/>
      <w:bookmarkStart w:id="773" w:name="_Toc7171"/>
      <w:r>
        <w:rPr>
          <w:rFonts w:hint="eastAsia" w:ascii="Times New Roman" w:hAnsi="Times New Roman" w:cs="Times New Roman"/>
          <w:color w:val="000000"/>
          <w:sz w:val="24"/>
          <w:szCs w:val="24"/>
        </w:rPr>
        <w:t>7</w:t>
      </w:r>
      <w:r>
        <w:rPr>
          <w:rFonts w:ascii="Times New Roman" w:hAnsi="Times New Roman" w:cs="Times New Roman"/>
          <w:color w:val="000000"/>
          <w:sz w:val="24"/>
          <w:szCs w:val="24"/>
        </w:rPr>
        <w:t>.3</w:t>
      </w:r>
      <w:r>
        <w:rPr>
          <w:rFonts w:hint="eastAsia" w:ascii="宋体" w:hAnsi="宋体" w:cs="宋体"/>
          <w:color w:val="000000"/>
          <w:sz w:val="24"/>
          <w:szCs w:val="24"/>
        </w:rPr>
        <w:t xml:space="preserve">  </w:t>
      </w:r>
      <w:r>
        <w:rPr>
          <w:rFonts w:hint="eastAsia" w:eastAsia="黑体"/>
          <w:b w:val="0"/>
          <w:bCs w:val="0"/>
          <w:color w:val="000000"/>
          <w:sz w:val="24"/>
          <w:szCs w:val="24"/>
        </w:rPr>
        <w:t>消防设施</w:t>
      </w:r>
      <w:bookmarkEnd w:id="769"/>
      <w:bookmarkEnd w:id="770"/>
      <w:bookmarkEnd w:id="771"/>
      <w:bookmarkEnd w:id="772"/>
      <w:bookmarkEnd w:id="773"/>
    </w:p>
    <w:bookmarkEnd w:id="766"/>
    <w:p w14:paraId="2E83C2F3">
      <w:pPr>
        <w:spacing w:line="360" w:lineRule="auto"/>
        <w:rPr>
          <w:sz w:val="24"/>
          <w:szCs w:val="24"/>
        </w:rPr>
      </w:pPr>
      <w:bookmarkStart w:id="774" w:name="_Toc24428"/>
      <w:bookmarkStart w:id="775" w:name="_Toc14410"/>
      <w:bookmarkStart w:id="776" w:name="_Toc16758"/>
      <w:bookmarkStart w:id="777" w:name="_Toc28337"/>
      <w:r>
        <w:rPr>
          <w:rFonts w:hint="eastAsia"/>
          <w:b/>
          <w:bCs/>
          <w:sz w:val="24"/>
          <w:szCs w:val="24"/>
        </w:rPr>
        <w:t>7.3.14</w:t>
      </w:r>
      <w:r>
        <w:rPr>
          <w:rFonts w:hint="eastAsia" w:ascii="宋体" w:hAnsi="宋体" w:cs="宋体"/>
          <w:sz w:val="24"/>
          <w:szCs w:val="24"/>
        </w:rPr>
        <w:t xml:space="preserve"> </w:t>
      </w:r>
      <w:r>
        <w:rPr>
          <w:rFonts w:hint="eastAsia"/>
          <w:sz w:val="24"/>
          <w:szCs w:val="24"/>
        </w:rPr>
        <w:t>市政基础设施工程多呈线性长、作业面分散，难以完整设置临时室外消防给水系统。施工现场常规洒水车兼具储水、移动供水、远距离喷射功能，可兼顾初期火灾的扑救，因此使用洒水车兼作临时消防车，保障火灾发生后第一时间灭火供水，弥补室外消防给水系统设置不足的缺陷。</w:t>
      </w:r>
    </w:p>
    <w:p w14:paraId="0FDAA83E">
      <w:pPr>
        <w:pStyle w:val="3"/>
        <w:widowControl/>
        <w:adjustRightInd/>
        <w:spacing w:before="0" w:after="0"/>
        <w:rPr>
          <w:rFonts w:hint="eastAsia" w:ascii="宋体" w:hAnsi="宋体" w:cs="宋体"/>
          <w:color w:val="000000"/>
          <w:sz w:val="24"/>
          <w:szCs w:val="24"/>
        </w:rPr>
      </w:pPr>
      <w:bookmarkStart w:id="778" w:name="_Toc10745"/>
      <w:bookmarkStart w:id="779" w:name="_Toc12314"/>
      <w:r>
        <w:rPr>
          <w:rFonts w:hint="eastAsia" w:ascii="Times New Roman" w:hAnsi="Times New Roman" w:cs="Times New Roman"/>
          <w:color w:val="000000"/>
          <w:sz w:val="24"/>
          <w:szCs w:val="24"/>
        </w:rPr>
        <w:t>7</w:t>
      </w:r>
      <w:r>
        <w:rPr>
          <w:rFonts w:ascii="Times New Roman" w:hAnsi="Times New Roman" w:cs="Times New Roman"/>
          <w:color w:val="000000"/>
          <w:sz w:val="24"/>
          <w:szCs w:val="24"/>
        </w:rPr>
        <w:t>.4</w:t>
      </w:r>
      <w:r>
        <w:rPr>
          <w:rFonts w:hint="eastAsia" w:ascii="宋体" w:hAnsi="宋体" w:cs="宋体"/>
          <w:color w:val="000000"/>
          <w:sz w:val="24"/>
          <w:szCs w:val="24"/>
        </w:rPr>
        <w:t xml:space="preserve">  </w:t>
      </w:r>
      <w:r>
        <w:rPr>
          <w:rFonts w:hint="eastAsia" w:eastAsia="黑体"/>
          <w:b w:val="0"/>
          <w:bCs w:val="0"/>
          <w:color w:val="000000"/>
          <w:sz w:val="24"/>
          <w:szCs w:val="24"/>
        </w:rPr>
        <w:t>临时用房、设施防火</w:t>
      </w:r>
      <w:bookmarkEnd w:id="774"/>
      <w:bookmarkEnd w:id="775"/>
      <w:bookmarkEnd w:id="776"/>
      <w:bookmarkEnd w:id="777"/>
      <w:bookmarkEnd w:id="778"/>
      <w:bookmarkEnd w:id="779"/>
    </w:p>
    <w:p w14:paraId="5274FC55">
      <w:pPr>
        <w:pStyle w:val="14"/>
        <w:widowControl/>
        <w:snapToGrid w:val="0"/>
        <w:spacing w:beforeAutospacing="0" w:afterAutospacing="0" w:line="360" w:lineRule="auto"/>
        <w:rPr>
          <w:rFonts w:hint="eastAsia" w:ascii="宋体" w:hAnsi="宋体" w:cs="宋体"/>
          <w:color w:val="000000"/>
          <w:szCs w:val="24"/>
        </w:rPr>
      </w:pPr>
      <w:r>
        <w:rPr>
          <w:rFonts w:hint="eastAsia"/>
          <w:b/>
          <w:bCs/>
          <w:color w:val="000000"/>
          <w:szCs w:val="24"/>
        </w:rPr>
        <w:t>7.4.3</w:t>
      </w:r>
      <w:r>
        <w:rPr>
          <w:rFonts w:hint="eastAsia" w:ascii="宋体" w:hAnsi="宋体" w:cs="宋体"/>
          <w:color w:val="000000"/>
          <w:szCs w:val="24"/>
        </w:rPr>
        <w:t xml:space="preserve"> 临时用房作为施工现场办公、住宿、储存等功能的临时载体，存在建筑结构简易、空间紧凑、人员密集、可燃物集中等特点，使用中仍存在因违规堆放可燃物、电气故障、遗留火种等引发火灾。自动喷淋系统作为火灾初期控火的关键设施，能快速压制火势发展、降低火场温度、减少有毒烟气产生，为人员疏散逃生和初期火灾扑救争取有力时间，是实现“灭早、灭小、灭初期”的有效技术手段，特别是对宿舍人员集中、夜间值守薄弱的房间，可显著提升火灾防控的可靠性。</w:t>
      </w:r>
    </w:p>
    <w:p w14:paraId="6D01305A">
      <w:pPr>
        <w:pStyle w:val="14"/>
        <w:widowControl/>
        <w:snapToGrid w:val="0"/>
        <w:spacing w:beforeAutospacing="0" w:afterAutospacing="0" w:line="360" w:lineRule="auto"/>
        <w:rPr>
          <w:rFonts w:hint="eastAsia" w:ascii="宋体" w:hAnsi="宋体" w:cs="宋体"/>
          <w:color w:val="000000"/>
          <w:szCs w:val="24"/>
        </w:rPr>
      </w:pPr>
      <w:r>
        <w:rPr>
          <w:rFonts w:hint="eastAsia"/>
          <w:b/>
          <w:bCs/>
          <w:color w:val="000000"/>
          <w:szCs w:val="24"/>
        </w:rPr>
        <w:t>7.4.5</w:t>
      </w:r>
      <w:r>
        <w:rPr>
          <w:rFonts w:hint="eastAsia" w:ascii="宋体" w:hAnsi="宋体" w:cs="宋体"/>
          <w:color w:val="000000"/>
          <w:szCs w:val="24"/>
        </w:rPr>
        <w:t xml:space="preserve"> 宿舍作为施工现场人员临时居住的人员密集场所，室内通常会有大量可燃物，可燃物一旦燃烧会多伴随烟雾产生，通过设置感烟火灾报警器及时捕捉火灾初期产生的烟雾信号，提醒宿舍内人员迅速疏散，为逃生争取宝贵时间，同时为现场管理人员启动应急处置预案提供预警支持。</w:t>
      </w:r>
    </w:p>
    <w:p w14:paraId="61A8E6FA">
      <w:pPr>
        <w:pStyle w:val="3"/>
        <w:widowControl/>
        <w:adjustRightInd/>
        <w:spacing w:before="0" w:after="0"/>
        <w:rPr>
          <w:rFonts w:ascii="Times New Roman" w:hAnsi="Times New Roman" w:cs="Times New Roman"/>
          <w:color w:val="000000"/>
          <w:sz w:val="24"/>
          <w:szCs w:val="24"/>
        </w:rPr>
      </w:pPr>
      <w:bookmarkStart w:id="780" w:name="_Toc24768"/>
      <w:bookmarkStart w:id="781" w:name="_Toc30503"/>
      <w:bookmarkStart w:id="782" w:name="_Toc20659"/>
      <w:bookmarkStart w:id="783" w:name="_Toc29070"/>
      <w:bookmarkStart w:id="784" w:name="_Toc16258"/>
      <w:bookmarkStart w:id="785" w:name="_Toc3805"/>
      <w:r>
        <w:rPr>
          <w:rFonts w:hint="eastAsia" w:ascii="Times New Roman" w:hAnsi="Times New Roman" w:cs="Times New Roman"/>
          <w:color w:val="000000"/>
          <w:sz w:val="24"/>
          <w:szCs w:val="24"/>
        </w:rPr>
        <w:t>7</w:t>
      </w:r>
      <w:r>
        <w:rPr>
          <w:rFonts w:ascii="Times New Roman" w:hAnsi="Times New Roman" w:cs="Times New Roman"/>
          <w:color w:val="000000"/>
          <w:sz w:val="24"/>
          <w:szCs w:val="24"/>
        </w:rPr>
        <w:t>.</w:t>
      </w:r>
      <w:r>
        <w:rPr>
          <w:rFonts w:hint="eastAsia" w:ascii="Times New Roman" w:hAnsi="Times New Roman" w:cs="Times New Roman"/>
          <w:color w:val="000000"/>
          <w:sz w:val="24"/>
          <w:szCs w:val="24"/>
        </w:rPr>
        <w:t xml:space="preserve">5  </w:t>
      </w:r>
      <w:bookmarkEnd w:id="780"/>
      <w:bookmarkEnd w:id="781"/>
      <w:bookmarkEnd w:id="782"/>
      <w:bookmarkEnd w:id="783"/>
      <w:r>
        <w:rPr>
          <w:rFonts w:hint="eastAsia" w:ascii="Times New Roman" w:hAnsi="Times New Roman" w:cs="Times New Roman"/>
          <w:color w:val="000000"/>
          <w:sz w:val="24"/>
          <w:szCs w:val="24"/>
        </w:rPr>
        <w:t>动火作业</w:t>
      </w:r>
      <w:bookmarkEnd w:id="784"/>
      <w:bookmarkEnd w:id="785"/>
    </w:p>
    <w:p w14:paraId="27B1EF72">
      <w:pPr>
        <w:pStyle w:val="14"/>
        <w:widowControl/>
        <w:snapToGrid w:val="0"/>
        <w:spacing w:beforeAutospacing="0" w:afterAutospacing="0" w:line="360" w:lineRule="auto"/>
        <w:rPr>
          <w:rFonts w:hint="eastAsia" w:ascii="宋体" w:hAnsi="宋体" w:cs="宋体"/>
          <w:color w:val="000000"/>
          <w:szCs w:val="24"/>
        </w:rPr>
      </w:pPr>
      <w:r>
        <w:rPr>
          <w:rFonts w:hint="eastAsia"/>
          <w:b/>
          <w:bCs/>
          <w:color w:val="000000"/>
          <w:szCs w:val="24"/>
        </w:rPr>
        <w:t>7.5.11</w:t>
      </w:r>
      <w:r>
        <w:rPr>
          <w:rFonts w:hint="eastAsia" w:ascii="宋体" w:hAnsi="宋体" w:cs="宋体"/>
          <w:color w:val="000000"/>
          <w:szCs w:val="24"/>
        </w:rPr>
        <w:t xml:space="preserve"> 采用热熔防水施工工艺，火灾风险较高。不动火自粘型防水施工工艺，无需明火加热，通过材料自身粘性或专用粘结剂实现卷材铺设，可从源头上规避动火作业带来的火灾风险。</w:t>
      </w:r>
    </w:p>
    <w:p w14:paraId="703BAE18">
      <w:pPr>
        <w:pStyle w:val="14"/>
        <w:widowControl/>
        <w:snapToGrid w:val="0"/>
        <w:spacing w:beforeAutospacing="0" w:afterAutospacing="0" w:line="360" w:lineRule="auto"/>
        <w:jc w:val="center"/>
        <w:rPr>
          <w:rFonts w:hint="eastAsia" w:ascii="宋体" w:hAnsi="宋体" w:cs="宋体"/>
          <w:color w:val="000000"/>
          <w:szCs w:val="24"/>
        </w:rPr>
      </w:pPr>
      <w:r>
        <w:rPr>
          <w:rFonts w:hint="eastAsia"/>
          <w:b/>
          <w:bCs/>
          <w:color w:val="000000"/>
          <w:kern w:val="2"/>
          <w:szCs w:val="24"/>
        </w:rPr>
        <w:t>7.6  可燃物及易燃易爆危险品</w:t>
      </w:r>
    </w:p>
    <w:p w14:paraId="3C92CC13">
      <w:pPr>
        <w:pStyle w:val="14"/>
        <w:widowControl/>
        <w:snapToGrid w:val="0"/>
        <w:spacing w:beforeAutospacing="0" w:afterAutospacing="0" w:line="360" w:lineRule="auto"/>
        <w:rPr>
          <w:rFonts w:hint="eastAsia" w:ascii="宋体" w:hAnsi="宋体" w:cs="宋体"/>
          <w:szCs w:val="24"/>
        </w:rPr>
      </w:pPr>
      <w:r>
        <w:rPr>
          <w:rFonts w:hint="eastAsia"/>
          <w:b/>
          <w:bCs/>
          <w:szCs w:val="24"/>
        </w:rPr>
        <w:t>7.6.1</w:t>
      </w:r>
      <w:r>
        <w:rPr>
          <w:rFonts w:hint="eastAsia" w:ascii="宋体" w:hAnsi="宋体" w:cs="宋体"/>
          <w:szCs w:val="24"/>
        </w:rPr>
        <w:t xml:space="preserve"> 冬季施工期间，保温封围材料多处于密闭或半密闭环境，若采用可燃易燃材料，一旦接触火源，火势蔓延速度快，且有毒烟气积聚难扩散，极易造成人员中毒等严重后果。彩条布、塑料布等材料燃点低、燃烧速度快，燃烧过程中会产生大量有毒有害烟气，且高温下易熔融滴落引发二次引燃，若用于覆盖施工物资，不仅无法起到防火保护作用，而且易导致小火快速扩大，成为火灾蔓延的“助燃物”。</w:t>
      </w:r>
    </w:p>
    <w:p w14:paraId="66ABCA65">
      <w:pPr>
        <w:pStyle w:val="14"/>
        <w:widowControl/>
        <w:snapToGrid w:val="0"/>
        <w:spacing w:beforeAutospacing="0" w:afterAutospacing="0" w:line="360" w:lineRule="auto"/>
        <w:rPr>
          <w:rFonts w:hint="eastAsia" w:ascii="宋体" w:hAnsi="宋体" w:cs="宋体"/>
          <w:szCs w:val="24"/>
        </w:rPr>
      </w:pPr>
      <w:r>
        <w:rPr>
          <w:rFonts w:hint="eastAsia"/>
          <w:b/>
          <w:bCs/>
          <w:szCs w:val="24"/>
        </w:rPr>
        <w:t xml:space="preserve">7.6.4 </w:t>
      </w:r>
      <w:r>
        <w:rPr>
          <w:rFonts w:hint="eastAsia" w:ascii="宋体" w:hAnsi="宋体" w:cs="宋体"/>
          <w:szCs w:val="24"/>
        </w:rPr>
        <w:t>既有建筑改扩建和人员密集场所施工现场火灾风险防控难度大。工程施工中涉及的油漆、稀料、气瓶（氧气、乙炔等）等易燃易爆危险品，具有易挥发、闪点低、遇明火或高温易燃易爆的特性，一旦管理不善发生泄漏、自燃或意外接触火源，极易引发火灾、爆炸事故。易燃易爆危险品要根据当日施工进度限量进场，每日施工作业结束后，对作业区域进行全面排查，对剩余的易燃易爆危险品进行逐件清点，及时回收清理出施工现场，严禁在施工现场存储。</w:t>
      </w:r>
    </w:p>
    <w:p w14:paraId="67806832">
      <w:pPr>
        <w:spacing w:line="360" w:lineRule="auto"/>
        <w:rPr>
          <w:bCs/>
          <w:sz w:val="24"/>
          <w:szCs w:val="24"/>
        </w:rPr>
      </w:pPr>
      <w:r>
        <w:rPr>
          <w:bCs/>
          <w:sz w:val="24"/>
          <w:szCs w:val="24"/>
        </w:rPr>
        <w:br w:type="page"/>
      </w:r>
    </w:p>
    <w:p w14:paraId="442A2865">
      <w:pPr>
        <w:adjustRightInd w:val="0"/>
        <w:snapToGrid w:val="0"/>
        <w:spacing w:line="360" w:lineRule="auto"/>
        <w:rPr>
          <w:bCs/>
          <w:sz w:val="24"/>
          <w:szCs w:val="24"/>
        </w:rPr>
      </w:pPr>
    </w:p>
    <w:sectPr>
      <w:footerReference r:id="rId9" w:type="default"/>
      <w:pgSz w:w="11906" w:h="16838"/>
      <w:pgMar w:top="1440" w:right="1417" w:bottom="1276" w:left="1701" w:header="1021" w:footer="992" w:gutter="0"/>
      <w:pgNumType w:start="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19FE8766-DD52-4F67-BCCD-D1D561EBFC85}"/>
  </w:font>
  <w:font w:name="宋体">
    <w:panose1 w:val="02010600030101010101"/>
    <w:charset w:val="86"/>
    <w:family w:val="auto"/>
    <w:pitch w:val="default"/>
    <w:sig w:usb0="00000203" w:usb1="288F0000" w:usb2="00000006" w:usb3="00000000" w:csb0="00040001" w:csb1="00000000"/>
    <w:embedRegular r:id="rId2" w:fontKey="{DAB4ED0A-EB46-47F5-8CFD-3C42042F1B33}"/>
  </w:font>
  <w:font w:name="Wingdings">
    <w:panose1 w:val="05000000000000000000"/>
    <w:charset w:val="02"/>
    <w:family w:val="auto"/>
    <w:pitch w:val="default"/>
    <w:sig w:usb0="00000000" w:usb1="00000000" w:usb2="00000000" w:usb3="00000000" w:csb0="80000000" w:csb1="00000000"/>
    <w:embedRegular r:id="rId3" w:fontKey="{8B574C76-1F8A-4DD3-BC1D-269B44D2C7DC}"/>
  </w:font>
  <w:font w:name="Arial">
    <w:panose1 w:val="020B0604020202020204"/>
    <w:charset w:val="01"/>
    <w:family w:val="swiss"/>
    <w:pitch w:val="default"/>
    <w:sig w:usb0="E0002EFF" w:usb1="C000785B" w:usb2="00000009" w:usb3="00000000" w:csb0="400001FF" w:csb1="FFFF0000"/>
    <w:embedRegular r:id="rId4" w:fontKey="{DC2C6C7F-065C-4C26-9626-C7C6713FB60F}"/>
  </w:font>
  <w:font w:name="黑体">
    <w:panose1 w:val="02010609060101010101"/>
    <w:charset w:val="86"/>
    <w:family w:val="auto"/>
    <w:pitch w:val="default"/>
    <w:sig w:usb0="800002BF" w:usb1="38CF7CFA" w:usb2="00000016" w:usb3="00000000" w:csb0="00040001" w:csb1="00000000"/>
    <w:embedRegular r:id="rId5" w:fontKey="{36172B0C-4498-41A4-AB86-459D24EC6982}"/>
  </w:font>
  <w:font w:name="Courier New">
    <w:panose1 w:val="02070309020205020404"/>
    <w:charset w:val="01"/>
    <w:family w:val="modern"/>
    <w:pitch w:val="default"/>
    <w:sig w:usb0="E0002EFF" w:usb1="C0007843" w:usb2="00000009" w:usb3="00000000" w:csb0="400001FF" w:csb1="FFFF0000"/>
    <w:embedRegular r:id="rId6" w:fontKey="{F85C4809-8754-4196-90D5-4CE88CFE5E80}"/>
  </w:font>
  <w:font w:name="Symbol">
    <w:panose1 w:val="05050102010706020507"/>
    <w:charset w:val="02"/>
    <w:family w:val="roman"/>
    <w:pitch w:val="default"/>
    <w:sig w:usb0="00000000" w:usb1="00000000" w:usb2="00000000" w:usb3="00000000" w:csb0="80000000" w:csb1="00000000"/>
    <w:embedRegular r:id="rId7" w:fontKey="{133DEC65-D217-4AED-ACDE-14F36921610F}"/>
  </w:font>
  <w:font w:name="Calibri">
    <w:panose1 w:val="020F0502020204030204"/>
    <w:charset w:val="00"/>
    <w:family w:val="swiss"/>
    <w:pitch w:val="default"/>
    <w:sig w:usb0="E4002EFF" w:usb1="C200247B" w:usb2="00000009" w:usb3="00000000" w:csb0="200001FF" w:csb1="00000000"/>
    <w:embedRegular r:id="rId8" w:fontKey="{1C948DC4-ED57-401E-98D6-EE6078EF2550}"/>
  </w:font>
  <w:font w:name="楷体">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embedRegular r:id="rId9" w:fontKey="{80D35F13-989D-4B0A-8DC7-20D955F75A52}"/>
  </w:font>
  <w:font w:name="华文中宋">
    <w:panose1 w:val="02010600040101010101"/>
    <w:charset w:val="86"/>
    <w:family w:val="auto"/>
    <w:pitch w:val="default"/>
    <w:sig w:usb0="00000287" w:usb1="080F0000" w:usb2="00000000" w:usb3="00000000" w:csb0="0004009F" w:csb1="DFD70000"/>
    <w:embedRegular r:id="rId10" w:fontKey="{5528EF4D-8A9E-4577-A512-BD344D59658A}"/>
  </w:font>
  <w:font w:name="方正小标宋简体">
    <w:panose1 w:val="02000000000000000000"/>
    <w:charset w:val="86"/>
    <w:family w:val="script"/>
    <w:pitch w:val="default"/>
    <w:sig w:usb0="00000001" w:usb1="08000000" w:usb2="00000000" w:usb3="00000000" w:csb0="00040000" w:csb1="00000000"/>
  </w:font>
  <w:font w:name="Adobe 黑体 Std R">
    <w:altName w:val="黑体"/>
    <w:panose1 w:val="00000000000000000000"/>
    <w:charset w:val="86"/>
    <w:family w:val="swiss"/>
    <w:pitch w:val="default"/>
    <w:sig w:usb0="00000000" w:usb1="00000000" w:usb2="00000016" w:usb3="00000000" w:csb0="00060007" w:csb1="00000000"/>
    <w:embedRegular r:id="rId11" w:fontKey="{9C6704AE-7FB8-4F4F-903F-AD02DD883568}"/>
  </w:font>
  <w:font w:name="Plotter">
    <w:altName w:val="DejaVu Math TeX Gyre"/>
    <w:panose1 w:val="00000000000000000000"/>
    <w:charset w:val="00"/>
    <w:family w:val="modern"/>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embedRegular r:id="rId12" w:fontKey="{72FF2450-9C72-4680-A6D6-DC96D509647E}"/>
  </w:font>
  <w:font w:name="新宋体">
    <w:panose1 w:val="02010609030101010101"/>
    <w:charset w:val="86"/>
    <w:family w:val="modern"/>
    <w:pitch w:val="default"/>
    <w:sig w:usb0="00000203" w:usb1="288F0000" w:usb2="00000006" w:usb3="00000000" w:csb0="00040001" w:csb1="00000000"/>
    <w:embedRegular r:id="rId13" w:fontKey="{67D83A88-D392-41B3-9BCA-7FDCAA369448}"/>
  </w:font>
  <w:font w:name="仿宋">
    <w:panose1 w:val="02010609060101010101"/>
    <w:charset w:val="86"/>
    <w:family w:val="modern"/>
    <w:pitch w:val="default"/>
    <w:sig w:usb0="800002BF" w:usb1="38CF7CFA" w:usb2="00000016" w:usb3="00000000" w:csb0="00040001" w:csb1="00000000"/>
    <w:embedRegular r:id="rId14" w:fontKey="{B0E401A8-EE90-4DD5-871E-16575C08BA72}"/>
  </w:font>
  <w:font w:name="华文仿宋">
    <w:panose1 w:val="02010600040101010101"/>
    <w:charset w:val="86"/>
    <w:family w:val="auto"/>
    <w:pitch w:val="default"/>
    <w:sig w:usb0="00000287" w:usb1="080F0000" w:usb2="00000000" w:usb3="00000000" w:csb0="0004009F" w:csb1="DFD70000"/>
    <w:embedRegular r:id="rId15" w:fontKey="{21826019-74D9-436E-870C-A0D19A9F4EC2}"/>
  </w:font>
  <w:font w:name="微软雅黑">
    <w:panose1 w:val="020B0503020204020204"/>
    <w:charset w:val="86"/>
    <w:family w:val="swiss"/>
    <w:pitch w:val="default"/>
    <w:sig w:usb0="80000287" w:usb1="2ACF3C50" w:usb2="00000016" w:usb3="00000000" w:csb0="0004001F" w:csb1="00000000"/>
    <w:embedRegular r:id="rId16" w:fontKey="{BDD9D437-FF5F-4150-BA21-0D94389FC53F}"/>
  </w:font>
  <w:font w:name="Courier New">
    <w:panose1 w:val="02070309020205020404"/>
    <w:charset w:val="00"/>
    <w:family w:val="modern"/>
    <w:pitch w:val="default"/>
    <w:sig w:usb0="E0002EFF" w:usb1="C0007843" w:usb2="00000009" w:usb3="00000000" w:csb0="400001FF" w:csb1="FFFF0000"/>
    <w:embedRegular r:id="rId17" w:fontKey="{D71F629E-C8B2-41DB-BFF5-26A4CDB28D89}"/>
  </w:font>
  <w:font w:name="KSOFAA5B1E64">
    <w:panose1 w:val="02010609060101010101"/>
    <w:charset w:val="86"/>
    <w:family w:val="auto"/>
    <w:pitch w:val="default"/>
    <w:sig w:usb0="00000001" w:usb1="00000000" w:usb2="00000000" w:usb3="00000000" w:csb0="00060001" w:csb1="00000000"/>
  </w:font>
  <w:font w:name="Helvetica">
    <w:altName w:val="Arial"/>
    <w:panose1 w:val="00000000000000000000"/>
    <w:charset w:val="00"/>
    <w:family w:val="auto"/>
    <w:pitch w:val="default"/>
    <w:sig w:usb0="00000000" w:usb1="00000000" w:usb2="00000000" w:usb3="00000000" w:csb0="00000000" w:csb1="00000000"/>
    <w:embedRegular r:id="rId18" w:fontKey="{77624BE4-3D86-48FE-9583-EDE78C65393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94247">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61FA0">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E88C5">
    <w:pPr>
      <w:pStyle w:val="9"/>
      <w:jc w:val="center"/>
    </w:pPr>
  </w:p>
  <w:p w14:paraId="46D1C558">
    <w:pPr>
      <w:pStyle w:val="9"/>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4C4A5">
    <w:pPr>
      <w:pStyle w:val="9"/>
      <w:jc w:val="center"/>
    </w:pPr>
  </w:p>
  <w:p w14:paraId="43E8BC3E">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45DBF">
    <w:pPr>
      <w:pStyle w:val="9"/>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4" name="文本框 9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41D324">
                          <w:pPr>
                            <w:pStyle w:val="9"/>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Y2NaItAgAAVwQAAA4AAAAAAAAAAQAgAAAAHwEAAGRycy9lMm9Eb2MueG1sUEsFBgAAAAAG&#10;AAYAWQEAAL4FAAAAAA==&#10;">
              <v:fill on="f" focussize="0,0"/>
              <v:stroke on="f" weight="0.5pt"/>
              <v:imagedata o:title=""/>
              <o:lock v:ext="edit" aspectratio="f"/>
              <v:textbox inset="0mm,0mm,0mm,0mm" style="mso-fit-shape-to-text:t;">
                <w:txbxContent>
                  <w:p w14:paraId="1741D324">
                    <w:pPr>
                      <w:pStyle w:val="9"/>
                    </w:pPr>
                    <w:r>
                      <w:fldChar w:fldCharType="begin"/>
                    </w:r>
                    <w:r>
                      <w:instrText xml:space="preserve"> PAGE  \* MERGEFORMAT </w:instrText>
                    </w:r>
                    <w:r>
                      <w:fldChar w:fldCharType="separate"/>
                    </w:r>
                    <w:r>
                      <w:t>48</w:t>
                    </w:r>
                    <w:r>
                      <w:fldChar w:fldCharType="end"/>
                    </w:r>
                  </w:p>
                </w:txbxContent>
              </v:textbox>
            </v:shape>
          </w:pict>
        </mc:Fallback>
      </mc:AlternateContent>
    </w:r>
  </w:p>
  <w:p w14:paraId="13BD2349">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5E9C8">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98593">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859B78"/>
    <w:multiLevelType w:val="multilevel"/>
    <w:tmpl w:val="3A859B78"/>
    <w:lvl w:ilvl="0" w:tentative="0">
      <w:start w:val="1"/>
      <w:numFmt w:val="decimal"/>
      <w:pStyle w:val="24"/>
      <w:suff w:val="space"/>
      <w:lvlText w:val="%1  "/>
      <w:lvlJc w:val="left"/>
      <w:pPr>
        <w:ind w:left="3570" w:firstLine="0"/>
      </w:pPr>
      <w:rPr>
        <w:rFonts w:hint="eastAsia"/>
      </w:rPr>
    </w:lvl>
    <w:lvl w:ilvl="1" w:tentative="0">
      <w:start w:val="1"/>
      <w:numFmt w:val="decimal"/>
      <w:pStyle w:val="25"/>
      <w:suff w:val="space"/>
      <w:lvlText w:val="%1．%2　"/>
      <w:lvlJc w:val="left"/>
      <w:pPr>
        <w:ind w:left="3853" w:firstLine="0"/>
      </w:pPr>
      <w:rPr>
        <w:rFonts w:hint="default" w:ascii="Times New Roman" w:hAnsi="Times New Roman" w:cs="Times New Roman"/>
      </w:rPr>
    </w:lvl>
    <w:lvl w:ilvl="2" w:tentative="0">
      <w:start w:val="1"/>
      <w:numFmt w:val="decimal"/>
      <w:suff w:val="space"/>
      <w:lvlText w:val="%1.%2.%3  "/>
      <w:lvlJc w:val="left"/>
      <w:pPr>
        <w:ind w:left="3570" w:firstLine="0"/>
      </w:pPr>
      <w:rPr>
        <w:rFonts w:hint="default" w:ascii="Times New Roman" w:hAnsi="Times New Roman" w:cs="Times New Roman"/>
        <w:b/>
        <w:strike w:val="0"/>
        <w:color w:val="auto"/>
        <w:sz w:val="21"/>
        <w:szCs w:val="21"/>
      </w:rPr>
    </w:lvl>
    <w:lvl w:ilvl="3" w:tentative="0">
      <w:start w:val="1"/>
      <w:numFmt w:val="decimal"/>
      <w:suff w:val="space"/>
      <w:lvlText w:val="%2.%3.%4 "/>
      <w:lvlJc w:val="left"/>
      <w:pPr>
        <w:ind w:left="3570" w:firstLine="0"/>
      </w:pPr>
      <w:rPr>
        <w:rFonts w:hint="eastAsia"/>
      </w:rPr>
    </w:lvl>
    <w:lvl w:ilvl="4" w:tentative="0">
      <w:start w:val="1"/>
      <w:numFmt w:val="decimal"/>
      <w:lvlText w:val="%1.%2.%3.%4.%5."/>
      <w:lvlJc w:val="left"/>
      <w:pPr>
        <w:tabs>
          <w:tab w:val="left" w:pos="1111"/>
        </w:tabs>
        <w:ind w:left="4681" w:hanging="992"/>
      </w:pPr>
      <w:rPr>
        <w:rFonts w:hint="eastAsia"/>
      </w:rPr>
    </w:lvl>
    <w:lvl w:ilvl="5" w:tentative="0">
      <w:start w:val="1"/>
      <w:numFmt w:val="decimal"/>
      <w:lvlText w:val="%1.%2.%3.%4.%5.%6."/>
      <w:lvlJc w:val="left"/>
      <w:pPr>
        <w:tabs>
          <w:tab w:val="left" w:pos="1253"/>
        </w:tabs>
        <w:ind w:left="4823" w:hanging="1134"/>
      </w:pPr>
      <w:rPr>
        <w:rFonts w:hint="eastAsia"/>
      </w:rPr>
    </w:lvl>
    <w:lvl w:ilvl="6" w:tentative="0">
      <w:start w:val="1"/>
      <w:numFmt w:val="decimal"/>
      <w:lvlText w:val="%1.%2.%3.%4.%5.%6.%7."/>
      <w:lvlJc w:val="left"/>
      <w:pPr>
        <w:tabs>
          <w:tab w:val="left" w:pos="1395"/>
        </w:tabs>
        <w:ind w:left="4965" w:hanging="1276"/>
      </w:pPr>
      <w:rPr>
        <w:rFonts w:hint="eastAsia"/>
      </w:rPr>
    </w:lvl>
    <w:lvl w:ilvl="7" w:tentative="0">
      <w:start w:val="1"/>
      <w:numFmt w:val="decimal"/>
      <w:lvlText w:val="%1.%2.%3.%4.%5.%6.%7.%8."/>
      <w:lvlJc w:val="left"/>
      <w:pPr>
        <w:tabs>
          <w:tab w:val="left" w:pos="1537"/>
        </w:tabs>
        <w:ind w:left="5107" w:hanging="1418"/>
      </w:pPr>
      <w:rPr>
        <w:rFonts w:hint="eastAsia"/>
      </w:rPr>
    </w:lvl>
    <w:lvl w:ilvl="8" w:tentative="0">
      <w:start w:val="1"/>
      <w:numFmt w:val="decimal"/>
      <w:lvlText w:val="%1.%2.%3.%4.%5.%6.%7.%8.%9."/>
      <w:lvlJc w:val="left"/>
      <w:pPr>
        <w:tabs>
          <w:tab w:val="left" w:pos="1678"/>
        </w:tabs>
        <w:ind w:left="5248" w:hanging="1559"/>
      </w:pPr>
      <w:rPr>
        <w:rFonts w:hint="eastAsia"/>
      </w:rPr>
    </w:lvl>
  </w:abstractNum>
  <w:abstractNum w:abstractNumId="1">
    <w:nsid w:val="551B2528"/>
    <w:multiLevelType w:val="multilevel"/>
    <w:tmpl w:val="551B2528"/>
    <w:lvl w:ilvl="0" w:tentative="0">
      <w:start w:val="1"/>
      <w:numFmt w:val="decimal"/>
      <w:pStyle w:val="2"/>
      <w:suff w:val="space"/>
      <w:lvlText w:val="%1."/>
      <w:lvlJc w:val="center"/>
      <w:pPr>
        <w:tabs>
          <w:tab w:val="left" w:pos="0"/>
        </w:tabs>
        <w:ind w:left="0" w:firstLine="0"/>
      </w:pPr>
      <w:rPr>
        <w:rFonts w:hint="eastAsia" w:ascii="宋体" w:hAnsi="宋体" w:eastAsia="宋体" w:cs="Times New Roman"/>
      </w:rPr>
    </w:lvl>
    <w:lvl w:ilvl="1" w:tentative="0">
      <w:start w:val="1"/>
      <w:numFmt w:val="decimal"/>
      <w:suff w:val="space"/>
      <w:lvlText w:val="%1.%2"/>
      <w:lvlJc w:val="left"/>
      <w:pPr>
        <w:tabs>
          <w:tab w:val="left" w:pos="0"/>
        </w:tabs>
        <w:ind w:left="3119" w:firstLine="0"/>
      </w:pPr>
      <w:rPr>
        <w:rFonts w:hint="eastAsia" w:ascii="宋体" w:hAnsi="宋体" w:eastAsia="宋体" w:cs="Times New Roman"/>
      </w:rPr>
    </w:lvl>
    <w:lvl w:ilvl="2" w:tentative="0">
      <w:start w:val="1"/>
      <w:numFmt w:val="decimal"/>
      <w:suff w:val="space"/>
      <w:lvlText w:val="%1.%2.%3"/>
      <w:lvlJc w:val="center"/>
      <w:pPr>
        <w:tabs>
          <w:tab w:val="left" w:pos="0"/>
        </w:tabs>
        <w:ind w:left="0" w:firstLine="0"/>
      </w:pPr>
      <w:rPr>
        <w:rFonts w:hint="eastAsia" w:ascii="宋体" w:hAnsi="宋体" w:eastAsia="宋体" w:cs="Times New Roman"/>
      </w:rPr>
    </w:lvl>
    <w:lvl w:ilvl="3" w:tentative="0">
      <w:start w:val="1"/>
      <w:numFmt w:val="decimal"/>
      <w:lvlText w:val="%1.%2.%3.%4"/>
      <w:lvlJc w:val="left"/>
      <w:pPr>
        <w:tabs>
          <w:tab w:val="left" w:pos="0"/>
        </w:tabs>
        <w:ind w:left="0" w:firstLine="0"/>
      </w:pPr>
      <w:rPr>
        <w:rFonts w:hint="eastAsia" w:ascii="宋体" w:hAnsi="宋体" w:eastAsia="宋体" w:cs="Times New Roman"/>
      </w:rPr>
    </w:lvl>
    <w:lvl w:ilvl="4" w:tentative="0">
      <w:start w:val="1"/>
      <w:numFmt w:val="decimal"/>
      <w:lvlText w:val="%1.%2.%3.%4.%5."/>
      <w:lvlJc w:val="left"/>
      <w:pPr>
        <w:tabs>
          <w:tab w:val="left" w:pos="0"/>
        </w:tabs>
        <w:ind w:left="0" w:firstLine="0"/>
      </w:pPr>
      <w:rPr>
        <w:rFonts w:cs="Times New Roman"/>
      </w:rPr>
    </w:lvl>
    <w:lvl w:ilvl="5" w:tentative="0">
      <w:start w:val="1"/>
      <w:numFmt w:val="decimal"/>
      <w:lvlText w:val="%1.%2.%3.%4.%5.%6."/>
      <w:lvlJc w:val="left"/>
      <w:pPr>
        <w:tabs>
          <w:tab w:val="left" w:pos="0"/>
        </w:tabs>
        <w:ind w:left="0" w:firstLine="0"/>
      </w:pPr>
      <w:rPr>
        <w:rFonts w:cs="Times New Roman"/>
      </w:rPr>
    </w:lvl>
    <w:lvl w:ilvl="6" w:tentative="0">
      <w:start w:val="1"/>
      <w:numFmt w:val="decimal"/>
      <w:lvlText w:val="%1.%2.%3.%4.%5.%6.%7."/>
      <w:lvlJc w:val="left"/>
      <w:pPr>
        <w:tabs>
          <w:tab w:val="left" w:pos="0"/>
        </w:tabs>
        <w:ind w:left="0" w:firstLine="0"/>
      </w:pPr>
      <w:rPr>
        <w:rFonts w:cs="Times New Roman"/>
      </w:rPr>
    </w:lvl>
    <w:lvl w:ilvl="7" w:tentative="0">
      <w:start w:val="1"/>
      <w:numFmt w:val="decimal"/>
      <w:lvlText w:val="%1.%2.%3.%4.%5.%6.%7.%8."/>
      <w:lvlJc w:val="left"/>
      <w:pPr>
        <w:tabs>
          <w:tab w:val="left" w:pos="0"/>
        </w:tabs>
        <w:ind w:left="0" w:firstLine="0"/>
      </w:pPr>
      <w:rPr>
        <w:rFonts w:cs="Times New Roman"/>
      </w:rPr>
    </w:lvl>
    <w:lvl w:ilvl="8" w:tentative="0">
      <w:start w:val="1"/>
      <w:numFmt w:val="decimal"/>
      <w:lvlText w:val="%1.%2.%3.%4.%5.%6.%7.%8.%9."/>
      <w:lvlJc w:val="left"/>
      <w:pPr>
        <w:tabs>
          <w:tab w:val="left" w:pos="0"/>
        </w:tabs>
        <w:ind w:left="0" w:firstLine="0"/>
      </w:pPr>
      <w:rPr>
        <w:rFonts w:cs="Times New Roman"/>
      </w:rPr>
    </w:lvl>
  </w:abstractNum>
  <w:abstractNum w:abstractNumId="2">
    <w:nsid w:val="57A111FF"/>
    <w:multiLevelType w:val="multilevel"/>
    <w:tmpl w:val="57A111FF"/>
    <w:lvl w:ilvl="0" w:tentative="0">
      <w:start w:val="1"/>
      <w:numFmt w:val="decimal"/>
      <w:lvlText w:val="%1"/>
      <w:lvlJc w:val="left"/>
      <w:pPr>
        <w:ind w:left="921" w:hanging="360"/>
      </w:pPr>
      <w:rPr>
        <w:rFonts w:hint="default"/>
        <w:b/>
      </w:rPr>
    </w:lvl>
    <w:lvl w:ilvl="1" w:tentative="0">
      <w:start w:val="1"/>
      <w:numFmt w:val="lowerLetter"/>
      <w:lvlText w:val="%2)"/>
      <w:lvlJc w:val="left"/>
      <w:pPr>
        <w:ind w:left="1441" w:hanging="440"/>
      </w:pPr>
    </w:lvl>
    <w:lvl w:ilvl="2" w:tentative="0">
      <w:start w:val="1"/>
      <w:numFmt w:val="lowerRoman"/>
      <w:lvlText w:val="%3."/>
      <w:lvlJc w:val="right"/>
      <w:pPr>
        <w:ind w:left="1881" w:hanging="440"/>
      </w:pPr>
    </w:lvl>
    <w:lvl w:ilvl="3" w:tentative="0">
      <w:start w:val="1"/>
      <w:numFmt w:val="decimal"/>
      <w:lvlText w:val="%4."/>
      <w:lvlJc w:val="left"/>
      <w:pPr>
        <w:ind w:left="2321" w:hanging="440"/>
      </w:pPr>
    </w:lvl>
    <w:lvl w:ilvl="4" w:tentative="0">
      <w:start w:val="1"/>
      <w:numFmt w:val="lowerLetter"/>
      <w:lvlText w:val="%5)"/>
      <w:lvlJc w:val="left"/>
      <w:pPr>
        <w:ind w:left="2761" w:hanging="440"/>
      </w:pPr>
    </w:lvl>
    <w:lvl w:ilvl="5" w:tentative="0">
      <w:start w:val="1"/>
      <w:numFmt w:val="lowerRoman"/>
      <w:lvlText w:val="%6."/>
      <w:lvlJc w:val="right"/>
      <w:pPr>
        <w:ind w:left="3201" w:hanging="440"/>
      </w:pPr>
    </w:lvl>
    <w:lvl w:ilvl="6" w:tentative="0">
      <w:start w:val="1"/>
      <w:numFmt w:val="decimal"/>
      <w:lvlText w:val="%7."/>
      <w:lvlJc w:val="left"/>
      <w:pPr>
        <w:ind w:left="3641" w:hanging="440"/>
      </w:pPr>
    </w:lvl>
    <w:lvl w:ilvl="7" w:tentative="0">
      <w:start w:val="1"/>
      <w:numFmt w:val="lowerLetter"/>
      <w:lvlText w:val="%8)"/>
      <w:lvlJc w:val="left"/>
      <w:pPr>
        <w:ind w:left="4081" w:hanging="440"/>
      </w:pPr>
    </w:lvl>
    <w:lvl w:ilvl="8" w:tentative="0">
      <w:start w:val="1"/>
      <w:numFmt w:val="lowerRoman"/>
      <w:lvlText w:val="%9."/>
      <w:lvlJc w:val="right"/>
      <w:pPr>
        <w:ind w:left="4521" w:hanging="440"/>
      </w:pPr>
    </w:lvl>
  </w:abstractNum>
  <w:abstractNum w:abstractNumId="3">
    <w:nsid w:val="5D4A3C25"/>
    <w:multiLevelType w:val="multilevel"/>
    <w:tmpl w:val="5D4A3C25"/>
    <w:lvl w:ilvl="0" w:tentative="0">
      <w:start w:val="1"/>
      <w:numFmt w:val="decimal"/>
      <w:lvlText w:val="%1）"/>
      <w:lvlJc w:val="left"/>
      <w:pPr>
        <w:ind w:left="1175" w:hanging="375"/>
      </w:pPr>
      <w:rPr>
        <w:rFonts w:hint="default"/>
        <w:b/>
      </w:rPr>
    </w:lvl>
    <w:lvl w:ilvl="1" w:tentative="0">
      <w:start w:val="1"/>
      <w:numFmt w:val="lowerLetter"/>
      <w:lvlText w:val="%2)"/>
      <w:lvlJc w:val="left"/>
      <w:pPr>
        <w:ind w:left="1680" w:hanging="440"/>
      </w:pPr>
    </w:lvl>
    <w:lvl w:ilvl="2" w:tentative="0">
      <w:start w:val="1"/>
      <w:numFmt w:val="lowerRoman"/>
      <w:lvlText w:val="%3."/>
      <w:lvlJc w:val="right"/>
      <w:pPr>
        <w:ind w:left="2120" w:hanging="440"/>
      </w:pPr>
    </w:lvl>
    <w:lvl w:ilvl="3" w:tentative="0">
      <w:start w:val="1"/>
      <w:numFmt w:val="decimal"/>
      <w:lvlText w:val="%4."/>
      <w:lvlJc w:val="left"/>
      <w:pPr>
        <w:ind w:left="2560" w:hanging="440"/>
      </w:pPr>
    </w:lvl>
    <w:lvl w:ilvl="4" w:tentative="0">
      <w:start w:val="1"/>
      <w:numFmt w:val="lowerLetter"/>
      <w:lvlText w:val="%5)"/>
      <w:lvlJc w:val="left"/>
      <w:pPr>
        <w:ind w:left="3000" w:hanging="440"/>
      </w:pPr>
    </w:lvl>
    <w:lvl w:ilvl="5" w:tentative="0">
      <w:start w:val="1"/>
      <w:numFmt w:val="lowerRoman"/>
      <w:lvlText w:val="%6."/>
      <w:lvlJc w:val="right"/>
      <w:pPr>
        <w:ind w:left="3440" w:hanging="440"/>
      </w:pPr>
    </w:lvl>
    <w:lvl w:ilvl="6" w:tentative="0">
      <w:start w:val="1"/>
      <w:numFmt w:val="decimal"/>
      <w:lvlText w:val="%7."/>
      <w:lvlJc w:val="left"/>
      <w:pPr>
        <w:ind w:left="3880" w:hanging="440"/>
      </w:pPr>
    </w:lvl>
    <w:lvl w:ilvl="7" w:tentative="0">
      <w:start w:val="1"/>
      <w:numFmt w:val="lowerLetter"/>
      <w:lvlText w:val="%8)"/>
      <w:lvlJc w:val="left"/>
      <w:pPr>
        <w:ind w:left="4320" w:hanging="440"/>
      </w:pPr>
    </w:lvl>
    <w:lvl w:ilvl="8" w:tentative="0">
      <w:start w:val="1"/>
      <w:numFmt w:val="lowerRoman"/>
      <w:lvlText w:val="%9."/>
      <w:lvlJc w:val="right"/>
      <w:pPr>
        <w:ind w:left="4760" w:hanging="440"/>
      </w:pPr>
    </w:lvl>
  </w:abstractNum>
  <w:abstractNum w:abstractNumId="4">
    <w:nsid w:val="65E3F6E2"/>
    <w:multiLevelType w:val="multilevel"/>
    <w:tmpl w:val="65E3F6E2"/>
    <w:lvl w:ilvl="0" w:tentative="0">
      <w:start w:val="1"/>
      <w:numFmt w:val="none"/>
      <w:lvlText w:val="4.1.2"/>
      <w:lvlJc w:val="left"/>
      <w:pPr>
        <w:ind w:left="425" w:hanging="425"/>
      </w:pPr>
      <w:rPr>
        <w:rFonts w:hint="default" w:ascii="宋体" w:hAnsi="宋体" w:eastAsia="宋体" w:cs="宋体"/>
      </w:rPr>
    </w:lvl>
    <w:lvl w:ilvl="1" w:tentative="0">
      <w:start w:val="1"/>
      <w:numFmt w:val="decimal"/>
      <w:lvlText w:val="%1.%2."/>
      <w:lvlJc w:val="left"/>
      <w:pPr>
        <w:ind w:left="567" w:hanging="567"/>
      </w:pPr>
      <w:rPr>
        <w:rFonts w:hint="default"/>
      </w:rPr>
    </w:lvl>
    <w:lvl w:ilvl="2" w:tentative="0">
      <w:start w:val="4"/>
      <w:numFmt w:val="none"/>
      <w:pStyle w:val="4"/>
      <w:lvlText w:val="4.1.1%3"/>
      <w:lvlJc w:val="left"/>
      <w:pPr>
        <w:tabs>
          <w:tab w:val="left" w:pos="1128"/>
        </w:tabs>
        <w:ind w:left="1531" w:hanging="1531"/>
      </w:pPr>
      <w:rPr>
        <w:rFonts w:hint="default" w:ascii="宋体" w:hAnsi="宋体" w:eastAsia="宋体" w:cs="宋体"/>
        <w:b/>
        <w:sz w:val="21"/>
      </w:rPr>
    </w:lvl>
    <w:lvl w:ilvl="3" w:tentative="0">
      <w:start w:val="1"/>
      <w:numFmt w:val="decimal"/>
      <w:lvlText w:val="%1.%2.%3.%4."/>
      <w:lvlJc w:val="left"/>
      <w:pPr>
        <w:ind w:left="850" w:hanging="850"/>
      </w:pPr>
      <w:rPr>
        <w:rFonts w:hint="default" w:ascii="宋体" w:hAnsi="宋体" w:eastAsia="宋体" w:cs="宋体"/>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5">
    <w:nsid w:val="6E9A5590"/>
    <w:multiLevelType w:val="singleLevel"/>
    <w:tmpl w:val="6E9A5590"/>
    <w:lvl w:ilvl="0" w:tentative="0">
      <w:start w:val="1"/>
      <w:numFmt w:val="decimal"/>
      <w:suff w:val="nothing"/>
      <w:lvlText w:val="%1-"/>
      <w:lvlJc w:val="left"/>
    </w:lvl>
  </w:abstractNum>
  <w:num w:numId="1">
    <w:abstractNumId w:val="1"/>
  </w:num>
  <w:num w:numId="2">
    <w:abstractNumId w:val="4"/>
  </w:num>
  <w:num w:numId="3">
    <w:abstractNumId w:val="0"/>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M3OTdlOWQ3YjEyM2E3ODY0MjdkNTQzZGJjZThiMzMifQ=="/>
  </w:docVars>
  <w:rsids>
    <w:rsidRoot w:val="0004262D"/>
    <w:rsid w:val="00004598"/>
    <w:rsid w:val="00005827"/>
    <w:rsid w:val="00010736"/>
    <w:rsid w:val="0004262D"/>
    <w:rsid w:val="00050152"/>
    <w:rsid w:val="000817B7"/>
    <w:rsid w:val="0008282A"/>
    <w:rsid w:val="00093BC9"/>
    <w:rsid w:val="000A3676"/>
    <w:rsid w:val="00110431"/>
    <w:rsid w:val="00145BEC"/>
    <w:rsid w:val="00166A2D"/>
    <w:rsid w:val="0019393C"/>
    <w:rsid w:val="00196DAC"/>
    <w:rsid w:val="001A3BA8"/>
    <w:rsid w:val="001C7A84"/>
    <w:rsid w:val="002308A1"/>
    <w:rsid w:val="002336A5"/>
    <w:rsid w:val="00243B13"/>
    <w:rsid w:val="00286A5A"/>
    <w:rsid w:val="002A03C5"/>
    <w:rsid w:val="002A1DA3"/>
    <w:rsid w:val="002B3270"/>
    <w:rsid w:val="002B3B5C"/>
    <w:rsid w:val="002F4A54"/>
    <w:rsid w:val="0031078A"/>
    <w:rsid w:val="00322B1F"/>
    <w:rsid w:val="00323172"/>
    <w:rsid w:val="00332FB4"/>
    <w:rsid w:val="00360EAE"/>
    <w:rsid w:val="00370280"/>
    <w:rsid w:val="00371167"/>
    <w:rsid w:val="00371B7F"/>
    <w:rsid w:val="00391572"/>
    <w:rsid w:val="003F237E"/>
    <w:rsid w:val="0041705B"/>
    <w:rsid w:val="00417F83"/>
    <w:rsid w:val="004209EC"/>
    <w:rsid w:val="00431393"/>
    <w:rsid w:val="004D24B7"/>
    <w:rsid w:val="004F6C7A"/>
    <w:rsid w:val="0052368E"/>
    <w:rsid w:val="005267AA"/>
    <w:rsid w:val="00542F55"/>
    <w:rsid w:val="00562A6D"/>
    <w:rsid w:val="00581CF7"/>
    <w:rsid w:val="005A0360"/>
    <w:rsid w:val="005D2AC2"/>
    <w:rsid w:val="005F7158"/>
    <w:rsid w:val="00624CDE"/>
    <w:rsid w:val="00656C8B"/>
    <w:rsid w:val="006731BB"/>
    <w:rsid w:val="00680841"/>
    <w:rsid w:val="00694AC4"/>
    <w:rsid w:val="006B05A5"/>
    <w:rsid w:val="006C18C6"/>
    <w:rsid w:val="006C526C"/>
    <w:rsid w:val="006F2464"/>
    <w:rsid w:val="006F678F"/>
    <w:rsid w:val="007050B6"/>
    <w:rsid w:val="007464CB"/>
    <w:rsid w:val="0075594D"/>
    <w:rsid w:val="00764B05"/>
    <w:rsid w:val="0077720C"/>
    <w:rsid w:val="0081556E"/>
    <w:rsid w:val="00840025"/>
    <w:rsid w:val="008953A5"/>
    <w:rsid w:val="00896B43"/>
    <w:rsid w:val="00897695"/>
    <w:rsid w:val="008A1C93"/>
    <w:rsid w:val="008C1B87"/>
    <w:rsid w:val="008D0FF5"/>
    <w:rsid w:val="008F589E"/>
    <w:rsid w:val="00931BE1"/>
    <w:rsid w:val="00955BAA"/>
    <w:rsid w:val="00957432"/>
    <w:rsid w:val="0096031F"/>
    <w:rsid w:val="00987D24"/>
    <w:rsid w:val="00992D8A"/>
    <w:rsid w:val="009D118D"/>
    <w:rsid w:val="009D76EA"/>
    <w:rsid w:val="009F1D04"/>
    <w:rsid w:val="00A11299"/>
    <w:rsid w:val="00A13A5C"/>
    <w:rsid w:val="00A56671"/>
    <w:rsid w:val="00AA7ECD"/>
    <w:rsid w:val="00AB3F34"/>
    <w:rsid w:val="00AC3ECD"/>
    <w:rsid w:val="00AC7920"/>
    <w:rsid w:val="00AE5905"/>
    <w:rsid w:val="00AF4155"/>
    <w:rsid w:val="00B23AAB"/>
    <w:rsid w:val="00B259F5"/>
    <w:rsid w:val="00B27BAF"/>
    <w:rsid w:val="00B32E8C"/>
    <w:rsid w:val="00B55DC4"/>
    <w:rsid w:val="00B73572"/>
    <w:rsid w:val="00BA3C15"/>
    <w:rsid w:val="00BA4695"/>
    <w:rsid w:val="00BE25EF"/>
    <w:rsid w:val="00BE2CDE"/>
    <w:rsid w:val="00BF59C4"/>
    <w:rsid w:val="00C20C4A"/>
    <w:rsid w:val="00C31BDB"/>
    <w:rsid w:val="00C83A5F"/>
    <w:rsid w:val="00CD5788"/>
    <w:rsid w:val="00CD65AB"/>
    <w:rsid w:val="00CE5F78"/>
    <w:rsid w:val="00CF16BD"/>
    <w:rsid w:val="00D363E3"/>
    <w:rsid w:val="00D40EEC"/>
    <w:rsid w:val="00D6015C"/>
    <w:rsid w:val="00D87D04"/>
    <w:rsid w:val="00D93E7B"/>
    <w:rsid w:val="00D968A5"/>
    <w:rsid w:val="00DA6CF5"/>
    <w:rsid w:val="00DB1488"/>
    <w:rsid w:val="00DC05F1"/>
    <w:rsid w:val="00DD4AFF"/>
    <w:rsid w:val="00E07A5E"/>
    <w:rsid w:val="00E34C06"/>
    <w:rsid w:val="00E6314D"/>
    <w:rsid w:val="00EC4702"/>
    <w:rsid w:val="00EC7234"/>
    <w:rsid w:val="00EE1AEC"/>
    <w:rsid w:val="00F05AF2"/>
    <w:rsid w:val="00F42D27"/>
    <w:rsid w:val="00F53F84"/>
    <w:rsid w:val="00F544CA"/>
    <w:rsid w:val="00F64418"/>
    <w:rsid w:val="00FA2E55"/>
    <w:rsid w:val="01945CA2"/>
    <w:rsid w:val="02666636"/>
    <w:rsid w:val="03246B1E"/>
    <w:rsid w:val="03604AE8"/>
    <w:rsid w:val="04EF25FC"/>
    <w:rsid w:val="05E47DB3"/>
    <w:rsid w:val="065A1D10"/>
    <w:rsid w:val="0AA90B70"/>
    <w:rsid w:val="0AF24751"/>
    <w:rsid w:val="0C92455F"/>
    <w:rsid w:val="0E8439BD"/>
    <w:rsid w:val="0EF21695"/>
    <w:rsid w:val="0FDF7C36"/>
    <w:rsid w:val="0FFA7BE8"/>
    <w:rsid w:val="10A73DA4"/>
    <w:rsid w:val="12282CC2"/>
    <w:rsid w:val="13D84061"/>
    <w:rsid w:val="14007638"/>
    <w:rsid w:val="14D64C58"/>
    <w:rsid w:val="14E21F37"/>
    <w:rsid w:val="15735DD9"/>
    <w:rsid w:val="15C03519"/>
    <w:rsid w:val="165D20B6"/>
    <w:rsid w:val="1AA9696A"/>
    <w:rsid w:val="1B4059BD"/>
    <w:rsid w:val="1C424D77"/>
    <w:rsid w:val="1C657A4B"/>
    <w:rsid w:val="1D024523"/>
    <w:rsid w:val="1D4B5AB7"/>
    <w:rsid w:val="1FB767C6"/>
    <w:rsid w:val="1FE73045"/>
    <w:rsid w:val="21073671"/>
    <w:rsid w:val="210A717F"/>
    <w:rsid w:val="213C302A"/>
    <w:rsid w:val="21B1721B"/>
    <w:rsid w:val="22931946"/>
    <w:rsid w:val="23A67EEB"/>
    <w:rsid w:val="23DE7685"/>
    <w:rsid w:val="2452130C"/>
    <w:rsid w:val="26551754"/>
    <w:rsid w:val="265B2CCD"/>
    <w:rsid w:val="271F42B6"/>
    <w:rsid w:val="27A35507"/>
    <w:rsid w:val="27EA28F8"/>
    <w:rsid w:val="28D63020"/>
    <w:rsid w:val="2944442E"/>
    <w:rsid w:val="29A92769"/>
    <w:rsid w:val="2AD31F49"/>
    <w:rsid w:val="2B6A346D"/>
    <w:rsid w:val="2D4C14F3"/>
    <w:rsid w:val="2E5F1A8F"/>
    <w:rsid w:val="2FF15659"/>
    <w:rsid w:val="31B373CF"/>
    <w:rsid w:val="31CA56EC"/>
    <w:rsid w:val="31CF1886"/>
    <w:rsid w:val="32C75788"/>
    <w:rsid w:val="330F5B1A"/>
    <w:rsid w:val="346218ED"/>
    <w:rsid w:val="34CC177B"/>
    <w:rsid w:val="35503782"/>
    <w:rsid w:val="35BA47A6"/>
    <w:rsid w:val="35EC7269"/>
    <w:rsid w:val="383218F5"/>
    <w:rsid w:val="39C26CA9"/>
    <w:rsid w:val="3A9B7C26"/>
    <w:rsid w:val="3AD153F6"/>
    <w:rsid w:val="3CEA034D"/>
    <w:rsid w:val="3ECED07B"/>
    <w:rsid w:val="3F724278"/>
    <w:rsid w:val="3FE06FE9"/>
    <w:rsid w:val="40721429"/>
    <w:rsid w:val="40854B67"/>
    <w:rsid w:val="414C7ECC"/>
    <w:rsid w:val="41C55588"/>
    <w:rsid w:val="43B35DD1"/>
    <w:rsid w:val="449D18F3"/>
    <w:rsid w:val="464A7FAD"/>
    <w:rsid w:val="465E3302"/>
    <w:rsid w:val="46C139C0"/>
    <w:rsid w:val="471551D7"/>
    <w:rsid w:val="47D61152"/>
    <w:rsid w:val="4B2C48CA"/>
    <w:rsid w:val="4B35377F"/>
    <w:rsid w:val="4CCE5C39"/>
    <w:rsid w:val="4D2C0BB1"/>
    <w:rsid w:val="4D861AC1"/>
    <w:rsid w:val="4E2D4BE1"/>
    <w:rsid w:val="4E676345"/>
    <w:rsid w:val="4F0F48AF"/>
    <w:rsid w:val="50D4180D"/>
    <w:rsid w:val="518E1E3B"/>
    <w:rsid w:val="519B6306"/>
    <w:rsid w:val="51BA49DE"/>
    <w:rsid w:val="524B7D2C"/>
    <w:rsid w:val="525210BA"/>
    <w:rsid w:val="52FC1063"/>
    <w:rsid w:val="54F97CC6"/>
    <w:rsid w:val="55AE0702"/>
    <w:rsid w:val="56350AD7"/>
    <w:rsid w:val="574B7E86"/>
    <w:rsid w:val="58A70CCA"/>
    <w:rsid w:val="58C85867"/>
    <w:rsid w:val="58D54562"/>
    <w:rsid w:val="598E7C6A"/>
    <w:rsid w:val="59C81C62"/>
    <w:rsid w:val="5A1FFE6B"/>
    <w:rsid w:val="5B334286"/>
    <w:rsid w:val="5C5872CD"/>
    <w:rsid w:val="5D50269A"/>
    <w:rsid w:val="5D6D0737"/>
    <w:rsid w:val="5DB20522"/>
    <w:rsid w:val="5DEB2C25"/>
    <w:rsid w:val="5EF77550"/>
    <w:rsid w:val="5F7C2AFC"/>
    <w:rsid w:val="5FED7A40"/>
    <w:rsid w:val="62117CAA"/>
    <w:rsid w:val="63440DE8"/>
    <w:rsid w:val="637473B8"/>
    <w:rsid w:val="63C802FE"/>
    <w:rsid w:val="64002167"/>
    <w:rsid w:val="642B22AA"/>
    <w:rsid w:val="64496497"/>
    <w:rsid w:val="65CD79A6"/>
    <w:rsid w:val="66524D8D"/>
    <w:rsid w:val="67206A95"/>
    <w:rsid w:val="688147E7"/>
    <w:rsid w:val="68CB0E27"/>
    <w:rsid w:val="691813E2"/>
    <w:rsid w:val="6B3158B9"/>
    <w:rsid w:val="6B9D2F4E"/>
    <w:rsid w:val="6BDD5B0C"/>
    <w:rsid w:val="6C606ADC"/>
    <w:rsid w:val="6C6276EA"/>
    <w:rsid w:val="6DD4077E"/>
    <w:rsid w:val="6FB6D43B"/>
    <w:rsid w:val="6FCF3B06"/>
    <w:rsid w:val="6FFF744B"/>
    <w:rsid w:val="70994486"/>
    <w:rsid w:val="70F96E79"/>
    <w:rsid w:val="73441F01"/>
    <w:rsid w:val="743516C9"/>
    <w:rsid w:val="757E464C"/>
    <w:rsid w:val="77637AB8"/>
    <w:rsid w:val="77EFCEE5"/>
    <w:rsid w:val="780B7492"/>
    <w:rsid w:val="7B765963"/>
    <w:rsid w:val="7B855D80"/>
    <w:rsid w:val="7D3E6110"/>
    <w:rsid w:val="7D8D7AA0"/>
    <w:rsid w:val="7DFA4230"/>
    <w:rsid w:val="7DFE3571"/>
    <w:rsid w:val="7DFFADEF"/>
    <w:rsid w:val="7EB23667"/>
    <w:rsid w:val="7EFFD4FF"/>
    <w:rsid w:val="7F4F5B94"/>
    <w:rsid w:val="7FFC8773"/>
    <w:rsid w:val="7FFF9B1A"/>
    <w:rsid w:val="8EDF9A8E"/>
    <w:rsid w:val="BDEFA89F"/>
    <w:rsid w:val="DC6FE7FA"/>
    <w:rsid w:val="DDCCFCA0"/>
    <w:rsid w:val="DE6FF6A4"/>
    <w:rsid w:val="DFFA10FE"/>
    <w:rsid w:val="E7F719E4"/>
    <w:rsid w:val="EABFDB68"/>
    <w:rsid w:val="EEDB1C15"/>
    <w:rsid w:val="F3B8DF8A"/>
    <w:rsid w:val="F55D86E4"/>
    <w:rsid w:val="F79FCD83"/>
    <w:rsid w:val="F9F5B20A"/>
    <w:rsid w:val="FB754885"/>
    <w:rsid w:val="FDF673ED"/>
    <w:rsid w:val="FDFF3D32"/>
    <w:rsid w:val="FF2FB03A"/>
    <w:rsid w:val="FF9E39D0"/>
    <w:rsid w:val="FFAF4776"/>
    <w:rsid w:val="FFBB974D"/>
    <w:rsid w:val="FFF5BAE8"/>
    <w:rsid w:val="FFF7CE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0" w:semiHidden="0" w:name="annotation text"/>
    <w:lsdException w:qFormat="1"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53"/>
    <w:qFormat/>
    <w:uiPriority w:val="9"/>
    <w:pPr>
      <w:keepNext/>
      <w:keepLines/>
      <w:numPr>
        <w:ilvl w:val="0"/>
        <w:numId w:val="1"/>
      </w:numPr>
      <w:tabs>
        <w:tab w:val="left" w:pos="425"/>
      </w:tabs>
      <w:jc w:val="center"/>
      <w:outlineLvl w:val="0"/>
    </w:pPr>
    <w:rPr>
      <w:rFonts w:ascii="楷体" w:hAnsi="楷体" w:eastAsia="楷体"/>
      <w:kern w:val="44"/>
      <w:sz w:val="44"/>
      <w:szCs w:val="44"/>
    </w:rPr>
  </w:style>
  <w:style w:type="paragraph" w:styleId="3">
    <w:name w:val="heading 2"/>
    <w:basedOn w:val="1"/>
    <w:next w:val="1"/>
    <w:link w:val="43"/>
    <w:qFormat/>
    <w:uiPriority w:val="0"/>
    <w:pPr>
      <w:adjustRightInd w:val="0"/>
      <w:snapToGrid w:val="0"/>
      <w:spacing w:before="120" w:after="120" w:line="360" w:lineRule="auto"/>
      <w:contextualSpacing/>
      <w:jc w:val="center"/>
      <w:outlineLvl w:val="1"/>
    </w:pPr>
    <w:rPr>
      <w:rFonts w:ascii="黑体" w:hAnsi="黑体" w:cs="黑体"/>
      <w:b/>
      <w:bCs/>
      <w:color w:val="333333"/>
      <w:szCs w:val="21"/>
    </w:rPr>
  </w:style>
  <w:style w:type="paragraph" w:styleId="4">
    <w:name w:val="heading 3"/>
    <w:basedOn w:val="1"/>
    <w:next w:val="1"/>
    <w:qFormat/>
    <w:uiPriority w:val="0"/>
    <w:pPr>
      <w:numPr>
        <w:ilvl w:val="2"/>
        <w:numId w:val="2"/>
      </w:numPr>
      <w:tabs>
        <w:tab w:val="left" w:pos="567"/>
      </w:tabs>
      <w:adjustRightInd w:val="0"/>
      <w:spacing w:line="360" w:lineRule="auto"/>
      <w:contextualSpacing/>
      <w:outlineLvl w:val="2"/>
    </w:pPr>
    <w:rPr>
      <w:rFonts w:ascii="宋体" w:hAnsi="宋体" w:cs="宋体"/>
      <w:bCs/>
      <w:szCs w:val="21"/>
    </w:rPr>
  </w:style>
  <w:style w:type="character" w:default="1" w:styleId="19">
    <w:name w:val="Default Paragraph Font"/>
    <w:semiHidden/>
    <w:unhideWhenUsed/>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5">
    <w:name w:val="annotation text"/>
    <w:basedOn w:val="1"/>
    <w:link w:val="51"/>
    <w:unhideWhenUsed/>
    <w:qFormat/>
    <w:uiPriority w:val="0"/>
    <w:pPr>
      <w:jc w:val="left"/>
    </w:pPr>
  </w:style>
  <w:style w:type="paragraph" w:styleId="6">
    <w:name w:val="Body Text"/>
    <w:basedOn w:val="1"/>
    <w:qFormat/>
    <w:uiPriority w:val="99"/>
    <w:pPr>
      <w:spacing w:after="120"/>
    </w:pPr>
    <w:rPr>
      <w:lang w:val="zh-CN"/>
    </w:rPr>
  </w:style>
  <w:style w:type="paragraph" w:styleId="7">
    <w:name w:val="Body Text Indent"/>
    <w:basedOn w:val="1"/>
    <w:qFormat/>
    <w:uiPriority w:val="0"/>
    <w:pPr>
      <w:spacing w:line="360" w:lineRule="auto"/>
      <w:ind w:firstLine="480" w:firstLineChars="200"/>
    </w:pPr>
    <w:rPr>
      <w:rFonts w:ascii="宋体" w:hAnsi="宋体"/>
      <w:color w:val="0000FF"/>
      <w:sz w:val="24"/>
    </w:rPr>
  </w:style>
  <w:style w:type="paragraph" w:styleId="8">
    <w:name w:val="Balloon Text"/>
    <w:basedOn w:val="1"/>
    <w:link w:val="32"/>
    <w:qFormat/>
    <w:uiPriority w:val="0"/>
    <w:rPr>
      <w:sz w:val="18"/>
      <w:szCs w:val="18"/>
    </w:rPr>
  </w:style>
  <w:style w:type="paragraph" w:styleId="9">
    <w:name w:val="footer"/>
    <w:basedOn w:val="1"/>
    <w:qFormat/>
    <w:uiPriority w:val="0"/>
    <w:pPr>
      <w:tabs>
        <w:tab w:val="center" w:pos="4153"/>
        <w:tab w:val="right" w:pos="8306"/>
      </w:tabs>
      <w:snapToGrid w:val="0"/>
      <w:jc w:val="left"/>
    </w:pPr>
    <w:rPr>
      <w:sz w:val="18"/>
    </w:rPr>
  </w:style>
  <w:style w:type="paragraph" w:styleId="10">
    <w:name w:val="envelope return"/>
    <w:basedOn w:val="1"/>
    <w:qFormat/>
    <w:uiPriority w:val="0"/>
    <w:pPr>
      <w:snapToGrid w:val="0"/>
    </w:pPr>
    <w:rPr>
      <w:rFonts w:ascii="Arial" w:hAnsi="Arial"/>
    </w:rPr>
  </w:style>
  <w:style w:type="paragraph" w:styleId="11">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0"/>
  </w:style>
  <w:style w:type="paragraph" w:styleId="13">
    <w:name w:val="toc 2"/>
    <w:basedOn w:val="1"/>
    <w:next w:val="1"/>
    <w:qFormat/>
    <w:uiPriority w:val="0"/>
    <w:pPr>
      <w:ind w:left="420" w:leftChars="200"/>
    </w:pPr>
  </w:style>
  <w:style w:type="paragraph" w:styleId="14">
    <w:name w:val="Normal (Web)"/>
    <w:basedOn w:val="1"/>
    <w:qFormat/>
    <w:uiPriority w:val="0"/>
    <w:pPr>
      <w:spacing w:beforeAutospacing="1" w:afterAutospacing="1"/>
      <w:jc w:val="left"/>
    </w:pPr>
    <w:rPr>
      <w:kern w:val="0"/>
      <w:sz w:val="24"/>
    </w:rPr>
  </w:style>
  <w:style w:type="paragraph" w:styleId="15">
    <w:name w:val="annotation subject"/>
    <w:basedOn w:val="5"/>
    <w:next w:val="5"/>
    <w:link w:val="52"/>
    <w:qFormat/>
    <w:uiPriority w:val="0"/>
    <w:rPr>
      <w:b/>
      <w:bCs/>
    </w:rPr>
  </w:style>
  <w:style w:type="paragraph" w:styleId="16">
    <w:name w:val="Body Text First Indent"/>
    <w:basedOn w:val="6"/>
    <w:qFormat/>
    <w:uiPriority w:val="0"/>
    <w:pPr>
      <w:ind w:firstLine="200" w:firstLineChars="200"/>
    </w:pPr>
    <w:rPr>
      <w:sz w:val="24"/>
      <w:szCs w:val="21"/>
    </w:rPr>
  </w:style>
  <w:style w:type="paragraph" w:styleId="17">
    <w:name w:val="Body Text First Indent 2"/>
    <w:basedOn w:val="7"/>
    <w:qFormat/>
    <w:uiPriority w:val="0"/>
    <w:pPr>
      <w:tabs>
        <w:tab w:val="left" w:pos="5580"/>
      </w:tabs>
      <w:ind w:firstLine="420"/>
    </w:pPr>
    <w:rPr>
      <w:rFonts w:ascii="Times New Roman" w:hAnsi="Times New Roman"/>
    </w:rPr>
  </w:style>
  <w:style w:type="character" w:styleId="20">
    <w:name w:val="Hyperlink"/>
    <w:basedOn w:val="19"/>
    <w:qFormat/>
    <w:uiPriority w:val="99"/>
    <w:rPr>
      <w:color w:val="0000FF"/>
      <w:u w:val="single"/>
    </w:rPr>
  </w:style>
  <w:style w:type="character" w:styleId="21">
    <w:name w:val="annotation reference"/>
    <w:basedOn w:val="19"/>
    <w:qFormat/>
    <w:uiPriority w:val="0"/>
    <w:rPr>
      <w:sz w:val="21"/>
      <w:szCs w:val="21"/>
    </w:rPr>
  </w:style>
  <w:style w:type="paragraph" w:styleId="22">
    <w:name w:val="List Paragraph"/>
    <w:basedOn w:val="1"/>
    <w:qFormat/>
    <w:uiPriority w:val="99"/>
    <w:pPr>
      <w:ind w:firstLine="420" w:firstLineChars="200"/>
    </w:pPr>
  </w:style>
  <w:style w:type="paragraph" w:customStyle="1" w:styleId="23">
    <w:name w:val="列表段落1"/>
    <w:basedOn w:val="1"/>
    <w:qFormat/>
    <w:uiPriority w:val="0"/>
    <w:pPr>
      <w:spacing w:line="400" w:lineRule="exact"/>
      <w:ind w:firstLine="420"/>
    </w:pPr>
    <w:rPr>
      <w:rFonts w:ascii="Calibri" w:hAnsi="Calibri"/>
      <w:sz w:val="24"/>
      <w:szCs w:val="22"/>
    </w:rPr>
  </w:style>
  <w:style w:type="paragraph" w:customStyle="1" w:styleId="24">
    <w:name w:val="章名"/>
    <w:basedOn w:val="2"/>
    <w:next w:val="25"/>
    <w:qFormat/>
    <w:uiPriority w:val="0"/>
    <w:pPr>
      <w:numPr>
        <w:numId w:val="3"/>
      </w:numPr>
      <w:tabs>
        <w:tab w:val="clear" w:pos="425"/>
      </w:tabs>
      <w:spacing w:before="240" w:after="240" w:line="360" w:lineRule="auto"/>
    </w:pPr>
    <w:rPr>
      <w:rFonts w:ascii="黑体" w:eastAsia="黑体"/>
      <w:sz w:val="28"/>
    </w:rPr>
  </w:style>
  <w:style w:type="paragraph" w:customStyle="1" w:styleId="25">
    <w:name w:val="节名"/>
    <w:basedOn w:val="3"/>
    <w:next w:val="1"/>
    <w:qFormat/>
    <w:uiPriority w:val="0"/>
    <w:pPr>
      <w:numPr>
        <w:ilvl w:val="1"/>
        <w:numId w:val="3"/>
      </w:numPr>
      <w:spacing w:before="240" w:after="240"/>
    </w:pPr>
    <w:rPr>
      <w:b w:val="0"/>
    </w:rPr>
  </w:style>
  <w:style w:type="paragraph" w:customStyle="1" w:styleId="26">
    <w:name w:val="封面标准名称"/>
    <w:qFormat/>
    <w:uiPriority w:val="0"/>
    <w:pPr>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27">
    <w:name w:val="WPSOffice手动目录 1"/>
    <w:qFormat/>
    <w:uiPriority w:val="0"/>
    <w:rPr>
      <w:rFonts w:ascii="Times New Roman" w:hAnsi="Times New Roman" w:eastAsia="宋体" w:cs="Times New Roman"/>
      <w:lang w:val="en-US" w:eastAsia="zh-CN" w:bidi="ar-SA"/>
    </w:rPr>
  </w:style>
  <w:style w:type="paragraph" w:customStyle="1" w:styleId="28">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29">
    <w:name w:val="修订1"/>
    <w:hidden/>
    <w:unhideWhenUsed/>
    <w:qFormat/>
    <w:uiPriority w:val="99"/>
    <w:rPr>
      <w:rFonts w:ascii="Times New Roman" w:hAnsi="Times New Roman" w:eastAsia="宋体" w:cs="Times New Roman"/>
      <w:kern w:val="2"/>
      <w:sz w:val="21"/>
      <w:lang w:val="en-US" w:eastAsia="zh-CN" w:bidi="ar-SA"/>
    </w:rPr>
  </w:style>
  <w:style w:type="character" w:customStyle="1" w:styleId="30">
    <w:name w:val="first-child"/>
    <w:basedOn w:val="19"/>
    <w:qFormat/>
    <w:uiPriority w:val="0"/>
  </w:style>
  <w:style w:type="character" w:customStyle="1" w:styleId="31">
    <w:name w:val="layui-this"/>
    <w:basedOn w:val="19"/>
    <w:qFormat/>
    <w:uiPriority w:val="0"/>
    <w:rPr>
      <w:bdr w:val="single" w:color="EEEEEE" w:sz="6" w:space="0"/>
      <w:shd w:val="clear" w:color="auto" w:fill="FFFFFF"/>
    </w:rPr>
  </w:style>
  <w:style w:type="character" w:customStyle="1" w:styleId="32">
    <w:name w:val="批注框文本 字符"/>
    <w:basedOn w:val="19"/>
    <w:link w:val="8"/>
    <w:qFormat/>
    <w:uiPriority w:val="0"/>
    <w:rPr>
      <w:kern w:val="2"/>
      <w:sz w:val="18"/>
      <w:szCs w:val="18"/>
    </w:rPr>
  </w:style>
  <w:style w:type="paragraph" w:customStyle="1" w:styleId="33">
    <w:name w:val="标准1级标题章"/>
    <w:basedOn w:val="2"/>
    <w:next w:val="34"/>
    <w:qFormat/>
    <w:uiPriority w:val="0"/>
    <w:pPr>
      <w:tabs>
        <w:tab w:val="clear" w:pos="425"/>
      </w:tabs>
      <w:adjustRightInd w:val="0"/>
      <w:snapToGrid w:val="0"/>
      <w:spacing w:before="50" w:beforeLines="50" w:after="120" w:line="300" w:lineRule="auto"/>
    </w:pPr>
    <w:rPr>
      <w:rFonts w:ascii="Times New Roman" w:hAnsi="Times New Roman"/>
      <w:sz w:val="30"/>
      <w:szCs w:val="28"/>
    </w:rPr>
  </w:style>
  <w:style w:type="paragraph" w:customStyle="1" w:styleId="34">
    <w:name w:val="正文顶头"/>
    <w:basedOn w:val="1"/>
    <w:qFormat/>
    <w:uiPriority w:val="0"/>
  </w:style>
  <w:style w:type="paragraph" w:customStyle="1" w:styleId="35">
    <w:name w:val="标准3级条"/>
    <w:basedOn w:val="36"/>
    <w:qFormat/>
    <w:uiPriority w:val="0"/>
    <w:pPr>
      <w:tabs>
        <w:tab w:val="left" w:pos="540"/>
        <w:tab w:val="left" w:pos="720"/>
        <w:tab w:val="left" w:pos="900"/>
        <w:tab w:val="left" w:pos="1080"/>
      </w:tabs>
      <w:spacing w:before="50" w:beforeLines="50" w:line="300" w:lineRule="auto"/>
      <w:ind w:left="0" w:leftChars="0"/>
    </w:pPr>
    <w:rPr>
      <w:rFonts w:ascii="Times New Roman" w:hAnsi="Times New Roman" w:cs="Times New Roman"/>
      <w:bCs/>
    </w:rPr>
  </w:style>
  <w:style w:type="paragraph" w:customStyle="1" w:styleId="36">
    <w:name w:val="标准正文"/>
    <w:basedOn w:val="1"/>
    <w:qFormat/>
    <w:uiPriority w:val="0"/>
    <w:pPr>
      <w:tabs>
        <w:tab w:val="left" w:pos="540"/>
        <w:tab w:val="left" w:pos="720"/>
        <w:tab w:val="left" w:pos="900"/>
        <w:tab w:val="left" w:pos="1080"/>
      </w:tabs>
      <w:snapToGrid w:val="0"/>
      <w:spacing w:line="288" w:lineRule="auto"/>
      <w:ind w:left="2" w:leftChars="1" w:right="25" w:rightChars="12"/>
    </w:pPr>
    <w:rPr>
      <w:rFonts w:ascii="华文中宋" w:hAnsi="华文中宋" w:cs="方正小标宋简体"/>
      <w:color w:val="000000"/>
      <w:kern w:val="0"/>
      <w:sz w:val="24"/>
    </w:rPr>
  </w:style>
  <w:style w:type="paragraph" w:customStyle="1" w:styleId="37">
    <w:name w:val="标准4级款"/>
    <w:basedOn w:val="38"/>
    <w:qFormat/>
    <w:uiPriority w:val="0"/>
    <w:pPr>
      <w:snapToGrid w:val="0"/>
      <w:spacing w:before="50" w:beforeLines="50" w:line="300" w:lineRule="auto"/>
      <w:ind w:firstLine="561" w:firstLineChars="233"/>
    </w:pPr>
    <w:rPr>
      <w:bCs/>
      <w:color w:val="000000"/>
    </w:rPr>
  </w:style>
  <w:style w:type="paragraph" w:customStyle="1" w:styleId="38">
    <w:name w:val="列出段落1"/>
    <w:basedOn w:val="1"/>
    <w:qFormat/>
    <w:uiPriority w:val="34"/>
    <w:pPr>
      <w:ind w:firstLine="420" w:firstLineChars="200"/>
    </w:pPr>
  </w:style>
  <w:style w:type="paragraph" w:customStyle="1" w:styleId="39">
    <w:name w:val="标准2级标题节"/>
    <w:basedOn w:val="1"/>
    <w:next w:val="1"/>
    <w:qFormat/>
    <w:uiPriority w:val="0"/>
    <w:pPr>
      <w:keepNext/>
      <w:keepLines/>
      <w:spacing w:before="50" w:beforeLines="50" w:after="50" w:afterLines="50" w:line="300" w:lineRule="auto"/>
      <w:jc w:val="center"/>
      <w:outlineLvl w:val="1"/>
    </w:pPr>
    <w:rPr>
      <w:rFonts w:hint="eastAsia" w:ascii="宋体" w:hAnsi="宋体" w:eastAsia="黑体" w:cs="宋体"/>
      <w:sz w:val="28"/>
    </w:rPr>
  </w:style>
  <w:style w:type="paragraph" w:customStyle="1" w:styleId="40">
    <w:name w:val="标准4级表头"/>
    <w:basedOn w:val="1"/>
    <w:qFormat/>
    <w:uiPriority w:val="0"/>
    <w:pPr>
      <w:snapToGrid w:val="0"/>
      <w:spacing w:before="50" w:beforeLines="50" w:line="300" w:lineRule="auto"/>
      <w:jc w:val="center"/>
    </w:pPr>
    <w:rPr>
      <w:bCs/>
      <w:color w:val="000000"/>
    </w:rPr>
  </w:style>
  <w:style w:type="character" w:customStyle="1" w:styleId="41">
    <w:name w:val="标题 1 Char"/>
    <w:qFormat/>
    <w:locked/>
    <w:uiPriority w:val="99"/>
    <w:rPr>
      <w:rFonts w:ascii="楷体" w:hAnsi="楷体" w:eastAsia="楷体"/>
      <w:kern w:val="44"/>
      <w:sz w:val="44"/>
      <w:szCs w:val="44"/>
    </w:rPr>
  </w:style>
  <w:style w:type="paragraph" w:customStyle="1" w:styleId="42">
    <w:name w:val="附录标识"/>
    <w:basedOn w:val="1"/>
    <w:qFormat/>
    <w:uiPriority w:val="0"/>
    <w:pPr>
      <w:widowControl/>
      <w:shd w:val="clear" w:color="FFFFFF" w:fill="FFFFFF"/>
      <w:tabs>
        <w:tab w:val="left" w:pos="6405"/>
      </w:tabs>
      <w:spacing w:before="640" w:after="200"/>
      <w:ind w:left="900"/>
      <w:jc w:val="center"/>
      <w:outlineLvl w:val="0"/>
    </w:pPr>
    <w:rPr>
      <w:rFonts w:ascii="黑体" w:eastAsia="黑体" w:cs="黑体"/>
      <w:kern w:val="0"/>
    </w:rPr>
  </w:style>
  <w:style w:type="character" w:customStyle="1" w:styleId="43">
    <w:name w:val="标题 2 字符"/>
    <w:link w:val="3"/>
    <w:qFormat/>
    <w:uiPriority w:val="0"/>
    <w:rPr>
      <w:rFonts w:ascii="黑体" w:hAnsi="黑体" w:cs="黑体"/>
      <w:b/>
      <w:bCs/>
      <w:color w:val="333333"/>
      <w:kern w:val="2"/>
      <w:sz w:val="21"/>
      <w:szCs w:val="21"/>
    </w:rPr>
  </w:style>
  <w:style w:type="character" w:customStyle="1" w:styleId="44">
    <w:name w:val="标题 1 Char1"/>
    <w:qFormat/>
    <w:locked/>
    <w:uiPriority w:val="99"/>
    <w:rPr>
      <w:rFonts w:ascii="Times New Roman" w:hAnsi="Times New Roman" w:eastAsia="黑体" w:cs="Times New Roman"/>
      <w:bCs/>
      <w:kern w:val="44"/>
      <w:sz w:val="26"/>
      <w:szCs w:val="44"/>
      <w:lang w:val="en-US" w:eastAsia="zh-CN" w:bidi="ar-SA"/>
    </w:rPr>
  </w:style>
  <w:style w:type="paragraph" w:customStyle="1" w:styleId="45">
    <w:name w:val="标准5级段落"/>
    <w:basedOn w:val="1"/>
    <w:qFormat/>
    <w:uiPriority w:val="0"/>
    <w:pPr>
      <w:snapToGrid w:val="0"/>
      <w:spacing w:beforeLines="50" w:line="300" w:lineRule="auto"/>
      <w:ind w:firstLine="400" w:firstLineChars="200"/>
    </w:pPr>
    <w:rPr>
      <w:bCs/>
      <w:sz w:val="24"/>
      <w:szCs w:val="24"/>
    </w:rPr>
  </w:style>
  <w:style w:type="paragraph" w:customStyle="1" w:styleId="46">
    <w:name w:val="条文说明条"/>
    <w:basedOn w:val="1"/>
    <w:qFormat/>
    <w:uiPriority w:val="0"/>
    <w:pPr>
      <w:snapToGrid w:val="0"/>
      <w:spacing w:line="360" w:lineRule="auto"/>
    </w:pPr>
    <w:rPr>
      <w:bCs/>
      <w:color w:val="000000"/>
      <w:szCs w:val="24"/>
    </w:rPr>
  </w:style>
  <w:style w:type="paragraph" w:customStyle="1" w:styleId="47">
    <w:name w:val="条文说明款"/>
    <w:basedOn w:val="1"/>
    <w:qFormat/>
    <w:uiPriority w:val="0"/>
    <w:pPr>
      <w:snapToGrid w:val="0"/>
      <w:spacing w:line="360" w:lineRule="auto"/>
      <w:ind w:firstLine="400" w:firstLineChars="200"/>
    </w:pPr>
    <w:rPr>
      <w:szCs w:val="24"/>
    </w:rPr>
  </w:style>
  <w:style w:type="character" w:customStyle="1" w:styleId="48">
    <w:name w:val="font01"/>
    <w:basedOn w:val="19"/>
    <w:qFormat/>
    <w:uiPriority w:val="0"/>
    <w:rPr>
      <w:rFonts w:hint="eastAsia" w:ascii="宋体" w:hAnsi="宋体" w:eastAsia="宋体" w:cs="宋体"/>
      <w:color w:val="000000"/>
      <w:sz w:val="22"/>
      <w:szCs w:val="22"/>
      <w:u w:val="none"/>
    </w:rPr>
  </w:style>
  <w:style w:type="character" w:customStyle="1" w:styleId="49">
    <w:name w:val="font11"/>
    <w:basedOn w:val="19"/>
    <w:qFormat/>
    <w:uiPriority w:val="0"/>
    <w:rPr>
      <w:rFonts w:hint="default" w:ascii="Times New Roman" w:hAnsi="Times New Roman" w:cs="Times New Roman"/>
      <w:color w:val="000000"/>
      <w:sz w:val="22"/>
      <w:szCs w:val="22"/>
      <w:u w:val="none"/>
    </w:rPr>
  </w:style>
  <w:style w:type="character" w:customStyle="1" w:styleId="50">
    <w:name w:val="text_xbroq"/>
    <w:basedOn w:val="19"/>
    <w:qFormat/>
    <w:uiPriority w:val="0"/>
  </w:style>
  <w:style w:type="character" w:customStyle="1" w:styleId="51">
    <w:name w:val="批注文字 字符"/>
    <w:basedOn w:val="19"/>
    <w:link w:val="5"/>
    <w:qFormat/>
    <w:uiPriority w:val="0"/>
    <w:rPr>
      <w:kern w:val="2"/>
      <w:sz w:val="21"/>
    </w:rPr>
  </w:style>
  <w:style w:type="character" w:customStyle="1" w:styleId="52">
    <w:name w:val="批注主题 字符"/>
    <w:basedOn w:val="51"/>
    <w:link w:val="15"/>
    <w:qFormat/>
    <w:uiPriority w:val="0"/>
    <w:rPr>
      <w:b/>
      <w:bCs/>
      <w:kern w:val="2"/>
      <w:sz w:val="21"/>
    </w:rPr>
  </w:style>
  <w:style w:type="character" w:customStyle="1" w:styleId="53">
    <w:name w:val="标题 1 字符"/>
    <w:link w:val="2"/>
    <w:qFormat/>
    <w:locked/>
    <w:uiPriority w:val="99"/>
    <w:rPr>
      <w:rFonts w:ascii="Times New Roman" w:hAnsi="Times New Roman" w:eastAsia="黑体" w:cs="Times New Roman"/>
      <w:bCs/>
      <w:kern w:val="44"/>
      <w:sz w:val="26"/>
      <w:szCs w:val="44"/>
      <w:lang w:val="en-US" w:eastAsia="zh-CN" w:bidi="ar-SA"/>
    </w:rPr>
  </w:style>
</w:styles>
</file>

<file path=word/_rels/document.xml.rels><?xml version="1.0" encoding="UTF-8" standalone="yes"?>
<Relationships xmlns="http://schemas.openxmlformats.org/package/2006/relationships"><Relationship Id="rId91" Type="http://schemas.openxmlformats.org/officeDocument/2006/relationships/fontTable" Target="fontTable.xml"/><Relationship Id="rId90" Type="http://schemas.openxmlformats.org/officeDocument/2006/relationships/numbering" Target="numbering.xml"/><Relationship Id="rId9" Type="http://schemas.openxmlformats.org/officeDocument/2006/relationships/footer" Target="footer5.xml"/><Relationship Id="rId89" Type="http://schemas.openxmlformats.org/officeDocument/2006/relationships/customXml" Target="../customXml/item1.xml"/><Relationship Id="rId88" Type="http://schemas.openxmlformats.org/officeDocument/2006/relationships/image" Target="media/image78.jpeg"/><Relationship Id="rId87" Type="http://schemas.openxmlformats.org/officeDocument/2006/relationships/image" Target="media/image77.jpeg"/><Relationship Id="rId86" Type="http://schemas.openxmlformats.org/officeDocument/2006/relationships/image" Target="media/image76.jpeg"/><Relationship Id="rId85" Type="http://schemas.openxmlformats.org/officeDocument/2006/relationships/image" Target="media/image75.jpeg"/><Relationship Id="rId84" Type="http://schemas.openxmlformats.org/officeDocument/2006/relationships/image" Target="media/image74.jpeg"/><Relationship Id="rId83" Type="http://schemas.openxmlformats.org/officeDocument/2006/relationships/image" Target="media/image73.jpeg"/><Relationship Id="rId82" Type="http://schemas.openxmlformats.org/officeDocument/2006/relationships/image" Target="media/image72.wmf"/><Relationship Id="rId81" Type="http://schemas.openxmlformats.org/officeDocument/2006/relationships/image" Target="media/image71.wmf"/><Relationship Id="rId80" Type="http://schemas.openxmlformats.org/officeDocument/2006/relationships/image" Target="media/image70.wmf"/><Relationship Id="rId8" Type="http://schemas.openxmlformats.org/officeDocument/2006/relationships/footer" Target="footer4.xml"/><Relationship Id="rId79" Type="http://schemas.openxmlformats.org/officeDocument/2006/relationships/image" Target="media/image69.wmf"/><Relationship Id="rId78" Type="http://schemas.openxmlformats.org/officeDocument/2006/relationships/image" Target="media/image68.wmf"/><Relationship Id="rId77" Type="http://schemas.openxmlformats.org/officeDocument/2006/relationships/image" Target="media/image67.wmf"/><Relationship Id="rId76" Type="http://schemas.openxmlformats.org/officeDocument/2006/relationships/image" Target="media/image66.wmf"/><Relationship Id="rId75" Type="http://schemas.openxmlformats.org/officeDocument/2006/relationships/image" Target="media/image65.wmf"/><Relationship Id="rId74" Type="http://schemas.openxmlformats.org/officeDocument/2006/relationships/image" Target="media/image64.wmf"/><Relationship Id="rId73" Type="http://schemas.openxmlformats.org/officeDocument/2006/relationships/image" Target="media/image63.wmf"/><Relationship Id="rId72" Type="http://schemas.openxmlformats.org/officeDocument/2006/relationships/image" Target="media/image62.wmf"/><Relationship Id="rId71" Type="http://schemas.openxmlformats.org/officeDocument/2006/relationships/image" Target="media/image61.wmf"/><Relationship Id="rId70" Type="http://schemas.openxmlformats.org/officeDocument/2006/relationships/image" Target="media/image60.wmf"/><Relationship Id="rId7" Type="http://schemas.openxmlformats.org/officeDocument/2006/relationships/header" Target="header2.xml"/><Relationship Id="rId69" Type="http://schemas.openxmlformats.org/officeDocument/2006/relationships/image" Target="media/image59.wmf"/><Relationship Id="rId68" Type="http://schemas.openxmlformats.org/officeDocument/2006/relationships/image" Target="media/image58.wmf"/><Relationship Id="rId67" Type="http://schemas.openxmlformats.org/officeDocument/2006/relationships/image" Target="media/image57.wmf"/><Relationship Id="rId66" Type="http://schemas.openxmlformats.org/officeDocument/2006/relationships/image" Target="media/image56.wmf"/><Relationship Id="rId65" Type="http://schemas.openxmlformats.org/officeDocument/2006/relationships/image" Target="media/image55.wmf"/><Relationship Id="rId64" Type="http://schemas.openxmlformats.org/officeDocument/2006/relationships/image" Target="media/image54.wmf"/><Relationship Id="rId63" Type="http://schemas.openxmlformats.org/officeDocument/2006/relationships/image" Target="media/image53.wmf"/><Relationship Id="rId62" Type="http://schemas.openxmlformats.org/officeDocument/2006/relationships/image" Target="media/image52.wmf"/><Relationship Id="rId61" Type="http://schemas.openxmlformats.org/officeDocument/2006/relationships/image" Target="media/image51.wmf"/><Relationship Id="rId60" Type="http://schemas.openxmlformats.org/officeDocument/2006/relationships/image" Target="media/image50.wmf"/><Relationship Id="rId6" Type="http://schemas.openxmlformats.org/officeDocument/2006/relationships/footer" Target="footer3.xml"/><Relationship Id="rId59" Type="http://schemas.openxmlformats.org/officeDocument/2006/relationships/image" Target="media/image49.wmf"/><Relationship Id="rId58" Type="http://schemas.openxmlformats.org/officeDocument/2006/relationships/image" Target="media/image48.wmf"/><Relationship Id="rId57" Type="http://schemas.openxmlformats.org/officeDocument/2006/relationships/image" Target="media/image47.wmf"/><Relationship Id="rId56" Type="http://schemas.openxmlformats.org/officeDocument/2006/relationships/image" Target="media/image46.wmf"/><Relationship Id="rId55" Type="http://schemas.openxmlformats.org/officeDocument/2006/relationships/image" Target="media/image45.wmf"/><Relationship Id="rId54" Type="http://schemas.openxmlformats.org/officeDocument/2006/relationships/image" Target="media/image44.wmf"/><Relationship Id="rId53" Type="http://schemas.openxmlformats.org/officeDocument/2006/relationships/image" Target="media/image43.wmf"/><Relationship Id="rId52" Type="http://schemas.openxmlformats.org/officeDocument/2006/relationships/image" Target="media/image42.wmf"/><Relationship Id="rId51" Type="http://schemas.openxmlformats.org/officeDocument/2006/relationships/image" Target="media/image41.wmf"/><Relationship Id="rId50" Type="http://schemas.openxmlformats.org/officeDocument/2006/relationships/image" Target="media/image40.wmf"/><Relationship Id="rId5" Type="http://schemas.openxmlformats.org/officeDocument/2006/relationships/footer" Target="footer2.xml"/><Relationship Id="rId49" Type="http://schemas.openxmlformats.org/officeDocument/2006/relationships/image" Target="media/image39.wmf"/><Relationship Id="rId48" Type="http://schemas.openxmlformats.org/officeDocument/2006/relationships/image" Target="media/image38.wmf"/><Relationship Id="rId47" Type="http://schemas.openxmlformats.org/officeDocument/2006/relationships/image" Target="media/image37.wmf"/><Relationship Id="rId46" Type="http://schemas.openxmlformats.org/officeDocument/2006/relationships/image" Target="media/image36.wmf"/><Relationship Id="rId45" Type="http://schemas.openxmlformats.org/officeDocument/2006/relationships/image" Target="media/image35.wmf"/><Relationship Id="rId44" Type="http://schemas.openxmlformats.org/officeDocument/2006/relationships/image" Target="media/image34.wmf"/><Relationship Id="rId43" Type="http://schemas.openxmlformats.org/officeDocument/2006/relationships/image" Target="media/image33.wmf"/><Relationship Id="rId42" Type="http://schemas.openxmlformats.org/officeDocument/2006/relationships/image" Target="media/image32.wmf"/><Relationship Id="rId41" Type="http://schemas.openxmlformats.org/officeDocument/2006/relationships/image" Target="media/image31.wmf"/><Relationship Id="rId40" Type="http://schemas.openxmlformats.org/officeDocument/2006/relationships/image" Target="media/image30.wmf"/><Relationship Id="rId4" Type="http://schemas.openxmlformats.org/officeDocument/2006/relationships/footer" Target="footer1.xml"/><Relationship Id="rId39" Type="http://schemas.openxmlformats.org/officeDocument/2006/relationships/image" Target="media/image29.wmf"/><Relationship Id="rId38" Type="http://schemas.openxmlformats.org/officeDocument/2006/relationships/image" Target="media/image28.wmf"/><Relationship Id="rId37" Type="http://schemas.openxmlformats.org/officeDocument/2006/relationships/image" Target="media/image27.wmf"/><Relationship Id="rId36" Type="http://schemas.openxmlformats.org/officeDocument/2006/relationships/image" Target="media/image26.wmf"/><Relationship Id="rId35" Type="http://schemas.openxmlformats.org/officeDocument/2006/relationships/image" Target="media/image25.wmf"/><Relationship Id="rId34" Type="http://schemas.openxmlformats.org/officeDocument/2006/relationships/image" Target="media/image24.wmf"/><Relationship Id="rId33" Type="http://schemas.openxmlformats.org/officeDocument/2006/relationships/image" Target="media/image23.wmf"/><Relationship Id="rId32" Type="http://schemas.openxmlformats.org/officeDocument/2006/relationships/image" Target="media/image22.wmf"/><Relationship Id="rId31" Type="http://schemas.openxmlformats.org/officeDocument/2006/relationships/image" Target="media/image21.wmf"/><Relationship Id="rId30" Type="http://schemas.openxmlformats.org/officeDocument/2006/relationships/image" Target="media/image20.wmf"/><Relationship Id="rId3" Type="http://schemas.openxmlformats.org/officeDocument/2006/relationships/header" Target="header1.xml"/><Relationship Id="rId29" Type="http://schemas.openxmlformats.org/officeDocument/2006/relationships/image" Target="media/image19.wmf"/><Relationship Id="rId28" Type="http://schemas.openxmlformats.org/officeDocument/2006/relationships/image" Target="media/image18.wmf"/><Relationship Id="rId27" Type="http://schemas.openxmlformats.org/officeDocument/2006/relationships/image" Target="media/image17.wmf"/><Relationship Id="rId26" Type="http://schemas.openxmlformats.org/officeDocument/2006/relationships/image" Target="media/image16.wmf"/><Relationship Id="rId25" Type="http://schemas.openxmlformats.org/officeDocument/2006/relationships/image" Target="media/image15.wmf"/><Relationship Id="rId24" Type="http://schemas.openxmlformats.org/officeDocument/2006/relationships/image" Target="media/image14.wmf"/><Relationship Id="rId23" Type="http://schemas.openxmlformats.org/officeDocument/2006/relationships/image" Target="media/image13.wmf"/><Relationship Id="rId22" Type="http://schemas.openxmlformats.org/officeDocument/2006/relationships/image" Target="media/image12.wmf"/><Relationship Id="rId21" Type="http://schemas.openxmlformats.org/officeDocument/2006/relationships/image" Target="media/image11.wmf"/><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image" Target="media/image8.wmf"/><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wmf"/><Relationship Id="rId14" Type="http://schemas.openxmlformats.org/officeDocument/2006/relationships/image" Target="media/image4.wmf"/><Relationship Id="rId13" Type="http://schemas.openxmlformats.org/officeDocument/2006/relationships/image" Target="media/image3.wmf"/><Relationship Id="rId12" Type="http://schemas.openxmlformats.org/officeDocument/2006/relationships/image" Target="media/image2.png"/><Relationship Id="rId11" Type="http://schemas.openxmlformats.org/officeDocument/2006/relationships/image" Target="media/image1.wmf"/><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8" Type="http://schemas.openxmlformats.org/officeDocument/2006/relationships/font" Target="fonts/font18.odttf"/><Relationship Id="rId17" Type="http://schemas.openxmlformats.org/officeDocument/2006/relationships/font" Target="fonts/font17.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123</Pages>
  <Words>16287</Words>
  <Characters>20553</Characters>
  <Lines>2266</Lines>
  <Paragraphs>2383</Paragraphs>
  <TotalTime>17</TotalTime>
  <ScaleCrop>false</ScaleCrop>
  <LinksUpToDate>false</LinksUpToDate>
  <CharactersWithSpaces>22300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2026-06-24T17:48:00Z</dcterms:created>
  <dc:creator>石头</dc:creator>
  <cp:lastModifiedBy>HB</cp:lastModifiedBy>
  <cp:lastPrinted>2025-01-03T23:35:00Z</cp:lastPrinted>
  <dcterms:modified xsi:type="dcterms:W3CDTF">2026-10-08T07:12:51Z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82062061DEBA40B1AC3C07FF4A48D40D_13</vt:lpwstr>
  </property>
  <property fmtid="{D5CDD505-2E9C-101B-9397-08002B2CF9AE}" pid="4" name="KSOTemplateDocerSaveRecord">
    <vt:lpwstr>eyJoZGlkIjoiMjM3OTdlOWQ3YjEyM2E3ODY0MjdkNTQzZGJjZThiMzMiLCJ1c2VySWQiOiIyNDMxMDg0MDMifQ==</vt:lpwstr>
  </property>
</Properties>
</file>