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97BC8">
      <w:pPr>
        <w:widowControl/>
        <w:wordWrap w:val="0"/>
        <w:jc w:val="right"/>
        <w:rPr>
          <w:rFonts w:eastAsia="黑体"/>
        </w:rPr>
      </w:pPr>
      <w:r>
        <w:rPr>
          <w:rFonts w:hint="eastAsia" w:ascii="方正黑体_GBK" w:hAnsi="方正黑体_GBK" w:eastAsia="方正黑体_GBK" w:cs="方正黑体_GBK"/>
          <w:kern w:val="0"/>
          <w:position w:val="4"/>
          <w:sz w:val="52"/>
          <w:szCs w:val="52"/>
        </w:rPr>
        <w:t>北 京 市 地 方 标 准</w:t>
      </w:r>
      <w:r>
        <w:rPr>
          <w:rFonts w:hint="eastAsia" w:eastAsia="方正大标宋简体"/>
          <w:kern w:val="0"/>
          <w:position w:val="4"/>
          <w:sz w:val="56"/>
          <w:szCs w:val="56"/>
        </w:rPr>
        <w:t xml:space="preserve">  </w:t>
      </w:r>
      <w:r>
        <w:rPr>
          <w:rFonts w:hint="eastAsia" w:eastAsia="方正大标宋简体"/>
          <w:kern w:val="0"/>
          <w:position w:val="4"/>
          <w:sz w:val="60"/>
        </w:rPr>
        <w:drawing>
          <wp:inline distT="0" distB="0" distL="0" distR="0">
            <wp:extent cx="1210310" cy="618490"/>
            <wp:effectExtent l="0" t="0" r="8890" b="10160"/>
            <wp:docPr id="10" name="图片 1" descr="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TB"/>
                    <pic:cNvPicPr>
                      <a:picLocks noChangeAspect="1" noChangeArrowheads="1"/>
                    </pic:cNvPicPr>
                  </pic:nvPicPr>
                  <pic:blipFill>
                    <a:blip r:embed="rId6" cstate="print"/>
                    <a:srcRect/>
                    <a:stretch>
                      <a:fillRect/>
                    </a:stretch>
                  </pic:blipFill>
                  <pic:spPr>
                    <a:xfrm>
                      <a:off x="0" y="0"/>
                      <a:ext cx="1210310" cy="618490"/>
                    </a:xfrm>
                    <a:prstGeom prst="rect">
                      <a:avLst/>
                    </a:prstGeom>
                    <a:noFill/>
                    <a:ln w="9525">
                      <a:noFill/>
                      <a:miter lim="800000"/>
                      <a:headEnd/>
                      <a:tailEnd/>
                    </a:ln>
                  </pic:spPr>
                </pic:pic>
              </a:graphicData>
            </a:graphic>
          </wp:inline>
        </w:drawing>
      </w:r>
    </w:p>
    <w:p w14:paraId="6A5E89BC">
      <w:pPr>
        <w:widowControl/>
        <w:jc w:val="left"/>
        <w:rPr>
          <w:rFonts w:eastAsia="黑体"/>
        </w:rPr>
      </w:pPr>
    </w:p>
    <w:p w14:paraId="47D6E895">
      <w:pPr>
        <w:widowControl/>
        <w:ind w:left="4160" w:leftChars="1300"/>
        <w:rPr>
          <w:rFonts w:eastAsia="方正黑体_GBK"/>
        </w:rPr>
      </w:pPr>
      <w:r>
        <w:rPr>
          <w:rFonts w:hint="eastAsia" w:ascii="方正黑体_GBK" w:hAnsi="方正黑体_GBK" w:eastAsia="方正黑体_GBK" w:cs="方正黑体_GBK"/>
        </w:rPr>
        <w:t>编  号：DB11/T XXXX-2027</w:t>
      </w:r>
    </w:p>
    <w:p w14:paraId="1AA57C90">
      <w:pPr>
        <w:widowControl/>
        <w:ind w:left="4160" w:leftChars="1300"/>
        <w:rPr>
          <w:rFonts w:ascii="方正黑体_GBK" w:hAnsi="方正黑体_GBK" w:eastAsia="方正黑体_GBK" w:cs="方正黑体_GBK"/>
        </w:rPr>
      </w:pPr>
      <w:r>
        <w:rPr>
          <w:rFonts w:hint="eastAsia" w:ascii="方正黑体_GBK" w:hAnsi="方正黑体_GBK" w:eastAsia="方正黑体_GBK" w:cs="方正黑体_GBK"/>
        </w:rPr>
        <w:t>备案号：JXXXX-2027</w:t>
      </w:r>
    </w:p>
    <w:p w14:paraId="59A87162">
      <w:pPr>
        <w:widowControl/>
        <w:jc w:val="left"/>
        <w:rPr>
          <w:rFonts w:eastAsia="黑体"/>
        </w:rPr>
      </w:pPr>
      <w:r>
        <w:rPr>
          <w:rFonts w:eastAsia="黑体"/>
        </w:rPr>
        <mc:AlternateContent>
          <mc:Choice Requires="wps">
            <w:drawing>
              <wp:anchor distT="0" distB="0" distL="114300" distR="114300" simplePos="0" relativeHeight="251659264" behindDoc="0" locked="0" layoutInCell="1" allowOverlap="1">
                <wp:simplePos x="0" y="0"/>
                <wp:positionH relativeFrom="column">
                  <wp:posOffset>-22225</wp:posOffset>
                </wp:positionH>
                <wp:positionV relativeFrom="paragraph">
                  <wp:posOffset>3810</wp:posOffset>
                </wp:positionV>
                <wp:extent cx="5293360" cy="0"/>
                <wp:effectExtent l="0" t="4445" r="0" b="5080"/>
                <wp:wrapNone/>
                <wp:docPr id="13" name="直接箭头连接符 13"/>
                <wp:cNvGraphicFramePr/>
                <a:graphic xmlns:a="http://schemas.openxmlformats.org/drawingml/2006/main">
                  <a:graphicData uri="http://schemas.microsoft.com/office/word/2010/wordprocessingShape">
                    <wps:wsp>
                      <wps:cNvCnPr/>
                      <wps:spPr>
                        <a:xfrm>
                          <a:off x="0" y="0"/>
                          <a:ext cx="52933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75pt;margin-top:0.3pt;height:0pt;width:416.8pt;z-index:251659264;mso-width-relative:page;mso-height-relative:page;" filled="f" stroked="t" coordsize="21600,21600" o:gfxdata="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wb0nTAAAABAEAAA8AAAAAAAAAAQAgAAAAIgAAAGRycy9kb3ducmV2Lnht&#10;bFBLAQIUABQAAAAIAIdO4kAgyUc8/gEAAO4DAAAOAAAAAAAAAAEAIAAAACIBAABkcnMvZTJvRG9j&#10;LnhtbFBLBQYAAAAABgAGAFkBAACSBQAAAAA=&#10;">
                <v:fill on="f" focussize="0,0"/>
                <v:stroke color="#000000" joinstyle="round"/>
                <v:imagedata o:title=""/>
                <o:lock v:ext="edit" aspectratio="f"/>
              </v:shape>
            </w:pict>
          </mc:Fallback>
        </mc:AlternateContent>
      </w:r>
    </w:p>
    <w:p w14:paraId="2E12AAF9">
      <w:pPr>
        <w:widowControl/>
        <w:jc w:val="center"/>
        <w:rPr>
          <w:rFonts w:eastAsia="黑体"/>
        </w:rPr>
      </w:pPr>
      <w:bookmarkStart w:id="0" w:name="OLE_LINK27"/>
      <w:bookmarkStart w:id="1" w:name="OLE_LINK28"/>
      <w:bookmarkStart w:id="2" w:name="OLE_LINK34"/>
      <w:r>
        <w:rPr>
          <w:rFonts w:hint="eastAsia" w:ascii="方正黑体_GBK" w:hAnsi="方正黑体_GBK" w:eastAsia="方正黑体_GBK" w:cs="方正黑体_GBK"/>
          <w:sz w:val="52"/>
        </w:rPr>
        <w:t>建筑工程抗浮设计标准</w:t>
      </w:r>
    </w:p>
    <w:bookmarkEnd w:id="0"/>
    <w:bookmarkEnd w:id="1"/>
    <w:bookmarkEnd w:id="2"/>
    <w:p w14:paraId="1D35DB4A">
      <w:pPr>
        <w:widowControl/>
        <w:jc w:val="center"/>
        <w:rPr>
          <w:kern w:val="0"/>
          <w:sz w:val="30"/>
          <w:szCs w:val="30"/>
        </w:rPr>
      </w:pPr>
      <w:r>
        <w:rPr>
          <w:rFonts w:hint="eastAsia"/>
          <w:kern w:val="0"/>
          <w:sz w:val="30"/>
          <w:szCs w:val="30"/>
        </w:rPr>
        <w:t>Design standard for building engineering against uplift</w:t>
      </w:r>
    </w:p>
    <w:p w14:paraId="362A6EA4">
      <w:pPr>
        <w:widowControl/>
        <w:jc w:val="left"/>
        <w:rPr>
          <w:rFonts w:eastAsia="黑体"/>
        </w:rPr>
      </w:pPr>
    </w:p>
    <w:p w14:paraId="14E34B5E">
      <w:pPr>
        <w:widowControl/>
        <w:jc w:val="center"/>
        <w:rPr>
          <w:rFonts w:eastAsia="黑体"/>
        </w:rPr>
      </w:pPr>
      <w:r>
        <w:rPr>
          <w:rFonts w:hint="eastAsia" w:eastAsia="黑体"/>
        </w:rPr>
        <w:t>（征求意见稿）</w:t>
      </w:r>
    </w:p>
    <w:p w14:paraId="6ECF1B0E">
      <w:pPr>
        <w:widowControl/>
        <w:jc w:val="left"/>
        <w:rPr>
          <w:rFonts w:eastAsia="黑体"/>
        </w:rPr>
      </w:pPr>
    </w:p>
    <w:p w14:paraId="1A4DD3FC">
      <w:pPr>
        <w:widowControl/>
        <w:jc w:val="left"/>
        <w:rPr>
          <w:rFonts w:eastAsia="黑体"/>
        </w:rPr>
      </w:pPr>
    </w:p>
    <w:p w14:paraId="36CA339A">
      <w:pPr>
        <w:widowControl/>
        <w:jc w:val="left"/>
        <w:rPr>
          <w:rFonts w:eastAsia="黑体"/>
        </w:rPr>
      </w:pPr>
    </w:p>
    <w:p w14:paraId="062A789C">
      <w:pPr>
        <w:widowControl/>
        <w:jc w:val="left"/>
        <w:rPr>
          <w:rFonts w:eastAsia="黑体"/>
        </w:rPr>
      </w:pPr>
    </w:p>
    <w:p w14:paraId="2661AE19">
      <w:pPr>
        <w:widowControl/>
        <w:jc w:val="left"/>
        <w:rPr>
          <w:rFonts w:eastAsia="黑体"/>
        </w:rPr>
      </w:pPr>
    </w:p>
    <w:p w14:paraId="0C60BC1E">
      <w:pPr>
        <w:widowControl/>
        <w:jc w:val="left"/>
        <w:rPr>
          <w:rFonts w:eastAsia="黑体"/>
        </w:rPr>
      </w:pPr>
    </w:p>
    <w:p w14:paraId="761D85DD">
      <w:pPr>
        <w:widowControl/>
        <w:jc w:val="left"/>
        <w:rPr>
          <w:rFonts w:ascii="黑体" w:hAnsi="黑体" w:eastAsia="黑体"/>
          <w:szCs w:val="32"/>
        </w:rPr>
      </w:pPr>
      <w:r>
        <w:rPr>
          <w:rFonts w:hint="eastAsia" w:ascii="方正黑体_GBK" w:hAnsi="方正黑体_GBK" w:eastAsia="方正黑体_GBK" w:cs="方正黑体_GBK"/>
          <w:szCs w:val="32"/>
        </w:rPr>
        <w:t>2027-xx-xx发布</w:t>
      </w:r>
      <w:r>
        <w:rPr>
          <w:rFonts w:hint="eastAsia" w:ascii="黑体" w:hAnsi="黑体" w:eastAsia="黑体" w:cs="Arial"/>
          <w:szCs w:val="32"/>
        </w:rPr>
        <w:t xml:space="preserve">                    </w:t>
      </w:r>
      <w:r>
        <w:rPr>
          <w:rFonts w:hint="eastAsia" w:ascii="方正黑体_GBK" w:hAnsi="方正黑体_GBK" w:eastAsia="方正黑体_GBK" w:cs="方正黑体_GBK"/>
          <w:szCs w:val="32"/>
        </w:rPr>
        <w:t>2027-xx-xx实施</w:t>
      </w:r>
    </w:p>
    <w:p w14:paraId="65A56D9D">
      <w:pPr>
        <w:widowControl/>
        <w:jc w:val="left"/>
        <w:rPr>
          <w:rFonts w:eastAsia="黑体"/>
        </w:rPr>
      </w:pPr>
      <w:r>
        <w:rPr>
          <w:rFonts w:hint="eastAsia" w:ascii="方正黑体_GBK" w:hAnsi="方正黑体_GBK" w:eastAsia="方正黑体_GBK" w:cs="方正黑体_GBK"/>
          <w:spacing w:val="8"/>
          <w:kern w:val="0"/>
          <w:sz w:val="36"/>
        </w:rPr>
        <mc:AlternateContent>
          <mc:Choice Requires="wps">
            <w:drawing>
              <wp:anchor distT="0" distB="0" distL="114300" distR="114300" simplePos="0" relativeHeight="251661312" behindDoc="0" locked="0" layoutInCell="1" allowOverlap="1">
                <wp:simplePos x="0" y="0"/>
                <wp:positionH relativeFrom="column">
                  <wp:posOffset>3896995</wp:posOffset>
                </wp:positionH>
                <wp:positionV relativeFrom="paragraph">
                  <wp:posOffset>174625</wp:posOffset>
                </wp:positionV>
                <wp:extent cx="1378585" cy="50292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378585" cy="502920"/>
                        </a:xfrm>
                        <a:prstGeom prst="rect">
                          <a:avLst/>
                        </a:prstGeom>
                        <a:noFill/>
                        <a:ln>
                          <a:noFill/>
                        </a:ln>
                      </wps:spPr>
                      <wps:txbx>
                        <w:txbxContent>
                          <w:p w14:paraId="02DC5BFB">
                            <w:pPr>
                              <w:jc w:val="center"/>
                              <w:rPr>
                                <w:rFonts w:ascii="方正黑体_GBK" w:hAnsi="方正黑体_GBK" w:eastAsia="方正黑体_GBK" w:cs="方正黑体_GBK"/>
                                <w:sz w:val="36"/>
                              </w:rPr>
                            </w:pPr>
                            <w:r>
                              <w:rPr>
                                <w:rFonts w:hint="eastAsia" w:ascii="方正黑体_GBK" w:hAnsi="方正黑体_GBK" w:eastAsia="方正黑体_GBK" w:cs="方正黑体_GBK"/>
                                <w:sz w:val="36"/>
                              </w:rPr>
                              <w:t>联合发布</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06.85pt;margin-top:13.75pt;height:39.6pt;width:108.55pt;z-index:251661312;mso-width-relative:page;mso-height-relative:margin;mso-height-percent:200;" filled="f" stroked="f" coordsize="21600,21600" o:gfxdata="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azoBNcAAAAKAQAADwAAAAAAAAABACAAAAAiAAAAZHJzL2Rvd25yZXYueG1sUEsBAhQA&#10;FAAAAAgAh07iQHJM9eO6AQAAagMAAA4AAAAAAAAAAQAgAAAAJgEAAGRycy9lMm9Eb2MueG1sUEsF&#10;BgAAAAAGAAYAWQEAAFIFAAAAAA==&#10;">
                <v:fill on="f" focussize="0,0"/>
                <v:stroke on="f"/>
                <v:imagedata o:title=""/>
                <o:lock v:ext="edit" aspectratio="f"/>
                <v:textbox style="mso-fit-shape-to-text:t;">
                  <w:txbxContent>
                    <w:p w14:paraId="02DC5BFB">
                      <w:pPr>
                        <w:jc w:val="center"/>
                        <w:rPr>
                          <w:rFonts w:ascii="方正黑体_GBK" w:hAnsi="方正黑体_GBK" w:eastAsia="方正黑体_GBK" w:cs="方正黑体_GBK"/>
                          <w:sz w:val="36"/>
                        </w:rPr>
                      </w:pPr>
                      <w:r>
                        <w:rPr>
                          <w:rFonts w:hint="eastAsia" w:ascii="方正黑体_GBK" w:hAnsi="方正黑体_GBK" w:eastAsia="方正黑体_GBK" w:cs="方正黑体_GBK"/>
                          <w:sz w:val="36"/>
                        </w:rPr>
                        <w:t>联合发布</w:t>
                      </w:r>
                    </w:p>
                  </w:txbxContent>
                </v:textbox>
              </v:shape>
            </w:pict>
          </mc:Fallback>
        </mc:AlternateContent>
      </w:r>
      <w:r>
        <w:rPr>
          <w:rFonts w:hint="eastAsia" w:ascii="方正黑体_GBK" w:hAnsi="方正黑体_GBK" w:eastAsia="方正黑体_GBK" w:cs="方正黑体_GBK"/>
        </w:rPr>
        <mc:AlternateContent>
          <mc:Choice Requires="wps">
            <w:drawing>
              <wp:anchor distT="0" distB="0" distL="114300" distR="114300" simplePos="0" relativeHeight="251660288" behindDoc="0" locked="0" layoutInCell="1" allowOverlap="1">
                <wp:simplePos x="0" y="0"/>
                <wp:positionH relativeFrom="column">
                  <wp:posOffset>-22225</wp:posOffset>
                </wp:positionH>
                <wp:positionV relativeFrom="paragraph">
                  <wp:posOffset>0</wp:posOffset>
                </wp:positionV>
                <wp:extent cx="5280660" cy="0"/>
                <wp:effectExtent l="0" t="4445" r="0" b="5080"/>
                <wp:wrapNone/>
                <wp:docPr id="14" name="直接箭头连接符 14"/>
                <wp:cNvGraphicFramePr/>
                <a:graphic xmlns:a="http://schemas.openxmlformats.org/drawingml/2006/main">
                  <a:graphicData uri="http://schemas.microsoft.com/office/word/2010/wordprocessingShape">
                    <wps:wsp>
                      <wps:cNvCnPr/>
                      <wps:spPr>
                        <a:xfrm>
                          <a:off x="0" y="0"/>
                          <a:ext cx="52806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75pt;margin-top:0pt;height:0pt;width:415.8pt;z-index:251660288;mso-width-relative:page;mso-height-relative:page;" filled="f" stroked="t" coordsize="21600,21600" o:gfxdata="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VrGzTTAAAABAEAAA8AAAAAAAAAAQAgAAAAIgAAAGRycy9kb3ducmV2Lnht&#10;bFBLAQIUABQAAAAIAIdO4kAbAAKy/gEAAO4DAAAOAAAAAAAAAAEAIAAAACIBAABkcnMvZTJvRG9j&#10;LnhtbFBLBQYAAAAABgAGAFkBAACSBQAAAAA=&#10;">
                <v:fill on="f" focussize="0,0"/>
                <v:stroke color="#000000" joinstyle="round"/>
                <v:imagedata o:title=""/>
                <o:lock v:ext="edit" aspectratio="f"/>
              </v:shape>
            </w:pict>
          </mc:Fallback>
        </mc:AlternateContent>
      </w:r>
      <w:r>
        <w:rPr>
          <w:rFonts w:hint="eastAsia" w:ascii="方正黑体_GBK" w:hAnsi="方正黑体_GBK" w:eastAsia="方正黑体_GBK" w:cs="方正黑体_GBK"/>
          <w:spacing w:val="67"/>
          <w:kern w:val="0"/>
          <w:sz w:val="36"/>
          <w:fitText w:val="6300" w:id="1981416356"/>
        </w:rPr>
        <w:t>北京市规划和自然资源委员</w:t>
      </w:r>
      <w:r>
        <w:rPr>
          <w:rFonts w:hint="eastAsia" w:ascii="方正黑体_GBK" w:hAnsi="方正黑体_GBK" w:eastAsia="方正黑体_GBK" w:cs="方正黑体_GBK"/>
          <w:spacing w:val="6"/>
          <w:kern w:val="0"/>
          <w:sz w:val="36"/>
          <w:fitText w:val="6300" w:id="1981416356"/>
        </w:rPr>
        <w:t>会</w:t>
      </w:r>
    </w:p>
    <w:p w14:paraId="166B0378">
      <w:pPr>
        <w:widowControl/>
        <w:jc w:val="left"/>
        <w:rPr>
          <w:rFonts w:ascii="方正黑体_GBK" w:hAnsi="方正黑体_GBK" w:eastAsia="方正黑体_GBK" w:cs="方正黑体_GBK"/>
        </w:rPr>
      </w:pPr>
      <w:r>
        <w:rPr>
          <w:rFonts w:hint="eastAsia" w:ascii="方正黑体_GBK" w:hAnsi="方正黑体_GBK" w:eastAsia="方正黑体_GBK" w:cs="方正黑体_GBK"/>
          <w:spacing w:val="150"/>
          <w:kern w:val="0"/>
          <w:sz w:val="36"/>
          <w:fitText w:val="6300" w:id="29979462"/>
        </w:rPr>
        <w:t>北京市市场监督管理</w:t>
      </w:r>
      <w:r>
        <w:rPr>
          <w:rFonts w:hint="eastAsia" w:ascii="方正黑体_GBK" w:hAnsi="方正黑体_GBK" w:eastAsia="方正黑体_GBK" w:cs="方正黑体_GBK"/>
          <w:spacing w:val="0"/>
          <w:kern w:val="0"/>
          <w:sz w:val="36"/>
          <w:fitText w:val="6300" w:id="29979462"/>
        </w:rPr>
        <w:t>局</w:t>
      </w:r>
    </w:p>
    <w:p w14:paraId="2270C77F">
      <w:pPr>
        <w:spacing w:line="360" w:lineRule="auto"/>
        <w:rPr>
          <w:rFonts w:eastAsiaTheme="minorEastAsia"/>
          <w:sz w:val="24"/>
          <w:szCs w:val="24"/>
        </w:rPr>
      </w:pPr>
    </w:p>
    <w:p w14:paraId="5BA20FC1">
      <w:pPr>
        <w:spacing w:line="360" w:lineRule="auto"/>
        <w:rPr>
          <w:rFonts w:eastAsiaTheme="minorEastAsia"/>
          <w:sz w:val="24"/>
          <w:szCs w:val="24"/>
        </w:rPr>
        <w:sectPr>
          <w:pgSz w:w="11906" w:h="16838"/>
          <w:pgMar w:top="1440" w:right="1800" w:bottom="1440" w:left="1800" w:header="851" w:footer="992" w:gutter="0"/>
          <w:pgNumType w:start="1"/>
          <w:cols w:space="425" w:num="1"/>
          <w:docGrid w:type="lines" w:linePitch="312" w:charSpace="0"/>
        </w:sectPr>
      </w:pPr>
    </w:p>
    <w:p w14:paraId="734336ED">
      <w:pPr>
        <w:widowControl/>
        <w:jc w:val="left"/>
        <w:rPr>
          <w:rFonts w:eastAsia="黑体"/>
        </w:rPr>
      </w:pPr>
    </w:p>
    <w:p w14:paraId="749F1DCD">
      <w:pPr>
        <w:widowControl/>
        <w:jc w:val="center"/>
        <w:rPr>
          <w:rFonts w:eastAsia="黑体"/>
        </w:rPr>
      </w:pPr>
      <w:r>
        <w:rPr>
          <w:rFonts w:hint="eastAsia" w:eastAsia="黑体"/>
        </w:rPr>
        <w:t>北 京 市 地 方 标 准</w:t>
      </w:r>
    </w:p>
    <w:p w14:paraId="17473D7B">
      <w:pPr>
        <w:widowControl/>
        <w:jc w:val="left"/>
        <w:rPr>
          <w:rFonts w:eastAsia="黑体"/>
        </w:rPr>
      </w:pPr>
    </w:p>
    <w:p w14:paraId="230E62D7">
      <w:pPr>
        <w:widowControl/>
        <w:jc w:val="left"/>
        <w:rPr>
          <w:rFonts w:eastAsia="黑体"/>
        </w:rPr>
      </w:pPr>
    </w:p>
    <w:p w14:paraId="79F28CB2">
      <w:pPr>
        <w:widowControl/>
        <w:jc w:val="center"/>
        <w:rPr>
          <w:rFonts w:eastAsia="黑体"/>
          <w:sz w:val="44"/>
          <w:szCs w:val="44"/>
        </w:rPr>
      </w:pPr>
      <w:r>
        <w:rPr>
          <w:rFonts w:hint="eastAsia" w:eastAsia="黑体"/>
          <w:sz w:val="44"/>
          <w:szCs w:val="44"/>
        </w:rPr>
        <w:t>建筑工程抗浮设计标准</w:t>
      </w:r>
    </w:p>
    <w:p w14:paraId="690C8A83">
      <w:pPr>
        <w:widowControl/>
        <w:jc w:val="center"/>
        <w:rPr>
          <w:rFonts w:eastAsia="黑体"/>
        </w:rPr>
      </w:pPr>
      <w:r>
        <w:rPr>
          <w:rFonts w:hint="eastAsia"/>
          <w:kern w:val="0"/>
          <w:sz w:val="30"/>
          <w:szCs w:val="30"/>
        </w:rPr>
        <w:t>Design standard for building engineering against uplift</w:t>
      </w:r>
    </w:p>
    <w:p w14:paraId="212ABB8D">
      <w:pPr>
        <w:widowControl/>
        <w:jc w:val="left"/>
        <w:rPr>
          <w:rFonts w:eastAsia="黑体"/>
        </w:rPr>
      </w:pPr>
    </w:p>
    <w:p w14:paraId="7F69E2A4">
      <w:pPr>
        <w:widowControl/>
        <w:jc w:val="center"/>
        <w:rPr>
          <w:rFonts w:eastAsia="黑体"/>
        </w:rPr>
      </w:pPr>
      <w:r>
        <w:rPr>
          <w:rFonts w:hint="eastAsia" w:eastAsia="黑体"/>
        </w:rPr>
        <w:t>DB11/T  xxxx—20xx</w:t>
      </w:r>
    </w:p>
    <w:p w14:paraId="1C28A64A">
      <w:pPr>
        <w:widowControl/>
        <w:jc w:val="left"/>
        <w:rPr>
          <w:rFonts w:eastAsia="黑体"/>
        </w:rPr>
      </w:pPr>
    </w:p>
    <w:p w14:paraId="5E803056">
      <w:pPr>
        <w:widowControl/>
        <w:ind w:left="3051" w:leftChars="600" w:hanging="1131" w:hangingChars="404"/>
        <w:jc w:val="left"/>
        <w:rPr>
          <w:rFonts w:ascii="宋体" w:hAnsi="宋体" w:eastAsia="宋体" w:cs="宋体"/>
          <w:sz w:val="28"/>
          <w:szCs w:val="28"/>
        </w:rPr>
      </w:pPr>
      <w:r>
        <w:rPr>
          <w:rFonts w:hint="eastAsia" w:ascii="宋体" w:hAnsi="宋体" w:eastAsia="宋体" w:cs="宋体"/>
          <w:sz w:val="28"/>
          <w:szCs w:val="28"/>
        </w:rPr>
        <w:t>主编单位：XXXXXX</w:t>
      </w:r>
    </w:p>
    <w:p w14:paraId="76CB29B5">
      <w:pPr>
        <w:widowControl/>
        <w:ind w:left="5390" w:leftChars="1050" w:hanging="2030" w:hangingChars="725"/>
        <w:jc w:val="left"/>
        <w:rPr>
          <w:rFonts w:ascii="宋体" w:hAnsi="宋体" w:eastAsia="宋体" w:cs="宋体"/>
          <w:sz w:val="28"/>
          <w:szCs w:val="28"/>
        </w:rPr>
      </w:pPr>
      <w:r>
        <w:rPr>
          <w:rFonts w:hint="eastAsia" w:ascii="宋体" w:hAnsi="宋体" w:eastAsia="宋体" w:cs="宋体"/>
          <w:sz w:val="28"/>
          <w:szCs w:val="28"/>
        </w:rPr>
        <w:t>XXXXXX</w:t>
      </w:r>
    </w:p>
    <w:p w14:paraId="6B0BF61E">
      <w:pPr>
        <w:widowControl/>
        <w:ind w:left="3051" w:leftChars="600" w:hanging="1131" w:hangingChars="404"/>
        <w:jc w:val="left"/>
        <w:rPr>
          <w:rFonts w:ascii="宋体" w:hAnsi="宋体" w:eastAsia="宋体" w:cs="宋体"/>
          <w:sz w:val="28"/>
          <w:szCs w:val="28"/>
        </w:rPr>
      </w:pPr>
      <w:r>
        <w:rPr>
          <w:rFonts w:hint="eastAsia" w:ascii="宋体" w:hAnsi="宋体" w:eastAsia="宋体" w:cs="宋体"/>
          <w:sz w:val="28"/>
          <w:szCs w:val="28"/>
        </w:rPr>
        <w:t>批准部门：北京市规划和自然资源委员会</w:t>
      </w:r>
    </w:p>
    <w:p w14:paraId="44EDD65B">
      <w:pPr>
        <w:widowControl/>
        <w:ind w:left="5390" w:leftChars="1050" w:hanging="2030" w:hangingChars="725"/>
        <w:jc w:val="left"/>
        <w:rPr>
          <w:rFonts w:ascii="宋体" w:hAnsi="宋体" w:eastAsia="宋体" w:cs="宋体"/>
          <w:sz w:val="28"/>
          <w:szCs w:val="28"/>
        </w:rPr>
      </w:pPr>
      <w:r>
        <w:rPr>
          <w:rFonts w:hint="eastAsia" w:ascii="宋体" w:hAnsi="宋体" w:eastAsia="宋体" w:cs="宋体"/>
          <w:sz w:val="28"/>
          <w:szCs w:val="28"/>
        </w:rPr>
        <w:t>北京市市场监督管理局</w:t>
      </w:r>
    </w:p>
    <w:p w14:paraId="73454BD4">
      <w:pPr>
        <w:widowControl/>
        <w:ind w:left="3051" w:leftChars="600" w:hanging="1131" w:hangingChars="404"/>
        <w:jc w:val="left"/>
        <w:rPr>
          <w:rFonts w:ascii="宋体" w:hAnsi="宋体" w:eastAsia="宋体" w:cs="宋体"/>
          <w:sz w:val="28"/>
          <w:szCs w:val="28"/>
        </w:rPr>
      </w:pPr>
      <w:r>
        <w:rPr>
          <w:rFonts w:hint="eastAsia" w:ascii="宋体" w:hAnsi="宋体" w:eastAsia="宋体" w:cs="宋体"/>
          <w:sz w:val="28"/>
          <w:szCs w:val="28"/>
        </w:rPr>
        <w:t>实施日期：20xx年xx月xx日</w:t>
      </w:r>
    </w:p>
    <w:p w14:paraId="447AFE00">
      <w:pPr>
        <w:widowControl/>
        <w:jc w:val="left"/>
        <w:rPr>
          <w:rFonts w:eastAsia="黑体"/>
        </w:rPr>
      </w:pPr>
    </w:p>
    <w:p w14:paraId="3D6F14C0">
      <w:pPr>
        <w:widowControl/>
        <w:jc w:val="left"/>
        <w:rPr>
          <w:rFonts w:eastAsia="黑体"/>
        </w:rPr>
      </w:pPr>
    </w:p>
    <w:p w14:paraId="697BDFEA">
      <w:pPr>
        <w:widowControl/>
        <w:jc w:val="left"/>
        <w:rPr>
          <w:rFonts w:eastAsia="黑体"/>
        </w:rPr>
      </w:pPr>
    </w:p>
    <w:p w14:paraId="504A0FDD">
      <w:pPr>
        <w:widowControl/>
        <w:jc w:val="left"/>
        <w:rPr>
          <w:rFonts w:eastAsia="黑体"/>
        </w:rPr>
      </w:pPr>
    </w:p>
    <w:p w14:paraId="444F74CA">
      <w:pPr>
        <w:widowControl/>
        <w:jc w:val="left"/>
        <w:rPr>
          <w:rFonts w:eastAsia="黑体"/>
        </w:rPr>
      </w:pPr>
    </w:p>
    <w:p w14:paraId="37404B9D">
      <w:pPr>
        <w:widowControl/>
        <w:jc w:val="center"/>
        <w:rPr>
          <w:rFonts w:eastAsia="黑体"/>
        </w:rPr>
      </w:pPr>
      <w:r>
        <w:rPr>
          <w:rFonts w:hint="eastAsia" w:eastAsia="黑体"/>
        </w:rPr>
        <w:t>20xx  北京</w:t>
      </w:r>
    </w:p>
    <w:p w14:paraId="38A1A4E5">
      <w:pPr>
        <w:spacing w:line="360" w:lineRule="auto"/>
        <w:jc w:val="center"/>
        <w:rPr>
          <w:rFonts w:eastAsiaTheme="minorEastAsia"/>
          <w:sz w:val="28"/>
          <w:szCs w:val="28"/>
        </w:rPr>
      </w:pPr>
    </w:p>
    <w:p w14:paraId="2C3FBD62">
      <w:pPr>
        <w:spacing w:line="360" w:lineRule="auto"/>
        <w:rPr>
          <w:rFonts w:eastAsiaTheme="minorEastAsia"/>
          <w:sz w:val="24"/>
          <w:szCs w:val="24"/>
        </w:rPr>
      </w:pPr>
    </w:p>
    <w:p w14:paraId="24512A6D">
      <w:pPr>
        <w:spacing w:line="360" w:lineRule="auto"/>
        <w:rPr>
          <w:rFonts w:eastAsiaTheme="minorEastAsia"/>
          <w:sz w:val="24"/>
          <w:szCs w:val="24"/>
        </w:rPr>
        <w:sectPr>
          <w:pgSz w:w="11906" w:h="16838"/>
          <w:pgMar w:top="1440" w:right="1800" w:bottom="1440" w:left="1800" w:header="851" w:footer="992" w:gutter="0"/>
          <w:pgNumType w:start="1"/>
          <w:cols w:space="425" w:num="1"/>
          <w:docGrid w:type="lines" w:linePitch="312" w:charSpace="0"/>
        </w:sectPr>
      </w:pPr>
    </w:p>
    <w:p w14:paraId="58D5588F">
      <w:pPr>
        <w:widowControl/>
        <w:jc w:val="center"/>
        <w:outlineLvl w:val="0"/>
        <w:rPr>
          <w:rFonts w:eastAsia="黑体"/>
          <w:sz w:val="36"/>
          <w:szCs w:val="36"/>
        </w:rPr>
      </w:pPr>
      <w:bookmarkStart w:id="3" w:name="_Toc16086"/>
      <w:bookmarkStart w:id="4" w:name="_Toc16678"/>
      <w:bookmarkStart w:id="5" w:name="_Toc8234"/>
      <w:bookmarkStart w:id="6" w:name="_Toc31041"/>
      <w:r>
        <w:rPr>
          <w:rFonts w:hint="eastAsia" w:eastAsia="黑体"/>
          <w:sz w:val="36"/>
          <w:szCs w:val="36"/>
        </w:rPr>
        <w:t>前  言</w:t>
      </w:r>
      <w:bookmarkEnd w:id="3"/>
      <w:bookmarkEnd w:id="4"/>
      <w:bookmarkEnd w:id="5"/>
      <w:bookmarkEnd w:id="6"/>
    </w:p>
    <w:p w14:paraId="0BB3524D">
      <w:pPr>
        <w:widowControl/>
        <w:jc w:val="left"/>
        <w:rPr>
          <w:rFonts w:eastAsia="黑体"/>
          <w:sz w:val="24"/>
          <w:szCs w:val="24"/>
        </w:rPr>
      </w:pPr>
    </w:p>
    <w:p w14:paraId="7968FA1C">
      <w:pPr>
        <w:widowControl/>
        <w:snapToGrid w:val="0"/>
        <w:spacing w:line="300" w:lineRule="auto"/>
        <w:ind w:firstLine="480" w:firstLineChars="200"/>
        <w:jc w:val="left"/>
        <w:rPr>
          <w:rFonts w:asciiTheme="minorEastAsia" w:hAnsiTheme="minorEastAsia" w:eastAsiaTheme="minorEastAsia"/>
          <w:sz w:val="24"/>
          <w:szCs w:val="24"/>
        </w:rPr>
      </w:pPr>
      <w:r>
        <w:rPr>
          <w:rFonts w:asciiTheme="minorEastAsia" w:hAnsiTheme="minorEastAsia" w:eastAsiaTheme="minorEastAsia"/>
          <w:sz w:val="24"/>
          <w:szCs w:val="24"/>
        </w:rPr>
        <w:t>按照北京市</w:t>
      </w:r>
      <w:r>
        <w:rPr>
          <w:rFonts w:hint="eastAsia" w:asciiTheme="minorEastAsia" w:hAnsiTheme="minorEastAsia" w:eastAsiaTheme="minorEastAsia"/>
          <w:sz w:val="24"/>
          <w:szCs w:val="24"/>
        </w:rPr>
        <w:t>市场</w:t>
      </w:r>
      <w:r>
        <w:rPr>
          <w:rFonts w:asciiTheme="minorEastAsia" w:hAnsiTheme="minorEastAsia" w:eastAsiaTheme="minorEastAsia"/>
          <w:sz w:val="24"/>
          <w:szCs w:val="24"/>
        </w:rPr>
        <w:t>监督</w:t>
      </w:r>
      <w:r>
        <w:rPr>
          <w:rFonts w:hint="eastAsia" w:asciiTheme="minorEastAsia" w:hAnsiTheme="minorEastAsia" w:eastAsiaTheme="minorEastAsia"/>
          <w:sz w:val="24"/>
          <w:szCs w:val="24"/>
        </w:rPr>
        <w:t>管理</w:t>
      </w:r>
      <w:r>
        <w:rPr>
          <w:rFonts w:asciiTheme="minorEastAsia" w:hAnsiTheme="minorEastAsia" w:eastAsiaTheme="minorEastAsia"/>
          <w:sz w:val="24"/>
          <w:szCs w:val="24"/>
        </w:rPr>
        <w:t>局</w:t>
      </w:r>
      <w:r>
        <w:rPr>
          <w:rFonts w:hint="eastAsia" w:asciiTheme="minorEastAsia" w:hAnsiTheme="minorEastAsia" w:eastAsiaTheme="minorEastAsia"/>
          <w:sz w:val="24"/>
          <w:szCs w:val="24"/>
        </w:rPr>
        <w:t>关于印发《2026年北京市地方标准制修订项目计划（第一批）》的通知（京市监函〔2026〕14号）</w:t>
      </w:r>
      <w:r>
        <w:rPr>
          <w:rFonts w:asciiTheme="minorEastAsia" w:hAnsiTheme="minorEastAsia" w:eastAsiaTheme="minorEastAsia"/>
          <w:sz w:val="24"/>
          <w:szCs w:val="24"/>
        </w:rPr>
        <w:t>的要求，</w:t>
      </w:r>
      <w:r>
        <w:rPr>
          <w:rFonts w:hint="eastAsia" w:asciiTheme="minorEastAsia" w:hAnsiTheme="minorEastAsia" w:eastAsiaTheme="minorEastAsia"/>
          <w:sz w:val="24"/>
          <w:szCs w:val="24"/>
        </w:rPr>
        <w:t>编制组在广泛调查研究、认真总结实践经验、吸取科研成果以及广泛征求意见的基础上，完成本标准的编制工作。</w:t>
      </w:r>
    </w:p>
    <w:p w14:paraId="4B4FEF78">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本标准共分</w:t>
      </w:r>
      <w:r>
        <w:rPr>
          <w:rFonts w:asciiTheme="minorEastAsia" w:hAnsiTheme="minorEastAsia" w:eastAsiaTheme="minorEastAsia"/>
          <w:sz w:val="24"/>
          <w:szCs w:val="24"/>
        </w:rPr>
        <w:t>1</w:t>
      </w:r>
      <w:r>
        <w:rPr>
          <w:rFonts w:hint="eastAsia" w:asciiTheme="minorEastAsia" w:hAnsiTheme="minorEastAsia" w:eastAsiaTheme="minorEastAsia"/>
          <w:sz w:val="24"/>
          <w:szCs w:val="24"/>
        </w:rPr>
        <w:t>1章，主要内容包括：1.总则；2.术语和符号；3.基本规定；4.工程抗浮勘察；5.抗浮稳定与设计；6.压重法；7.抗浮桩法；8.锚杆法；9.限压法；10.既有建筑抗浮；11.监测与维护。</w:t>
      </w:r>
    </w:p>
    <w:p w14:paraId="54A2ACA1">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由北京市规划和自然资源委员会和北京市市场监督管理局共同负责管理，北京市规划和自然资源委员会归口、组织实施，并负责组织编制单位对具体内容进行解释，北京市规划和自然资源标准化中心负责日常管理。</w:t>
      </w:r>
    </w:p>
    <w:p w14:paraId="7FC574C0">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本标准执行过程中如有意见和建议，请寄送至北京市规划和自然资源标准化中心，以供今后修订时参考（地址：北京市通州区承安路1号院；电话：55595000；邮箱：bjbb@ghzrzyw.beijing.gov.cn）。</w:t>
      </w:r>
    </w:p>
    <w:p w14:paraId="551CE8E7">
      <w:pPr>
        <w:widowControl/>
        <w:snapToGrid w:val="0"/>
        <w:spacing w:line="300" w:lineRule="auto"/>
        <w:jc w:val="left"/>
        <w:rPr>
          <w:rFonts w:asciiTheme="minorEastAsia" w:hAnsiTheme="minorEastAsia" w:eastAsiaTheme="minorEastAsia"/>
          <w:sz w:val="24"/>
          <w:szCs w:val="24"/>
        </w:rPr>
      </w:pPr>
    </w:p>
    <w:p w14:paraId="511FC932">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本标准主编单位：XXXXXX</w:t>
      </w:r>
    </w:p>
    <w:p w14:paraId="4B7676DA">
      <w:pPr>
        <w:widowControl/>
        <w:snapToGrid w:val="0"/>
        <w:spacing w:line="300" w:lineRule="auto"/>
        <w:ind w:left="2400" w:leftChars="7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XXXXXX</w:t>
      </w:r>
    </w:p>
    <w:p w14:paraId="1ABA746C">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本标准参编单位：XXXXXX</w:t>
      </w:r>
    </w:p>
    <w:p w14:paraId="7E1103EF">
      <w:pPr>
        <w:widowControl/>
        <w:snapToGrid w:val="0"/>
        <w:spacing w:line="300" w:lineRule="auto"/>
        <w:ind w:left="2400" w:leftChars="7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XXXXXX</w:t>
      </w:r>
    </w:p>
    <w:p w14:paraId="6DD0EA92">
      <w:pPr>
        <w:widowControl/>
        <w:snapToGrid w:val="0"/>
        <w:spacing w:line="300" w:lineRule="auto"/>
        <w:ind w:left="2400" w:leftChars="7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XXXXXX</w:t>
      </w:r>
    </w:p>
    <w:p w14:paraId="02C3E1E6">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本标准主要起草人员：</w:t>
      </w:r>
    </w:p>
    <w:p w14:paraId="2FBDD599">
      <w:pPr>
        <w:widowControl/>
        <w:snapToGrid w:val="0"/>
        <w:spacing w:line="30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本标准主要审查人员：</w:t>
      </w:r>
    </w:p>
    <w:p w14:paraId="20B82C66">
      <w:pPr>
        <w:spacing w:line="360" w:lineRule="auto"/>
        <w:rPr>
          <w:rFonts w:eastAsiaTheme="minorEastAsia"/>
          <w:sz w:val="24"/>
          <w:szCs w:val="24"/>
        </w:rPr>
      </w:pPr>
    </w:p>
    <w:p w14:paraId="548BF90E">
      <w:pPr>
        <w:spacing w:line="360" w:lineRule="auto"/>
        <w:rPr>
          <w:rFonts w:eastAsiaTheme="minorEastAsia"/>
          <w:sz w:val="24"/>
          <w:szCs w:val="24"/>
        </w:rPr>
      </w:pPr>
    </w:p>
    <w:p w14:paraId="18DE6A2D">
      <w:pPr>
        <w:spacing w:line="360" w:lineRule="auto"/>
        <w:rPr>
          <w:rFonts w:eastAsiaTheme="minorEastAsia"/>
          <w:sz w:val="24"/>
          <w:szCs w:val="24"/>
        </w:rPr>
      </w:pPr>
    </w:p>
    <w:p w14:paraId="279BFCE4">
      <w:pPr>
        <w:spacing w:line="360" w:lineRule="auto"/>
        <w:rPr>
          <w:rFonts w:eastAsiaTheme="minorEastAsia"/>
          <w:sz w:val="24"/>
          <w:szCs w:val="24"/>
        </w:rPr>
      </w:pPr>
    </w:p>
    <w:p w14:paraId="264187AD">
      <w:pPr>
        <w:spacing w:line="360" w:lineRule="auto"/>
        <w:rPr>
          <w:rFonts w:eastAsiaTheme="minorEastAsia"/>
          <w:sz w:val="24"/>
          <w:szCs w:val="24"/>
        </w:rPr>
      </w:pPr>
    </w:p>
    <w:p w14:paraId="3AFED150">
      <w:pPr>
        <w:spacing w:line="360" w:lineRule="auto"/>
        <w:rPr>
          <w:rFonts w:eastAsiaTheme="minorEastAsia"/>
          <w:sz w:val="24"/>
          <w:szCs w:val="24"/>
        </w:rPr>
        <w:sectPr>
          <w:pgSz w:w="11906" w:h="16838"/>
          <w:pgMar w:top="1440" w:right="1800" w:bottom="1440" w:left="1800" w:header="851" w:footer="992" w:gutter="0"/>
          <w:pgNumType w:start="1"/>
          <w:cols w:space="425" w:num="1"/>
          <w:docGrid w:type="lines" w:linePitch="312" w:charSpace="0"/>
        </w:sectPr>
      </w:pPr>
    </w:p>
    <w:p w14:paraId="5CB0BF41">
      <w:pPr>
        <w:spacing w:line="360" w:lineRule="auto"/>
        <w:jc w:val="center"/>
        <w:outlineLvl w:val="0"/>
        <w:rPr>
          <w:rFonts w:eastAsiaTheme="minorEastAsia"/>
          <w:sz w:val="28"/>
          <w:szCs w:val="28"/>
        </w:rPr>
      </w:pPr>
      <w:bookmarkStart w:id="7" w:name="_Toc7076"/>
      <w:bookmarkStart w:id="8" w:name="_Toc12675"/>
      <w:bookmarkStart w:id="9" w:name="_Toc27718"/>
      <w:bookmarkStart w:id="10" w:name="_Toc2855"/>
      <w:r>
        <w:rPr>
          <w:rFonts w:hint="eastAsia" w:eastAsiaTheme="minorEastAsia"/>
          <w:sz w:val="28"/>
          <w:szCs w:val="28"/>
        </w:rPr>
        <w:t>目  次</w:t>
      </w:r>
      <w:bookmarkEnd w:id="7"/>
      <w:bookmarkEnd w:id="8"/>
      <w:bookmarkEnd w:id="9"/>
      <w:bookmarkEnd w:id="10"/>
      <w:bookmarkStart w:id="281" w:name="_GoBack"/>
      <w:bookmarkEnd w:id="281"/>
    </w:p>
    <w:p w14:paraId="2D232585">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TOC \o "1-3" \h \u </w:instrText>
      </w:r>
      <w:r>
        <w:rPr>
          <w:rFonts w:eastAsiaTheme="minorEastAsia"/>
          <w:sz w:val="24"/>
          <w:szCs w:val="24"/>
        </w:rPr>
        <w:fldChar w:fldCharType="separate"/>
      </w:r>
      <w:r>
        <w:rPr>
          <w:rFonts w:eastAsiaTheme="minorEastAsia"/>
          <w:sz w:val="24"/>
          <w:szCs w:val="24"/>
        </w:rPr>
        <w:fldChar w:fldCharType="begin"/>
      </w:r>
      <w:r>
        <w:rPr>
          <w:rFonts w:eastAsiaTheme="minorEastAsia"/>
          <w:sz w:val="24"/>
          <w:szCs w:val="24"/>
        </w:rPr>
        <w:instrText xml:space="preserve"> HYPERLINK \l _Toc9448 </w:instrText>
      </w:r>
      <w:r>
        <w:rPr>
          <w:rFonts w:eastAsiaTheme="minorEastAsia"/>
          <w:sz w:val="24"/>
          <w:szCs w:val="24"/>
        </w:rPr>
        <w:fldChar w:fldCharType="separate"/>
      </w:r>
      <w:r>
        <w:rPr>
          <w:rFonts w:hint="default" w:eastAsiaTheme="minorEastAsia"/>
          <w:bCs/>
          <w:sz w:val="24"/>
          <w:szCs w:val="24"/>
        </w:rPr>
        <w:t xml:space="preserve">1 </w:t>
      </w:r>
      <w:r>
        <w:rPr>
          <w:rFonts w:eastAsiaTheme="minorEastAsia"/>
          <w:bCs/>
          <w:sz w:val="24"/>
          <w:szCs w:val="24"/>
        </w:rPr>
        <w:t>总</w:t>
      </w:r>
      <w:r>
        <w:rPr>
          <w:rFonts w:hint="eastAsia" w:eastAsiaTheme="minorEastAsia"/>
          <w:bCs/>
          <w:sz w:val="24"/>
          <w:szCs w:val="24"/>
        </w:rPr>
        <w:t xml:space="preserve">   </w:t>
      </w:r>
      <w:r>
        <w:rPr>
          <w:rFonts w:eastAsiaTheme="minorEastAsia"/>
          <w:bCs/>
          <w:sz w:val="24"/>
          <w:szCs w:val="24"/>
        </w:rPr>
        <w:t>则</w:t>
      </w:r>
      <w:r>
        <w:rPr>
          <w:sz w:val="24"/>
          <w:szCs w:val="24"/>
        </w:rPr>
        <w:tab/>
      </w:r>
      <w:r>
        <w:rPr>
          <w:sz w:val="24"/>
          <w:szCs w:val="24"/>
        </w:rPr>
        <w:fldChar w:fldCharType="begin"/>
      </w:r>
      <w:r>
        <w:rPr>
          <w:sz w:val="24"/>
          <w:szCs w:val="24"/>
        </w:rPr>
        <w:instrText xml:space="preserve"> PAGEREF _Toc9448 \h </w:instrText>
      </w:r>
      <w:r>
        <w:rPr>
          <w:sz w:val="24"/>
          <w:szCs w:val="24"/>
        </w:rPr>
        <w:fldChar w:fldCharType="separate"/>
      </w:r>
      <w:r>
        <w:rPr>
          <w:sz w:val="24"/>
          <w:szCs w:val="24"/>
        </w:rPr>
        <w:t>1</w:t>
      </w:r>
      <w:r>
        <w:rPr>
          <w:sz w:val="24"/>
          <w:szCs w:val="24"/>
        </w:rPr>
        <w:fldChar w:fldCharType="end"/>
      </w:r>
      <w:r>
        <w:rPr>
          <w:rFonts w:eastAsiaTheme="minorEastAsia"/>
          <w:sz w:val="24"/>
          <w:szCs w:val="24"/>
        </w:rPr>
        <w:fldChar w:fldCharType="end"/>
      </w:r>
    </w:p>
    <w:p w14:paraId="55258A82">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_Toc6490 </w:instrText>
      </w:r>
      <w:r>
        <w:rPr>
          <w:rFonts w:eastAsiaTheme="minorEastAsia"/>
          <w:sz w:val="24"/>
          <w:szCs w:val="24"/>
        </w:rPr>
        <w:fldChar w:fldCharType="separate"/>
      </w:r>
      <w:r>
        <w:rPr>
          <w:rFonts w:hint="default" w:eastAsiaTheme="minorEastAsia"/>
          <w:bCs/>
          <w:sz w:val="24"/>
          <w:szCs w:val="24"/>
        </w:rPr>
        <w:t xml:space="preserve">2 </w:t>
      </w:r>
      <w:r>
        <w:rPr>
          <w:rFonts w:eastAsiaTheme="minorEastAsia"/>
          <w:bCs/>
          <w:sz w:val="24"/>
          <w:szCs w:val="24"/>
        </w:rPr>
        <w:t>术语和符号</w:t>
      </w:r>
      <w:r>
        <w:rPr>
          <w:sz w:val="24"/>
          <w:szCs w:val="24"/>
        </w:rPr>
        <w:tab/>
      </w:r>
      <w:r>
        <w:rPr>
          <w:sz w:val="24"/>
          <w:szCs w:val="24"/>
        </w:rPr>
        <w:fldChar w:fldCharType="begin"/>
      </w:r>
      <w:r>
        <w:rPr>
          <w:sz w:val="24"/>
          <w:szCs w:val="24"/>
        </w:rPr>
        <w:instrText xml:space="preserve"> PAGEREF _Toc6490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374765C6">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_Toc18617 </w:instrText>
      </w:r>
      <w:r>
        <w:rPr>
          <w:rFonts w:eastAsiaTheme="minorEastAsia"/>
          <w:sz w:val="24"/>
          <w:szCs w:val="24"/>
        </w:rPr>
        <w:fldChar w:fldCharType="separate"/>
      </w:r>
      <w:r>
        <w:rPr>
          <w:rFonts w:hint="default" w:eastAsiaTheme="minorEastAsia"/>
          <w:bCs/>
          <w:sz w:val="24"/>
          <w:szCs w:val="24"/>
        </w:rPr>
        <w:t xml:space="preserve">2.1 </w:t>
      </w:r>
      <w:r>
        <w:rPr>
          <w:rFonts w:hint="eastAsia" w:eastAsiaTheme="minorEastAsia"/>
          <w:bCs/>
          <w:sz w:val="24"/>
          <w:szCs w:val="24"/>
        </w:rPr>
        <w:t>术   语</w:t>
      </w:r>
      <w:r>
        <w:rPr>
          <w:sz w:val="24"/>
          <w:szCs w:val="24"/>
        </w:rPr>
        <w:tab/>
      </w:r>
      <w:r>
        <w:rPr>
          <w:sz w:val="24"/>
          <w:szCs w:val="24"/>
        </w:rPr>
        <w:fldChar w:fldCharType="begin"/>
      </w:r>
      <w:r>
        <w:rPr>
          <w:sz w:val="24"/>
          <w:szCs w:val="24"/>
        </w:rPr>
        <w:instrText xml:space="preserve"> PAGEREF _Toc18617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38F991DF">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_Toc5721 </w:instrText>
      </w:r>
      <w:r>
        <w:rPr>
          <w:rFonts w:eastAsiaTheme="minorEastAsia"/>
          <w:sz w:val="24"/>
          <w:szCs w:val="24"/>
        </w:rPr>
        <w:fldChar w:fldCharType="separate"/>
      </w:r>
      <w:r>
        <w:rPr>
          <w:rFonts w:hint="default" w:eastAsiaTheme="minorEastAsia"/>
          <w:bCs/>
          <w:sz w:val="24"/>
          <w:szCs w:val="24"/>
        </w:rPr>
        <w:t xml:space="preserve">2.2 </w:t>
      </w:r>
      <w:r>
        <w:rPr>
          <w:rFonts w:hint="eastAsia" w:eastAsiaTheme="minorEastAsia"/>
          <w:bCs/>
          <w:sz w:val="24"/>
          <w:szCs w:val="24"/>
        </w:rPr>
        <w:t>符   号</w:t>
      </w:r>
      <w:r>
        <w:rPr>
          <w:sz w:val="24"/>
          <w:szCs w:val="24"/>
        </w:rPr>
        <w:tab/>
      </w:r>
      <w:r>
        <w:rPr>
          <w:sz w:val="24"/>
          <w:szCs w:val="24"/>
        </w:rPr>
        <w:fldChar w:fldCharType="begin"/>
      </w:r>
      <w:r>
        <w:rPr>
          <w:sz w:val="24"/>
          <w:szCs w:val="24"/>
        </w:rPr>
        <w:instrText xml:space="preserve"> PAGEREF _Toc5721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1E9BCF08">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_Toc1328 </w:instrText>
      </w:r>
      <w:r>
        <w:rPr>
          <w:rFonts w:eastAsiaTheme="minorEastAsia"/>
          <w:sz w:val="24"/>
          <w:szCs w:val="24"/>
        </w:rPr>
        <w:fldChar w:fldCharType="separate"/>
      </w:r>
      <w:r>
        <w:rPr>
          <w:rFonts w:hint="default" w:eastAsiaTheme="minorEastAsia"/>
          <w:bCs/>
          <w:sz w:val="24"/>
          <w:szCs w:val="24"/>
        </w:rPr>
        <w:t xml:space="preserve">3 </w:t>
      </w:r>
      <w:r>
        <w:rPr>
          <w:rFonts w:eastAsiaTheme="minorEastAsia"/>
          <w:bCs/>
          <w:sz w:val="24"/>
          <w:szCs w:val="24"/>
        </w:rPr>
        <w:t>基本规定</w:t>
      </w:r>
      <w:r>
        <w:rPr>
          <w:sz w:val="24"/>
          <w:szCs w:val="24"/>
        </w:rPr>
        <w:tab/>
      </w:r>
      <w:r>
        <w:rPr>
          <w:sz w:val="24"/>
          <w:szCs w:val="24"/>
        </w:rPr>
        <w:fldChar w:fldCharType="begin"/>
      </w:r>
      <w:r>
        <w:rPr>
          <w:sz w:val="24"/>
          <w:szCs w:val="24"/>
        </w:rPr>
        <w:instrText xml:space="preserve"> PAGEREF _Toc1328 \h </w:instrText>
      </w:r>
      <w:r>
        <w:rPr>
          <w:sz w:val="24"/>
          <w:szCs w:val="24"/>
        </w:rPr>
        <w:fldChar w:fldCharType="separate"/>
      </w:r>
      <w:r>
        <w:rPr>
          <w:sz w:val="24"/>
          <w:szCs w:val="24"/>
        </w:rPr>
        <w:t>5</w:t>
      </w:r>
      <w:r>
        <w:rPr>
          <w:sz w:val="24"/>
          <w:szCs w:val="24"/>
        </w:rPr>
        <w:fldChar w:fldCharType="end"/>
      </w:r>
      <w:r>
        <w:rPr>
          <w:rFonts w:eastAsiaTheme="minorEastAsia"/>
          <w:sz w:val="24"/>
          <w:szCs w:val="24"/>
        </w:rPr>
        <w:fldChar w:fldCharType="end"/>
      </w:r>
    </w:p>
    <w:p w14:paraId="45B07179">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_Toc12471 </w:instrText>
      </w:r>
      <w:r>
        <w:rPr>
          <w:rFonts w:eastAsiaTheme="minorEastAsia"/>
          <w:sz w:val="24"/>
          <w:szCs w:val="24"/>
        </w:rPr>
        <w:fldChar w:fldCharType="separate"/>
      </w:r>
      <w:r>
        <w:rPr>
          <w:rFonts w:hint="default" w:eastAsiaTheme="minorEastAsia"/>
          <w:bCs/>
          <w:sz w:val="24"/>
          <w:szCs w:val="24"/>
        </w:rPr>
        <w:t xml:space="preserve">4 </w:t>
      </w:r>
      <w:r>
        <w:rPr>
          <w:rFonts w:hint="eastAsia" w:eastAsiaTheme="minorEastAsia"/>
          <w:bCs/>
          <w:sz w:val="24"/>
          <w:szCs w:val="24"/>
        </w:rPr>
        <w:t>工程</w:t>
      </w:r>
      <w:r>
        <w:rPr>
          <w:rFonts w:eastAsiaTheme="minorEastAsia"/>
          <w:bCs/>
          <w:sz w:val="24"/>
          <w:szCs w:val="24"/>
        </w:rPr>
        <w:t>抗浮勘察</w:t>
      </w:r>
      <w:r>
        <w:rPr>
          <w:sz w:val="24"/>
          <w:szCs w:val="24"/>
        </w:rPr>
        <w:tab/>
      </w:r>
      <w:r>
        <w:rPr>
          <w:sz w:val="24"/>
          <w:szCs w:val="24"/>
        </w:rPr>
        <w:fldChar w:fldCharType="begin"/>
      </w:r>
      <w:r>
        <w:rPr>
          <w:sz w:val="24"/>
          <w:szCs w:val="24"/>
        </w:rPr>
        <w:instrText xml:space="preserve"> PAGEREF _Toc12471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4607412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_Toc27442 </w:instrText>
      </w:r>
      <w:r>
        <w:rPr>
          <w:rFonts w:eastAsiaTheme="minorEastAsia"/>
          <w:sz w:val="24"/>
          <w:szCs w:val="24"/>
        </w:rPr>
        <w:fldChar w:fldCharType="separate"/>
      </w:r>
      <w:r>
        <w:rPr>
          <w:rFonts w:hint="default" w:eastAsiaTheme="minorEastAsia"/>
          <w:bCs/>
          <w:sz w:val="24"/>
          <w:szCs w:val="24"/>
        </w:rPr>
        <w:t xml:space="preserve">4.1 </w:t>
      </w:r>
      <w:r>
        <w:rPr>
          <w:rFonts w:hint="eastAsia" w:eastAsiaTheme="minorEastAsia"/>
          <w:bCs/>
          <w:sz w:val="24"/>
          <w:szCs w:val="24"/>
        </w:rPr>
        <w:t>一般规定</w:t>
      </w:r>
      <w:r>
        <w:rPr>
          <w:sz w:val="24"/>
          <w:szCs w:val="24"/>
        </w:rPr>
        <w:tab/>
      </w:r>
      <w:r>
        <w:rPr>
          <w:sz w:val="24"/>
          <w:szCs w:val="24"/>
        </w:rPr>
        <w:fldChar w:fldCharType="begin"/>
      </w:r>
      <w:r>
        <w:rPr>
          <w:sz w:val="24"/>
          <w:szCs w:val="24"/>
        </w:rPr>
        <w:instrText xml:space="preserve"> PAGEREF _Toc27442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68F39FEF">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_Toc23343 </w:instrText>
      </w:r>
      <w:r>
        <w:rPr>
          <w:rFonts w:eastAsiaTheme="minorEastAsia"/>
          <w:sz w:val="24"/>
          <w:szCs w:val="24"/>
        </w:rPr>
        <w:fldChar w:fldCharType="separate"/>
      </w:r>
      <w:r>
        <w:rPr>
          <w:rFonts w:hint="default" w:eastAsiaTheme="minorEastAsia"/>
          <w:bCs/>
          <w:sz w:val="24"/>
          <w:szCs w:val="24"/>
        </w:rPr>
        <w:t xml:space="preserve">4.2 </w:t>
      </w:r>
      <w:r>
        <w:rPr>
          <w:rFonts w:hint="eastAsia" w:eastAsiaTheme="minorEastAsia"/>
          <w:bCs/>
          <w:sz w:val="24"/>
          <w:szCs w:val="24"/>
        </w:rPr>
        <w:t>新建建筑</w:t>
      </w:r>
      <w:r>
        <w:rPr>
          <w:sz w:val="24"/>
          <w:szCs w:val="24"/>
        </w:rPr>
        <w:tab/>
      </w:r>
      <w:r>
        <w:rPr>
          <w:sz w:val="24"/>
          <w:szCs w:val="24"/>
        </w:rPr>
        <w:fldChar w:fldCharType="begin"/>
      </w:r>
      <w:r>
        <w:rPr>
          <w:sz w:val="24"/>
          <w:szCs w:val="24"/>
        </w:rPr>
        <w:instrText xml:space="preserve"> PAGEREF _Toc23343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5DB7C73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_Toc92 </w:instrText>
      </w:r>
      <w:r>
        <w:rPr>
          <w:rFonts w:eastAsiaTheme="minorEastAsia"/>
          <w:sz w:val="24"/>
          <w:szCs w:val="24"/>
        </w:rPr>
        <w:fldChar w:fldCharType="separate"/>
      </w:r>
      <w:r>
        <w:rPr>
          <w:rFonts w:hint="default" w:eastAsiaTheme="minorEastAsia"/>
          <w:bCs/>
          <w:sz w:val="24"/>
          <w:szCs w:val="24"/>
        </w:rPr>
        <w:t xml:space="preserve">4.3 </w:t>
      </w:r>
      <w:r>
        <w:rPr>
          <w:rFonts w:hint="eastAsia" w:eastAsiaTheme="minorEastAsia"/>
          <w:bCs/>
          <w:sz w:val="24"/>
          <w:szCs w:val="24"/>
        </w:rPr>
        <w:t>既有建筑</w:t>
      </w:r>
      <w:r>
        <w:rPr>
          <w:sz w:val="24"/>
          <w:szCs w:val="24"/>
        </w:rPr>
        <w:tab/>
      </w:r>
      <w:r>
        <w:rPr>
          <w:sz w:val="24"/>
          <w:szCs w:val="24"/>
        </w:rPr>
        <w:fldChar w:fldCharType="begin"/>
      </w:r>
      <w:r>
        <w:rPr>
          <w:sz w:val="24"/>
          <w:szCs w:val="24"/>
        </w:rPr>
        <w:instrText xml:space="preserve"> PAGEREF _Toc92 \h </w:instrText>
      </w:r>
      <w:r>
        <w:rPr>
          <w:sz w:val="24"/>
          <w:szCs w:val="24"/>
        </w:rPr>
        <w:fldChar w:fldCharType="separate"/>
      </w:r>
      <w:r>
        <w:rPr>
          <w:sz w:val="24"/>
          <w:szCs w:val="24"/>
        </w:rPr>
        <w:t>9</w:t>
      </w:r>
      <w:r>
        <w:rPr>
          <w:sz w:val="24"/>
          <w:szCs w:val="24"/>
        </w:rPr>
        <w:fldChar w:fldCharType="end"/>
      </w:r>
      <w:r>
        <w:rPr>
          <w:rFonts w:eastAsiaTheme="minorEastAsia"/>
          <w:sz w:val="24"/>
          <w:szCs w:val="24"/>
        </w:rPr>
        <w:fldChar w:fldCharType="end"/>
      </w:r>
    </w:p>
    <w:p w14:paraId="0941A0B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_Toc14043 </w:instrText>
      </w:r>
      <w:r>
        <w:rPr>
          <w:rFonts w:eastAsiaTheme="minorEastAsia"/>
          <w:sz w:val="24"/>
          <w:szCs w:val="24"/>
        </w:rPr>
        <w:fldChar w:fldCharType="separate"/>
      </w:r>
      <w:r>
        <w:rPr>
          <w:rFonts w:hint="default" w:eastAsiaTheme="minorEastAsia"/>
          <w:bCs/>
          <w:sz w:val="24"/>
          <w:szCs w:val="24"/>
        </w:rPr>
        <w:t xml:space="preserve">4.4 </w:t>
      </w:r>
      <w:r>
        <w:rPr>
          <w:rFonts w:hint="eastAsia" w:eastAsiaTheme="minorEastAsia"/>
          <w:bCs/>
          <w:sz w:val="24"/>
          <w:szCs w:val="24"/>
        </w:rPr>
        <w:t>成果要求</w:t>
      </w:r>
      <w:r>
        <w:rPr>
          <w:sz w:val="24"/>
          <w:szCs w:val="24"/>
        </w:rPr>
        <w:tab/>
      </w:r>
      <w:r>
        <w:rPr>
          <w:sz w:val="24"/>
          <w:szCs w:val="24"/>
        </w:rPr>
        <w:fldChar w:fldCharType="begin"/>
      </w:r>
      <w:r>
        <w:rPr>
          <w:sz w:val="24"/>
          <w:szCs w:val="24"/>
        </w:rPr>
        <w:instrText xml:space="preserve"> PAGEREF _Toc14043 \h </w:instrText>
      </w:r>
      <w:r>
        <w:rPr>
          <w:sz w:val="24"/>
          <w:szCs w:val="24"/>
        </w:rPr>
        <w:fldChar w:fldCharType="separate"/>
      </w:r>
      <w:r>
        <w:rPr>
          <w:sz w:val="24"/>
          <w:szCs w:val="24"/>
        </w:rPr>
        <w:t>10</w:t>
      </w:r>
      <w:r>
        <w:rPr>
          <w:sz w:val="24"/>
          <w:szCs w:val="24"/>
        </w:rPr>
        <w:fldChar w:fldCharType="end"/>
      </w:r>
      <w:r>
        <w:rPr>
          <w:rFonts w:eastAsiaTheme="minorEastAsia"/>
          <w:sz w:val="24"/>
          <w:szCs w:val="24"/>
        </w:rPr>
        <w:fldChar w:fldCharType="end"/>
      </w:r>
    </w:p>
    <w:p w14:paraId="4FA53552">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_Toc20725 </w:instrText>
      </w:r>
      <w:r>
        <w:rPr>
          <w:rFonts w:eastAsiaTheme="minorEastAsia"/>
          <w:sz w:val="24"/>
          <w:szCs w:val="24"/>
        </w:rPr>
        <w:fldChar w:fldCharType="separate"/>
      </w:r>
      <w:r>
        <w:rPr>
          <w:rFonts w:hint="default" w:eastAsiaTheme="minorEastAsia"/>
          <w:bCs/>
          <w:sz w:val="24"/>
          <w:szCs w:val="24"/>
        </w:rPr>
        <w:t xml:space="preserve">5 </w:t>
      </w:r>
      <w:r>
        <w:rPr>
          <w:rFonts w:eastAsiaTheme="minorEastAsia"/>
          <w:bCs/>
          <w:sz w:val="24"/>
          <w:szCs w:val="24"/>
        </w:rPr>
        <w:t>抗浮稳定</w:t>
      </w:r>
      <w:r>
        <w:rPr>
          <w:rFonts w:hint="eastAsia" w:eastAsiaTheme="minorEastAsia"/>
          <w:bCs/>
          <w:sz w:val="24"/>
          <w:szCs w:val="24"/>
        </w:rPr>
        <w:t>与设计</w:t>
      </w:r>
      <w:r>
        <w:rPr>
          <w:sz w:val="24"/>
          <w:szCs w:val="24"/>
        </w:rPr>
        <w:tab/>
      </w:r>
      <w:r>
        <w:rPr>
          <w:sz w:val="24"/>
          <w:szCs w:val="24"/>
        </w:rPr>
        <w:fldChar w:fldCharType="begin"/>
      </w:r>
      <w:r>
        <w:rPr>
          <w:sz w:val="24"/>
          <w:szCs w:val="24"/>
        </w:rPr>
        <w:instrText xml:space="preserve"> PAGEREF _Toc20725 \h </w:instrText>
      </w:r>
      <w:r>
        <w:rPr>
          <w:sz w:val="24"/>
          <w:szCs w:val="24"/>
        </w:rPr>
        <w:fldChar w:fldCharType="separate"/>
      </w:r>
      <w:r>
        <w:rPr>
          <w:sz w:val="24"/>
          <w:szCs w:val="24"/>
        </w:rPr>
        <w:t>12</w:t>
      </w:r>
      <w:r>
        <w:rPr>
          <w:sz w:val="24"/>
          <w:szCs w:val="24"/>
        </w:rPr>
        <w:fldChar w:fldCharType="end"/>
      </w:r>
      <w:r>
        <w:rPr>
          <w:rFonts w:eastAsiaTheme="minorEastAsia"/>
          <w:sz w:val="24"/>
          <w:szCs w:val="24"/>
        </w:rPr>
        <w:fldChar w:fldCharType="end"/>
      </w:r>
    </w:p>
    <w:p w14:paraId="31CE2B1D">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_Toc31441 </w:instrText>
      </w:r>
      <w:r>
        <w:rPr>
          <w:rFonts w:eastAsiaTheme="minorEastAsia"/>
          <w:sz w:val="24"/>
          <w:szCs w:val="24"/>
        </w:rPr>
        <w:fldChar w:fldCharType="separate"/>
      </w:r>
      <w:r>
        <w:rPr>
          <w:rFonts w:hint="default" w:eastAsiaTheme="minorEastAsia"/>
          <w:bCs/>
          <w:sz w:val="24"/>
          <w:szCs w:val="24"/>
        </w:rPr>
        <w:t xml:space="preserve">5.1 </w:t>
      </w:r>
      <w:r>
        <w:rPr>
          <w:rFonts w:hint="eastAsia" w:eastAsiaTheme="minorEastAsia"/>
          <w:bCs/>
          <w:sz w:val="24"/>
          <w:szCs w:val="24"/>
        </w:rPr>
        <w:t>一般规定</w:t>
      </w:r>
      <w:r>
        <w:rPr>
          <w:sz w:val="24"/>
          <w:szCs w:val="24"/>
        </w:rPr>
        <w:tab/>
      </w:r>
      <w:r>
        <w:rPr>
          <w:sz w:val="24"/>
          <w:szCs w:val="24"/>
        </w:rPr>
        <w:fldChar w:fldCharType="begin"/>
      </w:r>
      <w:r>
        <w:rPr>
          <w:sz w:val="24"/>
          <w:szCs w:val="24"/>
        </w:rPr>
        <w:instrText xml:space="preserve"> PAGEREF _Toc31441 \h </w:instrText>
      </w:r>
      <w:r>
        <w:rPr>
          <w:sz w:val="24"/>
          <w:szCs w:val="24"/>
        </w:rPr>
        <w:fldChar w:fldCharType="separate"/>
      </w:r>
      <w:r>
        <w:rPr>
          <w:sz w:val="24"/>
          <w:szCs w:val="24"/>
        </w:rPr>
        <w:t>12</w:t>
      </w:r>
      <w:r>
        <w:rPr>
          <w:sz w:val="24"/>
          <w:szCs w:val="24"/>
        </w:rPr>
        <w:fldChar w:fldCharType="end"/>
      </w:r>
      <w:r>
        <w:rPr>
          <w:rFonts w:eastAsiaTheme="minorEastAsia"/>
          <w:sz w:val="24"/>
          <w:szCs w:val="24"/>
        </w:rPr>
        <w:fldChar w:fldCharType="end"/>
      </w:r>
    </w:p>
    <w:p w14:paraId="739CC04C">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_Toc16882 </w:instrText>
      </w:r>
      <w:r>
        <w:rPr>
          <w:rFonts w:eastAsiaTheme="minorEastAsia"/>
          <w:sz w:val="24"/>
          <w:szCs w:val="24"/>
        </w:rPr>
        <w:fldChar w:fldCharType="separate"/>
      </w:r>
      <w:r>
        <w:rPr>
          <w:rFonts w:hint="default" w:eastAsiaTheme="minorEastAsia"/>
          <w:bCs/>
          <w:sz w:val="24"/>
          <w:szCs w:val="24"/>
        </w:rPr>
        <w:t xml:space="preserve">5.2 </w:t>
      </w:r>
      <w:r>
        <w:rPr>
          <w:rFonts w:hint="eastAsia" w:eastAsiaTheme="minorEastAsia"/>
          <w:bCs/>
          <w:sz w:val="24"/>
          <w:szCs w:val="24"/>
        </w:rPr>
        <w:t>浮力与抗浮力</w:t>
      </w:r>
      <w:r>
        <w:rPr>
          <w:sz w:val="24"/>
          <w:szCs w:val="24"/>
        </w:rPr>
        <w:tab/>
      </w:r>
      <w:r>
        <w:rPr>
          <w:sz w:val="24"/>
          <w:szCs w:val="24"/>
        </w:rPr>
        <w:fldChar w:fldCharType="begin"/>
      </w:r>
      <w:r>
        <w:rPr>
          <w:sz w:val="24"/>
          <w:szCs w:val="24"/>
        </w:rPr>
        <w:instrText xml:space="preserve"> PAGEREF _Toc16882 \h </w:instrText>
      </w:r>
      <w:r>
        <w:rPr>
          <w:sz w:val="24"/>
          <w:szCs w:val="24"/>
        </w:rPr>
        <w:fldChar w:fldCharType="separate"/>
      </w:r>
      <w:r>
        <w:rPr>
          <w:sz w:val="24"/>
          <w:szCs w:val="24"/>
        </w:rPr>
        <w:t>13</w:t>
      </w:r>
      <w:r>
        <w:rPr>
          <w:sz w:val="24"/>
          <w:szCs w:val="24"/>
        </w:rPr>
        <w:fldChar w:fldCharType="end"/>
      </w:r>
      <w:r>
        <w:rPr>
          <w:rFonts w:eastAsiaTheme="minorEastAsia"/>
          <w:sz w:val="24"/>
          <w:szCs w:val="24"/>
        </w:rPr>
        <w:fldChar w:fldCharType="end"/>
      </w:r>
    </w:p>
    <w:p w14:paraId="2ACC0326">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_Toc22245 </w:instrText>
      </w:r>
      <w:r>
        <w:rPr>
          <w:rFonts w:eastAsiaTheme="minorEastAsia"/>
          <w:sz w:val="24"/>
          <w:szCs w:val="24"/>
        </w:rPr>
        <w:fldChar w:fldCharType="separate"/>
      </w:r>
      <w:r>
        <w:rPr>
          <w:rFonts w:hint="default" w:eastAsiaTheme="minorEastAsia"/>
          <w:bCs/>
          <w:sz w:val="24"/>
          <w:szCs w:val="24"/>
        </w:rPr>
        <w:t xml:space="preserve">5.3 </w:t>
      </w:r>
      <w:r>
        <w:rPr>
          <w:rFonts w:hint="eastAsia" w:eastAsiaTheme="minorEastAsia"/>
          <w:bCs/>
          <w:sz w:val="24"/>
          <w:szCs w:val="24"/>
        </w:rPr>
        <w:t>抗水板</w:t>
      </w:r>
      <w:r>
        <w:rPr>
          <w:sz w:val="24"/>
          <w:szCs w:val="24"/>
        </w:rPr>
        <w:tab/>
      </w:r>
      <w:r>
        <w:rPr>
          <w:sz w:val="24"/>
          <w:szCs w:val="24"/>
        </w:rPr>
        <w:fldChar w:fldCharType="begin"/>
      </w:r>
      <w:r>
        <w:rPr>
          <w:sz w:val="24"/>
          <w:szCs w:val="24"/>
        </w:rPr>
        <w:instrText xml:space="preserve"> PAGEREF _Toc22245 \h </w:instrText>
      </w:r>
      <w:r>
        <w:rPr>
          <w:sz w:val="24"/>
          <w:szCs w:val="24"/>
        </w:rPr>
        <w:fldChar w:fldCharType="separate"/>
      </w:r>
      <w:r>
        <w:rPr>
          <w:sz w:val="24"/>
          <w:szCs w:val="24"/>
        </w:rPr>
        <w:t>13</w:t>
      </w:r>
      <w:r>
        <w:rPr>
          <w:sz w:val="24"/>
          <w:szCs w:val="24"/>
        </w:rPr>
        <w:fldChar w:fldCharType="end"/>
      </w:r>
      <w:r>
        <w:rPr>
          <w:rFonts w:eastAsiaTheme="minorEastAsia"/>
          <w:sz w:val="24"/>
          <w:szCs w:val="24"/>
        </w:rPr>
        <w:fldChar w:fldCharType="end"/>
      </w:r>
    </w:p>
    <w:p w14:paraId="2986B606">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_Toc28602 </w:instrText>
      </w:r>
      <w:r>
        <w:rPr>
          <w:rFonts w:eastAsiaTheme="minorEastAsia"/>
          <w:sz w:val="24"/>
          <w:szCs w:val="24"/>
        </w:rPr>
        <w:fldChar w:fldCharType="separate"/>
      </w:r>
      <w:r>
        <w:rPr>
          <w:rFonts w:hint="default" w:eastAsiaTheme="minorEastAsia"/>
          <w:bCs/>
          <w:sz w:val="24"/>
          <w:szCs w:val="24"/>
        </w:rPr>
        <w:t xml:space="preserve">6 </w:t>
      </w:r>
      <w:r>
        <w:rPr>
          <w:rFonts w:eastAsiaTheme="minorEastAsia"/>
          <w:bCs/>
          <w:sz w:val="24"/>
          <w:szCs w:val="24"/>
        </w:rPr>
        <w:t>压重法</w:t>
      </w:r>
      <w:r>
        <w:rPr>
          <w:sz w:val="24"/>
          <w:szCs w:val="24"/>
        </w:rPr>
        <w:tab/>
      </w:r>
      <w:r>
        <w:rPr>
          <w:sz w:val="24"/>
          <w:szCs w:val="24"/>
        </w:rPr>
        <w:fldChar w:fldCharType="begin"/>
      </w:r>
      <w:r>
        <w:rPr>
          <w:sz w:val="24"/>
          <w:szCs w:val="24"/>
        </w:rPr>
        <w:instrText xml:space="preserve"> PAGEREF _Toc28602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57AF4DEB">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_Toc6689 </w:instrText>
      </w:r>
      <w:r>
        <w:rPr>
          <w:rFonts w:eastAsiaTheme="minorEastAsia"/>
          <w:sz w:val="24"/>
          <w:szCs w:val="24"/>
        </w:rPr>
        <w:fldChar w:fldCharType="separate"/>
      </w:r>
      <w:r>
        <w:rPr>
          <w:rFonts w:hint="default" w:eastAsiaTheme="minorEastAsia"/>
          <w:bCs/>
          <w:sz w:val="24"/>
          <w:szCs w:val="24"/>
        </w:rPr>
        <w:t xml:space="preserve">6.1 </w:t>
      </w:r>
      <w:r>
        <w:rPr>
          <w:rFonts w:hint="eastAsia" w:eastAsiaTheme="minorEastAsia"/>
          <w:bCs/>
          <w:sz w:val="24"/>
          <w:szCs w:val="24"/>
        </w:rPr>
        <w:t>一般规定</w:t>
      </w:r>
      <w:r>
        <w:rPr>
          <w:sz w:val="24"/>
          <w:szCs w:val="24"/>
        </w:rPr>
        <w:tab/>
      </w:r>
      <w:r>
        <w:rPr>
          <w:sz w:val="24"/>
          <w:szCs w:val="24"/>
        </w:rPr>
        <w:fldChar w:fldCharType="begin"/>
      </w:r>
      <w:r>
        <w:rPr>
          <w:sz w:val="24"/>
          <w:szCs w:val="24"/>
        </w:rPr>
        <w:instrText xml:space="preserve"> PAGEREF _Toc6689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4F60F7B8">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_Toc2154 </w:instrText>
      </w:r>
      <w:r>
        <w:rPr>
          <w:rFonts w:eastAsiaTheme="minorEastAsia"/>
          <w:sz w:val="24"/>
          <w:szCs w:val="24"/>
        </w:rPr>
        <w:fldChar w:fldCharType="separate"/>
      </w:r>
      <w:r>
        <w:rPr>
          <w:rFonts w:hint="default" w:eastAsiaTheme="minorEastAsia"/>
          <w:bCs/>
          <w:sz w:val="24"/>
          <w:szCs w:val="24"/>
        </w:rPr>
        <w:t xml:space="preserve">6.2 </w:t>
      </w:r>
      <w:r>
        <w:rPr>
          <w:rFonts w:eastAsiaTheme="minorEastAsia"/>
          <w:bCs/>
          <w:sz w:val="24"/>
          <w:szCs w:val="24"/>
        </w:rPr>
        <w:t>设计</w:t>
      </w:r>
      <w:r>
        <w:rPr>
          <w:sz w:val="24"/>
          <w:szCs w:val="24"/>
        </w:rPr>
        <w:tab/>
      </w:r>
      <w:r>
        <w:rPr>
          <w:sz w:val="24"/>
          <w:szCs w:val="24"/>
        </w:rPr>
        <w:fldChar w:fldCharType="begin"/>
      </w:r>
      <w:r>
        <w:rPr>
          <w:sz w:val="24"/>
          <w:szCs w:val="24"/>
        </w:rPr>
        <w:instrText xml:space="preserve"> PAGEREF _Toc2154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53AEA27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_Toc20607 </w:instrText>
      </w:r>
      <w:r>
        <w:rPr>
          <w:rFonts w:eastAsiaTheme="minorEastAsia"/>
          <w:sz w:val="24"/>
          <w:szCs w:val="24"/>
        </w:rPr>
        <w:fldChar w:fldCharType="separate"/>
      </w:r>
      <w:r>
        <w:rPr>
          <w:rFonts w:hint="default" w:eastAsiaTheme="minorEastAsia"/>
          <w:bCs/>
          <w:sz w:val="24"/>
          <w:szCs w:val="24"/>
        </w:rPr>
        <w:t xml:space="preserve">6.3 </w:t>
      </w:r>
      <w:r>
        <w:rPr>
          <w:rFonts w:hint="eastAsia" w:eastAsiaTheme="minorEastAsia"/>
          <w:bCs/>
          <w:sz w:val="24"/>
          <w:szCs w:val="24"/>
        </w:rPr>
        <w:t>检测要求</w:t>
      </w:r>
      <w:r>
        <w:rPr>
          <w:sz w:val="24"/>
          <w:szCs w:val="24"/>
        </w:rPr>
        <w:tab/>
      </w:r>
      <w:r>
        <w:rPr>
          <w:sz w:val="24"/>
          <w:szCs w:val="24"/>
        </w:rPr>
        <w:fldChar w:fldCharType="begin"/>
      </w:r>
      <w:r>
        <w:rPr>
          <w:sz w:val="24"/>
          <w:szCs w:val="24"/>
        </w:rPr>
        <w:instrText xml:space="preserve"> PAGEREF _Toc20607 \h </w:instrText>
      </w:r>
      <w:r>
        <w:rPr>
          <w:sz w:val="24"/>
          <w:szCs w:val="24"/>
        </w:rPr>
        <w:fldChar w:fldCharType="separate"/>
      </w:r>
      <w:r>
        <w:rPr>
          <w:sz w:val="24"/>
          <w:szCs w:val="24"/>
        </w:rPr>
        <w:t>17</w:t>
      </w:r>
      <w:r>
        <w:rPr>
          <w:sz w:val="24"/>
          <w:szCs w:val="24"/>
        </w:rPr>
        <w:fldChar w:fldCharType="end"/>
      </w:r>
      <w:r>
        <w:rPr>
          <w:rFonts w:eastAsiaTheme="minorEastAsia"/>
          <w:sz w:val="24"/>
          <w:szCs w:val="24"/>
        </w:rPr>
        <w:fldChar w:fldCharType="end"/>
      </w:r>
    </w:p>
    <w:p w14:paraId="3857A0D5">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_Toc27936 </w:instrText>
      </w:r>
      <w:r>
        <w:rPr>
          <w:rFonts w:eastAsiaTheme="minorEastAsia"/>
          <w:sz w:val="24"/>
          <w:szCs w:val="24"/>
        </w:rPr>
        <w:fldChar w:fldCharType="separate"/>
      </w:r>
      <w:r>
        <w:rPr>
          <w:rFonts w:hint="default" w:eastAsiaTheme="minorEastAsia"/>
          <w:bCs/>
          <w:sz w:val="24"/>
          <w:szCs w:val="24"/>
        </w:rPr>
        <w:t xml:space="preserve">7 </w:t>
      </w:r>
      <w:r>
        <w:rPr>
          <w:rFonts w:hint="eastAsia" w:eastAsiaTheme="minorEastAsia"/>
          <w:bCs/>
          <w:sz w:val="24"/>
          <w:szCs w:val="24"/>
        </w:rPr>
        <w:t>抗浮</w:t>
      </w:r>
      <w:r>
        <w:rPr>
          <w:rFonts w:eastAsiaTheme="minorEastAsia"/>
          <w:bCs/>
          <w:sz w:val="24"/>
          <w:szCs w:val="24"/>
        </w:rPr>
        <w:t>桩法</w:t>
      </w:r>
      <w:r>
        <w:rPr>
          <w:sz w:val="24"/>
          <w:szCs w:val="24"/>
        </w:rPr>
        <w:tab/>
      </w:r>
      <w:r>
        <w:rPr>
          <w:sz w:val="24"/>
          <w:szCs w:val="24"/>
        </w:rPr>
        <w:fldChar w:fldCharType="begin"/>
      </w:r>
      <w:r>
        <w:rPr>
          <w:sz w:val="24"/>
          <w:szCs w:val="24"/>
        </w:rPr>
        <w:instrText xml:space="preserve"> PAGEREF _Toc27936 \h </w:instrText>
      </w:r>
      <w:r>
        <w:rPr>
          <w:sz w:val="24"/>
          <w:szCs w:val="24"/>
        </w:rPr>
        <w:fldChar w:fldCharType="separate"/>
      </w:r>
      <w:r>
        <w:rPr>
          <w:sz w:val="24"/>
          <w:szCs w:val="24"/>
        </w:rPr>
        <w:t>18</w:t>
      </w:r>
      <w:r>
        <w:rPr>
          <w:sz w:val="24"/>
          <w:szCs w:val="24"/>
        </w:rPr>
        <w:fldChar w:fldCharType="end"/>
      </w:r>
      <w:r>
        <w:rPr>
          <w:rFonts w:eastAsiaTheme="minorEastAsia"/>
          <w:sz w:val="24"/>
          <w:szCs w:val="24"/>
        </w:rPr>
        <w:fldChar w:fldCharType="end"/>
      </w:r>
    </w:p>
    <w:p w14:paraId="626E99CF">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_Toc28555 </w:instrText>
      </w:r>
      <w:r>
        <w:rPr>
          <w:rFonts w:eastAsiaTheme="minorEastAsia"/>
          <w:sz w:val="24"/>
          <w:szCs w:val="24"/>
        </w:rPr>
        <w:fldChar w:fldCharType="separate"/>
      </w:r>
      <w:r>
        <w:rPr>
          <w:rFonts w:hint="default" w:eastAsiaTheme="minorEastAsia"/>
          <w:bCs/>
          <w:sz w:val="24"/>
          <w:szCs w:val="24"/>
        </w:rPr>
        <w:t xml:space="preserve">7.1 </w:t>
      </w:r>
      <w:r>
        <w:rPr>
          <w:rFonts w:eastAsiaTheme="minorEastAsia"/>
          <w:bCs/>
          <w:sz w:val="24"/>
          <w:szCs w:val="24"/>
        </w:rPr>
        <w:t>一般规定</w:t>
      </w:r>
      <w:r>
        <w:rPr>
          <w:sz w:val="24"/>
          <w:szCs w:val="24"/>
        </w:rPr>
        <w:tab/>
      </w:r>
      <w:r>
        <w:rPr>
          <w:sz w:val="24"/>
          <w:szCs w:val="24"/>
        </w:rPr>
        <w:fldChar w:fldCharType="begin"/>
      </w:r>
      <w:r>
        <w:rPr>
          <w:sz w:val="24"/>
          <w:szCs w:val="24"/>
        </w:rPr>
        <w:instrText xml:space="preserve"> PAGEREF _Toc28555 \h </w:instrText>
      </w:r>
      <w:r>
        <w:rPr>
          <w:sz w:val="24"/>
          <w:szCs w:val="24"/>
        </w:rPr>
        <w:fldChar w:fldCharType="separate"/>
      </w:r>
      <w:r>
        <w:rPr>
          <w:sz w:val="24"/>
          <w:szCs w:val="24"/>
        </w:rPr>
        <w:t>18</w:t>
      </w:r>
      <w:r>
        <w:rPr>
          <w:sz w:val="24"/>
          <w:szCs w:val="24"/>
        </w:rPr>
        <w:fldChar w:fldCharType="end"/>
      </w:r>
      <w:r>
        <w:rPr>
          <w:rFonts w:eastAsiaTheme="minorEastAsia"/>
          <w:sz w:val="24"/>
          <w:szCs w:val="24"/>
        </w:rPr>
        <w:fldChar w:fldCharType="end"/>
      </w:r>
    </w:p>
    <w:p w14:paraId="6E052071">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_Toc31379 </w:instrText>
      </w:r>
      <w:r>
        <w:rPr>
          <w:rFonts w:eastAsiaTheme="minorEastAsia"/>
          <w:sz w:val="24"/>
          <w:szCs w:val="24"/>
        </w:rPr>
        <w:fldChar w:fldCharType="separate"/>
      </w:r>
      <w:r>
        <w:rPr>
          <w:rFonts w:hint="default" w:eastAsiaTheme="minorEastAsia"/>
          <w:bCs/>
          <w:sz w:val="24"/>
          <w:szCs w:val="24"/>
        </w:rPr>
        <w:t xml:space="preserve">7.2 </w:t>
      </w:r>
      <w:r>
        <w:rPr>
          <w:rFonts w:eastAsiaTheme="minorEastAsia"/>
          <w:bCs/>
          <w:sz w:val="24"/>
          <w:szCs w:val="24"/>
        </w:rPr>
        <w:t>设计</w:t>
      </w:r>
      <w:r>
        <w:rPr>
          <w:sz w:val="24"/>
          <w:szCs w:val="24"/>
        </w:rPr>
        <w:tab/>
      </w:r>
      <w:r>
        <w:rPr>
          <w:sz w:val="24"/>
          <w:szCs w:val="24"/>
        </w:rPr>
        <w:fldChar w:fldCharType="begin"/>
      </w:r>
      <w:r>
        <w:rPr>
          <w:sz w:val="24"/>
          <w:szCs w:val="24"/>
        </w:rPr>
        <w:instrText xml:space="preserve"> PAGEREF _Toc31379 \h </w:instrText>
      </w:r>
      <w:r>
        <w:rPr>
          <w:sz w:val="24"/>
          <w:szCs w:val="24"/>
        </w:rPr>
        <w:fldChar w:fldCharType="separate"/>
      </w:r>
      <w:r>
        <w:rPr>
          <w:sz w:val="24"/>
          <w:szCs w:val="24"/>
        </w:rPr>
        <w:t>19</w:t>
      </w:r>
      <w:r>
        <w:rPr>
          <w:sz w:val="24"/>
          <w:szCs w:val="24"/>
        </w:rPr>
        <w:fldChar w:fldCharType="end"/>
      </w:r>
      <w:r>
        <w:rPr>
          <w:rFonts w:eastAsiaTheme="minorEastAsia"/>
          <w:sz w:val="24"/>
          <w:szCs w:val="24"/>
        </w:rPr>
        <w:fldChar w:fldCharType="end"/>
      </w:r>
    </w:p>
    <w:p w14:paraId="792E5C96">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_Toc4368 </w:instrText>
      </w:r>
      <w:r>
        <w:rPr>
          <w:rFonts w:eastAsiaTheme="minorEastAsia"/>
          <w:sz w:val="24"/>
          <w:szCs w:val="24"/>
        </w:rPr>
        <w:fldChar w:fldCharType="separate"/>
      </w:r>
      <w:r>
        <w:rPr>
          <w:rFonts w:hint="default" w:eastAsiaTheme="minorEastAsia"/>
          <w:bCs/>
          <w:sz w:val="24"/>
          <w:szCs w:val="24"/>
        </w:rPr>
        <w:t xml:space="preserve">7.3 </w:t>
      </w:r>
      <w:r>
        <w:rPr>
          <w:rFonts w:hint="eastAsia" w:eastAsiaTheme="minorEastAsia"/>
          <w:bCs/>
          <w:sz w:val="24"/>
          <w:szCs w:val="24"/>
        </w:rPr>
        <w:t>检测要求</w:t>
      </w:r>
      <w:r>
        <w:rPr>
          <w:sz w:val="24"/>
          <w:szCs w:val="24"/>
        </w:rPr>
        <w:tab/>
      </w:r>
      <w:r>
        <w:rPr>
          <w:sz w:val="24"/>
          <w:szCs w:val="24"/>
        </w:rPr>
        <w:fldChar w:fldCharType="begin"/>
      </w:r>
      <w:r>
        <w:rPr>
          <w:sz w:val="24"/>
          <w:szCs w:val="24"/>
        </w:rPr>
        <w:instrText xml:space="preserve"> PAGEREF _Toc4368 \h </w:instrText>
      </w:r>
      <w:r>
        <w:rPr>
          <w:sz w:val="24"/>
          <w:szCs w:val="24"/>
        </w:rPr>
        <w:fldChar w:fldCharType="separate"/>
      </w:r>
      <w:r>
        <w:rPr>
          <w:sz w:val="24"/>
          <w:szCs w:val="24"/>
        </w:rPr>
        <w:t>22</w:t>
      </w:r>
      <w:r>
        <w:rPr>
          <w:sz w:val="24"/>
          <w:szCs w:val="24"/>
        </w:rPr>
        <w:fldChar w:fldCharType="end"/>
      </w:r>
      <w:r>
        <w:rPr>
          <w:rFonts w:eastAsiaTheme="minorEastAsia"/>
          <w:sz w:val="24"/>
          <w:szCs w:val="24"/>
        </w:rPr>
        <w:fldChar w:fldCharType="end"/>
      </w:r>
    </w:p>
    <w:p w14:paraId="4D967DDD">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_Toc7049 </w:instrText>
      </w:r>
      <w:r>
        <w:rPr>
          <w:rFonts w:eastAsiaTheme="minorEastAsia"/>
          <w:sz w:val="24"/>
          <w:szCs w:val="24"/>
        </w:rPr>
        <w:fldChar w:fldCharType="separate"/>
      </w:r>
      <w:r>
        <w:rPr>
          <w:rFonts w:hint="default" w:eastAsiaTheme="minorEastAsia"/>
          <w:bCs/>
          <w:sz w:val="24"/>
          <w:szCs w:val="24"/>
        </w:rPr>
        <w:t xml:space="preserve">8 </w:t>
      </w:r>
      <w:r>
        <w:rPr>
          <w:rFonts w:eastAsiaTheme="minorEastAsia"/>
          <w:bCs/>
          <w:sz w:val="24"/>
          <w:szCs w:val="24"/>
        </w:rPr>
        <w:t>锚杆法</w:t>
      </w:r>
      <w:r>
        <w:rPr>
          <w:sz w:val="24"/>
          <w:szCs w:val="24"/>
        </w:rPr>
        <w:tab/>
      </w:r>
      <w:r>
        <w:rPr>
          <w:sz w:val="24"/>
          <w:szCs w:val="24"/>
        </w:rPr>
        <w:fldChar w:fldCharType="begin"/>
      </w:r>
      <w:r>
        <w:rPr>
          <w:sz w:val="24"/>
          <w:szCs w:val="24"/>
        </w:rPr>
        <w:instrText xml:space="preserve"> PAGEREF _Toc7049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0084FA3D">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_Toc29759 </w:instrText>
      </w:r>
      <w:r>
        <w:rPr>
          <w:rFonts w:eastAsiaTheme="minorEastAsia"/>
          <w:sz w:val="24"/>
          <w:szCs w:val="24"/>
        </w:rPr>
        <w:fldChar w:fldCharType="separate"/>
      </w:r>
      <w:r>
        <w:rPr>
          <w:rFonts w:hint="default" w:eastAsiaTheme="minorEastAsia"/>
          <w:bCs/>
          <w:sz w:val="24"/>
          <w:szCs w:val="24"/>
        </w:rPr>
        <w:t xml:space="preserve">8.1 </w:t>
      </w:r>
      <w:r>
        <w:rPr>
          <w:rFonts w:eastAsiaTheme="minorEastAsia"/>
          <w:bCs/>
          <w:sz w:val="24"/>
          <w:szCs w:val="24"/>
        </w:rPr>
        <w:t>一般规定</w:t>
      </w:r>
      <w:r>
        <w:rPr>
          <w:sz w:val="24"/>
          <w:szCs w:val="24"/>
        </w:rPr>
        <w:tab/>
      </w:r>
      <w:r>
        <w:rPr>
          <w:sz w:val="24"/>
          <w:szCs w:val="24"/>
        </w:rPr>
        <w:fldChar w:fldCharType="begin"/>
      </w:r>
      <w:r>
        <w:rPr>
          <w:sz w:val="24"/>
          <w:szCs w:val="24"/>
        </w:rPr>
        <w:instrText xml:space="preserve"> PAGEREF _Toc29759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23842BF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_Toc7148 </w:instrText>
      </w:r>
      <w:r>
        <w:rPr>
          <w:rFonts w:eastAsiaTheme="minorEastAsia"/>
          <w:sz w:val="24"/>
          <w:szCs w:val="24"/>
        </w:rPr>
        <w:fldChar w:fldCharType="separate"/>
      </w:r>
      <w:r>
        <w:rPr>
          <w:rFonts w:hint="default" w:eastAsiaTheme="minorEastAsia"/>
          <w:bCs/>
          <w:sz w:val="24"/>
          <w:szCs w:val="24"/>
        </w:rPr>
        <w:t xml:space="preserve">8.2 </w:t>
      </w:r>
      <w:r>
        <w:rPr>
          <w:rFonts w:eastAsiaTheme="minorEastAsia"/>
          <w:bCs/>
          <w:sz w:val="24"/>
          <w:szCs w:val="24"/>
        </w:rPr>
        <w:t>设计</w:t>
      </w:r>
      <w:r>
        <w:rPr>
          <w:sz w:val="24"/>
          <w:szCs w:val="24"/>
        </w:rPr>
        <w:tab/>
      </w:r>
      <w:r>
        <w:rPr>
          <w:sz w:val="24"/>
          <w:szCs w:val="24"/>
        </w:rPr>
        <w:fldChar w:fldCharType="begin"/>
      </w:r>
      <w:r>
        <w:rPr>
          <w:sz w:val="24"/>
          <w:szCs w:val="24"/>
        </w:rPr>
        <w:instrText xml:space="preserve"> PAGEREF _Toc7148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7692FEE2">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_Toc29210 </w:instrText>
      </w:r>
      <w:r>
        <w:rPr>
          <w:rFonts w:eastAsiaTheme="minorEastAsia"/>
          <w:sz w:val="24"/>
          <w:szCs w:val="24"/>
        </w:rPr>
        <w:fldChar w:fldCharType="separate"/>
      </w:r>
      <w:r>
        <w:rPr>
          <w:rFonts w:hint="default" w:eastAsiaTheme="minorEastAsia"/>
          <w:bCs/>
          <w:sz w:val="24"/>
          <w:szCs w:val="24"/>
        </w:rPr>
        <w:t xml:space="preserve">8.3 </w:t>
      </w:r>
      <w:r>
        <w:rPr>
          <w:rFonts w:hint="eastAsia" w:eastAsiaTheme="minorEastAsia"/>
          <w:bCs/>
          <w:sz w:val="24"/>
          <w:szCs w:val="24"/>
        </w:rPr>
        <w:t>检测要求</w:t>
      </w:r>
      <w:r>
        <w:rPr>
          <w:sz w:val="24"/>
          <w:szCs w:val="24"/>
        </w:rPr>
        <w:tab/>
      </w:r>
      <w:r>
        <w:rPr>
          <w:sz w:val="24"/>
          <w:szCs w:val="24"/>
        </w:rPr>
        <w:fldChar w:fldCharType="begin"/>
      </w:r>
      <w:r>
        <w:rPr>
          <w:sz w:val="24"/>
          <w:szCs w:val="24"/>
        </w:rPr>
        <w:instrText xml:space="preserve"> PAGEREF _Toc29210 \h </w:instrText>
      </w:r>
      <w:r>
        <w:rPr>
          <w:sz w:val="24"/>
          <w:szCs w:val="24"/>
        </w:rPr>
        <w:fldChar w:fldCharType="separate"/>
      </w:r>
      <w:r>
        <w:rPr>
          <w:sz w:val="24"/>
          <w:szCs w:val="24"/>
        </w:rPr>
        <w:t>31</w:t>
      </w:r>
      <w:r>
        <w:rPr>
          <w:sz w:val="24"/>
          <w:szCs w:val="24"/>
        </w:rPr>
        <w:fldChar w:fldCharType="end"/>
      </w:r>
      <w:r>
        <w:rPr>
          <w:rFonts w:eastAsiaTheme="minorEastAsia"/>
          <w:sz w:val="24"/>
          <w:szCs w:val="24"/>
        </w:rPr>
        <w:fldChar w:fldCharType="end"/>
      </w:r>
    </w:p>
    <w:p w14:paraId="3349629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_Toc26001 </w:instrText>
      </w:r>
      <w:r>
        <w:rPr>
          <w:rFonts w:eastAsiaTheme="minorEastAsia"/>
          <w:sz w:val="24"/>
          <w:szCs w:val="24"/>
        </w:rPr>
        <w:fldChar w:fldCharType="separate"/>
      </w:r>
      <w:r>
        <w:rPr>
          <w:rFonts w:hint="default" w:eastAsiaTheme="minorEastAsia"/>
          <w:bCs/>
          <w:sz w:val="24"/>
          <w:szCs w:val="24"/>
        </w:rPr>
        <w:t xml:space="preserve">8.4 </w:t>
      </w:r>
      <w:r>
        <w:rPr>
          <w:rFonts w:eastAsiaTheme="minorEastAsia"/>
          <w:bCs/>
          <w:sz w:val="24"/>
          <w:szCs w:val="24"/>
        </w:rPr>
        <w:t>张拉与锁定</w:t>
      </w:r>
      <w:r>
        <w:rPr>
          <w:rFonts w:hint="eastAsia" w:eastAsiaTheme="minorEastAsia"/>
          <w:bCs/>
          <w:sz w:val="24"/>
          <w:szCs w:val="24"/>
        </w:rPr>
        <w:t>要求</w:t>
      </w:r>
      <w:r>
        <w:rPr>
          <w:sz w:val="24"/>
          <w:szCs w:val="24"/>
        </w:rPr>
        <w:tab/>
      </w:r>
      <w:r>
        <w:rPr>
          <w:sz w:val="24"/>
          <w:szCs w:val="24"/>
        </w:rPr>
        <w:fldChar w:fldCharType="begin"/>
      </w:r>
      <w:r>
        <w:rPr>
          <w:sz w:val="24"/>
          <w:szCs w:val="24"/>
        </w:rPr>
        <w:instrText xml:space="preserve"> PAGEREF _Toc26001 \h </w:instrText>
      </w:r>
      <w:r>
        <w:rPr>
          <w:sz w:val="24"/>
          <w:szCs w:val="24"/>
        </w:rPr>
        <w:fldChar w:fldCharType="separate"/>
      </w:r>
      <w:r>
        <w:rPr>
          <w:sz w:val="24"/>
          <w:szCs w:val="24"/>
        </w:rPr>
        <w:t>31</w:t>
      </w:r>
      <w:r>
        <w:rPr>
          <w:sz w:val="24"/>
          <w:szCs w:val="24"/>
        </w:rPr>
        <w:fldChar w:fldCharType="end"/>
      </w:r>
      <w:r>
        <w:rPr>
          <w:rFonts w:eastAsiaTheme="minorEastAsia"/>
          <w:sz w:val="24"/>
          <w:szCs w:val="24"/>
        </w:rPr>
        <w:fldChar w:fldCharType="end"/>
      </w:r>
    </w:p>
    <w:p w14:paraId="3FDA05BD">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_Toc2872 </w:instrText>
      </w:r>
      <w:r>
        <w:rPr>
          <w:rFonts w:eastAsiaTheme="minorEastAsia"/>
          <w:sz w:val="24"/>
          <w:szCs w:val="24"/>
        </w:rPr>
        <w:fldChar w:fldCharType="separate"/>
      </w:r>
      <w:r>
        <w:rPr>
          <w:rFonts w:hint="default" w:eastAsiaTheme="minorEastAsia"/>
          <w:bCs/>
          <w:sz w:val="24"/>
          <w:szCs w:val="24"/>
        </w:rPr>
        <w:t xml:space="preserve">9 </w:t>
      </w:r>
      <w:r>
        <w:rPr>
          <w:rFonts w:hint="eastAsia" w:eastAsiaTheme="minorEastAsia"/>
          <w:bCs/>
          <w:sz w:val="24"/>
          <w:szCs w:val="24"/>
        </w:rPr>
        <w:t>限压法</w:t>
      </w:r>
      <w:r>
        <w:rPr>
          <w:sz w:val="24"/>
          <w:szCs w:val="24"/>
        </w:rPr>
        <w:tab/>
      </w:r>
      <w:r>
        <w:rPr>
          <w:sz w:val="24"/>
          <w:szCs w:val="24"/>
        </w:rPr>
        <w:fldChar w:fldCharType="begin"/>
      </w:r>
      <w:r>
        <w:rPr>
          <w:sz w:val="24"/>
          <w:szCs w:val="24"/>
        </w:rPr>
        <w:instrText xml:space="preserve"> PAGEREF _Toc2872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76E036E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_Toc16974 </w:instrText>
      </w:r>
      <w:r>
        <w:rPr>
          <w:rFonts w:eastAsiaTheme="minorEastAsia"/>
          <w:sz w:val="24"/>
          <w:szCs w:val="24"/>
        </w:rPr>
        <w:fldChar w:fldCharType="separate"/>
      </w:r>
      <w:r>
        <w:rPr>
          <w:rFonts w:hint="default" w:eastAsiaTheme="minorEastAsia"/>
          <w:bCs/>
          <w:sz w:val="24"/>
          <w:szCs w:val="24"/>
        </w:rPr>
        <w:t xml:space="preserve">9.1 </w:t>
      </w:r>
      <w:r>
        <w:rPr>
          <w:rFonts w:hint="eastAsia" w:eastAsiaTheme="minorEastAsia"/>
          <w:bCs/>
          <w:sz w:val="24"/>
          <w:szCs w:val="24"/>
        </w:rPr>
        <w:t>一般规定</w:t>
      </w:r>
      <w:r>
        <w:rPr>
          <w:sz w:val="24"/>
          <w:szCs w:val="24"/>
        </w:rPr>
        <w:tab/>
      </w:r>
      <w:r>
        <w:rPr>
          <w:sz w:val="24"/>
          <w:szCs w:val="24"/>
        </w:rPr>
        <w:fldChar w:fldCharType="begin"/>
      </w:r>
      <w:r>
        <w:rPr>
          <w:sz w:val="24"/>
          <w:szCs w:val="24"/>
        </w:rPr>
        <w:instrText xml:space="preserve"> PAGEREF _Toc16974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4CE814A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_Toc27738 </w:instrText>
      </w:r>
      <w:r>
        <w:rPr>
          <w:rFonts w:eastAsiaTheme="minorEastAsia"/>
          <w:sz w:val="24"/>
          <w:szCs w:val="24"/>
        </w:rPr>
        <w:fldChar w:fldCharType="separate"/>
      </w:r>
      <w:r>
        <w:rPr>
          <w:rFonts w:hint="default" w:eastAsiaTheme="minorEastAsia"/>
          <w:bCs/>
          <w:sz w:val="24"/>
          <w:szCs w:val="24"/>
        </w:rPr>
        <w:t xml:space="preserve">9.2 </w:t>
      </w:r>
      <w:r>
        <w:rPr>
          <w:rFonts w:hint="eastAsia" w:eastAsiaTheme="minorEastAsia"/>
          <w:bCs/>
          <w:sz w:val="24"/>
          <w:szCs w:val="24"/>
        </w:rPr>
        <w:t>设计</w:t>
      </w:r>
      <w:r>
        <w:rPr>
          <w:sz w:val="24"/>
          <w:szCs w:val="24"/>
        </w:rPr>
        <w:tab/>
      </w:r>
      <w:r>
        <w:rPr>
          <w:sz w:val="24"/>
          <w:szCs w:val="24"/>
        </w:rPr>
        <w:fldChar w:fldCharType="begin"/>
      </w:r>
      <w:r>
        <w:rPr>
          <w:sz w:val="24"/>
          <w:szCs w:val="24"/>
        </w:rPr>
        <w:instrText xml:space="preserve"> PAGEREF _Toc27738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65DA897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_Toc31334 </w:instrText>
      </w:r>
      <w:r>
        <w:rPr>
          <w:rFonts w:eastAsiaTheme="minorEastAsia"/>
          <w:sz w:val="24"/>
          <w:szCs w:val="24"/>
        </w:rPr>
        <w:fldChar w:fldCharType="separate"/>
      </w:r>
      <w:r>
        <w:rPr>
          <w:rFonts w:hint="default" w:eastAsiaTheme="minorEastAsia"/>
          <w:bCs/>
          <w:sz w:val="24"/>
          <w:szCs w:val="24"/>
        </w:rPr>
        <w:t xml:space="preserve">9.3 </w:t>
      </w:r>
      <w:r>
        <w:rPr>
          <w:rFonts w:hint="eastAsia" w:eastAsiaTheme="minorEastAsia"/>
          <w:bCs/>
          <w:sz w:val="24"/>
          <w:szCs w:val="24"/>
        </w:rPr>
        <w:t>检测要求</w:t>
      </w:r>
      <w:r>
        <w:rPr>
          <w:sz w:val="24"/>
          <w:szCs w:val="24"/>
        </w:rPr>
        <w:tab/>
      </w:r>
      <w:r>
        <w:rPr>
          <w:sz w:val="24"/>
          <w:szCs w:val="24"/>
        </w:rPr>
        <w:fldChar w:fldCharType="begin"/>
      </w:r>
      <w:r>
        <w:rPr>
          <w:sz w:val="24"/>
          <w:szCs w:val="24"/>
        </w:rPr>
        <w:instrText xml:space="preserve"> PAGEREF _Toc31334 \h </w:instrText>
      </w:r>
      <w:r>
        <w:rPr>
          <w:sz w:val="24"/>
          <w:szCs w:val="24"/>
        </w:rPr>
        <w:fldChar w:fldCharType="separate"/>
      </w:r>
      <w:r>
        <w:rPr>
          <w:sz w:val="24"/>
          <w:szCs w:val="24"/>
        </w:rPr>
        <w:t>34</w:t>
      </w:r>
      <w:r>
        <w:rPr>
          <w:sz w:val="24"/>
          <w:szCs w:val="24"/>
        </w:rPr>
        <w:fldChar w:fldCharType="end"/>
      </w:r>
      <w:r>
        <w:rPr>
          <w:rFonts w:eastAsiaTheme="minorEastAsia"/>
          <w:sz w:val="24"/>
          <w:szCs w:val="24"/>
        </w:rPr>
        <w:fldChar w:fldCharType="end"/>
      </w:r>
    </w:p>
    <w:p w14:paraId="48207354">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_Toc17701 </w:instrText>
      </w:r>
      <w:r>
        <w:rPr>
          <w:rFonts w:eastAsiaTheme="minorEastAsia"/>
          <w:sz w:val="24"/>
          <w:szCs w:val="24"/>
        </w:rPr>
        <w:fldChar w:fldCharType="separate"/>
      </w:r>
      <w:r>
        <w:rPr>
          <w:rFonts w:hint="default" w:eastAsiaTheme="minorEastAsia"/>
          <w:bCs/>
          <w:sz w:val="24"/>
          <w:szCs w:val="24"/>
        </w:rPr>
        <w:t xml:space="preserve">10 </w:t>
      </w:r>
      <w:r>
        <w:rPr>
          <w:rFonts w:eastAsiaTheme="minorEastAsia"/>
          <w:bCs/>
          <w:sz w:val="24"/>
          <w:szCs w:val="24"/>
        </w:rPr>
        <w:t>既有</w:t>
      </w:r>
      <w:r>
        <w:rPr>
          <w:rFonts w:hint="eastAsia" w:eastAsiaTheme="minorEastAsia"/>
          <w:bCs/>
          <w:sz w:val="24"/>
          <w:szCs w:val="24"/>
        </w:rPr>
        <w:t>建筑</w:t>
      </w:r>
      <w:r>
        <w:rPr>
          <w:rFonts w:eastAsiaTheme="minorEastAsia"/>
          <w:bCs/>
          <w:sz w:val="24"/>
          <w:szCs w:val="24"/>
        </w:rPr>
        <w:t>抗浮</w:t>
      </w:r>
      <w:r>
        <w:rPr>
          <w:sz w:val="24"/>
          <w:szCs w:val="24"/>
        </w:rPr>
        <w:tab/>
      </w:r>
      <w:r>
        <w:rPr>
          <w:sz w:val="24"/>
          <w:szCs w:val="24"/>
        </w:rPr>
        <w:fldChar w:fldCharType="begin"/>
      </w:r>
      <w:r>
        <w:rPr>
          <w:sz w:val="24"/>
          <w:szCs w:val="24"/>
        </w:rPr>
        <w:instrText xml:space="preserve"> PAGEREF _Toc17701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6861C1D1">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_Toc3986 </w:instrText>
      </w:r>
      <w:r>
        <w:rPr>
          <w:rFonts w:eastAsiaTheme="minorEastAsia"/>
          <w:sz w:val="24"/>
          <w:szCs w:val="24"/>
        </w:rPr>
        <w:fldChar w:fldCharType="separate"/>
      </w:r>
      <w:r>
        <w:rPr>
          <w:rFonts w:hint="default" w:eastAsiaTheme="minorEastAsia"/>
          <w:bCs/>
          <w:sz w:val="24"/>
          <w:szCs w:val="24"/>
        </w:rPr>
        <w:t xml:space="preserve">10.1 </w:t>
      </w:r>
      <w:r>
        <w:rPr>
          <w:rFonts w:eastAsiaTheme="minorEastAsia"/>
          <w:bCs/>
          <w:sz w:val="24"/>
          <w:szCs w:val="24"/>
        </w:rPr>
        <w:t>一般规定</w:t>
      </w:r>
      <w:r>
        <w:rPr>
          <w:sz w:val="24"/>
          <w:szCs w:val="24"/>
        </w:rPr>
        <w:tab/>
      </w:r>
      <w:r>
        <w:rPr>
          <w:sz w:val="24"/>
          <w:szCs w:val="24"/>
        </w:rPr>
        <w:fldChar w:fldCharType="begin"/>
      </w:r>
      <w:r>
        <w:rPr>
          <w:sz w:val="24"/>
          <w:szCs w:val="24"/>
        </w:rPr>
        <w:instrText xml:space="preserve"> PAGEREF _Toc3986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49C4F14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_Toc9858 </w:instrText>
      </w:r>
      <w:r>
        <w:rPr>
          <w:rFonts w:eastAsiaTheme="minorEastAsia"/>
          <w:sz w:val="24"/>
          <w:szCs w:val="24"/>
        </w:rPr>
        <w:fldChar w:fldCharType="separate"/>
      </w:r>
      <w:r>
        <w:rPr>
          <w:rFonts w:hint="default" w:eastAsiaTheme="minorEastAsia"/>
          <w:bCs/>
          <w:sz w:val="24"/>
          <w:szCs w:val="24"/>
        </w:rPr>
        <w:t xml:space="preserve">10.2 </w:t>
      </w:r>
      <w:r>
        <w:rPr>
          <w:rFonts w:eastAsiaTheme="minorEastAsia"/>
          <w:bCs/>
          <w:sz w:val="24"/>
          <w:szCs w:val="24"/>
        </w:rPr>
        <w:t>抗浮加固设计</w:t>
      </w:r>
      <w:r>
        <w:rPr>
          <w:sz w:val="24"/>
          <w:szCs w:val="24"/>
        </w:rPr>
        <w:tab/>
      </w:r>
      <w:r>
        <w:rPr>
          <w:sz w:val="24"/>
          <w:szCs w:val="24"/>
        </w:rPr>
        <w:fldChar w:fldCharType="begin"/>
      </w:r>
      <w:r>
        <w:rPr>
          <w:sz w:val="24"/>
          <w:szCs w:val="24"/>
        </w:rPr>
        <w:instrText xml:space="preserve"> PAGEREF _Toc9858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46082AED">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_Toc13435 </w:instrText>
      </w:r>
      <w:r>
        <w:rPr>
          <w:rFonts w:eastAsiaTheme="minorEastAsia"/>
          <w:sz w:val="24"/>
          <w:szCs w:val="24"/>
        </w:rPr>
        <w:fldChar w:fldCharType="separate"/>
      </w:r>
      <w:r>
        <w:rPr>
          <w:rFonts w:hint="default" w:eastAsia="宋体"/>
          <w:sz w:val="24"/>
          <w:szCs w:val="24"/>
        </w:rPr>
        <w:t xml:space="preserve">11 </w:t>
      </w:r>
      <w:r>
        <w:rPr>
          <w:rFonts w:eastAsiaTheme="minorEastAsia"/>
          <w:sz w:val="24"/>
          <w:szCs w:val="24"/>
        </w:rPr>
        <w:t>监测与维护</w:t>
      </w:r>
      <w:r>
        <w:rPr>
          <w:sz w:val="24"/>
          <w:szCs w:val="24"/>
        </w:rPr>
        <w:tab/>
      </w:r>
      <w:r>
        <w:rPr>
          <w:sz w:val="24"/>
          <w:szCs w:val="24"/>
        </w:rPr>
        <w:fldChar w:fldCharType="begin"/>
      </w:r>
      <w:r>
        <w:rPr>
          <w:sz w:val="24"/>
          <w:szCs w:val="24"/>
        </w:rPr>
        <w:instrText xml:space="preserve"> PAGEREF _Toc13435 \h </w:instrText>
      </w:r>
      <w:r>
        <w:rPr>
          <w:sz w:val="24"/>
          <w:szCs w:val="24"/>
        </w:rPr>
        <w:fldChar w:fldCharType="separate"/>
      </w:r>
      <w:r>
        <w:rPr>
          <w:sz w:val="24"/>
          <w:szCs w:val="24"/>
        </w:rPr>
        <w:t>40</w:t>
      </w:r>
      <w:r>
        <w:rPr>
          <w:sz w:val="24"/>
          <w:szCs w:val="24"/>
        </w:rPr>
        <w:fldChar w:fldCharType="end"/>
      </w:r>
      <w:r>
        <w:rPr>
          <w:rFonts w:eastAsiaTheme="minorEastAsia"/>
          <w:sz w:val="24"/>
          <w:szCs w:val="24"/>
        </w:rPr>
        <w:fldChar w:fldCharType="end"/>
      </w:r>
    </w:p>
    <w:p w14:paraId="0D1E8932">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_Toc14630 </w:instrText>
      </w:r>
      <w:r>
        <w:rPr>
          <w:rFonts w:eastAsiaTheme="minorEastAsia"/>
          <w:sz w:val="24"/>
          <w:szCs w:val="24"/>
        </w:rPr>
        <w:fldChar w:fldCharType="separate"/>
      </w:r>
      <w:r>
        <w:rPr>
          <w:rFonts w:hint="default" w:eastAsiaTheme="minorEastAsia"/>
          <w:bCs/>
          <w:sz w:val="24"/>
          <w:szCs w:val="24"/>
        </w:rPr>
        <w:t xml:space="preserve">附录A </w:t>
      </w:r>
      <w:r>
        <w:rPr>
          <w:rFonts w:hint="eastAsia" w:eastAsiaTheme="minorEastAsia"/>
          <w:bCs/>
          <w:sz w:val="24"/>
          <w:szCs w:val="24"/>
        </w:rPr>
        <w:t>抗浮设计专篇（样例）</w:t>
      </w:r>
      <w:r>
        <w:rPr>
          <w:sz w:val="24"/>
          <w:szCs w:val="24"/>
        </w:rPr>
        <w:tab/>
      </w:r>
      <w:r>
        <w:rPr>
          <w:sz w:val="24"/>
          <w:szCs w:val="24"/>
        </w:rPr>
        <w:fldChar w:fldCharType="begin"/>
      </w:r>
      <w:r>
        <w:rPr>
          <w:sz w:val="24"/>
          <w:szCs w:val="24"/>
        </w:rPr>
        <w:instrText xml:space="preserve"> PAGEREF _Toc14630 \h </w:instrText>
      </w:r>
      <w:r>
        <w:rPr>
          <w:sz w:val="24"/>
          <w:szCs w:val="24"/>
        </w:rPr>
        <w:fldChar w:fldCharType="separate"/>
      </w:r>
      <w:r>
        <w:rPr>
          <w:sz w:val="24"/>
          <w:szCs w:val="24"/>
        </w:rPr>
        <w:t>42</w:t>
      </w:r>
      <w:r>
        <w:rPr>
          <w:sz w:val="24"/>
          <w:szCs w:val="24"/>
        </w:rPr>
        <w:fldChar w:fldCharType="end"/>
      </w:r>
      <w:r>
        <w:rPr>
          <w:rFonts w:eastAsiaTheme="minorEastAsia"/>
          <w:sz w:val="24"/>
          <w:szCs w:val="24"/>
        </w:rPr>
        <w:fldChar w:fldCharType="end"/>
      </w:r>
    </w:p>
    <w:p w14:paraId="5A7C3BBE">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_Toc11643 </w:instrText>
      </w:r>
      <w:r>
        <w:rPr>
          <w:rFonts w:eastAsiaTheme="minorEastAsia"/>
          <w:sz w:val="24"/>
          <w:szCs w:val="24"/>
        </w:rPr>
        <w:fldChar w:fldCharType="separate"/>
      </w:r>
      <w:r>
        <w:rPr>
          <w:rFonts w:hint="default" w:eastAsiaTheme="minorEastAsia"/>
          <w:bCs/>
          <w:sz w:val="24"/>
          <w:szCs w:val="24"/>
        </w:rPr>
        <w:t xml:space="preserve">附录B </w:t>
      </w:r>
      <w:r>
        <w:rPr>
          <w:rFonts w:eastAsiaTheme="minorEastAsia"/>
          <w:bCs/>
          <w:sz w:val="24"/>
          <w:szCs w:val="24"/>
        </w:rPr>
        <w:t>抗浮锚杆基本试验</w:t>
      </w:r>
      <w:r>
        <w:rPr>
          <w:rFonts w:hint="eastAsia" w:eastAsiaTheme="minorEastAsia"/>
          <w:bCs/>
          <w:sz w:val="24"/>
          <w:szCs w:val="24"/>
        </w:rPr>
        <w:t>与验收试验</w:t>
      </w:r>
      <w:r>
        <w:rPr>
          <w:rFonts w:eastAsiaTheme="minorEastAsia"/>
          <w:bCs/>
          <w:sz w:val="24"/>
          <w:szCs w:val="24"/>
        </w:rPr>
        <w:t>要点</w:t>
      </w:r>
      <w:r>
        <w:rPr>
          <w:sz w:val="24"/>
          <w:szCs w:val="24"/>
        </w:rPr>
        <w:tab/>
      </w:r>
      <w:r>
        <w:rPr>
          <w:sz w:val="24"/>
          <w:szCs w:val="24"/>
        </w:rPr>
        <w:fldChar w:fldCharType="begin"/>
      </w:r>
      <w:r>
        <w:rPr>
          <w:sz w:val="24"/>
          <w:szCs w:val="24"/>
        </w:rPr>
        <w:instrText xml:space="preserve"> PAGEREF _Toc11643 \h </w:instrText>
      </w:r>
      <w:r>
        <w:rPr>
          <w:sz w:val="24"/>
          <w:szCs w:val="24"/>
        </w:rPr>
        <w:fldChar w:fldCharType="separate"/>
      </w:r>
      <w:r>
        <w:rPr>
          <w:sz w:val="24"/>
          <w:szCs w:val="24"/>
        </w:rPr>
        <w:t>47</w:t>
      </w:r>
      <w:r>
        <w:rPr>
          <w:sz w:val="24"/>
          <w:szCs w:val="24"/>
        </w:rPr>
        <w:fldChar w:fldCharType="end"/>
      </w:r>
      <w:r>
        <w:rPr>
          <w:rFonts w:eastAsiaTheme="minorEastAsia"/>
          <w:sz w:val="24"/>
          <w:szCs w:val="24"/>
        </w:rPr>
        <w:fldChar w:fldCharType="end"/>
      </w:r>
    </w:p>
    <w:p w14:paraId="3B14820E">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_Toc31978 </w:instrText>
      </w:r>
      <w:r>
        <w:rPr>
          <w:rFonts w:eastAsiaTheme="minorEastAsia"/>
          <w:sz w:val="24"/>
          <w:szCs w:val="24"/>
        </w:rPr>
        <w:fldChar w:fldCharType="separate"/>
      </w:r>
      <w:r>
        <w:rPr>
          <w:rFonts w:hint="default" w:eastAsiaTheme="minorEastAsia"/>
          <w:bCs/>
          <w:sz w:val="24"/>
          <w:szCs w:val="24"/>
        </w:rPr>
        <w:t xml:space="preserve">附录C </w:t>
      </w:r>
      <w:r>
        <w:rPr>
          <w:rFonts w:eastAsiaTheme="minorEastAsia"/>
          <w:bCs/>
          <w:sz w:val="24"/>
          <w:szCs w:val="24"/>
        </w:rPr>
        <w:t>锚杆防腐技术要求</w:t>
      </w:r>
      <w:r>
        <w:rPr>
          <w:sz w:val="24"/>
          <w:szCs w:val="24"/>
        </w:rPr>
        <w:tab/>
      </w:r>
      <w:r>
        <w:rPr>
          <w:sz w:val="24"/>
          <w:szCs w:val="24"/>
        </w:rPr>
        <w:fldChar w:fldCharType="begin"/>
      </w:r>
      <w:r>
        <w:rPr>
          <w:sz w:val="24"/>
          <w:szCs w:val="24"/>
        </w:rPr>
        <w:instrText xml:space="preserve"> PAGEREF _Toc31978 \h </w:instrText>
      </w:r>
      <w:r>
        <w:rPr>
          <w:sz w:val="24"/>
          <w:szCs w:val="24"/>
        </w:rPr>
        <w:fldChar w:fldCharType="separate"/>
      </w:r>
      <w:r>
        <w:rPr>
          <w:sz w:val="24"/>
          <w:szCs w:val="24"/>
        </w:rPr>
        <w:t>50</w:t>
      </w:r>
      <w:r>
        <w:rPr>
          <w:sz w:val="24"/>
          <w:szCs w:val="24"/>
        </w:rPr>
        <w:fldChar w:fldCharType="end"/>
      </w:r>
      <w:r>
        <w:rPr>
          <w:rFonts w:eastAsiaTheme="minorEastAsia"/>
          <w:sz w:val="24"/>
          <w:szCs w:val="24"/>
        </w:rPr>
        <w:fldChar w:fldCharType="end"/>
      </w:r>
    </w:p>
    <w:p w14:paraId="21874C1B">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_Toc12037 </w:instrText>
      </w:r>
      <w:r>
        <w:rPr>
          <w:rFonts w:eastAsiaTheme="minorEastAsia"/>
          <w:sz w:val="24"/>
          <w:szCs w:val="24"/>
        </w:rPr>
        <w:fldChar w:fldCharType="separate"/>
      </w:r>
      <w:r>
        <w:rPr>
          <w:rFonts w:hint="default" w:eastAsiaTheme="minorEastAsia"/>
          <w:bCs/>
          <w:sz w:val="24"/>
          <w:szCs w:val="24"/>
        </w:rPr>
        <w:t xml:space="preserve">附录D </w:t>
      </w:r>
      <w:r>
        <w:rPr>
          <w:rFonts w:eastAsiaTheme="minorEastAsia"/>
          <w:bCs/>
          <w:sz w:val="24"/>
          <w:szCs w:val="24"/>
        </w:rPr>
        <w:t>锚固板强度验算方法</w:t>
      </w:r>
      <w:r>
        <w:rPr>
          <w:sz w:val="24"/>
          <w:szCs w:val="24"/>
        </w:rPr>
        <w:tab/>
      </w:r>
      <w:r>
        <w:rPr>
          <w:sz w:val="24"/>
          <w:szCs w:val="24"/>
        </w:rPr>
        <w:fldChar w:fldCharType="begin"/>
      </w:r>
      <w:r>
        <w:rPr>
          <w:sz w:val="24"/>
          <w:szCs w:val="24"/>
        </w:rPr>
        <w:instrText xml:space="preserve"> PAGEREF _Toc12037 \h </w:instrText>
      </w:r>
      <w:r>
        <w:rPr>
          <w:sz w:val="24"/>
          <w:szCs w:val="24"/>
        </w:rPr>
        <w:fldChar w:fldCharType="separate"/>
      </w:r>
      <w:r>
        <w:rPr>
          <w:sz w:val="24"/>
          <w:szCs w:val="24"/>
        </w:rPr>
        <w:t>51</w:t>
      </w:r>
      <w:r>
        <w:rPr>
          <w:sz w:val="24"/>
          <w:szCs w:val="24"/>
        </w:rPr>
        <w:fldChar w:fldCharType="end"/>
      </w:r>
      <w:r>
        <w:rPr>
          <w:rFonts w:eastAsiaTheme="minorEastAsia"/>
          <w:sz w:val="24"/>
          <w:szCs w:val="24"/>
        </w:rPr>
        <w:fldChar w:fldCharType="end"/>
      </w:r>
    </w:p>
    <w:p w14:paraId="67712B76">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_Toc1647 </w:instrText>
      </w:r>
      <w:r>
        <w:rPr>
          <w:rFonts w:eastAsiaTheme="minorEastAsia"/>
          <w:sz w:val="24"/>
          <w:szCs w:val="24"/>
        </w:rPr>
        <w:fldChar w:fldCharType="separate"/>
      </w:r>
      <w:r>
        <w:rPr>
          <w:rFonts w:hint="default"/>
          <w:bCs/>
          <w:sz w:val="24"/>
          <w:szCs w:val="24"/>
        </w:rPr>
        <w:t xml:space="preserve">附录E </w:t>
      </w:r>
      <w:r>
        <w:rPr>
          <w:rFonts w:hint="eastAsia" w:eastAsiaTheme="minorEastAsia"/>
          <w:bCs/>
          <w:sz w:val="24"/>
          <w:szCs w:val="24"/>
        </w:rPr>
        <w:t>既有建筑桩基础(锚杆</w:t>
      </w:r>
      <w:r>
        <w:rPr>
          <w:rFonts w:eastAsiaTheme="minorEastAsia"/>
          <w:bCs/>
          <w:sz w:val="24"/>
          <w:szCs w:val="24"/>
        </w:rPr>
        <w:t>)</w:t>
      </w:r>
      <w:r>
        <w:rPr>
          <w:rFonts w:hint="eastAsia" w:eastAsiaTheme="minorEastAsia"/>
          <w:bCs/>
          <w:sz w:val="24"/>
          <w:szCs w:val="24"/>
        </w:rPr>
        <w:t>承载力持载再循环试验要点</w:t>
      </w:r>
      <w:r>
        <w:rPr>
          <w:sz w:val="24"/>
          <w:szCs w:val="24"/>
        </w:rPr>
        <w:tab/>
      </w:r>
      <w:r>
        <w:rPr>
          <w:sz w:val="24"/>
          <w:szCs w:val="24"/>
        </w:rPr>
        <w:fldChar w:fldCharType="begin"/>
      </w:r>
      <w:r>
        <w:rPr>
          <w:sz w:val="24"/>
          <w:szCs w:val="24"/>
        </w:rPr>
        <w:instrText xml:space="preserve"> PAGEREF _Toc1647 \h </w:instrText>
      </w:r>
      <w:r>
        <w:rPr>
          <w:sz w:val="24"/>
          <w:szCs w:val="24"/>
        </w:rPr>
        <w:fldChar w:fldCharType="separate"/>
      </w:r>
      <w:r>
        <w:rPr>
          <w:sz w:val="24"/>
          <w:szCs w:val="24"/>
        </w:rPr>
        <w:t>53</w:t>
      </w:r>
      <w:r>
        <w:rPr>
          <w:sz w:val="24"/>
          <w:szCs w:val="24"/>
        </w:rPr>
        <w:fldChar w:fldCharType="end"/>
      </w:r>
      <w:r>
        <w:rPr>
          <w:rFonts w:eastAsiaTheme="minorEastAsia"/>
          <w:sz w:val="24"/>
          <w:szCs w:val="24"/>
        </w:rPr>
        <w:fldChar w:fldCharType="end"/>
      </w:r>
    </w:p>
    <w:p w14:paraId="6EED4EBB">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_Toc2609 </w:instrText>
      </w:r>
      <w:r>
        <w:rPr>
          <w:rFonts w:eastAsiaTheme="minorEastAsia"/>
          <w:sz w:val="24"/>
          <w:szCs w:val="24"/>
        </w:rPr>
        <w:fldChar w:fldCharType="separate"/>
      </w:r>
      <w:r>
        <w:rPr>
          <w:rFonts w:hint="eastAsia" w:ascii="宋体" w:hAnsi="宋体" w:eastAsia="宋体" w:cs="宋体"/>
          <w:sz w:val="24"/>
          <w:szCs w:val="24"/>
        </w:rPr>
        <w:t>本规程用词说明</w:t>
      </w:r>
      <w:r>
        <w:rPr>
          <w:sz w:val="24"/>
          <w:szCs w:val="24"/>
        </w:rPr>
        <w:tab/>
      </w:r>
      <w:r>
        <w:rPr>
          <w:sz w:val="24"/>
          <w:szCs w:val="24"/>
        </w:rPr>
        <w:fldChar w:fldCharType="begin"/>
      </w:r>
      <w:r>
        <w:rPr>
          <w:sz w:val="24"/>
          <w:szCs w:val="24"/>
        </w:rPr>
        <w:instrText xml:space="preserve"> PAGEREF _Toc2609 \h </w:instrText>
      </w:r>
      <w:r>
        <w:rPr>
          <w:sz w:val="24"/>
          <w:szCs w:val="24"/>
        </w:rPr>
        <w:fldChar w:fldCharType="separate"/>
      </w:r>
      <w:r>
        <w:rPr>
          <w:sz w:val="24"/>
          <w:szCs w:val="24"/>
        </w:rPr>
        <w:t>54</w:t>
      </w:r>
      <w:r>
        <w:rPr>
          <w:sz w:val="24"/>
          <w:szCs w:val="24"/>
        </w:rPr>
        <w:fldChar w:fldCharType="end"/>
      </w:r>
      <w:r>
        <w:rPr>
          <w:rFonts w:eastAsiaTheme="minorEastAsia"/>
          <w:sz w:val="24"/>
          <w:szCs w:val="24"/>
        </w:rPr>
        <w:fldChar w:fldCharType="end"/>
      </w:r>
    </w:p>
    <w:p w14:paraId="6148CAA2">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_Toc10076 </w:instrText>
      </w:r>
      <w:r>
        <w:rPr>
          <w:rFonts w:eastAsiaTheme="minorEastAsia"/>
          <w:sz w:val="24"/>
          <w:szCs w:val="24"/>
        </w:rPr>
        <w:fldChar w:fldCharType="separate"/>
      </w:r>
      <w:r>
        <w:rPr>
          <w:rFonts w:hint="eastAsia" w:eastAsiaTheme="minorEastAsia"/>
          <w:sz w:val="24"/>
          <w:szCs w:val="24"/>
        </w:rPr>
        <w:t>引用标准名录</w:t>
      </w:r>
      <w:r>
        <w:rPr>
          <w:sz w:val="24"/>
          <w:szCs w:val="24"/>
        </w:rPr>
        <w:tab/>
      </w:r>
      <w:r>
        <w:rPr>
          <w:sz w:val="24"/>
          <w:szCs w:val="24"/>
        </w:rPr>
        <w:fldChar w:fldCharType="begin"/>
      </w:r>
      <w:r>
        <w:rPr>
          <w:sz w:val="24"/>
          <w:szCs w:val="24"/>
        </w:rPr>
        <w:instrText xml:space="preserve"> PAGEREF _Toc10076 \h </w:instrText>
      </w:r>
      <w:r>
        <w:rPr>
          <w:sz w:val="24"/>
          <w:szCs w:val="24"/>
        </w:rPr>
        <w:fldChar w:fldCharType="separate"/>
      </w:r>
      <w:r>
        <w:rPr>
          <w:sz w:val="24"/>
          <w:szCs w:val="24"/>
        </w:rPr>
        <w:t>55</w:t>
      </w:r>
      <w:r>
        <w:rPr>
          <w:sz w:val="24"/>
          <w:szCs w:val="24"/>
        </w:rPr>
        <w:fldChar w:fldCharType="end"/>
      </w:r>
      <w:r>
        <w:rPr>
          <w:rFonts w:eastAsiaTheme="minorEastAsia"/>
          <w:sz w:val="24"/>
          <w:szCs w:val="24"/>
        </w:rPr>
        <w:fldChar w:fldCharType="end"/>
      </w:r>
    </w:p>
    <w:p w14:paraId="55C0CE46">
      <w:pPr>
        <w:keepNext w:val="0"/>
        <w:keepLines w:val="0"/>
        <w:pageBreakBefore w:val="0"/>
        <w:widowControl w:val="0"/>
        <w:kinsoku/>
        <w:wordWrap/>
        <w:overflowPunct/>
        <w:topLinePunct w:val="0"/>
        <w:autoSpaceDE/>
        <w:autoSpaceDN/>
        <w:bidi w:val="0"/>
        <w:adjustRightInd/>
        <w:snapToGrid/>
        <w:spacing w:line="360" w:lineRule="auto"/>
        <w:textAlignment w:val="auto"/>
        <w:rPr>
          <w:rStyle w:val="26"/>
        </w:rPr>
      </w:pPr>
      <w:r>
        <w:rPr>
          <w:rFonts w:eastAsiaTheme="minorEastAsia"/>
          <w:sz w:val="24"/>
          <w:szCs w:val="24"/>
        </w:rPr>
        <w:fldChar w:fldCharType="end"/>
      </w:r>
    </w:p>
    <w:p w14:paraId="33524B3F">
      <w:pPr>
        <w:spacing w:line="360" w:lineRule="auto"/>
        <w:rPr>
          <w:rStyle w:val="26"/>
        </w:rPr>
      </w:pPr>
    </w:p>
    <w:p w14:paraId="2E340509">
      <w:pPr>
        <w:spacing w:line="360" w:lineRule="auto"/>
        <w:rPr>
          <w:rStyle w:val="26"/>
        </w:rPr>
      </w:pPr>
    </w:p>
    <w:p w14:paraId="7C9FED07">
      <w:pPr>
        <w:rPr>
          <w:rStyle w:val="26"/>
        </w:rPr>
      </w:pPr>
      <w:r>
        <w:rPr>
          <w:rStyle w:val="26"/>
        </w:rPr>
        <w:br w:type="page"/>
      </w:r>
    </w:p>
    <w:p w14:paraId="23388C71">
      <w:pPr>
        <w:spacing w:line="360" w:lineRule="auto"/>
        <w:jc w:val="center"/>
        <w:outlineLvl w:val="0"/>
        <w:rPr>
          <w:rFonts w:hint="eastAsia" w:eastAsiaTheme="minorEastAsia"/>
          <w:sz w:val="28"/>
          <w:szCs w:val="28"/>
          <w:lang w:val="en-US" w:eastAsia="zh-CN"/>
        </w:rPr>
      </w:pPr>
      <w:bookmarkStart w:id="11" w:name="_Toc31118"/>
      <w:r>
        <w:rPr>
          <w:rFonts w:hint="eastAsia" w:eastAsiaTheme="minorEastAsia"/>
          <w:sz w:val="28"/>
          <w:szCs w:val="28"/>
          <w:lang w:val="en-US" w:eastAsia="zh-CN"/>
        </w:rPr>
        <w:t>CONTENTS</w:t>
      </w:r>
      <w:bookmarkEnd w:id="11"/>
    </w:p>
    <w:p w14:paraId="548F175C">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TOC \o "1-3" \h \u </w:instrText>
      </w:r>
      <w:r>
        <w:rPr>
          <w:rFonts w:eastAsiaTheme="minorEastAsia"/>
          <w:sz w:val="24"/>
          <w:szCs w:val="24"/>
        </w:rPr>
        <w:fldChar w:fldCharType="separate"/>
      </w:r>
      <w:r>
        <w:rPr>
          <w:rFonts w:eastAsiaTheme="minorEastAsia"/>
          <w:sz w:val="24"/>
          <w:szCs w:val="24"/>
        </w:rPr>
        <w:fldChar w:fldCharType="begin"/>
      </w:r>
      <w:r>
        <w:rPr>
          <w:rFonts w:eastAsiaTheme="minorEastAsia"/>
          <w:sz w:val="24"/>
          <w:szCs w:val="24"/>
        </w:rPr>
        <w:instrText xml:space="preserve"> HYPERLINK \l _Toc9448 </w:instrText>
      </w:r>
      <w:r>
        <w:rPr>
          <w:rFonts w:eastAsiaTheme="minorEastAsia"/>
          <w:sz w:val="24"/>
          <w:szCs w:val="24"/>
        </w:rPr>
        <w:fldChar w:fldCharType="separate"/>
      </w:r>
      <w:r>
        <w:rPr>
          <w:rFonts w:hint="default" w:eastAsiaTheme="minorEastAsia"/>
          <w:bCs/>
          <w:sz w:val="24"/>
          <w:szCs w:val="24"/>
        </w:rPr>
        <w:t xml:space="preserve">1 </w:t>
      </w:r>
      <w:r>
        <w:rPr>
          <w:rFonts w:hint="default" w:ascii="Times New Roman" w:hAnsi="Times New Roman" w:eastAsia="Segoe UI" w:cs="Times New Roman"/>
          <w:i w:val="0"/>
          <w:iCs w:val="0"/>
          <w:caps w:val="0"/>
          <w:color w:val="0F1115"/>
          <w:spacing w:val="0"/>
          <w:sz w:val="24"/>
          <w:szCs w:val="24"/>
          <w:shd w:val="clear" w:fill="FFFFFF"/>
        </w:rPr>
        <w:t>General Provisions</w:t>
      </w:r>
      <w:r>
        <w:rPr>
          <w:sz w:val="24"/>
          <w:szCs w:val="24"/>
        </w:rPr>
        <w:tab/>
      </w:r>
      <w:r>
        <w:rPr>
          <w:sz w:val="24"/>
          <w:szCs w:val="24"/>
        </w:rPr>
        <w:fldChar w:fldCharType="begin"/>
      </w:r>
      <w:r>
        <w:rPr>
          <w:sz w:val="24"/>
          <w:szCs w:val="24"/>
        </w:rPr>
        <w:instrText xml:space="preserve"> PAGEREF _Toc9448 \h </w:instrText>
      </w:r>
      <w:r>
        <w:rPr>
          <w:sz w:val="24"/>
          <w:szCs w:val="24"/>
        </w:rPr>
        <w:fldChar w:fldCharType="separate"/>
      </w:r>
      <w:r>
        <w:rPr>
          <w:sz w:val="24"/>
          <w:szCs w:val="24"/>
        </w:rPr>
        <w:t>1</w:t>
      </w:r>
      <w:r>
        <w:rPr>
          <w:sz w:val="24"/>
          <w:szCs w:val="24"/>
        </w:rPr>
        <w:fldChar w:fldCharType="end"/>
      </w:r>
      <w:r>
        <w:rPr>
          <w:rFonts w:eastAsiaTheme="minorEastAsia"/>
          <w:sz w:val="24"/>
          <w:szCs w:val="24"/>
        </w:rPr>
        <w:fldChar w:fldCharType="end"/>
      </w:r>
    </w:p>
    <w:p w14:paraId="66888E0B">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_Toc6490 </w:instrText>
      </w:r>
      <w:r>
        <w:rPr>
          <w:rFonts w:eastAsiaTheme="minorEastAsia"/>
          <w:sz w:val="24"/>
          <w:szCs w:val="24"/>
        </w:rPr>
        <w:fldChar w:fldCharType="separate"/>
      </w:r>
      <w:r>
        <w:rPr>
          <w:rFonts w:hint="default" w:eastAsiaTheme="minorEastAsia"/>
          <w:bCs/>
          <w:sz w:val="24"/>
          <w:szCs w:val="24"/>
        </w:rPr>
        <w:t xml:space="preserve">2 </w:t>
      </w:r>
      <w:r>
        <w:rPr>
          <w:rFonts w:hint="default" w:ascii="Times New Roman" w:hAnsi="Times New Roman" w:eastAsia="Segoe UI" w:cs="Times New Roman"/>
          <w:i w:val="0"/>
          <w:iCs w:val="0"/>
          <w:caps w:val="0"/>
          <w:color w:val="0F1115"/>
          <w:spacing w:val="0"/>
          <w:sz w:val="24"/>
          <w:szCs w:val="24"/>
          <w:shd w:val="clear" w:fill="FFFFFF"/>
        </w:rPr>
        <w:t>Terms and Symbols</w:t>
      </w:r>
      <w:r>
        <w:rPr>
          <w:sz w:val="24"/>
          <w:szCs w:val="24"/>
        </w:rPr>
        <w:tab/>
      </w:r>
      <w:r>
        <w:rPr>
          <w:sz w:val="24"/>
          <w:szCs w:val="24"/>
        </w:rPr>
        <w:fldChar w:fldCharType="begin"/>
      </w:r>
      <w:r>
        <w:rPr>
          <w:sz w:val="24"/>
          <w:szCs w:val="24"/>
        </w:rPr>
        <w:instrText xml:space="preserve"> PAGEREF _Toc6490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2562EE6D">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_Toc18617 </w:instrText>
      </w:r>
      <w:r>
        <w:rPr>
          <w:rFonts w:eastAsiaTheme="minorEastAsia"/>
          <w:sz w:val="24"/>
          <w:szCs w:val="24"/>
        </w:rPr>
        <w:fldChar w:fldCharType="separate"/>
      </w:r>
      <w:r>
        <w:rPr>
          <w:rFonts w:hint="default" w:eastAsiaTheme="minorEastAsia"/>
          <w:bCs/>
          <w:sz w:val="24"/>
          <w:szCs w:val="24"/>
        </w:rPr>
        <w:t xml:space="preserve">2.1 </w:t>
      </w:r>
      <w:r>
        <w:rPr>
          <w:rFonts w:hint="default" w:ascii="Times New Roman" w:hAnsi="Times New Roman" w:eastAsia="Segoe UI" w:cs="Times New Roman"/>
          <w:i w:val="0"/>
          <w:iCs w:val="0"/>
          <w:caps w:val="0"/>
          <w:color w:val="0F1115"/>
          <w:spacing w:val="0"/>
          <w:sz w:val="24"/>
          <w:szCs w:val="24"/>
          <w:shd w:val="clear" w:fill="FFFFFF"/>
        </w:rPr>
        <w:t>Terms</w:t>
      </w:r>
      <w:r>
        <w:rPr>
          <w:sz w:val="24"/>
          <w:szCs w:val="24"/>
        </w:rPr>
        <w:tab/>
      </w:r>
      <w:r>
        <w:rPr>
          <w:sz w:val="24"/>
          <w:szCs w:val="24"/>
        </w:rPr>
        <w:fldChar w:fldCharType="begin"/>
      </w:r>
      <w:r>
        <w:rPr>
          <w:sz w:val="24"/>
          <w:szCs w:val="24"/>
        </w:rPr>
        <w:instrText xml:space="preserve"> PAGEREF _Toc18617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7249BE0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_Toc5721 </w:instrText>
      </w:r>
      <w:r>
        <w:rPr>
          <w:rFonts w:eastAsiaTheme="minorEastAsia"/>
          <w:sz w:val="24"/>
          <w:szCs w:val="24"/>
        </w:rPr>
        <w:fldChar w:fldCharType="separate"/>
      </w:r>
      <w:r>
        <w:rPr>
          <w:rFonts w:hint="default" w:eastAsiaTheme="minorEastAsia"/>
          <w:bCs/>
          <w:sz w:val="24"/>
          <w:szCs w:val="24"/>
        </w:rPr>
        <w:t xml:space="preserve">2.2 </w:t>
      </w:r>
      <w:r>
        <w:rPr>
          <w:rFonts w:hint="default" w:ascii="Times New Roman" w:hAnsi="Times New Roman" w:eastAsia="Segoe UI" w:cs="Times New Roman"/>
          <w:i w:val="0"/>
          <w:iCs w:val="0"/>
          <w:caps w:val="0"/>
          <w:color w:val="0F1115"/>
          <w:spacing w:val="0"/>
          <w:sz w:val="24"/>
          <w:szCs w:val="24"/>
          <w:shd w:val="clear" w:fill="FFFFFF"/>
        </w:rPr>
        <w:t>Symbols</w:t>
      </w:r>
      <w:r>
        <w:rPr>
          <w:sz w:val="24"/>
          <w:szCs w:val="24"/>
        </w:rPr>
        <w:tab/>
      </w:r>
      <w:r>
        <w:rPr>
          <w:sz w:val="24"/>
          <w:szCs w:val="24"/>
        </w:rPr>
        <w:fldChar w:fldCharType="begin"/>
      </w:r>
      <w:r>
        <w:rPr>
          <w:sz w:val="24"/>
          <w:szCs w:val="24"/>
        </w:rPr>
        <w:instrText xml:space="preserve"> PAGEREF _Toc5721 \h </w:instrText>
      </w:r>
      <w:r>
        <w:rPr>
          <w:sz w:val="24"/>
          <w:szCs w:val="24"/>
        </w:rPr>
        <w:fldChar w:fldCharType="separate"/>
      </w:r>
      <w:r>
        <w:rPr>
          <w:sz w:val="24"/>
          <w:szCs w:val="24"/>
        </w:rPr>
        <w:t>2</w:t>
      </w:r>
      <w:r>
        <w:rPr>
          <w:sz w:val="24"/>
          <w:szCs w:val="24"/>
        </w:rPr>
        <w:fldChar w:fldCharType="end"/>
      </w:r>
      <w:r>
        <w:rPr>
          <w:rFonts w:eastAsiaTheme="minorEastAsia"/>
          <w:sz w:val="24"/>
          <w:szCs w:val="24"/>
        </w:rPr>
        <w:fldChar w:fldCharType="end"/>
      </w:r>
    </w:p>
    <w:p w14:paraId="2D43C418">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_Toc1328 </w:instrText>
      </w:r>
      <w:r>
        <w:rPr>
          <w:rFonts w:eastAsiaTheme="minorEastAsia"/>
          <w:sz w:val="24"/>
          <w:szCs w:val="24"/>
        </w:rPr>
        <w:fldChar w:fldCharType="separate"/>
      </w:r>
      <w:r>
        <w:rPr>
          <w:rFonts w:hint="default" w:eastAsiaTheme="minorEastAsia"/>
          <w:bCs/>
          <w:sz w:val="24"/>
          <w:szCs w:val="24"/>
        </w:rPr>
        <w:t xml:space="preserve">3 </w:t>
      </w:r>
      <w:r>
        <w:rPr>
          <w:rFonts w:hint="default" w:ascii="Times New Roman" w:hAnsi="Times New Roman" w:eastAsia="Segoe UI" w:cs="Times New Roman"/>
          <w:i w:val="0"/>
          <w:iCs w:val="0"/>
          <w:caps w:val="0"/>
          <w:color w:val="0F1115"/>
          <w:spacing w:val="0"/>
          <w:sz w:val="24"/>
          <w:szCs w:val="24"/>
          <w:shd w:val="clear" w:fill="FFFFFF"/>
        </w:rPr>
        <w:t>Basic Requirements</w:t>
      </w:r>
      <w:r>
        <w:rPr>
          <w:sz w:val="24"/>
          <w:szCs w:val="24"/>
        </w:rPr>
        <w:tab/>
      </w:r>
      <w:r>
        <w:rPr>
          <w:sz w:val="24"/>
          <w:szCs w:val="24"/>
        </w:rPr>
        <w:fldChar w:fldCharType="begin"/>
      </w:r>
      <w:r>
        <w:rPr>
          <w:sz w:val="24"/>
          <w:szCs w:val="24"/>
        </w:rPr>
        <w:instrText xml:space="preserve"> PAGEREF _Toc1328 \h </w:instrText>
      </w:r>
      <w:r>
        <w:rPr>
          <w:sz w:val="24"/>
          <w:szCs w:val="24"/>
        </w:rPr>
        <w:fldChar w:fldCharType="separate"/>
      </w:r>
      <w:r>
        <w:rPr>
          <w:sz w:val="24"/>
          <w:szCs w:val="24"/>
        </w:rPr>
        <w:t>5</w:t>
      </w:r>
      <w:r>
        <w:rPr>
          <w:sz w:val="24"/>
          <w:szCs w:val="24"/>
        </w:rPr>
        <w:fldChar w:fldCharType="end"/>
      </w:r>
      <w:r>
        <w:rPr>
          <w:rFonts w:eastAsiaTheme="minorEastAsia"/>
          <w:sz w:val="24"/>
          <w:szCs w:val="24"/>
        </w:rPr>
        <w:fldChar w:fldCharType="end"/>
      </w:r>
    </w:p>
    <w:p w14:paraId="2101B387">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_Toc12471 </w:instrText>
      </w:r>
      <w:r>
        <w:rPr>
          <w:rFonts w:eastAsiaTheme="minorEastAsia"/>
          <w:sz w:val="24"/>
          <w:szCs w:val="24"/>
        </w:rPr>
        <w:fldChar w:fldCharType="separate"/>
      </w:r>
      <w:r>
        <w:rPr>
          <w:rFonts w:hint="default" w:eastAsiaTheme="minorEastAsia"/>
          <w:bCs/>
          <w:sz w:val="24"/>
          <w:szCs w:val="24"/>
        </w:rPr>
        <w:t xml:space="preserve">4 </w:t>
      </w:r>
      <w:r>
        <w:rPr>
          <w:rFonts w:hint="default" w:ascii="Times New Roman" w:hAnsi="Times New Roman" w:eastAsia="Segoe UI" w:cs="Times New Roman"/>
          <w:i w:val="0"/>
          <w:iCs w:val="0"/>
          <w:caps w:val="0"/>
          <w:color w:val="0F1115"/>
          <w:spacing w:val="0"/>
          <w:sz w:val="24"/>
          <w:szCs w:val="24"/>
          <w:shd w:val="clear" w:fill="FFFFFF"/>
        </w:rPr>
        <w:t>Engineering Anti-uplift Investigation</w:t>
      </w:r>
      <w:r>
        <w:rPr>
          <w:sz w:val="24"/>
          <w:szCs w:val="24"/>
        </w:rPr>
        <w:tab/>
      </w:r>
      <w:r>
        <w:rPr>
          <w:sz w:val="24"/>
          <w:szCs w:val="24"/>
        </w:rPr>
        <w:fldChar w:fldCharType="begin"/>
      </w:r>
      <w:r>
        <w:rPr>
          <w:sz w:val="24"/>
          <w:szCs w:val="24"/>
        </w:rPr>
        <w:instrText xml:space="preserve"> PAGEREF _Toc12471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08359258">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_Toc27442 </w:instrText>
      </w:r>
      <w:r>
        <w:rPr>
          <w:rFonts w:eastAsiaTheme="minorEastAsia"/>
          <w:sz w:val="24"/>
          <w:szCs w:val="24"/>
        </w:rPr>
        <w:fldChar w:fldCharType="separate"/>
      </w:r>
      <w:r>
        <w:rPr>
          <w:rFonts w:hint="default" w:eastAsiaTheme="minorEastAsia"/>
          <w:bCs/>
          <w:sz w:val="24"/>
          <w:szCs w:val="24"/>
        </w:rPr>
        <w:t xml:space="preserve">4.1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_Toc27442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0BEED20B">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_Toc23343 </w:instrText>
      </w:r>
      <w:r>
        <w:rPr>
          <w:rFonts w:eastAsiaTheme="minorEastAsia"/>
          <w:sz w:val="24"/>
          <w:szCs w:val="24"/>
        </w:rPr>
        <w:fldChar w:fldCharType="separate"/>
      </w:r>
      <w:r>
        <w:rPr>
          <w:rFonts w:hint="default" w:eastAsiaTheme="minorEastAsia"/>
          <w:bCs/>
          <w:sz w:val="24"/>
          <w:szCs w:val="24"/>
        </w:rPr>
        <w:t xml:space="preserve">4.2 </w:t>
      </w:r>
      <w:r>
        <w:rPr>
          <w:rFonts w:hint="default" w:ascii="Times New Roman" w:hAnsi="Times New Roman" w:eastAsia="Segoe UI" w:cs="Times New Roman"/>
          <w:i w:val="0"/>
          <w:iCs w:val="0"/>
          <w:caps w:val="0"/>
          <w:color w:val="0F1115"/>
          <w:spacing w:val="0"/>
          <w:sz w:val="24"/>
          <w:szCs w:val="24"/>
          <w:shd w:val="clear" w:fill="FFFFFF"/>
        </w:rPr>
        <w:t>New Buildings</w:t>
      </w:r>
      <w:r>
        <w:rPr>
          <w:sz w:val="24"/>
          <w:szCs w:val="24"/>
        </w:rPr>
        <w:tab/>
      </w:r>
      <w:r>
        <w:rPr>
          <w:sz w:val="24"/>
          <w:szCs w:val="24"/>
        </w:rPr>
        <w:fldChar w:fldCharType="begin"/>
      </w:r>
      <w:r>
        <w:rPr>
          <w:sz w:val="24"/>
          <w:szCs w:val="24"/>
        </w:rPr>
        <w:instrText xml:space="preserve"> PAGEREF _Toc23343 \h </w:instrText>
      </w:r>
      <w:r>
        <w:rPr>
          <w:sz w:val="24"/>
          <w:szCs w:val="24"/>
        </w:rPr>
        <w:fldChar w:fldCharType="separate"/>
      </w:r>
      <w:r>
        <w:rPr>
          <w:sz w:val="24"/>
          <w:szCs w:val="24"/>
        </w:rPr>
        <w:t>8</w:t>
      </w:r>
      <w:r>
        <w:rPr>
          <w:sz w:val="24"/>
          <w:szCs w:val="24"/>
        </w:rPr>
        <w:fldChar w:fldCharType="end"/>
      </w:r>
      <w:r>
        <w:rPr>
          <w:rFonts w:eastAsiaTheme="minorEastAsia"/>
          <w:sz w:val="24"/>
          <w:szCs w:val="24"/>
        </w:rPr>
        <w:fldChar w:fldCharType="end"/>
      </w:r>
    </w:p>
    <w:p w14:paraId="7F1A3D96">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_Toc92 </w:instrText>
      </w:r>
      <w:r>
        <w:rPr>
          <w:rFonts w:eastAsiaTheme="minorEastAsia"/>
          <w:sz w:val="24"/>
          <w:szCs w:val="24"/>
        </w:rPr>
        <w:fldChar w:fldCharType="separate"/>
      </w:r>
      <w:r>
        <w:rPr>
          <w:rFonts w:hint="default" w:eastAsiaTheme="minorEastAsia"/>
          <w:bCs/>
          <w:sz w:val="24"/>
          <w:szCs w:val="24"/>
        </w:rPr>
        <w:t xml:space="preserve">4.3 </w:t>
      </w:r>
      <w:r>
        <w:rPr>
          <w:rFonts w:hint="default" w:ascii="Times New Roman" w:hAnsi="Times New Roman" w:eastAsia="Segoe UI" w:cs="Times New Roman"/>
          <w:i w:val="0"/>
          <w:iCs w:val="0"/>
          <w:caps w:val="0"/>
          <w:color w:val="0F1115"/>
          <w:spacing w:val="0"/>
          <w:sz w:val="24"/>
          <w:szCs w:val="24"/>
          <w:shd w:val="clear" w:fill="FFFFFF"/>
        </w:rPr>
        <w:t>Existing Buildings</w:t>
      </w:r>
      <w:r>
        <w:rPr>
          <w:sz w:val="24"/>
          <w:szCs w:val="24"/>
        </w:rPr>
        <w:tab/>
      </w:r>
      <w:r>
        <w:rPr>
          <w:sz w:val="24"/>
          <w:szCs w:val="24"/>
        </w:rPr>
        <w:fldChar w:fldCharType="begin"/>
      </w:r>
      <w:r>
        <w:rPr>
          <w:sz w:val="24"/>
          <w:szCs w:val="24"/>
        </w:rPr>
        <w:instrText xml:space="preserve"> PAGEREF _Toc92 \h </w:instrText>
      </w:r>
      <w:r>
        <w:rPr>
          <w:sz w:val="24"/>
          <w:szCs w:val="24"/>
        </w:rPr>
        <w:fldChar w:fldCharType="separate"/>
      </w:r>
      <w:r>
        <w:rPr>
          <w:sz w:val="24"/>
          <w:szCs w:val="24"/>
        </w:rPr>
        <w:t>9</w:t>
      </w:r>
      <w:r>
        <w:rPr>
          <w:sz w:val="24"/>
          <w:szCs w:val="24"/>
        </w:rPr>
        <w:fldChar w:fldCharType="end"/>
      </w:r>
      <w:r>
        <w:rPr>
          <w:rFonts w:eastAsiaTheme="minorEastAsia"/>
          <w:sz w:val="24"/>
          <w:szCs w:val="24"/>
        </w:rPr>
        <w:fldChar w:fldCharType="end"/>
      </w:r>
    </w:p>
    <w:p w14:paraId="414F0BB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_Toc14043 </w:instrText>
      </w:r>
      <w:r>
        <w:rPr>
          <w:rFonts w:eastAsiaTheme="minorEastAsia"/>
          <w:sz w:val="24"/>
          <w:szCs w:val="24"/>
        </w:rPr>
        <w:fldChar w:fldCharType="separate"/>
      </w:r>
      <w:r>
        <w:rPr>
          <w:rFonts w:hint="default" w:eastAsiaTheme="minorEastAsia"/>
          <w:bCs/>
          <w:sz w:val="24"/>
          <w:szCs w:val="24"/>
        </w:rPr>
        <w:t xml:space="preserve">4.4 </w:t>
      </w:r>
      <w:r>
        <w:rPr>
          <w:rFonts w:hint="default" w:ascii="Times New Roman" w:hAnsi="Times New Roman" w:eastAsia="Segoe UI" w:cs="Times New Roman"/>
          <w:i w:val="0"/>
          <w:iCs w:val="0"/>
          <w:caps w:val="0"/>
          <w:color w:val="0F1115"/>
          <w:spacing w:val="0"/>
          <w:sz w:val="24"/>
          <w:szCs w:val="24"/>
          <w:shd w:val="clear" w:fill="FFFFFF"/>
        </w:rPr>
        <w:t>Deliverables</w:t>
      </w:r>
      <w:r>
        <w:rPr>
          <w:sz w:val="24"/>
          <w:szCs w:val="24"/>
        </w:rPr>
        <w:tab/>
      </w:r>
      <w:r>
        <w:rPr>
          <w:sz w:val="24"/>
          <w:szCs w:val="24"/>
        </w:rPr>
        <w:fldChar w:fldCharType="begin"/>
      </w:r>
      <w:r>
        <w:rPr>
          <w:sz w:val="24"/>
          <w:szCs w:val="24"/>
        </w:rPr>
        <w:instrText xml:space="preserve"> PAGEREF _Toc14043 \h </w:instrText>
      </w:r>
      <w:r>
        <w:rPr>
          <w:sz w:val="24"/>
          <w:szCs w:val="24"/>
        </w:rPr>
        <w:fldChar w:fldCharType="separate"/>
      </w:r>
      <w:r>
        <w:rPr>
          <w:sz w:val="24"/>
          <w:szCs w:val="24"/>
        </w:rPr>
        <w:t>10</w:t>
      </w:r>
      <w:r>
        <w:rPr>
          <w:sz w:val="24"/>
          <w:szCs w:val="24"/>
        </w:rPr>
        <w:fldChar w:fldCharType="end"/>
      </w:r>
      <w:r>
        <w:rPr>
          <w:rFonts w:eastAsiaTheme="minorEastAsia"/>
          <w:sz w:val="24"/>
          <w:szCs w:val="24"/>
        </w:rPr>
        <w:fldChar w:fldCharType="end"/>
      </w:r>
    </w:p>
    <w:p w14:paraId="380D1D09">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_Toc20725 </w:instrText>
      </w:r>
      <w:r>
        <w:rPr>
          <w:rFonts w:eastAsiaTheme="minorEastAsia"/>
          <w:sz w:val="24"/>
          <w:szCs w:val="24"/>
        </w:rPr>
        <w:fldChar w:fldCharType="separate"/>
      </w:r>
      <w:r>
        <w:rPr>
          <w:rFonts w:hint="default" w:eastAsiaTheme="minorEastAsia"/>
          <w:bCs/>
          <w:sz w:val="24"/>
          <w:szCs w:val="24"/>
        </w:rPr>
        <w:t xml:space="preserve">5 </w:t>
      </w:r>
      <w:r>
        <w:rPr>
          <w:rFonts w:hint="default" w:ascii="Times New Roman" w:hAnsi="Times New Roman" w:eastAsia="Segoe UI" w:cs="Times New Roman"/>
          <w:i w:val="0"/>
          <w:iCs w:val="0"/>
          <w:caps w:val="0"/>
          <w:color w:val="0F1115"/>
          <w:spacing w:val="0"/>
          <w:sz w:val="24"/>
          <w:szCs w:val="24"/>
          <w:shd w:val="clear" w:fill="FFFFFF"/>
        </w:rPr>
        <w:t>Anti-uplift Stability and Design</w:t>
      </w:r>
      <w:r>
        <w:rPr>
          <w:sz w:val="24"/>
          <w:szCs w:val="24"/>
        </w:rPr>
        <w:tab/>
      </w:r>
      <w:r>
        <w:rPr>
          <w:sz w:val="24"/>
          <w:szCs w:val="24"/>
        </w:rPr>
        <w:fldChar w:fldCharType="begin"/>
      </w:r>
      <w:r>
        <w:rPr>
          <w:sz w:val="24"/>
          <w:szCs w:val="24"/>
        </w:rPr>
        <w:instrText xml:space="preserve"> PAGEREF _Toc20725 \h </w:instrText>
      </w:r>
      <w:r>
        <w:rPr>
          <w:sz w:val="24"/>
          <w:szCs w:val="24"/>
        </w:rPr>
        <w:fldChar w:fldCharType="separate"/>
      </w:r>
      <w:r>
        <w:rPr>
          <w:sz w:val="24"/>
          <w:szCs w:val="24"/>
        </w:rPr>
        <w:t>12</w:t>
      </w:r>
      <w:r>
        <w:rPr>
          <w:sz w:val="24"/>
          <w:szCs w:val="24"/>
        </w:rPr>
        <w:fldChar w:fldCharType="end"/>
      </w:r>
      <w:r>
        <w:rPr>
          <w:rFonts w:eastAsiaTheme="minorEastAsia"/>
          <w:sz w:val="24"/>
          <w:szCs w:val="24"/>
        </w:rPr>
        <w:fldChar w:fldCharType="end"/>
      </w:r>
    </w:p>
    <w:p w14:paraId="19BB9CC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_Toc31441 </w:instrText>
      </w:r>
      <w:r>
        <w:rPr>
          <w:rFonts w:eastAsiaTheme="minorEastAsia"/>
          <w:sz w:val="24"/>
          <w:szCs w:val="24"/>
        </w:rPr>
        <w:fldChar w:fldCharType="separate"/>
      </w:r>
      <w:r>
        <w:rPr>
          <w:rFonts w:hint="default" w:eastAsiaTheme="minorEastAsia"/>
          <w:bCs/>
          <w:sz w:val="24"/>
          <w:szCs w:val="24"/>
        </w:rPr>
        <w:t xml:space="preserve">5.1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_Toc31441 \h </w:instrText>
      </w:r>
      <w:r>
        <w:rPr>
          <w:sz w:val="24"/>
          <w:szCs w:val="24"/>
        </w:rPr>
        <w:fldChar w:fldCharType="separate"/>
      </w:r>
      <w:r>
        <w:rPr>
          <w:sz w:val="24"/>
          <w:szCs w:val="24"/>
        </w:rPr>
        <w:t>12</w:t>
      </w:r>
      <w:r>
        <w:rPr>
          <w:sz w:val="24"/>
          <w:szCs w:val="24"/>
        </w:rPr>
        <w:fldChar w:fldCharType="end"/>
      </w:r>
      <w:r>
        <w:rPr>
          <w:rFonts w:eastAsiaTheme="minorEastAsia"/>
          <w:sz w:val="24"/>
          <w:szCs w:val="24"/>
        </w:rPr>
        <w:fldChar w:fldCharType="end"/>
      </w:r>
    </w:p>
    <w:p w14:paraId="3AACDEAE">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_Toc16882 </w:instrText>
      </w:r>
      <w:r>
        <w:rPr>
          <w:rFonts w:eastAsiaTheme="minorEastAsia"/>
          <w:sz w:val="24"/>
          <w:szCs w:val="24"/>
        </w:rPr>
        <w:fldChar w:fldCharType="separate"/>
      </w:r>
      <w:r>
        <w:rPr>
          <w:rFonts w:hint="default" w:eastAsiaTheme="minorEastAsia"/>
          <w:bCs/>
          <w:sz w:val="24"/>
          <w:szCs w:val="24"/>
        </w:rPr>
        <w:t xml:space="preserve">5.2 </w:t>
      </w:r>
      <w:r>
        <w:rPr>
          <w:rFonts w:hint="default" w:ascii="Times New Roman" w:hAnsi="Times New Roman" w:eastAsia="Segoe UI" w:cs="Times New Roman"/>
          <w:i w:val="0"/>
          <w:iCs w:val="0"/>
          <w:caps w:val="0"/>
          <w:color w:val="0F1115"/>
          <w:spacing w:val="0"/>
          <w:sz w:val="24"/>
          <w:szCs w:val="24"/>
          <w:shd w:val="clear" w:fill="FFFFFF"/>
        </w:rPr>
        <w:t>Uplift Force and Anti-uplift Resistance</w:t>
      </w:r>
      <w:r>
        <w:rPr>
          <w:sz w:val="24"/>
          <w:szCs w:val="24"/>
        </w:rPr>
        <w:tab/>
      </w:r>
      <w:r>
        <w:rPr>
          <w:sz w:val="24"/>
          <w:szCs w:val="24"/>
        </w:rPr>
        <w:fldChar w:fldCharType="begin"/>
      </w:r>
      <w:r>
        <w:rPr>
          <w:sz w:val="24"/>
          <w:szCs w:val="24"/>
        </w:rPr>
        <w:instrText xml:space="preserve"> PAGEREF _Toc16882 \h </w:instrText>
      </w:r>
      <w:r>
        <w:rPr>
          <w:sz w:val="24"/>
          <w:szCs w:val="24"/>
        </w:rPr>
        <w:fldChar w:fldCharType="separate"/>
      </w:r>
      <w:r>
        <w:rPr>
          <w:sz w:val="24"/>
          <w:szCs w:val="24"/>
        </w:rPr>
        <w:t>13</w:t>
      </w:r>
      <w:r>
        <w:rPr>
          <w:sz w:val="24"/>
          <w:szCs w:val="24"/>
        </w:rPr>
        <w:fldChar w:fldCharType="end"/>
      </w:r>
      <w:r>
        <w:rPr>
          <w:rFonts w:eastAsiaTheme="minorEastAsia"/>
          <w:sz w:val="24"/>
          <w:szCs w:val="24"/>
        </w:rPr>
        <w:fldChar w:fldCharType="end"/>
      </w:r>
    </w:p>
    <w:p w14:paraId="6C04F922">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_Toc22245 </w:instrText>
      </w:r>
      <w:r>
        <w:rPr>
          <w:rFonts w:eastAsiaTheme="minorEastAsia"/>
          <w:sz w:val="24"/>
          <w:szCs w:val="24"/>
        </w:rPr>
        <w:fldChar w:fldCharType="separate"/>
      </w:r>
      <w:r>
        <w:rPr>
          <w:rFonts w:hint="default" w:eastAsiaTheme="minorEastAsia"/>
          <w:bCs/>
          <w:sz w:val="24"/>
          <w:szCs w:val="24"/>
        </w:rPr>
        <w:t xml:space="preserve">5.3 </w:t>
      </w:r>
      <w:r>
        <w:rPr>
          <w:rFonts w:hint="default" w:ascii="Times New Roman" w:hAnsi="Times New Roman" w:eastAsia="Segoe UI" w:cs="Times New Roman"/>
          <w:i w:val="0"/>
          <w:iCs w:val="0"/>
          <w:caps w:val="0"/>
          <w:color w:val="0F1115"/>
          <w:spacing w:val="0"/>
          <w:sz w:val="24"/>
          <w:szCs w:val="24"/>
          <w:shd w:val="clear" w:fill="FFFFFF"/>
        </w:rPr>
        <w:t>Slab against Uplift</w:t>
      </w:r>
      <w:r>
        <w:rPr>
          <w:sz w:val="24"/>
          <w:szCs w:val="24"/>
        </w:rPr>
        <w:tab/>
      </w:r>
      <w:r>
        <w:rPr>
          <w:sz w:val="24"/>
          <w:szCs w:val="24"/>
        </w:rPr>
        <w:fldChar w:fldCharType="begin"/>
      </w:r>
      <w:r>
        <w:rPr>
          <w:sz w:val="24"/>
          <w:szCs w:val="24"/>
        </w:rPr>
        <w:instrText xml:space="preserve"> PAGEREF _Toc22245 \h </w:instrText>
      </w:r>
      <w:r>
        <w:rPr>
          <w:sz w:val="24"/>
          <w:szCs w:val="24"/>
        </w:rPr>
        <w:fldChar w:fldCharType="separate"/>
      </w:r>
      <w:r>
        <w:rPr>
          <w:sz w:val="24"/>
          <w:szCs w:val="24"/>
        </w:rPr>
        <w:t>13</w:t>
      </w:r>
      <w:r>
        <w:rPr>
          <w:sz w:val="24"/>
          <w:szCs w:val="24"/>
        </w:rPr>
        <w:fldChar w:fldCharType="end"/>
      </w:r>
      <w:r>
        <w:rPr>
          <w:rFonts w:eastAsiaTheme="minorEastAsia"/>
          <w:sz w:val="24"/>
          <w:szCs w:val="24"/>
        </w:rPr>
        <w:fldChar w:fldCharType="end"/>
      </w:r>
    </w:p>
    <w:p w14:paraId="1E0D56EB">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_Toc28602 </w:instrText>
      </w:r>
      <w:r>
        <w:rPr>
          <w:rFonts w:eastAsiaTheme="minorEastAsia"/>
          <w:sz w:val="24"/>
          <w:szCs w:val="24"/>
        </w:rPr>
        <w:fldChar w:fldCharType="separate"/>
      </w:r>
      <w:r>
        <w:rPr>
          <w:rFonts w:hint="default" w:eastAsiaTheme="minorEastAsia"/>
          <w:bCs/>
          <w:sz w:val="24"/>
          <w:szCs w:val="24"/>
        </w:rPr>
        <w:t xml:space="preserve">6 </w:t>
      </w:r>
      <w:r>
        <w:rPr>
          <w:rFonts w:hint="default" w:ascii="Times New Roman" w:hAnsi="Times New Roman" w:eastAsia="Segoe UI" w:cs="Times New Roman"/>
          <w:i w:val="0"/>
          <w:iCs w:val="0"/>
          <w:caps w:val="0"/>
          <w:color w:val="0F1115"/>
          <w:spacing w:val="0"/>
          <w:sz w:val="24"/>
          <w:szCs w:val="24"/>
          <w:shd w:val="clear" w:fill="FFFFFF"/>
        </w:rPr>
        <w:t>Counterweight Method</w:t>
      </w:r>
      <w:r>
        <w:rPr>
          <w:sz w:val="24"/>
          <w:szCs w:val="24"/>
        </w:rPr>
        <w:tab/>
      </w:r>
      <w:r>
        <w:rPr>
          <w:sz w:val="24"/>
          <w:szCs w:val="24"/>
        </w:rPr>
        <w:fldChar w:fldCharType="begin"/>
      </w:r>
      <w:r>
        <w:rPr>
          <w:sz w:val="24"/>
          <w:szCs w:val="24"/>
        </w:rPr>
        <w:instrText xml:space="preserve"> PAGEREF _Toc28602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79508B3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_Toc6689 </w:instrText>
      </w:r>
      <w:r>
        <w:rPr>
          <w:rFonts w:eastAsiaTheme="minorEastAsia"/>
          <w:sz w:val="24"/>
          <w:szCs w:val="24"/>
        </w:rPr>
        <w:fldChar w:fldCharType="separate"/>
      </w:r>
      <w:r>
        <w:rPr>
          <w:rFonts w:hint="default" w:eastAsiaTheme="minorEastAsia"/>
          <w:bCs/>
          <w:sz w:val="24"/>
          <w:szCs w:val="24"/>
        </w:rPr>
        <w:t xml:space="preserve">6.1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_Toc6689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0F4A744D">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_Toc2154 </w:instrText>
      </w:r>
      <w:r>
        <w:rPr>
          <w:rFonts w:eastAsiaTheme="minorEastAsia"/>
          <w:sz w:val="24"/>
          <w:szCs w:val="24"/>
        </w:rPr>
        <w:fldChar w:fldCharType="separate"/>
      </w:r>
      <w:r>
        <w:rPr>
          <w:rFonts w:hint="default" w:eastAsiaTheme="minorEastAsia"/>
          <w:bCs/>
          <w:sz w:val="24"/>
          <w:szCs w:val="24"/>
        </w:rPr>
        <w:t xml:space="preserve">6.2 </w:t>
      </w:r>
      <w:r>
        <w:rPr>
          <w:rFonts w:hint="default" w:ascii="Times New Roman" w:hAnsi="Times New Roman" w:eastAsia="Segoe UI" w:cs="Times New Roman"/>
          <w:i w:val="0"/>
          <w:iCs w:val="0"/>
          <w:caps w:val="0"/>
          <w:color w:val="0F1115"/>
          <w:spacing w:val="0"/>
          <w:sz w:val="24"/>
          <w:szCs w:val="24"/>
          <w:shd w:val="clear" w:fill="FFFFFF"/>
        </w:rPr>
        <w:t>Design</w:t>
      </w:r>
      <w:r>
        <w:rPr>
          <w:sz w:val="24"/>
          <w:szCs w:val="24"/>
        </w:rPr>
        <w:tab/>
      </w:r>
      <w:r>
        <w:rPr>
          <w:sz w:val="24"/>
          <w:szCs w:val="24"/>
        </w:rPr>
        <w:fldChar w:fldCharType="begin"/>
      </w:r>
      <w:r>
        <w:rPr>
          <w:sz w:val="24"/>
          <w:szCs w:val="24"/>
        </w:rPr>
        <w:instrText xml:space="preserve"> PAGEREF _Toc2154 \h </w:instrText>
      </w:r>
      <w:r>
        <w:rPr>
          <w:sz w:val="24"/>
          <w:szCs w:val="24"/>
        </w:rPr>
        <w:fldChar w:fldCharType="separate"/>
      </w:r>
      <w:r>
        <w:rPr>
          <w:sz w:val="24"/>
          <w:szCs w:val="24"/>
        </w:rPr>
        <w:t>15</w:t>
      </w:r>
      <w:r>
        <w:rPr>
          <w:sz w:val="24"/>
          <w:szCs w:val="24"/>
        </w:rPr>
        <w:fldChar w:fldCharType="end"/>
      </w:r>
      <w:r>
        <w:rPr>
          <w:rFonts w:eastAsiaTheme="minorEastAsia"/>
          <w:sz w:val="24"/>
          <w:szCs w:val="24"/>
        </w:rPr>
        <w:fldChar w:fldCharType="end"/>
      </w:r>
    </w:p>
    <w:p w14:paraId="751D7BB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_Toc20607 </w:instrText>
      </w:r>
      <w:r>
        <w:rPr>
          <w:rFonts w:eastAsiaTheme="minorEastAsia"/>
          <w:sz w:val="24"/>
          <w:szCs w:val="24"/>
        </w:rPr>
        <w:fldChar w:fldCharType="separate"/>
      </w:r>
      <w:r>
        <w:rPr>
          <w:rFonts w:hint="default" w:eastAsiaTheme="minorEastAsia"/>
          <w:bCs/>
          <w:sz w:val="24"/>
          <w:szCs w:val="24"/>
        </w:rPr>
        <w:t xml:space="preserve">6.3 </w:t>
      </w:r>
      <w:r>
        <w:rPr>
          <w:rFonts w:hint="default" w:ascii="Times New Roman" w:hAnsi="Times New Roman" w:eastAsia="Segoe UI" w:cs="Times New Roman"/>
          <w:i w:val="0"/>
          <w:iCs w:val="0"/>
          <w:caps w:val="0"/>
          <w:color w:val="0F1115"/>
          <w:spacing w:val="0"/>
          <w:sz w:val="24"/>
          <w:szCs w:val="24"/>
          <w:shd w:val="clear" w:fill="FFFFFF"/>
        </w:rPr>
        <w:t>Testing Requirements</w:t>
      </w:r>
      <w:r>
        <w:rPr>
          <w:sz w:val="24"/>
          <w:szCs w:val="24"/>
        </w:rPr>
        <w:tab/>
      </w:r>
      <w:r>
        <w:rPr>
          <w:sz w:val="24"/>
          <w:szCs w:val="24"/>
        </w:rPr>
        <w:fldChar w:fldCharType="begin"/>
      </w:r>
      <w:r>
        <w:rPr>
          <w:sz w:val="24"/>
          <w:szCs w:val="24"/>
        </w:rPr>
        <w:instrText xml:space="preserve"> PAGEREF _Toc20607 \h </w:instrText>
      </w:r>
      <w:r>
        <w:rPr>
          <w:sz w:val="24"/>
          <w:szCs w:val="24"/>
        </w:rPr>
        <w:fldChar w:fldCharType="separate"/>
      </w:r>
      <w:r>
        <w:rPr>
          <w:sz w:val="24"/>
          <w:szCs w:val="24"/>
        </w:rPr>
        <w:t>17</w:t>
      </w:r>
      <w:r>
        <w:rPr>
          <w:sz w:val="24"/>
          <w:szCs w:val="24"/>
        </w:rPr>
        <w:fldChar w:fldCharType="end"/>
      </w:r>
      <w:r>
        <w:rPr>
          <w:rFonts w:eastAsiaTheme="minorEastAsia"/>
          <w:sz w:val="24"/>
          <w:szCs w:val="24"/>
        </w:rPr>
        <w:fldChar w:fldCharType="end"/>
      </w:r>
    </w:p>
    <w:p w14:paraId="1C174BFC">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_Toc27936 </w:instrText>
      </w:r>
      <w:r>
        <w:rPr>
          <w:rFonts w:eastAsiaTheme="minorEastAsia"/>
          <w:sz w:val="24"/>
          <w:szCs w:val="24"/>
        </w:rPr>
        <w:fldChar w:fldCharType="separate"/>
      </w:r>
      <w:r>
        <w:rPr>
          <w:rFonts w:hint="default" w:eastAsiaTheme="minorEastAsia"/>
          <w:bCs/>
          <w:sz w:val="24"/>
          <w:szCs w:val="24"/>
        </w:rPr>
        <w:t xml:space="preserve">7 </w:t>
      </w:r>
      <w:r>
        <w:rPr>
          <w:rFonts w:hint="default" w:ascii="Times New Roman" w:hAnsi="Times New Roman" w:eastAsia="Segoe UI" w:cs="Times New Roman"/>
          <w:i w:val="0"/>
          <w:iCs w:val="0"/>
          <w:caps w:val="0"/>
          <w:color w:val="0F1115"/>
          <w:spacing w:val="0"/>
          <w:sz w:val="24"/>
          <w:szCs w:val="24"/>
          <w:shd w:val="clear" w:fill="FFFFFF"/>
        </w:rPr>
        <w:t>Anti-uplift Pile Method</w:t>
      </w:r>
      <w:r>
        <w:rPr>
          <w:sz w:val="24"/>
          <w:szCs w:val="24"/>
        </w:rPr>
        <w:tab/>
      </w:r>
      <w:r>
        <w:rPr>
          <w:sz w:val="24"/>
          <w:szCs w:val="24"/>
        </w:rPr>
        <w:fldChar w:fldCharType="begin"/>
      </w:r>
      <w:r>
        <w:rPr>
          <w:sz w:val="24"/>
          <w:szCs w:val="24"/>
        </w:rPr>
        <w:instrText xml:space="preserve"> PAGEREF _Toc27936 \h </w:instrText>
      </w:r>
      <w:r>
        <w:rPr>
          <w:sz w:val="24"/>
          <w:szCs w:val="24"/>
        </w:rPr>
        <w:fldChar w:fldCharType="separate"/>
      </w:r>
      <w:r>
        <w:rPr>
          <w:sz w:val="24"/>
          <w:szCs w:val="24"/>
        </w:rPr>
        <w:t>18</w:t>
      </w:r>
      <w:r>
        <w:rPr>
          <w:sz w:val="24"/>
          <w:szCs w:val="24"/>
        </w:rPr>
        <w:fldChar w:fldCharType="end"/>
      </w:r>
      <w:r>
        <w:rPr>
          <w:rFonts w:eastAsiaTheme="minorEastAsia"/>
          <w:sz w:val="24"/>
          <w:szCs w:val="24"/>
        </w:rPr>
        <w:fldChar w:fldCharType="end"/>
      </w:r>
    </w:p>
    <w:p w14:paraId="75B6266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_Toc28555 </w:instrText>
      </w:r>
      <w:r>
        <w:rPr>
          <w:rFonts w:eastAsiaTheme="minorEastAsia"/>
          <w:sz w:val="24"/>
          <w:szCs w:val="24"/>
        </w:rPr>
        <w:fldChar w:fldCharType="separate"/>
      </w:r>
      <w:r>
        <w:rPr>
          <w:rFonts w:hint="default" w:eastAsiaTheme="minorEastAsia"/>
          <w:bCs/>
          <w:sz w:val="24"/>
          <w:szCs w:val="24"/>
        </w:rPr>
        <w:t xml:space="preserve">7.1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_Toc28555 \h </w:instrText>
      </w:r>
      <w:r>
        <w:rPr>
          <w:sz w:val="24"/>
          <w:szCs w:val="24"/>
        </w:rPr>
        <w:fldChar w:fldCharType="separate"/>
      </w:r>
      <w:r>
        <w:rPr>
          <w:sz w:val="24"/>
          <w:szCs w:val="24"/>
        </w:rPr>
        <w:t>18</w:t>
      </w:r>
      <w:r>
        <w:rPr>
          <w:sz w:val="24"/>
          <w:szCs w:val="24"/>
        </w:rPr>
        <w:fldChar w:fldCharType="end"/>
      </w:r>
      <w:r>
        <w:rPr>
          <w:rFonts w:eastAsiaTheme="minorEastAsia"/>
          <w:sz w:val="24"/>
          <w:szCs w:val="24"/>
        </w:rPr>
        <w:fldChar w:fldCharType="end"/>
      </w:r>
    </w:p>
    <w:p w14:paraId="227D25D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_Toc31379 </w:instrText>
      </w:r>
      <w:r>
        <w:rPr>
          <w:rFonts w:eastAsiaTheme="minorEastAsia"/>
          <w:sz w:val="24"/>
          <w:szCs w:val="24"/>
        </w:rPr>
        <w:fldChar w:fldCharType="separate"/>
      </w:r>
      <w:r>
        <w:rPr>
          <w:rFonts w:hint="default" w:eastAsiaTheme="minorEastAsia"/>
          <w:bCs/>
          <w:sz w:val="24"/>
          <w:szCs w:val="24"/>
        </w:rPr>
        <w:t xml:space="preserve">7.2 </w:t>
      </w:r>
      <w:r>
        <w:rPr>
          <w:rFonts w:hint="default" w:ascii="Times New Roman" w:hAnsi="Times New Roman" w:eastAsia="Segoe UI" w:cs="Times New Roman"/>
          <w:i w:val="0"/>
          <w:iCs w:val="0"/>
          <w:caps w:val="0"/>
          <w:color w:val="0F1115"/>
          <w:spacing w:val="0"/>
          <w:sz w:val="24"/>
          <w:szCs w:val="24"/>
          <w:shd w:val="clear" w:fill="FFFFFF"/>
        </w:rPr>
        <w:t>Design</w:t>
      </w:r>
      <w:r>
        <w:rPr>
          <w:sz w:val="24"/>
          <w:szCs w:val="24"/>
        </w:rPr>
        <w:tab/>
      </w:r>
      <w:r>
        <w:rPr>
          <w:sz w:val="24"/>
          <w:szCs w:val="24"/>
        </w:rPr>
        <w:fldChar w:fldCharType="begin"/>
      </w:r>
      <w:r>
        <w:rPr>
          <w:sz w:val="24"/>
          <w:szCs w:val="24"/>
        </w:rPr>
        <w:instrText xml:space="preserve"> PAGEREF _Toc31379 \h </w:instrText>
      </w:r>
      <w:r>
        <w:rPr>
          <w:sz w:val="24"/>
          <w:szCs w:val="24"/>
        </w:rPr>
        <w:fldChar w:fldCharType="separate"/>
      </w:r>
      <w:r>
        <w:rPr>
          <w:sz w:val="24"/>
          <w:szCs w:val="24"/>
        </w:rPr>
        <w:t>19</w:t>
      </w:r>
      <w:r>
        <w:rPr>
          <w:sz w:val="24"/>
          <w:szCs w:val="24"/>
        </w:rPr>
        <w:fldChar w:fldCharType="end"/>
      </w:r>
      <w:r>
        <w:rPr>
          <w:rFonts w:eastAsiaTheme="minorEastAsia"/>
          <w:sz w:val="24"/>
          <w:szCs w:val="24"/>
        </w:rPr>
        <w:fldChar w:fldCharType="end"/>
      </w:r>
    </w:p>
    <w:p w14:paraId="13D8C7FD">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_Toc4368 </w:instrText>
      </w:r>
      <w:r>
        <w:rPr>
          <w:rFonts w:eastAsiaTheme="minorEastAsia"/>
          <w:sz w:val="24"/>
          <w:szCs w:val="24"/>
        </w:rPr>
        <w:fldChar w:fldCharType="separate"/>
      </w:r>
      <w:r>
        <w:rPr>
          <w:rFonts w:hint="default" w:eastAsiaTheme="minorEastAsia"/>
          <w:bCs/>
          <w:sz w:val="24"/>
          <w:szCs w:val="24"/>
        </w:rPr>
        <w:t xml:space="preserve">7.3 </w:t>
      </w:r>
      <w:r>
        <w:rPr>
          <w:rFonts w:hint="default" w:ascii="Times New Roman" w:hAnsi="Times New Roman" w:eastAsia="Segoe UI" w:cs="Times New Roman"/>
          <w:i w:val="0"/>
          <w:iCs w:val="0"/>
          <w:caps w:val="0"/>
          <w:color w:val="0F1115"/>
          <w:spacing w:val="0"/>
          <w:sz w:val="24"/>
          <w:szCs w:val="24"/>
          <w:shd w:val="clear" w:fill="FFFFFF"/>
        </w:rPr>
        <w:t>Testing Requirements</w:t>
      </w:r>
      <w:r>
        <w:rPr>
          <w:sz w:val="24"/>
          <w:szCs w:val="24"/>
        </w:rPr>
        <w:tab/>
      </w:r>
      <w:r>
        <w:rPr>
          <w:sz w:val="24"/>
          <w:szCs w:val="24"/>
        </w:rPr>
        <w:fldChar w:fldCharType="begin"/>
      </w:r>
      <w:r>
        <w:rPr>
          <w:sz w:val="24"/>
          <w:szCs w:val="24"/>
        </w:rPr>
        <w:instrText xml:space="preserve"> PAGEREF _Toc4368 \h </w:instrText>
      </w:r>
      <w:r>
        <w:rPr>
          <w:sz w:val="24"/>
          <w:szCs w:val="24"/>
        </w:rPr>
        <w:fldChar w:fldCharType="separate"/>
      </w:r>
      <w:r>
        <w:rPr>
          <w:sz w:val="24"/>
          <w:szCs w:val="24"/>
        </w:rPr>
        <w:t>22</w:t>
      </w:r>
      <w:r>
        <w:rPr>
          <w:sz w:val="24"/>
          <w:szCs w:val="24"/>
        </w:rPr>
        <w:fldChar w:fldCharType="end"/>
      </w:r>
      <w:r>
        <w:rPr>
          <w:rFonts w:eastAsiaTheme="minorEastAsia"/>
          <w:sz w:val="24"/>
          <w:szCs w:val="24"/>
        </w:rPr>
        <w:fldChar w:fldCharType="end"/>
      </w:r>
    </w:p>
    <w:p w14:paraId="3C725CD7">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_Toc7049 </w:instrText>
      </w:r>
      <w:r>
        <w:rPr>
          <w:rFonts w:eastAsiaTheme="minorEastAsia"/>
          <w:sz w:val="24"/>
          <w:szCs w:val="24"/>
        </w:rPr>
        <w:fldChar w:fldCharType="separate"/>
      </w:r>
      <w:r>
        <w:rPr>
          <w:rFonts w:hint="default" w:eastAsiaTheme="minorEastAsia"/>
          <w:bCs/>
          <w:sz w:val="24"/>
          <w:szCs w:val="24"/>
        </w:rPr>
        <w:t xml:space="preserve">8 </w:t>
      </w:r>
      <w:r>
        <w:rPr>
          <w:rFonts w:hint="default" w:ascii="Times New Roman" w:hAnsi="Times New Roman" w:eastAsia="Segoe UI" w:cs="Times New Roman"/>
          <w:i w:val="0"/>
          <w:iCs w:val="0"/>
          <w:caps w:val="0"/>
          <w:color w:val="0F1115"/>
          <w:spacing w:val="0"/>
          <w:sz w:val="24"/>
          <w:szCs w:val="24"/>
          <w:shd w:val="clear" w:fill="FFFFFF"/>
        </w:rPr>
        <w:t>Anchor Method</w:t>
      </w:r>
      <w:r>
        <w:rPr>
          <w:sz w:val="24"/>
          <w:szCs w:val="24"/>
        </w:rPr>
        <w:tab/>
      </w:r>
      <w:r>
        <w:rPr>
          <w:sz w:val="24"/>
          <w:szCs w:val="24"/>
        </w:rPr>
        <w:fldChar w:fldCharType="begin"/>
      </w:r>
      <w:r>
        <w:rPr>
          <w:sz w:val="24"/>
          <w:szCs w:val="24"/>
        </w:rPr>
        <w:instrText xml:space="preserve"> PAGEREF _Toc7049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698DDDF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_Toc29759 </w:instrText>
      </w:r>
      <w:r>
        <w:rPr>
          <w:rFonts w:eastAsiaTheme="minorEastAsia"/>
          <w:sz w:val="24"/>
          <w:szCs w:val="24"/>
        </w:rPr>
        <w:fldChar w:fldCharType="separate"/>
      </w:r>
      <w:r>
        <w:rPr>
          <w:rFonts w:hint="default" w:eastAsiaTheme="minorEastAsia"/>
          <w:bCs/>
          <w:sz w:val="24"/>
          <w:szCs w:val="24"/>
        </w:rPr>
        <w:t xml:space="preserve">8.1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_Toc29759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1BE9D77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_Toc7148 </w:instrText>
      </w:r>
      <w:r>
        <w:rPr>
          <w:rFonts w:eastAsiaTheme="minorEastAsia"/>
          <w:sz w:val="24"/>
          <w:szCs w:val="24"/>
        </w:rPr>
        <w:fldChar w:fldCharType="separate"/>
      </w:r>
      <w:r>
        <w:rPr>
          <w:rFonts w:hint="default" w:eastAsiaTheme="minorEastAsia"/>
          <w:bCs/>
          <w:sz w:val="24"/>
          <w:szCs w:val="24"/>
        </w:rPr>
        <w:t xml:space="preserve">8.2 </w:t>
      </w:r>
      <w:r>
        <w:rPr>
          <w:rFonts w:hint="default" w:ascii="Times New Roman" w:hAnsi="Times New Roman" w:eastAsia="Segoe UI" w:cs="Times New Roman"/>
          <w:i w:val="0"/>
          <w:iCs w:val="0"/>
          <w:caps w:val="0"/>
          <w:color w:val="0F1115"/>
          <w:spacing w:val="0"/>
          <w:sz w:val="24"/>
          <w:szCs w:val="24"/>
          <w:shd w:val="clear" w:fill="FFFFFF"/>
        </w:rPr>
        <w:t>Design</w:t>
      </w:r>
      <w:r>
        <w:rPr>
          <w:sz w:val="24"/>
          <w:szCs w:val="24"/>
        </w:rPr>
        <w:tab/>
      </w:r>
      <w:r>
        <w:rPr>
          <w:sz w:val="24"/>
          <w:szCs w:val="24"/>
        </w:rPr>
        <w:fldChar w:fldCharType="begin"/>
      </w:r>
      <w:r>
        <w:rPr>
          <w:sz w:val="24"/>
          <w:szCs w:val="24"/>
        </w:rPr>
        <w:instrText xml:space="preserve"> PAGEREF _Toc7148 \h </w:instrText>
      </w:r>
      <w:r>
        <w:rPr>
          <w:sz w:val="24"/>
          <w:szCs w:val="24"/>
        </w:rPr>
        <w:fldChar w:fldCharType="separate"/>
      </w:r>
      <w:r>
        <w:rPr>
          <w:sz w:val="24"/>
          <w:szCs w:val="24"/>
        </w:rPr>
        <w:t>24</w:t>
      </w:r>
      <w:r>
        <w:rPr>
          <w:sz w:val="24"/>
          <w:szCs w:val="24"/>
        </w:rPr>
        <w:fldChar w:fldCharType="end"/>
      </w:r>
      <w:r>
        <w:rPr>
          <w:rFonts w:eastAsiaTheme="minorEastAsia"/>
          <w:sz w:val="24"/>
          <w:szCs w:val="24"/>
        </w:rPr>
        <w:fldChar w:fldCharType="end"/>
      </w:r>
    </w:p>
    <w:p w14:paraId="28D86182">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_Toc29210 </w:instrText>
      </w:r>
      <w:r>
        <w:rPr>
          <w:rFonts w:eastAsiaTheme="minorEastAsia"/>
          <w:sz w:val="24"/>
          <w:szCs w:val="24"/>
        </w:rPr>
        <w:fldChar w:fldCharType="separate"/>
      </w:r>
      <w:r>
        <w:rPr>
          <w:rFonts w:hint="default" w:eastAsiaTheme="minorEastAsia"/>
          <w:bCs/>
          <w:sz w:val="24"/>
          <w:szCs w:val="24"/>
        </w:rPr>
        <w:t xml:space="preserve">8.3 </w:t>
      </w:r>
      <w:r>
        <w:rPr>
          <w:rFonts w:hint="default" w:ascii="Times New Roman" w:hAnsi="Times New Roman" w:eastAsia="Segoe UI" w:cs="Times New Roman"/>
          <w:i w:val="0"/>
          <w:iCs w:val="0"/>
          <w:caps w:val="0"/>
          <w:color w:val="0F1115"/>
          <w:spacing w:val="0"/>
          <w:sz w:val="24"/>
          <w:szCs w:val="24"/>
          <w:shd w:val="clear" w:fill="FFFFFF"/>
        </w:rPr>
        <w:t>Testing Requirements</w:t>
      </w:r>
      <w:r>
        <w:rPr>
          <w:sz w:val="24"/>
          <w:szCs w:val="24"/>
        </w:rPr>
        <w:tab/>
      </w:r>
      <w:r>
        <w:rPr>
          <w:sz w:val="24"/>
          <w:szCs w:val="24"/>
        </w:rPr>
        <w:fldChar w:fldCharType="begin"/>
      </w:r>
      <w:r>
        <w:rPr>
          <w:sz w:val="24"/>
          <w:szCs w:val="24"/>
        </w:rPr>
        <w:instrText xml:space="preserve"> PAGEREF _Toc29210 \h </w:instrText>
      </w:r>
      <w:r>
        <w:rPr>
          <w:sz w:val="24"/>
          <w:szCs w:val="24"/>
        </w:rPr>
        <w:fldChar w:fldCharType="separate"/>
      </w:r>
      <w:r>
        <w:rPr>
          <w:sz w:val="24"/>
          <w:szCs w:val="24"/>
        </w:rPr>
        <w:t>31</w:t>
      </w:r>
      <w:r>
        <w:rPr>
          <w:sz w:val="24"/>
          <w:szCs w:val="24"/>
        </w:rPr>
        <w:fldChar w:fldCharType="end"/>
      </w:r>
      <w:r>
        <w:rPr>
          <w:rFonts w:eastAsiaTheme="minorEastAsia"/>
          <w:sz w:val="24"/>
          <w:szCs w:val="24"/>
        </w:rPr>
        <w:fldChar w:fldCharType="end"/>
      </w:r>
    </w:p>
    <w:p w14:paraId="2F0C73EE">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_Toc26001 </w:instrText>
      </w:r>
      <w:r>
        <w:rPr>
          <w:rFonts w:eastAsiaTheme="minorEastAsia"/>
          <w:sz w:val="24"/>
          <w:szCs w:val="24"/>
        </w:rPr>
        <w:fldChar w:fldCharType="separate"/>
      </w:r>
      <w:r>
        <w:rPr>
          <w:rFonts w:hint="default" w:eastAsiaTheme="minorEastAsia"/>
          <w:bCs/>
          <w:sz w:val="24"/>
          <w:szCs w:val="24"/>
        </w:rPr>
        <w:t xml:space="preserve">8.4 </w:t>
      </w:r>
      <w:r>
        <w:rPr>
          <w:rFonts w:hint="default" w:ascii="Times New Roman" w:hAnsi="Times New Roman" w:eastAsia="Segoe UI" w:cs="Times New Roman"/>
          <w:i w:val="0"/>
          <w:iCs w:val="0"/>
          <w:caps w:val="0"/>
          <w:color w:val="0F1115"/>
          <w:spacing w:val="0"/>
          <w:sz w:val="24"/>
          <w:szCs w:val="24"/>
          <w:shd w:val="clear" w:fill="FFFFFF"/>
        </w:rPr>
        <w:t>Tensioning and Lock-off Requirements</w:t>
      </w:r>
      <w:r>
        <w:rPr>
          <w:sz w:val="24"/>
          <w:szCs w:val="24"/>
        </w:rPr>
        <w:tab/>
      </w:r>
      <w:r>
        <w:rPr>
          <w:sz w:val="24"/>
          <w:szCs w:val="24"/>
        </w:rPr>
        <w:fldChar w:fldCharType="begin"/>
      </w:r>
      <w:r>
        <w:rPr>
          <w:sz w:val="24"/>
          <w:szCs w:val="24"/>
        </w:rPr>
        <w:instrText xml:space="preserve"> PAGEREF _Toc26001 \h </w:instrText>
      </w:r>
      <w:r>
        <w:rPr>
          <w:sz w:val="24"/>
          <w:szCs w:val="24"/>
        </w:rPr>
        <w:fldChar w:fldCharType="separate"/>
      </w:r>
      <w:r>
        <w:rPr>
          <w:sz w:val="24"/>
          <w:szCs w:val="24"/>
        </w:rPr>
        <w:t>31</w:t>
      </w:r>
      <w:r>
        <w:rPr>
          <w:sz w:val="24"/>
          <w:szCs w:val="24"/>
        </w:rPr>
        <w:fldChar w:fldCharType="end"/>
      </w:r>
      <w:r>
        <w:rPr>
          <w:rFonts w:eastAsiaTheme="minorEastAsia"/>
          <w:sz w:val="24"/>
          <w:szCs w:val="24"/>
        </w:rPr>
        <w:fldChar w:fldCharType="end"/>
      </w:r>
    </w:p>
    <w:p w14:paraId="39C13C0A">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_Toc2872 </w:instrText>
      </w:r>
      <w:r>
        <w:rPr>
          <w:rFonts w:eastAsiaTheme="minorEastAsia"/>
          <w:sz w:val="24"/>
          <w:szCs w:val="24"/>
        </w:rPr>
        <w:fldChar w:fldCharType="separate"/>
      </w:r>
      <w:r>
        <w:rPr>
          <w:rFonts w:hint="default" w:eastAsiaTheme="minorEastAsia"/>
          <w:bCs/>
          <w:sz w:val="24"/>
          <w:szCs w:val="24"/>
        </w:rPr>
        <w:t xml:space="preserve">9 </w:t>
      </w:r>
      <w:r>
        <w:rPr>
          <w:rFonts w:hint="default" w:ascii="Times New Roman" w:hAnsi="Times New Roman" w:eastAsia="Segoe UI" w:cs="Times New Roman"/>
          <w:i w:val="0"/>
          <w:iCs w:val="0"/>
          <w:caps w:val="0"/>
          <w:color w:val="0F1115"/>
          <w:spacing w:val="0"/>
          <w:sz w:val="24"/>
          <w:szCs w:val="24"/>
          <w:shd w:val="clear" w:fill="FFFFFF"/>
        </w:rPr>
        <w:t>Pressure-limiting Method</w:t>
      </w:r>
      <w:r>
        <w:rPr>
          <w:sz w:val="24"/>
          <w:szCs w:val="24"/>
        </w:rPr>
        <w:tab/>
      </w:r>
      <w:r>
        <w:rPr>
          <w:sz w:val="24"/>
          <w:szCs w:val="24"/>
        </w:rPr>
        <w:fldChar w:fldCharType="begin"/>
      </w:r>
      <w:r>
        <w:rPr>
          <w:sz w:val="24"/>
          <w:szCs w:val="24"/>
        </w:rPr>
        <w:instrText xml:space="preserve"> PAGEREF _Toc2872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1D2199D1">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_Toc16974 </w:instrText>
      </w:r>
      <w:r>
        <w:rPr>
          <w:rFonts w:eastAsiaTheme="minorEastAsia"/>
          <w:sz w:val="24"/>
          <w:szCs w:val="24"/>
        </w:rPr>
        <w:fldChar w:fldCharType="separate"/>
      </w:r>
      <w:r>
        <w:rPr>
          <w:rFonts w:hint="default" w:eastAsiaTheme="minorEastAsia"/>
          <w:bCs/>
          <w:sz w:val="24"/>
          <w:szCs w:val="24"/>
        </w:rPr>
        <w:t xml:space="preserve">9.1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_Toc16974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6954A6B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_Toc27738 </w:instrText>
      </w:r>
      <w:r>
        <w:rPr>
          <w:rFonts w:eastAsiaTheme="minorEastAsia"/>
          <w:sz w:val="24"/>
          <w:szCs w:val="24"/>
        </w:rPr>
        <w:fldChar w:fldCharType="separate"/>
      </w:r>
      <w:r>
        <w:rPr>
          <w:rFonts w:hint="default" w:eastAsiaTheme="minorEastAsia"/>
          <w:bCs/>
          <w:sz w:val="24"/>
          <w:szCs w:val="24"/>
        </w:rPr>
        <w:t xml:space="preserve">9.2 </w:t>
      </w:r>
      <w:r>
        <w:rPr>
          <w:rFonts w:hint="default" w:ascii="Times New Roman" w:hAnsi="Times New Roman" w:eastAsia="Segoe UI" w:cs="Times New Roman"/>
          <w:i w:val="0"/>
          <w:iCs w:val="0"/>
          <w:caps w:val="0"/>
          <w:color w:val="0F1115"/>
          <w:spacing w:val="0"/>
          <w:sz w:val="24"/>
          <w:szCs w:val="24"/>
          <w:shd w:val="clear" w:fill="FFFFFF"/>
        </w:rPr>
        <w:t>Design</w:t>
      </w:r>
      <w:r>
        <w:rPr>
          <w:sz w:val="24"/>
          <w:szCs w:val="24"/>
        </w:rPr>
        <w:tab/>
      </w:r>
      <w:r>
        <w:rPr>
          <w:sz w:val="24"/>
          <w:szCs w:val="24"/>
        </w:rPr>
        <w:fldChar w:fldCharType="begin"/>
      </w:r>
      <w:r>
        <w:rPr>
          <w:sz w:val="24"/>
          <w:szCs w:val="24"/>
        </w:rPr>
        <w:instrText xml:space="preserve"> PAGEREF _Toc27738 \h </w:instrText>
      </w:r>
      <w:r>
        <w:rPr>
          <w:sz w:val="24"/>
          <w:szCs w:val="24"/>
        </w:rPr>
        <w:fldChar w:fldCharType="separate"/>
      </w:r>
      <w:r>
        <w:rPr>
          <w:sz w:val="24"/>
          <w:szCs w:val="24"/>
        </w:rPr>
        <w:t>32</w:t>
      </w:r>
      <w:r>
        <w:rPr>
          <w:sz w:val="24"/>
          <w:szCs w:val="24"/>
        </w:rPr>
        <w:fldChar w:fldCharType="end"/>
      </w:r>
      <w:r>
        <w:rPr>
          <w:rFonts w:eastAsiaTheme="minorEastAsia"/>
          <w:sz w:val="24"/>
          <w:szCs w:val="24"/>
        </w:rPr>
        <w:fldChar w:fldCharType="end"/>
      </w:r>
    </w:p>
    <w:p w14:paraId="691AE26C">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_Toc31334 </w:instrText>
      </w:r>
      <w:r>
        <w:rPr>
          <w:rFonts w:eastAsiaTheme="minorEastAsia"/>
          <w:sz w:val="24"/>
          <w:szCs w:val="24"/>
        </w:rPr>
        <w:fldChar w:fldCharType="separate"/>
      </w:r>
      <w:r>
        <w:rPr>
          <w:rFonts w:hint="default" w:eastAsiaTheme="minorEastAsia"/>
          <w:bCs/>
          <w:sz w:val="24"/>
          <w:szCs w:val="24"/>
        </w:rPr>
        <w:t xml:space="preserve">9.3 </w:t>
      </w:r>
      <w:r>
        <w:rPr>
          <w:rFonts w:hint="default" w:ascii="Times New Roman" w:hAnsi="Times New Roman" w:eastAsia="Segoe UI" w:cs="Times New Roman"/>
          <w:i w:val="0"/>
          <w:iCs w:val="0"/>
          <w:caps w:val="0"/>
          <w:color w:val="0F1115"/>
          <w:spacing w:val="0"/>
          <w:sz w:val="24"/>
          <w:szCs w:val="24"/>
          <w:shd w:val="clear" w:fill="FFFFFF"/>
        </w:rPr>
        <w:t>Testing Requirements</w:t>
      </w:r>
      <w:r>
        <w:rPr>
          <w:sz w:val="24"/>
          <w:szCs w:val="24"/>
        </w:rPr>
        <w:tab/>
      </w:r>
      <w:r>
        <w:rPr>
          <w:sz w:val="24"/>
          <w:szCs w:val="24"/>
        </w:rPr>
        <w:fldChar w:fldCharType="begin"/>
      </w:r>
      <w:r>
        <w:rPr>
          <w:sz w:val="24"/>
          <w:szCs w:val="24"/>
        </w:rPr>
        <w:instrText xml:space="preserve"> PAGEREF _Toc31334 \h </w:instrText>
      </w:r>
      <w:r>
        <w:rPr>
          <w:sz w:val="24"/>
          <w:szCs w:val="24"/>
        </w:rPr>
        <w:fldChar w:fldCharType="separate"/>
      </w:r>
      <w:r>
        <w:rPr>
          <w:sz w:val="24"/>
          <w:szCs w:val="24"/>
        </w:rPr>
        <w:t>34</w:t>
      </w:r>
      <w:r>
        <w:rPr>
          <w:sz w:val="24"/>
          <w:szCs w:val="24"/>
        </w:rPr>
        <w:fldChar w:fldCharType="end"/>
      </w:r>
      <w:r>
        <w:rPr>
          <w:rFonts w:eastAsiaTheme="minorEastAsia"/>
          <w:sz w:val="24"/>
          <w:szCs w:val="24"/>
        </w:rPr>
        <w:fldChar w:fldCharType="end"/>
      </w:r>
    </w:p>
    <w:p w14:paraId="2BCABBCA">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_Toc17701 </w:instrText>
      </w:r>
      <w:r>
        <w:rPr>
          <w:rFonts w:eastAsiaTheme="minorEastAsia"/>
          <w:sz w:val="24"/>
          <w:szCs w:val="24"/>
        </w:rPr>
        <w:fldChar w:fldCharType="separate"/>
      </w:r>
      <w:r>
        <w:rPr>
          <w:rFonts w:hint="default" w:eastAsiaTheme="minorEastAsia"/>
          <w:bCs/>
          <w:sz w:val="24"/>
          <w:szCs w:val="24"/>
        </w:rPr>
        <w:t xml:space="preserve">10 </w:t>
      </w:r>
      <w:r>
        <w:rPr>
          <w:rFonts w:hint="default" w:ascii="Times New Roman" w:hAnsi="Times New Roman" w:eastAsia="Segoe UI" w:cs="Times New Roman"/>
          <w:i w:val="0"/>
          <w:iCs w:val="0"/>
          <w:caps w:val="0"/>
          <w:color w:val="0F1115"/>
          <w:spacing w:val="0"/>
          <w:sz w:val="24"/>
          <w:szCs w:val="24"/>
          <w:shd w:val="clear" w:fill="FFFFFF"/>
        </w:rPr>
        <w:t>Anti-uplift of Existing Buildings</w:t>
      </w:r>
      <w:r>
        <w:rPr>
          <w:sz w:val="24"/>
          <w:szCs w:val="24"/>
        </w:rPr>
        <w:tab/>
      </w:r>
      <w:r>
        <w:rPr>
          <w:sz w:val="24"/>
          <w:szCs w:val="24"/>
        </w:rPr>
        <w:fldChar w:fldCharType="begin"/>
      </w:r>
      <w:r>
        <w:rPr>
          <w:sz w:val="24"/>
          <w:szCs w:val="24"/>
        </w:rPr>
        <w:instrText xml:space="preserve"> PAGEREF _Toc17701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6EC770A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_Toc3986 </w:instrText>
      </w:r>
      <w:r>
        <w:rPr>
          <w:rFonts w:eastAsiaTheme="minorEastAsia"/>
          <w:sz w:val="24"/>
          <w:szCs w:val="24"/>
        </w:rPr>
        <w:fldChar w:fldCharType="separate"/>
      </w:r>
      <w:r>
        <w:rPr>
          <w:rFonts w:hint="default" w:eastAsiaTheme="minorEastAsia"/>
          <w:bCs/>
          <w:sz w:val="24"/>
          <w:szCs w:val="24"/>
        </w:rPr>
        <w:t xml:space="preserve">10.1 </w:t>
      </w:r>
      <w:r>
        <w:rPr>
          <w:rFonts w:hint="default" w:ascii="Times New Roman" w:hAnsi="Times New Roman" w:eastAsia="Segoe UI" w:cs="Times New Roman"/>
          <w:i w:val="0"/>
          <w:iCs w:val="0"/>
          <w:caps w:val="0"/>
          <w:color w:val="0F1115"/>
          <w:spacing w:val="0"/>
          <w:sz w:val="24"/>
          <w:szCs w:val="24"/>
          <w:shd w:val="clear" w:fill="FFFFFF"/>
        </w:rPr>
        <w:t>General Requirements</w:t>
      </w:r>
      <w:r>
        <w:rPr>
          <w:sz w:val="24"/>
          <w:szCs w:val="24"/>
        </w:rPr>
        <w:tab/>
      </w:r>
      <w:r>
        <w:rPr>
          <w:sz w:val="24"/>
          <w:szCs w:val="24"/>
        </w:rPr>
        <w:fldChar w:fldCharType="begin"/>
      </w:r>
      <w:r>
        <w:rPr>
          <w:sz w:val="24"/>
          <w:szCs w:val="24"/>
        </w:rPr>
        <w:instrText xml:space="preserve"> PAGEREF _Toc3986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33E8ACE1">
      <w:pPr>
        <w:pStyle w:val="1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_Toc9858 </w:instrText>
      </w:r>
      <w:r>
        <w:rPr>
          <w:rFonts w:eastAsiaTheme="minorEastAsia"/>
          <w:sz w:val="24"/>
          <w:szCs w:val="24"/>
        </w:rPr>
        <w:fldChar w:fldCharType="separate"/>
      </w:r>
      <w:r>
        <w:rPr>
          <w:rFonts w:hint="default" w:eastAsiaTheme="minorEastAsia"/>
          <w:bCs/>
          <w:sz w:val="24"/>
          <w:szCs w:val="24"/>
        </w:rPr>
        <w:t xml:space="preserve">10.2 </w:t>
      </w:r>
      <w:r>
        <w:rPr>
          <w:rFonts w:hint="default" w:ascii="Times New Roman" w:hAnsi="Times New Roman" w:eastAsia="Segoe UI" w:cs="Times New Roman"/>
          <w:i w:val="0"/>
          <w:iCs w:val="0"/>
          <w:caps w:val="0"/>
          <w:color w:val="0F1115"/>
          <w:spacing w:val="0"/>
          <w:sz w:val="24"/>
          <w:szCs w:val="24"/>
          <w:shd w:val="clear" w:fill="FFFFFF"/>
        </w:rPr>
        <w:t>Anti-uplift Strengthening Design</w:t>
      </w:r>
      <w:r>
        <w:rPr>
          <w:sz w:val="24"/>
          <w:szCs w:val="24"/>
        </w:rPr>
        <w:tab/>
      </w:r>
      <w:r>
        <w:rPr>
          <w:sz w:val="24"/>
          <w:szCs w:val="24"/>
        </w:rPr>
        <w:fldChar w:fldCharType="begin"/>
      </w:r>
      <w:r>
        <w:rPr>
          <w:sz w:val="24"/>
          <w:szCs w:val="24"/>
        </w:rPr>
        <w:instrText xml:space="preserve"> PAGEREF _Toc9858 \h </w:instrText>
      </w:r>
      <w:r>
        <w:rPr>
          <w:sz w:val="24"/>
          <w:szCs w:val="24"/>
        </w:rPr>
        <w:fldChar w:fldCharType="separate"/>
      </w:r>
      <w:r>
        <w:rPr>
          <w:sz w:val="24"/>
          <w:szCs w:val="24"/>
        </w:rPr>
        <w:t>35</w:t>
      </w:r>
      <w:r>
        <w:rPr>
          <w:sz w:val="24"/>
          <w:szCs w:val="24"/>
        </w:rPr>
        <w:fldChar w:fldCharType="end"/>
      </w:r>
      <w:r>
        <w:rPr>
          <w:rFonts w:eastAsiaTheme="minorEastAsia"/>
          <w:sz w:val="24"/>
          <w:szCs w:val="24"/>
        </w:rPr>
        <w:fldChar w:fldCharType="end"/>
      </w:r>
    </w:p>
    <w:p w14:paraId="4F73441A">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_Toc13435 </w:instrText>
      </w:r>
      <w:r>
        <w:rPr>
          <w:rFonts w:eastAsiaTheme="minorEastAsia"/>
          <w:sz w:val="24"/>
          <w:szCs w:val="24"/>
        </w:rPr>
        <w:fldChar w:fldCharType="separate"/>
      </w:r>
      <w:r>
        <w:rPr>
          <w:rFonts w:hint="default" w:eastAsia="宋体"/>
          <w:sz w:val="24"/>
          <w:szCs w:val="24"/>
        </w:rPr>
        <w:t xml:space="preserve">11 </w:t>
      </w:r>
      <w:r>
        <w:rPr>
          <w:rFonts w:hint="default" w:ascii="Times New Roman" w:hAnsi="Times New Roman" w:eastAsia="Segoe UI" w:cs="Times New Roman"/>
          <w:i w:val="0"/>
          <w:iCs w:val="0"/>
          <w:caps w:val="0"/>
          <w:color w:val="0F1115"/>
          <w:spacing w:val="0"/>
          <w:sz w:val="24"/>
          <w:szCs w:val="24"/>
          <w:shd w:val="clear" w:fill="FFFFFF"/>
        </w:rPr>
        <w:t>Monitoring and Maintenance</w:t>
      </w:r>
      <w:r>
        <w:rPr>
          <w:sz w:val="24"/>
          <w:szCs w:val="24"/>
        </w:rPr>
        <w:tab/>
      </w:r>
      <w:r>
        <w:rPr>
          <w:sz w:val="24"/>
          <w:szCs w:val="24"/>
        </w:rPr>
        <w:fldChar w:fldCharType="begin"/>
      </w:r>
      <w:r>
        <w:rPr>
          <w:sz w:val="24"/>
          <w:szCs w:val="24"/>
        </w:rPr>
        <w:instrText xml:space="preserve"> PAGEREF _Toc13435 \h </w:instrText>
      </w:r>
      <w:r>
        <w:rPr>
          <w:sz w:val="24"/>
          <w:szCs w:val="24"/>
        </w:rPr>
        <w:fldChar w:fldCharType="separate"/>
      </w:r>
      <w:r>
        <w:rPr>
          <w:sz w:val="24"/>
          <w:szCs w:val="24"/>
        </w:rPr>
        <w:t>40</w:t>
      </w:r>
      <w:r>
        <w:rPr>
          <w:sz w:val="24"/>
          <w:szCs w:val="24"/>
        </w:rPr>
        <w:fldChar w:fldCharType="end"/>
      </w:r>
      <w:r>
        <w:rPr>
          <w:rFonts w:eastAsiaTheme="minorEastAsia"/>
          <w:sz w:val="24"/>
          <w:szCs w:val="24"/>
        </w:rPr>
        <w:fldChar w:fldCharType="end"/>
      </w:r>
    </w:p>
    <w:p w14:paraId="04AC4E06">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_Toc14630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Appendix A Anti-uplift Design Report (Sample)</w:t>
      </w:r>
      <w:r>
        <w:rPr>
          <w:sz w:val="24"/>
          <w:szCs w:val="24"/>
        </w:rPr>
        <w:tab/>
      </w:r>
      <w:r>
        <w:rPr>
          <w:sz w:val="24"/>
          <w:szCs w:val="24"/>
        </w:rPr>
        <w:fldChar w:fldCharType="begin"/>
      </w:r>
      <w:r>
        <w:rPr>
          <w:sz w:val="24"/>
          <w:szCs w:val="24"/>
        </w:rPr>
        <w:instrText xml:space="preserve"> PAGEREF _Toc14630 \h </w:instrText>
      </w:r>
      <w:r>
        <w:rPr>
          <w:sz w:val="24"/>
          <w:szCs w:val="24"/>
        </w:rPr>
        <w:fldChar w:fldCharType="separate"/>
      </w:r>
      <w:r>
        <w:rPr>
          <w:sz w:val="24"/>
          <w:szCs w:val="24"/>
        </w:rPr>
        <w:t>42</w:t>
      </w:r>
      <w:r>
        <w:rPr>
          <w:sz w:val="24"/>
          <w:szCs w:val="24"/>
        </w:rPr>
        <w:fldChar w:fldCharType="end"/>
      </w:r>
      <w:r>
        <w:rPr>
          <w:rFonts w:eastAsiaTheme="minorEastAsia"/>
          <w:sz w:val="24"/>
          <w:szCs w:val="24"/>
        </w:rPr>
        <w:fldChar w:fldCharType="end"/>
      </w:r>
    </w:p>
    <w:p w14:paraId="66A65CF1">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_Toc11643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Appendix B Key Points for Basic and Acceptance Tests of Anti-uplift Anchors</w:t>
      </w:r>
      <w:r>
        <w:rPr>
          <w:sz w:val="24"/>
          <w:szCs w:val="24"/>
        </w:rPr>
        <w:tab/>
      </w:r>
      <w:r>
        <w:rPr>
          <w:sz w:val="24"/>
          <w:szCs w:val="24"/>
        </w:rPr>
        <w:fldChar w:fldCharType="begin"/>
      </w:r>
      <w:r>
        <w:rPr>
          <w:sz w:val="24"/>
          <w:szCs w:val="24"/>
        </w:rPr>
        <w:instrText xml:space="preserve"> PAGEREF _Toc11643 \h </w:instrText>
      </w:r>
      <w:r>
        <w:rPr>
          <w:sz w:val="24"/>
          <w:szCs w:val="24"/>
        </w:rPr>
        <w:fldChar w:fldCharType="separate"/>
      </w:r>
      <w:r>
        <w:rPr>
          <w:sz w:val="24"/>
          <w:szCs w:val="24"/>
        </w:rPr>
        <w:t>47</w:t>
      </w:r>
      <w:r>
        <w:rPr>
          <w:sz w:val="24"/>
          <w:szCs w:val="24"/>
        </w:rPr>
        <w:fldChar w:fldCharType="end"/>
      </w:r>
      <w:r>
        <w:rPr>
          <w:rFonts w:eastAsiaTheme="minorEastAsia"/>
          <w:sz w:val="24"/>
          <w:szCs w:val="24"/>
        </w:rPr>
        <w:fldChar w:fldCharType="end"/>
      </w:r>
    </w:p>
    <w:p w14:paraId="42B480D7">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_Toc31978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Appendix C Technical Requirements for Anti-corrosion of Anchors</w:t>
      </w:r>
      <w:r>
        <w:rPr>
          <w:sz w:val="24"/>
          <w:szCs w:val="24"/>
        </w:rPr>
        <w:tab/>
      </w:r>
      <w:r>
        <w:rPr>
          <w:sz w:val="24"/>
          <w:szCs w:val="24"/>
        </w:rPr>
        <w:fldChar w:fldCharType="begin"/>
      </w:r>
      <w:r>
        <w:rPr>
          <w:sz w:val="24"/>
          <w:szCs w:val="24"/>
        </w:rPr>
        <w:instrText xml:space="preserve"> PAGEREF _Toc31978 \h </w:instrText>
      </w:r>
      <w:r>
        <w:rPr>
          <w:sz w:val="24"/>
          <w:szCs w:val="24"/>
        </w:rPr>
        <w:fldChar w:fldCharType="separate"/>
      </w:r>
      <w:r>
        <w:rPr>
          <w:sz w:val="24"/>
          <w:szCs w:val="24"/>
        </w:rPr>
        <w:t>50</w:t>
      </w:r>
      <w:r>
        <w:rPr>
          <w:sz w:val="24"/>
          <w:szCs w:val="24"/>
        </w:rPr>
        <w:fldChar w:fldCharType="end"/>
      </w:r>
      <w:r>
        <w:rPr>
          <w:rFonts w:eastAsiaTheme="minorEastAsia"/>
          <w:sz w:val="24"/>
          <w:szCs w:val="24"/>
        </w:rPr>
        <w:fldChar w:fldCharType="end"/>
      </w:r>
    </w:p>
    <w:p w14:paraId="64D968AC">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_Toc12037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Appendix D Calculation Method for Strength of Anchor Plates</w:t>
      </w:r>
      <w:r>
        <w:rPr>
          <w:sz w:val="24"/>
          <w:szCs w:val="24"/>
        </w:rPr>
        <w:tab/>
      </w:r>
      <w:r>
        <w:rPr>
          <w:sz w:val="24"/>
          <w:szCs w:val="24"/>
        </w:rPr>
        <w:fldChar w:fldCharType="begin"/>
      </w:r>
      <w:r>
        <w:rPr>
          <w:sz w:val="24"/>
          <w:szCs w:val="24"/>
        </w:rPr>
        <w:instrText xml:space="preserve"> PAGEREF _Toc12037 \h </w:instrText>
      </w:r>
      <w:r>
        <w:rPr>
          <w:sz w:val="24"/>
          <w:szCs w:val="24"/>
        </w:rPr>
        <w:fldChar w:fldCharType="separate"/>
      </w:r>
      <w:r>
        <w:rPr>
          <w:sz w:val="24"/>
          <w:szCs w:val="24"/>
        </w:rPr>
        <w:t>51</w:t>
      </w:r>
      <w:r>
        <w:rPr>
          <w:sz w:val="24"/>
          <w:szCs w:val="24"/>
        </w:rPr>
        <w:fldChar w:fldCharType="end"/>
      </w:r>
      <w:r>
        <w:rPr>
          <w:rFonts w:eastAsiaTheme="minorEastAsia"/>
          <w:sz w:val="24"/>
          <w:szCs w:val="24"/>
        </w:rPr>
        <w:fldChar w:fldCharType="end"/>
      </w:r>
    </w:p>
    <w:p w14:paraId="37994921">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_Toc1647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Appendix E Key Points for Sustained Load Cyclic Re-testing of Bearing Capacity of Existing Building Pile Foundations (Anchors)</w:t>
      </w:r>
      <w:r>
        <w:rPr>
          <w:sz w:val="24"/>
          <w:szCs w:val="24"/>
        </w:rPr>
        <w:tab/>
      </w:r>
      <w:r>
        <w:rPr>
          <w:sz w:val="24"/>
          <w:szCs w:val="24"/>
        </w:rPr>
        <w:fldChar w:fldCharType="begin"/>
      </w:r>
      <w:r>
        <w:rPr>
          <w:sz w:val="24"/>
          <w:szCs w:val="24"/>
        </w:rPr>
        <w:instrText xml:space="preserve"> PAGEREF _Toc1647 \h </w:instrText>
      </w:r>
      <w:r>
        <w:rPr>
          <w:sz w:val="24"/>
          <w:szCs w:val="24"/>
        </w:rPr>
        <w:fldChar w:fldCharType="separate"/>
      </w:r>
      <w:r>
        <w:rPr>
          <w:sz w:val="24"/>
          <w:szCs w:val="24"/>
        </w:rPr>
        <w:t>53</w:t>
      </w:r>
      <w:r>
        <w:rPr>
          <w:sz w:val="24"/>
          <w:szCs w:val="24"/>
        </w:rPr>
        <w:fldChar w:fldCharType="end"/>
      </w:r>
      <w:r>
        <w:rPr>
          <w:rFonts w:eastAsiaTheme="minorEastAsia"/>
          <w:sz w:val="24"/>
          <w:szCs w:val="24"/>
        </w:rPr>
        <w:fldChar w:fldCharType="end"/>
      </w:r>
    </w:p>
    <w:p w14:paraId="54C9C924">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_Toc2609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Explanation of Wording in This Standard</w:t>
      </w:r>
      <w:r>
        <w:rPr>
          <w:sz w:val="24"/>
          <w:szCs w:val="24"/>
        </w:rPr>
        <w:tab/>
      </w:r>
      <w:r>
        <w:rPr>
          <w:sz w:val="24"/>
          <w:szCs w:val="24"/>
        </w:rPr>
        <w:fldChar w:fldCharType="begin"/>
      </w:r>
      <w:r>
        <w:rPr>
          <w:sz w:val="24"/>
          <w:szCs w:val="24"/>
        </w:rPr>
        <w:instrText xml:space="preserve"> PAGEREF _Toc2609 \h </w:instrText>
      </w:r>
      <w:r>
        <w:rPr>
          <w:sz w:val="24"/>
          <w:szCs w:val="24"/>
        </w:rPr>
        <w:fldChar w:fldCharType="separate"/>
      </w:r>
      <w:r>
        <w:rPr>
          <w:sz w:val="24"/>
          <w:szCs w:val="24"/>
        </w:rPr>
        <w:t>54</w:t>
      </w:r>
      <w:r>
        <w:rPr>
          <w:sz w:val="24"/>
          <w:szCs w:val="24"/>
        </w:rPr>
        <w:fldChar w:fldCharType="end"/>
      </w:r>
      <w:r>
        <w:rPr>
          <w:rFonts w:eastAsiaTheme="minorEastAsia"/>
          <w:sz w:val="24"/>
          <w:szCs w:val="24"/>
        </w:rPr>
        <w:fldChar w:fldCharType="end"/>
      </w:r>
    </w:p>
    <w:p w14:paraId="51E4813A">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4"/>
          <w:szCs w:val="24"/>
        </w:rPr>
      </w:pPr>
      <w:r>
        <w:rPr>
          <w:rFonts w:eastAsiaTheme="minorEastAsia"/>
          <w:sz w:val="24"/>
          <w:szCs w:val="24"/>
        </w:rPr>
        <w:fldChar w:fldCharType="begin"/>
      </w:r>
      <w:r>
        <w:rPr>
          <w:rFonts w:eastAsiaTheme="minorEastAsia"/>
          <w:sz w:val="24"/>
          <w:szCs w:val="24"/>
        </w:rPr>
        <w:instrText xml:space="preserve"> HYPERLINK \l _Toc10076 </w:instrText>
      </w:r>
      <w:r>
        <w:rPr>
          <w:rFonts w:eastAsiaTheme="minorEastAsia"/>
          <w:sz w:val="24"/>
          <w:szCs w:val="24"/>
        </w:rPr>
        <w:fldChar w:fldCharType="separate"/>
      </w:r>
      <w:r>
        <w:rPr>
          <w:rFonts w:hint="default" w:ascii="Times New Roman" w:hAnsi="Times New Roman" w:eastAsia="Segoe UI" w:cs="Times New Roman"/>
          <w:i w:val="0"/>
          <w:iCs w:val="0"/>
          <w:caps w:val="0"/>
          <w:color w:val="0F1115"/>
          <w:spacing w:val="0"/>
          <w:sz w:val="24"/>
          <w:szCs w:val="24"/>
          <w:shd w:val="clear" w:fill="FFFFFF"/>
        </w:rPr>
        <w:t>List of Quoted Standards</w:t>
      </w:r>
      <w:r>
        <w:rPr>
          <w:sz w:val="24"/>
          <w:szCs w:val="24"/>
        </w:rPr>
        <w:tab/>
      </w:r>
      <w:r>
        <w:rPr>
          <w:sz w:val="24"/>
          <w:szCs w:val="24"/>
        </w:rPr>
        <w:fldChar w:fldCharType="begin"/>
      </w:r>
      <w:r>
        <w:rPr>
          <w:sz w:val="24"/>
          <w:szCs w:val="24"/>
        </w:rPr>
        <w:instrText xml:space="preserve"> PAGEREF _Toc10076 \h </w:instrText>
      </w:r>
      <w:r>
        <w:rPr>
          <w:sz w:val="24"/>
          <w:szCs w:val="24"/>
        </w:rPr>
        <w:fldChar w:fldCharType="separate"/>
      </w:r>
      <w:r>
        <w:rPr>
          <w:sz w:val="24"/>
          <w:szCs w:val="24"/>
        </w:rPr>
        <w:t>55</w:t>
      </w:r>
      <w:r>
        <w:rPr>
          <w:sz w:val="24"/>
          <w:szCs w:val="24"/>
        </w:rPr>
        <w:fldChar w:fldCharType="end"/>
      </w:r>
      <w:r>
        <w:rPr>
          <w:rFonts w:eastAsiaTheme="minorEastAsia"/>
          <w:sz w:val="24"/>
          <w:szCs w:val="24"/>
        </w:rPr>
        <w:fldChar w:fldCharType="end"/>
      </w:r>
    </w:p>
    <w:p w14:paraId="670639A8">
      <w:pPr>
        <w:keepNext w:val="0"/>
        <w:keepLines w:val="0"/>
        <w:pageBreakBefore w:val="0"/>
        <w:widowControl w:val="0"/>
        <w:kinsoku/>
        <w:wordWrap/>
        <w:overflowPunct/>
        <w:topLinePunct w:val="0"/>
        <w:autoSpaceDE/>
        <w:autoSpaceDN/>
        <w:bidi w:val="0"/>
        <w:adjustRightInd/>
        <w:snapToGrid/>
        <w:spacing w:line="360" w:lineRule="auto"/>
        <w:textAlignment w:val="auto"/>
        <w:rPr>
          <w:rStyle w:val="26"/>
        </w:rPr>
      </w:pPr>
      <w:r>
        <w:rPr>
          <w:rFonts w:eastAsiaTheme="minorEastAsia"/>
          <w:sz w:val="24"/>
          <w:szCs w:val="24"/>
        </w:rPr>
        <w:fldChar w:fldCharType="end"/>
      </w:r>
    </w:p>
    <w:p w14:paraId="007B3D60">
      <w:pPr>
        <w:spacing w:line="360" w:lineRule="auto"/>
        <w:rPr>
          <w:rStyle w:val="26"/>
          <w:rFonts w:hint="eastAsia"/>
          <w:lang w:val="en-US" w:eastAsia="zh-CN"/>
        </w:rPr>
      </w:pPr>
    </w:p>
    <w:p w14:paraId="5D3AFAE7">
      <w:pPr>
        <w:spacing w:line="360" w:lineRule="auto"/>
        <w:rPr>
          <w:rStyle w:val="26"/>
          <w:rFonts w:hint="default"/>
          <w:lang w:val="en-US" w:eastAsia="zh-CN"/>
        </w:rPr>
      </w:pPr>
    </w:p>
    <w:p w14:paraId="60B6494A">
      <w:pPr>
        <w:rPr>
          <w:rFonts w:eastAsiaTheme="minorEastAsia"/>
          <w:sz w:val="24"/>
          <w:szCs w:val="24"/>
        </w:rPr>
      </w:pPr>
    </w:p>
    <w:p w14:paraId="04F61D13">
      <w:pPr>
        <w:numPr>
          <w:ilvl w:val="0"/>
          <w:numId w:val="2"/>
        </w:numPr>
        <w:spacing w:line="360" w:lineRule="auto"/>
        <w:jc w:val="center"/>
        <w:outlineLvl w:val="0"/>
        <w:rPr>
          <w:rFonts w:eastAsiaTheme="minorEastAsia"/>
          <w:b/>
          <w:bCs/>
          <w:sz w:val="28"/>
          <w:szCs w:val="28"/>
        </w:rPr>
        <w:sectPr>
          <w:footerReference r:id="rId3" w:type="default"/>
          <w:pgSz w:w="11906" w:h="16838"/>
          <w:pgMar w:top="1440" w:right="1800" w:bottom="1440" w:left="1800" w:header="851" w:footer="992" w:gutter="0"/>
          <w:pgNumType w:start="1"/>
          <w:cols w:space="425" w:num="1"/>
          <w:docGrid w:type="lines" w:linePitch="312" w:charSpace="0"/>
        </w:sectPr>
      </w:pPr>
      <w:bookmarkStart w:id="12" w:name="_Toc15466"/>
      <w:bookmarkStart w:id="13" w:name="_Toc6079"/>
      <w:bookmarkStart w:id="14" w:name="_Toc2979"/>
      <w:bookmarkStart w:id="15" w:name="_Toc10826"/>
      <w:bookmarkStart w:id="16" w:name="_Toc18729"/>
      <w:bookmarkStart w:id="17" w:name="_Toc25310"/>
    </w:p>
    <w:p w14:paraId="7EA3BC27">
      <w:pPr>
        <w:numPr>
          <w:ilvl w:val="0"/>
          <w:numId w:val="2"/>
        </w:numPr>
        <w:spacing w:line="360" w:lineRule="auto"/>
        <w:jc w:val="center"/>
        <w:outlineLvl w:val="0"/>
        <w:rPr>
          <w:rFonts w:eastAsiaTheme="minorEastAsia"/>
          <w:b/>
          <w:bCs/>
          <w:sz w:val="28"/>
          <w:szCs w:val="28"/>
        </w:rPr>
      </w:pPr>
      <w:bookmarkStart w:id="18" w:name="_Toc9448"/>
      <w:r>
        <w:rPr>
          <w:rFonts w:eastAsiaTheme="minorEastAsia"/>
          <w:b/>
          <w:bCs/>
          <w:sz w:val="28"/>
          <w:szCs w:val="28"/>
        </w:rPr>
        <w:t>总</w:t>
      </w:r>
      <w:r>
        <w:rPr>
          <w:rFonts w:hint="eastAsia" w:eastAsiaTheme="minorEastAsia"/>
          <w:b/>
          <w:bCs/>
          <w:sz w:val="28"/>
          <w:szCs w:val="28"/>
        </w:rPr>
        <w:t xml:space="preserve">   </w:t>
      </w:r>
      <w:r>
        <w:rPr>
          <w:rFonts w:eastAsiaTheme="minorEastAsia"/>
          <w:b/>
          <w:bCs/>
          <w:sz w:val="28"/>
          <w:szCs w:val="28"/>
        </w:rPr>
        <w:t>则</w:t>
      </w:r>
      <w:bookmarkEnd w:id="12"/>
      <w:bookmarkEnd w:id="13"/>
      <w:bookmarkEnd w:id="14"/>
      <w:bookmarkEnd w:id="15"/>
      <w:bookmarkEnd w:id="16"/>
      <w:bookmarkEnd w:id="18"/>
    </w:p>
    <w:p w14:paraId="6A7631C8">
      <w:pPr>
        <w:numPr>
          <w:ilvl w:val="0"/>
          <w:numId w:val="3"/>
        </w:numPr>
        <w:spacing w:line="360" w:lineRule="auto"/>
        <w:ind w:firstLine="0"/>
        <w:rPr>
          <w:rFonts w:eastAsiaTheme="minorEastAsia"/>
          <w:sz w:val="24"/>
          <w:szCs w:val="24"/>
        </w:rPr>
      </w:pPr>
      <w:r>
        <w:rPr>
          <w:rFonts w:eastAsiaTheme="minorEastAsia"/>
          <w:sz w:val="24"/>
          <w:szCs w:val="24"/>
        </w:rPr>
        <w:t>为规范建筑工程抗浮设计工作，做到安全适用、技术先进、经济合理，保障质量，制定本标准。</w:t>
      </w:r>
    </w:p>
    <w:p w14:paraId="5360AB2F">
      <w:pPr>
        <w:numPr>
          <w:ilvl w:val="0"/>
          <w:numId w:val="3"/>
        </w:numPr>
        <w:spacing w:line="360" w:lineRule="auto"/>
        <w:ind w:firstLine="0"/>
        <w:rPr>
          <w:rFonts w:eastAsiaTheme="minorEastAsia"/>
          <w:sz w:val="24"/>
          <w:szCs w:val="24"/>
        </w:rPr>
      </w:pPr>
      <w:r>
        <w:rPr>
          <w:rFonts w:eastAsiaTheme="minorEastAsia"/>
          <w:sz w:val="24"/>
          <w:szCs w:val="24"/>
        </w:rPr>
        <w:t>本</w:t>
      </w:r>
      <w:r>
        <w:rPr>
          <w:rFonts w:hint="eastAsia" w:eastAsiaTheme="minorEastAsia"/>
          <w:sz w:val="24"/>
          <w:szCs w:val="24"/>
        </w:rPr>
        <w:t>标准</w:t>
      </w:r>
      <w:r>
        <w:rPr>
          <w:rFonts w:eastAsiaTheme="minorEastAsia"/>
          <w:sz w:val="24"/>
          <w:szCs w:val="24"/>
        </w:rPr>
        <w:t>适用于</w:t>
      </w:r>
      <w:r>
        <w:rPr>
          <w:rFonts w:hint="eastAsia" w:eastAsiaTheme="minorEastAsia"/>
          <w:sz w:val="24"/>
          <w:szCs w:val="24"/>
        </w:rPr>
        <w:t>北京市行政区域内的新建、扩建、改建建筑与既有</w:t>
      </w:r>
      <w:r>
        <w:rPr>
          <w:rFonts w:eastAsiaTheme="minorEastAsia"/>
          <w:sz w:val="24"/>
          <w:szCs w:val="24"/>
        </w:rPr>
        <w:t>建筑</w:t>
      </w:r>
      <w:r>
        <w:rPr>
          <w:rFonts w:hint="eastAsia" w:eastAsiaTheme="minorEastAsia"/>
          <w:sz w:val="24"/>
          <w:szCs w:val="24"/>
        </w:rPr>
        <w:t>的抗浮</w:t>
      </w:r>
      <w:r>
        <w:rPr>
          <w:rFonts w:eastAsiaTheme="minorEastAsia"/>
          <w:sz w:val="24"/>
          <w:szCs w:val="24"/>
        </w:rPr>
        <w:t>设计</w:t>
      </w:r>
      <w:r>
        <w:rPr>
          <w:rFonts w:hint="eastAsia" w:eastAsiaTheme="minorEastAsia"/>
          <w:sz w:val="24"/>
          <w:szCs w:val="24"/>
        </w:rPr>
        <w:t>、监测和维护。</w:t>
      </w:r>
    </w:p>
    <w:p w14:paraId="3E9408A2">
      <w:pPr>
        <w:numPr>
          <w:ilvl w:val="0"/>
          <w:numId w:val="3"/>
        </w:numPr>
        <w:spacing w:line="360" w:lineRule="auto"/>
        <w:ind w:firstLine="0"/>
        <w:rPr>
          <w:rFonts w:eastAsiaTheme="minorEastAsia"/>
          <w:sz w:val="24"/>
          <w:szCs w:val="24"/>
        </w:rPr>
      </w:pPr>
      <w:r>
        <w:rPr>
          <w:rFonts w:hint="eastAsia" w:eastAsiaTheme="minorEastAsia"/>
          <w:sz w:val="24"/>
          <w:szCs w:val="24"/>
        </w:rPr>
        <w:t>建筑工程</w:t>
      </w:r>
      <w:r>
        <w:rPr>
          <w:rFonts w:eastAsiaTheme="minorEastAsia"/>
          <w:sz w:val="24"/>
          <w:szCs w:val="24"/>
        </w:rPr>
        <w:t>抗浮</w:t>
      </w:r>
      <w:r>
        <w:rPr>
          <w:rFonts w:hint="eastAsia" w:eastAsiaTheme="minorEastAsia"/>
          <w:sz w:val="24"/>
          <w:szCs w:val="24"/>
        </w:rPr>
        <w:t>设计</w:t>
      </w:r>
      <w:r>
        <w:rPr>
          <w:rFonts w:eastAsiaTheme="minorEastAsia"/>
          <w:sz w:val="24"/>
          <w:szCs w:val="24"/>
        </w:rPr>
        <w:t>除应符合本</w:t>
      </w:r>
      <w:r>
        <w:rPr>
          <w:rFonts w:hint="eastAsia" w:eastAsiaTheme="minorEastAsia"/>
          <w:sz w:val="24"/>
          <w:szCs w:val="24"/>
        </w:rPr>
        <w:t>标准</w:t>
      </w:r>
      <w:r>
        <w:rPr>
          <w:rFonts w:eastAsiaTheme="minorEastAsia"/>
          <w:sz w:val="24"/>
          <w:szCs w:val="24"/>
        </w:rPr>
        <w:t>外，尚应符合国家</w:t>
      </w:r>
      <w:r>
        <w:rPr>
          <w:rFonts w:hint="eastAsia" w:eastAsiaTheme="minorEastAsia"/>
          <w:sz w:val="24"/>
          <w:szCs w:val="24"/>
        </w:rPr>
        <w:t>及北京市</w:t>
      </w:r>
      <w:r>
        <w:rPr>
          <w:rFonts w:eastAsiaTheme="minorEastAsia"/>
          <w:sz w:val="24"/>
          <w:szCs w:val="24"/>
        </w:rPr>
        <w:t>现行有关标准的规定。</w:t>
      </w:r>
    </w:p>
    <w:p w14:paraId="501C1188">
      <w:pPr>
        <w:spacing w:line="360" w:lineRule="auto"/>
        <w:rPr>
          <w:rFonts w:eastAsiaTheme="minorEastAsia"/>
          <w:sz w:val="24"/>
          <w:szCs w:val="24"/>
        </w:rPr>
      </w:pPr>
    </w:p>
    <w:p w14:paraId="5FD970B6">
      <w:pPr>
        <w:spacing w:line="360" w:lineRule="auto"/>
        <w:rPr>
          <w:rFonts w:eastAsiaTheme="minorEastAsia"/>
          <w:sz w:val="24"/>
          <w:szCs w:val="24"/>
        </w:rPr>
      </w:pPr>
    </w:p>
    <w:p w14:paraId="33C5DBF2">
      <w:pPr>
        <w:spacing w:line="360" w:lineRule="auto"/>
        <w:rPr>
          <w:rFonts w:eastAsiaTheme="minorEastAsia"/>
          <w:sz w:val="24"/>
          <w:szCs w:val="24"/>
        </w:rPr>
      </w:pPr>
    </w:p>
    <w:p w14:paraId="4893A6FC">
      <w:pPr>
        <w:spacing w:line="360" w:lineRule="auto"/>
        <w:rPr>
          <w:rFonts w:eastAsiaTheme="minorEastAsia"/>
          <w:sz w:val="24"/>
          <w:szCs w:val="24"/>
        </w:rPr>
      </w:pPr>
    </w:p>
    <w:p w14:paraId="6379E3BE">
      <w:pPr>
        <w:spacing w:line="360" w:lineRule="auto"/>
        <w:rPr>
          <w:rFonts w:eastAsiaTheme="minorEastAsia"/>
          <w:sz w:val="24"/>
          <w:szCs w:val="24"/>
        </w:rPr>
      </w:pPr>
    </w:p>
    <w:p w14:paraId="5622D3D4">
      <w:pPr>
        <w:spacing w:line="360" w:lineRule="auto"/>
        <w:rPr>
          <w:rFonts w:eastAsiaTheme="minorEastAsia"/>
          <w:sz w:val="24"/>
          <w:szCs w:val="24"/>
        </w:rPr>
      </w:pPr>
    </w:p>
    <w:p w14:paraId="112543C3">
      <w:pPr>
        <w:spacing w:line="360" w:lineRule="auto"/>
        <w:rPr>
          <w:rFonts w:eastAsiaTheme="minorEastAsia"/>
          <w:sz w:val="24"/>
          <w:szCs w:val="24"/>
        </w:rPr>
      </w:pPr>
    </w:p>
    <w:p w14:paraId="5DA537DA">
      <w:pPr>
        <w:spacing w:line="360" w:lineRule="auto"/>
        <w:rPr>
          <w:rFonts w:eastAsiaTheme="minorEastAsia"/>
          <w:sz w:val="24"/>
          <w:szCs w:val="24"/>
        </w:rPr>
      </w:pPr>
    </w:p>
    <w:p w14:paraId="265C7FE3">
      <w:pPr>
        <w:spacing w:line="360" w:lineRule="auto"/>
        <w:rPr>
          <w:rFonts w:eastAsiaTheme="minorEastAsia"/>
          <w:sz w:val="24"/>
          <w:szCs w:val="24"/>
        </w:rPr>
      </w:pPr>
    </w:p>
    <w:p w14:paraId="45A2EB33">
      <w:pPr>
        <w:rPr>
          <w:rFonts w:eastAsiaTheme="minorEastAsia"/>
          <w:sz w:val="24"/>
          <w:szCs w:val="24"/>
        </w:rPr>
      </w:pPr>
      <w:r>
        <w:rPr>
          <w:rFonts w:eastAsiaTheme="minorEastAsia"/>
          <w:sz w:val="24"/>
          <w:szCs w:val="24"/>
        </w:rPr>
        <w:br w:type="page"/>
      </w:r>
    </w:p>
    <w:p w14:paraId="1625E529">
      <w:pPr>
        <w:numPr>
          <w:ilvl w:val="0"/>
          <w:numId w:val="2"/>
        </w:numPr>
        <w:spacing w:line="360" w:lineRule="auto"/>
        <w:jc w:val="center"/>
        <w:outlineLvl w:val="0"/>
        <w:rPr>
          <w:rFonts w:eastAsiaTheme="minorEastAsia"/>
          <w:b/>
          <w:bCs/>
          <w:sz w:val="28"/>
          <w:szCs w:val="28"/>
        </w:rPr>
      </w:pPr>
      <w:bookmarkStart w:id="19" w:name="_Toc7617"/>
      <w:bookmarkStart w:id="20" w:name="_Toc14093"/>
      <w:bookmarkStart w:id="21" w:name="_Toc6490"/>
      <w:bookmarkStart w:id="22" w:name="_Toc27652"/>
      <w:bookmarkStart w:id="23" w:name="_Toc28484"/>
      <w:bookmarkStart w:id="24" w:name="_Toc32104"/>
      <w:r>
        <w:rPr>
          <w:rFonts w:eastAsiaTheme="minorEastAsia"/>
          <w:b/>
          <w:bCs/>
          <w:sz w:val="28"/>
          <w:szCs w:val="28"/>
        </w:rPr>
        <w:t>术语和符号</w:t>
      </w:r>
      <w:bookmarkEnd w:id="19"/>
      <w:bookmarkEnd w:id="20"/>
      <w:bookmarkEnd w:id="21"/>
      <w:bookmarkEnd w:id="22"/>
      <w:bookmarkEnd w:id="23"/>
      <w:bookmarkEnd w:id="24"/>
    </w:p>
    <w:p w14:paraId="46D5235F">
      <w:pPr>
        <w:numPr>
          <w:ilvl w:val="1"/>
          <w:numId w:val="2"/>
        </w:numPr>
        <w:spacing w:line="360" w:lineRule="auto"/>
        <w:jc w:val="center"/>
        <w:outlineLvl w:val="1"/>
        <w:rPr>
          <w:rFonts w:eastAsiaTheme="minorEastAsia"/>
          <w:b/>
          <w:bCs/>
          <w:sz w:val="24"/>
          <w:szCs w:val="24"/>
        </w:rPr>
      </w:pPr>
      <w:bookmarkStart w:id="25" w:name="_Toc4651"/>
      <w:bookmarkStart w:id="26" w:name="_Toc22132"/>
      <w:bookmarkStart w:id="27" w:name="_Toc7858"/>
      <w:bookmarkStart w:id="28" w:name="_Toc29395"/>
      <w:bookmarkStart w:id="29" w:name="_Toc29126"/>
      <w:bookmarkStart w:id="30" w:name="_Toc18617"/>
      <w:r>
        <w:rPr>
          <w:rFonts w:hint="eastAsia" w:eastAsiaTheme="minorEastAsia"/>
          <w:b/>
          <w:bCs/>
          <w:sz w:val="24"/>
          <w:szCs w:val="24"/>
        </w:rPr>
        <w:t>术   语</w:t>
      </w:r>
      <w:bookmarkEnd w:id="25"/>
      <w:bookmarkEnd w:id="26"/>
      <w:bookmarkEnd w:id="27"/>
      <w:bookmarkEnd w:id="28"/>
      <w:bookmarkEnd w:id="29"/>
      <w:bookmarkEnd w:id="30"/>
    </w:p>
    <w:p w14:paraId="79BAC64E">
      <w:pPr>
        <w:numPr>
          <w:ilvl w:val="2"/>
          <w:numId w:val="2"/>
        </w:numPr>
        <w:spacing w:line="360" w:lineRule="auto"/>
        <w:ind w:left="709"/>
        <w:rPr>
          <w:rFonts w:eastAsiaTheme="minorEastAsia"/>
          <w:sz w:val="24"/>
          <w:szCs w:val="24"/>
        </w:rPr>
      </w:pPr>
      <w:r>
        <w:rPr>
          <w:rFonts w:hint="eastAsia" w:eastAsiaTheme="minorEastAsia"/>
          <w:sz w:val="24"/>
          <w:szCs w:val="24"/>
        </w:rPr>
        <w:t>浮力 uplift pressure</w:t>
      </w:r>
    </w:p>
    <w:p w14:paraId="0D569387">
      <w:pPr>
        <w:spacing w:line="360" w:lineRule="auto"/>
        <w:ind w:firstLine="480" w:firstLineChars="200"/>
        <w:rPr>
          <w:rFonts w:eastAsiaTheme="minorEastAsia"/>
          <w:sz w:val="24"/>
          <w:szCs w:val="24"/>
        </w:rPr>
      </w:pPr>
      <w:r>
        <w:rPr>
          <w:rFonts w:hint="eastAsia" w:eastAsiaTheme="minorEastAsia"/>
          <w:sz w:val="24"/>
          <w:szCs w:val="24"/>
        </w:rPr>
        <w:t>静水压力、渗流水压力及承压水压力等对建筑结构产生的竖向作用力。</w:t>
      </w:r>
    </w:p>
    <w:p w14:paraId="4D6658D1">
      <w:pPr>
        <w:numPr>
          <w:ilvl w:val="2"/>
          <w:numId w:val="2"/>
        </w:numPr>
        <w:spacing w:line="360" w:lineRule="auto"/>
        <w:ind w:left="709"/>
        <w:rPr>
          <w:rFonts w:eastAsiaTheme="minorEastAsia"/>
          <w:sz w:val="24"/>
          <w:szCs w:val="24"/>
        </w:rPr>
      </w:pPr>
      <w:r>
        <w:rPr>
          <w:rFonts w:hint="eastAsia" w:eastAsiaTheme="minorEastAsia"/>
          <w:sz w:val="24"/>
          <w:szCs w:val="24"/>
        </w:rPr>
        <w:t>抗浮措施 measures against uplift</w:t>
      </w:r>
    </w:p>
    <w:p w14:paraId="6A6A1B4C">
      <w:pPr>
        <w:spacing w:line="360" w:lineRule="auto"/>
        <w:ind w:firstLine="480" w:firstLineChars="200"/>
        <w:rPr>
          <w:rFonts w:eastAsiaTheme="minorEastAsia"/>
          <w:sz w:val="24"/>
          <w:szCs w:val="24"/>
        </w:rPr>
      </w:pPr>
      <w:r>
        <w:rPr>
          <w:rFonts w:hint="eastAsia" w:eastAsiaTheme="minorEastAsia"/>
          <w:sz w:val="24"/>
          <w:szCs w:val="24"/>
        </w:rPr>
        <w:t>为确保建筑结构抗浮稳定所采取的工程技术方法。</w:t>
      </w:r>
    </w:p>
    <w:p w14:paraId="03A6167E">
      <w:pPr>
        <w:numPr>
          <w:ilvl w:val="2"/>
          <w:numId w:val="2"/>
        </w:numPr>
        <w:spacing w:line="360" w:lineRule="auto"/>
        <w:ind w:left="709"/>
        <w:rPr>
          <w:rFonts w:eastAsiaTheme="minorEastAsia"/>
          <w:sz w:val="24"/>
          <w:szCs w:val="24"/>
        </w:rPr>
      </w:pPr>
      <w:r>
        <w:rPr>
          <w:rFonts w:hint="eastAsia" w:eastAsiaTheme="minorEastAsia"/>
          <w:sz w:val="24"/>
          <w:szCs w:val="24"/>
        </w:rPr>
        <w:t>抗浮构件 member against uplift</w:t>
      </w:r>
    </w:p>
    <w:p w14:paraId="15B9981F">
      <w:pPr>
        <w:spacing w:line="360" w:lineRule="auto"/>
        <w:ind w:firstLine="480" w:firstLineChars="200"/>
        <w:rPr>
          <w:rFonts w:eastAsiaTheme="minorEastAsia"/>
          <w:sz w:val="24"/>
          <w:szCs w:val="24"/>
        </w:rPr>
      </w:pPr>
      <w:r>
        <w:rPr>
          <w:rFonts w:hint="eastAsia" w:eastAsiaTheme="minorEastAsia"/>
          <w:sz w:val="24"/>
          <w:szCs w:val="24"/>
        </w:rPr>
        <w:t>为满足地下结构抗浮稳定要求而附加设置的抗浮桩、抗浮锚杆以及能提供抗浮力的地下连续墙或围护桩等支护结构。</w:t>
      </w:r>
    </w:p>
    <w:p w14:paraId="0C0DA785">
      <w:pPr>
        <w:numPr>
          <w:ilvl w:val="2"/>
          <w:numId w:val="2"/>
        </w:numPr>
        <w:spacing w:line="360" w:lineRule="auto"/>
        <w:ind w:left="709"/>
        <w:rPr>
          <w:rFonts w:eastAsiaTheme="minorEastAsia"/>
          <w:sz w:val="24"/>
          <w:szCs w:val="24"/>
        </w:rPr>
      </w:pPr>
      <w:r>
        <w:rPr>
          <w:rFonts w:hint="eastAsia" w:eastAsiaTheme="minorEastAsia"/>
          <w:sz w:val="24"/>
          <w:szCs w:val="24"/>
        </w:rPr>
        <w:t>抗水板 s</w:t>
      </w:r>
      <w:r>
        <w:rPr>
          <w:rFonts w:eastAsiaTheme="minorEastAsia"/>
          <w:sz w:val="24"/>
          <w:szCs w:val="24"/>
        </w:rPr>
        <w:t>lab</w:t>
      </w:r>
      <w:r>
        <w:rPr>
          <w:rFonts w:hint="eastAsia" w:eastAsiaTheme="minorEastAsia"/>
          <w:sz w:val="24"/>
          <w:szCs w:val="24"/>
        </w:rPr>
        <w:t xml:space="preserve"> against uplift</w:t>
      </w:r>
    </w:p>
    <w:p w14:paraId="02E04D05">
      <w:pPr>
        <w:spacing w:line="360" w:lineRule="auto"/>
        <w:ind w:firstLine="480" w:firstLineChars="200"/>
      </w:pPr>
      <w:r>
        <w:rPr>
          <w:rFonts w:hint="eastAsia" w:eastAsiaTheme="minorEastAsia"/>
          <w:sz w:val="24"/>
          <w:szCs w:val="24"/>
        </w:rPr>
        <w:t>为保证建筑工程使用功能而设置的具有抗浮传力、防水防渗功能的结构板。</w:t>
      </w:r>
    </w:p>
    <w:p w14:paraId="71F77907">
      <w:pPr>
        <w:numPr>
          <w:ilvl w:val="2"/>
          <w:numId w:val="2"/>
        </w:numPr>
        <w:spacing w:line="360" w:lineRule="auto"/>
        <w:ind w:left="709"/>
        <w:rPr>
          <w:rFonts w:eastAsiaTheme="minorEastAsia"/>
          <w:sz w:val="24"/>
          <w:szCs w:val="24"/>
        </w:rPr>
      </w:pPr>
      <w:r>
        <w:rPr>
          <w:rFonts w:hint="eastAsia" w:eastAsiaTheme="minorEastAsia"/>
          <w:sz w:val="24"/>
          <w:szCs w:val="24"/>
        </w:rPr>
        <w:t>抗浮桩 pile against uplift</w:t>
      </w:r>
    </w:p>
    <w:p w14:paraId="3DEAF4EF">
      <w:pPr>
        <w:spacing w:line="360" w:lineRule="auto"/>
        <w:ind w:firstLine="480" w:firstLineChars="200"/>
        <w:rPr>
          <w:rFonts w:eastAsiaTheme="minorEastAsia"/>
          <w:sz w:val="24"/>
          <w:szCs w:val="24"/>
        </w:rPr>
      </w:pPr>
      <w:r>
        <w:rPr>
          <w:rFonts w:hint="eastAsia" w:eastAsiaTheme="minorEastAsia"/>
          <w:sz w:val="24"/>
          <w:szCs w:val="24"/>
        </w:rPr>
        <w:t>设置在地基中与结构底板共同承担地下水浮力或上部结构荷载的桩。</w:t>
      </w:r>
    </w:p>
    <w:p w14:paraId="79C35B3F">
      <w:pPr>
        <w:numPr>
          <w:ilvl w:val="2"/>
          <w:numId w:val="2"/>
        </w:numPr>
        <w:spacing w:line="360" w:lineRule="auto"/>
        <w:ind w:left="709"/>
        <w:rPr>
          <w:rFonts w:eastAsiaTheme="minorEastAsia"/>
          <w:sz w:val="24"/>
          <w:szCs w:val="24"/>
        </w:rPr>
      </w:pPr>
      <w:r>
        <w:rPr>
          <w:rFonts w:hint="eastAsia" w:eastAsiaTheme="minorEastAsia"/>
          <w:sz w:val="24"/>
          <w:szCs w:val="24"/>
        </w:rPr>
        <w:t>抗浮锚杆 anchor against uplift</w:t>
      </w:r>
    </w:p>
    <w:p w14:paraId="56908BB4">
      <w:pPr>
        <w:spacing w:line="360" w:lineRule="auto"/>
        <w:ind w:firstLine="480" w:firstLineChars="200"/>
        <w:rPr>
          <w:rFonts w:eastAsiaTheme="minorEastAsia"/>
          <w:sz w:val="24"/>
          <w:szCs w:val="24"/>
        </w:rPr>
      </w:pPr>
      <w:r>
        <w:rPr>
          <w:rFonts w:hint="eastAsia" w:eastAsiaTheme="minorEastAsia"/>
          <w:sz w:val="24"/>
          <w:szCs w:val="24"/>
        </w:rPr>
        <w:t>设置在地基中与结构底板共同承担地下水浮力的锚杆。</w:t>
      </w:r>
    </w:p>
    <w:p w14:paraId="024C5023">
      <w:pPr>
        <w:numPr>
          <w:ilvl w:val="2"/>
          <w:numId w:val="2"/>
        </w:numPr>
        <w:spacing w:line="360" w:lineRule="auto"/>
        <w:ind w:left="709"/>
        <w:rPr>
          <w:rFonts w:eastAsiaTheme="minorEastAsia"/>
          <w:sz w:val="24"/>
          <w:szCs w:val="24"/>
        </w:rPr>
      </w:pPr>
      <w:r>
        <w:rPr>
          <w:rFonts w:hint="eastAsia" w:eastAsiaTheme="minorEastAsia"/>
          <w:sz w:val="24"/>
          <w:szCs w:val="24"/>
        </w:rPr>
        <w:t>复合桩 composite piles</w:t>
      </w:r>
    </w:p>
    <w:p w14:paraId="44AAF6BA">
      <w:pPr>
        <w:spacing w:line="360" w:lineRule="auto"/>
        <w:ind w:firstLine="480" w:firstLineChars="200"/>
        <w:rPr>
          <w:rFonts w:eastAsiaTheme="minorEastAsia"/>
          <w:sz w:val="24"/>
          <w:szCs w:val="24"/>
        </w:rPr>
      </w:pPr>
      <w:r>
        <w:rPr>
          <w:rFonts w:hint="eastAsia" w:ascii="宋体" w:hAnsi="宋体" w:eastAsia="宋体" w:cs="宋体"/>
          <w:sz w:val="24"/>
          <w:szCs w:val="24"/>
        </w:rPr>
        <w:t>采用水平或者竖向刀具搅拌土体，并注入固化浆液与土体搅拌形成水泥土外桩，在浆液初凝前植入预制芯桩，</w:t>
      </w:r>
      <w:r>
        <w:rPr>
          <w:rFonts w:ascii="宋体" w:hAnsi="宋体" w:eastAsia="宋体" w:cs="宋体"/>
          <w:sz w:val="24"/>
          <w:szCs w:val="24"/>
        </w:rPr>
        <w:t>形成</w:t>
      </w:r>
      <w:r>
        <w:rPr>
          <w:rFonts w:hint="eastAsia" w:ascii="宋体" w:hAnsi="宋体" w:eastAsia="宋体" w:cs="宋体"/>
          <w:sz w:val="24"/>
          <w:szCs w:val="24"/>
        </w:rPr>
        <w:t>加固土体与预制芯桩共同受力</w:t>
      </w:r>
      <w:r>
        <w:rPr>
          <w:rFonts w:ascii="宋体" w:hAnsi="宋体" w:eastAsia="宋体" w:cs="宋体"/>
          <w:sz w:val="24"/>
          <w:szCs w:val="24"/>
        </w:rPr>
        <w:t>的桩。</w:t>
      </w:r>
    </w:p>
    <w:p w14:paraId="6DC81742">
      <w:pPr>
        <w:numPr>
          <w:ilvl w:val="2"/>
          <w:numId w:val="2"/>
        </w:numPr>
        <w:spacing w:line="360" w:lineRule="auto"/>
        <w:ind w:left="709"/>
        <w:rPr>
          <w:rFonts w:eastAsiaTheme="minorEastAsia"/>
          <w:sz w:val="24"/>
          <w:szCs w:val="24"/>
        </w:rPr>
      </w:pPr>
      <w:r>
        <w:rPr>
          <w:rFonts w:hint="eastAsia" w:eastAsiaTheme="minorEastAsia"/>
          <w:sz w:val="24"/>
          <w:szCs w:val="24"/>
        </w:rPr>
        <w:t>限压措施 measures to limit uplift pressure</w:t>
      </w:r>
    </w:p>
    <w:p w14:paraId="30314014">
      <w:pPr>
        <w:spacing w:line="360" w:lineRule="auto"/>
        <w:ind w:firstLine="480" w:firstLineChars="200"/>
        <w:rPr>
          <w:rFonts w:eastAsiaTheme="minorEastAsia"/>
          <w:sz w:val="24"/>
          <w:szCs w:val="24"/>
        </w:rPr>
      </w:pPr>
      <w:r>
        <w:rPr>
          <w:rFonts w:hint="eastAsia" w:eastAsiaTheme="minorEastAsia"/>
          <w:sz w:val="24"/>
          <w:szCs w:val="24"/>
        </w:rPr>
        <w:t>为满足地下结构抗浮稳定和抗浮承载力要求而设置的泄压井、排水盲沟、排水廊道等降低水压力的措施。</w:t>
      </w:r>
    </w:p>
    <w:p w14:paraId="6C7417E7">
      <w:pPr>
        <w:numPr>
          <w:ilvl w:val="2"/>
          <w:numId w:val="2"/>
        </w:numPr>
        <w:spacing w:line="360" w:lineRule="auto"/>
        <w:ind w:left="709"/>
        <w:rPr>
          <w:rFonts w:eastAsiaTheme="minorEastAsia"/>
          <w:sz w:val="24"/>
          <w:szCs w:val="24"/>
        </w:rPr>
      </w:pPr>
      <w:r>
        <w:rPr>
          <w:rFonts w:hint="eastAsia" w:eastAsiaTheme="minorEastAsia"/>
          <w:sz w:val="24"/>
          <w:szCs w:val="24"/>
        </w:rPr>
        <w:t>抗浮加固strengthening against uplift</w:t>
      </w:r>
    </w:p>
    <w:p w14:paraId="3CC5F48D">
      <w:pPr>
        <w:spacing w:line="360" w:lineRule="auto"/>
        <w:ind w:firstLine="480" w:firstLineChars="200"/>
        <w:rPr>
          <w:rFonts w:eastAsiaTheme="minorEastAsia"/>
          <w:sz w:val="24"/>
          <w:szCs w:val="24"/>
        </w:rPr>
      </w:pPr>
      <w:r>
        <w:rPr>
          <w:rFonts w:hint="eastAsia" w:eastAsiaTheme="minorEastAsia"/>
          <w:sz w:val="24"/>
          <w:szCs w:val="24"/>
        </w:rPr>
        <w:t>为满足既有地下结构的抗浮稳定性及抗浮承载力、控制设防水位工况下的结构与构件变形要求而采取的系统化专项工程技术措施及相关活动的统称。</w:t>
      </w:r>
    </w:p>
    <w:p w14:paraId="114393FA">
      <w:pPr>
        <w:numPr>
          <w:ilvl w:val="1"/>
          <w:numId w:val="2"/>
        </w:numPr>
        <w:spacing w:line="360" w:lineRule="auto"/>
        <w:jc w:val="center"/>
        <w:outlineLvl w:val="1"/>
        <w:rPr>
          <w:rFonts w:eastAsiaTheme="minorEastAsia"/>
          <w:b/>
          <w:bCs/>
          <w:sz w:val="24"/>
          <w:szCs w:val="24"/>
        </w:rPr>
      </w:pPr>
      <w:bookmarkStart w:id="31" w:name="_Toc8366"/>
      <w:bookmarkStart w:id="32" w:name="_Toc15936"/>
      <w:bookmarkStart w:id="33" w:name="_Toc5721"/>
      <w:bookmarkStart w:id="34" w:name="_Toc16011"/>
      <w:bookmarkStart w:id="35" w:name="_Toc16601"/>
      <w:bookmarkStart w:id="36" w:name="_Toc16841"/>
      <w:r>
        <w:rPr>
          <w:rFonts w:hint="eastAsia" w:eastAsiaTheme="minorEastAsia"/>
          <w:b/>
          <w:bCs/>
          <w:sz w:val="24"/>
          <w:szCs w:val="24"/>
        </w:rPr>
        <w:t>符   号</w:t>
      </w:r>
      <w:bookmarkEnd w:id="31"/>
      <w:bookmarkEnd w:id="32"/>
      <w:bookmarkEnd w:id="33"/>
      <w:bookmarkEnd w:id="34"/>
      <w:bookmarkEnd w:id="35"/>
      <w:bookmarkEnd w:id="36"/>
    </w:p>
    <w:p w14:paraId="68908D9F">
      <w:pPr>
        <w:numPr>
          <w:ilvl w:val="2"/>
          <w:numId w:val="2"/>
        </w:numPr>
        <w:spacing w:line="360" w:lineRule="auto"/>
        <w:ind w:left="709"/>
        <w:jc w:val="left"/>
        <w:rPr>
          <w:rFonts w:eastAsiaTheme="minorEastAsia"/>
          <w:sz w:val="24"/>
          <w:szCs w:val="24"/>
        </w:rPr>
      </w:pPr>
      <w:r>
        <w:rPr>
          <w:rFonts w:hint="eastAsia" w:eastAsiaTheme="minorEastAsia"/>
          <w:sz w:val="24"/>
          <w:szCs w:val="24"/>
        </w:rPr>
        <w:t>作用和作用效应</w:t>
      </w:r>
    </w:p>
    <w:p w14:paraId="0C96089F">
      <w:pPr>
        <w:spacing w:line="360" w:lineRule="auto"/>
        <w:ind w:firstLine="638" w:firstLineChars="266"/>
        <w:rPr>
          <w:rFonts w:eastAsia="宋体"/>
          <w:sz w:val="24"/>
        </w:rPr>
      </w:pPr>
      <w:r>
        <w:rPr>
          <w:rFonts w:eastAsia="宋体"/>
          <w:i/>
          <w:iCs/>
          <w:sz w:val="24"/>
        </w:rPr>
        <w:t>N</w:t>
      </w:r>
      <w:r>
        <w:rPr>
          <w:rFonts w:eastAsia="宋体"/>
          <w:sz w:val="24"/>
          <w:vertAlign w:val="subscript"/>
        </w:rPr>
        <w:t>max</w:t>
      </w:r>
      <w:r>
        <w:rPr>
          <w:rFonts w:eastAsia="宋体"/>
          <w:sz w:val="24"/>
        </w:rPr>
        <w:t>——</w:t>
      </w:r>
      <w:r>
        <w:rPr>
          <w:rFonts w:hint="eastAsia" w:eastAsia="宋体"/>
          <w:sz w:val="24"/>
        </w:rPr>
        <w:t>荷载效应基本组合下最大的桩顶轴向拉力设计值</w:t>
      </w:r>
    </w:p>
    <w:p w14:paraId="72D578E7">
      <w:pPr>
        <w:spacing w:line="360" w:lineRule="auto"/>
        <w:ind w:firstLine="638" w:firstLineChars="266"/>
        <w:rPr>
          <w:rFonts w:eastAsia="宋体"/>
          <w:sz w:val="24"/>
          <w:szCs w:val="32"/>
        </w:rPr>
      </w:pPr>
      <w:r>
        <w:rPr>
          <w:rFonts w:hint="eastAsia" w:eastAsia="宋体"/>
          <w:i/>
          <w:iCs/>
          <w:sz w:val="24"/>
          <w:szCs w:val="32"/>
        </w:rPr>
        <w:t>N</w:t>
      </w:r>
      <w:r>
        <w:rPr>
          <w:rFonts w:eastAsia="宋体"/>
          <w:sz w:val="24"/>
          <w:szCs w:val="32"/>
          <w:vertAlign w:val="subscript"/>
        </w:rPr>
        <w:t>t</w:t>
      </w:r>
      <w:r>
        <w:rPr>
          <w:rFonts w:hint="eastAsia" w:eastAsia="宋体"/>
          <w:sz w:val="24"/>
          <w:szCs w:val="32"/>
          <w:vertAlign w:val="subscript"/>
        </w:rPr>
        <w:t>k</w:t>
      </w:r>
      <w:r>
        <w:rPr>
          <w:rFonts w:eastAsia="宋体"/>
          <w:sz w:val="24"/>
          <w:szCs w:val="32"/>
        </w:rPr>
        <w:t>——</w:t>
      </w:r>
      <w:r>
        <w:rPr>
          <w:rFonts w:hint="eastAsia" w:eastAsia="宋体"/>
          <w:sz w:val="24"/>
          <w:szCs w:val="32"/>
        </w:rPr>
        <w:t>抗浮锚杆所受轴向拉力标准值</w:t>
      </w:r>
    </w:p>
    <w:p w14:paraId="028C1827">
      <w:pPr>
        <w:spacing w:line="360" w:lineRule="auto"/>
        <w:ind w:firstLine="638" w:firstLineChars="266"/>
        <w:rPr>
          <w:rFonts w:eastAsiaTheme="minorEastAsia"/>
          <w:sz w:val="24"/>
          <w:szCs w:val="24"/>
        </w:rPr>
      </w:pPr>
      <w:r>
        <w:rPr>
          <w:rFonts w:eastAsiaTheme="minorEastAsia"/>
          <w:i/>
          <w:iCs/>
          <w:sz w:val="24"/>
          <w:szCs w:val="24"/>
        </w:rPr>
        <w:t>N</w:t>
      </w:r>
      <w:r>
        <w:rPr>
          <w:rFonts w:eastAsiaTheme="minorEastAsia"/>
          <w:sz w:val="24"/>
          <w:szCs w:val="24"/>
          <w:vertAlign w:val="subscript"/>
        </w:rPr>
        <w:t>wk</w:t>
      </w:r>
      <w:r>
        <w:rPr>
          <w:rFonts w:eastAsiaTheme="minorEastAsia"/>
          <w:sz w:val="24"/>
          <w:szCs w:val="24"/>
        </w:rPr>
        <w:t>——</w:t>
      </w:r>
      <w:r>
        <w:rPr>
          <w:rFonts w:hint="eastAsia" w:eastAsiaTheme="minorEastAsia"/>
          <w:sz w:val="24"/>
          <w:szCs w:val="24"/>
        </w:rPr>
        <w:t>浮力标准值</w:t>
      </w:r>
    </w:p>
    <w:p w14:paraId="538748BD">
      <w:pPr>
        <w:spacing w:line="360" w:lineRule="auto"/>
        <w:ind w:firstLine="638" w:firstLineChars="266"/>
        <w:rPr>
          <w:rFonts w:eastAsiaTheme="minorEastAsia"/>
          <w:sz w:val="24"/>
          <w:szCs w:val="24"/>
        </w:rPr>
      </w:pPr>
      <w:r>
        <w:rPr>
          <w:rFonts w:hint="eastAsia" w:eastAsiaTheme="minorEastAsia"/>
          <w:i/>
          <w:iCs/>
          <w:sz w:val="24"/>
          <w:szCs w:val="24"/>
        </w:rPr>
        <w:t>S</w:t>
      </w:r>
      <w:r>
        <w:rPr>
          <w:rFonts w:hint="eastAsia" w:eastAsiaTheme="minorEastAsia"/>
          <w:sz w:val="24"/>
          <w:szCs w:val="24"/>
          <w:vertAlign w:val="subscript"/>
        </w:rPr>
        <w:t>d</w:t>
      </w:r>
      <w:r>
        <w:rPr>
          <w:rFonts w:eastAsiaTheme="minorEastAsia"/>
          <w:sz w:val="24"/>
          <w:szCs w:val="24"/>
        </w:rPr>
        <w:t>——荷载基本组合的效应设计值</w:t>
      </w:r>
    </w:p>
    <w:p w14:paraId="07FE59D3">
      <w:pPr>
        <w:spacing w:line="360" w:lineRule="auto"/>
        <w:ind w:firstLine="638" w:firstLineChars="266"/>
        <w:rPr>
          <w:rFonts w:eastAsiaTheme="minorEastAsia"/>
          <w:sz w:val="24"/>
          <w:szCs w:val="24"/>
        </w:rPr>
      </w:pPr>
      <w:r>
        <w:rPr>
          <w:rFonts w:eastAsiaTheme="minorEastAsia"/>
          <w:i/>
          <w:iCs/>
          <w:sz w:val="24"/>
          <w:szCs w:val="24"/>
        </w:rPr>
        <w:t>γ</w:t>
      </w:r>
      <w:r>
        <w:rPr>
          <w:rFonts w:hint="eastAsia" w:eastAsiaTheme="minorEastAsia"/>
          <w:i/>
          <w:iCs/>
          <w:sz w:val="24"/>
          <w:szCs w:val="24"/>
          <w:vertAlign w:val="subscript"/>
        </w:rPr>
        <w:t>i</w:t>
      </w:r>
      <w:r>
        <w:rPr>
          <w:rFonts w:eastAsiaTheme="minorEastAsia"/>
          <w:sz w:val="24"/>
          <w:szCs w:val="24"/>
        </w:rPr>
        <w:t>——</w:t>
      </w:r>
      <w:r>
        <w:rPr>
          <w:rFonts w:hint="eastAsia" w:eastAsiaTheme="minorEastAsia"/>
          <w:sz w:val="24"/>
          <w:szCs w:val="24"/>
        </w:rPr>
        <w:t>结构自重及可用于抗浮的压重的组合系数</w:t>
      </w:r>
    </w:p>
    <w:p w14:paraId="43C8B1FE">
      <w:pPr>
        <w:spacing w:line="360" w:lineRule="auto"/>
        <w:ind w:firstLine="638" w:firstLineChars="266"/>
        <w:rPr>
          <w:rFonts w:eastAsiaTheme="minorEastAsia"/>
          <w:sz w:val="24"/>
          <w:szCs w:val="24"/>
        </w:rPr>
      </w:pPr>
      <m:oMath>
        <m:sSub>
          <m:sSubPr>
            <m:ctrlPr>
              <w:rPr>
                <w:rFonts w:ascii="Cambria Math" w:hAnsi="Cambria Math" w:eastAsiaTheme="minorEastAsia"/>
                <w:sz w:val="24"/>
                <w:szCs w:val="24"/>
              </w:rPr>
            </m:ctrlPr>
          </m:sSubPr>
          <m:e>
            <m:r>
              <m:rPr/>
              <w:rPr>
                <w:rFonts w:ascii="Cambria Math" w:eastAsiaTheme="minorEastAsia"/>
                <w:sz w:val="24"/>
                <w:szCs w:val="24"/>
              </w:rPr>
              <m:t>γ</m:t>
            </m:r>
            <m:ctrlPr>
              <w:rPr>
                <w:rFonts w:ascii="Cambria Math" w:hAnsi="Cambria Math" w:eastAsiaTheme="minorEastAsia"/>
                <w:sz w:val="24"/>
                <w:szCs w:val="24"/>
              </w:rPr>
            </m:ctrlPr>
          </m:e>
          <m:sub>
            <m:r>
              <m:rPr/>
              <w:rPr>
                <w:rFonts w:ascii="Cambria Math" w:eastAsiaTheme="minorEastAsia"/>
                <w:sz w:val="24"/>
                <w:szCs w:val="24"/>
              </w:rPr>
              <m:t>Q</m:t>
            </m:r>
            <m:ctrlPr>
              <w:rPr>
                <w:rFonts w:ascii="Cambria Math" w:hAnsi="Cambria Math" w:eastAsiaTheme="minorEastAsia"/>
                <w:sz w:val="24"/>
                <w:szCs w:val="24"/>
              </w:rPr>
            </m:ctrlPr>
          </m:sub>
        </m:sSub>
      </m:oMath>
      <w:r>
        <w:rPr>
          <w:rFonts w:eastAsiaTheme="minorEastAsia"/>
          <w:sz w:val="24"/>
          <w:szCs w:val="24"/>
        </w:rPr>
        <w:t>——</w:t>
      </w:r>
      <w:r>
        <w:rPr>
          <w:rFonts w:hint="eastAsia" w:eastAsiaTheme="minorEastAsia"/>
          <w:sz w:val="24"/>
          <w:szCs w:val="24"/>
        </w:rPr>
        <w:t>浮力</w:t>
      </w:r>
      <w:r>
        <w:rPr>
          <w:rFonts w:eastAsiaTheme="minorEastAsia"/>
          <w:sz w:val="24"/>
          <w:szCs w:val="24"/>
        </w:rPr>
        <w:t>的分项系数</w:t>
      </w:r>
    </w:p>
    <w:p w14:paraId="05613BE9">
      <w:pPr>
        <w:numPr>
          <w:ilvl w:val="2"/>
          <w:numId w:val="2"/>
        </w:numPr>
        <w:spacing w:line="360" w:lineRule="auto"/>
        <w:ind w:left="709"/>
        <w:jc w:val="left"/>
        <w:rPr>
          <w:rFonts w:eastAsiaTheme="minorEastAsia"/>
          <w:sz w:val="24"/>
          <w:szCs w:val="24"/>
        </w:rPr>
      </w:pPr>
      <w:r>
        <w:rPr>
          <w:rFonts w:hint="eastAsia" w:eastAsiaTheme="minorEastAsia"/>
          <w:sz w:val="24"/>
          <w:szCs w:val="24"/>
        </w:rPr>
        <w:t>抗力和材料性能</w:t>
      </w:r>
    </w:p>
    <w:p w14:paraId="7E441CED">
      <w:pPr>
        <w:spacing w:line="360" w:lineRule="auto"/>
        <w:ind w:firstLine="638" w:firstLineChars="266"/>
        <w:jc w:val="left"/>
        <w:rPr>
          <w:rFonts w:eastAsia="宋体"/>
          <w:sz w:val="24"/>
          <w:szCs w:val="32"/>
        </w:rPr>
      </w:pPr>
      <w:r>
        <w:rPr>
          <w:rFonts w:eastAsia="宋体"/>
          <w:i/>
          <w:iCs/>
          <w:sz w:val="24"/>
          <w:szCs w:val="32"/>
        </w:rPr>
        <w:t>f</w:t>
      </w:r>
      <w:r>
        <w:rPr>
          <w:rFonts w:eastAsia="宋体"/>
          <w:sz w:val="24"/>
          <w:szCs w:val="32"/>
          <w:vertAlign w:val="subscript"/>
        </w:rPr>
        <w:t>ms</w:t>
      </w:r>
      <w:r>
        <w:rPr>
          <w:rFonts w:eastAsia="宋体"/>
          <w:sz w:val="24"/>
          <w:szCs w:val="32"/>
        </w:rPr>
        <w:t>——</w:t>
      </w:r>
      <w:r>
        <w:rPr>
          <w:rFonts w:hint="eastAsia" w:eastAsia="宋体"/>
          <w:sz w:val="24"/>
          <w:szCs w:val="32"/>
        </w:rPr>
        <w:t>锚固段浆体与筋体间极限粘结强度标准值</w:t>
      </w:r>
    </w:p>
    <w:p w14:paraId="1616B4A6">
      <w:pPr>
        <w:spacing w:line="360" w:lineRule="auto"/>
        <w:ind w:firstLine="638" w:firstLineChars="266"/>
        <w:rPr>
          <w:rFonts w:eastAsia="宋体"/>
          <w:sz w:val="24"/>
          <w:szCs w:val="24"/>
        </w:rPr>
      </w:pPr>
      <w:r>
        <w:rPr>
          <w:rFonts w:eastAsia="宋体"/>
          <w:i/>
          <w:iCs/>
          <w:sz w:val="24"/>
          <w:szCs w:val="32"/>
        </w:rPr>
        <w:t>f</w:t>
      </w:r>
      <w:r>
        <w:rPr>
          <w:rFonts w:eastAsia="宋体"/>
          <w:sz w:val="24"/>
          <w:szCs w:val="32"/>
          <w:vertAlign w:val="subscript"/>
        </w:rPr>
        <w:t>rbk</w:t>
      </w:r>
      <w:r>
        <w:rPr>
          <w:rFonts w:eastAsia="宋体"/>
          <w:sz w:val="24"/>
          <w:szCs w:val="32"/>
        </w:rPr>
        <w:t>——锚固体与岩层间极限粘结强度标准值</w:t>
      </w:r>
    </w:p>
    <w:p w14:paraId="001D0439">
      <w:pPr>
        <w:spacing w:line="360" w:lineRule="auto"/>
        <w:ind w:firstLine="638" w:firstLineChars="266"/>
        <w:rPr>
          <w:rFonts w:eastAsiaTheme="minorEastAsia"/>
          <w:sz w:val="24"/>
          <w:szCs w:val="24"/>
        </w:rPr>
      </w:pPr>
      <w:r>
        <w:rPr>
          <w:rFonts w:eastAsia="宋体"/>
          <w:i/>
          <w:iCs/>
          <w:sz w:val="24"/>
          <w:szCs w:val="32"/>
        </w:rPr>
        <w:t>f</w:t>
      </w:r>
      <w:r>
        <w:rPr>
          <w:rFonts w:eastAsia="宋体"/>
          <w:sz w:val="24"/>
          <w:szCs w:val="32"/>
          <w:vertAlign w:val="subscript"/>
        </w:rPr>
        <w:t>si</w:t>
      </w:r>
      <w:r>
        <w:rPr>
          <w:rFonts w:hint="eastAsia" w:eastAsia="宋体"/>
          <w:sz w:val="24"/>
          <w:szCs w:val="32"/>
          <w:vertAlign w:val="subscript"/>
        </w:rPr>
        <w:t>k</w:t>
      </w:r>
      <w:r>
        <w:rPr>
          <w:rFonts w:eastAsiaTheme="minorEastAsia"/>
          <w:sz w:val="24"/>
          <w:szCs w:val="24"/>
        </w:rPr>
        <w:t>——锚固体与第</w:t>
      </w:r>
      <w:r>
        <w:rPr>
          <w:rFonts w:eastAsiaTheme="minorEastAsia"/>
          <w:i/>
          <w:iCs/>
          <w:sz w:val="24"/>
          <w:szCs w:val="24"/>
        </w:rPr>
        <w:t>i</w:t>
      </w:r>
      <w:r>
        <w:rPr>
          <w:rFonts w:eastAsiaTheme="minorEastAsia"/>
          <w:sz w:val="24"/>
          <w:szCs w:val="24"/>
        </w:rPr>
        <w:t>层土层间极限粘结强度标准值</w:t>
      </w:r>
    </w:p>
    <w:p w14:paraId="7437AFDB">
      <w:pPr>
        <w:spacing w:line="360" w:lineRule="auto"/>
        <w:ind w:firstLine="638" w:firstLineChars="266"/>
        <w:rPr>
          <w:rFonts w:eastAsiaTheme="minorEastAsia"/>
          <w:sz w:val="24"/>
          <w:szCs w:val="24"/>
        </w:rPr>
      </w:pPr>
      <w:r>
        <w:rPr>
          <w:rFonts w:eastAsiaTheme="minorEastAsia"/>
          <w:i/>
          <w:iCs/>
          <w:sz w:val="24"/>
          <w:szCs w:val="24"/>
        </w:rPr>
        <w:t>G</w:t>
      </w:r>
      <w:r>
        <w:rPr>
          <w:rFonts w:eastAsiaTheme="minorEastAsia"/>
          <w:sz w:val="24"/>
          <w:szCs w:val="24"/>
          <w:vertAlign w:val="subscript"/>
        </w:rPr>
        <w:t>k</w:t>
      </w:r>
      <w:r>
        <w:rPr>
          <w:rFonts w:eastAsiaTheme="minorEastAsia"/>
          <w:sz w:val="24"/>
          <w:szCs w:val="24"/>
        </w:rPr>
        <w:t>——</w:t>
      </w:r>
      <w:r>
        <w:rPr>
          <w:rFonts w:hint="eastAsia" w:eastAsiaTheme="minorEastAsia"/>
          <w:sz w:val="24"/>
          <w:szCs w:val="24"/>
        </w:rPr>
        <w:t>结构自重及抗浮压重标准组合</w:t>
      </w:r>
      <w:r>
        <w:rPr>
          <w:rFonts w:eastAsiaTheme="minorEastAsia"/>
          <w:sz w:val="24"/>
          <w:szCs w:val="24"/>
        </w:rPr>
        <w:t>的效应设计值</w:t>
      </w:r>
    </w:p>
    <w:p w14:paraId="17626AC2">
      <w:pPr>
        <w:spacing w:line="360" w:lineRule="auto"/>
        <w:ind w:firstLine="638" w:firstLineChars="266"/>
        <w:rPr>
          <w:rFonts w:eastAsiaTheme="minorEastAsia"/>
          <w:sz w:val="24"/>
          <w:szCs w:val="24"/>
        </w:rPr>
      </w:pPr>
      <w:r>
        <w:rPr>
          <w:rFonts w:hint="eastAsia" w:hAnsi="Cambria Math"/>
          <w:i/>
          <w:iCs/>
          <w:sz w:val="24"/>
          <w:szCs w:val="24"/>
        </w:rPr>
        <w:t>G</w:t>
      </w:r>
      <w:r>
        <w:rPr>
          <w:rFonts w:hint="eastAsia" w:hAnsi="Cambria Math"/>
          <w:sz w:val="24"/>
          <w:szCs w:val="24"/>
          <w:vertAlign w:val="subscript"/>
        </w:rPr>
        <w:t>k</w:t>
      </w:r>
      <w:r>
        <w:rPr>
          <w:rFonts w:hint="eastAsia" w:hAnsi="Cambria Math"/>
          <w:i/>
          <w:iCs/>
          <w:sz w:val="24"/>
          <w:szCs w:val="24"/>
          <w:vertAlign w:val="subscript"/>
        </w:rPr>
        <w:t>i</w:t>
      </w:r>
      <w:r>
        <w:rPr>
          <w:rFonts w:eastAsiaTheme="minorEastAsia"/>
          <w:sz w:val="24"/>
          <w:szCs w:val="24"/>
        </w:rPr>
        <w:t>——结构自重及</w:t>
      </w:r>
      <w:r>
        <w:rPr>
          <w:rFonts w:hint="eastAsia" w:eastAsiaTheme="minorEastAsia"/>
          <w:sz w:val="24"/>
          <w:szCs w:val="24"/>
        </w:rPr>
        <w:t>可用于抗浮的</w:t>
      </w:r>
      <w:r>
        <w:rPr>
          <w:rFonts w:eastAsiaTheme="minorEastAsia"/>
          <w:sz w:val="24"/>
          <w:szCs w:val="24"/>
        </w:rPr>
        <w:t>压重</w:t>
      </w:r>
      <w:r>
        <w:rPr>
          <w:rFonts w:hint="eastAsia" w:eastAsiaTheme="minorEastAsia"/>
          <w:sz w:val="24"/>
          <w:szCs w:val="24"/>
        </w:rPr>
        <w:t>的标准值</w:t>
      </w:r>
    </w:p>
    <w:p w14:paraId="35A662A1">
      <w:pPr>
        <w:spacing w:line="360" w:lineRule="auto"/>
        <w:ind w:firstLine="638" w:firstLineChars="266"/>
        <w:rPr>
          <w:rFonts w:eastAsiaTheme="minorEastAsia"/>
          <w:sz w:val="24"/>
          <w:szCs w:val="24"/>
        </w:rPr>
      </w:pPr>
      <w:r>
        <w:rPr>
          <w:rFonts w:eastAsiaTheme="minorEastAsia"/>
          <w:i/>
          <w:iCs/>
          <w:sz w:val="24"/>
          <w:szCs w:val="24"/>
        </w:rPr>
        <w:t>K</w:t>
      </w:r>
      <w:r>
        <w:rPr>
          <w:rFonts w:eastAsiaTheme="minorEastAsia"/>
          <w:sz w:val="24"/>
          <w:szCs w:val="24"/>
        </w:rPr>
        <w:t>——</w:t>
      </w:r>
      <w:r>
        <w:rPr>
          <w:rFonts w:hint="eastAsia" w:eastAsiaTheme="minorEastAsia"/>
          <w:sz w:val="24"/>
          <w:szCs w:val="24"/>
        </w:rPr>
        <w:t>安全系数</w:t>
      </w:r>
    </w:p>
    <w:p w14:paraId="4B227F46">
      <w:pPr>
        <w:spacing w:line="360" w:lineRule="auto"/>
        <w:ind w:firstLine="638" w:firstLineChars="266"/>
        <w:rPr>
          <w:rFonts w:eastAsiaTheme="minorEastAsia"/>
          <w:sz w:val="24"/>
          <w:szCs w:val="24"/>
        </w:rPr>
      </w:pPr>
      <w:r>
        <w:rPr>
          <w:rFonts w:eastAsia="宋体"/>
          <w:i/>
          <w:iCs/>
          <w:sz w:val="24"/>
          <w:szCs w:val="32"/>
        </w:rPr>
        <w:t>K</w:t>
      </w:r>
      <w:r>
        <w:rPr>
          <w:rFonts w:eastAsia="宋体"/>
          <w:sz w:val="24"/>
          <w:szCs w:val="32"/>
          <w:vertAlign w:val="subscript"/>
        </w:rPr>
        <w:t>0</w:t>
      </w:r>
      <w:r>
        <w:rPr>
          <w:rFonts w:eastAsiaTheme="minorEastAsia"/>
          <w:sz w:val="24"/>
          <w:szCs w:val="24"/>
        </w:rPr>
        <w:t>——扩</w:t>
      </w:r>
      <w:r>
        <w:rPr>
          <w:rFonts w:hint="eastAsia" w:eastAsiaTheme="minorEastAsia"/>
          <w:sz w:val="24"/>
          <w:szCs w:val="24"/>
        </w:rPr>
        <w:t>体上覆土体</w:t>
      </w:r>
      <w:r>
        <w:rPr>
          <w:rFonts w:eastAsiaTheme="minorEastAsia"/>
          <w:sz w:val="24"/>
          <w:szCs w:val="24"/>
        </w:rPr>
        <w:t>的静止土压力系数</w:t>
      </w:r>
    </w:p>
    <w:p w14:paraId="05797088">
      <w:pPr>
        <w:spacing w:line="360" w:lineRule="auto"/>
        <w:ind w:firstLine="638" w:firstLineChars="266"/>
        <w:rPr>
          <w:rFonts w:eastAsia="宋体"/>
          <w:sz w:val="24"/>
          <w:szCs w:val="24"/>
        </w:rPr>
      </w:pPr>
      <w:r>
        <w:rPr>
          <w:rFonts w:eastAsia="宋体"/>
          <w:i/>
          <w:iCs/>
          <w:sz w:val="24"/>
          <w:szCs w:val="32"/>
        </w:rPr>
        <w:t>K</w:t>
      </w:r>
      <w:r>
        <w:rPr>
          <w:rFonts w:eastAsia="宋体"/>
          <w:sz w:val="24"/>
          <w:szCs w:val="32"/>
          <w:vertAlign w:val="subscript"/>
        </w:rPr>
        <w:t>b</w:t>
      </w:r>
      <w:r>
        <w:rPr>
          <w:rFonts w:eastAsia="宋体"/>
          <w:sz w:val="24"/>
          <w:szCs w:val="32"/>
        </w:rPr>
        <w:t>——</w:t>
      </w:r>
      <w:r>
        <w:rPr>
          <w:rFonts w:hint="eastAsia" w:eastAsia="宋体"/>
          <w:sz w:val="24"/>
          <w:szCs w:val="32"/>
        </w:rPr>
        <w:t>锚固段浆体与筋体之间锚固长度安全系数</w:t>
      </w:r>
    </w:p>
    <w:p w14:paraId="1EDECB8E">
      <w:pPr>
        <w:spacing w:line="360" w:lineRule="auto"/>
        <w:ind w:firstLine="638" w:firstLineChars="266"/>
        <w:rPr>
          <w:rFonts w:eastAsiaTheme="minorEastAsia"/>
          <w:sz w:val="24"/>
          <w:szCs w:val="24"/>
        </w:rPr>
      </w:pPr>
      <w:r>
        <w:rPr>
          <w:rFonts w:eastAsiaTheme="minorEastAsia"/>
          <w:i/>
          <w:iCs/>
          <w:sz w:val="24"/>
          <w:szCs w:val="24"/>
        </w:rPr>
        <w:t>K</w:t>
      </w:r>
      <w:r>
        <w:rPr>
          <w:rFonts w:eastAsiaTheme="minorEastAsia"/>
          <w:sz w:val="24"/>
          <w:szCs w:val="24"/>
          <w:vertAlign w:val="subscript"/>
        </w:rPr>
        <w:t>w</w:t>
      </w:r>
      <w:r>
        <w:rPr>
          <w:rFonts w:eastAsiaTheme="minorEastAsia"/>
          <w:sz w:val="24"/>
          <w:szCs w:val="24"/>
        </w:rPr>
        <w:t>——</w:t>
      </w:r>
      <w:r>
        <w:rPr>
          <w:rFonts w:hint="eastAsia" w:eastAsiaTheme="minorEastAsia"/>
          <w:sz w:val="24"/>
          <w:szCs w:val="24"/>
        </w:rPr>
        <w:t>抗浮稳定安全系数</w:t>
      </w:r>
    </w:p>
    <w:p w14:paraId="6433B843">
      <w:pPr>
        <w:spacing w:line="360" w:lineRule="auto"/>
        <w:ind w:firstLine="638" w:firstLineChars="266"/>
        <w:rPr>
          <w:rFonts w:eastAsiaTheme="minorEastAsia"/>
          <w:sz w:val="24"/>
          <w:szCs w:val="24"/>
        </w:rPr>
      </w:pPr>
      <w:r>
        <w:rPr>
          <w:rFonts w:hint="eastAsia" w:eastAsiaTheme="minorEastAsia"/>
          <w:i/>
          <w:iCs/>
          <w:sz w:val="24"/>
          <w:szCs w:val="24"/>
        </w:rPr>
        <w:t>R</w:t>
      </w:r>
      <w:r>
        <w:rPr>
          <w:rFonts w:hint="eastAsia" w:eastAsiaTheme="minorEastAsia"/>
          <w:sz w:val="24"/>
          <w:szCs w:val="24"/>
          <w:vertAlign w:val="subscript"/>
        </w:rPr>
        <w:t>d</w:t>
      </w:r>
      <w:r>
        <w:rPr>
          <w:rFonts w:eastAsiaTheme="minorEastAsia"/>
          <w:sz w:val="24"/>
          <w:szCs w:val="24"/>
        </w:rPr>
        <w:t>——</w:t>
      </w:r>
      <w:r>
        <w:rPr>
          <w:rFonts w:hint="eastAsia" w:eastAsiaTheme="minorEastAsia"/>
          <w:sz w:val="24"/>
          <w:szCs w:val="24"/>
        </w:rPr>
        <w:t>抗浮构件</w:t>
      </w:r>
      <w:r>
        <w:rPr>
          <w:rFonts w:eastAsiaTheme="minorEastAsia"/>
          <w:sz w:val="24"/>
          <w:szCs w:val="24"/>
        </w:rPr>
        <w:t>抗力的</w:t>
      </w:r>
      <w:r>
        <w:rPr>
          <w:rFonts w:hint="eastAsia" w:eastAsiaTheme="minorEastAsia"/>
          <w:sz w:val="24"/>
          <w:szCs w:val="24"/>
        </w:rPr>
        <w:t>设计</w:t>
      </w:r>
      <w:r>
        <w:rPr>
          <w:rFonts w:eastAsiaTheme="minorEastAsia"/>
          <w:sz w:val="24"/>
          <w:szCs w:val="24"/>
        </w:rPr>
        <w:t>值</w:t>
      </w:r>
    </w:p>
    <w:p w14:paraId="2F30CC97">
      <w:pPr>
        <w:spacing w:line="360" w:lineRule="auto"/>
        <w:ind w:firstLine="638" w:firstLineChars="266"/>
        <w:rPr>
          <w:rFonts w:eastAsiaTheme="minorEastAsia"/>
          <w:sz w:val="24"/>
          <w:szCs w:val="24"/>
        </w:rPr>
      </w:pPr>
      <w:r>
        <w:rPr>
          <w:rFonts w:hint="eastAsia" w:hAnsi="Cambria Math"/>
          <w:i/>
          <w:iCs/>
          <w:sz w:val="24"/>
          <w:szCs w:val="24"/>
        </w:rPr>
        <w:t>R</w:t>
      </w:r>
      <w:r>
        <w:rPr>
          <w:rFonts w:hint="eastAsia" w:hAnsi="Cambria Math"/>
          <w:sz w:val="24"/>
          <w:szCs w:val="24"/>
          <w:vertAlign w:val="subscript"/>
        </w:rPr>
        <w:t>t</w:t>
      </w:r>
      <w:r>
        <w:rPr>
          <w:rFonts w:eastAsiaTheme="minorEastAsia"/>
          <w:sz w:val="24"/>
          <w:szCs w:val="24"/>
        </w:rPr>
        <w:t>——抗浮构件抗拔力</w:t>
      </w:r>
      <w:r>
        <w:rPr>
          <w:rFonts w:hint="eastAsia" w:eastAsiaTheme="minorEastAsia"/>
          <w:sz w:val="24"/>
          <w:szCs w:val="24"/>
        </w:rPr>
        <w:t>标准</w:t>
      </w:r>
      <w:r>
        <w:rPr>
          <w:rFonts w:eastAsiaTheme="minorEastAsia"/>
          <w:sz w:val="24"/>
          <w:szCs w:val="24"/>
        </w:rPr>
        <w:t>值</w:t>
      </w:r>
    </w:p>
    <w:p w14:paraId="7E25860F">
      <w:pPr>
        <w:spacing w:line="360" w:lineRule="auto"/>
        <w:ind w:firstLine="638" w:firstLineChars="266"/>
        <w:rPr>
          <w:rFonts w:eastAsiaTheme="minorEastAsia"/>
          <w:sz w:val="24"/>
          <w:szCs w:val="24"/>
        </w:rPr>
      </w:pPr>
      <w:r>
        <w:rPr>
          <w:rFonts w:eastAsiaTheme="minorEastAsia"/>
          <w:i/>
          <w:iCs/>
          <w:sz w:val="24"/>
          <w:szCs w:val="24"/>
        </w:rPr>
        <w:t>R</w:t>
      </w:r>
      <w:r>
        <w:rPr>
          <w:rFonts w:eastAsiaTheme="minorEastAsia"/>
          <w:sz w:val="24"/>
          <w:szCs w:val="24"/>
          <w:vertAlign w:val="subscript"/>
        </w:rPr>
        <w:t>ta</w:t>
      </w:r>
      <w:r>
        <w:rPr>
          <w:rFonts w:eastAsiaTheme="minorEastAsia"/>
          <w:sz w:val="24"/>
          <w:szCs w:val="24"/>
        </w:rPr>
        <w:t>——</w:t>
      </w:r>
      <w:r>
        <w:rPr>
          <w:rFonts w:hint="eastAsia" w:eastAsiaTheme="minorEastAsia"/>
          <w:sz w:val="24"/>
          <w:szCs w:val="24"/>
        </w:rPr>
        <w:t>单桩（根锚杆）抗拔承载力标准值</w:t>
      </w:r>
    </w:p>
    <w:p w14:paraId="0094D90D">
      <w:pPr>
        <w:spacing w:line="360" w:lineRule="auto"/>
        <w:ind w:firstLine="638" w:firstLineChars="266"/>
        <w:rPr>
          <w:rFonts w:eastAsia="宋体"/>
          <w:sz w:val="24"/>
        </w:rPr>
      </w:pPr>
      <w:r>
        <w:rPr>
          <w:rFonts w:hint="eastAsia" w:eastAsiaTheme="minorEastAsia"/>
          <w:i/>
          <w:iCs/>
          <w:sz w:val="24"/>
          <w:szCs w:val="24"/>
        </w:rPr>
        <w:t>q</w:t>
      </w:r>
      <w:r>
        <w:rPr>
          <w:rFonts w:hint="eastAsia" w:eastAsiaTheme="minorEastAsia"/>
          <w:sz w:val="24"/>
          <w:szCs w:val="24"/>
          <w:vertAlign w:val="subscript"/>
        </w:rPr>
        <w:t>si</w:t>
      </w:r>
      <w:r>
        <w:rPr>
          <w:rFonts w:eastAsiaTheme="minorEastAsia"/>
          <w:sz w:val="24"/>
          <w:szCs w:val="24"/>
        </w:rPr>
        <w:t>——</w:t>
      </w:r>
      <w:r>
        <w:rPr>
          <w:rFonts w:hint="eastAsia" w:eastAsiaTheme="minorEastAsia"/>
          <w:sz w:val="24"/>
          <w:szCs w:val="24"/>
        </w:rPr>
        <w:t>桩</w:t>
      </w:r>
      <w:r>
        <w:rPr>
          <w:rFonts w:hint="eastAsia" w:eastAsia="宋体"/>
          <w:sz w:val="24"/>
        </w:rPr>
        <w:t>侧阻力标准值</w:t>
      </w:r>
    </w:p>
    <w:p w14:paraId="695774E7">
      <w:pPr>
        <w:spacing w:line="360" w:lineRule="auto"/>
        <w:ind w:firstLine="638" w:firstLineChars="266"/>
        <w:rPr>
          <w:rFonts w:eastAsiaTheme="minorEastAsia"/>
          <w:sz w:val="24"/>
          <w:szCs w:val="24"/>
        </w:rPr>
      </w:pPr>
      <w:r>
        <w:rPr>
          <w:rFonts w:eastAsiaTheme="minorEastAsia"/>
          <w:i/>
          <w:iCs/>
          <w:sz w:val="24"/>
          <w:szCs w:val="24"/>
        </w:rPr>
        <w:t>T</w:t>
      </w:r>
      <w:r>
        <w:rPr>
          <w:rFonts w:eastAsiaTheme="minorEastAsia"/>
          <w:sz w:val="24"/>
          <w:szCs w:val="24"/>
        </w:rPr>
        <w:t>——</w:t>
      </w:r>
      <w:r>
        <w:rPr>
          <w:rFonts w:hint="eastAsia" w:eastAsiaTheme="minorEastAsia"/>
          <w:sz w:val="24"/>
          <w:szCs w:val="24"/>
        </w:rPr>
        <w:t>抗浮构件抗拔力</w:t>
      </w:r>
    </w:p>
    <w:p w14:paraId="5B2CB010">
      <w:pPr>
        <w:spacing w:line="360" w:lineRule="auto"/>
        <w:ind w:firstLine="638" w:firstLineChars="266"/>
        <w:rPr>
          <w:rFonts w:eastAsiaTheme="minorEastAsia"/>
          <w:sz w:val="24"/>
          <w:szCs w:val="24"/>
        </w:rPr>
      </w:pPr>
      <w:r>
        <w:rPr>
          <w:rFonts w:eastAsiaTheme="minorEastAsia"/>
          <w:i/>
          <w:iCs/>
          <w:sz w:val="24"/>
          <w:szCs w:val="24"/>
        </w:rPr>
        <w:t>T</w:t>
      </w:r>
      <w:r>
        <w:rPr>
          <w:rFonts w:eastAsiaTheme="minorEastAsia"/>
          <w:sz w:val="24"/>
          <w:szCs w:val="24"/>
          <w:vertAlign w:val="subscript"/>
        </w:rPr>
        <w:t>uk</w:t>
      </w:r>
      <w:r>
        <w:rPr>
          <w:rFonts w:eastAsiaTheme="minorEastAsia"/>
          <w:sz w:val="24"/>
          <w:szCs w:val="24"/>
        </w:rPr>
        <w:t>——</w:t>
      </w:r>
      <w:r>
        <w:rPr>
          <w:rFonts w:hint="eastAsia" w:eastAsiaTheme="minorEastAsia"/>
          <w:sz w:val="24"/>
          <w:szCs w:val="24"/>
        </w:rPr>
        <w:t>单根锚杆（桩）极限抗拔承载力标准值</w:t>
      </w:r>
    </w:p>
    <w:p w14:paraId="5C6B3B90">
      <w:pPr>
        <w:spacing w:line="360" w:lineRule="auto"/>
        <w:ind w:firstLine="638" w:firstLineChars="266"/>
        <w:rPr>
          <w:rFonts w:eastAsia="宋体"/>
          <w:sz w:val="24"/>
          <w:szCs w:val="32"/>
        </w:rPr>
      </w:pPr>
      <w:r>
        <w:rPr>
          <w:rFonts w:eastAsia="宋体"/>
          <w:i/>
          <w:iCs/>
          <w:sz w:val="24"/>
          <w:szCs w:val="32"/>
        </w:rPr>
        <w:t>T</w:t>
      </w:r>
      <w:r>
        <w:rPr>
          <w:rFonts w:eastAsia="宋体"/>
          <w:sz w:val="24"/>
          <w:szCs w:val="32"/>
          <w:vertAlign w:val="subscript"/>
        </w:rPr>
        <w:t>uk</w:t>
      </w:r>
      <w:r>
        <w:rPr>
          <w:rFonts w:eastAsia="宋体"/>
          <w:i/>
          <w:iCs/>
          <w:sz w:val="24"/>
          <w:szCs w:val="32"/>
          <w:vertAlign w:val="subscript"/>
        </w:rPr>
        <w:t>i</w:t>
      </w:r>
      <w:r>
        <w:rPr>
          <w:rFonts w:eastAsia="宋体"/>
          <w:sz w:val="24"/>
          <w:szCs w:val="32"/>
        </w:rPr>
        <w:t>——各单元锚杆极限抗拔承载力标准值</w:t>
      </w:r>
    </w:p>
    <w:p w14:paraId="18D8F6C8">
      <w:pPr>
        <w:spacing w:line="360" w:lineRule="auto"/>
        <w:ind w:firstLine="638" w:firstLineChars="266"/>
        <w:rPr>
          <w:rFonts w:eastAsia="宋体"/>
          <w:sz w:val="24"/>
        </w:rPr>
      </w:pPr>
      <w:r>
        <w:rPr>
          <w:rFonts w:eastAsia="宋体"/>
          <w:i/>
          <w:iCs/>
          <w:sz w:val="24"/>
        </w:rPr>
        <w:t>α</w:t>
      </w:r>
      <w:r>
        <w:rPr>
          <w:rFonts w:eastAsia="宋体"/>
          <w:sz w:val="24"/>
          <w:vertAlign w:val="subscript"/>
        </w:rPr>
        <w:t>s</w:t>
      </w:r>
      <w:r>
        <w:rPr>
          <w:rFonts w:eastAsiaTheme="minorEastAsia"/>
          <w:sz w:val="24"/>
          <w:szCs w:val="24"/>
        </w:rPr>
        <w:t>——</w:t>
      </w:r>
      <w:r>
        <w:rPr>
          <w:rFonts w:hint="eastAsia" w:eastAsia="宋体"/>
          <w:sz w:val="24"/>
        </w:rPr>
        <w:t>桩侧注浆量经验系数</w:t>
      </w:r>
    </w:p>
    <w:p w14:paraId="5680069C">
      <w:pPr>
        <w:spacing w:line="360" w:lineRule="auto"/>
        <w:ind w:firstLine="638" w:firstLineChars="266"/>
        <w:rPr>
          <w:rFonts w:eastAsia="宋体"/>
          <w:sz w:val="24"/>
        </w:rPr>
      </w:pPr>
      <w:r>
        <w:rPr>
          <w:rFonts w:eastAsia="宋体"/>
          <w:i/>
          <w:iCs/>
          <w:sz w:val="24"/>
        </w:rPr>
        <w:t>β</w:t>
      </w:r>
      <w:r>
        <w:rPr>
          <w:rFonts w:eastAsia="宋体"/>
          <w:sz w:val="24"/>
          <w:vertAlign w:val="subscript"/>
        </w:rPr>
        <w:t>s</w:t>
      </w:r>
      <w:r>
        <w:rPr>
          <w:rFonts w:eastAsia="宋体"/>
          <w:i/>
          <w:iCs/>
          <w:sz w:val="24"/>
          <w:vertAlign w:val="subscript"/>
        </w:rPr>
        <w:t>i</w:t>
      </w:r>
      <w:r>
        <w:rPr>
          <w:rFonts w:eastAsia="宋体"/>
          <w:sz w:val="24"/>
        </w:rPr>
        <w:t>——</w:t>
      </w:r>
      <w:r>
        <w:rPr>
          <w:rFonts w:hint="eastAsia" w:eastAsia="宋体"/>
          <w:sz w:val="24"/>
        </w:rPr>
        <w:t>后注浆侧阻力增强系数</w:t>
      </w:r>
    </w:p>
    <w:p w14:paraId="088A721B">
      <w:pPr>
        <w:spacing w:line="360" w:lineRule="auto"/>
        <w:ind w:firstLine="638" w:firstLineChars="266"/>
        <w:rPr>
          <w:rFonts w:eastAsia="宋体"/>
          <w:sz w:val="24"/>
          <w:szCs w:val="32"/>
        </w:rPr>
      </w:pPr>
      <w:r>
        <w:rPr>
          <w:rFonts w:eastAsia="宋体"/>
          <w:i/>
          <w:iCs/>
          <w:sz w:val="24"/>
          <w:szCs w:val="32"/>
        </w:rPr>
        <w:t>γ'</w:t>
      </w:r>
      <w:r>
        <w:rPr>
          <w:rFonts w:hint="eastAsia" w:eastAsia="宋体"/>
          <w:sz w:val="24"/>
          <w:szCs w:val="32"/>
          <w:vertAlign w:val="subscript"/>
        </w:rPr>
        <w:t>m</w:t>
      </w:r>
      <w:r>
        <w:rPr>
          <w:rFonts w:eastAsia="宋体"/>
          <w:sz w:val="24"/>
          <w:szCs w:val="32"/>
        </w:rPr>
        <w:t>——破坏体内岩土体平均浮重度标准值</w:t>
      </w:r>
    </w:p>
    <w:p w14:paraId="42482AB5">
      <w:pPr>
        <w:spacing w:line="360" w:lineRule="auto"/>
        <w:ind w:firstLine="638" w:firstLineChars="266"/>
        <w:rPr>
          <w:rFonts w:eastAsiaTheme="minorEastAsia"/>
          <w:sz w:val="24"/>
          <w:szCs w:val="24"/>
        </w:rPr>
      </w:pPr>
      <m:oMath>
        <m:sSub>
          <m:sSubPr>
            <m:ctrlPr>
              <w:rPr>
                <w:rFonts w:ascii="Cambria Math" w:hAnsi="Cambria Math"/>
                <w:i/>
                <w:sz w:val="24"/>
                <w:szCs w:val="24"/>
              </w:rPr>
            </m:ctrlPr>
          </m:sSubPr>
          <m:e>
            <m:r>
              <m:rPr/>
              <w:rPr>
                <w:rFonts w:ascii="Cambria Math" w:hAnsi="Cambria Math"/>
                <w:sz w:val="24"/>
                <w:szCs w:val="24"/>
              </w:rPr>
              <m:t>γ</m:t>
            </m:r>
            <m:ctrlPr>
              <w:rPr>
                <w:rFonts w:ascii="Cambria Math" w:hAnsi="Cambria Math"/>
                <w:i/>
                <w:sz w:val="24"/>
                <w:szCs w:val="24"/>
              </w:rPr>
            </m:ctrlPr>
          </m:e>
          <m:sub>
            <m:r>
              <m:rPr/>
              <w:rPr>
                <w:rFonts w:ascii="Cambria Math" w:hAnsi="Cambria Math"/>
                <w:sz w:val="24"/>
                <w:szCs w:val="24"/>
              </w:rPr>
              <m:t>G</m:t>
            </m:r>
            <m:ctrlPr>
              <w:rPr>
                <w:rFonts w:ascii="Cambria Math" w:hAnsi="Cambria Math"/>
                <w:i/>
                <w:sz w:val="24"/>
                <w:szCs w:val="24"/>
              </w:rPr>
            </m:ctrlPr>
          </m:sub>
        </m:sSub>
      </m:oMath>
      <w:r>
        <w:rPr>
          <w:rFonts w:eastAsia="宋体"/>
          <w:sz w:val="24"/>
          <w:szCs w:val="32"/>
        </w:rPr>
        <w:t>——</w:t>
      </w:r>
      <w:r>
        <w:rPr>
          <w:rFonts w:hint="eastAsia" w:eastAsiaTheme="minorEastAsia"/>
          <w:sz w:val="24"/>
          <w:szCs w:val="24"/>
        </w:rPr>
        <w:t>结构自重及抗浮压重的分项系数</w:t>
      </w:r>
    </w:p>
    <w:p w14:paraId="659B44BB">
      <w:pPr>
        <w:spacing w:line="360" w:lineRule="auto"/>
        <w:ind w:firstLine="638" w:firstLineChars="266"/>
        <w:rPr>
          <w:rFonts w:eastAsiaTheme="minorEastAsia"/>
          <w:sz w:val="24"/>
          <w:szCs w:val="24"/>
        </w:rPr>
      </w:pPr>
      <w:r>
        <w:rPr>
          <w:rFonts w:eastAsia="宋体"/>
          <w:i/>
          <w:iCs/>
          <w:sz w:val="24"/>
          <w:szCs w:val="32"/>
        </w:rPr>
        <w:t>λ</w:t>
      </w:r>
      <w:r>
        <w:rPr>
          <w:rFonts w:eastAsia="宋体"/>
          <w:i/>
          <w:iCs/>
          <w:sz w:val="24"/>
          <w:szCs w:val="32"/>
          <w:vertAlign w:val="subscript"/>
        </w:rPr>
        <w:t>i</w:t>
      </w:r>
      <w:r>
        <w:rPr>
          <w:rFonts w:eastAsia="宋体"/>
          <w:sz w:val="24"/>
          <w:szCs w:val="32"/>
        </w:rPr>
        <w:t>——</w:t>
      </w:r>
      <w:r>
        <w:rPr>
          <w:rFonts w:hint="eastAsia" w:eastAsia="宋体"/>
          <w:sz w:val="24"/>
          <w:szCs w:val="32"/>
        </w:rPr>
        <w:t>抗拔系数</w:t>
      </w:r>
    </w:p>
    <w:p w14:paraId="10A8B81E">
      <w:pPr>
        <w:numPr>
          <w:ilvl w:val="2"/>
          <w:numId w:val="2"/>
        </w:numPr>
        <w:spacing w:line="360" w:lineRule="auto"/>
        <w:ind w:left="709"/>
        <w:jc w:val="left"/>
        <w:rPr>
          <w:rFonts w:eastAsiaTheme="minorEastAsia"/>
          <w:sz w:val="24"/>
          <w:szCs w:val="24"/>
        </w:rPr>
      </w:pPr>
      <w:r>
        <w:rPr>
          <w:rFonts w:hint="eastAsia" w:eastAsiaTheme="minorEastAsia"/>
          <w:sz w:val="24"/>
          <w:szCs w:val="24"/>
        </w:rPr>
        <w:t>几何参数</w:t>
      </w:r>
    </w:p>
    <w:p w14:paraId="33AC05E1">
      <w:pPr>
        <w:spacing w:line="360" w:lineRule="auto"/>
        <w:ind w:firstLine="638" w:firstLineChars="266"/>
        <w:rPr>
          <w:rFonts w:eastAsia="宋体"/>
          <w:sz w:val="24"/>
          <w:szCs w:val="32"/>
        </w:rPr>
      </w:pPr>
      <w:r>
        <w:rPr>
          <w:rFonts w:eastAsia="宋体"/>
          <w:i/>
          <w:iCs/>
          <w:sz w:val="24"/>
          <w:szCs w:val="32"/>
        </w:rPr>
        <w:t>A</w:t>
      </w:r>
      <w:r>
        <w:rPr>
          <w:rFonts w:eastAsia="宋体"/>
          <w:sz w:val="24"/>
          <w:szCs w:val="32"/>
          <w:vertAlign w:val="subscript"/>
        </w:rPr>
        <w:t>c</w:t>
      </w:r>
      <w:r>
        <w:rPr>
          <w:rFonts w:eastAsia="宋体"/>
          <w:sz w:val="24"/>
          <w:szCs w:val="32"/>
        </w:rPr>
        <w:t>——浆体受压净面积</w:t>
      </w:r>
    </w:p>
    <w:p w14:paraId="696A5E4E">
      <w:pPr>
        <w:spacing w:line="360" w:lineRule="auto"/>
        <w:ind w:firstLine="638" w:firstLineChars="266"/>
        <w:rPr>
          <w:rFonts w:eastAsiaTheme="minorEastAsia"/>
          <w:sz w:val="24"/>
          <w:szCs w:val="24"/>
        </w:rPr>
      </w:pPr>
      <w:r>
        <w:rPr>
          <w:rFonts w:eastAsia="宋体"/>
          <w:i/>
          <w:iCs/>
          <w:sz w:val="24"/>
          <w:szCs w:val="32"/>
        </w:rPr>
        <w:t>h</w:t>
      </w:r>
      <w:r>
        <w:rPr>
          <w:rFonts w:eastAsiaTheme="minorEastAsia"/>
          <w:sz w:val="24"/>
          <w:szCs w:val="24"/>
        </w:rPr>
        <w:t>——</w:t>
      </w:r>
      <w:r>
        <w:rPr>
          <w:rFonts w:hint="eastAsia" w:eastAsiaTheme="minorEastAsia"/>
          <w:sz w:val="24"/>
          <w:szCs w:val="24"/>
        </w:rPr>
        <w:t>扩体上覆土体的厚度</w:t>
      </w:r>
    </w:p>
    <w:p w14:paraId="30B0C0CF">
      <w:pPr>
        <w:spacing w:line="360" w:lineRule="auto"/>
        <w:ind w:firstLine="480" w:firstLineChars="200"/>
        <w:rPr>
          <w:rFonts w:eastAsia="宋体"/>
          <w:sz w:val="24"/>
          <w:szCs w:val="24"/>
        </w:rPr>
      </w:pPr>
      <w:r>
        <w:rPr>
          <w:rFonts w:eastAsia="宋体"/>
          <w:sz w:val="24"/>
          <w:szCs w:val="32"/>
        </w:rPr>
        <w:t xml:space="preserve"> </w:t>
      </w:r>
      <w:r>
        <w:rPr>
          <w:rFonts w:eastAsia="宋体"/>
          <w:i/>
          <w:iCs/>
          <w:sz w:val="24"/>
          <w:szCs w:val="32"/>
        </w:rPr>
        <w:t>l</w:t>
      </w:r>
      <w:r>
        <w:rPr>
          <w:rFonts w:eastAsia="宋体"/>
          <w:sz w:val="24"/>
          <w:szCs w:val="32"/>
          <w:vertAlign w:val="subscript"/>
        </w:rPr>
        <w:t>m</w:t>
      </w:r>
      <w:r>
        <w:rPr>
          <w:rFonts w:eastAsia="宋体"/>
          <w:sz w:val="24"/>
          <w:szCs w:val="32"/>
        </w:rPr>
        <w:t>——有效锚固长度</w:t>
      </w:r>
    </w:p>
    <w:p w14:paraId="07E1A350">
      <w:pPr>
        <w:spacing w:line="360" w:lineRule="auto"/>
        <w:ind w:firstLine="638" w:firstLineChars="266"/>
        <w:rPr>
          <w:rFonts w:eastAsia="宋体"/>
          <w:sz w:val="24"/>
          <w:szCs w:val="32"/>
        </w:rPr>
      </w:pPr>
      <w:r>
        <w:rPr>
          <w:rFonts w:eastAsia="宋体"/>
          <w:i/>
          <w:iCs/>
          <w:sz w:val="24"/>
          <w:szCs w:val="32"/>
        </w:rPr>
        <w:t>u</w:t>
      </w:r>
      <w:r>
        <w:rPr>
          <w:rFonts w:eastAsia="宋体"/>
          <w:sz w:val="24"/>
          <w:szCs w:val="32"/>
          <w:vertAlign w:val="subscript"/>
        </w:rPr>
        <w:t>i</w:t>
      </w:r>
      <w:r>
        <w:rPr>
          <w:rFonts w:eastAsia="宋体"/>
          <w:sz w:val="24"/>
          <w:szCs w:val="32"/>
        </w:rPr>
        <w:t>——</w:t>
      </w:r>
      <w:r>
        <w:rPr>
          <w:rFonts w:hint="eastAsia" w:eastAsia="宋体"/>
          <w:sz w:val="24"/>
          <w:szCs w:val="32"/>
        </w:rPr>
        <w:t>破坏表面桩身周长</w:t>
      </w:r>
    </w:p>
    <w:p w14:paraId="7642ECEE">
      <w:pPr>
        <w:rPr>
          <w:rFonts w:eastAsiaTheme="minorEastAsia"/>
          <w:sz w:val="24"/>
          <w:szCs w:val="24"/>
        </w:rPr>
      </w:pPr>
      <w:r>
        <w:rPr>
          <w:rFonts w:eastAsiaTheme="minorEastAsia"/>
          <w:sz w:val="24"/>
          <w:szCs w:val="24"/>
        </w:rPr>
        <w:br w:type="page"/>
      </w:r>
    </w:p>
    <w:p w14:paraId="0088617F">
      <w:pPr>
        <w:numPr>
          <w:ilvl w:val="0"/>
          <w:numId w:val="2"/>
        </w:numPr>
        <w:spacing w:line="360" w:lineRule="auto"/>
        <w:jc w:val="center"/>
        <w:outlineLvl w:val="0"/>
        <w:rPr>
          <w:rFonts w:eastAsiaTheme="minorEastAsia"/>
          <w:b/>
          <w:bCs/>
          <w:sz w:val="28"/>
          <w:szCs w:val="28"/>
        </w:rPr>
      </w:pPr>
      <w:bookmarkStart w:id="37" w:name="_Toc13049"/>
      <w:bookmarkStart w:id="38" w:name="_Toc18780"/>
      <w:bookmarkStart w:id="39" w:name="_Toc1328"/>
      <w:bookmarkStart w:id="40" w:name="_Toc31345"/>
      <w:bookmarkStart w:id="41" w:name="_Toc1082"/>
      <w:bookmarkStart w:id="42" w:name="_Toc30044"/>
      <w:r>
        <w:rPr>
          <w:rFonts w:eastAsiaTheme="minorEastAsia"/>
          <w:b/>
          <w:bCs/>
          <w:sz w:val="28"/>
          <w:szCs w:val="28"/>
        </w:rPr>
        <w:t>基本规定</w:t>
      </w:r>
      <w:bookmarkEnd w:id="37"/>
      <w:bookmarkEnd w:id="38"/>
      <w:bookmarkEnd w:id="39"/>
      <w:bookmarkEnd w:id="40"/>
      <w:bookmarkEnd w:id="41"/>
      <w:bookmarkEnd w:id="42"/>
    </w:p>
    <w:p w14:paraId="0B110282">
      <w:pPr>
        <w:numPr>
          <w:ilvl w:val="0"/>
          <w:numId w:val="4"/>
        </w:numPr>
        <w:spacing w:line="360" w:lineRule="auto"/>
        <w:ind w:firstLine="0"/>
        <w:rPr>
          <w:rFonts w:eastAsiaTheme="minorEastAsia"/>
          <w:sz w:val="24"/>
          <w:szCs w:val="24"/>
        </w:rPr>
      </w:pPr>
      <w:r>
        <w:rPr>
          <w:rFonts w:hint="eastAsia" w:eastAsiaTheme="minorEastAsia"/>
          <w:sz w:val="24"/>
          <w:szCs w:val="24"/>
        </w:rPr>
        <w:t>建筑工程</w:t>
      </w:r>
      <w:r>
        <w:rPr>
          <w:rFonts w:eastAsiaTheme="minorEastAsia"/>
          <w:sz w:val="24"/>
          <w:szCs w:val="24"/>
        </w:rPr>
        <w:t>抗浮</w:t>
      </w:r>
      <w:r>
        <w:rPr>
          <w:rFonts w:hint="eastAsia" w:eastAsiaTheme="minorEastAsia"/>
          <w:sz w:val="24"/>
          <w:szCs w:val="24"/>
        </w:rPr>
        <w:t>设计</w:t>
      </w:r>
      <w:r>
        <w:rPr>
          <w:rFonts w:eastAsiaTheme="minorEastAsia"/>
          <w:sz w:val="24"/>
          <w:szCs w:val="24"/>
        </w:rPr>
        <w:t>应</w:t>
      </w:r>
      <w:r>
        <w:rPr>
          <w:rFonts w:hint="eastAsia" w:eastAsiaTheme="minorEastAsia"/>
          <w:sz w:val="24"/>
          <w:szCs w:val="24"/>
        </w:rPr>
        <w:t>基于</w:t>
      </w:r>
      <w:r>
        <w:rPr>
          <w:rFonts w:eastAsiaTheme="minorEastAsia"/>
          <w:sz w:val="24"/>
          <w:szCs w:val="24"/>
        </w:rPr>
        <w:t>场地工程地质与水文地质条件</w:t>
      </w:r>
      <w:r>
        <w:rPr>
          <w:rFonts w:hint="eastAsia" w:eastAsiaTheme="minorEastAsia"/>
          <w:sz w:val="24"/>
          <w:szCs w:val="24"/>
        </w:rPr>
        <w:t>、</w:t>
      </w:r>
      <w:r>
        <w:rPr>
          <w:rFonts w:eastAsiaTheme="minorEastAsia"/>
          <w:sz w:val="24"/>
          <w:szCs w:val="24"/>
        </w:rPr>
        <w:t>荷载</w:t>
      </w:r>
      <w:r>
        <w:rPr>
          <w:rFonts w:hint="eastAsia" w:eastAsiaTheme="minorEastAsia"/>
          <w:sz w:val="24"/>
          <w:szCs w:val="24"/>
        </w:rPr>
        <w:t>分布</w:t>
      </w:r>
      <w:r>
        <w:rPr>
          <w:rFonts w:eastAsiaTheme="minorEastAsia"/>
          <w:sz w:val="24"/>
          <w:szCs w:val="24"/>
        </w:rPr>
        <w:t>与</w:t>
      </w:r>
      <w:r>
        <w:rPr>
          <w:rFonts w:hint="eastAsia" w:eastAsiaTheme="minorEastAsia"/>
          <w:sz w:val="24"/>
          <w:szCs w:val="24"/>
        </w:rPr>
        <w:t>结构</w:t>
      </w:r>
      <w:r>
        <w:rPr>
          <w:rFonts w:eastAsiaTheme="minorEastAsia"/>
          <w:sz w:val="24"/>
          <w:szCs w:val="24"/>
        </w:rPr>
        <w:t>刚度</w:t>
      </w:r>
      <w:r>
        <w:rPr>
          <w:rFonts w:hint="eastAsia" w:eastAsiaTheme="minorEastAsia"/>
          <w:sz w:val="24"/>
          <w:szCs w:val="24"/>
        </w:rPr>
        <w:t>特征</w:t>
      </w:r>
      <w:r>
        <w:rPr>
          <w:rFonts w:eastAsiaTheme="minorEastAsia"/>
          <w:sz w:val="24"/>
          <w:szCs w:val="24"/>
        </w:rPr>
        <w:t>、建筑功能要求、环境条件和施工条件等因素综合确定。</w:t>
      </w:r>
    </w:p>
    <w:p w14:paraId="2699DFA4">
      <w:pPr>
        <w:numPr>
          <w:ilvl w:val="0"/>
          <w:numId w:val="4"/>
        </w:numPr>
        <w:spacing w:line="360" w:lineRule="auto"/>
        <w:ind w:firstLine="0"/>
        <w:rPr>
          <w:rFonts w:eastAsiaTheme="minorEastAsia"/>
          <w:sz w:val="24"/>
          <w:szCs w:val="24"/>
        </w:rPr>
      </w:pPr>
      <w:r>
        <w:rPr>
          <w:rFonts w:hint="eastAsia" w:eastAsiaTheme="minorEastAsia"/>
          <w:sz w:val="24"/>
          <w:szCs w:val="24"/>
        </w:rPr>
        <w:t>建筑工程</w:t>
      </w:r>
      <w:r>
        <w:rPr>
          <w:rFonts w:eastAsiaTheme="minorEastAsia"/>
          <w:sz w:val="24"/>
          <w:szCs w:val="24"/>
        </w:rPr>
        <w:t>在施工和使用期间均应满足整体和局部的抗浮</w:t>
      </w:r>
      <w:r>
        <w:rPr>
          <w:rFonts w:hint="eastAsia" w:eastAsiaTheme="minorEastAsia"/>
          <w:sz w:val="24"/>
          <w:szCs w:val="24"/>
        </w:rPr>
        <w:t>稳定</w:t>
      </w:r>
      <w:r>
        <w:rPr>
          <w:rFonts w:eastAsiaTheme="minorEastAsia"/>
          <w:sz w:val="24"/>
          <w:szCs w:val="24"/>
        </w:rPr>
        <w:t>要求。</w:t>
      </w:r>
    </w:p>
    <w:p w14:paraId="78254E36">
      <w:pPr>
        <w:numPr>
          <w:ilvl w:val="0"/>
          <w:numId w:val="4"/>
        </w:numPr>
        <w:spacing w:line="360" w:lineRule="auto"/>
        <w:ind w:firstLine="0"/>
        <w:rPr>
          <w:rFonts w:eastAsiaTheme="minorEastAsia"/>
          <w:sz w:val="24"/>
          <w:szCs w:val="24"/>
        </w:rPr>
      </w:pPr>
      <w:r>
        <w:rPr>
          <w:rFonts w:eastAsiaTheme="minorEastAsia"/>
          <w:sz w:val="24"/>
          <w:szCs w:val="24"/>
        </w:rPr>
        <w:t>抗浮构件的设计工作年限和耐久性年限不应少于</w:t>
      </w:r>
      <w:r>
        <w:rPr>
          <w:rFonts w:hint="eastAsia" w:eastAsiaTheme="minorEastAsia"/>
          <w:sz w:val="24"/>
          <w:szCs w:val="24"/>
        </w:rPr>
        <w:t>建筑</w:t>
      </w:r>
      <w:r>
        <w:rPr>
          <w:rFonts w:eastAsiaTheme="minorEastAsia"/>
          <w:sz w:val="24"/>
          <w:szCs w:val="24"/>
        </w:rPr>
        <w:t>结构的设计工作年限。</w:t>
      </w:r>
    </w:p>
    <w:p w14:paraId="4A365594">
      <w:pPr>
        <w:numPr>
          <w:ilvl w:val="0"/>
          <w:numId w:val="4"/>
        </w:numPr>
        <w:spacing w:line="360" w:lineRule="auto"/>
        <w:ind w:firstLine="0"/>
        <w:rPr>
          <w:rFonts w:eastAsiaTheme="minorEastAsia"/>
          <w:sz w:val="24"/>
          <w:szCs w:val="24"/>
        </w:rPr>
      </w:pPr>
      <w:r>
        <w:rPr>
          <w:rFonts w:hint="eastAsia" w:eastAsiaTheme="minorEastAsia"/>
          <w:sz w:val="24"/>
          <w:szCs w:val="24"/>
        </w:rPr>
        <w:t>建筑工程抗浮应</w:t>
      </w:r>
      <w:r>
        <w:rPr>
          <w:rFonts w:eastAsiaTheme="minorEastAsia"/>
          <w:sz w:val="24"/>
          <w:szCs w:val="24"/>
        </w:rPr>
        <w:t>根据工程地质和水文地质条件的复杂程度、使用功能要求</w:t>
      </w:r>
      <w:r>
        <w:rPr>
          <w:rFonts w:hint="eastAsia" w:eastAsiaTheme="minorEastAsia"/>
          <w:sz w:val="24"/>
          <w:szCs w:val="24"/>
        </w:rPr>
        <w:t>等划分为三个设计等级，并按表3.0.4确定</w:t>
      </w:r>
      <w:r>
        <w:rPr>
          <w:rFonts w:eastAsiaTheme="minorEastAsia"/>
          <w:sz w:val="24"/>
          <w:szCs w:val="24"/>
        </w:rPr>
        <w:t>。</w:t>
      </w:r>
    </w:p>
    <w:p w14:paraId="217DFCD6">
      <w:pPr>
        <w:spacing w:line="360" w:lineRule="auto"/>
        <w:jc w:val="center"/>
        <w:rPr>
          <w:rFonts w:eastAsiaTheme="minorEastAsia"/>
          <w:sz w:val="20"/>
        </w:rPr>
      </w:pPr>
      <w:r>
        <w:rPr>
          <w:rFonts w:hint="eastAsia" w:eastAsiaTheme="minorEastAsia"/>
          <w:sz w:val="20"/>
        </w:rPr>
        <w:t>表3.0.4  建筑工程抗浮设计等级</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7110"/>
      </w:tblGrid>
      <w:tr w14:paraId="5199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center"/>
          </w:tcPr>
          <w:p w14:paraId="7959710F">
            <w:pPr>
              <w:spacing w:line="360" w:lineRule="auto"/>
              <w:jc w:val="center"/>
              <w:rPr>
                <w:rFonts w:eastAsiaTheme="minorEastAsia"/>
                <w:sz w:val="20"/>
              </w:rPr>
            </w:pPr>
            <w:r>
              <w:rPr>
                <w:rFonts w:hint="eastAsia" w:eastAsiaTheme="minorEastAsia"/>
                <w:sz w:val="20"/>
              </w:rPr>
              <w:t>设计等级</w:t>
            </w:r>
          </w:p>
        </w:tc>
        <w:tc>
          <w:tcPr>
            <w:tcW w:w="7312" w:type="dxa"/>
            <w:vAlign w:val="center"/>
          </w:tcPr>
          <w:p w14:paraId="77534C0D">
            <w:pPr>
              <w:spacing w:line="360" w:lineRule="auto"/>
              <w:jc w:val="center"/>
              <w:rPr>
                <w:rFonts w:eastAsiaTheme="minorEastAsia"/>
                <w:sz w:val="20"/>
              </w:rPr>
            </w:pPr>
            <w:r>
              <w:rPr>
                <w:rFonts w:hint="eastAsia" w:eastAsiaTheme="minorEastAsia"/>
                <w:sz w:val="20"/>
              </w:rPr>
              <w:t>建筑和地基类型</w:t>
            </w:r>
          </w:p>
        </w:tc>
      </w:tr>
      <w:tr w14:paraId="4656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center"/>
          </w:tcPr>
          <w:p w14:paraId="073B97D2">
            <w:pPr>
              <w:spacing w:line="360" w:lineRule="auto"/>
              <w:jc w:val="center"/>
              <w:rPr>
                <w:rFonts w:eastAsiaTheme="minorEastAsia"/>
                <w:sz w:val="20"/>
              </w:rPr>
            </w:pPr>
            <w:r>
              <w:rPr>
                <w:rFonts w:hint="eastAsia" w:eastAsiaTheme="minorEastAsia"/>
                <w:sz w:val="20"/>
              </w:rPr>
              <w:t>甲级</w:t>
            </w:r>
          </w:p>
        </w:tc>
        <w:tc>
          <w:tcPr>
            <w:tcW w:w="7312" w:type="dxa"/>
            <w:vAlign w:val="center"/>
          </w:tcPr>
          <w:p w14:paraId="143BFB01">
            <w:pPr>
              <w:spacing w:line="360" w:lineRule="auto"/>
              <w:jc w:val="left"/>
              <w:rPr>
                <w:rFonts w:eastAsiaTheme="minorEastAsia"/>
                <w:sz w:val="20"/>
              </w:rPr>
            </w:pPr>
            <w:r>
              <w:rPr>
                <w:rFonts w:eastAsiaTheme="minorEastAsia"/>
                <w:sz w:val="20"/>
              </w:rPr>
              <w:t>重要的工业与民用建筑工程</w:t>
            </w:r>
            <w:r>
              <w:rPr>
                <w:rFonts w:hint="eastAsia" w:eastAsiaTheme="minorEastAsia"/>
                <w:sz w:val="20"/>
              </w:rPr>
              <w:t>；</w:t>
            </w:r>
          </w:p>
          <w:p w14:paraId="5C19132E">
            <w:pPr>
              <w:spacing w:line="360" w:lineRule="auto"/>
              <w:jc w:val="left"/>
              <w:rPr>
                <w:rFonts w:eastAsiaTheme="minorEastAsia"/>
                <w:sz w:val="20"/>
              </w:rPr>
            </w:pPr>
            <w:r>
              <w:rPr>
                <w:rFonts w:eastAsiaTheme="minorEastAsia"/>
                <w:sz w:val="20"/>
              </w:rPr>
              <w:t>对原有工程</w:t>
            </w:r>
            <w:r>
              <w:rPr>
                <w:rFonts w:hint="eastAsia" w:eastAsiaTheme="minorEastAsia"/>
                <w:sz w:val="20"/>
              </w:rPr>
              <w:t>抗浮</w:t>
            </w:r>
            <w:r>
              <w:rPr>
                <w:rFonts w:eastAsiaTheme="minorEastAsia"/>
                <w:sz w:val="20"/>
              </w:rPr>
              <w:t>影响较大的</w:t>
            </w:r>
            <w:r>
              <w:rPr>
                <w:rFonts w:hint="eastAsia" w:eastAsiaTheme="minorEastAsia"/>
                <w:sz w:val="20"/>
              </w:rPr>
              <w:t>接</w:t>
            </w:r>
            <w:r>
              <w:rPr>
                <w:rFonts w:eastAsiaTheme="minorEastAsia"/>
                <w:sz w:val="20"/>
              </w:rPr>
              <w:t>建建筑</w:t>
            </w:r>
            <w:r>
              <w:rPr>
                <w:rFonts w:hint="eastAsia" w:eastAsiaTheme="minorEastAsia"/>
                <w:sz w:val="20"/>
              </w:rPr>
              <w:t>工程；</w:t>
            </w:r>
          </w:p>
          <w:p w14:paraId="49019FEE">
            <w:pPr>
              <w:spacing w:line="360" w:lineRule="auto"/>
              <w:jc w:val="left"/>
              <w:rPr>
                <w:rFonts w:eastAsiaTheme="minorEastAsia"/>
                <w:sz w:val="20"/>
              </w:rPr>
            </w:pPr>
            <w:r>
              <w:rPr>
                <w:rFonts w:hint="eastAsia" w:eastAsiaTheme="minorEastAsia"/>
                <w:sz w:val="20"/>
              </w:rPr>
              <w:t>抗浮失效危害严重的工程；</w:t>
            </w:r>
          </w:p>
          <w:p w14:paraId="5E614D98">
            <w:pPr>
              <w:spacing w:line="360" w:lineRule="auto"/>
              <w:jc w:val="left"/>
              <w:rPr>
                <w:rFonts w:eastAsiaTheme="minorEastAsia"/>
                <w:sz w:val="20"/>
              </w:rPr>
            </w:pPr>
            <w:r>
              <w:rPr>
                <w:rFonts w:eastAsiaTheme="minorEastAsia"/>
                <w:sz w:val="20"/>
              </w:rPr>
              <w:t>对</w:t>
            </w:r>
            <w:r>
              <w:rPr>
                <w:rFonts w:hint="eastAsia" w:eastAsiaTheme="minorEastAsia"/>
                <w:sz w:val="20"/>
              </w:rPr>
              <w:t>变形、渗漏及室内环境</w:t>
            </w:r>
            <w:r>
              <w:rPr>
                <w:rFonts w:eastAsiaTheme="minorEastAsia"/>
                <w:sz w:val="20"/>
              </w:rPr>
              <w:t>等有特殊要求的工程</w:t>
            </w:r>
            <w:r>
              <w:rPr>
                <w:rFonts w:hint="eastAsia" w:eastAsiaTheme="minorEastAsia"/>
                <w:sz w:val="20"/>
              </w:rPr>
              <w:t>；</w:t>
            </w:r>
          </w:p>
          <w:p w14:paraId="55EA9BC8">
            <w:pPr>
              <w:spacing w:line="360" w:lineRule="auto"/>
              <w:jc w:val="left"/>
              <w:rPr>
                <w:rFonts w:eastAsiaTheme="minorEastAsia"/>
                <w:sz w:val="20"/>
              </w:rPr>
            </w:pPr>
            <w:r>
              <w:rPr>
                <w:rFonts w:hint="eastAsia" w:eastAsiaTheme="minorEastAsia"/>
                <w:sz w:val="20"/>
              </w:rPr>
              <w:t>单建式地下建筑，包括单建式人民防空工程；</w:t>
            </w:r>
          </w:p>
          <w:p w14:paraId="24672026">
            <w:pPr>
              <w:spacing w:line="360" w:lineRule="auto"/>
              <w:jc w:val="left"/>
              <w:rPr>
                <w:rFonts w:eastAsiaTheme="minorEastAsia"/>
                <w:color w:val="75BD42" w:themeColor="accent4"/>
                <w:sz w:val="20"/>
                <w14:textFill>
                  <w14:solidFill>
                    <w14:schemeClr w14:val="accent4"/>
                  </w14:solidFill>
                </w14:textFill>
              </w:rPr>
            </w:pPr>
            <w:r>
              <w:rPr>
                <w:rFonts w:eastAsiaTheme="minorEastAsia"/>
                <w:sz w:val="20"/>
              </w:rPr>
              <w:t>场地</w:t>
            </w:r>
            <w:r>
              <w:rPr>
                <w:rFonts w:hint="eastAsia" w:eastAsiaTheme="minorEastAsia"/>
                <w:sz w:val="20"/>
              </w:rPr>
              <w:t>、地基条件和工程水文地质条件</w:t>
            </w:r>
            <w:r>
              <w:rPr>
                <w:rFonts w:eastAsiaTheme="minorEastAsia"/>
                <w:sz w:val="20"/>
              </w:rPr>
              <w:t>复杂的工程</w:t>
            </w:r>
            <w:r>
              <w:rPr>
                <w:rFonts w:hint="eastAsia" w:eastAsiaTheme="minorEastAsia"/>
                <w:sz w:val="20"/>
              </w:rPr>
              <w:t>；</w:t>
            </w:r>
          </w:p>
          <w:p w14:paraId="23491923">
            <w:pPr>
              <w:spacing w:line="360" w:lineRule="auto"/>
              <w:jc w:val="left"/>
              <w:rPr>
                <w:rFonts w:eastAsiaTheme="minorEastAsia"/>
                <w:sz w:val="20"/>
              </w:rPr>
            </w:pPr>
            <w:r>
              <w:rPr>
                <w:rFonts w:eastAsiaTheme="minorEastAsia"/>
                <w:sz w:val="20"/>
              </w:rPr>
              <w:t>设计地坪低于防洪设防水位或存在浸水淹没可能的工程</w:t>
            </w:r>
            <w:r>
              <w:rPr>
                <w:rFonts w:hint="eastAsia" w:eastAsiaTheme="minorEastAsia"/>
                <w:sz w:val="20"/>
              </w:rPr>
              <w:t>。</w:t>
            </w:r>
          </w:p>
        </w:tc>
      </w:tr>
      <w:tr w14:paraId="3990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center"/>
          </w:tcPr>
          <w:p w14:paraId="72AB776E">
            <w:pPr>
              <w:spacing w:line="360" w:lineRule="auto"/>
              <w:jc w:val="center"/>
              <w:rPr>
                <w:rFonts w:eastAsiaTheme="minorEastAsia"/>
                <w:sz w:val="20"/>
              </w:rPr>
            </w:pPr>
            <w:r>
              <w:rPr>
                <w:rFonts w:hint="eastAsia" w:eastAsiaTheme="minorEastAsia"/>
                <w:sz w:val="20"/>
              </w:rPr>
              <w:t>乙级</w:t>
            </w:r>
          </w:p>
        </w:tc>
        <w:tc>
          <w:tcPr>
            <w:tcW w:w="7312" w:type="dxa"/>
            <w:vAlign w:val="center"/>
          </w:tcPr>
          <w:p w14:paraId="37119BBE">
            <w:pPr>
              <w:spacing w:line="360" w:lineRule="auto"/>
              <w:jc w:val="left"/>
              <w:rPr>
                <w:rFonts w:eastAsiaTheme="minorEastAsia"/>
                <w:sz w:val="20"/>
              </w:rPr>
            </w:pPr>
            <w:r>
              <w:rPr>
                <w:rFonts w:eastAsiaTheme="minorEastAsia"/>
                <w:sz w:val="20"/>
              </w:rPr>
              <w:t>除甲级和丙级外的</w:t>
            </w:r>
            <w:r>
              <w:rPr>
                <w:rFonts w:hint="eastAsia" w:eastAsiaTheme="minorEastAsia"/>
                <w:sz w:val="20"/>
              </w:rPr>
              <w:t>工业与民用建筑物</w:t>
            </w:r>
          </w:p>
        </w:tc>
      </w:tr>
      <w:tr w14:paraId="5133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center"/>
          </w:tcPr>
          <w:p w14:paraId="78A4DABC">
            <w:pPr>
              <w:spacing w:line="360" w:lineRule="auto"/>
              <w:jc w:val="center"/>
              <w:rPr>
                <w:rFonts w:eastAsiaTheme="minorEastAsia"/>
                <w:sz w:val="20"/>
              </w:rPr>
            </w:pPr>
            <w:r>
              <w:rPr>
                <w:rFonts w:hint="eastAsia" w:eastAsiaTheme="minorEastAsia"/>
                <w:sz w:val="20"/>
              </w:rPr>
              <w:t>丙级</w:t>
            </w:r>
          </w:p>
        </w:tc>
        <w:tc>
          <w:tcPr>
            <w:tcW w:w="7312" w:type="dxa"/>
            <w:vAlign w:val="center"/>
          </w:tcPr>
          <w:p w14:paraId="67685F19">
            <w:pPr>
              <w:spacing w:line="360" w:lineRule="auto"/>
              <w:jc w:val="left"/>
              <w:rPr>
                <w:rFonts w:eastAsiaTheme="minorEastAsia"/>
                <w:sz w:val="20"/>
              </w:rPr>
            </w:pPr>
            <w:r>
              <w:rPr>
                <w:rFonts w:eastAsiaTheme="minorEastAsia"/>
                <w:sz w:val="20"/>
              </w:rPr>
              <w:t>场地工程地质和水文地质条件简单</w:t>
            </w:r>
            <w:r>
              <w:rPr>
                <w:rFonts w:hint="eastAsia" w:eastAsiaTheme="minorEastAsia"/>
                <w:sz w:val="20"/>
              </w:rPr>
              <w:t>，且</w:t>
            </w:r>
            <w:r>
              <w:rPr>
                <w:rFonts w:eastAsiaTheme="minorEastAsia"/>
                <w:sz w:val="20"/>
              </w:rPr>
              <w:t>荷载分布均匀的工程</w:t>
            </w:r>
            <w:r>
              <w:rPr>
                <w:rFonts w:hint="eastAsia" w:eastAsiaTheme="minorEastAsia"/>
                <w:sz w:val="20"/>
              </w:rPr>
              <w:t>；</w:t>
            </w:r>
          </w:p>
          <w:p w14:paraId="2A152537">
            <w:pPr>
              <w:spacing w:line="360" w:lineRule="auto"/>
              <w:jc w:val="left"/>
              <w:rPr>
                <w:rFonts w:eastAsiaTheme="minorEastAsia"/>
                <w:sz w:val="20"/>
              </w:rPr>
            </w:pPr>
            <w:r>
              <w:rPr>
                <w:rFonts w:hint="eastAsia" w:eastAsiaTheme="minorEastAsia"/>
                <w:sz w:val="20"/>
              </w:rPr>
              <w:t>抗浮失效对工程安全危害不严重的工程；</w:t>
            </w:r>
          </w:p>
          <w:p w14:paraId="08416E60">
            <w:pPr>
              <w:spacing w:line="360" w:lineRule="auto"/>
              <w:jc w:val="left"/>
              <w:rPr>
                <w:rFonts w:eastAsiaTheme="minorEastAsia"/>
                <w:sz w:val="20"/>
              </w:rPr>
            </w:pPr>
            <w:r>
              <w:rPr>
                <w:rFonts w:eastAsiaTheme="minorEastAsia"/>
                <w:sz w:val="20"/>
              </w:rPr>
              <w:t>无特殊要求的临时性地下工程。</w:t>
            </w:r>
          </w:p>
        </w:tc>
      </w:tr>
    </w:tbl>
    <w:p w14:paraId="52E2005A">
      <w:pPr>
        <w:numPr>
          <w:ilvl w:val="0"/>
          <w:numId w:val="4"/>
        </w:numPr>
        <w:spacing w:line="360" w:lineRule="auto"/>
        <w:ind w:firstLine="0"/>
        <w:rPr>
          <w:rFonts w:eastAsiaTheme="minorEastAsia"/>
          <w:sz w:val="24"/>
          <w:szCs w:val="24"/>
        </w:rPr>
      </w:pPr>
      <w:r>
        <w:rPr>
          <w:rFonts w:hint="eastAsia" w:eastAsiaTheme="minorEastAsia"/>
          <w:sz w:val="24"/>
          <w:szCs w:val="24"/>
        </w:rPr>
        <w:t>建筑结构和构件</w:t>
      </w:r>
      <w:r>
        <w:rPr>
          <w:rFonts w:eastAsiaTheme="minorEastAsia"/>
          <w:sz w:val="24"/>
          <w:szCs w:val="24"/>
        </w:rPr>
        <w:t>抗浮应按下列</w:t>
      </w:r>
      <w:r>
        <w:rPr>
          <w:rFonts w:hint="eastAsia" w:eastAsiaTheme="minorEastAsia"/>
          <w:sz w:val="24"/>
          <w:szCs w:val="24"/>
        </w:rPr>
        <w:t>两</w:t>
      </w:r>
      <w:r>
        <w:rPr>
          <w:rFonts w:eastAsiaTheme="minorEastAsia"/>
          <w:sz w:val="24"/>
          <w:szCs w:val="24"/>
        </w:rPr>
        <w:t>类极限状态</w:t>
      </w:r>
      <w:r>
        <w:rPr>
          <w:rFonts w:hint="eastAsia" w:eastAsiaTheme="minorEastAsia"/>
          <w:sz w:val="24"/>
          <w:szCs w:val="24"/>
        </w:rPr>
        <w:t>进行设计。</w:t>
      </w:r>
    </w:p>
    <w:p w14:paraId="43346020">
      <w:pPr>
        <w:numPr>
          <w:ilvl w:val="0"/>
          <w:numId w:val="5"/>
        </w:numPr>
        <w:tabs>
          <w:tab w:val="left" w:pos="320"/>
          <w:tab w:val="clear" w:pos="420"/>
        </w:tabs>
        <w:spacing w:line="360" w:lineRule="auto"/>
        <w:ind w:hanging="105"/>
        <w:rPr>
          <w:rFonts w:eastAsiaTheme="minorEastAsia"/>
          <w:sz w:val="24"/>
          <w:szCs w:val="24"/>
        </w:rPr>
      </w:pPr>
      <w:r>
        <w:rPr>
          <w:rFonts w:eastAsiaTheme="minorEastAsia"/>
          <w:sz w:val="24"/>
          <w:szCs w:val="24"/>
        </w:rPr>
        <w:t>承载能力极限状态</w:t>
      </w:r>
      <w:r>
        <w:rPr>
          <w:rFonts w:hint="eastAsia" w:eastAsiaTheme="minorEastAsia"/>
          <w:sz w:val="24"/>
          <w:szCs w:val="24"/>
        </w:rPr>
        <w:t>，</w:t>
      </w:r>
      <w:r>
        <w:rPr>
          <w:rFonts w:eastAsiaTheme="minorEastAsia"/>
          <w:sz w:val="24"/>
          <w:szCs w:val="24"/>
        </w:rPr>
        <w:t>应包括</w:t>
      </w:r>
      <w:r>
        <w:rPr>
          <w:rFonts w:hint="eastAsia" w:eastAsiaTheme="minorEastAsia"/>
          <w:sz w:val="24"/>
          <w:szCs w:val="24"/>
        </w:rPr>
        <w:t>：</w:t>
      </w:r>
    </w:p>
    <w:p w14:paraId="4B5886E3">
      <w:pPr>
        <w:numPr>
          <w:ilvl w:val="0"/>
          <w:numId w:val="6"/>
        </w:numPr>
        <w:spacing w:line="360" w:lineRule="auto"/>
        <w:ind w:left="640" w:leftChars="200"/>
        <w:rPr>
          <w:rFonts w:eastAsiaTheme="minorEastAsia"/>
          <w:sz w:val="24"/>
          <w:szCs w:val="24"/>
        </w:rPr>
      </w:pPr>
      <w:r>
        <w:rPr>
          <w:rFonts w:eastAsiaTheme="minorEastAsia"/>
          <w:sz w:val="24"/>
          <w:szCs w:val="24"/>
        </w:rPr>
        <w:t>地下结构和抗浮构件应力达到材料强度极限</w:t>
      </w:r>
      <w:r>
        <w:rPr>
          <w:rFonts w:hint="eastAsia" w:eastAsiaTheme="minorEastAsia"/>
          <w:sz w:val="24"/>
          <w:szCs w:val="24"/>
        </w:rPr>
        <w:t>；</w:t>
      </w:r>
    </w:p>
    <w:p w14:paraId="1E3B9573">
      <w:pPr>
        <w:numPr>
          <w:ilvl w:val="0"/>
          <w:numId w:val="6"/>
        </w:numPr>
        <w:spacing w:line="360" w:lineRule="auto"/>
        <w:ind w:left="640" w:leftChars="200"/>
        <w:rPr>
          <w:rFonts w:eastAsiaTheme="minorEastAsia"/>
          <w:sz w:val="24"/>
          <w:szCs w:val="24"/>
        </w:rPr>
      </w:pPr>
      <w:r>
        <w:rPr>
          <w:rFonts w:eastAsiaTheme="minorEastAsia"/>
          <w:sz w:val="24"/>
          <w:szCs w:val="24"/>
        </w:rPr>
        <w:t>锚固系统失效</w:t>
      </w:r>
      <w:r>
        <w:rPr>
          <w:rFonts w:hint="eastAsia" w:eastAsiaTheme="minorEastAsia"/>
          <w:sz w:val="24"/>
          <w:szCs w:val="24"/>
        </w:rPr>
        <w:t>；</w:t>
      </w:r>
    </w:p>
    <w:p w14:paraId="6EE10E3A">
      <w:pPr>
        <w:numPr>
          <w:ilvl w:val="0"/>
          <w:numId w:val="6"/>
        </w:numPr>
        <w:spacing w:line="360" w:lineRule="auto"/>
        <w:ind w:left="640" w:leftChars="200"/>
        <w:rPr>
          <w:rFonts w:eastAsiaTheme="minorEastAsia"/>
          <w:sz w:val="24"/>
          <w:szCs w:val="24"/>
        </w:rPr>
      </w:pPr>
      <w:r>
        <w:rPr>
          <w:rFonts w:eastAsiaTheme="minorEastAsia"/>
          <w:sz w:val="24"/>
          <w:szCs w:val="24"/>
        </w:rPr>
        <w:t>因过度变形不适于继续承受荷载</w:t>
      </w:r>
      <w:r>
        <w:rPr>
          <w:rFonts w:hint="eastAsia" w:eastAsiaTheme="minorEastAsia"/>
          <w:sz w:val="24"/>
          <w:szCs w:val="24"/>
        </w:rPr>
        <w:t>；</w:t>
      </w:r>
    </w:p>
    <w:p w14:paraId="4AEBC2C7">
      <w:pPr>
        <w:numPr>
          <w:ilvl w:val="0"/>
          <w:numId w:val="6"/>
        </w:numPr>
        <w:spacing w:line="360" w:lineRule="auto"/>
        <w:ind w:left="640" w:leftChars="200"/>
        <w:rPr>
          <w:rFonts w:eastAsiaTheme="minorEastAsia"/>
          <w:sz w:val="24"/>
          <w:szCs w:val="24"/>
        </w:rPr>
      </w:pPr>
      <w:r>
        <w:rPr>
          <w:rFonts w:eastAsiaTheme="minorEastAsia"/>
          <w:sz w:val="24"/>
          <w:szCs w:val="24"/>
        </w:rPr>
        <w:t>整体及局部失稳破坏。</w:t>
      </w:r>
    </w:p>
    <w:p w14:paraId="519C21EF">
      <w:pPr>
        <w:numPr>
          <w:ilvl w:val="0"/>
          <w:numId w:val="5"/>
        </w:numPr>
        <w:tabs>
          <w:tab w:val="left" w:pos="320"/>
          <w:tab w:val="clear" w:pos="420"/>
        </w:tabs>
        <w:spacing w:line="360" w:lineRule="auto"/>
        <w:ind w:hanging="105"/>
        <w:rPr>
          <w:rFonts w:eastAsiaTheme="minorEastAsia"/>
          <w:sz w:val="24"/>
          <w:szCs w:val="24"/>
        </w:rPr>
      </w:pPr>
      <w:r>
        <w:rPr>
          <w:rFonts w:eastAsiaTheme="minorEastAsia"/>
          <w:sz w:val="24"/>
          <w:szCs w:val="24"/>
        </w:rPr>
        <w:t>正常使用极限状态</w:t>
      </w:r>
      <w:r>
        <w:rPr>
          <w:rFonts w:hint="eastAsia" w:eastAsiaTheme="minorEastAsia"/>
          <w:sz w:val="24"/>
          <w:szCs w:val="24"/>
        </w:rPr>
        <w:t>，</w:t>
      </w:r>
      <w:r>
        <w:rPr>
          <w:rFonts w:eastAsiaTheme="minorEastAsia"/>
          <w:sz w:val="24"/>
          <w:szCs w:val="24"/>
        </w:rPr>
        <w:t>应包括</w:t>
      </w:r>
      <w:r>
        <w:rPr>
          <w:rFonts w:hint="eastAsia" w:eastAsiaTheme="minorEastAsia"/>
          <w:sz w:val="24"/>
          <w:szCs w:val="24"/>
        </w:rPr>
        <w:t>：</w:t>
      </w:r>
    </w:p>
    <w:p w14:paraId="6DCEBF43">
      <w:pPr>
        <w:numPr>
          <w:ilvl w:val="0"/>
          <w:numId w:val="7"/>
        </w:numPr>
        <w:spacing w:line="360" w:lineRule="auto"/>
        <w:ind w:left="640" w:leftChars="200"/>
        <w:rPr>
          <w:rFonts w:eastAsiaTheme="minorEastAsia"/>
          <w:sz w:val="24"/>
          <w:szCs w:val="24"/>
        </w:rPr>
      </w:pPr>
      <w:r>
        <w:rPr>
          <w:rFonts w:eastAsiaTheme="minorEastAsia"/>
          <w:sz w:val="24"/>
          <w:szCs w:val="24"/>
        </w:rPr>
        <w:t>达到正常使用所规定的变形限值</w:t>
      </w:r>
      <w:r>
        <w:rPr>
          <w:rFonts w:hint="eastAsia" w:eastAsiaTheme="minorEastAsia"/>
          <w:sz w:val="24"/>
          <w:szCs w:val="24"/>
        </w:rPr>
        <w:t>；</w:t>
      </w:r>
    </w:p>
    <w:p w14:paraId="2F8C6DB1">
      <w:pPr>
        <w:numPr>
          <w:ilvl w:val="0"/>
          <w:numId w:val="7"/>
        </w:numPr>
        <w:spacing w:line="360" w:lineRule="auto"/>
        <w:ind w:left="640" w:leftChars="200"/>
        <w:rPr>
          <w:rFonts w:eastAsiaTheme="minorEastAsia"/>
          <w:sz w:val="24"/>
          <w:szCs w:val="24"/>
        </w:rPr>
      </w:pPr>
      <w:r>
        <w:rPr>
          <w:rFonts w:eastAsiaTheme="minorEastAsia"/>
          <w:sz w:val="24"/>
          <w:szCs w:val="24"/>
        </w:rPr>
        <w:t>达到耐久性要求的限值。</w:t>
      </w:r>
    </w:p>
    <w:p w14:paraId="3958FEFC">
      <w:pPr>
        <w:numPr>
          <w:ilvl w:val="0"/>
          <w:numId w:val="4"/>
        </w:numPr>
        <w:spacing w:line="360" w:lineRule="auto"/>
        <w:ind w:firstLine="0"/>
        <w:jc w:val="left"/>
        <w:rPr>
          <w:rFonts w:eastAsiaTheme="minorEastAsia"/>
          <w:sz w:val="24"/>
          <w:szCs w:val="24"/>
        </w:rPr>
      </w:pPr>
      <w:r>
        <w:rPr>
          <w:rFonts w:hint="eastAsia" w:eastAsiaTheme="minorEastAsia"/>
          <w:sz w:val="24"/>
          <w:szCs w:val="24"/>
        </w:rPr>
        <w:t>建筑工程</w:t>
      </w:r>
      <w:r>
        <w:rPr>
          <w:rFonts w:eastAsiaTheme="minorEastAsia"/>
          <w:sz w:val="24"/>
          <w:szCs w:val="24"/>
        </w:rPr>
        <w:t>抗浮设计应包括</w:t>
      </w:r>
      <w:r>
        <w:rPr>
          <w:rFonts w:hint="eastAsia" w:eastAsiaTheme="minorEastAsia"/>
          <w:sz w:val="24"/>
          <w:szCs w:val="24"/>
        </w:rPr>
        <w:t>以下内容，并按附录A编制抗浮设计专篇：</w:t>
      </w:r>
    </w:p>
    <w:p w14:paraId="263AE1AA">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抗浮稳定性验算</w:t>
      </w:r>
      <w:r>
        <w:rPr>
          <w:rFonts w:hint="eastAsia" w:eastAsiaTheme="minorEastAsia"/>
          <w:sz w:val="24"/>
          <w:szCs w:val="24"/>
        </w:rPr>
        <w:t>；</w:t>
      </w:r>
    </w:p>
    <w:p w14:paraId="3BF0019D">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抗浮措施选择</w:t>
      </w:r>
      <w:r>
        <w:rPr>
          <w:rFonts w:hint="eastAsia" w:eastAsiaTheme="minorEastAsia"/>
          <w:sz w:val="24"/>
          <w:szCs w:val="24"/>
        </w:rPr>
        <w:t>；</w:t>
      </w:r>
    </w:p>
    <w:p w14:paraId="017AA920">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抗浮构件计算或验算</w:t>
      </w:r>
      <w:r>
        <w:rPr>
          <w:rFonts w:hint="eastAsia" w:eastAsiaTheme="minorEastAsia"/>
          <w:sz w:val="24"/>
          <w:szCs w:val="24"/>
        </w:rPr>
        <w:t>；</w:t>
      </w:r>
    </w:p>
    <w:p w14:paraId="59B6CFDE">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耐久性设计和构造设计</w:t>
      </w:r>
      <w:r>
        <w:rPr>
          <w:rFonts w:hint="eastAsia" w:eastAsiaTheme="minorEastAsia"/>
          <w:sz w:val="24"/>
          <w:szCs w:val="24"/>
        </w:rPr>
        <w:t>；</w:t>
      </w:r>
    </w:p>
    <w:p w14:paraId="55516E09">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抗浮构件性能试验</w:t>
      </w:r>
      <w:r>
        <w:rPr>
          <w:rFonts w:hint="eastAsia" w:eastAsiaTheme="minorEastAsia"/>
          <w:sz w:val="24"/>
          <w:szCs w:val="24"/>
        </w:rPr>
        <w:t>；</w:t>
      </w:r>
    </w:p>
    <w:p w14:paraId="2FF73446">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施工及质量验收标准</w:t>
      </w:r>
      <w:r>
        <w:rPr>
          <w:rFonts w:hint="eastAsia" w:eastAsiaTheme="minorEastAsia"/>
          <w:sz w:val="24"/>
          <w:szCs w:val="24"/>
        </w:rPr>
        <w:t>；</w:t>
      </w:r>
    </w:p>
    <w:p w14:paraId="399D3593">
      <w:pPr>
        <w:numPr>
          <w:ilvl w:val="0"/>
          <w:numId w:val="8"/>
        </w:numPr>
        <w:tabs>
          <w:tab w:val="left" w:pos="320"/>
          <w:tab w:val="clear" w:pos="420"/>
        </w:tabs>
        <w:spacing w:line="360" w:lineRule="auto"/>
        <w:ind w:hanging="105"/>
        <w:jc w:val="left"/>
        <w:rPr>
          <w:rFonts w:eastAsiaTheme="minorEastAsia"/>
          <w:sz w:val="24"/>
          <w:szCs w:val="24"/>
        </w:rPr>
      </w:pPr>
      <w:r>
        <w:rPr>
          <w:rFonts w:eastAsiaTheme="minorEastAsia"/>
          <w:sz w:val="24"/>
          <w:szCs w:val="24"/>
        </w:rPr>
        <w:t>监测与维护等要求。</w:t>
      </w:r>
    </w:p>
    <w:p w14:paraId="5F1D2191">
      <w:pPr>
        <w:numPr>
          <w:ilvl w:val="0"/>
          <w:numId w:val="4"/>
        </w:numPr>
        <w:spacing w:line="360" w:lineRule="auto"/>
        <w:ind w:firstLine="0"/>
        <w:jc w:val="left"/>
        <w:rPr>
          <w:rFonts w:eastAsiaTheme="minorEastAsia"/>
          <w:sz w:val="24"/>
          <w:szCs w:val="24"/>
        </w:rPr>
      </w:pPr>
      <w:r>
        <w:rPr>
          <w:rFonts w:eastAsiaTheme="minorEastAsia"/>
          <w:sz w:val="24"/>
          <w:szCs w:val="24"/>
        </w:rPr>
        <w:t>结构</w:t>
      </w:r>
      <w:r>
        <w:rPr>
          <w:rFonts w:hint="eastAsia" w:eastAsiaTheme="minorEastAsia"/>
          <w:sz w:val="24"/>
          <w:szCs w:val="24"/>
        </w:rPr>
        <w:t>和</w:t>
      </w:r>
      <w:r>
        <w:rPr>
          <w:rFonts w:eastAsiaTheme="minorEastAsia"/>
          <w:sz w:val="24"/>
          <w:szCs w:val="24"/>
        </w:rPr>
        <w:t>构件抗浮</w:t>
      </w:r>
      <w:r>
        <w:rPr>
          <w:rFonts w:hint="eastAsia" w:eastAsiaTheme="minorEastAsia"/>
          <w:sz w:val="24"/>
          <w:szCs w:val="24"/>
        </w:rPr>
        <w:t>验算</w:t>
      </w:r>
      <w:r>
        <w:rPr>
          <w:rFonts w:eastAsiaTheme="minorEastAsia"/>
          <w:sz w:val="24"/>
          <w:szCs w:val="24"/>
        </w:rPr>
        <w:t>应</w:t>
      </w:r>
      <w:r>
        <w:rPr>
          <w:rFonts w:hint="eastAsia" w:eastAsiaTheme="minorEastAsia"/>
          <w:sz w:val="24"/>
          <w:szCs w:val="24"/>
        </w:rPr>
        <w:t>包括以下内容：</w:t>
      </w:r>
    </w:p>
    <w:p w14:paraId="7B9D975B">
      <w:pPr>
        <w:numPr>
          <w:ilvl w:val="0"/>
          <w:numId w:val="9"/>
        </w:numPr>
        <w:tabs>
          <w:tab w:val="left" w:pos="320"/>
          <w:tab w:val="clear" w:pos="420"/>
        </w:tabs>
        <w:spacing w:line="360" w:lineRule="auto"/>
        <w:ind w:hanging="105"/>
        <w:rPr>
          <w:rFonts w:eastAsiaTheme="minorEastAsia"/>
          <w:sz w:val="24"/>
          <w:szCs w:val="24"/>
        </w:rPr>
      </w:pPr>
      <w:r>
        <w:rPr>
          <w:rFonts w:eastAsiaTheme="minorEastAsia"/>
          <w:sz w:val="24"/>
          <w:szCs w:val="24"/>
        </w:rPr>
        <w:t>抗浮结构及构件的整体</w:t>
      </w:r>
      <w:r>
        <w:rPr>
          <w:rFonts w:hint="eastAsia" w:eastAsiaTheme="minorEastAsia"/>
          <w:sz w:val="24"/>
          <w:szCs w:val="24"/>
        </w:rPr>
        <w:t>和局部</w:t>
      </w:r>
      <w:r>
        <w:rPr>
          <w:rFonts w:eastAsiaTheme="minorEastAsia"/>
          <w:sz w:val="24"/>
          <w:szCs w:val="24"/>
        </w:rPr>
        <w:t>稳定性验算</w:t>
      </w:r>
      <w:r>
        <w:rPr>
          <w:rFonts w:hint="eastAsia" w:eastAsiaTheme="minorEastAsia"/>
          <w:sz w:val="24"/>
          <w:szCs w:val="24"/>
        </w:rPr>
        <w:t>；</w:t>
      </w:r>
    </w:p>
    <w:p w14:paraId="67C47C89">
      <w:pPr>
        <w:numPr>
          <w:ilvl w:val="0"/>
          <w:numId w:val="9"/>
        </w:numPr>
        <w:tabs>
          <w:tab w:val="left" w:pos="320"/>
          <w:tab w:val="clear" w:pos="420"/>
        </w:tabs>
        <w:spacing w:line="360" w:lineRule="auto"/>
        <w:ind w:hanging="105"/>
        <w:rPr>
          <w:rFonts w:eastAsiaTheme="minorEastAsia"/>
          <w:sz w:val="24"/>
          <w:szCs w:val="24"/>
        </w:rPr>
      </w:pPr>
      <w:r>
        <w:rPr>
          <w:rFonts w:eastAsiaTheme="minorEastAsia"/>
          <w:sz w:val="24"/>
          <w:szCs w:val="24"/>
        </w:rPr>
        <w:t>抗浮构件的受拉承载力、抗拔承载力及筋材受拉承载力计算</w:t>
      </w:r>
      <w:r>
        <w:rPr>
          <w:rFonts w:hint="eastAsia" w:eastAsiaTheme="minorEastAsia"/>
          <w:sz w:val="24"/>
          <w:szCs w:val="24"/>
        </w:rPr>
        <w:t>；</w:t>
      </w:r>
    </w:p>
    <w:p w14:paraId="77EA84FC">
      <w:pPr>
        <w:numPr>
          <w:ilvl w:val="0"/>
          <w:numId w:val="9"/>
        </w:numPr>
        <w:tabs>
          <w:tab w:val="left" w:pos="320"/>
          <w:tab w:val="clear" w:pos="420"/>
        </w:tabs>
        <w:spacing w:line="360" w:lineRule="auto"/>
        <w:ind w:hanging="105"/>
        <w:rPr>
          <w:rFonts w:eastAsiaTheme="minorEastAsia"/>
          <w:sz w:val="24"/>
          <w:szCs w:val="24"/>
        </w:rPr>
      </w:pPr>
      <w:r>
        <w:rPr>
          <w:rFonts w:eastAsiaTheme="minorEastAsia"/>
          <w:sz w:val="24"/>
          <w:szCs w:val="24"/>
        </w:rPr>
        <w:t>有变形、裂缝控制要求的</w:t>
      </w:r>
      <w:r>
        <w:rPr>
          <w:rFonts w:hint="eastAsia" w:eastAsiaTheme="minorEastAsia"/>
          <w:sz w:val="24"/>
          <w:szCs w:val="24"/>
        </w:rPr>
        <w:t>基础</w:t>
      </w:r>
      <w:r>
        <w:rPr>
          <w:rFonts w:eastAsiaTheme="minorEastAsia"/>
          <w:sz w:val="24"/>
          <w:szCs w:val="24"/>
        </w:rPr>
        <w:t>底板和抗浮构件的变形、裂缝验算</w:t>
      </w:r>
      <w:r>
        <w:rPr>
          <w:rFonts w:hint="eastAsia" w:eastAsiaTheme="minorEastAsia"/>
          <w:sz w:val="24"/>
          <w:szCs w:val="24"/>
        </w:rPr>
        <w:t>；</w:t>
      </w:r>
    </w:p>
    <w:p w14:paraId="7AFCA2FE">
      <w:pPr>
        <w:numPr>
          <w:ilvl w:val="0"/>
          <w:numId w:val="9"/>
        </w:numPr>
        <w:tabs>
          <w:tab w:val="left" w:pos="320"/>
          <w:tab w:val="clear" w:pos="420"/>
        </w:tabs>
        <w:spacing w:line="360" w:lineRule="auto"/>
        <w:ind w:hanging="105"/>
        <w:rPr>
          <w:rFonts w:eastAsiaTheme="minorEastAsia"/>
          <w:sz w:val="24"/>
          <w:szCs w:val="24"/>
        </w:rPr>
      </w:pPr>
      <w:r>
        <w:rPr>
          <w:rFonts w:hint="eastAsia" w:eastAsiaTheme="minorEastAsia"/>
          <w:sz w:val="24"/>
          <w:szCs w:val="24"/>
        </w:rPr>
        <w:t>基础</w:t>
      </w:r>
      <w:r>
        <w:rPr>
          <w:rFonts w:eastAsiaTheme="minorEastAsia"/>
          <w:sz w:val="24"/>
          <w:szCs w:val="24"/>
        </w:rPr>
        <w:t>底板的受冲切、受弯、受剪及局部受压承载力验算</w:t>
      </w:r>
      <w:r>
        <w:rPr>
          <w:rFonts w:hint="eastAsia" w:eastAsiaTheme="minorEastAsia"/>
          <w:sz w:val="24"/>
          <w:szCs w:val="24"/>
        </w:rPr>
        <w:t>；</w:t>
      </w:r>
    </w:p>
    <w:p w14:paraId="4905D665">
      <w:pPr>
        <w:numPr>
          <w:ilvl w:val="0"/>
          <w:numId w:val="9"/>
        </w:numPr>
        <w:tabs>
          <w:tab w:val="left" w:pos="320"/>
          <w:tab w:val="clear" w:pos="420"/>
        </w:tabs>
        <w:spacing w:line="360" w:lineRule="auto"/>
        <w:ind w:hanging="105"/>
        <w:rPr>
          <w:rFonts w:eastAsiaTheme="minorEastAsia"/>
          <w:sz w:val="24"/>
          <w:szCs w:val="24"/>
        </w:rPr>
      </w:pPr>
      <w:r>
        <w:rPr>
          <w:rFonts w:hint="eastAsia" w:eastAsiaTheme="minorEastAsia"/>
          <w:sz w:val="24"/>
          <w:szCs w:val="24"/>
        </w:rPr>
        <w:t>抗浮桩</w:t>
      </w:r>
      <w:r>
        <w:rPr>
          <w:rFonts w:eastAsiaTheme="minorEastAsia"/>
          <w:sz w:val="24"/>
          <w:szCs w:val="24"/>
        </w:rPr>
        <w:t>受压工况的受压承载力验算。</w:t>
      </w:r>
    </w:p>
    <w:p w14:paraId="7FFEBEB9">
      <w:pPr>
        <w:numPr>
          <w:ilvl w:val="0"/>
          <w:numId w:val="4"/>
        </w:numPr>
        <w:spacing w:line="360" w:lineRule="auto"/>
        <w:ind w:firstLine="0"/>
        <w:jc w:val="left"/>
        <w:rPr>
          <w:rFonts w:eastAsiaTheme="minorEastAsia"/>
          <w:sz w:val="24"/>
          <w:szCs w:val="24"/>
        </w:rPr>
      </w:pPr>
      <w:r>
        <w:rPr>
          <w:rFonts w:hint="eastAsia" w:eastAsiaTheme="minorEastAsia"/>
          <w:sz w:val="24"/>
          <w:szCs w:val="24"/>
        </w:rPr>
        <w:t>建筑工程使用期的抗浮设计控制条件应综合考虑各因素条件，按最不利组合工况确定。设计计算不满足要求时，应根据影响设计计算的因素采取相应的抗浮措施。</w:t>
      </w:r>
    </w:p>
    <w:p w14:paraId="6AE7BDD5">
      <w:pPr>
        <w:numPr>
          <w:ilvl w:val="0"/>
          <w:numId w:val="4"/>
        </w:numPr>
        <w:spacing w:line="360" w:lineRule="auto"/>
        <w:ind w:firstLine="0"/>
        <w:jc w:val="left"/>
        <w:rPr>
          <w:rFonts w:eastAsiaTheme="minorEastAsia"/>
          <w:sz w:val="24"/>
          <w:szCs w:val="24"/>
        </w:rPr>
      </w:pPr>
      <w:r>
        <w:rPr>
          <w:rFonts w:hint="eastAsia" w:eastAsiaTheme="minorEastAsia"/>
          <w:sz w:val="24"/>
          <w:szCs w:val="24"/>
        </w:rPr>
        <w:t>建筑工程</w:t>
      </w:r>
      <w:r>
        <w:rPr>
          <w:rFonts w:eastAsiaTheme="minorEastAsia"/>
          <w:sz w:val="24"/>
          <w:szCs w:val="24"/>
        </w:rPr>
        <w:t>抗浮措施应综合考虑工程地质和水文地质条件</w:t>
      </w:r>
      <w:r>
        <w:rPr>
          <w:rFonts w:hint="eastAsia" w:eastAsiaTheme="minorEastAsia"/>
          <w:sz w:val="24"/>
          <w:szCs w:val="24"/>
        </w:rPr>
        <w:t>、</w:t>
      </w:r>
      <w:r>
        <w:rPr>
          <w:rFonts w:eastAsiaTheme="minorEastAsia"/>
          <w:sz w:val="24"/>
          <w:szCs w:val="24"/>
        </w:rPr>
        <w:t>抗浮设防水位、上部结构荷载及刚度、场地环境条件、施工条件、抗浮措施的长期可靠性和耐久性等因素，通过技术经济比较分析后确定。</w:t>
      </w:r>
    </w:p>
    <w:p w14:paraId="576A93AE">
      <w:pPr>
        <w:numPr>
          <w:ilvl w:val="0"/>
          <w:numId w:val="4"/>
        </w:numPr>
        <w:spacing w:line="360" w:lineRule="auto"/>
        <w:ind w:firstLine="0"/>
        <w:jc w:val="left"/>
        <w:rPr>
          <w:rFonts w:eastAsiaTheme="minorEastAsia"/>
          <w:sz w:val="24"/>
          <w:szCs w:val="24"/>
        </w:rPr>
      </w:pPr>
      <w:r>
        <w:rPr>
          <w:rFonts w:eastAsiaTheme="minorEastAsia"/>
          <w:sz w:val="24"/>
          <w:szCs w:val="24"/>
        </w:rPr>
        <w:t>抗浮</w:t>
      </w:r>
      <w:r>
        <w:rPr>
          <w:rFonts w:hint="eastAsia" w:eastAsiaTheme="minorEastAsia"/>
          <w:sz w:val="24"/>
          <w:szCs w:val="24"/>
        </w:rPr>
        <w:t>措施应</w:t>
      </w:r>
      <w:r>
        <w:rPr>
          <w:rFonts w:eastAsiaTheme="minorEastAsia"/>
          <w:sz w:val="24"/>
          <w:szCs w:val="24"/>
        </w:rPr>
        <w:t>满足抗浮</w:t>
      </w:r>
      <w:r>
        <w:rPr>
          <w:rFonts w:hint="eastAsia" w:eastAsiaTheme="minorEastAsia"/>
          <w:sz w:val="24"/>
          <w:szCs w:val="24"/>
        </w:rPr>
        <w:t>设计</w:t>
      </w:r>
      <w:r>
        <w:rPr>
          <w:rFonts w:eastAsiaTheme="minorEastAsia"/>
          <w:sz w:val="24"/>
          <w:szCs w:val="24"/>
        </w:rPr>
        <w:t>要求</w:t>
      </w:r>
      <w:r>
        <w:rPr>
          <w:rFonts w:hint="eastAsia" w:eastAsiaTheme="minorEastAsia"/>
          <w:sz w:val="24"/>
          <w:szCs w:val="24"/>
        </w:rPr>
        <w:t>，尚</w:t>
      </w:r>
      <w:r>
        <w:rPr>
          <w:rFonts w:eastAsiaTheme="minorEastAsia"/>
          <w:sz w:val="24"/>
          <w:szCs w:val="24"/>
        </w:rPr>
        <w:t>应确保地基土满足承载力及变形控制要求，</w:t>
      </w:r>
      <w:r>
        <w:rPr>
          <w:rFonts w:hint="eastAsia" w:eastAsiaTheme="minorEastAsia"/>
          <w:sz w:val="24"/>
          <w:szCs w:val="24"/>
        </w:rPr>
        <w:t>并</w:t>
      </w:r>
      <w:r>
        <w:rPr>
          <w:rFonts w:eastAsiaTheme="minorEastAsia"/>
          <w:sz w:val="24"/>
          <w:szCs w:val="24"/>
        </w:rPr>
        <w:t>应兼顾裙房或纯地下车库与主楼之间差异沉降控制。</w:t>
      </w:r>
    </w:p>
    <w:p w14:paraId="2EB06B6E">
      <w:pPr>
        <w:numPr>
          <w:ilvl w:val="0"/>
          <w:numId w:val="4"/>
        </w:numPr>
        <w:spacing w:line="360" w:lineRule="auto"/>
        <w:ind w:firstLine="0"/>
        <w:jc w:val="left"/>
        <w:rPr>
          <w:rFonts w:eastAsiaTheme="minorEastAsia"/>
          <w:sz w:val="24"/>
          <w:szCs w:val="24"/>
        </w:rPr>
      </w:pPr>
      <w:r>
        <w:rPr>
          <w:rFonts w:hint="eastAsia" w:ascii="宋体" w:hAnsi="宋体" w:eastAsia="宋体" w:cs="宋体"/>
          <w:sz w:val="24"/>
          <w:szCs w:val="24"/>
          <w:shd w:val="clear" w:color="auto" w:fill="FFFFFF"/>
        </w:rPr>
        <w:t>采用抗浮锚杆或抗浮桩时，应进行基础底板与抗浮构件的协同工作分析，确保底板刚度和承载力满足抗浮构件受力均匀的要求。</w:t>
      </w:r>
    </w:p>
    <w:p w14:paraId="4116200C">
      <w:pPr>
        <w:numPr>
          <w:ilvl w:val="0"/>
          <w:numId w:val="4"/>
        </w:numPr>
        <w:spacing w:line="360" w:lineRule="auto"/>
        <w:ind w:firstLine="0"/>
        <w:jc w:val="left"/>
        <w:rPr>
          <w:rFonts w:eastAsia="楷体"/>
          <w:sz w:val="22"/>
          <w:szCs w:val="22"/>
        </w:rPr>
      </w:pPr>
      <w:r>
        <w:rPr>
          <w:rFonts w:hint="eastAsia" w:ascii="宋体" w:hAnsi="宋体" w:eastAsia="宋体" w:cs="宋体"/>
          <w:sz w:val="24"/>
          <w:szCs w:val="24"/>
          <w:shd w:val="clear" w:color="auto" w:fill="FFFFFF"/>
        </w:rPr>
        <w:t>对于需抗浮治理的既有建筑，当出现以下情况时应委托岩土工程勘察单位重新进行抗浮勘察：</w:t>
      </w:r>
    </w:p>
    <w:p w14:paraId="08D831F9">
      <w:pPr>
        <w:numPr>
          <w:ilvl w:val="0"/>
          <w:numId w:val="10"/>
        </w:numPr>
        <w:tabs>
          <w:tab w:val="left" w:pos="320"/>
          <w:tab w:val="clear" w:pos="420"/>
        </w:tabs>
        <w:spacing w:line="360" w:lineRule="auto"/>
        <w:ind w:hanging="105"/>
        <w:rPr>
          <w:rFonts w:eastAsia="宋体" w:cs="宋体"/>
          <w:sz w:val="24"/>
          <w:szCs w:val="24"/>
        </w:rPr>
      </w:pPr>
      <w:r>
        <w:rPr>
          <w:rFonts w:hint="eastAsia" w:eastAsia="宋体" w:cs="宋体"/>
          <w:sz w:val="24"/>
          <w:szCs w:val="24"/>
        </w:rPr>
        <w:t>无有效岩土工程勘察报告；</w:t>
      </w:r>
    </w:p>
    <w:p w14:paraId="6901C71D">
      <w:pPr>
        <w:numPr>
          <w:ilvl w:val="0"/>
          <w:numId w:val="10"/>
        </w:numPr>
        <w:tabs>
          <w:tab w:val="left" w:pos="320"/>
          <w:tab w:val="clear" w:pos="420"/>
        </w:tabs>
        <w:spacing w:line="360" w:lineRule="auto"/>
        <w:ind w:hanging="105"/>
        <w:rPr>
          <w:rFonts w:eastAsia="宋体" w:cs="宋体"/>
          <w:sz w:val="24"/>
          <w:szCs w:val="24"/>
        </w:rPr>
      </w:pPr>
      <w:r>
        <w:rPr>
          <w:rFonts w:hint="eastAsia" w:eastAsia="宋体" w:cs="宋体"/>
          <w:sz w:val="24"/>
          <w:szCs w:val="24"/>
        </w:rPr>
        <w:t>原岩土工程勘察报告不能满足设计要求；</w:t>
      </w:r>
    </w:p>
    <w:p w14:paraId="0440A371">
      <w:pPr>
        <w:numPr>
          <w:ilvl w:val="0"/>
          <w:numId w:val="10"/>
        </w:numPr>
        <w:tabs>
          <w:tab w:val="left" w:pos="320"/>
          <w:tab w:val="clear" w:pos="420"/>
        </w:tabs>
        <w:spacing w:line="360" w:lineRule="auto"/>
        <w:ind w:hanging="105"/>
        <w:rPr>
          <w:rFonts w:eastAsia="宋体" w:cs="宋体"/>
          <w:sz w:val="24"/>
          <w:szCs w:val="24"/>
        </w:rPr>
      </w:pPr>
      <w:r>
        <w:rPr>
          <w:rFonts w:hint="eastAsia" w:eastAsia="宋体" w:cs="宋体"/>
          <w:sz w:val="24"/>
          <w:szCs w:val="24"/>
        </w:rPr>
        <w:t>地下水位实测值高于原抗浮设防水位；</w:t>
      </w:r>
    </w:p>
    <w:p w14:paraId="3ECADBDA">
      <w:pPr>
        <w:numPr>
          <w:ilvl w:val="0"/>
          <w:numId w:val="10"/>
        </w:numPr>
        <w:tabs>
          <w:tab w:val="left" w:pos="320"/>
          <w:tab w:val="clear" w:pos="420"/>
        </w:tabs>
        <w:spacing w:line="360" w:lineRule="auto"/>
        <w:ind w:hanging="105"/>
        <w:rPr>
          <w:rFonts w:eastAsia="宋体" w:cs="宋体"/>
          <w:sz w:val="24"/>
          <w:szCs w:val="24"/>
          <w:shd w:val="clear" w:color="auto" w:fill="FFFFFF"/>
        </w:rPr>
      </w:pPr>
      <w:r>
        <w:rPr>
          <w:rFonts w:hint="eastAsia" w:eastAsia="宋体" w:cs="宋体"/>
          <w:sz w:val="24"/>
          <w:szCs w:val="24"/>
        </w:rPr>
        <w:t>除以上情况外，设计人要求进行补充抗浮勘察的情况。</w:t>
      </w:r>
    </w:p>
    <w:p w14:paraId="0760FDB6">
      <w:pPr>
        <w:numPr>
          <w:ilvl w:val="0"/>
          <w:numId w:val="4"/>
        </w:numPr>
        <w:spacing w:line="360" w:lineRule="auto"/>
        <w:ind w:firstLine="0"/>
        <w:jc w:val="lef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既有建筑</w:t>
      </w:r>
      <w:r>
        <w:rPr>
          <w:rFonts w:ascii="宋体" w:hAnsi="宋体" w:eastAsia="宋体" w:cs="宋体"/>
          <w:sz w:val="24"/>
          <w:szCs w:val="24"/>
          <w:shd w:val="clear" w:color="auto" w:fill="FFFFFF"/>
        </w:rPr>
        <w:t>抗浮治理设计前，</w:t>
      </w:r>
      <w:r>
        <w:rPr>
          <w:rFonts w:hint="eastAsia" w:ascii="宋体" w:hAnsi="宋体" w:eastAsia="宋体" w:cs="宋体"/>
          <w:sz w:val="24"/>
          <w:szCs w:val="24"/>
          <w:shd w:val="clear" w:color="auto" w:fill="FFFFFF"/>
        </w:rPr>
        <w:t>应</w:t>
      </w:r>
      <w:r>
        <w:rPr>
          <w:rFonts w:ascii="宋体" w:hAnsi="宋体" w:eastAsia="宋体" w:cs="宋体"/>
          <w:sz w:val="24"/>
          <w:szCs w:val="24"/>
          <w:shd w:val="clear" w:color="auto" w:fill="FFFFFF"/>
        </w:rPr>
        <w:t>先进行检测与鉴定，并依据鉴定报告进行设计</w:t>
      </w:r>
      <w:r>
        <w:rPr>
          <w:rFonts w:hint="eastAsia" w:ascii="宋体" w:hAnsi="宋体" w:eastAsia="宋体" w:cs="宋体"/>
          <w:sz w:val="24"/>
          <w:szCs w:val="24"/>
          <w:shd w:val="clear" w:color="auto" w:fill="FFFFFF"/>
        </w:rPr>
        <w:t>，抗浮检测鉴定范围可根据结构抗浮体系构成和工程实际需求确定。</w:t>
      </w:r>
    </w:p>
    <w:p w14:paraId="2EF1D57B">
      <w:pPr>
        <w:numPr>
          <w:ilvl w:val="0"/>
          <w:numId w:val="4"/>
        </w:numPr>
        <w:spacing w:line="360" w:lineRule="auto"/>
        <w:ind w:firstLine="0"/>
        <w:jc w:val="lef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既有建筑抗浮检测鉴定应准确反映结构、基础、抗浮构件的现状、承载能力、变形的分析和评价，以及压重、肥槽回填土的状态。</w:t>
      </w:r>
    </w:p>
    <w:p w14:paraId="0E97A987">
      <w:pPr>
        <w:numPr>
          <w:ilvl w:val="0"/>
          <w:numId w:val="4"/>
        </w:numPr>
        <w:spacing w:line="360" w:lineRule="auto"/>
        <w:ind w:firstLine="0"/>
        <w:jc w:val="left"/>
        <w:rPr>
          <w:rFonts w:eastAsiaTheme="minorEastAsia"/>
          <w:sz w:val="24"/>
          <w:szCs w:val="24"/>
        </w:rPr>
      </w:pPr>
      <w:r>
        <w:rPr>
          <w:rFonts w:eastAsiaTheme="minorEastAsia"/>
          <w:sz w:val="24"/>
          <w:szCs w:val="24"/>
        </w:rPr>
        <w:t>基坑肥槽回填前应清除基坑内有机杂物及被浸泡的土体，并应采用分层夯实的黏性土、灰土或浇筑预拌流态固化土、素混凝土等弱透水材料进行回填</w:t>
      </w:r>
      <w:r>
        <w:rPr>
          <w:rFonts w:hint="eastAsia" w:eastAsiaTheme="minorEastAsia"/>
          <w:sz w:val="24"/>
          <w:szCs w:val="24"/>
        </w:rPr>
        <w:t>，</w:t>
      </w:r>
      <w:r>
        <w:rPr>
          <w:rFonts w:eastAsiaTheme="minorEastAsia"/>
          <w:sz w:val="24"/>
          <w:szCs w:val="24"/>
        </w:rPr>
        <w:t>严禁采用级配砂石、碎石等透水材料</w:t>
      </w:r>
      <w:r>
        <w:rPr>
          <w:rFonts w:hint="eastAsia" w:eastAsiaTheme="minorEastAsia"/>
          <w:sz w:val="24"/>
          <w:szCs w:val="24"/>
        </w:rPr>
        <w:t>。</w:t>
      </w:r>
      <w:r>
        <w:rPr>
          <w:rFonts w:eastAsiaTheme="minorEastAsia"/>
          <w:sz w:val="24"/>
          <w:szCs w:val="24"/>
        </w:rPr>
        <w:t>采用分层夯实材料时，压实系数不小于0.94。</w:t>
      </w:r>
    </w:p>
    <w:p w14:paraId="6B4F4B59">
      <w:pPr>
        <w:numPr>
          <w:ilvl w:val="0"/>
          <w:numId w:val="4"/>
        </w:numPr>
        <w:spacing w:line="360" w:lineRule="auto"/>
        <w:ind w:firstLine="0"/>
        <w:jc w:val="left"/>
        <w:rPr>
          <w:rFonts w:eastAsiaTheme="minorEastAsia"/>
          <w:sz w:val="24"/>
          <w:szCs w:val="24"/>
        </w:rPr>
      </w:pPr>
      <w:r>
        <w:rPr>
          <w:rFonts w:eastAsiaTheme="minorEastAsia"/>
          <w:sz w:val="24"/>
          <w:szCs w:val="24"/>
        </w:rPr>
        <w:t>施工期间</w:t>
      </w:r>
      <w:r>
        <w:rPr>
          <w:rFonts w:hint="eastAsia" w:eastAsiaTheme="minorEastAsia"/>
          <w:sz w:val="24"/>
          <w:szCs w:val="24"/>
        </w:rPr>
        <w:t>应</w:t>
      </w:r>
      <w:r>
        <w:rPr>
          <w:rFonts w:eastAsiaTheme="minorEastAsia"/>
          <w:sz w:val="24"/>
          <w:szCs w:val="24"/>
        </w:rPr>
        <w:t>对各关键时间点提出抗浮稳定验算要求，提出不同阶段的稳定控制指标及技术要求。</w:t>
      </w:r>
    </w:p>
    <w:p w14:paraId="5C0A9515">
      <w:pPr>
        <w:numPr>
          <w:ilvl w:val="0"/>
          <w:numId w:val="4"/>
        </w:numPr>
        <w:spacing w:line="360" w:lineRule="auto"/>
        <w:ind w:firstLine="0"/>
        <w:jc w:val="left"/>
        <w:rPr>
          <w:rFonts w:eastAsiaTheme="minorEastAsia"/>
          <w:sz w:val="24"/>
          <w:szCs w:val="24"/>
        </w:rPr>
      </w:pPr>
      <w:r>
        <w:rPr>
          <w:rFonts w:hint="eastAsia" w:eastAsiaTheme="minorEastAsia"/>
          <w:sz w:val="24"/>
          <w:szCs w:val="24"/>
        </w:rPr>
        <w:t>施工期间应实施地下水位控制措施，确保施工期间结构抗浮稳定满足要求；针对地下水位快速上升等特殊情况应制定专项应急处理方案，避免水位突然上升影响抗浮稳定。</w:t>
      </w:r>
    </w:p>
    <w:p w14:paraId="1D063B4B">
      <w:pPr>
        <w:numPr>
          <w:ilvl w:val="0"/>
          <w:numId w:val="4"/>
        </w:numPr>
        <w:spacing w:line="360" w:lineRule="auto"/>
        <w:ind w:firstLine="0"/>
        <w:jc w:val="left"/>
        <w:rPr>
          <w:rFonts w:eastAsiaTheme="minorEastAsia"/>
          <w:sz w:val="24"/>
          <w:szCs w:val="24"/>
        </w:rPr>
      </w:pPr>
      <w:r>
        <w:rPr>
          <w:rFonts w:eastAsiaTheme="minorEastAsia"/>
          <w:sz w:val="24"/>
          <w:szCs w:val="24"/>
        </w:rPr>
        <w:t>未经技术鉴定和设计许可，不得改变</w:t>
      </w:r>
      <w:r>
        <w:rPr>
          <w:rFonts w:hint="eastAsia" w:eastAsiaTheme="minorEastAsia"/>
          <w:sz w:val="24"/>
          <w:szCs w:val="24"/>
        </w:rPr>
        <w:t>建筑</w:t>
      </w:r>
      <w:r>
        <w:rPr>
          <w:rFonts w:eastAsiaTheme="minorEastAsia"/>
          <w:sz w:val="24"/>
          <w:szCs w:val="24"/>
        </w:rPr>
        <w:t>结构及抗浮构件的使用条件、性能和用途</w:t>
      </w:r>
      <w:r>
        <w:rPr>
          <w:rFonts w:hint="eastAsia" w:eastAsiaTheme="minorEastAsia"/>
          <w:sz w:val="24"/>
          <w:szCs w:val="24"/>
        </w:rPr>
        <w:t>。</w:t>
      </w:r>
    </w:p>
    <w:p w14:paraId="131D7EF8">
      <w:pPr>
        <w:numPr>
          <w:ilvl w:val="0"/>
          <w:numId w:val="4"/>
        </w:numPr>
        <w:spacing w:line="360" w:lineRule="auto"/>
        <w:ind w:firstLine="0"/>
        <w:jc w:val="left"/>
        <w:rPr>
          <w:rFonts w:eastAsiaTheme="minorEastAsia"/>
          <w:sz w:val="24"/>
          <w:szCs w:val="24"/>
        </w:rPr>
      </w:pPr>
      <w:r>
        <w:rPr>
          <w:rFonts w:hint="eastAsia" w:eastAsiaTheme="minorEastAsia"/>
          <w:sz w:val="24"/>
          <w:szCs w:val="24"/>
        </w:rPr>
        <w:t>建筑工程</w:t>
      </w:r>
      <w:r>
        <w:rPr>
          <w:rFonts w:eastAsiaTheme="minorEastAsia"/>
          <w:sz w:val="24"/>
          <w:szCs w:val="24"/>
        </w:rPr>
        <w:t>抗浮采用新方法、新技术、新工艺或新材料时，应通过试验或专项研究验证其</w:t>
      </w:r>
      <w:r>
        <w:rPr>
          <w:rFonts w:hint="eastAsia" w:eastAsiaTheme="minorEastAsia"/>
          <w:sz w:val="24"/>
          <w:szCs w:val="24"/>
        </w:rPr>
        <w:t>安全</w:t>
      </w:r>
      <w:r>
        <w:rPr>
          <w:rFonts w:eastAsiaTheme="minorEastAsia"/>
          <w:sz w:val="24"/>
          <w:szCs w:val="24"/>
        </w:rPr>
        <w:t>性</w:t>
      </w:r>
      <w:r>
        <w:rPr>
          <w:rFonts w:hint="eastAsia" w:eastAsiaTheme="minorEastAsia"/>
          <w:sz w:val="24"/>
          <w:szCs w:val="24"/>
        </w:rPr>
        <w:t>。</w:t>
      </w:r>
    </w:p>
    <w:p w14:paraId="6D9CB7F3">
      <w:r>
        <w:br w:type="page"/>
      </w:r>
    </w:p>
    <w:p w14:paraId="3049C689">
      <w:pPr>
        <w:numPr>
          <w:ilvl w:val="0"/>
          <w:numId w:val="2"/>
        </w:numPr>
        <w:spacing w:line="360" w:lineRule="auto"/>
        <w:jc w:val="center"/>
        <w:outlineLvl w:val="0"/>
        <w:rPr>
          <w:rFonts w:eastAsiaTheme="minorEastAsia"/>
          <w:b/>
          <w:bCs/>
          <w:sz w:val="28"/>
          <w:szCs w:val="28"/>
        </w:rPr>
      </w:pPr>
      <w:bookmarkStart w:id="43" w:name="_Toc11120"/>
      <w:bookmarkStart w:id="44" w:name="_Toc21791"/>
      <w:bookmarkStart w:id="45" w:name="_Toc19228"/>
      <w:r>
        <w:rPr>
          <w:rFonts w:hint="eastAsia" w:eastAsiaTheme="minorEastAsia"/>
          <w:b/>
          <w:bCs/>
          <w:sz w:val="28"/>
          <w:szCs w:val="28"/>
        </w:rPr>
        <w:t xml:space="preserve"> </w:t>
      </w:r>
      <w:bookmarkStart w:id="46" w:name="_Toc12471"/>
      <w:bookmarkStart w:id="47" w:name="_Toc6413"/>
      <w:r>
        <w:rPr>
          <w:rFonts w:hint="eastAsia" w:eastAsiaTheme="minorEastAsia"/>
          <w:b/>
          <w:bCs/>
          <w:sz w:val="28"/>
          <w:szCs w:val="28"/>
        </w:rPr>
        <w:t>工程</w:t>
      </w:r>
      <w:r>
        <w:rPr>
          <w:rFonts w:eastAsiaTheme="minorEastAsia"/>
          <w:b/>
          <w:bCs/>
          <w:sz w:val="28"/>
          <w:szCs w:val="28"/>
        </w:rPr>
        <w:t>抗浮勘察</w:t>
      </w:r>
      <w:bookmarkEnd w:id="17"/>
      <w:bookmarkEnd w:id="43"/>
      <w:bookmarkEnd w:id="44"/>
      <w:bookmarkEnd w:id="45"/>
      <w:bookmarkEnd w:id="46"/>
      <w:bookmarkEnd w:id="47"/>
    </w:p>
    <w:p w14:paraId="195246EB">
      <w:pPr>
        <w:numPr>
          <w:ilvl w:val="1"/>
          <w:numId w:val="2"/>
        </w:numPr>
        <w:spacing w:line="360" w:lineRule="auto"/>
        <w:ind w:left="0" w:firstLine="0"/>
        <w:jc w:val="center"/>
        <w:outlineLvl w:val="1"/>
        <w:rPr>
          <w:rFonts w:eastAsiaTheme="minorEastAsia"/>
          <w:b/>
          <w:bCs/>
          <w:sz w:val="24"/>
          <w:szCs w:val="24"/>
        </w:rPr>
      </w:pPr>
      <w:bookmarkStart w:id="48" w:name="_Toc14678"/>
      <w:bookmarkStart w:id="49" w:name="_Toc20196"/>
      <w:bookmarkStart w:id="50" w:name="_Toc27442"/>
      <w:bookmarkStart w:id="51" w:name="_Toc26024"/>
      <w:bookmarkStart w:id="52" w:name="_Toc21340"/>
      <w:r>
        <w:rPr>
          <w:rFonts w:hint="eastAsia" w:eastAsiaTheme="minorEastAsia"/>
          <w:b/>
          <w:bCs/>
          <w:sz w:val="24"/>
          <w:szCs w:val="24"/>
        </w:rPr>
        <w:t>一般规定</w:t>
      </w:r>
      <w:bookmarkEnd w:id="48"/>
      <w:bookmarkEnd w:id="49"/>
      <w:bookmarkEnd w:id="50"/>
      <w:bookmarkEnd w:id="51"/>
      <w:bookmarkEnd w:id="52"/>
    </w:p>
    <w:p w14:paraId="04777459">
      <w:pPr>
        <w:spacing w:line="360" w:lineRule="auto"/>
        <w:jc w:val="left"/>
        <w:rPr>
          <w:rFonts w:eastAsia="宋体"/>
          <w:sz w:val="24"/>
          <w:szCs w:val="24"/>
        </w:rPr>
      </w:pPr>
      <w:bookmarkStart w:id="53" w:name="OLE_LINK14"/>
      <w:r>
        <w:rPr>
          <w:rFonts w:eastAsia="宋体"/>
          <w:sz w:val="24"/>
          <w:szCs w:val="24"/>
        </w:rPr>
        <w:t>4.1.1</w:t>
      </w:r>
      <w:r>
        <w:rPr>
          <w:rFonts w:hint="eastAsia" w:eastAsia="宋体"/>
          <w:sz w:val="24"/>
          <w:szCs w:val="24"/>
        </w:rPr>
        <w:t>当建筑工程存在抗浮</w:t>
      </w:r>
      <w:r>
        <w:rPr>
          <w:rStyle w:val="26"/>
          <w:rFonts w:hint="eastAsia" w:eastAsia="宋体"/>
          <w:sz w:val="24"/>
          <w:szCs w:val="24"/>
        </w:rPr>
        <w:t>需求</w:t>
      </w:r>
      <w:r>
        <w:rPr>
          <w:rFonts w:hint="eastAsia" w:eastAsia="宋体"/>
          <w:sz w:val="24"/>
          <w:szCs w:val="24"/>
        </w:rPr>
        <w:t>时，应在岩土工程勘察中开展工程抗浮勘察相关工作，抗浮勘察成果应纳入岩土工程勘察报告。</w:t>
      </w:r>
    </w:p>
    <w:p w14:paraId="75B73F0A">
      <w:pPr>
        <w:spacing w:line="360" w:lineRule="auto"/>
        <w:ind w:left="9"/>
        <w:jc w:val="left"/>
        <w:rPr>
          <w:rFonts w:eastAsia="宋体"/>
          <w:sz w:val="24"/>
          <w:szCs w:val="24"/>
        </w:rPr>
      </w:pPr>
      <w:r>
        <w:rPr>
          <w:rFonts w:eastAsia="宋体"/>
          <w:sz w:val="24"/>
          <w:szCs w:val="24"/>
        </w:rPr>
        <w:t xml:space="preserve">4.1.2 </w:t>
      </w:r>
      <w:r>
        <w:rPr>
          <w:rFonts w:hint="eastAsia" w:eastAsia="宋体"/>
          <w:sz w:val="24"/>
          <w:szCs w:val="24"/>
        </w:rPr>
        <w:t>工程抗浮勘察应开展下列工作：</w:t>
      </w:r>
    </w:p>
    <w:p w14:paraId="11FA5221">
      <w:pPr>
        <w:numPr>
          <w:ilvl w:val="0"/>
          <w:numId w:val="11"/>
        </w:numPr>
        <w:tabs>
          <w:tab w:val="left" w:pos="320"/>
          <w:tab w:val="clear" w:pos="420"/>
        </w:tabs>
        <w:spacing w:line="360" w:lineRule="auto"/>
        <w:ind w:hanging="105"/>
        <w:rPr>
          <w:rFonts w:eastAsia="宋体" w:cs="宋体"/>
          <w:sz w:val="24"/>
          <w:szCs w:val="24"/>
        </w:rPr>
      </w:pPr>
      <w:r>
        <w:rPr>
          <w:rFonts w:hint="eastAsia" w:eastAsia="宋体" w:cs="宋体"/>
          <w:sz w:val="24"/>
          <w:szCs w:val="24"/>
        </w:rPr>
        <w:t>搜集气象、水文、工程地质、水文地质、相关建设及规划资料；</w:t>
      </w:r>
    </w:p>
    <w:p w14:paraId="4B2D7A41">
      <w:pPr>
        <w:numPr>
          <w:ilvl w:val="0"/>
          <w:numId w:val="11"/>
        </w:numPr>
        <w:tabs>
          <w:tab w:val="left" w:pos="320"/>
          <w:tab w:val="clear" w:pos="420"/>
        </w:tabs>
        <w:spacing w:line="360" w:lineRule="auto"/>
        <w:ind w:hanging="105"/>
        <w:rPr>
          <w:rFonts w:eastAsia="宋体" w:cs="宋体"/>
          <w:sz w:val="24"/>
          <w:szCs w:val="24"/>
        </w:rPr>
      </w:pPr>
      <w:r>
        <w:rPr>
          <w:rFonts w:hint="eastAsia" w:eastAsia="宋体" w:cs="宋体"/>
          <w:sz w:val="24"/>
          <w:szCs w:val="24"/>
        </w:rPr>
        <w:t>开展工程水文地质调查与测绘，勘探和测试；</w:t>
      </w:r>
    </w:p>
    <w:p w14:paraId="2AB7E748">
      <w:pPr>
        <w:numPr>
          <w:ilvl w:val="0"/>
          <w:numId w:val="11"/>
        </w:numPr>
        <w:tabs>
          <w:tab w:val="left" w:pos="320"/>
          <w:tab w:val="clear" w:pos="420"/>
        </w:tabs>
        <w:spacing w:line="360" w:lineRule="auto"/>
        <w:ind w:hanging="105"/>
        <w:rPr>
          <w:rFonts w:eastAsia="宋体" w:cs="宋体"/>
          <w:sz w:val="24"/>
          <w:szCs w:val="24"/>
        </w:rPr>
      </w:pPr>
      <w:r>
        <w:rPr>
          <w:rFonts w:hint="eastAsia" w:eastAsia="宋体" w:cs="宋体"/>
          <w:sz w:val="24"/>
          <w:szCs w:val="24"/>
        </w:rPr>
        <w:t>查明地下水赋存、补给、径流、排泄条件及水位动态变化规律；</w:t>
      </w:r>
    </w:p>
    <w:p w14:paraId="6C307C8F">
      <w:pPr>
        <w:numPr>
          <w:ilvl w:val="0"/>
          <w:numId w:val="11"/>
        </w:numPr>
        <w:tabs>
          <w:tab w:val="left" w:pos="0"/>
          <w:tab w:val="clear" w:pos="420"/>
        </w:tabs>
        <w:spacing w:line="360" w:lineRule="auto"/>
        <w:ind w:left="945" w:hanging="625"/>
        <w:rPr>
          <w:rFonts w:eastAsia="宋体" w:cs="宋体"/>
          <w:sz w:val="24"/>
          <w:szCs w:val="24"/>
        </w:rPr>
      </w:pPr>
      <w:r>
        <w:rPr>
          <w:rFonts w:hint="eastAsia" w:eastAsia="宋体" w:cs="宋体"/>
          <w:sz w:val="24"/>
          <w:szCs w:val="24"/>
        </w:rPr>
        <w:t>分析水文地质条件，提出抗浮设防水位建议值，并提供建筑工程抗浮设计与施工所需的相关参数。</w:t>
      </w:r>
    </w:p>
    <w:p w14:paraId="1B277E20">
      <w:pPr>
        <w:spacing w:line="360" w:lineRule="auto"/>
        <w:jc w:val="left"/>
        <w:rPr>
          <w:rFonts w:eastAsia="宋体"/>
          <w:sz w:val="24"/>
          <w:szCs w:val="24"/>
        </w:rPr>
      </w:pPr>
      <w:r>
        <w:rPr>
          <w:rFonts w:eastAsia="宋体"/>
          <w:sz w:val="24"/>
          <w:szCs w:val="24"/>
        </w:rPr>
        <w:t>4.1.3</w:t>
      </w:r>
      <w:r>
        <w:rPr>
          <w:rFonts w:hint="eastAsia" w:eastAsia="宋体"/>
          <w:sz w:val="24"/>
          <w:szCs w:val="24"/>
        </w:rPr>
        <w:t>工程抗浮勘察应在室内试验或现场测试基础上，结合地区经验确定抗浮设计、抗浮加固设计等需要的岩土参数，也可通过现场试验确定。</w:t>
      </w:r>
    </w:p>
    <w:p w14:paraId="551E54FC">
      <w:pPr>
        <w:tabs>
          <w:tab w:val="left" w:pos="420"/>
        </w:tabs>
        <w:spacing w:line="360" w:lineRule="auto"/>
        <w:jc w:val="left"/>
        <w:rPr>
          <w:rFonts w:eastAsia="宋体"/>
          <w:sz w:val="24"/>
          <w:szCs w:val="24"/>
        </w:rPr>
      </w:pPr>
      <w:r>
        <w:rPr>
          <w:rFonts w:eastAsia="宋体"/>
          <w:sz w:val="24"/>
          <w:szCs w:val="24"/>
        </w:rPr>
        <w:t xml:space="preserve">4.1.4 </w:t>
      </w:r>
      <w:r>
        <w:rPr>
          <w:rFonts w:hint="eastAsia" w:eastAsia="宋体"/>
          <w:sz w:val="24"/>
          <w:szCs w:val="24"/>
        </w:rPr>
        <w:t>抗浮构件相关的土水腐蚀性评价，应符合现行国家标准《岩土工程勘察规范》</w:t>
      </w:r>
      <w:r>
        <w:rPr>
          <w:rFonts w:eastAsia="宋体"/>
          <w:sz w:val="24"/>
          <w:szCs w:val="24"/>
        </w:rPr>
        <w:t>GB 50021</w:t>
      </w:r>
      <w:r>
        <w:rPr>
          <w:rFonts w:hint="eastAsia" w:eastAsia="宋体"/>
          <w:sz w:val="24"/>
          <w:szCs w:val="24"/>
        </w:rPr>
        <w:t>的规定。</w:t>
      </w:r>
    </w:p>
    <w:p w14:paraId="07AF2CB4">
      <w:pPr>
        <w:numPr>
          <w:ilvl w:val="1"/>
          <w:numId w:val="2"/>
        </w:numPr>
        <w:spacing w:line="360" w:lineRule="auto"/>
        <w:ind w:left="0" w:firstLine="0"/>
        <w:jc w:val="center"/>
        <w:outlineLvl w:val="1"/>
        <w:rPr>
          <w:rFonts w:eastAsiaTheme="minorEastAsia"/>
          <w:b/>
          <w:bCs/>
          <w:sz w:val="24"/>
          <w:szCs w:val="24"/>
        </w:rPr>
      </w:pPr>
      <w:bookmarkStart w:id="54" w:name="_Toc23343"/>
      <w:bookmarkStart w:id="55" w:name="_Toc29438"/>
      <w:r>
        <w:rPr>
          <w:rFonts w:hint="eastAsia" w:eastAsiaTheme="minorEastAsia"/>
          <w:b/>
          <w:bCs/>
          <w:sz w:val="24"/>
          <w:szCs w:val="24"/>
        </w:rPr>
        <w:t>新建建筑</w:t>
      </w:r>
      <w:bookmarkEnd w:id="54"/>
      <w:bookmarkEnd w:id="55"/>
    </w:p>
    <w:p w14:paraId="6652B11B">
      <w:pPr>
        <w:tabs>
          <w:tab w:val="left" w:pos="420"/>
        </w:tabs>
        <w:spacing w:line="360" w:lineRule="auto"/>
        <w:jc w:val="left"/>
        <w:rPr>
          <w:rFonts w:eastAsia="宋体"/>
          <w:sz w:val="24"/>
          <w:szCs w:val="24"/>
        </w:rPr>
      </w:pPr>
      <w:r>
        <w:rPr>
          <w:rFonts w:eastAsia="宋体"/>
          <w:sz w:val="24"/>
          <w:szCs w:val="24"/>
        </w:rPr>
        <w:t xml:space="preserve">4.2.1 </w:t>
      </w:r>
      <w:r>
        <w:rPr>
          <w:rFonts w:hint="eastAsia" w:eastAsia="宋体"/>
          <w:sz w:val="24"/>
          <w:szCs w:val="24"/>
        </w:rPr>
        <w:t>新建建筑工程抗浮勘察宜重点搜集</w:t>
      </w:r>
      <w:r>
        <w:rPr>
          <w:rFonts w:eastAsia="宋体"/>
          <w:sz w:val="24"/>
          <w:szCs w:val="24"/>
        </w:rPr>
        <w:t>下列</w:t>
      </w:r>
      <w:r>
        <w:rPr>
          <w:rFonts w:hint="eastAsia" w:eastAsia="宋体"/>
          <w:sz w:val="24"/>
          <w:szCs w:val="24"/>
        </w:rPr>
        <w:t>资料：</w:t>
      </w:r>
    </w:p>
    <w:p w14:paraId="0D615019">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降水量、蒸发量，尤其是降水量的时空分布及多年变化；</w:t>
      </w:r>
    </w:p>
    <w:p w14:paraId="694A8926">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降水下垫面的入渗条件资料；</w:t>
      </w:r>
    </w:p>
    <w:p w14:paraId="6B7C6E3D">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地表河道、湖泊等分布、流量、地层及设计信息；</w:t>
      </w:r>
    </w:p>
    <w:p w14:paraId="1F9E0888">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地表水的常年水位、洪水位；</w:t>
      </w:r>
    </w:p>
    <w:p w14:paraId="0CBA1251">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地表水入渗补给地下水情况</w:t>
      </w:r>
    </w:p>
    <w:p w14:paraId="595D56C9">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地形地貌的历史变化情况；</w:t>
      </w:r>
    </w:p>
    <w:p w14:paraId="6CD7410C">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场地周边工程建设；</w:t>
      </w:r>
    </w:p>
    <w:p w14:paraId="18E75602">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地下水涵养保护及开发利用规划；</w:t>
      </w:r>
    </w:p>
    <w:p w14:paraId="7DDB4CE3">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不同层位地下水多年监测数据；</w:t>
      </w:r>
    </w:p>
    <w:p w14:paraId="61218937">
      <w:pPr>
        <w:numPr>
          <w:ilvl w:val="0"/>
          <w:numId w:val="12"/>
        </w:numPr>
        <w:tabs>
          <w:tab w:val="left" w:pos="320"/>
          <w:tab w:val="clear" w:pos="420"/>
        </w:tabs>
        <w:spacing w:line="360" w:lineRule="auto"/>
        <w:ind w:hanging="105"/>
        <w:rPr>
          <w:rFonts w:eastAsia="宋体" w:cs="宋体"/>
          <w:sz w:val="24"/>
          <w:szCs w:val="24"/>
        </w:rPr>
      </w:pPr>
      <w:r>
        <w:rPr>
          <w:rFonts w:hint="eastAsia" w:eastAsia="宋体" w:cs="宋体"/>
          <w:sz w:val="24"/>
          <w:szCs w:val="24"/>
        </w:rPr>
        <w:t>场地周边已有建筑工程的抗浮设防水位及抗浮措施等工程经验。</w:t>
      </w:r>
    </w:p>
    <w:p w14:paraId="5E99DA6C">
      <w:pPr>
        <w:spacing w:line="360" w:lineRule="auto"/>
        <w:ind w:left="9"/>
        <w:jc w:val="left"/>
        <w:rPr>
          <w:rFonts w:eastAsia="宋体"/>
          <w:sz w:val="24"/>
          <w:szCs w:val="24"/>
        </w:rPr>
      </w:pPr>
      <w:r>
        <w:rPr>
          <w:rFonts w:eastAsia="宋体"/>
          <w:sz w:val="24"/>
          <w:szCs w:val="24"/>
        </w:rPr>
        <w:t>4.2.2</w:t>
      </w:r>
      <w:r>
        <w:rPr>
          <w:rFonts w:hint="eastAsia" w:eastAsia="宋体"/>
          <w:sz w:val="24"/>
          <w:szCs w:val="24"/>
        </w:rPr>
        <w:t>缺乏地下水水位长期观测资料时，勘察期间宜布设专门的地下水观测孔，对影响建筑结构抗浮的各层地下水进行分层监测。</w:t>
      </w:r>
    </w:p>
    <w:p w14:paraId="4F5D3A19">
      <w:pPr>
        <w:spacing w:line="360" w:lineRule="auto"/>
        <w:ind w:left="9"/>
        <w:jc w:val="left"/>
        <w:rPr>
          <w:rFonts w:eastAsia="宋体"/>
          <w:sz w:val="24"/>
          <w:szCs w:val="24"/>
        </w:rPr>
      </w:pPr>
      <w:r>
        <w:rPr>
          <w:rFonts w:eastAsia="宋体"/>
          <w:sz w:val="24"/>
          <w:szCs w:val="24"/>
        </w:rPr>
        <w:t xml:space="preserve">4.2.3 </w:t>
      </w:r>
      <w:r>
        <w:rPr>
          <w:rFonts w:hint="eastAsia" w:eastAsia="宋体"/>
          <w:sz w:val="24"/>
          <w:szCs w:val="24"/>
        </w:rPr>
        <w:t>抗浮勘察的勘探钻孔、抽水试验井、监测井等应在取样、测试和试验等相关工作完成后回填，对揭穿承压水顶板的钻孔等，应采取隔水的措施</w:t>
      </w:r>
      <w:r>
        <w:rPr>
          <w:rFonts w:eastAsia="宋体"/>
          <w:sz w:val="24"/>
          <w:szCs w:val="24"/>
        </w:rPr>
        <w:t>。</w:t>
      </w:r>
      <w:r>
        <w:rPr>
          <w:rFonts w:hint="eastAsia" w:eastAsia="宋体"/>
          <w:sz w:val="24"/>
          <w:szCs w:val="24"/>
        </w:rPr>
        <w:t>回填材料及方法应满足《建筑工程地质勘探与取样技术规程》</w:t>
      </w:r>
      <w:r>
        <w:rPr>
          <w:rFonts w:eastAsia="宋体"/>
          <w:sz w:val="24"/>
          <w:szCs w:val="24"/>
        </w:rPr>
        <w:t>JGJ/T87</w:t>
      </w:r>
      <w:r>
        <w:rPr>
          <w:rFonts w:hint="eastAsia" w:eastAsia="宋体"/>
          <w:sz w:val="24"/>
          <w:szCs w:val="24"/>
        </w:rPr>
        <w:t>及《机井技术规范》</w:t>
      </w:r>
      <w:r>
        <w:rPr>
          <w:rFonts w:eastAsia="宋体"/>
          <w:sz w:val="24"/>
          <w:szCs w:val="24"/>
        </w:rPr>
        <w:t>GB/T50625</w:t>
      </w:r>
      <w:r>
        <w:rPr>
          <w:rFonts w:hint="eastAsia" w:eastAsia="宋体"/>
          <w:sz w:val="24"/>
          <w:szCs w:val="24"/>
        </w:rPr>
        <w:t>要求。</w:t>
      </w:r>
    </w:p>
    <w:p w14:paraId="468ABB41">
      <w:pPr>
        <w:spacing w:line="360" w:lineRule="auto"/>
        <w:ind w:left="9"/>
        <w:jc w:val="left"/>
        <w:rPr>
          <w:rStyle w:val="26"/>
          <w:rFonts w:eastAsia="宋体"/>
          <w:sz w:val="24"/>
          <w:szCs w:val="24"/>
        </w:rPr>
      </w:pPr>
      <w:r>
        <w:rPr>
          <w:rFonts w:eastAsia="宋体"/>
          <w:sz w:val="24"/>
          <w:szCs w:val="24"/>
        </w:rPr>
        <w:t>4.2.4</w:t>
      </w:r>
      <w:r>
        <w:rPr>
          <w:rStyle w:val="26"/>
          <w:rFonts w:hint="eastAsia" w:eastAsia="宋体"/>
          <w:sz w:val="24"/>
          <w:szCs w:val="24"/>
        </w:rPr>
        <w:t>建筑工程基础底板底面以下存在承压含水层，且该承压水水头远期最高值对基底水压力产生的影响大于按《建筑与市政工程抗浮勘察标准》DB11/T 2241确定的潜水远期最高水位时，抗浮设防水位应取按承压水水头计算的基底水压力所对应的水头高度与潜水远期最高水位的高值。</w:t>
      </w:r>
    </w:p>
    <w:p w14:paraId="533E9536">
      <w:pPr>
        <w:spacing w:line="360" w:lineRule="auto"/>
        <w:ind w:left="9"/>
        <w:jc w:val="left"/>
        <w:rPr>
          <w:rFonts w:eastAsia="宋体"/>
          <w:sz w:val="24"/>
          <w:szCs w:val="24"/>
        </w:rPr>
      </w:pPr>
      <w:r>
        <w:rPr>
          <w:rFonts w:hint="eastAsia" w:eastAsia="宋体"/>
          <w:sz w:val="24"/>
          <w:szCs w:val="24"/>
        </w:rPr>
        <w:t>4</w:t>
      </w:r>
      <w:r>
        <w:rPr>
          <w:rFonts w:eastAsia="宋体"/>
          <w:sz w:val="24"/>
          <w:szCs w:val="24"/>
        </w:rPr>
        <w:t>.2.5 当场地施工期具备产生水盆效应的条件或地下水水位可能超过基底时，应提出施工期间保持干槽作业、肥槽回填处理、施工期地表防排水措施设置、以</w:t>
      </w:r>
      <w:r>
        <w:rPr>
          <w:rFonts w:hint="eastAsia" w:eastAsia="宋体"/>
          <w:sz w:val="24"/>
          <w:szCs w:val="24"/>
        </w:rPr>
        <w:t>及根据结构、覆土等荷载的变化动态调整地下水控制措施的要求。</w:t>
      </w:r>
    </w:p>
    <w:p w14:paraId="22EF2856">
      <w:pPr>
        <w:spacing w:line="360" w:lineRule="auto"/>
        <w:ind w:left="9"/>
        <w:jc w:val="left"/>
        <w:rPr>
          <w:rFonts w:eastAsia="宋体"/>
          <w:sz w:val="24"/>
          <w:szCs w:val="24"/>
        </w:rPr>
      </w:pPr>
    </w:p>
    <w:p w14:paraId="4BEB3E6A">
      <w:pPr>
        <w:numPr>
          <w:ilvl w:val="1"/>
          <w:numId w:val="2"/>
        </w:numPr>
        <w:spacing w:line="360" w:lineRule="auto"/>
        <w:ind w:left="0" w:firstLine="0"/>
        <w:jc w:val="center"/>
        <w:outlineLvl w:val="1"/>
        <w:rPr>
          <w:rFonts w:eastAsiaTheme="minorEastAsia"/>
          <w:b/>
          <w:bCs/>
          <w:sz w:val="24"/>
          <w:szCs w:val="24"/>
        </w:rPr>
      </w:pPr>
      <w:bookmarkStart w:id="56" w:name="_Toc92"/>
      <w:bookmarkStart w:id="57" w:name="_Toc16934"/>
      <w:bookmarkStart w:id="58" w:name="_Toc11352"/>
      <w:r>
        <w:rPr>
          <w:rFonts w:hint="eastAsia" w:eastAsiaTheme="minorEastAsia"/>
          <w:b/>
          <w:bCs/>
          <w:sz w:val="24"/>
          <w:szCs w:val="24"/>
        </w:rPr>
        <w:t>既有建筑</w:t>
      </w:r>
      <w:bookmarkEnd w:id="56"/>
      <w:bookmarkEnd w:id="57"/>
      <w:bookmarkEnd w:id="58"/>
    </w:p>
    <w:p w14:paraId="1AC633D0">
      <w:pPr>
        <w:spacing w:line="360" w:lineRule="auto"/>
        <w:jc w:val="left"/>
        <w:rPr>
          <w:rFonts w:eastAsia="宋体"/>
          <w:sz w:val="24"/>
          <w:szCs w:val="24"/>
        </w:rPr>
      </w:pPr>
      <w:r>
        <w:rPr>
          <w:rFonts w:eastAsia="宋体"/>
          <w:sz w:val="24"/>
          <w:szCs w:val="24"/>
        </w:rPr>
        <w:t xml:space="preserve">4.3.1 </w:t>
      </w:r>
      <w:r>
        <w:rPr>
          <w:rFonts w:hint="eastAsia" w:eastAsia="宋体"/>
          <w:sz w:val="24"/>
          <w:szCs w:val="24"/>
        </w:rPr>
        <w:t>既有建筑抗浮勘察宜重点搜集</w:t>
      </w:r>
      <w:r>
        <w:rPr>
          <w:rFonts w:eastAsia="宋体"/>
          <w:sz w:val="24"/>
          <w:szCs w:val="24"/>
        </w:rPr>
        <w:t>下列</w:t>
      </w:r>
      <w:r>
        <w:rPr>
          <w:rFonts w:hint="eastAsia" w:eastAsia="宋体"/>
          <w:sz w:val="24"/>
          <w:szCs w:val="24"/>
        </w:rPr>
        <w:t>资料：</w:t>
      </w:r>
    </w:p>
    <w:p w14:paraId="40BE7B18">
      <w:pPr>
        <w:spacing w:line="360" w:lineRule="auto"/>
        <w:jc w:val="left"/>
        <w:rPr>
          <w:rFonts w:eastAsia="宋体"/>
          <w:sz w:val="24"/>
          <w:szCs w:val="24"/>
        </w:rPr>
      </w:pPr>
      <w:r>
        <w:rPr>
          <w:rFonts w:eastAsia="宋体"/>
          <w:sz w:val="24"/>
          <w:szCs w:val="24"/>
        </w:rPr>
        <w:t xml:space="preserve">    1 </w:t>
      </w:r>
      <w:r>
        <w:rPr>
          <w:rFonts w:hint="eastAsia" w:eastAsia="宋体"/>
          <w:sz w:val="24"/>
          <w:szCs w:val="24"/>
        </w:rPr>
        <w:t>既有建筑加固改造等措施对抗浮设防勘察的工作要求；</w:t>
      </w:r>
    </w:p>
    <w:p w14:paraId="66851AF6">
      <w:pPr>
        <w:spacing w:line="360" w:lineRule="auto"/>
        <w:ind w:firstLine="480" w:firstLineChars="200"/>
        <w:jc w:val="left"/>
        <w:rPr>
          <w:rFonts w:eastAsia="宋体"/>
          <w:sz w:val="24"/>
          <w:szCs w:val="24"/>
        </w:rPr>
      </w:pPr>
      <w:r>
        <w:rPr>
          <w:rFonts w:eastAsia="宋体"/>
          <w:sz w:val="24"/>
          <w:szCs w:val="24"/>
        </w:rPr>
        <w:t>2</w:t>
      </w:r>
      <w:r>
        <w:rPr>
          <w:rFonts w:hint="eastAsia" w:eastAsia="宋体"/>
          <w:sz w:val="24"/>
          <w:szCs w:val="24"/>
        </w:rPr>
        <w:t xml:space="preserve"> 既有建筑及周边已有抗浮设防水位及抗浮措施等工程经验；</w:t>
      </w:r>
    </w:p>
    <w:p w14:paraId="1B684801">
      <w:pPr>
        <w:spacing w:line="360" w:lineRule="auto"/>
        <w:ind w:firstLine="480" w:firstLineChars="200"/>
        <w:jc w:val="left"/>
        <w:rPr>
          <w:rFonts w:eastAsia="宋体"/>
          <w:sz w:val="24"/>
          <w:szCs w:val="24"/>
        </w:rPr>
      </w:pPr>
      <w:r>
        <w:rPr>
          <w:rFonts w:hint="eastAsia" w:eastAsia="宋体"/>
          <w:sz w:val="24"/>
          <w:szCs w:val="24"/>
        </w:rPr>
        <w:t>3 周边场地现状地下水水位情况；</w:t>
      </w:r>
    </w:p>
    <w:p w14:paraId="0A9F12C7">
      <w:pPr>
        <w:tabs>
          <w:tab w:val="left" w:pos="420"/>
          <w:tab w:val="left" w:pos="640"/>
        </w:tabs>
        <w:spacing w:line="360" w:lineRule="auto"/>
        <w:ind w:firstLine="480" w:firstLineChars="200"/>
        <w:rPr>
          <w:rFonts w:eastAsia="宋体"/>
          <w:sz w:val="24"/>
          <w:szCs w:val="24"/>
        </w:rPr>
      </w:pPr>
      <w:r>
        <w:rPr>
          <w:rFonts w:hint="eastAsia" w:eastAsia="宋体"/>
          <w:sz w:val="24"/>
          <w:szCs w:val="24"/>
        </w:rPr>
        <w:t>4</w:t>
      </w:r>
      <w:r>
        <w:rPr>
          <w:rFonts w:eastAsia="宋体"/>
          <w:sz w:val="24"/>
          <w:szCs w:val="24"/>
        </w:rPr>
        <w:t xml:space="preserve"> </w:t>
      </w:r>
      <w:r>
        <w:rPr>
          <w:rFonts w:hint="eastAsia" w:eastAsia="宋体"/>
          <w:sz w:val="24"/>
          <w:szCs w:val="24"/>
        </w:rPr>
        <w:t>基坑支护和地下水控制设计施工资料；</w:t>
      </w:r>
    </w:p>
    <w:p w14:paraId="13A0098D">
      <w:pPr>
        <w:tabs>
          <w:tab w:val="left" w:pos="420"/>
          <w:tab w:val="left" w:pos="640"/>
        </w:tabs>
        <w:spacing w:line="360" w:lineRule="auto"/>
        <w:ind w:firstLine="480" w:firstLineChars="200"/>
        <w:rPr>
          <w:rFonts w:eastAsia="宋体"/>
          <w:sz w:val="24"/>
          <w:szCs w:val="24"/>
        </w:rPr>
      </w:pPr>
      <w:r>
        <w:rPr>
          <w:rFonts w:hint="eastAsia" w:eastAsia="宋体"/>
          <w:sz w:val="24"/>
          <w:szCs w:val="24"/>
        </w:rPr>
        <w:t>5</w:t>
      </w:r>
      <w:r>
        <w:rPr>
          <w:rFonts w:eastAsia="宋体"/>
          <w:sz w:val="24"/>
          <w:szCs w:val="24"/>
        </w:rPr>
        <w:t xml:space="preserve"> </w:t>
      </w:r>
      <w:r>
        <w:rPr>
          <w:rFonts w:hint="eastAsia" w:eastAsia="宋体"/>
          <w:sz w:val="24"/>
          <w:szCs w:val="24"/>
        </w:rPr>
        <w:t>基坑肥槽回填、防排水设施的施工记录与检验验收资料；</w:t>
      </w:r>
    </w:p>
    <w:p w14:paraId="7D9B34F8">
      <w:pPr>
        <w:tabs>
          <w:tab w:val="left" w:pos="420"/>
          <w:tab w:val="left" w:pos="640"/>
        </w:tabs>
        <w:spacing w:line="360" w:lineRule="auto"/>
        <w:ind w:firstLine="480" w:firstLineChars="200"/>
        <w:rPr>
          <w:rFonts w:eastAsia="宋体"/>
          <w:sz w:val="24"/>
          <w:szCs w:val="24"/>
        </w:rPr>
      </w:pPr>
      <w:r>
        <w:rPr>
          <w:rFonts w:hint="eastAsia" w:eastAsia="宋体"/>
          <w:sz w:val="24"/>
          <w:szCs w:val="24"/>
        </w:rPr>
        <w:t>6</w:t>
      </w:r>
      <w:r>
        <w:rPr>
          <w:rFonts w:eastAsia="宋体"/>
          <w:sz w:val="24"/>
          <w:szCs w:val="24"/>
        </w:rPr>
        <w:t xml:space="preserve"> </w:t>
      </w:r>
      <w:r>
        <w:rPr>
          <w:rFonts w:hint="eastAsia" w:eastAsia="宋体"/>
          <w:sz w:val="24"/>
          <w:szCs w:val="24"/>
        </w:rPr>
        <w:t>使用期间的地下水位监测记录；</w:t>
      </w:r>
    </w:p>
    <w:p w14:paraId="464C0AA0">
      <w:pPr>
        <w:tabs>
          <w:tab w:val="left" w:pos="420"/>
          <w:tab w:val="left" w:pos="640"/>
        </w:tabs>
        <w:spacing w:line="360" w:lineRule="auto"/>
        <w:ind w:firstLine="480" w:firstLineChars="200"/>
        <w:rPr>
          <w:rFonts w:eastAsia="宋体"/>
          <w:sz w:val="24"/>
          <w:szCs w:val="24"/>
        </w:rPr>
      </w:pPr>
      <w:r>
        <w:rPr>
          <w:rFonts w:hint="eastAsia" w:eastAsia="宋体"/>
          <w:sz w:val="24"/>
          <w:szCs w:val="24"/>
        </w:rPr>
        <w:t>7</w:t>
      </w:r>
      <w:r>
        <w:rPr>
          <w:rFonts w:eastAsia="宋体"/>
          <w:sz w:val="24"/>
          <w:szCs w:val="24"/>
        </w:rPr>
        <w:t xml:space="preserve"> </w:t>
      </w:r>
      <w:r>
        <w:rPr>
          <w:rFonts w:hint="eastAsia" w:eastAsia="宋体"/>
          <w:sz w:val="24"/>
          <w:szCs w:val="24"/>
        </w:rPr>
        <w:t>工程周边地下管线、相邻建筑物及环境条件等影响水文地质条件的相关资料。</w:t>
      </w:r>
    </w:p>
    <w:p w14:paraId="6E4071C4">
      <w:pPr>
        <w:tabs>
          <w:tab w:val="left" w:pos="640"/>
        </w:tabs>
        <w:spacing w:line="360" w:lineRule="auto"/>
        <w:rPr>
          <w:rFonts w:eastAsia="宋体"/>
          <w:sz w:val="24"/>
          <w:szCs w:val="24"/>
        </w:rPr>
      </w:pPr>
      <w:r>
        <w:rPr>
          <w:rFonts w:eastAsia="宋体"/>
          <w:sz w:val="24"/>
          <w:szCs w:val="24"/>
        </w:rPr>
        <w:t xml:space="preserve">4.3.2 </w:t>
      </w:r>
      <w:r>
        <w:rPr>
          <w:rFonts w:hint="eastAsia" w:eastAsia="宋体"/>
          <w:sz w:val="24"/>
          <w:szCs w:val="24"/>
        </w:rPr>
        <w:t>既有建筑抗浮勘察现场调查</w:t>
      </w:r>
      <w:r>
        <w:rPr>
          <w:rFonts w:eastAsia="宋体"/>
          <w:sz w:val="24"/>
          <w:szCs w:val="24"/>
        </w:rPr>
        <w:t>宜</w:t>
      </w:r>
      <w:r>
        <w:rPr>
          <w:rFonts w:hint="eastAsia" w:eastAsia="宋体"/>
          <w:sz w:val="24"/>
          <w:szCs w:val="24"/>
        </w:rPr>
        <w:t>包括</w:t>
      </w:r>
      <w:r>
        <w:rPr>
          <w:rFonts w:eastAsia="宋体"/>
          <w:sz w:val="24"/>
          <w:szCs w:val="24"/>
        </w:rPr>
        <w:t>下列</w:t>
      </w:r>
      <w:r>
        <w:rPr>
          <w:rFonts w:hint="eastAsia" w:eastAsia="宋体"/>
          <w:sz w:val="24"/>
          <w:szCs w:val="24"/>
        </w:rPr>
        <w:t>内容：</w:t>
      </w:r>
    </w:p>
    <w:p w14:paraId="39595DA5">
      <w:pPr>
        <w:tabs>
          <w:tab w:val="left" w:pos="420"/>
          <w:tab w:val="left" w:pos="640"/>
        </w:tabs>
        <w:spacing w:line="360" w:lineRule="auto"/>
        <w:ind w:firstLine="480" w:firstLineChars="200"/>
        <w:rPr>
          <w:rFonts w:eastAsia="宋体"/>
          <w:sz w:val="24"/>
          <w:szCs w:val="24"/>
        </w:rPr>
      </w:pPr>
      <w:r>
        <w:rPr>
          <w:rFonts w:eastAsia="宋体"/>
          <w:sz w:val="24"/>
          <w:szCs w:val="24"/>
        </w:rPr>
        <w:t xml:space="preserve">1 </w:t>
      </w:r>
      <w:r>
        <w:rPr>
          <w:rFonts w:hint="eastAsia" w:eastAsia="宋体"/>
          <w:sz w:val="24"/>
          <w:szCs w:val="24"/>
        </w:rPr>
        <w:t>原有抗浮措施运行情况</w:t>
      </w:r>
      <w:r>
        <w:rPr>
          <w:rFonts w:eastAsia="宋体"/>
          <w:sz w:val="24"/>
          <w:szCs w:val="24"/>
        </w:rPr>
        <w:t>；</w:t>
      </w:r>
    </w:p>
    <w:p w14:paraId="346A5D15">
      <w:pPr>
        <w:tabs>
          <w:tab w:val="left" w:pos="420"/>
          <w:tab w:val="left" w:pos="640"/>
        </w:tabs>
        <w:spacing w:line="360" w:lineRule="auto"/>
        <w:ind w:firstLine="480" w:firstLineChars="200"/>
        <w:rPr>
          <w:rFonts w:eastAsia="宋体"/>
          <w:sz w:val="24"/>
          <w:szCs w:val="24"/>
        </w:rPr>
      </w:pPr>
      <w:r>
        <w:rPr>
          <w:rFonts w:eastAsia="宋体"/>
          <w:sz w:val="24"/>
          <w:szCs w:val="24"/>
        </w:rPr>
        <w:t>2</w:t>
      </w:r>
      <w:r>
        <w:rPr>
          <w:rFonts w:hint="eastAsia" w:eastAsia="宋体"/>
          <w:sz w:val="24"/>
          <w:szCs w:val="24"/>
        </w:rPr>
        <w:t>基坑肥槽回填土的填筑材料、回填范围、压实情况及肥槽区域有无明显沉降变形；</w:t>
      </w:r>
    </w:p>
    <w:p w14:paraId="6F81B5CF">
      <w:pPr>
        <w:tabs>
          <w:tab w:val="left" w:pos="420"/>
          <w:tab w:val="left" w:pos="640"/>
        </w:tabs>
        <w:spacing w:line="360" w:lineRule="auto"/>
        <w:ind w:firstLine="480" w:firstLineChars="200"/>
        <w:rPr>
          <w:rFonts w:eastAsia="宋体"/>
          <w:sz w:val="24"/>
          <w:szCs w:val="24"/>
        </w:rPr>
      </w:pPr>
      <w:r>
        <w:rPr>
          <w:rFonts w:eastAsia="宋体"/>
          <w:sz w:val="24"/>
          <w:szCs w:val="24"/>
        </w:rPr>
        <w:t xml:space="preserve">3 </w:t>
      </w:r>
      <w:r>
        <w:rPr>
          <w:rFonts w:hint="eastAsia" w:eastAsia="宋体"/>
          <w:sz w:val="24"/>
          <w:szCs w:val="24"/>
        </w:rPr>
        <w:t>建筑周边地形地貌改变情况及邻近水体河流、水库、湿地等的水位状况；</w:t>
      </w:r>
    </w:p>
    <w:p w14:paraId="5E28B577">
      <w:pPr>
        <w:tabs>
          <w:tab w:val="left" w:pos="420"/>
          <w:tab w:val="left" w:pos="640"/>
        </w:tabs>
        <w:spacing w:line="360" w:lineRule="auto"/>
        <w:rPr>
          <w:rFonts w:eastAsia="宋体"/>
          <w:sz w:val="24"/>
          <w:szCs w:val="24"/>
        </w:rPr>
      </w:pPr>
      <w:r>
        <w:rPr>
          <w:rFonts w:eastAsia="宋体"/>
          <w:sz w:val="24"/>
          <w:szCs w:val="24"/>
        </w:rPr>
        <w:t xml:space="preserve">    4 </w:t>
      </w:r>
      <w:r>
        <w:rPr>
          <w:rFonts w:hint="eastAsia" w:eastAsia="宋体"/>
          <w:sz w:val="24"/>
          <w:szCs w:val="24"/>
        </w:rPr>
        <w:t>周围地表水河道断面、水位及衬砌情况</w:t>
      </w:r>
      <w:r>
        <w:rPr>
          <w:rFonts w:eastAsia="宋体"/>
          <w:sz w:val="24"/>
          <w:szCs w:val="24"/>
        </w:rPr>
        <w:t>；</w:t>
      </w:r>
    </w:p>
    <w:p w14:paraId="5AC68C64">
      <w:pPr>
        <w:tabs>
          <w:tab w:val="left" w:pos="420"/>
          <w:tab w:val="left" w:pos="640"/>
        </w:tabs>
        <w:spacing w:line="360" w:lineRule="auto"/>
        <w:ind w:firstLine="480" w:firstLineChars="200"/>
        <w:rPr>
          <w:rFonts w:eastAsia="宋体"/>
          <w:sz w:val="24"/>
          <w:szCs w:val="24"/>
        </w:rPr>
      </w:pPr>
      <w:r>
        <w:rPr>
          <w:rFonts w:eastAsia="宋体"/>
          <w:sz w:val="24"/>
          <w:szCs w:val="24"/>
        </w:rPr>
        <w:t xml:space="preserve">5 </w:t>
      </w:r>
      <w:r>
        <w:rPr>
          <w:rFonts w:hint="eastAsia" w:eastAsia="宋体"/>
          <w:sz w:val="24"/>
          <w:szCs w:val="24"/>
        </w:rPr>
        <w:t>建筑周边工程建设活动对场地水文地质条件的影响</w:t>
      </w:r>
      <w:r>
        <w:rPr>
          <w:rFonts w:eastAsia="宋体"/>
          <w:sz w:val="24"/>
          <w:szCs w:val="24"/>
        </w:rPr>
        <w:t>；</w:t>
      </w:r>
    </w:p>
    <w:p w14:paraId="0E04C354">
      <w:pPr>
        <w:tabs>
          <w:tab w:val="left" w:pos="420"/>
          <w:tab w:val="left" w:pos="640"/>
        </w:tabs>
        <w:spacing w:line="360" w:lineRule="auto"/>
        <w:ind w:firstLine="480" w:firstLineChars="200"/>
        <w:rPr>
          <w:rFonts w:eastAsia="宋体"/>
          <w:sz w:val="24"/>
          <w:szCs w:val="24"/>
        </w:rPr>
      </w:pPr>
      <w:r>
        <w:rPr>
          <w:rFonts w:eastAsia="宋体"/>
          <w:sz w:val="24"/>
          <w:szCs w:val="24"/>
        </w:rPr>
        <w:t xml:space="preserve">6 </w:t>
      </w:r>
      <w:r>
        <w:rPr>
          <w:rFonts w:hint="eastAsia" w:eastAsia="宋体"/>
          <w:sz w:val="24"/>
          <w:szCs w:val="24"/>
        </w:rPr>
        <w:t>给水、排水</w:t>
      </w:r>
      <w:r>
        <w:rPr>
          <w:rFonts w:eastAsia="宋体"/>
          <w:sz w:val="24"/>
          <w:szCs w:val="24"/>
        </w:rPr>
        <w:t>管线</w:t>
      </w:r>
      <w:r>
        <w:rPr>
          <w:rFonts w:hint="eastAsia" w:eastAsia="宋体"/>
          <w:sz w:val="24"/>
          <w:szCs w:val="24"/>
        </w:rPr>
        <w:t>等的运行情况。</w:t>
      </w:r>
    </w:p>
    <w:p w14:paraId="67C62FAD">
      <w:pPr>
        <w:spacing w:line="360" w:lineRule="auto"/>
        <w:jc w:val="left"/>
        <w:rPr>
          <w:rFonts w:eastAsia="宋体"/>
          <w:sz w:val="24"/>
          <w:szCs w:val="24"/>
        </w:rPr>
      </w:pPr>
      <w:r>
        <w:rPr>
          <w:rFonts w:eastAsia="宋体"/>
          <w:sz w:val="24"/>
          <w:szCs w:val="24"/>
        </w:rPr>
        <w:t xml:space="preserve">4.3.3 </w:t>
      </w:r>
      <w:r>
        <w:rPr>
          <w:rFonts w:hint="eastAsia" w:eastAsia="宋体"/>
          <w:sz w:val="24"/>
          <w:szCs w:val="24"/>
        </w:rPr>
        <w:t>既有建筑抗浮勘察应结合拟实施的改造、加固等方案，开展针对性勘探、测试与试验，并评估拟采取的勘察技术工作对既有抗浮措施的潜在影响。</w:t>
      </w:r>
    </w:p>
    <w:p w14:paraId="391FE899">
      <w:pPr>
        <w:spacing w:line="360" w:lineRule="auto"/>
        <w:jc w:val="left"/>
        <w:rPr>
          <w:rFonts w:eastAsia="宋体"/>
          <w:sz w:val="24"/>
          <w:szCs w:val="24"/>
        </w:rPr>
      </w:pPr>
      <w:r>
        <w:rPr>
          <w:rFonts w:eastAsia="宋体"/>
          <w:sz w:val="24"/>
          <w:szCs w:val="24"/>
        </w:rPr>
        <w:t xml:space="preserve">4.3.4 </w:t>
      </w:r>
      <w:r>
        <w:rPr>
          <w:rFonts w:hint="eastAsia" w:eastAsia="宋体"/>
          <w:sz w:val="24"/>
          <w:szCs w:val="24"/>
        </w:rPr>
        <w:t>排水泄压等设计所需水文地质参数及测试方法宜根据《建筑工程抗浮技术标准》</w:t>
      </w:r>
      <w:r>
        <w:rPr>
          <w:rFonts w:eastAsia="宋体"/>
          <w:sz w:val="24"/>
          <w:szCs w:val="24"/>
        </w:rPr>
        <w:t>JGJ476</w:t>
      </w:r>
      <w:r>
        <w:rPr>
          <w:rFonts w:hint="eastAsia" w:eastAsia="宋体"/>
          <w:sz w:val="24"/>
          <w:szCs w:val="24"/>
        </w:rPr>
        <w:t>规定确定。</w:t>
      </w:r>
    </w:p>
    <w:p w14:paraId="182B0CE0">
      <w:pPr>
        <w:spacing w:line="360" w:lineRule="auto"/>
        <w:jc w:val="left"/>
        <w:rPr>
          <w:rFonts w:eastAsia="宋体"/>
          <w:sz w:val="24"/>
          <w:szCs w:val="24"/>
        </w:rPr>
      </w:pPr>
      <w:r>
        <w:rPr>
          <w:rFonts w:eastAsia="宋体"/>
          <w:sz w:val="24"/>
          <w:szCs w:val="24"/>
        </w:rPr>
        <w:t>4.3.5</w:t>
      </w:r>
      <w:r>
        <w:rPr>
          <w:rFonts w:hint="eastAsia" w:eastAsia="宋体"/>
          <w:sz w:val="24"/>
          <w:szCs w:val="24"/>
        </w:rPr>
        <w:t>抗浮勘察宜结合既有建筑基底所在层位，分层布置地下水监测井；当需要进行长期监测时，应符合现行行业标准《城市地下水动态观测规程》</w:t>
      </w:r>
      <w:r>
        <w:rPr>
          <w:rFonts w:eastAsia="宋体"/>
          <w:sz w:val="24"/>
          <w:szCs w:val="24"/>
        </w:rPr>
        <w:t>CJJ76</w:t>
      </w:r>
      <w:r>
        <w:rPr>
          <w:rFonts w:hint="eastAsia" w:eastAsia="宋体"/>
          <w:sz w:val="24"/>
          <w:szCs w:val="24"/>
        </w:rPr>
        <w:t>的规定。</w:t>
      </w:r>
    </w:p>
    <w:p w14:paraId="4699B84E">
      <w:pPr>
        <w:spacing w:line="360" w:lineRule="auto"/>
        <w:jc w:val="left"/>
        <w:rPr>
          <w:rFonts w:eastAsia="宋体"/>
          <w:sz w:val="24"/>
          <w:szCs w:val="24"/>
        </w:rPr>
      </w:pPr>
      <w:r>
        <w:rPr>
          <w:rFonts w:eastAsia="宋体"/>
          <w:sz w:val="24"/>
          <w:szCs w:val="24"/>
        </w:rPr>
        <w:t>4.3.6</w:t>
      </w:r>
      <w:r>
        <w:rPr>
          <w:rFonts w:hint="eastAsia" w:eastAsia="宋体"/>
          <w:sz w:val="24"/>
          <w:szCs w:val="24"/>
        </w:rPr>
        <w:t>在满足《建筑与市政工程抗浮勘察标准》</w:t>
      </w:r>
      <w:r>
        <w:rPr>
          <w:rFonts w:eastAsia="宋体"/>
          <w:sz w:val="24"/>
          <w:szCs w:val="24"/>
        </w:rPr>
        <w:t>DB11/T 2241</w:t>
      </w:r>
      <w:r>
        <w:rPr>
          <w:rFonts w:hint="eastAsia" w:eastAsia="宋体"/>
          <w:sz w:val="24"/>
          <w:szCs w:val="24"/>
        </w:rPr>
        <w:t>要求的基础上，既有建筑抗浮设防水位应综合考虑以下因素确定：</w:t>
      </w:r>
    </w:p>
    <w:p w14:paraId="12405464">
      <w:pPr>
        <w:spacing w:line="360" w:lineRule="auto"/>
        <w:ind w:firstLine="480" w:firstLineChars="200"/>
        <w:jc w:val="left"/>
        <w:rPr>
          <w:rFonts w:eastAsia="宋体"/>
          <w:sz w:val="24"/>
          <w:szCs w:val="24"/>
        </w:rPr>
      </w:pPr>
      <w:r>
        <w:rPr>
          <w:rFonts w:eastAsia="宋体"/>
          <w:sz w:val="24"/>
          <w:szCs w:val="24"/>
        </w:rPr>
        <w:t xml:space="preserve">1 </w:t>
      </w:r>
      <w:r>
        <w:rPr>
          <w:rFonts w:hint="eastAsia" w:eastAsia="宋体"/>
          <w:sz w:val="24"/>
          <w:szCs w:val="24"/>
        </w:rPr>
        <w:t>肥槽回填材料和渗透性；</w:t>
      </w:r>
    </w:p>
    <w:p w14:paraId="48F241D1">
      <w:pPr>
        <w:spacing w:line="360" w:lineRule="auto"/>
        <w:ind w:firstLine="480" w:firstLineChars="200"/>
        <w:jc w:val="left"/>
        <w:rPr>
          <w:rFonts w:eastAsia="宋体"/>
          <w:sz w:val="24"/>
          <w:szCs w:val="24"/>
        </w:rPr>
      </w:pPr>
      <w:r>
        <w:rPr>
          <w:rFonts w:eastAsia="宋体"/>
          <w:sz w:val="24"/>
          <w:szCs w:val="24"/>
        </w:rPr>
        <w:t xml:space="preserve">2 </w:t>
      </w:r>
      <w:r>
        <w:rPr>
          <w:rFonts w:hint="eastAsia" w:eastAsia="宋体"/>
          <w:sz w:val="24"/>
          <w:szCs w:val="24"/>
        </w:rPr>
        <w:t>基坑地下水控制措施；</w:t>
      </w:r>
    </w:p>
    <w:p w14:paraId="10D3BF54">
      <w:pPr>
        <w:spacing w:line="360" w:lineRule="auto"/>
        <w:ind w:firstLine="480" w:firstLineChars="200"/>
        <w:jc w:val="left"/>
        <w:rPr>
          <w:rFonts w:eastAsia="宋体"/>
          <w:sz w:val="24"/>
          <w:szCs w:val="24"/>
        </w:rPr>
      </w:pPr>
      <w:r>
        <w:rPr>
          <w:rFonts w:eastAsia="宋体"/>
          <w:sz w:val="24"/>
          <w:szCs w:val="24"/>
        </w:rPr>
        <w:t xml:space="preserve">3 </w:t>
      </w:r>
      <w:r>
        <w:rPr>
          <w:rFonts w:hint="eastAsia" w:eastAsia="宋体"/>
          <w:sz w:val="24"/>
          <w:szCs w:val="24"/>
        </w:rPr>
        <w:t>既有建构筑物及市政工程的建设对地下水流场的影响；</w:t>
      </w:r>
    </w:p>
    <w:p w14:paraId="265FA92C">
      <w:pPr>
        <w:spacing w:line="360" w:lineRule="auto"/>
        <w:ind w:firstLine="480" w:firstLineChars="200"/>
        <w:jc w:val="left"/>
        <w:rPr>
          <w:rFonts w:eastAsia="宋体"/>
          <w:sz w:val="24"/>
          <w:szCs w:val="24"/>
        </w:rPr>
      </w:pPr>
      <w:r>
        <w:rPr>
          <w:rFonts w:eastAsia="宋体"/>
          <w:sz w:val="24"/>
          <w:szCs w:val="24"/>
        </w:rPr>
        <w:t xml:space="preserve">4 </w:t>
      </w:r>
      <w:r>
        <w:rPr>
          <w:rFonts w:hint="eastAsia" w:eastAsia="宋体"/>
          <w:sz w:val="24"/>
          <w:szCs w:val="24"/>
        </w:rPr>
        <w:t>其他改变既有建筑场地流场条件的情况。</w:t>
      </w:r>
    </w:p>
    <w:p w14:paraId="3EE9C48B">
      <w:pPr>
        <w:spacing w:line="360" w:lineRule="auto"/>
        <w:jc w:val="left"/>
        <w:rPr>
          <w:rFonts w:eastAsia="宋体"/>
          <w:sz w:val="24"/>
          <w:szCs w:val="24"/>
        </w:rPr>
      </w:pPr>
      <w:r>
        <w:rPr>
          <w:rFonts w:eastAsia="宋体"/>
          <w:sz w:val="24"/>
          <w:szCs w:val="24"/>
        </w:rPr>
        <w:t>4.3.7</w:t>
      </w:r>
      <w:r>
        <w:rPr>
          <w:rFonts w:hint="eastAsia" w:eastAsia="宋体"/>
          <w:sz w:val="24"/>
          <w:szCs w:val="24"/>
        </w:rPr>
        <w:t>既有建（构）物周边建筑地下结构分布条件及场地水文地质条件复杂时，可采用数值模拟方法确定抗浮设防水位。</w:t>
      </w:r>
    </w:p>
    <w:p w14:paraId="2925CDE2">
      <w:pPr>
        <w:numPr>
          <w:ilvl w:val="1"/>
          <w:numId w:val="2"/>
        </w:numPr>
        <w:spacing w:line="360" w:lineRule="auto"/>
        <w:ind w:left="0" w:firstLine="0"/>
        <w:jc w:val="center"/>
        <w:outlineLvl w:val="1"/>
        <w:rPr>
          <w:rFonts w:eastAsiaTheme="minorEastAsia"/>
          <w:b/>
          <w:bCs/>
          <w:sz w:val="24"/>
          <w:szCs w:val="24"/>
        </w:rPr>
      </w:pPr>
      <w:bookmarkStart w:id="59" w:name="_Toc29798"/>
      <w:bookmarkStart w:id="60" w:name="_Toc14043"/>
      <w:bookmarkStart w:id="61" w:name="_Toc28667"/>
      <w:bookmarkStart w:id="62" w:name="_Toc27579"/>
      <w:bookmarkStart w:id="63" w:name="_Toc11053"/>
      <w:bookmarkStart w:id="64" w:name="_Toc1077"/>
      <w:bookmarkStart w:id="65" w:name="_Toc12100"/>
      <w:r>
        <w:rPr>
          <w:rFonts w:hint="eastAsia" w:eastAsiaTheme="minorEastAsia"/>
          <w:b/>
          <w:bCs/>
          <w:sz w:val="24"/>
          <w:szCs w:val="24"/>
        </w:rPr>
        <w:t>成果要求</w:t>
      </w:r>
      <w:bookmarkEnd w:id="59"/>
      <w:bookmarkEnd w:id="60"/>
      <w:bookmarkEnd w:id="61"/>
      <w:bookmarkEnd w:id="62"/>
      <w:bookmarkEnd w:id="63"/>
      <w:bookmarkEnd w:id="64"/>
      <w:bookmarkEnd w:id="65"/>
    </w:p>
    <w:p w14:paraId="2A581239">
      <w:pPr>
        <w:spacing w:line="360" w:lineRule="auto"/>
        <w:jc w:val="left"/>
        <w:rPr>
          <w:rFonts w:eastAsia="宋体"/>
          <w:sz w:val="24"/>
          <w:szCs w:val="24"/>
        </w:rPr>
      </w:pPr>
      <w:r>
        <w:rPr>
          <w:rFonts w:eastAsia="宋体"/>
          <w:sz w:val="24"/>
          <w:szCs w:val="24"/>
        </w:rPr>
        <w:t xml:space="preserve">4.4.1 </w:t>
      </w:r>
      <w:r>
        <w:rPr>
          <w:rFonts w:hint="eastAsia" w:eastAsia="宋体"/>
          <w:sz w:val="24"/>
          <w:szCs w:val="24"/>
        </w:rPr>
        <w:t>岩土工程勘察报告中涉及抗浮章节应包括报告正文和相应的附图、附件。</w:t>
      </w:r>
    </w:p>
    <w:p w14:paraId="0FBFD440">
      <w:pPr>
        <w:spacing w:line="360" w:lineRule="auto"/>
        <w:jc w:val="left"/>
        <w:rPr>
          <w:rFonts w:eastAsia="宋体"/>
          <w:sz w:val="24"/>
          <w:szCs w:val="24"/>
        </w:rPr>
      </w:pPr>
      <w:r>
        <w:rPr>
          <w:rFonts w:eastAsia="宋体"/>
          <w:sz w:val="24"/>
          <w:szCs w:val="24"/>
        </w:rPr>
        <w:t xml:space="preserve">4.4.2 </w:t>
      </w:r>
      <w:r>
        <w:rPr>
          <w:rFonts w:hint="eastAsia" w:eastAsia="宋体"/>
          <w:sz w:val="24"/>
          <w:szCs w:val="24"/>
        </w:rPr>
        <w:t>报告正文宜包含下列内容：</w:t>
      </w:r>
    </w:p>
    <w:p w14:paraId="4D3E4FED">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场地地下水类型、含水层与隔水层的分布特征</w:t>
      </w:r>
      <w:r>
        <w:rPr>
          <w:rFonts w:eastAsia="宋体"/>
          <w:sz w:val="24"/>
          <w:szCs w:val="24"/>
        </w:rPr>
        <w:t>；</w:t>
      </w:r>
    </w:p>
    <w:p w14:paraId="6A8D052C">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勘察期间实测的各层地下水初见水位或水头和稳定水位或水头，场地近</w:t>
      </w:r>
      <w:r>
        <w:rPr>
          <w:rFonts w:eastAsia="宋体"/>
          <w:sz w:val="24"/>
          <w:szCs w:val="24"/>
        </w:rPr>
        <w:t>3~5</w:t>
      </w:r>
      <w:r>
        <w:rPr>
          <w:rFonts w:hint="eastAsia" w:eastAsia="宋体"/>
          <w:sz w:val="24"/>
          <w:szCs w:val="24"/>
        </w:rPr>
        <w:t>年地下水水位及历史最高水位</w:t>
      </w:r>
      <w:r>
        <w:rPr>
          <w:rFonts w:eastAsia="宋体"/>
          <w:sz w:val="24"/>
          <w:szCs w:val="24"/>
        </w:rPr>
        <w:t>；</w:t>
      </w:r>
    </w:p>
    <w:p w14:paraId="3F0C4D2A">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地下水的补给、径流、排泄条件，及其与地表水体的水力联系</w:t>
      </w:r>
      <w:r>
        <w:rPr>
          <w:rFonts w:eastAsia="宋体"/>
          <w:sz w:val="24"/>
          <w:szCs w:val="24"/>
        </w:rPr>
        <w:t>；</w:t>
      </w:r>
    </w:p>
    <w:p w14:paraId="55F9187A">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地下水动态变化规律及主要影响因素</w:t>
      </w:r>
      <w:r>
        <w:rPr>
          <w:rFonts w:eastAsia="宋体"/>
          <w:sz w:val="24"/>
          <w:szCs w:val="24"/>
        </w:rPr>
        <w:t>；</w:t>
      </w:r>
    </w:p>
    <w:p w14:paraId="502CE074">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抗浮设防水位的建议值；当场地条件、设计条件等差异显著时，宜分区、分段提供抗浮设防水位的建议值</w:t>
      </w:r>
      <w:r>
        <w:rPr>
          <w:rFonts w:eastAsia="宋体"/>
          <w:sz w:val="24"/>
          <w:szCs w:val="24"/>
        </w:rPr>
        <w:t>；</w:t>
      </w:r>
    </w:p>
    <w:p w14:paraId="64AB9DB3">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既有建筑的地下水控制措施和肥槽评价；</w:t>
      </w:r>
    </w:p>
    <w:p w14:paraId="26CDDAE2">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新建建筑肥槽回填材料和质量要求</w:t>
      </w:r>
      <w:r>
        <w:rPr>
          <w:rFonts w:eastAsia="宋体"/>
          <w:sz w:val="24"/>
          <w:szCs w:val="24"/>
        </w:rPr>
        <w:t>；</w:t>
      </w:r>
    </w:p>
    <w:p w14:paraId="4252D76F">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抗浮措施方案建议，以及抗浮设计和施工所需的相关参数；</w:t>
      </w:r>
    </w:p>
    <w:p w14:paraId="7F1F942A">
      <w:pPr>
        <w:numPr>
          <w:ilvl w:val="0"/>
          <w:numId w:val="13"/>
        </w:numPr>
        <w:tabs>
          <w:tab w:val="left" w:pos="640"/>
          <w:tab w:val="clear" w:pos="420"/>
        </w:tabs>
        <w:spacing w:line="360" w:lineRule="auto"/>
        <w:ind w:left="645" w:hanging="325"/>
        <w:rPr>
          <w:rFonts w:eastAsia="宋体"/>
          <w:sz w:val="24"/>
          <w:szCs w:val="24"/>
        </w:rPr>
      </w:pPr>
      <w:r>
        <w:rPr>
          <w:rFonts w:hint="eastAsia" w:eastAsia="宋体"/>
          <w:sz w:val="24"/>
          <w:szCs w:val="24"/>
        </w:rPr>
        <w:t>施工期及运营期地下水位监测建议。</w:t>
      </w:r>
    </w:p>
    <w:p w14:paraId="7983FD19">
      <w:pPr>
        <w:spacing w:line="360" w:lineRule="auto"/>
        <w:jc w:val="left"/>
        <w:rPr>
          <w:rFonts w:eastAsia="宋体"/>
          <w:sz w:val="24"/>
          <w:szCs w:val="24"/>
        </w:rPr>
      </w:pPr>
      <w:r>
        <w:rPr>
          <w:rFonts w:eastAsia="宋体"/>
          <w:sz w:val="24"/>
          <w:szCs w:val="24"/>
        </w:rPr>
        <w:t xml:space="preserve">4.4.3  </w:t>
      </w:r>
      <w:r>
        <w:rPr>
          <w:rFonts w:hint="eastAsia" w:eastAsia="宋体"/>
          <w:sz w:val="24"/>
          <w:szCs w:val="24"/>
        </w:rPr>
        <w:t>抗浮勘察成果附图应包含以下内容：</w:t>
      </w:r>
    </w:p>
    <w:p w14:paraId="5791B35F">
      <w:pPr>
        <w:spacing w:line="360" w:lineRule="auto"/>
        <w:ind w:firstLine="480" w:firstLineChars="200"/>
        <w:jc w:val="left"/>
        <w:rPr>
          <w:rFonts w:eastAsia="宋体"/>
          <w:sz w:val="24"/>
          <w:szCs w:val="24"/>
        </w:rPr>
      </w:pPr>
      <w:r>
        <w:rPr>
          <w:rFonts w:eastAsia="宋体"/>
          <w:sz w:val="24"/>
          <w:szCs w:val="24"/>
        </w:rPr>
        <w:t xml:space="preserve">1 </w:t>
      </w:r>
      <w:r>
        <w:rPr>
          <w:rFonts w:hint="eastAsia" w:eastAsia="宋体"/>
          <w:sz w:val="24"/>
          <w:szCs w:val="24"/>
        </w:rPr>
        <w:t>工程地质剖面图、水文地质剖面图；</w:t>
      </w:r>
    </w:p>
    <w:p w14:paraId="0B9B3721">
      <w:pPr>
        <w:spacing w:line="360" w:lineRule="auto"/>
        <w:ind w:firstLine="480" w:firstLineChars="200"/>
        <w:jc w:val="left"/>
        <w:rPr>
          <w:rFonts w:eastAsia="宋体"/>
          <w:sz w:val="24"/>
          <w:szCs w:val="24"/>
        </w:rPr>
      </w:pPr>
      <w:r>
        <w:rPr>
          <w:rFonts w:eastAsia="宋体"/>
          <w:sz w:val="24"/>
          <w:szCs w:val="24"/>
        </w:rPr>
        <w:t xml:space="preserve">2 </w:t>
      </w:r>
      <w:r>
        <w:rPr>
          <w:rFonts w:hint="eastAsia" w:eastAsia="宋体"/>
          <w:sz w:val="24"/>
          <w:szCs w:val="24"/>
        </w:rPr>
        <w:t>必要时，提供地下水位、水头等值线图、抗浮设防水位分区、分段图等图件。</w:t>
      </w:r>
    </w:p>
    <w:p w14:paraId="5C9EAAE1">
      <w:pPr>
        <w:spacing w:line="360" w:lineRule="auto"/>
        <w:jc w:val="left"/>
        <w:rPr>
          <w:rFonts w:eastAsia="宋体"/>
          <w:sz w:val="24"/>
          <w:szCs w:val="24"/>
        </w:rPr>
      </w:pPr>
      <w:r>
        <w:rPr>
          <w:rFonts w:eastAsia="宋体"/>
          <w:sz w:val="24"/>
          <w:szCs w:val="24"/>
        </w:rPr>
        <w:t xml:space="preserve">4.4.4  </w:t>
      </w:r>
      <w:r>
        <w:rPr>
          <w:rFonts w:hint="eastAsia" w:eastAsia="宋体"/>
          <w:sz w:val="24"/>
          <w:szCs w:val="24"/>
        </w:rPr>
        <w:t>抗浮勘察成果附件宜包含以下内容：</w:t>
      </w:r>
    </w:p>
    <w:p w14:paraId="4E0E54ED">
      <w:pPr>
        <w:spacing w:line="360" w:lineRule="auto"/>
        <w:ind w:firstLine="480" w:firstLineChars="200"/>
        <w:jc w:val="left"/>
        <w:rPr>
          <w:rFonts w:eastAsia="宋体"/>
          <w:sz w:val="24"/>
          <w:szCs w:val="24"/>
        </w:rPr>
      </w:pPr>
      <w:r>
        <w:rPr>
          <w:rFonts w:eastAsia="宋体"/>
          <w:sz w:val="24"/>
          <w:szCs w:val="24"/>
        </w:rPr>
        <w:t xml:space="preserve">1 </w:t>
      </w:r>
      <w:r>
        <w:rPr>
          <w:rFonts w:hint="eastAsia" w:eastAsia="宋体"/>
          <w:sz w:val="24"/>
          <w:szCs w:val="24"/>
        </w:rPr>
        <w:t>岩、土、水试验分析成果；</w:t>
      </w:r>
    </w:p>
    <w:p w14:paraId="16DCE41D">
      <w:pPr>
        <w:spacing w:line="360" w:lineRule="auto"/>
        <w:ind w:firstLine="480" w:firstLineChars="200"/>
        <w:jc w:val="left"/>
        <w:rPr>
          <w:rFonts w:eastAsia="宋体"/>
          <w:sz w:val="24"/>
          <w:szCs w:val="24"/>
        </w:rPr>
      </w:pPr>
      <w:r>
        <w:rPr>
          <w:rFonts w:eastAsia="宋体"/>
          <w:sz w:val="24"/>
          <w:szCs w:val="24"/>
        </w:rPr>
        <w:t xml:space="preserve">2 </w:t>
      </w:r>
      <w:r>
        <w:rPr>
          <w:rFonts w:hint="eastAsia" w:eastAsia="宋体"/>
          <w:sz w:val="24"/>
          <w:szCs w:val="24"/>
        </w:rPr>
        <w:t>地下水监测数据等。</w:t>
      </w:r>
    </w:p>
    <w:bookmarkEnd w:id="53"/>
    <w:p w14:paraId="3327E21C">
      <w:pPr>
        <w:rPr>
          <w:rFonts w:eastAsiaTheme="minorEastAsia"/>
          <w:b/>
          <w:bCs/>
          <w:sz w:val="28"/>
          <w:szCs w:val="28"/>
        </w:rPr>
      </w:pPr>
      <w:bookmarkStart w:id="66" w:name="_Toc2152"/>
      <w:bookmarkStart w:id="67" w:name="_Toc15062"/>
      <w:bookmarkStart w:id="68" w:name="_Toc2550"/>
      <w:bookmarkStart w:id="69" w:name="_Toc3730"/>
      <w:r>
        <w:rPr>
          <w:rFonts w:eastAsiaTheme="minorEastAsia"/>
          <w:b/>
          <w:bCs/>
          <w:sz w:val="28"/>
          <w:szCs w:val="28"/>
        </w:rPr>
        <w:br w:type="page"/>
      </w:r>
    </w:p>
    <w:p w14:paraId="1C1A2125">
      <w:pPr>
        <w:numPr>
          <w:ilvl w:val="0"/>
          <w:numId w:val="2"/>
        </w:numPr>
        <w:spacing w:line="360" w:lineRule="auto"/>
        <w:jc w:val="center"/>
        <w:outlineLvl w:val="0"/>
        <w:rPr>
          <w:rFonts w:eastAsiaTheme="minorEastAsia"/>
          <w:b/>
          <w:bCs/>
          <w:sz w:val="28"/>
          <w:szCs w:val="28"/>
        </w:rPr>
      </w:pPr>
      <w:bookmarkStart w:id="70" w:name="_Toc20725"/>
      <w:bookmarkStart w:id="71" w:name="_Toc3757"/>
      <w:r>
        <w:rPr>
          <w:rFonts w:eastAsiaTheme="minorEastAsia"/>
          <w:b/>
          <w:bCs/>
          <w:sz w:val="28"/>
          <w:szCs w:val="28"/>
        </w:rPr>
        <w:t>抗浮稳定</w:t>
      </w:r>
      <w:r>
        <w:rPr>
          <w:rFonts w:hint="eastAsia" w:eastAsiaTheme="minorEastAsia"/>
          <w:b/>
          <w:bCs/>
          <w:sz w:val="28"/>
          <w:szCs w:val="28"/>
        </w:rPr>
        <w:t>与设计</w:t>
      </w:r>
      <w:bookmarkEnd w:id="66"/>
      <w:bookmarkEnd w:id="67"/>
      <w:bookmarkEnd w:id="68"/>
      <w:bookmarkEnd w:id="69"/>
      <w:bookmarkEnd w:id="70"/>
      <w:bookmarkEnd w:id="71"/>
    </w:p>
    <w:p w14:paraId="31763B2B">
      <w:pPr>
        <w:numPr>
          <w:ilvl w:val="1"/>
          <w:numId w:val="2"/>
        </w:numPr>
        <w:spacing w:line="360" w:lineRule="auto"/>
        <w:ind w:left="0" w:firstLine="0"/>
        <w:jc w:val="center"/>
        <w:outlineLvl w:val="1"/>
        <w:rPr>
          <w:rFonts w:eastAsiaTheme="minorEastAsia"/>
          <w:b/>
          <w:bCs/>
          <w:sz w:val="24"/>
          <w:szCs w:val="24"/>
        </w:rPr>
      </w:pPr>
      <w:bookmarkStart w:id="72" w:name="_Toc7436"/>
      <w:bookmarkStart w:id="73" w:name="_Toc22584"/>
      <w:bookmarkStart w:id="74" w:name="_Toc6077"/>
      <w:bookmarkStart w:id="75" w:name="_Toc29946"/>
      <w:bookmarkStart w:id="76" w:name="_Toc31441"/>
      <w:bookmarkStart w:id="77" w:name="_Toc22293"/>
      <w:r>
        <w:rPr>
          <w:rFonts w:hint="eastAsia" w:eastAsiaTheme="minorEastAsia"/>
          <w:b/>
          <w:bCs/>
          <w:sz w:val="24"/>
          <w:szCs w:val="24"/>
        </w:rPr>
        <w:t>一般规定</w:t>
      </w:r>
      <w:bookmarkEnd w:id="72"/>
      <w:bookmarkEnd w:id="73"/>
      <w:bookmarkEnd w:id="74"/>
      <w:bookmarkEnd w:id="75"/>
      <w:bookmarkEnd w:id="76"/>
    </w:p>
    <w:bookmarkEnd w:id="77"/>
    <w:p w14:paraId="1FC8B957">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抗浮稳定验算应符合下列公式的规定：</w:t>
      </w:r>
    </w:p>
    <w:p w14:paraId="727AF47A">
      <w:pPr>
        <w:spacing w:line="360" w:lineRule="auto"/>
        <w:ind w:left="1" w:leftChars="-221" w:hanging="708" w:hangingChars="295"/>
        <w:jc w:val="right"/>
        <w:rPr>
          <w:rFonts w:hAnsi="Cambria Math"/>
          <w:sz w:val="24"/>
          <w:szCs w:val="24"/>
        </w:rPr>
      </w:pPr>
      <m:oMath>
        <m:sSub>
          <m:sSubPr>
            <m:ctrlPr>
              <w:rPr>
                <w:rFonts w:ascii="Cambria Math" w:hAnsi="Cambria Math"/>
                <w:i/>
                <w:sz w:val="24"/>
                <w:szCs w:val="24"/>
              </w:rPr>
            </m:ctrlPr>
          </m:sSubPr>
          <m:e>
            <m:r>
              <m:rPr/>
              <w:rPr>
                <w:rFonts w:ascii="Cambria Math" w:hAnsi="Cambria Math"/>
                <w:sz w:val="24"/>
                <w:szCs w:val="24"/>
              </w:rPr>
              <m:t>G</m:t>
            </m:r>
            <m:ctrlPr>
              <w:rPr>
                <w:rFonts w:ascii="Cambria Math" w:hAnsi="Cambria Math"/>
                <w:i/>
                <w:sz w:val="24"/>
                <w:szCs w:val="24"/>
              </w:rPr>
            </m:ctrlPr>
          </m:e>
          <m:sub>
            <m:r>
              <m:rPr>
                <m:sty m:val="p"/>
              </m:rPr>
              <w:rPr>
                <w:rFonts w:ascii="Cambria Math" w:hAnsi="Cambria Math"/>
                <w:sz w:val="24"/>
                <w:szCs w:val="24"/>
              </w:rPr>
              <m:t>k</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m:nor/>
                <m:sty m:val="p"/>
              </m:rPr>
              <w:rPr>
                <w:rFonts w:ascii="Cambria Math" w:hAnsi="Cambria Math"/>
                <w:b w:val="0"/>
                <w:i w:val="0"/>
                <w:sz w:val="24"/>
                <w:szCs w:val="24"/>
              </w:rPr>
              <m:t>t</m:t>
            </m:r>
            <m:ctrlPr>
              <w:rPr>
                <w:rFonts w:ascii="Cambria Math" w:hAnsi="Cambria Math"/>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k</m:t>
            </m:r>
            <m:ctrlPr>
              <w:rPr>
                <w:rFonts w:ascii="Cambria Math" w:hAnsi="Cambria Math"/>
                <w:i/>
                <w:sz w:val="24"/>
                <w:szCs w:val="24"/>
              </w:rPr>
            </m:ctrlPr>
          </m:e>
          <m:sub>
            <m:r>
              <m:rPr>
                <m:sty m:val="p"/>
              </m:rPr>
              <w:rPr>
                <w:rFonts w:ascii="Cambria Math" w:hAnsi="Cambria Math"/>
                <w:sz w:val="24"/>
                <w:szCs w:val="24"/>
              </w:rPr>
              <m:t>w</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N</m:t>
            </m:r>
            <m:ctrlPr>
              <w:rPr>
                <w:rFonts w:ascii="Cambria Math" w:hAnsi="Cambria Math"/>
                <w:i/>
                <w:sz w:val="24"/>
                <w:szCs w:val="24"/>
              </w:rPr>
            </m:ctrlPr>
          </m:e>
          <m:sub>
            <m:r>
              <m:rPr>
                <m:nor/>
                <m:sty m:val="p"/>
              </m:rPr>
              <w:rPr>
                <w:rFonts w:ascii="Cambria Math" w:hAnsi="Cambria Math"/>
                <w:b w:val="0"/>
                <w:i w:val="0"/>
                <w:sz w:val="24"/>
                <w:szCs w:val="24"/>
              </w:rPr>
              <m:t>wk</m:t>
            </m:r>
            <m:ctrlPr>
              <w:rPr>
                <w:rFonts w:ascii="Cambria Math" w:hAnsi="Cambria Math"/>
                <w:sz w:val="24"/>
                <w:szCs w:val="24"/>
              </w:rPr>
            </m:ctrlPr>
          </m:sub>
        </m:sSub>
      </m:oMath>
      <w:r>
        <w:rPr>
          <w:rFonts w:hint="eastAsia" w:hAnsi="Cambria Math"/>
          <w:sz w:val="24"/>
          <w:szCs w:val="24"/>
        </w:rPr>
        <w:tab/>
      </w:r>
      <w:r>
        <w:rPr>
          <w:rFonts w:hint="eastAsia" w:hAnsi="Cambria Math"/>
          <w:sz w:val="24"/>
          <w:szCs w:val="24"/>
        </w:rPr>
        <w:tab/>
      </w:r>
      <w:r>
        <w:rPr>
          <w:rFonts w:hint="eastAsia" w:hAnsi="Cambria Math"/>
          <w:sz w:val="24"/>
          <w:szCs w:val="24"/>
        </w:rPr>
        <w:t xml:space="preserve">    </w:t>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(5.1.1-1)</w:t>
      </w:r>
    </w:p>
    <w:p w14:paraId="7201DD29">
      <w:pPr>
        <w:spacing w:line="360" w:lineRule="auto"/>
        <w:ind w:left="1" w:leftChars="-221" w:hanging="708" w:hangingChars="295"/>
        <w:jc w:val="right"/>
        <w:rPr>
          <w:rFonts w:hAnsi="Cambria Math"/>
          <w:sz w:val="24"/>
          <w:szCs w:val="24"/>
        </w:rPr>
      </w:pPr>
      <m:oMath>
        <m:sSub>
          <m:sSubPr>
            <m:ctrlPr>
              <w:rPr>
                <w:rFonts w:ascii="Cambria Math" w:hAnsi="Cambria Math"/>
                <w:i/>
                <w:sz w:val="24"/>
                <w:szCs w:val="24"/>
              </w:rPr>
            </m:ctrlPr>
          </m:sSubPr>
          <m:e>
            <m:r>
              <m:rPr/>
              <w:rPr>
                <w:rFonts w:ascii="Cambria Math" w:hAnsi="Cambria Math"/>
                <w:sz w:val="24"/>
                <w:szCs w:val="24"/>
              </w:rPr>
              <m:t>G</m:t>
            </m:r>
            <m:ctrlPr>
              <w:rPr>
                <w:rFonts w:ascii="Cambria Math" w:hAnsi="Cambria Math"/>
                <w:i/>
                <w:sz w:val="24"/>
                <w:szCs w:val="24"/>
              </w:rPr>
            </m:ctrlPr>
          </m:e>
          <m:sub>
            <m:r>
              <m:rPr>
                <m:sty m:val="p"/>
              </m:rPr>
              <w:rPr>
                <w:rFonts w:ascii="Cambria Math" w:hAnsi="Cambria Math"/>
                <w:sz w:val="24"/>
                <w:szCs w:val="24"/>
              </w:rPr>
              <m:t>k</m:t>
            </m:r>
            <m:ctrlPr>
              <w:rPr>
                <w:rFonts w:ascii="Cambria Math" w:hAnsi="Cambria Math"/>
                <w:i/>
                <w:sz w:val="24"/>
                <w:szCs w:val="24"/>
              </w:rPr>
            </m:ctrlPr>
          </m:sub>
        </m:sSub>
        <m:r>
          <m:rPr/>
          <w:rPr>
            <w:rFonts w:ascii="Cambria Math" w:hAnsi="Cambria Math"/>
            <w:sz w:val="24"/>
            <w:szCs w:val="24"/>
          </w:rPr>
          <m:t>=</m:t>
        </m:r>
        <m:nary>
          <m:naryPr>
            <m:chr m:val="∑"/>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b>
              <m:sSubPr>
                <m:ctrlPr>
                  <w:rPr>
                    <w:rFonts w:ascii="Cambria Math" w:hAnsi="Cambria Math"/>
                    <w:i/>
                    <w:sz w:val="24"/>
                    <w:szCs w:val="24"/>
                  </w:rPr>
                </m:ctrlPr>
              </m:sSubPr>
              <m:e>
                <m:r>
                  <m:rPr/>
                  <w:rPr>
                    <w:rFonts w:ascii="Cambria Math" w:hAnsi="Cambria Math"/>
                    <w:sz w:val="24"/>
                    <w:szCs w:val="24"/>
                  </w:rPr>
                  <m:t>ψ</m:t>
                </m:r>
                <m:ctrlPr>
                  <w:rPr>
                    <w:rFonts w:ascii="Cambria Math" w:hAnsi="Cambria Math"/>
                    <w:i/>
                    <w:sz w:val="24"/>
                    <w:szCs w:val="24"/>
                  </w:rPr>
                </m:ctrlPr>
              </m:e>
              <m:sub>
                <m:r>
                  <m:rPr>
                    <m:sty m:val="p"/>
                  </m:rPr>
                  <w:rPr>
                    <w:rFonts w:ascii="Cambria Math" w:hAnsi="Cambria Math"/>
                    <w:sz w:val="24"/>
                    <w:szCs w:val="24"/>
                  </w:rPr>
                  <m:t>k</m:t>
                </m:r>
                <m:r>
                  <m:rPr/>
                  <w:rPr>
                    <w:rFonts w:ascii="Cambria Math" w:hAnsi="Cambria Math"/>
                    <w:sz w:val="24"/>
                    <w:szCs w:val="24"/>
                  </w:rPr>
                  <m:t>i</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G</m:t>
                </m:r>
                <m:ctrlPr>
                  <w:rPr>
                    <w:rFonts w:ascii="Cambria Math" w:hAnsi="Cambria Math"/>
                    <w:i/>
                    <w:sz w:val="24"/>
                    <w:szCs w:val="24"/>
                  </w:rPr>
                </m:ctrlPr>
              </m:e>
              <m:sub>
                <m:r>
                  <m:rPr>
                    <m:sty m:val="p"/>
                  </m:rPr>
                  <w:rPr>
                    <w:rFonts w:ascii="Cambria Math" w:hAnsi="Cambria Math"/>
                    <w:sz w:val="24"/>
                    <w:szCs w:val="24"/>
                  </w:rPr>
                  <m:t>k</m:t>
                </m:r>
                <m:r>
                  <m:rPr/>
                  <w:rPr>
                    <w:rFonts w:ascii="Cambria Math" w:hAnsi="Cambria Math"/>
                    <w:sz w:val="24"/>
                    <w:szCs w:val="24"/>
                  </w:rPr>
                  <m:t>i</m:t>
                </m:r>
                <m:ctrlPr>
                  <w:rPr>
                    <w:rFonts w:ascii="Cambria Math" w:hAnsi="Cambria Math"/>
                    <w:i/>
                    <w:sz w:val="24"/>
                    <w:szCs w:val="24"/>
                  </w:rPr>
                </m:ctrlPr>
              </m:sub>
            </m:sSub>
            <m:ctrlPr>
              <w:rPr>
                <w:rFonts w:ascii="Cambria Math" w:hAnsi="Cambria Math"/>
                <w:i/>
                <w:sz w:val="24"/>
                <w:szCs w:val="24"/>
              </w:rPr>
            </m:ctrlPr>
          </m:e>
        </m:nary>
      </m:oMath>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(5.1.1-2)</w:t>
      </w:r>
    </w:p>
    <w:p w14:paraId="4C8E5D03">
      <w:pPr>
        <w:spacing w:line="360" w:lineRule="auto"/>
        <w:ind w:left="1512" w:leftChars="1" w:hanging="1509" w:hangingChars="629"/>
        <w:rPr>
          <w:rFonts w:eastAsiaTheme="minorEastAsia"/>
          <w:sz w:val="24"/>
          <w:szCs w:val="24"/>
        </w:rPr>
      </w:pPr>
      <w:r>
        <w:rPr>
          <w:rFonts w:hint="eastAsia" w:eastAsiaTheme="minorEastAsia"/>
          <w:sz w:val="24"/>
          <w:szCs w:val="24"/>
        </w:rPr>
        <w:t>式中：</w:t>
      </w:r>
      <m:oMath>
        <m:sSub>
          <m:sSubPr>
            <m:ctrlPr>
              <w:rPr>
                <w:rFonts w:ascii="Cambria Math" w:hAnsi="Cambria Math"/>
                <w:i/>
                <w:sz w:val="24"/>
                <w:szCs w:val="24"/>
              </w:rPr>
            </m:ctrlPr>
          </m:sSubPr>
          <m:e>
            <m:r>
              <m:rPr/>
              <w:rPr>
                <w:rFonts w:ascii="Cambria Math" w:hAnsi="Cambria Math"/>
                <w:sz w:val="24"/>
                <w:szCs w:val="24"/>
              </w:rPr>
              <m:t>G</m:t>
            </m:r>
            <m:ctrlPr>
              <w:rPr>
                <w:rFonts w:ascii="Cambria Math" w:hAnsi="Cambria Math"/>
                <w:i/>
                <w:sz w:val="24"/>
                <w:szCs w:val="24"/>
              </w:rPr>
            </m:ctrlPr>
          </m:e>
          <m:sub>
            <m:r>
              <m:rPr>
                <m:nor/>
                <m:sty m:val="p"/>
              </m:rPr>
              <w:rPr>
                <w:rFonts w:ascii="Cambria Math" w:hAnsi="Cambria Math"/>
                <w:b w:val="0"/>
                <w:i w:val="0"/>
                <w:sz w:val="24"/>
                <w:szCs w:val="24"/>
              </w:rPr>
              <m:t>k</m:t>
            </m:r>
            <m:ctrlPr>
              <w:rPr>
                <w:rFonts w:ascii="Cambria Math" w:hAnsi="Cambria Math"/>
                <w:sz w:val="24"/>
                <w:szCs w:val="24"/>
              </w:rPr>
            </m:ctrlPr>
          </m:sub>
        </m:sSub>
      </m:oMath>
      <w:r>
        <w:rPr>
          <w:rFonts w:hint="eastAsia" w:eastAsiaTheme="minorEastAsia"/>
          <w:sz w:val="24"/>
          <w:szCs w:val="24"/>
        </w:rPr>
        <w:t>——结构自重及其他压重材料重量标准组合</w:t>
      </w:r>
      <w:r>
        <w:rPr>
          <w:rFonts w:eastAsiaTheme="minorEastAsia"/>
          <w:sz w:val="24"/>
          <w:szCs w:val="24"/>
        </w:rPr>
        <w:t>的效应设计值</w:t>
      </w:r>
      <w:r>
        <w:rPr>
          <w:rFonts w:hint="eastAsia" w:eastAsiaTheme="minorEastAsia"/>
          <w:sz w:val="24"/>
          <w:szCs w:val="24"/>
        </w:rPr>
        <w:t>；</w:t>
      </w:r>
    </w:p>
    <w:p w14:paraId="0C932452">
      <w:pPr>
        <w:spacing w:line="360" w:lineRule="auto"/>
        <w:ind w:left="1508" w:leftChars="221" w:hanging="801" w:hangingChars="334"/>
        <w:rPr>
          <w:rFonts w:eastAsiaTheme="minorEastAsia"/>
          <w:sz w:val="24"/>
          <w:szCs w:val="24"/>
        </w:rPr>
      </w:pPr>
      <w:r>
        <w:rPr>
          <w:rFonts w:hint="eastAsia" w:hAnsi="Cambria Math"/>
          <w:i/>
          <w:iCs/>
          <w:sz w:val="24"/>
          <w:szCs w:val="24"/>
        </w:rPr>
        <w:t>G</w:t>
      </w:r>
      <w:r>
        <w:rPr>
          <w:rFonts w:hint="eastAsia" w:hAnsi="Cambria Math"/>
          <w:sz w:val="24"/>
          <w:szCs w:val="24"/>
          <w:vertAlign w:val="subscript"/>
        </w:rPr>
        <w:t>k</w:t>
      </w:r>
      <w:r>
        <w:rPr>
          <w:rFonts w:hint="eastAsia" w:hAnsi="Cambria Math"/>
          <w:i/>
          <w:iCs/>
          <w:sz w:val="24"/>
          <w:szCs w:val="24"/>
          <w:vertAlign w:val="subscript"/>
        </w:rPr>
        <w:t>i</w:t>
      </w:r>
      <w:r>
        <w:rPr>
          <w:rFonts w:hint="eastAsia" w:eastAsiaTheme="minorEastAsia"/>
          <w:sz w:val="24"/>
          <w:szCs w:val="24"/>
        </w:rPr>
        <w:t>——</w:t>
      </w:r>
      <w:r>
        <w:rPr>
          <w:rFonts w:eastAsiaTheme="minorEastAsia"/>
          <w:sz w:val="24"/>
          <w:szCs w:val="24"/>
        </w:rPr>
        <w:t>结构自重及</w:t>
      </w:r>
      <w:r>
        <w:rPr>
          <w:rFonts w:hint="eastAsia" w:eastAsiaTheme="minorEastAsia"/>
          <w:sz w:val="24"/>
          <w:szCs w:val="24"/>
        </w:rPr>
        <w:t>其他压重材料重量的标准值（</w:t>
      </w:r>
      <w:r>
        <w:rPr>
          <w:rFonts w:eastAsiaTheme="minorEastAsia"/>
          <w:sz w:val="24"/>
          <w:szCs w:val="24"/>
        </w:rPr>
        <w:t>kN</w:t>
      </w:r>
      <w:r>
        <w:rPr>
          <w:rFonts w:hint="eastAsia" w:eastAsiaTheme="minorEastAsia"/>
          <w:sz w:val="24"/>
          <w:szCs w:val="24"/>
        </w:rPr>
        <w:t>）；</w:t>
      </w:r>
    </w:p>
    <w:p w14:paraId="03E5044E">
      <w:pPr>
        <w:spacing w:line="360" w:lineRule="auto"/>
        <w:ind w:left="1508" w:leftChars="221" w:hanging="801" w:hangingChars="334"/>
        <w:rPr>
          <w:rFonts w:eastAsiaTheme="minorEastAsia"/>
          <w:sz w:val="24"/>
          <w:szCs w:val="24"/>
        </w:rPr>
      </w:pPr>
      <w:r>
        <w:rPr>
          <w:rFonts w:hint="eastAsia" w:hAnsi="Cambria Math"/>
          <w:i/>
          <w:iCs/>
          <w:sz w:val="24"/>
          <w:szCs w:val="24"/>
        </w:rPr>
        <w:t>N</w:t>
      </w:r>
      <w:r>
        <w:rPr>
          <w:rFonts w:hint="eastAsia" w:hAnsi="Cambria Math"/>
          <w:sz w:val="24"/>
          <w:szCs w:val="24"/>
          <w:vertAlign w:val="subscript"/>
        </w:rPr>
        <w:t>wk</w:t>
      </w:r>
      <w:r>
        <w:rPr>
          <w:rFonts w:hint="eastAsia" w:eastAsiaTheme="minorEastAsia"/>
          <w:sz w:val="24"/>
          <w:szCs w:val="24"/>
        </w:rPr>
        <w:t>——</w:t>
      </w:r>
      <w:r>
        <w:rPr>
          <w:rFonts w:eastAsiaTheme="minorEastAsia"/>
          <w:sz w:val="24"/>
          <w:szCs w:val="24"/>
        </w:rPr>
        <w:t>浮力标准值</w:t>
      </w:r>
      <w:r>
        <w:rPr>
          <w:rFonts w:hint="eastAsia" w:eastAsiaTheme="minorEastAsia"/>
          <w:sz w:val="24"/>
          <w:szCs w:val="24"/>
        </w:rPr>
        <w:t>（</w:t>
      </w:r>
      <w:r>
        <w:rPr>
          <w:rFonts w:eastAsiaTheme="minorEastAsia"/>
          <w:sz w:val="24"/>
          <w:szCs w:val="24"/>
        </w:rPr>
        <w:t>kN</w:t>
      </w:r>
      <w:r>
        <w:rPr>
          <w:rFonts w:hint="eastAsia" w:eastAsiaTheme="minorEastAsia"/>
          <w:sz w:val="24"/>
          <w:szCs w:val="24"/>
        </w:rPr>
        <w:t>）；</w:t>
      </w:r>
    </w:p>
    <w:p w14:paraId="03E2E5C1">
      <w:pPr>
        <w:spacing w:line="360" w:lineRule="auto"/>
        <w:ind w:left="1508" w:leftChars="221" w:hanging="801" w:hangingChars="334"/>
        <w:rPr>
          <w:rFonts w:eastAsiaTheme="minorEastAsia"/>
          <w:sz w:val="24"/>
          <w:szCs w:val="24"/>
        </w:rPr>
      </w:pPr>
      <w:r>
        <w:rPr>
          <w:rFonts w:hint="eastAsia" w:hAnsi="Cambria Math"/>
          <w:i/>
          <w:iCs/>
          <w:sz w:val="24"/>
          <w:szCs w:val="24"/>
        </w:rPr>
        <w:t>R</w:t>
      </w:r>
      <w:r>
        <w:rPr>
          <w:rFonts w:hint="eastAsia" w:hAnsi="Cambria Math"/>
          <w:sz w:val="24"/>
          <w:szCs w:val="24"/>
          <w:vertAlign w:val="subscript"/>
        </w:rPr>
        <w:t>t</w:t>
      </w:r>
      <w:r>
        <w:rPr>
          <w:rFonts w:hint="eastAsia" w:eastAsiaTheme="minorEastAsia"/>
          <w:sz w:val="24"/>
          <w:szCs w:val="24"/>
        </w:rPr>
        <w:t>——</w:t>
      </w:r>
      <w:r>
        <w:rPr>
          <w:rFonts w:eastAsiaTheme="minorEastAsia"/>
          <w:sz w:val="24"/>
          <w:szCs w:val="24"/>
        </w:rPr>
        <w:t>抗浮构件抗拔力</w:t>
      </w:r>
      <w:r>
        <w:rPr>
          <w:rFonts w:hint="eastAsia" w:eastAsiaTheme="minorEastAsia"/>
          <w:sz w:val="24"/>
          <w:szCs w:val="24"/>
        </w:rPr>
        <w:t>标准</w:t>
      </w:r>
      <w:r>
        <w:rPr>
          <w:rFonts w:eastAsiaTheme="minorEastAsia"/>
          <w:sz w:val="24"/>
          <w:szCs w:val="24"/>
        </w:rPr>
        <w:t>值</w:t>
      </w:r>
      <w:r>
        <w:rPr>
          <w:rFonts w:hint="eastAsia" w:eastAsiaTheme="minorEastAsia"/>
          <w:sz w:val="24"/>
          <w:szCs w:val="24"/>
        </w:rPr>
        <w:t>（</w:t>
      </w:r>
      <w:r>
        <w:rPr>
          <w:rFonts w:eastAsiaTheme="minorEastAsia"/>
          <w:sz w:val="24"/>
          <w:szCs w:val="24"/>
        </w:rPr>
        <w:t>kN</w:t>
      </w:r>
      <w:r>
        <w:rPr>
          <w:rFonts w:hint="eastAsia" w:eastAsiaTheme="minorEastAsia"/>
          <w:sz w:val="24"/>
          <w:szCs w:val="24"/>
        </w:rPr>
        <w:t>）；</w:t>
      </w:r>
    </w:p>
    <w:p w14:paraId="3294C02E">
      <w:pPr>
        <w:spacing w:line="360" w:lineRule="auto"/>
        <w:ind w:left="1508" w:leftChars="221" w:hanging="801" w:hangingChars="334"/>
        <w:rPr>
          <w:rFonts w:eastAsiaTheme="minorEastAsia"/>
          <w:sz w:val="24"/>
          <w:szCs w:val="24"/>
        </w:rPr>
      </w:pPr>
      <w:r>
        <w:rPr>
          <w:rFonts w:ascii="Cambria Math" w:hAnsi="Cambria Math" w:eastAsiaTheme="minorEastAsia"/>
          <w:sz w:val="24"/>
          <w:szCs w:val="24"/>
        </w:rPr>
        <w:t>𝜓</w:t>
      </w:r>
      <w:r>
        <w:rPr>
          <w:rFonts w:hint="eastAsia" w:eastAsiaTheme="minorEastAsia"/>
          <w:sz w:val="24"/>
          <w:szCs w:val="24"/>
          <w:vertAlign w:val="subscript"/>
        </w:rPr>
        <w:t>k</w:t>
      </w:r>
      <w:r>
        <w:rPr>
          <w:rFonts w:hint="eastAsia" w:eastAsiaTheme="minorEastAsia"/>
          <w:i/>
          <w:iCs/>
          <w:sz w:val="24"/>
          <w:szCs w:val="24"/>
          <w:vertAlign w:val="subscript"/>
        </w:rPr>
        <w:t>i</w:t>
      </w:r>
      <w:r>
        <w:rPr>
          <w:rFonts w:hint="eastAsia" w:eastAsiaTheme="minorEastAsia"/>
          <w:sz w:val="24"/>
          <w:szCs w:val="24"/>
        </w:rPr>
        <w:t>——结构自重及其他压重材料重量的组合值系数，取值按第5.2.3条规定；</w:t>
      </w:r>
    </w:p>
    <w:p w14:paraId="0F9D7EDA">
      <w:pPr>
        <w:spacing w:line="360" w:lineRule="auto"/>
        <w:ind w:left="1508" w:leftChars="221" w:hanging="801" w:hangingChars="334"/>
        <w:rPr>
          <w:rFonts w:eastAsiaTheme="minorEastAsia"/>
          <w:sz w:val="24"/>
          <w:szCs w:val="24"/>
        </w:rPr>
      </w:pPr>
      <w:r>
        <w:rPr>
          <w:rFonts w:hint="eastAsia" w:eastAsiaTheme="minorEastAsia"/>
          <w:i/>
          <w:iCs/>
          <w:sz w:val="24"/>
          <w:szCs w:val="24"/>
        </w:rPr>
        <w:t>k</w:t>
      </w:r>
      <w:r>
        <w:rPr>
          <w:rFonts w:hint="eastAsia" w:eastAsiaTheme="minorEastAsia"/>
          <w:sz w:val="24"/>
          <w:szCs w:val="24"/>
          <w:vertAlign w:val="subscript"/>
        </w:rPr>
        <w:t>w</w:t>
      </w:r>
      <w:r>
        <w:rPr>
          <w:rFonts w:hint="eastAsia" w:eastAsiaTheme="minorEastAsia"/>
          <w:sz w:val="24"/>
          <w:szCs w:val="24"/>
        </w:rPr>
        <w:t>——</w:t>
      </w:r>
      <w:r>
        <w:rPr>
          <w:rFonts w:eastAsiaTheme="minorEastAsia"/>
          <w:sz w:val="24"/>
          <w:szCs w:val="24"/>
        </w:rPr>
        <w:t>抗浮稳定安全系数，按表</w:t>
      </w:r>
      <w:r>
        <w:rPr>
          <w:rFonts w:hint="eastAsia" w:eastAsiaTheme="minorEastAsia"/>
          <w:sz w:val="24"/>
          <w:szCs w:val="24"/>
        </w:rPr>
        <w:t>5</w:t>
      </w:r>
      <w:r>
        <w:rPr>
          <w:rFonts w:eastAsiaTheme="minorEastAsia"/>
          <w:sz w:val="24"/>
          <w:szCs w:val="24"/>
        </w:rPr>
        <w:t>.</w:t>
      </w:r>
      <w:r>
        <w:rPr>
          <w:rFonts w:hint="eastAsia" w:eastAsiaTheme="minorEastAsia"/>
          <w:sz w:val="24"/>
          <w:szCs w:val="24"/>
        </w:rPr>
        <w:t>1</w:t>
      </w:r>
      <w:r>
        <w:rPr>
          <w:rFonts w:eastAsiaTheme="minorEastAsia"/>
          <w:sz w:val="24"/>
          <w:szCs w:val="24"/>
        </w:rPr>
        <w:t>.</w:t>
      </w:r>
      <w:r>
        <w:rPr>
          <w:rFonts w:hint="eastAsia" w:eastAsiaTheme="minorEastAsia"/>
          <w:sz w:val="24"/>
          <w:szCs w:val="24"/>
        </w:rPr>
        <w:t>1</w:t>
      </w:r>
      <w:r>
        <w:rPr>
          <w:rFonts w:eastAsiaTheme="minorEastAsia"/>
          <w:sz w:val="24"/>
          <w:szCs w:val="24"/>
        </w:rPr>
        <w:t>取值。</w:t>
      </w:r>
    </w:p>
    <w:p w14:paraId="28183861">
      <w:pPr>
        <w:spacing w:line="360" w:lineRule="auto"/>
        <w:ind w:left="89" w:hanging="619"/>
        <w:jc w:val="center"/>
        <w:rPr>
          <w:rFonts w:eastAsiaTheme="minorEastAsia"/>
          <w:sz w:val="21"/>
          <w:szCs w:val="21"/>
        </w:rPr>
      </w:pPr>
      <w:r>
        <w:rPr>
          <w:rFonts w:eastAsiaTheme="minorEastAsia"/>
          <w:sz w:val="21"/>
          <w:szCs w:val="21"/>
        </w:rPr>
        <w:t>表</w:t>
      </w:r>
      <w:r>
        <w:rPr>
          <w:rFonts w:hint="eastAsia" w:eastAsiaTheme="minorEastAsia"/>
          <w:sz w:val="21"/>
          <w:szCs w:val="21"/>
        </w:rPr>
        <w:t xml:space="preserve">5.1.1 </w:t>
      </w:r>
      <w:r>
        <w:rPr>
          <w:rFonts w:eastAsiaTheme="minorEastAsia"/>
          <w:sz w:val="21"/>
          <w:szCs w:val="21"/>
        </w:rPr>
        <w:t xml:space="preserve"> </w:t>
      </w:r>
      <w:r>
        <w:rPr>
          <w:rFonts w:hint="eastAsia" w:eastAsiaTheme="minorEastAsia"/>
          <w:sz w:val="21"/>
          <w:szCs w:val="21"/>
        </w:rPr>
        <w:t>抗浮稳定安全系数</w:t>
      </w:r>
      <w:r>
        <w:rPr>
          <w:rFonts w:hint="eastAsia" w:eastAsiaTheme="minorEastAsia"/>
          <w:i/>
          <w:iCs/>
          <w:sz w:val="21"/>
          <w:szCs w:val="21"/>
        </w:rPr>
        <w:t>k</w:t>
      </w:r>
      <w:r>
        <w:rPr>
          <w:rFonts w:hint="eastAsia" w:eastAsiaTheme="minorEastAsia"/>
          <w:sz w:val="21"/>
          <w:szCs w:val="21"/>
          <w:vertAlign w:val="subscript"/>
        </w:rPr>
        <w:t>w</w:t>
      </w:r>
    </w:p>
    <w:tbl>
      <w:tblPr>
        <w:tblStyle w:val="20"/>
        <w:tblW w:w="445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77"/>
        <w:gridCol w:w="1206"/>
        <w:gridCol w:w="1276"/>
      </w:tblGrid>
      <w:tr w14:paraId="2876B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183" w:type="dxa"/>
            <w:gridSpan w:val="2"/>
            <w:tcBorders>
              <w:left w:val="single" w:color="000000" w:sz="6" w:space="0"/>
              <w:bottom w:val="single" w:color="000000" w:sz="6" w:space="0"/>
              <w:right w:val="single" w:color="000000" w:sz="6" w:space="0"/>
            </w:tcBorders>
          </w:tcPr>
          <w:p w14:paraId="4437AA25">
            <w:pPr>
              <w:widowControl/>
              <w:tabs>
                <w:tab w:val="left" w:pos="169"/>
              </w:tabs>
              <w:ind w:left="-177" w:firstLine="28" w:firstLineChars="14"/>
              <w:jc w:val="center"/>
              <w:rPr>
                <w:rFonts w:eastAsia="楷体_GB2312"/>
                <w:sz w:val="20"/>
              </w:rPr>
            </w:pPr>
            <w:r>
              <w:rPr>
                <w:rFonts w:hint="eastAsia" w:eastAsia="楷体_GB2312"/>
                <w:sz w:val="20"/>
              </w:rPr>
              <w:t>分类</w:t>
            </w:r>
          </w:p>
        </w:tc>
        <w:tc>
          <w:tcPr>
            <w:tcW w:w="1276" w:type="dxa"/>
            <w:tcBorders>
              <w:top w:val="single" w:color="000000" w:sz="6" w:space="0"/>
              <w:left w:val="single" w:color="000000" w:sz="6" w:space="0"/>
              <w:bottom w:val="single" w:color="000000" w:sz="6" w:space="0"/>
              <w:right w:val="single" w:color="000000" w:sz="6" w:space="0"/>
            </w:tcBorders>
            <w:vAlign w:val="center"/>
          </w:tcPr>
          <w:p w14:paraId="26871D2B">
            <w:pPr>
              <w:widowControl/>
              <w:ind w:left="-98" w:firstLine="29" w:firstLineChars="14"/>
              <w:jc w:val="center"/>
              <w:rPr>
                <w:kern w:val="0"/>
                <w:sz w:val="18"/>
                <w:szCs w:val="18"/>
              </w:rPr>
            </w:pPr>
            <w:r>
              <w:rPr>
                <w:rFonts w:hint="eastAsia" w:eastAsiaTheme="minorEastAsia"/>
                <w:i/>
                <w:iCs/>
                <w:sz w:val="21"/>
                <w:szCs w:val="21"/>
              </w:rPr>
              <w:t>k</w:t>
            </w:r>
            <w:r>
              <w:rPr>
                <w:rFonts w:hint="eastAsia" w:eastAsiaTheme="minorEastAsia"/>
                <w:sz w:val="21"/>
                <w:szCs w:val="21"/>
                <w:vertAlign w:val="subscript"/>
              </w:rPr>
              <w:t>w</w:t>
            </w:r>
          </w:p>
        </w:tc>
      </w:tr>
      <w:tr w14:paraId="0DAD7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77" w:type="dxa"/>
            <w:vMerge w:val="restart"/>
            <w:tcBorders>
              <w:top w:val="single" w:color="000000" w:sz="6" w:space="0"/>
              <w:left w:val="single" w:color="000000" w:sz="6" w:space="0"/>
              <w:right w:val="single" w:color="000000" w:sz="6" w:space="0"/>
            </w:tcBorders>
          </w:tcPr>
          <w:p w14:paraId="6D88B52A">
            <w:pPr>
              <w:widowControl/>
              <w:tabs>
                <w:tab w:val="left" w:pos="169"/>
              </w:tabs>
              <w:ind w:left="-115"/>
              <w:jc w:val="center"/>
              <w:rPr>
                <w:rFonts w:eastAsia="楷体_GB2312"/>
                <w:sz w:val="20"/>
              </w:rPr>
            </w:pPr>
            <w:r>
              <w:rPr>
                <w:rFonts w:hint="eastAsia" w:eastAsia="楷体_GB2312"/>
                <w:sz w:val="20"/>
              </w:rPr>
              <w:t>新建建筑及</w:t>
            </w:r>
          </w:p>
          <w:p w14:paraId="309AF4A2">
            <w:pPr>
              <w:widowControl/>
              <w:tabs>
                <w:tab w:val="left" w:pos="169"/>
              </w:tabs>
              <w:ind w:left="-115"/>
              <w:jc w:val="center"/>
              <w:rPr>
                <w:rFonts w:eastAsia="楷体_GB2312"/>
                <w:sz w:val="20"/>
              </w:rPr>
            </w:pPr>
            <w:r>
              <w:rPr>
                <w:rFonts w:hint="eastAsia" w:eastAsia="楷体_GB2312"/>
                <w:sz w:val="20"/>
              </w:rPr>
              <w:t>既有建筑抗浮治理</w:t>
            </w:r>
          </w:p>
        </w:tc>
        <w:tc>
          <w:tcPr>
            <w:tcW w:w="1206" w:type="dxa"/>
            <w:tcBorders>
              <w:top w:val="single" w:color="000000" w:sz="6" w:space="0"/>
              <w:left w:val="single" w:color="000000" w:sz="6" w:space="0"/>
              <w:bottom w:val="single" w:color="000000" w:sz="6" w:space="0"/>
              <w:right w:val="single" w:color="000000" w:sz="6" w:space="0"/>
            </w:tcBorders>
            <w:vAlign w:val="center"/>
          </w:tcPr>
          <w:p w14:paraId="43A7C5BD">
            <w:pPr>
              <w:widowControl/>
              <w:tabs>
                <w:tab w:val="left" w:pos="169"/>
              </w:tabs>
              <w:ind w:left="-177" w:firstLine="28" w:firstLineChars="14"/>
              <w:jc w:val="center"/>
              <w:rPr>
                <w:rFonts w:eastAsia="楷体_GB2312"/>
                <w:sz w:val="20"/>
              </w:rPr>
            </w:pPr>
            <w:r>
              <w:rPr>
                <w:rFonts w:hint="eastAsia" w:eastAsia="楷体_GB2312"/>
                <w:sz w:val="20"/>
              </w:rPr>
              <w:t>重大工程</w:t>
            </w:r>
          </w:p>
        </w:tc>
        <w:tc>
          <w:tcPr>
            <w:tcW w:w="1276" w:type="dxa"/>
            <w:tcBorders>
              <w:top w:val="single" w:color="000000" w:sz="6" w:space="0"/>
              <w:left w:val="single" w:color="000000" w:sz="6" w:space="0"/>
              <w:bottom w:val="single" w:color="000000" w:sz="6" w:space="0"/>
              <w:right w:val="single" w:color="000000" w:sz="6" w:space="0"/>
            </w:tcBorders>
            <w:vAlign w:val="center"/>
          </w:tcPr>
          <w:p w14:paraId="1659CA2A">
            <w:pPr>
              <w:widowControl/>
              <w:ind w:left="-98" w:firstLine="25" w:firstLineChars="14"/>
              <w:jc w:val="center"/>
              <w:rPr>
                <w:kern w:val="0"/>
                <w:sz w:val="18"/>
                <w:szCs w:val="18"/>
              </w:rPr>
            </w:pPr>
            <w:r>
              <w:rPr>
                <w:kern w:val="0"/>
                <w:sz w:val="18"/>
                <w:szCs w:val="18"/>
              </w:rPr>
              <w:t>1.</w:t>
            </w:r>
            <w:r>
              <w:rPr>
                <w:rFonts w:hint="eastAsia"/>
                <w:kern w:val="0"/>
                <w:sz w:val="18"/>
                <w:szCs w:val="18"/>
              </w:rPr>
              <w:t>2</w:t>
            </w:r>
            <w:r>
              <w:rPr>
                <w:kern w:val="0"/>
                <w:sz w:val="18"/>
                <w:szCs w:val="18"/>
              </w:rPr>
              <w:t>0</w:t>
            </w:r>
          </w:p>
        </w:tc>
      </w:tr>
      <w:tr w14:paraId="0E1C8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77" w:type="dxa"/>
            <w:vMerge w:val="continue"/>
            <w:tcBorders>
              <w:left w:val="single" w:color="000000" w:sz="6" w:space="0"/>
              <w:bottom w:val="single" w:color="000000" w:sz="6" w:space="0"/>
              <w:right w:val="single" w:color="000000" w:sz="6" w:space="0"/>
            </w:tcBorders>
          </w:tcPr>
          <w:p w14:paraId="522DBDE5">
            <w:pPr>
              <w:widowControl/>
              <w:tabs>
                <w:tab w:val="left" w:pos="169"/>
              </w:tabs>
              <w:ind w:left="-115"/>
              <w:jc w:val="center"/>
              <w:rPr>
                <w:rFonts w:eastAsia="楷体_GB2312"/>
                <w:sz w:val="20"/>
              </w:rPr>
            </w:pPr>
          </w:p>
        </w:tc>
        <w:tc>
          <w:tcPr>
            <w:tcW w:w="1206" w:type="dxa"/>
            <w:tcBorders>
              <w:top w:val="single" w:color="000000" w:sz="6" w:space="0"/>
              <w:left w:val="single" w:color="000000" w:sz="6" w:space="0"/>
              <w:bottom w:val="single" w:color="000000" w:sz="6" w:space="0"/>
              <w:right w:val="single" w:color="000000" w:sz="6" w:space="0"/>
            </w:tcBorders>
            <w:vAlign w:val="center"/>
          </w:tcPr>
          <w:p w14:paraId="3FDAE15E">
            <w:pPr>
              <w:widowControl/>
              <w:tabs>
                <w:tab w:val="left" w:pos="169"/>
              </w:tabs>
              <w:ind w:left="-177" w:firstLine="28" w:firstLineChars="14"/>
              <w:jc w:val="center"/>
              <w:rPr>
                <w:rFonts w:eastAsia="楷体_GB2312"/>
                <w:sz w:val="20"/>
              </w:rPr>
            </w:pPr>
            <w:r>
              <w:rPr>
                <w:rFonts w:hint="eastAsia" w:eastAsia="楷体_GB2312"/>
                <w:sz w:val="20"/>
              </w:rPr>
              <w:t>其他工程</w:t>
            </w:r>
          </w:p>
        </w:tc>
        <w:tc>
          <w:tcPr>
            <w:tcW w:w="1276" w:type="dxa"/>
            <w:tcBorders>
              <w:top w:val="single" w:color="000000" w:sz="6" w:space="0"/>
              <w:left w:val="single" w:color="000000" w:sz="6" w:space="0"/>
              <w:bottom w:val="single" w:color="000000" w:sz="6" w:space="0"/>
              <w:right w:val="single" w:color="000000" w:sz="6" w:space="0"/>
            </w:tcBorders>
            <w:vAlign w:val="center"/>
          </w:tcPr>
          <w:p w14:paraId="4B04B18F">
            <w:pPr>
              <w:widowControl/>
              <w:ind w:left="-98" w:firstLine="25" w:firstLineChars="14"/>
              <w:jc w:val="center"/>
              <w:rPr>
                <w:kern w:val="0"/>
                <w:sz w:val="18"/>
                <w:szCs w:val="18"/>
              </w:rPr>
            </w:pPr>
            <w:r>
              <w:rPr>
                <w:kern w:val="0"/>
                <w:sz w:val="18"/>
                <w:szCs w:val="18"/>
              </w:rPr>
              <w:t>1.</w:t>
            </w:r>
            <w:r>
              <w:rPr>
                <w:rFonts w:hint="eastAsia"/>
                <w:kern w:val="0"/>
                <w:sz w:val="18"/>
                <w:szCs w:val="18"/>
              </w:rPr>
              <w:t>10</w:t>
            </w:r>
          </w:p>
        </w:tc>
      </w:tr>
      <w:tr w14:paraId="2B32A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183" w:type="dxa"/>
            <w:gridSpan w:val="2"/>
            <w:tcBorders>
              <w:top w:val="single" w:color="000000" w:sz="6" w:space="0"/>
              <w:left w:val="single" w:color="000000" w:sz="6" w:space="0"/>
              <w:right w:val="single" w:color="000000" w:sz="6" w:space="0"/>
            </w:tcBorders>
          </w:tcPr>
          <w:p w14:paraId="78C163D8">
            <w:pPr>
              <w:widowControl/>
              <w:tabs>
                <w:tab w:val="left" w:pos="169"/>
              </w:tabs>
              <w:ind w:left="-177" w:firstLine="28" w:firstLineChars="14"/>
              <w:jc w:val="center"/>
              <w:rPr>
                <w:rFonts w:eastAsia="楷体_GB2312"/>
                <w:sz w:val="20"/>
              </w:rPr>
            </w:pPr>
            <w:r>
              <w:rPr>
                <w:rFonts w:hint="eastAsia" w:eastAsia="楷体_GB2312"/>
                <w:sz w:val="20"/>
              </w:rPr>
              <w:t>既有建筑抗浮稳定验算</w:t>
            </w:r>
          </w:p>
        </w:tc>
        <w:tc>
          <w:tcPr>
            <w:tcW w:w="1276" w:type="dxa"/>
            <w:tcBorders>
              <w:top w:val="single" w:color="000000" w:sz="6" w:space="0"/>
              <w:left w:val="single" w:color="000000" w:sz="6" w:space="0"/>
              <w:bottom w:val="single" w:color="000000" w:sz="6" w:space="0"/>
              <w:right w:val="single" w:color="000000" w:sz="6" w:space="0"/>
            </w:tcBorders>
            <w:vAlign w:val="center"/>
          </w:tcPr>
          <w:p w14:paraId="2E2060E9">
            <w:pPr>
              <w:widowControl/>
              <w:ind w:left="-98" w:firstLine="25" w:firstLineChars="14"/>
              <w:jc w:val="center"/>
              <w:rPr>
                <w:kern w:val="0"/>
                <w:sz w:val="18"/>
                <w:szCs w:val="18"/>
              </w:rPr>
            </w:pPr>
            <w:r>
              <w:rPr>
                <w:rFonts w:hint="eastAsia"/>
                <w:kern w:val="0"/>
                <w:sz w:val="18"/>
                <w:szCs w:val="18"/>
              </w:rPr>
              <w:t>1.05</w:t>
            </w:r>
          </w:p>
        </w:tc>
      </w:tr>
    </w:tbl>
    <w:p w14:paraId="5110B864">
      <w:pPr>
        <w:numPr>
          <w:ilvl w:val="2"/>
          <w:numId w:val="2"/>
        </w:numPr>
        <w:spacing w:line="360" w:lineRule="auto"/>
        <w:ind w:left="0" w:firstLine="0"/>
        <w:jc w:val="left"/>
        <w:rPr>
          <w:rFonts w:eastAsiaTheme="minorEastAsia"/>
          <w:sz w:val="24"/>
          <w:szCs w:val="24"/>
        </w:rPr>
      </w:pPr>
      <w:r>
        <w:rPr>
          <w:rFonts w:hint="eastAsia" w:eastAsiaTheme="minorEastAsia"/>
          <w:sz w:val="24"/>
          <w:szCs w:val="24"/>
        </w:rPr>
        <w:t>对于</w:t>
      </w:r>
      <w:r>
        <w:rPr>
          <w:rFonts w:eastAsiaTheme="minorEastAsia"/>
          <w:sz w:val="24"/>
          <w:szCs w:val="24"/>
        </w:rPr>
        <w:t>承载</w:t>
      </w:r>
      <w:r>
        <w:rPr>
          <w:rFonts w:hint="eastAsia" w:eastAsiaTheme="minorEastAsia"/>
          <w:sz w:val="24"/>
          <w:szCs w:val="24"/>
        </w:rPr>
        <w:t>能力</w:t>
      </w:r>
      <w:r>
        <w:rPr>
          <w:rFonts w:eastAsiaTheme="minorEastAsia"/>
          <w:sz w:val="24"/>
          <w:szCs w:val="24"/>
        </w:rPr>
        <w:t>极限状态</w:t>
      </w:r>
      <w:r>
        <w:rPr>
          <w:rFonts w:hint="eastAsia" w:eastAsiaTheme="minorEastAsia"/>
          <w:sz w:val="24"/>
          <w:szCs w:val="24"/>
        </w:rPr>
        <w:t>，应按荷载的基本组合计算效应设计值，并</w:t>
      </w:r>
      <w:r>
        <w:rPr>
          <w:rFonts w:eastAsiaTheme="minorEastAsia"/>
          <w:sz w:val="24"/>
          <w:szCs w:val="24"/>
        </w:rPr>
        <w:t>应按下列公式</w:t>
      </w:r>
      <w:r>
        <w:rPr>
          <w:rFonts w:hint="eastAsia" w:eastAsiaTheme="minorEastAsia"/>
          <w:sz w:val="24"/>
          <w:szCs w:val="24"/>
        </w:rPr>
        <w:t>进行</w:t>
      </w:r>
      <w:r>
        <w:rPr>
          <w:rFonts w:eastAsiaTheme="minorEastAsia"/>
          <w:sz w:val="24"/>
          <w:szCs w:val="24"/>
        </w:rPr>
        <w:t>抗浮构件设计</w:t>
      </w:r>
      <w:r>
        <w:rPr>
          <w:rFonts w:hint="eastAsia" w:eastAsiaTheme="minorEastAsia"/>
          <w:sz w:val="24"/>
          <w:szCs w:val="24"/>
        </w:rPr>
        <w:t>：</w:t>
      </w:r>
    </w:p>
    <w:p w14:paraId="097EB045">
      <w:pPr>
        <w:spacing w:line="360" w:lineRule="auto"/>
        <w:ind w:left="-530" w:firstLine="480" w:firstLineChars="200"/>
        <w:jc w:val="right"/>
        <w:rPr>
          <w:sz w:val="24"/>
          <w:szCs w:val="24"/>
        </w:rPr>
      </w:pPr>
      <m:oMath>
        <m:sSub>
          <m:sSubPr>
            <m:ctrlPr>
              <w:rPr>
                <w:rFonts w:ascii="Cambria Math" w:hAnsi="Cambria Math"/>
                <w:i/>
                <w:sz w:val="24"/>
                <w:szCs w:val="24"/>
              </w:rPr>
            </m:ctrlPr>
          </m:sSubPr>
          <m:e>
            <m:r>
              <m:rPr/>
              <w:rPr>
                <w:rFonts w:ascii="Cambria Math" w:hAnsi="Cambria Math"/>
                <w:sz w:val="24"/>
                <w:szCs w:val="24"/>
              </w:rPr>
              <m:t>γ</m:t>
            </m:r>
            <m:ctrlPr>
              <w:rPr>
                <w:rFonts w:ascii="Cambria Math" w:hAnsi="Cambria Math"/>
                <w:i/>
                <w:sz w:val="24"/>
                <w:szCs w:val="24"/>
              </w:rPr>
            </m:ctrlPr>
          </m:e>
          <m:sub>
            <m:r>
              <m:rPr>
                <m:sty m:val="p"/>
              </m:rPr>
              <w:rPr>
                <w:rFonts w:ascii="Cambria Math" w:hAnsi="Cambria Math"/>
                <w:sz w:val="24"/>
                <w:szCs w:val="24"/>
              </w:rPr>
              <m:t>0</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S</m:t>
            </m:r>
            <m:ctrlPr>
              <w:rPr>
                <w:rFonts w:ascii="Cambria Math" w:hAnsi="Cambria Math"/>
                <w:i/>
                <w:sz w:val="24"/>
                <w:szCs w:val="24"/>
              </w:rPr>
            </m:ctrlPr>
          </m:e>
          <m:sub>
            <m:r>
              <m:rPr>
                <m:sty m:val="p"/>
              </m:rPr>
              <w:rPr>
                <w:rFonts w:ascii="Cambria Math" w:hAnsi="Cambria Math"/>
                <w:sz w:val="24"/>
                <w:szCs w:val="24"/>
              </w:rPr>
              <m:t>d</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m:sty m:val="p"/>
              </m:rPr>
              <w:rPr>
                <w:rFonts w:ascii="Cambria Math" w:hAnsi="Cambria Math"/>
                <w:sz w:val="24"/>
                <w:szCs w:val="24"/>
              </w:rPr>
              <m:t>d</m:t>
            </m:r>
            <m:ctrlPr>
              <w:rPr>
                <w:rFonts w:ascii="Cambria Math" w:hAnsi="Cambria Math"/>
                <w:i/>
                <w:sz w:val="24"/>
                <w:szCs w:val="24"/>
              </w:rPr>
            </m:ctrlPr>
          </m:sub>
        </m:sSub>
      </m:oMath>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(5.1.2-1)</w:t>
      </w:r>
    </w:p>
    <w:p w14:paraId="5C3CF5AC">
      <w:pPr>
        <w:spacing w:line="360" w:lineRule="auto"/>
        <w:ind w:left="-530" w:firstLine="480" w:firstLineChars="200"/>
        <w:jc w:val="right"/>
        <w:rPr>
          <w:rFonts w:hAnsi="Cambria Math"/>
          <w:sz w:val="24"/>
          <w:szCs w:val="24"/>
        </w:rPr>
      </w:pPr>
      <m:oMath>
        <m:sSub>
          <m:sSubPr>
            <m:ctrlPr>
              <w:rPr>
                <w:rFonts w:ascii="Cambria Math" w:hAnsi="Cambria Math"/>
                <w:i/>
                <w:sz w:val="24"/>
                <w:szCs w:val="24"/>
              </w:rPr>
            </m:ctrlPr>
          </m:sSubPr>
          <m:e>
            <m:r>
              <m:rPr/>
              <w:rPr>
                <w:rFonts w:ascii="Cambria Math" w:hAnsi="Cambria Math"/>
                <w:sz w:val="24"/>
                <w:szCs w:val="24"/>
              </w:rPr>
              <m:t>S</m:t>
            </m:r>
            <m:ctrlPr>
              <w:rPr>
                <w:rFonts w:ascii="Cambria Math" w:hAnsi="Cambria Math"/>
                <w:i/>
                <w:sz w:val="24"/>
                <w:szCs w:val="24"/>
              </w:rPr>
            </m:ctrlPr>
          </m:e>
          <m:sub>
            <m:r>
              <m:rPr>
                <m:sty m:val="p"/>
              </m:rPr>
              <w:rPr>
                <w:rFonts w:ascii="Cambria Math" w:hAnsi="Cambria Math"/>
                <w:sz w:val="24"/>
                <w:szCs w:val="24"/>
              </w:rPr>
              <m:t>d</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γ</m:t>
            </m:r>
            <m:ctrlPr>
              <w:rPr>
                <w:rFonts w:ascii="Cambria Math" w:hAnsi="Cambria Math"/>
                <w:i/>
                <w:sz w:val="24"/>
                <w:szCs w:val="24"/>
              </w:rPr>
            </m:ctrlPr>
          </m:e>
          <m:sub>
            <m:r>
              <m:rPr>
                <m:sty m:val="p"/>
              </m:rPr>
              <w:rPr>
                <w:rFonts w:ascii="Cambria Math" w:hAnsi="Cambria Math"/>
                <w:sz w:val="24"/>
                <w:szCs w:val="24"/>
              </w:rPr>
              <m:t>Q</m:t>
            </m:r>
            <m:ctrlPr>
              <w:rPr>
                <w:rFonts w:ascii="Cambria Math" w:hAnsi="Cambria Math"/>
                <w:i/>
                <w:sz w:val="24"/>
                <w:szCs w:val="24"/>
              </w:rPr>
            </m:ctrlPr>
          </m:sub>
        </m:sSub>
        <m:sSub>
          <m:sSubPr>
            <m:ctrlPr>
              <w:rPr>
                <w:rFonts w:ascii="Cambria Math" w:hAnsi="Cambria Math"/>
                <w:i/>
                <w:sz w:val="24"/>
                <w:szCs w:val="24"/>
              </w:rPr>
            </m:ctrlPr>
          </m:sSubPr>
          <m:e>
            <m:r>
              <m:rPr/>
              <w:rPr>
                <w:rFonts w:hint="eastAsia" w:ascii="Cambria Math" w:hAnsi="Cambria Math"/>
                <w:sz w:val="24"/>
                <w:szCs w:val="24"/>
              </w:rPr>
              <m:t>N</m:t>
            </m:r>
            <m:ctrlPr>
              <w:rPr>
                <w:rFonts w:ascii="Cambria Math" w:hAnsi="Cambria Math"/>
                <w:i/>
                <w:sz w:val="24"/>
                <w:szCs w:val="24"/>
              </w:rPr>
            </m:ctrlPr>
          </m:e>
          <m:sub>
            <m:r>
              <m:rPr>
                <m:nor/>
                <m:sty m:val="p"/>
              </m:rPr>
              <w:rPr>
                <w:rFonts w:hint="eastAsia" w:ascii="Cambria Math" w:hAnsi="Cambria Math"/>
                <w:b w:val="0"/>
                <w:i w:val="0"/>
                <w:sz w:val="24"/>
                <w:szCs w:val="24"/>
              </w:rPr>
              <m:t>w</m:t>
            </m:r>
            <m:r>
              <m:rPr>
                <m:nor/>
                <m:sty m:val="p"/>
              </m:rPr>
              <w:rPr>
                <w:rFonts w:ascii="Cambria Math" w:hAnsi="Cambria Math"/>
                <w:b w:val="0"/>
                <w:i w:val="0"/>
                <w:sz w:val="24"/>
                <w:szCs w:val="24"/>
              </w:rPr>
              <m:t>k</m:t>
            </m:r>
            <m:ctrlPr>
              <w:rPr>
                <w:rFonts w:ascii="Cambria Math" w:hAnsi="Cambria Math"/>
                <w:sz w:val="24"/>
                <w:szCs w:val="24"/>
              </w:rPr>
            </m:ctrlPr>
          </m:sub>
        </m:sSub>
        <m:sSub>
          <m:sSubPr>
            <m:ctrlPr>
              <w:rPr>
                <w:rFonts w:ascii="Cambria Math" w:hAnsi="Cambria Math"/>
                <w:i/>
                <w:sz w:val="24"/>
                <w:szCs w:val="24"/>
              </w:rPr>
            </m:ctrlPr>
          </m:sSubPr>
          <m:e>
            <m:r>
              <m:rPr/>
              <w:rPr>
                <w:rFonts w:ascii="Cambria Math" w:hAnsi="Cambria Math"/>
                <w:sz w:val="24"/>
                <w:szCs w:val="24"/>
              </w:rPr>
              <m:t>−γ</m:t>
            </m:r>
            <m:ctrlPr>
              <w:rPr>
                <w:rFonts w:ascii="Cambria Math" w:hAnsi="Cambria Math"/>
                <w:i/>
                <w:sz w:val="24"/>
                <w:szCs w:val="24"/>
              </w:rPr>
            </m:ctrlPr>
          </m:e>
          <m:sub>
            <m:r>
              <m:rPr>
                <m:sty m:val="p"/>
              </m:rPr>
              <w:rPr>
                <w:rFonts w:ascii="Cambria Math" w:hAnsi="Cambria Math"/>
                <w:sz w:val="24"/>
                <w:szCs w:val="24"/>
              </w:rPr>
              <m:t>G</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G</m:t>
            </m:r>
            <m:ctrlPr>
              <w:rPr>
                <w:rFonts w:ascii="Cambria Math" w:hAnsi="Cambria Math"/>
                <w:i/>
                <w:sz w:val="24"/>
                <w:szCs w:val="24"/>
              </w:rPr>
            </m:ctrlPr>
          </m:e>
          <m:sub>
            <m:r>
              <m:rPr>
                <m:nor/>
                <m:sty m:val="p"/>
              </m:rPr>
              <w:rPr>
                <w:rFonts w:ascii="Cambria Math" w:hAnsi="Cambria Math"/>
                <w:b w:val="0"/>
                <w:i w:val="0"/>
                <w:sz w:val="24"/>
                <w:szCs w:val="24"/>
              </w:rPr>
              <m:t>k</m:t>
            </m:r>
            <m:ctrlPr>
              <w:rPr>
                <w:rFonts w:ascii="Cambria Math" w:hAnsi="Cambria Math"/>
                <w:sz w:val="24"/>
                <w:szCs w:val="24"/>
              </w:rPr>
            </m:ctrlPr>
          </m:sub>
        </m:sSub>
      </m:oMath>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ab/>
      </w:r>
      <w:r>
        <w:rPr>
          <w:rFonts w:hint="eastAsia" w:hAnsi="Cambria Math"/>
          <w:sz w:val="24"/>
          <w:szCs w:val="24"/>
        </w:rPr>
        <w:t>(5.1.2-2)</w:t>
      </w:r>
    </w:p>
    <w:p w14:paraId="29A9A093">
      <w:pPr>
        <w:spacing w:line="360" w:lineRule="auto"/>
        <w:ind w:left="1512" w:leftChars="1" w:hanging="1509" w:hangingChars="629"/>
        <w:rPr>
          <w:rFonts w:eastAsiaTheme="minorEastAsia"/>
          <w:sz w:val="24"/>
          <w:szCs w:val="24"/>
        </w:rPr>
      </w:pPr>
      <w:r>
        <w:rPr>
          <w:rFonts w:eastAsiaTheme="minorEastAsia"/>
          <w:sz w:val="24"/>
          <w:szCs w:val="24"/>
        </w:rPr>
        <w:t>式中</w:t>
      </w:r>
      <w:r>
        <w:rPr>
          <w:rFonts w:hint="eastAsia" w:eastAsiaTheme="minorEastAsia"/>
          <w:sz w:val="24"/>
          <w:szCs w:val="24"/>
        </w:rPr>
        <w:t>：</w:t>
      </w:r>
      <m:oMath>
        <m:sSub>
          <m:sSubPr>
            <m:ctrlPr>
              <w:rPr>
                <w:rFonts w:ascii="Cambria Math" w:hAnsi="Cambria Math" w:eastAsiaTheme="minorEastAsia"/>
                <w:i/>
                <w:sz w:val="24"/>
                <w:szCs w:val="24"/>
              </w:rPr>
            </m:ctrlPr>
          </m:sSubPr>
          <m:e>
            <m:r>
              <m:rPr/>
              <w:rPr>
                <w:rFonts w:ascii="Cambria Math" w:eastAsiaTheme="minorEastAsia"/>
                <w:sz w:val="24"/>
                <w:szCs w:val="24"/>
              </w:rPr>
              <m:t>S</m:t>
            </m:r>
            <m:ctrlPr>
              <w:rPr>
                <w:rFonts w:ascii="Cambria Math" w:hAnsi="Cambria Math" w:eastAsiaTheme="minorEastAsia"/>
                <w:i/>
                <w:sz w:val="24"/>
                <w:szCs w:val="24"/>
              </w:rPr>
            </m:ctrlPr>
          </m:e>
          <m:sub>
            <m:r>
              <m:rPr>
                <m:sty m:val="p"/>
              </m:rPr>
              <w:rPr>
                <w:rFonts w:ascii="Cambria Math" w:hAnsi="Cambria Math" w:eastAsiaTheme="minorEastAsia"/>
                <w:sz w:val="24"/>
                <w:szCs w:val="24"/>
              </w:rPr>
              <m:t>d</m:t>
            </m:r>
            <m:ctrlPr>
              <w:rPr>
                <w:rFonts w:ascii="Cambria Math" w:hAnsi="Cambria Math" w:eastAsiaTheme="minorEastAsia"/>
                <w:i/>
                <w:sz w:val="24"/>
                <w:szCs w:val="24"/>
              </w:rPr>
            </m:ctrlPr>
          </m:sub>
        </m:sSub>
      </m:oMath>
      <w:r>
        <w:rPr>
          <w:rFonts w:hint="eastAsia" w:eastAsiaTheme="minorEastAsia"/>
          <w:sz w:val="24"/>
          <w:szCs w:val="24"/>
        </w:rPr>
        <w:t>——</w:t>
      </w:r>
      <w:r>
        <w:rPr>
          <w:rFonts w:eastAsiaTheme="minorEastAsia"/>
          <w:sz w:val="24"/>
          <w:szCs w:val="24"/>
        </w:rPr>
        <w:t>荷载基本组合的效应设计值</w:t>
      </w:r>
      <w:r>
        <w:rPr>
          <w:rFonts w:hint="eastAsia" w:eastAsiaTheme="minorEastAsia"/>
          <w:sz w:val="24"/>
          <w:szCs w:val="24"/>
        </w:rPr>
        <w:t>；</w:t>
      </w:r>
    </w:p>
    <w:p w14:paraId="6B82001D">
      <w:pPr>
        <w:spacing w:line="360" w:lineRule="auto"/>
        <w:ind w:left="2550" w:leftChars="200" w:hanging="1910" w:hangingChars="796"/>
        <w:rPr>
          <w:rFonts w:eastAsiaTheme="minorEastAsia"/>
          <w:sz w:val="24"/>
          <w:szCs w:val="24"/>
        </w:rPr>
      </w:pPr>
      <m:oMath>
        <m:sSub>
          <m:sSubPr>
            <m:ctrlPr>
              <w:rPr>
                <w:rFonts w:ascii="Cambria Math" w:hAnsi="Cambria Math" w:eastAsiaTheme="minorEastAsia"/>
                <w:i/>
                <w:sz w:val="24"/>
                <w:szCs w:val="24"/>
              </w:rPr>
            </m:ctrlPr>
          </m:sSubPr>
          <m:e>
            <m:r>
              <m:rPr/>
              <w:rPr>
                <w:rFonts w:ascii="Cambria Math" w:eastAsiaTheme="minorEastAsia"/>
                <w:sz w:val="24"/>
                <w:szCs w:val="24"/>
              </w:rPr>
              <m:t>R</m:t>
            </m:r>
            <m:ctrlPr>
              <w:rPr>
                <w:rFonts w:ascii="Cambria Math" w:hAnsi="Cambria Math" w:eastAsiaTheme="minorEastAsia"/>
                <w:i/>
                <w:sz w:val="24"/>
                <w:szCs w:val="24"/>
              </w:rPr>
            </m:ctrlPr>
          </m:e>
          <m:sub>
            <m:r>
              <m:rPr>
                <m:sty m:val="p"/>
              </m:rPr>
              <w:rPr>
                <w:rFonts w:ascii="Cambria Math" w:hAnsi="Cambria Math" w:eastAsiaTheme="minorEastAsia"/>
                <w:sz w:val="24"/>
                <w:szCs w:val="24"/>
              </w:rPr>
              <m:t>d</m:t>
            </m:r>
            <m:ctrlPr>
              <w:rPr>
                <w:rFonts w:ascii="Cambria Math" w:hAnsi="Cambria Math" w:eastAsiaTheme="minorEastAsia"/>
                <w:i/>
                <w:sz w:val="24"/>
                <w:szCs w:val="24"/>
              </w:rPr>
            </m:ctrlPr>
          </m:sub>
        </m:sSub>
      </m:oMath>
      <w:r>
        <w:rPr>
          <w:rFonts w:hint="eastAsia" w:eastAsiaTheme="minorEastAsia"/>
          <w:sz w:val="24"/>
          <w:szCs w:val="24"/>
        </w:rPr>
        <w:t>——抗浮构件</w:t>
      </w:r>
      <w:r>
        <w:rPr>
          <w:rFonts w:eastAsiaTheme="minorEastAsia"/>
          <w:sz w:val="24"/>
          <w:szCs w:val="24"/>
        </w:rPr>
        <w:t>抗力的</w:t>
      </w:r>
      <w:r>
        <w:rPr>
          <w:rFonts w:hint="eastAsia" w:eastAsiaTheme="minorEastAsia"/>
          <w:sz w:val="24"/>
          <w:szCs w:val="24"/>
        </w:rPr>
        <w:t>设计</w:t>
      </w:r>
      <w:r>
        <w:rPr>
          <w:rFonts w:eastAsiaTheme="minorEastAsia"/>
          <w:sz w:val="24"/>
          <w:szCs w:val="24"/>
        </w:rPr>
        <w:t>值</w:t>
      </w:r>
      <w:r>
        <w:rPr>
          <w:rFonts w:hint="eastAsia" w:eastAsiaTheme="minorEastAsia"/>
          <w:sz w:val="24"/>
          <w:szCs w:val="24"/>
        </w:rPr>
        <w:t>；</w:t>
      </w:r>
    </w:p>
    <w:p w14:paraId="754B5B22">
      <w:pPr>
        <w:spacing w:line="360" w:lineRule="auto"/>
        <w:ind w:left="2550" w:leftChars="200" w:hanging="1910" w:hangingChars="796"/>
        <w:rPr>
          <w:rFonts w:eastAsiaTheme="minorEastAsia"/>
          <w:sz w:val="24"/>
          <w:szCs w:val="24"/>
        </w:rPr>
      </w:pPr>
      <m:oMath>
        <m:sSub>
          <m:sSubPr>
            <m:ctrlPr>
              <w:rPr>
                <w:rFonts w:ascii="Cambria Math" w:hAnsi="Cambria Math" w:eastAsiaTheme="minorEastAsia"/>
                <w:sz w:val="24"/>
                <w:szCs w:val="24"/>
              </w:rPr>
            </m:ctrlPr>
          </m:sSubPr>
          <m:e>
            <m:r>
              <m:rPr/>
              <w:rPr>
                <w:rFonts w:ascii="Cambria Math" w:eastAsiaTheme="minorEastAsia"/>
                <w:sz w:val="24"/>
                <w:szCs w:val="24"/>
              </w:rPr>
              <m:t>γ</m:t>
            </m:r>
            <m:ctrlPr>
              <w:rPr>
                <w:rFonts w:ascii="Cambria Math" w:hAnsi="Cambria Math" w:eastAsiaTheme="minorEastAsia"/>
                <w:sz w:val="24"/>
                <w:szCs w:val="24"/>
              </w:rPr>
            </m:ctrlPr>
          </m:e>
          <m:sub>
            <m:r>
              <m:rPr>
                <m:sty m:val="p"/>
              </m:rPr>
              <w:rPr>
                <w:rFonts w:ascii="Cambria Math" w:hAnsi="Cambria Math" w:eastAsiaTheme="minorEastAsia"/>
                <w:sz w:val="24"/>
                <w:szCs w:val="24"/>
              </w:rPr>
              <m:t>Q</m:t>
            </m:r>
            <m:ctrlPr>
              <w:rPr>
                <w:rFonts w:ascii="Cambria Math" w:hAnsi="Cambria Math" w:eastAsiaTheme="minorEastAsia"/>
                <w:sz w:val="24"/>
                <w:szCs w:val="24"/>
              </w:rPr>
            </m:ctrlPr>
          </m:sub>
        </m:sSub>
      </m:oMath>
      <w:r>
        <w:rPr>
          <w:rFonts w:hint="eastAsia" w:eastAsiaTheme="minorEastAsia"/>
          <w:sz w:val="24"/>
          <w:szCs w:val="24"/>
        </w:rPr>
        <w:t>——浮力</w:t>
      </w:r>
      <w:r>
        <w:rPr>
          <w:rFonts w:eastAsiaTheme="minorEastAsia"/>
          <w:sz w:val="24"/>
          <w:szCs w:val="24"/>
        </w:rPr>
        <w:t>的分项系数</w:t>
      </w:r>
      <w:r>
        <w:rPr>
          <w:rFonts w:hint="eastAsia" w:eastAsiaTheme="minorEastAsia"/>
          <w:sz w:val="24"/>
          <w:szCs w:val="24"/>
        </w:rPr>
        <w:t>，取</w:t>
      </w:r>
      <w:r>
        <w:rPr>
          <w:rFonts w:eastAsiaTheme="minorEastAsia"/>
          <w:sz w:val="24"/>
          <w:szCs w:val="24"/>
        </w:rPr>
        <w:t>1.</w:t>
      </w:r>
      <w:r>
        <w:rPr>
          <w:rFonts w:hint="eastAsia" w:eastAsiaTheme="minorEastAsia"/>
          <w:sz w:val="24"/>
          <w:szCs w:val="24"/>
        </w:rPr>
        <w:t>3</w:t>
      </w:r>
      <w:r>
        <w:rPr>
          <w:rFonts w:eastAsiaTheme="minorEastAsia"/>
          <w:sz w:val="24"/>
          <w:szCs w:val="24"/>
        </w:rPr>
        <w:t>0</w:t>
      </w:r>
      <w:r>
        <w:rPr>
          <w:rFonts w:hint="eastAsia" w:eastAsiaTheme="minorEastAsia"/>
          <w:sz w:val="24"/>
          <w:szCs w:val="24"/>
        </w:rPr>
        <w:t>；</w:t>
      </w:r>
    </w:p>
    <w:p w14:paraId="66F41844">
      <w:pPr>
        <w:spacing w:line="360" w:lineRule="auto"/>
        <w:ind w:left="2550" w:leftChars="200" w:hanging="1910" w:hangingChars="796"/>
        <w:rPr>
          <w:rFonts w:eastAsiaTheme="minorEastAsia"/>
          <w:sz w:val="24"/>
          <w:szCs w:val="24"/>
        </w:rPr>
      </w:pPr>
      <m:oMath>
        <m:sSub>
          <m:sSubPr>
            <m:ctrlPr>
              <w:rPr>
                <w:rFonts w:ascii="Cambria Math" w:hAnsi="Cambria Math"/>
                <w:i/>
                <w:sz w:val="24"/>
                <w:szCs w:val="24"/>
              </w:rPr>
            </m:ctrlPr>
          </m:sSubPr>
          <m:e>
            <m:r>
              <m:rPr/>
              <w:rPr>
                <w:rFonts w:ascii="Cambria Math" w:hAnsi="Cambria Math"/>
                <w:sz w:val="24"/>
                <w:szCs w:val="24"/>
              </w:rPr>
              <m:t>γ</m:t>
            </m:r>
            <m:ctrlPr>
              <w:rPr>
                <w:rFonts w:ascii="Cambria Math" w:hAnsi="Cambria Math"/>
                <w:i/>
                <w:sz w:val="24"/>
                <w:szCs w:val="24"/>
              </w:rPr>
            </m:ctrlPr>
          </m:e>
          <m:sub>
            <m:r>
              <m:rPr>
                <m:sty m:val="p"/>
              </m:rPr>
              <w:rPr>
                <w:rFonts w:ascii="Cambria Math" w:hAnsi="Cambria Math"/>
                <w:sz w:val="24"/>
                <w:szCs w:val="24"/>
              </w:rPr>
              <m:t>G</m:t>
            </m:r>
            <m:ctrlPr>
              <w:rPr>
                <w:rFonts w:ascii="Cambria Math" w:hAnsi="Cambria Math"/>
                <w:i/>
                <w:sz w:val="24"/>
                <w:szCs w:val="24"/>
              </w:rPr>
            </m:ctrlPr>
          </m:sub>
        </m:sSub>
      </m:oMath>
      <w:r>
        <w:rPr>
          <w:rFonts w:hint="eastAsia" w:eastAsiaTheme="minorEastAsia"/>
          <w:sz w:val="24"/>
          <w:szCs w:val="24"/>
        </w:rPr>
        <w:t>——结构自重及其他压重材料重量的分项系数，取不大于1.0；</w:t>
      </w:r>
    </w:p>
    <w:p w14:paraId="3D53DEB7">
      <w:pPr>
        <w:spacing w:line="360" w:lineRule="auto"/>
        <w:ind w:left="2550" w:leftChars="200" w:hanging="1910" w:hangingChars="796"/>
        <w:rPr>
          <w:rFonts w:eastAsiaTheme="minorEastAsia"/>
          <w:sz w:val="24"/>
          <w:szCs w:val="24"/>
        </w:rPr>
      </w:pPr>
      <m:oMath>
        <m:sSub>
          <m:sSubPr>
            <m:ctrlPr>
              <w:rPr>
                <w:rFonts w:ascii="Cambria Math" w:hAnsi="Cambria Math" w:eastAsiaTheme="minorEastAsia"/>
                <w:i/>
                <w:sz w:val="24"/>
                <w:szCs w:val="24"/>
              </w:rPr>
            </m:ctrlPr>
          </m:sSubPr>
          <m:e>
            <m:r>
              <m:rPr/>
              <w:rPr>
                <w:rFonts w:ascii="Cambria Math" w:eastAsiaTheme="minorEastAsia"/>
                <w:sz w:val="24"/>
                <w:szCs w:val="24"/>
              </w:rPr>
              <m:t>γ</m:t>
            </m:r>
            <m:ctrlPr>
              <w:rPr>
                <w:rFonts w:ascii="Cambria Math" w:hAnsi="Cambria Math" w:eastAsiaTheme="minorEastAsia"/>
                <w:i/>
                <w:sz w:val="24"/>
                <w:szCs w:val="24"/>
              </w:rPr>
            </m:ctrlPr>
          </m:e>
          <m:sub>
            <m:r>
              <m:rPr>
                <m:sty m:val="p"/>
              </m:rPr>
              <w:rPr>
                <w:rFonts w:ascii="Cambria Math" w:hAnsi="Cambria Math" w:eastAsiaTheme="minorEastAsia"/>
                <w:sz w:val="24"/>
                <w:szCs w:val="24"/>
              </w:rPr>
              <m:t>0</m:t>
            </m:r>
            <m:ctrlPr>
              <w:rPr>
                <w:rFonts w:ascii="Cambria Math" w:hAnsi="Cambria Math" w:eastAsiaTheme="minorEastAsia"/>
                <w:i/>
                <w:sz w:val="24"/>
                <w:szCs w:val="24"/>
              </w:rPr>
            </m:ctrlPr>
          </m:sub>
        </m:sSub>
      </m:oMath>
      <w:r>
        <w:rPr>
          <w:rFonts w:hint="eastAsia" w:eastAsiaTheme="minorEastAsia"/>
          <w:sz w:val="24"/>
          <w:szCs w:val="24"/>
        </w:rPr>
        <w:t>——</w:t>
      </w:r>
      <w:r>
        <w:rPr>
          <w:rFonts w:eastAsiaTheme="minorEastAsia"/>
          <w:sz w:val="24"/>
          <w:szCs w:val="24"/>
        </w:rPr>
        <w:t>结构重要性系数，按有关规范的规定采用，且不应小于1.0。</w:t>
      </w:r>
    </w:p>
    <w:p w14:paraId="5593EF8A">
      <w:pPr>
        <w:numPr>
          <w:ilvl w:val="2"/>
          <w:numId w:val="2"/>
        </w:numPr>
        <w:spacing w:line="360" w:lineRule="auto"/>
        <w:ind w:left="0" w:firstLine="0"/>
        <w:jc w:val="left"/>
        <w:rPr>
          <w:rFonts w:eastAsiaTheme="minorEastAsia"/>
          <w:sz w:val="24"/>
          <w:szCs w:val="24"/>
        </w:rPr>
      </w:pPr>
      <w:r>
        <w:rPr>
          <w:rFonts w:hint="eastAsia" w:eastAsiaTheme="minorEastAsia"/>
          <w:sz w:val="24"/>
          <w:szCs w:val="24"/>
        </w:rPr>
        <w:t>对于</w:t>
      </w:r>
      <w:r>
        <w:rPr>
          <w:rFonts w:eastAsiaTheme="minorEastAsia"/>
          <w:sz w:val="24"/>
          <w:szCs w:val="24"/>
        </w:rPr>
        <w:t>正常</w:t>
      </w:r>
      <w:r>
        <w:rPr>
          <w:rFonts w:hint="eastAsia" w:eastAsiaTheme="minorEastAsia"/>
          <w:sz w:val="24"/>
          <w:szCs w:val="24"/>
        </w:rPr>
        <w:t>使用</w:t>
      </w:r>
      <w:r>
        <w:rPr>
          <w:rFonts w:eastAsiaTheme="minorEastAsia"/>
          <w:sz w:val="24"/>
          <w:szCs w:val="24"/>
        </w:rPr>
        <w:t>极限状态</w:t>
      </w:r>
      <w:r>
        <w:rPr>
          <w:rFonts w:hint="eastAsia" w:eastAsiaTheme="minorEastAsia"/>
          <w:sz w:val="24"/>
          <w:szCs w:val="24"/>
        </w:rPr>
        <w:t>，应按荷载的标准组合计算效应设计值，并</w:t>
      </w:r>
      <w:r>
        <w:rPr>
          <w:rFonts w:eastAsiaTheme="minorEastAsia"/>
          <w:sz w:val="24"/>
          <w:szCs w:val="24"/>
        </w:rPr>
        <w:t>应按</w:t>
      </w:r>
      <w:r>
        <w:rPr>
          <w:rFonts w:hint="eastAsia" w:eastAsiaTheme="minorEastAsia"/>
          <w:sz w:val="24"/>
          <w:szCs w:val="24"/>
        </w:rPr>
        <w:t>以下</w:t>
      </w:r>
      <w:r>
        <w:rPr>
          <w:rFonts w:eastAsiaTheme="minorEastAsia"/>
          <w:sz w:val="24"/>
          <w:szCs w:val="24"/>
        </w:rPr>
        <w:t>公式</w:t>
      </w:r>
      <w:r>
        <w:rPr>
          <w:rFonts w:hint="eastAsia" w:eastAsiaTheme="minorEastAsia"/>
          <w:sz w:val="24"/>
          <w:szCs w:val="24"/>
        </w:rPr>
        <w:t>进行</w:t>
      </w:r>
      <w:r>
        <w:rPr>
          <w:rFonts w:eastAsiaTheme="minorEastAsia"/>
          <w:sz w:val="24"/>
          <w:szCs w:val="24"/>
        </w:rPr>
        <w:t>抗浮构件设计</w:t>
      </w:r>
      <w:r>
        <w:rPr>
          <w:rFonts w:hint="eastAsia" w:eastAsiaTheme="minorEastAsia"/>
          <w:sz w:val="24"/>
          <w:szCs w:val="24"/>
        </w:rPr>
        <w:t>：</w:t>
      </w:r>
    </w:p>
    <w:p w14:paraId="275971E7">
      <w:pPr>
        <w:spacing w:line="360" w:lineRule="auto"/>
        <w:ind w:left="178" w:hanging="708"/>
        <w:jc w:val="right"/>
        <w:rPr>
          <w:sz w:val="24"/>
          <w:szCs w:val="24"/>
        </w:rPr>
      </w:pPr>
      <m:oMath>
        <m:sSub>
          <m:sSubPr>
            <m:ctrlPr>
              <w:rPr>
                <w:rFonts w:ascii="Cambria Math" w:hAnsi="Cambria Math"/>
                <w:i/>
                <w:sz w:val="24"/>
                <w:szCs w:val="24"/>
              </w:rPr>
            </m:ctrlPr>
          </m:sSub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r>
          <m:rPr/>
          <w:rPr>
            <w:rFonts w:ascii="Cambria Math" w:hAnsi="Cambria Math"/>
            <w:sz w:val="24"/>
            <w:szCs w:val="24"/>
          </w:rPr>
          <m:t>≤C</m:t>
        </m:r>
      </m:oMath>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i/>
          <w:sz w:val="24"/>
          <w:szCs w:val="24"/>
        </w:rPr>
        <w:tab/>
      </w:r>
      <w:r>
        <w:rPr>
          <w:rFonts w:hint="eastAsia" w:hAnsi="Cambria Math"/>
          <w:sz w:val="24"/>
          <w:szCs w:val="24"/>
        </w:rPr>
        <w:t>(5.1.3)</w:t>
      </w:r>
    </w:p>
    <w:p w14:paraId="2D736C8E">
      <w:pPr>
        <w:spacing w:line="360" w:lineRule="auto"/>
        <w:ind w:left="1512" w:leftChars="1" w:hanging="1509" w:hangingChars="629"/>
        <w:rPr>
          <w:rFonts w:eastAsiaTheme="minorEastAsia"/>
          <w:sz w:val="24"/>
          <w:szCs w:val="24"/>
        </w:rPr>
      </w:pPr>
      <w:r>
        <w:rPr>
          <w:rFonts w:hint="eastAsia" w:eastAsiaTheme="minorEastAsia"/>
          <w:sz w:val="24"/>
          <w:szCs w:val="24"/>
        </w:rPr>
        <w:t>式中：</w:t>
      </w:r>
      <m:oMath>
        <m:sSub>
          <m:sSubPr>
            <m:ctrlPr>
              <w:rPr>
                <w:rFonts w:ascii="Cambria Math" w:hAnsi="Cambria Math"/>
                <w:i/>
                <w:sz w:val="24"/>
                <w:szCs w:val="24"/>
              </w:rPr>
            </m:ctrlPr>
          </m:sSub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oMath>
      <w:r>
        <w:rPr>
          <w:rFonts w:hint="eastAsia" w:eastAsiaTheme="minorEastAsia"/>
          <w:sz w:val="24"/>
          <w:szCs w:val="24"/>
        </w:rPr>
        <w:t>——按荷载标准组合计算的抗浮构件的效应设计值，包括裂缝宽度、变形、应力水平等；</w:t>
      </w:r>
    </w:p>
    <w:p w14:paraId="401861EC">
      <w:pPr>
        <w:spacing w:line="360" w:lineRule="auto"/>
        <w:ind w:left="-530" w:firstLine="1168" w:firstLineChars="487"/>
        <w:rPr>
          <w:rFonts w:ascii="Cambria Math" w:eastAsiaTheme="minorEastAsia"/>
          <w:i/>
          <w:sz w:val="24"/>
          <w:szCs w:val="24"/>
        </w:rPr>
      </w:pPr>
      <w:r>
        <w:rPr>
          <w:rFonts w:hint="eastAsia" w:ascii="Cambria Math" w:eastAsiaTheme="minorEastAsia"/>
          <w:i/>
          <w:sz w:val="24"/>
          <w:szCs w:val="24"/>
        </w:rPr>
        <w:t>C</w:t>
      </w:r>
      <w:r>
        <w:rPr>
          <w:rFonts w:hint="eastAsia" w:eastAsiaTheme="minorEastAsia"/>
          <w:sz w:val="24"/>
          <w:szCs w:val="24"/>
        </w:rPr>
        <w:t>——</w:t>
      </w:r>
      <w:r>
        <w:rPr>
          <w:rFonts w:eastAsiaTheme="minorEastAsia"/>
          <w:sz w:val="24"/>
          <w:szCs w:val="24"/>
        </w:rPr>
        <w:t>正常使用要求所规定的裂缝宽度</w:t>
      </w:r>
      <w:r>
        <w:rPr>
          <w:rFonts w:hint="eastAsia" w:eastAsiaTheme="minorEastAsia"/>
          <w:sz w:val="24"/>
          <w:szCs w:val="24"/>
        </w:rPr>
        <w:t>、</w:t>
      </w:r>
      <w:r>
        <w:rPr>
          <w:rFonts w:eastAsiaTheme="minorEastAsia"/>
          <w:sz w:val="24"/>
          <w:szCs w:val="24"/>
        </w:rPr>
        <w:t>变形</w:t>
      </w:r>
      <w:r>
        <w:rPr>
          <w:rFonts w:hint="eastAsia" w:eastAsiaTheme="minorEastAsia"/>
          <w:sz w:val="24"/>
          <w:szCs w:val="24"/>
        </w:rPr>
        <w:t>、应力水平</w:t>
      </w:r>
      <w:r>
        <w:rPr>
          <w:rFonts w:eastAsiaTheme="minorEastAsia"/>
          <w:sz w:val="24"/>
          <w:szCs w:val="24"/>
        </w:rPr>
        <w:t>等</w:t>
      </w:r>
      <w:r>
        <w:rPr>
          <w:rFonts w:hint="eastAsia" w:eastAsiaTheme="minorEastAsia"/>
          <w:sz w:val="24"/>
          <w:szCs w:val="24"/>
        </w:rPr>
        <w:t>的</w:t>
      </w:r>
      <w:r>
        <w:rPr>
          <w:rFonts w:eastAsiaTheme="minorEastAsia"/>
          <w:sz w:val="24"/>
          <w:szCs w:val="24"/>
        </w:rPr>
        <w:t>限值。</w:t>
      </w:r>
    </w:p>
    <w:p w14:paraId="02716884">
      <w:pPr>
        <w:numPr>
          <w:ilvl w:val="2"/>
          <w:numId w:val="2"/>
        </w:numPr>
        <w:spacing w:line="360" w:lineRule="auto"/>
        <w:ind w:left="0" w:firstLine="0"/>
        <w:jc w:val="left"/>
        <w:rPr>
          <w:rFonts w:eastAsiaTheme="minorEastAsia"/>
          <w:sz w:val="24"/>
          <w:szCs w:val="24"/>
        </w:rPr>
      </w:pPr>
      <w:r>
        <w:rPr>
          <w:rFonts w:hint="eastAsia" w:eastAsiaTheme="minorEastAsia"/>
          <w:sz w:val="24"/>
          <w:szCs w:val="24"/>
        </w:rPr>
        <w:t>针对不同阶段应根据考虑了实际采用的降水、排水、隔水等措施的最不利水浮力进行抗浮稳定验算。</w:t>
      </w:r>
    </w:p>
    <w:p w14:paraId="53C331E5">
      <w:pPr>
        <w:numPr>
          <w:ilvl w:val="2"/>
          <w:numId w:val="2"/>
        </w:numPr>
        <w:spacing w:line="360" w:lineRule="auto"/>
        <w:ind w:left="0" w:firstLine="0"/>
        <w:jc w:val="left"/>
        <w:rPr>
          <w:rFonts w:eastAsiaTheme="minorEastAsia"/>
          <w:sz w:val="24"/>
          <w:szCs w:val="24"/>
        </w:rPr>
      </w:pPr>
      <w:r>
        <w:rPr>
          <w:rFonts w:hint="eastAsia" w:eastAsiaTheme="minorEastAsia"/>
          <w:sz w:val="24"/>
          <w:szCs w:val="24"/>
        </w:rPr>
        <w:t>仅局部不满足抗浮稳定要求时，可利用抗水板、基础、局部加强的结构构件抵抗水压力。</w:t>
      </w:r>
    </w:p>
    <w:p w14:paraId="025E02E7">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抗浮稳定验算不满足要求时，应根据工程条件选用压重法、抗浮锚杆法、抗浮桩法、限压法等一种或多种措施，也可采用经论证的其他措施。当单一措施难以满足要求时，宜采用组合措施。</w:t>
      </w:r>
    </w:p>
    <w:p w14:paraId="6BA200D4">
      <w:pPr>
        <w:numPr>
          <w:ilvl w:val="1"/>
          <w:numId w:val="2"/>
        </w:numPr>
        <w:spacing w:line="360" w:lineRule="auto"/>
        <w:ind w:left="181" w:hanging="711"/>
        <w:jc w:val="center"/>
        <w:outlineLvl w:val="1"/>
        <w:rPr>
          <w:rFonts w:eastAsiaTheme="minorEastAsia"/>
          <w:b/>
          <w:bCs/>
          <w:sz w:val="24"/>
          <w:szCs w:val="24"/>
        </w:rPr>
      </w:pPr>
      <w:bookmarkStart w:id="78" w:name="_Toc16882"/>
      <w:bookmarkStart w:id="79" w:name="_Toc12588"/>
      <w:bookmarkStart w:id="80" w:name="_Toc1922"/>
      <w:bookmarkStart w:id="81" w:name="_Toc19539"/>
      <w:bookmarkStart w:id="82" w:name="_Toc9056"/>
      <w:bookmarkStart w:id="83" w:name="_Toc18212"/>
      <w:r>
        <w:rPr>
          <w:rFonts w:hint="eastAsia" w:eastAsiaTheme="minorEastAsia"/>
          <w:b/>
          <w:bCs/>
          <w:sz w:val="24"/>
          <w:szCs w:val="24"/>
        </w:rPr>
        <w:t>浮力与抗浮力</w:t>
      </w:r>
      <w:bookmarkEnd w:id="78"/>
      <w:bookmarkEnd w:id="79"/>
      <w:bookmarkEnd w:id="80"/>
      <w:bookmarkEnd w:id="81"/>
      <w:bookmarkEnd w:id="82"/>
      <w:bookmarkEnd w:id="83"/>
    </w:p>
    <w:p w14:paraId="4106A59A">
      <w:pPr>
        <w:numPr>
          <w:ilvl w:val="2"/>
          <w:numId w:val="2"/>
        </w:numPr>
        <w:spacing w:line="360" w:lineRule="auto"/>
        <w:ind w:left="0" w:firstLine="0"/>
        <w:jc w:val="left"/>
        <w:rPr>
          <w:rFonts w:eastAsiaTheme="minorEastAsia"/>
          <w:sz w:val="24"/>
          <w:szCs w:val="24"/>
        </w:rPr>
      </w:pPr>
      <w:r>
        <w:rPr>
          <w:rFonts w:hint="eastAsia" w:eastAsiaTheme="minorEastAsia"/>
          <w:sz w:val="24"/>
          <w:szCs w:val="24"/>
        </w:rPr>
        <w:t>建筑</w:t>
      </w:r>
      <w:r>
        <w:rPr>
          <w:rFonts w:eastAsiaTheme="minorEastAsia"/>
          <w:sz w:val="24"/>
          <w:szCs w:val="24"/>
        </w:rPr>
        <w:t>受到的浮力</w:t>
      </w:r>
      <w:r>
        <w:rPr>
          <w:rFonts w:hint="eastAsia" w:eastAsiaTheme="minorEastAsia"/>
          <w:sz w:val="24"/>
          <w:szCs w:val="24"/>
        </w:rPr>
        <w:t>值应取地下结构底板和顶板受到水压力的竖向合力，水压力计算应分别考虑潜水和承压水的影响，根据抗浮设防水位确定，抗浮设防水位的计算方法按本标准4.2.4条。</w:t>
      </w:r>
    </w:p>
    <w:p w14:paraId="370BD498">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抗浮力应包括以下内容：</w:t>
      </w:r>
    </w:p>
    <w:p w14:paraId="5BE7A847">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结构自重和其他压重材料重量，具体按第6.1.2条规定；</w:t>
      </w:r>
    </w:p>
    <w:p w14:paraId="612F9C8F">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建筑楼面、屋面做法、永久堆积物重量；</w:t>
      </w:r>
    </w:p>
    <w:p w14:paraId="7A9601F2">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建筑内部的固定设备重量；</w:t>
      </w:r>
    </w:p>
    <w:p w14:paraId="67D5A59C">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由结构整体作用提供的抗浮力；</w:t>
      </w:r>
    </w:p>
    <w:p w14:paraId="0A3F45E4">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地下室外墙与回填土之间的侧壁摩阻力；</w:t>
      </w:r>
    </w:p>
    <w:p w14:paraId="3868E4BD">
      <w:pPr>
        <w:numPr>
          <w:ilvl w:val="0"/>
          <w:numId w:val="14"/>
        </w:numPr>
        <w:tabs>
          <w:tab w:val="left" w:pos="320"/>
          <w:tab w:val="clear" w:pos="420"/>
        </w:tabs>
        <w:spacing w:line="360" w:lineRule="auto"/>
        <w:ind w:hanging="105"/>
        <w:rPr>
          <w:rFonts w:eastAsiaTheme="minorEastAsia"/>
          <w:sz w:val="24"/>
          <w:szCs w:val="24"/>
        </w:rPr>
      </w:pPr>
      <w:r>
        <w:rPr>
          <w:rFonts w:hint="eastAsia" w:eastAsiaTheme="minorEastAsia"/>
          <w:sz w:val="24"/>
          <w:szCs w:val="24"/>
        </w:rPr>
        <w:t>抗浮构件的抗拔力。</w:t>
      </w:r>
    </w:p>
    <w:p w14:paraId="2B1C073F">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抗浮力组合值系数按表5.2.3取值，主体结构承载提供的抗浮力组合值系数应按抗浮力来源的类型确定。</w:t>
      </w:r>
    </w:p>
    <w:p w14:paraId="6D4EB488">
      <w:pPr>
        <w:spacing w:line="360" w:lineRule="auto"/>
        <w:ind w:left="60" w:hanging="590"/>
        <w:jc w:val="center"/>
        <w:rPr>
          <w:rFonts w:eastAsiaTheme="minorEastAsia"/>
          <w:sz w:val="20"/>
        </w:rPr>
      </w:pPr>
      <w:r>
        <w:rPr>
          <w:rFonts w:hint="eastAsia" w:eastAsiaTheme="minorEastAsia"/>
          <w:sz w:val="20"/>
        </w:rPr>
        <w:t xml:space="preserve">表5.2.3 </w:t>
      </w:r>
      <w:bookmarkStart w:id="84" w:name="OLE_LINK6"/>
      <w:bookmarkStart w:id="85" w:name="OLE_LINK5"/>
      <w:r>
        <w:rPr>
          <w:rFonts w:hint="eastAsia" w:eastAsiaTheme="minorEastAsia"/>
          <w:sz w:val="20"/>
        </w:rPr>
        <w:t>抗浮力组合值系数</w:t>
      </w:r>
      <w:r>
        <w:rPr>
          <w:rFonts w:ascii="Cambria Math" w:hAnsi="Cambria Math" w:eastAsiaTheme="minorEastAsia"/>
          <w:sz w:val="24"/>
          <w:szCs w:val="24"/>
        </w:rPr>
        <w:t>𝜓</w:t>
      </w:r>
      <w:r>
        <w:rPr>
          <w:rFonts w:hint="eastAsia" w:eastAsiaTheme="minorEastAsia"/>
          <w:sz w:val="24"/>
          <w:szCs w:val="24"/>
          <w:vertAlign w:val="subscript"/>
        </w:rPr>
        <w:t>k</w:t>
      </w:r>
      <w:r>
        <w:rPr>
          <w:rFonts w:hint="eastAsia" w:eastAsiaTheme="minorEastAsia"/>
          <w:i/>
          <w:iCs/>
          <w:sz w:val="24"/>
          <w:szCs w:val="24"/>
          <w:vertAlign w:val="subscript"/>
        </w:rPr>
        <w:t>i</w:t>
      </w:r>
      <w:bookmarkEnd w:id="84"/>
      <w:bookmarkEnd w:id="85"/>
    </w:p>
    <w:tbl>
      <w:tblPr>
        <w:tblStyle w:val="20"/>
        <w:tblW w:w="70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55"/>
        <w:gridCol w:w="4866"/>
        <w:gridCol w:w="1559"/>
      </w:tblGrid>
      <w:tr w14:paraId="3AF2C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521" w:type="dxa"/>
            <w:gridSpan w:val="2"/>
            <w:tcBorders>
              <w:top w:val="single" w:color="000000" w:sz="6" w:space="0"/>
              <w:left w:val="single" w:color="000000" w:sz="6" w:space="0"/>
              <w:right w:val="single" w:color="000000" w:sz="6" w:space="0"/>
            </w:tcBorders>
            <w:tcMar>
              <w:top w:w="57" w:type="dxa"/>
              <w:left w:w="108" w:type="dxa"/>
              <w:bottom w:w="57" w:type="dxa"/>
              <w:right w:w="108" w:type="dxa"/>
            </w:tcMar>
            <w:vAlign w:val="center"/>
          </w:tcPr>
          <w:p w14:paraId="7F70AB88">
            <w:pPr>
              <w:jc w:val="center"/>
              <w:rPr>
                <w:rFonts w:eastAsia="楷体_GB2312"/>
                <w:sz w:val="20"/>
              </w:rPr>
            </w:pPr>
            <w:r>
              <w:rPr>
                <w:rFonts w:hint="eastAsia" w:eastAsia="楷体_GB2312"/>
                <w:sz w:val="20"/>
              </w:rPr>
              <w:t>抗浮力</w:t>
            </w:r>
            <w:r>
              <w:rPr>
                <w:rFonts w:eastAsia="楷体_GB2312"/>
                <w:sz w:val="20"/>
              </w:rPr>
              <w:t>类型</w:t>
            </w:r>
          </w:p>
        </w:tc>
        <w:tc>
          <w:tcPr>
            <w:tcW w:w="1559"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2071706D">
            <w:pPr>
              <w:jc w:val="center"/>
              <w:rPr>
                <w:rFonts w:eastAsia="楷体_GB2312"/>
                <w:sz w:val="20"/>
              </w:rPr>
            </w:pPr>
            <w:r>
              <w:rPr>
                <w:rFonts w:ascii="Cambria Math" w:hAnsi="Cambria Math" w:eastAsiaTheme="minorEastAsia"/>
                <w:sz w:val="24"/>
                <w:szCs w:val="24"/>
              </w:rPr>
              <w:t>𝜓</w:t>
            </w:r>
            <w:r>
              <w:rPr>
                <w:rFonts w:hint="eastAsia" w:eastAsiaTheme="minorEastAsia"/>
                <w:i/>
                <w:iCs/>
                <w:sz w:val="24"/>
                <w:szCs w:val="24"/>
                <w:vertAlign w:val="subscript"/>
              </w:rPr>
              <w:t>ki</w:t>
            </w:r>
          </w:p>
        </w:tc>
      </w:tr>
      <w:tr w14:paraId="3742F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55" w:type="dxa"/>
            <w:vMerge w:val="restart"/>
            <w:tcBorders>
              <w:top w:val="single" w:color="000000" w:sz="6" w:space="0"/>
              <w:left w:val="single" w:color="000000" w:sz="6" w:space="0"/>
              <w:right w:val="single" w:color="000000" w:sz="6" w:space="0"/>
            </w:tcBorders>
            <w:tcMar>
              <w:top w:w="57" w:type="dxa"/>
              <w:left w:w="108" w:type="dxa"/>
              <w:bottom w:w="57" w:type="dxa"/>
              <w:right w:w="108" w:type="dxa"/>
            </w:tcMar>
            <w:vAlign w:val="center"/>
          </w:tcPr>
          <w:p w14:paraId="0FE33AD9">
            <w:pPr>
              <w:jc w:val="center"/>
              <w:rPr>
                <w:rFonts w:eastAsia="楷体_GB2312"/>
                <w:sz w:val="20"/>
              </w:rPr>
            </w:pPr>
            <w:r>
              <w:rPr>
                <w:rFonts w:hint="eastAsia" w:eastAsia="楷体_GB2312"/>
                <w:i/>
                <w:iCs/>
                <w:sz w:val="20"/>
              </w:rPr>
              <w:t>G</w:t>
            </w:r>
            <w:r>
              <w:rPr>
                <w:rFonts w:hint="eastAsia" w:eastAsia="楷体_GB2312"/>
                <w:sz w:val="20"/>
                <w:vertAlign w:val="subscript"/>
              </w:rPr>
              <w:t>k</w:t>
            </w:r>
          </w:p>
        </w:tc>
        <w:tc>
          <w:tcPr>
            <w:tcW w:w="4866"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1B555CBE">
            <w:pPr>
              <w:jc w:val="center"/>
              <w:rPr>
                <w:rFonts w:eastAsia="楷体_GB2312"/>
                <w:sz w:val="20"/>
              </w:rPr>
            </w:pPr>
            <w:r>
              <w:rPr>
                <w:rFonts w:hint="eastAsia" w:eastAsia="楷体_GB2312"/>
                <w:sz w:val="20"/>
              </w:rPr>
              <w:t>结构自重和其他压重</w:t>
            </w:r>
            <w:r>
              <w:rPr>
                <w:rFonts w:eastAsia="楷体_GB2312"/>
                <w:sz w:val="20"/>
              </w:rPr>
              <w:t>材料</w:t>
            </w:r>
            <w:r>
              <w:rPr>
                <w:rFonts w:hint="eastAsia" w:eastAsia="楷体_GB2312"/>
                <w:sz w:val="20"/>
              </w:rPr>
              <w:t>重量</w:t>
            </w:r>
          </w:p>
        </w:tc>
        <w:tc>
          <w:tcPr>
            <w:tcW w:w="1559"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34D3AA8F">
            <w:pPr>
              <w:jc w:val="center"/>
              <w:rPr>
                <w:rFonts w:eastAsia="楷体_GB2312"/>
                <w:sz w:val="20"/>
              </w:rPr>
            </w:pPr>
            <w:r>
              <w:rPr>
                <w:rFonts w:eastAsia="楷体_GB2312"/>
                <w:sz w:val="20"/>
              </w:rPr>
              <w:t>1.0</w:t>
            </w:r>
            <w:r>
              <w:rPr>
                <w:rFonts w:hint="eastAsia" w:eastAsia="楷体_GB2312"/>
                <w:sz w:val="20"/>
              </w:rPr>
              <w:t>0</w:t>
            </w:r>
          </w:p>
        </w:tc>
      </w:tr>
      <w:tr w14:paraId="78831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55" w:type="dxa"/>
            <w:vMerge w:val="continue"/>
            <w:tcBorders>
              <w:top w:val="single" w:color="000000" w:sz="6" w:space="0"/>
              <w:left w:val="single" w:color="000000" w:sz="6" w:space="0"/>
              <w:right w:val="single" w:color="000000" w:sz="6" w:space="0"/>
            </w:tcBorders>
            <w:tcMar>
              <w:top w:w="57" w:type="dxa"/>
              <w:left w:w="108" w:type="dxa"/>
              <w:bottom w:w="57" w:type="dxa"/>
              <w:right w:w="108" w:type="dxa"/>
            </w:tcMar>
            <w:vAlign w:val="center"/>
          </w:tcPr>
          <w:p w14:paraId="1F577907">
            <w:pPr>
              <w:jc w:val="center"/>
              <w:rPr>
                <w:rFonts w:eastAsia="楷体_GB2312"/>
                <w:sz w:val="20"/>
              </w:rPr>
            </w:pPr>
          </w:p>
        </w:tc>
        <w:tc>
          <w:tcPr>
            <w:tcW w:w="4866"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79CAB6F7">
            <w:pPr>
              <w:jc w:val="center"/>
              <w:rPr>
                <w:rFonts w:eastAsia="楷体_GB2312"/>
                <w:sz w:val="20"/>
              </w:rPr>
            </w:pPr>
            <w:r>
              <w:rPr>
                <w:rFonts w:hint="eastAsia" w:eastAsia="楷体_GB2312"/>
                <w:sz w:val="20"/>
              </w:rPr>
              <w:t>建筑楼面、屋面做法</w:t>
            </w:r>
            <w:r>
              <w:rPr>
                <w:rFonts w:eastAsia="楷体_GB2312"/>
                <w:sz w:val="20"/>
              </w:rPr>
              <w:t>、</w:t>
            </w:r>
            <w:r>
              <w:rPr>
                <w:rFonts w:hint="eastAsia" w:eastAsia="楷体_GB2312"/>
                <w:sz w:val="20"/>
              </w:rPr>
              <w:t>隔墙、</w:t>
            </w:r>
            <w:r>
              <w:rPr>
                <w:rFonts w:eastAsia="楷体_GB2312"/>
                <w:sz w:val="20"/>
              </w:rPr>
              <w:t>永久堆积</w:t>
            </w:r>
            <w:r>
              <w:rPr>
                <w:rFonts w:hint="eastAsia" w:eastAsia="楷体_GB2312"/>
                <w:sz w:val="20"/>
              </w:rPr>
              <w:t>重量</w:t>
            </w:r>
          </w:p>
        </w:tc>
        <w:tc>
          <w:tcPr>
            <w:tcW w:w="1559"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70DA0F20">
            <w:pPr>
              <w:jc w:val="center"/>
              <w:rPr>
                <w:rFonts w:eastAsia="楷体_GB2312"/>
                <w:sz w:val="20"/>
              </w:rPr>
            </w:pPr>
            <w:r>
              <w:rPr>
                <w:rFonts w:hint="eastAsia" w:eastAsia="楷体_GB2312"/>
                <w:sz w:val="20"/>
              </w:rPr>
              <w:t>0.95</w:t>
            </w:r>
          </w:p>
        </w:tc>
      </w:tr>
      <w:tr w14:paraId="3CFA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55" w:type="dxa"/>
            <w:vMerge w:val="continue"/>
            <w:tcBorders>
              <w:left w:val="single" w:color="000000" w:sz="6" w:space="0"/>
              <w:right w:val="single" w:color="000000" w:sz="6" w:space="0"/>
            </w:tcBorders>
            <w:tcMar>
              <w:top w:w="57" w:type="dxa"/>
              <w:left w:w="108" w:type="dxa"/>
              <w:bottom w:w="57" w:type="dxa"/>
              <w:right w:w="108" w:type="dxa"/>
            </w:tcMar>
            <w:vAlign w:val="center"/>
          </w:tcPr>
          <w:p w14:paraId="596DD20B">
            <w:pPr>
              <w:jc w:val="center"/>
              <w:rPr>
                <w:rFonts w:eastAsia="楷体_GB2312"/>
                <w:sz w:val="20"/>
              </w:rPr>
            </w:pPr>
          </w:p>
        </w:tc>
        <w:tc>
          <w:tcPr>
            <w:tcW w:w="4866"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651FDA51">
            <w:pPr>
              <w:jc w:val="center"/>
              <w:rPr>
                <w:rFonts w:eastAsia="楷体_GB2312"/>
                <w:sz w:val="20"/>
              </w:rPr>
            </w:pPr>
            <w:r>
              <w:rPr>
                <w:rFonts w:hint="eastAsia" w:eastAsia="楷体_GB2312"/>
                <w:sz w:val="20"/>
              </w:rPr>
              <w:t>建筑</w:t>
            </w:r>
            <w:r>
              <w:rPr>
                <w:rFonts w:eastAsia="楷体_GB2312"/>
                <w:sz w:val="20"/>
              </w:rPr>
              <w:t>内部固定设备物</w:t>
            </w:r>
            <w:r>
              <w:rPr>
                <w:rFonts w:hint="eastAsia" w:eastAsia="楷体_GB2312"/>
                <w:sz w:val="20"/>
              </w:rPr>
              <w:t>重量</w:t>
            </w:r>
          </w:p>
        </w:tc>
        <w:tc>
          <w:tcPr>
            <w:tcW w:w="1559"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12074BF7">
            <w:pPr>
              <w:jc w:val="center"/>
              <w:rPr>
                <w:rFonts w:eastAsia="楷体_GB2312"/>
                <w:sz w:val="20"/>
              </w:rPr>
            </w:pPr>
            <w:r>
              <w:rPr>
                <w:rFonts w:eastAsia="楷体_GB2312"/>
                <w:sz w:val="20"/>
              </w:rPr>
              <w:t>0.</w:t>
            </w:r>
            <w:r>
              <w:rPr>
                <w:rFonts w:hint="eastAsia" w:eastAsia="楷体_GB2312"/>
                <w:sz w:val="20"/>
              </w:rPr>
              <w:t>60</w:t>
            </w:r>
          </w:p>
        </w:tc>
      </w:tr>
      <w:tr w14:paraId="09EEC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55"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5E724963">
            <w:pPr>
              <w:jc w:val="center"/>
              <w:rPr>
                <w:rFonts w:eastAsia="楷体_GB2312"/>
                <w:sz w:val="20"/>
              </w:rPr>
            </w:pPr>
            <w:r>
              <w:rPr>
                <w:rFonts w:hint="eastAsia" w:eastAsia="楷体_GB2312"/>
                <w:i/>
                <w:iCs/>
                <w:sz w:val="20"/>
              </w:rPr>
              <w:t>R</w:t>
            </w:r>
            <w:r>
              <w:rPr>
                <w:rFonts w:hint="eastAsia" w:eastAsia="楷体_GB2312"/>
                <w:sz w:val="20"/>
                <w:vertAlign w:val="subscript"/>
              </w:rPr>
              <w:t>ta</w:t>
            </w:r>
          </w:p>
        </w:tc>
        <w:tc>
          <w:tcPr>
            <w:tcW w:w="4866"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61764596">
            <w:pPr>
              <w:jc w:val="center"/>
              <w:rPr>
                <w:rFonts w:eastAsia="楷体_GB2312"/>
                <w:sz w:val="20"/>
              </w:rPr>
            </w:pPr>
            <w:r>
              <w:rPr>
                <w:rFonts w:hint="eastAsia" w:eastAsia="楷体_GB2312"/>
                <w:sz w:val="20"/>
              </w:rPr>
              <w:t>抗浮</w:t>
            </w:r>
            <w:r>
              <w:rPr>
                <w:rFonts w:eastAsia="楷体_GB2312"/>
                <w:sz w:val="20"/>
              </w:rPr>
              <w:t>构件的抗拔力</w:t>
            </w:r>
          </w:p>
        </w:tc>
        <w:tc>
          <w:tcPr>
            <w:tcW w:w="1559" w:type="dxa"/>
            <w:tcBorders>
              <w:top w:val="single" w:color="000000" w:sz="6" w:space="0"/>
              <w:left w:val="single" w:color="000000" w:sz="6" w:space="0"/>
              <w:bottom w:val="single" w:color="000000" w:sz="6" w:space="0"/>
              <w:right w:val="single" w:color="000000" w:sz="6" w:space="0"/>
            </w:tcBorders>
            <w:tcMar>
              <w:top w:w="57" w:type="dxa"/>
              <w:left w:w="108" w:type="dxa"/>
              <w:bottom w:w="57" w:type="dxa"/>
              <w:right w:w="108" w:type="dxa"/>
            </w:tcMar>
            <w:vAlign w:val="center"/>
          </w:tcPr>
          <w:p w14:paraId="1158778B">
            <w:pPr>
              <w:jc w:val="center"/>
              <w:rPr>
                <w:rFonts w:eastAsia="楷体_GB2312"/>
                <w:sz w:val="20"/>
              </w:rPr>
            </w:pPr>
            <w:r>
              <w:rPr>
                <w:rFonts w:hint="eastAsia" w:eastAsia="楷体_GB2312"/>
                <w:sz w:val="20"/>
              </w:rPr>
              <w:t>1.00</w:t>
            </w:r>
          </w:p>
        </w:tc>
      </w:tr>
    </w:tbl>
    <w:p w14:paraId="274D610C">
      <w:pPr>
        <w:numPr>
          <w:ilvl w:val="1"/>
          <w:numId w:val="2"/>
        </w:numPr>
        <w:spacing w:line="360" w:lineRule="auto"/>
        <w:ind w:left="181" w:hanging="711"/>
        <w:jc w:val="center"/>
        <w:outlineLvl w:val="1"/>
        <w:rPr>
          <w:rFonts w:eastAsiaTheme="minorEastAsia"/>
          <w:b/>
          <w:bCs/>
          <w:sz w:val="24"/>
          <w:szCs w:val="24"/>
        </w:rPr>
      </w:pPr>
      <w:bookmarkStart w:id="86" w:name="_Toc19906"/>
      <w:bookmarkStart w:id="87" w:name="_Toc22245"/>
      <w:r>
        <w:rPr>
          <w:rFonts w:hint="eastAsia" w:eastAsiaTheme="minorEastAsia"/>
          <w:b/>
          <w:bCs/>
          <w:sz w:val="24"/>
          <w:szCs w:val="24"/>
        </w:rPr>
        <w:t>抗水板</w:t>
      </w:r>
      <w:bookmarkEnd w:id="86"/>
      <w:bookmarkEnd w:id="87"/>
    </w:p>
    <w:p w14:paraId="5E90BF88">
      <w:pPr>
        <w:numPr>
          <w:ilvl w:val="2"/>
          <w:numId w:val="2"/>
        </w:numPr>
        <w:spacing w:line="360" w:lineRule="auto"/>
        <w:ind w:left="0" w:firstLine="0"/>
        <w:jc w:val="left"/>
        <w:rPr>
          <w:rFonts w:eastAsiaTheme="minorEastAsia"/>
          <w:sz w:val="24"/>
          <w:szCs w:val="24"/>
        </w:rPr>
      </w:pPr>
      <w:r>
        <w:rPr>
          <w:rFonts w:hint="eastAsia" w:eastAsiaTheme="minorEastAsia"/>
          <w:sz w:val="24"/>
          <w:szCs w:val="24"/>
        </w:rPr>
        <w:t>为满足建筑使用功能及结构抗浮要求，采用独立基础、条形基础以及独立承台桩基础等非封闭基础时，应设置抗水板抵抗水压力。抗水板可采用板式或梁板式结构。</w:t>
      </w:r>
    </w:p>
    <w:p w14:paraId="7210AAC1">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抗水板不宜承担地基反力。</w:t>
      </w:r>
    </w:p>
    <w:p w14:paraId="0473B2F7">
      <w:pPr>
        <w:numPr>
          <w:ilvl w:val="2"/>
          <w:numId w:val="2"/>
        </w:numPr>
        <w:spacing w:line="360" w:lineRule="auto"/>
        <w:ind w:left="0" w:firstLine="0"/>
        <w:jc w:val="left"/>
        <w:rPr>
          <w:rFonts w:eastAsiaTheme="minorEastAsia"/>
          <w:sz w:val="24"/>
          <w:szCs w:val="24"/>
        </w:rPr>
      </w:pPr>
      <w:r>
        <w:rPr>
          <w:rFonts w:hint="eastAsia" w:eastAsiaTheme="minorEastAsia"/>
          <w:sz w:val="24"/>
          <w:szCs w:val="24"/>
        </w:rPr>
        <w:t>作用在抗水板上的荷载有：地下水压力、人防荷载、抗水板自重及直接作用在抗水板上部的其他荷载等。</w:t>
      </w:r>
    </w:p>
    <w:p w14:paraId="65A56327">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抗水板设计应符合下列规定：</w:t>
      </w:r>
    </w:p>
    <w:p w14:paraId="14D9BC91">
      <w:pPr>
        <w:numPr>
          <w:ilvl w:val="0"/>
          <w:numId w:val="15"/>
        </w:numPr>
        <w:tabs>
          <w:tab w:val="left" w:pos="960"/>
          <w:tab w:val="clear" w:pos="420"/>
        </w:tabs>
        <w:spacing w:line="360" w:lineRule="auto"/>
        <w:ind w:left="714" w:hanging="397"/>
        <w:rPr>
          <w:rFonts w:eastAsiaTheme="minorEastAsia"/>
          <w:sz w:val="24"/>
          <w:szCs w:val="24"/>
        </w:rPr>
      </w:pPr>
      <w:r>
        <w:rPr>
          <w:rFonts w:hint="eastAsia" w:eastAsiaTheme="minorEastAsia"/>
          <w:sz w:val="24"/>
          <w:szCs w:val="24"/>
        </w:rPr>
        <w:t>抗水板应支承在基础或主体结构上，基础与抗水板可分别计算，基础计算应考虑抗水板的影响；</w:t>
      </w:r>
    </w:p>
    <w:p w14:paraId="0023C1A6">
      <w:pPr>
        <w:numPr>
          <w:ilvl w:val="0"/>
          <w:numId w:val="15"/>
        </w:numPr>
        <w:tabs>
          <w:tab w:val="left" w:pos="960"/>
          <w:tab w:val="clear" w:pos="420"/>
        </w:tabs>
        <w:spacing w:line="360" w:lineRule="auto"/>
        <w:ind w:left="714" w:hanging="397"/>
        <w:rPr>
          <w:rFonts w:eastAsiaTheme="minorEastAsia"/>
          <w:sz w:val="24"/>
          <w:szCs w:val="24"/>
        </w:rPr>
      </w:pPr>
      <w:r>
        <w:rPr>
          <w:rFonts w:hint="eastAsia" w:eastAsiaTheme="minorEastAsia"/>
          <w:sz w:val="24"/>
          <w:szCs w:val="24"/>
        </w:rPr>
        <w:t>抗水板与抗浮构件联合使用时，应将抗浮构件反力作为荷载与水浮力、自重及其它压重材料重量等荷载组合，进行抗水板设计。</w:t>
      </w:r>
    </w:p>
    <w:p w14:paraId="76C8AEE7">
      <w:pPr>
        <w:numPr>
          <w:ilvl w:val="0"/>
          <w:numId w:val="15"/>
        </w:numPr>
        <w:tabs>
          <w:tab w:val="left" w:pos="960"/>
          <w:tab w:val="clear" w:pos="420"/>
        </w:tabs>
        <w:spacing w:line="360" w:lineRule="auto"/>
        <w:ind w:left="714" w:hanging="397"/>
        <w:rPr>
          <w:rFonts w:eastAsiaTheme="minorEastAsia"/>
          <w:sz w:val="24"/>
          <w:szCs w:val="24"/>
        </w:rPr>
      </w:pPr>
      <w:r>
        <w:rPr>
          <w:rFonts w:hint="eastAsia" w:eastAsiaTheme="minorEastAsia"/>
          <w:sz w:val="24"/>
          <w:szCs w:val="24"/>
        </w:rPr>
        <w:t>抗水板垫层下可设置软垫层，软垫层宜符合下列规定：</w:t>
      </w:r>
    </w:p>
    <w:p w14:paraId="0BEADD91">
      <w:pPr>
        <w:numPr>
          <w:ilvl w:val="0"/>
          <w:numId w:val="16"/>
        </w:numPr>
        <w:tabs>
          <w:tab w:val="left" w:pos="960"/>
        </w:tabs>
        <w:spacing w:line="360" w:lineRule="auto"/>
        <w:ind w:firstLine="127"/>
        <w:rPr>
          <w:rFonts w:eastAsiaTheme="minorEastAsia"/>
          <w:sz w:val="24"/>
          <w:szCs w:val="24"/>
        </w:rPr>
      </w:pPr>
      <w:r>
        <w:rPr>
          <w:rFonts w:hint="eastAsia" w:eastAsiaTheme="minorEastAsia"/>
          <w:sz w:val="24"/>
          <w:szCs w:val="24"/>
        </w:rPr>
        <w:t>软垫层厚度不宜小于基础边缘计算沉降量和50mm的较大值；</w:t>
      </w:r>
    </w:p>
    <w:p w14:paraId="4C42B919">
      <w:pPr>
        <w:numPr>
          <w:ilvl w:val="0"/>
          <w:numId w:val="16"/>
        </w:numPr>
        <w:tabs>
          <w:tab w:val="left" w:pos="960"/>
        </w:tabs>
        <w:spacing w:line="360" w:lineRule="auto"/>
        <w:ind w:firstLine="127"/>
        <w:rPr>
          <w:rFonts w:eastAsiaTheme="minorEastAsia"/>
          <w:sz w:val="24"/>
          <w:szCs w:val="24"/>
        </w:rPr>
      </w:pPr>
      <w:r>
        <w:rPr>
          <w:rFonts w:hint="eastAsia" w:eastAsiaTheme="minorEastAsia"/>
          <w:sz w:val="24"/>
          <w:szCs w:val="24"/>
        </w:rPr>
        <w:t>抗水板范围内宜全部设置。</w:t>
      </w:r>
    </w:p>
    <w:p w14:paraId="36C3E17A">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抗水板混凝土强度等级不应低于C30，厚度不应小于250mm，受力钢筋最小配筋率不应小于0.15%。</w:t>
      </w:r>
    </w:p>
    <w:p w14:paraId="13ADE6A8">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抗水板钢筋伸入支承构件的长度应满足锚固要求。</w:t>
      </w:r>
    </w:p>
    <w:p w14:paraId="11766CA3">
      <w:pPr>
        <w:numPr>
          <w:ilvl w:val="2"/>
          <w:numId w:val="2"/>
        </w:numPr>
        <w:spacing w:line="360" w:lineRule="auto"/>
        <w:ind w:left="0" w:firstLine="0"/>
        <w:jc w:val="left"/>
        <w:rPr>
          <w:rFonts w:eastAsiaTheme="minorEastAsia"/>
          <w:sz w:val="24"/>
          <w:szCs w:val="24"/>
        </w:rPr>
      </w:pPr>
      <w:r>
        <w:rPr>
          <w:rFonts w:hint="eastAsia" w:eastAsiaTheme="minorEastAsia"/>
          <w:sz w:val="24"/>
          <w:szCs w:val="24"/>
        </w:rPr>
        <w:t>人防工程底板增设抗浮叠合层时，叠合层与人防底板之间应增设拉结筋可靠拉结。</w:t>
      </w:r>
    </w:p>
    <w:p w14:paraId="07326623">
      <w:pPr>
        <w:rPr>
          <w:rFonts w:eastAsiaTheme="minorEastAsia"/>
          <w:sz w:val="24"/>
          <w:szCs w:val="24"/>
        </w:rPr>
      </w:pPr>
      <w:r>
        <w:rPr>
          <w:rFonts w:eastAsiaTheme="minorEastAsia"/>
          <w:sz w:val="24"/>
          <w:szCs w:val="24"/>
        </w:rPr>
        <w:br w:type="page"/>
      </w:r>
    </w:p>
    <w:p w14:paraId="3384F3AE">
      <w:pPr>
        <w:numPr>
          <w:ilvl w:val="0"/>
          <w:numId w:val="2"/>
        </w:numPr>
        <w:spacing w:line="360" w:lineRule="auto"/>
        <w:jc w:val="center"/>
        <w:outlineLvl w:val="0"/>
        <w:rPr>
          <w:rFonts w:eastAsiaTheme="minorEastAsia"/>
          <w:b/>
          <w:bCs/>
          <w:sz w:val="28"/>
          <w:szCs w:val="28"/>
        </w:rPr>
      </w:pPr>
      <w:bookmarkStart w:id="88" w:name="_Toc32543"/>
      <w:bookmarkStart w:id="89" w:name="_Toc24954"/>
      <w:bookmarkStart w:id="90" w:name="_Toc14685"/>
      <w:bookmarkStart w:id="91" w:name="_Toc2936"/>
      <w:bookmarkStart w:id="92" w:name="_Toc12431"/>
      <w:bookmarkStart w:id="93" w:name="_Toc28602"/>
      <w:r>
        <w:rPr>
          <w:rFonts w:eastAsiaTheme="minorEastAsia"/>
          <w:b/>
          <w:bCs/>
          <w:sz w:val="28"/>
          <w:szCs w:val="28"/>
        </w:rPr>
        <w:t>压重法</w:t>
      </w:r>
      <w:bookmarkEnd w:id="88"/>
      <w:bookmarkEnd w:id="89"/>
      <w:bookmarkEnd w:id="90"/>
      <w:bookmarkEnd w:id="91"/>
      <w:bookmarkEnd w:id="92"/>
      <w:bookmarkEnd w:id="93"/>
    </w:p>
    <w:p w14:paraId="0E851F13">
      <w:pPr>
        <w:numPr>
          <w:ilvl w:val="1"/>
          <w:numId w:val="2"/>
        </w:numPr>
        <w:spacing w:line="360" w:lineRule="auto"/>
        <w:ind w:left="0" w:firstLine="0"/>
        <w:jc w:val="center"/>
        <w:outlineLvl w:val="1"/>
        <w:rPr>
          <w:rFonts w:eastAsiaTheme="minorEastAsia"/>
          <w:b/>
          <w:bCs/>
          <w:sz w:val="24"/>
          <w:szCs w:val="24"/>
        </w:rPr>
      </w:pPr>
      <w:bookmarkStart w:id="94" w:name="_Toc31753"/>
      <w:bookmarkStart w:id="95" w:name="_Toc9409"/>
      <w:bookmarkStart w:id="96" w:name="_Toc18189"/>
      <w:bookmarkStart w:id="97" w:name="_Toc13811"/>
      <w:bookmarkStart w:id="98" w:name="_Toc2660"/>
      <w:bookmarkStart w:id="99" w:name="_Toc6689"/>
      <w:r>
        <w:rPr>
          <w:rFonts w:hint="eastAsia" w:eastAsiaTheme="minorEastAsia"/>
          <w:b/>
          <w:bCs/>
          <w:sz w:val="24"/>
          <w:szCs w:val="24"/>
        </w:rPr>
        <w:t>一般规定</w:t>
      </w:r>
      <w:bookmarkEnd w:id="94"/>
      <w:bookmarkEnd w:id="95"/>
      <w:bookmarkEnd w:id="96"/>
      <w:bookmarkEnd w:id="97"/>
      <w:bookmarkEnd w:id="98"/>
      <w:bookmarkEnd w:id="99"/>
    </w:p>
    <w:p w14:paraId="2405CC9C">
      <w:pPr>
        <w:numPr>
          <w:ilvl w:val="2"/>
          <w:numId w:val="2"/>
        </w:numPr>
        <w:spacing w:line="360" w:lineRule="auto"/>
        <w:ind w:left="0" w:firstLine="0"/>
        <w:jc w:val="left"/>
        <w:rPr>
          <w:rFonts w:eastAsiaTheme="minorEastAsia"/>
          <w:sz w:val="24"/>
          <w:szCs w:val="24"/>
        </w:rPr>
      </w:pPr>
      <w:r>
        <w:rPr>
          <w:rFonts w:hint="eastAsia" w:eastAsiaTheme="minorEastAsia"/>
          <w:sz w:val="24"/>
          <w:szCs w:val="24"/>
        </w:rPr>
        <w:t>压重抗浮法分为全部区域压重抗浮、局部区域压重抗浮、分区域采用压重和其他方式抗浮以及整体上压重与其他方式联合抗浮等。</w:t>
      </w:r>
    </w:p>
    <w:p w14:paraId="0D8732B3">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w:t>
      </w:r>
      <w:r>
        <w:rPr>
          <w:rFonts w:eastAsiaTheme="minorEastAsia"/>
          <w:sz w:val="24"/>
          <w:szCs w:val="24"/>
        </w:rPr>
        <w:t>压重荷载</w:t>
      </w:r>
      <w:r>
        <w:rPr>
          <w:rFonts w:hint="eastAsia" w:eastAsiaTheme="minorEastAsia"/>
          <w:sz w:val="24"/>
          <w:szCs w:val="24"/>
        </w:rPr>
        <w:t>，</w:t>
      </w:r>
      <w:r>
        <w:rPr>
          <w:rFonts w:eastAsiaTheme="minorEastAsia"/>
          <w:sz w:val="24"/>
          <w:szCs w:val="24"/>
        </w:rPr>
        <w:t>包括</w:t>
      </w:r>
      <w:r>
        <w:rPr>
          <w:rFonts w:hint="eastAsia" w:eastAsiaTheme="minorEastAsia"/>
          <w:sz w:val="24"/>
          <w:szCs w:val="24"/>
        </w:rPr>
        <w:t>基础底板上</w:t>
      </w:r>
      <w:r>
        <w:rPr>
          <w:rFonts w:eastAsiaTheme="minorEastAsia"/>
          <w:sz w:val="24"/>
          <w:szCs w:val="24"/>
        </w:rPr>
        <w:t>、结构</w:t>
      </w:r>
      <w:r>
        <w:rPr>
          <w:rFonts w:hint="eastAsia" w:eastAsiaTheme="minorEastAsia"/>
          <w:sz w:val="24"/>
          <w:szCs w:val="24"/>
        </w:rPr>
        <w:t>顶板</w:t>
      </w:r>
      <w:r>
        <w:rPr>
          <w:rFonts w:eastAsiaTheme="minorEastAsia"/>
          <w:sz w:val="24"/>
          <w:szCs w:val="24"/>
        </w:rPr>
        <w:t>上</w:t>
      </w:r>
      <w:r>
        <w:rPr>
          <w:rFonts w:hint="eastAsia" w:eastAsiaTheme="minorEastAsia"/>
          <w:sz w:val="24"/>
          <w:szCs w:val="24"/>
        </w:rPr>
        <w:t>及外挑结构上的填筑材料</w:t>
      </w:r>
      <w:r>
        <w:rPr>
          <w:rFonts w:eastAsiaTheme="minorEastAsia"/>
          <w:sz w:val="24"/>
          <w:szCs w:val="24"/>
        </w:rPr>
        <w:t>自重等。</w:t>
      </w:r>
    </w:p>
    <w:p w14:paraId="16B0AF15">
      <w:pPr>
        <w:numPr>
          <w:ilvl w:val="2"/>
          <w:numId w:val="2"/>
        </w:numPr>
        <w:spacing w:line="360" w:lineRule="auto"/>
        <w:ind w:left="0" w:firstLine="0"/>
        <w:jc w:val="left"/>
        <w:rPr>
          <w:rFonts w:eastAsiaTheme="minorEastAsia"/>
          <w:sz w:val="24"/>
          <w:szCs w:val="24"/>
        </w:rPr>
      </w:pPr>
      <w:r>
        <w:rPr>
          <w:rFonts w:hint="eastAsia" w:eastAsia="宋体" w:cs="宋体"/>
          <w:sz w:val="24"/>
          <w:szCs w:val="24"/>
        </w:rPr>
        <w:t>压重材料应具有稳定性，以及与结构设计年限相匹配的耐久性。</w:t>
      </w:r>
    </w:p>
    <w:p w14:paraId="133978FF">
      <w:pPr>
        <w:numPr>
          <w:ilvl w:val="2"/>
          <w:numId w:val="2"/>
        </w:numPr>
        <w:spacing w:line="360" w:lineRule="auto"/>
        <w:ind w:left="0" w:firstLine="0"/>
        <w:jc w:val="left"/>
        <w:rPr>
          <w:rFonts w:eastAsiaTheme="minorEastAsia"/>
          <w:sz w:val="24"/>
          <w:szCs w:val="24"/>
        </w:rPr>
      </w:pPr>
      <w:r>
        <w:rPr>
          <w:rFonts w:hint="eastAsia" w:eastAsiaTheme="minorEastAsia"/>
          <w:sz w:val="24"/>
          <w:szCs w:val="24"/>
        </w:rPr>
        <w:t>压重材料应均匀布置，避免局部集中堆放造成结构受力不均，引发局部应力集中或变形开裂。</w:t>
      </w:r>
    </w:p>
    <w:p w14:paraId="1EE3833D">
      <w:pPr>
        <w:numPr>
          <w:ilvl w:val="2"/>
          <w:numId w:val="2"/>
        </w:numPr>
        <w:spacing w:line="360" w:lineRule="auto"/>
        <w:ind w:left="0" w:firstLine="0"/>
        <w:jc w:val="left"/>
        <w:rPr>
          <w:rFonts w:eastAsiaTheme="minorEastAsia"/>
          <w:sz w:val="24"/>
          <w:szCs w:val="24"/>
        </w:rPr>
      </w:pPr>
      <w:r>
        <w:rPr>
          <w:rFonts w:hint="eastAsia" w:eastAsiaTheme="minorEastAsia"/>
          <w:sz w:val="24"/>
          <w:szCs w:val="24"/>
        </w:rPr>
        <w:t>采用压重抗浮法时建筑结构应满足结构构件承载控制要求、地基承载力控制要求，以及总沉降及差异沉降变形控制要求。</w:t>
      </w:r>
    </w:p>
    <w:p w14:paraId="192E8245">
      <w:pPr>
        <w:numPr>
          <w:ilvl w:val="2"/>
          <w:numId w:val="2"/>
        </w:numPr>
        <w:spacing w:line="360" w:lineRule="auto"/>
        <w:ind w:left="0" w:firstLine="0"/>
        <w:jc w:val="left"/>
        <w:rPr>
          <w:rFonts w:eastAsiaTheme="minorEastAsia"/>
          <w:sz w:val="24"/>
          <w:szCs w:val="24"/>
        </w:rPr>
      </w:pPr>
      <w:r>
        <w:rPr>
          <w:rFonts w:hint="eastAsia" w:eastAsiaTheme="minorEastAsia"/>
          <w:sz w:val="24"/>
          <w:szCs w:val="24"/>
        </w:rPr>
        <w:t>针对压重填筑材料，应明确建筑物使用期间维护要求。</w:t>
      </w:r>
    </w:p>
    <w:p w14:paraId="28485301">
      <w:pPr>
        <w:numPr>
          <w:ilvl w:val="2"/>
          <w:numId w:val="2"/>
        </w:numPr>
        <w:spacing w:line="360" w:lineRule="auto"/>
        <w:ind w:left="0" w:firstLine="0"/>
        <w:jc w:val="left"/>
        <w:rPr>
          <w:rFonts w:eastAsiaTheme="minorEastAsia"/>
          <w:sz w:val="24"/>
          <w:szCs w:val="24"/>
        </w:rPr>
      </w:pPr>
      <w:r>
        <w:rPr>
          <w:rFonts w:hint="eastAsia" w:eastAsiaTheme="minorEastAsia"/>
          <w:sz w:val="24"/>
          <w:szCs w:val="24"/>
        </w:rPr>
        <w:t>人防工程顶板覆土厚度应同时满足人防工程最小防护厚度等相关要求。</w:t>
      </w:r>
    </w:p>
    <w:p w14:paraId="79A52134">
      <w:pPr>
        <w:numPr>
          <w:ilvl w:val="1"/>
          <w:numId w:val="2"/>
        </w:numPr>
        <w:spacing w:line="360" w:lineRule="auto"/>
        <w:ind w:left="0" w:firstLine="0"/>
        <w:jc w:val="center"/>
        <w:outlineLvl w:val="1"/>
        <w:rPr>
          <w:rFonts w:eastAsiaTheme="minorEastAsia"/>
          <w:b/>
          <w:bCs/>
          <w:sz w:val="24"/>
          <w:szCs w:val="24"/>
        </w:rPr>
      </w:pPr>
      <w:bookmarkStart w:id="100" w:name="_Toc2154"/>
      <w:r>
        <w:rPr>
          <w:rFonts w:eastAsiaTheme="minorEastAsia"/>
          <w:b/>
          <w:bCs/>
          <w:sz w:val="24"/>
          <w:szCs w:val="24"/>
        </w:rPr>
        <w:t>设计</w:t>
      </w:r>
      <w:bookmarkEnd w:id="100"/>
    </w:p>
    <w:p w14:paraId="4EF7D1E8">
      <w:pPr>
        <w:numPr>
          <w:ilvl w:val="2"/>
          <w:numId w:val="2"/>
        </w:numPr>
        <w:spacing w:line="360" w:lineRule="auto"/>
        <w:ind w:left="0" w:firstLine="0"/>
        <w:jc w:val="left"/>
        <w:rPr>
          <w:rFonts w:eastAsiaTheme="minorEastAsia"/>
          <w:sz w:val="24"/>
          <w:szCs w:val="24"/>
        </w:rPr>
      </w:pPr>
      <w:r>
        <w:rPr>
          <w:rFonts w:hint="eastAsia" w:eastAsiaTheme="minorEastAsia"/>
          <w:sz w:val="24"/>
          <w:szCs w:val="24"/>
        </w:rPr>
        <w:t>压重抗浮法设计应包括下列内容：</w:t>
      </w:r>
    </w:p>
    <w:p w14:paraId="143CA19A">
      <w:pPr>
        <w:numPr>
          <w:ilvl w:val="255"/>
          <w:numId w:val="0"/>
        </w:numPr>
        <w:spacing w:line="360" w:lineRule="auto"/>
        <w:ind w:firstLine="240" w:firstLineChars="100"/>
        <w:jc w:val="left"/>
        <w:rPr>
          <w:rFonts w:eastAsiaTheme="minorEastAsia"/>
          <w:sz w:val="24"/>
          <w:szCs w:val="24"/>
        </w:rPr>
      </w:pPr>
      <w:r>
        <w:rPr>
          <w:rFonts w:hint="eastAsia" w:eastAsiaTheme="minorEastAsia"/>
          <w:sz w:val="24"/>
          <w:szCs w:val="24"/>
        </w:rPr>
        <w:t>1 工程抗浮设计等级和抗浮安全系数确定；</w:t>
      </w:r>
    </w:p>
    <w:p w14:paraId="75104F22">
      <w:pPr>
        <w:numPr>
          <w:ilvl w:val="255"/>
          <w:numId w:val="0"/>
        </w:numPr>
        <w:spacing w:line="360" w:lineRule="auto"/>
        <w:ind w:firstLine="240" w:firstLineChars="100"/>
        <w:jc w:val="left"/>
        <w:rPr>
          <w:rFonts w:eastAsiaTheme="minorEastAsia"/>
          <w:sz w:val="24"/>
          <w:szCs w:val="24"/>
        </w:rPr>
      </w:pPr>
      <w:r>
        <w:rPr>
          <w:rFonts w:hint="eastAsia" w:eastAsiaTheme="minorEastAsia"/>
          <w:sz w:val="24"/>
          <w:szCs w:val="24"/>
        </w:rPr>
        <w:t>2 使用期间抗浮稳定性验算和分析；</w:t>
      </w:r>
    </w:p>
    <w:p w14:paraId="0DB8C26B">
      <w:pPr>
        <w:numPr>
          <w:ilvl w:val="255"/>
          <w:numId w:val="0"/>
        </w:numPr>
        <w:spacing w:line="360" w:lineRule="auto"/>
        <w:ind w:firstLine="240" w:firstLineChars="100"/>
        <w:jc w:val="left"/>
        <w:rPr>
          <w:rFonts w:eastAsiaTheme="minorEastAsia"/>
          <w:sz w:val="24"/>
          <w:szCs w:val="24"/>
        </w:rPr>
      </w:pPr>
      <w:r>
        <w:rPr>
          <w:rFonts w:hint="eastAsia" w:eastAsiaTheme="minorEastAsia"/>
          <w:sz w:val="24"/>
          <w:szCs w:val="24"/>
        </w:rPr>
        <w:t>3 抗浮结构及构件布置、承载力和沉降变形计算及其控制标准；</w:t>
      </w:r>
    </w:p>
    <w:p w14:paraId="0407281D">
      <w:pPr>
        <w:numPr>
          <w:ilvl w:val="255"/>
          <w:numId w:val="0"/>
        </w:numPr>
        <w:spacing w:line="360" w:lineRule="auto"/>
        <w:ind w:firstLine="240" w:firstLineChars="100"/>
        <w:jc w:val="left"/>
        <w:rPr>
          <w:rFonts w:eastAsiaTheme="minorEastAsia"/>
          <w:sz w:val="24"/>
          <w:szCs w:val="24"/>
        </w:rPr>
      </w:pPr>
      <w:r>
        <w:rPr>
          <w:rFonts w:hint="eastAsia" w:eastAsiaTheme="minorEastAsia"/>
          <w:sz w:val="24"/>
          <w:szCs w:val="24"/>
        </w:rPr>
        <w:t>4 构件、压重材料的选用及其技术指标、质量控制要求；</w:t>
      </w:r>
    </w:p>
    <w:p w14:paraId="219A9E94">
      <w:pPr>
        <w:numPr>
          <w:ilvl w:val="255"/>
          <w:numId w:val="0"/>
        </w:numPr>
        <w:spacing w:line="360" w:lineRule="auto"/>
        <w:ind w:firstLine="240" w:firstLineChars="100"/>
        <w:jc w:val="left"/>
        <w:rPr>
          <w:rFonts w:eastAsiaTheme="minorEastAsia"/>
          <w:sz w:val="24"/>
          <w:szCs w:val="24"/>
        </w:rPr>
      </w:pPr>
      <w:r>
        <w:rPr>
          <w:rFonts w:hint="eastAsia" w:eastAsiaTheme="minorEastAsia"/>
          <w:sz w:val="24"/>
          <w:szCs w:val="24"/>
        </w:rPr>
        <w:t>5 检测、监测及维护要求。</w:t>
      </w:r>
    </w:p>
    <w:p w14:paraId="43C25687">
      <w:pPr>
        <w:numPr>
          <w:ilvl w:val="2"/>
          <w:numId w:val="2"/>
        </w:numPr>
        <w:spacing w:line="360" w:lineRule="auto"/>
        <w:ind w:left="0" w:firstLine="0"/>
        <w:jc w:val="left"/>
        <w:rPr>
          <w:rFonts w:eastAsiaTheme="minorEastAsia"/>
          <w:sz w:val="24"/>
          <w:szCs w:val="24"/>
        </w:rPr>
      </w:pPr>
      <w:r>
        <w:rPr>
          <w:rFonts w:hint="eastAsia" w:eastAsiaTheme="minorEastAsia"/>
          <w:sz w:val="24"/>
          <w:szCs w:val="24"/>
        </w:rPr>
        <w:t>压重抗浮法构件设计应符合下列规定：</w:t>
      </w:r>
    </w:p>
    <w:p w14:paraId="117E4CD1">
      <w:pPr>
        <w:numPr>
          <w:ilvl w:val="255"/>
          <w:numId w:val="0"/>
        </w:numPr>
        <w:spacing w:line="360" w:lineRule="auto"/>
        <w:ind w:firstLine="638" w:firstLineChars="266"/>
        <w:jc w:val="left"/>
        <w:rPr>
          <w:rFonts w:eastAsiaTheme="minorEastAsia"/>
          <w:sz w:val="24"/>
          <w:szCs w:val="24"/>
        </w:rPr>
      </w:pPr>
      <w:r>
        <w:rPr>
          <w:rFonts w:hint="eastAsia" w:eastAsiaTheme="minorEastAsia"/>
          <w:sz w:val="24"/>
          <w:szCs w:val="24"/>
        </w:rPr>
        <w:t>1 压重荷载大小和位置应通过抗浮稳定性验算确定；</w:t>
      </w:r>
    </w:p>
    <w:p w14:paraId="3555A440">
      <w:pPr>
        <w:numPr>
          <w:ilvl w:val="255"/>
          <w:numId w:val="0"/>
        </w:numPr>
        <w:spacing w:line="360" w:lineRule="auto"/>
        <w:ind w:firstLine="638" w:firstLineChars="266"/>
        <w:jc w:val="left"/>
        <w:rPr>
          <w:rFonts w:eastAsiaTheme="minorEastAsia"/>
          <w:sz w:val="24"/>
          <w:szCs w:val="24"/>
        </w:rPr>
      </w:pPr>
      <w:r>
        <w:rPr>
          <w:rFonts w:hint="eastAsia" w:eastAsiaTheme="minorEastAsia"/>
          <w:sz w:val="24"/>
          <w:szCs w:val="24"/>
        </w:rPr>
        <w:t>2 室内压重体不应影响建筑的使用功能，并兼顾后续改造的可能；</w:t>
      </w:r>
    </w:p>
    <w:p w14:paraId="318AF92D">
      <w:pPr>
        <w:numPr>
          <w:ilvl w:val="255"/>
          <w:numId w:val="0"/>
        </w:numPr>
        <w:spacing w:line="360" w:lineRule="auto"/>
        <w:ind w:firstLine="638" w:firstLineChars="266"/>
        <w:jc w:val="left"/>
        <w:rPr>
          <w:rFonts w:eastAsiaTheme="minorEastAsia"/>
          <w:sz w:val="24"/>
          <w:szCs w:val="24"/>
        </w:rPr>
      </w:pPr>
      <w:r>
        <w:rPr>
          <w:rFonts w:hint="eastAsia" w:eastAsiaTheme="minorEastAsia"/>
          <w:sz w:val="24"/>
          <w:szCs w:val="24"/>
        </w:rPr>
        <w:t>3 采用结构或构件压重、结构底板外挑</w:t>
      </w:r>
      <w:r>
        <w:rPr>
          <w:rFonts w:eastAsiaTheme="minorEastAsia"/>
          <w:sz w:val="24"/>
          <w:szCs w:val="24"/>
        </w:rPr>
        <w:t>增重</w:t>
      </w:r>
      <w:r>
        <w:rPr>
          <w:rFonts w:hint="eastAsia" w:eastAsiaTheme="minorEastAsia"/>
          <w:sz w:val="24"/>
          <w:szCs w:val="24"/>
        </w:rPr>
        <w:t>时，结构或构件应满足结构设计的强度、刚度及变形控制要求。</w:t>
      </w:r>
    </w:p>
    <w:p w14:paraId="3B860997">
      <w:pPr>
        <w:numPr>
          <w:ilvl w:val="2"/>
          <w:numId w:val="2"/>
        </w:numPr>
        <w:spacing w:line="360" w:lineRule="auto"/>
        <w:ind w:left="0" w:firstLine="0"/>
        <w:jc w:val="left"/>
        <w:rPr>
          <w:rFonts w:eastAsia="宋体" w:cs="宋体"/>
          <w:sz w:val="24"/>
          <w:szCs w:val="24"/>
        </w:rPr>
      </w:pPr>
      <w:r>
        <w:rPr>
          <w:rFonts w:hint="eastAsia" w:eastAsia="宋体" w:cs="宋体"/>
          <w:sz w:val="24"/>
          <w:szCs w:val="24"/>
        </w:rPr>
        <w:t>填筑材料应符合下列规定：</w:t>
      </w:r>
    </w:p>
    <w:p w14:paraId="202AC252">
      <w:pPr>
        <w:numPr>
          <w:ilvl w:val="0"/>
          <w:numId w:val="17"/>
        </w:numPr>
        <w:tabs>
          <w:tab w:val="clear" w:pos="420"/>
        </w:tabs>
        <w:spacing w:line="360" w:lineRule="auto"/>
        <w:ind w:left="5" w:firstLine="315"/>
        <w:jc w:val="left"/>
        <w:rPr>
          <w:rFonts w:eastAsia="宋体" w:cs="宋体"/>
          <w:sz w:val="24"/>
          <w:szCs w:val="24"/>
        </w:rPr>
      </w:pPr>
      <w:r>
        <w:rPr>
          <w:rFonts w:hint="eastAsia" w:eastAsia="宋体" w:cs="宋体"/>
          <w:sz w:val="24"/>
          <w:szCs w:val="24"/>
        </w:rPr>
        <w:t>可结合当地材料供应条件选用土、砂石、普通混凝土或重型混凝土材料以及工业废料、再生料等。</w:t>
      </w:r>
    </w:p>
    <w:p w14:paraId="236D7CD0">
      <w:pPr>
        <w:numPr>
          <w:ilvl w:val="0"/>
          <w:numId w:val="17"/>
        </w:numPr>
        <w:tabs>
          <w:tab w:val="clear" w:pos="420"/>
        </w:tabs>
        <w:spacing w:line="360" w:lineRule="auto"/>
        <w:ind w:left="5" w:firstLine="315"/>
        <w:jc w:val="left"/>
        <w:rPr>
          <w:rFonts w:eastAsiaTheme="minorEastAsia"/>
          <w:sz w:val="24"/>
          <w:szCs w:val="24"/>
        </w:rPr>
      </w:pPr>
      <w:r>
        <w:rPr>
          <w:rFonts w:hint="eastAsia" w:eastAsia="宋体" w:cs="宋体"/>
          <w:sz w:val="24"/>
          <w:szCs w:val="24"/>
        </w:rPr>
        <w:t>工业废料、再生料的</w:t>
      </w:r>
      <w:r>
        <w:rPr>
          <w:rFonts w:hint="eastAsia" w:eastAsiaTheme="minorEastAsia"/>
          <w:sz w:val="24"/>
          <w:szCs w:val="24"/>
        </w:rPr>
        <w:t>放射性应符合表6.2.3-1的规定。</w:t>
      </w:r>
    </w:p>
    <w:p w14:paraId="3A59F3CE">
      <w:pPr>
        <w:numPr>
          <w:ilvl w:val="255"/>
          <w:numId w:val="0"/>
        </w:numPr>
        <w:spacing w:line="360" w:lineRule="auto"/>
        <w:jc w:val="center"/>
        <w:rPr>
          <w:rFonts w:eastAsia="楷体"/>
          <w:sz w:val="22"/>
          <w:szCs w:val="22"/>
        </w:rPr>
      </w:pPr>
      <w:r>
        <w:rPr>
          <w:rFonts w:hint="eastAsia" w:eastAsia="楷体"/>
          <w:sz w:val="22"/>
          <w:szCs w:val="22"/>
        </w:rPr>
        <w:t>表6.2.3-1 工程回填用材料的放射性限量</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6CAD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27EB012D">
            <w:pPr>
              <w:spacing w:line="360" w:lineRule="auto"/>
              <w:jc w:val="center"/>
              <w:rPr>
                <w:rFonts w:eastAsiaTheme="minorEastAsia"/>
                <w:sz w:val="20"/>
              </w:rPr>
            </w:pPr>
            <w:r>
              <w:rPr>
                <w:rFonts w:hint="eastAsia" w:eastAsiaTheme="minorEastAsia"/>
                <w:sz w:val="20"/>
              </w:rPr>
              <w:t>测定项目</w:t>
            </w:r>
          </w:p>
        </w:tc>
        <w:tc>
          <w:tcPr>
            <w:tcW w:w="4148" w:type="dxa"/>
          </w:tcPr>
          <w:p w14:paraId="7D98DEEE">
            <w:pPr>
              <w:spacing w:line="360" w:lineRule="auto"/>
              <w:jc w:val="center"/>
              <w:rPr>
                <w:rFonts w:eastAsiaTheme="minorEastAsia"/>
                <w:sz w:val="20"/>
              </w:rPr>
            </w:pPr>
            <w:r>
              <w:rPr>
                <w:rFonts w:hint="eastAsia" w:eastAsiaTheme="minorEastAsia"/>
                <w:sz w:val="20"/>
              </w:rPr>
              <w:t>限量</w:t>
            </w:r>
          </w:p>
        </w:tc>
      </w:tr>
      <w:tr w14:paraId="308A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4F10A61C">
            <w:pPr>
              <w:spacing w:line="360" w:lineRule="auto"/>
              <w:jc w:val="center"/>
              <w:rPr>
                <w:rFonts w:eastAsiaTheme="minorEastAsia"/>
                <w:sz w:val="20"/>
              </w:rPr>
            </w:pPr>
            <w:r>
              <w:rPr>
                <w:rFonts w:hint="eastAsia" w:eastAsiaTheme="minorEastAsia"/>
                <w:sz w:val="20"/>
              </w:rPr>
              <w:t>内照射指数（</w:t>
            </w:r>
            <w:r>
              <w:rPr>
                <w:rFonts w:hint="eastAsia" w:eastAsiaTheme="minorEastAsia"/>
                <w:i/>
                <w:iCs/>
                <w:sz w:val="20"/>
              </w:rPr>
              <w:t>I</w:t>
            </w:r>
            <w:r>
              <w:rPr>
                <w:rFonts w:hint="eastAsia" w:eastAsiaTheme="minorEastAsia"/>
                <w:sz w:val="20"/>
                <w:vertAlign w:val="subscript"/>
              </w:rPr>
              <w:t>Ra</w:t>
            </w:r>
            <w:r>
              <w:rPr>
                <w:rFonts w:hint="eastAsia" w:eastAsiaTheme="minorEastAsia"/>
                <w:sz w:val="20"/>
              </w:rPr>
              <w:t>）</w:t>
            </w:r>
          </w:p>
        </w:tc>
        <w:tc>
          <w:tcPr>
            <w:tcW w:w="4148" w:type="dxa"/>
          </w:tcPr>
          <w:p w14:paraId="4CC15943">
            <w:pPr>
              <w:spacing w:line="360" w:lineRule="auto"/>
              <w:jc w:val="center"/>
              <w:rPr>
                <w:rFonts w:eastAsiaTheme="minorEastAsia"/>
                <w:sz w:val="20"/>
              </w:rPr>
            </w:pPr>
            <w:r>
              <w:rPr>
                <w:rFonts w:hint="eastAsia" w:eastAsiaTheme="minorEastAsia"/>
                <w:sz w:val="20"/>
              </w:rPr>
              <w:t>≤1.0</w:t>
            </w:r>
          </w:p>
        </w:tc>
      </w:tr>
      <w:tr w14:paraId="5CFD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4148" w:type="dxa"/>
          </w:tcPr>
          <w:p w14:paraId="41954D53">
            <w:pPr>
              <w:spacing w:line="360" w:lineRule="auto"/>
              <w:jc w:val="center"/>
              <w:rPr>
                <w:rFonts w:eastAsiaTheme="minorEastAsia"/>
                <w:sz w:val="20"/>
              </w:rPr>
            </w:pPr>
            <w:r>
              <w:rPr>
                <w:rFonts w:hint="eastAsia" w:eastAsiaTheme="minorEastAsia"/>
                <w:sz w:val="20"/>
              </w:rPr>
              <w:t>外照射指数（</w:t>
            </w:r>
            <w:r>
              <w:rPr>
                <w:rFonts w:hint="eastAsia" w:eastAsiaTheme="minorEastAsia"/>
                <w:i/>
                <w:iCs/>
                <w:sz w:val="20"/>
              </w:rPr>
              <w:t>I</w:t>
            </w:r>
            <w:r>
              <w:rPr>
                <w:rFonts w:hint="eastAsia" w:eastAsiaTheme="minorEastAsia"/>
                <w:sz w:val="24"/>
                <w:szCs w:val="24"/>
                <w:vertAlign w:val="subscript"/>
              </w:rPr>
              <w:t>γ</w:t>
            </w:r>
            <w:r>
              <w:rPr>
                <w:rFonts w:hint="eastAsia" w:eastAsiaTheme="minorEastAsia"/>
                <w:sz w:val="20"/>
              </w:rPr>
              <w:t>）</w:t>
            </w:r>
          </w:p>
        </w:tc>
        <w:tc>
          <w:tcPr>
            <w:tcW w:w="4148" w:type="dxa"/>
          </w:tcPr>
          <w:p w14:paraId="17C433A2">
            <w:pPr>
              <w:spacing w:line="360" w:lineRule="auto"/>
              <w:jc w:val="center"/>
              <w:rPr>
                <w:rFonts w:eastAsiaTheme="minorEastAsia"/>
                <w:sz w:val="20"/>
              </w:rPr>
            </w:pPr>
            <w:r>
              <w:rPr>
                <w:rFonts w:hint="eastAsia" w:eastAsiaTheme="minorEastAsia"/>
                <w:sz w:val="20"/>
              </w:rPr>
              <w:t>≤1.0</w:t>
            </w:r>
          </w:p>
        </w:tc>
      </w:tr>
    </w:tbl>
    <w:p w14:paraId="0781E0B9">
      <w:pPr>
        <w:numPr>
          <w:ilvl w:val="0"/>
          <w:numId w:val="17"/>
        </w:numPr>
        <w:tabs>
          <w:tab w:val="clear" w:pos="420"/>
        </w:tabs>
        <w:spacing w:line="360" w:lineRule="auto"/>
        <w:ind w:left="5" w:firstLine="315"/>
        <w:jc w:val="left"/>
        <w:rPr>
          <w:rFonts w:eastAsiaTheme="minorEastAsia"/>
          <w:sz w:val="24"/>
          <w:szCs w:val="24"/>
        </w:rPr>
      </w:pPr>
      <w:r>
        <w:rPr>
          <w:rFonts w:hint="eastAsia" w:eastAsia="宋体" w:cs="宋体"/>
          <w:sz w:val="24"/>
          <w:szCs w:val="24"/>
        </w:rPr>
        <w:t>工业废料、再生料的</w:t>
      </w:r>
      <w:r>
        <w:rPr>
          <w:rFonts w:hint="eastAsia" w:eastAsiaTheme="minorEastAsia"/>
          <w:sz w:val="24"/>
          <w:szCs w:val="24"/>
        </w:rPr>
        <w:t>重金属浸出毒性应符合表6.2.3-2的规定。</w:t>
      </w:r>
    </w:p>
    <w:p w14:paraId="1C96C0FF">
      <w:pPr>
        <w:numPr>
          <w:ilvl w:val="255"/>
          <w:numId w:val="0"/>
        </w:numPr>
        <w:spacing w:line="360" w:lineRule="auto"/>
        <w:jc w:val="center"/>
        <w:rPr>
          <w:rFonts w:eastAsia="楷体"/>
          <w:sz w:val="22"/>
          <w:szCs w:val="22"/>
        </w:rPr>
      </w:pPr>
      <w:r>
        <w:rPr>
          <w:rFonts w:hint="eastAsia" w:eastAsia="楷体"/>
          <w:sz w:val="22"/>
          <w:szCs w:val="22"/>
        </w:rPr>
        <w:t>表6.2.3-2 浸出毒性鉴别标准值</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1AC4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5E76BB6B">
            <w:pPr>
              <w:spacing w:line="360" w:lineRule="auto"/>
              <w:jc w:val="center"/>
              <w:rPr>
                <w:rFonts w:eastAsiaTheme="minorEastAsia"/>
                <w:sz w:val="20"/>
              </w:rPr>
            </w:pPr>
            <w:r>
              <w:rPr>
                <w:rFonts w:hint="eastAsia" w:eastAsiaTheme="minorEastAsia"/>
                <w:sz w:val="20"/>
              </w:rPr>
              <w:t>危害成分项目</w:t>
            </w:r>
          </w:p>
        </w:tc>
        <w:tc>
          <w:tcPr>
            <w:tcW w:w="4153" w:type="dxa"/>
          </w:tcPr>
          <w:p w14:paraId="0C00EE56">
            <w:pPr>
              <w:spacing w:line="360" w:lineRule="auto"/>
              <w:jc w:val="center"/>
              <w:rPr>
                <w:rFonts w:eastAsiaTheme="minorEastAsia"/>
                <w:sz w:val="20"/>
              </w:rPr>
            </w:pPr>
            <w:r>
              <w:rPr>
                <w:rFonts w:hint="eastAsia" w:eastAsiaTheme="minorEastAsia"/>
                <w:sz w:val="20"/>
              </w:rPr>
              <w:t>浸出液中危害成分浓度限制(mg/L)</w:t>
            </w:r>
          </w:p>
        </w:tc>
      </w:tr>
      <w:tr w14:paraId="4721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53" w:type="dxa"/>
          </w:tcPr>
          <w:p w14:paraId="6F289501">
            <w:pPr>
              <w:spacing w:line="360" w:lineRule="auto"/>
              <w:jc w:val="center"/>
              <w:rPr>
                <w:rFonts w:eastAsiaTheme="minorEastAsia"/>
                <w:sz w:val="20"/>
              </w:rPr>
            </w:pPr>
            <w:r>
              <w:rPr>
                <w:rFonts w:hint="eastAsia" w:eastAsiaTheme="minorEastAsia"/>
                <w:sz w:val="20"/>
              </w:rPr>
              <w:t>铜（以总铜计）</w:t>
            </w:r>
          </w:p>
        </w:tc>
        <w:tc>
          <w:tcPr>
            <w:tcW w:w="4153" w:type="dxa"/>
          </w:tcPr>
          <w:p w14:paraId="02E9319E">
            <w:pPr>
              <w:spacing w:line="360" w:lineRule="auto"/>
              <w:jc w:val="center"/>
              <w:rPr>
                <w:rFonts w:eastAsiaTheme="minorEastAsia"/>
                <w:sz w:val="20"/>
              </w:rPr>
            </w:pPr>
            <w:r>
              <w:rPr>
                <w:rFonts w:hint="eastAsia" w:eastAsiaTheme="minorEastAsia"/>
                <w:sz w:val="20"/>
              </w:rPr>
              <w:t>100</w:t>
            </w:r>
          </w:p>
        </w:tc>
      </w:tr>
      <w:tr w14:paraId="2327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5C715880">
            <w:pPr>
              <w:spacing w:line="360" w:lineRule="auto"/>
              <w:jc w:val="center"/>
              <w:rPr>
                <w:rFonts w:eastAsiaTheme="minorEastAsia"/>
                <w:sz w:val="20"/>
              </w:rPr>
            </w:pPr>
            <w:r>
              <w:rPr>
                <w:rFonts w:hint="eastAsia" w:eastAsiaTheme="minorEastAsia"/>
                <w:sz w:val="20"/>
              </w:rPr>
              <w:t>锌（以总锌计）</w:t>
            </w:r>
          </w:p>
        </w:tc>
        <w:tc>
          <w:tcPr>
            <w:tcW w:w="4153" w:type="dxa"/>
          </w:tcPr>
          <w:p w14:paraId="035D08CF">
            <w:pPr>
              <w:spacing w:line="360" w:lineRule="auto"/>
              <w:jc w:val="center"/>
              <w:rPr>
                <w:rFonts w:eastAsiaTheme="minorEastAsia"/>
                <w:sz w:val="20"/>
              </w:rPr>
            </w:pPr>
            <w:r>
              <w:rPr>
                <w:rFonts w:hint="eastAsia" w:eastAsiaTheme="minorEastAsia"/>
                <w:sz w:val="20"/>
              </w:rPr>
              <w:t>100</w:t>
            </w:r>
          </w:p>
        </w:tc>
      </w:tr>
      <w:tr w14:paraId="15C3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4417C9D4">
            <w:pPr>
              <w:spacing w:line="360" w:lineRule="auto"/>
              <w:jc w:val="center"/>
              <w:rPr>
                <w:rFonts w:eastAsiaTheme="minorEastAsia"/>
                <w:sz w:val="20"/>
              </w:rPr>
            </w:pPr>
            <w:r>
              <w:rPr>
                <w:rFonts w:hint="eastAsia" w:eastAsiaTheme="minorEastAsia"/>
                <w:sz w:val="20"/>
              </w:rPr>
              <w:t>镉（以总镉计）</w:t>
            </w:r>
          </w:p>
        </w:tc>
        <w:tc>
          <w:tcPr>
            <w:tcW w:w="4153" w:type="dxa"/>
          </w:tcPr>
          <w:p w14:paraId="5FA69C36">
            <w:pPr>
              <w:spacing w:line="360" w:lineRule="auto"/>
              <w:jc w:val="center"/>
              <w:rPr>
                <w:rFonts w:eastAsiaTheme="minorEastAsia"/>
                <w:sz w:val="20"/>
              </w:rPr>
            </w:pPr>
            <w:r>
              <w:rPr>
                <w:rFonts w:hint="eastAsia" w:eastAsiaTheme="minorEastAsia"/>
                <w:sz w:val="20"/>
              </w:rPr>
              <w:t>1</w:t>
            </w:r>
          </w:p>
        </w:tc>
      </w:tr>
      <w:tr w14:paraId="1017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0DFAB1FB">
            <w:pPr>
              <w:spacing w:line="360" w:lineRule="auto"/>
              <w:jc w:val="center"/>
              <w:rPr>
                <w:rFonts w:eastAsiaTheme="minorEastAsia"/>
                <w:sz w:val="20"/>
              </w:rPr>
            </w:pPr>
            <w:r>
              <w:rPr>
                <w:rFonts w:hint="eastAsia" w:eastAsiaTheme="minorEastAsia"/>
                <w:sz w:val="20"/>
              </w:rPr>
              <w:t>铅（以总铅计）</w:t>
            </w:r>
          </w:p>
        </w:tc>
        <w:tc>
          <w:tcPr>
            <w:tcW w:w="4153" w:type="dxa"/>
          </w:tcPr>
          <w:p w14:paraId="658A9231">
            <w:pPr>
              <w:spacing w:line="360" w:lineRule="auto"/>
              <w:jc w:val="center"/>
              <w:rPr>
                <w:rFonts w:eastAsiaTheme="minorEastAsia"/>
                <w:sz w:val="20"/>
              </w:rPr>
            </w:pPr>
            <w:r>
              <w:rPr>
                <w:rFonts w:hint="eastAsia" w:eastAsiaTheme="minorEastAsia"/>
                <w:sz w:val="20"/>
              </w:rPr>
              <w:t>5</w:t>
            </w:r>
          </w:p>
        </w:tc>
      </w:tr>
      <w:tr w14:paraId="376D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6C11D24B">
            <w:pPr>
              <w:spacing w:line="360" w:lineRule="auto"/>
              <w:jc w:val="center"/>
              <w:rPr>
                <w:rFonts w:eastAsiaTheme="minorEastAsia"/>
                <w:sz w:val="20"/>
              </w:rPr>
            </w:pPr>
            <w:r>
              <w:rPr>
                <w:rFonts w:hint="eastAsia" w:eastAsiaTheme="minorEastAsia"/>
                <w:sz w:val="20"/>
              </w:rPr>
              <w:t>总铬</w:t>
            </w:r>
          </w:p>
        </w:tc>
        <w:tc>
          <w:tcPr>
            <w:tcW w:w="4153" w:type="dxa"/>
          </w:tcPr>
          <w:p w14:paraId="02BD68E2">
            <w:pPr>
              <w:spacing w:line="360" w:lineRule="auto"/>
              <w:jc w:val="center"/>
              <w:rPr>
                <w:rFonts w:eastAsiaTheme="minorEastAsia"/>
                <w:sz w:val="20"/>
              </w:rPr>
            </w:pPr>
            <w:r>
              <w:rPr>
                <w:rFonts w:hint="eastAsia" w:eastAsiaTheme="minorEastAsia"/>
                <w:sz w:val="20"/>
              </w:rPr>
              <w:t>15</w:t>
            </w:r>
          </w:p>
        </w:tc>
      </w:tr>
      <w:tr w14:paraId="04D6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773AE9A5">
            <w:pPr>
              <w:spacing w:line="360" w:lineRule="auto"/>
              <w:jc w:val="center"/>
              <w:rPr>
                <w:rFonts w:eastAsiaTheme="minorEastAsia"/>
                <w:sz w:val="20"/>
              </w:rPr>
            </w:pPr>
            <w:r>
              <w:rPr>
                <w:rFonts w:hint="eastAsia" w:eastAsiaTheme="minorEastAsia"/>
                <w:sz w:val="20"/>
              </w:rPr>
              <w:t>铬（六价）</w:t>
            </w:r>
          </w:p>
        </w:tc>
        <w:tc>
          <w:tcPr>
            <w:tcW w:w="4153" w:type="dxa"/>
          </w:tcPr>
          <w:p w14:paraId="2A226703">
            <w:pPr>
              <w:spacing w:line="360" w:lineRule="auto"/>
              <w:jc w:val="center"/>
              <w:rPr>
                <w:rFonts w:eastAsiaTheme="minorEastAsia"/>
                <w:sz w:val="20"/>
              </w:rPr>
            </w:pPr>
            <w:r>
              <w:rPr>
                <w:rFonts w:hint="eastAsia" w:eastAsiaTheme="minorEastAsia"/>
                <w:sz w:val="20"/>
              </w:rPr>
              <w:t>5</w:t>
            </w:r>
          </w:p>
        </w:tc>
      </w:tr>
      <w:tr w14:paraId="01C4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3B8C0072">
            <w:pPr>
              <w:spacing w:line="360" w:lineRule="auto"/>
              <w:jc w:val="center"/>
              <w:rPr>
                <w:rFonts w:eastAsiaTheme="minorEastAsia"/>
                <w:sz w:val="20"/>
              </w:rPr>
            </w:pPr>
            <w:r>
              <w:rPr>
                <w:rFonts w:hint="eastAsia" w:eastAsiaTheme="minorEastAsia"/>
                <w:sz w:val="20"/>
              </w:rPr>
              <w:t>烷基汞</w:t>
            </w:r>
          </w:p>
        </w:tc>
        <w:tc>
          <w:tcPr>
            <w:tcW w:w="4153" w:type="dxa"/>
          </w:tcPr>
          <w:p w14:paraId="04F9E49E">
            <w:pPr>
              <w:spacing w:line="360" w:lineRule="auto"/>
              <w:jc w:val="center"/>
              <w:rPr>
                <w:rFonts w:eastAsiaTheme="minorEastAsia"/>
                <w:sz w:val="20"/>
              </w:rPr>
            </w:pPr>
            <w:r>
              <w:rPr>
                <w:rFonts w:hint="eastAsia" w:eastAsiaTheme="minorEastAsia"/>
                <w:sz w:val="20"/>
              </w:rPr>
              <w:t>不得检出</w:t>
            </w:r>
          </w:p>
        </w:tc>
      </w:tr>
      <w:tr w14:paraId="330C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5F24A76F">
            <w:pPr>
              <w:spacing w:line="360" w:lineRule="auto"/>
              <w:jc w:val="center"/>
              <w:rPr>
                <w:rFonts w:eastAsiaTheme="minorEastAsia"/>
                <w:sz w:val="20"/>
              </w:rPr>
            </w:pPr>
            <w:r>
              <w:rPr>
                <w:rFonts w:hint="eastAsia" w:eastAsiaTheme="minorEastAsia"/>
                <w:sz w:val="20"/>
              </w:rPr>
              <w:t>汞（以总汞计）</w:t>
            </w:r>
          </w:p>
        </w:tc>
        <w:tc>
          <w:tcPr>
            <w:tcW w:w="4153" w:type="dxa"/>
          </w:tcPr>
          <w:p w14:paraId="1C383315">
            <w:pPr>
              <w:spacing w:line="360" w:lineRule="auto"/>
              <w:jc w:val="center"/>
              <w:rPr>
                <w:rFonts w:eastAsiaTheme="minorEastAsia"/>
                <w:sz w:val="20"/>
              </w:rPr>
            </w:pPr>
            <w:r>
              <w:rPr>
                <w:rFonts w:hint="eastAsia" w:eastAsiaTheme="minorEastAsia"/>
                <w:sz w:val="20"/>
              </w:rPr>
              <w:t>0.1</w:t>
            </w:r>
          </w:p>
        </w:tc>
      </w:tr>
      <w:tr w14:paraId="3E98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7E598BC2">
            <w:pPr>
              <w:spacing w:line="360" w:lineRule="auto"/>
              <w:jc w:val="center"/>
              <w:rPr>
                <w:rFonts w:eastAsiaTheme="minorEastAsia"/>
                <w:sz w:val="20"/>
              </w:rPr>
            </w:pPr>
            <w:r>
              <w:rPr>
                <w:rFonts w:hint="eastAsia" w:eastAsiaTheme="minorEastAsia"/>
                <w:sz w:val="20"/>
              </w:rPr>
              <w:t>铍（以总铍计）</w:t>
            </w:r>
          </w:p>
        </w:tc>
        <w:tc>
          <w:tcPr>
            <w:tcW w:w="4153" w:type="dxa"/>
          </w:tcPr>
          <w:p w14:paraId="4C539C18">
            <w:pPr>
              <w:spacing w:line="360" w:lineRule="auto"/>
              <w:jc w:val="center"/>
              <w:rPr>
                <w:rFonts w:eastAsiaTheme="minorEastAsia"/>
                <w:sz w:val="20"/>
              </w:rPr>
            </w:pPr>
            <w:r>
              <w:rPr>
                <w:rFonts w:hint="eastAsia" w:eastAsiaTheme="minorEastAsia"/>
                <w:sz w:val="20"/>
              </w:rPr>
              <w:t>0.02</w:t>
            </w:r>
          </w:p>
        </w:tc>
      </w:tr>
      <w:tr w14:paraId="0CD8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6D12A308">
            <w:pPr>
              <w:spacing w:line="360" w:lineRule="auto"/>
              <w:jc w:val="center"/>
              <w:rPr>
                <w:rFonts w:eastAsiaTheme="minorEastAsia"/>
                <w:sz w:val="20"/>
              </w:rPr>
            </w:pPr>
            <w:r>
              <w:rPr>
                <w:rFonts w:hint="eastAsia" w:eastAsiaTheme="minorEastAsia"/>
                <w:sz w:val="20"/>
              </w:rPr>
              <w:t>钡（以总钡计）</w:t>
            </w:r>
          </w:p>
        </w:tc>
        <w:tc>
          <w:tcPr>
            <w:tcW w:w="4153" w:type="dxa"/>
          </w:tcPr>
          <w:p w14:paraId="7F0563F6">
            <w:pPr>
              <w:spacing w:line="360" w:lineRule="auto"/>
              <w:jc w:val="center"/>
              <w:rPr>
                <w:rFonts w:eastAsiaTheme="minorEastAsia"/>
                <w:sz w:val="20"/>
              </w:rPr>
            </w:pPr>
            <w:r>
              <w:rPr>
                <w:rFonts w:hint="eastAsia" w:eastAsiaTheme="minorEastAsia"/>
                <w:sz w:val="20"/>
              </w:rPr>
              <w:t>100</w:t>
            </w:r>
          </w:p>
        </w:tc>
      </w:tr>
      <w:tr w14:paraId="44FE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74C47DC4">
            <w:pPr>
              <w:spacing w:line="360" w:lineRule="auto"/>
              <w:jc w:val="center"/>
              <w:rPr>
                <w:rFonts w:eastAsiaTheme="minorEastAsia"/>
                <w:sz w:val="20"/>
              </w:rPr>
            </w:pPr>
            <w:r>
              <w:rPr>
                <w:rFonts w:hint="eastAsia" w:eastAsiaTheme="minorEastAsia"/>
                <w:sz w:val="20"/>
              </w:rPr>
              <w:t>镍（以总镍计）</w:t>
            </w:r>
          </w:p>
        </w:tc>
        <w:tc>
          <w:tcPr>
            <w:tcW w:w="4153" w:type="dxa"/>
          </w:tcPr>
          <w:p w14:paraId="3119C748">
            <w:pPr>
              <w:spacing w:line="360" w:lineRule="auto"/>
              <w:jc w:val="center"/>
              <w:rPr>
                <w:rFonts w:eastAsiaTheme="minorEastAsia"/>
                <w:sz w:val="20"/>
              </w:rPr>
            </w:pPr>
            <w:r>
              <w:rPr>
                <w:rFonts w:hint="eastAsia" w:eastAsiaTheme="minorEastAsia"/>
                <w:sz w:val="20"/>
              </w:rPr>
              <w:t>5</w:t>
            </w:r>
          </w:p>
        </w:tc>
      </w:tr>
      <w:tr w14:paraId="3396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037F7A2D">
            <w:pPr>
              <w:spacing w:line="360" w:lineRule="auto"/>
              <w:jc w:val="center"/>
              <w:rPr>
                <w:rFonts w:eastAsiaTheme="minorEastAsia"/>
                <w:sz w:val="20"/>
              </w:rPr>
            </w:pPr>
            <w:r>
              <w:rPr>
                <w:rFonts w:hint="eastAsia" w:eastAsiaTheme="minorEastAsia"/>
                <w:sz w:val="20"/>
              </w:rPr>
              <w:t>总银</w:t>
            </w:r>
          </w:p>
        </w:tc>
        <w:tc>
          <w:tcPr>
            <w:tcW w:w="4153" w:type="dxa"/>
          </w:tcPr>
          <w:p w14:paraId="4C7EB297">
            <w:pPr>
              <w:spacing w:line="360" w:lineRule="auto"/>
              <w:jc w:val="center"/>
              <w:rPr>
                <w:rFonts w:eastAsiaTheme="minorEastAsia"/>
                <w:sz w:val="20"/>
              </w:rPr>
            </w:pPr>
            <w:r>
              <w:rPr>
                <w:rFonts w:hint="eastAsia" w:eastAsiaTheme="minorEastAsia"/>
                <w:sz w:val="20"/>
              </w:rPr>
              <w:t>5</w:t>
            </w:r>
          </w:p>
        </w:tc>
      </w:tr>
      <w:tr w14:paraId="4BFA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2218F1B1">
            <w:pPr>
              <w:spacing w:line="360" w:lineRule="auto"/>
              <w:jc w:val="center"/>
              <w:rPr>
                <w:rFonts w:eastAsiaTheme="minorEastAsia"/>
                <w:sz w:val="20"/>
              </w:rPr>
            </w:pPr>
            <w:r>
              <w:rPr>
                <w:rFonts w:hint="eastAsia" w:eastAsiaTheme="minorEastAsia"/>
                <w:sz w:val="20"/>
              </w:rPr>
              <w:t>砷（以总砷计）</w:t>
            </w:r>
          </w:p>
        </w:tc>
        <w:tc>
          <w:tcPr>
            <w:tcW w:w="4153" w:type="dxa"/>
          </w:tcPr>
          <w:p w14:paraId="31FCD816">
            <w:pPr>
              <w:spacing w:line="360" w:lineRule="auto"/>
              <w:jc w:val="center"/>
              <w:rPr>
                <w:rFonts w:eastAsiaTheme="minorEastAsia"/>
                <w:sz w:val="20"/>
              </w:rPr>
            </w:pPr>
            <w:r>
              <w:rPr>
                <w:rFonts w:hint="eastAsia" w:eastAsiaTheme="minorEastAsia"/>
                <w:sz w:val="20"/>
              </w:rPr>
              <w:t>5</w:t>
            </w:r>
          </w:p>
        </w:tc>
      </w:tr>
      <w:tr w14:paraId="032E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671016DC">
            <w:pPr>
              <w:spacing w:line="360" w:lineRule="auto"/>
              <w:jc w:val="center"/>
              <w:rPr>
                <w:rFonts w:eastAsiaTheme="minorEastAsia"/>
                <w:sz w:val="20"/>
              </w:rPr>
            </w:pPr>
            <w:r>
              <w:rPr>
                <w:rFonts w:hint="eastAsia" w:eastAsiaTheme="minorEastAsia"/>
                <w:sz w:val="20"/>
              </w:rPr>
              <w:t>硒（以总硒计）</w:t>
            </w:r>
          </w:p>
        </w:tc>
        <w:tc>
          <w:tcPr>
            <w:tcW w:w="4153" w:type="dxa"/>
          </w:tcPr>
          <w:p w14:paraId="6F49F453">
            <w:pPr>
              <w:spacing w:line="360" w:lineRule="auto"/>
              <w:jc w:val="center"/>
              <w:rPr>
                <w:rFonts w:eastAsiaTheme="minorEastAsia"/>
                <w:sz w:val="20"/>
              </w:rPr>
            </w:pPr>
            <w:r>
              <w:rPr>
                <w:rFonts w:hint="eastAsia" w:eastAsiaTheme="minorEastAsia"/>
                <w:sz w:val="20"/>
              </w:rPr>
              <w:t>1</w:t>
            </w:r>
          </w:p>
        </w:tc>
      </w:tr>
      <w:tr w14:paraId="4F35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3CE27EC6">
            <w:pPr>
              <w:spacing w:line="360" w:lineRule="auto"/>
              <w:jc w:val="center"/>
              <w:rPr>
                <w:rFonts w:eastAsiaTheme="minorEastAsia"/>
                <w:sz w:val="20"/>
              </w:rPr>
            </w:pPr>
            <w:r>
              <w:rPr>
                <w:rFonts w:hint="eastAsia" w:eastAsiaTheme="minorEastAsia"/>
                <w:sz w:val="20"/>
              </w:rPr>
              <w:t>无机氟化物（不包括氟化钙）</w:t>
            </w:r>
          </w:p>
        </w:tc>
        <w:tc>
          <w:tcPr>
            <w:tcW w:w="4153" w:type="dxa"/>
          </w:tcPr>
          <w:p w14:paraId="5826451A">
            <w:pPr>
              <w:spacing w:line="360" w:lineRule="auto"/>
              <w:jc w:val="center"/>
              <w:rPr>
                <w:rFonts w:eastAsiaTheme="minorEastAsia"/>
                <w:sz w:val="20"/>
              </w:rPr>
            </w:pPr>
            <w:r>
              <w:rPr>
                <w:rFonts w:hint="eastAsia" w:eastAsiaTheme="minorEastAsia"/>
                <w:sz w:val="20"/>
              </w:rPr>
              <w:t>100</w:t>
            </w:r>
          </w:p>
        </w:tc>
      </w:tr>
      <w:tr w14:paraId="79CD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53" w:type="dxa"/>
          </w:tcPr>
          <w:p w14:paraId="5FC92393">
            <w:pPr>
              <w:spacing w:line="360" w:lineRule="auto"/>
              <w:jc w:val="center"/>
              <w:rPr>
                <w:rFonts w:eastAsiaTheme="minorEastAsia"/>
                <w:sz w:val="20"/>
              </w:rPr>
            </w:pPr>
            <w:r>
              <w:rPr>
                <w:rFonts w:hint="eastAsia" w:eastAsiaTheme="minorEastAsia"/>
                <w:sz w:val="20"/>
              </w:rPr>
              <w:t>氰化物（以CN计）</w:t>
            </w:r>
          </w:p>
        </w:tc>
        <w:tc>
          <w:tcPr>
            <w:tcW w:w="4153" w:type="dxa"/>
          </w:tcPr>
          <w:p w14:paraId="4266B8D6">
            <w:pPr>
              <w:spacing w:line="360" w:lineRule="auto"/>
              <w:jc w:val="center"/>
              <w:rPr>
                <w:rFonts w:eastAsiaTheme="minorEastAsia"/>
                <w:sz w:val="20"/>
              </w:rPr>
            </w:pPr>
            <w:r>
              <w:rPr>
                <w:rFonts w:hint="eastAsia" w:eastAsiaTheme="minorEastAsia"/>
                <w:sz w:val="20"/>
              </w:rPr>
              <w:t>5</w:t>
            </w:r>
          </w:p>
        </w:tc>
      </w:tr>
    </w:tbl>
    <w:p w14:paraId="64AFC9FD">
      <w:pPr>
        <w:numPr>
          <w:ilvl w:val="0"/>
          <w:numId w:val="17"/>
        </w:numPr>
        <w:tabs>
          <w:tab w:val="clear" w:pos="420"/>
        </w:tabs>
        <w:spacing w:line="360" w:lineRule="auto"/>
        <w:ind w:left="5" w:firstLine="315"/>
        <w:jc w:val="left"/>
        <w:rPr>
          <w:rFonts w:eastAsia="宋体" w:cs="宋体"/>
          <w:sz w:val="24"/>
          <w:szCs w:val="24"/>
        </w:rPr>
      </w:pPr>
      <w:r>
        <w:rPr>
          <w:rFonts w:hint="eastAsia" w:eastAsia="宋体" w:cs="宋体"/>
          <w:sz w:val="24"/>
          <w:szCs w:val="24"/>
        </w:rPr>
        <w:t>采用钢渣作为回填材料时，应符合表6.2.3-3的规定。</w:t>
      </w:r>
    </w:p>
    <w:p w14:paraId="46E4ED04">
      <w:pPr>
        <w:numPr>
          <w:ilvl w:val="255"/>
          <w:numId w:val="0"/>
        </w:numPr>
        <w:spacing w:line="360" w:lineRule="auto"/>
        <w:jc w:val="center"/>
        <w:rPr>
          <w:rFonts w:eastAsia="楷体"/>
          <w:sz w:val="22"/>
          <w:szCs w:val="22"/>
        </w:rPr>
      </w:pPr>
      <w:r>
        <w:rPr>
          <w:rFonts w:hint="eastAsia" w:eastAsia="楷体"/>
          <w:sz w:val="22"/>
          <w:szCs w:val="22"/>
        </w:rPr>
        <w:t>表6.2.3-3 工程回填用钢渣的技术要求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2802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576580D4">
            <w:pPr>
              <w:spacing w:line="360" w:lineRule="auto"/>
              <w:jc w:val="center"/>
              <w:rPr>
                <w:rFonts w:eastAsiaTheme="minorEastAsia"/>
                <w:sz w:val="20"/>
              </w:rPr>
            </w:pPr>
            <w:r>
              <w:rPr>
                <w:rFonts w:hint="eastAsia" w:eastAsiaTheme="minorEastAsia"/>
                <w:sz w:val="20"/>
              </w:rPr>
              <w:t>项目</w:t>
            </w:r>
          </w:p>
        </w:tc>
        <w:tc>
          <w:tcPr>
            <w:tcW w:w="4153" w:type="dxa"/>
          </w:tcPr>
          <w:p w14:paraId="6C0C1EB4">
            <w:pPr>
              <w:spacing w:line="360" w:lineRule="auto"/>
              <w:jc w:val="center"/>
              <w:rPr>
                <w:rFonts w:eastAsiaTheme="minorEastAsia"/>
                <w:sz w:val="20"/>
              </w:rPr>
            </w:pPr>
            <w:r>
              <w:rPr>
                <w:rFonts w:hint="eastAsia" w:eastAsiaTheme="minorEastAsia"/>
                <w:sz w:val="20"/>
              </w:rPr>
              <w:t>技术要求</w:t>
            </w:r>
          </w:p>
        </w:tc>
      </w:tr>
      <w:tr w14:paraId="7A41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0DF8A20C">
            <w:pPr>
              <w:spacing w:line="360" w:lineRule="auto"/>
              <w:jc w:val="center"/>
              <w:rPr>
                <w:rFonts w:eastAsiaTheme="minorEastAsia"/>
                <w:sz w:val="20"/>
              </w:rPr>
            </w:pPr>
            <w:r>
              <w:rPr>
                <w:rFonts w:hint="eastAsia" w:eastAsiaTheme="minorEastAsia"/>
                <w:sz w:val="20"/>
              </w:rPr>
              <w:t>粉化率测定值的波动上限/%</w:t>
            </w:r>
          </w:p>
        </w:tc>
        <w:tc>
          <w:tcPr>
            <w:tcW w:w="4153" w:type="dxa"/>
          </w:tcPr>
          <w:p w14:paraId="166D4D7A">
            <w:pPr>
              <w:spacing w:line="360" w:lineRule="auto"/>
              <w:jc w:val="center"/>
              <w:rPr>
                <w:rFonts w:eastAsiaTheme="minorEastAsia"/>
                <w:sz w:val="20"/>
              </w:rPr>
            </w:pPr>
            <w:r>
              <w:rPr>
                <w:rFonts w:hint="eastAsia" w:eastAsiaTheme="minorEastAsia"/>
                <w:sz w:val="20"/>
              </w:rPr>
              <w:t>≤5.00</w:t>
            </w:r>
          </w:p>
        </w:tc>
      </w:tr>
      <w:tr w14:paraId="5ED4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4E4AD3F0">
            <w:pPr>
              <w:spacing w:line="360" w:lineRule="auto"/>
              <w:jc w:val="center"/>
              <w:rPr>
                <w:rFonts w:eastAsiaTheme="minorEastAsia"/>
                <w:sz w:val="20"/>
              </w:rPr>
            </w:pPr>
            <w:r>
              <w:rPr>
                <w:rFonts w:hint="eastAsia" w:eastAsiaTheme="minorEastAsia"/>
                <w:sz w:val="20"/>
              </w:rPr>
              <w:t>浸水膨胀率/%</w:t>
            </w:r>
          </w:p>
        </w:tc>
        <w:tc>
          <w:tcPr>
            <w:tcW w:w="4153" w:type="dxa"/>
          </w:tcPr>
          <w:p w14:paraId="27B17B53">
            <w:pPr>
              <w:spacing w:line="360" w:lineRule="auto"/>
              <w:jc w:val="center"/>
              <w:rPr>
                <w:rFonts w:eastAsiaTheme="minorEastAsia"/>
                <w:sz w:val="20"/>
              </w:rPr>
            </w:pPr>
            <w:r>
              <w:rPr>
                <w:rFonts w:hint="eastAsia" w:eastAsiaTheme="minorEastAsia"/>
                <w:sz w:val="20"/>
              </w:rPr>
              <w:t>≤2.00</w:t>
            </w:r>
          </w:p>
        </w:tc>
      </w:tr>
      <w:tr w14:paraId="3F87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2A1C2890">
            <w:pPr>
              <w:spacing w:line="360" w:lineRule="auto"/>
              <w:jc w:val="center"/>
              <w:rPr>
                <w:rFonts w:eastAsiaTheme="minorEastAsia"/>
                <w:sz w:val="20"/>
              </w:rPr>
            </w:pPr>
            <w:r>
              <w:rPr>
                <w:rFonts w:hint="eastAsia" w:eastAsiaTheme="minorEastAsia"/>
                <w:sz w:val="20"/>
              </w:rPr>
              <w:t>最大粒径/mm</w:t>
            </w:r>
          </w:p>
        </w:tc>
        <w:tc>
          <w:tcPr>
            <w:tcW w:w="4153" w:type="dxa"/>
          </w:tcPr>
          <w:p w14:paraId="154CD4A9">
            <w:pPr>
              <w:spacing w:line="360" w:lineRule="auto"/>
              <w:jc w:val="center"/>
              <w:rPr>
                <w:rFonts w:eastAsiaTheme="minorEastAsia"/>
                <w:sz w:val="20"/>
              </w:rPr>
            </w:pPr>
            <w:r>
              <w:rPr>
                <w:rFonts w:hint="eastAsia" w:eastAsiaTheme="minorEastAsia"/>
                <w:sz w:val="20"/>
              </w:rPr>
              <w:t>≤90</w:t>
            </w:r>
          </w:p>
        </w:tc>
      </w:tr>
      <w:tr w14:paraId="68BA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3E22B75E">
            <w:pPr>
              <w:spacing w:line="360" w:lineRule="auto"/>
              <w:jc w:val="center"/>
              <w:rPr>
                <w:rFonts w:eastAsiaTheme="minorEastAsia"/>
                <w:sz w:val="20"/>
              </w:rPr>
            </w:pPr>
            <w:r>
              <w:rPr>
                <w:rFonts w:hint="eastAsia" w:eastAsiaTheme="minorEastAsia"/>
                <w:sz w:val="20"/>
              </w:rPr>
              <w:t>金属铁含量/%</w:t>
            </w:r>
          </w:p>
        </w:tc>
        <w:tc>
          <w:tcPr>
            <w:tcW w:w="4153" w:type="dxa"/>
          </w:tcPr>
          <w:p w14:paraId="54E177B9">
            <w:pPr>
              <w:spacing w:line="360" w:lineRule="auto"/>
              <w:jc w:val="center"/>
              <w:rPr>
                <w:rFonts w:eastAsiaTheme="minorEastAsia"/>
                <w:sz w:val="20"/>
              </w:rPr>
            </w:pPr>
            <w:r>
              <w:rPr>
                <w:rFonts w:hint="eastAsia" w:eastAsiaTheme="minorEastAsia"/>
                <w:sz w:val="20"/>
              </w:rPr>
              <w:t>≤2.00</w:t>
            </w:r>
          </w:p>
        </w:tc>
      </w:tr>
    </w:tbl>
    <w:p w14:paraId="6553A7EE">
      <w:pPr>
        <w:numPr>
          <w:ilvl w:val="0"/>
          <w:numId w:val="17"/>
        </w:numPr>
        <w:tabs>
          <w:tab w:val="clear" w:pos="420"/>
        </w:tabs>
        <w:spacing w:line="360" w:lineRule="auto"/>
        <w:ind w:left="5" w:firstLine="315"/>
        <w:jc w:val="left"/>
        <w:rPr>
          <w:rFonts w:eastAsiaTheme="minorEastAsia"/>
          <w:sz w:val="24"/>
          <w:szCs w:val="24"/>
        </w:rPr>
      </w:pPr>
      <w:r>
        <w:rPr>
          <w:rFonts w:hint="eastAsia" w:eastAsia="宋体" w:cs="宋体"/>
          <w:sz w:val="24"/>
          <w:szCs w:val="24"/>
        </w:rPr>
        <w:t>采用钢渣等可能存在膨胀特性的材料作为回填材料时，宜采取可释放填筑材料变形的回填构造措施，避免填筑材料变形影响建筑正常使用。</w:t>
      </w:r>
    </w:p>
    <w:p w14:paraId="555E3D03">
      <w:pPr>
        <w:numPr>
          <w:ilvl w:val="0"/>
          <w:numId w:val="17"/>
        </w:numPr>
        <w:tabs>
          <w:tab w:val="clear" w:pos="420"/>
        </w:tabs>
        <w:spacing w:line="360" w:lineRule="auto"/>
        <w:ind w:left="5" w:firstLine="315"/>
        <w:jc w:val="left"/>
        <w:rPr>
          <w:rFonts w:eastAsia="宋体" w:cs="宋体"/>
          <w:sz w:val="24"/>
          <w:szCs w:val="24"/>
        </w:rPr>
      </w:pPr>
      <w:r>
        <w:rPr>
          <w:rFonts w:hint="eastAsia" w:eastAsia="宋体" w:cs="宋体"/>
          <w:sz w:val="24"/>
          <w:szCs w:val="24"/>
        </w:rPr>
        <w:t>根据压重材料选择的不同和工程要求，可设置疏干层和集水坑。</w:t>
      </w:r>
    </w:p>
    <w:p w14:paraId="1B5776FB">
      <w:pPr>
        <w:numPr>
          <w:ilvl w:val="0"/>
          <w:numId w:val="17"/>
        </w:numPr>
        <w:tabs>
          <w:tab w:val="clear" w:pos="420"/>
        </w:tabs>
        <w:spacing w:line="360" w:lineRule="auto"/>
        <w:ind w:left="5" w:firstLine="315"/>
        <w:jc w:val="left"/>
        <w:rPr>
          <w:rFonts w:eastAsiaTheme="minorEastAsia"/>
          <w:sz w:val="24"/>
          <w:szCs w:val="24"/>
        </w:rPr>
      </w:pPr>
      <w:r>
        <w:rPr>
          <w:rFonts w:hint="eastAsia" w:eastAsiaTheme="minorEastAsia"/>
          <w:sz w:val="24"/>
          <w:szCs w:val="24"/>
        </w:rPr>
        <w:t>工业废料、再生料作为压重填筑材料时，应通过专项论证后采用。</w:t>
      </w:r>
    </w:p>
    <w:p w14:paraId="057C3B53">
      <w:pPr>
        <w:numPr>
          <w:ilvl w:val="0"/>
          <w:numId w:val="17"/>
        </w:numPr>
        <w:tabs>
          <w:tab w:val="clear" w:pos="420"/>
        </w:tabs>
        <w:spacing w:line="360" w:lineRule="auto"/>
        <w:ind w:left="5" w:firstLine="315"/>
        <w:jc w:val="left"/>
        <w:rPr>
          <w:rFonts w:eastAsia="宋体" w:cs="宋体"/>
          <w:sz w:val="24"/>
          <w:szCs w:val="24"/>
        </w:rPr>
      </w:pPr>
      <w:r>
        <w:rPr>
          <w:rFonts w:hint="eastAsia" w:eastAsia="宋体" w:cs="宋体"/>
          <w:sz w:val="24"/>
          <w:szCs w:val="24"/>
        </w:rPr>
        <w:t>不同压重填筑材料重度可按表6.2.3-4取用。</w:t>
      </w:r>
    </w:p>
    <w:p w14:paraId="09FCA537">
      <w:pPr>
        <w:numPr>
          <w:ilvl w:val="255"/>
          <w:numId w:val="0"/>
        </w:numPr>
        <w:spacing w:line="360" w:lineRule="auto"/>
        <w:jc w:val="center"/>
        <w:rPr>
          <w:rFonts w:eastAsia="宋体" w:cs="宋体"/>
          <w:sz w:val="24"/>
          <w:szCs w:val="24"/>
        </w:rPr>
      </w:pPr>
      <w:r>
        <w:rPr>
          <w:rFonts w:hint="eastAsia" w:eastAsia="宋体" w:cs="宋体"/>
          <w:sz w:val="24"/>
          <w:szCs w:val="24"/>
        </w:rPr>
        <w:t>表6.2.3-4 抗浮计算中不同填筑材料重度建议值</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734A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C5ADC16">
            <w:pPr>
              <w:jc w:val="center"/>
              <w:rPr>
                <w:rFonts w:eastAsia="楷体_GB2312"/>
                <w:sz w:val="20"/>
              </w:rPr>
            </w:pPr>
            <w:r>
              <w:rPr>
                <w:rFonts w:hint="eastAsia" w:eastAsia="楷体_GB2312"/>
                <w:sz w:val="20"/>
              </w:rPr>
              <w:t>材料属性</w:t>
            </w:r>
          </w:p>
        </w:tc>
        <w:tc>
          <w:tcPr>
            <w:tcW w:w="2500" w:type="pct"/>
            <w:vAlign w:val="center"/>
          </w:tcPr>
          <w:p w14:paraId="04BA1F2C">
            <w:pPr>
              <w:jc w:val="center"/>
              <w:rPr>
                <w:rFonts w:eastAsia="楷体_GB2312"/>
                <w:sz w:val="20"/>
              </w:rPr>
            </w:pPr>
            <w:r>
              <w:rPr>
                <w:rFonts w:hint="eastAsia" w:eastAsia="楷体_GB2312"/>
                <w:sz w:val="20"/>
              </w:rPr>
              <w:t>重度值（kN/m</w:t>
            </w:r>
            <w:r>
              <w:rPr>
                <w:rFonts w:hint="eastAsia" w:eastAsia="楷体_GB2312"/>
                <w:sz w:val="20"/>
                <w:vertAlign w:val="superscript"/>
              </w:rPr>
              <w:t>3</w:t>
            </w:r>
            <w:r>
              <w:rPr>
                <w:rFonts w:hint="eastAsia" w:eastAsia="楷体_GB2312"/>
                <w:sz w:val="20"/>
              </w:rPr>
              <w:t>）</w:t>
            </w:r>
          </w:p>
        </w:tc>
      </w:tr>
      <w:tr w14:paraId="1262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0EF76EA7">
            <w:pPr>
              <w:jc w:val="center"/>
              <w:rPr>
                <w:rFonts w:eastAsia="楷体_GB2312"/>
                <w:sz w:val="20"/>
              </w:rPr>
            </w:pPr>
            <w:r>
              <w:rPr>
                <w:rFonts w:hint="eastAsia" w:eastAsia="楷体_GB2312"/>
                <w:sz w:val="20"/>
              </w:rPr>
              <w:t>填土</w:t>
            </w:r>
          </w:p>
        </w:tc>
        <w:tc>
          <w:tcPr>
            <w:tcW w:w="2500" w:type="pct"/>
            <w:vAlign w:val="center"/>
          </w:tcPr>
          <w:p w14:paraId="455CC0ED">
            <w:pPr>
              <w:jc w:val="center"/>
              <w:rPr>
                <w:rFonts w:eastAsia="楷体_GB2312"/>
                <w:sz w:val="20"/>
              </w:rPr>
            </w:pPr>
            <w:r>
              <w:rPr>
                <w:rFonts w:hint="eastAsia" w:eastAsia="楷体_GB2312"/>
                <w:sz w:val="20"/>
              </w:rPr>
              <w:t>16</w:t>
            </w:r>
          </w:p>
        </w:tc>
      </w:tr>
      <w:tr w14:paraId="67BB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5BDDD26F">
            <w:pPr>
              <w:jc w:val="center"/>
              <w:rPr>
                <w:rFonts w:eastAsia="楷体_GB2312"/>
                <w:sz w:val="20"/>
              </w:rPr>
            </w:pPr>
            <w:r>
              <w:rPr>
                <w:rFonts w:hint="eastAsia" w:eastAsia="楷体_GB2312"/>
                <w:sz w:val="20"/>
              </w:rPr>
              <w:t>普通混凝土</w:t>
            </w:r>
          </w:p>
        </w:tc>
        <w:tc>
          <w:tcPr>
            <w:tcW w:w="2500" w:type="pct"/>
            <w:vAlign w:val="center"/>
          </w:tcPr>
          <w:p w14:paraId="67DEC1BE">
            <w:pPr>
              <w:jc w:val="center"/>
              <w:rPr>
                <w:rFonts w:eastAsia="楷体_GB2312"/>
                <w:sz w:val="20"/>
              </w:rPr>
            </w:pPr>
            <w:r>
              <w:rPr>
                <w:rFonts w:hint="eastAsia" w:eastAsia="楷体_GB2312"/>
                <w:sz w:val="20"/>
              </w:rPr>
              <w:t>22</w:t>
            </w:r>
          </w:p>
        </w:tc>
      </w:tr>
      <w:tr w14:paraId="521D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1D26BE4E">
            <w:pPr>
              <w:jc w:val="center"/>
              <w:rPr>
                <w:rFonts w:eastAsia="楷体_GB2312"/>
                <w:sz w:val="20"/>
              </w:rPr>
            </w:pPr>
            <w:r>
              <w:rPr>
                <w:rFonts w:hint="eastAsia" w:eastAsia="楷体_GB2312"/>
                <w:sz w:val="20"/>
              </w:rPr>
              <w:t>其他</w:t>
            </w:r>
          </w:p>
        </w:tc>
        <w:tc>
          <w:tcPr>
            <w:tcW w:w="2500" w:type="pct"/>
            <w:vAlign w:val="center"/>
          </w:tcPr>
          <w:p w14:paraId="725F6E74">
            <w:pPr>
              <w:jc w:val="center"/>
              <w:rPr>
                <w:rFonts w:eastAsia="楷体_GB2312"/>
                <w:sz w:val="20"/>
              </w:rPr>
            </w:pPr>
            <w:r>
              <w:rPr>
                <w:rFonts w:hint="eastAsia" w:eastAsia="楷体_GB2312"/>
                <w:sz w:val="20"/>
              </w:rPr>
              <w:t>按设计要求</w:t>
            </w:r>
          </w:p>
        </w:tc>
      </w:tr>
    </w:tbl>
    <w:p w14:paraId="4B1AD668">
      <w:pPr>
        <w:numPr>
          <w:ilvl w:val="0"/>
          <w:numId w:val="17"/>
        </w:numPr>
        <w:tabs>
          <w:tab w:val="clear" w:pos="420"/>
        </w:tabs>
        <w:spacing w:line="360" w:lineRule="auto"/>
        <w:ind w:left="5" w:firstLine="315"/>
        <w:jc w:val="left"/>
        <w:rPr>
          <w:rFonts w:eastAsia="宋体" w:cs="宋体"/>
          <w:sz w:val="24"/>
          <w:szCs w:val="24"/>
        </w:rPr>
      </w:pPr>
      <w:r>
        <w:rPr>
          <w:rFonts w:hint="eastAsia" w:eastAsia="宋体" w:cs="宋体"/>
          <w:sz w:val="24"/>
          <w:szCs w:val="24"/>
        </w:rPr>
        <w:t>外挑底板上的压重材料宜选择同一种材料。选择不同材料回填时，材料之间应有相似的材料属性和力学性能。</w:t>
      </w:r>
    </w:p>
    <w:p w14:paraId="5FA0393C">
      <w:pPr>
        <w:numPr>
          <w:ilvl w:val="0"/>
          <w:numId w:val="17"/>
        </w:numPr>
        <w:tabs>
          <w:tab w:val="clear" w:pos="420"/>
        </w:tabs>
        <w:spacing w:line="360" w:lineRule="auto"/>
        <w:ind w:left="5" w:firstLine="315"/>
        <w:jc w:val="left"/>
        <w:rPr>
          <w:rFonts w:eastAsiaTheme="minorEastAsia"/>
          <w:sz w:val="24"/>
          <w:szCs w:val="24"/>
        </w:rPr>
      </w:pPr>
      <w:r>
        <w:rPr>
          <w:rFonts w:hint="eastAsia" w:eastAsia="宋体" w:cs="宋体"/>
          <w:sz w:val="24"/>
          <w:szCs w:val="24"/>
        </w:rPr>
        <w:t>采用铁块、混凝土块、砂袋等块体或袋装材料压重时</w:t>
      </w:r>
      <w:r>
        <w:rPr>
          <w:rFonts w:hint="eastAsia" w:eastAsiaTheme="minorEastAsia"/>
          <w:sz w:val="24"/>
          <w:szCs w:val="24"/>
        </w:rPr>
        <w:t>，应明确其永久堆放要求，并对堆砌结构的稳定性进行验算。</w:t>
      </w:r>
    </w:p>
    <w:p w14:paraId="20C08A64">
      <w:pPr>
        <w:numPr>
          <w:ilvl w:val="1"/>
          <w:numId w:val="2"/>
        </w:numPr>
        <w:spacing w:line="360" w:lineRule="auto"/>
        <w:ind w:left="0" w:firstLine="0"/>
        <w:jc w:val="center"/>
        <w:outlineLvl w:val="1"/>
        <w:rPr>
          <w:rFonts w:eastAsiaTheme="minorEastAsia"/>
          <w:b/>
          <w:bCs/>
          <w:sz w:val="24"/>
          <w:szCs w:val="24"/>
        </w:rPr>
      </w:pPr>
      <w:bookmarkStart w:id="101" w:name="_Toc20607"/>
      <w:r>
        <w:rPr>
          <w:rFonts w:hint="eastAsia" w:eastAsiaTheme="minorEastAsia"/>
          <w:b/>
          <w:bCs/>
          <w:sz w:val="24"/>
          <w:szCs w:val="24"/>
        </w:rPr>
        <w:t>检测要求</w:t>
      </w:r>
      <w:bookmarkEnd w:id="101"/>
    </w:p>
    <w:p w14:paraId="1589DEC5">
      <w:pPr>
        <w:numPr>
          <w:ilvl w:val="2"/>
          <w:numId w:val="2"/>
        </w:numPr>
        <w:spacing w:line="360" w:lineRule="auto"/>
        <w:ind w:left="0" w:firstLine="0"/>
        <w:rPr>
          <w:rFonts w:eastAsiaTheme="minorEastAsia"/>
          <w:sz w:val="24"/>
          <w:szCs w:val="24"/>
        </w:rPr>
      </w:pPr>
      <w:r>
        <w:rPr>
          <w:rFonts w:hint="eastAsia" w:eastAsiaTheme="minorEastAsia"/>
          <w:sz w:val="24"/>
          <w:szCs w:val="24"/>
        </w:rPr>
        <w:t>采用填筑材料作为抗浮措施时，应对填筑材料的填筑范围和填筑厚度进行检测，并作为压重法抗浮措施验收的依据。</w:t>
      </w:r>
    </w:p>
    <w:p w14:paraId="6533E722">
      <w:pPr>
        <w:numPr>
          <w:ilvl w:val="2"/>
          <w:numId w:val="2"/>
        </w:numPr>
        <w:spacing w:line="360" w:lineRule="auto"/>
        <w:ind w:left="0" w:firstLine="0"/>
        <w:rPr>
          <w:rFonts w:eastAsiaTheme="minorEastAsia"/>
          <w:sz w:val="24"/>
          <w:szCs w:val="24"/>
        </w:rPr>
      </w:pPr>
      <w:r>
        <w:rPr>
          <w:rFonts w:hint="eastAsia" w:eastAsiaTheme="minorEastAsia"/>
          <w:sz w:val="24"/>
          <w:szCs w:val="24"/>
        </w:rPr>
        <w:t>采用填筑材料作为抗浮措施时，应对填筑材料的重度进行检测。</w:t>
      </w:r>
    </w:p>
    <w:p w14:paraId="1336ECB4">
      <w:pPr>
        <w:spacing w:line="360" w:lineRule="auto"/>
        <w:rPr>
          <w:rFonts w:eastAsiaTheme="minorEastAsia"/>
          <w:sz w:val="24"/>
          <w:szCs w:val="24"/>
        </w:rPr>
      </w:pPr>
    </w:p>
    <w:p w14:paraId="3D2377B4">
      <w:pPr>
        <w:rPr>
          <w:rFonts w:eastAsiaTheme="minorEastAsia"/>
          <w:sz w:val="24"/>
          <w:szCs w:val="24"/>
        </w:rPr>
      </w:pPr>
      <w:r>
        <w:rPr>
          <w:rFonts w:eastAsiaTheme="minorEastAsia"/>
          <w:sz w:val="24"/>
          <w:szCs w:val="24"/>
        </w:rPr>
        <w:br w:type="page"/>
      </w:r>
    </w:p>
    <w:p w14:paraId="14B404B7">
      <w:pPr>
        <w:numPr>
          <w:ilvl w:val="0"/>
          <w:numId w:val="2"/>
        </w:numPr>
        <w:spacing w:line="360" w:lineRule="auto"/>
        <w:jc w:val="center"/>
        <w:outlineLvl w:val="0"/>
        <w:rPr>
          <w:rFonts w:eastAsiaTheme="minorEastAsia"/>
          <w:b/>
          <w:bCs/>
          <w:sz w:val="28"/>
          <w:szCs w:val="28"/>
        </w:rPr>
      </w:pPr>
      <w:bookmarkStart w:id="102" w:name="_Toc15611"/>
      <w:bookmarkStart w:id="103" w:name="_Toc11469"/>
      <w:bookmarkStart w:id="104" w:name="_Toc11205"/>
      <w:bookmarkStart w:id="105" w:name="_Toc8308"/>
      <w:bookmarkStart w:id="106" w:name="_Toc32484"/>
      <w:bookmarkStart w:id="107" w:name="_Toc27936"/>
      <w:r>
        <w:rPr>
          <w:rFonts w:hint="eastAsia" w:eastAsiaTheme="minorEastAsia"/>
          <w:b/>
          <w:bCs/>
          <w:sz w:val="28"/>
          <w:szCs w:val="28"/>
        </w:rPr>
        <w:t>抗浮</w:t>
      </w:r>
      <w:r>
        <w:rPr>
          <w:rFonts w:eastAsiaTheme="minorEastAsia"/>
          <w:b/>
          <w:bCs/>
          <w:sz w:val="28"/>
          <w:szCs w:val="28"/>
        </w:rPr>
        <w:t>桩法</w:t>
      </w:r>
      <w:bookmarkEnd w:id="102"/>
      <w:bookmarkEnd w:id="103"/>
      <w:bookmarkEnd w:id="104"/>
      <w:bookmarkEnd w:id="105"/>
      <w:bookmarkEnd w:id="106"/>
      <w:bookmarkEnd w:id="107"/>
    </w:p>
    <w:p w14:paraId="5925AF87">
      <w:pPr>
        <w:numPr>
          <w:ilvl w:val="1"/>
          <w:numId w:val="2"/>
        </w:numPr>
        <w:spacing w:line="360" w:lineRule="auto"/>
        <w:ind w:left="0" w:firstLine="0"/>
        <w:jc w:val="center"/>
        <w:outlineLvl w:val="1"/>
        <w:rPr>
          <w:rFonts w:eastAsiaTheme="minorEastAsia"/>
          <w:b/>
          <w:bCs/>
          <w:sz w:val="24"/>
          <w:szCs w:val="24"/>
        </w:rPr>
      </w:pPr>
      <w:bookmarkStart w:id="108" w:name="_Toc6900"/>
      <w:bookmarkStart w:id="109" w:name="_Toc2315"/>
      <w:bookmarkStart w:id="110" w:name="_Toc11928"/>
      <w:bookmarkStart w:id="111" w:name="_Toc3459"/>
      <w:bookmarkStart w:id="112" w:name="_Toc18175"/>
      <w:bookmarkStart w:id="113" w:name="_Toc28555"/>
      <w:r>
        <w:rPr>
          <w:rFonts w:eastAsiaTheme="minorEastAsia"/>
          <w:b/>
          <w:bCs/>
          <w:sz w:val="24"/>
          <w:szCs w:val="24"/>
        </w:rPr>
        <w:t>一般规定</w:t>
      </w:r>
      <w:bookmarkEnd w:id="108"/>
      <w:bookmarkEnd w:id="109"/>
      <w:bookmarkEnd w:id="110"/>
      <w:bookmarkEnd w:id="111"/>
      <w:bookmarkEnd w:id="112"/>
      <w:bookmarkEnd w:id="113"/>
    </w:p>
    <w:p w14:paraId="15CBC016">
      <w:pPr>
        <w:numPr>
          <w:ilvl w:val="2"/>
          <w:numId w:val="2"/>
        </w:numPr>
        <w:spacing w:line="360" w:lineRule="auto"/>
        <w:ind w:left="9" w:hanging="9"/>
        <w:jc w:val="left"/>
        <w:rPr>
          <w:rFonts w:eastAsia="宋体"/>
          <w:sz w:val="24"/>
          <w:szCs w:val="32"/>
        </w:rPr>
      </w:pPr>
      <w:r>
        <w:rPr>
          <w:rFonts w:hint="eastAsia" w:eastAsia="宋体"/>
          <w:sz w:val="24"/>
          <w:szCs w:val="32"/>
        </w:rPr>
        <w:t>抗浮桩可选用灌注桩或复合桩。灌注桩宜选用长螺旋钻孔压灌桩或桩侧后注浆钻孔灌注桩，复合桩宜选用劲性复合桩或链式切削搅拌植桩。</w:t>
      </w:r>
    </w:p>
    <w:p w14:paraId="4494D100">
      <w:pPr>
        <w:numPr>
          <w:ilvl w:val="2"/>
          <w:numId w:val="2"/>
        </w:numPr>
        <w:spacing w:line="360" w:lineRule="auto"/>
        <w:ind w:left="0" w:firstLine="0"/>
        <w:jc w:val="left"/>
        <w:rPr>
          <w:rFonts w:eastAsia="宋体"/>
          <w:sz w:val="24"/>
          <w:szCs w:val="32"/>
        </w:rPr>
      </w:pPr>
      <w:r>
        <w:rPr>
          <w:rFonts w:hint="eastAsia" w:eastAsia="宋体"/>
          <w:sz w:val="24"/>
          <w:szCs w:val="32"/>
        </w:rPr>
        <w:t>抗浮桩应进行下列计算：</w:t>
      </w:r>
    </w:p>
    <w:p w14:paraId="1C22D201">
      <w:pPr>
        <w:numPr>
          <w:ilvl w:val="0"/>
          <w:numId w:val="18"/>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单桩竖向抗拔承载力及群桩抗拔承载力计算；</w:t>
      </w:r>
    </w:p>
    <w:p w14:paraId="7EDF4481">
      <w:pPr>
        <w:numPr>
          <w:ilvl w:val="0"/>
          <w:numId w:val="18"/>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桩身受拉承载力计算；</w:t>
      </w:r>
    </w:p>
    <w:p w14:paraId="56540864">
      <w:pPr>
        <w:numPr>
          <w:ilvl w:val="0"/>
          <w:numId w:val="18"/>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桩身裂缝宽度计算和桩身抗裂验算；</w:t>
      </w:r>
    </w:p>
    <w:p w14:paraId="70D2C429">
      <w:pPr>
        <w:numPr>
          <w:ilvl w:val="0"/>
          <w:numId w:val="18"/>
        </w:numPr>
        <w:tabs>
          <w:tab w:val="left" w:pos="640"/>
          <w:tab w:val="clear" w:pos="420"/>
        </w:tabs>
        <w:spacing w:line="360" w:lineRule="auto"/>
        <w:ind w:left="645" w:hanging="325"/>
        <w:rPr>
          <w:rFonts w:eastAsiaTheme="minorEastAsia"/>
          <w:sz w:val="24"/>
          <w:szCs w:val="24"/>
        </w:rPr>
      </w:pPr>
      <w:r>
        <w:rPr>
          <w:rFonts w:hint="eastAsia" w:eastAsia="宋体"/>
          <w:sz w:val="24"/>
          <w:szCs w:val="32"/>
        </w:rPr>
        <w:t>抗浮桩设计除满足抗浮水位工况外，尚应满足常水位工况下承担竖向荷载的承载力与变形要求；</w:t>
      </w:r>
    </w:p>
    <w:p w14:paraId="60BC3EF2">
      <w:pPr>
        <w:numPr>
          <w:ilvl w:val="0"/>
          <w:numId w:val="18"/>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主楼采用变刚度调平设计时，应考虑主楼周边抗浮桩布置对差异沉降的影响，进行地基基础协同作用计算。</w:t>
      </w:r>
    </w:p>
    <w:p w14:paraId="30C7B30A">
      <w:pPr>
        <w:numPr>
          <w:ilvl w:val="2"/>
          <w:numId w:val="2"/>
        </w:numPr>
        <w:spacing w:line="360" w:lineRule="auto"/>
        <w:ind w:left="9" w:hanging="9"/>
        <w:jc w:val="left"/>
        <w:rPr>
          <w:rFonts w:eastAsia="宋体"/>
          <w:sz w:val="24"/>
          <w:szCs w:val="32"/>
        </w:rPr>
      </w:pPr>
      <w:r>
        <w:rPr>
          <w:rFonts w:hint="eastAsia" w:eastAsia="宋体"/>
          <w:sz w:val="24"/>
          <w:szCs w:val="32"/>
        </w:rPr>
        <w:t>单桩竖向抗拔承载力应通过单桩竖向抗拔静载荷试验确定，同一条件下试验桩数量不少于3根，试验应采用慢速维持荷载法。</w:t>
      </w:r>
    </w:p>
    <w:p w14:paraId="782C5A66">
      <w:pPr>
        <w:numPr>
          <w:ilvl w:val="2"/>
          <w:numId w:val="2"/>
        </w:numPr>
        <w:spacing w:line="360" w:lineRule="auto"/>
        <w:ind w:left="9" w:hanging="9"/>
        <w:jc w:val="left"/>
        <w:rPr>
          <w:rFonts w:eastAsia="宋体"/>
          <w:sz w:val="24"/>
          <w:szCs w:val="32"/>
        </w:rPr>
      </w:pPr>
      <w:r>
        <w:rPr>
          <w:rFonts w:hint="eastAsia" w:eastAsia="宋体"/>
          <w:sz w:val="24"/>
          <w:szCs w:val="32"/>
        </w:rPr>
        <w:t>灌注桩桩身混凝土强度等级不应低于C25，预应力灌注桩桩身混凝土强度等级不应低于C30，预应力预制桩的桩身混凝土强度等级不应低于C40。</w:t>
      </w:r>
    </w:p>
    <w:p w14:paraId="5894FE1A">
      <w:pPr>
        <w:numPr>
          <w:ilvl w:val="2"/>
          <w:numId w:val="2"/>
        </w:numPr>
        <w:spacing w:line="360" w:lineRule="auto"/>
        <w:ind w:left="0" w:firstLine="0"/>
        <w:jc w:val="left"/>
        <w:rPr>
          <w:rFonts w:eastAsia="宋体"/>
          <w:sz w:val="24"/>
          <w:szCs w:val="32"/>
        </w:rPr>
      </w:pPr>
      <w:r>
        <w:rPr>
          <w:rFonts w:hint="eastAsia" w:eastAsia="宋体"/>
          <w:sz w:val="24"/>
          <w:szCs w:val="32"/>
        </w:rPr>
        <w:t>钢筋混凝土桩桩身混凝土裂缝控制和验算应符合下列要求：</w:t>
      </w:r>
    </w:p>
    <w:p w14:paraId="66E51FCF">
      <w:pPr>
        <w:numPr>
          <w:ilvl w:val="0"/>
          <w:numId w:val="19"/>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对于受长期或经常出现水平力或拔力的桩，应验算桩身的裂缝宽度，其最大裂缝宽度不得超过0.25mm。</w:t>
      </w:r>
    </w:p>
    <w:p w14:paraId="7F022568">
      <w:pPr>
        <w:numPr>
          <w:ilvl w:val="0"/>
          <w:numId w:val="19"/>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对于处于腐蚀介质环境中不允许桩身开裂以及施加预应力的桩应进行桩身混凝土的抗裂验算。</w:t>
      </w:r>
    </w:p>
    <w:p w14:paraId="1062057D">
      <w:pPr>
        <w:numPr>
          <w:ilvl w:val="0"/>
          <w:numId w:val="19"/>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复合预制桩桩身承载力及裂缝控制应按内芯进行验算；</w:t>
      </w:r>
    </w:p>
    <w:p w14:paraId="1B7945E2">
      <w:pPr>
        <w:numPr>
          <w:ilvl w:val="0"/>
          <w:numId w:val="19"/>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缓粘结预应力灌注桩裂缝控制应结合水浮力实际工况对缓粘结剂固化前与固化后两种受力状态分别进行验算；</w:t>
      </w:r>
    </w:p>
    <w:p w14:paraId="167AAECB">
      <w:pPr>
        <w:numPr>
          <w:ilvl w:val="0"/>
          <w:numId w:val="19"/>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当桩身钢筋采用分段配筋时，应按每个分段的桩身最大轴力进行桩身承载力和裂缝控制验算。</w:t>
      </w:r>
    </w:p>
    <w:p w14:paraId="7B90645B">
      <w:pPr>
        <w:numPr>
          <w:ilvl w:val="2"/>
          <w:numId w:val="2"/>
        </w:numPr>
        <w:spacing w:line="360" w:lineRule="auto"/>
        <w:ind w:left="9" w:hanging="9"/>
        <w:jc w:val="left"/>
        <w:rPr>
          <w:rFonts w:eastAsia="宋体"/>
          <w:sz w:val="24"/>
          <w:szCs w:val="32"/>
        </w:rPr>
      </w:pPr>
      <w:r>
        <w:rPr>
          <w:rFonts w:hint="eastAsia" w:eastAsia="宋体"/>
          <w:sz w:val="24"/>
          <w:szCs w:val="32"/>
        </w:rPr>
        <w:t>抗拔预制桩上、下段连接应采用可靠的机械连接方式，接头应紧密连接，并应满足最不利工况下的承载力要求；抗拔桩采用机械连接时，每根桩的接头数量不宜超过3个；采用焊接连接时应采用单节抗拔；桩的接头处抗弯性能不应低于桩身的抗弯性能，接头处抗拉强度不应低于桩身抗拉强度。</w:t>
      </w:r>
    </w:p>
    <w:p w14:paraId="6D66E341">
      <w:pPr>
        <w:numPr>
          <w:ilvl w:val="1"/>
          <w:numId w:val="2"/>
        </w:numPr>
        <w:spacing w:line="360" w:lineRule="auto"/>
        <w:ind w:left="0" w:firstLine="0"/>
        <w:jc w:val="center"/>
        <w:outlineLvl w:val="1"/>
        <w:rPr>
          <w:rFonts w:eastAsiaTheme="minorEastAsia"/>
          <w:b/>
          <w:bCs/>
          <w:sz w:val="24"/>
          <w:szCs w:val="24"/>
        </w:rPr>
      </w:pPr>
      <w:bookmarkStart w:id="114" w:name="_Toc31379"/>
      <w:r>
        <w:rPr>
          <w:rFonts w:eastAsiaTheme="minorEastAsia"/>
          <w:b/>
          <w:bCs/>
          <w:sz w:val="24"/>
          <w:szCs w:val="24"/>
        </w:rPr>
        <w:t>设计</w:t>
      </w:r>
      <w:bookmarkEnd w:id="114"/>
    </w:p>
    <w:p w14:paraId="1F29198B">
      <w:pPr>
        <w:numPr>
          <w:ilvl w:val="2"/>
          <w:numId w:val="2"/>
        </w:numPr>
        <w:spacing w:line="360" w:lineRule="auto"/>
        <w:ind w:left="0" w:firstLine="0"/>
        <w:jc w:val="left"/>
        <w:rPr>
          <w:rFonts w:eastAsia="宋体"/>
          <w:sz w:val="24"/>
          <w:szCs w:val="32"/>
        </w:rPr>
      </w:pPr>
      <w:r>
        <w:rPr>
          <w:rFonts w:hint="eastAsia" w:eastAsia="宋体"/>
          <w:sz w:val="24"/>
          <w:szCs w:val="32"/>
        </w:rPr>
        <w:t>初步设计时，灌注桩单桩竖向抗拔承载力标准值确定应符合下列规定:</w:t>
      </w:r>
    </w:p>
    <w:p w14:paraId="06C5B6C0">
      <w:pPr>
        <w:numPr>
          <w:ilvl w:val="0"/>
          <w:numId w:val="20"/>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单桩或群桩呈非整体破坏时，单桩竖向抗拔承载力标准值可按下式计算：</w:t>
      </w:r>
    </w:p>
    <w:p w14:paraId="6A00A1A3">
      <w:pPr>
        <w:spacing w:line="360" w:lineRule="auto"/>
        <w:jc w:val="right"/>
        <w:rPr>
          <w:rFonts w:eastAsiaTheme="minorEastAsia"/>
          <w:sz w:val="24"/>
          <w:szCs w:val="24"/>
        </w:rPr>
      </w:pPr>
      <w:r>
        <w:rPr>
          <w:i/>
          <w:iCs/>
          <w:position w:val="-14"/>
          <w:sz w:val="24"/>
          <w:szCs w:val="24"/>
        </w:rPr>
        <w:object>
          <v:shape id="_x0000_i1025" o:spt="75" type="#_x0000_t75" style="height:20.05pt;width:79.1pt;" o:ole="t" filled="f" o:preferrelative="t" stroked="f" coordsize="21600,21600">
            <v:path/>
            <v:fill on="f" focussize="0,0"/>
            <v:stroke on="f" joinstyle="miter"/>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rPr>
        <w:t xml:space="preserve">              </w:t>
      </w:r>
      <w:r>
        <w:rPr>
          <w:rFonts w:hint="eastAsia" w:eastAsiaTheme="minorEastAsia"/>
          <w:sz w:val="24"/>
          <w:szCs w:val="24"/>
        </w:rPr>
        <w:t>（7.2.1-1）</w:t>
      </w:r>
    </w:p>
    <w:p w14:paraId="3545EBC4">
      <w:pPr>
        <w:spacing w:line="360" w:lineRule="auto"/>
        <w:rPr>
          <w:rFonts w:eastAsia="宋体"/>
          <w:sz w:val="24"/>
          <w:szCs w:val="32"/>
        </w:rPr>
      </w:pPr>
      <w:r>
        <w:rPr>
          <w:rFonts w:hint="eastAsia" w:eastAsia="宋体"/>
          <w:sz w:val="24"/>
          <w:szCs w:val="32"/>
        </w:rPr>
        <w:t>式中：</w:t>
      </w:r>
      <w:r>
        <w:rPr>
          <w:rFonts w:hint="eastAsia" w:eastAsia="宋体"/>
          <w:i/>
          <w:iCs/>
          <w:sz w:val="24"/>
          <w:szCs w:val="32"/>
        </w:rPr>
        <w:t>R</w:t>
      </w:r>
      <w:r>
        <w:rPr>
          <w:rFonts w:hint="eastAsia" w:eastAsia="宋体"/>
          <w:sz w:val="24"/>
          <w:szCs w:val="32"/>
          <w:vertAlign w:val="subscript"/>
        </w:rPr>
        <w:t>ta</w:t>
      </w:r>
      <w:r>
        <w:rPr>
          <w:rFonts w:eastAsia="宋体"/>
          <w:sz w:val="24"/>
          <w:szCs w:val="32"/>
        </w:rPr>
        <w:t>——</w:t>
      </w:r>
      <w:r>
        <w:rPr>
          <w:rFonts w:hint="eastAsia" w:eastAsia="宋体"/>
          <w:sz w:val="24"/>
          <w:szCs w:val="32"/>
        </w:rPr>
        <w:t>单桩竖向抗拔承载力标准值（kN）；</w:t>
      </w:r>
    </w:p>
    <w:p w14:paraId="56729A37">
      <w:pPr>
        <w:spacing w:line="360" w:lineRule="auto"/>
        <w:ind w:left="1279" w:leftChars="225" w:hanging="559" w:hangingChars="233"/>
        <w:rPr>
          <w:rFonts w:eastAsiaTheme="minorEastAsia"/>
          <w:sz w:val="24"/>
          <w:szCs w:val="24"/>
        </w:rPr>
      </w:pPr>
      <w:r>
        <w:rPr>
          <w:rFonts w:eastAsia="宋体"/>
          <w:i/>
          <w:iCs/>
          <w:sz w:val="24"/>
          <w:szCs w:val="32"/>
        </w:rPr>
        <w:t>u</w:t>
      </w:r>
      <w:r>
        <w:rPr>
          <w:rFonts w:eastAsia="宋体"/>
          <w:i/>
          <w:iCs/>
          <w:sz w:val="24"/>
          <w:szCs w:val="32"/>
          <w:vertAlign w:val="subscript"/>
        </w:rPr>
        <w:t>i</w:t>
      </w:r>
      <w:r>
        <w:rPr>
          <w:rFonts w:eastAsia="宋体"/>
          <w:sz w:val="24"/>
          <w:szCs w:val="32"/>
        </w:rPr>
        <w:t>——</w:t>
      </w:r>
      <w:r>
        <w:rPr>
          <w:rFonts w:hint="eastAsia" w:eastAsiaTheme="minorEastAsia"/>
          <w:sz w:val="24"/>
          <w:szCs w:val="24"/>
        </w:rPr>
        <w:t>破坏表面桩身周长（m），对于等直径桩</w:t>
      </w:r>
      <w:r>
        <w:rPr>
          <w:rFonts w:hint="eastAsia" w:eastAsiaTheme="minorEastAsia"/>
          <w:i/>
          <w:iCs/>
          <w:sz w:val="24"/>
          <w:szCs w:val="24"/>
        </w:rPr>
        <w:t>u</w:t>
      </w:r>
      <w:r>
        <w:rPr>
          <w:rFonts w:hint="eastAsia" w:eastAsiaTheme="minorEastAsia"/>
          <w:sz w:val="24"/>
          <w:szCs w:val="24"/>
          <w:vertAlign w:val="subscript"/>
        </w:rPr>
        <w:t>i</w:t>
      </w:r>
      <w:r>
        <w:rPr>
          <w:rFonts w:hint="eastAsia" w:eastAsiaTheme="minorEastAsia"/>
          <w:sz w:val="24"/>
          <w:szCs w:val="24"/>
        </w:rPr>
        <w:t>=</w:t>
      </w:r>
      <w:r>
        <w:rPr>
          <w:rFonts w:eastAsiaTheme="minorEastAsia"/>
          <w:i/>
          <w:iCs/>
          <w:sz w:val="24"/>
          <w:szCs w:val="24"/>
        </w:rPr>
        <w:t>π</w:t>
      </w:r>
      <w:r>
        <w:rPr>
          <w:rFonts w:hint="eastAsia" w:eastAsiaTheme="minorEastAsia"/>
          <w:i/>
          <w:iCs/>
          <w:sz w:val="24"/>
          <w:szCs w:val="24"/>
        </w:rPr>
        <w:t>d</w:t>
      </w:r>
      <w:r>
        <w:rPr>
          <w:rFonts w:hint="eastAsia" w:eastAsiaTheme="minorEastAsia"/>
          <w:sz w:val="24"/>
          <w:szCs w:val="24"/>
        </w:rPr>
        <w:t>；对于扩底桩按表7.2.1取值；</w:t>
      </w:r>
    </w:p>
    <w:p w14:paraId="05930BEC">
      <w:pPr>
        <w:spacing w:line="360" w:lineRule="auto"/>
        <w:ind w:left="1279" w:leftChars="225" w:hanging="559" w:hangingChars="233"/>
        <w:rPr>
          <w:rFonts w:eastAsiaTheme="minorEastAsia"/>
          <w:sz w:val="24"/>
          <w:szCs w:val="24"/>
        </w:rPr>
      </w:pPr>
      <w:r>
        <w:rPr>
          <w:rFonts w:eastAsia="宋体"/>
          <w:i/>
          <w:iCs/>
          <w:sz w:val="24"/>
          <w:szCs w:val="32"/>
        </w:rPr>
        <w:t>λ</w:t>
      </w:r>
      <w:r>
        <w:rPr>
          <w:rFonts w:eastAsia="宋体"/>
          <w:i/>
          <w:iCs/>
          <w:sz w:val="24"/>
          <w:szCs w:val="32"/>
          <w:vertAlign w:val="subscript"/>
        </w:rPr>
        <w:t>i</w:t>
      </w:r>
      <w:r>
        <w:rPr>
          <w:rFonts w:eastAsia="宋体"/>
          <w:sz w:val="24"/>
          <w:szCs w:val="32"/>
        </w:rPr>
        <w:t>——</w:t>
      </w:r>
      <w:r>
        <w:rPr>
          <w:rFonts w:hint="eastAsia" w:eastAsiaTheme="minorEastAsia"/>
          <w:sz w:val="24"/>
          <w:szCs w:val="24"/>
        </w:rPr>
        <w:t>抗拔系数，对于黏性土和粉土，</w:t>
      </w:r>
      <w:r>
        <w:rPr>
          <w:rFonts w:eastAsiaTheme="minorEastAsia"/>
          <w:i/>
          <w:iCs/>
          <w:sz w:val="24"/>
          <w:szCs w:val="24"/>
        </w:rPr>
        <w:t>λ</w:t>
      </w:r>
      <w:r>
        <w:rPr>
          <w:rFonts w:hint="eastAsia" w:eastAsiaTheme="minorEastAsia"/>
          <w:i/>
          <w:iCs/>
          <w:sz w:val="24"/>
          <w:szCs w:val="24"/>
          <w:vertAlign w:val="subscript"/>
        </w:rPr>
        <w:t>i</w:t>
      </w:r>
      <w:r>
        <w:rPr>
          <w:rFonts w:hint="eastAsia" w:eastAsiaTheme="minorEastAsia"/>
          <w:sz w:val="24"/>
          <w:szCs w:val="24"/>
        </w:rPr>
        <w:t>取0.70~0.80；对于砂土，</w:t>
      </w:r>
      <w:r>
        <w:rPr>
          <w:rFonts w:eastAsiaTheme="minorEastAsia"/>
          <w:i/>
          <w:iCs/>
          <w:sz w:val="24"/>
          <w:szCs w:val="24"/>
        </w:rPr>
        <w:t>λ</w:t>
      </w:r>
      <w:r>
        <w:rPr>
          <w:rFonts w:hint="eastAsia" w:eastAsiaTheme="minorEastAsia"/>
          <w:i/>
          <w:iCs/>
          <w:sz w:val="24"/>
          <w:szCs w:val="24"/>
          <w:vertAlign w:val="subscript"/>
        </w:rPr>
        <w:t>i</w:t>
      </w:r>
      <w:r>
        <w:rPr>
          <w:rFonts w:hint="eastAsia" w:eastAsiaTheme="minorEastAsia"/>
          <w:sz w:val="24"/>
          <w:szCs w:val="24"/>
        </w:rPr>
        <w:t>取0.40~0.60；桩长</w:t>
      </w:r>
      <w:r>
        <w:rPr>
          <w:rFonts w:hint="eastAsia" w:eastAsiaTheme="minorEastAsia"/>
          <w:i/>
          <w:iCs/>
          <w:sz w:val="24"/>
          <w:szCs w:val="24"/>
        </w:rPr>
        <w:t>l</w:t>
      </w:r>
      <w:r>
        <w:rPr>
          <w:rFonts w:hint="eastAsia" w:eastAsiaTheme="minorEastAsia"/>
          <w:sz w:val="24"/>
          <w:szCs w:val="24"/>
        </w:rPr>
        <w:t>与桩径</w:t>
      </w:r>
      <w:r>
        <w:rPr>
          <w:rFonts w:hint="eastAsia" w:eastAsiaTheme="minorEastAsia"/>
          <w:i/>
          <w:iCs/>
          <w:sz w:val="24"/>
          <w:szCs w:val="24"/>
        </w:rPr>
        <w:t>d</w:t>
      </w:r>
      <w:r>
        <w:rPr>
          <w:rFonts w:hint="eastAsia" w:eastAsiaTheme="minorEastAsia"/>
          <w:sz w:val="24"/>
          <w:szCs w:val="24"/>
        </w:rPr>
        <w:t>之比小于20时，</w:t>
      </w:r>
      <w:r>
        <w:rPr>
          <w:rFonts w:eastAsiaTheme="minorEastAsia"/>
          <w:i/>
          <w:iCs/>
          <w:sz w:val="24"/>
          <w:szCs w:val="24"/>
        </w:rPr>
        <w:t>λ</w:t>
      </w:r>
      <w:r>
        <w:rPr>
          <w:rFonts w:hint="eastAsia" w:eastAsiaTheme="minorEastAsia"/>
          <w:i/>
          <w:iCs/>
          <w:sz w:val="24"/>
          <w:szCs w:val="24"/>
          <w:vertAlign w:val="subscript"/>
        </w:rPr>
        <w:t>i</w:t>
      </w:r>
      <w:r>
        <w:rPr>
          <w:rFonts w:hint="eastAsia" w:eastAsiaTheme="minorEastAsia"/>
          <w:sz w:val="24"/>
          <w:szCs w:val="24"/>
        </w:rPr>
        <w:t>取小值。</w:t>
      </w:r>
    </w:p>
    <w:p w14:paraId="753D0B56">
      <w:pPr>
        <w:spacing w:line="360" w:lineRule="auto"/>
        <w:jc w:val="center"/>
        <w:rPr>
          <w:rFonts w:eastAsiaTheme="minorEastAsia"/>
          <w:sz w:val="20"/>
        </w:rPr>
      </w:pPr>
      <w:r>
        <w:rPr>
          <w:rFonts w:hint="eastAsia" w:eastAsiaTheme="minorEastAsia"/>
          <w:sz w:val="20"/>
        </w:rPr>
        <w:t>表7.2.1  扩底桩破坏表面周长</w:t>
      </w:r>
      <w:r>
        <w:rPr>
          <w:rFonts w:eastAsia="宋体"/>
          <w:i/>
          <w:iCs/>
          <w:sz w:val="24"/>
          <w:szCs w:val="32"/>
        </w:rPr>
        <w:t>u</w:t>
      </w:r>
      <w:r>
        <w:rPr>
          <w:rFonts w:eastAsia="宋体"/>
          <w:sz w:val="24"/>
          <w:szCs w:val="32"/>
          <w:vertAlign w:val="subscript"/>
        </w:rPr>
        <w:t>i</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5"/>
        <w:gridCol w:w="2775"/>
        <w:gridCol w:w="2776"/>
      </w:tblGrid>
      <w:tr w14:paraId="59E3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840" w:type="dxa"/>
            <w:vAlign w:val="center"/>
          </w:tcPr>
          <w:p w14:paraId="41E8E1B2">
            <w:pPr>
              <w:spacing w:line="360" w:lineRule="auto"/>
              <w:jc w:val="center"/>
              <w:rPr>
                <w:rFonts w:eastAsiaTheme="minorEastAsia"/>
                <w:position w:val="-10"/>
                <w:sz w:val="24"/>
                <w:szCs w:val="24"/>
              </w:rPr>
            </w:pPr>
            <w:r>
              <w:rPr>
                <w:rFonts w:hint="eastAsia" w:eastAsiaTheme="minorEastAsia"/>
                <w:position w:val="-10"/>
                <w:sz w:val="24"/>
                <w:szCs w:val="24"/>
              </w:rPr>
              <w:t>自桩底起算的长度</w:t>
            </w:r>
            <w:r>
              <w:rPr>
                <w:rFonts w:eastAsiaTheme="minorEastAsia"/>
                <w:i/>
                <w:iCs/>
                <w:position w:val="-10"/>
                <w:sz w:val="24"/>
                <w:szCs w:val="24"/>
              </w:rPr>
              <w:t>l</w:t>
            </w:r>
            <w:r>
              <w:rPr>
                <w:rFonts w:eastAsiaTheme="minorEastAsia"/>
                <w:position w:val="-10"/>
                <w:sz w:val="24"/>
                <w:szCs w:val="24"/>
                <w:vertAlign w:val="subscript"/>
              </w:rPr>
              <w:t>i</w:t>
            </w:r>
          </w:p>
        </w:tc>
        <w:tc>
          <w:tcPr>
            <w:tcW w:w="2841" w:type="dxa"/>
            <w:vAlign w:val="center"/>
          </w:tcPr>
          <w:p w14:paraId="1E274275">
            <w:pPr>
              <w:widowControl/>
              <w:spacing w:line="360" w:lineRule="auto"/>
              <w:jc w:val="center"/>
              <w:rPr>
                <w:rFonts w:eastAsiaTheme="minorEastAsia"/>
                <w:position w:val="-10"/>
                <w:sz w:val="24"/>
                <w:szCs w:val="24"/>
              </w:rPr>
            </w:pPr>
            <w:r>
              <w:rPr>
                <w:rFonts w:hint="eastAsia" w:eastAsiaTheme="minorEastAsia"/>
                <w:position w:val="-10"/>
                <w:sz w:val="24"/>
                <w:szCs w:val="24"/>
              </w:rPr>
              <w:t>≤（4~10）</w:t>
            </w:r>
            <w:r>
              <w:rPr>
                <w:rFonts w:eastAsiaTheme="minorEastAsia"/>
                <w:i/>
                <w:iCs/>
                <w:position w:val="-10"/>
                <w:sz w:val="24"/>
                <w:szCs w:val="24"/>
              </w:rPr>
              <w:t>d</w:t>
            </w:r>
          </w:p>
        </w:tc>
        <w:tc>
          <w:tcPr>
            <w:tcW w:w="2841" w:type="dxa"/>
            <w:vAlign w:val="center"/>
          </w:tcPr>
          <w:p w14:paraId="632D3F58">
            <w:pPr>
              <w:widowControl/>
              <w:spacing w:line="360" w:lineRule="auto"/>
              <w:jc w:val="center"/>
              <w:rPr>
                <w:rFonts w:eastAsiaTheme="minorEastAsia"/>
                <w:position w:val="-10"/>
                <w:sz w:val="24"/>
                <w:szCs w:val="24"/>
              </w:rPr>
            </w:pPr>
            <w:r>
              <w:rPr>
                <w:rFonts w:hint="eastAsia" w:eastAsiaTheme="minorEastAsia"/>
                <w:position w:val="-10"/>
                <w:sz w:val="24"/>
                <w:szCs w:val="24"/>
              </w:rPr>
              <w:t>&gt;（4~10）</w:t>
            </w:r>
            <w:r>
              <w:rPr>
                <w:rFonts w:eastAsiaTheme="minorEastAsia"/>
                <w:i/>
                <w:iCs/>
                <w:position w:val="-10"/>
                <w:sz w:val="24"/>
                <w:szCs w:val="24"/>
              </w:rPr>
              <w:t>d</w:t>
            </w:r>
          </w:p>
        </w:tc>
      </w:tr>
      <w:tr w14:paraId="2763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1AD4F249">
            <w:pPr>
              <w:spacing w:line="360" w:lineRule="auto"/>
              <w:jc w:val="center"/>
              <w:rPr>
                <w:rFonts w:eastAsiaTheme="minorEastAsia"/>
                <w:position w:val="-10"/>
                <w:sz w:val="24"/>
                <w:szCs w:val="24"/>
              </w:rPr>
            </w:pPr>
            <w:r>
              <w:rPr>
                <w:rFonts w:eastAsia="宋体"/>
                <w:i/>
                <w:iCs/>
                <w:sz w:val="24"/>
                <w:szCs w:val="32"/>
              </w:rPr>
              <w:t>u</w:t>
            </w:r>
            <w:r>
              <w:rPr>
                <w:rFonts w:hint="eastAsia" w:eastAsia="宋体"/>
                <w:i/>
                <w:iCs/>
                <w:sz w:val="24"/>
                <w:szCs w:val="32"/>
                <w:vertAlign w:val="subscript"/>
              </w:rPr>
              <w:t>i</w:t>
            </w:r>
          </w:p>
        </w:tc>
        <w:tc>
          <w:tcPr>
            <w:tcW w:w="2841" w:type="dxa"/>
            <w:vAlign w:val="center"/>
          </w:tcPr>
          <w:p w14:paraId="765F8AD8">
            <w:pPr>
              <w:spacing w:line="360" w:lineRule="auto"/>
              <w:jc w:val="center"/>
              <w:rPr>
                <w:rFonts w:eastAsiaTheme="minorEastAsia"/>
                <w:position w:val="-10"/>
                <w:sz w:val="24"/>
                <w:szCs w:val="24"/>
              </w:rPr>
            </w:pPr>
            <w:r>
              <w:rPr>
                <w:rFonts w:eastAsiaTheme="minorEastAsia"/>
                <w:position w:val="-10"/>
                <w:sz w:val="24"/>
                <w:szCs w:val="24"/>
              </w:rPr>
              <w:t>π</w:t>
            </w:r>
            <w:r>
              <w:rPr>
                <w:rFonts w:eastAsiaTheme="minorEastAsia"/>
                <w:i/>
                <w:iCs/>
                <w:position w:val="-10"/>
                <w:sz w:val="24"/>
                <w:szCs w:val="24"/>
              </w:rPr>
              <w:t>D</w:t>
            </w:r>
          </w:p>
        </w:tc>
        <w:tc>
          <w:tcPr>
            <w:tcW w:w="2841" w:type="dxa"/>
            <w:vAlign w:val="center"/>
          </w:tcPr>
          <w:p w14:paraId="4A5E86BD">
            <w:pPr>
              <w:spacing w:line="360" w:lineRule="auto"/>
              <w:jc w:val="center"/>
              <w:rPr>
                <w:rFonts w:eastAsiaTheme="minorEastAsia"/>
                <w:position w:val="-10"/>
                <w:sz w:val="24"/>
                <w:szCs w:val="24"/>
              </w:rPr>
            </w:pPr>
            <w:r>
              <w:rPr>
                <w:rFonts w:eastAsiaTheme="minorEastAsia"/>
                <w:position w:val="-10"/>
                <w:sz w:val="24"/>
                <w:szCs w:val="24"/>
              </w:rPr>
              <w:t>π</w:t>
            </w:r>
            <w:r>
              <w:rPr>
                <w:rFonts w:eastAsiaTheme="minorEastAsia"/>
                <w:i/>
                <w:iCs/>
                <w:position w:val="-10"/>
                <w:sz w:val="24"/>
                <w:szCs w:val="24"/>
              </w:rPr>
              <w:t>d</w:t>
            </w:r>
          </w:p>
        </w:tc>
      </w:tr>
    </w:tbl>
    <w:p w14:paraId="3FA21111">
      <w:pPr>
        <w:spacing w:line="360" w:lineRule="auto"/>
        <w:rPr>
          <w:rFonts w:eastAsia="宋体"/>
          <w:sz w:val="24"/>
          <w:szCs w:val="32"/>
        </w:rPr>
      </w:pPr>
      <w:r>
        <w:rPr>
          <w:rFonts w:hint="eastAsia" w:eastAsia="宋体"/>
          <w:sz w:val="24"/>
          <w:szCs w:val="32"/>
        </w:rPr>
        <w:t xml:space="preserve">注：1 </w:t>
      </w:r>
      <w:r>
        <w:rPr>
          <w:rFonts w:eastAsia="宋体"/>
          <w:sz w:val="24"/>
          <w:szCs w:val="32"/>
        </w:rPr>
        <w:t xml:space="preserve"> </w:t>
      </w:r>
      <w:r>
        <w:rPr>
          <w:rFonts w:eastAsia="宋体"/>
          <w:i/>
          <w:iCs/>
          <w:sz w:val="24"/>
          <w:szCs w:val="32"/>
        </w:rPr>
        <w:t>l</w:t>
      </w:r>
      <w:r>
        <w:rPr>
          <w:rFonts w:eastAsia="宋体"/>
          <w:i/>
          <w:iCs/>
          <w:sz w:val="24"/>
          <w:szCs w:val="32"/>
          <w:vertAlign w:val="subscript"/>
        </w:rPr>
        <w:t>i</w:t>
      </w:r>
      <w:r>
        <w:rPr>
          <w:rFonts w:hint="eastAsia" w:eastAsia="宋体"/>
          <w:sz w:val="24"/>
          <w:szCs w:val="32"/>
        </w:rPr>
        <w:t>对于软土取低值、砾石取高值；</w:t>
      </w:r>
      <w:r>
        <w:rPr>
          <w:rFonts w:eastAsia="宋体"/>
          <w:i/>
          <w:iCs/>
          <w:sz w:val="24"/>
          <w:szCs w:val="32"/>
        </w:rPr>
        <w:t>l</w:t>
      </w:r>
      <w:r>
        <w:rPr>
          <w:rFonts w:eastAsia="宋体"/>
          <w:sz w:val="24"/>
          <w:szCs w:val="32"/>
          <w:vertAlign w:val="subscript"/>
        </w:rPr>
        <w:t>i</w:t>
      </w:r>
      <w:r>
        <w:rPr>
          <w:rFonts w:hint="eastAsia" w:eastAsia="宋体"/>
          <w:sz w:val="24"/>
          <w:szCs w:val="32"/>
        </w:rPr>
        <w:t>取值按内摩擦角增大而增加；</w:t>
      </w:r>
    </w:p>
    <w:p w14:paraId="47757F62">
      <w:pPr>
        <w:spacing w:line="360" w:lineRule="auto"/>
        <w:ind w:firstLine="480" w:firstLineChars="200"/>
        <w:rPr>
          <w:rFonts w:eastAsia="宋体"/>
          <w:sz w:val="24"/>
          <w:szCs w:val="24"/>
        </w:rPr>
      </w:pPr>
      <w:r>
        <w:rPr>
          <w:rFonts w:eastAsia="宋体"/>
          <w:sz w:val="24"/>
          <w:szCs w:val="32"/>
        </w:rPr>
        <w:t xml:space="preserve">2 </w:t>
      </w:r>
      <w:r>
        <w:rPr>
          <w:rFonts w:hint="eastAsia" w:eastAsia="宋体"/>
          <w:sz w:val="24"/>
          <w:szCs w:val="32"/>
        </w:rPr>
        <w:t xml:space="preserve"> </w:t>
      </w:r>
      <w:r>
        <w:rPr>
          <w:rFonts w:eastAsia="宋体"/>
          <w:i/>
          <w:iCs/>
          <w:sz w:val="24"/>
          <w:szCs w:val="32"/>
        </w:rPr>
        <w:t>D</w:t>
      </w:r>
      <w:r>
        <w:rPr>
          <w:rFonts w:hint="eastAsia" w:eastAsia="宋体"/>
          <w:sz w:val="24"/>
          <w:szCs w:val="32"/>
        </w:rPr>
        <w:t>为桩端扩底直径。</w:t>
      </w:r>
    </w:p>
    <w:p w14:paraId="01A4B403">
      <w:pPr>
        <w:numPr>
          <w:ilvl w:val="0"/>
          <w:numId w:val="20"/>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群桩呈整体破坏时，单桩竖向抗拔承载力标准值可按下式计算：</w:t>
      </w:r>
    </w:p>
    <w:p w14:paraId="269A8FAA">
      <w:pPr>
        <w:spacing w:line="360" w:lineRule="auto"/>
        <w:jc w:val="right"/>
        <w:rPr>
          <w:rFonts w:hAnsi="Cambria Math"/>
        </w:rPr>
      </w:pPr>
      <w:r>
        <w:rPr>
          <w:rFonts w:ascii="Cambria Math" w:hAnsi="Cambria Math"/>
          <w:i/>
          <w:iCs/>
          <w:position w:val="-24"/>
          <w:sz w:val="24"/>
          <w:szCs w:val="24"/>
        </w:rPr>
        <w:object>
          <v:shape id="_x0000_i1026" o:spt="75" type="#_x0000_t75" style="height:31.3pt;width:93.9pt;" o:ole="t" filled="f" o:preferrelative="t" stroked="f" coordsize="21600,21600">
            <v:path/>
            <v:fill on="f" focussize="0,0"/>
            <v:stroke on="f" joinstyle="miter"/>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hAnsi="Cambria Math"/>
          <w:i/>
          <w:iCs/>
          <w:sz w:val="24"/>
          <w:szCs w:val="24"/>
        </w:rPr>
        <w:t xml:space="preserve">                 </w:t>
      </w:r>
      <w:r>
        <w:rPr>
          <w:rFonts w:hint="eastAsia" w:eastAsiaTheme="minorEastAsia"/>
          <w:sz w:val="24"/>
          <w:szCs w:val="24"/>
        </w:rPr>
        <w:t>（7.2.1-2）</w:t>
      </w:r>
    </w:p>
    <w:p w14:paraId="1286258F">
      <w:pPr>
        <w:spacing w:line="360" w:lineRule="auto"/>
        <w:rPr>
          <w:rFonts w:eastAsia="宋体"/>
          <w:sz w:val="24"/>
          <w:szCs w:val="32"/>
        </w:rPr>
      </w:pPr>
      <w:r>
        <w:rPr>
          <w:rFonts w:hint="eastAsia" w:eastAsia="宋体"/>
          <w:sz w:val="24"/>
          <w:szCs w:val="32"/>
        </w:rPr>
        <w:t>式中：</w:t>
      </w:r>
      <w:r>
        <w:rPr>
          <w:rFonts w:eastAsia="宋体"/>
          <w:i/>
          <w:iCs/>
          <w:sz w:val="24"/>
          <w:szCs w:val="32"/>
        </w:rPr>
        <w:t>u</w:t>
      </w:r>
      <w:r>
        <w:rPr>
          <w:rFonts w:hint="eastAsia" w:eastAsia="宋体"/>
          <w:sz w:val="24"/>
          <w:szCs w:val="32"/>
          <w:vertAlign w:val="subscript"/>
        </w:rPr>
        <w:t>l</w:t>
      </w:r>
      <w:r>
        <w:rPr>
          <w:rFonts w:eastAsia="宋体"/>
          <w:sz w:val="24"/>
          <w:szCs w:val="32"/>
        </w:rPr>
        <w:t>——</w:t>
      </w:r>
      <w:r>
        <w:rPr>
          <w:rFonts w:hint="eastAsia" w:eastAsia="宋体"/>
          <w:sz w:val="24"/>
          <w:szCs w:val="32"/>
        </w:rPr>
        <w:t>桩群外围周长（m）</w:t>
      </w:r>
    </w:p>
    <w:p w14:paraId="3F5B91CA">
      <w:pPr>
        <w:spacing w:line="360" w:lineRule="auto"/>
        <w:ind w:left="1279" w:leftChars="225" w:hanging="559" w:hangingChars="233"/>
        <w:rPr>
          <w:rFonts w:eastAsia="宋体"/>
          <w:sz w:val="24"/>
          <w:szCs w:val="32"/>
        </w:rPr>
      </w:pPr>
      <w:r>
        <w:rPr>
          <w:rFonts w:hint="eastAsia" w:eastAsia="宋体"/>
          <w:i/>
          <w:iCs/>
          <w:sz w:val="24"/>
          <w:szCs w:val="32"/>
        </w:rPr>
        <w:t>n</w:t>
      </w:r>
      <w:r>
        <w:rPr>
          <w:rFonts w:eastAsia="宋体"/>
          <w:sz w:val="24"/>
          <w:szCs w:val="32"/>
        </w:rPr>
        <w:t>——</w:t>
      </w:r>
      <w:r>
        <w:rPr>
          <w:rFonts w:hint="eastAsia" w:eastAsia="宋体"/>
          <w:sz w:val="24"/>
          <w:szCs w:val="32"/>
        </w:rPr>
        <w:t>桩群中桩的数量。</w:t>
      </w:r>
    </w:p>
    <w:p w14:paraId="36F4C25F">
      <w:pPr>
        <w:numPr>
          <w:ilvl w:val="2"/>
          <w:numId w:val="2"/>
        </w:numPr>
        <w:spacing w:line="360" w:lineRule="auto"/>
        <w:ind w:left="0" w:firstLine="0"/>
        <w:jc w:val="left"/>
        <w:rPr>
          <w:rFonts w:eastAsia="宋体"/>
          <w:sz w:val="24"/>
          <w:szCs w:val="32"/>
        </w:rPr>
      </w:pPr>
      <w:r>
        <w:rPr>
          <w:rFonts w:hint="eastAsia" w:eastAsia="宋体"/>
          <w:sz w:val="24"/>
          <w:szCs w:val="32"/>
        </w:rPr>
        <w:t>后注浆钻孔灌注桩的单桩竖向抗拔承载力标准值，可按下式估算：</w:t>
      </w:r>
    </w:p>
    <w:p w14:paraId="66D17959">
      <w:pPr>
        <w:spacing w:line="360" w:lineRule="auto"/>
        <w:jc w:val="right"/>
        <w:rPr>
          <w:rFonts w:eastAsiaTheme="minorEastAsia"/>
          <w:sz w:val="24"/>
          <w:szCs w:val="24"/>
        </w:rPr>
      </w:pPr>
      <w:r>
        <w:rPr>
          <w:i/>
          <w:iCs/>
          <w:position w:val="-14"/>
          <w:sz w:val="24"/>
          <w:szCs w:val="24"/>
        </w:rPr>
        <w:object>
          <v:shape id="_x0000_i1027" o:spt="75" type="#_x0000_t75" style="height:20.05pt;width:169.9pt;" o:ole="t" filled="f" o:preferrelative="t" stroked="f" coordsize="21600,21600">
            <v:path/>
            <v:fill on="f" focussize="0,0"/>
            <v:stroke on="f" joinstyle="miter"/>
            <v:imagedata r:id="rId12" o:title=""/>
            <o:lock v:ext="edit" aspectratio="t"/>
            <w10:wrap type="none"/>
            <w10:anchorlock/>
          </v:shape>
          <o:OLEObject Type="Embed" ProgID="Equation.KSEE3" ShapeID="_x0000_i1027" DrawAspect="Content" ObjectID="_1468075727" r:id="rId11">
            <o:LockedField>false</o:LockedField>
          </o:OLEObject>
        </w:object>
      </w:r>
      <w:r>
        <w:rPr>
          <w:rFonts w:hint="eastAsia"/>
          <w:i/>
          <w:iCs/>
          <w:sz w:val="24"/>
          <w:szCs w:val="24"/>
        </w:rPr>
        <w:t xml:space="preserve">            </w:t>
      </w:r>
      <w:r>
        <w:rPr>
          <w:rFonts w:hint="eastAsia" w:eastAsiaTheme="minorEastAsia"/>
          <w:sz w:val="24"/>
          <w:szCs w:val="24"/>
        </w:rPr>
        <w:t>（7.2.2）</w:t>
      </w:r>
    </w:p>
    <w:p w14:paraId="0D292613">
      <w:pPr>
        <w:spacing w:line="360" w:lineRule="auto"/>
        <w:rPr>
          <w:rFonts w:eastAsia="宋体"/>
          <w:sz w:val="24"/>
        </w:rPr>
      </w:pPr>
      <w:r>
        <w:rPr>
          <w:rFonts w:hint="eastAsia" w:eastAsia="宋体"/>
          <w:sz w:val="24"/>
        </w:rPr>
        <w:t>式中：</w:t>
      </w:r>
      <w:r>
        <w:rPr>
          <w:rFonts w:eastAsia="宋体"/>
          <w:i/>
          <w:iCs/>
          <w:sz w:val="24"/>
        </w:rPr>
        <w:t>l</w:t>
      </w:r>
      <w:r>
        <w:rPr>
          <w:rFonts w:eastAsia="宋体"/>
          <w:i/>
          <w:iCs/>
          <w:sz w:val="24"/>
          <w:vertAlign w:val="subscript"/>
        </w:rPr>
        <w:t>j</w:t>
      </w:r>
      <w:r>
        <w:rPr>
          <w:rFonts w:eastAsia="宋体"/>
          <w:sz w:val="24"/>
        </w:rPr>
        <w:t>——</w:t>
      </w:r>
      <w:r>
        <w:rPr>
          <w:rFonts w:hint="eastAsia" w:eastAsia="宋体"/>
          <w:sz w:val="24"/>
        </w:rPr>
        <w:t>后注浆非竖向增强段第</w:t>
      </w:r>
      <w:r>
        <w:rPr>
          <w:rFonts w:eastAsia="宋体"/>
          <w:i/>
          <w:iCs/>
          <w:sz w:val="24"/>
        </w:rPr>
        <w:t>j</w:t>
      </w:r>
      <w:r>
        <w:rPr>
          <w:rFonts w:hint="eastAsia" w:eastAsia="宋体"/>
          <w:sz w:val="24"/>
        </w:rPr>
        <w:t>层土厚度（m）；</w:t>
      </w:r>
    </w:p>
    <w:p w14:paraId="7EA6591A">
      <w:pPr>
        <w:spacing w:line="360" w:lineRule="auto"/>
        <w:ind w:left="1279" w:leftChars="225" w:hanging="559" w:hangingChars="233"/>
        <w:rPr>
          <w:rFonts w:eastAsia="宋体"/>
          <w:sz w:val="24"/>
        </w:rPr>
      </w:pPr>
      <w:r>
        <w:rPr>
          <w:rFonts w:eastAsia="宋体"/>
          <w:i/>
          <w:iCs/>
          <w:sz w:val="24"/>
        </w:rPr>
        <w:t>l</w:t>
      </w:r>
      <w:r>
        <w:rPr>
          <w:rFonts w:eastAsia="宋体"/>
          <w:sz w:val="24"/>
          <w:vertAlign w:val="subscript"/>
        </w:rPr>
        <w:t>g</w:t>
      </w:r>
      <w:r>
        <w:rPr>
          <w:rFonts w:eastAsia="宋体"/>
          <w:i/>
          <w:iCs/>
          <w:sz w:val="24"/>
          <w:vertAlign w:val="subscript"/>
        </w:rPr>
        <w:t>i</w:t>
      </w:r>
      <w:r>
        <w:rPr>
          <w:rFonts w:eastAsia="宋体"/>
          <w:sz w:val="24"/>
          <w:szCs w:val="32"/>
        </w:rPr>
        <w:t>——</w:t>
      </w:r>
      <w:r>
        <w:rPr>
          <w:rFonts w:hint="eastAsia" w:eastAsia="宋体"/>
          <w:sz w:val="24"/>
        </w:rPr>
        <w:t>后注浆竖向增强段内第</w:t>
      </w:r>
      <w:r>
        <w:rPr>
          <w:rFonts w:eastAsia="宋体"/>
          <w:i/>
          <w:iCs/>
          <w:sz w:val="24"/>
        </w:rPr>
        <w:t>i</w:t>
      </w:r>
      <w:r>
        <w:rPr>
          <w:rFonts w:hint="eastAsia" w:eastAsia="宋体"/>
          <w:sz w:val="24"/>
        </w:rPr>
        <w:t>层土厚度（m）：当仅为桩端后注浆时，竖向增强段为桩端以上12m；当桩端、桩侧同时后注浆时，竖向增强段为桩端以上与桩侧注浆断面以上12m之和，重叠部分扣除；</w:t>
      </w:r>
    </w:p>
    <w:p w14:paraId="4EB52F1C">
      <w:pPr>
        <w:spacing w:line="360" w:lineRule="auto"/>
        <w:ind w:left="1277" w:hanging="1276" w:hangingChars="532"/>
        <w:rPr>
          <w:rFonts w:eastAsia="宋体"/>
          <w:sz w:val="24"/>
        </w:rPr>
      </w:pPr>
      <w:r>
        <w:rPr>
          <w:rFonts w:eastAsia="宋体"/>
          <w:i/>
          <w:iCs/>
          <w:sz w:val="24"/>
        </w:rPr>
        <w:t>q</w:t>
      </w:r>
      <w:r>
        <w:rPr>
          <w:rFonts w:eastAsia="宋体"/>
          <w:sz w:val="24"/>
          <w:vertAlign w:val="subscript"/>
        </w:rPr>
        <w:t>s</w:t>
      </w:r>
      <w:r>
        <w:rPr>
          <w:rFonts w:eastAsia="宋体"/>
          <w:i/>
          <w:iCs/>
          <w:sz w:val="24"/>
          <w:vertAlign w:val="subscript"/>
        </w:rPr>
        <w:t>j</w:t>
      </w:r>
      <w:r>
        <w:rPr>
          <w:rFonts w:hint="eastAsia" w:eastAsia="宋体"/>
          <w:i/>
          <w:iCs/>
          <w:sz w:val="24"/>
        </w:rPr>
        <w:t>、</w:t>
      </w:r>
      <w:r>
        <w:rPr>
          <w:rFonts w:eastAsia="宋体"/>
          <w:i/>
          <w:iCs/>
          <w:sz w:val="24"/>
        </w:rPr>
        <w:t>q</w:t>
      </w:r>
      <w:r>
        <w:rPr>
          <w:rFonts w:eastAsia="宋体"/>
          <w:sz w:val="24"/>
          <w:vertAlign w:val="subscript"/>
        </w:rPr>
        <w:t>s</w:t>
      </w:r>
      <w:r>
        <w:rPr>
          <w:rFonts w:eastAsia="宋体"/>
          <w:i/>
          <w:iCs/>
          <w:sz w:val="24"/>
          <w:vertAlign w:val="subscript"/>
        </w:rPr>
        <w:t>i</w:t>
      </w:r>
      <w:r>
        <w:rPr>
          <w:rFonts w:eastAsia="宋体"/>
          <w:sz w:val="24"/>
          <w:szCs w:val="32"/>
        </w:rPr>
        <w:t>——</w:t>
      </w:r>
      <w:r>
        <w:rPr>
          <w:rFonts w:hint="eastAsia" w:eastAsia="宋体"/>
          <w:sz w:val="24"/>
        </w:rPr>
        <w:t>分别为后注浆非竖向增强段第</w:t>
      </w:r>
      <w:r>
        <w:rPr>
          <w:rFonts w:eastAsia="宋体"/>
          <w:i/>
          <w:iCs/>
          <w:sz w:val="24"/>
        </w:rPr>
        <w:t>j</w:t>
      </w:r>
      <w:r>
        <w:rPr>
          <w:rFonts w:hint="eastAsia" w:eastAsia="宋体"/>
          <w:sz w:val="24"/>
        </w:rPr>
        <w:t>层土侧阻力标准值、竖向增强段第</w:t>
      </w:r>
      <w:r>
        <w:rPr>
          <w:rFonts w:eastAsia="宋体"/>
          <w:i/>
          <w:iCs/>
          <w:sz w:val="24"/>
        </w:rPr>
        <w:t>i</w:t>
      </w:r>
      <w:r>
        <w:rPr>
          <w:rFonts w:hint="eastAsia" w:eastAsia="宋体"/>
          <w:sz w:val="24"/>
        </w:rPr>
        <w:t>层土侧阻力标准值（kPa）；</w:t>
      </w:r>
    </w:p>
    <w:p w14:paraId="17DD17F8">
      <w:pPr>
        <w:spacing w:line="360" w:lineRule="auto"/>
        <w:ind w:left="1276" w:leftChars="200" w:hanging="636" w:hangingChars="265"/>
        <w:rPr>
          <w:rFonts w:eastAsia="宋体"/>
          <w:sz w:val="24"/>
        </w:rPr>
      </w:pPr>
      <w:r>
        <w:rPr>
          <w:rFonts w:eastAsia="宋体"/>
          <w:i/>
          <w:iCs/>
          <w:sz w:val="24"/>
        </w:rPr>
        <w:t>β</w:t>
      </w:r>
      <w:r>
        <w:rPr>
          <w:rFonts w:eastAsia="宋体"/>
          <w:sz w:val="24"/>
          <w:vertAlign w:val="subscript"/>
        </w:rPr>
        <w:t>s</w:t>
      </w:r>
      <w:r>
        <w:rPr>
          <w:rFonts w:eastAsia="宋体"/>
          <w:i/>
          <w:iCs/>
          <w:sz w:val="24"/>
          <w:vertAlign w:val="subscript"/>
        </w:rPr>
        <w:t>i</w:t>
      </w:r>
      <w:r>
        <w:rPr>
          <w:rFonts w:eastAsia="宋体"/>
          <w:sz w:val="24"/>
          <w:szCs w:val="32"/>
        </w:rPr>
        <w:t>——</w:t>
      </w:r>
      <w:r>
        <w:rPr>
          <w:rFonts w:hint="eastAsia" w:eastAsia="宋体"/>
          <w:sz w:val="24"/>
        </w:rPr>
        <w:t>后注浆侧阻力增强系数，按表7.2.2取值；</w:t>
      </w:r>
    </w:p>
    <w:p w14:paraId="17ED53EC">
      <w:pPr>
        <w:spacing w:line="360" w:lineRule="auto"/>
        <w:ind w:left="1277" w:hanging="1276" w:hangingChars="532"/>
      </w:pPr>
      <w:r>
        <w:rPr>
          <w:rFonts w:ascii="Cambria Math" w:hAnsi="Cambria Math"/>
          <w:i/>
          <w:iCs/>
          <w:sz w:val="24"/>
          <w:szCs w:val="24"/>
        </w:rPr>
        <w:t>ψ</w:t>
      </w:r>
      <w:r>
        <w:rPr>
          <w:rFonts w:eastAsia="宋体"/>
          <w:sz w:val="24"/>
          <w:vertAlign w:val="subscript"/>
        </w:rPr>
        <w:t>s</w:t>
      </w:r>
      <w:r>
        <w:rPr>
          <w:rFonts w:eastAsia="宋体"/>
          <w:i/>
          <w:iCs/>
          <w:sz w:val="24"/>
          <w:vertAlign w:val="subscript"/>
        </w:rPr>
        <w:t>j</w:t>
      </w:r>
      <w:r>
        <w:rPr>
          <w:rFonts w:hint="eastAsia" w:eastAsia="宋体"/>
          <w:i/>
          <w:iCs/>
          <w:sz w:val="24"/>
        </w:rPr>
        <w:t>、</w:t>
      </w:r>
      <w:r>
        <w:rPr>
          <w:rFonts w:ascii="Cambria Math" w:hAnsi="Cambria Math"/>
          <w:i/>
          <w:iCs/>
          <w:sz w:val="24"/>
          <w:szCs w:val="24"/>
        </w:rPr>
        <w:t>ψ</w:t>
      </w:r>
      <w:r>
        <w:rPr>
          <w:rFonts w:eastAsia="宋体"/>
          <w:sz w:val="24"/>
          <w:vertAlign w:val="subscript"/>
        </w:rPr>
        <w:t>s</w:t>
      </w:r>
      <w:r>
        <w:rPr>
          <w:rFonts w:eastAsia="宋体"/>
          <w:i/>
          <w:iCs/>
          <w:sz w:val="24"/>
          <w:vertAlign w:val="subscript"/>
        </w:rPr>
        <w:t>i</w:t>
      </w:r>
      <w:r>
        <w:rPr>
          <w:rFonts w:eastAsia="宋体"/>
          <w:sz w:val="24"/>
          <w:szCs w:val="32"/>
        </w:rPr>
        <w:t>——</w:t>
      </w:r>
      <w:r>
        <w:rPr>
          <w:rFonts w:hint="eastAsia" w:eastAsia="宋体"/>
          <w:sz w:val="24"/>
        </w:rPr>
        <w:t>大直径桩侧阻尺寸效应系数，当桩径</w:t>
      </w:r>
      <w:r>
        <w:rPr>
          <w:rFonts w:hint="eastAsia" w:eastAsia="宋体"/>
          <w:i/>
          <w:iCs/>
          <w:sz w:val="24"/>
        </w:rPr>
        <w:t>d</w:t>
      </w:r>
      <w:r>
        <w:rPr>
          <w:rFonts w:hint="eastAsia" w:eastAsia="宋体"/>
          <w:sz w:val="24"/>
        </w:rPr>
        <w:t>小于800mm时，</w:t>
      </w:r>
      <w:r>
        <w:rPr>
          <w:rFonts w:ascii="Cambria Math" w:hAnsi="Cambria Math"/>
          <w:i/>
          <w:iCs/>
          <w:sz w:val="24"/>
          <w:szCs w:val="24"/>
        </w:rPr>
        <w:t>ψ</w:t>
      </w:r>
      <w:r>
        <w:rPr>
          <w:rFonts w:eastAsia="宋体"/>
          <w:sz w:val="24"/>
          <w:vertAlign w:val="subscript"/>
        </w:rPr>
        <w:t>s</w:t>
      </w:r>
      <w:r>
        <w:rPr>
          <w:rFonts w:eastAsia="宋体"/>
          <w:i/>
          <w:iCs/>
          <w:sz w:val="24"/>
          <w:vertAlign w:val="subscript"/>
        </w:rPr>
        <w:t>j</w:t>
      </w:r>
      <w:r>
        <w:rPr>
          <w:rFonts w:eastAsia="宋体"/>
          <w:sz w:val="24"/>
        </w:rPr>
        <w:t>=</w:t>
      </w:r>
      <w:r>
        <w:rPr>
          <w:rFonts w:ascii="Cambria Math" w:hAnsi="Cambria Math"/>
          <w:i/>
          <w:iCs/>
          <w:sz w:val="24"/>
          <w:szCs w:val="24"/>
        </w:rPr>
        <w:t>ψ</w:t>
      </w:r>
      <w:r>
        <w:rPr>
          <w:rFonts w:eastAsia="宋体"/>
          <w:sz w:val="24"/>
          <w:vertAlign w:val="subscript"/>
        </w:rPr>
        <w:t>s</w:t>
      </w:r>
      <w:r>
        <w:rPr>
          <w:rFonts w:eastAsia="宋体"/>
          <w:i/>
          <w:iCs/>
          <w:sz w:val="24"/>
          <w:vertAlign w:val="subscript"/>
        </w:rPr>
        <w:t>i</w:t>
      </w:r>
      <w:r>
        <w:rPr>
          <w:rFonts w:hint="eastAsia" w:eastAsia="宋体"/>
          <w:sz w:val="24"/>
        </w:rPr>
        <w:t xml:space="preserve"> =1 </w:t>
      </w:r>
    </w:p>
    <w:p w14:paraId="06B93B83">
      <w:pPr>
        <w:spacing w:line="360" w:lineRule="auto"/>
        <w:jc w:val="center"/>
        <w:rPr>
          <w:rFonts w:eastAsia="宋体"/>
          <w:sz w:val="20"/>
        </w:rPr>
      </w:pPr>
      <w:r>
        <w:rPr>
          <w:rFonts w:hint="eastAsia" w:eastAsiaTheme="minorEastAsia"/>
          <w:sz w:val="20"/>
        </w:rPr>
        <w:t>表7.2.2  后注浆侧阻力增强系数</w:t>
      </w:r>
      <w:r>
        <w:rPr>
          <w:rFonts w:eastAsia="宋体"/>
          <w:i/>
          <w:iCs/>
          <w:sz w:val="24"/>
        </w:rPr>
        <w:t>β</w:t>
      </w:r>
      <w:r>
        <w:rPr>
          <w:rFonts w:eastAsia="宋体"/>
          <w:sz w:val="24"/>
          <w:vertAlign w:val="subscript"/>
        </w:rPr>
        <w:t>s</w:t>
      </w:r>
      <w:r>
        <w:rPr>
          <w:rFonts w:hint="eastAsia" w:eastAsia="宋体"/>
          <w:i/>
          <w:iCs/>
          <w:sz w:val="24"/>
          <w:vertAlign w:val="subscript"/>
        </w:rPr>
        <w:t>i</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0"/>
        <w:gridCol w:w="1386"/>
        <w:gridCol w:w="1387"/>
        <w:gridCol w:w="1387"/>
        <w:gridCol w:w="1388"/>
        <w:gridCol w:w="1388"/>
      </w:tblGrid>
      <w:tr w14:paraId="3731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dxa"/>
          </w:tcPr>
          <w:p w14:paraId="0B2CBB9A">
            <w:pPr>
              <w:jc w:val="center"/>
              <w:rPr>
                <w:rFonts w:eastAsia="宋体" w:cs="微软雅黑"/>
                <w:sz w:val="21"/>
              </w:rPr>
            </w:pPr>
            <w:r>
              <w:rPr>
                <w:rFonts w:hint="eastAsia" w:eastAsia="宋体" w:cs="微软雅黑"/>
                <w:sz w:val="21"/>
              </w:rPr>
              <w:t>土层名称</w:t>
            </w:r>
          </w:p>
        </w:tc>
        <w:tc>
          <w:tcPr>
            <w:tcW w:w="1386" w:type="dxa"/>
          </w:tcPr>
          <w:p w14:paraId="4E25C076">
            <w:pPr>
              <w:jc w:val="center"/>
              <w:rPr>
                <w:rFonts w:eastAsia="宋体" w:cs="微软雅黑"/>
                <w:sz w:val="21"/>
              </w:rPr>
            </w:pPr>
            <w:r>
              <w:rPr>
                <w:rFonts w:hint="eastAsia" w:eastAsia="宋体" w:cs="微软雅黑"/>
                <w:sz w:val="21"/>
              </w:rPr>
              <w:t>黏性土、粉土</w:t>
            </w:r>
          </w:p>
        </w:tc>
        <w:tc>
          <w:tcPr>
            <w:tcW w:w="1387" w:type="dxa"/>
          </w:tcPr>
          <w:p w14:paraId="19554D94">
            <w:pPr>
              <w:jc w:val="center"/>
              <w:rPr>
                <w:rFonts w:eastAsia="宋体" w:cs="微软雅黑"/>
                <w:sz w:val="21"/>
              </w:rPr>
            </w:pPr>
            <w:r>
              <w:rPr>
                <w:rFonts w:hint="eastAsia" w:eastAsia="宋体" w:cs="微软雅黑"/>
                <w:sz w:val="21"/>
              </w:rPr>
              <w:t>粉砂、细砂</w:t>
            </w:r>
          </w:p>
        </w:tc>
        <w:tc>
          <w:tcPr>
            <w:tcW w:w="1387" w:type="dxa"/>
          </w:tcPr>
          <w:p w14:paraId="788DF104">
            <w:pPr>
              <w:jc w:val="center"/>
              <w:rPr>
                <w:rFonts w:eastAsia="宋体" w:cs="微软雅黑"/>
                <w:sz w:val="21"/>
              </w:rPr>
            </w:pPr>
            <w:r>
              <w:rPr>
                <w:rFonts w:hint="eastAsia" w:eastAsia="宋体" w:cs="微软雅黑"/>
                <w:sz w:val="21"/>
              </w:rPr>
              <w:t>中砂</w:t>
            </w:r>
          </w:p>
        </w:tc>
        <w:tc>
          <w:tcPr>
            <w:tcW w:w="1388" w:type="dxa"/>
          </w:tcPr>
          <w:p w14:paraId="786426E1">
            <w:pPr>
              <w:jc w:val="center"/>
              <w:rPr>
                <w:rFonts w:eastAsia="宋体" w:cs="微软雅黑"/>
                <w:sz w:val="21"/>
              </w:rPr>
            </w:pPr>
            <w:r>
              <w:rPr>
                <w:rFonts w:hint="eastAsia" w:eastAsia="宋体" w:cs="微软雅黑"/>
                <w:sz w:val="21"/>
              </w:rPr>
              <w:t>粗砂、砾砂</w:t>
            </w:r>
          </w:p>
        </w:tc>
        <w:tc>
          <w:tcPr>
            <w:tcW w:w="1388" w:type="dxa"/>
          </w:tcPr>
          <w:p w14:paraId="35346C77">
            <w:pPr>
              <w:jc w:val="center"/>
              <w:rPr>
                <w:rFonts w:eastAsia="宋体" w:cs="微软雅黑"/>
                <w:sz w:val="21"/>
              </w:rPr>
            </w:pPr>
            <w:r>
              <w:rPr>
                <w:rFonts w:hint="eastAsia" w:eastAsia="宋体" w:cs="微软雅黑"/>
                <w:sz w:val="21"/>
              </w:rPr>
              <w:t>砾石、卵石</w:t>
            </w:r>
          </w:p>
        </w:tc>
      </w:tr>
      <w:tr w14:paraId="648D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dxa"/>
          </w:tcPr>
          <w:p w14:paraId="1141E125">
            <w:pPr>
              <w:jc w:val="center"/>
              <w:rPr>
                <w:rFonts w:eastAsia="宋体" w:cs="微软雅黑"/>
                <w:sz w:val="21"/>
              </w:rPr>
            </w:pPr>
            <w:r>
              <w:rPr>
                <w:rFonts w:eastAsia="宋体"/>
                <w:i/>
                <w:iCs/>
                <w:sz w:val="21"/>
              </w:rPr>
              <w:t>β</w:t>
            </w:r>
            <w:r>
              <w:rPr>
                <w:rFonts w:hint="eastAsia" w:eastAsia="宋体" w:cs="微软雅黑"/>
                <w:sz w:val="21"/>
                <w:vertAlign w:val="subscript"/>
              </w:rPr>
              <w:t>s</w:t>
            </w:r>
            <w:r>
              <w:rPr>
                <w:rFonts w:eastAsia="宋体" w:cs="微软雅黑"/>
                <w:i/>
                <w:iCs/>
                <w:sz w:val="21"/>
                <w:vertAlign w:val="subscript"/>
              </w:rPr>
              <w:t>i</w:t>
            </w:r>
          </w:p>
        </w:tc>
        <w:tc>
          <w:tcPr>
            <w:tcW w:w="1386" w:type="dxa"/>
          </w:tcPr>
          <w:p w14:paraId="27670642">
            <w:pPr>
              <w:jc w:val="center"/>
              <w:rPr>
                <w:rFonts w:eastAsia="宋体" w:cs="微软雅黑"/>
                <w:sz w:val="21"/>
              </w:rPr>
            </w:pPr>
            <w:r>
              <w:rPr>
                <w:rFonts w:hint="eastAsia" w:eastAsia="宋体" w:cs="微软雅黑"/>
                <w:sz w:val="21"/>
              </w:rPr>
              <w:t>1.4~1.8</w:t>
            </w:r>
          </w:p>
        </w:tc>
        <w:tc>
          <w:tcPr>
            <w:tcW w:w="1387" w:type="dxa"/>
          </w:tcPr>
          <w:p w14:paraId="3667E632">
            <w:pPr>
              <w:jc w:val="center"/>
              <w:rPr>
                <w:rFonts w:eastAsia="宋体" w:cs="微软雅黑"/>
                <w:sz w:val="21"/>
              </w:rPr>
            </w:pPr>
            <w:r>
              <w:rPr>
                <w:rFonts w:hint="eastAsia" w:eastAsia="宋体" w:cs="微软雅黑"/>
                <w:sz w:val="21"/>
              </w:rPr>
              <w:t>1.6~2.0</w:t>
            </w:r>
          </w:p>
        </w:tc>
        <w:tc>
          <w:tcPr>
            <w:tcW w:w="1387" w:type="dxa"/>
          </w:tcPr>
          <w:p w14:paraId="4AF6EC4C">
            <w:pPr>
              <w:jc w:val="center"/>
              <w:rPr>
                <w:rFonts w:eastAsia="宋体" w:cs="微软雅黑"/>
                <w:sz w:val="21"/>
              </w:rPr>
            </w:pPr>
            <w:r>
              <w:rPr>
                <w:rFonts w:hint="eastAsia" w:eastAsia="宋体" w:cs="微软雅黑"/>
                <w:sz w:val="21"/>
              </w:rPr>
              <w:t>1.7~2.1</w:t>
            </w:r>
          </w:p>
        </w:tc>
        <w:tc>
          <w:tcPr>
            <w:tcW w:w="1388" w:type="dxa"/>
          </w:tcPr>
          <w:p w14:paraId="7DD3FB2B">
            <w:pPr>
              <w:jc w:val="center"/>
              <w:rPr>
                <w:rFonts w:eastAsia="宋体" w:cs="微软雅黑"/>
                <w:sz w:val="21"/>
              </w:rPr>
            </w:pPr>
            <w:r>
              <w:rPr>
                <w:rFonts w:hint="eastAsia" w:eastAsia="宋体" w:cs="微软雅黑"/>
                <w:sz w:val="21"/>
              </w:rPr>
              <w:t>1.9~2.5</w:t>
            </w:r>
          </w:p>
        </w:tc>
        <w:tc>
          <w:tcPr>
            <w:tcW w:w="1388" w:type="dxa"/>
          </w:tcPr>
          <w:p w14:paraId="48579F79">
            <w:pPr>
              <w:jc w:val="center"/>
              <w:rPr>
                <w:rFonts w:eastAsia="宋体" w:cs="微软雅黑"/>
                <w:sz w:val="21"/>
              </w:rPr>
            </w:pPr>
            <w:r>
              <w:rPr>
                <w:rFonts w:hint="eastAsia" w:eastAsia="宋体" w:cs="微软雅黑"/>
                <w:sz w:val="21"/>
              </w:rPr>
              <w:t>2.2~3.0</w:t>
            </w:r>
          </w:p>
        </w:tc>
      </w:tr>
    </w:tbl>
    <w:p w14:paraId="2FDA0762">
      <w:pPr>
        <w:numPr>
          <w:ilvl w:val="2"/>
          <w:numId w:val="2"/>
        </w:numPr>
        <w:spacing w:line="360" w:lineRule="auto"/>
        <w:ind w:left="0" w:firstLine="0"/>
        <w:jc w:val="left"/>
        <w:rPr>
          <w:rFonts w:eastAsia="宋体"/>
          <w:sz w:val="24"/>
          <w:szCs w:val="32"/>
        </w:rPr>
      </w:pPr>
      <w:r>
        <w:rPr>
          <w:rFonts w:hint="eastAsia" w:eastAsia="宋体"/>
          <w:sz w:val="24"/>
          <w:szCs w:val="32"/>
        </w:rPr>
        <w:t>灌注桩采用后注浆工艺提高桩侧阻力时，应根据现场试验确定抗拔承载力的提高幅度。后注浆装置等参数设计应符合下列规定：</w:t>
      </w:r>
    </w:p>
    <w:p w14:paraId="5A59FDF6">
      <w:pPr>
        <w:tabs>
          <w:tab w:val="left" w:pos="420"/>
        </w:tabs>
        <w:spacing w:line="360" w:lineRule="auto"/>
        <w:ind w:firstLine="480" w:firstLineChars="200"/>
        <w:rPr>
          <w:rFonts w:eastAsia="宋体"/>
          <w:sz w:val="24"/>
        </w:rPr>
      </w:pPr>
      <w:r>
        <w:rPr>
          <w:rFonts w:hint="eastAsia" w:eastAsia="宋体"/>
          <w:sz w:val="24"/>
        </w:rPr>
        <w:t>桩侧注浆量可按下式估算，对桩距大于6倍桩径的群桩初始注浆量值应乘以1.2的系数：</w:t>
      </w:r>
    </w:p>
    <w:p w14:paraId="4970AB85">
      <w:pPr>
        <w:spacing w:line="360" w:lineRule="auto"/>
        <w:jc w:val="right"/>
        <w:rPr>
          <w:rFonts w:eastAsia="宋体"/>
          <w:sz w:val="24"/>
        </w:rPr>
      </w:pPr>
      <w:r>
        <w:rPr>
          <w:rFonts w:eastAsia="宋体"/>
          <w:i/>
          <w:iCs/>
          <w:position w:val="-12"/>
          <w:sz w:val="24"/>
        </w:rPr>
        <w:object>
          <v:shape id="_x0000_i1028" o:spt="75" type="#_x0000_t75" style="height:18.15pt;width:53.2pt;" o:ole="t" filled="f" o:preferrelative="t" stroked="f" coordsize="21600,21600">
            <v:path/>
            <v:fill on="f" focussize="0,0"/>
            <v:stroke on="f" joinstyle="miter"/>
            <v:imagedata r:id="rId14" o:title=""/>
            <o:lock v:ext="edit" aspectratio="t"/>
            <w10:wrap type="none"/>
            <w10:anchorlock/>
          </v:shape>
          <o:OLEObject Type="Embed" ProgID="Equation.KSEE3" ShapeID="_x0000_i1028" DrawAspect="Content" ObjectID="_1468075728" r:id="rId13">
            <o:LockedField>false</o:LockedField>
          </o:OLEObject>
        </w:object>
      </w:r>
      <w:r>
        <w:rPr>
          <w:rFonts w:hint="eastAsia" w:eastAsia="宋体"/>
          <w:sz w:val="24"/>
        </w:rPr>
        <w:t xml:space="preserve">                         (7.2.3)</w:t>
      </w:r>
    </w:p>
    <w:p w14:paraId="0270EF67">
      <w:pPr>
        <w:spacing w:line="360" w:lineRule="auto"/>
        <w:rPr>
          <w:rFonts w:eastAsia="宋体"/>
          <w:sz w:val="24"/>
        </w:rPr>
      </w:pPr>
      <w:r>
        <w:rPr>
          <w:rFonts w:hint="eastAsia" w:eastAsia="宋体"/>
          <w:sz w:val="24"/>
        </w:rPr>
        <w:t>式中：</w:t>
      </w:r>
      <w:r>
        <w:rPr>
          <w:rFonts w:hint="eastAsia" w:eastAsia="宋体"/>
          <w:i/>
          <w:iCs/>
          <w:sz w:val="24"/>
        </w:rPr>
        <w:t>G</w:t>
      </w:r>
      <w:r>
        <w:rPr>
          <w:rFonts w:hint="eastAsia" w:eastAsia="宋体"/>
          <w:sz w:val="24"/>
          <w:vertAlign w:val="subscript"/>
        </w:rPr>
        <w:t>c</w:t>
      </w:r>
      <w:r>
        <w:rPr>
          <w:rFonts w:eastAsia="宋体"/>
          <w:sz w:val="24"/>
          <w:szCs w:val="32"/>
        </w:rPr>
        <w:t>——</w:t>
      </w:r>
      <w:r>
        <w:rPr>
          <w:rFonts w:hint="eastAsia" w:eastAsia="宋体"/>
          <w:sz w:val="24"/>
        </w:rPr>
        <w:t>注浆量，以水泥质量计（t）；</w:t>
      </w:r>
    </w:p>
    <w:p w14:paraId="419CECFA">
      <w:pPr>
        <w:spacing w:line="360" w:lineRule="auto"/>
        <w:ind w:left="1279" w:leftChars="225" w:hanging="559" w:hangingChars="233"/>
        <w:rPr>
          <w:rFonts w:eastAsia="宋体"/>
          <w:sz w:val="24"/>
          <w:szCs w:val="32"/>
        </w:rPr>
      </w:pPr>
      <w:r>
        <w:rPr>
          <w:rFonts w:eastAsia="宋体"/>
          <w:i/>
          <w:iCs/>
          <w:sz w:val="24"/>
        </w:rPr>
        <w:t>α</w:t>
      </w:r>
      <w:r>
        <w:rPr>
          <w:rFonts w:eastAsia="宋体"/>
          <w:sz w:val="24"/>
          <w:vertAlign w:val="subscript"/>
        </w:rPr>
        <w:t>s</w:t>
      </w:r>
      <w:r>
        <w:rPr>
          <w:rFonts w:eastAsia="宋体"/>
          <w:sz w:val="24"/>
          <w:szCs w:val="32"/>
        </w:rPr>
        <w:t>——</w:t>
      </w:r>
      <w:r>
        <w:rPr>
          <w:rFonts w:hint="eastAsia" w:eastAsia="宋体"/>
          <w:sz w:val="24"/>
          <w:szCs w:val="32"/>
        </w:rPr>
        <w:t>桩侧注浆量经验系数，宜取0.5~0.7，卵砾石、中粗砂取高值；</w:t>
      </w:r>
    </w:p>
    <w:p w14:paraId="3C3C1342">
      <w:pPr>
        <w:spacing w:line="360" w:lineRule="auto"/>
        <w:ind w:left="1279" w:leftChars="225" w:hanging="559" w:hangingChars="233"/>
        <w:rPr>
          <w:rFonts w:eastAsia="宋体"/>
          <w:sz w:val="24"/>
          <w:szCs w:val="32"/>
        </w:rPr>
      </w:pPr>
      <w:r>
        <w:rPr>
          <w:rFonts w:hint="eastAsia" w:eastAsia="宋体"/>
          <w:i/>
          <w:iCs/>
          <w:sz w:val="24"/>
        </w:rPr>
        <w:t>n</w:t>
      </w:r>
      <w:r>
        <w:rPr>
          <w:rFonts w:eastAsia="宋体"/>
          <w:sz w:val="24"/>
          <w:szCs w:val="32"/>
        </w:rPr>
        <w:t>——</w:t>
      </w:r>
      <w:r>
        <w:rPr>
          <w:rFonts w:hint="eastAsia" w:eastAsia="宋体"/>
          <w:sz w:val="24"/>
          <w:szCs w:val="32"/>
        </w:rPr>
        <w:t>桩侧注浆断面数；</w:t>
      </w:r>
    </w:p>
    <w:p w14:paraId="67BB8CB0">
      <w:pPr>
        <w:spacing w:line="360" w:lineRule="auto"/>
        <w:ind w:left="1279" w:leftChars="225" w:hanging="559" w:hangingChars="233"/>
        <w:rPr>
          <w:rFonts w:eastAsia="宋体"/>
          <w:sz w:val="24"/>
          <w:szCs w:val="32"/>
        </w:rPr>
      </w:pPr>
      <w:r>
        <w:rPr>
          <w:rFonts w:hint="eastAsia" w:eastAsia="宋体"/>
          <w:i/>
          <w:iCs/>
          <w:sz w:val="24"/>
        </w:rPr>
        <w:t>d</w:t>
      </w:r>
      <w:r>
        <w:rPr>
          <w:rFonts w:eastAsia="宋体"/>
          <w:sz w:val="24"/>
          <w:szCs w:val="32"/>
        </w:rPr>
        <w:t>——</w:t>
      </w:r>
      <w:r>
        <w:rPr>
          <w:rFonts w:hint="eastAsia" w:eastAsia="宋体"/>
          <w:sz w:val="24"/>
          <w:szCs w:val="32"/>
        </w:rPr>
        <w:t>抗浮桩设计直径（m）。</w:t>
      </w:r>
    </w:p>
    <w:p w14:paraId="2111213E">
      <w:pPr>
        <w:numPr>
          <w:ilvl w:val="2"/>
          <w:numId w:val="2"/>
        </w:numPr>
        <w:spacing w:line="360" w:lineRule="auto"/>
        <w:ind w:left="0" w:firstLine="0"/>
        <w:rPr>
          <w:rFonts w:eastAsia="宋体"/>
          <w:sz w:val="24"/>
          <w:szCs w:val="32"/>
        </w:rPr>
      </w:pPr>
      <w:r>
        <w:rPr>
          <w:rFonts w:hint="eastAsia" w:eastAsia="宋体"/>
          <w:sz w:val="24"/>
          <w:szCs w:val="32"/>
        </w:rPr>
        <w:t>复合预制桩设计时，单桩竖向抗拔极限承载力应取芯桩和外桩极限承载力估算值的小值。最终的单桩竖向抗拔承载力标准值应通过单桩竖向抗拔静载试验确定</w:t>
      </w:r>
      <w:r>
        <w:rPr>
          <w:rStyle w:val="26"/>
          <w:rFonts w:hint="eastAsia" w:eastAsia="宋体"/>
          <w:sz w:val="24"/>
          <w:szCs w:val="32"/>
        </w:rPr>
        <w:t>。</w:t>
      </w:r>
    </w:p>
    <w:p w14:paraId="2935112E">
      <w:pPr>
        <w:numPr>
          <w:ilvl w:val="2"/>
          <w:numId w:val="2"/>
        </w:numPr>
        <w:spacing w:line="360" w:lineRule="auto"/>
        <w:ind w:left="0" w:firstLine="0"/>
        <w:jc w:val="left"/>
        <w:rPr>
          <w:rFonts w:eastAsia="宋体"/>
          <w:sz w:val="24"/>
          <w:szCs w:val="32"/>
        </w:rPr>
      </w:pPr>
      <w:r>
        <w:rPr>
          <w:rFonts w:hint="eastAsia" w:eastAsia="宋体"/>
          <w:sz w:val="24"/>
          <w:szCs w:val="32"/>
        </w:rPr>
        <w:t>灌注桩的桩身强度计算：</w:t>
      </w:r>
    </w:p>
    <w:p w14:paraId="73E0DA63">
      <w:pPr>
        <w:tabs>
          <w:tab w:val="left" w:pos="420"/>
        </w:tabs>
        <w:spacing w:line="360" w:lineRule="auto"/>
        <w:ind w:firstLine="480" w:firstLineChars="200"/>
        <w:rPr>
          <w:rFonts w:eastAsia="宋体"/>
          <w:sz w:val="24"/>
        </w:rPr>
      </w:pPr>
      <w:r>
        <w:rPr>
          <w:rFonts w:hint="eastAsia" w:eastAsia="宋体"/>
          <w:sz w:val="24"/>
        </w:rPr>
        <w:t>进行钢筋混凝土桩桩身强度验算时，钢筋混凝土轴心抗浮桩正截面受拉承载力应满足下式要求：</w:t>
      </w:r>
    </w:p>
    <w:p w14:paraId="14270F83">
      <w:pPr>
        <w:spacing w:line="360" w:lineRule="auto"/>
        <w:jc w:val="right"/>
        <w:rPr>
          <w:rFonts w:ascii="Cambria Math" w:hAnsi="Cambria Math"/>
          <w:i/>
          <w:iCs/>
          <w:sz w:val="24"/>
          <w:szCs w:val="24"/>
        </w:rPr>
      </w:pPr>
      <w:r>
        <w:rPr>
          <w:rFonts w:ascii="Cambria Math" w:hAnsi="Cambria Math"/>
          <w:i/>
          <w:iCs/>
          <w:position w:val="-14"/>
          <w:sz w:val="24"/>
          <w:szCs w:val="24"/>
        </w:rPr>
        <w:object>
          <v:shape id="_x0000_i1029" o:spt="75" type="#_x0000_t75" style="height:18.8pt;width:100.2pt;" o:ole="t" filled="f" o:preferrelative="t" stroked="f" coordsize="21600,21600">
            <v:path/>
            <v:fill on="f" focussize="0,0"/>
            <v:stroke on="f" joinstyle="miter"/>
            <v:imagedata r:id="rId16" o:title=""/>
            <o:lock v:ext="edit" aspectratio="t"/>
            <w10:wrap type="none"/>
            <w10:anchorlock/>
          </v:shape>
          <o:OLEObject Type="Embed" ProgID="Equation.KSEE3" ShapeID="_x0000_i1029" DrawAspect="Content" ObjectID="_1468075729" r:id="rId15">
            <o:LockedField>false</o:LockedField>
          </o:OLEObject>
        </w:object>
      </w:r>
      <w:r>
        <w:rPr>
          <w:rFonts w:hint="eastAsia" w:ascii="Cambria Math" w:hAnsi="Cambria Math"/>
          <w:i/>
          <w:iCs/>
          <w:sz w:val="24"/>
          <w:szCs w:val="24"/>
          <w:vertAlign w:val="subscript"/>
        </w:rPr>
        <w:t xml:space="preserve">                             </w:t>
      </w:r>
      <w:r>
        <w:rPr>
          <w:rFonts w:hint="eastAsia" w:eastAsia="宋体"/>
          <w:sz w:val="24"/>
        </w:rPr>
        <w:t xml:space="preserve"> (7.2.4)</w:t>
      </w:r>
    </w:p>
    <w:p w14:paraId="398ADEB2">
      <w:pPr>
        <w:spacing w:line="360" w:lineRule="auto"/>
        <w:rPr>
          <w:rFonts w:eastAsia="宋体"/>
          <w:sz w:val="24"/>
        </w:rPr>
      </w:pPr>
      <w:r>
        <w:rPr>
          <w:rFonts w:hint="eastAsia" w:eastAsia="宋体"/>
          <w:sz w:val="24"/>
        </w:rPr>
        <w:t>式中：</w:t>
      </w:r>
      <w:r>
        <w:rPr>
          <w:rFonts w:eastAsia="宋体"/>
          <w:i/>
          <w:iCs/>
          <w:sz w:val="24"/>
        </w:rPr>
        <w:t>N</w:t>
      </w:r>
      <w:r>
        <w:rPr>
          <w:rFonts w:eastAsia="宋体"/>
          <w:sz w:val="24"/>
          <w:vertAlign w:val="subscript"/>
        </w:rPr>
        <w:t>max</w:t>
      </w:r>
      <w:r>
        <w:rPr>
          <w:rFonts w:eastAsia="宋体"/>
          <w:sz w:val="24"/>
        </w:rPr>
        <w:t>——</w:t>
      </w:r>
      <w:r>
        <w:rPr>
          <w:rFonts w:hint="eastAsia" w:eastAsia="宋体"/>
          <w:sz w:val="24"/>
        </w:rPr>
        <w:t>荷载效应基本组合下最大的桩顶轴向拉力设计值（N）；</w:t>
      </w:r>
    </w:p>
    <w:p w14:paraId="1F8E1ECB">
      <w:pPr>
        <w:spacing w:line="360" w:lineRule="auto"/>
        <w:ind w:firstLine="960" w:firstLineChars="400"/>
        <w:rPr>
          <w:rFonts w:eastAsia="宋体"/>
          <w:sz w:val="24"/>
        </w:rPr>
      </w:pPr>
      <w:r>
        <w:rPr>
          <w:rFonts w:hint="eastAsia" w:eastAsia="宋体"/>
          <w:i/>
          <w:iCs/>
          <w:sz w:val="24"/>
        </w:rPr>
        <w:t>f</w:t>
      </w:r>
      <w:r>
        <w:rPr>
          <w:rFonts w:hint="eastAsia" w:eastAsia="宋体"/>
          <w:i/>
          <w:iCs/>
          <w:sz w:val="24"/>
          <w:vertAlign w:val="subscript"/>
        </w:rPr>
        <w:t>y</w:t>
      </w:r>
      <w:r>
        <w:rPr>
          <w:rFonts w:eastAsia="宋体"/>
          <w:sz w:val="24"/>
        </w:rPr>
        <w:t>——</w:t>
      </w:r>
      <w:r>
        <w:rPr>
          <w:rFonts w:hint="eastAsia" w:eastAsia="宋体"/>
          <w:sz w:val="24"/>
        </w:rPr>
        <w:t>普通钢筋抗拉强度设计值（N/mm</w:t>
      </w:r>
      <w:r>
        <w:rPr>
          <w:rFonts w:hint="eastAsia" w:eastAsia="宋体"/>
          <w:sz w:val="24"/>
          <w:vertAlign w:val="superscript"/>
        </w:rPr>
        <w:t>2</w:t>
      </w:r>
      <w:r>
        <w:rPr>
          <w:rFonts w:hint="eastAsia" w:eastAsia="宋体"/>
          <w:sz w:val="24"/>
        </w:rPr>
        <w:t>）；</w:t>
      </w:r>
    </w:p>
    <w:p w14:paraId="2A401A34">
      <w:pPr>
        <w:spacing w:line="360" w:lineRule="auto"/>
        <w:ind w:firstLine="960" w:firstLineChars="400"/>
        <w:rPr>
          <w:rFonts w:eastAsia="宋体"/>
          <w:sz w:val="24"/>
        </w:rPr>
      </w:pPr>
      <w:r>
        <w:rPr>
          <w:rFonts w:hint="eastAsia" w:eastAsia="宋体"/>
          <w:i/>
          <w:iCs/>
          <w:sz w:val="24"/>
        </w:rPr>
        <w:t>f</w:t>
      </w:r>
      <w:r>
        <w:rPr>
          <w:rFonts w:hint="eastAsia" w:eastAsia="宋体"/>
          <w:i/>
          <w:iCs/>
          <w:sz w:val="24"/>
          <w:vertAlign w:val="subscript"/>
        </w:rPr>
        <w:t>py</w:t>
      </w:r>
      <w:r>
        <w:rPr>
          <w:rFonts w:eastAsia="宋体"/>
          <w:sz w:val="24"/>
        </w:rPr>
        <w:t>——</w:t>
      </w:r>
      <w:r>
        <w:rPr>
          <w:rFonts w:hint="eastAsia" w:eastAsia="宋体"/>
          <w:sz w:val="24"/>
        </w:rPr>
        <w:t>预应力纵筋抗拉强度设计值（N/mm</w:t>
      </w:r>
      <w:r>
        <w:rPr>
          <w:rFonts w:hint="eastAsia" w:eastAsia="宋体"/>
          <w:sz w:val="24"/>
          <w:vertAlign w:val="superscript"/>
        </w:rPr>
        <w:t>2</w:t>
      </w:r>
      <w:r>
        <w:rPr>
          <w:rFonts w:hint="eastAsia" w:eastAsia="宋体"/>
          <w:sz w:val="24"/>
        </w:rPr>
        <w:t>）；</w:t>
      </w:r>
    </w:p>
    <w:p w14:paraId="783A092A">
      <w:pPr>
        <w:spacing w:line="360" w:lineRule="auto"/>
        <w:ind w:firstLine="960" w:firstLineChars="400"/>
        <w:rPr>
          <w:rFonts w:eastAsia="宋体"/>
          <w:sz w:val="24"/>
        </w:rPr>
      </w:pPr>
      <w:r>
        <w:rPr>
          <w:rFonts w:hint="eastAsia" w:eastAsia="宋体"/>
          <w:i/>
          <w:iCs/>
          <w:sz w:val="24"/>
        </w:rPr>
        <w:t>A</w:t>
      </w:r>
      <w:r>
        <w:rPr>
          <w:rFonts w:hint="eastAsia" w:eastAsia="宋体"/>
          <w:i/>
          <w:iCs/>
          <w:sz w:val="24"/>
          <w:vertAlign w:val="subscript"/>
        </w:rPr>
        <w:t>s</w:t>
      </w:r>
      <w:r>
        <w:rPr>
          <w:rFonts w:eastAsia="宋体"/>
          <w:sz w:val="24"/>
        </w:rPr>
        <w:t>——</w:t>
      </w:r>
      <w:r>
        <w:rPr>
          <w:rFonts w:hint="eastAsia" w:eastAsia="宋体"/>
          <w:sz w:val="24"/>
        </w:rPr>
        <w:t>普通钢筋纵筋截面面积（mm</w:t>
      </w:r>
      <w:r>
        <w:rPr>
          <w:rFonts w:hint="eastAsia" w:eastAsia="宋体"/>
          <w:sz w:val="24"/>
          <w:vertAlign w:val="superscript"/>
        </w:rPr>
        <w:t>2</w:t>
      </w:r>
      <w:r>
        <w:rPr>
          <w:rFonts w:hint="eastAsia" w:eastAsia="宋体"/>
          <w:sz w:val="24"/>
        </w:rPr>
        <w:t>）；</w:t>
      </w:r>
    </w:p>
    <w:p w14:paraId="657E8D03">
      <w:pPr>
        <w:spacing w:line="360" w:lineRule="auto"/>
        <w:ind w:firstLine="960" w:firstLineChars="400"/>
        <w:rPr>
          <w:rFonts w:eastAsia="宋体"/>
          <w:sz w:val="24"/>
        </w:rPr>
      </w:pPr>
      <w:r>
        <w:rPr>
          <w:rFonts w:hint="eastAsia" w:eastAsia="宋体"/>
          <w:i/>
          <w:iCs/>
          <w:sz w:val="24"/>
        </w:rPr>
        <w:t>A</w:t>
      </w:r>
      <w:r>
        <w:rPr>
          <w:rFonts w:hint="eastAsia" w:eastAsia="宋体"/>
          <w:i/>
          <w:iCs/>
          <w:sz w:val="24"/>
          <w:vertAlign w:val="subscript"/>
        </w:rPr>
        <w:t>py</w:t>
      </w:r>
      <w:r>
        <w:rPr>
          <w:rFonts w:eastAsia="宋体"/>
          <w:sz w:val="24"/>
        </w:rPr>
        <w:t>——</w:t>
      </w:r>
      <w:r>
        <w:rPr>
          <w:rFonts w:hint="eastAsia" w:eastAsia="宋体"/>
          <w:sz w:val="24"/>
        </w:rPr>
        <w:t>预应力纵筋截面面积（mm</w:t>
      </w:r>
      <w:r>
        <w:rPr>
          <w:rFonts w:hint="eastAsia" w:eastAsia="宋体"/>
          <w:sz w:val="24"/>
          <w:vertAlign w:val="superscript"/>
        </w:rPr>
        <w:t>2</w:t>
      </w:r>
      <w:r>
        <w:rPr>
          <w:rFonts w:hint="eastAsia" w:eastAsia="宋体"/>
          <w:sz w:val="24"/>
        </w:rPr>
        <w:t>）。</w:t>
      </w:r>
    </w:p>
    <w:p w14:paraId="42F49690">
      <w:pPr>
        <w:numPr>
          <w:ilvl w:val="2"/>
          <w:numId w:val="2"/>
        </w:numPr>
        <w:spacing w:line="360" w:lineRule="auto"/>
        <w:ind w:left="0" w:firstLine="0"/>
        <w:rPr>
          <w:rFonts w:eastAsia="宋体"/>
          <w:sz w:val="24"/>
          <w:szCs w:val="32"/>
        </w:rPr>
      </w:pPr>
      <w:r>
        <w:rPr>
          <w:rFonts w:hint="eastAsia" w:eastAsia="宋体"/>
          <w:sz w:val="24"/>
          <w:szCs w:val="32"/>
        </w:rPr>
        <w:t>当进行桩身截面的抗震验算时，</w:t>
      </w:r>
      <w:r>
        <w:rPr>
          <w:rFonts w:hint="eastAsia" w:eastAsiaTheme="minorEastAsia"/>
          <w:sz w:val="24"/>
          <w:szCs w:val="24"/>
        </w:rPr>
        <w:t>液化土和震陷软土中桩的配筋范围，应自桩顶至液化深度以下符合全部消除液化沉陷所要求的深度，其纵向钢筋应与桩顶部相同，箍筋应加粗加密。</w:t>
      </w:r>
    </w:p>
    <w:p w14:paraId="3C40F06C">
      <w:pPr>
        <w:numPr>
          <w:ilvl w:val="2"/>
          <w:numId w:val="2"/>
        </w:numPr>
        <w:spacing w:line="360" w:lineRule="auto"/>
        <w:ind w:left="0" w:firstLine="0"/>
        <w:rPr>
          <w:rFonts w:eastAsia="宋体"/>
          <w:sz w:val="24"/>
          <w:szCs w:val="32"/>
        </w:rPr>
      </w:pPr>
      <w:r>
        <w:rPr>
          <w:rFonts w:hint="eastAsia" w:eastAsia="宋体"/>
          <w:sz w:val="24"/>
          <w:szCs w:val="32"/>
        </w:rPr>
        <w:t>抗浮桩的耐久性设计、桩身承载力及裂缝控制</w:t>
      </w:r>
      <w:r>
        <w:rPr>
          <w:rFonts w:hint="eastAsia" w:eastAsia="宋体"/>
          <w:strike/>
          <w:sz w:val="24"/>
          <w:szCs w:val="32"/>
        </w:rPr>
        <w:t>除</w:t>
      </w:r>
      <w:r>
        <w:rPr>
          <w:rFonts w:hint="eastAsia" w:eastAsia="宋体"/>
          <w:sz w:val="24"/>
          <w:szCs w:val="32"/>
        </w:rPr>
        <w:t>应满足现行行业标准《建筑桩基技术规范》JGJ94，复合桩设计桩身承载力及裂缝控制应按内芯进行验算。</w:t>
      </w:r>
    </w:p>
    <w:p w14:paraId="22543E78">
      <w:pPr>
        <w:numPr>
          <w:ilvl w:val="2"/>
          <w:numId w:val="2"/>
        </w:numPr>
        <w:spacing w:line="360" w:lineRule="auto"/>
        <w:ind w:left="0" w:firstLine="0"/>
        <w:jc w:val="left"/>
        <w:rPr>
          <w:rFonts w:eastAsia="宋体"/>
          <w:sz w:val="24"/>
          <w:szCs w:val="32"/>
        </w:rPr>
      </w:pPr>
      <w:r>
        <w:rPr>
          <w:rFonts w:hint="eastAsia" w:eastAsia="宋体"/>
          <w:sz w:val="24"/>
          <w:szCs w:val="32"/>
        </w:rPr>
        <w:t>抗浮桩的平面布置原则：</w:t>
      </w:r>
    </w:p>
    <w:p w14:paraId="14ED5644">
      <w:pPr>
        <w:numPr>
          <w:ilvl w:val="0"/>
          <w:numId w:val="21"/>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根据地下结构底板形式、结构荷载分布等条件综合考虑；</w:t>
      </w:r>
    </w:p>
    <w:p w14:paraId="70132BEB">
      <w:pPr>
        <w:numPr>
          <w:ilvl w:val="0"/>
          <w:numId w:val="21"/>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等间距的矩形网格排列；适用于上部结构荷载均匀分布的基础，如图7.2.8（a）；</w:t>
      </w:r>
    </w:p>
    <w:p w14:paraId="2A88BF92">
      <w:pPr>
        <w:numPr>
          <w:ilvl w:val="0"/>
          <w:numId w:val="21"/>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基础地梁下等间距布置，适用于上部结构刚度不均匀、梁板式基础，如图7.2.8（b）；</w:t>
      </w:r>
    </w:p>
    <w:p w14:paraId="5B2A1EC7">
      <w:pPr>
        <w:numPr>
          <w:ilvl w:val="0"/>
          <w:numId w:val="21"/>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柱下承台基础区域集中布置；适用于框架结构的柱下独立承台抗拔设计，或上部结构刚度不均匀、地质条件局部差异大的基础，如图7.2.8（c）；</w:t>
      </w:r>
    </w:p>
    <w:p w14:paraId="79EB90DB">
      <w:pPr>
        <w:numPr>
          <w:ilvl w:val="0"/>
          <w:numId w:val="21"/>
        </w:numPr>
        <w:tabs>
          <w:tab w:val="left" w:pos="640"/>
          <w:tab w:val="clear" w:pos="420"/>
        </w:tabs>
        <w:spacing w:line="360" w:lineRule="auto"/>
        <w:ind w:left="645" w:hanging="325"/>
        <w:rPr>
          <w:rFonts w:eastAsiaTheme="minorEastAsia"/>
          <w:sz w:val="24"/>
          <w:szCs w:val="24"/>
        </w:rPr>
      </w:pPr>
      <w:r>
        <w:rPr>
          <w:rFonts w:hint="eastAsia" w:eastAsiaTheme="minorEastAsia"/>
          <w:sz w:val="24"/>
          <w:szCs w:val="24"/>
        </w:rPr>
        <w:t>抗浮桩平面布置应结合常水态工况及抗浮工况，考虑主裙楼差异沉降的影响。</w:t>
      </w:r>
    </w:p>
    <w:p w14:paraId="5D211638">
      <w:pPr>
        <w:jc w:val="center"/>
      </w:pPr>
      <w:r>
        <w:drawing>
          <wp:inline distT="0" distB="0" distL="114300" distR="114300">
            <wp:extent cx="1973580" cy="1907540"/>
            <wp:effectExtent l="0" t="0" r="7620" b="1651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17"/>
                    <a:stretch>
                      <a:fillRect/>
                    </a:stretch>
                  </pic:blipFill>
                  <pic:spPr>
                    <a:xfrm>
                      <a:off x="0" y="0"/>
                      <a:ext cx="1973580" cy="1907540"/>
                    </a:xfrm>
                    <a:prstGeom prst="rect">
                      <a:avLst/>
                    </a:prstGeom>
                    <a:noFill/>
                    <a:ln>
                      <a:noFill/>
                    </a:ln>
                  </pic:spPr>
                </pic:pic>
              </a:graphicData>
            </a:graphic>
          </wp:inline>
        </w:drawing>
      </w:r>
      <w:r>
        <w:rPr>
          <w:rFonts w:hint="eastAsia"/>
        </w:rPr>
        <w:t xml:space="preserve">   </w:t>
      </w:r>
      <w:r>
        <w:drawing>
          <wp:inline distT="0" distB="0" distL="114300" distR="114300">
            <wp:extent cx="2066925" cy="2002155"/>
            <wp:effectExtent l="0" t="0" r="9525" b="1714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8"/>
                    <a:stretch>
                      <a:fillRect/>
                    </a:stretch>
                  </pic:blipFill>
                  <pic:spPr>
                    <a:xfrm>
                      <a:off x="0" y="0"/>
                      <a:ext cx="2066925" cy="2002155"/>
                    </a:xfrm>
                    <a:prstGeom prst="rect">
                      <a:avLst/>
                    </a:prstGeom>
                    <a:noFill/>
                    <a:ln>
                      <a:noFill/>
                    </a:ln>
                  </pic:spPr>
                </pic:pic>
              </a:graphicData>
            </a:graphic>
          </wp:inline>
        </w:drawing>
      </w:r>
    </w:p>
    <w:p w14:paraId="595E5B80">
      <w:pPr>
        <w:ind w:firstLine="2160" w:firstLineChars="900"/>
        <w:rPr>
          <w:rFonts w:eastAsiaTheme="minorEastAsia"/>
          <w:sz w:val="24"/>
          <w:szCs w:val="24"/>
        </w:rPr>
      </w:pPr>
      <w:r>
        <w:rPr>
          <w:rFonts w:hint="eastAsia" w:eastAsiaTheme="minorEastAsia"/>
          <w:sz w:val="24"/>
          <w:szCs w:val="24"/>
        </w:rPr>
        <w:t>(a)                              (b)</w:t>
      </w:r>
    </w:p>
    <w:p w14:paraId="13E932B1">
      <w:pPr>
        <w:jc w:val="center"/>
      </w:pPr>
      <w:r>
        <w:drawing>
          <wp:inline distT="0" distB="0" distL="114300" distR="114300">
            <wp:extent cx="3239770" cy="2989580"/>
            <wp:effectExtent l="0" t="0" r="17780" b="127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9"/>
                    <a:stretch>
                      <a:fillRect/>
                    </a:stretch>
                  </pic:blipFill>
                  <pic:spPr>
                    <a:xfrm>
                      <a:off x="0" y="0"/>
                      <a:ext cx="3239770" cy="2989580"/>
                    </a:xfrm>
                    <a:prstGeom prst="rect">
                      <a:avLst/>
                    </a:prstGeom>
                    <a:noFill/>
                    <a:ln>
                      <a:noFill/>
                    </a:ln>
                  </pic:spPr>
                </pic:pic>
              </a:graphicData>
            </a:graphic>
          </wp:inline>
        </w:drawing>
      </w:r>
    </w:p>
    <w:p w14:paraId="744A6712">
      <w:pPr>
        <w:jc w:val="center"/>
        <w:rPr>
          <w:rFonts w:eastAsiaTheme="minorEastAsia"/>
          <w:sz w:val="24"/>
          <w:szCs w:val="24"/>
        </w:rPr>
      </w:pPr>
      <w:r>
        <w:rPr>
          <w:rFonts w:hint="eastAsia" w:eastAsiaTheme="minorEastAsia"/>
          <w:sz w:val="24"/>
          <w:szCs w:val="24"/>
        </w:rPr>
        <w:t>(c)</w:t>
      </w:r>
    </w:p>
    <w:p w14:paraId="65611546">
      <w:pPr>
        <w:jc w:val="center"/>
        <w:rPr>
          <w:sz w:val="21"/>
          <w:szCs w:val="21"/>
        </w:rPr>
      </w:pPr>
      <w:r>
        <w:rPr>
          <w:rFonts w:hint="eastAsia"/>
          <w:sz w:val="21"/>
          <w:szCs w:val="21"/>
        </w:rPr>
        <w:t>图7.2.8  抗浮桩布置图</w:t>
      </w:r>
    </w:p>
    <w:p w14:paraId="587A0275">
      <w:pPr>
        <w:jc w:val="center"/>
        <w:rPr>
          <w:rFonts w:eastAsia="宋体"/>
          <w:sz w:val="21"/>
        </w:rPr>
      </w:pPr>
      <w:r>
        <w:rPr>
          <w:rFonts w:hint="eastAsia" w:eastAsia="宋体"/>
          <w:sz w:val="21"/>
        </w:rPr>
        <w:t>1</w:t>
      </w:r>
      <w:r>
        <w:rPr>
          <w:rFonts w:hint="eastAsia" w:eastAsia="宋体" w:cs="微软雅黑"/>
          <w:sz w:val="21"/>
        </w:rPr>
        <w:t>—抗拔桩</w:t>
      </w:r>
      <w:r>
        <w:rPr>
          <w:rFonts w:hint="eastAsia" w:eastAsia="宋体" w:cs="宋体"/>
          <w:sz w:val="21"/>
        </w:rPr>
        <w:t>；2</w:t>
      </w:r>
      <w:r>
        <w:rPr>
          <w:rFonts w:hint="eastAsia" w:eastAsia="宋体" w:cs="微软雅黑"/>
          <w:sz w:val="21"/>
        </w:rPr>
        <w:t>—柱；</w:t>
      </w:r>
      <w:r>
        <w:rPr>
          <w:rFonts w:hint="eastAsia" w:eastAsia="宋体" w:cs="宋体"/>
          <w:sz w:val="21"/>
        </w:rPr>
        <w:t>3</w:t>
      </w:r>
      <w:r>
        <w:rPr>
          <w:rFonts w:hint="eastAsia" w:eastAsia="宋体" w:cs="微软雅黑"/>
          <w:sz w:val="21"/>
        </w:rPr>
        <w:t>—基础地梁；</w:t>
      </w:r>
      <w:r>
        <w:rPr>
          <w:rFonts w:hint="eastAsia" w:eastAsia="宋体" w:cs="宋体"/>
          <w:sz w:val="21"/>
        </w:rPr>
        <w:t>4</w:t>
      </w:r>
      <w:r>
        <w:rPr>
          <w:rFonts w:hint="eastAsia" w:eastAsia="宋体" w:cs="微软雅黑"/>
          <w:sz w:val="21"/>
        </w:rPr>
        <w:t>—柱下承台</w:t>
      </w:r>
    </w:p>
    <w:p w14:paraId="5BBD2F26">
      <w:pPr>
        <w:numPr>
          <w:ilvl w:val="2"/>
          <w:numId w:val="2"/>
        </w:numPr>
        <w:spacing w:line="360" w:lineRule="auto"/>
        <w:ind w:left="0" w:firstLine="0"/>
        <w:jc w:val="left"/>
        <w:rPr>
          <w:rFonts w:eastAsia="宋体"/>
          <w:sz w:val="24"/>
          <w:szCs w:val="32"/>
        </w:rPr>
      </w:pPr>
      <w:r>
        <w:rPr>
          <w:rFonts w:hint="eastAsia" w:eastAsia="宋体"/>
          <w:sz w:val="24"/>
          <w:szCs w:val="32"/>
        </w:rPr>
        <w:t>抗拔预制桩，接头连接强度不得小于预制桩桩身强度。</w:t>
      </w:r>
    </w:p>
    <w:p w14:paraId="03C6AD2F">
      <w:pPr>
        <w:numPr>
          <w:ilvl w:val="2"/>
          <w:numId w:val="2"/>
        </w:numPr>
        <w:spacing w:line="360" w:lineRule="auto"/>
        <w:ind w:left="0" w:firstLine="0"/>
        <w:jc w:val="left"/>
        <w:rPr>
          <w:rFonts w:eastAsia="宋体"/>
          <w:sz w:val="24"/>
          <w:szCs w:val="32"/>
        </w:rPr>
      </w:pPr>
      <w:r>
        <w:rPr>
          <w:rFonts w:hint="eastAsia" w:eastAsia="宋体"/>
          <w:sz w:val="24"/>
          <w:szCs w:val="32"/>
        </w:rPr>
        <w:t>缓粘结预应力灌注桩预应力损失宜根据现场实测确定。初步设计时，可按现行行业标准《缓粘结预应力混凝土结构技术规程》JGJ 387有关规定进行估算，桩身混凝土的有效预压应力计算宜考虑桩周土体约束的影响。</w:t>
      </w:r>
    </w:p>
    <w:p w14:paraId="77EE9885">
      <w:pPr>
        <w:numPr>
          <w:ilvl w:val="2"/>
          <w:numId w:val="2"/>
        </w:numPr>
        <w:spacing w:line="360" w:lineRule="auto"/>
        <w:ind w:left="0" w:firstLine="0"/>
        <w:jc w:val="left"/>
        <w:rPr>
          <w:rFonts w:eastAsia="宋体"/>
          <w:sz w:val="24"/>
          <w:szCs w:val="32"/>
        </w:rPr>
      </w:pPr>
      <w:r>
        <w:rPr>
          <w:rFonts w:hint="eastAsia" w:eastAsia="宋体"/>
          <w:sz w:val="24"/>
          <w:szCs w:val="32"/>
        </w:rPr>
        <w:t>缓粘结预应力桩桩顶的锁定力在扣除预应力损失后形成的有效预压力，不宜小于其轴向拉力标准值的1.0倍。</w:t>
      </w:r>
    </w:p>
    <w:p w14:paraId="175E2C37">
      <w:pPr>
        <w:numPr>
          <w:ilvl w:val="2"/>
          <w:numId w:val="2"/>
        </w:numPr>
        <w:spacing w:line="360" w:lineRule="auto"/>
        <w:ind w:left="0" w:firstLine="0"/>
        <w:jc w:val="left"/>
        <w:rPr>
          <w:rFonts w:eastAsia="宋体"/>
          <w:sz w:val="24"/>
          <w:szCs w:val="32"/>
        </w:rPr>
      </w:pPr>
      <w:r>
        <w:rPr>
          <w:rFonts w:hint="eastAsia" w:eastAsia="宋体"/>
          <w:sz w:val="24"/>
          <w:szCs w:val="32"/>
        </w:rPr>
        <w:t>桩与基础连接应符合下列规定：</w:t>
      </w:r>
    </w:p>
    <w:p w14:paraId="12D3043D">
      <w:pPr>
        <w:numPr>
          <w:ilvl w:val="0"/>
          <w:numId w:val="22"/>
        </w:numPr>
        <w:tabs>
          <w:tab w:val="left" w:pos="320"/>
          <w:tab w:val="clear" w:pos="420"/>
        </w:tabs>
        <w:spacing w:line="360" w:lineRule="auto"/>
        <w:ind w:hanging="105"/>
        <w:rPr>
          <w:rFonts w:eastAsiaTheme="minorEastAsia"/>
          <w:sz w:val="24"/>
          <w:szCs w:val="24"/>
        </w:rPr>
      </w:pPr>
      <w:r>
        <w:rPr>
          <w:rFonts w:hint="eastAsia" w:eastAsiaTheme="minorEastAsia"/>
          <w:sz w:val="24"/>
          <w:szCs w:val="24"/>
        </w:rPr>
        <w:t>当桩径小于800mm 时，桩顶嵌入基础深度不宜小于50mm；当桩径不小于800mm 时，</w:t>
      </w:r>
      <w:r>
        <w:rPr>
          <w:rFonts w:hint="eastAsia" w:eastAsiaTheme="minorEastAsia"/>
          <w:strike/>
          <w:sz w:val="24"/>
          <w:szCs w:val="24"/>
        </w:rPr>
        <w:t>芯</w:t>
      </w:r>
      <w:r>
        <w:rPr>
          <w:rFonts w:hint="eastAsia" w:eastAsiaTheme="minorEastAsia"/>
          <w:sz w:val="24"/>
          <w:szCs w:val="24"/>
        </w:rPr>
        <w:t>桩顶嵌入基础深度不宜小于100mm；</w:t>
      </w:r>
    </w:p>
    <w:p w14:paraId="44564BDC">
      <w:pPr>
        <w:numPr>
          <w:ilvl w:val="0"/>
          <w:numId w:val="22"/>
        </w:numPr>
        <w:tabs>
          <w:tab w:val="left" w:pos="320"/>
          <w:tab w:val="clear" w:pos="420"/>
        </w:tabs>
        <w:spacing w:line="360" w:lineRule="auto"/>
        <w:ind w:hanging="105"/>
        <w:rPr>
          <w:rFonts w:eastAsiaTheme="minorEastAsia"/>
          <w:sz w:val="24"/>
          <w:szCs w:val="24"/>
        </w:rPr>
      </w:pPr>
      <w:r>
        <w:rPr>
          <w:rFonts w:hint="eastAsia" w:eastAsiaTheme="minorEastAsia"/>
          <w:sz w:val="24"/>
          <w:szCs w:val="24"/>
        </w:rPr>
        <w:t>桩顶应设置连接钢筋，可采用下列方式：</w:t>
      </w:r>
    </w:p>
    <w:p w14:paraId="3DA91D80">
      <w:pPr>
        <w:numPr>
          <w:ilvl w:val="0"/>
          <w:numId w:val="23"/>
        </w:numPr>
        <w:spacing w:line="360" w:lineRule="auto"/>
        <w:ind w:left="840" w:hanging="420"/>
        <w:rPr>
          <w:rFonts w:eastAsia="宋体"/>
          <w:sz w:val="24"/>
          <w:szCs w:val="24"/>
        </w:rPr>
      </w:pPr>
      <w:r>
        <w:rPr>
          <w:rFonts w:eastAsia="宋体"/>
          <w:sz w:val="24"/>
          <w:szCs w:val="24"/>
        </w:rPr>
        <w:t>宜采用机械连接将桩身预应力钢筋与连接钢筋连接成整体并锚入</w:t>
      </w:r>
      <w:r>
        <w:rPr>
          <w:rFonts w:hint="eastAsia" w:eastAsia="宋体"/>
          <w:sz w:val="24"/>
          <w:szCs w:val="24"/>
        </w:rPr>
        <w:t>基础</w:t>
      </w:r>
      <w:r>
        <w:rPr>
          <w:rFonts w:eastAsia="宋体"/>
          <w:sz w:val="24"/>
          <w:szCs w:val="24"/>
        </w:rPr>
        <w:t>内；</w:t>
      </w:r>
    </w:p>
    <w:p w14:paraId="1BDD8487">
      <w:pPr>
        <w:numPr>
          <w:ilvl w:val="0"/>
          <w:numId w:val="23"/>
        </w:numPr>
        <w:spacing w:line="360" w:lineRule="auto"/>
        <w:ind w:left="840" w:hanging="420"/>
        <w:rPr>
          <w:rFonts w:eastAsia="宋体"/>
          <w:sz w:val="24"/>
          <w:szCs w:val="24"/>
        </w:rPr>
      </w:pPr>
      <w:r>
        <w:rPr>
          <w:rFonts w:eastAsia="宋体"/>
          <w:sz w:val="24"/>
          <w:szCs w:val="24"/>
        </w:rPr>
        <w:t>直接将桩身预应力钢筋锚入</w:t>
      </w:r>
      <w:r>
        <w:rPr>
          <w:rFonts w:hint="eastAsia" w:eastAsia="宋体"/>
          <w:sz w:val="24"/>
          <w:szCs w:val="24"/>
        </w:rPr>
        <w:t>基础</w:t>
      </w:r>
      <w:r>
        <w:rPr>
          <w:rFonts w:eastAsia="宋体"/>
          <w:sz w:val="24"/>
          <w:szCs w:val="24"/>
        </w:rPr>
        <w:t>内；</w:t>
      </w:r>
    </w:p>
    <w:p w14:paraId="1C31FE65">
      <w:pPr>
        <w:numPr>
          <w:ilvl w:val="0"/>
          <w:numId w:val="22"/>
        </w:numPr>
        <w:tabs>
          <w:tab w:val="left" w:pos="320"/>
          <w:tab w:val="clear" w:pos="420"/>
        </w:tabs>
        <w:spacing w:line="360" w:lineRule="auto"/>
        <w:ind w:hanging="105"/>
        <w:rPr>
          <w:rFonts w:eastAsiaTheme="minorEastAsia"/>
          <w:sz w:val="24"/>
          <w:szCs w:val="24"/>
        </w:rPr>
      </w:pPr>
      <w:r>
        <w:rPr>
          <w:rFonts w:hint="eastAsia" w:eastAsiaTheme="minorEastAsia"/>
          <w:sz w:val="24"/>
          <w:szCs w:val="24"/>
        </w:rPr>
        <w:t>当采用机械连接方式时，抗浮桩连接钢筋的根数应与桩身预应力钢筋的根数相同，钢筋直径和锚固长度应按计算确定；</w:t>
      </w:r>
    </w:p>
    <w:p w14:paraId="44F929E1">
      <w:pPr>
        <w:numPr>
          <w:ilvl w:val="0"/>
          <w:numId w:val="22"/>
        </w:numPr>
        <w:tabs>
          <w:tab w:val="left" w:pos="320"/>
          <w:tab w:val="clear" w:pos="420"/>
        </w:tabs>
        <w:spacing w:line="360" w:lineRule="auto"/>
        <w:ind w:hanging="105"/>
        <w:rPr>
          <w:rFonts w:eastAsiaTheme="minorEastAsia"/>
          <w:sz w:val="24"/>
          <w:szCs w:val="24"/>
        </w:rPr>
      </w:pPr>
      <w:r>
        <w:rPr>
          <w:rFonts w:hint="eastAsia" w:eastAsiaTheme="minorEastAsia"/>
          <w:sz w:val="24"/>
          <w:szCs w:val="24"/>
        </w:rPr>
        <w:t>当采用桩的预应力钢筋直接锚固时，预应力钢筋锚入基础内的长度，除满足计算要求外，对于抗浮桩不应小于</w:t>
      </w:r>
      <w:r>
        <w:rPr>
          <w:rFonts w:eastAsiaTheme="minorEastAsia"/>
          <w:sz w:val="24"/>
          <w:szCs w:val="24"/>
        </w:rPr>
        <w:t>50</w:t>
      </w:r>
      <w:r>
        <w:rPr>
          <w:rFonts w:hint="eastAsia" w:eastAsiaTheme="minorEastAsia"/>
          <w:sz w:val="24"/>
          <w:szCs w:val="24"/>
        </w:rPr>
        <w:t>倍钢筋直径。</w:t>
      </w:r>
    </w:p>
    <w:p w14:paraId="25C877A1">
      <w:pPr>
        <w:numPr>
          <w:ilvl w:val="1"/>
          <w:numId w:val="2"/>
        </w:numPr>
        <w:spacing w:line="360" w:lineRule="auto"/>
        <w:ind w:left="0" w:firstLine="0"/>
        <w:jc w:val="center"/>
        <w:outlineLvl w:val="1"/>
        <w:rPr>
          <w:rFonts w:eastAsiaTheme="minorEastAsia"/>
          <w:b/>
          <w:bCs/>
          <w:sz w:val="24"/>
          <w:szCs w:val="24"/>
        </w:rPr>
      </w:pPr>
      <w:bookmarkStart w:id="115" w:name="_Toc4368"/>
      <w:r>
        <w:rPr>
          <w:rFonts w:hint="eastAsia" w:eastAsiaTheme="minorEastAsia"/>
          <w:b/>
          <w:bCs/>
          <w:sz w:val="24"/>
          <w:szCs w:val="24"/>
        </w:rPr>
        <w:t>检测要求</w:t>
      </w:r>
      <w:bookmarkEnd w:id="115"/>
    </w:p>
    <w:p w14:paraId="16A21BA1">
      <w:pPr>
        <w:numPr>
          <w:ilvl w:val="2"/>
          <w:numId w:val="2"/>
        </w:numPr>
        <w:spacing w:line="360" w:lineRule="auto"/>
        <w:ind w:left="0" w:firstLine="0"/>
        <w:jc w:val="left"/>
        <w:rPr>
          <w:rFonts w:eastAsia="宋体"/>
          <w:sz w:val="24"/>
          <w:szCs w:val="32"/>
        </w:rPr>
      </w:pPr>
      <w:r>
        <w:rPr>
          <w:rFonts w:hint="eastAsia" w:eastAsia="宋体"/>
          <w:sz w:val="24"/>
          <w:szCs w:val="32"/>
        </w:rPr>
        <w:t>抗拔承载力验收检测应采用单桩竖向抗拔静载试验，检测数量应符合下列规定：</w:t>
      </w:r>
    </w:p>
    <w:p w14:paraId="640AB58B">
      <w:pPr>
        <w:numPr>
          <w:ilvl w:val="0"/>
          <w:numId w:val="24"/>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检测数量不应少于同条件下总桩数的1%，且不应少于3根；</w:t>
      </w:r>
    </w:p>
    <w:p w14:paraId="09E38F55">
      <w:pPr>
        <w:numPr>
          <w:ilvl w:val="0"/>
          <w:numId w:val="24"/>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当同条件下总桩数少于50根时，检测数量不应少于2根；</w:t>
      </w:r>
    </w:p>
    <w:p w14:paraId="79FE70B0">
      <w:pPr>
        <w:numPr>
          <w:ilvl w:val="0"/>
          <w:numId w:val="24"/>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同一单体工程中，当采用两种或两种以上桩型时，每种桩型应按本条第1款、第2款分别确定检测数量。</w:t>
      </w:r>
    </w:p>
    <w:p w14:paraId="313614B6">
      <w:pPr>
        <w:numPr>
          <w:ilvl w:val="2"/>
          <w:numId w:val="2"/>
        </w:numPr>
        <w:spacing w:line="360" w:lineRule="auto"/>
        <w:ind w:left="0" w:firstLine="0"/>
        <w:jc w:val="left"/>
        <w:rPr>
          <w:rFonts w:eastAsia="宋体"/>
          <w:sz w:val="24"/>
          <w:szCs w:val="32"/>
        </w:rPr>
      </w:pPr>
      <w:r>
        <w:rPr>
          <w:rFonts w:hint="eastAsia" w:eastAsia="宋体"/>
          <w:sz w:val="24"/>
          <w:szCs w:val="32"/>
        </w:rPr>
        <w:t>抗浮桩桩身完整性检测，宜采用两种或两种以上的检测方法，抗浮桩检测数量应符合如下规定：</w:t>
      </w:r>
    </w:p>
    <w:p w14:paraId="02C55EDD">
      <w:pPr>
        <w:numPr>
          <w:ilvl w:val="0"/>
          <w:numId w:val="25"/>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抗浮设计等级为甲级或设计使用年限为100年的工程桩身完整性检测数量宜为总桩数的100%，</w:t>
      </w:r>
      <w:r>
        <w:rPr>
          <w:rFonts w:hint="eastAsia" w:eastAsia="宋体"/>
          <w:sz w:val="24"/>
          <w:szCs w:val="32"/>
        </w:rPr>
        <w:t>宜</w:t>
      </w:r>
      <w:r>
        <w:rPr>
          <w:rFonts w:hint="eastAsia" w:eastAsiaTheme="minorEastAsia"/>
          <w:sz w:val="24"/>
          <w:szCs w:val="24"/>
        </w:rPr>
        <w:t>按不少于总桩数10％的比例采用声波透射法或钻芯法检测；</w:t>
      </w:r>
    </w:p>
    <w:p w14:paraId="68D50878">
      <w:pPr>
        <w:numPr>
          <w:ilvl w:val="0"/>
          <w:numId w:val="25"/>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其它桩基工程，检测数量不应少于总桩数的20%，且不少于10根。</w:t>
      </w:r>
    </w:p>
    <w:p w14:paraId="4FB2C8AC">
      <w:pPr>
        <w:numPr>
          <w:ilvl w:val="0"/>
          <w:numId w:val="25"/>
        </w:numPr>
        <w:tabs>
          <w:tab w:val="left" w:pos="0"/>
          <w:tab w:val="clear" w:pos="420"/>
        </w:tabs>
        <w:spacing w:line="360" w:lineRule="auto"/>
        <w:ind w:left="5" w:firstLine="315"/>
        <w:jc w:val="left"/>
        <w:rPr>
          <w:rFonts w:eastAsiaTheme="minorEastAsia"/>
          <w:sz w:val="24"/>
          <w:szCs w:val="24"/>
        </w:rPr>
      </w:pPr>
      <w:r>
        <w:rPr>
          <w:rFonts w:hint="eastAsia" w:eastAsiaTheme="minorEastAsia"/>
          <w:sz w:val="24"/>
          <w:szCs w:val="24"/>
        </w:rPr>
        <w:t>除符合上款规定外，每个柱下承台检测桩数不应少于1根。</w:t>
      </w:r>
    </w:p>
    <w:p w14:paraId="18C9609A">
      <w:pPr>
        <w:numPr>
          <w:ilvl w:val="2"/>
          <w:numId w:val="2"/>
        </w:numPr>
        <w:spacing w:line="360" w:lineRule="auto"/>
        <w:ind w:left="0" w:firstLine="0"/>
        <w:jc w:val="left"/>
        <w:rPr>
          <w:rFonts w:eastAsia="宋体"/>
          <w:sz w:val="24"/>
          <w:szCs w:val="32"/>
        </w:rPr>
      </w:pPr>
      <w:r>
        <w:rPr>
          <w:rFonts w:eastAsia="宋体"/>
          <w:sz w:val="24"/>
          <w:szCs w:val="32"/>
        </w:rPr>
        <w:t>复合</w:t>
      </w:r>
      <w:r>
        <w:rPr>
          <w:rFonts w:hint="eastAsia" w:eastAsia="宋体"/>
          <w:sz w:val="24"/>
          <w:szCs w:val="32"/>
        </w:rPr>
        <w:t>预制桩的水泥土外桩强度检验，应在施工前通过工艺性试验桩进行。试验桩应在成桩28d后采用钻孔进行全桩长钻芯法试验，水泥土无侧限抗压强度不应低于1.5MPa。应对主要土层分别取样，每种土层的芯样不宜少于3组。</w:t>
      </w:r>
    </w:p>
    <w:p w14:paraId="008BBFED">
      <w:pPr>
        <w:spacing w:line="360" w:lineRule="auto"/>
        <w:ind w:firstLine="585" w:firstLineChars="266"/>
        <w:rPr>
          <w:rFonts w:eastAsia="楷体"/>
          <w:sz w:val="22"/>
          <w:szCs w:val="22"/>
        </w:rPr>
      </w:pPr>
    </w:p>
    <w:p w14:paraId="0C4EA19F">
      <w:pPr>
        <w:spacing w:line="360" w:lineRule="auto"/>
        <w:ind w:firstLine="638" w:firstLineChars="266"/>
        <w:rPr>
          <w:rFonts w:eastAsiaTheme="minorEastAsia"/>
          <w:sz w:val="24"/>
          <w:szCs w:val="24"/>
        </w:rPr>
      </w:pPr>
      <w:r>
        <w:rPr>
          <w:rFonts w:eastAsiaTheme="minorEastAsia"/>
          <w:sz w:val="24"/>
          <w:szCs w:val="24"/>
        </w:rPr>
        <w:br w:type="page"/>
      </w:r>
    </w:p>
    <w:p w14:paraId="3F9AFEEB">
      <w:pPr>
        <w:numPr>
          <w:ilvl w:val="0"/>
          <w:numId w:val="2"/>
        </w:numPr>
        <w:spacing w:line="360" w:lineRule="auto"/>
        <w:jc w:val="center"/>
        <w:outlineLvl w:val="0"/>
        <w:rPr>
          <w:rFonts w:eastAsiaTheme="minorEastAsia"/>
          <w:b/>
          <w:bCs/>
          <w:sz w:val="28"/>
          <w:szCs w:val="28"/>
        </w:rPr>
      </w:pPr>
      <w:bookmarkStart w:id="116" w:name="_Toc6374"/>
      <w:bookmarkStart w:id="117" w:name="_Toc24245"/>
      <w:bookmarkStart w:id="118" w:name="_Toc2893"/>
      <w:bookmarkStart w:id="119" w:name="_Toc32165"/>
      <w:bookmarkStart w:id="120" w:name="_Toc7049"/>
      <w:bookmarkStart w:id="121" w:name="_Toc20020"/>
      <w:r>
        <w:rPr>
          <w:rFonts w:eastAsiaTheme="minorEastAsia"/>
          <w:b/>
          <w:bCs/>
          <w:sz w:val="28"/>
          <w:szCs w:val="28"/>
        </w:rPr>
        <w:t>锚杆法</w:t>
      </w:r>
      <w:bookmarkEnd w:id="116"/>
      <w:bookmarkEnd w:id="117"/>
      <w:bookmarkEnd w:id="118"/>
      <w:bookmarkEnd w:id="119"/>
      <w:bookmarkEnd w:id="120"/>
      <w:bookmarkEnd w:id="121"/>
    </w:p>
    <w:p w14:paraId="38325E84">
      <w:pPr>
        <w:numPr>
          <w:ilvl w:val="1"/>
          <w:numId w:val="2"/>
        </w:numPr>
        <w:spacing w:line="360" w:lineRule="auto"/>
        <w:ind w:left="0" w:firstLine="0"/>
        <w:jc w:val="center"/>
        <w:outlineLvl w:val="1"/>
        <w:rPr>
          <w:rFonts w:eastAsiaTheme="minorEastAsia"/>
          <w:b/>
          <w:bCs/>
          <w:sz w:val="24"/>
          <w:szCs w:val="24"/>
        </w:rPr>
      </w:pPr>
      <w:bookmarkStart w:id="122" w:name="_Toc8648"/>
      <w:bookmarkStart w:id="123" w:name="_Toc29759"/>
      <w:bookmarkStart w:id="124" w:name="_Toc21428"/>
      <w:bookmarkStart w:id="125" w:name="_Toc8455"/>
      <w:bookmarkStart w:id="126" w:name="_Toc8314"/>
      <w:bookmarkStart w:id="127" w:name="_Toc7565"/>
      <w:r>
        <w:rPr>
          <w:rFonts w:eastAsiaTheme="minorEastAsia"/>
          <w:b/>
          <w:bCs/>
          <w:sz w:val="24"/>
          <w:szCs w:val="24"/>
        </w:rPr>
        <w:t>一般规定</w:t>
      </w:r>
      <w:bookmarkEnd w:id="122"/>
      <w:bookmarkEnd w:id="123"/>
      <w:bookmarkEnd w:id="124"/>
      <w:bookmarkEnd w:id="125"/>
      <w:bookmarkEnd w:id="126"/>
      <w:bookmarkEnd w:id="127"/>
    </w:p>
    <w:p w14:paraId="7F60C7B7">
      <w:pPr>
        <w:numPr>
          <w:ilvl w:val="2"/>
          <w:numId w:val="2"/>
        </w:numPr>
        <w:spacing w:line="360" w:lineRule="auto"/>
        <w:ind w:left="0" w:firstLine="0"/>
        <w:rPr>
          <w:rFonts w:eastAsiaTheme="minorEastAsia"/>
          <w:sz w:val="24"/>
          <w:szCs w:val="24"/>
        </w:rPr>
      </w:pPr>
      <w:r>
        <w:rPr>
          <w:rFonts w:hint="eastAsia" w:eastAsiaTheme="minorEastAsia"/>
          <w:sz w:val="24"/>
          <w:szCs w:val="24"/>
        </w:rPr>
        <w:t>抗浮锚杆应结合基础形式、正常使用工况下抗浮锚杆受力情况等条件确定平面布置方案，以确保基础受力合理、抗浮锚杆受力均匀，避免渐进破坏。在满足整体抗浮稳定要求前提下，锚杆布置尚应充分考虑局部抗浮对地下结构底板受力及变形的影响。</w:t>
      </w:r>
    </w:p>
    <w:p w14:paraId="3EDAA88C">
      <w:pPr>
        <w:numPr>
          <w:ilvl w:val="2"/>
          <w:numId w:val="2"/>
        </w:numPr>
        <w:spacing w:line="360" w:lineRule="auto"/>
        <w:ind w:left="0" w:firstLine="0"/>
        <w:rPr>
          <w:rFonts w:eastAsiaTheme="minorEastAsia"/>
          <w:sz w:val="24"/>
          <w:szCs w:val="24"/>
        </w:rPr>
      </w:pPr>
      <w:r>
        <w:rPr>
          <w:rFonts w:eastAsiaTheme="minorEastAsia"/>
          <w:sz w:val="24"/>
          <w:szCs w:val="24"/>
        </w:rPr>
        <w:t>抗浮设计存在下列情形之一的，采用锚杆时，应对锚杆选型和设计方案进行专门研究和论证：</w:t>
      </w:r>
    </w:p>
    <w:p w14:paraId="6580E071">
      <w:pPr>
        <w:numPr>
          <w:ilvl w:val="0"/>
          <w:numId w:val="26"/>
        </w:numPr>
        <w:tabs>
          <w:tab w:val="left" w:pos="320"/>
          <w:tab w:val="clear" w:pos="420"/>
        </w:tabs>
        <w:spacing w:line="360" w:lineRule="auto"/>
        <w:ind w:hanging="105"/>
        <w:rPr>
          <w:rFonts w:eastAsiaTheme="minorEastAsia"/>
          <w:sz w:val="24"/>
          <w:szCs w:val="24"/>
        </w:rPr>
      </w:pPr>
      <w:r>
        <w:rPr>
          <w:rFonts w:eastAsiaTheme="minorEastAsia"/>
          <w:sz w:val="24"/>
          <w:szCs w:val="24"/>
        </w:rPr>
        <w:t>未经处理的</w:t>
      </w:r>
      <w:r>
        <w:rPr>
          <w:rFonts w:hint="eastAsia" w:eastAsiaTheme="minorEastAsia"/>
          <w:sz w:val="24"/>
          <w:szCs w:val="24"/>
        </w:rPr>
        <w:t>有机质、</w:t>
      </w:r>
      <w:r>
        <w:rPr>
          <w:rFonts w:eastAsiaTheme="minorEastAsia"/>
          <w:sz w:val="24"/>
          <w:szCs w:val="24"/>
        </w:rPr>
        <w:t>液化、</w:t>
      </w:r>
      <w:r>
        <w:rPr>
          <w:rFonts w:hint="eastAsia" w:eastAsiaTheme="minorEastAsia"/>
          <w:sz w:val="24"/>
          <w:szCs w:val="24"/>
        </w:rPr>
        <w:t>填土</w:t>
      </w:r>
      <w:r>
        <w:rPr>
          <w:rFonts w:eastAsiaTheme="minorEastAsia"/>
          <w:sz w:val="24"/>
          <w:szCs w:val="24"/>
        </w:rPr>
        <w:t>等软弱地基；</w:t>
      </w:r>
    </w:p>
    <w:p w14:paraId="1C2F4A3C">
      <w:pPr>
        <w:numPr>
          <w:ilvl w:val="0"/>
          <w:numId w:val="26"/>
        </w:numPr>
        <w:tabs>
          <w:tab w:val="left" w:pos="320"/>
          <w:tab w:val="clear" w:pos="420"/>
        </w:tabs>
        <w:spacing w:line="360" w:lineRule="auto"/>
        <w:ind w:hanging="105"/>
        <w:rPr>
          <w:rFonts w:eastAsiaTheme="minorEastAsia"/>
          <w:sz w:val="24"/>
          <w:szCs w:val="24"/>
        </w:rPr>
      </w:pPr>
      <w:r>
        <w:rPr>
          <w:rFonts w:eastAsiaTheme="minorEastAsia"/>
          <w:sz w:val="24"/>
          <w:szCs w:val="24"/>
        </w:rPr>
        <w:t>锚固段位于对反复荷载敏感的地层等特殊地层；</w:t>
      </w:r>
    </w:p>
    <w:p w14:paraId="5D3FAAF3">
      <w:pPr>
        <w:numPr>
          <w:ilvl w:val="0"/>
          <w:numId w:val="26"/>
        </w:numPr>
        <w:tabs>
          <w:tab w:val="left" w:pos="320"/>
          <w:tab w:val="clear" w:pos="420"/>
        </w:tabs>
        <w:spacing w:line="360" w:lineRule="auto"/>
        <w:ind w:hanging="105"/>
        <w:rPr>
          <w:rFonts w:eastAsiaTheme="minorEastAsia"/>
          <w:sz w:val="24"/>
          <w:szCs w:val="24"/>
        </w:rPr>
      </w:pPr>
      <w:r>
        <w:rPr>
          <w:rFonts w:hint="eastAsia" w:eastAsiaTheme="minorEastAsia"/>
          <w:sz w:val="24"/>
          <w:szCs w:val="24"/>
        </w:rPr>
        <w:t>土和水</w:t>
      </w:r>
      <w:r>
        <w:rPr>
          <w:rFonts w:eastAsiaTheme="minorEastAsia"/>
          <w:sz w:val="24"/>
          <w:szCs w:val="24"/>
        </w:rPr>
        <w:t>腐蚀</w:t>
      </w:r>
      <w:r>
        <w:rPr>
          <w:rFonts w:hint="eastAsia" w:eastAsiaTheme="minorEastAsia"/>
          <w:sz w:val="24"/>
          <w:szCs w:val="24"/>
        </w:rPr>
        <w:t>等级为强腐蚀；</w:t>
      </w:r>
    </w:p>
    <w:p w14:paraId="6E8E0D3B">
      <w:pPr>
        <w:numPr>
          <w:ilvl w:val="0"/>
          <w:numId w:val="26"/>
        </w:numPr>
        <w:tabs>
          <w:tab w:val="left" w:pos="320"/>
          <w:tab w:val="clear" w:pos="420"/>
        </w:tabs>
        <w:spacing w:line="360" w:lineRule="auto"/>
        <w:ind w:hanging="105"/>
        <w:rPr>
          <w:rFonts w:eastAsiaTheme="minorEastAsia"/>
          <w:sz w:val="24"/>
          <w:szCs w:val="24"/>
        </w:rPr>
      </w:pPr>
      <w:r>
        <w:rPr>
          <w:rFonts w:hint="eastAsia" w:eastAsiaTheme="minorEastAsia"/>
          <w:sz w:val="24"/>
          <w:szCs w:val="24"/>
        </w:rPr>
        <w:t>地区</w:t>
      </w:r>
      <w:r>
        <w:rPr>
          <w:rFonts w:eastAsiaTheme="minorEastAsia"/>
          <w:sz w:val="24"/>
          <w:szCs w:val="24"/>
        </w:rPr>
        <w:t>工程经验较少；</w:t>
      </w:r>
    </w:p>
    <w:p w14:paraId="5A9E9248">
      <w:pPr>
        <w:numPr>
          <w:ilvl w:val="2"/>
          <w:numId w:val="2"/>
        </w:numPr>
        <w:spacing w:line="360" w:lineRule="auto"/>
        <w:ind w:left="0" w:firstLine="0"/>
        <w:rPr>
          <w:rFonts w:eastAsiaTheme="minorEastAsia"/>
          <w:sz w:val="24"/>
          <w:szCs w:val="24"/>
        </w:rPr>
      </w:pPr>
      <w:r>
        <w:rPr>
          <w:rFonts w:hint="eastAsia" w:eastAsiaTheme="minorEastAsia"/>
          <w:sz w:val="24"/>
          <w:szCs w:val="24"/>
        </w:rPr>
        <w:t>岩层锚杆锚固体直径不宜小于100mm，土层锚杆锚固体直径不宜小于180mm，等直径锚杆及非扩体段的锚杆直径不宜大于250mm。</w:t>
      </w:r>
    </w:p>
    <w:p w14:paraId="105ECC1F">
      <w:pPr>
        <w:numPr>
          <w:ilvl w:val="2"/>
          <w:numId w:val="2"/>
        </w:numPr>
        <w:spacing w:line="360" w:lineRule="auto"/>
        <w:ind w:left="0" w:firstLine="0"/>
        <w:rPr>
          <w:rFonts w:eastAsiaTheme="minorEastAsia"/>
          <w:sz w:val="24"/>
          <w:szCs w:val="24"/>
        </w:rPr>
      </w:pPr>
      <w:r>
        <w:rPr>
          <w:rFonts w:hint="eastAsia" w:eastAsiaTheme="minorEastAsia"/>
          <w:sz w:val="24"/>
          <w:szCs w:val="24"/>
        </w:rPr>
        <w:t>抗浮锚杆平面中心间距，等直径锚杆不应小于锚固体直径的8倍，扩体锚杆同时不应小于扩体段直径的4倍，且均不应小于1.5m。</w:t>
      </w:r>
    </w:p>
    <w:p w14:paraId="1FC96D52">
      <w:pPr>
        <w:numPr>
          <w:ilvl w:val="2"/>
          <w:numId w:val="2"/>
        </w:numPr>
        <w:spacing w:line="360" w:lineRule="auto"/>
        <w:ind w:left="0" w:firstLine="0"/>
        <w:rPr>
          <w:rFonts w:eastAsiaTheme="minorEastAsia"/>
          <w:sz w:val="24"/>
          <w:szCs w:val="24"/>
        </w:rPr>
      </w:pPr>
      <w:r>
        <w:rPr>
          <w:rFonts w:hint="eastAsia" w:eastAsiaTheme="minorEastAsia"/>
          <w:sz w:val="24"/>
          <w:szCs w:val="24"/>
        </w:rPr>
        <w:t>抗浮锚杆正式施工前应进行基本试验，基本试验锚杆岩土层条件、自由段长度等锚杆参数和施工工艺与工程锚杆相同，并应按本标准附录B进行检测。</w:t>
      </w:r>
    </w:p>
    <w:p w14:paraId="0D73B523">
      <w:pPr>
        <w:numPr>
          <w:ilvl w:val="2"/>
          <w:numId w:val="2"/>
        </w:numPr>
        <w:spacing w:line="360" w:lineRule="auto"/>
        <w:ind w:left="0" w:firstLine="0"/>
        <w:rPr>
          <w:rFonts w:eastAsiaTheme="minorEastAsia"/>
          <w:sz w:val="24"/>
          <w:szCs w:val="24"/>
        </w:rPr>
      </w:pPr>
      <w:r>
        <w:rPr>
          <w:rFonts w:hint="eastAsia" w:eastAsiaTheme="minorEastAsia"/>
          <w:sz w:val="24"/>
          <w:szCs w:val="24"/>
        </w:rPr>
        <w:t>锚杆进行基本试验和蠕变试验后，不宜作为工程锚杆使用。</w:t>
      </w:r>
    </w:p>
    <w:p w14:paraId="2AF8CB18">
      <w:pPr>
        <w:numPr>
          <w:ilvl w:val="1"/>
          <w:numId w:val="2"/>
        </w:numPr>
        <w:spacing w:line="360" w:lineRule="auto"/>
        <w:ind w:left="0" w:firstLine="0"/>
        <w:jc w:val="center"/>
        <w:outlineLvl w:val="1"/>
        <w:rPr>
          <w:rFonts w:eastAsiaTheme="minorEastAsia"/>
          <w:b/>
          <w:bCs/>
          <w:sz w:val="24"/>
          <w:szCs w:val="24"/>
        </w:rPr>
      </w:pPr>
      <w:bookmarkStart w:id="128" w:name="_Toc21454"/>
      <w:bookmarkStart w:id="129" w:name="_Toc29814"/>
      <w:bookmarkStart w:id="130" w:name="_Toc18400"/>
      <w:bookmarkStart w:id="131" w:name="_Toc21655"/>
      <w:bookmarkStart w:id="132" w:name="_Toc16090"/>
      <w:bookmarkStart w:id="133" w:name="_Toc7148"/>
      <w:r>
        <w:rPr>
          <w:rFonts w:eastAsiaTheme="minorEastAsia"/>
          <w:b/>
          <w:bCs/>
          <w:sz w:val="24"/>
          <w:szCs w:val="24"/>
        </w:rPr>
        <w:t>设计</w:t>
      </w:r>
      <w:bookmarkEnd w:id="128"/>
      <w:bookmarkEnd w:id="129"/>
      <w:bookmarkEnd w:id="130"/>
      <w:bookmarkEnd w:id="131"/>
      <w:bookmarkEnd w:id="132"/>
      <w:bookmarkEnd w:id="133"/>
    </w:p>
    <w:p w14:paraId="25942738">
      <w:pPr>
        <w:adjustRightInd w:val="0"/>
        <w:snapToGrid w:val="0"/>
        <w:spacing w:line="360" w:lineRule="auto"/>
        <w:jc w:val="center"/>
        <w:outlineLvl w:val="2"/>
        <w:rPr>
          <w:rFonts w:eastAsia="宋体"/>
          <w:b/>
          <w:sz w:val="22"/>
          <w:szCs w:val="22"/>
        </w:rPr>
      </w:pPr>
      <w:bookmarkStart w:id="134" w:name="_Toc12842"/>
      <w:bookmarkStart w:id="135" w:name="_Toc27"/>
      <w:bookmarkStart w:id="136" w:name="_Toc236"/>
      <w:bookmarkStart w:id="137" w:name="_Toc36"/>
      <w:r>
        <w:rPr>
          <w:rFonts w:hint="eastAsia" w:eastAsia="宋体"/>
          <w:b/>
          <w:sz w:val="22"/>
          <w:szCs w:val="22"/>
        </w:rPr>
        <w:t>Ⅰ  杆体</w:t>
      </w:r>
      <w:bookmarkEnd w:id="134"/>
      <w:bookmarkEnd w:id="135"/>
      <w:bookmarkEnd w:id="136"/>
      <w:bookmarkEnd w:id="137"/>
    </w:p>
    <w:p w14:paraId="3FB15E78">
      <w:pPr>
        <w:numPr>
          <w:ilvl w:val="2"/>
          <w:numId w:val="2"/>
        </w:numPr>
        <w:spacing w:line="360" w:lineRule="auto"/>
        <w:ind w:left="0" w:firstLine="0"/>
        <w:rPr>
          <w:rFonts w:eastAsiaTheme="minorEastAsia"/>
          <w:sz w:val="24"/>
          <w:szCs w:val="24"/>
        </w:rPr>
      </w:pPr>
      <w:r>
        <w:rPr>
          <w:rFonts w:hint="eastAsia" w:eastAsiaTheme="minorEastAsia"/>
          <w:sz w:val="24"/>
          <w:szCs w:val="24"/>
        </w:rPr>
        <w:t>抗浮锚杆类型应根据抗浮设计等级、变形控制要求、地质条件、锚杆受力特点、施工条件及地区经验选定，锚杆类型及适用条件按表8.2.1确定。</w:t>
      </w:r>
    </w:p>
    <w:p w14:paraId="1281F43E">
      <w:pPr>
        <w:spacing w:line="360" w:lineRule="auto"/>
        <w:jc w:val="center"/>
        <w:rPr>
          <w:rFonts w:eastAsiaTheme="minorEastAsia"/>
          <w:sz w:val="20"/>
        </w:rPr>
      </w:pPr>
      <w:r>
        <w:rPr>
          <w:rFonts w:hint="eastAsia" w:eastAsiaTheme="minorEastAsia"/>
          <w:sz w:val="20"/>
        </w:rPr>
        <w:t>表8.2.1  锚杆类型及适用条件</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7100"/>
      </w:tblGrid>
      <w:tr w14:paraId="7304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1E83AF6A">
            <w:pPr>
              <w:spacing w:line="360" w:lineRule="auto"/>
              <w:jc w:val="center"/>
              <w:rPr>
                <w:rFonts w:eastAsiaTheme="minorEastAsia"/>
                <w:sz w:val="20"/>
              </w:rPr>
            </w:pPr>
            <w:r>
              <w:rPr>
                <w:rFonts w:eastAsiaTheme="minorEastAsia"/>
                <w:sz w:val="20"/>
              </w:rPr>
              <w:t>锚杆类型</w:t>
            </w:r>
          </w:p>
        </w:tc>
        <w:tc>
          <w:tcPr>
            <w:tcW w:w="7121" w:type="dxa"/>
            <w:vAlign w:val="center"/>
          </w:tcPr>
          <w:p w14:paraId="3CED3486">
            <w:pPr>
              <w:spacing w:line="360" w:lineRule="auto"/>
              <w:jc w:val="center"/>
              <w:rPr>
                <w:rFonts w:eastAsiaTheme="minorEastAsia"/>
                <w:sz w:val="20"/>
              </w:rPr>
            </w:pPr>
            <w:r>
              <w:rPr>
                <w:rFonts w:eastAsiaTheme="minorEastAsia"/>
                <w:sz w:val="20"/>
              </w:rPr>
              <w:t>锚杆工作特性与适用条件</w:t>
            </w:r>
          </w:p>
        </w:tc>
      </w:tr>
      <w:tr w14:paraId="1119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19AB79E6">
            <w:pPr>
              <w:spacing w:line="360" w:lineRule="auto"/>
              <w:jc w:val="center"/>
              <w:rPr>
                <w:rFonts w:eastAsiaTheme="minorEastAsia"/>
                <w:sz w:val="20"/>
              </w:rPr>
            </w:pPr>
            <w:r>
              <w:rPr>
                <w:rFonts w:eastAsiaTheme="minorEastAsia"/>
                <w:sz w:val="20"/>
              </w:rPr>
              <w:t>全长粘结型锚杆</w:t>
            </w:r>
          </w:p>
        </w:tc>
        <w:tc>
          <w:tcPr>
            <w:tcW w:w="7121" w:type="dxa"/>
            <w:vAlign w:val="center"/>
          </w:tcPr>
          <w:p w14:paraId="627027D2">
            <w:pPr>
              <w:numPr>
                <w:ilvl w:val="0"/>
                <w:numId w:val="27"/>
              </w:numPr>
              <w:spacing w:line="360" w:lineRule="auto"/>
              <w:rPr>
                <w:rFonts w:eastAsiaTheme="minorEastAsia"/>
                <w:sz w:val="20"/>
              </w:rPr>
            </w:pPr>
            <w:r>
              <w:rPr>
                <w:rFonts w:hint="eastAsia" w:eastAsiaTheme="minorEastAsia"/>
                <w:sz w:val="20"/>
              </w:rPr>
              <w:t>适用于</w:t>
            </w:r>
            <w:r>
              <w:rPr>
                <w:rFonts w:eastAsiaTheme="minorEastAsia"/>
                <w:sz w:val="20"/>
              </w:rPr>
              <w:t>岩层或</w:t>
            </w:r>
            <w:r>
              <w:rPr>
                <w:rFonts w:hint="eastAsia" w:eastAsiaTheme="minorEastAsia"/>
                <w:sz w:val="20"/>
              </w:rPr>
              <w:t>非软</w:t>
            </w:r>
            <w:r>
              <w:rPr>
                <w:rFonts w:eastAsiaTheme="minorEastAsia"/>
                <w:sz w:val="20"/>
              </w:rPr>
              <w:t>土层、竖向位移控制要求不严格；</w:t>
            </w:r>
          </w:p>
          <w:p w14:paraId="03B49722">
            <w:pPr>
              <w:numPr>
                <w:ilvl w:val="0"/>
                <w:numId w:val="27"/>
              </w:numPr>
              <w:spacing w:line="360" w:lineRule="auto"/>
              <w:rPr>
                <w:rFonts w:eastAsiaTheme="minorEastAsia"/>
                <w:sz w:val="20"/>
              </w:rPr>
            </w:pPr>
            <w:r>
              <w:rPr>
                <w:rFonts w:hint="eastAsia" w:eastAsiaTheme="minorEastAsia"/>
                <w:sz w:val="20"/>
              </w:rPr>
              <w:t>土层锚杆单根锚杆抗拔承载力标准值不宜大于240kN，岩层锚杆单根锚杆抗拔承载力标准值不宜大于350kN；</w:t>
            </w:r>
          </w:p>
          <w:p w14:paraId="42169FC9">
            <w:pPr>
              <w:numPr>
                <w:ilvl w:val="0"/>
                <w:numId w:val="27"/>
              </w:numPr>
              <w:spacing w:line="360" w:lineRule="auto"/>
              <w:rPr>
                <w:rFonts w:eastAsiaTheme="minorEastAsia"/>
                <w:sz w:val="20"/>
              </w:rPr>
            </w:pPr>
            <w:r>
              <w:rPr>
                <w:rFonts w:hint="eastAsia" w:eastAsiaTheme="minorEastAsia"/>
                <w:sz w:val="20"/>
              </w:rPr>
              <w:t>岩层锚杆长度宜为3m~10m，土层锚杆长度宜为7m~15m；</w:t>
            </w:r>
          </w:p>
          <w:p w14:paraId="78FCB0D7">
            <w:pPr>
              <w:numPr>
                <w:ilvl w:val="0"/>
                <w:numId w:val="27"/>
              </w:numPr>
              <w:spacing w:line="360" w:lineRule="auto"/>
              <w:rPr>
                <w:rFonts w:eastAsiaTheme="minorEastAsia"/>
                <w:sz w:val="20"/>
              </w:rPr>
            </w:pPr>
            <w:r>
              <w:rPr>
                <w:rFonts w:hint="eastAsia" w:eastAsiaTheme="minorEastAsia"/>
                <w:sz w:val="20"/>
              </w:rPr>
              <w:t>土层锚固体直径宜为180~250mm，岩层锚固体直径</w:t>
            </w:r>
            <w:r>
              <w:rPr>
                <w:rFonts w:eastAsiaTheme="minorEastAsia"/>
                <w:sz w:val="20"/>
              </w:rPr>
              <w:t>宜为</w:t>
            </w:r>
            <w:r>
              <w:rPr>
                <w:rFonts w:hint="eastAsia" w:eastAsiaTheme="minorEastAsia"/>
                <w:sz w:val="20"/>
              </w:rPr>
              <w:t>100~200mm</w:t>
            </w:r>
          </w:p>
        </w:tc>
      </w:tr>
      <w:tr w14:paraId="1D0A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0DAAAAC2">
            <w:pPr>
              <w:spacing w:line="360" w:lineRule="auto"/>
              <w:jc w:val="center"/>
              <w:rPr>
                <w:rFonts w:eastAsiaTheme="minorEastAsia"/>
                <w:sz w:val="20"/>
              </w:rPr>
            </w:pPr>
            <w:r>
              <w:rPr>
                <w:rFonts w:eastAsiaTheme="minorEastAsia"/>
                <w:sz w:val="20"/>
              </w:rPr>
              <w:t>压力型预应力锚杆</w:t>
            </w:r>
          </w:p>
        </w:tc>
        <w:tc>
          <w:tcPr>
            <w:tcW w:w="7121" w:type="dxa"/>
            <w:vAlign w:val="center"/>
          </w:tcPr>
          <w:p w14:paraId="676598F5">
            <w:pPr>
              <w:numPr>
                <w:ilvl w:val="0"/>
                <w:numId w:val="28"/>
              </w:numPr>
              <w:spacing w:line="360" w:lineRule="auto"/>
              <w:rPr>
                <w:rFonts w:eastAsiaTheme="minorEastAsia"/>
                <w:sz w:val="20"/>
              </w:rPr>
            </w:pPr>
            <w:r>
              <w:rPr>
                <w:rFonts w:hint="eastAsia" w:eastAsiaTheme="minorEastAsia"/>
                <w:sz w:val="20"/>
              </w:rPr>
              <w:t>土层锚杆单根锚杆抗拔承载力标准值不宜大于400kN，岩石锚杆单根锚杆抗拔承载力标准值不宜大于1000kN；</w:t>
            </w:r>
          </w:p>
          <w:p w14:paraId="3FA9EFF5">
            <w:pPr>
              <w:numPr>
                <w:ilvl w:val="0"/>
                <w:numId w:val="28"/>
              </w:numPr>
              <w:spacing w:line="360" w:lineRule="auto"/>
              <w:rPr>
                <w:rFonts w:eastAsiaTheme="minorEastAsia"/>
                <w:sz w:val="20"/>
              </w:rPr>
            </w:pPr>
            <w:r>
              <w:rPr>
                <w:rFonts w:hint="eastAsia" w:eastAsiaTheme="minorEastAsia"/>
                <w:sz w:val="20"/>
              </w:rPr>
              <w:t>腐蚀性等级中等的土层，单根锚杆抗拔承载力标准值不宜大于300kN；</w:t>
            </w:r>
          </w:p>
          <w:p w14:paraId="756754A1">
            <w:pPr>
              <w:numPr>
                <w:ilvl w:val="0"/>
                <w:numId w:val="28"/>
              </w:numPr>
              <w:spacing w:line="360" w:lineRule="auto"/>
              <w:rPr>
                <w:rFonts w:eastAsiaTheme="minorEastAsia"/>
                <w:sz w:val="20"/>
              </w:rPr>
            </w:pPr>
            <w:r>
              <w:rPr>
                <w:rFonts w:hint="eastAsia" w:eastAsiaTheme="minorEastAsia"/>
                <w:sz w:val="20"/>
              </w:rPr>
              <w:t>岩层锚杆锚固段长度大于10m、土层锚杆锚固段长度大于15m时，承载力的增加值有限；</w:t>
            </w:r>
          </w:p>
          <w:p w14:paraId="1826A166">
            <w:pPr>
              <w:numPr>
                <w:ilvl w:val="0"/>
                <w:numId w:val="28"/>
              </w:numPr>
              <w:spacing w:line="360" w:lineRule="auto"/>
              <w:rPr>
                <w:rFonts w:eastAsiaTheme="minorEastAsia"/>
                <w:sz w:val="20"/>
              </w:rPr>
            </w:pPr>
            <w:r>
              <w:rPr>
                <w:rFonts w:hint="eastAsia" w:eastAsiaTheme="minorEastAsia"/>
                <w:sz w:val="20"/>
              </w:rPr>
              <w:t>锚固体直径</w:t>
            </w:r>
            <w:r>
              <w:rPr>
                <w:rFonts w:eastAsiaTheme="minorEastAsia"/>
                <w:sz w:val="20"/>
              </w:rPr>
              <w:t>宜为</w:t>
            </w:r>
            <w:r>
              <w:rPr>
                <w:rFonts w:hint="eastAsia" w:eastAsiaTheme="minorEastAsia"/>
                <w:sz w:val="20"/>
              </w:rPr>
              <w:t>200~250mm</w:t>
            </w:r>
          </w:p>
        </w:tc>
      </w:tr>
      <w:tr w14:paraId="2A33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34BA3587">
            <w:pPr>
              <w:spacing w:line="360" w:lineRule="auto"/>
              <w:jc w:val="center"/>
              <w:rPr>
                <w:rFonts w:eastAsiaTheme="minorEastAsia"/>
                <w:sz w:val="20"/>
              </w:rPr>
            </w:pPr>
            <w:r>
              <w:rPr>
                <w:rFonts w:eastAsiaTheme="minorEastAsia"/>
                <w:sz w:val="20"/>
              </w:rPr>
              <w:t>拉力型预应力锚杆</w:t>
            </w:r>
          </w:p>
        </w:tc>
        <w:tc>
          <w:tcPr>
            <w:tcW w:w="7121" w:type="dxa"/>
            <w:vAlign w:val="center"/>
          </w:tcPr>
          <w:p w14:paraId="66A45C06">
            <w:pPr>
              <w:numPr>
                <w:ilvl w:val="0"/>
                <w:numId w:val="29"/>
              </w:numPr>
              <w:spacing w:line="360" w:lineRule="auto"/>
              <w:rPr>
                <w:rFonts w:eastAsiaTheme="minorEastAsia"/>
                <w:sz w:val="20"/>
              </w:rPr>
            </w:pPr>
            <w:r>
              <w:rPr>
                <w:rFonts w:hint="eastAsia" w:eastAsiaTheme="minorEastAsia"/>
                <w:sz w:val="20"/>
              </w:rPr>
              <w:t>适用于</w:t>
            </w:r>
            <w:r>
              <w:rPr>
                <w:rFonts w:eastAsiaTheme="minorEastAsia"/>
                <w:sz w:val="20"/>
              </w:rPr>
              <w:t>硬岩、中硬岩或非软土层，单根锚杆抗拔承载力</w:t>
            </w:r>
            <w:r>
              <w:rPr>
                <w:rFonts w:hint="eastAsia" w:eastAsiaTheme="minorEastAsia"/>
                <w:sz w:val="20"/>
              </w:rPr>
              <w:t>标准</w:t>
            </w:r>
            <w:r>
              <w:rPr>
                <w:rFonts w:eastAsiaTheme="minorEastAsia"/>
                <w:sz w:val="20"/>
              </w:rPr>
              <w:t>值不大于400kN；</w:t>
            </w:r>
          </w:p>
          <w:p w14:paraId="4A6B462B">
            <w:pPr>
              <w:numPr>
                <w:ilvl w:val="0"/>
                <w:numId w:val="29"/>
              </w:numPr>
              <w:spacing w:line="360" w:lineRule="auto"/>
              <w:rPr>
                <w:rFonts w:eastAsiaTheme="minorEastAsia"/>
                <w:sz w:val="20"/>
              </w:rPr>
            </w:pPr>
            <w:r>
              <w:rPr>
                <w:rFonts w:eastAsiaTheme="minorEastAsia"/>
                <w:sz w:val="20"/>
              </w:rPr>
              <w:t>岩层</w:t>
            </w:r>
            <w:r>
              <w:rPr>
                <w:rFonts w:hint="eastAsia" w:eastAsiaTheme="minorEastAsia"/>
                <w:sz w:val="20"/>
              </w:rPr>
              <w:t>锚杆</w:t>
            </w:r>
            <w:r>
              <w:rPr>
                <w:rFonts w:eastAsiaTheme="minorEastAsia"/>
                <w:sz w:val="20"/>
              </w:rPr>
              <w:t>锚固段长度大于10m</w:t>
            </w:r>
            <w:r>
              <w:rPr>
                <w:rFonts w:hint="eastAsia" w:eastAsiaTheme="minorEastAsia"/>
                <w:sz w:val="20"/>
              </w:rPr>
              <w:t>、</w:t>
            </w:r>
            <w:r>
              <w:rPr>
                <w:rFonts w:eastAsiaTheme="minorEastAsia"/>
                <w:sz w:val="20"/>
              </w:rPr>
              <w:t>土层</w:t>
            </w:r>
            <w:r>
              <w:rPr>
                <w:rFonts w:hint="eastAsia" w:eastAsiaTheme="minorEastAsia"/>
                <w:sz w:val="20"/>
              </w:rPr>
              <w:t>锚杆</w:t>
            </w:r>
            <w:r>
              <w:rPr>
                <w:rFonts w:eastAsiaTheme="minorEastAsia"/>
                <w:sz w:val="20"/>
              </w:rPr>
              <w:t>锚固段长度大于15m时，承载力的增加值有限</w:t>
            </w:r>
            <w:r>
              <w:rPr>
                <w:rFonts w:hint="eastAsia" w:eastAsiaTheme="minorEastAsia"/>
                <w:sz w:val="20"/>
              </w:rPr>
              <w:t>；</w:t>
            </w:r>
          </w:p>
          <w:p w14:paraId="106FC05B">
            <w:pPr>
              <w:numPr>
                <w:ilvl w:val="0"/>
                <w:numId w:val="29"/>
              </w:numPr>
              <w:spacing w:line="360" w:lineRule="auto"/>
              <w:rPr>
                <w:rFonts w:eastAsiaTheme="minorEastAsia"/>
                <w:sz w:val="20"/>
              </w:rPr>
            </w:pPr>
            <w:r>
              <w:rPr>
                <w:rFonts w:hint="eastAsia" w:eastAsiaTheme="minorEastAsia"/>
                <w:sz w:val="20"/>
              </w:rPr>
              <w:t>土层锚固体直径宜为180~250mm，岩层锚固体直径</w:t>
            </w:r>
            <w:r>
              <w:rPr>
                <w:rFonts w:eastAsiaTheme="minorEastAsia"/>
                <w:sz w:val="20"/>
              </w:rPr>
              <w:t>宜为</w:t>
            </w:r>
            <w:r>
              <w:rPr>
                <w:rFonts w:hint="eastAsia" w:eastAsiaTheme="minorEastAsia"/>
                <w:sz w:val="20"/>
              </w:rPr>
              <w:t>100~150mm</w:t>
            </w:r>
          </w:p>
        </w:tc>
      </w:tr>
      <w:tr w14:paraId="2B2F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07D15678">
            <w:pPr>
              <w:spacing w:line="360" w:lineRule="auto"/>
              <w:jc w:val="center"/>
              <w:rPr>
                <w:rFonts w:eastAsiaTheme="minorEastAsia"/>
                <w:sz w:val="20"/>
              </w:rPr>
            </w:pPr>
            <w:r>
              <w:rPr>
                <w:rFonts w:eastAsiaTheme="minorEastAsia"/>
                <w:sz w:val="20"/>
              </w:rPr>
              <w:t>压力分散型预应力锚杆</w:t>
            </w:r>
          </w:p>
        </w:tc>
        <w:tc>
          <w:tcPr>
            <w:tcW w:w="7121" w:type="dxa"/>
            <w:vAlign w:val="center"/>
          </w:tcPr>
          <w:p w14:paraId="04EEDD90">
            <w:pPr>
              <w:numPr>
                <w:ilvl w:val="0"/>
                <w:numId w:val="30"/>
              </w:numPr>
              <w:spacing w:line="360" w:lineRule="auto"/>
              <w:rPr>
                <w:rFonts w:eastAsiaTheme="minorEastAsia"/>
                <w:sz w:val="20"/>
              </w:rPr>
            </w:pPr>
            <w:r>
              <w:rPr>
                <w:rFonts w:hint="eastAsia" w:eastAsiaTheme="minorEastAsia"/>
                <w:sz w:val="20"/>
              </w:rPr>
              <w:t>适用于</w:t>
            </w:r>
            <w:r>
              <w:rPr>
                <w:rFonts w:eastAsiaTheme="minorEastAsia"/>
                <w:sz w:val="20"/>
              </w:rPr>
              <w:t>软岩或</w:t>
            </w:r>
            <w:r>
              <w:rPr>
                <w:rFonts w:hint="eastAsia" w:eastAsiaTheme="minorEastAsia"/>
                <w:sz w:val="20"/>
              </w:rPr>
              <w:t>腐蚀性等级中等</w:t>
            </w:r>
            <w:r>
              <w:rPr>
                <w:rFonts w:eastAsiaTheme="minorEastAsia"/>
                <w:sz w:val="20"/>
              </w:rPr>
              <w:t>的</w:t>
            </w:r>
            <w:r>
              <w:rPr>
                <w:rFonts w:hint="eastAsia" w:eastAsiaTheme="minorEastAsia"/>
                <w:sz w:val="20"/>
              </w:rPr>
              <w:t>土</w:t>
            </w:r>
            <w:r>
              <w:rPr>
                <w:rFonts w:eastAsiaTheme="minorEastAsia"/>
                <w:sz w:val="20"/>
              </w:rPr>
              <w:t>层，单位长度锚固段承载力高，且蠕变量小；</w:t>
            </w:r>
          </w:p>
          <w:p w14:paraId="5AB697FB">
            <w:pPr>
              <w:numPr>
                <w:ilvl w:val="0"/>
                <w:numId w:val="30"/>
              </w:numPr>
              <w:spacing w:line="360" w:lineRule="auto"/>
              <w:rPr>
                <w:rFonts w:eastAsiaTheme="minorEastAsia"/>
                <w:sz w:val="20"/>
              </w:rPr>
            </w:pPr>
            <w:r>
              <w:rPr>
                <w:rFonts w:eastAsiaTheme="minorEastAsia"/>
                <w:sz w:val="20"/>
              </w:rPr>
              <w:t>承载力可随锚固段长度增大而有限增加</w:t>
            </w:r>
            <w:r>
              <w:rPr>
                <w:rFonts w:hint="eastAsia" w:eastAsiaTheme="minorEastAsia"/>
                <w:sz w:val="20"/>
              </w:rPr>
              <w:t>；</w:t>
            </w:r>
          </w:p>
          <w:p w14:paraId="29F15AA4">
            <w:pPr>
              <w:numPr>
                <w:ilvl w:val="0"/>
                <w:numId w:val="30"/>
              </w:numPr>
              <w:spacing w:line="360" w:lineRule="auto"/>
              <w:rPr>
                <w:rFonts w:eastAsiaTheme="minorEastAsia"/>
                <w:sz w:val="20"/>
              </w:rPr>
            </w:pPr>
            <w:r>
              <w:rPr>
                <w:rFonts w:hint="eastAsia" w:eastAsiaTheme="minorEastAsia"/>
                <w:sz w:val="20"/>
              </w:rPr>
              <w:t>锚固体直径</w:t>
            </w:r>
            <w:r>
              <w:rPr>
                <w:rFonts w:eastAsiaTheme="minorEastAsia"/>
                <w:sz w:val="20"/>
              </w:rPr>
              <w:t>宜为</w:t>
            </w:r>
            <w:r>
              <w:rPr>
                <w:rFonts w:hint="eastAsia" w:eastAsiaTheme="minorEastAsia"/>
                <w:sz w:val="20"/>
              </w:rPr>
              <w:t>200~250mm</w:t>
            </w:r>
          </w:p>
        </w:tc>
      </w:tr>
      <w:tr w14:paraId="0679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9" w:type="dxa"/>
            <w:vAlign w:val="center"/>
          </w:tcPr>
          <w:p w14:paraId="47F7F303">
            <w:pPr>
              <w:spacing w:line="360" w:lineRule="auto"/>
              <w:jc w:val="center"/>
              <w:rPr>
                <w:rFonts w:eastAsiaTheme="minorEastAsia"/>
                <w:sz w:val="20"/>
              </w:rPr>
            </w:pPr>
            <w:r>
              <w:rPr>
                <w:rFonts w:eastAsiaTheme="minorEastAsia"/>
                <w:sz w:val="20"/>
              </w:rPr>
              <w:t>扩</w:t>
            </w:r>
            <w:r>
              <w:rPr>
                <w:rFonts w:hint="eastAsia" w:eastAsiaTheme="minorEastAsia"/>
                <w:sz w:val="20"/>
              </w:rPr>
              <w:t>体</w:t>
            </w:r>
            <w:r>
              <w:rPr>
                <w:rFonts w:eastAsiaTheme="minorEastAsia"/>
                <w:sz w:val="20"/>
              </w:rPr>
              <w:t>锚杆</w:t>
            </w:r>
          </w:p>
        </w:tc>
        <w:tc>
          <w:tcPr>
            <w:tcW w:w="7121" w:type="dxa"/>
            <w:vAlign w:val="center"/>
          </w:tcPr>
          <w:p w14:paraId="0E328D0A">
            <w:pPr>
              <w:numPr>
                <w:ilvl w:val="0"/>
                <w:numId w:val="31"/>
              </w:numPr>
              <w:spacing w:line="360" w:lineRule="auto"/>
              <w:rPr>
                <w:rFonts w:eastAsiaTheme="minorEastAsia"/>
                <w:sz w:val="20"/>
              </w:rPr>
            </w:pPr>
            <w:r>
              <w:rPr>
                <w:rFonts w:eastAsiaTheme="minorEastAsia"/>
                <w:sz w:val="20"/>
              </w:rPr>
              <w:t>适用于土层，可施加预应力；</w:t>
            </w:r>
          </w:p>
          <w:p w14:paraId="44596F08">
            <w:pPr>
              <w:numPr>
                <w:ilvl w:val="0"/>
                <w:numId w:val="31"/>
              </w:numPr>
              <w:spacing w:line="360" w:lineRule="auto"/>
              <w:rPr>
                <w:rFonts w:eastAsiaTheme="minorEastAsia"/>
                <w:sz w:val="20"/>
              </w:rPr>
            </w:pPr>
            <w:r>
              <w:rPr>
                <w:rFonts w:eastAsiaTheme="minorEastAsia"/>
                <w:sz w:val="20"/>
              </w:rPr>
              <w:t>抗拔承载力高于常规同条件等直径锚杆</w:t>
            </w:r>
            <w:r>
              <w:rPr>
                <w:rFonts w:hint="eastAsia" w:eastAsiaTheme="minorEastAsia"/>
                <w:sz w:val="20"/>
              </w:rPr>
              <w:t>；</w:t>
            </w:r>
          </w:p>
          <w:p w14:paraId="36055ACD">
            <w:pPr>
              <w:numPr>
                <w:ilvl w:val="0"/>
                <w:numId w:val="31"/>
              </w:numPr>
              <w:spacing w:line="360" w:lineRule="auto"/>
              <w:rPr>
                <w:rFonts w:eastAsiaTheme="minorEastAsia"/>
                <w:sz w:val="20"/>
              </w:rPr>
            </w:pPr>
            <w:r>
              <w:rPr>
                <w:rFonts w:hint="eastAsia" w:eastAsiaTheme="minorEastAsia"/>
                <w:sz w:val="20"/>
              </w:rPr>
              <w:t>等直径段锚固体直径</w:t>
            </w:r>
            <w:r>
              <w:rPr>
                <w:rFonts w:eastAsiaTheme="minorEastAsia"/>
                <w:sz w:val="20"/>
              </w:rPr>
              <w:t>宜为</w:t>
            </w:r>
            <w:r>
              <w:rPr>
                <w:rFonts w:hint="eastAsia" w:eastAsiaTheme="minorEastAsia"/>
                <w:sz w:val="20"/>
              </w:rPr>
              <w:t>180~250mm，扩体段锚固体直径</w:t>
            </w:r>
            <w:r>
              <w:rPr>
                <w:rFonts w:eastAsiaTheme="minorEastAsia"/>
                <w:sz w:val="20"/>
              </w:rPr>
              <w:t>宜为</w:t>
            </w:r>
            <w:r>
              <w:rPr>
                <w:rFonts w:hint="eastAsia" w:eastAsiaTheme="minorEastAsia"/>
                <w:sz w:val="20"/>
              </w:rPr>
              <w:t>400~600mm</w:t>
            </w:r>
          </w:p>
        </w:tc>
      </w:tr>
    </w:tbl>
    <w:p w14:paraId="7416700D">
      <w:pPr>
        <w:numPr>
          <w:ilvl w:val="2"/>
          <w:numId w:val="2"/>
        </w:numPr>
        <w:spacing w:line="360" w:lineRule="auto"/>
        <w:ind w:left="0" w:firstLine="0"/>
        <w:jc w:val="left"/>
        <w:rPr>
          <w:rFonts w:eastAsia="宋体"/>
          <w:sz w:val="24"/>
          <w:szCs w:val="32"/>
        </w:rPr>
      </w:pPr>
      <w:r>
        <w:rPr>
          <w:rFonts w:eastAsia="宋体"/>
          <w:sz w:val="24"/>
          <w:szCs w:val="32"/>
        </w:rPr>
        <w:t>单根抗浮锚杆抗拔承载力</w:t>
      </w:r>
      <w:r>
        <w:rPr>
          <w:rFonts w:hint="eastAsia" w:eastAsia="宋体"/>
          <w:sz w:val="24"/>
          <w:szCs w:val="32"/>
        </w:rPr>
        <w:t>标准</w:t>
      </w:r>
      <w:r>
        <w:rPr>
          <w:rFonts w:eastAsia="宋体"/>
          <w:sz w:val="24"/>
          <w:szCs w:val="32"/>
        </w:rPr>
        <w:t>值应按下式确定：</w:t>
      </w:r>
    </w:p>
    <w:p w14:paraId="1BD5A4F3">
      <w:pPr>
        <w:spacing w:line="360" w:lineRule="auto"/>
        <w:ind w:firstLine="2400" w:firstLineChars="1000"/>
        <w:jc w:val="right"/>
        <w:rPr>
          <w:rFonts w:eastAsia="宋体"/>
          <w:sz w:val="24"/>
          <w:szCs w:val="32"/>
        </w:rPr>
      </w:pPr>
      <w:r>
        <w:rPr>
          <w:rFonts w:eastAsia="宋体"/>
          <w:i/>
          <w:iCs/>
          <w:sz w:val="24"/>
          <w:szCs w:val="32"/>
        </w:rPr>
        <w:t>R</w:t>
      </w:r>
      <w:r>
        <w:rPr>
          <w:rFonts w:eastAsia="宋体"/>
          <w:sz w:val="24"/>
          <w:szCs w:val="32"/>
          <w:vertAlign w:val="subscript"/>
        </w:rPr>
        <w:t>ta</w:t>
      </w:r>
      <w:r>
        <w:rPr>
          <w:rFonts w:eastAsia="宋体"/>
          <w:sz w:val="24"/>
          <w:szCs w:val="32"/>
        </w:rPr>
        <w:t>=</w:t>
      </w:r>
      <w:r>
        <w:rPr>
          <w:rFonts w:eastAsia="宋体"/>
          <w:i/>
          <w:iCs/>
          <w:sz w:val="24"/>
          <w:szCs w:val="32"/>
        </w:rPr>
        <w:t>T</w:t>
      </w:r>
      <w:r>
        <w:rPr>
          <w:rFonts w:eastAsia="宋体"/>
          <w:sz w:val="24"/>
          <w:szCs w:val="32"/>
          <w:vertAlign w:val="subscript"/>
        </w:rPr>
        <w:t>uk</w:t>
      </w:r>
      <w:r>
        <w:rPr>
          <w:rFonts w:eastAsia="宋体"/>
          <w:sz w:val="24"/>
          <w:szCs w:val="32"/>
        </w:rPr>
        <w:t>/</w:t>
      </w:r>
      <w:r>
        <w:rPr>
          <w:rFonts w:eastAsia="宋体"/>
          <w:i/>
          <w:iCs/>
          <w:sz w:val="24"/>
          <w:szCs w:val="32"/>
        </w:rPr>
        <w:t>K</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8.2.2</w:t>
      </w:r>
      <w:r>
        <w:rPr>
          <w:rFonts w:eastAsia="宋体"/>
          <w:sz w:val="24"/>
          <w:szCs w:val="32"/>
        </w:rPr>
        <w:t>)</w:t>
      </w:r>
    </w:p>
    <w:p w14:paraId="6E25CC6D">
      <w:pPr>
        <w:spacing w:line="360" w:lineRule="auto"/>
        <w:rPr>
          <w:rFonts w:eastAsia="宋体"/>
          <w:sz w:val="24"/>
          <w:szCs w:val="32"/>
        </w:rPr>
      </w:pPr>
      <w:r>
        <w:rPr>
          <w:rFonts w:eastAsia="宋体"/>
          <w:sz w:val="24"/>
          <w:szCs w:val="32"/>
        </w:rPr>
        <w:t>式中：</w:t>
      </w:r>
      <w:r>
        <w:rPr>
          <w:rFonts w:eastAsia="宋体"/>
          <w:i/>
          <w:iCs/>
          <w:sz w:val="24"/>
          <w:szCs w:val="32"/>
        </w:rPr>
        <w:t>R</w:t>
      </w:r>
      <w:r>
        <w:rPr>
          <w:rFonts w:eastAsia="宋体"/>
          <w:sz w:val="24"/>
          <w:szCs w:val="32"/>
          <w:vertAlign w:val="subscript"/>
        </w:rPr>
        <w:t>ta</w:t>
      </w:r>
      <w:r>
        <w:rPr>
          <w:rFonts w:eastAsia="宋体"/>
          <w:sz w:val="24"/>
          <w:szCs w:val="32"/>
        </w:rPr>
        <w:t>——单根锚杆抗拔承载力</w:t>
      </w:r>
      <w:r>
        <w:rPr>
          <w:rFonts w:hint="eastAsia" w:eastAsia="宋体"/>
          <w:sz w:val="24"/>
          <w:szCs w:val="32"/>
        </w:rPr>
        <w:t>标准</w:t>
      </w:r>
      <w:r>
        <w:rPr>
          <w:rFonts w:eastAsia="宋体"/>
          <w:sz w:val="24"/>
          <w:szCs w:val="32"/>
        </w:rPr>
        <w:t>值（kN）；</w:t>
      </w:r>
    </w:p>
    <w:p w14:paraId="3B205CBF">
      <w:pPr>
        <w:spacing w:line="360" w:lineRule="auto"/>
        <w:ind w:left="1596" w:hanging="1596" w:hangingChars="665"/>
        <w:rPr>
          <w:rFonts w:eastAsia="宋体"/>
          <w:sz w:val="24"/>
          <w:szCs w:val="32"/>
        </w:rPr>
      </w:pPr>
      <w:r>
        <w:rPr>
          <w:rFonts w:eastAsia="宋体"/>
          <w:sz w:val="24"/>
          <w:szCs w:val="32"/>
        </w:rPr>
        <w:t xml:space="preserve">     </w:t>
      </w:r>
      <w:r>
        <w:rPr>
          <w:rFonts w:eastAsia="宋体"/>
          <w:i/>
          <w:iCs/>
          <w:sz w:val="24"/>
          <w:szCs w:val="32"/>
        </w:rPr>
        <w:t>T</w:t>
      </w:r>
      <w:r>
        <w:rPr>
          <w:rFonts w:eastAsia="宋体"/>
          <w:sz w:val="24"/>
          <w:szCs w:val="32"/>
          <w:vertAlign w:val="subscript"/>
        </w:rPr>
        <w:t>uk</w:t>
      </w:r>
      <w:r>
        <w:rPr>
          <w:rFonts w:eastAsia="宋体"/>
          <w:sz w:val="24"/>
          <w:szCs w:val="32"/>
        </w:rPr>
        <w:t>——单根锚杆极限抗拔承载力标准值（kN）；</w:t>
      </w:r>
    </w:p>
    <w:p w14:paraId="6392DBA2">
      <w:pPr>
        <w:spacing w:line="360" w:lineRule="auto"/>
        <w:rPr>
          <w:rFonts w:eastAsia="宋体"/>
          <w:sz w:val="24"/>
          <w:szCs w:val="32"/>
        </w:rPr>
      </w:pPr>
      <w:r>
        <w:rPr>
          <w:rFonts w:eastAsia="宋体"/>
          <w:sz w:val="24"/>
          <w:szCs w:val="32"/>
        </w:rPr>
        <w:t xml:space="preserve">      </w:t>
      </w:r>
      <w:r>
        <w:rPr>
          <w:rFonts w:eastAsia="宋体"/>
          <w:i/>
          <w:iCs/>
          <w:sz w:val="24"/>
          <w:szCs w:val="32"/>
        </w:rPr>
        <w:t>K</w:t>
      </w:r>
      <w:r>
        <w:rPr>
          <w:rFonts w:eastAsia="宋体"/>
          <w:sz w:val="24"/>
          <w:szCs w:val="32"/>
        </w:rPr>
        <w:t>——安全系数，取</w:t>
      </w:r>
      <w:r>
        <w:rPr>
          <w:rFonts w:eastAsia="宋体"/>
          <w:i/>
          <w:iCs/>
          <w:sz w:val="24"/>
          <w:szCs w:val="32"/>
        </w:rPr>
        <w:t>K</w:t>
      </w:r>
      <w:r>
        <w:rPr>
          <w:rFonts w:eastAsia="宋体"/>
          <w:sz w:val="24"/>
          <w:szCs w:val="32"/>
        </w:rPr>
        <w:t>=2</w:t>
      </w:r>
      <w:r>
        <w:rPr>
          <w:rFonts w:hint="eastAsia" w:eastAsia="宋体"/>
          <w:sz w:val="24"/>
          <w:szCs w:val="32"/>
        </w:rPr>
        <w:t>.0</w:t>
      </w:r>
      <w:r>
        <w:rPr>
          <w:rFonts w:eastAsia="宋体"/>
          <w:sz w:val="24"/>
          <w:szCs w:val="32"/>
        </w:rPr>
        <w:t>。</w:t>
      </w:r>
    </w:p>
    <w:p w14:paraId="1400C44D">
      <w:pPr>
        <w:numPr>
          <w:ilvl w:val="2"/>
          <w:numId w:val="2"/>
        </w:numPr>
        <w:spacing w:line="360" w:lineRule="auto"/>
        <w:ind w:left="0" w:firstLine="0"/>
        <w:jc w:val="left"/>
        <w:rPr>
          <w:rFonts w:eastAsia="宋体"/>
          <w:sz w:val="24"/>
          <w:szCs w:val="32"/>
        </w:rPr>
      </w:pPr>
      <w:r>
        <w:rPr>
          <w:rFonts w:hint="eastAsia" w:eastAsia="宋体"/>
          <w:sz w:val="24"/>
          <w:szCs w:val="32"/>
        </w:rPr>
        <w:t>抗浮锚杆抗拔承载力和设计参数应通过现场荷载试验确定。初步设计时</w:t>
      </w:r>
      <w:r>
        <w:rPr>
          <w:rFonts w:eastAsia="宋体"/>
          <w:sz w:val="24"/>
          <w:szCs w:val="32"/>
        </w:rPr>
        <w:t>呈非整体破坏时</w:t>
      </w:r>
      <w:r>
        <w:rPr>
          <w:rFonts w:hint="eastAsia" w:eastAsia="宋体"/>
          <w:sz w:val="24"/>
          <w:szCs w:val="32"/>
        </w:rPr>
        <w:t>单根</w:t>
      </w:r>
      <w:r>
        <w:rPr>
          <w:rFonts w:eastAsia="宋体"/>
          <w:sz w:val="24"/>
          <w:szCs w:val="32"/>
        </w:rPr>
        <w:t>锚杆抗拔承载力</w:t>
      </w:r>
      <w:r>
        <w:rPr>
          <w:rFonts w:hint="eastAsia" w:eastAsia="宋体"/>
          <w:sz w:val="24"/>
          <w:szCs w:val="32"/>
        </w:rPr>
        <w:t>标准</w:t>
      </w:r>
      <w:r>
        <w:rPr>
          <w:rFonts w:eastAsia="宋体"/>
          <w:sz w:val="24"/>
          <w:szCs w:val="32"/>
        </w:rPr>
        <w:t>值</w:t>
      </w:r>
      <w:r>
        <w:rPr>
          <w:rFonts w:hint="eastAsia" w:eastAsia="宋体"/>
          <w:sz w:val="24"/>
          <w:szCs w:val="32"/>
        </w:rPr>
        <w:t>可按下列公式估算。</w:t>
      </w:r>
    </w:p>
    <w:p w14:paraId="7C776768">
      <w:pPr>
        <w:numPr>
          <w:ilvl w:val="0"/>
          <w:numId w:val="32"/>
        </w:numPr>
        <w:tabs>
          <w:tab w:val="left" w:pos="0"/>
          <w:tab w:val="clear" w:pos="420"/>
        </w:tabs>
        <w:spacing w:line="360" w:lineRule="auto"/>
        <w:ind w:left="5" w:firstLine="315"/>
        <w:rPr>
          <w:rFonts w:eastAsia="宋体"/>
          <w:sz w:val="24"/>
          <w:szCs w:val="32"/>
        </w:rPr>
      </w:pPr>
      <w:r>
        <w:rPr>
          <w:rFonts w:hint="eastAsia" w:eastAsia="宋体"/>
          <w:sz w:val="24"/>
          <w:szCs w:val="32"/>
        </w:rPr>
        <w:t>等直径</w:t>
      </w:r>
      <w:r>
        <w:rPr>
          <w:rFonts w:eastAsia="宋体"/>
          <w:sz w:val="24"/>
          <w:szCs w:val="32"/>
        </w:rPr>
        <w:t>岩层</w:t>
      </w:r>
      <w:r>
        <w:rPr>
          <w:rFonts w:hint="eastAsia" w:eastAsia="宋体"/>
          <w:sz w:val="24"/>
          <w:szCs w:val="32"/>
        </w:rPr>
        <w:t>锚杆</w:t>
      </w:r>
    </w:p>
    <w:p w14:paraId="0BC6EBC8">
      <w:pPr>
        <w:spacing w:line="360" w:lineRule="auto"/>
        <w:jc w:val="right"/>
        <w:rPr>
          <w:rFonts w:eastAsia="宋体"/>
          <w:sz w:val="24"/>
          <w:szCs w:val="32"/>
        </w:rPr>
      </w:pPr>
      <w:r>
        <w:rPr>
          <w:rFonts w:eastAsia="宋体"/>
          <w:i/>
          <w:iCs/>
          <w:sz w:val="24"/>
          <w:szCs w:val="32"/>
        </w:rPr>
        <w:t>T</w:t>
      </w:r>
      <w:r>
        <w:rPr>
          <w:rFonts w:eastAsia="宋体"/>
          <w:sz w:val="24"/>
          <w:szCs w:val="32"/>
          <w:vertAlign w:val="subscript"/>
        </w:rPr>
        <w:t>uk</w:t>
      </w:r>
      <w:r>
        <w:rPr>
          <w:rFonts w:eastAsia="宋体"/>
          <w:sz w:val="24"/>
          <w:szCs w:val="32"/>
        </w:rPr>
        <w:t>=</w:t>
      </w:r>
      <w:r>
        <w:rPr>
          <w:rFonts w:eastAsia="宋体"/>
          <w:i/>
          <w:iCs/>
          <w:sz w:val="24"/>
          <w:szCs w:val="32"/>
        </w:rPr>
        <w:t>ζ</w:t>
      </w:r>
      <w:r>
        <w:rPr>
          <w:rFonts w:hint="eastAsia" w:eastAsia="宋体"/>
          <w:i/>
          <w:iCs/>
          <w:sz w:val="24"/>
          <w:szCs w:val="32"/>
        </w:rPr>
        <w:t xml:space="preserve"> </w:t>
      </w:r>
      <w:r>
        <w:rPr>
          <w:rFonts w:eastAsia="宋体"/>
          <w:i/>
          <w:iCs/>
          <w:sz w:val="24"/>
          <w:szCs w:val="32"/>
        </w:rPr>
        <w:t>πDf</w:t>
      </w:r>
      <w:r>
        <w:rPr>
          <w:rFonts w:eastAsia="宋体"/>
          <w:sz w:val="24"/>
          <w:szCs w:val="32"/>
          <w:vertAlign w:val="subscript"/>
        </w:rPr>
        <w:t>rbk</w:t>
      </w:r>
      <w:r>
        <w:rPr>
          <w:rFonts w:eastAsia="宋体"/>
          <w:i/>
          <w:iCs/>
          <w:sz w:val="24"/>
          <w:szCs w:val="32"/>
        </w:rPr>
        <w:t>l</w:t>
      </w:r>
      <w:r>
        <w:rPr>
          <w:rFonts w:eastAsia="宋体"/>
          <w:sz w:val="24"/>
          <w:szCs w:val="32"/>
          <w:vertAlign w:val="subscript"/>
        </w:rPr>
        <w:t>m</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.3-1</w:t>
      </w:r>
      <w:r>
        <w:rPr>
          <w:rFonts w:eastAsia="宋体"/>
          <w:sz w:val="24"/>
          <w:szCs w:val="32"/>
        </w:rPr>
        <w:t>)</w:t>
      </w:r>
    </w:p>
    <w:p w14:paraId="695019D1">
      <w:pPr>
        <w:spacing w:line="360" w:lineRule="auto"/>
        <w:rPr>
          <w:rFonts w:eastAsia="宋体"/>
          <w:sz w:val="24"/>
          <w:szCs w:val="32"/>
        </w:rPr>
      </w:pPr>
      <w:r>
        <w:rPr>
          <w:rFonts w:eastAsia="宋体"/>
          <w:sz w:val="24"/>
          <w:szCs w:val="32"/>
        </w:rPr>
        <w:t>式中：</w:t>
      </w:r>
      <w:r>
        <w:rPr>
          <w:rFonts w:hint="eastAsia" w:eastAsia="宋体"/>
          <w:sz w:val="24"/>
          <w:szCs w:val="32"/>
        </w:rPr>
        <w:t xml:space="preserve">  </w:t>
      </w:r>
      <w:r>
        <w:rPr>
          <w:rFonts w:eastAsia="宋体"/>
          <w:i/>
          <w:iCs/>
          <w:sz w:val="24"/>
          <w:szCs w:val="32"/>
        </w:rPr>
        <w:t>ζ</w:t>
      </w:r>
      <w:r>
        <w:rPr>
          <w:rFonts w:hint="eastAsia" w:eastAsia="宋体"/>
          <w:i/>
          <w:iCs/>
          <w:sz w:val="24"/>
          <w:szCs w:val="32"/>
        </w:rPr>
        <w:t xml:space="preserve"> </w:t>
      </w:r>
      <w:r>
        <w:rPr>
          <w:rFonts w:eastAsia="宋体"/>
          <w:sz w:val="24"/>
          <w:szCs w:val="32"/>
        </w:rPr>
        <w:t>——</w:t>
      </w:r>
      <w:r>
        <w:rPr>
          <w:rFonts w:hint="eastAsia" w:eastAsia="宋体"/>
          <w:sz w:val="24"/>
          <w:szCs w:val="32"/>
        </w:rPr>
        <w:t>经验系数，可取0.8；</w:t>
      </w:r>
    </w:p>
    <w:p w14:paraId="40FB4FAD">
      <w:pPr>
        <w:spacing w:line="360" w:lineRule="auto"/>
        <w:ind w:firstLine="720" w:firstLineChars="300"/>
        <w:rPr>
          <w:rFonts w:eastAsia="宋体"/>
          <w:sz w:val="24"/>
          <w:szCs w:val="32"/>
        </w:rPr>
      </w:pPr>
      <w:r>
        <w:rPr>
          <w:rFonts w:eastAsia="宋体"/>
          <w:sz w:val="24"/>
          <w:szCs w:val="32"/>
        </w:rPr>
        <w:t xml:space="preserve">  </w:t>
      </w:r>
      <w:r>
        <w:rPr>
          <w:rFonts w:eastAsia="宋体"/>
          <w:i/>
          <w:iCs/>
          <w:sz w:val="24"/>
          <w:szCs w:val="32"/>
        </w:rPr>
        <w:t>D</w:t>
      </w:r>
      <w:r>
        <w:rPr>
          <w:rFonts w:eastAsia="宋体"/>
          <w:sz w:val="24"/>
          <w:szCs w:val="32"/>
        </w:rPr>
        <w:t>——锚杆锚固体直径（m）；</w:t>
      </w:r>
    </w:p>
    <w:p w14:paraId="042C7725">
      <w:pPr>
        <w:spacing w:line="360" w:lineRule="auto"/>
        <w:ind w:left="1598" w:leftChars="75" w:hanging="1358" w:hangingChars="566"/>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i/>
          <w:iCs/>
          <w:sz w:val="24"/>
          <w:szCs w:val="32"/>
        </w:rPr>
        <w:t>f</w:t>
      </w:r>
      <w:r>
        <w:rPr>
          <w:rFonts w:eastAsia="宋体"/>
          <w:sz w:val="24"/>
          <w:szCs w:val="32"/>
          <w:vertAlign w:val="subscript"/>
        </w:rPr>
        <w:t>rbk</w:t>
      </w:r>
      <w:r>
        <w:rPr>
          <w:rFonts w:eastAsia="宋体"/>
          <w:sz w:val="24"/>
          <w:szCs w:val="32"/>
        </w:rPr>
        <w:t>——锚固体与岩层间极限粘结强度标准值（kPa），应由试验确定；</w:t>
      </w:r>
    </w:p>
    <w:p w14:paraId="38E36B02">
      <w:pPr>
        <w:spacing w:line="360" w:lineRule="auto"/>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l</w:t>
      </w:r>
      <w:r>
        <w:rPr>
          <w:rFonts w:eastAsia="宋体"/>
          <w:sz w:val="24"/>
          <w:szCs w:val="32"/>
          <w:vertAlign w:val="subscript"/>
        </w:rPr>
        <w:t>m</w:t>
      </w:r>
      <w:r>
        <w:rPr>
          <w:rFonts w:eastAsia="宋体"/>
          <w:sz w:val="24"/>
          <w:szCs w:val="32"/>
        </w:rPr>
        <w:t>——有效锚固长度（m）。</w:t>
      </w:r>
    </w:p>
    <w:p w14:paraId="078CF7C8">
      <w:pPr>
        <w:numPr>
          <w:ilvl w:val="0"/>
          <w:numId w:val="32"/>
        </w:numPr>
        <w:tabs>
          <w:tab w:val="left" w:pos="0"/>
          <w:tab w:val="clear" w:pos="420"/>
        </w:tabs>
        <w:spacing w:line="360" w:lineRule="auto"/>
        <w:ind w:left="5" w:firstLine="315"/>
        <w:rPr>
          <w:rFonts w:eastAsia="宋体"/>
          <w:sz w:val="24"/>
          <w:szCs w:val="32"/>
        </w:rPr>
      </w:pPr>
      <w:r>
        <w:rPr>
          <w:rFonts w:hint="eastAsia" w:eastAsia="宋体"/>
          <w:sz w:val="24"/>
          <w:szCs w:val="32"/>
        </w:rPr>
        <w:t>等直径</w:t>
      </w:r>
      <w:r>
        <w:rPr>
          <w:rFonts w:eastAsia="宋体"/>
          <w:sz w:val="24"/>
          <w:szCs w:val="32"/>
        </w:rPr>
        <w:t>土层</w:t>
      </w:r>
      <w:r>
        <w:rPr>
          <w:rFonts w:hint="eastAsia" w:eastAsia="宋体"/>
          <w:sz w:val="24"/>
          <w:szCs w:val="32"/>
        </w:rPr>
        <w:t>锚杆</w:t>
      </w:r>
    </w:p>
    <w:p w14:paraId="460A7525">
      <w:pPr>
        <w:spacing w:line="360" w:lineRule="auto"/>
        <w:ind w:firstLine="638" w:firstLineChars="266"/>
        <w:jc w:val="right"/>
        <w:rPr>
          <w:rFonts w:eastAsia="宋体"/>
          <w:sz w:val="24"/>
          <w:szCs w:val="32"/>
        </w:rPr>
      </w:pPr>
      <w:r>
        <w:rPr>
          <w:rFonts w:eastAsia="宋体"/>
          <w:i/>
          <w:iCs/>
          <w:sz w:val="24"/>
          <w:szCs w:val="32"/>
        </w:rPr>
        <w:t>T</w:t>
      </w:r>
      <w:r>
        <w:rPr>
          <w:rFonts w:eastAsia="宋体"/>
          <w:sz w:val="24"/>
          <w:szCs w:val="32"/>
          <w:vertAlign w:val="subscript"/>
        </w:rPr>
        <w:t>uk</w:t>
      </w:r>
      <w:r>
        <w:rPr>
          <w:rFonts w:eastAsia="宋体"/>
          <w:sz w:val="24"/>
          <w:szCs w:val="32"/>
        </w:rPr>
        <w:t>=</w:t>
      </w:r>
      <w:r>
        <w:rPr>
          <w:rFonts w:eastAsia="宋体"/>
          <w:i/>
          <w:iCs/>
          <w:sz w:val="24"/>
          <w:szCs w:val="32"/>
        </w:rPr>
        <w:t>πD</w:t>
      </w:r>
      <w:r>
        <w:rPr>
          <w:rFonts w:eastAsia="宋体"/>
          <w:sz w:val="24"/>
          <w:szCs w:val="32"/>
        </w:rPr>
        <w:t>∑</w:t>
      </w:r>
      <w:r>
        <w:rPr>
          <w:rFonts w:eastAsia="宋体"/>
          <w:i/>
          <w:iCs/>
          <w:sz w:val="24"/>
          <w:szCs w:val="32"/>
        </w:rPr>
        <w:t>ζ</w:t>
      </w:r>
      <w:r>
        <w:rPr>
          <w:rFonts w:hint="eastAsia" w:eastAsia="宋体"/>
          <w:i/>
          <w:iCs/>
          <w:sz w:val="24"/>
          <w:szCs w:val="32"/>
          <w:vertAlign w:val="subscript"/>
        </w:rPr>
        <w:t>i</w:t>
      </w:r>
      <w:r>
        <w:rPr>
          <w:rFonts w:hint="eastAsia" w:eastAsia="宋体"/>
          <w:sz w:val="24"/>
          <w:szCs w:val="32"/>
        </w:rPr>
        <w:t xml:space="preserve"> </w:t>
      </w:r>
      <w:r>
        <w:rPr>
          <w:rFonts w:eastAsia="宋体"/>
          <w:i/>
          <w:iCs/>
          <w:sz w:val="24"/>
          <w:szCs w:val="32"/>
        </w:rPr>
        <w:t>f</w:t>
      </w:r>
      <w:r>
        <w:rPr>
          <w:rFonts w:eastAsia="宋体"/>
          <w:sz w:val="24"/>
          <w:szCs w:val="32"/>
          <w:vertAlign w:val="subscript"/>
        </w:rPr>
        <w:t>s</w:t>
      </w:r>
      <w:r>
        <w:rPr>
          <w:rFonts w:eastAsia="宋体"/>
          <w:i/>
          <w:iCs/>
          <w:sz w:val="24"/>
          <w:szCs w:val="32"/>
          <w:vertAlign w:val="subscript"/>
        </w:rPr>
        <w:t>i</w:t>
      </w:r>
      <w:r>
        <w:rPr>
          <w:rFonts w:eastAsia="宋体"/>
          <w:sz w:val="24"/>
          <w:szCs w:val="32"/>
          <w:vertAlign w:val="subscript"/>
        </w:rPr>
        <w:t>k</w:t>
      </w:r>
      <w:r>
        <w:rPr>
          <w:rFonts w:eastAsia="宋体"/>
          <w:i/>
          <w:iCs/>
          <w:sz w:val="24"/>
          <w:szCs w:val="32"/>
        </w:rPr>
        <w:t>l</w:t>
      </w:r>
      <w:r>
        <w:rPr>
          <w:rFonts w:eastAsia="宋体"/>
          <w:i/>
          <w:iCs/>
          <w:sz w:val="24"/>
          <w:szCs w:val="32"/>
          <w:vertAlign w:val="subscript"/>
        </w:rPr>
        <w:t>i</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.3-2</w:t>
      </w:r>
      <w:r>
        <w:rPr>
          <w:rFonts w:eastAsia="宋体"/>
          <w:sz w:val="24"/>
          <w:szCs w:val="32"/>
        </w:rPr>
        <w:t>)</w:t>
      </w:r>
    </w:p>
    <w:p w14:paraId="1A3CDCD8">
      <w:pPr>
        <w:spacing w:line="360" w:lineRule="auto"/>
        <w:rPr>
          <w:rFonts w:eastAsia="宋体"/>
          <w:sz w:val="24"/>
          <w:szCs w:val="32"/>
        </w:rPr>
      </w:pPr>
      <w:r>
        <w:rPr>
          <w:rFonts w:eastAsia="宋体"/>
          <w:sz w:val="24"/>
          <w:szCs w:val="32"/>
        </w:rPr>
        <w:t>式中：</w:t>
      </w:r>
      <w:r>
        <w:rPr>
          <w:rFonts w:eastAsia="宋体"/>
          <w:i/>
          <w:iCs/>
          <w:sz w:val="24"/>
          <w:szCs w:val="32"/>
        </w:rPr>
        <w:t>D</w:t>
      </w:r>
      <w:r>
        <w:rPr>
          <w:rFonts w:eastAsia="宋体"/>
          <w:sz w:val="24"/>
          <w:szCs w:val="32"/>
        </w:rPr>
        <w:t>——锚杆锚固体直径（m）；</w:t>
      </w:r>
    </w:p>
    <w:p w14:paraId="2BF0FA20">
      <w:pPr>
        <w:spacing w:line="360" w:lineRule="auto"/>
        <w:rPr>
          <w:rFonts w:eastAsia="宋体"/>
          <w:sz w:val="24"/>
          <w:szCs w:val="32"/>
        </w:rPr>
      </w:pPr>
      <w:r>
        <w:rPr>
          <w:rFonts w:hint="eastAsia" w:eastAsia="宋体"/>
          <w:sz w:val="24"/>
          <w:szCs w:val="32"/>
        </w:rPr>
        <w:t xml:space="preserve">     </w:t>
      </w:r>
      <w:r>
        <w:rPr>
          <w:rFonts w:eastAsia="宋体"/>
          <w:i/>
          <w:iCs/>
          <w:sz w:val="24"/>
          <w:szCs w:val="32"/>
        </w:rPr>
        <w:t>ζ</w:t>
      </w:r>
      <w:r>
        <w:rPr>
          <w:rFonts w:hint="eastAsia" w:eastAsia="宋体"/>
          <w:i/>
          <w:iCs/>
          <w:sz w:val="24"/>
          <w:szCs w:val="32"/>
          <w:vertAlign w:val="subscript"/>
        </w:rPr>
        <w:t>i</w:t>
      </w:r>
      <w:r>
        <w:rPr>
          <w:rFonts w:hint="eastAsia" w:eastAsia="宋体"/>
          <w:i/>
          <w:iCs/>
          <w:sz w:val="24"/>
          <w:szCs w:val="32"/>
        </w:rPr>
        <w:t xml:space="preserve"> </w:t>
      </w:r>
      <w:r>
        <w:rPr>
          <w:rFonts w:eastAsia="宋体"/>
          <w:sz w:val="24"/>
          <w:szCs w:val="32"/>
        </w:rPr>
        <w:t>——</w:t>
      </w:r>
      <w:r>
        <w:rPr>
          <w:rFonts w:hint="eastAsia" w:eastAsia="宋体"/>
          <w:sz w:val="24"/>
          <w:szCs w:val="32"/>
        </w:rPr>
        <w:t>经验系数，可取0.8；</w:t>
      </w:r>
    </w:p>
    <w:p w14:paraId="56B8652E">
      <w:pPr>
        <w:spacing w:line="360" w:lineRule="auto"/>
        <w:ind w:left="720" w:hanging="720" w:hangingChars="300"/>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f</w:t>
      </w:r>
      <w:r>
        <w:rPr>
          <w:rFonts w:eastAsia="宋体"/>
          <w:sz w:val="24"/>
          <w:szCs w:val="32"/>
          <w:vertAlign w:val="subscript"/>
        </w:rPr>
        <w:t>s</w:t>
      </w:r>
      <w:r>
        <w:rPr>
          <w:rFonts w:eastAsia="宋体"/>
          <w:i/>
          <w:iCs/>
          <w:sz w:val="24"/>
          <w:szCs w:val="32"/>
          <w:vertAlign w:val="subscript"/>
        </w:rPr>
        <w:t>i</w:t>
      </w:r>
      <w:r>
        <w:rPr>
          <w:rFonts w:eastAsia="宋体"/>
          <w:sz w:val="24"/>
          <w:szCs w:val="32"/>
          <w:vertAlign w:val="subscript"/>
        </w:rPr>
        <w:t>k</w:t>
      </w:r>
      <w:r>
        <w:rPr>
          <w:rFonts w:eastAsia="宋体"/>
          <w:sz w:val="24"/>
          <w:szCs w:val="32"/>
        </w:rPr>
        <w:t>——锚固体与第</w:t>
      </w:r>
      <w:r>
        <w:rPr>
          <w:rFonts w:eastAsia="宋体"/>
          <w:i/>
          <w:iCs/>
          <w:sz w:val="24"/>
          <w:szCs w:val="32"/>
        </w:rPr>
        <w:t>i</w:t>
      </w:r>
      <w:r>
        <w:rPr>
          <w:rFonts w:eastAsia="宋体"/>
          <w:sz w:val="24"/>
          <w:szCs w:val="32"/>
        </w:rPr>
        <w:t>层土层间极限粘结强度标准值（kPa），应由试验确定；</w:t>
      </w:r>
    </w:p>
    <w:p w14:paraId="7B0E8174">
      <w:pPr>
        <w:spacing w:line="360" w:lineRule="auto"/>
        <w:ind w:left="720" w:hanging="720" w:hangingChars="300"/>
        <w:rPr>
          <w:rFonts w:eastAsia="宋体"/>
          <w:sz w:val="24"/>
          <w:szCs w:val="32"/>
        </w:rPr>
      </w:pPr>
      <w:r>
        <w:rPr>
          <w:rFonts w:eastAsia="宋体"/>
          <w:sz w:val="24"/>
          <w:szCs w:val="32"/>
        </w:rPr>
        <w:t xml:space="preserve">      </w:t>
      </w:r>
      <w:r>
        <w:rPr>
          <w:rFonts w:eastAsia="宋体"/>
          <w:i/>
          <w:iCs/>
          <w:sz w:val="24"/>
          <w:szCs w:val="32"/>
        </w:rPr>
        <w:t>l</w:t>
      </w:r>
      <w:r>
        <w:rPr>
          <w:rFonts w:eastAsia="宋体"/>
          <w:i/>
          <w:iCs/>
          <w:sz w:val="24"/>
          <w:szCs w:val="32"/>
          <w:vertAlign w:val="subscript"/>
        </w:rPr>
        <w:t>i</w:t>
      </w:r>
      <w:r>
        <w:rPr>
          <w:rFonts w:eastAsia="宋体"/>
          <w:sz w:val="24"/>
          <w:szCs w:val="32"/>
        </w:rPr>
        <w:t>——第</w:t>
      </w:r>
      <w:r>
        <w:rPr>
          <w:rFonts w:eastAsia="宋体"/>
          <w:i/>
          <w:iCs/>
          <w:sz w:val="24"/>
          <w:szCs w:val="32"/>
        </w:rPr>
        <w:t>i</w:t>
      </w:r>
      <w:r>
        <w:rPr>
          <w:rFonts w:eastAsia="宋体"/>
          <w:sz w:val="24"/>
          <w:szCs w:val="32"/>
        </w:rPr>
        <w:t>层土层中有效锚固长度（m）。</w:t>
      </w:r>
    </w:p>
    <w:p w14:paraId="768946FC">
      <w:pPr>
        <w:numPr>
          <w:ilvl w:val="0"/>
          <w:numId w:val="32"/>
        </w:numPr>
        <w:tabs>
          <w:tab w:val="left" w:pos="0"/>
          <w:tab w:val="clear" w:pos="420"/>
        </w:tabs>
        <w:spacing w:line="360" w:lineRule="auto"/>
        <w:ind w:left="5" w:firstLine="315"/>
        <w:rPr>
          <w:rFonts w:eastAsia="宋体"/>
          <w:sz w:val="24"/>
          <w:szCs w:val="32"/>
        </w:rPr>
      </w:pPr>
      <w:r>
        <w:rPr>
          <w:rFonts w:eastAsia="宋体"/>
          <w:sz w:val="24"/>
          <w:szCs w:val="32"/>
        </w:rPr>
        <w:t>扩</w:t>
      </w:r>
      <w:r>
        <w:rPr>
          <w:rFonts w:hint="eastAsia" w:eastAsia="宋体"/>
          <w:sz w:val="24"/>
          <w:szCs w:val="32"/>
        </w:rPr>
        <w:t>体</w:t>
      </w:r>
      <w:r>
        <w:rPr>
          <w:rFonts w:eastAsia="宋体"/>
          <w:sz w:val="24"/>
          <w:szCs w:val="32"/>
        </w:rPr>
        <w:t>锚杆</w:t>
      </w:r>
    </w:p>
    <w:p w14:paraId="0B751787">
      <w:pPr>
        <w:spacing w:line="360" w:lineRule="auto"/>
        <w:jc w:val="right"/>
        <w:rPr>
          <w:position w:val="-34"/>
        </w:rPr>
      </w:pPr>
      <w:r>
        <w:rPr>
          <w:position w:val="-32"/>
        </w:rPr>
        <w:object>
          <v:shape id="_x0000_i1030" o:spt="75" type="#_x0000_t75" style="height:37.9pt;width:227.35pt;" o:ole="t" filled="f" o:preferrelative="t" stroked="f" coordsize="21600,21600">
            <v:path/>
            <v:fill on="f" focussize="0,0"/>
            <v:stroke on="f" joinstyle="miter"/>
            <v:imagedata r:id="rId21" o:title=""/>
            <o:lock v:ext="edit" aspectratio="t"/>
            <w10:wrap type="none"/>
            <w10:anchorlock/>
          </v:shape>
          <o:OLEObject Type="Embed" ProgID="Equation.KSEE3" ShapeID="_x0000_i1030" DrawAspect="Content" ObjectID="_1468075730" r:id="rId20">
            <o:LockedField>false</o:LockedField>
          </o:OLEObject>
        </w:objec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.3-3</w:t>
      </w:r>
      <w:r>
        <w:rPr>
          <w:rFonts w:eastAsia="宋体"/>
          <w:sz w:val="24"/>
          <w:szCs w:val="32"/>
        </w:rPr>
        <w:t>)</w:t>
      </w:r>
    </w:p>
    <w:p w14:paraId="261451C3">
      <w:pPr>
        <w:spacing w:line="360" w:lineRule="auto"/>
        <w:jc w:val="right"/>
        <w:rPr>
          <w:position w:val="-34"/>
        </w:rPr>
      </w:pPr>
      <w:r>
        <w:rPr>
          <w:position w:val="-32"/>
        </w:rPr>
        <w:object>
          <v:shape id="_x0000_i1031" o:spt="75" type="#_x0000_t75" style="height:41.7pt;width:140.2pt;" o:ole="t" filled="f" o:preferrelative="t" stroked="f" coordsize="21600,21600">
            <v:path/>
            <v:fill on="f" focussize="0,0"/>
            <v:stroke on="f" joinstyle="miter"/>
            <v:imagedata r:id="rId23" o:title=""/>
            <o:lock v:ext="edit" aspectratio="t"/>
            <w10:wrap type="none"/>
            <w10:anchorlock/>
          </v:shape>
          <o:OLEObject Type="Embed" ProgID="Equation.KSEE3" ShapeID="_x0000_i1031" DrawAspect="Content" ObjectID="_1468075731" r:id="rId22">
            <o:LockedField>false</o:LockedField>
          </o:OLEObject>
        </w:objec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.3-4</w:t>
      </w:r>
      <w:r>
        <w:rPr>
          <w:rFonts w:eastAsia="宋体"/>
          <w:sz w:val="24"/>
          <w:szCs w:val="32"/>
        </w:rPr>
        <w:t>)</w:t>
      </w:r>
    </w:p>
    <w:p w14:paraId="749176C2">
      <w:pPr>
        <w:spacing w:line="360" w:lineRule="auto"/>
        <w:rPr>
          <w:rFonts w:eastAsia="宋体"/>
          <w:sz w:val="24"/>
          <w:szCs w:val="32"/>
        </w:rPr>
      </w:pPr>
      <w:r>
        <w:rPr>
          <w:rFonts w:eastAsia="宋体"/>
          <w:sz w:val="24"/>
          <w:szCs w:val="32"/>
        </w:rPr>
        <w:t>式中：</w:t>
      </w:r>
      <w:r>
        <w:rPr>
          <w:rFonts w:eastAsia="宋体"/>
          <w:i/>
          <w:iCs/>
          <w:sz w:val="24"/>
          <w:szCs w:val="32"/>
        </w:rPr>
        <w:t>D</w:t>
      </w:r>
      <w:r>
        <w:rPr>
          <w:rFonts w:eastAsia="宋体"/>
          <w:sz w:val="24"/>
          <w:szCs w:val="32"/>
          <w:vertAlign w:val="subscript"/>
        </w:rPr>
        <w:t>l</w:t>
      </w:r>
      <w:r>
        <w:rPr>
          <w:rFonts w:eastAsia="宋体"/>
          <w:sz w:val="24"/>
          <w:szCs w:val="32"/>
        </w:rPr>
        <w:t>——锚杆</w:t>
      </w:r>
      <w:r>
        <w:rPr>
          <w:rFonts w:hint="eastAsia" w:eastAsia="宋体"/>
          <w:sz w:val="24"/>
          <w:szCs w:val="32"/>
        </w:rPr>
        <w:t>等直径段</w:t>
      </w:r>
      <w:r>
        <w:rPr>
          <w:rFonts w:eastAsia="宋体"/>
          <w:sz w:val="24"/>
          <w:szCs w:val="32"/>
        </w:rPr>
        <w:t>直径（m）；</w:t>
      </w:r>
    </w:p>
    <w:p w14:paraId="0B85F747">
      <w:pPr>
        <w:spacing w:line="360" w:lineRule="auto"/>
        <w:rPr>
          <w:rFonts w:eastAsia="宋体"/>
          <w:sz w:val="24"/>
          <w:szCs w:val="32"/>
        </w:rPr>
      </w:pPr>
      <w:r>
        <w:rPr>
          <w:rFonts w:eastAsia="宋体"/>
          <w:sz w:val="24"/>
          <w:szCs w:val="32"/>
        </w:rPr>
        <w:t xml:space="preserve">      </w:t>
      </w:r>
      <w:r>
        <w:rPr>
          <w:rFonts w:eastAsia="宋体"/>
          <w:i/>
          <w:iCs/>
          <w:sz w:val="24"/>
          <w:szCs w:val="32"/>
        </w:rPr>
        <w:t>D</w:t>
      </w:r>
      <w:r>
        <w:rPr>
          <w:rFonts w:eastAsia="宋体"/>
          <w:sz w:val="24"/>
          <w:szCs w:val="32"/>
          <w:vertAlign w:val="subscript"/>
        </w:rPr>
        <w:t>2</w:t>
      </w:r>
      <w:r>
        <w:rPr>
          <w:rFonts w:eastAsia="宋体"/>
          <w:sz w:val="24"/>
          <w:szCs w:val="32"/>
        </w:rPr>
        <w:t>——扩</w:t>
      </w:r>
      <w:r>
        <w:rPr>
          <w:rFonts w:hint="eastAsia" w:eastAsia="宋体"/>
          <w:sz w:val="24"/>
          <w:szCs w:val="32"/>
        </w:rPr>
        <w:t>体</w:t>
      </w:r>
      <w:r>
        <w:rPr>
          <w:rFonts w:eastAsia="宋体"/>
          <w:sz w:val="24"/>
          <w:szCs w:val="32"/>
        </w:rPr>
        <w:t>直径（m）；</w:t>
      </w:r>
    </w:p>
    <w:p w14:paraId="2D6C0994">
      <w:pPr>
        <w:spacing w:line="360" w:lineRule="auto"/>
        <w:ind w:left="1596" w:hanging="1596" w:hangingChars="665"/>
        <w:rPr>
          <w:rFonts w:eastAsia="宋体"/>
          <w:sz w:val="24"/>
          <w:szCs w:val="32"/>
        </w:rPr>
      </w:pPr>
      <w:r>
        <w:rPr>
          <w:rFonts w:eastAsia="宋体"/>
          <w:sz w:val="24"/>
          <w:szCs w:val="32"/>
        </w:rPr>
        <w:t xml:space="preserve">     </w:t>
      </w:r>
      <w:r>
        <w:rPr>
          <w:rFonts w:hint="eastAsia" w:eastAsia="宋体"/>
          <w:sz w:val="24"/>
          <w:szCs w:val="32"/>
        </w:rPr>
        <w:t xml:space="preserve">  </w:t>
      </w:r>
      <w:r>
        <w:rPr>
          <w:rFonts w:hint="eastAsia" w:eastAsia="宋体"/>
          <w:i/>
          <w:iCs/>
          <w:sz w:val="24"/>
          <w:szCs w:val="32"/>
        </w:rPr>
        <w:t>l</w:t>
      </w:r>
      <w:r>
        <w:rPr>
          <w:rFonts w:hint="eastAsia" w:eastAsia="宋体"/>
          <w:i/>
          <w:iCs/>
          <w:sz w:val="24"/>
          <w:szCs w:val="32"/>
          <w:vertAlign w:val="subscript"/>
        </w:rPr>
        <w:t>i</w:t>
      </w:r>
      <w:r>
        <w:rPr>
          <w:rFonts w:eastAsia="宋体"/>
          <w:sz w:val="24"/>
          <w:szCs w:val="32"/>
        </w:rPr>
        <w:t>——</w:t>
      </w:r>
      <w:r>
        <w:rPr>
          <w:rFonts w:hint="eastAsia" w:eastAsia="宋体"/>
          <w:sz w:val="24"/>
          <w:szCs w:val="32"/>
        </w:rPr>
        <w:t>锚杆等直径有效锚固段第</w:t>
      </w:r>
      <w:r>
        <w:rPr>
          <w:rFonts w:eastAsia="宋体"/>
          <w:i/>
          <w:iCs/>
          <w:sz w:val="24"/>
          <w:szCs w:val="32"/>
        </w:rPr>
        <w:t>i</w:t>
      </w:r>
      <w:r>
        <w:rPr>
          <w:rFonts w:hint="eastAsia" w:eastAsia="宋体"/>
          <w:sz w:val="24"/>
          <w:szCs w:val="32"/>
        </w:rPr>
        <w:t>层土层中有效锚固长度（m），</w:t>
      </w:r>
      <w:r>
        <w:rPr>
          <w:rFonts w:eastAsia="宋体"/>
          <w:sz w:val="24"/>
          <w:szCs w:val="32"/>
        </w:rPr>
        <w:t>∑</w:t>
      </w:r>
      <w:r>
        <w:rPr>
          <w:rFonts w:hint="eastAsia" w:eastAsia="宋体"/>
          <w:i/>
          <w:iCs/>
          <w:sz w:val="24"/>
          <w:szCs w:val="32"/>
        </w:rPr>
        <w:t>l</w:t>
      </w:r>
      <w:r>
        <w:rPr>
          <w:rFonts w:hint="eastAsia" w:eastAsia="宋体"/>
          <w:i/>
          <w:iCs/>
          <w:sz w:val="24"/>
          <w:szCs w:val="32"/>
          <w:vertAlign w:val="subscript"/>
        </w:rPr>
        <w:t>i</w:t>
      </w:r>
      <w:r>
        <w:rPr>
          <w:rFonts w:eastAsia="宋体"/>
          <w:sz w:val="24"/>
          <w:szCs w:val="32"/>
        </w:rPr>
        <w:t>=</w:t>
      </w:r>
      <w:r>
        <w:rPr>
          <w:rFonts w:eastAsia="宋体"/>
          <w:i/>
          <w:iCs/>
          <w:sz w:val="24"/>
          <w:szCs w:val="32"/>
        </w:rPr>
        <w:t>L</w:t>
      </w:r>
      <w:r>
        <w:rPr>
          <w:rFonts w:eastAsia="宋体"/>
          <w:sz w:val="24"/>
          <w:szCs w:val="32"/>
          <w:vertAlign w:val="subscript"/>
        </w:rPr>
        <w:t>D1</w:t>
      </w:r>
      <w:r>
        <w:rPr>
          <w:rFonts w:hint="eastAsia" w:eastAsia="宋体"/>
          <w:sz w:val="24"/>
          <w:szCs w:val="32"/>
        </w:rPr>
        <w:t>，其中</w:t>
      </w:r>
      <w:r>
        <w:rPr>
          <w:rFonts w:eastAsia="宋体"/>
          <w:i/>
          <w:iCs/>
          <w:sz w:val="24"/>
          <w:szCs w:val="32"/>
        </w:rPr>
        <w:t>L</w:t>
      </w:r>
      <w:r>
        <w:rPr>
          <w:rFonts w:eastAsia="宋体"/>
          <w:sz w:val="24"/>
          <w:szCs w:val="32"/>
          <w:vertAlign w:val="subscript"/>
        </w:rPr>
        <w:t>D1</w:t>
      </w:r>
      <w:r>
        <w:rPr>
          <w:rFonts w:hint="eastAsia" w:eastAsia="宋体"/>
          <w:sz w:val="24"/>
          <w:szCs w:val="32"/>
        </w:rPr>
        <w:t>为锚杆等直径锚固段的计算长度（m）：对非预应力锚杆，取实际长度减去2倍扩体直径；对预应力锚杆取</w:t>
      </w:r>
      <w:r>
        <w:rPr>
          <w:rFonts w:eastAsia="宋体"/>
          <w:i/>
          <w:iCs/>
          <w:sz w:val="24"/>
          <w:szCs w:val="32"/>
        </w:rPr>
        <w:t>L</w:t>
      </w:r>
      <w:r>
        <w:rPr>
          <w:rFonts w:eastAsia="宋体"/>
          <w:sz w:val="24"/>
          <w:szCs w:val="32"/>
          <w:vertAlign w:val="subscript"/>
        </w:rPr>
        <w:t>D1</w:t>
      </w:r>
      <w:r>
        <w:rPr>
          <w:rFonts w:hint="eastAsia" w:eastAsia="宋体"/>
          <w:sz w:val="24"/>
          <w:szCs w:val="32"/>
        </w:rPr>
        <w:t>=0；</w:t>
      </w:r>
    </w:p>
    <w:p w14:paraId="24B841BE">
      <w:pPr>
        <w:spacing w:line="360" w:lineRule="auto"/>
        <w:ind w:left="1596" w:hanging="1596" w:hangingChars="665"/>
        <w:rPr>
          <w:rFonts w:eastAsia="宋体"/>
          <w:sz w:val="24"/>
          <w:szCs w:val="32"/>
        </w:rPr>
      </w:pPr>
      <w:r>
        <w:rPr>
          <w:rFonts w:eastAsia="宋体"/>
          <w:sz w:val="24"/>
          <w:szCs w:val="32"/>
        </w:rPr>
        <w:t xml:space="preserve">     </w:t>
      </w:r>
      <w:r>
        <w:rPr>
          <w:rFonts w:hint="eastAsia" w:eastAsia="宋体"/>
          <w:sz w:val="24"/>
          <w:szCs w:val="32"/>
        </w:rPr>
        <w:t xml:space="preserve">  </w:t>
      </w:r>
      <w:r>
        <w:rPr>
          <w:rFonts w:hint="eastAsia" w:eastAsia="宋体"/>
          <w:i/>
          <w:iCs/>
          <w:sz w:val="24"/>
          <w:szCs w:val="32"/>
        </w:rPr>
        <w:t>l</w:t>
      </w:r>
      <w:r>
        <w:rPr>
          <w:rFonts w:hint="eastAsia" w:eastAsia="宋体"/>
          <w:i/>
          <w:iCs/>
          <w:sz w:val="24"/>
          <w:szCs w:val="32"/>
          <w:vertAlign w:val="subscript"/>
        </w:rPr>
        <w:t>j</w:t>
      </w:r>
      <w:r>
        <w:rPr>
          <w:rFonts w:eastAsia="宋体"/>
          <w:sz w:val="24"/>
          <w:szCs w:val="32"/>
        </w:rPr>
        <w:t>——</w:t>
      </w:r>
      <w:r>
        <w:rPr>
          <w:rFonts w:hint="eastAsia" w:eastAsia="宋体"/>
          <w:sz w:val="24"/>
          <w:szCs w:val="32"/>
        </w:rPr>
        <w:t>锚杆扩体段第</w:t>
      </w:r>
      <w:r>
        <w:rPr>
          <w:rFonts w:hint="eastAsia" w:eastAsia="宋体"/>
          <w:i/>
          <w:iCs/>
          <w:sz w:val="24"/>
          <w:szCs w:val="32"/>
        </w:rPr>
        <w:t>j</w:t>
      </w:r>
      <w:r>
        <w:rPr>
          <w:rFonts w:hint="eastAsia" w:eastAsia="宋体"/>
          <w:sz w:val="24"/>
          <w:szCs w:val="32"/>
        </w:rPr>
        <w:t>土层中锚固长度（m），∑</w:t>
      </w:r>
      <w:r>
        <w:rPr>
          <w:rFonts w:hint="eastAsia" w:eastAsia="宋体"/>
          <w:i/>
          <w:iCs/>
          <w:sz w:val="24"/>
          <w:szCs w:val="32"/>
        </w:rPr>
        <w:t>l</w:t>
      </w:r>
      <w:r>
        <w:rPr>
          <w:rFonts w:hint="eastAsia" w:eastAsia="宋体"/>
          <w:i/>
          <w:iCs/>
          <w:sz w:val="24"/>
          <w:szCs w:val="32"/>
          <w:vertAlign w:val="subscript"/>
        </w:rPr>
        <w:t>j</w:t>
      </w:r>
      <w:r>
        <w:rPr>
          <w:rFonts w:hint="eastAsia" w:eastAsia="宋体"/>
          <w:sz w:val="24"/>
          <w:szCs w:val="32"/>
        </w:rPr>
        <w:t>=</w:t>
      </w:r>
      <w:r>
        <w:rPr>
          <w:rFonts w:eastAsia="宋体"/>
          <w:i/>
          <w:iCs/>
          <w:sz w:val="24"/>
          <w:szCs w:val="32"/>
        </w:rPr>
        <w:t>L</w:t>
      </w:r>
      <w:r>
        <w:rPr>
          <w:rFonts w:eastAsia="宋体"/>
          <w:sz w:val="24"/>
          <w:szCs w:val="32"/>
          <w:vertAlign w:val="subscript"/>
        </w:rPr>
        <w:t>D</w:t>
      </w:r>
      <w:r>
        <w:rPr>
          <w:rFonts w:hint="eastAsia" w:eastAsia="宋体"/>
          <w:sz w:val="24"/>
          <w:szCs w:val="32"/>
          <w:vertAlign w:val="subscript"/>
        </w:rPr>
        <w:t>2</w:t>
      </w:r>
      <w:r>
        <w:rPr>
          <w:rFonts w:hint="eastAsia" w:eastAsia="宋体"/>
          <w:sz w:val="24"/>
          <w:szCs w:val="32"/>
        </w:rPr>
        <w:t>,其中</w:t>
      </w:r>
      <w:r>
        <w:rPr>
          <w:rFonts w:eastAsia="宋体"/>
          <w:i/>
          <w:iCs/>
          <w:sz w:val="24"/>
          <w:szCs w:val="32"/>
        </w:rPr>
        <w:t>L</w:t>
      </w:r>
      <w:r>
        <w:rPr>
          <w:rFonts w:eastAsia="宋体"/>
          <w:sz w:val="24"/>
          <w:szCs w:val="32"/>
          <w:vertAlign w:val="subscript"/>
        </w:rPr>
        <w:t>D</w:t>
      </w:r>
      <w:r>
        <w:rPr>
          <w:rFonts w:hint="eastAsia" w:eastAsia="宋体"/>
          <w:sz w:val="24"/>
          <w:szCs w:val="32"/>
          <w:vertAlign w:val="subscript"/>
        </w:rPr>
        <w:t>2</w:t>
      </w:r>
      <w:r>
        <w:rPr>
          <w:rFonts w:hint="eastAsia" w:eastAsia="宋体"/>
          <w:sz w:val="24"/>
          <w:szCs w:val="32"/>
        </w:rPr>
        <w:t>为扩体长度（m）</w:t>
      </w:r>
      <w:r>
        <w:rPr>
          <w:rFonts w:eastAsia="宋体"/>
          <w:sz w:val="24"/>
          <w:szCs w:val="32"/>
        </w:rPr>
        <w:t>；</w:t>
      </w:r>
    </w:p>
    <w:p w14:paraId="4BBEDABB">
      <w:pPr>
        <w:spacing w:line="360" w:lineRule="auto"/>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p</w:t>
      </w:r>
      <w:r>
        <w:rPr>
          <w:rFonts w:eastAsia="宋体"/>
          <w:sz w:val="24"/>
          <w:szCs w:val="32"/>
          <w:vertAlign w:val="subscript"/>
        </w:rPr>
        <w:t>D</w:t>
      </w:r>
      <w:r>
        <w:rPr>
          <w:rFonts w:eastAsia="宋体"/>
          <w:sz w:val="24"/>
          <w:szCs w:val="32"/>
        </w:rPr>
        <w:t>——扩</w:t>
      </w:r>
      <w:r>
        <w:rPr>
          <w:rFonts w:hint="eastAsia" w:eastAsia="宋体"/>
          <w:sz w:val="24"/>
          <w:szCs w:val="32"/>
        </w:rPr>
        <w:t>体上</w:t>
      </w:r>
      <w:r>
        <w:rPr>
          <w:rFonts w:eastAsia="宋体"/>
          <w:sz w:val="24"/>
          <w:szCs w:val="32"/>
        </w:rPr>
        <w:t>端面土体对扩</w:t>
      </w:r>
      <w:r>
        <w:rPr>
          <w:rFonts w:hint="eastAsia" w:eastAsia="宋体"/>
          <w:sz w:val="24"/>
          <w:szCs w:val="32"/>
        </w:rPr>
        <w:t>体</w:t>
      </w:r>
      <w:r>
        <w:rPr>
          <w:rFonts w:eastAsia="宋体"/>
          <w:sz w:val="24"/>
          <w:szCs w:val="32"/>
        </w:rPr>
        <w:t>抗力</w:t>
      </w:r>
      <w:r>
        <w:rPr>
          <w:rFonts w:hint="eastAsia" w:eastAsia="宋体"/>
          <w:sz w:val="24"/>
          <w:szCs w:val="32"/>
        </w:rPr>
        <w:t>的</w:t>
      </w:r>
      <w:r>
        <w:rPr>
          <w:rFonts w:eastAsia="宋体"/>
          <w:sz w:val="24"/>
          <w:szCs w:val="32"/>
        </w:rPr>
        <w:t>强度值（kPa）</w:t>
      </w:r>
      <w:r>
        <w:rPr>
          <w:rFonts w:hint="eastAsia" w:eastAsia="宋体"/>
          <w:sz w:val="24"/>
          <w:szCs w:val="32"/>
        </w:rPr>
        <w:t>；</w:t>
      </w:r>
    </w:p>
    <w:p w14:paraId="73DA276D">
      <w:pPr>
        <w:spacing w:line="360" w:lineRule="auto"/>
        <w:ind w:left="1598" w:hanging="1598" w:hangingChars="666"/>
        <w:rPr>
          <w:rFonts w:eastAsia="宋体"/>
          <w:sz w:val="24"/>
          <w:szCs w:val="32"/>
        </w:rPr>
      </w:pPr>
      <w:r>
        <w:rPr>
          <w:rFonts w:hint="eastAsia" w:eastAsia="宋体"/>
          <w:sz w:val="24"/>
          <w:szCs w:val="32"/>
        </w:rPr>
        <w:t xml:space="preserve">      </w:t>
      </w:r>
      <w:r>
        <w:rPr>
          <w:rFonts w:eastAsia="宋体"/>
          <w:i/>
          <w:iCs/>
          <w:sz w:val="24"/>
          <w:szCs w:val="32"/>
        </w:rPr>
        <w:t>K</w:t>
      </w:r>
      <w:r>
        <w:rPr>
          <w:rFonts w:eastAsia="宋体"/>
          <w:sz w:val="24"/>
          <w:szCs w:val="32"/>
          <w:vertAlign w:val="subscript"/>
        </w:rPr>
        <w:t>0</w:t>
      </w:r>
      <w:r>
        <w:rPr>
          <w:rFonts w:eastAsia="宋体"/>
          <w:sz w:val="24"/>
          <w:szCs w:val="32"/>
        </w:rPr>
        <w:t>——扩</w:t>
      </w:r>
      <w:r>
        <w:rPr>
          <w:rFonts w:hint="eastAsia" w:eastAsia="宋体"/>
          <w:sz w:val="24"/>
          <w:szCs w:val="32"/>
        </w:rPr>
        <w:t>体上覆土体</w:t>
      </w:r>
      <w:r>
        <w:rPr>
          <w:rFonts w:eastAsia="宋体"/>
          <w:sz w:val="24"/>
          <w:szCs w:val="32"/>
        </w:rPr>
        <w:t>的静止土压力系数，</w:t>
      </w:r>
      <w:r>
        <w:rPr>
          <w:rFonts w:hint="eastAsia" w:eastAsia="宋体"/>
          <w:sz w:val="24"/>
          <w:szCs w:val="32"/>
        </w:rPr>
        <w:t>应</w:t>
      </w:r>
      <w:r>
        <w:rPr>
          <w:rFonts w:eastAsia="宋体"/>
          <w:sz w:val="24"/>
          <w:szCs w:val="32"/>
        </w:rPr>
        <w:t>由试验确定；无试验资料时，可按有关地区经验取值，或取</w:t>
      </w:r>
      <w:r>
        <w:rPr>
          <w:rFonts w:eastAsia="宋体"/>
          <w:i/>
          <w:iCs/>
          <w:sz w:val="24"/>
          <w:szCs w:val="32"/>
        </w:rPr>
        <w:t>K</w:t>
      </w:r>
      <w:r>
        <w:rPr>
          <w:rFonts w:eastAsia="宋体"/>
          <w:sz w:val="24"/>
          <w:szCs w:val="32"/>
          <w:vertAlign w:val="subscript"/>
        </w:rPr>
        <w:t>0</w:t>
      </w:r>
      <w:r>
        <w:rPr>
          <w:rFonts w:eastAsia="宋体"/>
          <w:sz w:val="24"/>
          <w:szCs w:val="32"/>
        </w:rPr>
        <w:t>=l-sin</w:t>
      </w:r>
      <w:r>
        <w:rPr>
          <w:rFonts w:hint="eastAsia" w:ascii="微软雅黑" w:hAnsi="微软雅黑" w:eastAsia="微软雅黑" w:cs="微软雅黑"/>
          <w:i/>
          <w:iCs/>
          <w:position w:val="-10"/>
          <w:sz w:val="24"/>
          <w:szCs w:val="32"/>
        </w:rPr>
        <w:object>
          <v:shape id="_x0000_i1032" o:spt="75" type="#_x0000_t75" style="height:15.15pt;width:15.15pt;" o:ole="t" filled="f" o:preferrelative="t" stroked="f" coordsize="21600,21600">
            <v:path/>
            <v:fill on="f" focussize="0,0"/>
            <v:stroke on="f" joinstyle="miter"/>
            <v:imagedata r:id="rId25" o:title=""/>
            <o:lock v:ext="edit" aspectratio="t"/>
            <w10:wrap type="none"/>
            <w10:anchorlock/>
          </v:shape>
          <o:OLEObject Type="Embed" ProgID="Equation.KSEE3" ShapeID="_x0000_i1032" DrawAspect="Content" ObjectID="_1468075732" r:id="rId24">
            <o:LockedField>false</o:LockedField>
          </o:OLEObject>
        </w:object>
      </w:r>
      <w:r>
        <w:rPr>
          <w:rFonts w:eastAsia="宋体"/>
          <w:sz w:val="24"/>
          <w:szCs w:val="32"/>
        </w:rPr>
        <w:t>(</w:t>
      </w:r>
      <w:r>
        <w:rPr>
          <w:rFonts w:hint="eastAsia" w:ascii="微软雅黑" w:hAnsi="微软雅黑" w:eastAsia="微软雅黑" w:cs="微软雅黑"/>
          <w:i/>
          <w:iCs/>
          <w:position w:val="-10"/>
          <w:sz w:val="24"/>
          <w:szCs w:val="32"/>
        </w:rPr>
        <w:object>
          <v:shape id="_x0000_i1033" o:spt="75" type="#_x0000_t75" style="height:15.15pt;width:15.15pt;" o:ole="t" filled="f" o:preferrelative="t" stroked="f" coordsize="21600,21600">
            <v:path/>
            <v:fill on="f" focussize="0,0"/>
            <v:stroke on="f" joinstyle="miter"/>
            <v:imagedata r:id="rId25" o:title=""/>
            <o:lock v:ext="edit" aspectratio="t"/>
            <w10:wrap type="none"/>
            <w10:anchorlock/>
          </v:shape>
          <o:OLEObject Type="Embed" ProgID="Equation.KSEE3" ShapeID="_x0000_i1033" DrawAspect="Content" ObjectID="_1468075733" r:id="rId26">
            <o:LockedField>false</o:LockedField>
          </o:OLEObject>
        </w:object>
      </w:r>
      <w:r>
        <w:rPr>
          <w:rFonts w:eastAsia="宋体"/>
          <w:sz w:val="24"/>
          <w:szCs w:val="32"/>
        </w:rPr>
        <w:t>为土体的有效内摩擦角)；</w:t>
      </w:r>
    </w:p>
    <w:p w14:paraId="1327653B">
      <w:pPr>
        <w:spacing w:line="360" w:lineRule="auto"/>
        <w:ind w:left="1598" w:hanging="1598" w:hangingChars="666"/>
        <w:rPr>
          <w:rFonts w:eastAsia="宋体"/>
          <w:sz w:val="24"/>
          <w:szCs w:val="32"/>
        </w:rPr>
      </w:pPr>
      <w:r>
        <w:rPr>
          <w:rFonts w:eastAsia="宋体"/>
          <w:sz w:val="24"/>
          <w:szCs w:val="32"/>
        </w:rPr>
        <w:t xml:space="preserve">       </w:t>
      </w:r>
      <w:r>
        <w:rPr>
          <w:rFonts w:eastAsia="宋体"/>
          <w:i/>
          <w:iCs/>
          <w:sz w:val="24"/>
          <w:szCs w:val="32"/>
        </w:rPr>
        <w:t>ζ</w:t>
      </w:r>
      <w:r>
        <w:rPr>
          <w:rFonts w:eastAsia="宋体"/>
          <w:sz w:val="24"/>
          <w:szCs w:val="32"/>
        </w:rPr>
        <w:t>——</w:t>
      </w:r>
      <w:r>
        <w:rPr>
          <w:rFonts w:hint="eastAsia" w:eastAsia="宋体"/>
          <w:sz w:val="24"/>
          <w:szCs w:val="32"/>
        </w:rPr>
        <w:t>扩体向上位移时反映土的挤密效应的侧压力系数</w:t>
      </w:r>
      <w:r>
        <w:rPr>
          <w:rFonts w:eastAsia="宋体"/>
          <w:sz w:val="24"/>
          <w:szCs w:val="32"/>
        </w:rPr>
        <w:t>，</w:t>
      </w:r>
      <w:r>
        <w:rPr>
          <w:rFonts w:hint="eastAsia" w:eastAsia="宋体"/>
          <w:sz w:val="24"/>
          <w:szCs w:val="32"/>
        </w:rPr>
        <w:t>应</w:t>
      </w:r>
      <w:r>
        <w:rPr>
          <w:rFonts w:eastAsia="宋体"/>
          <w:sz w:val="24"/>
          <w:szCs w:val="32"/>
        </w:rPr>
        <w:t>由试验确定；无试验资料时，可按有关地区经验取值，</w:t>
      </w:r>
      <w:r>
        <w:rPr>
          <w:rFonts w:hint="eastAsia" w:eastAsia="宋体"/>
          <w:sz w:val="24"/>
          <w:szCs w:val="32"/>
        </w:rPr>
        <w:t>对非预应力锚杆可取</w:t>
      </w:r>
      <w:r>
        <w:rPr>
          <w:rFonts w:hint="eastAsia" w:eastAsia="宋体"/>
          <w:i/>
          <w:iCs/>
          <w:sz w:val="24"/>
          <w:szCs w:val="32"/>
        </w:rPr>
        <w:t>ζ</w:t>
      </w:r>
      <w:r>
        <w:rPr>
          <w:rFonts w:hint="eastAsia" w:eastAsia="宋体"/>
          <w:sz w:val="24"/>
          <w:szCs w:val="32"/>
        </w:rPr>
        <w:t>=(0.50～0.90)</w:t>
      </w:r>
      <w:r>
        <w:rPr>
          <w:rFonts w:hint="eastAsia" w:eastAsia="宋体"/>
          <w:i/>
          <w:iCs/>
          <w:sz w:val="24"/>
          <w:szCs w:val="32"/>
        </w:rPr>
        <w:t>K</w:t>
      </w:r>
      <w:r>
        <w:rPr>
          <w:rFonts w:hint="eastAsia" w:eastAsia="宋体"/>
          <w:sz w:val="24"/>
          <w:szCs w:val="32"/>
          <w:vertAlign w:val="subscript"/>
        </w:rPr>
        <w:t>a</w:t>
      </w:r>
      <w:r>
        <w:rPr>
          <w:rFonts w:hint="eastAsia" w:eastAsia="宋体"/>
          <w:sz w:val="24"/>
          <w:szCs w:val="32"/>
        </w:rPr>
        <w:t>，对预应力锚杆可取</w:t>
      </w:r>
      <w:r>
        <w:rPr>
          <w:rFonts w:hint="eastAsia" w:eastAsia="宋体"/>
          <w:i/>
          <w:iCs/>
          <w:sz w:val="24"/>
          <w:szCs w:val="32"/>
        </w:rPr>
        <w:t>ζ</w:t>
      </w:r>
      <w:r>
        <w:rPr>
          <w:rFonts w:hint="eastAsia" w:eastAsia="宋体"/>
          <w:sz w:val="24"/>
          <w:szCs w:val="32"/>
        </w:rPr>
        <w:t>= (0.85～0.95)</w:t>
      </w:r>
      <w:r>
        <w:rPr>
          <w:rFonts w:hint="eastAsia" w:eastAsia="宋体"/>
          <w:i/>
          <w:iCs/>
          <w:sz w:val="24"/>
          <w:szCs w:val="32"/>
        </w:rPr>
        <w:t>K</w:t>
      </w:r>
      <w:r>
        <w:rPr>
          <w:rFonts w:hint="eastAsia" w:eastAsia="宋体"/>
          <w:sz w:val="24"/>
          <w:szCs w:val="32"/>
          <w:vertAlign w:val="subscript"/>
        </w:rPr>
        <w:t>a</w:t>
      </w:r>
      <w:r>
        <w:rPr>
          <w:rFonts w:hint="eastAsia" w:eastAsia="宋体"/>
          <w:sz w:val="24"/>
          <w:szCs w:val="32"/>
        </w:rPr>
        <w:t>，</w:t>
      </w:r>
      <w:r>
        <w:rPr>
          <w:rFonts w:hint="eastAsia" w:eastAsia="宋体"/>
          <w:i/>
          <w:iCs/>
          <w:sz w:val="24"/>
          <w:szCs w:val="32"/>
        </w:rPr>
        <w:t>K</w:t>
      </w:r>
      <w:r>
        <w:rPr>
          <w:rFonts w:hint="eastAsia" w:eastAsia="宋体"/>
          <w:sz w:val="24"/>
          <w:szCs w:val="32"/>
          <w:vertAlign w:val="subscript"/>
        </w:rPr>
        <w:t>a</w:t>
      </w:r>
      <w:r>
        <w:rPr>
          <w:rFonts w:hint="eastAsia" w:eastAsia="宋体"/>
          <w:sz w:val="24"/>
          <w:szCs w:val="32"/>
        </w:rPr>
        <w:t>为主动土压力系数。</w:t>
      </w:r>
      <w:r>
        <w:rPr>
          <w:rFonts w:hint="eastAsia" w:eastAsia="宋体"/>
          <w:i/>
          <w:iCs/>
          <w:sz w:val="24"/>
          <w:szCs w:val="32"/>
        </w:rPr>
        <w:t>ζ</w:t>
      </w:r>
      <w:r>
        <w:rPr>
          <w:rFonts w:hint="eastAsia" w:eastAsia="宋体"/>
          <w:sz w:val="24"/>
          <w:szCs w:val="32"/>
        </w:rPr>
        <w:t>与扩体上覆土体的强度有关，对强度较好的黏性土和较密实的砂性土可取上限值，对强度较低的土应取下限值；</w:t>
      </w:r>
    </w:p>
    <w:p w14:paraId="696339CF">
      <w:pPr>
        <w:spacing w:line="360" w:lineRule="auto"/>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K</w:t>
      </w:r>
      <w:r>
        <w:rPr>
          <w:rFonts w:eastAsia="宋体"/>
          <w:sz w:val="24"/>
          <w:szCs w:val="32"/>
          <w:vertAlign w:val="subscript"/>
        </w:rPr>
        <w:t>p</w:t>
      </w:r>
      <w:r>
        <w:rPr>
          <w:rFonts w:eastAsia="宋体"/>
          <w:sz w:val="24"/>
          <w:szCs w:val="32"/>
        </w:rPr>
        <w:t>——扩</w:t>
      </w:r>
      <w:r>
        <w:rPr>
          <w:rFonts w:hint="eastAsia" w:eastAsia="宋体"/>
          <w:sz w:val="24"/>
          <w:szCs w:val="32"/>
        </w:rPr>
        <w:t>体</w:t>
      </w:r>
      <w:r>
        <w:rPr>
          <w:rFonts w:eastAsia="宋体"/>
          <w:sz w:val="24"/>
          <w:szCs w:val="32"/>
        </w:rPr>
        <w:t>上覆土体的被动土压力系数；</w:t>
      </w:r>
    </w:p>
    <w:p w14:paraId="1EADAEF1">
      <w:pPr>
        <w:spacing w:line="360" w:lineRule="auto"/>
        <w:rPr>
          <w:rFonts w:eastAsia="宋体"/>
          <w:sz w:val="24"/>
          <w:szCs w:val="32"/>
        </w:rPr>
      </w:pPr>
      <w:r>
        <w:rPr>
          <w:rFonts w:eastAsia="宋体"/>
          <w:sz w:val="24"/>
          <w:szCs w:val="32"/>
        </w:rPr>
        <w:t xml:space="preserve">       </w:t>
      </w:r>
      <w:r>
        <w:rPr>
          <w:rFonts w:eastAsia="宋体"/>
          <w:i/>
          <w:iCs/>
          <w:position w:val="-10"/>
          <w:sz w:val="24"/>
          <w:szCs w:val="32"/>
        </w:rPr>
        <w:object>
          <v:shape id="_x0000_i1034" o:spt="75" type="#_x0000_t75" style="height:15.15pt;width:11.35pt;" o:ole="t" filled="f" o:preferrelative="t" stroked="f" coordsize="21600,21600">
            <v:path/>
            <v:fill on="f" focussize="0,0"/>
            <v:stroke on="f" joinstyle="miter"/>
            <v:imagedata r:id="rId28" o:title=""/>
            <o:lock v:ext="edit" aspectratio="t"/>
            <w10:wrap type="none"/>
            <w10:anchorlock/>
          </v:shape>
          <o:OLEObject Type="Embed" ProgID="Equation.KSEE3" ShapeID="_x0000_i1034" DrawAspect="Content" ObjectID="_1468075734" r:id="rId27">
            <o:LockedField>false</o:LockedField>
          </o:OLEObject>
        </w:object>
      </w:r>
      <w:r>
        <w:rPr>
          <w:rFonts w:eastAsia="宋体"/>
          <w:sz w:val="24"/>
          <w:szCs w:val="32"/>
        </w:rPr>
        <w:t>——扩</w:t>
      </w:r>
      <w:r>
        <w:rPr>
          <w:rFonts w:hint="eastAsia" w:eastAsia="宋体"/>
          <w:sz w:val="24"/>
          <w:szCs w:val="32"/>
        </w:rPr>
        <w:t>体</w:t>
      </w:r>
      <w:r>
        <w:rPr>
          <w:rFonts w:eastAsia="宋体"/>
          <w:sz w:val="24"/>
          <w:szCs w:val="32"/>
        </w:rPr>
        <w:t>上覆土体的浮重度（kN/m</w:t>
      </w:r>
      <w:r>
        <w:rPr>
          <w:rFonts w:eastAsia="宋体"/>
          <w:sz w:val="24"/>
          <w:szCs w:val="32"/>
          <w:vertAlign w:val="superscript"/>
        </w:rPr>
        <w:t>3</w:t>
      </w:r>
      <w:r>
        <w:rPr>
          <w:rFonts w:eastAsia="宋体"/>
          <w:sz w:val="24"/>
          <w:szCs w:val="32"/>
        </w:rPr>
        <w:t>）；</w:t>
      </w:r>
    </w:p>
    <w:p w14:paraId="081D06E1">
      <w:pPr>
        <w:spacing w:line="360" w:lineRule="auto"/>
        <w:rPr>
          <w:rFonts w:eastAsia="宋体"/>
          <w:sz w:val="24"/>
          <w:szCs w:val="32"/>
        </w:rPr>
      </w:pPr>
      <w:r>
        <w:rPr>
          <w:rFonts w:eastAsia="宋体"/>
          <w:sz w:val="24"/>
          <w:szCs w:val="32"/>
        </w:rPr>
        <w:t xml:space="preserve">        </w:t>
      </w:r>
      <w:r>
        <w:rPr>
          <w:rFonts w:eastAsia="宋体"/>
          <w:i/>
          <w:iCs/>
          <w:sz w:val="24"/>
          <w:szCs w:val="32"/>
        </w:rPr>
        <w:t>h</w:t>
      </w:r>
      <w:r>
        <w:rPr>
          <w:rFonts w:eastAsia="宋体"/>
          <w:sz w:val="24"/>
          <w:szCs w:val="32"/>
        </w:rPr>
        <w:t>——扩</w:t>
      </w:r>
      <w:r>
        <w:rPr>
          <w:rFonts w:hint="eastAsia" w:eastAsia="宋体"/>
          <w:sz w:val="24"/>
          <w:szCs w:val="32"/>
        </w:rPr>
        <w:t>体</w:t>
      </w:r>
      <w:r>
        <w:rPr>
          <w:rFonts w:eastAsia="宋体"/>
          <w:sz w:val="24"/>
          <w:szCs w:val="32"/>
        </w:rPr>
        <w:t>上覆土体的厚度（m）；</w:t>
      </w:r>
    </w:p>
    <w:p w14:paraId="5C9DA979">
      <w:pPr>
        <w:spacing w:line="360" w:lineRule="auto"/>
        <w:rPr>
          <w:rFonts w:eastAsia="宋体"/>
          <w:sz w:val="24"/>
          <w:szCs w:val="32"/>
        </w:rPr>
      </w:pPr>
      <w:r>
        <w:rPr>
          <w:rFonts w:eastAsia="宋体"/>
          <w:sz w:val="24"/>
          <w:szCs w:val="32"/>
        </w:rPr>
        <w:t xml:space="preserve">        </w:t>
      </w:r>
      <w:r>
        <w:rPr>
          <w:rFonts w:eastAsia="宋体"/>
          <w:i/>
          <w:iCs/>
          <w:sz w:val="24"/>
          <w:szCs w:val="32"/>
        </w:rPr>
        <w:t>c</w:t>
      </w:r>
      <w:r>
        <w:rPr>
          <w:rFonts w:eastAsia="宋体"/>
          <w:sz w:val="24"/>
          <w:szCs w:val="32"/>
        </w:rPr>
        <w:t>——扩</w:t>
      </w:r>
      <w:r>
        <w:rPr>
          <w:rFonts w:hint="eastAsia" w:eastAsia="宋体"/>
          <w:sz w:val="24"/>
          <w:szCs w:val="32"/>
        </w:rPr>
        <w:t>体</w:t>
      </w:r>
      <w:r>
        <w:rPr>
          <w:rFonts w:eastAsia="宋体"/>
          <w:sz w:val="24"/>
          <w:szCs w:val="32"/>
        </w:rPr>
        <w:t>上覆土体的黏聚力（kPa）。</w:t>
      </w:r>
    </w:p>
    <w:p w14:paraId="277B6897">
      <w:pPr>
        <w:numPr>
          <w:ilvl w:val="0"/>
          <w:numId w:val="32"/>
        </w:numPr>
        <w:tabs>
          <w:tab w:val="left" w:pos="0"/>
          <w:tab w:val="clear" w:pos="420"/>
        </w:tabs>
        <w:spacing w:line="360" w:lineRule="auto"/>
        <w:ind w:left="5" w:firstLine="315"/>
        <w:rPr>
          <w:rFonts w:eastAsia="宋体"/>
          <w:sz w:val="24"/>
          <w:szCs w:val="32"/>
        </w:rPr>
      </w:pPr>
      <w:r>
        <w:rPr>
          <w:rFonts w:eastAsia="宋体"/>
          <w:sz w:val="24"/>
          <w:szCs w:val="32"/>
        </w:rPr>
        <w:t>分散型锚杆</w:t>
      </w:r>
    </w:p>
    <w:p w14:paraId="44683655">
      <w:pPr>
        <w:spacing w:line="360" w:lineRule="auto"/>
        <w:ind w:firstLine="2160" w:firstLineChars="900"/>
        <w:jc w:val="right"/>
        <w:rPr>
          <w:rFonts w:eastAsia="宋体"/>
          <w:sz w:val="24"/>
          <w:szCs w:val="32"/>
        </w:rPr>
      </w:pPr>
      <w:r>
        <w:rPr>
          <w:rFonts w:eastAsia="宋体"/>
          <w:i/>
          <w:iCs/>
          <w:sz w:val="24"/>
          <w:szCs w:val="32"/>
        </w:rPr>
        <w:t>T</w:t>
      </w:r>
      <w:r>
        <w:rPr>
          <w:rFonts w:eastAsia="宋体"/>
          <w:sz w:val="24"/>
          <w:szCs w:val="32"/>
          <w:vertAlign w:val="subscript"/>
        </w:rPr>
        <w:t>uk</w:t>
      </w:r>
      <w:r>
        <w:rPr>
          <w:rFonts w:eastAsia="宋体"/>
          <w:sz w:val="24"/>
          <w:szCs w:val="32"/>
        </w:rPr>
        <w:t>=∑</w:t>
      </w:r>
      <w:r>
        <w:rPr>
          <w:rFonts w:eastAsia="宋体"/>
          <w:i/>
          <w:iCs/>
          <w:sz w:val="24"/>
          <w:szCs w:val="32"/>
        </w:rPr>
        <w:t>T</w:t>
      </w:r>
      <w:r>
        <w:rPr>
          <w:rFonts w:eastAsia="宋体"/>
          <w:sz w:val="24"/>
          <w:szCs w:val="32"/>
          <w:vertAlign w:val="subscript"/>
        </w:rPr>
        <w:t>uk</w:t>
      </w:r>
      <w:r>
        <w:rPr>
          <w:rFonts w:eastAsia="宋体"/>
          <w:i/>
          <w:iCs/>
          <w:sz w:val="24"/>
          <w:szCs w:val="32"/>
          <w:vertAlign w:val="subscript"/>
        </w:rPr>
        <w:t>i</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.3-4</w:t>
      </w:r>
      <w:r>
        <w:rPr>
          <w:rFonts w:eastAsia="宋体"/>
          <w:sz w:val="24"/>
          <w:szCs w:val="32"/>
        </w:rPr>
        <w:t>)</w:t>
      </w:r>
    </w:p>
    <w:p w14:paraId="6CF92DAC">
      <w:pPr>
        <w:spacing w:line="360" w:lineRule="auto"/>
        <w:rPr>
          <w:rFonts w:eastAsia="宋体"/>
          <w:sz w:val="24"/>
          <w:szCs w:val="32"/>
        </w:rPr>
      </w:pPr>
      <w:r>
        <w:rPr>
          <w:rFonts w:eastAsia="宋体"/>
          <w:sz w:val="24"/>
          <w:szCs w:val="32"/>
        </w:rPr>
        <w:t>式中：</w:t>
      </w:r>
      <w:r>
        <w:rPr>
          <w:rFonts w:eastAsia="宋体"/>
          <w:i/>
          <w:iCs/>
          <w:sz w:val="24"/>
          <w:szCs w:val="32"/>
        </w:rPr>
        <w:t>T</w:t>
      </w:r>
      <w:r>
        <w:rPr>
          <w:rFonts w:eastAsia="宋体"/>
          <w:sz w:val="24"/>
          <w:szCs w:val="32"/>
          <w:vertAlign w:val="subscript"/>
        </w:rPr>
        <w:t>uk</w:t>
      </w:r>
      <w:r>
        <w:rPr>
          <w:rFonts w:eastAsia="宋体"/>
          <w:i/>
          <w:iCs/>
          <w:sz w:val="24"/>
          <w:szCs w:val="32"/>
          <w:vertAlign w:val="subscript"/>
        </w:rPr>
        <w:t>i</w:t>
      </w:r>
      <w:r>
        <w:rPr>
          <w:rFonts w:eastAsia="宋体"/>
          <w:sz w:val="24"/>
          <w:szCs w:val="32"/>
        </w:rPr>
        <w:t>——各单元锚杆极限抗拔承载力标准值（kN）。</w:t>
      </w:r>
    </w:p>
    <w:p w14:paraId="2E5A14AC">
      <w:pPr>
        <w:numPr>
          <w:ilvl w:val="2"/>
          <w:numId w:val="2"/>
        </w:numPr>
        <w:spacing w:line="360" w:lineRule="auto"/>
        <w:ind w:left="0" w:firstLine="0"/>
        <w:jc w:val="left"/>
        <w:rPr>
          <w:rFonts w:eastAsia="宋体"/>
          <w:sz w:val="24"/>
          <w:szCs w:val="32"/>
        </w:rPr>
      </w:pPr>
      <w:r>
        <w:rPr>
          <w:rFonts w:eastAsia="宋体"/>
          <w:sz w:val="24"/>
          <w:szCs w:val="32"/>
        </w:rPr>
        <w:t>锚固段</w:t>
      </w:r>
      <w:r>
        <w:rPr>
          <w:rFonts w:hint="eastAsia" w:eastAsia="宋体"/>
          <w:sz w:val="24"/>
          <w:szCs w:val="32"/>
        </w:rPr>
        <w:t>浆体</w:t>
      </w:r>
      <w:r>
        <w:rPr>
          <w:rFonts w:eastAsia="宋体"/>
          <w:sz w:val="24"/>
          <w:szCs w:val="32"/>
        </w:rPr>
        <w:t>与筋体间粘结长度</w:t>
      </w:r>
      <w:r>
        <w:rPr>
          <w:rFonts w:hint="eastAsia" w:eastAsia="宋体"/>
          <w:sz w:val="24"/>
          <w:szCs w:val="32"/>
        </w:rPr>
        <w:t>宜按下式</w:t>
      </w:r>
      <w:r>
        <w:rPr>
          <w:rFonts w:eastAsia="宋体"/>
          <w:sz w:val="24"/>
          <w:szCs w:val="32"/>
        </w:rPr>
        <w:t>验算：</w:t>
      </w:r>
    </w:p>
    <w:p w14:paraId="50D7E79F">
      <w:pPr>
        <w:spacing w:line="360" w:lineRule="auto"/>
        <w:jc w:val="right"/>
      </w:pPr>
      <w:r>
        <w:rPr>
          <w:position w:val="-30"/>
        </w:rPr>
        <w:object>
          <v:shape id="_x0000_i1035" o:spt="75" type="#_x0000_t75" style="height:34.1pt;width:68.2pt;" o:ole="t" filled="f" o:preferrelative="t" stroked="f" coordsize="21600,21600">
            <v:path/>
            <v:fill on="f" focussize="0,0"/>
            <v:stroke on="f" joinstyle="miter"/>
            <v:imagedata r:id="rId30" o:title=""/>
            <o:lock v:ext="edit" aspectratio="t"/>
            <w10:wrap type="none"/>
            <w10:anchorlock/>
          </v:shape>
          <o:OLEObject Type="Embed" ProgID="Equation.KSEE3" ShapeID="_x0000_i1035" DrawAspect="Content" ObjectID="_1468075735" r:id="rId29">
            <o:LockedField>false</o:LockedField>
          </o:OLEObject>
        </w:object>
      </w:r>
      <w:r>
        <w:rPr>
          <w:rFonts w:hint="eastAsia" w:eastAsia="宋体"/>
          <w:sz w:val="24"/>
          <w:szCs w:val="32"/>
        </w:rPr>
        <w:t xml:space="preserve">  </w:t>
      </w: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.4</w:t>
      </w:r>
      <w:r>
        <w:rPr>
          <w:rFonts w:eastAsia="宋体"/>
          <w:sz w:val="24"/>
          <w:szCs w:val="32"/>
        </w:rPr>
        <w:t>)</w:t>
      </w:r>
    </w:p>
    <w:p w14:paraId="05DD9023">
      <w:pPr>
        <w:spacing w:line="360" w:lineRule="auto"/>
        <w:rPr>
          <w:rFonts w:eastAsia="宋体"/>
          <w:sz w:val="24"/>
          <w:szCs w:val="32"/>
        </w:rPr>
      </w:pPr>
      <w:r>
        <w:rPr>
          <w:rFonts w:eastAsia="宋体"/>
          <w:sz w:val="24"/>
          <w:szCs w:val="32"/>
        </w:rPr>
        <w:t>式中：</w:t>
      </w:r>
      <w:r>
        <w:rPr>
          <w:rFonts w:eastAsia="宋体"/>
          <w:i/>
          <w:iCs/>
          <w:sz w:val="24"/>
          <w:szCs w:val="32"/>
        </w:rPr>
        <w:t>L</w:t>
      </w:r>
      <w:r>
        <w:rPr>
          <w:rFonts w:eastAsia="宋体"/>
          <w:sz w:val="24"/>
          <w:szCs w:val="32"/>
          <w:vertAlign w:val="subscript"/>
        </w:rPr>
        <w:t>b</w:t>
      </w:r>
      <w:r>
        <w:rPr>
          <w:rFonts w:eastAsia="宋体"/>
          <w:sz w:val="24"/>
          <w:szCs w:val="32"/>
        </w:rPr>
        <w:t>——筋体粘结段长度（m）；</w:t>
      </w:r>
    </w:p>
    <w:p w14:paraId="1FEF4C3C">
      <w:pPr>
        <w:spacing w:line="360" w:lineRule="auto"/>
        <w:rPr>
          <w:rFonts w:eastAsia="宋体"/>
          <w:sz w:val="24"/>
          <w:szCs w:val="32"/>
        </w:rPr>
      </w:pPr>
      <w:r>
        <w:rPr>
          <w:rFonts w:eastAsia="宋体"/>
          <w:sz w:val="24"/>
          <w:szCs w:val="32"/>
        </w:rPr>
        <w:t xml:space="preserve">      </w:t>
      </w:r>
      <w:r>
        <w:rPr>
          <w:rFonts w:eastAsia="宋体"/>
          <w:i/>
          <w:iCs/>
          <w:sz w:val="24"/>
          <w:szCs w:val="32"/>
        </w:rPr>
        <w:t>K</w:t>
      </w:r>
      <w:r>
        <w:rPr>
          <w:rFonts w:eastAsia="宋体"/>
          <w:sz w:val="24"/>
          <w:szCs w:val="32"/>
          <w:vertAlign w:val="subscript"/>
        </w:rPr>
        <w:t>b</w:t>
      </w:r>
      <w:r>
        <w:rPr>
          <w:rFonts w:eastAsia="宋体"/>
          <w:sz w:val="24"/>
          <w:szCs w:val="32"/>
        </w:rPr>
        <w:t>——</w:t>
      </w:r>
      <w:r>
        <w:rPr>
          <w:rFonts w:hint="eastAsia" w:eastAsia="宋体"/>
          <w:sz w:val="24"/>
          <w:szCs w:val="32"/>
        </w:rPr>
        <w:t>锚固段浆体与筋体之间锚固长度安全系数</w:t>
      </w:r>
      <w:r>
        <w:rPr>
          <w:rFonts w:eastAsia="宋体"/>
          <w:sz w:val="24"/>
          <w:szCs w:val="32"/>
        </w:rPr>
        <w:t>，取</w:t>
      </w:r>
      <w:r>
        <w:rPr>
          <w:rFonts w:eastAsia="宋体"/>
          <w:i/>
          <w:iCs/>
          <w:sz w:val="24"/>
          <w:szCs w:val="32"/>
        </w:rPr>
        <w:t>K</w:t>
      </w:r>
      <w:r>
        <w:rPr>
          <w:rFonts w:eastAsia="宋体"/>
          <w:sz w:val="24"/>
          <w:szCs w:val="32"/>
          <w:vertAlign w:val="subscript"/>
        </w:rPr>
        <w:t>b</w:t>
      </w:r>
      <w:r>
        <w:rPr>
          <w:rFonts w:eastAsia="宋体"/>
          <w:sz w:val="24"/>
          <w:szCs w:val="32"/>
        </w:rPr>
        <w:t>=2</w:t>
      </w:r>
      <w:r>
        <w:rPr>
          <w:rFonts w:hint="eastAsia" w:eastAsia="宋体"/>
          <w:sz w:val="24"/>
          <w:szCs w:val="32"/>
        </w:rPr>
        <w:t>.0</w:t>
      </w:r>
      <w:r>
        <w:rPr>
          <w:rFonts w:eastAsia="宋体"/>
          <w:sz w:val="24"/>
          <w:szCs w:val="32"/>
        </w:rPr>
        <w:t>；</w:t>
      </w:r>
    </w:p>
    <w:p w14:paraId="3A4C5225">
      <w:pPr>
        <w:spacing w:line="360" w:lineRule="auto"/>
        <w:rPr>
          <w:rFonts w:eastAsia="宋体"/>
          <w:sz w:val="24"/>
          <w:szCs w:val="32"/>
        </w:rPr>
      </w:pPr>
      <w:r>
        <w:rPr>
          <w:rFonts w:eastAsia="宋体"/>
          <w:sz w:val="24"/>
          <w:szCs w:val="32"/>
        </w:rPr>
        <w:t xml:space="preserve">      </w:t>
      </w:r>
      <w:r>
        <w:rPr>
          <w:rFonts w:hint="eastAsia" w:eastAsia="宋体"/>
          <w:i/>
          <w:iCs/>
          <w:sz w:val="24"/>
          <w:szCs w:val="32"/>
        </w:rPr>
        <w:t>N</w:t>
      </w:r>
      <w:r>
        <w:rPr>
          <w:rFonts w:eastAsia="宋体"/>
          <w:sz w:val="24"/>
          <w:szCs w:val="32"/>
          <w:vertAlign w:val="subscript"/>
        </w:rPr>
        <w:t>t</w:t>
      </w:r>
      <w:r>
        <w:rPr>
          <w:rFonts w:hint="eastAsia" w:eastAsia="宋体"/>
          <w:sz w:val="24"/>
          <w:szCs w:val="32"/>
          <w:vertAlign w:val="subscript"/>
        </w:rPr>
        <w:t>k</w:t>
      </w:r>
      <w:r>
        <w:rPr>
          <w:rFonts w:eastAsia="宋体"/>
          <w:sz w:val="24"/>
          <w:szCs w:val="32"/>
        </w:rPr>
        <w:t>——</w:t>
      </w:r>
      <w:r>
        <w:rPr>
          <w:rFonts w:hint="eastAsia" w:eastAsia="宋体"/>
          <w:sz w:val="24"/>
          <w:szCs w:val="32"/>
        </w:rPr>
        <w:t>抗浮锚杆所受轴向拉力标准值（kN），可取</w:t>
      </w:r>
      <w:r>
        <w:rPr>
          <w:rFonts w:hint="eastAsia" w:eastAsia="宋体"/>
          <w:i/>
          <w:iCs/>
          <w:sz w:val="24"/>
          <w:szCs w:val="32"/>
        </w:rPr>
        <w:t>N</w:t>
      </w:r>
      <w:r>
        <w:rPr>
          <w:rFonts w:eastAsia="宋体"/>
          <w:sz w:val="24"/>
          <w:szCs w:val="32"/>
          <w:vertAlign w:val="subscript"/>
        </w:rPr>
        <w:t>t</w:t>
      </w:r>
      <w:r>
        <w:rPr>
          <w:rFonts w:hint="eastAsia" w:eastAsia="宋体"/>
          <w:sz w:val="24"/>
          <w:szCs w:val="32"/>
          <w:vertAlign w:val="subscript"/>
        </w:rPr>
        <w:t>k</w:t>
      </w:r>
      <w:r>
        <w:rPr>
          <w:rFonts w:hint="eastAsia" w:eastAsia="宋体"/>
          <w:sz w:val="24"/>
          <w:szCs w:val="32"/>
        </w:rPr>
        <w:t>=1.0</w:t>
      </w:r>
      <w:r>
        <w:rPr>
          <w:rFonts w:hint="eastAsia" w:eastAsia="宋体"/>
          <w:i/>
          <w:iCs/>
          <w:sz w:val="24"/>
          <w:szCs w:val="32"/>
        </w:rPr>
        <w:t>R</w:t>
      </w:r>
      <w:r>
        <w:rPr>
          <w:rFonts w:hint="eastAsia" w:eastAsia="宋体"/>
          <w:sz w:val="24"/>
          <w:szCs w:val="32"/>
          <w:vertAlign w:val="subscript"/>
        </w:rPr>
        <w:t>ta</w:t>
      </w:r>
      <w:r>
        <w:rPr>
          <w:rFonts w:eastAsia="宋体"/>
          <w:sz w:val="24"/>
          <w:szCs w:val="32"/>
        </w:rPr>
        <w:t>；</w:t>
      </w:r>
    </w:p>
    <w:p w14:paraId="1CF81FB3">
      <w:pPr>
        <w:spacing w:line="360" w:lineRule="auto"/>
        <w:rPr>
          <w:rFonts w:eastAsia="宋体"/>
          <w:sz w:val="24"/>
          <w:szCs w:val="32"/>
        </w:rPr>
      </w:pPr>
      <w:r>
        <w:rPr>
          <w:rFonts w:eastAsia="宋体"/>
          <w:sz w:val="24"/>
          <w:szCs w:val="32"/>
        </w:rPr>
        <w:t xml:space="preserve">       </w:t>
      </w:r>
      <w:r>
        <w:rPr>
          <w:rFonts w:eastAsia="宋体"/>
          <w:i/>
          <w:iCs/>
          <w:sz w:val="24"/>
          <w:szCs w:val="32"/>
        </w:rPr>
        <w:t>n</w:t>
      </w:r>
      <w:r>
        <w:rPr>
          <w:rFonts w:eastAsia="宋体"/>
          <w:sz w:val="24"/>
          <w:szCs w:val="32"/>
        </w:rPr>
        <w:t>——钢筋或钢绞线根数；</w:t>
      </w:r>
    </w:p>
    <w:p w14:paraId="75E4C9BA">
      <w:pPr>
        <w:spacing w:line="360" w:lineRule="auto"/>
        <w:rPr>
          <w:rFonts w:eastAsia="宋体"/>
          <w:sz w:val="24"/>
          <w:szCs w:val="32"/>
        </w:rPr>
      </w:pPr>
      <w:r>
        <w:rPr>
          <w:rFonts w:eastAsia="宋体"/>
          <w:sz w:val="24"/>
          <w:szCs w:val="32"/>
        </w:rPr>
        <w:t xml:space="preserve">       </w:t>
      </w:r>
      <w:r>
        <w:rPr>
          <w:rFonts w:eastAsia="宋体"/>
          <w:i/>
          <w:iCs/>
          <w:sz w:val="24"/>
          <w:szCs w:val="32"/>
        </w:rPr>
        <w:t>d</w:t>
      </w:r>
      <w:r>
        <w:rPr>
          <w:rFonts w:eastAsia="宋体"/>
          <w:sz w:val="24"/>
          <w:szCs w:val="32"/>
        </w:rPr>
        <w:t>——单根筋体直径（m）；</w:t>
      </w:r>
    </w:p>
    <w:p w14:paraId="651BCB25">
      <w:pPr>
        <w:spacing w:line="360" w:lineRule="auto"/>
        <w:ind w:left="1598" w:hanging="1598" w:hangingChars="666"/>
        <w:rPr>
          <w:rFonts w:eastAsia="宋体"/>
          <w:sz w:val="24"/>
          <w:szCs w:val="32"/>
        </w:rPr>
      </w:pPr>
      <w:r>
        <w:rPr>
          <w:rFonts w:eastAsia="宋体"/>
          <w:sz w:val="24"/>
          <w:szCs w:val="32"/>
        </w:rPr>
        <w:t xml:space="preserve">       </w:t>
      </w:r>
      <w:r>
        <w:rPr>
          <w:rFonts w:eastAsia="宋体"/>
          <w:i/>
          <w:iCs/>
          <w:sz w:val="24"/>
          <w:szCs w:val="32"/>
        </w:rPr>
        <w:t>ξ</w:t>
      </w:r>
      <w:r>
        <w:rPr>
          <w:rFonts w:eastAsia="宋体"/>
          <w:sz w:val="24"/>
          <w:szCs w:val="32"/>
        </w:rPr>
        <w:t>——采用2根或2根以上钢筋或钢绞线时，界面粘结强度降低系数，</w:t>
      </w:r>
      <w:r>
        <w:rPr>
          <w:rFonts w:hint="eastAsia" w:eastAsia="宋体"/>
          <w:sz w:val="24"/>
          <w:szCs w:val="32"/>
        </w:rPr>
        <w:t>宜</w:t>
      </w:r>
      <w:r>
        <w:rPr>
          <w:rFonts w:eastAsia="宋体"/>
          <w:sz w:val="24"/>
          <w:szCs w:val="32"/>
        </w:rPr>
        <w:t>取0.70～0.85；</w:t>
      </w:r>
    </w:p>
    <w:p w14:paraId="764D3DE7">
      <w:pPr>
        <w:spacing w:line="360" w:lineRule="auto"/>
        <w:ind w:left="1598" w:hanging="1598" w:hangingChars="666"/>
        <w:rPr>
          <w:rFonts w:eastAsia="宋体"/>
          <w:sz w:val="24"/>
          <w:szCs w:val="32"/>
        </w:rPr>
      </w:pPr>
      <w:r>
        <w:rPr>
          <w:rFonts w:eastAsia="宋体"/>
          <w:sz w:val="24"/>
          <w:szCs w:val="32"/>
        </w:rPr>
        <w:t xml:space="preserve">     </w:t>
      </w:r>
      <w:r>
        <w:rPr>
          <w:rFonts w:eastAsia="宋体"/>
          <w:i/>
          <w:iCs/>
          <w:sz w:val="24"/>
          <w:szCs w:val="32"/>
        </w:rPr>
        <w:t>f</w:t>
      </w:r>
      <w:r>
        <w:rPr>
          <w:rFonts w:eastAsia="宋体"/>
          <w:sz w:val="24"/>
          <w:szCs w:val="32"/>
          <w:vertAlign w:val="subscript"/>
        </w:rPr>
        <w:t>ms</w:t>
      </w:r>
      <w:r>
        <w:rPr>
          <w:rFonts w:eastAsia="宋体"/>
          <w:sz w:val="24"/>
          <w:szCs w:val="32"/>
        </w:rPr>
        <w:t>——</w:t>
      </w:r>
      <w:r>
        <w:rPr>
          <w:rFonts w:hint="eastAsia" w:eastAsia="宋体"/>
          <w:sz w:val="24"/>
          <w:szCs w:val="32"/>
        </w:rPr>
        <w:t>锚固段浆体与筋体间极限粘结强度</w:t>
      </w:r>
      <w:r>
        <w:rPr>
          <w:rFonts w:eastAsia="宋体"/>
          <w:sz w:val="24"/>
          <w:szCs w:val="32"/>
        </w:rPr>
        <w:t>标准</w:t>
      </w:r>
      <w:r>
        <w:rPr>
          <w:rFonts w:hint="eastAsia" w:eastAsia="宋体"/>
          <w:sz w:val="24"/>
          <w:szCs w:val="32"/>
        </w:rPr>
        <w:t>值(kPa)，应由试验确定；涂层钢筋和涂层钢绞线应取无涂层钢筋和无涂层钢绞线粘结强度的80%。</w:t>
      </w:r>
    </w:p>
    <w:p w14:paraId="0C4CC39A">
      <w:pPr>
        <w:numPr>
          <w:ilvl w:val="2"/>
          <w:numId w:val="2"/>
        </w:numPr>
        <w:spacing w:line="360" w:lineRule="auto"/>
        <w:ind w:left="0" w:firstLine="0"/>
        <w:jc w:val="left"/>
        <w:rPr>
          <w:rFonts w:eastAsia="宋体"/>
          <w:sz w:val="24"/>
          <w:szCs w:val="32"/>
        </w:rPr>
      </w:pPr>
      <w:r>
        <w:rPr>
          <w:rFonts w:eastAsia="宋体"/>
          <w:sz w:val="24"/>
          <w:szCs w:val="32"/>
        </w:rPr>
        <w:t>群锚呈整体破坏时</w:t>
      </w:r>
      <w:r>
        <w:rPr>
          <w:rFonts w:hint="eastAsia" w:eastAsia="宋体"/>
          <w:sz w:val="24"/>
          <w:szCs w:val="32"/>
        </w:rPr>
        <w:t>，应</w:t>
      </w:r>
      <w:r>
        <w:rPr>
          <w:rFonts w:eastAsia="宋体"/>
          <w:sz w:val="24"/>
          <w:szCs w:val="32"/>
        </w:rPr>
        <w:t>按下式</w:t>
      </w:r>
      <w:r>
        <w:rPr>
          <w:rFonts w:hint="eastAsia" w:eastAsia="宋体"/>
          <w:sz w:val="24"/>
          <w:szCs w:val="32"/>
        </w:rPr>
        <w:t>验算抗浮稳定性</w:t>
      </w:r>
      <w:r>
        <w:rPr>
          <w:rFonts w:eastAsia="宋体"/>
          <w:sz w:val="24"/>
          <w:szCs w:val="32"/>
        </w:rPr>
        <w:t>：</w:t>
      </w:r>
    </w:p>
    <w:p w14:paraId="77F8A802">
      <w:pPr>
        <w:spacing w:line="360" w:lineRule="auto"/>
        <w:jc w:val="right"/>
        <w:rPr>
          <w:position w:val="-32"/>
        </w:rPr>
      </w:pPr>
      <w:r>
        <w:rPr>
          <w:position w:val="-30"/>
        </w:rPr>
        <w:object>
          <v:shape id="_x0000_i1036" o:spt="75" type="#_x0000_t75" style="height:34.1pt;width:125.05pt;" o:ole="t" filled="f" o:preferrelative="t" stroked="f" coordsize="21600,21600">
            <v:path/>
            <v:fill on="f" focussize="0,0"/>
            <v:stroke on="f" joinstyle="miter"/>
            <v:imagedata r:id="rId32" o:title=""/>
            <o:lock v:ext="edit" aspectratio="t"/>
            <w10:wrap type="none"/>
            <w10:anchorlock/>
          </v:shape>
          <o:OLEObject Type="Embed" ProgID="Equation.KSEE3" ShapeID="_x0000_i1036" DrawAspect="Content" ObjectID="_1468075736" r:id="rId31">
            <o:LockedField>false</o:LockedField>
          </o:OLEObject>
        </w:objec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.5</w:t>
      </w:r>
      <w:r>
        <w:rPr>
          <w:rFonts w:eastAsia="宋体"/>
          <w:sz w:val="24"/>
          <w:szCs w:val="32"/>
        </w:rPr>
        <w:t>)</w:t>
      </w:r>
    </w:p>
    <w:p w14:paraId="1952565B">
      <w:pPr>
        <w:spacing w:line="360" w:lineRule="auto"/>
        <w:jc w:val="right"/>
        <w:rPr>
          <w:position w:val="-32"/>
        </w:rPr>
      </w:pPr>
      <w:r>
        <w:rPr>
          <w:rFonts w:hint="eastAsia"/>
          <w:position w:val="-34"/>
        </w:rPr>
        <w:object>
          <v:shape id="_x0000_i1037" o:spt="75" type="#_x0000_t75" style="height:41.7pt;width:189.45pt;" o:ole="t" filled="f" o:preferrelative="t" stroked="f" coordsize="21600,21600">
            <v:path/>
            <v:fill on="f" focussize="0,0"/>
            <v:stroke on="f" joinstyle="miter"/>
            <v:imagedata r:id="rId34" o:title=""/>
            <o:lock v:ext="edit" aspectratio="t"/>
            <w10:wrap type="none"/>
            <w10:anchorlock/>
          </v:shape>
          <o:OLEObject Type="Embed" ProgID="Equation.KSEE3" ShapeID="_x0000_i1037" DrawAspect="Content" ObjectID="_1468075737" r:id="rId33">
            <o:LockedField>false</o:LockedField>
          </o:OLEObject>
        </w:object>
      </w:r>
      <w:r>
        <w:rPr>
          <w:rFonts w:hint="eastAsia" w:eastAsia="宋体"/>
          <w:sz w:val="24"/>
          <w:szCs w:val="32"/>
        </w:rPr>
        <w:t xml:space="preserve">            </w:t>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.5</w:t>
      </w:r>
      <w:r>
        <w:rPr>
          <w:rFonts w:eastAsia="宋体"/>
          <w:sz w:val="24"/>
          <w:szCs w:val="32"/>
        </w:rPr>
        <w:t>)</w:t>
      </w:r>
    </w:p>
    <w:p w14:paraId="06C79DD4">
      <w:pPr>
        <w:spacing w:line="360" w:lineRule="auto"/>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R</w:t>
      </w:r>
      <w:r>
        <w:rPr>
          <w:rFonts w:eastAsia="宋体"/>
          <w:sz w:val="24"/>
          <w:szCs w:val="32"/>
          <w:vertAlign w:val="subscript"/>
        </w:rPr>
        <w:t>mc</w:t>
      </w:r>
      <w:r>
        <w:rPr>
          <w:rFonts w:eastAsia="宋体"/>
          <w:sz w:val="24"/>
          <w:szCs w:val="32"/>
        </w:rPr>
        <w:t>=</w:t>
      </w:r>
      <w:r>
        <w:rPr>
          <w:rFonts w:eastAsia="宋体"/>
          <w:i/>
          <w:iCs/>
          <w:sz w:val="24"/>
          <w:szCs w:val="32"/>
        </w:rPr>
        <w:t>ab</w:t>
      </w:r>
      <w:r>
        <w:rPr>
          <w:rFonts w:hint="eastAsia" w:eastAsia="宋体"/>
          <w:sz w:val="24"/>
          <w:szCs w:val="32"/>
        </w:rPr>
        <w:t xml:space="preserve"> </w:t>
      </w:r>
      <w:r>
        <w:rPr>
          <w:rFonts w:eastAsia="宋体"/>
          <w:i/>
          <w:iCs/>
          <w:sz w:val="24"/>
          <w:szCs w:val="32"/>
        </w:rPr>
        <w:t>f</w:t>
      </w:r>
      <w:r>
        <w:rPr>
          <w:rFonts w:eastAsia="宋体"/>
          <w:sz w:val="24"/>
          <w:szCs w:val="32"/>
          <w:vertAlign w:val="subscript"/>
        </w:rPr>
        <w:t>tk</w:t>
      </w:r>
    </w:p>
    <w:p w14:paraId="32FE8D68">
      <w:pPr>
        <w:spacing w:line="360" w:lineRule="auto"/>
        <w:rPr>
          <w:rFonts w:eastAsia="宋体"/>
          <w:sz w:val="24"/>
          <w:szCs w:val="32"/>
        </w:rPr>
      </w:pPr>
      <w:r>
        <w:rPr>
          <w:rFonts w:eastAsia="宋体"/>
          <w:sz w:val="24"/>
          <w:szCs w:val="32"/>
        </w:rPr>
        <w:t>式中：</w:t>
      </w:r>
      <w:r>
        <w:rPr>
          <w:rFonts w:eastAsia="宋体"/>
          <w:i/>
          <w:iCs/>
          <w:sz w:val="24"/>
          <w:szCs w:val="32"/>
        </w:rPr>
        <w:t>G</w:t>
      </w:r>
      <w:r>
        <w:rPr>
          <w:rFonts w:eastAsia="宋体"/>
          <w:sz w:val="24"/>
          <w:szCs w:val="32"/>
          <w:vertAlign w:val="subscript"/>
        </w:rPr>
        <w:t>k</w:t>
      </w:r>
      <w:r>
        <w:rPr>
          <w:rFonts w:eastAsia="宋体"/>
          <w:sz w:val="24"/>
          <w:szCs w:val="32"/>
        </w:rPr>
        <w:t>——建筑物结构自重及压重标准值之和（kN）；</w:t>
      </w:r>
    </w:p>
    <w:p w14:paraId="6A839BE1">
      <w:pPr>
        <w:spacing w:line="360" w:lineRule="auto"/>
        <w:ind w:left="1598" w:hanging="1598" w:hangingChars="666"/>
        <w:rPr>
          <w:rFonts w:eastAsia="宋体"/>
          <w:sz w:val="24"/>
          <w:szCs w:val="32"/>
        </w:rPr>
      </w:pPr>
      <w:r>
        <w:rPr>
          <w:rFonts w:eastAsia="宋体"/>
          <w:sz w:val="24"/>
          <w:szCs w:val="32"/>
        </w:rPr>
        <w:t xml:space="preserve">      </w:t>
      </w:r>
      <w:r>
        <w:rPr>
          <w:rFonts w:eastAsia="宋体"/>
          <w:i/>
          <w:iCs/>
          <w:sz w:val="24"/>
          <w:szCs w:val="32"/>
        </w:rPr>
        <w:t>W</w:t>
      </w:r>
      <w:r>
        <w:rPr>
          <w:rFonts w:eastAsia="宋体"/>
          <w:sz w:val="24"/>
          <w:szCs w:val="32"/>
          <w:vertAlign w:val="subscript"/>
        </w:rPr>
        <w:t>w</w:t>
      </w:r>
      <w:r>
        <w:rPr>
          <w:rFonts w:eastAsia="宋体"/>
          <w:sz w:val="24"/>
          <w:szCs w:val="32"/>
        </w:rPr>
        <w:t>——假定破</w:t>
      </w:r>
      <w:r>
        <w:rPr>
          <w:rFonts w:hint="eastAsia" w:eastAsia="宋体"/>
          <w:sz w:val="24"/>
          <w:szCs w:val="32"/>
        </w:rPr>
        <w:t>坏</w:t>
      </w:r>
      <w:r>
        <w:rPr>
          <w:rFonts w:eastAsia="宋体"/>
          <w:sz w:val="24"/>
          <w:szCs w:val="32"/>
        </w:rPr>
        <w:t>体内按浮重度计算的岩土体自重标准值（kN）；</w:t>
      </w:r>
    </w:p>
    <w:p w14:paraId="5600036B">
      <w:pPr>
        <w:spacing w:line="360" w:lineRule="auto"/>
        <w:rPr>
          <w:rFonts w:eastAsia="宋体"/>
          <w:sz w:val="24"/>
          <w:szCs w:val="32"/>
        </w:rPr>
      </w:pPr>
      <w:r>
        <w:rPr>
          <w:rFonts w:eastAsia="宋体"/>
          <w:sz w:val="24"/>
          <w:szCs w:val="32"/>
        </w:rPr>
        <w:t xml:space="preserve">     </w:t>
      </w:r>
      <w:r>
        <w:rPr>
          <w:rFonts w:eastAsia="宋体"/>
          <w:i/>
          <w:iCs/>
          <w:sz w:val="24"/>
          <w:szCs w:val="32"/>
        </w:rPr>
        <w:t>R</w:t>
      </w:r>
      <w:r>
        <w:rPr>
          <w:rFonts w:eastAsia="宋体"/>
          <w:sz w:val="24"/>
          <w:szCs w:val="32"/>
          <w:vertAlign w:val="subscript"/>
        </w:rPr>
        <w:t>mc</w:t>
      </w:r>
      <w:r>
        <w:rPr>
          <w:rFonts w:eastAsia="宋体"/>
          <w:sz w:val="24"/>
          <w:szCs w:val="32"/>
        </w:rPr>
        <w:t>——圆锥体破裂面上的岩土体极限抗拉承载力标准值（kN）；</w:t>
      </w:r>
    </w:p>
    <w:p w14:paraId="5990034D">
      <w:pPr>
        <w:spacing w:line="360" w:lineRule="auto"/>
        <w:rPr>
          <w:rFonts w:eastAsia="宋体"/>
          <w:sz w:val="24"/>
          <w:szCs w:val="32"/>
        </w:rPr>
      </w:pPr>
      <w:r>
        <w:rPr>
          <w:rFonts w:eastAsia="宋体"/>
          <w:sz w:val="24"/>
          <w:szCs w:val="32"/>
        </w:rPr>
        <w:t xml:space="preserve">     </w:t>
      </w:r>
      <w:r>
        <w:rPr>
          <w:rFonts w:eastAsia="宋体"/>
          <w:i/>
          <w:iCs/>
          <w:sz w:val="24"/>
          <w:szCs w:val="32"/>
        </w:rPr>
        <w:t>N</w:t>
      </w:r>
      <w:r>
        <w:rPr>
          <w:rFonts w:eastAsia="宋体"/>
          <w:sz w:val="24"/>
          <w:szCs w:val="32"/>
          <w:vertAlign w:val="subscript"/>
        </w:rPr>
        <w:t>wk</w:t>
      </w:r>
      <w:r>
        <w:rPr>
          <w:rFonts w:eastAsia="宋体"/>
          <w:sz w:val="24"/>
          <w:szCs w:val="32"/>
        </w:rPr>
        <w:t>——浮力作用值（kN）；</w:t>
      </w:r>
    </w:p>
    <w:p w14:paraId="04DB7C3D">
      <w:pPr>
        <w:spacing w:line="360" w:lineRule="auto"/>
        <w:rPr>
          <w:rFonts w:eastAsia="宋体"/>
          <w:sz w:val="24"/>
          <w:szCs w:val="32"/>
        </w:rPr>
      </w:pPr>
      <w:r>
        <w:rPr>
          <w:rFonts w:eastAsia="宋体"/>
          <w:sz w:val="24"/>
          <w:szCs w:val="32"/>
        </w:rPr>
        <w:t xml:space="preserve">    </w:t>
      </w:r>
      <w:r>
        <w:rPr>
          <w:rFonts w:eastAsia="宋体"/>
          <w:i/>
          <w:iCs/>
          <w:sz w:val="24"/>
          <w:szCs w:val="32"/>
        </w:rPr>
        <w:t>a</w:t>
      </w:r>
      <w:r>
        <w:rPr>
          <w:rFonts w:eastAsia="宋体"/>
          <w:sz w:val="24"/>
          <w:szCs w:val="32"/>
        </w:rPr>
        <w:t>、</w:t>
      </w:r>
      <w:r>
        <w:rPr>
          <w:rFonts w:eastAsia="宋体"/>
          <w:i/>
          <w:iCs/>
          <w:sz w:val="24"/>
          <w:szCs w:val="32"/>
        </w:rPr>
        <w:t>b</w:t>
      </w:r>
      <w:r>
        <w:rPr>
          <w:rFonts w:eastAsia="宋体"/>
          <w:sz w:val="24"/>
          <w:szCs w:val="32"/>
        </w:rPr>
        <w:t>——锚杆布置的纵向和横向间距（m）；</w:t>
      </w:r>
    </w:p>
    <w:p w14:paraId="7339ECC6">
      <w:pPr>
        <w:spacing w:line="360" w:lineRule="auto"/>
        <w:rPr>
          <w:rFonts w:eastAsia="宋体"/>
          <w:sz w:val="24"/>
          <w:szCs w:val="32"/>
        </w:rPr>
      </w:pPr>
      <w:r>
        <w:rPr>
          <w:rFonts w:eastAsia="宋体"/>
          <w:sz w:val="24"/>
          <w:szCs w:val="32"/>
        </w:rPr>
        <w:t xml:space="preserve">       </w:t>
      </w:r>
      <w:r>
        <w:rPr>
          <w:rFonts w:eastAsia="宋体"/>
          <w:i/>
          <w:iCs/>
          <w:sz w:val="24"/>
          <w:szCs w:val="32"/>
        </w:rPr>
        <w:t>L</w:t>
      </w:r>
      <w:r>
        <w:rPr>
          <w:rFonts w:eastAsia="宋体"/>
          <w:sz w:val="24"/>
          <w:szCs w:val="32"/>
        </w:rPr>
        <w:t>——锚杆总长度（m）；</w:t>
      </w:r>
    </w:p>
    <w:p w14:paraId="103D661D">
      <w:pPr>
        <w:spacing w:line="360" w:lineRule="auto"/>
        <w:rPr>
          <w:rFonts w:eastAsia="宋体"/>
          <w:sz w:val="24"/>
          <w:szCs w:val="32"/>
        </w:rPr>
      </w:pPr>
      <w:r>
        <w:rPr>
          <w:rFonts w:eastAsia="宋体"/>
          <w:sz w:val="24"/>
          <w:szCs w:val="32"/>
        </w:rPr>
        <w:t xml:space="preserve">      </w:t>
      </w:r>
      <w:r>
        <w:rPr>
          <w:rFonts w:eastAsia="宋体"/>
          <w:i/>
          <w:iCs/>
          <w:sz w:val="24"/>
          <w:szCs w:val="32"/>
        </w:rPr>
        <w:t>φ</w:t>
      </w:r>
      <w:r>
        <w:rPr>
          <w:rFonts w:eastAsia="宋体"/>
          <w:sz w:val="24"/>
          <w:szCs w:val="32"/>
        </w:rPr>
        <w:t>——锚杆端部土层的内摩擦角（°），一般</w:t>
      </w:r>
      <w:r>
        <w:rPr>
          <w:rFonts w:hint="eastAsia" w:eastAsia="宋体"/>
          <w:sz w:val="24"/>
          <w:szCs w:val="32"/>
        </w:rPr>
        <w:t>可</w:t>
      </w:r>
      <w:r>
        <w:rPr>
          <w:rFonts w:eastAsia="宋体"/>
          <w:sz w:val="24"/>
          <w:szCs w:val="32"/>
        </w:rPr>
        <w:t>取30°；</w:t>
      </w:r>
    </w:p>
    <w:p w14:paraId="1E831584">
      <w:pPr>
        <w:spacing w:line="360" w:lineRule="auto"/>
        <w:rPr>
          <w:rFonts w:eastAsia="宋体"/>
          <w:sz w:val="24"/>
          <w:szCs w:val="32"/>
        </w:rPr>
      </w:pPr>
      <w:r>
        <w:rPr>
          <w:rFonts w:eastAsia="宋体"/>
          <w:sz w:val="24"/>
          <w:szCs w:val="32"/>
        </w:rPr>
        <w:t xml:space="preserve">     γ'</w:t>
      </w:r>
      <w:r>
        <w:rPr>
          <w:rFonts w:hint="eastAsia" w:eastAsia="宋体"/>
          <w:sz w:val="24"/>
          <w:szCs w:val="32"/>
          <w:vertAlign w:val="subscript"/>
        </w:rPr>
        <w:t>m</w:t>
      </w:r>
      <w:r>
        <w:rPr>
          <w:rFonts w:eastAsia="宋体"/>
          <w:sz w:val="24"/>
          <w:szCs w:val="32"/>
        </w:rPr>
        <w:t>——破坏体内岩土体平均浮重度标准值（kN/m</w:t>
      </w:r>
      <w:r>
        <w:rPr>
          <w:rFonts w:eastAsia="宋体"/>
          <w:sz w:val="24"/>
          <w:szCs w:val="32"/>
          <w:vertAlign w:val="superscript"/>
        </w:rPr>
        <w:t>3</w:t>
      </w:r>
      <w:r>
        <w:rPr>
          <w:rFonts w:eastAsia="宋体"/>
          <w:sz w:val="24"/>
          <w:szCs w:val="32"/>
        </w:rPr>
        <w:t>）；</w:t>
      </w:r>
    </w:p>
    <w:p w14:paraId="25DD3E86">
      <w:pPr>
        <w:spacing w:line="360" w:lineRule="auto"/>
        <w:ind w:left="1277" w:hanging="1276" w:hangingChars="532"/>
        <w:rPr>
          <w:rFonts w:eastAsia="宋体"/>
          <w:sz w:val="24"/>
          <w:szCs w:val="32"/>
        </w:rPr>
      </w:pPr>
      <w:r>
        <w:rPr>
          <w:rFonts w:eastAsia="宋体"/>
          <w:sz w:val="24"/>
          <w:szCs w:val="32"/>
        </w:rPr>
        <w:t xml:space="preserve">  </w:t>
      </w:r>
      <w:r>
        <w:rPr>
          <w:rFonts w:hint="eastAsia" w:eastAsia="宋体"/>
          <w:sz w:val="24"/>
          <w:szCs w:val="32"/>
        </w:rPr>
        <w:t xml:space="preserve"> </w:t>
      </w:r>
      <w:r>
        <w:rPr>
          <w:rFonts w:eastAsia="宋体"/>
          <w:sz w:val="24"/>
          <w:szCs w:val="32"/>
        </w:rPr>
        <w:t xml:space="preserve">   </w:t>
      </w:r>
      <w:r>
        <w:rPr>
          <w:rFonts w:eastAsia="宋体"/>
          <w:i/>
          <w:iCs/>
          <w:sz w:val="24"/>
          <w:szCs w:val="32"/>
        </w:rPr>
        <w:t>f</w:t>
      </w:r>
      <w:r>
        <w:rPr>
          <w:rFonts w:eastAsia="宋体"/>
          <w:sz w:val="24"/>
          <w:szCs w:val="32"/>
          <w:vertAlign w:val="subscript"/>
        </w:rPr>
        <w:t>tk</w:t>
      </w:r>
      <w:r>
        <w:rPr>
          <w:rFonts w:eastAsia="宋体"/>
          <w:sz w:val="24"/>
          <w:szCs w:val="32"/>
        </w:rPr>
        <w:t>——锥体破裂面岩土体平均极限抗拉强度标准值（kPa）</w:t>
      </w:r>
      <w:r>
        <w:rPr>
          <w:rFonts w:hint="eastAsia" w:eastAsia="宋体"/>
          <w:sz w:val="24"/>
          <w:szCs w:val="32"/>
        </w:rPr>
        <w:t>，</w:t>
      </w:r>
      <w:r>
        <w:rPr>
          <w:rFonts w:eastAsia="宋体"/>
          <w:sz w:val="24"/>
          <w:szCs w:val="32"/>
        </w:rPr>
        <w:t>按试验结果或工程经验取值，土层、全风化岩及强风化岩</w:t>
      </w:r>
      <w:r>
        <w:rPr>
          <w:rFonts w:hint="eastAsia" w:eastAsia="宋体"/>
          <w:sz w:val="24"/>
          <w:szCs w:val="32"/>
        </w:rPr>
        <w:t>可</w:t>
      </w:r>
      <w:r>
        <w:rPr>
          <w:rFonts w:eastAsia="宋体"/>
          <w:sz w:val="24"/>
          <w:szCs w:val="32"/>
        </w:rPr>
        <w:t>取0。</w:t>
      </w:r>
    </w:p>
    <w:p w14:paraId="33B45ECA">
      <w:pPr>
        <w:spacing w:line="360" w:lineRule="auto"/>
        <w:ind w:left="2131" w:hanging="2131" w:hangingChars="666"/>
        <w:jc w:val="center"/>
      </w:pPr>
      <w:r>
        <w:drawing>
          <wp:inline distT="0" distB="0" distL="114300" distR="114300">
            <wp:extent cx="3302635" cy="2722245"/>
            <wp:effectExtent l="0" t="0" r="12065" b="1905"/>
            <wp:docPr id="1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3"/>
                    <pic:cNvPicPr>
                      <a:picLocks noChangeAspect="1"/>
                    </pic:cNvPicPr>
                  </pic:nvPicPr>
                  <pic:blipFill>
                    <a:blip r:embed="rId35"/>
                    <a:stretch>
                      <a:fillRect/>
                    </a:stretch>
                  </pic:blipFill>
                  <pic:spPr>
                    <a:xfrm>
                      <a:off x="0" y="0"/>
                      <a:ext cx="3302635" cy="2722245"/>
                    </a:xfrm>
                    <a:prstGeom prst="rect">
                      <a:avLst/>
                    </a:prstGeom>
                    <a:noFill/>
                    <a:ln>
                      <a:noFill/>
                    </a:ln>
                  </pic:spPr>
                </pic:pic>
              </a:graphicData>
            </a:graphic>
          </wp:inline>
        </w:drawing>
      </w:r>
    </w:p>
    <w:p w14:paraId="29A5497F">
      <w:pPr>
        <w:spacing w:line="360" w:lineRule="auto"/>
        <w:ind w:left="1332" w:hanging="1332" w:hangingChars="666"/>
        <w:jc w:val="center"/>
        <w:rPr>
          <w:rFonts w:eastAsia="楷体"/>
          <w:sz w:val="20"/>
          <w:szCs w:val="22"/>
        </w:rPr>
      </w:pPr>
      <w:r>
        <w:rPr>
          <w:rFonts w:eastAsia="楷体"/>
          <w:sz w:val="20"/>
          <w:szCs w:val="22"/>
        </w:rPr>
        <w:t>图</w:t>
      </w:r>
      <w:r>
        <w:rPr>
          <w:rFonts w:hint="eastAsia" w:eastAsia="楷体"/>
          <w:sz w:val="20"/>
          <w:szCs w:val="22"/>
        </w:rPr>
        <w:t>8</w:t>
      </w:r>
      <w:r>
        <w:rPr>
          <w:rFonts w:eastAsia="楷体"/>
          <w:sz w:val="20"/>
          <w:szCs w:val="22"/>
        </w:rPr>
        <w:t>.2.5  群锚效应锚杆抗拔承载模式示意</w:t>
      </w:r>
    </w:p>
    <w:p w14:paraId="45014602">
      <w:pPr>
        <w:numPr>
          <w:ilvl w:val="2"/>
          <w:numId w:val="2"/>
        </w:numPr>
        <w:spacing w:line="360" w:lineRule="auto"/>
        <w:ind w:left="0" w:firstLine="0"/>
        <w:jc w:val="left"/>
        <w:rPr>
          <w:rFonts w:eastAsia="宋体"/>
          <w:sz w:val="24"/>
          <w:szCs w:val="32"/>
        </w:rPr>
      </w:pPr>
      <w:r>
        <w:rPr>
          <w:rFonts w:eastAsia="宋体"/>
          <w:sz w:val="24"/>
          <w:szCs w:val="32"/>
        </w:rPr>
        <w:t>锚杆筋体截面面积应按下式确定：</w:t>
      </w:r>
    </w:p>
    <w:p w14:paraId="5CE78F65">
      <w:pPr>
        <w:spacing w:line="360" w:lineRule="auto"/>
        <w:jc w:val="right"/>
        <w:rPr>
          <w:rFonts w:eastAsia="宋体"/>
          <w:sz w:val="24"/>
          <w:szCs w:val="32"/>
        </w:rPr>
      </w:pPr>
      <w:r>
        <w:rPr>
          <w:position w:val="-32"/>
        </w:rPr>
        <w:object>
          <v:shape id="_x0000_i1038" o:spt="75" type="#_x0000_t75" style="height:34.1pt;width:56.85pt;" o:ole="t" filled="f" o:preferrelative="t" stroked="f" coordsize="21600,21600">
            <v:path/>
            <v:fill on="f" focussize="0,0"/>
            <v:stroke on="f" joinstyle="miter"/>
            <v:imagedata r:id="rId37" o:title=""/>
            <o:lock v:ext="edit" aspectratio="t"/>
            <w10:wrap type="none"/>
            <w10:anchorlock/>
          </v:shape>
          <o:OLEObject Type="Embed" ProgID="Equation.KSEE3" ShapeID="_x0000_i1038" DrawAspect="Content" ObjectID="_1468075738" r:id="rId36">
            <o:LockedField>false</o:LockedField>
          </o:OLEObject>
        </w:object>
      </w:r>
      <w:r>
        <w:rPr>
          <w:rFonts w:hint="eastAsia" w:eastAsia="宋体"/>
          <w:sz w:val="24"/>
          <w:szCs w:val="32"/>
        </w:rPr>
        <w:t xml:space="preserve">                 </w:t>
      </w:r>
      <w:r>
        <w:rPr>
          <w:rFonts w:hint="eastAsia" w:eastAsia="宋体"/>
          <w:sz w:val="24"/>
          <w:szCs w:val="32"/>
        </w:rPr>
        <w:tab/>
      </w:r>
      <w:r>
        <w:rPr>
          <w:rFonts w:hint="eastAsia" w:eastAsia="宋体"/>
          <w:sz w:val="24"/>
          <w:szCs w:val="32"/>
        </w:rPr>
        <w:tab/>
      </w:r>
      <w:r>
        <w:rPr>
          <w:rFonts w:hint="eastAsia" w:eastAsia="宋体"/>
          <w:sz w:val="24"/>
          <w:szCs w:val="32"/>
        </w:rPr>
        <w:tab/>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.6-1</w:t>
      </w:r>
      <w:r>
        <w:rPr>
          <w:rFonts w:eastAsia="宋体"/>
          <w:sz w:val="24"/>
          <w:szCs w:val="32"/>
        </w:rPr>
        <w:t>)</w:t>
      </w:r>
    </w:p>
    <w:p w14:paraId="3A74F946">
      <w:pPr>
        <w:spacing w:line="360" w:lineRule="auto"/>
        <w:jc w:val="right"/>
        <w:rPr>
          <w:rFonts w:eastAsia="宋体"/>
          <w:sz w:val="24"/>
          <w:szCs w:val="32"/>
        </w:rPr>
      </w:pPr>
      <w:r>
        <w:rPr>
          <w:position w:val="-32"/>
        </w:rPr>
        <w:object>
          <v:shape id="_x0000_i1039" o:spt="75" type="#_x0000_t75" style="height:34.1pt;width:56.85pt;" o:ole="t" filled="f" o:preferrelative="t" stroked="f" coordsize="21600,21600">
            <v:path/>
            <v:fill on="f" focussize="0,0"/>
            <v:stroke on="f" joinstyle="miter"/>
            <v:imagedata r:id="rId39" o:title=""/>
            <o:lock v:ext="edit" aspectratio="t"/>
            <w10:wrap type="none"/>
            <w10:anchorlock/>
          </v:shape>
          <o:OLEObject Type="Embed" ProgID="Equation.KSEE3" ShapeID="_x0000_i1039" DrawAspect="Content" ObjectID="_1468075739" r:id="rId38">
            <o:LockedField>false</o:LockedField>
          </o:OLEObject>
        </w:object>
      </w:r>
      <w:r>
        <w:rPr>
          <w:rFonts w:hint="eastAsia" w:eastAsia="宋体"/>
          <w:sz w:val="24"/>
          <w:szCs w:val="32"/>
        </w:rPr>
        <w:t xml:space="preserve">                 </w:t>
      </w:r>
      <w:r>
        <w:rPr>
          <w:rFonts w:hint="eastAsia" w:eastAsia="宋体"/>
          <w:sz w:val="24"/>
          <w:szCs w:val="32"/>
        </w:rPr>
        <w:tab/>
      </w:r>
      <w:r>
        <w:rPr>
          <w:rFonts w:hint="eastAsia" w:eastAsia="宋体"/>
          <w:sz w:val="24"/>
          <w:szCs w:val="32"/>
        </w:rPr>
        <w:tab/>
      </w:r>
      <w:r>
        <w:rPr>
          <w:rFonts w:hint="eastAsia" w:eastAsia="宋体"/>
          <w:sz w:val="24"/>
          <w:szCs w:val="32"/>
        </w:rPr>
        <w:tab/>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.6-2</w:t>
      </w:r>
      <w:r>
        <w:rPr>
          <w:rFonts w:eastAsia="宋体"/>
          <w:sz w:val="24"/>
          <w:szCs w:val="32"/>
        </w:rPr>
        <w:t>)</w:t>
      </w:r>
    </w:p>
    <w:p w14:paraId="348BB544">
      <w:pPr>
        <w:spacing w:line="360" w:lineRule="auto"/>
        <w:rPr>
          <w:rFonts w:eastAsia="宋体"/>
          <w:sz w:val="24"/>
          <w:szCs w:val="32"/>
        </w:rPr>
      </w:pPr>
      <w:r>
        <w:rPr>
          <w:rFonts w:eastAsia="宋体"/>
          <w:sz w:val="24"/>
          <w:szCs w:val="32"/>
        </w:rPr>
        <w:t>式中：</w:t>
      </w:r>
      <w:r>
        <w:rPr>
          <w:rFonts w:eastAsia="宋体"/>
          <w:i/>
          <w:iCs/>
          <w:sz w:val="24"/>
          <w:szCs w:val="32"/>
        </w:rPr>
        <w:t>A</w:t>
      </w:r>
      <w:r>
        <w:rPr>
          <w:rFonts w:eastAsia="宋体"/>
          <w:sz w:val="24"/>
          <w:szCs w:val="32"/>
          <w:vertAlign w:val="subscript"/>
        </w:rPr>
        <w:t>s</w:t>
      </w:r>
      <w:r>
        <w:rPr>
          <w:rFonts w:eastAsia="宋体"/>
          <w:sz w:val="24"/>
          <w:szCs w:val="32"/>
        </w:rPr>
        <w:t>——锚杆筋体截面面积（mm</w:t>
      </w:r>
      <w:r>
        <w:rPr>
          <w:rFonts w:eastAsia="宋体"/>
          <w:sz w:val="24"/>
          <w:szCs w:val="32"/>
          <w:vertAlign w:val="superscript"/>
        </w:rPr>
        <w:t>2</w:t>
      </w:r>
      <w:r>
        <w:rPr>
          <w:rFonts w:eastAsia="宋体"/>
          <w:sz w:val="24"/>
          <w:szCs w:val="32"/>
        </w:rPr>
        <w:t>）；</w:t>
      </w:r>
    </w:p>
    <w:p w14:paraId="6EB5CC70">
      <w:pPr>
        <w:spacing w:line="360" w:lineRule="auto"/>
        <w:rPr>
          <w:rFonts w:eastAsia="宋体"/>
          <w:sz w:val="24"/>
          <w:szCs w:val="32"/>
        </w:rPr>
      </w:pPr>
      <w:r>
        <w:rPr>
          <w:rFonts w:eastAsia="宋体"/>
          <w:sz w:val="24"/>
          <w:szCs w:val="32"/>
        </w:rPr>
        <w:t xml:space="preserve">     </w:t>
      </w:r>
      <w:r>
        <w:rPr>
          <w:rFonts w:eastAsia="宋体"/>
          <w:i/>
          <w:iCs/>
          <w:sz w:val="24"/>
          <w:szCs w:val="32"/>
        </w:rPr>
        <w:t>K</w:t>
      </w:r>
      <w:r>
        <w:rPr>
          <w:rFonts w:eastAsia="宋体"/>
          <w:sz w:val="24"/>
          <w:szCs w:val="32"/>
          <w:vertAlign w:val="subscript"/>
        </w:rPr>
        <w:t>t</w:t>
      </w:r>
      <w:r>
        <w:rPr>
          <w:rFonts w:eastAsia="宋体"/>
          <w:sz w:val="24"/>
          <w:szCs w:val="32"/>
        </w:rPr>
        <w:t>——锚杆筋体抗拉安全系数，取2.0；</w:t>
      </w:r>
    </w:p>
    <w:p w14:paraId="4F70E39E">
      <w:pPr>
        <w:spacing w:line="360" w:lineRule="auto"/>
        <w:rPr>
          <w:rFonts w:eastAsia="宋体"/>
          <w:sz w:val="24"/>
          <w:szCs w:val="32"/>
        </w:rPr>
      </w:pPr>
      <w:r>
        <w:rPr>
          <w:rFonts w:eastAsia="宋体"/>
          <w:sz w:val="24"/>
          <w:szCs w:val="32"/>
        </w:rPr>
        <w:t xml:space="preserve">     </w:t>
      </w:r>
      <w:r>
        <w:rPr>
          <w:rFonts w:hint="eastAsia" w:eastAsia="宋体"/>
          <w:i/>
          <w:iCs/>
          <w:sz w:val="24"/>
          <w:szCs w:val="32"/>
        </w:rPr>
        <w:t>N</w:t>
      </w:r>
      <w:r>
        <w:rPr>
          <w:rFonts w:eastAsia="宋体"/>
          <w:sz w:val="24"/>
          <w:szCs w:val="32"/>
          <w:vertAlign w:val="subscript"/>
        </w:rPr>
        <w:t>t</w:t>
      </w:r>
      <w:r>
        <w:rPr>
          <w:rFonts w:hint="eastAsia" w:eastAsia="宋体"/>
          <w:sz w:val="24"/>
          <w:szCs w:val="32"/>
          <w:vertAlign w:val="subscript"/>
        </w:rPr>
        <w:t>k</w:t>
      </w:r>
      <w:r>
        <w:rPr>
          <w:rFonts w:eastAsia="宋体"/>
          <w:sz w:val="24"/>
          <w:szCs w:val="32"/>
        </w:rPr>
        <w:t>——抗浮锚杆</w:t>
      </w:r>
      <w:r>
        <w:rPr>
          <w:rFonts w:hint="eastAsia" w:eastAsia="宋体"/>
          <w:sz w:val="24"/>
          <w:szCs w:val="32"/>
        </w:rPr>
        <w:t>所受轴向拉力标准值</w:t>
      </w:r>
      <w:r>
        <w:rPr>
          <w:rFonts w:eastAsia="宋体"/>
          <w:sz w:val="24"/>
          <w:szCs w:val="32"/>
        </w:rPr>
        <w:t>（N）；</w:t>
      </w:r>
    </w:p>
    <w:p w14:paraId="38D8F2D9">
      <w:pPr>
        <w:spacing w:line="360" w:lineRule="auto"/>
        <w:rPr>
          <w:rFonts w:eastAsia="宋体"/>
          <w:sz w:val="24"/>
          <w:szCs w:val="32"/>
        </w:rPr>
      </w:pPr>
      <w:r>
        <w:rPr>
          <w:rFonts w:eastAsia="宋体"/>
          <w:sz w:val="24"/>
          <w:szCs w:val="32"/>
        </w:rPr>
        <w:t xml:space="preserve">     </w:t>
      </w:r>
      <w:r>
        <w:rPr>
          <w:rFonts w:eastAsia="宋体"/>
          <w:i/>
          <w:iCs/>
          <w:sz w:val="24"/>
          <w:szCs w:val="32"/>
        </w:rPr>
        <w:t>f</w:t>
      </w:r>
      <w:r>
        <w:rPr>
          <w:rFonts w:eastAsia="宋体"/>
          <w:sz w:val="24"/>
          <w:szCs w:val="32"/>
          <w:vertAlign w:val="subscript"/>
        </w:rPr>
        <w:t>y</w:t>
      </w:r>
      <w:r>
        <w:rPr>
          <w:rFonts w:hint="eastAsia" w:eastAsia="宋体"/>
          <w:sz w:val="24"/>
          <w:szCs w:val="32"/>
          <w:vertAlign w:val="subscript"/>
        </w:rPr>
        <w:t>k</w:t>
      </w:r>
      <w:r>
        <w:rPr>
          <w:rFonts w:eastAsia="宋体"/>
          <w:sz w:val="24"/>
          <w:szCs w:val="32"/>
        </w:rPr>
        <w:t>——钢筋</w:t>
      </w:r>
      <w:r>
        <w:rPr>
          <w:rFonts w:hint="eastAsia" w:eastAsia="宋体"/>
          <w:sz w:val="24"/>
          <w:szCs w:val="32"/>
        </w:rPr>
        <w:t>屈服</w:t>
      </w:r>
      <w:r>
        <w:rPr>
          <w:rFonts w:eastAsia="宋体"/>
          <w:sz w:val="24"/>
          <w:szCs w:val="32"/>
        </w:rPr>
        <w:t>强度</w:t>
      </w:r>
      <w:r>
        <w:rPr>
          <w:rFonts w:hint="eastAsia" w:eastAsia="宋体"/>
          <w:sz w:val="24"/>
          <w:szCs w:val="32"/>
        </w:rPr>
        <w:t>标准值</w:t>
      </w:r>
      <w:r>
        <w:rPr>
          <w:rFonts w:eastAsia="宋体"/>
          <w:sz w:val="24"/>
          <w:szCs w:val="32"/>
        </w:rPr>
        <w:t>（N/mm</w:t>
      </w:r>
      <w:r>
        <w:rPr>
          <w:rFonts w:eastAsia="宋体"/>
          <w:sz w:val="24"/>
          <w:szCs w:val="32"/>
          <w:vertAlign w:val="superscript"/>
        </w:rPr>
        <w:t>2</w:t>
      </w:r>
      <w:r>
        <w:rPr>
          <w:rFonts w:eastAsia="宋体"/>
          <w:sz w:val="24"/>
          <w:szCs w:val="32"/>
        </w:rPr>
        <w:t>）；</w:t>
      </w:r>
    </w:p>
    <w:p w14:paraId="75E94F7D">
      <w:pPr>
        <w:spacing w:line="360" w:lineRule="auto"/>
        <w:rPr>
          <w:rFonts w:eastAsia="宋体"/>
          <w:sz w:val="24"/>
          <w:szCs w:val="32"/>
        </w:rPr>
      </w:pPr>
      <w:r>
        <w:rPr>
          <w:rFonts w:eastAsia="宋体"/>
          <w:sz w:val="24"/>
          <w:szCs w:val="32"/>
        </w:rPr>
        <w:t xml:space="preserve">     </w:t>
      </w:r>
      <w:r>
        <w:rPr>
          <w:rFonts w:eastAsia="宋体"/>
          <w:i/>
          <w:iCs/>
          <w:sz w:val="24"/>
          <w:szCs w:val="32"/>
        </w:rPr>
        <w:t>f</w:t>
      </w:r>
      <w:r>
        <w:rPr>
          <w:rFonts w:eastAsia="宋体"/>
          <w:sz w:val="24"/>
          <w:szCs w:val="32"/>
          <w:vertAlign w:val="subscript"/>
        </w:rPr>
        <w:t>py</w:t>
      </w:r>
      <w:r>
        <w:rPr>
          <w:rFonts w:hint="eastAsia" w:eastAsia="宋体"/>
          <w:sz w:val="24"/>
          <w:szCs w:val="32"/>
          <w:vertAlign w:val="subscript"/>
        </w:rPr>
        <w:t>k</w:t>
      </w:r>
      <w:r>
        <w:rPr>
          <w:rFonts w:eastAsia="宋体"/>
          <w:sz w:val="24"/>
          <w:szCs w:val="32"/>
        </w:rPr>
        <w:t>——预应力筋</w:t>
      </w:r>
      <w:r>
        <w:rPr>
          <w:rFonts w:hint="eastAsia" w:eastAsia="宋体"/>
          <w:sz w:val="24"/>
          <w:szCs w:val="32"/>
        </w:rPr>
        <w:t>屈服</w:t>
      </w:r>
      <w:r>
        <w:rPr>
          <w:rFonts w:eastAsia="宋体"/>
          <w:sz w:val="24"/>
          <w:szCs w:val="32"/>
        </w:rPr>
        <w:t>强度</w:t>
      </w:r>
      <w:r>
        <w:rPr>
          <w:rFonts w:hint="eastAsia" w:eastAsia="宋体"/>
          <w:sz w:val="24"/>
          <w:szCs w:val="32"/>
        </w:rPr>
        <w:t>标准值</w:t>
      </w:r>
      <w:r>
        <w:rPr>
          <w:rFonts w:eastAsia="宋体"/>
          <w:sz w:val="24"/>
          <w:szCs w:val="32"/>
        </w:rPr>
        <w:t>（N/mm</w:t>
      </w:r>
      <w:r>
        <w:rPr>
          <w:rFonts w:eastAsia="宋体"/>
          <w:sz w:val="24"/>
          <w:szCs w:val="32"/>
          <w:vertAlign w:val="superscript"/>
        </w:rPr>
        <w:t>2</w:t>
      </w:r>
      <w:r>
        <w:rPr>
          <w:rFonts w:eastAsia="宋体"/>
          <w:sz w:val="24"/>
          <w:szCs w:val="32"/>
        </w:rPr>
        <w:t>）。</w:t>
      </w:r>
    </w:p>
    <w:p w14:paraId="129B5464">
      <w:pPr>
        <w:numPr>
          <w:ilvl w:val="2"/>
          <w:numId w:val="2"/>
        </w:numPr>
        <w:spacing w:line="360" w:lineRule="auto"/>
        <w:ind w:left="0" w:firstLine="0"/>
        <w:jc w:val="left"/>
        <w:rPr>
          <w:rFonts w:eastAsia="宋体"/>
          <w:sz w:val="24"/>
          <w:szCs w:val="32"/>
        </w:rPr>
      </w:pPr>
      <w:r>
        <w:rPr>
          <w:rFonts w:eastAsia="宋体"/>
          <w:sz w:val="24"/>
          <w:szCs w:val="32"/>
        </w:rPr>
        <w:t>压力型锚杆注浆体受压承载力应按下式计算：</w:t>
      </w:r>
    </w:p>
    <w:p w14:paraId="6C013C0B">
      <w:pPr>
        <w:spacing w:line="360" w:lineRule="auto"/>
        <w:jc w:val="right"/>
        <w:rPr>
          <w:rFonts w:eastAsia="宋体"/>
          <w:sz w:val="24"/>
          <w:szCs w:val="32"/>
        </w:rPr>
      </w:pPr>
      <w:r>
        <w:rPr>
          <w:rFonts w:hint="eastAsia" w:eastAsia="宋体"/>
          <w:i/>
          <w:iCs/>
          <w:sz w:val="24"/>
          <w:szCs w:val="32"/>
        </w:rPr>
        <w:t>N</w:t>
      </w:r>
      <w:r>
        <w:rPr>
          <w:rFonts w:eastAsia="宋体"/>
          <w:sz w:val="24"/>
          <w:szCs w:val="32"/>
          <w:vertAlign w:val="subscript"/>
        </w:rPr>
        <w:t>t</w:t>
      </w:r>
      <w:r>
        <w:rPr>
          <w:rFonts w:hint="eastAsia" w:eastAsia="宋体"/>
          <w:sz w:val="24"/>
          <w:szCs w:val="32"/>
          <w:vertAlign w:val="subscript"/>
        </w:rPr>
        <w:t>k</w:t>
      </w:r>
      <w:r>
        <w:rPr>
          <w:rFonts w:eastAsia="宋体"/>
          <w:sz w:val="24"/>
          <w:szCs w:val="32"/>
        </w:rPr>
        <w:t>≤</w:t>
      </w:r>
      <w:r>
        <w:rPr>
          <w:rFonts w:eastAsia="宋体"/>
          <w:i/>
          <w:iCs/>
          <w:sz w:val="24"/>
          <w:szCs w:val="32"/>
        </w:rPr>
        <w:t>η</w:t>
      </w:r>
      <w:r>
        <w:rPr>
          <w:rFonts w:hint="eastAsia" w:eastAsia="宋体"/>
          <w:i/>
          <w:iCs/>
          <w:sz w:val="24"/>
          <w:szCs w:val="32"/>
        </w:rPr>
        <w:t xml:space="preserve"> </w:t>
      </w:r>
      <w:r>
        <w:rPr>
          <w:rFonts w:eastAsia="宋体"/>
          <w:i/>
          <w:iCs/>
          <w:sz w:val="24"/>
          <w:szCs w:val="32"/>
        </w:rPr>
        <w:t>f</w:t>
      </w:r>
      <w:r>
        <w:rPr>
          <w:rFonts w:eastAsia="宋体"/>
          <w:sz w:val="24"/>
          <w:szCs w:val="32"/>
          <w:vertAlign w:val="subscript"/>
        </w:rPr>
        <w:t>ck</w:t>
      </w:r>
      <w:r>
        <w:rPr>
          <w:rFonts w:eastAsia="宋体"/>
          <w:i/>
          <w:iCs/>
          <w:sz w:val="24"/>
          <w:szCs w:val="32"/>
        </w:rPr>
        <w:t>A</w:t>
      </w:r>
      <w:r>
        <w:rPr>
          <w:rFonts w:eastAsia="宋体"/>
          <w:sz w:val="24"/>
          <w:szCs w:val="32"/>
          <w:vertAlign w:val="subscript"/>
        </w:rPr>
        <w:t>c</w:t>
      </w:r>
      <w:r>
        <w:rPr>
          <w:rFonts w:eastAsia="宋体"/>
          <w:sz w:val="24"/>
          <w:szCs w:val="32"/>
        </w:rPr>
        <w:t>/2</w:t>
      </w:r>
      <w:r>
        <w:rPr>
          <w:rFonts w:hint="eastAsia" w:eastAsia="宋体"/>
          <w:sz w:val="24"/>
          <w:szCs w:val="32"/>
        </w:rPr>
        <w:t xml:space="preserve">  </w:t>
      </w:r>
      <w:r>
        <w:rPr>
          <w:rFonts w:hint="eastAsia" w:eastAsia="宋体"/>
          <w:sz w:val="24"/>
          <w:szCs w:val="32"/>
        </w:rPr>
        <w:tab/>
      </w:r>
      <w:r>
        <w:rPr>
          <w:rFonts w:hint="eastAsia" w:eastAsia="宋体"/>
          <w:sz w:val="24"/>
          <w:szCs w:val="32"/>
        </w:rPr>
        <w:tab/>
      </w:r>
      <w:r>
        <w:rPr>
          <w:rFonts w:hint="eastAsia" w:eastAsia="宋体"/>
          <w:sz w:val="24"/>
          <w:szCs w:val="32"/>
        </w:rPr>
        <w:tab/>
      </w:r>
      <w:r>
        <w:rPr>
          <w:rFonts w:hint="eastAsia" w:eastAsia="宋体"/>
          <w:sz w:val="24"/>
          <w:szCs w:val="32"/>
        </w:rPr>
        <w:tab/>
      </w:r>
      <w:r>
        <w:rPr>
          <w:rFonts w:hint="eastAsia" w:eastAsia="宋体"/>
          <w:sz w:val="24"/>
          <w:szCs w:val="32"/>
        </w:rPr>
        <w:tab/>
      </w:r>
      <w:r>
        <w:rPr>
          <w:rFonts w:hint="eastAsia" w:eastAsia="宋体"/>
          <w:sz w:val="24"/>
          <w:szCs w:val="32"/>
        </w:rPr>
        <w:tab/>
      </w:r>
      <w:r>
        <w:rPr>
          <w:rFonts w:hint="eastAsia" w:eastAsia="宋体"/>
          <w:sz w:val="24"/>
          <w:szCs w:val="32"/>
        </w:rPr>
        <w:tab/>
      </w:r>
      <w:r>
        <w:rPr>
          <w:rFonts w:eastAsia="宋体"/>
          <w:sz w:val="24"/>
          <w:szCs w:val="32"/>
        </w:rPr>
        <w:t xml:space="preserve">   (</w:t>
      </w:r>
      <w:r>
        <w:rPr>
          <w:rFonts w:hint="eastAsia" w:eastAsia="宋体"/>
          <w:sz w:val="24"/>
          <w:szCs w:val="32"/>
        </w:rPr>
        <w:t>8</w:t>
      </w:r>
      <w:r>
        <w:rPr>
          <w:rFonts w:eastAsia="宋体"/>
          <w:sz w:val="24"/>
          <w:szCs w:val="32"/>
        </w:rPr>
        <w:t>.2</w:t>
      </w:r>
      <w:r>
        <w:rPr>
          <w:rFonts w:hint="eastAsia" w:eastAsia="宋体"/>
          <w:sz w:val="24"/>
          <w:szCs w:val="32"/>
        </w:rPr>
        <w:t>.7</w:t>
      </w:r>
      <w:r>
        <w:rPr>
          <w:rFonts w:eastAsia="宋体"/>
          <w:sz w:val="24"/>
          <w:szCs w:val="32"/>
        </w:rPr>
        <w:t>)</w:t>
      </w:r>
    </w:p>
    <w:p w14:paraId="06696949">
      <w:pPr>
        <w:spacing w:line="360" w:lineRule="auto"/>
        <w:ind w:left="1279" w:hanging="1279" w:hangingChars="533"/>
        <w:rPr>
          <w:rFonts w:eastAsia="宋体"/>
          <w:sz w:val="24"/>
          <w:szCs w:val="32"/>
        </w:rPr>
      </w:pPr>
      <w:r>
        <w:rPr>
          <w:rFonts w:eastAsia="宋体"/>
          <w:sz w:val="24"/>
          <w:szCs w:val="32"/>
        </w:rPr>
        <w:t>式中：</w:t>
      </w:r>
      <w:r>
        <w:rPr>
          <w:rFonts w:eastAsia="宋体"/>
          <w:i/>
          <w:iCs/>
          <w:sz w:val="24"/>
          <w:szCs w:val="32"/>
        </w:rPr>
        <w:t>η</w:t>
      </w:r>
      <w:r>
        <w:rPr>
          <w:rFonts w:eastAsia="宋体"/>
          <w:sz w:val="24"/>
          <w:szCs w:val="32"/>
        </w:rPr>
        <w:t>——浆体强度侧限增大系数，应由试验确定；</w:t>
      </w:r>
    </w:p>
    <w:p w14:paraId="14F8CF98">
      <w:pPr>
        <w:spacing w:line="360" w:lineRule="auto"/>
        <w:ind w:left="1279" w:hanging="1279" w:hangingChars="533"/>
        <w:rPr>
          <w:rFonts w:eastAsia="宋体"/>
          <w:sz w:val="24"/>
          <w:szCs w:val="32"/>
        </w:rPr>
      </w:pPr>
      <w:r>
        <w:rPr>
          <w:rFonts w:eastAsia="宋体"/>
          <w:sz w:val="24"/>
          <w:szCs w:val="32"/>
        </w:rPr>
        <w:t xml:space="preserve">     </w:t>
      </w:r>
      <w:r>
        <w:rPr>
          <w:rFonts w:eastAsia="宋体"/>
          <w:i/>
          <w:iCs/>
          <w:sz w:val="24"/>
          <w:szCs w:val="32"/>
        </w:rPr>
        <w:t>f</w:t>
      </w:r>
      <w:r>
        <w:rPr>
          <w:rFonts w:eastAsia="宋体"/>
          <w:sz w:val="24"/>
          <w:szCs w:val="32"/>
          <w:vertAlign w:val="subscript"/>
        </w:rPr>
        <w:t>ck</w:t>
      </w:r>
      <w:r>
        <w:rPr>
          <w:rFonts w:eastAsia="宋体"/>
          <w:sz w:val="24"/>
          <w:szCs w:val="32"/>
        </w:rPr>
        <w:t>——浆体轴心抗压强度标准值（N/mm</w:t>
      </w:r>
      <w:r>
        <w:rPr>
          <w:rFonts w:eastAsia="宋体"/>
          <w:sz w:val="24"/>
          <w:szCs w:val="32"/>
          <w:vertAlign w:val="superscript"/>
        </w:rPr>
        <w:t>2</w:t>
      </w:r>
      <w:r>
        <w:rPr>
          <w:rFonts w:eastAsia="宋体"/>
          <w:sz w:val="24"/>
          <w:szCs w:val="32"/>
        </w:rPr>
        <w:t>），可按</w:t>
      </w:r>
      <w:r>
        <w:rPr>
          <w:rFonts w:hint="eastAsia" w:eastAsia="宋体"/>
          <w:sz w:val="24"/>
          <w:szCs w:val="32"/>
        </w:rPr>
        <w:t>现行国家标准</w:t>
      </w:r>
      <w:r>
        <w:rPr>
          <w:rFonts w:eastAsia="宋体"/>
          <w:sz w:val="24"/>
          <w:szCs w:val="32"/>
        </w:rPr>
        <w:t>《混凝土结构设计</w:t>
      </w:r>
      <w:r>
        <w:rPr>
          <w:rFonts w:hint="eastAsia" w:eastAsia="宋体"/>
          <w:sz w:val="24"/>
          <w:szCs w:val="32"/>
        </w:rPr>
        <w:t>标准</w:t>
      </w:r>
      <w:r>
        <w:rPr>
          <w:rFonts w:eastAsia="宋体"/>
          <w:sz w:val="24"/>
          <w:szCs w:val="32"/>
        </w:rPr>
        <w:t>》GB</w:t>
      </w:r>
      <w:r>
        <w:rPr>
          <w:rFonts w:hint="eastAsia" w:eastAsia="宋体"/>
          <w:sz w:val="24"/>
          <w:szCs w:val="32"/>
        </w:rPr>
        <w:t>/T</w:t>
      </w:r>
      <w:r>
        <w:rPr>
          <w:rFonts w:eastAsia="宋体"/>
          <w:sz w:val="24"/>
          <w:szCs w:val="32"/>
        </w:rPr>
        <w:t xml:space="preserve"> 50010</w:t>
      </w:r>
      <w:r>
        <w:rPr>
          <w:rFonts w:hint="eastAsia" w:eastAsia="宋体"/>
          <w:sz w:val="24"/>
          <w:szCs w:val="32"/>
        </w:rPr>
        <w:t>取值</w:t>
      </w:r>
      <w:r>
        <w:rPr>
          <w:rFonts w:eastAsia="宋体"/>
          <w:sz w:val="24"/>
          <w:szCs w:val="32"/>
        </w:rPr>
        <w:t>；</w:t>
      </w:r>
    </w:p>
    <w:p w14:paraId="2840A4EE">
      <w:pPr>
        <w:spacing w:line="360" w:lineRule="auto"/>
        <w:ind w:left="1279" w:hanging="1279" w:hangingChars="533"/>
        <w:rPr>
          <w:rFonts w:eastAsia="宋体"/>
          <w:sz w:val="24"/>
          <w:szCs w:val="32"/>
        </w:rPr>
      </w:pPr>
      <w:r>
        <w:rPr>
          <w:rFonts w:eastAsia="宋体"/>
          <w:sz w:val="24"/>
          <w:szCs w:val="32"/>
        </w:rPr>
        <w:t xml:space="preserve">     </w:t>
      </w:r>
      <w:r>
        <w:rPr>
          <w:rFonts w:eastAsia="宋体"/>
          <w:i/>
          <w:iCs/>
          <w:sz w:val="24"/>
          <w:szCs w:val="32"/>
        </w:rPr>
        <w:t>A</w:t>
      </w:r>
      <w:r>
        <w:rPr>
          <w:rFonts w:eastAsia="宋体"/>
          <w:sz w:val="24"/>
          <w:szCs w:val="32"/>
          <w:vertAlign w:val="subscript"/>
        </w:rPr>
        <w:t>c</w:t>
      </w:r>
      <w:r>
        <w:rPr>
          <w:rFonts w:eastAsia="宋体"/>
          <w:sz w:val="24"/>
          <w:szCs w:val="32"/>
        </w:rPr>
        <w:t>——浆体受压净面积（mm</w:t>
      </w:r>
      <w:r>
        <w:rPr>
          <w:rFonts w:eastAsia="宋体"/>
          <w:sz w:val="24"/>
          <w:szCs w:val="32"/>
          <w:vertAlign w:val="superscript"/>
        </w:rPr>
        <w:t>2</w:t>
      </w:r>
      <w:r>
        <w:rPr>
          <w:rFonts w:eastAsia="宋体"/>
          <w:sz w:val="24"/>
          <w:szCs w:val="32"/>
        </w:rPr>
        <w:t>），为承载体与浆体之间扣除</w:t>
      </w:r>
      <w:r>
        <w:rPr>
          <w:rFonts w:hint="eastAsia" w:eastAsia="宋体"/>
          <w:sz w:val="24"/>
          <w:szCs w:val="32"/>
        </w:rPr>
        <w:t>套管或</w:t>
      </w:r>
      <w:r>
        <w:rPr>
          <w:rFonts w:eastAsia="宋体"/>
          <w:sz w:val="24"/>
          <w:szCs w:val="32"/>
        </w:rPr>
        <w:t>筋体截面积之后的接触面积。</w:t>
      </w:r>
    </w:p>
    <w:p w14:paraId="53040677">
      <w:pPr>
        <w:adjustRightInd w:val="0"/>
        <w:snapToGrid w:val="0"/>
        <w:spacing w:line="360" w:lineRule="auto"/>
        <w:jc w:val="center"/>
        <w:outlineLvl w:val="2"/>
        <w:rPr>
          <w:rFonts w:eastAsia="宋体"/>
          <w:b/>
          <w:sz w:val="22"/>
          <w:szCs w:val="22"/>
        </w:rPr>
      </w:pPr>
      <w:bookmarkStart w:id="138" w:name="_Toc24901"/>
      <w:bookmarkStart w:id="139" w:name="_Toc12918"/>
      <w:bookmarkStart w:id="140" w:name="_Toc32161"/>
      <w:bookmarkStart w:id="141" w:name="_Toc10631"/>
      <w:r>
        <w:rPr>
          <w:rFonts w:hint="eastAsia" w:eastAsia="宋体"/>
          <w:b/>
          <w:sz w:val="22"/>
          <w:szCs w:val="22"/>
        </w:rPr>
        <w:t>Ⅱ  材料</w:t>
      </w:r>
      <w:bookmarkEnd w:id="138"/>
      <w:bookmarkEnd w:id="139"/>
      <w:bookmarkEnd w:id="140"/>
      <w:bookmarkEnd w:id="141"/>
    </w:p>
    <w:p w14:paraId="5C78F26C">
      <w:pPr>
        <w:numPr>
          <w:ilvl w:val="2"/>
          <w:numId w:val="2"/>
        </w:numPr>
        <w:spacing w:line="360" w:lineRule="auto"/>
        <w:ind w:left="0" w:firstLine="0"/>
        <w:jc w:val="left"/>
        <w:rPr>
          <w:rFonts w:eastAsiaTheme="minorEastAsia"/>
          <w:sz w:val="24"/>
          <w:szCs w:val="24"/>
        </w:rPr>
      </w:pPr>
      <w:r>
        <w:rPr>
          <w:rFonts w:eastAsiaTheme="minorEastAsia"/>
          <w:sz w:val="24"/>
          <w:szCs w:val="24"/>
        </w:rPr>
        <w:t>锚杆材料和部件应满足锚杆设计要求，不同材料间不能产生不良的相互影响。</w:t>
      </w:r>
    </w:p>
    <w:p w14:paraId="26F9085B">
      <w:pPr>
        <w:numPr>
          <w:ilvl w:val="2"/>
          <w:numId w:val="2"/>
        </w:numPr>
        <w:spacing w:line="360" w:lineRule="auto"/>
        <w:ind w:left="0" w:firstLine="0"/>
        <w:jc w:val="left"/>
        <w:rPr>
          <w:rFonts w:eastAsiaTheme="minorEastAsia"/>
          <w:sz w:val="24"/>
          <w:szCs w:val="24"/>
        </w:rPr>
      </w:pPr>
      <w:r>
        <w:rPr>
          <w:rFonts w:eastAsiaTheme="minorEastAsia"/>
          <w:sz w:val="24"/>
          <w:szCs w:val="24"/>
        </w:rPr>
        <w:t>锚杆筋体采用的钢筋应符合下列规定：</w:t>
      </w:r>
    </w:p>
    <w:p w14:paraId="3AC24CD9">
      <w:pPr>
        <w:numPr>
          <w:ilvl w:val="0"/>
          <w:numId w:val="33"/>
        </w:numPr>
        <w:tabs>
          <w:tab w:val="clear" w:pos="420"/>
        </w:tabs>
        <w:spacing w:line="360" w:lineRule="auto"/>
        <w:ind w:left="5" w:firstLine="315"/>
        <w:rPr>
          <w:rFonts w:eastAsiaTheme="minorEastAsia"/>
          <w:sz w:val="24"/>
          <w:szCs w:val="24"/>
        </w:rPr>
      </w:pPr>
      <w:r>
        <w:rPr>
          <w:rFonts w:eastAsiaTheme="minorEastAsia"/>
          <w:sz w:val="24"/>
          <w:szCs w:val="24"/>
        </w:rPr>
        <w:t>应根据锚杆承载力要求选用热轧带肋钢筋或预应力螺纹钢筋，其力学指标应符合</w:t>
      </w:r>
      <w:r>
        <w:rPr>
          <w:rFonts w:hint="eastAsia" w:eastAsiaTheme="minorEastAsia"/>
          <w:sz w:val="24"/>
          <w:szCs w:val="24"/>
        </w:rPr>
        <w:t>现行国家标准</w:t>
      </w:r>
      <w:r>
        <w:rPr>
          <w:rFonts w:eastAsiaTheme="minorEastAsia"/>
          <w:sz w:val="24"/>
          <w:szCs w:val="24"/>
        </w:rPr>
        <w:t>《混凝土结构设计</w:t>
      </w:r>
      <w:r>
        <w:rPr>
          <w:rFonts w:hint="eastAsia" w:eastAsiaTheme="minorEastAsia"/>
          <w:sz w:val="24"/>
          <w:szCs w:val="24"/>
        </w:rPr>
        <w:t>标准</w:t>
      </w:r>
      <w:r>
        <w:rPr>
          <w:rFonts w:eastAsiaTheme="minorEastAsia"/>
          <w:sz w:val="24"/>
          <w:szCs w:val="24"/>
        </w:rPr>
        <w:t>》GB</w:t>
      </w:r>
      <w:r>
        <w:rPr>
          <w:rFonts w:hint="eastAsia" w:eastAsiaTheme="minorEastAsia"/>
          <w:sz w:val="24"/>
          <w:szCs w:val="24"/>
        </w:rPr>
        <w:t>/T</w:t>
      </w:r>
      <w:r>
        <w:rPr>
          <w:rFonts w:eastAsiaTheme="minorEastAsia"/>
          <w:sz w:val="24"/>
          <w:szCs w:val="24"/>
        </w:rPr>
        <w:t xml:space="preserve"> 50010、《预应力混凝土用螺纹钢筋》GB/T 20065和</w:t>
      </w:r>
      <w:r>
        <w:rPr>
          <w:rFonts w:hint="eastAsia" w:eastAsiaTheme="minorEastAsia"/>
          <w:sz w:val="24"/>
          <w:szCs w:val="24"/>
        </w:rPr>
        <w:t>现行行业标准</w:t>
      </w:r>
      <w:r>
        <w:rPr>
          <w:rFonts w:eastAsiaTheme="minorEastAsia"/>
          <w:sz w:val="24"/>
          <w:szCs w:val="24"/>
        </w:rPr>
        <w:t>《环氧树脂涂层钢筋》JG/T 502的有关规定。</w:t>
      </w:r>
    </w:p>
    <w:p w14:paraId="4B0AE6BD">
      <w:pPr>
        <w:numPr>
          <w:ilvl w:val="0"/>
          <w:numId w:val="33"/>
        </w:numPr>
        <w:tabs>
          <w:tab w:val="clear" w:pos="420"/>
        </w:tabs>
        <w:spacing w:line="360" w:lineRule="auto"/>
        <w:ind w:left="5" w:firstLine="315"/>
        <w:rPr>
          <w:rFonts w:eastAsiaTheme="minorEastAsia"/>
          <w:sz w:val="24"/>
          <w:szCs w:val="24"/>
        </w:rPr>
      </w:pPr>
      <w:r>
        <w:rPr>
          <w:rFonts w:eastAsiaTheme="minorEastAsia"/>
          <w:sz w:val="24"/>
          <w:szCs w:val="24"/>
        </w:rPr>
        <w:t>锚杆连接部件均应能承受杆体极限抗拉承载力。</w:t>
      </w:r>
    </w:p>
    <w:p w14:paraId="7C42CC8E">
      <w:pPr>
        <w:numPr>
          <w:ilvl w:val="2"/>
          <w:numId w:val="2"/>
        </w:numPr>
        <w:spacing w:line="360" w:lineRule="auto"/>
        <w:ind w:left="0" w:firstLine="0"/>
        <w:jc w:val="left"/>
        <w:rPr>
          <w:rFonts w:eastAsiaTheme="minorEastAsia"/>
          <w:sz w:val="24"/>
          <w:szCs w:val="24"/>
        </w:rPr>
      </w:pPr>
      <w:r>
        <w:rPr>
          <w:rFonts w:eastAsiaTheme="minorEastAsia"/>
          <w:sz w:val="24"/>
          <w:szCs w:val="24"/>
        </w:rPr>
        <w:t>锚杆筋体采用的钢绞线应符合下列规定：</w:t>
      </w:r>
    </w:p>
    <w:p w14:paraId="29AE5302">
      <w:pPr>
        <w:numPr>
          <w:ilvl w:val="0"/>
          <w:numId w:val="34"/>
        </w:numPr>
        <w:tabs>
          <w:tab w:val="clear" w:pos="420"/>
        </w:tabs>
        <w:spacing w:line="360" w:lineRule="auto"/>
        <w:ind w:left="5" w:firstLine="315"/>
        <w:rPr>
          <w:rFonts w:eastAsiaTheme="minorEastAsia"/>
          <w:sz w:val="24"/>
          <w:szCs w:val="24"/>
        </w:rPr>
      </w:pPr>
      <w:r>
        <w:rPr>
          <w:rFonts w:eastAsiaTheme="minorEastAsia"/>
          <w:sz w:val="24"/>
          <w:szCs w:val="24"/>
        </w:rPr>
        <w:t>钢绞线、环氧涂层钢绞线、无粘结钢绞线，应符合现行国家标准《预应力混凝土用钢绞线》GB/T 5224的有关规定；</w:t>
      </w:r>
    </w:p>
    <w:p w14:paraId="1FB32B1A">
      <w:pPr>
        <w:numPr>
          <w:ilvl w:val="0"/>
          <w:numId w:val="34"/>
        </w:numPr>
        <w:tabs>
          <w:tab w:val="clear" w:pos="420"/>
        </w:tabs>
        <w:spacing w:line="360" w:lineRule="auto"/>
        <w:ind w:left="5" w:firstLine="315"/>
        <w:rPr>
          <w:rFonts w:eastAsiaTheme="minorEastAsia"/>
          <w:sz w:val="24"/>
          <w:szCs w:val="24"/>
        </w:rPr>
      </w:pPr>
      <w:r>
        <w:rPr>
          <w:rFonts w:eastAsiaTheme="minorEastAsia"/>
          <w:sz w:val="24"/>
          <w:szCs w:val="24"/>
        </w:rPr>
        <w:t>压力型锚杆宜采用无粘结钢绞线</w:t>
      </w:r>
      <w:r>
        <w:rPr>
          <w:rFonts w:hint="eastAsia" w:eastAsiaTheme="minorEastAsia"/>
          <w:sz w:val="24"/>
          <w:szCs w:val="24"/>
        </w:rPr>
        <w:t>、缓粘结钢绞线</w:t>
      </w:r>
      <w:r>
        <w:rPr>
          <w:rFonts w:eastAsiaTheme="minorEastAsia"/>
          <w:sz w:val="24"/>
          <w:szCs w:val="24"/>
        </w:rPr>
        <w:t>或预应力螺纹钢筋；</w:t>
      </w:r>
    </w:p>
    <w:p w14:paraId="378940D7">
      <w:pPr>
        <w:numPr>
          <w:ilvl w:val="0"/>
          <w:numId w:val="34"/>
        </w:numPr>
        <w:tabs>
          <w:tab w:val="clear" w:pos="420"/>
        </w:tabs>
        <w:spacing w:line="360" w:lineRule="auto"/>
        <w:ind w:left="5" w:firstLine="315"/>
        <w:rPr>
          <w:rFonts w:eastAsiaTheme="minorEastAsia"/>
          <w:sz w:val="24"/>
          <w:szCs w:val="24"/>
        </w:rPr>
      </w:pPr>
      <w:r>
        <w:rPr>
          <w:rFonts w:eastAsiaTheme="minorEastAsia"/>
          <w:sz w:val="24"/>
          <w:szCs w:val="24"/>
        </w:rPr>
        <w:t>除修复外，钢绞线应为连续体，不得连接。</w:t>
      </w:r>
    </w:p>
    <w:p w14:paraId="27893B05">
      <w:pPr>
        <w:numPr>
          <w:ilvl w:val="2"/>
          <w:numId w:val="2"/>
        </w:numPr>
        <w:spacing w:line="360" w:lineRule="auto"/>
        <w:ind w:left="0" w:firstLine="0"/>
        <w:jc w:val="left"/>
        <w:rPr>
          <w:rFonts w:eastAsia="楷体"/>
          <w:sz w:val="22"/>
          <w:szCs w:val="22"/>
        </w:rPr>
      </w:pPr>
      <w:r>
        <w:rPr>
          <w:rFonts w:eastAsiaTheme="minorEastAsia"/>
          <w:sz w:val="24"/>
          <w:szCs w:val="24"/>
        </w:rPr>
        <w:t>锚固体水泥浆、水泥砂浆、细石混凝土强度不应低于30MPa，并宜根据工程需要加入外加剂。</w:t>
      </w:r>
    </w:p>
    <w:p w14:paraId="56A9EA29">
      <w:pPr>
        <w:numPr>
          <w:ilvl w:val="2"/>
          <w:numId w:val="2"/>
        </w:numPr>
        <w:spacing w:line="360" w:lineRule="auto"/>
        <w:ind w:left="0" w:firstLine="0"/>
        <w:jc w:val="left"/>
        <w:rPr>
          <w:rFonts w:eastAsiaTheme="minorEastAsia"/>
          <w:sz w:val="24"/>
          <w:szCs w:val="24"/>
        </w:rPr>
      </w:pPr>
      <w:r>
        <w:rPr>
          <w:rFonts w:eastAsiaTheme="minorEastAsia"/>
          <w:sz w:val="24"/>
          <w:szCs w:val="24"/>
        </w:rPr>
        <w:t>锚固板和钢垫板宜采用Q235、Q3</w:t>
      </w:r>
      <w:r>
        <w:rPr>
          <w:rFonts w:hint="eastAsia" w:eastAsiaTheme="minorEastAsia"/>
          <w:sz w:val="24"/>
          <w:szCs w:val="24"/>
        </w:rPr>
        <w:t>5</w:t>
      </w:r>
      <w:r>
        <w:rPr>
          <w:rFonts w:eastAsiaTheme="minorEastAsia"/>
          <w:sz w:val="24"/>
          <w:szCs w:val="24"/>
        </w:rPr>
        <w:t>5级钢，钢垫板宜采用圆形钢板。</w:t>
      </w:r>
    </w:p>
    <w:p w14:paraId="4F88FB57">
      <w:pPr>
        <w:numPr>
          <w:ilvl w:val="2"/>
          <w:numId w:val="2"/>
        </w:numPr>
        <w:spacing w:line="360" w:lineRule="auto"/>
        <w:ind w:left="0" w:firstLine="0"/>
        <w:jc w:val="left"/>
        <w:rPr>
          <w:rFonts w:eastAsiaTheme="minorEastAsia"/>
          <w:sz w:val="24"/>
          <w:szCs w:val="24"/>
        </w:rPr>
      </w:pPr>
      <w:r>
        <w:rPr>
          <w:rFonts w:eastAsiaTheme="minorEastAsia"/>
          <w:sz w:val="24"/>
          <w:szCs w:val="24"/>
        </w:rPr>
        <w:t>锚具应符合现行国家标准《预应力筋用锚具、夹具和连接器》GB/T 14370的有关规定。</w:t>
      </w:r>
    </w:p>
    <w:p w14:paraId="551F0747">
      <w:pPr>
        <w:adjustRightInd w:val="0"/>
        <w:snapToGrid w:val="0"/>
        <w:spacing w:line="360" w:lineRule="auto"/>
        <w:jc w:val="center"/>
        <w:outlineLvl w:val="2"/>
        <w:rPr>
          <w:rFonts w:eastAsia="宋体"/>
          <w:b/>
          <w:sz w:val="22"/>
          <w:szCs w:val="22"/>
        </w:rPr>
      </w:pPr>
      <w:bookmarkStart w:id="142" w:name="_Toc9686"/>
      <w:bookmarkStart w:id="143" w:name="_Toc19661"/>
      <w:bookmarkStart w:id="144" w:name="_Toc22322"/>
      <w:bookmarkStart w:id="145" w:name="_Toc7099"/>
      <w:bookmarkStart w:id="146" w:name="_Toc31315"/>
      <w:r>
        <w:rPr>
          <w:rFonts w:hint="eastAsia" w:eastAsia="宋体"/>
          <w:b/>
          <w:sz w:val="22"/>
          <w:szCs w:val="22"/>
        </w:rPr>
        <w:t>Ⅲ  耐久性</w:t>
      </w:r>
      <w:bookmarkEnd w:id="142"/>
      <w:bookmarkEnd w:id="143"/>
      <w:bookmarkEnd w:id="144"/>
      <w:bookmarkEnd w:id="145"/>
      <w:bookmarkEnd w:id="146"/>
    </w:p>
    <w:p w14:paraId="2267245C">
      <w:pPr>
        <w:numPr>
          <w:ilvl w:val="2"/>
          <w:numId w:val="2"/>
        </w:numPr>
        <w:spacing w:line="360" w:lineRule="auto"/>
        <w:ind w:left="0" w:firstLine="0"/>
        <w:jc w:val="left"/>
        <w:rPr>
          <w:rFonts w:eastAsiaTheme="minorEastAsia"/>
          <w:sz w:val="24"/>
          <w:szCs w:val="24"/>
        </w:rPr>
      </w:pPr>
      <w:r>
        <w:rPr>
          <w:rFonts w:eastAsiaTheme="minorEastAsia"/>
          <w:sz w:val="24"/>
          <w:szCs w:val="24"/>
        </w:rPr>
        <w:t>锚杆防腐设计应</w:t>
      </w:r>
      <w:r>
        <w:rPr>
          <w:rFonts w:hint="eastAsia" w:eastAsiaTheme="minorEastAsia"/>
          <w:sz w:val="24"/>
          <w:szCs w:val="24"/>
        </w:rPr>
        <w:t>依据</w:t>
      </w:r>
      <w:r>
        <w:rPr>
          <w:rFonts w:eastAsiaTheme="minorEastAsia"/>
          <w:sz w:val="24"/>
          <w:szCs w:val="24"/>
        </w:rPr>
        <w:t>设计使用年限、腐蚀等级</w:t>
      </w:r>
      <w:r>
        <w:rPr>
          <w:rFonts w:hint="eastAsia" w:eastAsiaTheme="minorEastAsia"/>
          <w:sz w:val="24"/>
          <w:szCs w:val="24"/>
        </w:rPr>
        <w:t>等</w:t>
      </w:r>
      <w:r>
        <w:rPr>
          <w:rFonts w:eastAsiaTheme="minorEastAsia"/>
          <w:sz w:val="24"/>
          <w:szCs w:val="24"/>
        </w:rPr>
        <w:t>综合确定防腐等级，并应采取有效的防腐构造措施。</w:t>
      </w:r>
    </w:p>
    <w:p w14:paraId="69EA90AC">
      <w:pPr>
        <w:numPr>
          <w:ilvl w:val="2"/>
          <w:numId w:val="2"/>
        </w:numPr>
        <w:spacing w:line="360" w:lineRule="auto"/>
        <w:ind w:left="0" w:firstLine="0"/>
        <w:jc w:val="left"/>
        <w:rPr>
          <w:rFonts w:eastAsiaTheme="minorEastAsia"/>
          <w:sz w:val="24"/>
          <w:szCs w:val="24"/>
        </w:rPr>
      </w:pPr>
      <w:r>
        <w:rPr>
          <w:rFonts w:eastAsiaTheme="minorEastAsia"/>
          <w:sz w:val="24"/>
          <w:szCs w:val="24"/>
        </w:rPr>
        <w:t>腐蚀等级根据土和水对筋材腐蚀程度划分为微、弱、中、强四级，防腐</w:t>
      </w:r>
      <w:r>
        <w:rPr>
          <w:rFonts w:hint="eastAsia" w:eastAsiaTheme="minorEastAsia"/>
          <w:sz w:val="24"/>
          <w:szCs w:val="24"/>
        </w:rPr>
        <w:t>等级</w:t>
      </w:r>
      <w:r>
        <w:rPr>
          <w:rFonts w:eastAsiaTheme="minorEastAsia"/>
          <w:sz w:val="24"/>
          <w:szCs w:val="24"/>
        </w:rPr>
        <w:t>应符合表</w:t>
      </w:r>
      <w:r>
        <w:rPr>
          <w:rFonts w:hint="eastAsia" w:eastAsiaTheme="minorEastAsia"/>
          <w:sz w:val="24"/>
          <w:szCs w:val="24"/>
        </w:rPr>
        <w:t>8.2.15</w:t>
      </w:r>
      <w:r>
        <w:rPr>
          <w:rFonts w:eastAsiaTheme="minorEastAsia"/>
          <w:sz w:val="24"/>
          <w:szCs w:val="24"/>
        </w:rPr>
        <w:t>的规定。</w:t>
      </w:r>
    </w:p>
    <w:p w14:paraId="66BCF99D">
      <w:pPr>
        <w:spacing w:line="360" w:lineRule="auto"/>
        <w:jc w:val="center"/>
        <w:rPr>
          <w:rFonts w:eastAsiaTheme="minorEastAsia"/>
          <w:b/>
          <w:bCs/>
          <w:sz w:val="22"/>
          <w:szCs w:val="22"/>
        </w:rPr>
      </w:pPr>
      <w:r>
        <w:rPr>
          <w:rFonts w:hint="eastAsia" w:eastAsiaTheme="minorEastAsia"/>
          <w:b/>
          <w:bCs/>
          <w:sz w:val="22"/>
          <w:szCs w:val="22"/>
        </w:rPr>
        <w:t>表8.2.15 抗浮锚杆最低防腐等级</w:t>
      </w:r>
    </w:p>
    <w:tbl>
      <w:tblPr>
        <w:tblStyle w:val="21"/>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9"/>
        <w:gridCol w:w="1354"/>
        <w:gridCol w:w="1354"/>
        <w:gridCol w:w="1354"/>
        <w:gridCol w:w="1354"/>
      </w:tblGrid>
      <w:tr w14:paraId="04FE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979" w:type="dxa"/>
            <w:vMerge w:val="restart"/>
            <w:vAlign w:val="center"/>
          </w:tcPr>
          <w:p w14:paraId="7AC0E1C9">
            <w:pPr>
              <w:snapToGrid w:val="0"/>
              <w:spacing w:line="360" w:lineRule="auto"/>
              <w:jc w:val="center"/>
              <w:rPr>
                <w:rFonts w:eastAsia="宋体"/>
                <w:sz w:val="20"/>
              </w:rPr>
            </w:pPr>
            <w:r>
              <w:rPr>
                <w:rFonts w:hint="eastAsia" w:eastAsia="宋体"/>
                <w:sz w:val="20"/>
              </w:rPr>
              <w:t>锚杆类型</w:t>
            </w:r>
          </w:p>
        </w:tc>
        <w:tc>
          <w:tcPr>
            <w:tcW w:w="5416" w:type="dxa"/>
            <w:gridSpan w:val="4"/>
            <w:vAlign w:val="center"/>
          </w:tcPr>
          <w:p w14:paraId="54A2CF7C">
            <w:pPr>
              <w:spacing w:line="360" w:lineRule="auto"/>
              <w:jc w:val="center"/>
              <w:rPr>
                <w:rFonts w:eastAsia="宋体"/>
                <w:sz w:val="20"/>
              </w:rPr>
            </w:pPr>
            <w:r>
              <w:rPr>
                <w:rFonts w:hint="eastAsia" w:eastAsia="宋体"/>
                <w:sz w:val="20"/>
              </w:rPr>
              <w:t>腐蚀等级</w:t>
            </w:r>
          </w:p>
        </w:tc>
      </w:tr>
      <w:tr w14:paraId="6D6D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979" w:type="dxa"/>
            <w:vMerge w:val="continue"/>
            <w:vAlign w:val="center"/>
          </w:tcPr>
          <w:p w14:paraId="37111916">
            <w:pPr>
              <w:spacing w:line="360" w:lineRule="auto"/>
              <w:jc w:val="center"/>
              <w:rPr>
                <w:rFonts w:eastAsia="宋体"/>
                <w:sz w:val="20"/>
              </w:rPr>
            </w:pPr>
          </w:p>
        </w:tc>
        <w:tc>
          <w:tcPr>
            <w:tcW w:w="1354" w:type="dxa"/>
            <w:vAlign w:val="center"/>
          </w:tcPr>
          <w:p w14:paraId="25FC3823">
            <w:pPr>
              <w:spacing w:line="360" w:lineRule="auto"/>
              <w:jc w:val="center"/>
              <w:rPr>
                <w:rFonts w:eastAsia="宋体"/>
                <w:sz w:val="20"/>
              </w:rPr>
            </w:pPr>
            <w:r>
              <w:rPr>
                <w:rFonts w:hint="eastAsia" w:eastAsia="宋体"/>
                <w:sz w:val="20"/>
              </w:rPr>
              <w:t>微</w:t>
            </w:r>
          </w:p>
        </w:tc>
        <w:tc>
          <w:tcPr>
            <w:tcW w:w="1354" w:type="dxa"/>
            <w:vAlign w:val="center"/>
          </w:tcPr>
          <w:p w14:paraId="580253B5">
            <w:pPr>
              <w:spacing w:line="360" w:lineRule="auto"/>
              <w:jc w:val="center"/>
              <w:rPr>
                <w:rFonts w:eastAsia="宋体"/>
                <w:sz w:val="20"/>
              </w:rPr>
            </w:pPr>
            <w:r>
              <w:rPr>
                <w:rFonts w:hint="eastAsia" w:eastAsia="宋体"/>
                <w:sz w:val="20"/>
              </w:rPr>
              <w:t>弱</w:t>
            </w:r>
          </w:p>
        </w:tc>
        <w:tc>
          <w:tcPr>
            <w:tcW w:w="1354" w:type="dxa"/>
            <w:vAlign w:val="center"/>
          </w:tcPr>
          <w:p w14:paraId="6C521B0C">
            <w:pPr>
              <w:spacing w:line="360" w:lineRule="auto"/>
              <w:jc w:val="center"/>
              <w:rPr>
                <w:rFonts w:eastAsia="宋体"/>
                <w:sz w:val="20"/>
              </w:rPr>
            </w:pPr>
            <w:r>
              <w:rPr>
                <w:rFonts w:hint="eastAsia" w:eastAsia="宋体"/>
                <w:sz w:val="20"/>
              </w:rPr>
              <w:t>中</w:t>
            </w:r>
          </w:p>
        </w:tc>
        <w:tc>
          <w:tcPr>
            <w:tcW w:w="1354" w:type="dxa"/>
            <w:vAlign w:val="center"/>
          </w:tcPr>
          <w:p w14:paraId="24E48276">
            <w:pPr>
              <w:spacing w:line="360" w:lineRule="auto"/>
              <w:jc w:val="center"/>
              <w:rPr>
                <w:rFonts w:eastAsia="宋体"/>
                <w:sz w:val="20"/>
              </w:rPr>
            </w:pPr>
            <w:r>
              <w:rPr>
                <w:rFonts w:hint="eastAsia" w:eastAsia="宋体"/>
                <w:sz w:val="20"/>
              </w:rPr>
              <w:t>强</w:t>
            </w:r>
          </w:p>
        </w:tc>
      </w:tr>
      <w:tr w14:paraId="157E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2979" w:type="dxa"/>
            <w:vAlign w:val="center"/>
          </w:tcPr>
          <w:p w14:paraId="26776F91">
            <w:pPr>
              <w:spacing w:line="360" w:lineRule="auto"/>
              <w:rPr>
                <w:rFonts w:eastAsia="宋体"/>
                <w:sz w:val="20"/>
              </w:rPr>
            </w:pPr>
            <w:r>
              <w:rPr>
                <w:rFonts w:hint="eastAsia" w:eastAsia="宋体"/>
                <w:sz w:val="20"/>
              </w:rPr>
              <w:t>全长粘结型锚杆</w:t>
            </w:r>
          </w:p>
          <w:p w14:paraId="4EFFD1A3">
            <w:pPr>
              <w:spacing w:line="360" w:lineRule="auto"/>
              <w:rPr>
                <w:rFonts w:eastAsia="宋体"/>
                <w:sz w:val="20"/>
              </w:rPr>
            </w:pPr>
            <w:r>
              <w:rPr>
                <w:rFonts w:hint="eastAsia" w:eastAsia="宋体"/>
                <w:sz w:val="20"/>
              </w:rPr>
              <w:t>拉力型预应力锚杆</w:t>
            </w:r>
          </w:p>
          <w:p w14:paraId="471A2A63">
            <w:pPr>
              <w:spacing w:line="360" w:lineRule="auto"/>
              <w:rPr>
                <w:rFonts w:eastAsia="宋体"/>
                <w:sz w:val="20"/>
              </w:rPr>
            </w:pPr>
            <w:r>
              <w:rPr>
                <w:rFonts w:hint="eastAsia" w:eastAsia="宋体"/>
                <w:sz w:val="20"/>
              </w:rPr>
              <w:t>全长粘结型扩体锚杆</w:t>
            </w:r>
          </w:p>
          <w:p w14:paraId="51D8FF71">
            <w:pPr>
              <w:spacing w:line="360" w:lineRule="auto"/>
              <w:rPr>
                <w:rFonts w:eastAsia="宋体"/>
                <w:sz w:val="20"/>
              </w:rPr>
            </w:pPr>
            <w:r>
              <w:rPr>
                <w:rFonts w:hint="eastAsia" w:eastAsia="宋体"/>
                <w:sz w:val="20"/>
              </w:rPr>
              <w:t>拉力型预应力扩体锚杆</w:t>
            </w:r>
          </w:p>
        </w:tc>
        <w:tc>
          <w:tcPr>
            <w:tcW w:w="1354" w:type="dxa"/>
            <w:vAlign w:val="center"/>
          </w:tcPr>
          <w:p w14:paraId="0CCC65F9">
            <w:pPr>
              <w:spacing w:line="360" w:lineRule="auto"/>
              <w:jc w:val="center"/>
              <w:rPr>
                <w:rFonts w:eastAsia="宋体"/>
                <w:sz w:val="20"/>
              </w:rPr>
            </w:pPr>
            <w:r>
              <w:rPr>
                <w:rFonts w:hint="eastAsia" w:eastAsia="宋体" w:cs="微软雅黑"/>
                <w:sz w:val="20"/>
              </w:rPr>
              <w:t>Ⅱ级</w:t>
            </w:r>
          </w:p>
        </w:tc>
        <w:tc>
          <w:tcPr>
            <w:tcW w:w="1354" w:type="dxa"/>
            <w:vAlign w:val="center"/>
          </w:tcPr>
          <w:p w14:paraId="1870C5B8">
            <w:pPr>
              <w:spacing w:line="360" w:lineRule="auto"/>
              <w:jc w:val="center"/>
              <w:rPr>
                <w:rFonts w:eastAsia="宋体"/>
                <w:sz w:val="20"/>
              </w:rPr>
            </w:pPr>
            <w:r>
              <w:rPr>
                <w:rFonts w:hint="eastAsia" w:eastAsia="宋体" w:cs="微软雅黑"/>
                <w:sz w:val="20"/>
              </w:rPr>
              <w:t>Ⅰ级</w:t>
            </w:r>
          </w:p>
        </w:tc>
        <w:tc>
          <w:tcPr>
            <w:tcW w:w="1354" w:type="dxa"/>
            <w:vAlign w:val="center"/>
          </w:tcPr>
          <w:p w14:paraId="395DE987">
            <w:pPr>
              <w:spacing w:line="360" w:lineRule="auto"/>
              <w:jc w:val="center"/>
              <w:rPr>
                <w:rFonts w:eastAsia="宋体"/>
                <w:sz w:val="20"/>
              </w:rPr>
            </w:pPr>
            <w:r>
              <w:rPr>
                <w:rFonts w:hint="eastAsia" w:eastAsia="宋体"/>
                <w:sz w:val="20"/>
              </w:rPr>
              <w:t>*</w:t>
            </w:r>
          </w:p>
        </w:tc>
        <w:tc>
          <w:tcPr>
            <w:tcW w:w="1354" w:type="dxa"/>
            <w:vAlign w:val="center"/>
          </w:tcPr>
          <w:p w14:paraId="62D4B708">
            <w:pPr>
              <w:spacing w:line="360" w:lineRule="auto"/>
              <w:jc w:val="center"/>
              <w:rPr>
                <w:rFonts w:eastAsia="宋体"/>
                <w:sz w:val="20"/>
              </w:rPr>
            </w:pPr>
            <w:r>
              <w:rPr>
                <w:rFonts w:hint="eastAsia" w:eastAsia="宋体"/>
                <w:sz w:val="20"/>
              </w:rPr>
              <w:t>*</w:t>
            </w:r>
          </w:p>
        </w:tc>
      </w:tr>
      <w:tr w14:paraId="23F0E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979" w:type="dxa"/>
            <w:vAlign w:val="center"/>
          </w:tcPr>
          <w:p w14:paraId="3740A17A">
            <w:pPr>
              <w:spacing w:line="360" w:lineRule="auto"/>
              <w:rPr>
                <w:rFonts w:eastAsia="宋体"/>
                <w:sz w:val="20"/>
              </w:rPr>
            </w:pPr>
            <w:r>
              <w:rPr>
                <w:rFonts w:hint="eastAsia" w:eastAsia="宋体"/>
                <w:sz w:val="20"/>
              </w:rPr>
              <w:t>压力型预应力锚杆</w:t>
            </w:r>
          </w:p>
          <w:p w14:paraId="457F854F">
            <w:pPr>
              <w:spacing w:line="360" w:lineRule="auto"/>
              <w:rPr>
                <w:rFonts w:eastAsia="宋体"/>
                <w:sz w:val="20"/>
              </w:rPr>
            </w:pPr>
            <w:r>
              <w:rPr>
                <w:rFonts w:hint="eastAsia" w:eastAsia="宋体"/>
                <w:sz w:val="20"/>
              </w:rPr>
              <w:t>压力分散型预应力锚杆</w:t>
            </w:r>
          </w:p>
          <w:p w14:paraId="482A062F">
            <w:pPr>
              <w:spacing w:line="360" w:lineRule="auto"/>
              <w:rPr>
                <w:rFonts w:eastAsia="宋体"/>
                <w:sz w:val="20"/>
              </w:rPr>
            </w:pPr>
            <w:r>
              <w:rPr>
                <w:rFonts w:hint="eastAsia" w:eastAsia="宋体"/>
                <w:sz w:val="20"/>
              </w:rPr>
              <w:t>压力型扩体锚杆</w:t>
            </w:r>
          </w:p>
        </w:tc>
        <w:tc>
          <w:tcPr>
            <w:tcW w:w="1354" w:type="dxa"/>
            <w:vAlign w:val="center"/>
          </w:tcPr>
          <w:p w14:paraId="0F3C14CA">
            <w:pPr>
              <w:spacing w:line="360" w:lineRule="auto"/>
              <w:jc w:val="center"/>
              <w:rPr>
                <w:rFonts w:eastAsia="宋体"/>
                <w:sz w:val="20"/>
              </w:rPr>
            </w:pPr>
            <w:r>
              <w:rPr>
                <w:rFonts w:hint="eastAsia" w:eastAsia="宋体" w:cs="微软雅黑"/>
                <w:sz w:val="20"/>
              </w:rPr>
              <w:t>Ⅱ级</w:t>
            </w:r>
          </w:p>
        </w:tc>
        <w:tc>
          <w:tcPr>
            <w:tcW w:w="1354" w:type="dxa"/>
            <w:vAlign w:val="center"/>
          </w:tcPr>
          <w:p w14:paraId="0EF64973">
            <w:pPr>
              <w:spacing w:line="360" w:lineRule="auto"/>
              <w:jc w:val="center"/>
              <w:rPr>
                <w:rFonts w:eastAsia="宋体"/>
                <w:sz w:val="20"/>
              </w:rPr>
            </w:pPr>
            <w:r>
              <w:rPr>
                <w:rFonts w:hint="eastAsia" w:eastAsia="宋体" w:cs="微软雅黑"/>
                <w:sz w:val="20"/>
              </w:rPr>
              <w:t>Ⅰ级</w:t>
            </w:r>
          </w:p>
        </w:tc>
        <w:tc>
          <w:tcPr>
            <w:tcW w:w="1354" w:type="dxa"/>
            <w:vAlign w:val="center"/>
          </w:tcPr>
          <w:p w14:paraId="196C7FDF">
            <w:pPr>
              <w:spacing w:line="360" w:lineRule="auto"/>
              <w:jc w:val="center"/>
              <w:rPr>
                <w:rFonts w:eastAsia="宋体"/>
                <w:sz w:val="20"/>
              </w:rPr>
            </w:pPr>
            <w:r>
              <w:rPr>
                <w:rFonts w:hint="eastAsia" w:eastAsia="宋体" w:cs="微软雅黑"/>
                <w:sz w:val="20"/>
              </w:rPr>
              <w:t>Ⅰ级</w:t>
            </w:r>
          </w:p>
        </w:tc>
        <w:tc>
          <w:tcPr>
            <w:tcW w:w="1354" w:type="dxa"/>
            <w:vAlign w:val="center"/>
          </w:tcPr>
          <w:p w14:paraId="72723F3D">
            <w:pPr>
              <w:spacing w:line="360" w:lineRule="auto"/>
              <w:jc w:val="center"/>
              <w:rPr>
                <w:rFonts w:eastAsia="宋体"/>
                <w:sz w:val="20"/>
              </w:rPr>
            </w:pPr>
            <w:r>
              <w:rPr>
                <w:rFonts w:hint="eastAsia" w:eastAsia="宋体"/>
                <w:sz w:val="20"/>
              </w:rPr>
              <w:t>*</w:t>
            </w:r>
          </w:p>
        </w:tc>
      </w:tr>
    </w:tbl>
    <w:p w14:paraId="6CE5D84C">
      <w:pPr>
        <w:spacing w:line="360" w:lineRule="auto"/>
        <w:rPr>
          <w:rFonts w:eastAsia="宋体"/>
          <w:sz w:val="24"/>
          <w:szCs w:val="32"/>
        </w:rPr>
      </w:pPr>
      <w:r>
        <w:rPr>
          <w:rFonts w:eastAsia="宋体"/>
          <w:sz w:val="24"/>
          <w:szCs w:val="32"/>
        </w:rPr>
        <w:t>注：“</w:t>
      </w:r>
      <w:r>
        <w:rPr>
          <w:rFonts w:hint="eastAsia" w:eastAsia="宋体"/>
          <w:sz w:val="21"/>
          <w:szCs w:val="21"/>
        </w:rPr>
        <w:t>*</w:t>
      </w:r>
      <w:r>
        <w:rPr>
          <w:rFonts w:eastAsia="宋体"/>
          <w:sz w:val="24"/>
          <w:szCs w:val="32"/>
        </w:rPr>
        <w:t>”表示该腐蚀等级的防腐措施应</w:t>
      </w:r>
      <w:r>
        <w:rPr>
          <w:rFonts w:hint="eastAsia" w:eastAsia="宋体"/>
          <w:sz w:val="24"/>
          <w:szCs w:val="32"/>
        </w:rPr>
        <w:t>通</w:t>
      </w:r>
      <w:r>
        <w:rPr>
          <w:rFonts w:eastAsia="宋体"/>
          <w:sz w:val="24"/>
          <w:szCs w:val="32"/>
        </w:rPr>
        <w:t>过专项技术研究和论证。</w:t>
      </w:r>
    </w:p>
    <w:p w14:paraId="48A7C4F5">
      <w:pPr>
        <w:numPr>
          <w:ilvl w:val="2"/>
          <w:numId w:val="2"/>
        </w:numPr>
        <w:spacing w:line="360" w:lineRule="auto"/>
        <w:ind w:left="0" w:firstLine="0"/>
        <w:jc w:val="left"/>
        <w:rPr>
          <w:rFonts w:eastAsiaTheme="minorEastAsia"/>
          <w:sz w:val="24"/>
          <w:szCs w:val="24"/>
        </w:rPr>
      </w:pPr>
      <w:r>
        <w:rPr>
          <w:rFonts w:eastAsiaTheme="minorEastAsia"/>
          <w:sz w:val="24"/>
          <w:szCs w:val="24"/>
        </w:rPr>
        <w:t>锚杆各级防护要求应不低于</w:t>
      </w:r>
      <w:r>
        <w:rPr>
          <w:rFonts w:hint="eastAsia" w:eastAsiaTheme="minorEastAsia"/>
          <w:sz w:val="24"/>
          <w:szCs w:val="24"/>
        </w:rPr>
        <w:t>本标准表8.2.15</w:t>
      </w:r>
      <w:r>
        <w:rPr>
          <w:rFonts w:eastAsiaTheme="minorEastAsia"/>
          <w:sz w:val="24"/>
          <w:szCs w:val="24"/>
        </w:rPr>
        <w:t>的要求</w:t>
      </w:r>
      <w:r>
        <w:rPr>
          <w:rFonts w:hint="eastAsia" w:eastAsiaTheme="minorEastAsia"/>
          <w:sz w:val="24"/>
          <w:szCs w:val="24"/>
        </w:rPr>
        <w:t>，不同防腐等级的防腐作法应符合附录C要求</w:t>
      </w:r>
      <w:r>
        <w:rPr>
          <w:rFonts w:eastAsiaTheme="minorEastAsia"/>
          <w:sz w:val="24"/>
          <w:szCs w:val="24"/>
        </w:rPr>
        <w:t>。</w:t>
      </w:r>
    </w:p>
    <w:p w14:paraId="673BD3D4">
      <w:pPr>
        <w:numPr>
          <w:ilvl w:val="2"/>
          <w:numId w:val="2"/>
        </w:numPr>
        <w:spacing w:line="360" w:lineRule="auto"/>
        <w:ind w:left="0" w:firstLine="0"/>
        <w:jc w:val="left"/>
        <w:rPr>
          <w:rFonts w:eastAsiaTheme="minorEastAsia"/>
          <w:sz w:val="24"/>
          <w:szCs w:val="24"/>
        </w:rPr>
      </w:pPr>
      <w:r>
        <w:rPr>
          <w:rFonts w:hint="eastAsia" w:eastAsiaTheme="minorEastAsia"/>
          <w:sz w:val="24"/>
          <w:szCs w:val="24"/>
        </w:rPr>
        <w:t>筋体保护层厚度不应小于25mm，且不应小于钢筋直径，锚杆的锚具、垫板及端头筋体混凝土保护层厚不应小于50mm，筋体间净距不小于10mm。</w:t>
      </w:r>
    </w:p>
    <w:p w14:paraId="7D3A4A46">
      <w:pPr>
        <w:numPr>
          <w:ilvl w:val="2"/>
          <w:numId w:val="2"/>
        </w:numPr>
        <w:spacing w:line="360" w:lineRule="auto"/>
        <w:ind w:left="0" w:firstLine="0"/>
        <w:jc w:val="left"/>
        <w:rPr>
          <w:rFonts w:eastAsiaTheme="minorEastAsia"/>
          <w:sz w:val="24"/>
          <w:szCs w:val="24"/>
        </w:rPr>
      </w:pPr>
      <w:r>
        <w:rPr>
          <w:rFonts w:hint="eastAsia" w:eastAsiaTheme="minorEastAsia"/>
          <w:sz w:val="24"/>
          <w:szCs w:val="24"/>
        </w:rPr>
        <w:t>抗浮浆体防护应满足表8.2.18要求</w:t>
      </w:r>
      <w:r>
        <w:rPr>
          <w:rFonts w:eastAsiaTheme="minorEastAsia"/>
          <w:sz w:val="24"/>
          <w:szCs w:val="24"/>
        </w:rPr>
        <w:t>。</w:t>
      </w:r>
    </w:p>
    <w:p w14:paraId="40404C9A">
      <w:pPr>
        <w:spacing w:line="360" w:lineRule="auto"/>
        <w:jc w:val="center"/>
        <w:rPr>
          <w:sz w:val="22"/>
          <w:szCs w:val="22"/>
        </w:rPr>
      </w:pPr>
      <w:r>
        <w:rPr>
          <w:rFonts w:hint="eastAsia"/>
          <w:sz w:val="22"/>
          <w:szCs w:val="22"/>
        </w:rPr>
        <w:t>表8.2.18  抗浮锚杆浆体防护要求</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1410"/>
        <w:gridCol w:w="1419"/>
        <w:gridCol w:w="1420"/>
        <w:gridCol w:w="1616"/>
      </w:tblGrid>
      <w:tr w14:paraId="753A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8" w:type="dxa"/>
            <w:gridSpan w:val="3"/>
            <w:vAlign w:val="center"/>
          </w:tcPr>
          <w:p w14:paraId="7DC77C72">
            <w:pPr>
              <w:jc w:val="center"/>
              <w:rPr>
                <w:rFonts w:eastAsia="宋体"/>
                <w:sz w:val="21"/>
              </w:rPr>
            </w:pPr>
            <w:r>
              <w:rPr>
                <w:rFonts w:hint="eastAsia" w:eastAsia="宋体"/>
                <w:sz w:val="21"/>
              </w:rPr>
              <w:t>腐蚀性介质和强度等级</w:t>
            </w:r>
          </w:p>
        </w:tc>
        <w:tc>
          <w:tcPr>
            <w:tcW w:w="3036" w:type="dxa"/>
            <w:gridSpan w:val="2"/>
            <w:vAlign w:val="center"/>
          </w:tcPr>
          <w:p w14:paraId="68FE0CB6">
            <w:pPr>
              <w:jc w:val="center"/>
              <w:rPr>
                <w:rFonts w:eastAsia="宋体"/>
                <w:sz w:val="21"/>
              </w:rPr>
            </w:pPr>
            <w:r>
              <w:rPr>
                <w:rFonts w:hint="eastAsia" w:eastAsia="宋体"/>
                <w:sz w:val="21"/>
              </w:rPr>
              <w:t>保护措施和要求</w:t>
            </w:r>
          </w:p>
        </w:tc>
      </w:tr>
      <w:tr w14:paraId="1BE1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restart"/>
            <w:vAlign w:val="center"/>
          </w:tcPr>
          <w:p w14:paraId="6053306F">
            <w:pPr>
              <w:tabs>
                <w:tab w:val="left" w:pos="1348"/>
              </w:tabs>
              <w:jc w:val="center"/>
              <w:rPr>
                <w:rFonts w:eastAsia="宋体"/>
                <w:sz w:val="21"/>
              </w:rPr>
            </w:pPr>
            <w:r>
              <w:rPr>
                <w:rFonts w:hint="eastAsia" w:eastAsia="宋体"/>
                <w:sz w:val="21"/>
              </w:rPr>
              <w:t>SO</w:t>
            </w:r>
            <w:r>
              <w:rPr>
                <w:rFonts w:hint="eastAsia" w:eastAsia="宋体"/>
                <w:sz w:val="21"/>
                <w:vertAlign w:val="subscript"/>
              </w:rPr>
              <w:t>4</w:t>
            </w:r>
            <w:r>
              <w:rPr>
                <w:rFonts w:hint="eastAsia" w:eastAsia="宋体"/>
                <w:sz w:val="21"/>
                <w:vertAlign w:val="superscript"/>
              </w:rPr>
              <w:t>2-</w:t>
            </w:r>
          </w:p>
        </w:tc>
        <w:tc>
          <w:tcPr>
            <w:tcW w:w="1410" w:type="dxa"/>
            <w:vMerge w:val="restart"/>
            <w:vAlign w:val="center"/>
          </w:tcPr>
          <w:p w14:paraId="7275EB43">
            <w:pPr>
              <w:tabs>
                <w:tab w:val="left" w:pos="1348"/>
              </w:tabs>
              <w:jc w:val="center"/>
              <w:rPr>
                <w:rFonts w:eastAsia="宋体"/>
                <w:sz w:val="21"/>
              </w:rPr>
            </w:pPr>
            <w:r>
              <w:rPr>
                <w:rFonts w:hint="eastAsia" w:eastAsia="宋体"/>
                <w:sz w:val="21"/>
              </w:rPr>
              <w:t>SO</w:t>
            </w:r>
            <w:r>
              <w:rPr>
                <w:rFonts w:hint="eastAsia" w:eastAsia="宋体"/>
                <w:sz w:val="21"/>
                <w:vertAlign w:val="subscript"/>
              </w:rPr>
              <w:t>4</w:t>
            </w:r>
            <w:r>
              <w:rPr>
                <w:rFonts w:hint="eastAsia" w:eastAsia="宋体"/>
                <w:sz w:val="21"/>
                <w:vertAlign w:val="superscript"/>
              </w:rPr>
              <w:t xml:space="preserve">2- </w:t>
            </w:r>
            <w:r>
              <w:rPr>
                <w:rFonts w:hint="eastAsia" w:eastAsia="宋体"/>
                <w:sz w:val="21"/>
              </w:rPr>
              <w:t>含量（mg/L）</w:t>
            </w:r>
          </w:p>
        </w:tc>
        <w:tc>
          <w:tcPr>
            <w:tcW w:w="1419" w:type="dxa"/>
            <w:vAlign w:val="center"/>
          </w:tcPr>
          <w:p w14:paraId="30CF5A7C">
            <w:pPr>
              <w:tabs>
                <w:tab w:val="left" w:pos="1348"/>
              </w:tabs>
              <w:jc w:val="center"/>
              <w:rPr>
                <w:rFonts w:eastAsia="宋体"/>
                <w:sz w:val="21"/>
              </w:rPr>
            </w:pPr>
            <w:r>
              <w:rPr>
                <w:rFonts w:hint="eastAsia" w:eastAsia="宋体"/>
                <w:sz w:val="21"/>
              </w:rPr>
              <w:t>≤2500</w:t>
            </w:r>
          </w:p>
        </w:tc>
        <w:tc>
          <w:tcPr>
            <w:tcW w:w="1420" w:type="dxa"/>
            <w:vAlign w:val="center"/>
          </w:tcPr>
          <w:p w14:paraId="1DCF0551">
            <w:pPr>
              <w:tabs>
                <w:tab w:val="left" w:pos="1348"/>
              </w:tabs>
              <w:jc w:val="center"/>
              <w:rPr>
                <w:rFonts w:eastAsia="宋体"/>
                <w:sz w:val="21"/>
              </w:rPr>
            </w:pPr>
            <w:r>
              <w:rPr>
                <w:rFonts w:hint="eastAsia" w:eastAsia="宋体"/>
                <w:sz w:val="21"/>
              </w:rPr>
              <w:t>P.MSR</w:t>
            </w:r>
          </w:p>
        </w:tc>
        <w:tc>
          <w:tcPr>
            <w:tcW w:w="1616" w:type="dxa"/>
            <w:vMerge w:val="restart"/>
            <w:vAlign w:val="center"/>
          </w:tcPr>
          <w:p w14:paraId="2A0BA5BB">
            <w:pPr>
              <w:tabs>
                <w:tab w:val="left" w:pos="1348"/>
              </w:tabs>
              <w:jc w:val="center"/>
              <w:rPr>
                <w:rFonts w:eastAsia="宋体"/>
                <w:sz w:val="21"/>
              </w:rPr>
            </w:pPr>
            <w:r>
              <w:rPr>
                <w:rFonts w:hint="eastAsia" w:eastAsia="宋体"/>
                <w:sz w:val="21"/>
              </w:rPr>
              <w:t>采用抗硫酸盐水泥</w:t>
            </w:r>
          </w:p>
        </w:tc>
      </w:tr>
      <w:tr w14:paraId="5771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continue"/>
            <w:vAlign w:val="center"/>
          </w:tcPr>
          <w:p w14:paraId="3E4FED6B">
            <w:pPr>
              <w:tabs>
                <w:tab w:val="left" w:pos="1348"/>
              </w:tabs>
              <w:jc w:val="center"/>
              <w:rPr>
                <w:rFonts w:eastAsia="宋体"/>
                <w:sz w:val="21"/>
              </w:rPr>
            </w:pPr>
          </w:p>
        </w:tc>
        <w:tc>
          <w:tcPr>
            <w:tcW w:w="1410" w:type="dxa"/>
            <w:vMerge w:val="continue"/>
            <w:vAlign w:val="center"/>
          </w:tcPr>
          <w:p w14:paraId="1B53E53C">
            <w:pPr>
              <w:tabs>
                <w:tab w:val="left" w:pos="1348"/>
              </w:tabs>
              <w:jc w:val="center"/>
              <w:rPr>
                <w:rFonts w:eastAsia="宋体"/>
                <w:sz w:val="21"/>
              </w:rPr>
            </w:pPr>
          </w:p>
        </w:tc>
        <w:tc>
          <w:tcPr>
            <w:tcW w:w="1419" w:type="dxa"/>
            <w:vAlign w:val="center"/>
          </w:tcPr>
          <w:p w14:paraId="7C8DED95">
            <w:pPr>
              <w:tabs>
                <w:tab w:val="left" w:pos="1348"/>
              </w:tabs>
              <w:jc w:val="center"/>
              <w:rPr>
                <w:rFonts w:eastAsia="宋体"/>
                <w:sz w:val="21"/>
              </w:rPr>
            </w:pPr>
            <w:r>
              <w:rPr>
                <w:rFonts w:hint="eastAsia" w:eastAsia="宋体"/>
                <w:sz w:val="21"/>
              </w:rPr>
              <w:t>≤8000</w:t>
            </w:r>
          </w:p>
        </w:tc>
        <w:tc>
          <w:tcPr>
            <w:tcW w:w="1420" w:type="dxa"/>
            <w:vAlign w:val="center"/>
          </w:tcPr>
          <w:p w14:paraId="6BE07592">
            <w:pPr>
              <w:tabs>
                <w:tab w:val="left" w:pos="1348"/>
              </w:tabs>
              <w:jc w:val="center"/>
              <w:rPr>
                <w:rFonts w:eastAsia="宋体"/>
                <w:sz w:val="21"/>
              </w:rPr>
            </w:pPr>
            <w:r>
              <w:rPr>
                <w:rFonts w:hint="eastAsia" w:eastAsia="宋体"/>
                <w:sz w:val="21"/>
              </w:rPr>
              <w:t>P.HSR</w:t>
            </w:r>
          </w:p>
        </w:tc>
        <w:tc>
          <w:tcPr>
            <w:tcW w:w="1616" w:type="dxa"/>
            <w:vMerge w:val="continue"/>
            <w:vAlign w:val="center"/>
          </w:tcPr>
          <w:p w14:paraId="1D0B5967">
            <w:pPr>
              <w:tabs>
                <w:tab w:val="left" w:pos="1348"/>
              </w:tabs>
              <w:jc w:val="center"/>
              <w:rPr>
                <w:rFonts w:eastAsia="宋体"/>
                <w:sz w:val="21"/>
              </w:rPr>
            </w:pPr>
          </w:p>
        </w:tc>
      </w:tr>
      <w:tr w14:paraId="06E3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continue"/>
            <w:vAlign w:val="center"/>
          </w:tcPr>
          <w:p w14:paraId="391C8654">
            <w:pPr>
              <w:tabs>
                <w:tab w:val="left" w:pos="1348"/>
              </w:tabs>
              <w:jc w:val="center"/>
              <w:rPr>
                <w:rFonts w:eastAsia="宋体"/>
                <w:sz w:val="21"/>
              </w:rPr>
            </w:pPr>
          </w:p>
        </w:tc>
        <w:tc>
          <w:tcPr>
            <w:tcW w:w="1410" w:type="dxa"/>
            <w:vMerge w:val="restart"/>
            <w:vAlign w:val="center"/>
          </w:tcPr>
          <w:p w14:paraId="165A08C7">
            <w:pPr>
              <w:tabs>
                <w:tab w:val="left" w:pos="1348"/>
              </w:tabs>
              <w:jc w:val="center"/>
              <w:rPr>
                <w:rFonts w:eastAsia="宋体"/>
                <w:sz w:val="21"/>
              </w:rPr>
            </w:pPr>
            <w:r>
              <w:rPr>
                <w:rFonts w:hint="eastAsia" w:eastAsia="宋体"/>
                <w:sz w:val="21"/>
              </w:rPr>
              <w:t>腐蚀等级</w:t>
            </w:r>
          </w:p>
        </w:tc>
        <w:tc>
          <w:tcPr>
            <w:tcW w:w="1419" w:type="dxa"/>
            <w:vAlign w:val="center"/>
          </w:tcPr>
          <w:p w14:paraId="170F7FFB">
            <w:pPr>
              <w:tabs>
                <w:tab w:val="left" w:pos="1348"/>
              </w:tabs>
              <w:jc w:val="center"/>
              <w:rPr>
                <w:rFonts w:eastAsia="宋体"/>
                <w:sz w:val="21"/>
              </w:rPr>
            </w:pPr>
            <w:r>
              <w:rPr>
                <w:rFonts w:hint="eastAsia" w:eastAsia="宋体"/>
                <w:sz w:val="21"/>
              </w:rPr>
              <w:t>弱</w:t>
            </w:r>
          </w:p>
        </w:tc>
        <w:tc>
          <w:tcPr>
            <w:tcW w:w="1420" w:type="dxa"/>
            <w:vAlign w:val="center"/>
          </w:tcPr>
          <w:p w14:paraId="48AD70D0">
            <w:pPr>
              <w:tabs>
                <w:tab w:val="left" w:pos="1348"/>
              </w:tabs>
              <w:jc w:val="center"/>
              <w:rPr>
                <w:rFonts w:eastAsia="宋体"/>
                <w:sz w:val="21"/>
              </w:rPr>
            </w:pPr>
            <w:r>
              <w:rPr>
                <w:rFonts w:hint="eastAsia" w:eastAsia="宋体"/>
                <w:sz w:val="21"/>
              </w:rPr>
              <w:t>≥20mm</w:t>
            </w:r>
          </w:p>
        </w:tc>
        <w:tc>
          <w:tcPr>
            <w:tcW w:w="1616" w:type="dxa"/>
            <w:vMerge w:val="restart"/>
            <w:vAlign w:val="center"/>
          </w:tcPr>
          <w:p w14:paraId="40CDB0FB">
            <w:pPr>
              <w:tabs>
                <w:tab w:val="left" w:pos="1348"/>
              </w:tabs>
              <w:jc w:val="center"/>
              <w:rPr>
                <w:rFonts w:eastAsia="宋体"/>
                <w:sz w:val="21"/>
              </w:rPr>
            </w:pPr>
            <w:r>
              <w:rPr>
                <w:rFonts w:hint="eastAsia" w:eastAsia="宋体"/>
                <w:sz w:val="21"/>
              </w:rPr>
              <w:t>增加浆体</w:t>
            </w:r>
          </w:p>
          <w:p w14:paraId="2E0B69B9">
            <w:pPr>
              <w:tabs>
                <w:tab w:val="left" w:pos="1348"/>
              </w:tabs>
              <w:jc w:val="center"/>
              <w:rPr>
                <w:rFonts w:eastAsia="宋体"/>
                <w:sz w:val="21"/>
              </w:rPr>
            </w:pPr>
            <w:r>
              <w:rPr>
                <w:rFonts w:hint="eastAsia" w:eastAsia="宋体"/>
                <w:sz w:val="21"/>
              </w:rPr>
              <w:t>腐蚀裕量</w:t>
            </w:r>
          </w:p>
        </w:tc>
      </w:tr>
      <w:tr w14:paraId="2CDE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continue"/>
            <w:vAlign w:val="center"/>
          </w:tcPr>
          <w:p w14:paraId="6538C2A6">
            <w:pPr>
              <w:tabs>
                <w:tab w:val="left" w:pos="1348"/>
              </w:tabs>
              <w:jc w:val="center"/>
              <w:rPr>
                <w:rFonts w:eastAsia="宋体"/>
                <w:sz w:val="21"/>
              </w:rPr>
            </w:pPr>
          </w:p>
        </w:tc>
        <w:tc>
          <w:tcPr>
            <w:tcW w:w="1410" w:type="dxa"/>
            <w:vMerge w:val="continue"/>
            <w:vAlign w:val="center"/>
          </w:tcPr>
          <w:p w14:paraId="4D903604">
            <w:pPr>
              <w:tabs>
                <w:tab w:val="left" w:pos="1348"/>
              </w:tabs>
              <w:jc w:val="center"/>
              <w:rPr>
                <w:rFonts w:eastAsia="宋体"/>
                <w:sz w:val="21"/>
              </w:rPr>
            </w:pPr>
          </w:p>
        </w:tc>
        <w:tc>
          <w:tcPr>
            <w:tcW w:w="1419" w:type="dxa"/>
            <w:vAlign w:val="center"/>
          </w:tcPr>
          <w:p w14:paraId="30751DE2">
            <w:pPr>
              <w:tabs>
                <w:tab w:val="left" w:pos="1348"/>
              </w:tabs>
              <w:jc w:val="center"/>
              <w:rPr>
                <w:rFonts w:eastAsia="宋体"/>
                <w:sz w:val="21"/>
              </w:rPr>
            </w:pPr>
            <w:r>
              <w:rPr>
                <w:rFonts w:hint="eastAsia" w:eastAsia="宋体"/>
                <w:sz w:val="21"/>
              </w:rPr>
              <w:t>中</w:t>
            </w:r>
          </w:p>
        </w:tc>
        <w:tc>
          <w:tcPr>
            <w:tcW w:w="1420" w:type="dxa"/>
            <w:vAlign w:val="center"/>
          </w:tcPr>
          <w:p w14:paraId="18082632">
            <w:pPr>
              <w:tabs>
                <w:tab w:val="left" w:pos="1348"/>
              </w:tabs>
              <w:jc w:val="center"/>
              <w:rPr>
                <w:rFonts w:eastAsia="宋体"/>
                <w:sz w:val="21"/>
              </w:rPr>
            </w:pPr>
            <w:r>
              <w:rPr>
                <w:rFonts w:hint="eastAsia" w:eastAsia="宋体"/>
                <w:sz w:val="21"/>
              </w:rPr>
              <w:t>≥40mm</w:t>
            </w:r>
          </w:p>
        </w:tc>
        <w:tc>
          <w:tcPr>
            <w:tcW w:w="1616" w:type="dxa"/>
            <w:vMerge w:val="continue"/>
            <w:vAlign w:val="center"/>
          </w:tcPr>
          <w:p w14:paraId="0BADFD65">
            <w:pPr>
              <w:tabs>
                <w:tab w:val="left" w:pos="1348"/>
              </w:tabs>
              <w:jc w:val="center"/>
              <w:rPr>
                <w:rFonts w:eastAsia="宋体"/>
                <w:sz w:val="21"/>
              </w:rPr>
            </w:pPr>
          </w:p>
        </w:tc>
      </w:tr>
      <w:tr w14:paraId="23C7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restart"/>
            <w:vAlign w:val="center"/>
          </w:tcPr>
          <w:p w14:paraId="7A49EFEB">
            <w:pPr>
              <w:tabs>
                <w:tab w:val="left" w:pos="1348"/>
              </w:tabs>
              <w:jc w:val="center"/>
              <w:rPr>
                <w:rFonts w:eastAsia="宋体"/>
                <w:sz w:val="21"/>
              </w:rPr>
            </w:pPr>
            <w:r>
              <w:rPr>
                <w:rFonts w:hint="eastAsia" w:eastAsia="宋体"/>
                <w:sz w:val="21"/>
              </w:rPr>
              <w:t>pH值</w:t>
            </w:r>
          </w:p>
        </w:tc>
        <w:tc>
          <w:tcPr>
            <w:tcW w:w="1410" w:type="dxa"/>
            <w:vMerge w:val="restart"/>
            <w:vAlign w:val="center"/>
          </w:tcPr>
          <w:p w14:paraId="0185F3B9">
            <w:pPr>
              <w:tabs>
                <w:tab w:val="left" w:pos="1348"/>
              </w:tabs>
              <w:jc w:val="center"/>
              <w:rPr>
                <w:rFonts w:eastAsia="宋体"/>
                <w:sz w:val="21"/>
                <w:szCs w:val="24"/>
              </w:rPr>
            </w:pPr>
            <w:r>
              <w:rPr>
                <w:rFonts w:hint="eastAsia" w:eastAsia="宋体"/>
                <w:sz w:val="21"/>
              </w:rPr>
              <w:t>腐蚀等级</w:t>
            </w:r>
          </w:p>
        </w:tc>
        <w:tc>
          <w:tcPr>
            <w:tcW w:w="1419" w:type="dxa"/>
            <w:vAlign w:val="center"/>
          </w:tcPr>
          <w:p w14:paraId="0AE3C2AC">
            <w:pPr>
              <w:tabs>
                <w:tab w:val="left" w:pos="1348"/>
              </w:tabs>
              <w:jc w:val="center"/>
              <w:rPr>
                <w:rFonts w:eastAsia="宋体"/>
                <w:sz w:val="21"/>
                <w:szCs w:val="24"/>
              </w:rPr>
            </w:pPr>
            <w:r>
              <w:rPr>
                <w:rFonts w:hint="eastAsia" w:eastAsia="宋体"/>
                <w:sz w:val="21"/>
              </w:rPr>
              <w:t>弱</w:t>
            </w:r>
          </w:p>
        </w:tc>
        <w:tc>
          <w:tcPr>
            <w:tcW w:w="1420" w:type="dxa"/>
            <w:vAlign w:val="center"/>
          </w:tcPr>
          <w:p w14:paraId="5EAFF861">
            <w:pPr>
              <w:tabs>
                <w:tab w:val="left" w:pos="1348"/>
              </w:tabs>
              <w:jc w:val="center"/>
              <w:rPr>
                <w:rFonts w:eastAsia="宋体"/>
                <w:sz w:val="21"/>
                <w:szCs w:val="24"/>
              </w:rPr>
            </w:pPr>
            <w:r>
              <w:rPr>
                <w:rFonts w:hint="eastAsia" w:eastAsia="宋体"/>
                <w:sz w:val="21"/>
              </w:rPr>
              <w:t>≥20mm</w:t>
            </w:r>
          </w:p>
        </w:tc>
        <w:tc>
          <w:tcPr>
            <w:tcW w:w="1616" w:type="dxa"/>
            <w:vMerge w:val="restart"/>
            <w:vAlign w:val="center"/>
          </w:tcPr>
          <w:p w14:paraId="1FD899EA">
            <w:pPr>
              <w:tabs>
                <w:tab w:val="left" w:pos="1348"/>
              </w:tabs>
              <w:jc w:val="center"/>
              <w:rPr>
                <w:rFonts w:eastAsia="宋体"/>
                <w:sz w:val="21"/>
              </w:rPr>
            </w:pPr>
            <w:r>
              <w:rPr>
                <w:rFonts w:hint="eastAsia" w:eastAsia="宋体"/>
                <w:sz w:val="21"/>
              </w:rPr>
              <w:t>增加浆体</w:t>
            </w:r>
          </w:p>
          <w:p w14:paraId="53955AC2">
            <w:pPr>
              <w:tabs>
                <w:tab w:val="left" w:pos="1348"/>
              </w:tabs>
              <w:jc w:val="center"/>
              <w:rPr>
                <w:rFonts w:eastAsia="宋体"/>
                <w:sz w:val="21"/>
              </w:rPr>
            </w:pPr>
            <w:r>
              <w:rPr>
                <w:rFonts w:hint="eastAsia" w:eastAsia="宋体"/>
                <w:sz w:val="21"/>
              </w:rPr>
              <w:t>腐蚀裕量</w:t>
            </w:r>
          </w:p>
        </w:tc>
      </w:tr>
      <w:tr w14:paraId="61DB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Merge w:val="continue"/>
            <w:vAlign w:val="center"/>
          </w:tcPr>
          <w:p w14:paraId="3B596360">
            <w:pPr>
              <w:tabs>
                <w:tab w:val="left" w:pos="1348"/>
              </w:tabs>
              <w:jc w:val="center"/>
              <w:rPr>
                <w:rFonts w:eastAsia="宋体"/>
                <w:sz w:val="21"/>
              </w:rPr>
            </w:pPr>
          </w:p>
        </w:tc>
        <w:tc>
          <w:tcPr>
            <w:tcW w:w="1410" w:type="dxa"/>
            <w:vMerge w:val="continue"/>
            <w:vAlign w:val="center"/>
          </w:tcPr>
          <w:p w14:paraId="6F462E77">
            <w:pPr>
              <w:tabs>
                <w:tab w:val="left" w:pos="1348"/>
              </w:tabs>
              <w:jc w:val="center"/>
              <w:rPr>
                <w:rFonts w:eastAsia="宋体"/>
                <w:sz w:val="21"/>
              </w:rPr>
            </w:pPr>
          </w:p>
        </w:tc>
        <w:tc>
          <w:tcPr>
            <w:tcW w:w="1419" w:type="dxa"/>
            <w:vAlign w:val="center"/>
          </w:tcPr>
          <w:p w14:paraId="72718E34">
            <w:pPr>
              <w:tabs>
                <w:tab w:val="left" w:pos="1348"/>
              </w:tabs>
              <w:jc w:val="center"/>
              <w:rPr>
                <w:rFonts w:eastAsia="宋体"/>
                <w:sz w:val="21"/>
                <w:szCs w:val="24"/>
              </w:rPr>
            </w:pPr>
            <w:r>
              <w:rPr>
                <w:rFonts w:hint="eastAsia" w:eastAsia="宋体"/>
                <w:sz w:val="21"/>
              </w:rPr>
              <w:t>中</w:t>
            </w:r>
          </w:p>
        </w:tc>
        <w:tc>
          <w:tcPr>
            <w:tcW w:w="1420" w:type="dxa"/>
            <w:vAlign w:val="center"/>
          </w:tcPr>
          <w:p w14:paraId="09694E37">
            <w:pPr>
              <w:tabs>
                <w:tab w:val="left" w:pos="1348"/>
              </w:tabs>
              <w:jc w:val="center"/>
              <w:rPr>
                <w:rFonts w:eastAsia="宋体"/>
                <w:sz w:val="21"/>
                <w:szCs w:val="24"/>
              </w:rPr>
            </w:pPr>
            <w:r>
              <w:rPr>
                <w:rFonts w:hint="eastAsia" w:eastAsia="宋体"/>
                <w:sz w:val="21"/>
              </w:rPr>
              <w:t>≥40mm</w:t>
            </w:r>
          </w:p>
        </w:tc>
        <w:tc>
          <w:tcPr>
            <w:tcW w:w="1616" w:type="dxa"/>
            <w:vMerge w:val="continue"/>
            <w:vAlign w:val="center"/>
          </w:tcPr>
          <w:p w14:paraId="27EA480F">
            <w:pPr>
              <w:tabs>
                <w:tab w:val="left" w:pos="1348"/>
              </w:tabs>
              <w:jc w:val="center"/>
              <w:rPr>
                <w:rFonts w:eastAsia="宋体"/>
                <w:sz w:val="21"/>
              </w:rPr>
            </w:pPr>
          </w:p>
        </w:tc>
      </w:tr>
      <w:tr w14:paraId="4F7F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Align w:val="center"/>
          </w:tcPr>
          <w:p w14:paraId="2F0657DD">
            <w:pPr>
              <w:tabs>
                <w:tab w:val="left" w:pos="1348"/>
              </w:tabs>
              <w:jc w:val="center"/>
              <w:rPr>
                <w:rFonts w:eastAsia="宋体"/>
                <w:sz w:val="21"/>
              </w:rPr>
            </w:pPr>
            <w:r>
              <w:rPr>
                <w:rFonts w:hint="eastAsia" w:eastAsia="宋体"/>
                <w:sz w:val="21"/>
              </w:rPr>
              <w:t>Cl</w:t>
            </w:r>
            <w:r>
              <w:rPr>
                <w:rFonts w:hint="eastAsia" w:eastAsia="宋体"/>
                <w:sz w:val="21"/>
                <w:vertAlign w:val="superscript"/>
              </w:rPr>
              <w:t>—</w:t>
            </w:r>
          </w:p>
        </w:tc>
        <w:tc>
          <w:tcPr>
            <w:tcW w:w="5865" w:type="dxa"/>
            <w:gridSpan w:val="4"/>
            <w:vAlign w:val="center"/>
          </w:tcPr>
          <w:p w14:paraId="21658A82">
            <w:pPr>
              <w:tabs>
                <w:tab w:val="left" w:pos="1348"/>
              </w:tabs>
              <w:jc w:val="center"/>
              <w:rPr>
                <w:rFonts w:eastAsia="宋体"/>
                <w:sz w:val="21"/>
              </w:rPr>
            </w:pPr>
            <w:r>
              <w:rPr>
                <w:rFonts w:hint="eastAsia" w:eastAsia="宋体"/>
                <w:sz w:val="21"/>
              </w:rPr>
              <w:t>浆体掺入阻锈剂</w:t>
            </w:r>
          </w:p>
        </w:tc>
      </w:tr>
    </w:tbl>
    <w:p w14:paraId="67721F92">
      <w:pPr>
        <w:spacing w:line="360" w:lineRule="auto"/>
        <w:jc w:val="left"/>
        <w:rPr>
          <w:rFonts w:eastAsia="楷体"/>
          <w:sz w:val="22"/>
          <w:szCs w:val="22"/>
        </w:rPr>
      </w:pPr>
      <w:r>
        <w:rPr>
          <w:rFonts w:eastAsia="楷体"/>
          <w:sz w:val="22"/>
          <w:szCs w:val="22"/>
        </w:rPr>
        <w:t>注：1.P.MSR一中抗硫酸盐硅酸盐水泥，P.HSR一高抗硫酸盐硅酸盐水泥。</w:t>
      </w:r>
    </w:p>
    <w:p w14:paraId="203213E9">
      <w:pPr>
        <w:spacing w:line="360" w:lineRule="auto"/>
        <w:ind w:firstLine="440" w:firstLineChars="200"/>
        <w:jc w:val="left"/>
        <w:rPr>
          <w:rFonts w:eastAsia="楷体"/>
          <w:sz w:val="22"/>
          <w:szCs w:val="22"/>
        </w:rPr>
      </w:pPr>
      <w:r>
        <w:rPr>
          <w:rFonts w:eastAsia="楷体"/>
          <w:sz w:val="22"/>
          <w:szCs w:val="22"/>
        </w:rPr>
        <w:t>2.氯化物环境下不宜使用抗硫酸盐硅酸盐水泥。</w:t>
      </w:r>
    </w:p>
    <w:p w14:paraId="3C328C64">
      <w:pPr>
        <w:adjustRightInd w:val="0"/>
        <w:snapToGrid w:val="0"/>
        <w:spacing w:line="360" w:lineRule="auto"/>
        <w:jc w:val="center"/>
        <w:outlineLvl w:val="2"/>
        <w:rPr>
          <w:rFonts w:eastAsia="宋体"/>
          <w:b/>
          <w:sz w:val="22"/>
          <w:szCs w:val="22"/>
        </w:rPr>
      </w:pPr>
      <w:bookmarkStart w:id="147" w:name="_Toc8799"/>
      <w:bookmarkStart w:id="148" w:name="_Toc8185"/>
      <w:bookmarkStart w:id="149" w:name="_Toc28739"/>
      <w:bookmarkStart w:id="150" w:name="_Toc16213"/>
      <w:bookmarkStart w:id="151" w:name="_Toc6071"/>
      <w:r>
        <w:rPr>
          <w:rFonts w:hint="eastAsia" w:eastAsia="宋体"/>
          <w:b/>
          <w:sz w:val="22"/>
          <w:szCs w:val="22"/>
        </w:rPr>
        <w:t>Ⅳ  锚固节点</w:t>
      </w:r>
      <w:bookmarkEnd w:id="147"/>
      <w:bookmarkEnd w:id="148"/>
      <w:bookmarkEnd w:id="149"/>
      <w:bookmarkEnd w:id="150"/>
      <w:bookmarkEnd w:id="151"/>
    </w:p>
    <w:p w14:paraId="7A409B63">
      <w:pPr>
        <w:numPr>
          <w:ilvl w:val="2"/>
          <w:numId w:val="2"/>
        </w:numPr>
        <w:spacing w:line="360" w:lineRule="auto"/>
        <w:ind w:left="0" w:firstLine="0"/>
        <w:jc w:val="left"/>
        <w:rPr>
          <w:rFonts w:eastAsia="宋体"/>
          <w:sz w:val="24"/>
          <w:szCs w:val="32"/>
        </w:rPr>
      </w:pPr>
      <w:r>
        <w:rPr>
          <w:rFonts w:eastAsia="宋体"/>
          <w:sz w:val="24"/>
          <w:szCs w:val="32"/>
        </w:rPr>
        <w:t>非预应力抗浮锚杆与</w:t>
      </w:r>
      <w:r>
        <w:rPr>
          <w:rFonts w:hint="eastAsia" w:eastAsia="宋体"/>
          <w:sz w:val="24"/>
          <w:szCs w:val="32"/>
        </w:rPr>
        <w:t>地下结构底板锚固</w:t>
      </w:r>
      <w:r>
        <w:rPr>
          <w:rFonts w:eastAsia="宋体"/>
          <w:sz w:val="24"/>
          <w:szCs w:val="32"/>
        </w:rPr>
        <w:t>连</w:t>
      </w:r>
      <w:r>
        <w:rPr>
          <w:rFonts w:hint="eastAsia" w:eastAsia="宋体"/>
          <w:sz w:val="24"/>
          <w:szCs w:val="32"/>
        </w:rPr>
        <w:t>结</w:t>
      </w:r>
      <w:r>
        <w:rPr>
          <w:rFonts w:eastAsia="宋体"/>
          <w:sz w:val="24"/>
          <w:szCs w:val="32"/>
        </w:rPr>
        <w:t>可采用直锚、弯钩或机械锚固等形式。</w:t>
      </w:r>
    </w:p>
    <w:p w14:paraId="1B96149C">
      <w:pPr>
        <w:numPr>
          <w:ilvl w:val="2"/>
          <w:numId w:val="2"/>
        </w:numPr>
        <w:spacing w:line="360" w:lineRule="auto"/>
        <w:ind w:left="0" w:firstLine="0"/>
        <w:jc w:val="left"/>
        <w:rPr>
          <w:rFonts w:eastAsia="宋体"/>
          <w:sz w:val="24"/>
          <w:szCs w:val="32"/>
        </w:rPr>
      </w:pPr>
      <w:r>
        <w:rPr>
          <w:rFonts w:eastAsia="宋体"/>
          <w:sz w:val="24"/>
          <w:szCs w:val="32"/>
        </w:rPr>
        <w:t>直锚、弯钩和</w:t>
      </w:r>
      <w:r>
        <w:rPr>
          <w:rFonts w:eastAsiaTheme="minorEastAsia"/>
          <w:sz w:val="24"/>
          <w:szCs w:val="24"/>
        </w:rPr>
        <w:t>机械</w:t>
      </w:r>
      <w:r>
        <w:rPr>
          <w:rFonts w:eastAsia="宋体"/>
          <w:sz w:val="24"/>
          <w:szCs w:val="32"/>
        </w:rPr>
        <w:t>锚固技术要求应符合</w:t>
      </w:r>
      <w:r>
        <w:rPr>
          <w:rFonts w:hint="eastAsia" w:eastAsia="宋体"/>
          <w:sz w:val="24"/>
          <w:szCs w:val="32"/>
        </w:rPr>
        <w:t>现行国家标准</w:t>
      </w:r>
      <w:r>
        <w:rPr>
          <w:rFonts w:eastAsia="宋体"/>
          <w:sz w:val="24"/>
          <w:szCs w:val="32"/>
        </w:rPr>
        <w:t>《混凝土结构设计</w:t>
      </w:r>
      <w:r>
        <w:rPr>
          <w:rFonts w:hint="eastAsia" w:eastAsia="宋体"/>
          <w:sz w:val="24"/>
          <w:szCs w:val="32"/>
        </w:rPr>
        <w:t>标准</w:t>
      </w:r>
      <w:r>
        <w:rPr>
          <w:rFonts w:eastAsia="宋体"/>
          <w:sz w:val="24"/>
          <w:szCs w:val="32"/>
        </w:rPr>
        <w:t>》GB</w:t>
      </w:r>
      <w:r>
        <w:rPr>
          <w:rFonts w:hint="eastAsia" w:eastAsia="宋体"/>
          <w:sz w:val="24"/>
          <w:szCs w:val="32"/>
        </w:rPr>
        <w:t>/T</w:t>
      </w:r>
      <w:r>
        <w:rPr>
          <w:rFonts w:eastAsia="宋体"/>
          <w:sz w:val="24"/>
          <w:szCs w:val="32"/>
        </w:rPr>
        <w:t xml:space="preserve"> 50010</w:t>
      </w:r>
      <w:r>
        <w:rPr>
          <w:rFonts w:hint="eastAsia" w:eastAsia="宋体"/>
          <w:sz w:val="24"/>
          <w:szCs w:val="32"/>
        </w:rPr>
        <w:t>和《钢筋锚固板应用技术规程》JGJ 256的相关规定。</w:t>
      </w:r>
    </w:p>
    <w:p w14:paraId="67A17106">
      <w:pPr>
        <w:numPr>
          <w:ilvl w:val="2"/>
          <w:numId w:val="2"/>
        </w:numPr>
        <w:spacing w:line="360" w:lineRule="auto"/>
        <w:ind w:left="0" w:firstLine="0"/>
        <w:jc w:val="left"/>
        <w:rPr>
          <w:rFonts w:eastAsia="宋体"/>
          <w:sz w:val="24"/>
          <w:szCs w:val="32"/>
        </w:rPr>
      </w:pPr>
      <w:r>
        <w:rPr>
          <w:rFonts w:hint="eastAsia" w:eastAsia="宋体"/>
          <w:sz w:val="24"/>
          <w:szCs w:val="32"/>
        </w:rPr>
        <w:t>非预应力抗浮锚杆与地下结构底板采用锚固板锚固时，抗浮锚杆筋体应与锚固板有效连结。锚固板平面尺寸应满足混凝土底板冲切和局部受压承载力要求，锚固板厚度应符合强度要求，锚固板强度验算可依据附录D计算。锚固板下底板受冲切有效高度不应小于250mm，并应将锚固板伸至地下结构底板顶面主筋位置。地下结构底板在抗浮锚杆轴向拉力作用下的受冲切承载力应符合现行国家标准《混凝土结构设计标准》GB/T 50010中有关受冲切承载力计算的规定。</w:t>
      </w:r>
    </w:p>
    <w:p w14:paraId="3779D08B">
      <w:pPr>
        <w:numPr>
          <w:ilvl w:val="2"/>
          <w:numId w:val="2"/>
        </w:numPr>
        <w:spacing w:line="360" w:lineRule="auto"/>
        <w:ind w:left="0" w:firstLine="0"/>
        <w:jc w:val="left"/>
        <w:rPr>
          <w:rFonts w:eastAsia="宋体"/>
          <w:sz w:val="24"/>
          <w:szCs w:val="32"/>
        </w:rPr>
      </w:pPr>
      <w:r>
        <w:rPr>
          <w:rFonts w:hint="eastAsia" w:eastAsia="宋体"/>
          <w:sz w:val="24"/>
          <w:szCs w:val="32"/>
        </w:rPr>
        <w:t>预应力锚杆与地下结构底板连结时，应采用垫板和锚夹具进行连结。垫板平面尺寸应符合混凝土底板冲切和局部受压承载力要求，垫板厚度应符合强度要求。</w:t>
      </w:r>
    </w:p>
    <w:p w14:paraId="57422469">
      <w:pPr>
        <w:numPr>
          <w:ilvl w:val="1"/>
          <w:numId w:val="2"/>
        </w:numPr>
        <w:spacing w:line="360" w:lineRule="auto"/>
        <w:ind w:left="0" w:firstLine="0"/>
        <w:jc w:val="center"/>
        <w:outlineLvl w:val="1"/>
        <w:rPr>
          <w:rFonts w:eastAsiaTheme="minorEastAsia"/>
          <w:b/>
          <w:bCs/>
          <w:sz w:val="24"/>
          <w:szCs w:val="24"/>
        </w:rPr>
      </w:pPr>
      <w:bookmarkStart w:id="152" w:name="_Toc29210"/>
      <w:bookmarkStart w:id="153" w:name="_Toc6036"/>
      <w:r>
        <w:rPr>
          <w:rFonts w:hint="eastAsia" w:eastAsiaTheme="minorEastAsia"/>
          <w:b/>
          <w:bCs/>
          <w:sz w:val="24"/>
          <w:szCs w:val="24"/>
        </w:rPr>
        <w:t>检测要求</w:t>
      </w:r>
      <w:bookmarkEnd w:id="152"/>
      <w:bookmarkEnd w:id="153"/>
    </w:p>
    <w:p w14:paraId="1F7BA7AA">
      <w:pPr>
        <w:numPr>
          <w:ilvl w:val="2"/>
          <w:numId w:val="2"/>
        </w:numPr>
        <w:spacing w:line="360" w:lineRule="auto"/>
        <w:ind w:left="0" w:firstLine="0"/>
        <w:jc w:val="left"/>
        <w:rPr>
          <w:rFonts w:eastAsia="宋体"/>
          <w:sz w:val="24"/>
          <w:szCs w:val="32"/>
        </w:rPr>
      </w:pPr>
      <w:r>
        <w:rPr>
          <w:rFonts w:hint="eastAsia" w:eastAsia="宋体"/>
          <w:sz w:val="24"/>
          <w:szCs w:val="32"/>
        </w:rPr>
        <w:t>抗浮锚杆</w:t>
      </w:r>
      <w:r>
        <w:rPr>
          <w:rFonts w:eastAsia="宋体"/>
          <w:sz w:val="24"/>
          <w:szCs w:val="32"/>
        </w:rPr>
        <w:t>验收</w:t>
      </w:r>
      <w:r>
        <w:rPr>
          <w:rFonts w:hint="eastAsia" w:eastAsia="宋体"/>
          <w:sz w:val="24"/>
          <w:szCs w:val="32"/>
        </w:rPr>
        <w:t>检验</w:t>
      </w:r>
      <w:r>
        <w:rPr>
          <w:rFonts w:eastAsia="宋体"/>
          <w:sz w:val="24"/>
          <w:szCs w:val="32"/>
        </w:rPr>
        <w:t>的</w:t>
      </w:r>
      <w:r>
        <w:rPr>
          <w:rFonts w:hint="eastAsia" w:eastAsia="宋体"/>
          <w:sz w:val="24"/>
          <w:szCs w:val="32"/>
        </w:rPr>
        <w:t>锚杆</w:t>
      </w:r>
      <w:r>
        <w:rPr>
          <w:rFonts w:eastAsia="宋体"/>
          <w:sz w:val="24"/>
          <w:szCs w:val="32"/>
        </w:rPr>
        <w:t>数量不</w:t>
      </w:r>
      <w:r>
        <w:rPr>
          <w:rFonts w:hint="eastAsia" w:eastAsia="宋体"/>
          <w:sz w:val="24"/>
          <w:szCs w:val="32"/>
        </w:rPr>
        <w:t>应</w:t>
      </w:r>
      <w:r>
        <w:rPr>
          <w:rFonts w:eastAsia="宋体"/>
          <w:sz w:val="24"/>
          <w:szCs w:val="32"/>
        </w:rPr>
        <w:t>少于每种类型锚杆总数的5%，且不应少于6根。</w:t>
      </w:r>
    </w:p>
    <w:p w14:paraId="65DBDE3A">
      <w:pPr>
        <w:numPr>
          <w:ilvl w:val="2"/>
          <w:numId w:val="2"/>
        </w:numPr>
        <w:spacing w:line="360" w:lineRule="auto"/>
        <w:ind w:left="0" w:firstLine="0"/>
        <w:jc w:val="left"/>
        <w:rPr>
          <w:rFonts w:eastAsia="宋体"/>
          <w:sz w:val="24"/>
          <w:szCs w:val="32"/>
        </w:rPr>
      </w:pPr>
      <w:r>
        <w:rPr>
          <w:rFonts w:hint="eastAsia" w:eastAsia="宋体"/>
          <w:sz w:val="24"/>
          <w:szCs w:val="32"/>
        </w:rPr>
        <w:t>验收试验</w:t>
      </w:r>
      <w:r>
        <w:rPr>
          <w:rFonts w:eastAsia="宋体"/>
          <w:sz w:val="24"/>
          <w:szCs w:val="32"/>
        </w:rPr>
        <w:t>检测最大加载值应不小于抗浮锚杆</w:t>
      </w:r>
      <w:r>
        <w:rPr>
          <w:rFonts w:hint="eastAsia" w:eastAsia="宋体"/>
          <w:sz w:val="24"/>
          <w:szCs w:val="32"/>
        </w:rPr>
        <w:t>抗拔承载力标准</w:t>
      </w:r>
      <w:r>
        <w:rPr>
          <w:rFonts w:eastAsia="宋体"/>
          <w:sz w:val="24"/>
          <w:szCs w:val="32"/>
        </w:rPr>
        <w:t>值的2倍</w:t>
      </w:r>
      <w:r>
        <w:rPr>
          <w:rFonts w:hint="eastAsia" w:eastAsia="宋体"/>
          <w:sz w:val="24"/>
          <w:szCs w:val="32"/>
        </w:rPr>
        <w:t>。</w:t>
      </w:r>
    </w:p>
    <w:p w14:paraId="3EE93D1F">
      <w:pPr>
        <w:numPr>
          <w:ilvl w:val="2"/>
          <w:numId w:val="2"/>
        </w:numPr>
        <w:spacing w:line="360" w:lineRule="auto"/>
        <w:ind w:left="0" w:firstLine="0"/>
        <w:jc w:val="left"/>
        <w:rPr>
          <w:rFonts w:eastAsia="宋体"/>
          <w:sz w:val="24"/>
          <w:szCs w:val="32"/>
        </w:rPr>
      </w:pPr>
      <w:r>
        <w:rPr>
          <w:rFonts w:hint="eastAsia" w:eastAsia="宋体"/>
          <w:sz w:val="24"/>
          <w:szCs w:val="32"/>
        </w:rPr>
        <w:t>土层全长粘结型抗浮锚杆应进行锚固质量检测，检测数量不少于锚杆总数的1</w:t>
      </w:r>
      <w:r>
        <w:rPr>
          <w:rFonts w:eastAsia="宋体"/>
          <w:sz w:val="24"/>
          <w:szCs w:val="32"/>
        </w:rPr>
        <w:t>0%</w:t>
      </w:r>
      <w:r>
        <w:rPr>
          <w:rFonts w:hint="eastAsia" w:eastAsia="宋体"/>
          <w:sz w:val="24"/>
          <w:szCs w:val="32"/>
        </w:rPr>
        <w:t>，且不少于2</w:t>
      </w:r>
      <w:r>
        <w:rPr>
          <w:rFonts w:eastAsia="宋体"/>
          <w:sz w:val="24"/>
          <w:szCs w:val="32"/>
        </w:rPr>
        <w:t>0</w:t>
      </w:r>
      <w:r>
        <w:rPr>
          <w:rFonts w:hint="eastAsia" w:eastAsia="宋体"/>
          <w:sz w:val="24"/>
          <w:szCs w:val="32"/>
        </w:rPr>
        <w:t>根。</w:t>
      </w:r>
    </w:p>
    <w:p w14:paraId="14DAB73D">
      <w:pPr>
        <w:numPr>
          <w:ilvl w:val="2"/>
          <w:numId w:val="2"/>
        </w:numPr>
        <w:spacing w:line="360" w:lineRule="auto"/>
        <w:ind w:left="0" w:firstLine="0"/>
        <w:jc w:val="left"/>
        <w:rPr>
          <w:rFonts w:eastAsia="宋体"/>
          <w:sz w:val="24"/>
          <w:szCs w:val="32"/>
        </w:rPr>
      </w:pPr>
      <w:r>
        <w:rPr>
          <w:rFonts w:hint="eastAsia" w:eastAsia="宋体"/>
          <w:sz w:val="24"/>
          <w:szCs w:val="32"/>
        </w:rPr>
        <w:t>预应力锚杆应进行锁定值检测，检测数量不少于锚杆总数的5</w:t>
      </w:r>
      <w:r>
        <w:rPr>
          <w:rFonts w:eastAsia="宋体"/>
          <w:sz w:val="24"/>
          <w:szCs w:val="32"/>
        </w:rPr>
        <w:t>%</w:t>
      </w:r>
      <w:r>
        <w:rPr>
          <w:rFonts w:hint="eastAsia" w:eastAsia="宋体"/>
          <w:sz w:val="24"/>
          <w:szCs w:val="32"/>
        </w:rPr>
        <w:t>。</w:t>
      </w:r>
    </w:p>
    <w:p w14:paraId="25B464FF">
      <w:pPr>
        <w:numPr>
          <w:ilvl w:val="2"/>
          <w:numId w:val="2"/>
        </w:numPr>
        <w:spacing w:line="360" w:lineRule="auto"/>
        <w:ind w:left="0" w:firstLine="0"/>
        <w:jc w:val="left"/>
        <w:rPr>
          <w:rFonts w:eastAsia="宋体"/>
          <w:sz w:val="24"/>
          <w:szCs w:val="32"/>
        </w:rPr>
      </w:pPr>
      <w:r>
        <w:rPr>
          <w:rFonts w:hint="eastAsia" w:eastAsia="宋体"/>
          <w:sz w:val="24"/>
          <w:szCs w:val="32"/>
        </w:rPr>
        <w:t>预应力锚杆采用缓粘结钢绞线作为筋体时，应按本工程附录B进行筋体有粘结和筋体无粘结的基本试验。验收试验和持荷试验按预应力锚杆执行。</w:t>
      </w:r>
    </w:p>
    <w:p w14:paraId="14934934">
      <w:pPr>
        <w:numPr>
          <w:ilvl w:val="1"/>
          <w:numId w:val="2"/>
        </w:numPr>
        <w:spacing w:line="360" w:lineRule="auto"/>
        <w:ind w:left="0" w:firstLine="0"/>
        <w:jc w:val="center"/>
        <w:outlineLvl w:val="1"/>
        <w:rPr>
          <w:rFonts w:eastAsiaTheme="minorEastAsia"/>
          <w:b/>
          <w:bCs/>
          <w:sz w:val="24"/>
          <w:szCs w:val="24"/>
        </w:rPr>
      </w:pPr>
      <w:bookmarkStart w:id="154" w:name="_Toc18493"/>
      <w:bookmarkStart w:id="155" w:name="_Toc13879"/>
      <w:bookmarkStart w:id="156" w:name="_Toc9932"/>
      <w:bookmarkStart w:id="157" w:name="_Toc19702"/>
      <w:bookmarkStart w:id="158" w:name="_Toc26001"/>
      <w:bookmarkStart w:id="159" w:name="_Toc1583"/>
      <w:r>
        <w:rPr>
          <w:rFonts w:eastAsiaTheme="minorEastAsia"/>
          <w:b/>
          <w:bCs/>
          <w:sz w:val="24"/>
          <w:szCs w:val="24"/>
        </w:rPr>
        <w:t>张拉与锁定</w:t>
      </w:r>
      <w:bookmarkEnd w:id="154"/>
      <w:bookmarkEnd w:id="155"/>
      <w:bookmarkEnd w:id="156"/>
      <w:bookmarkEnd w:id="157"/>
      <w:r>
        <w:rPr>
          <w:rFonts w:hint="eastAsia" w:eastAsiaTheme="minorEastAsia"/>
          <w:b/>
          <w:bCs/>
          <w:sz w:val="24"/>
          <w:szCs w:val="24"/>
        </w:rPr>
        <w:t>要求</w:t>
      </w:r>
      <w:bookmarkEnd w:id="158"/>
      <w:bookmarkEnd w:id="159"/>
    </w:p>
    <w:p w14:paraId="716C1D10">
      <w:pPr>
        <w:numPr>
          <w:ilvl w:val="2"/>
          <w:numId w:val="2"/>
        </w:numPr>
        <w:spacing w:line="360" w:lineRule="auto"/>
        <w:ind w:left="0" w:firstLine="0"/>
        <w:jc w:val="left"/>
        <w:rPr>
          <w:rFonts w:eastAsia="宋体"/>
          <w:sz w:val="24"/>
          <w:szCs w:val="32"/>
        </w:rPr>
      </w:pPr>
      <w:r>
        <w:rPr>
          <w:rFonts w:eastAsia="宋体"/>
          <w:sz w:val="24"/>
          <w:szCs w:val="32"/>
        </w:rPr>
        <w:t>预应力锚杆张拉前，应进行</w:t>
      </w:r>
      <w:r>
        <w:rPr>
          <w:rFonts w:hint="eastAsia" w:eastAsia="宋体"/>
          <w:sz w:val="24"/>
          <w:szCs w:val="32"/>
        </w:rPr>
        <w:t>超张拉</w:t>
      </w:r>
      <w:r>
        <w:rPr>
          <w:rFonts w:eastAsia="宋体"/>
          <w:sz w:val="24"/>
          <w:szCs w:val="32"/>
        </w:rPr>
        <w:t>试验</w:t>
      </w:r>
      <w:r>
        <w:rPr>
          <w:rFonts w:hint="eastAsia" w:eastAsia="宋体"/>
          <w:sz w:val="24"/>
          <w:szCs w:val="32"/>
        </w:rPr>
        <w:t>，试验</w:t>
      </w:r>
      <w:r>
        <w:rPr>
          <w:rFonts w:eastAsia="宋体"/>
          <w:sz w:val="24"/>
          <w:szCs w:val="32"/>
        </w:rPr>
        <w:t>数量不少于6根。</w:t>
      </w:r>
    </w:p>
    <w:p w14:paraId="5BA3F276">
      <w:pPr>
        <w:numPr>
          <w:ilvl w:val="2"/>
          <w:numId w:val="2"/>
        </w:numPr>
        <w:spacing w:line="360" w:lineRule="auto"/>
        <w:ind w:left="0" w:firstLine="0"/>
        <w:jc w:val="left"/>
        <w:rPr>
          <w:rFonts w:eastAsia="宋体"/>
          <w:sz w:val="24"/>
          <w:szCs w:val="32"/>
        </w:rPr>
      </w:pPr>
      <w:r>
        <w:rPr>
          <w:rFonts w:eastAsia="宋体"/>
          <w:sz w:val="24"/>
          <w:szCs w:val="32"/>
        </w:rPr>
        <w:t>预应力锚杆初始预应力值的确定应考虑基础结构变形控制要求。</w:t>
      </w:r>
    </w:p>
    <w:p w14:paraId="3B997840">
      <w:pPr>
        <w:numPr>
          <w:ilvl w:val="2"/>
          <w:numId w:val="2"/>
        </w:numPr>
        <w:spacing w:line="360" w:lineRule="auto"/>
        <w:ind w:left="0" w:firstLine="0"/>
        <w:jc w:val="left"/>
        <w:rPr>
          <w:rFonts w:eastAsia="宋体"/>
          <w:sz w:val="24"/>
          <w:szCs w:val="32"/>
        </w:rPr>
      </w:pPr>
      <w:r>
        <w:rPr>
          <w:rFonts w:eastAsia="宋体"/>
          <w:sz w:val="24"/>
          <w:szCs w:val="32"/>
        </w:rPr>
        <w:t>预应力锚杆的锁定时间应根据土层条件、结构荷载和地基基础变形完成情况综合确定，锁定工作宜在主体结构施加一定荷载后进行。</w:t>
      </w:r>
    </w:p>
    <w:p w14:paraId="09A711DC">
      <w:pPr>
        <w:numPr>
          <w:ilvl w:val="2"/>
          <w:numId w:val="2"/>
        </w:numPr>
        <w:spacing w:line="360" w:lineRule="auto"/>
        <w:ind w:left="0" w:firstLine="0"/>
        <w:jc w:val="left"/>
        <w:rPr>
          <w:rFonts w:eastAsia="宋体"/>
          <w:sz w:val="24"/>
          <w:szCs w:val="32"/>
        </w:rPr>
      </w:pPr>
      <w:r>
        <w:rPr>
          <w:rFonts w:eastAsia="宋体"/>
          <w:sz w:val="24"/>
          <w:szCs w:val="32"/>
        </w:rPr>
        <w:t>预应力锚杆锁定过程中，宜进行锚杆轴力监测</w:t>
      </w:r>
      <w:r>
        <w:rPr>
          <w:rFonts w:hint="eastAsia" w:eastAsia="宋体"/>
          <w:sz w:val="24"/>
          <w:szCs w:val="32"/>
        </w:rPr>
        <w:t>或锁定荷载试验</w:t>
      </w:r>
      <w:r>
        <w:rPr>
          <w:rFonts w:eastAsia="宋体"/>
          <w:sz w:val="24"/>
          <w:szCs w:val="32"/>
        </w:rPr>
        <w:t>，轴力损失超过</w:t>
      </w:r>
      <w:r>
        <w:rPr>
          <w:rFonts w:hint="eastAsia" w:eastAsia="宋体"/>
          <w:sz w:val="24"/>
          <w:szCs w:val="32"/>
        </w:rPr>
        <w:t>8</w:t>
      </w:r>
      <w:r>
        <w:rPr>
          <w:rFonts w:eastAsia="宋体"/>
          <w:sz w:val="24"/>
          <w:szCs w:val="32"/>
        </w:rPr>
        <w:t>%锁定值时，应进行补张拉。</w:t>
      </w:r>
    </w:p>
    <w:p w14:paraId="6964D9E5">
      <w:pPr>
        <w:spacing w:line="360" w:lineRule="auto"/>
        <w:rPr>
          <w:rFonts w:eastAsiaTheme="minorEastAsia"/>
          <w:sz w:val="24"/>
          <w:szCs w:val="24"/>
        </w:rPr>
      </w:pPr>
    </w:p>
    <w:p w14:paraId="5D081023">
      <w:pPr>
        <w:rPr>
          <w:rFonts w:eastAsiaTheme="minorEastAsia"/>
          <w:sz w:val="24"/>
          <w:szCs w:val="24"/>
        </w:rPr>
      </w:pPr>
      <w:r>
        <w:rPr>
          <w:rFonts w:eastAsiaTheme="minorEastAsia"/>
          <w:sz w:val="24"/>
          <w:szCs w:val="24"/>
        </w:rPr>
        <w:br w:type="page"/>
      </w:r>
    </w:p>
    <w:p w14:paraId="196008C7">
      <w:pPr>
        <w:numPr>
          <w:ilvl w:val="0"/>
          <w:numId w:val="2"/>
        </w:numPr>
        <w:spacing w:line="360" w:lineRule="auto"/>
        <w:jc w:val="center"/>
        <w:outlineLvl w:val="0"/>
        <w:rPr>
          <w:rFonts w:eastAsiaTheme="minorEastAsia"/>
          <w:b/>
          <w:bCs/>
          <w:sz w:val="28"/>
          <w:szCs w:val="28"/>
        </w:rPr>
      </w:pPr>
      <w:bookmarkStart w:id="160" w:name="_Toc21187"/>
      <w:bookmarkStart w:id="161" w:name="_Toc20240"/>
      <w:bookmarkStart w:id="162" w:name="_Toc24654"/>
      <w:bookmarkStart w:id="163" w:name="_Toc6135"/>
      <w:bookmarkStart w:id="164" w:name="_Toc2872"/>
      <w:bookmarkStart w:id="165" w:name="_Toc19463"/>
      <w:r>
        <w:rPr>
          <w:rFonts w:hint="eastAsia" w:eastAsiaTheme="minorEastAsia"/>
          <w:b/>
          <w:bCs/>
          <w:sz w:val="28"/>
          <w:szCs w:val="28"/>
        </w:rPr>
        <w:t>限压法</w:t>
      </w:r>
      <w:bookmarkEnd w:id="160"/>
      <w:bookmarkEnd w:id="161"/>
      <w:bookmarkEnd w:id="162"/>
      <w:bookmarkEnd w:id="163"/>
      <w:bookmarkEnd w:id="164"/>
      <w:bookmarkEnd w:id="165"/>
    </w:p>
    <w:p w14:paraId="143D69A7">
      <w:pPr>
        <w:numPr>
          <w:ilvl w:val="1"/>
          <w:numId w:val="2"/>
        </w:numPr>
        <w:spacing w:line="360" w:lineRule="auto"/>
        <w:ind w:left="0" w:firstLine="0"/>
        <w:jc w:val="center"/>
        <w:outlineLvl w:val="1"/>
        <w:rPr>
          <w:rFonts w:eastAsiaTheme="minorEastAsia"/>
          <w:b/>
          <w:bCs/>
          <w:sz w:val="24"/>
          <w:szCs w:val="24"/>
        </w:rPr>
      </w:pPr>
      <w:bookmarkStart w:id="166" w:name="_Toc44"/>
      <w:bookmarkStart w:id="167" w:name="_Toc6602"/>
      <w:bookmarkStart w:id="168" w:name="_Toc27521"/>
      <w:bookmarkStart w:id="169" w:name="_Toc29294"/>
      <w:bookmarkStart w:id="170" w:name="_Toc16974"/>
      <w:r>
        <w:rPr>
          <w:rFonts w:hint="eastAsia" w:eastAsiaTheme="minorEastAsia"/>
          <w:b/>
          <w:bCs/>
          <w:sz w:val="24"/>
          <w:szCs w:val="24"/>
        </w:rPr>
        <w:t>一般规定</w:t>
      </w:r>
      <w:bookmarkEnd w:id="166"/>
      <w:bookmarkEnd w:id="167"/>
      <w:bookmarkEnd w:id="168"/>
      <w:bookmarkEnd w:id="169"/>
      <w:bookmarkEnd w:id="170"/>
    </w:p>
    <w:p w14:paraId="130AD75B">
      <w:pPr>
        <w:numPr>
          <w:ilvl w:val="2"/>
          <w:numId w:val="2"/>
        </w:numPr>
        <w:spacing w:line="360" w:lineRule="auto"/>
        <w:ind w:left="0" w:firstLine="0"/>
        <w:jc w:val="left"/>
        <w:rPr>
          <w:rFonts w:eastAsia="宋体"/>
          <w:sz w:val="24"/>
          <w:szCs w:val="32"/>
        </w:rPr>
      </w:pPr>
      <w:r>
        <w:rPr>
          <w:rFonts w:hint="eastAsia" w:eastAsia="宋体"/>
          <w:sz w:val="24"/>
          <w:szCs w:val="32"/>
        </w:rPr>
        <w:t>应根据地下结构形式、性质、上覆荷载情况和抗浮设防水位等综合确定抗浮限压水位。</w:t>
      </w:r>
    </w:p>
    <w:p w14:paraId="21F46D91">
      <w:pPr>
        <w:numPr>
          <w:ilvl w:val="2"/>
          <w:numId w:val="2"/>
        </w:numPr>
        <w:spacing w:line="360" w:lineRule="auto"/>
        <w:ind w:left="0" w:firstLine="0"/>
        <w:jc w:val="left"/>
        <w:rPr>
          <w:rFonts w:eastAsia="宋体"/>
          <w:sz w:val="24"/>
          <w:szCs w:val="32"/>
        </w:rPr>
      </w:pPr>
      <w:r>
        <w:rPr>
          <w:rFonts w:hint="eastAsia" w:eastAsia="宋体"/>
          <w:sz w:val="24"/>
          <w:szCs w:val="32"/>
        </w:rPr>
        <w:t>限压法设计宜采用自动化、智能化技术，兼顾节能和稳定的原则，设计监测系统并做好基底水压力的长期监测。</w:t>
      </w:r>
    </w:p>
    <w:p w14:paraId="391C0D4C">
      <w:pPr>
        <w:numPr>
          <w:ilvl w:val="2"/>
          <w:numId w:val="2"/>
        </w:numPr>
        <w:spacing w:line="360" w:lineRule="auto"/>
        <w:ind w:left="0" w:firstLine="0"/>
        <w:jc w:val="left"/>
        <w:rPr>
          <w:rFonts w:eastAsia="宋体"/>
          <w:sz w:val="24"/>
          <w:szCs w:val="32"/>
        </w:rPr>
      </w:pPr>
      <w:r>
        <w:rPr>
          <w:rFonts w:hint="eastAsia" w:eastAsia="宋体"/>
          <w:sz w:val="24"/>
          <w:szCs w:val="32"/>
        </w:rPr>
        <w:t>特定山区季节性高水位工程、经专项论证其它抗浮措施技术性和经济性不可行的新建工程和既有建筑抗浮加固工程，具备长期排水条件且不影响建筑使用功能时，可采用限压法技术。</w:t>
      </w:r>
    </w:p>
    <w:p w14:paraId="0436EA3D">
      <w:pPr>
        <w:numPr>
          <w:ilvl w:val="2"/>
          <w:numId w:val="2"/>
        </w:numPr>
        <w:spacing w:line="360" w:lineRule="auto"/>
        <w:ind w:left="0" w:firstLine="0"/>
        <w:jc w:val="left"/>
        <w:rPr>
          <w:rFonts w:eastAsia="宋体"/>
          <w:sz w:val="24"/>
          <w:szCs w:val="32"/>
        </w:rPr>
      </w:pPr>
      <w:r>
        <w:rPr>
          <w:rFonts w:hint="eastAsia" w:eastAsia="宋体"/>
          <w:sz w:val="24"/>
          <w:szCs w:val="32"/>
        </w:rPr>
        <w:t>限压法的设计工作年限不应低于主体结构的设计工作年限。可更换构件或设备应明确更换标准，按期更换维护。</w:t>
      </w:r>
    </w:p>
    <w:p w14:paraId="49C4E087">
      <w:pPr>
        <w:numPr>
          <w:ilvl w:val="2"/>
          <w:numId w:val="2"/>
        </w:numPr>
        <w:spacing w:line="360" w:lineRule="auto"/>
        <w:ind w:left="0" w:firstLine="0"/>
        <w:rPr>
          <w:rFonts w:eastAsia="宋体"/>
          <w:sz w:val="24"/>
          <w:szCs w:val="32"/>
        </w:rPr>
      </w:pPr>
      <w:r>
        <w:rPr>
          <w:rFonts w:hint="eastAsia" w:eastAsia="宋体"/>
          <w:sz w:val="24"/>
          <w:szCs w:val="32"/>
        </w:rPr>
        <w:t>限压法设计应满足抗浮稳定性要求，结构和构件的承载力、变形及抗浮设施的有效性应符合抗浮性能及结构设计要求，并应分析水位下降对邻近既有建筑物的影响。</w:t>
      </w:r>
    </w:p>
    <w:p w14:paraId="20E687FE">
      <w:pPr>
        <w:numPr>
          <w:ilvl w:val="2"/>
          <w:numId w:val="2"/>
        </w:numPr>
        <w:spacing w:line="360" w:lineRule="auto"/>
        <w:ind w:left="0" w:firstLine="0"/>
        <w:jc w:val="left"/>
        <w:rPr>
          <w:rFonts w:eastAsia="宋体"/>
          <w:sz w:val="24"/>
          <w:szCs w:val="32"/>
        </w:rPr>
      </w:pPr>
      <w:r>
        <w:rPr>
          <w:rFonts w:hint="eastAsia" w:eastAsia="宋体"/>
          <w:sz w:val="24"/>
          <w:szCs w:val="32"/>
        </w:rPr>
        <w:t>限压法设计应明确外排要求，并明确抽排水途径和排放能力，避免由于实际排水量超过排水途径的排水能力而造成排水降压失效。</w:t>
      </w:r>
    </w:p>
    <w:p w14:paraId="46FBD2CC">
      <w:pPr>
        <w:numPr>
          <w:ilvl w:val="2"/>
          <w:numId w:val="2"/>
        </w:numPr>
        <w:spacing w:line="360" w:lineRule="auto"/>
        <w:ind w:left="9" w:hanging="9"/>
        <w:jc w:val="left"/>
        <w:rPr>
          <w:rFonts w:eastAsia="宋体"/>
          <w:sz w:val="24"/>
          <w:szCs w:val="32"/>
        </w:rPr>
      </w:pPr>
      <w:r>
        <w:rPr>
          <w:rFonts w:hint="eastAsia" w:eastAsia="宋体"/>
          <w:sz w:val="24"/>
          <w:szCs w:val="32"/>
        </w:rPr>
        <w:t>限压法设计应评估长期排水对周边环境及相邻建筑的影响，明确对排水减压设施的日常巡检和长期维护的要求，并应设置水位长期监测与预警系统，以及用于长期维护检修的设施。</w:t>
      </w:r>
    </w:p>
    <w:p w14:paraId="45D2A670">
      <w:pPr>
        <w:numPr>
          <w:ilvl w:val="2"/>
          <w:numId w:val="2"/>
        </w:numPr>
        <w:spacing w:line="360" w:lineRule="auto"/>
        <w:ind w:left="9" w:hanging="9"/>
        <w:rPr>
          <w:rFonts w:eastAsia="宋体"/>
          <w:sz w:val="24"/>
          <w:szCs w:val="32"/>
        </w:rPr>
      </w:pPr>
      <w:r>
        <w:rPr>
          <w:rFonts w:eastAsia="宋体"/>
          <w:sz w:val="24"/>
          <w:szCs w:val="32"/>
        </w:rPr>
        <w:t>人防工程防护区及外延一跨范围内，不得采用设置泄压装置的限压措施。</w:t>
      </w:r>
    </w:p>
    <w:p w14:paraId="3D47F7B8">
      <w:pPr>
        <w:numPr>
          <w:ilvl w:val="1"/>
          <w:numId w:val="2"/>
        </w:numPr>
        <w:spacing w:line="360" w:lineRule="auto"/>
        <w:ind w:left="0" w:firstLine="0"/>
        <w:jc w:val="center"/>
        <w:outlineLvl w:val="1"/>
        <w:rPr>
          <w:rFonts w:eastAsiaTheme="minorEastAsia"/>
          <w:b/>
          <w:bCs/>
          <w:sz w:val="24"/>
          <w:szCs w:val="24"/>
        </w:rPr>
      </w:pPr>
      <w:bookmarkStart w:id="171" w:name="_Toc7329"/>
      <w:bookmarkStart w:id="172" w:name="_Toc15440"/>
      <w:bookmarkStart w:id="173" w:name="_Toc14940"/>
      <w:bookmarkStart w:id="174" w:name="_Toc27738"/>
      <w:bookmarkStart w:id="175" w:name="_Toc14303"/>
      <w:r>
        <w:rPr>
          <w:rFonts w:hint="eastAsia" w:eastAsiaTheme="minorEastAsia"/>
          <w:b/>
          <w:bCs/>
          <w:sz w:val="24"/>
          <w:szCs w:val="24"/>
        </w:rPr>
        <w:t>设计</w:t>
      </w:r>
      <w:bookmarkEnd w:id="171"/>
      <w:bookmarkEnd w:id="172"/>
      <w:bookmarkEnd w:id="173"/>
      <w:bookmarkEnd w:id="174"/>
      <w:bookmarkEnd w:id="175"/>
    </w:p>
    <w:p w14:paraId="0CF7304E">
      <w:pPr>
        <w:adjustRightInd w:val="0"/>
        <w:snapToGrid w:val="0"/>
        <w:spacing w:line="360" w:lineRule="auto"/>
        <w:jc w:val="center"/>
        <w:textAlignment w:val="center"/>
        <w:outlineLvl w:val="2"/>
        <w:rPr>
          <w:rFonts w:eastAsia="宋体"/>
          <w:b/>
          <w:sz w:val="22"/>
          <w:szCs w:val="22"/>
        </w:rPr>
      </w:pPr>
      <w:bookmarkStart w:id="176" w:name="_Toc27131"/>
      <w:bookmarkStart w:id="177" w:name="_Toc12747"/>
      <w:bookmarkStart w:id="178" w:name="_Toc30218"/>
      <w:r>
        <w:rPr>
          <w:rFonts w:hint="eastAsia" w:eastAsia="宋体"/>
          <w:b/>
          <w:sz w:val="22"/>
          <w:szCs w:val="22"/>
        </w:rPr>
        <w:t>Ⅰ  泄压井</w:t>
      </w:r>
      <w:bookmarkEnd w:id="176"/>
      <w:bookmarkEnd w:id="177"/>
      <w:bookmarkEnd w:id="178"/>
    </w:p>
    <w:p w14:paraId="0204C761">
      <w:pPr>
        <w:numPr>
          <w:ilvl w:val="2"/>
          <w:numId w:val="2"/>
        </w:numPr>
        <w:spacing w:line="360" w:lineRule="auto"/>
        <w:ind w:left="0" w:firstLine="0"/>
        <w:jc w:val="left"/>
        <w:rPr>
          <w:rFonts w:eastAsia="宋体"/>
          <w:sz w:val="24"/>
          <w:szCs w:val="32"/>
        </w:rPr>
      </w:pPr>
      <w:r>
        <w:rPr>
          <w:rFonts w:hint="eastAsia" w:eastAsia="宋体"/>
          <w:sz w:val="24"/>
          <w:szCs w:val="32"/>
        </w:rPr>
        <w:t>室内采用泄压井排水抗浮时，应确保室内配套的排水系统能够满足泄压涌水量峰值要求。</w:t>
      </w:r>
    </w:p>
    <w:p w14:paraId="0C6179B5">
      <w:pPr>
        <w:numPr>
          <w:ilvl w:val="2"/>
          <w:numId w:val="2"/>
        </w:numPr>
        <w:spacing w:line="360" w:lineRule="auto"/>
        <w:ind w:left="0" w:firstLine="0"/>
        <w:jc w:val="left"/>
        <w:rPr>
          <w:rFonts w:eastAsia="宋体"/>
          <w:sz w:val="24"/>
          <w:szCs w:val="32"/>
        </w:rPr>
      </w:pPr>
      <w:r>
        <w:rPr>
          <w:rFonts w:hint="eastAsia" w:eastAsia="宋体"/>
          <w:sz w:val="24"/>
          <w:szCs w:val="32"/>
        </w:rPr>
        <w:t xml:space="preserve">泄压井排水抗浮宜在地下结构基底点状均匀布置，通过排水管与集水坑 </w:t>
      </w:r>
    </w:p>
    <w:p w14:paraId="1286C157">
      <w:pPr>
        <w:spacing w:line="360" w:lineRule="auto"/>
        <w:jc w:val="center"/>
        <w:rPr>
          <w:rFonts w:eastAsia="宋体"/>
          <w:sz w:val="24"/>
          <w:szCs w:val="32"/>
        </w:rPr>
      </w:pPr>
      <w:r>
        <w:rPr>
          <w:rFonts w:hint="eastAsia" w:eastAsia="宋体"/>
          <w:sz w:val="24"/>
          <w:szCs w:val="32"/>
        </w:rPr>
        <w:t>或出水系统相连通；井管在穿越主体结构底板处应设置止水措施（图9</w:t>
      </w:r>
      <w:r>
        <w:rPr>
          <w:rFonts w:eastAsia="宋体"/>
          <w:sz w:val="24"/>
          <w:szCs w:val="32"/>
        </w:rPr>
        <w:t>.2.</w:t>
      </w:r>
      <w:r>
        <w:rPr>
          <w:rFonts w:hint="eastAsia" w:eastAsia="宋体"/>
          <w:sz w:val="24"/>
          <w:szCs w:val="32"/>
        </w:rPr>
        <w:t>2）。</w:t>
      </w:r>
      <w:r>
        <w:rPr>
          <w:rFonts w:hint="eastAsia" w:eastAsia="宋体"/>
          <w:sz w:val="24"/>
          <w:szCs w:val="32"/>
        </w:rPr>
        <w:drawing>
          <wp:inline distT="0" distB="0" distL="114300" distR="114300">
            <wp:extent cx="3609340" cy="1819275"/>
            <wp:effectExtent l="0" t="0" r="10160" b="9525"/>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40"/>
                    <a:stretch>
                      <a:fillRect/>
                    </a:stretch>
                  </pic:blipFill>
                  <pic:spPr>
                    <a:xfrm>
                      <a:off x="0" y="0"/>
                      <a:ext cx="3609340" cy="1819275"/>
                    </a:xfrm>
                    <a:prstGeom prst="rect">
                      <a:avLst/>
                    </a:prstGeom>
                    <a:noFill/>
                    <a:ln>
                      <a:noFill/>
                    </a:ln>
                  </pic:spPr>
                </pic:pic>
              </a:graphicData>
            </a:graphic>
          </wp:inline>
        </w:drawing>
      </w:r>
    </w:p>
    <w:p w14:paraId="56B3F3FF">
      <w:pPr>
        <w:spacing w:line="360" w:lineRule="auto"/>
        <w:jc w:val="center"/>
        <w:rPr>
          <w:rFonts w:eastAsia="宋体"/>
          <w:sz w:val="24"/>
          <w:szCs w:val="32"/>
        </w:rPr>
      </w:pPr>
      <w:r>
        <w:rPr>
          <w:rFonts w:eastAsia="宋体"/>
          <w:sz w:val="24"/>
          <w:szCs w:val="32"/>
        </w:rPr>
        <w:t>1─</w:t>
      </w:r>
      <w:r>
        <w:rPr>
          <w:rFonts w:hint="eastAsia" w:eastAsia="宋体"/>
          <w:sz w:val="24"/>
          <w:szCs w:val="32"/>
        </w:rPr>
        <w:t>井盖；</w:t>
      </w:r>
      <w:r>
        <w:rPr>
          <w:rFonts w:eastAsia="宋体"/>
          <w:sz w:val="24"/>
          <w:szCs w:val="32"/>
        </w:rPr>
        <w:t>2─</w:t>
      </w:r>
      <w:r>
        <w:rPr>
          <w:rFonts w:hint="eastAsia" w:eastAsia="宋体"/>
          <w:sz w:val="24"/>
          <w:szCs w:val="32"/>
        </w:rPr>
        <w:t>排水管；</w:t>
      </w:r>
      <w:r>
        <w:rPr>
          <w:rFonts w:eastAsia="宋体"/>
          <w:sz w:val="24"/>
          <w:szCs w:val="32"/>
        </w:rPr>
        <w:t>3─</w:t>
      </w:r>
      <w:r>
        <w:rPr>
          <w:rFonts w:hint="eastAsia" w:eastAsia="宋体"/>
          <w:sz w:val="24"/>
          <w:szCs w:val="32"/>
        </w:rPr>
        <w:t>止水措施；</w:t>
      </w:r>
      <w:r>
        <w:rPr>
          <w:rFonts w:eastAsia="宋体"/>
          <w:sz w:val="24"/>
          <w:szCs w:val="32"/>
        </w:rPr>
        <w:t>4─</w:t>
      </w:r>
      <w:r>
        <w:rPr>
          <w:rFonts w:hint="eastAsia" w:eastAsia="宋体"/>
          <w:sz w:val="24"/>
          <w:szCs w:val="32"/>
        </w:rPr>
        <w:t>过滤装置；</w:t>
      </w:r>
      <w:r>
        <w:rPr>
          <w:rFonts w:eastAsia="宋体"/>
          <w:sz w:val="24"/>
          <w:szCs w:val="32"/>
        </w:rPr>
        <w:t>5─</w:t>
      </w:r>
      <w:r>
        <w:rPr>
          <w:rFonts w:hint="eastAsia" w:eastAsia="宋体"/>
          <w:sz w:val="24"/>
          <w:szCs w:val="32"/>
        </w:rPr>
        <w:t>封孔材料；</w:t>
      </w:r>
      <w:r>
        <w:rPr>
          <w:rFonts w:eastAsia="宋体"/>
          <w:sz w:val="24"/>
          <w:szCs w:val="32"/>
        </w:rPr>
        <w:t>6─</w:t>
      </w:r>
      <w:r>
        <w:rPr>
          <w:rFonts w:hint="eastAsia" w:eastAsia="宋体"/>
          <w:sz w:val="24"/>
          <w:szCs w:val="32"/>
        </w:rPr>
        <w:t>水泵</w:t>
      </w:r>
    </w:p>
    <w:p w14:paraId="50A46094">
      <w:pPr>
        <w:pStyle w:val="45"/>
        <w:rPr>
          <w:color w:val="auto"/>
          <w:sz w:val="21"/>
          <w:szCs w:val="22"/>
        </w:rPr>
      </w:pPr>
      <w:r>
        <w:rPr>
          <w:rFonts w:hint="eastAsia"/>
          <w:color w:val="auto"/>
          <w:sz w:val="21"/>
          <w:szCs w:val="22"/>
        </w:rPr>
        <w:t>图 9.2.2 泄压井系统结构示意图</w:t>
      </w:r>
    </w:p>
    <w:p w14:paraId="4D19F551">
      <w:pPr>
        <w:numPr>
          <w:ilvl w:val="2"/>
          <w:numId w:val="2"/>
        </w:numPr>
        <w:spacing w:line="360" w:lineRule="auto"/>
        <w:ind w:left="0" w:firstLine="0"/>
        <w:jc w:val="left"/>
        <w:rPr>
          <w:rFonts w:eastAsia="宋体"/>
          <w:sz w:val="24"/>
          <w:szCs w:val="32"/>
        </w:rPr>
      </w:pPr>
      <w:r>
        <w:rPr>
          <w:rFonts w:hint="eastAsia" w:eastAsia="宋体"/>
          <w:sz w:val="24"/>
          <w:szCs w:val="32"/>
        </w:rPr>
        <w:t>泄压井井管周边应设置反滤层，井管宜采用无砂混凝土管。</w:t>
      </w:r>
    </w:p>
    <w:p w14:paraId="77E4FF50">
      <w:pPr>
        <w:adjustRightInd w:val="0"/>
        <w:snapToGrid w:val="0"/>
        <w:spacing w:line="360" w:lineRule="auto"/>
        <w:jc w:val="center"/>
        <w:textAlignment w:val="center"/>
        <w:outlineLvl w:val="2"/>
        <w:rPr>
          <w:rFonts w:eastAsia="宋体"/>
          <w:b/>
          <w:sz w:val="22"/>
          <w:szCs w:val="22"/>
        </w:rPr>
      </w:pPr>
      <w:bookmarkStart w:id="179" w:name="_Toc189"/>
      <w:bookmarkStart w:id="180" w:name="_Toc5140"/>
      <w:bookmarkStart w:id="181" w:name="_Toc26861"/>
      <w:r>
        <w:rPr>
          <w:rFonts w:hint="eastAsia" w:eastAsia="宋体"/>
          <w:b/>
          <w:sz w:val="22"/>
          <w:szCs w:val="22"/>
        </w:rPr>
        <w:t>Ⅱ  排水盲沟</w:t>
      </w:r>
      <w:bookmarkEnd w:id="179"/>
      <w:bookmarkEnd w:id="180"/>
      <w:bookmarkEnd w:id="181"/>
    </w:p>
    <w:p w14:paraId="27238691">
      <w:pPr>
        <w:numPr>
          <w:ilvl w:val="2"/>
          <w:numId w:val="2"/>
        </w:numPr>
        <w:spacing w:line="360" w:lineRule="auto"/>
        <w:ind w:left="0" w:firstLine="0"/>
        <w:jc w:val="left"/>
        <w:rPr>
          <w:rFonts w:eastAsia="宋体"/>
          <w:sz w:val="24"/>
          <w:szCs w:val="32"/>
        </w:rPr>
      </w:pPr>
      <w:r>
        <w:rPr>
          <w:rFonts w:hint="eastAsia" w:eastAsia="宋体"/>
          <w:sz w:val="24"/>
          <w:szCs w:val="32"/>
        </w:rPr>
        <w:t>排水层排水抗浮可选择复合排水网或碎石层，按图9.2.4所示与排水盲沟结合布置，并应符合下列要求：</w:t>
      </w:r>
    </w:p>
    <w:p w14:paraId="18EE2EBD">
      <w:pPr>
        <w:numPr>
          <w:ilvl w:val="0"/>
          <w:numId w:val="35"/>
        </w:numPr>
        <w:tabs>
          <w:tab w:val="left" w:pos="0"/>
          <w:tab w:val="clear" w:pos="420"/>
        </w:tabs>
        <w:spacing w:line="360" w:lineRule="auto"/>
        <w:ind w:left="5" w:firstLine="315"/>
        <w:rPr>
          <w:rFonts w:eastAsiaTheme="minorEastAsia"/>
          <w:sz w:val="24"/>
          <w:szCs w:val="24"/>
        </w:rPr>
      </w:pPr>
      <w:r>
        <w:rPr>
          <w:rFonts w:hint="eastAsia" w:eastAsiaTheme="minorEastAsia"/>
          <w:sz w:val="24"/>
          <w:szCs w:val="24"/>
        </w:rPr>
        <w:t>排水层在地下结构基底下宜满铺；</w:t>
      </w:r>
    </w:p>
    <w:p w14:paraId="0483B5C5">
      <w:pPr>
        <w:numPr>
          <w:ilvl w:val="0"/>
          <w:numId w:val="35"/>
        </w:numPr>
        <w:tabs>
          <w:tab w:val="left" w:pos="0"/>
          <w:tab w:val="clear" w:pos="420"/>
        </w:tabs>
        <w:spacing w:line="360" w:lineRule="auto"/>
        <w:ind w:left="5" w:firstLine="315"/>
        <w:rPr>
          <w:rFonts w:eastAsiaTheme="minorEastAsia"/>
          <w:sz w:val="24"/>
          <w:szCs w:val="24"/>
        </w:rPr>
      </w:pPr>
      <w:r>
        <w:rPr>
          <w:rFonts w:hint="eastAsia" w:eastAsiaTheme="minorEastAsia"/>
          <w:sz w:val="24"/>
          <w:szCs w:val="24"/>
        </w:rPr>
        <w:t>排水盲沟可在地下结构基底下沿相互垂直的两个方向均匀布置，在盲沟内埋设导水管或排水管，将地下水导入排水管和集水坑中；</w:t>
      </w:r>
    </w:p>
    <w:p w14:paraId="4BE10761">
      <w:pPr>
        <w:numPr>
          <w:ilvl w:val="0"/>
          <w:numId w:val="35"/>
        </w:numPr>
        <w:tabs>
          <w:tab w:val="left" w:pos="0"/>
          <w:tab w:val="clear" w:pos="420"/>
        </w:tabs>
        <w:spacing w:line="360" w:lineRule="auto"/>
        <w:ind w:left="5" w:firstLine="315"/>
        <w:rPr>
          <w:rFonts w:eastAsiaTheme="minorEastAsia"/>
          <w:sz w:val="24"/>
          <w:szCs w:val="24"/>
        </w:rPr>
      </w:pPr>
      <w:r>
        <w:rPr>
          <w:rFonts w:hint="eastAsia" w:eastAsiaTheme="minorEastAsia"/>
          <w:sz w:val="24"/>
          <w:szCs w:val="24"/>
        </w:rPr>
        <w:t>导水管间距不宜大于</w:t>
      </w:r>
      <w:r>
        <w:rPr>
          <w:rFonts w:eastAsiaTheme="minorEastAsia"/>
          <w:sz w:val="24"/>
          <w:szCs w:val="24"/>
        </w:rPr>
        <w:t>30m</w:t>
      </w:r>
      <w:r>
        <w:rPr>
          <w:rFonts w:hint="eastAsia" w:eastAsiaTheme="minorEastAsia"/>
          <w:sz w:val="24"/>
          <w:szCs w:val="24"/>
        </w:rPr>
        <w:t>，排水管间距不宜大于</w:t>
      </w:r>
      <w:r>
        <w:rPr>
          <w:rFonts w:eastAsiaTheme="minorEastAsia"/>
          <w:sz w:val="24"/>
          <w:szCs w:val="24"/>
        </w:rPr>
        <w:t>40m</w:t>
      </w:r>
      <w:r>
        <w:rPr>
          <w:rFonts w:hint="eastAsia" w:eastAsiaTheme="minorEastAsia"/>
          <w:sz w:val="24"/>
          <w:szCs w:val="24"/>
        </w:rPr>
        <w:t>。</w:t>
      </w:r>
    </w:p>
    <w:p w14:paraId="12E4F2A7">
      <w:r>
        <w:rPr>
          <w:position w:val="-50"/>
        </w:rPr>
        <w:drawing>
          <wp:inline distT="0" distB="0" distL="114300" distR="114300">
            <wp:extent cx="5210175" cy="1604010"/>
            <wp:effectExtent l="0" t="0" r="9525" b="15240"/>
            <wp:docPr id="4" name="图片 13"/>
            <wp:cNvGraphicFramePr/>
            <a:graphic xmlns:a="http://schemas.openxmlformats.org/drawingml/2006/main">
              <a:graphicData uri="http://schemas.openxmlformats.org/drawingml/2006/picture">
                <pic:pic xmlns:pic="http://schemas.openxmlformats.org/drawingml/2006/picture">
                  <pic:nvPicPr>
                    <pic:cNvPr id="4" name="图片 13"/>
                    <pic:cNvPicPr/>
                  </pic:nvPicPr>
                  <pic:blipFill>
                    <a:blip r:embed="rId41"/>
                    <a:stretch>
                      <a:fillRect/>
                    </a:stretch>
                  </pic:blipFill>
                  <pic:spPr>
                    <a:xfrm>
                      <a:off x="0" y="0"/>
                      <a:ext cx="5210175" cy="1604010"/>
                    </a:xfrm>
                    <a:prstGeom prst="rect">
                      <a:avLst/>
                    </a:prstGeom>
                    <a:noFill/>
                    <a:ln>
                      <a:noFill/>
                    </a:ln>
                  </pic:spPr>
                </pic:pic>
              </a:graphicData>
            </a:graphic>
          </wp:inline>
        </w:drawing>
      </w:r>
    </w:p>
    <w:p w14:paraId="743D9F0C">
      <w:pPr>
        <w:widowControl/>
        <w:jc w:val="center"/>
      </w:pPr>
      <w:r>
        <w:rPr>
          <w:rFonts w:eastAsia="宋体"/>
          <w:kern w:val="0"/>
          <w:sz w:val="22"/>
          <w:szCs w:val="22"/>
          <w:lang w:bidi="ar"/>
        </w:rPr>
        <w:t>1─</w:t>
      </w:r>
      <w:r>
        <w:rPr>
          <w:rFonts w:hint="eastAsia" w:ascii="宋体" w:hAnsi="宋体" w:eastAsia="宋体" w:cs="宋体"/>
          <w:kern w:val="0"/>
          <w:sz w:val="22"/>
          <w:szCs w:val="22"/>
          <w:lang w:bidi="ar"/>
        </w:rPr>
        <w:t>底板；</w:t>
      </w:r>
      <w:r>
        <w:rPr>
          <w:rFonts w:eastAsia="宋体"/>
          <w:kern w:val="0"/>
          <w:sz w:val="22"/>
          <w:szCs w:val="22"/>
          <w:lang w:bidi="ar"/>
        </w:rPr>
        <w:t>2─</w:t>
      </w:r>
      <w:r>
        <w:rPr>
          <w:rFonts w:hint="eastAsia" w:ascii="宋体" w:hAnsi="宋体" w:eastAsia="宋体" w:cs="宋体"/>
          <w:kern w:val="0"/>
          <w:sz w:val="22"/>
          <w:szCs w:val="22"/>
          <w:lang w:bidi="ar"/>
        </w:rPr>
        <w:t>垫层；</w:t>
      </w:r>
      <w:r>
        <w:rPr>
          <w:rFonts w:eastAsia="宋体"/>
          <w:kern w:val="0"/>
          <w:sz w:val="22"/>
          <w:szCs w:val="22"/>
          <w:lang w:bidi="ar"/>
        </w:rPr>
        <w:t>3─</w:t>
      </w:r>
      <w:r>
        <w:rPr>
          <w:rFonts w:hint="eastAsia" w:ascii="宋体" w:hAnsi="宋体" w:eastAsia="宋体" w:cs="宋体"/>
          <w:kern w:val="0"/>
          <w:sz w:val="22"/>
          <w:szCs w:val="22"/>
          <w:lang w:bidi="ar"/>
        </w:rPr>
        <w:t>碎石层；</w:t>
      </w:r>
      <w:r>
        <w:rPr>
          <w:rFonts w:eastAsia="宋体"/>
          <w:kern w:val="0"/>
          <w:sz w:val="22"/>
          <w:szCs w:val="22"/>
          <w:lang w:bidi="ar"/>
        </w:rPr>
        <w:t>4─</w:t>
      </w:r>
      <w:r>
        <w:rPr>
          <w:rFonts w:hint="eastAsia" w:ascii="宋体" w:hAnsi="宋体" w:eastAsia="宋体" w:cs="宋体"/>
          <w:kern w:val="0"/>
          <w:sz w:val="22"/>
          <w:szCs w:val="22"/>
          <w:lang w:bidi="ar"/>
        </w:rPr>
        <w:t>导水管</w:t>
      </w:r>
      <w:r>
        <w:rPr>
          <w:rFonts w:eastAsia="宋体"/>
          <w:kern w:val="0"/>
          <w:sz w:val="22"/>
          <w:szCs w:val="22"/>
          <w:lang w:bidi="ar"/>
        </w:rPr>
        <w:t>/</w:t>
      </w:r>
      <w:r>
        <w:rPr>
          <w:rFonts w:hint="eastAsia" w:ascii="宋体" w:hAnsi="宋体" w:eastAsia="宋体" w:cs="宋体"/>
          <w:kern w:val="0"/>
          <w:sz w:val="22"/>
          <w:szCs w:val="22"/>
          <w:lang w:bidi="ar"/>
        </w:rPr>
        <w:t>排水管；</w:t>
      </w:r>
      <w:r>
        <w:rPr>
          <w:rFonts w:eastAsia="宋体"/>
          <w:kern w:val="0"/>
          <w:sz w:val="22"/>
          <w:szCs w:val="22"/>
          <w:lang w:bidi="ar"/>
        </w:rPr>
        <w:t>5─</w:t>
      </w:r>
      <w:r>
        <w:rPr>
          <w:rFonts w:hint="eastAsia" w:ascii="宋体" w:hAnsi="宋体" w:eastAsia="宋体" w:cs="宋体"/>
          <w:kern w:val="0"/>
          <w:sz w:val="22"/>
          <w:szCs w:val="22"/>
          <w:lang w:bidi="ar"/>
        </w:rPr>
        <w:t>透水土工织物；</w:t>
      </w:r>
      <w:r>
        <w:rPr>
          <w:rFonts w:eastAsia="宋体"/>
          <w:kern w:val="0"/>
          <w:sz w:val="22"/>
          <w:szCs w:val="22"/>
          <w:lang w:bidi="ar"/>
        </w:rPr>
        <w:t>6─</w:t>
      </w:r>
      <w:r>
        <w:rPr>
          <w:rFonts w:hint="eastAsia" w:ascii="宋体" w:hAnsi="宋体" w:eastAsia="宋体" w:cs="宋体"/>
          <w:kern w:val="0"/>
          <w:sz w:val="21"/>
          <w:szCs w:val="21"/>
          <w:lang w:bidi="ar"/>
        </w:rPr>
        <w:t>复合</w:t>
      </w:r>
    </w:p>
    <w:p w14:paraId="7B0B79E7">
      <w:pPr>
        <w:widowControl/>
        <w:jc w:val="center"/>
      </w:pPr>
      <w:r>
        <w:rPr>
          <w:rFonts w:hint="eastAsia" w:ascii="宋体" w:hAnsi="宋体" w:eastAsia="宋体" w:cs="宋体"/>
          <w:kern w:val="0"/>
          <w:sz w:val="21"/>
          <w:szCs w:val="21"/>
          <w:lang w:bidi="ar"/>
        </w:rPr>
        <w:t>排水网或碎石层</w:t>
      </w:r>
    </w:p>
    <w:p w14:paraId="02509E83">
      <w:pPr>
        <w:spacing w:line="360" w:lineRule="auto"/>
        <w:ind w:left="1332" w:hanging="1332" w:hangingChars="666"/>
        <w:jc w:val="center"/>
        <w:rPr>
          <w:rFonts w:eastAsia="楷体"/>
        </w:rPr>
      </w:pPr>
      <w:r>
        <w:rPr>
          <w:rFonts w:hint="eastAsia" w:eastAsia="楷体"/>
          <w:sz w:val="20"/>
          <w:szCs w:val="22"/>
        </w:rPr>
        <w:t>图9.2.4  排水盲沟结构与布置形式简图</w:t>
      </w:r>
    </w:p>
    <w:p w14:paraId="69DDCA59">
      <w:pPr>
        <w:numPr>
          <w:ilvl w:val="2"/>
          <w:numId w:val="2"/>
        </w:numPr>
        <w:spacing w:line="360" w:lineRule="auto"/>
        <w:ind w:left="0" w:firstLine="0"/>
        <w:jc w:val="left"/>
        <w:rPr>
          <w:rFonts w:eastAsia="楷体"/>
          <w:sz w:val="22"/>
          <w:szCs w:val="22"/>
        </w:rPr>
      </w:pPr>
      <w:r>
        <w:rPr>
          <w:rFonts w:hint="eastAsia" w:eastAsia="宋体"/>
          <w:sz w:val="24"/>
          <w:szCs w:val="32"/>
        </w:rPr>
        <w:t>排水盲沟的截面形式宜呈倒梯形，深度以基底以下</w:t>
      </w:r>
      <w:r>
        <w:rPr>
          <w:rFonts w:eastAsia="宋体"/>
          <w:sz w:val="24"/>
          <w:szCs w:val="32"/>
        </w:rPr>
        <w:t>0.4m</w:t>
      </w:r>
      <w:r>
        <w:rPr>
          <w:rFonts w:hint="eastAsia" w:eastAsia="宋体"/>
          <w:sz w:val="24"/>
          <w:szCs w:val="32"/>
        </w:rPr>
        <w:t>~</w:t>
      </w:r>
      <w:r>
        <w:rPr>
          <w:rFonts w:eastAsia="宋体"/>
          <w:sz w:val="24"/>
          <w:szCs w:val="32"/>
        </w:rPr>
        <w:t>0.5m</w:t>
      </w:r>
      <w:r>
        <w:rPr>
          <w:rFonts w:hint="eastAsia" w:eastAsia="宋体"/>
          <w:sz w:val="24"/>
          <w:szCs w:val="32"/>
        </w:rPr>
        <w:t>为宜，边坡坡率宜取</w:t>
      </w:r>
      <w:r>
        <w:rPr>
          <w:rFonts w:eastAsia="宋体"/>
          <w:sz w:val="24"/>
          <w:szCs w:val="32"/>
        </w:rPr>
        <w:t>1</w:t>
      </w:r>
      <w:r>
        <w:rPr>
          <w:rFonts w:hint="eastAsia" w:eastAsia="宋体"/>
          <w:sz w:val="24"/>
          <w:szCs w:val="32"/>
        </w:rPr>
        <w:t>：</w:t>
      </w:r>
      <w:r>
        <w:rPr>
          <w:rFonts w:eastAsia="宋体"/>
          <w:sz w:val="24"/>
          <w:szCs w:val="32"/>
        </w:rPr>
        <w:t>0.75~1</w:t>
      </w:r>
      <w:r>
        <w:rPr>
          <w:rFonts w:hint="eastAsia" w:eastAsia="宋体"/>
          <w:sz w:val="24"/>
          <w:szCs w:val="32"/>
        </w:rPr>
        <w:t>：</w:t>
      </w:r>
      <w:r>
        <w:rPr>
          <w:rFonts w:eastAsia="宋体"/>
          <w:sz w:val="24"/>
          <w:szCs w:val="32"/>
        </w:rPr>
        <w:t>1.0</w:t>
      </w:r>
      <w:r>
        <w:rPr>
          <w:rFonts w:hint="eastAsia" w:eastAsia="宋体"/>
          <w:sz w:val="24"/>
          <w:szCs w:val="32"/>
        </w:rPr>
        <w:t>，相互交叉的盲沟应水力联通。</w:t>
      </w:r>
    </w:p>
    <w:p w14:paraId="7CA8B277">
      <w:pPr>
        <w:numPr>
          <w:ilvl w:val="2"/>
          <w:numId w:val="2"/>
        </w:numPr>
        <w:spacing w:line="360" w:lineRule="auto"/>
        <w:ind w:left="0" w:firstLine="0"/>
        <w:jc w:val="left"/>
        <w:rPr>
          <w:rFonts w:eastAsia="宋体"/>
          <w:sz w:val="24"/>
          <w:szCs w:val="32"/>
        </w:rPr>
      </w:pPr>
      <w:r>
        <w:rPr>
          <w:rFonts w:hint="eastAsia" w:eastAsia="宋体"/>
          <w:sz w:val="24"/>
          <w:szCs w:val="32"/>
        </w:rPr>
        <w:t>排水管直径宜根据流量确定，且不宜小于</w:t>
      </w:r>
      <w:r>
        <w:rPr>
          <w:rFonts w:eastAsia="宋体"/>
          <w:sz w:val="24"/>
          <w:szCs w:val="32"/>
        </w:rPr>
        <w:t>60mm</w:t>
      </w:r>
      <w:r>
        <w:rPr>
          <w:rFonts w:hint="eastAsia" w:eastAsia="宋体"/>
          <w:sz w:val="24"/>
          <w:szCs w:val="32"/>
        </w:rPr>
        <w:t>。抽水泵的数量和功率应根据入渗流量和集水坑数量确定。</w:t>
      </w:r>
    </w:p>
    <w:p w14:paraId="6ED372EB">
      <w:pPr>
        <w:adjustRightInd w:val="0"/>
        <w:snapToGrid w:val="0"/>
        <w:spacing w:line="360" w:lineRule="auto"/>
        <w:jc w:val="center"/>
        <w:textAlignment w:val="center"/>
        <w:outlineLvl w:val="2"/>
        <w:rPr>
          <w:rFonts w:eastAsia="宋体"/>
          <w:b/>
          <w:sz w:val="22"/>
          <w:szCs w:val="22"/>
        </w:rPr>
      </w:pPr>
      <w:bookmarkStart w:id="182" w:name="_Toc21077"/>
      <w:bookmarkStart w:id="183" w:name="_Toc12440"/>
      <w:bookmarkStart w:id="184" w:name="_Toc17594"/>
      <w:r>
        <w:rPr>
          <w:rFonts w:hint="eastAsia" w:eastAsia="宋体"/>
          <w:b/>
          <w:sz w:val="22"/>
          <w:szCs w:val="22"/>
        </w:rPr>
        <w:t>Ⅲ  排水廊道</w:t>
      </w:r>
      <w:bookmarkEnd w:id="182"/>
      <w:bookmarkEnd w:id="183"/>
      <w:bookmarkEnd w:id="184"/>
    </w:p>
    <w:p w14:paraId="40EC8C98">
      <w:pPr>
        <w:numPr>
          <w:ilvl w:val="2"/>
          <w:numId w:val="2"/>
        </w:numPr>
        <w:spacing w:line="360" w:lineRule="auto"/>
        <w:ind w:left="0" w:firstLine="0"/>
        <w:jc w:val="left"/>
        <w:rPr>
          <w:rFonts w:eastAsia="宋体"/>
          <w:sz w:val="24"/>
          <w:szCs w:val="32"/>
        </w:rPr>
      </w:pPr>
      <w:r>
        <w:rPr>
          <w:rFonts w:hint="eastAsia" w:eastAsia="宋体"/>
          <w:sz w:val="24"/>
          <w:szCs w:val="32"/>
        </w:rPr>
        <w:t>使用排水廊道抗浮应满足以下条件：</w:t>
      </w:r>
    </w:p>
    <w:p w14:paraId="4DDA7A5C">
      <w:pPr>
        <w:numPr>
          <w:ilvl w:val="0"/>
          <w:numId w:val="36"/>
        </w:numPr>
        <w:tabs>
          <w:tab w:val="left" w:pos="0"/>
          <w:tab w:val="clear" w:pos="420"/>
        </w:tabs>
        <w:spacing w:line="360" w:lineRule="auto"/>
        <w:ind w:left="5" w:firstLine="315"/>
        <w:rPr>
          <w:rFonts w:eastAsiaTheme="minorEastAsia"/>
          <w:sz w:val="24"/>
          <w:szCs w:val="24"/>
        </w:rPr>
      </w:pPr>
      <w:r>
        <w:rPr>
          <w:rFonts w:hint="eastAsia" w:eastAsiaTheme="minorEastAsia"/>
          <w:sz w:val="24"/>
          <w:szCs w:val="24"/>
        </w:rPr>
        <w:t>建筑场地位于坡地或建筑地下室两侧埋深存在一定高差；</w:t>
      </w:r>
    </w:p>
    <w:p w14:paraId="5194FEC7">
      <w:pPr>
        <w:numPr>
          <w:ilvl w:val="0"/>
          <w:numId w:val="36"/>
        </w:numPr>
        <w:tabs>
          <w:tab w:val="left" w:pos="0"/>
          <w:tab w:val="clear" w:pos="420"/>
        </w:tabs>
        <w:spacing w:line="360" w:lineRule="auto"/>
        <w:ind w:left="5" w:firstLine="315"/>
        <w:rPr>
          <w:rFonts w:eastAsiaTheme="minorEastAsia"/>
          <w:sz w:val="24"/>
          <w:szCs w:val="24"/>
        </w:rPr>
      </w:pPr>
      <w:r>
        <w:rPr>
          <w:rFonts w:hint="eastAsia" w:eastAsiaTheme="minorEastAsia"/>
          <w:sz w:val="24"/>
          <w:szCs w:val="24"/>
        </w:rPr>
        <w:t>具备自流出水条件，如周边存在河渠等天然出口，若无天然出口而采用市政管道作为出口时，应设置备用出口以防回灌。</w:t>
      </w:r>
    </w:p>
    <w:p w14:paraId="5BFEEC96">
      <w:pPr>
        <w:numPr>
          <w:ilvl w:val="2"/>
          <w:numId w:val="2"/>
        </w:numPr>
        <w:spacing w:line="360" w:lineRule="auto"/>
        <w:ind w:left="0" w:firstLine="0"/>
        <w:jc w:val="left"/>
        <w:rPr>
          <w:rFonts w:eastAsia="宋体"/>
          <w:sz w:val="24"/>
          <w:szCs w:val="32"/>
        </w:rPr>
      </w:pPr>
      <w:r>
        <w:rPr>
          <w:rFonts w:hint="eastAsia" w:eastAsia="宋体"/>
          <w:sz w:val="24"/>
          <w:szCs w:val="32"/>
        </w:rPr>
        <w:t>排水廊道应按永久结构进行设计，在其设计使用年限内应满足设计出水要求。</w:t>
      </w:r>
    </w:p>
    <w:p w14:paraId="5DC71D98">
      <w:pPr>
        <w:numPr>
          <w:ilvl w:val="2"/>
          <w:numId w:val="2"/>
        </w:numPr>
        <w:spacing w:line="360" w:lineRule="auto"/>
        <w:ind w:left="0" w:firstLine="0"/>
        <w:jc w:val="left"/>
        <w:rPr>
          <w:rFonts w:eastAsia="宋体"/>
          <w:sz w:val="24"/>
          <w:szCs w:val="32"/>
        </w:rPr>
      </w:pPr>
      <w:r>
        <w:rPr>
          <w:rFonts w:hint="eastAsia" w:eastAsia="宋体"/>
          <w:sz w:val="24"/>
          <w:szCs w:val="32"/>
        </w:rPr>
        <w:t>排水廊道沿地下室周边布置，廊道内宜有通风及照明装置。</w:t>
      </w:r>
    </w:p>
    <w:p w14:paraId="3AC727A9">
      <w:pPr>
        <w:numPr>
          <w:ilvl w:val="2"/>
          <w:numId w:val="2"/>
        </w:numPr>
        <w:spacing w:line="360" w:lineRule="auto"/>
        <w:ind w:left="0" w:firstLine="0"/>
        <w:jc w:val="left"/>
        <w:rPr>
          <w:rFonts w:eastAsia="宋体"/>
          <w:sz w:val="24"/>
          <w:szCs w:val="32"/>
        </w:rPr>
      </w:pPr>
      <w:r>
        <w:rPr>
          <w:rFonts w:hint="eastAsia" w:eastAsia="宋体"/>
          <w:sz w:val="24"/>
          <w:szCs w:val="32"/>
        </w:rPr>
        <w:t>排水廊道侧壁和底板应设置渗水体，侧壁渗水体宜采用无砂混凝土砌块，渗水体外侧应设置反滤层，廊道底板渗水体可采用碎石滤料，滤料底部也应设置反滤层。</w:t>
      </w:r>
    </w:p>
    <w:p w14:paraId="05495743">
      <w:pPr>
        <w:numPr>
          <w:ilvl w:val="1"/>
          <w:numId w:val="2"/>
        </w:numPr>
        <w:spacing w:line="360" w:lineRule="auto"/>
        <w:ind w:left="0" w:firstLine="0"/>
        <w:jc w:val="center"/>
        <w:outlineLvl w:val="1"/>
        <w:rPr>
          <w:rFonts w:eastAsiaTheme="minorEastAsia"/>
          <w:b/>
          <w:bCs/>
          <w:sz w:val="24"/>
          <w:szCs w:val="24"/>
        </w:rPr>
      </w:pPr>
      <w:bookmarkStart w:id="185" w:name="_Toc31334"/>
      <w:bookmarkStart w:id="186" w:name="_Toc24466"/>
      <w:r>
        <w:rPr>
          <w:rFonts w:hint="eastAsia" w:eastAsiaTheme="minorEastAsia"/>
          <w:b/>
          <w:bCs/>
          <w:sz w:val="24"/>
          <w:szCs w:val="24"/>
        </w:rPr>
        <w:t>检测要求</w:t>
      </w:r>
      <w:bookmarkEnd w:id="185"/>
      <w:bookmarkEnd w:id="186"/>
    </w:p>
    <w:p w14:paraId="69A56926">
      <w:pPr>
        <w:numPr>
          <w:ilvl w:val="2"/>
          <w:numId w:val="2"/>
        </w:numPr>
        <w:spacing w:line="360" w:lineRule="auto"/>
        <w:ind w:left="0" w:firstLine="0"/>
        <w:jc w:val="left"/>
        <w:rPr>
          <w:rFonts w:eastAsia="宋体"/>
          <w:sz w:val="24"/>
          <w:szCs w:val="32"/>
        </w:rPr>
      </w:pPr>
      <w:r>
        <w:rPr>
          <w:rFonts w:hint="eastAsia" w:eastAsia="宋体"/>
          <w:sz w:val="24"/>
          <w:szCs w:val="32"/>
        </w:rPr>
        <w:t>限压法相关设备施工完成后具备条件时应进行试抽水；并验证限压系统的可靠性。</w:t>
      </w:r>
    </w:p>
    <w:p w14:paraId="09BFBF69">
      <w:pPr>
        <w:numPr>
          <w:ilvl w:val="2"/>
          <w:numId w:val="2"/>
        </w:numPr>
        <w:spacing w:line="360" w:lineRule="auto"/>
        <w:ind w:left="0" w:firstLine="0"/>
        <w:jc w:val="left"/>
        <w:rPr>
          <w:rFonts w:eastAsia="宋体"/>
          <w:sz w:val="24"/>
          <w:szCs w:val="32"/>
        </w:rPr>
      </w:pPr>
      <w:r>
        <w:rPr>
          <w:rFonts w:hint="eastAsia" w:eastAsia="宋体"/>
          <w:sz w:val="24"/>
          <w:szCs w:val="32"/>
        </w:rPr>
        <w:t>原材料、过滤层及监测系统等检验依据现场行业标准《建筑工程抗浮技术标准》JGJ476执行。</w:t>
      </w:r>
    </w:p>
    <w:p w14:paraId="1C1EC223">
      <w:pPr>
        <w:numPr>
          <w:ilvl w:val="2"/>
          <w:numId w:val="2"/>
        </w:numPr>
        <w:spacing w:line="360" w:lineRule="auto"/>
        <w:ind w:left="0" w:firstLine="0"/>
        <w:jc w:val="left"/>
        <w:rPr>
          <w:rFonts w:eastAsia="宋体"/>
          <w:sz w:val="24"/>
          <w:szCs w:val="32"/>
        </w:rPr>
      </w:pPr>
      <w:r>
        <w:rPr>
          <w:rFonts w:hint="eastAsia" w:eastAsia="宋体"/>
          <w:sz w:val="24"/>
          <w:szCs w:val="32"/>
        </w:rPr>
        <w:t>过滤层、反滤层在施工中应对滤料级配进行检测，每层滤层取样不少于3组，滤层级配应连续，与设计级配的特征粒径相差不得超过10%。</w:t>
      </w:r>
    </w:p>
    <w:p w14:paraId="630A8BE2">
      <w:pPr>
        <w:numPr>
          <w:ilvl w:val="2"/>
          <w:numId w:val="2"/>
        </w:numPr>
        <w:spacing w:line="360" w:lineRule="auto"/>
        <w:ind w:left="0" w:firstLine="0"/>
        <w:jc w:val="left"/>
        <w:rPr>
          <w:rFonts w:eastAsia="宋体"/>
          <w:sz w:val="24"/>
          <w:szCs w:val="32"/>
        </w:rPr>
      </w:pPr>
      <w:r>
        <w:rPr>
          <w:rFonts w:hint="eastAsia" w:eastAsia="宋体"/>
          <w:sz w:val="24"/>
          <w:szCs w:val="32"/>
        </w:rPr>
        <w:t>导水管的位置和标高应符合设计要求。</w:t>
      </w:r>
    </w:p>
    <w:p w14:paraId="26A54EC5">
      <w:pPr>
        <w:widowControl/>
        <w:spacing w:line="360" w:lineRule="auto"/>
        <w:jc w:val="left"/>
        <w:rPr>
          <w:rFonts w:ascii="宋体" w:hAnsi="宋体" w:eastAsia="宋体" w:cs="宋体"/>
          <w:kern w:val="0"/>
          <w:sz w:val="24"/>
          <w:szCs w:val="24"/>
          <w:lang w:bidi="ar"/>
        </w:rPr>
      </w:pPr>
    </w:p>
    <w:p w14:paraId="2ECBA419">
      <w:pPr>
        <w:widowControl/>
        <w:spacing w:line="360" w:lineRule="auto"/>
        <w:jc w:val="left"/>
        <w:rPr>
          <w:rFonts w:ascii="宋体" w:hAnsi="宋体" w:eastAsia="宋体" w:cs="宋体"/>
          <w:kern w:val="0"/>
          <w:sz w:val="24"/>
          <w:szCs w:val="24"/>
          <w:lang w:bidi="ar"/>
        </w:rPr>
      </w:pPr>
    </w:p>
    <w:p w14:paraId="55632654">
      <w:pPr>
        <w:widowControl/>
        <w:spacing w:line="360" w:lineRule="auto"/>
        <w:jc w:val="left"/>
        <w:rPr>
          <w:rFonts w:ascii="宋体" w:hAnsi="宋体" w:eastAsia="宋体" w:cs="宋体"/>
          <w:kern w:val="0"/>
          <w:sz w:val="24"/>
          <w:szCs w:val="24"/>
          <w:lang w:bidi="ar"/>
        </w:rPr>
      </w:pPr>
    </w:p>
    <w:p w14:paraId="57C236C9">
      <w:pPr>
        <w:spacing w:line="360" w:lineRule="auto"/>
        <w:rPr>
          <w:rFonts w:eastAsiaTheme="minorEastAsia"/>
          <w:sz w:val="24"/>
          <w:szCs w:val="24"/>
        </w:rPr>
      </w:pPr>
    </w:p>
    <w:p w14:paraId="50BCA7CB">
      <w:pPr>
        <w:rPr>
          <w:rFonts w:eastAsiaTheme="minorEastAsia"/>
          <w:sz w:val="24"/>
          <w:szCs w:val="24"/>
        </w:rPr>
      </w:pPr>
      <w:r>
        <w:rPr>
          <w:rFonts w:eastAsiaTheme="minorEastAsia"/>
          <w:sz w:val="24"/>
          <w:szCs w:val="24"/>
        </w:rPr>
        <w:br w:type="page"/>
      </w:r>
    </w:p>
    <w:p w14:paraId="707DEA5D">
      <w:pPr>
        <w:numPr>
          <w:ilvl w:val="0"/>
          <w:numId w:val="2"/>
        </w:numPr>
        <w:spacing w:line="360" w:lineRule="auto"/>
        <w:jc w:val="center"/>
        <w:outlineLvl w:val="0"/>
        <w:rPr>
          <w:rFonts w:eastAsiaTheme="minorEastAsia"/>
          <w:b/>
          <w:bCs/>
          <w:sz w:val="28"/>
          <w:szCs w:val="28"/>
        </w:rPr>
      </w:pPr>
      <w:bookmarkStart w:id="187" w:name="_Toc6434"/>
      <w:bookmarkStart w:id="188" w:name="_Toc30192"/>
      <w:bookmarkStart w:id="189" w:name="_Toc17701"/>
      <w:bookmarkStart w:id="190" w:name="_Toc25592"/>
      <w:bookmarkStart w:id="191" w:name="_Toc12592"/>
      <w:bookmarkStart w:id="192" w:name="_Toc7938"/>
      <w:r>
        <w:rPr>
          <w:rFonts w:eastAsiaTheme="minorEastAsia"/>
          <w:b/>
          <w:bCs/>
          <w:sz w:val="28"/>
          <w:szCs w:val="28"/>
        </w:rPr>
        <w:t>既有</w:t>
      </w:r>
      <w:r>
        <w:rPr>
          <w:rFonts w:hint="eastAsia" w:eastAsiaTheme="minorEastAsia"/>
          <w:b/>
          <w:bCs/>
          <w:sz w:val="28"/>
          <w:szCs w:val="28"/>
        </w:rPr>
        <w:t>建筑</w:t>
      </w:r>
      <w:r>
        <w:rPr>
          <w:rFonts w:eastAsiaTheme="minorEastAsia"/>
          <w:b/>
          <w:bCs/>
          <w:sz w:val="28"/>
          <w:szCs w:val="28"/>
        </w:rPr>
        <w:t>抗浮</w:t>
      </w:r>
      <w:bookmarkEnd w:id="187"/>
      <w:bookmarkEnd w:id="188"/>
      <w:bookmarkEnd w:id="189"/>
      <w:bookmarkEnd w:id="190"/>
      <w:bookmarkEnd w:id="191"/>
      <w:bookmarkEnd w:id="192"/>
    </w:p>
    <w:p w14:paraId="2994E6E6">
      <w:pPr>
        <w:numPr>
          <w:ilvl w:val="1"/>
          <w:numId w:val="2"/>
        </w:numPr>
        <w:spacing w:line="360" w:lineRule="auto"/>
        <w:ind w:left="0" w:firstLine="0"/>
        <w:jc w:val="center"/>
        <w:outlineLvl w:val="1"/>
        <w:rPr>
          <w:rFonts w:eastAsiaTheme="minorEastAsia"/>
          <w:b/>
          <w:bCs/>
          <w:sz w:val="24"/>
          <w:szCs w:val="24"/>
        </w:rPr>
      </w:pPr>
      <w:bookmarkStart w:id="193" w:name="_Toc3986"/>
      <w:bookmarkStart w:id="194" w:name="_Toc962"/>
      <w:bookmarkStart w:id="195" w:name="_Toc20173"/>
      <w:bookmarkStart w:id="196" w:name="_Toc20391"/>
      <w:bookmarkStart w:id="197" w:name="_Toc12778"/>
      <w:bookmarkStart w:id="198" w:name="_Toc24282"/>
      <w:r>
        <w:rPr>
          <w:rFonts w:eastAsiaTheme="minorEastAsia"/>
          <w:b/>
          <w:bCs/>
          <w:sz w:val="24"/>
          <w:szCs w:val="24"/>
        </w:rPr>
        <w:t>一般规定</w:t>
      </w:r>
      <w:bookmarkEnd w:id="193"/>
      <w:bookmarkEnd w:id="194"/>
      <w:bookmarkEnd w:id="195"/>
      <w:bookmarkEnd w:id="196"/>
      <w:bookmarkEnd w:id="197"/>
      <w:bookmarkEnd w:id="198"/>
    </w:p>
    <w:p w14:paraId="506ADBCC">
      <w:pPr>
        <w:numPr>
          <w:ilvl w:val="2"/>
          <w:numId w:val="2"/>
        </w:numPr>
        <w:spacing w:line="360" w:lineRule="auto"/>
        <w:ind w:left="9" w:hanging="9"/>
        <w:jc w:val="left"/>
        <w:rPr>
          <w:rFonts w:eastAsia="宋体"/>
          <w:sz w:val="24"/>
          <w:szCs w:val="32"/>
        </w:rPr>
      </w:pPr>
      <w:r>
        <w:rPr>
          <w:rFonts w:hint="eastAsia" w:eastAsia="宋体"/>
          <w:sz w:val="24"/>
          <w:szCs w:val="32"/>
        </w:rPr>
        <w:t>对于发生上浮或因条件变化导致抗浮稳定性及抗浮构件承载力不满足要求的既有建筑，应采取抗浮治理措施。</w:t>
      </w:r>
    </w:p>
    <w:p w14:paraId="2E7EFD93">
      <w:pPr>
        <w:numPr>
          <w:ilvl w:val="2"/>
          <w:numId w:val="2"/>
        </w:numPr>
        <w:spacing w:line="360" w:lineRule="auto"/>
        <w:ind w:left="9" w:hanging="9"/>
        <w:jc w:val="left"/>
        <w:rPr>
          <w:rFonts w:eastAsia="宋体"/>
          <w:sz w:val="24"/>
          <w:szCs w:val="32"/>
        </w:rPr>
      </w:pPr>
      <w:r>
        <w:rPr>
          <w:rFonts w:eastAsia="宋体"/>
          <w:sz w:val="24"/>
          <w:szCs w:val="32"/>
        </w:rPr>
        <w:t>既有建筑出现上浮损伤且可能产生危害时，应先采取应急处置措施，确保结构安全后再进行抗浮</w:t>
      </w:r>
      <w:r>
        <w:rPr>
          <w:rFonts w:hint="eastAsia" w:eastAsia="宋体"/>
          <w:sz w:val="24"/>
          <w:szCs w:val="32"/>
        </w:rPr>
        <w:t>检测</w:t>
      </w:r>
      <w:r>
        <w:rPr>
          <w:rFonts w:eastAsia="宋体"/>
          <w:sz w:val="24"/>
          <w:szCs w:val="32"/>
        </w:rPr>
        <w:t>鉴定及治理工作。</w:t>
      </w:r>
    </w:p>
    <w:p w14:paraId="58D2A96C">
      <w:pPr>
        <w:numPr>
          <w:ilvl w:val="2"/>
          <w:numId w:val="2"/>
        </w:numPr>
        <w:spacing w:line="360" w:lineRule="auto"/>
        <w:ind w:left="9" w:hanging="9"/>
        <w:jc w:val="left"/>
        <w:rPr>
          <w:rFonts w:eastAsia="宋体"/>
          <w:sz w:val="24"/>
          <w:szCs w:val="32"/>
        </w:rPr>
      </w:pPr>
      <w:r>
        <w:rPr>
          <w:rFonts w:hint="eastAsia" w:eastAsia="宋体"/>
          <w:sz w:val="24"/>
          <w:szCs w:val="32"/>
        </w:rPr>
        <w:t>既有建筑抗浮治理方案应依据岩土工程勘察报告、检测及鉴定结论，根据工程实际条件进行技术经济比较后综合确定。</w:t>
      </w:r>
    </w:p>
    <w:p w14:paraId="24BA76D8">
      <w:pPr>
        <w:numPr>
          <w:ilvl w:val="2"/>
          <w:numId w:val="2"/>
        </w:numPr>
        <w:spacing w:line="360" w:lineRule="auto"/>
        <w:ind w:left="9" w:hanging="9"/>
        <w:jc w:val="left"/>
        <w:rPr>
          <w:rFonts w:eastAsia="宋体"/>
          <w:sz w:val="24"/>
        </w:rPr>
      </w:pPr>
      <w:r>
        <w:rPr>
          <w:rFonts w:hint="eastAsia" w:eastAsia="宋体"/>
          <w:sz w:val="24"/>
          <w:szCs w:val="32"/>
        </w:rPr>
        <w:t>既有建筑抗浮治理完成验收后应进行水位监测以及抗浮加固结构的安全性监测，应符合本标准第11章的有关规定。</w:t>
      </w:r>
    </w:p>
    <w:p w14:paraId="206DF172">
      <w:pPr>
        <w:numPr>
          <w:ilvl w:val="2"/>
          <w:numId w:val="2"/>
        </w:numPr>
        <w:spacing w:line="360" w:lineRule="auto"/>
        <w:ind w:left="9" w:hanging="9"/>
        <w:jc w:val="left"/>
        <w:rPr>
          <w:rFonts w:eastAsia="宋体"/>
          <w:sz w:val="24"/>
          <w:szCs w:val="32"/>
        </w:rPr>
      </w:pPr>
      <w:r>
        <w:rPr>
          <w:rFonts w:eastAsia="宋体"/>
          <w:sz w:val="24"/>
          <w:szCs w:val="32"/>
        </w:rPr>
        <w:t>既有建筑人防防护区底板增设抗浮锚杆或抗浮桩的，施工完成后应对其穿板处进行防护密闭和防渗漏专项验收。</w:t>
      </w:r>
    </w:p>
    <w:p w14:paraId="34D46600">
      <w:pPr>
        <w:numPr>
          <w:ilvl w:val="1"/>
          <w:numId w:val="2"/>
        </w:numPr>
        <w:spacing w:line="360" w:lineRule="auto"/>
        <w:jc w:val="center"/>
        <w:outlineLvl w:val="1"/>
        <w:rPr>
          <w:rFonts w:eastAsiaTheme="minorEastAsia"/>
          <w:b/>
          <w:bCs/>
          <w:sz w:val="24"/>
          <w:szCs w:val="24"/>
        </w:rPr>
      </w:pPr>
      <w:bookmarkStart w:id="199" w:name="_Toc6372"/>
      <w:bookmarkStart w:id="200" w:name="_Toc7782"/>
      <w:bookmarkStart w:id="201" w:name="_Toc25603"/>
      <w:bookmarkStart w:id="202" w:name="_Toc9858"/>
      <w:bookmarkStart w:id="203" w:name="_Toc31843"/>
      <w:r>
        <w:rPr>
          <w:rFonts w:eastAsiaTheme="minorEastAsia"/>
          <w:b/>
          <w:bCs/>
          <w:sz w:val="24"/>
          <w:szCs w:val="24"/>
        </w:rPr>
        <w:t>抗浮加固设计</w:t>
      </w:r>
      <w:bookmarkEnd w:id="199"/>
      <w:bookmarkEnd w:id="200"/>
      <w:bookmarkEnd w:id="201"/>
      <w:bookmarkEnd w:id="202"/>
      <w:bookmarkEnd w:id="203"/>
    </w:p>
    <w:p w14:paraId="5359E1B2">
      <w:pPr>
        <w:numPr>
          <w:ilvl w:val="2"/>
          <w:numId w:val="2"/>
        </w:numPr>
        <w:spacing w:line="360" w:lineRule="auto"/>
        <w:ind w:left="9" w:hanging="9"/>
        <w:jc w:val="left"/>
        <w:rPr>
          <w:rFonts w:eastAsia="宋体"/>
          <w:sz w:val="24"/>
          <w:szCs w:val="32"/>
        </w:rPr>
      </w:pPr>
      <w:r>
        <w:rPr>
          <w:rFonts w:eastAsia="宋体"/>
          <w:sz w:val="24"/>
          <w:szCs w:val="32"/>
        </w:rPr>
        <w:t>既有</w:t>
      </w:r>
      <w:r>
        <w:rPr>
          <w:rFonts w:hint="eastAsia" w:eastAsia="宋体"/>
          <w:sz w:val="24"/>
          <w:szCs w:val="32"/>
        </w:rPr>
        <w:t>建筑</w:t>
      </w:r>
      <w:r>
        <w:rPr>
          <w:rFonts w:eastAsia="宋体"/>
          <w:sz w:val="24"/>
          <w:szCs w:val="32"/>
        </w:rPr>
        <w:t>抗浮加固范围应根据现场检测和鉴定的</w:t>
      </w:r>
      <w:r>
        <w:rPr>
          <w:rFonts w:hint="eastAsia" w:eastAsia="宋体"/>
          <w:sz w:val="24"/>
          <w:szCs w:val="32"/>
        </w:rPr>
        <w:t>情况综合</w:t>
      </w:r>
      <w:r>
        <w:rPr>
          <w:rFonts w:eastAsia="宋体"/>
          <w:sz w:val="24"/>
          <w:szCs w:val="32"/>
        </w:rPr>
        <w:t>确定</w:t>
      </w:r>
      <w:r>
        <w:rPr>
          <w:rFonts w:hint="eastAsia" w:eastAsia="宋体"/>
          <w:sz w:val="24"/>
          <w:szCs w:val="32"/>
        </w:rPr>
        <w:t>；</w:t>
      </w:r>
      <w:r>
        <w:rPr>
          <w:rFonts w:eastAsia="宋体"/>
          <w:sz w:val="24"/>
          <w:szCs w:val="32"/>
        </w:rPr>
        <w:t>抗浮加固设计不宜改变既有</w:t>
      </w:r>
      <w:r>
        <w:rPr>
          <w:rFonts w:hint="eastAsia" w:eastAsia="宋体"/>
          <w:sz w:val="24"/>
          <w:szCs w:val="32"/>
        </w:rPr>
        <w:t>建筑</w:t>
      </w:r>
      <w:r>
        <w:rPr>
          <w:rFonts w:eastAsia="宋体"/>
          <w:sz w:val="24"/>
          <w:szCs w:val="32"/>
        </w:rPr>
        <w:t>的使用功能和环境条件</w:t>
      </w:r>
      <w:r>
        <w:rPr>
          <w:rFonts w:hint="eastAsia" w:eastAsia="宋体"/>
          <w:sz w:val="24"/>
          <w:szCs w:val="32"/>
        </w:rPr>
        <w:t>，</w:t>
      </w:r>
      <w:r>
        <w:rPr>
          <w:rFonts w:eastAsia="宋体"/>
          <w:sz w:val="24"/>
          <w:szCs w:val="32"/>
        </w:rPr>
        <w:t>当不可避免时应经业主确认</w:t>
      </w:r>
      <w:r>
        <w:rPr>
          <w:rFonts w:hint="eastAsia" w:eastAsia="宋体"/>
          <w:sz w:val="24"/>
          <w:szCs w:val="32"/>
        </w:rPr>
        <w:t>，并根据整体结构的检测鉴定情况进行复核</w:t>
      </w:r>
      <w:r>
        <w:rPr>
          <w:rFonts w:eastAsia="宋体"/>
          <w:sz w:val="24"/>
          <w:szCs w:val="32"/>
        </w:rPr>
        <w:t>。</w:t>
      </w:r>
    </w:p>
    <w:p w14:paraId="3A343F62">
      <w:pPr>
        <w:numPr>
          <w:ilvl w:val="2"/>
          <w:numId w:val="2"/>
        </w:numPr>
        <w:spacing w:line="360" w:lineRule="auto"/>
        <w:ind w:left="9" w:hanging="9"/>
        <w:jc w:val="left"/>
        <w:rPr>
          <w:rFonts w:eastAsia="宋体"/>
          <w:sz w:val="24"/>
          <w:szCs w:val="32"/>
        </w:rPr>
      </w:pPr>
      <w:r>
        <w:rPr>
          <w:rFonts w:hint="eastAsia" w:eastAsia="宋体"/>
          <w:sz w:val="24"/>
          <w:szCs w:val="32"/>
        </w:rPr>
        <w:t>既有建筑抗浮加固设计应具备下列资料：</w:t>
      </w:r>
    </w:p>
    <w:p w14:paraId="017064A7">
      <w:pPr>
        <w:numPr>
          <w:ilvl w:val="0"/>
          <w:numId w:val="37"/>
        </w:numPr>
        <w:tabs>
          <w:tab w:val="clear" w:pos="420"/>
        </w:tabs>
        <w:spacing w:line="360" w:lineRule="auto"/>
        <w:ind w:left="5" w:firstLine="315"/>
        <w:rPr>
          <w:rFonts w:eastAsiaTheme="minorEastAsia"/>
          <w:sz w:val="24"/>
          <w:szCs w:val="24"/>
        </w:rPr>
      </w:pPr>
      <w:r>
        <w:rPr>
          <w:rFonts w:hint="eastAsia" w:eastAsiaTheme="minorEastAsia"/>
          <w:sz w:val="24"/>
          <w:szCs w:val="24"/>
        </w:rPr>
        <w:t>包含抗浮水位及抗浮构件设计所需参数的</w:t>
      </w:r>
      <w:r>
        <w:rPr>
          <w:rFonts w:eastAsiaTheme="minorEastAsia"/>
          <w:sz w:val="24"/>
          <w:szCs w:val="24"/>
        </w:rPr>
        <w:t>场地岩土工程勘察报告；</w:t>
      </w:r>
    </w:p>
    <w:p w14:paraId="4FD20A2C">
      <w:pPr>
        <w:numPr>
          <w:ilvl w:val="0"/>
          <w:numId w:val="37"/>
        </w:numPr>
        <w:tabs>
          <w:tab w:val="clear" w:pos="420"/>
        </w:tabs>
        <w:spacing w:line="360" w:lineRule="auto"/>
        <w:ind w:left="5" w:firstLine="315"/>
        <w:rPr>
          <w:rFonts w:eastAsiaTheme="minorEastAsia"/>
          <w:sz w:val="24"/>
          <w:szCs w:val="24"/>
        </w:rPr>
      </w:pPr>
      <w:r>
        <w:rPr>
          <w:rFonts w:eastAsiaTheme="minorEastAsia"/>
          <w:sz w:val="24"/>
          <w:szCs w:val="24"/>
        </w:rPr>
        <w:t>工程周边建筑物、地下管线等环境资料；</w:t>
      </w:r>
    </w:p>
    <w:p w14:paraId="47DD19F8">
      <w:pPr>
        <w:numPr>
          <w:ilvl w:val="0"/>
          <w:numId w:val="37"/>
        </w:numPr>
        <w:tabs>
          <w:tab w:val="clear" w:pos="420"/>
        </w:tabs>
        <w:spacing w:line="360" w:lineRule="auto"/>
        <w:ind w:left="5" w:firstLine="315"/>
        <w:rPr>
          <w:rFonts w:eastAsiaTheme="minorEastAsia"/>
          <w:sz w:val="24"/>
          <w:szCs w:val="24"/>
        </w:rPr>
      </w:pPr>
      <w:r>
        <w:rPr>
          <w:rFonts w:eastAsiaTheme="minorEastAsia"/>
          <w:sz w:val="24"/>
          <w:szCs w:val="24"/>
        </w:rPr>
        <w:t>既有建筑设计文件；</w:t>
      </w:r>
    </w:p>
    <w:p w14:paraId="083A1830">
      <w:pPr>
        <w:numPr>
          <w:ilvl w:val="0"/>
          <w:numId w:val="37"/>
        </w:numPr>
        <w:tabs>
          <w:tab w:val="clear" w:pos="420"/>
        </w:tabs>
        <w:spacing w:line="360" w:lineRule="auto"/>
        <w:ind w:left="5" w:firstLine="315"/>
        <w:rPr>
          <w:rFonts w:eastAsiaTheme="minorEastAsia"/>
          <w:sz w:val="24"/>
          <w:szCs w:val="24"/>
        </w:rPr>
      </w:pPr>
      <w:r>
        <w:rPr>
          <w:rFonts w:eastAsiaTheme="minorEastAsia"/>
          <w:sz w:val="24"/>
          <w:szCs w:val="24"/>
        </w:rPr>
        <w:t>既有建筑竣工资料；</w:t>
      </w:r>
    </w:p>
    <w:p w14:paraId="37BE9BCA">
      <w:pPr>
        <w:numPr>
          <w:ilvl w:val="0"/>
          <w:numId w:val="37"/>
        </w:numPr>
        <w:tabs>
          <w:tab w:val="clear" w:pos="420"/>
        </w:tabs>
        <w:spacing w:line="360" w:lineRule="auto"/>
        <w:ind w:left="5" w:firstLine="315"/>
        <w:rPr>
          <w:rFonts w:eastAsiaTheme="minorEastAsia"/>
          <w:sz w:val="24"/>
          <w:szCs w:val="24"/>
        </w:rPr>
      </w:pPr>
      <w:r>
        <w:rPr>
          <w:rFonts w:eastAsiaTheme="minorEastAsia"/>
          <w:sz w:val="24"/>
          <w:szCs w:val="24"/>
        </w:rPr>
        <w:t>既有建筑</w:t>
      </w:r>
      <w:r>
        <w:rPr>
          <w:rFonts w:hint="eastAsia" w:eastAsiaTheme="minorEastAsia"/>
          <w:sz w:val="24"/>
          <w:szCs w:val="24"/>
        </w:rPr>
        <w:t>抗浮检测</w:t>
      </w:r>
      <w:r>
        <w:rPr>
          <w:rFonts w:eastAsiaTheme="minorEastAsia"/>
          <w:sz w:val="24"/>
          <w:szCs w:val="24"/>
        </w:rPr>
        <w:t>鉴定报告。</w:t>
      </w:r>
    </w:p>
    <w:p w14:paraId="266B709F">
      <w:pPr>
        <w:numPr>
          <w:ilvl w:val="2"/>
          <w:numId w:val="2"/>
        </w:numPr>
        <w:spacing w:line="360" w:lineRule="auto"/>
        <w:ind w:left="9" w:hanging="9"/>
        <w:jc w:val="left"/>
        <w:rPr>
          <w:rFonts w:eastAsia="宋体"/>
          <w:sz w:val="24"/>
          <w:szCs w:val="32"/>
        </w:rPr>
      </w:pPr>
      <w:r>
        <w:rPr>
          <w:rFonts w:hint="eastAsia" w:eastAsia="宋体"/>
          <w:sz w:val="24"/>
          <w:szCs w:val="32"/>
        </w:rPr>
        <w:t>抗浮加固设计时，结构或构件的材料强度、几何参数、既有抗浮构件承载力应根据检测结果确定，当检测结果符合原设计规定时，可按原设计规定取值。既有抗浮桩、抗浮锚杆承载力检测宜在原位进行单桩竖向抗拔静载试验和锚杆的多循环基本试验，不具备条件时可采用本标准附录E中方法确定其抗拔承载力特征值。对既有建筑中抗浮锚杆其预应力损失和蠕变特性检测，可按本标准附录B中B.3确定其实际持有荷载，按B.4确定其蠕变特性。</w:t>
      </w:r>
    </w:p>
    <w:p w14:paraId="02CC4E3F">
      <w:pPr>
        <w:numPr>
          <w:ilvl w:val="2"/>
          <w:numId w:val="2"/>
        </w:numPr>
        <w:spacing w:line="360" w:lineRule="auto"/>
        <w:ind w:left="9" w:hanging="9"/>
        <w:jc w:val="left"/>
        <w:rPr>
          <w:rFonts w:eastAsia="宋体"/>
          <w:sz w:val="24"/>
          <w:szCs w:val="32"/>
        </w:rPr>
      </w:pPr>
      <w:r>
        <w:rPr>
          <w:rFonts w:hint="eastAsia" w:eastAsia="宋体"/>
          <w:sz w:val="24"/>
          <w:szCs w:val="32"/>
        </w:rPr>
        <w:t>基础底板抗浮加固新增混凝土强度等级及抗渗等级不应低于原设计，且强度等级不应低于C30，抗渗等级不应低于P8。新旧混凝土界面处理及其粘结质量应符合《混凝土结构加固设计规范》GB 50367的有关规定。</w:t>
      </w:r>
    </w:p>
    <w:p w14:paraId="72E26920">
      <w:pPr>
        <w:numPr>
          <w:ilvl w:val="2"/>
          <w:numId w:val="2"/>
        </w:numPr>
        <w:spacing w:line="360" w:lineRule="auto"/>
        <w:ind w:left="9" w:hanging="9"/>
        <w:jc w:val="left"/>
        <w:rPr>
          <w:rFonts w:eastAsia="宋体"/>
          <w:sz w:val="24"/>
          <w:szCs w:val="32"/>
        </w:rPr>
      </w:pPr>
      <w:r>
        <w:rPr>
          <w:rFonts w:hint="eastAsia" w:eastAsia="宋体"/>
          <w:sz w:val="24"/>
          <w:szCs w:val="32"/>
        </w:rPr>
        <w:t>应考虑既有结构的承载历史及施工状态影响，当新增抗浮构件类型与既有抗浮构件不同时，应计入两者之间受力特征不同和变形差异的影响，</w:t>
      </w:r>
      <w:r>
        <w:rPr>
          <w:rFonts w:hint="eastAsia" w:eastAsiaTheme="minorEastAsia"/>
          <w:sz w:val="24"/>
          <w:szCs w:val="24"/>
        </w:rPr>
        <w:t>选用符合结构实际工作情况的计算模型</w:t>
      </w:r>
      <w:r>
        <w:rPr>
          <w:rFonts w:hint="eastAsia" w:eastAsia="宋体"/>
          <w:sz w:val="24"/>
          <w:szCs w:val="32"/>
        </w:rPr>
        <w:t>。</w:t>
      </w:r>
    </w:p>
    <w:p w14:paraId="72E7F134">
      <w:pPr>
        <w:numPr>
          <w:ilvl w:val="2"/>
          <w:numId w:val="2"/>
        </w:numPr>
        <w:spacing w:line="360" w:lineRule="auto"/>
        <w:ind w:left="9" w:hanging="9"/>
        <w:jc w:val="left"/>
        <w:rPr>
          <w:rFonts w:eastAsia="宋体"/>
          <w:sz w:val="24"/>
          <w:szCs w:val="32"/>
        </w:rPr>
      </w:pPr>
      <w:r>
        <w:rPr>
          <w:rFonts w:hint="eastAsia" w:eastAsia="宋体"/>
          <w:sz w:val="24"/>
          <w:szCs w:val="32"/>
        </w:rPr>
        <w:t>新增抗浮锚杆及抗浮桩的设置应考虑原有抗浮构件平面布置情况进行合理避让，宜满足本标准8.1.3条及《建筑工程抗浮设计标准》JGJ 476中7.6.3条规定，当不满足时应考虑新旧抗浮构件间距对其承载力的影响。对于已发生破坏的原抗浮构件，不应再考虑其抗浮作用；对于未发生破坏且仍处于弹性工作阶段的原抗浮构件，可考虑其抗浮作用。</w:t>
      </w:r>
    </w:p>
    <w:p w14:paraId="471D3D1E">
      <w:pPr>
        <w:numPr>
          <w:ilvl w:val="2"/>
          <w:numId w:val="2"/>
        </w:numPr>
        <w:spacing w:line="360" w:lineRule="auto"/>
        <w:ind w:left="9" w:hanging="9"/>
        <w:jc w:val="left"/>
        <w:rPr>
          <w:rFonts w:eastAsia="宋体"/>
          <w:sz w:val="24"/>
          <w:szCs w:val="32"/>
        </w:rPr>
      </w:pPr>
      <w:r>
        <w:rPr>
          <w:rFonts w:hint="eastAsia" w:eastAsia="宋体"/>
          <w:sz w:val="24"/>
          <w:szCs w:val="32"/>
        </w:rPr>
        <w:t>应采取有效措施确保抗浮治理期间建筑物抗浮稳定与工程安全，在抗浮治理施工期间及新增抗浮构件达到设计强度之前，应严格进行地下水位控制。</w:t>
      </w:r>
    </w:p>
    <w:p w14:paraId="47BE9106">
      <w:pPr>
        <w:numPr>
          <w:ilvl w:val="2"/>
          <w:numId w:val="2"/>
        </w:numPr>
        <w:spacing w:line="360" w:lineRule="auto"/>
        <w:ind w:left="9" w:hanging="9"/>
        <w:jc w:val="left"/>
        <w:rPr>
          <w:rFonts w:eastAsia="宋体"/>
          <w:sz w:val="24"/>
          <w:szCs w:val="32"/>
        </w:rPr>
      </w:pPr>
      <w:r>
        <w:rPr>
          <w:rFonts w:eastAsia="宋体"/>
          <w:sz w:val="24"/>
          <w:szCs w:val="32"/>
        </w:rPr>
        <w:t>既有</w:t>
      </w:r>
      <w:r>
        <w:rPr>
          <w:rFonts w:hint="eastAsia" w:eastAsia="宋体"/>
          <w:sz w:val="24"/>
          <w:szCs w:val="32"/>
        </w:rPr>
        <w:t>建筑</w:t>
      </w:r>
      <w:r>
        <w:rPr>
          <w:rFonts w:eastAsia="宋体"/>
          <w:sz w:val="24"/>
          <w:szCs w:val="32"/>
        </w:rPr>
        <w:t>抗浮</w:t>
      </w:r>
      <w:r>
        <w:rPr>
          <w:rFonts w:hint="eastAsia" w:eastAsia="宋体"/>
          <w:sz w:val="24"/>
          <w:szCs w:val="32"/>
        </w:rPr>
        <w:t>治理</w:t>
      </w:r>
      <w:r>
        <w:rPr>
          <w:rFonts w:eastAsia="宋体"/>
          <w:sz w:val="24"/>
          <w:szCs w:val="32"/>
        </w:rPr>
        <w:t>时，应对原基础底板的渗漏、裂缝进行全面</w:t>
      </w:r>
      <w:r>
        <w:rPr>
          <w:rFonts w:hint="eastAsia" w:eastAsia="宋体"/>
          <w:sz w:val="24"/>
          <w:szCs w:val="32"/>
        </w:rPr>
        <w:t>排查</w:t>
      </w:r>
      <w:r>
        <w:rPr>
          <w:rFonts w:eastAsia="宋体"/>
          <w:sz w:val="24"/>
          <w:szCs w:val="32"/>
        </w:rPr>
        <w:t>，并对渗漏、裂缝位置进行堵漏或灌缝处理。</w:t>
      </w:r>
    </w:p>
    <w:p w14:paraId="74CE66F2">
      <w:pPr>
        <w:numPr>
          <w:ilvl w:val="2"/>
          <w:numId w:val="2"/>
        </w:numPr>
        <w:spacing w:line="360" w:lineRule="auto"/>
        <w:ind w:left="9" w:hanging="9"/>
        <w:jc w:val="left"/>
        <w:rPr>
          <w:rFonts w:eastAsia="宋体"/>
          <w:sz w:val="24"/>
          <w:szCs w:val="32"/>
        </w:rPr>
      </w:pPr>
      <w:r>
        <w:rPr>
          <w:rFonts w:hint="eastAsia" w:eastAsia="宋体"/>
          <w:sz w:val="24"/>
          <w:szCs w:val="32"/>
        </w:rPr>
        <w:t>当上浮建筑泄压回落后的实测标高与设计标高差异较大时，宜利用堆载、预应力锚杆成批张拉锁定等措施进行竖向纠偏。</w:t>
      </w:r>
    </w:p>
    <w:p w14:paraId="2D5054F7">
      <w:pPr>
        <w:numPr>
          <w:ilvl w:val="2"/>
          <w:numId w:val="2"/>
        </w:numPr>
        <w:spacing w:line="360" w:lineRule="auto"/>
        <w:ind w:left="9" w:hanging="9"/>
        <w:jc w:val="left"/>
        <w:rPr>
          <w:rFonts w:eastAsia="宋体"/>
          <w:sz w:val="24"/>
          <w:szCs w:val="32"/>
        </w:rPr>
      </w:pPr>
      <w:r>
        <w:rPr>
          <w:rFonts w:eastAsia="宋体"/>
          <w:sz w:val="24"/>
          <w:szCs w:val="32"/>
        </w:rPr>
        <w:t>既有</w:t>
      </w:r>
      <w:r>
        <w:rPr>
          <w:rFonts w:hint="eastAsia" w:eastAsia="宋体"/>
          <w:sz w:val="24"/>
          <w:szCs w:val="32"/>
        </w:rPr>
        <w:t>建筑</w:t>
      </w:r>
      <w:r>
        <w:rPr>
          <w:rFonts w:eastAsia="宋体"/>
          <w:sz w:val="24"/>
          <w:szCs w:val="32"/>
        </w:rPr>
        <w:t>抗浮</w:t>
      </w:r>
      <w:r>
        <w:rPr>
          <w:rFonts w:hint="eastAsia" w:eastAsia="宋体"/>
          <w:sz w:val="24"/>
          <w:szCs w:val="32"/>
        </w:rPr>
        <w:t>治理</w:t>
      </w:r>
      <w:r>
        <w:rPr>
          <w:rFonts w:eastAsia="宋体"/>
          <w:sz w:val="24"/>
          <w:szCs w:val="32"/>
        </w:rPr>
        <w:t>可选用下列一种或多种方法</w:t>
      </w:r>
      <w:r>
        <w:rPr>
          <w:rFonts w:hint="eastAsia" w:eastAsia="宋体"/>
          <w:sz w:val="24"/>
          <w:szCs w:val="32"/>
        </w:rPr>
        <w:t>：</w:t>
      </w:r>
    </w:p>
    <w:p w14:paraId="7DD855BA">
      <w:pPr>
        <w:spacing w:line="360" w:lineRule="auto"/>
        <w:ind w:left="320"/>
        <w:rPr>
          <w:rFonts w:eastAsiaTheme="minorEastAsia"/>
          <w:sz w:val="24"/>
          <w:szCs w:val="24"/>
        </w:rPr>
      </w:pPr>
      <w:r>
        <w:rPr>
          <w:rFonts w:hint="eastAsia" w:eastAsiaTheme="minorEastAsia"/>
          <w:sz w:val="24"/>
          <w:szCs w:val="24"/>
        </w:rPr>
        <w:t>1  增</w:t>
      </w:r>
      <w:r>
        <w:rPr>
          <w:rFonts w:eastAsiaTheme="minorEastAsia"/>
          <w:sz w:val="24"/>
          <w:szCs w:val="24"/>
        </w:rPr>
        <w:t>重法</w:t>
      </w:r>
      <w:r>
        <w:rPr>
          <w:rFonts w:hint="eastAsia" w:eastAsiaTheme="minorEastAsia"/>
          <w:sz w:val="24"/>
          <w:szCs w:val="24"/>
        </w:rPr>
        <w:t>；</w:t>
      </w:r>
    </w:p>
    <w:p w14:paraId="6F5DC424">
      <w:pPr>
        <w:spacing w:line="360" w:lineRule="auto"/>
        <w:ind w:left="320"/>
        <w:rPr>
          <w:rFonts w:eastAsiaTheme="minorEastAsia"/>
          <w:sz w:val="24"/>
          <w:szCs w:val="24"/>
        </w:rPr>
      </w:pPr>
      <w:r>
        <w:rPr>
          <w:rFonts w:hint="eastAsia" w:eastAsiaTheme="minorEastAsia"/>
          <w:sz w:val="24"/>
          <w:szCs w:val="24"/>
        </w:rPr>
        <w:t xml:space="preserve">2  </w:t>
      </w:r>
      <w:r>
        <w:rPr>
          <w:rFonts w:eastAsiaTheme="minorEastAsia"/>
          <w:sz w:val="24"/>
          <w:szCs w:val="24"/>
        </w:rPr>
        <w:t>增设锚杆法</w:t>
      </w:r>
      <w:r>
        <w:rPr>
          <w:rFonts w:hint="eastAsia" w:eastAsiaTheme="minorEastAsia"/>
          <w:sz w:val="24"/>
          <w:szCs w:val="24"/>
        </w:rPr>
        <w:t>；</w:t>
      </w:r>
    </w:p>
    <w:p w14:paraId="7B3A97C7">
      <w:pPr>
        <w:spacing w:line="360" w:lineRule="auto"/>
        <w:ind w:left="320"/>
        <w:rPr>
          <w:rFonts w:eastAsiaTheme="minorEastAsia"/>
          <w:sz w:val="24"/>
          <w:szCs w:val="24"/>
        </w:rPr>
      </w:pPr>
      <w:r>
        <w:rPr>
          <w:rFonts w:hint="eastAsia" w:eastAsiaTheme="minorEastAsia"/>
          <w:sz w:val="24"/>
          <w:szCs w:val="24"/>
        </w:rPr>
        <w:t xml:space="preserve">3  </w:t>
      </w:r>
      <w:r>
        <w:rPr>
          <w:rFonts w:eastAsiaTheme="minorEastAsia"/>
          <w:sz w:val="24"/>
          <w:szCs w:val="24"/>
        </w:rPr>
        <w:t>增设</w:t>
      </w:r>
      <w:r>
        <w:rPr>
          <w:rFonts w:hint="eastAsia" w:eastAsiaTheme="minorEastAsia"/>
          <w:sz w:val="24"/>
          <w:szCs w:val="24"/>
        </w:rPr>
        <w:t>抗浮</w:t>
      </w:r>
      <w:r>
        <w:rPr>
          <w:rFonts w:eastAsiaTheme="minorEastAsia"/>
          <w:sz w:val="24"/>
          <w:szCs w:val="24"/>
        </w:rPr>
        <w:t>桩法</w:t>
      </w:r>
      <w:r>
        <w:rPr>
          <w:rFonts w:hint="eastAsia" w:eastAsiaTheme="minorEastAsia"/>
          <w:sz w:val="24"/>
          <w:szCs w:val="24"/>
        </w:rPr>
        <w:t>；</w:t>
      </w:r>
    </w:p>
    <w:p w14:paraId="11DDB37E">
      <w:pPr>
        <w:spacing w:line="360" w:lineRule="auto"/>
        <w:ind w:left="320"/>
        <w:rPr>
          <w:rFonts w:eastAsiaTheme="minorEastAsia"/>
          <w:sz w:val="24"/>
          <w:szCs w:val="24"/>
        </w:rPr>
      </w:pPr>
      <w:r>
        <w:rPr>
          <w:rFonts w:hint="eastAsia" w:eastAsiaTheme="minorEastAsia"/>
          <w:sz w:val="24"/>
          <w:szCs w:val="24"/>
        </w:rPr>
        <w:t>4  限压</w:t>
      </w:r>
      <w:r>
        <w:rPr>
          <w:rFonts w:eastAsiaTheme="minorEastAsia"/>
          <w:sz w:val="24"/>
          <w:szCs w:val="24"/>
        </w:rPr>
        <w:t>法</w:t>
      </w:r>
      <w:r>
        <w:rPr>
          <w:rFonts w:hint="eastAsia" w:eastAsiaTheme="minorEastAsia"/>
          <w:sz w:val="24"/>
          <w:szCs w:val="24"/>
        </w:rPr>
        <w:t>；</w:t>
      </w:r>
    </w:p>
    <w:p w14:paraId="013BA88B">
      <w:pPr>
        <w:spacing w:line="360" w:lineRule="auto"/>
        <w:ind w:left="320"/>
        <w:rPr>
          <w:rFonts w:eastAsiaTheme="minorEastAsia"/>
          <w:sz w:val="24"/>
          <w:szCs w:val="24"/>
        </w:rPr>
      </w:pPr>
      <w:r>
        <w:rPr>
          <w:rFonts w:hint="eastAsia" w:eastAsiaTheme="minorEastAsia"/>
          <w:sz w:val="24"/>
          <w:szCs w:val="24"/>
        </w:rPr>
        <w:t>5  结构增强法；</w:t>
      </w:r>
    </w:p>
    <w:p w14:paraId="68BD7FB6">
      <w:pPr>
        <w:spacing w:line="360" w:lineRule="auto"/>
        <w:ind w:left="320"/>
        <w:rPr>
          <w:rFonts w:eastAsiaTheme="minorEastAsia"/>
          <w:sz w:val="24"/>
          <w:szCs w:val="24"/>
        </w:rPr>
      </w:pPr>
      <w:r>
        <w:rPr>
          <w:rFonts w:hint="eastAsia" w:eastAsiaTheme="minorEastAsia"/>
          <w:sz w:val="24"/>
          <w:szCs w:val="24"/>
        </w:rPr>
        <w:t xml:space="preserve">6  </w:t>
      </w:r>
      <w:r>
        <w:rPr>
          <w:rFonts w:eastAsiaTheme="minorEastAsia"/>
          <w:sz w:val="24"/>
          <w:szCs w:val="24"/>
        </w:rPr>
        <w:t>其他抗浮加固方法。</w:t>
      </w:r>
    </w:p>
    <w:p w14:paraId="48D95132">
      <w:pPr>
        <w:adjustRightInd w:val="0"/>
        <w:snapToGrid w:val="0"/>
        <w:spacing w:line="360" w:lineRule="auto"/>
        <w:jc w:val="center"/>
        <w:outlineLvl w:val="2"/>
        <w:rPr>
          <w:rFonts w:eastAsia="宋体"/>
          <w:b/>
          <w:sz w:val="22"/>
          <w:szCs w:val="22"/>
        </w:rPr>
      </w:pPr>
      <w:bookmarkStart w:id="204" w:name="_Toc23673"/>
      <w:bookmarkStart w:id="205" w:name="_Toc12234"/>
      <w:bookmarkStart w:id="206" w:name="_Toc9322"/>
      <w:bookmarkStart w:id="207" w:name="_Toc18289"/>
      <w:bookmarkStart w:id="208" w:name="_Toc26554"/>
      <w:r>
        <w:rPr>
          <w:rFonts w:eastAsia="宋体"/>
          <w:b/>
          <w:sz w:val="22"/>
          <w:szCs w:val="22"/>
        </w:rPr>
        <w:t>Ⅰ</w:t>
      </w:r>
      <w:r>
        <w:rPr>
          <w:rFonts w:hint="eastAsia" w:eastAsia="宋体"/>
          <w:b/>
          <w:sz w:val="22"/>
          <w:szCs w:val="22"/>
        </w:rPr>
        <w:t xml:space="preserve">  增重法</w:t>
      </w:r>
      <w:bookmarkEnd w:id="204"/>
      <w:bookmarkEnd w:id="205"/>
      <w:bookmarkEnd w:id="206"/>
      <w:bookmarkEnd w:id="207"/>
      <w:bookmarkEnd w:id="208"/>
    </w:p>
    <w:p w14:paraId="540CB591">
      <w:pPr>
        <w:numPr>
          <w:ilvl w:val="2"/>
          <w:numId w:val="2"/>
        </w:numPr>
        <w:spacing w:line="360" w:lineRule="auto"/>
        <w:ind w:left="9" w:hanging="9"/>
        <w:jc w:val="left"/>
        <w:rPr>
          <w:rFonts w:eastAsia="宋体"/>
          <w:sz w:val="24"/>
          <w:szCs w:val="32"/>
        </w:rPr>
      </w:pPr>
      <w:r>
        <w:rPr>
          <w:rFonts w:hint="eastAsia" w:eastAsia="宋体"/>
          <w:sz w:val="24"/>
          <w:szCs w:val="32"/>
        </w:rPr>
        <w:t>当</w:t>
      </w:r>
      <w:r>
        <w:rPr>
          <w:rFonts w:eastAsia="宋体"/>
          <w:sz w:val="24"/>
          <w:szCs w:val="32"/>
        </w:rPr>
        <w:t>既有建筑抗浮力不足</w:t>
      </w:r>
      <w:r>
        <w:rPr>
          <w:rFonts w:hint="eastAsia" w:eastAsia="宋体"/>
          <w:sz w:val="24"/>
          <w:szCs w:val="32"/>
        </w:rPr>
        <w:t>，并</w:t>
      </w:r>
      <w:r>
        <w:rPr>
          <w:rFonts w:eastAsia="宋体"/>
          <w:sz w:val="24"/>
          <w:szCs w:val="32"/>
        </w:rPr>
        <w:t>具备增重实施条件时，抗浮</w:t>
      </w:r>
      <w:r>
        <w:rPr>
          <w:rFonts w:hint="eastAsia" w:eastAsia="宋体"/>
          <w:sz w:val="24"/>
          <w:szCs w:val="32"/>
        </w:rPr>
        <w:t>治理</w:t>
      </w:r>
      <w:r>
        <w:rPr>
          <w:rFonts w:eastAsia="宋体"/>
          <w:sz w:val="24"/>
          <w:szCs w:val="32"/>
        </w:rPr>
        <w:t>设计宜</w:t>
      </w:r>
      <w:r>
        <w:rPr>
          <w:rFonts w:hint="eastAsia" w:eastAsia="宋体"/>
          <w:sz w:val="24"/>
          <w:szCs w:val="32"/>
        </w:rPr>
        <w:t>优先</w:t>
      </w:r>
      <w:r>
        <w:rPr>
          <w:rFonts w:eastAsia="宋体"/>
          <w:sz w:val="24"/>
          <w:szCs w:val="32"/>
        </w:rPr>
        <w:t>采用</w:t>
      </w:r>
      <w:r>
        <w:rPr>
          <w:rFonts w:hint="eastAsia" w:eastAsia="宋体"/>
          <w:sz w:val="24"/>
          <w:szCs w:val="32"/>
        </w:rPr>
        <w:t>增</w:t>
      </w:r>
      <w:r>
        <w:rPr>
          <w:rFonts w:eastAsia="宋体"/>
          <w:sz w:val="24"/>
          <w:szCs w:val="32"/>
        </w:rPr>
        <w:t>重法</w:t>
      </w:r>
      <w:r>
        <w:rPr>
          <w:rFonts w:hint="eastAsia" w:eastAsia="宋体"/>
          <w:sz w:val="24"/>
          <w:szCs w:val="32"/>
        </w:rPr>
        <w:t>，且尚应满足下列要求：</w:t>
      </w:r>
    </w:p>
    <w:p w14:paraId="069E63AE">
      <w:pPr>
        <w:numPr>
          <w:ilvl w:val="0"/>
          <w:numId w:val="38"/>
        </w:numPr>
        <w:tabs>
          <w:tab w:val="clear" w:pos="420"/>
        </w:tabs>
        <w:spacing w:line="360" w:lineRule="auto"/>
        <w:ind w:left="5" w:firstLine="315"/>
        <w:rPr>
          <w:rFonts w:eastAsiaTheme="minorEastAsia"/>
          <w:sz w:val="24"/>
          <w:szCs w:val="24"/>
        </w:rPr>
      </w:pPr>
      <w:r>
        <w:rPr>
          <w:rFonts w:hint="eastAsia" w:eastAsiaTheme="minorEastAsia"/>
          <w:sz w:val="24"/>
          <w:szCs w:val="24"/>
        </w:rPr>
        <w:t>增重后地基基础、结构构件在施加增重荷载后仍应满足承载力极限状态与正常使用极限状态要求；</w:t>
      </w:r>
    </w:p>
    <w:p w14:paraId="0562C230">
      <w:pPr>
        <w:numPr>
          <w:ilvl w:val="0"/>
          <w:numId w:val="38"/>
        </w:numPr>
        <w:tabs>
          <w:tab w:val="clear" w:pos="420"/>
        </w:tabs>
        <w:spacing w:line="360" w:lineRule="auto"/>
        <w:ind w:left="5" w:firstLine="315"/>
        <w:rPr>
          <w:rFonts w:eastAsiaTheme="minorEastAsia"/>
          <w:sz w:val="24"/>
          <w:szCs w:val="24"/>
        </w:rPr>
      </w:pPr>
      <w:r>
        <w:rPr>
          <w:rFonts w:hint="eastAsia" w:eastAsia="宋体"/>
          <w:sz w:val="24"/>
          <w:szCs w:val="32"/>
        </w:rPr>
        <w:t>增加压重材料时应满足第6章有关规定，同时应明确压重材料容重；</w:t>
      </w:r>
    </w:p>
    <w:p w14:paraId="38C052DA">
      <w:pPr>
        <w:numPr>
          <w:ilvl w:val="0"/>
          <w:numId w:val="38"/>
        </w:numPr>
        <w:tabs>
          <w:tab w:val="clear" w:pos="420"/>
        </w:tabs>
        <w:spacing w:line="360" w:lineRule="auto"/>
        <w:ind w:left="5" w:firstLine="315"/>
        <w:rPr>
          <w:rFonts w:eastAsiaTheme="minorEastAsia"/>
          <w:sz w:val="24"/>
          <w:szCs w:val="24"/>
        </w:rPr>
      </w:pPr>
      <w:r>
        <w:rPr>
          <w:rFonts w:hint="eastAsia" w:eastAsiaTheme="minorEastAsia"/>
          <w:sz w:val="24"/>
          <w:szCs w:val="24"/>
        </w:rPr>
        <w:t>增重荷载宜位于地下结构顶部或底部，不宜影响建筑使用功能；</w:t>
      </w:r>
    </w:p>
    <w:p w14:paraId="45373D80">
      <w:pPr>
        <w:numPr>
          <w:ilvl w:val="0"/>
          <w:numId w:val="38"/>
        </w:numPr>
        <w:tabs>
          <w:tab w:val="clear" w:pos="420"/>
        </w:tabs>
        <w:spacing w:line="360" w:lineRule="auto"/>
        <w:ind w:left="5" w:firstLine="315"/>
        <w:rPr>
          <w:rFonts w:eastAsiaTheme="minorEastAsia"/>
          <w:sz w:val="24"/>
          <w:szCs w:val="24"/>
        </w:rPr>
      </w:pPr>
      <w:r>
        <w:rPr>
          <w:rFonts w:hint="eastAsia" w:eastAsiaTheme="minorEastAsia"/>
          <w:sz w:val="24"/>
          <w:szCs w:val="24"/>
        </w:rPr>
        <w:t>当采用增设永久填充墙时，应将填充墙与主体结构可靠拉结，并应验算墙体稳定性；</w:t>
      </w:r>
    </w:p>
    <w:p w14:paraId="733F3C33">
      <w:pPr>
        <w:numPr>
          <w:ilvl w:val="0"/>
          <w:numId w:val="38"/>
        </w:numPr>
        <w:tabs>
          <w:tab w:val="clear" w:pos="420"/>
        </w:tabs>
        <w:spacing w:line="360" w:lineRule="auto"/>
        <w:ind w:left="5" w:firstLine="315"/>
        <w:rPr>
          <w:rFonts w:eastAsiaTheme="minorEastAsia"/>
          <w:sz w:val="24"/>
          <w:szCs w:val="24"/>
        </w:rPr>
      </w:pPr>
      <w:r>
        <w:rPr>
          <w:rFonts w:hint="eastAsia" w:eastAsiaTheme="minorEastAsia"/>
          <w:sz w:val="24"/>
          <w:szCs w:val="24"/>
        </w:rPr>
        <w:t>当采用含水材料时，应考虑含水率和水位波动可能导致压重荷载变化，需定期进行水位及含水率的监测。</w:t>
      </w:r>
    </w:p>
    <w:p w14:paraId="5BF57586">
      <w:pPr>
        <w:adjustRightInd w:val="0"/>
        <w:snapToGrid w:val="0"/>
        <w:spacing w:line="360" w:lineRule="auto"/>
        <w:jc w:val="center"/>
        <w:outlineLvl w:val="2"/>
        <w:rPr>
          <w:rFonts w:eastAsia="宋体"/>
          <w:b/>
          <w:sz w:val="22"/>
          <w:szCs w:val="22"/>
        </w:rPr>
      </w:pPr>
      <w:bookmarkStart w:id="209" w:name="_Toc29170"/>
      <w:bookmarkStart w:id="210" w:name="_Toc11000"/>
      <w:bookmarkStart w:id="211" w:name="_Toc2024"/>
      <w:bookmarkStart w:id="212" w:name="_Toc680"/>
      <w:bookmarkStart w:id="213" w:name="_Toc13776"/>
      <w:r>
        <w:rPr>
          <w:rFonts w:eastAsia="宋体"/>
          <w:b/>
          <w:sz w:val="22"/>
          <w:szCs w:val="22"/>
        </w:rPr>
        <w:t>Ⅱ</w:t>
      </w:r>
      <w:r>
        <w:rPr>
          <w:rFonts w:hint="eastAsia" w:eastAsia="宋体"/>
          <w:b/>
          <w:sz w:val="22"/>
          <w:szCs w:val="22"/>
        </w:rPr>
        <w:t xml:space="preserve">  增设锚杆法</w:t>
      </w:r>
      <w:bookmarkEnd w:id="209"/>
      <w:bookmarkEnd w:id="210"/>
      <w:bookmarkEnd w:id="211"/>
      <w:bookmarkEnd w:id="212"/>
      <w:bookmarkEnd w:id="213"/>
    </w:p>
    <w:p w14:paraId="72AA7F67">
      <w:pPr>
        <w:numPr>
          <w:ilvl w:val="2"/>
          <w:numId w:val="2"/>
        </w:numPr>
        <w:spacing w:line="360" w:lineRule="auto"/>
        <w:ind w:left="9" w:hanging="9"/>
        <w:rPr>
          <w:rFonts w:eastAsia="宋体"/>
          <w:sz w:val="24"/>
          <w:szCs w:val="32"/>
        </w:rPr>
      </w:pPr>
      <w:r>
        <w:rPr>
          <w:rFonts w:hint="eastAsia" w:eastAsia="宋体"/>
          <w:sz w:val="24"/>
          <w:szCs w:val="32"/>
        </w:rPr>
        <w:t>既有建筑出现上浮破坏或结构抗浮条件发生变化，建筑抗浮力小于浮力且相差较大，同时具备新增抗浮锚杆实施条件时，宜采用增设抗浮锚杆法进行抗浮加固。</w:t>
      </w:r>
    </w:p>
    <w:p w14:paraId="11E67793">
      <w:pPr>
        <w:numPr>
          <w:ilvl w:val="2"/>
          <w:numId w:val="2"/>
        </w:numPr>
        <w:spacing w:line="360" w:lineRule="auto"/>
        <w:ind w:left="9" w:hanging="9"/>
        <w:rPr>
          <w:rFonts w:eastAsia="宋体"/>
          <w:sz w:val="24"/>
          <w:szCs w:val="32"/>
        </w:rPr>
      </w:pPr>
      <w:r>
        <w:rPr>
          <w:rFonts w:eastAsia="宋体"/>
          <w:sz w:val="24"/>
          <w:szCs w:val="32"/>
        </w:rPr>
        <w:t>新增抗浮锚杆类别应根据不同的岩土工程条件和地下施工环境确定</w:t>
      </w:r>
      <w:r>
        <w:rPr>
          <w:rFonts w:hint="eastAsia" w:eastAsia="宋体"/>
          <w:sz w:val="24"/>
          <w:szCs w:val="32"/>
        </w:rPr>
        <w:t>，宜采用预应力抗浮锚杆，同时需满足最低抗浮水压力条件下地基承载力要求</w:t>
      </w:r>
      <w:r>
        <w:rPr>
          <w:rFonts w:eastAsia="宋体"/>
          <w:sz w:val="24"/>
          <w:szCs w:val="32"/>
        </w:rPr>
        <w:t>。</w:t>
      </w:r>
      <w:r>
        <w:rPr>
          <w:rFonts w:hint="eastAsia" w:eastAsia="宋体"/>
          <w:sz w:val="24"/>
          <w:szCs w:val="32"/>
        </w:rPr>
        <w:t>抗浮锚杆设计应满足第8章有关规定。</w:t>
      </w:r>
    </w:p>
    <w:p w14:paraId="5185FE45">
      <w:pPr>
        <w:numPr>
          <w:ilvl w:val="2"/>
          <w:numId w:val="2"/>
        </w:numPr>
        <w:spacing w:line="360" w:lineRule="auto"/>
        <w:ind w:left="9" w:hanging="9"/>
        <w:jc w:val="left"/>
        <w:rPr>
          <w:rFonts w:eastAsia="宋体"/>
          <w:sz w:val="24"/>
          <w:szCs w:val="32"/>
        </w:rPr>
      </w:pPr>
      <w:r>
        <w:rPr>
          <w:rFonts w:hint="eastAsia" w:eastAsia="宋体"/>
          <w:sz w:val="24"/>
          <w:szCs w:val="32"/>
        </w:rPr>
        <w:t>增设锚杆法应与既有结构或抗浮构件联合组成抗浮体系，新增抗浮锚杆应考虑施工扰动对已有抗浮构件的影响。</w:t>
      </w:r>
    </w:p>
    <w:p w14:paraId="1C787BEE">
      <w:pPr>
        <w:numPr>
          <w:ilvl w:val="2"/>
          <w:numId w:val="2"/>
        </w:numPr>
        <w:spacing w:line="360" w:lineRule="auto"/>
        <w:ind w:left="9" w:hanging="9"/>
        <w:jc w:val="left"/>
        <w:rPr>
          <w:rFonts w:eastAsia="宋体"/>
          <w:sz w:val="24"/>
          <w:szCs w:val="32"/>
        </w:rPr>
      </w:pPr>
      <w:r>
        <w:rPr>
          <w:rFonts w:hint="eastAsia" w:eastAsia="宋体"/>
          <w:sz w:val="24"/>
          <w:szCs w:val="32"/>
        </w:rPr>
        <w:t>新增抗浮锚杆的平面布置应综合考虑单根锚杆抗浮承载力、锚杆间距要求、防水板抗浮承载力与允许变形需求等多种因素，采用集中点状布置、网状布置和均匀布置等不同方式。</w:t>
      </w:r>
    </w:p>
    <w:p w14:paraId="55370B4A">
      <w:pPr>
        <w:numPr>
          <w:ilvl w:val="2"/>
          <w:numId w:val="2"/>
        </w:numPr>
        <w:spacing w:line="360" w:lineRule="auto"/>
        <w:ind w:left="9" w:hanging="9"/>
        <w:jc w:val="left"/>
        <w:rPr>
          <w:rFonts w:eastAsia="宋体"/>
          <w:sz w:val="24"/>
          <w:szCs w:val="32"/>
        </w:rPr>
      </w:pPr>
      <w:r>
        <w:rPr>
          <w:rFonts w:hint="eastAsia" w:eastAsia="宋体"/>
          <w:sz w:val="24"/>
          <w:szCs w:val="32"/>
        </w:rPr>
        <w:t>新增抗浮锚杆应考虑对现状结构基础构件以及防水的损伤情况，并应采取相应补强措施。</w:t>
      </w:r>
    </w:p>
    <w:p w14:paraId="3BB8E7B5">
      <w:pPr>
        <w:numPr>
          <w:ilvl w:val="2"/>
          <w:numId w:val="2"/>
        </w:numPr>
        <w:spacing w:line="360" w:lineRule="auto"/>
        <w:ind w:left="9" w:hanging="9"/>
        <w:jc w:val="left"/>
        <w:rPr>
          <w:rFonts w:eastAsia="宋体"/>
          <w:sz w:val="24"/>
          <w:szCs w:val="32"/>
        </w:rPr>
      </w:pPr>
      <w:r>
        <w:rPr>
          <w:rFonts w:hint="eastAsia" w:eastAsia="宋体"/>
          <w:sz w:val="24"/>
          <w:szCs w:val="32"/>
        </w:rPr>
        <w:t>锚杆与基础的锚固与张拉应同时满足基础节点的锚杆张拉锁定要求、加筋体的锚固构造与防腐要求、锚固节点防水要求等。当基础底板厚度无法满足锚固和防水要求时，宜增设叠合层。</w:t>
      </w:r>
    </w:p>
    <w:p w14:paraId="3F9DCBB8">
      <w:pPr>
        <w:numPr>
          <w:ilvl w:val="2"/>
          <w:numId w:val="2"/>
        </w:numPr>
        <w:spacing w:line="360" w:lineRule="auto"/>
        <w:ind w:left="9" w:hanging="9"/>
        <w:jc w:val="left"/>
        <w:rPr>
          <w:rFonts w:eastAsia="宋体"/>
          <w:sz w:val="24"/>
          <w:szCs w:val="32"/>
        </w:rPr>
      </w:pPr>
      <w:r>
        <w:rPr>
          <w:rFonts w:hint="eastAsia" w:eastAsia="宋体"/>
          <w:sz w:val="24"/>
          <w:szCs w:val="32"/>
        </w:rPr>
        <w:t>钢绞线作为锚杆筋体时，不应分段；普通钢筋或预应力螺纹钢筋作为锚杆筋体时，不宜分段，当受地下室层高限制需分段时，应采用专用套筒连接。</w:t>
      </w:r>
    </w:p>
    <w:p w14:paraId="239D17D4">
      <w:pPr>
        <w:numPr>
          <w:ilvl w:val="2"/>
          <w:numId w:val="2"/>
        </w:numPr>
        <w:spacing w:line="360" w:lineRule="auto"/>
        <w:ind w:left="9" w:hanging="9"/>
        <w:jc w:val="left"/>
        <w:rPr>
          <w:rFonts w:eastAsia="宋体"/>
          <w:sz w:val="24"/>
          <w:szCs w:val="32"/>
        </w:rPr>
      </w:pPr>
      <w:r>
        <w:rPr>
          <w:rFonts w:hint="eastAsia" w:eastAsia="宋体"/>
          <w:sz w:val="24"/>
          <w:szCs w:val="32"/>
        </w:rPr>
        <w:t>基础底板顶部在不影响建筑使用功能前提下宜设置疏水层及配套排水措施。疏水层应具有足够的排水能力，并应与集水设施有效衔接。</w:t>
      </w:r>
    </w:p>
    <w:p w14:paraId="5CA7EC84">
      <w:pPr>
        <w:adjustRightInd w:val="0"/>
        <w:snapToGrid w:val="0"/>
        <w:spacing w:line="360" w:lineRule="auto"/>
        <w:jc w:val="center"/>
        <w:outlineLvl w:val="2"/>
        <w:rPr>
          <w:rFonts w:eastAsia="宋体"/>
          <w:b/>
          <w:sz w:val="22"/>
          <w:szCs w:val="22"/>
        </w:rPr>
      </w:pPr>
      <w:bookmarkStart w:id="214" w:name="_Toc21599"/>
      <w:bookmarkStart w:id="215" w:name="_Toc1245"/>
      <w:bookmarkStart w:id="216" w:name="_Toc24939"/>
      <w:r>
        <w:rPr>
          <w:rFonts w:eastAsia="宋体"/>
          <w:b/>
          <w:sz w:val="22"/>
          <w:szCs w:val="22"/>
        </w:rPr>
        <w:t>Ⅲ</w:t>
      </w:r>
      <w:r>
        <w:rPr>
          <w:rFonts w:hint="eastAsia" w:eastAsia="宋体"/>
          <w:b/>
          <w:sz w:val="22"/>
          <w:szCs w:val="22"/>
        </w:rPr>
        <w:t xml:space="preserve">  增设抗浮桩法</w:t>
      </w:r>
      <w:bookmarkEnd w:id="214"/>
      <w:bookmarkEnd w:id="215"/>
      <w:bookmarkEnd w:id="216"/>
    </w:p>
    <w:p w14:paraId="31296F40">
      <w:pPr>
        <w:numPr>
          <w:ilvl w:val="2"/>
          <w:numId w:val="2"/>
        </w:numPr>
        <w:spacing w:line="360" w:lineRule="auto"/>
        <w:ind w:left="9" w:hanging="9"/>
        <w:jc w:val="left"/>
        <w:rPr>
          <w:rFonts w:eastAsia="宋体"/>
          <w:sz w:val="24"/>
          <w:szCs w:val="32"/>
        </w:rPr>
      </w:pPr>
      <w:r>
        <w:rPr>
          <w:rFonts w:hint="eastAsia" w:eastAsia="宋体"/>
          <w:sz w:val="24"/>
          <w:szCs w:val="32"/>
        </w:rPr>
        <w:t>既有建筑出现上浮破坏或结构抗浮条件发生变化，建筑抗浮力小于浮力且相差很大，同时具备新增抗浮桩实施条件时，可采用增设抗浮桩进行抗浮加固，增设抗浮桩法设计应满足第7章有关规定。</w:t>
      </w:r>
    </w:p>
    <w:p w14:paraId="1D9DC84A">
      <w:pPr>
        <w:numPr>
          <w:ilvl w:val="2"/>
          <w:numId w:val="2"/>
        </w:numPr>
        <w:spacing w:line="360" w:lineRule="auto"/>
        <w:ind w:left="9" w:hanging="9"/>
        <w:jc w:val="left"/>
        <w:rPr>
          <w:rFonts w:eastAsiaTheme="minorEastAsia"/>
          <w:sz w:val="22"/>
          <w:szCs w:val="22"/>
        </w:rPr>
      </w:pPr>
      <w:r>
        <w:rPr>
          <w:rFonts w:hint="eastAsia" w:eastAsia="宋体"/>
          <w:sz w:val="24"/>
          <w:szCs w:val="32"/>
        </w:rPr>
        <w:t>新增抗浮桩桩型应能适应狭小空间施工要求，实际选用时还需考虑施工机具尺寸、钢筋笼吊装、混凝土浇筑等空间要求。</w:t>
      </w:r>
    </w:p>
    <w:p w14:paraId="491970C9">
      <w:pPr>
        <w:numPr>
          <w:ilvl w:val="2"/>
          <w:numId w:val="2"/>
        </w:numPr>
        <w:spacing w:line="360" w:lineRule="auto"/>
        <w:ind w:left="9" w:hanging="9"/>
        <w:jc w:val="left"/>
        <w:rPr>
          <w:rFonts w:eastAsia="宋体"/>
          <w:sz w:val="24"/>
          <w:szCs w:val="32"/>
        </w:rPr>
      </w:pPr>
      <w:r>
        <w:rPr>
          <w:rFonts w:hint="eastAsia" w:eastAsia="宋体"/>
          <w:sz w:val="24"/>
          <w:szCs w:val="32"/>
        </w:rPr>
        <w:t>新增抗浮桩应考虑施工扰动对既有抗浮构件的影响。</w:t>
      </w:r>
    </w:p>
    <w:p w14:paraId="7008A7CF">
      <w:pPr>
        <w:numPr>
          <w:ilvl w:val="2"/>
          <w:numId w:val="2"/>
        </w:numPr>
        <w:spacing w:line="360" w:lineRule="auto"/>
        <w:ind w:left="9" w:hanging="9"/>
        <w:jc w:val="left"/>
        <w:rPr>
          <w:rFonts w:eastAsia="宋体"/>
          <w:sz w:val="24"/>
          <w:szCs w:val="32"/>
        </w:rPr>
      </w:pPr>
      <w:r>
        <w:rPr>
          <w:rFonts w:hint="eastAsia" w:eastAsia="宋体"/>
          <w:sz w:val="24"/>
          <w:szCs w:val="32"/>
        </w:rPr>
        <w:t>新增抗浮桩应考虑对现状结构基础构件以及防水的损伤情况，并应采取相应补强措施。</w:t>
      </w:r>
    </w:p>
    <w:p w14:paraId="171A9368">
      <w:pPr>
        <w:numPr>
          <w:ilvl w:val="2"/>
          <w:numId w:val="2"/>
        </w:numPr>
        <w:spacing w:line="360" w:lineRule="auto"/>
        <w:ind w:left="9" w:hanging="9"/>
        <w:jc w:val="left"/>
        <w:rPr>
          <w:rFonts w:eastAsia="宋体"/>
          <w:sz w:val="24"/>
          <w:szCs w:val="32"/>
        </w:rPr>
      </w:pPr>
      <w:r>
        <w:rPr>
          <w:rFonts w:hint="eastAsia" w:eastAsia="宋体"/>
          <w:sz w:val="24"/>
          <w:szCs w:val="32"/>
        </w:rPr>
        <w:t>新增抗浮桩应满足加筋体的锚固构造与防腐要求、锚固节点防水要求等。当基础底板厚度无法满足锚固和防水要求时，宜增设叠合层。新增抗浮桩施工应保证桩身混凝土强度等级及浇筑完整性。</w:t>
      </w:r>
    </w:p>
    <w:p w14:paraId="7195C323">
      <w:pPr>
        <w:numPr>
          <w:ilvl w:val="2"/>
          <w:numId w:val="2"/>
        </w:numPr>
        <w:spacing w:line="360" w:lineRule="auto"/>
        <w:ind w:left="9" w:hanging="9"/>
        <w:jc w:val="left"/>
        <w:rPr>
          <w:rFonts w:eastAsia="宋体"/>
          <w:sz w:val="24"/>
          <w:szCs w:val="32"/>
        </w:rPr>
      </w:pPr>
      <w:r>
        <w:rPr>
          <w:rFonts w:hint="eastAsia" w:eastAsia="宋体"/>
          <w:sz w:val="24"/>
          <w:szCs w:val="32"/>
        </w:rPr>
        <w:t>新增抗浮桩设计时，除应满足桩基自身承载力外，尚应对筏板基础进行承载力极限状态及正常使用极限状态验算。</w:t>
      </w:r>
    </w:p>
    <w:p w14:paraId="196C0510">
      <w:pPr>
        <w:numPr>
          <w:ilvl w:val="2"/>
          <w:numId w:val="2"/>
        </w:numPr>
        <w:spacing w:line="360" w:lineRule="auto"/>
        <w:ind w:left="9" w:hanging="9"/>
        <w:jc w:val="left"/>
        <w:rPr>
          <w:rFonts w:eastAsia="宋体"/>
          <w:sz w:val="24"/>
          <w:szCs w:val="32"/>
        </w:rPr>
      </w:pPr>
      <w:r>
        <w:rPr>
          <w:rFonts w:hint="eastAsia" w:eastAsia="宋体"/>
          <w:sz w:val="24"/>
          <w:szCs w:val="32"/>
        </w:rPr>
        <w:t>基础底板顶部在不影响建筑使用功能前提下宜设置疏水层及配套排水措施。疏水层应具有足够的排水能力，并应与集水设施有效衔接。</w:t>
      </w:r>
    </w:p>
    <w:p w14:paraId="600AE74A">
      <w:pPr>
        <w:adjustRightInd w:val="0"/>
        <w:snapToGrid w:val="0"/>
        <w:spacing w:line="360" w:lineRule="auto"/>
        <w:jc w:val="center"/>
        <w:outlineLvl w:val="2"/>
        <w:rPr>
          <w:rFonts w:eastAsia="宋体"/>
          <w:b/>
          <w:sz w:val="22"/>
          <w:szCs w:val="22"/>
        </w:rPr>
      </w:pPr>
      <w:bookmarkStart w:id="217" w:name="_Toc22150"/>
      <w:bookmarkStart w:id="218" w:name="_Toc23319"/>
      <w:bookmarkStart w:id="219" w:name="_Toc449"/>
      <w:bookmarkStart w:id="220" w:name="_Toc10689"/>
      <w:bookmarkStart w:id="221" w:name="_Toc8290"/>
      <w:r>
        <w:rPr>
          <w:rFonts w:eastAsia="宋体"/>
          <w:b/>
          <w:sz w:val="22"/>
          <w:szCs w:val="22"/>
        </w:rPr>
        <w:t>Ⅳ</w:t>
      </w:r>
      <w:r>
        <w:rPr>
          <w:rFonts w:hint="eastAsia" w:eastAsia="宋体"/>
          <w:b/>
          <w:sz w:val="22"/>
          <w:szCs w:val="22"/>
        </w:rPr>
        <w:t xml:space="preserve">  限压法</w:t>
      </w:r>
      <w:bookmarkEnd w:id="217"/>
      <w:bookmarkEnd w:id="218"/>
      <w:bookmarkEnd w:id="219"/>
      <w:bookmarkEnd w:id="220"/>
      <w:bookmarkEnd w:id="221"/>
    </w:p>
    <w:p w14:paraId="1D57EFBB">
      <w:pPr>
        <w:numPr>
          <w:ilvl w:val="2"/>
          <w:numId w:val="2"/>
        </w:numPr>
        <w:spacing w:line="360" w:lineRule="auto"/>
        <w:ind w:left="9" w:hanging="9"/>
        <w:jc w:val="left"/>
        <w:rPr>
          <w:rFonts w:eastAsia="宋体"/>
          <w:sz w:val="24"/>
          <w:szCs w:val="32"/>
        </w:rPr>
      </w:pPr>
      <w:r>
        <w:rPr>
          <w:rFonts w:eastAsia="宋体"/>
          <w:sz w:val="24"/>
          <w:szCs w:val="32"/>
        </w:rPr>
        <w:t>地下水位受季节和地表水下渗等影响，水浮力短期变化大并超出原设计抗浮要求</w:t>
      </w:r>
      <w:r>
        <w:rPr>
          <w:rFonts w:hint="eastAsia" w:eastAsia="宋体"/>
          <w:sz w:val="24"/>
          <w:szCs w:val="32"/>
        </w:rPr>
        <w:t>，同时</w:t>
      </w:r>
      <w:r>
        <w:rPr>
          <w:rFonts w:eastAsia="宋体"/>
          <w:sz w:val="24"/>
          <w:szCs w:val="32"/>
        </w:rPr>
        <w:t>具备满足需求</w:t>
      </w:r>
      <w:r>
        <w:rPr>
          <w:rFonts w:hint="eastAsia" w:eastAsia="宋体"/>
          <w:sz w:val="24"/>
          <w:szCs w:val="32"/>
        </w:rPr>
        <w:t>的</w:t>
      </w:r>
      <w:r>
        <w:rPr>
          <w:rFonts w:eastAsia="宋体"/>
          <w:sz w:val="24"/>
          <w:szCs w:val="32"/>
        </w:rPr>
        <w:t>长期排水条件</w:t>
      </w:r>
      <w:r>
        <w:rPr>
          <w:rFonts w:hint="eastAsia" w:eastAsia="宋体"/>
          <w:sz w:val="24"/>
          <w:szCs w:val="32"/>
        </w:rPr>
        <w:t>且不影响建筑使用功能</w:t>
      </w:r>
      <w:r>
        <w:rPr>
          <w:rFonts w:eastAsia="宋体"/>
          <w:sz w:val="24"/>
          <w:szCs w:val="32"/>
        </w:rPr>
        <w:t>时，</w:t>
      </w:r>
      <w:r>
        <w:rPr>
          <w:rFonts w:hint="eastAsia" w:eastAsia="宋体"/>
          <w:sz w:val="24"/>
          <w:szCs w:val="32"/>
        </w:rPr>
        <w:t>可采用限压</w:t>
      </w:r>
      <w:r>
        <w:rPr>
          <w:rFonts w:eastAsia="宋体"/>
          <w:sz w:val="24"/>
          <w:szCs w:val="32"/>
        </w:rPr>
        <w:t>法进行抗浮</w:t>
      </w:r>
      <w:r>
        <w:rPr>
          <w:rFonts w:hint="eastAsia" w:eastAsia="宋体"/>
          <w:sz w:val="24"/>
          <w:szCs w:val="32"/>
        </w:rPr>
        <w:t>治理</w:t>
      </w:r>
      <w:r>
        <w:rPr>
          <w:rFonts w:eastAsia="宋体"/>
          <w:sz w:val="24"/>
          <w:szCs w:val="32"/>
        </w:rPr>
        <w:t>。</w:t>
      </w:r>
      <w:r>
        <w:rPr>
          <w:rFonts w:hint="eastAsia" w:eastAsia="宋体"/>
          <w:sz w:val="24"/>
          <w:szCs w:val="32"/>
        </w:rPr>
        <w:t>限压法设计应满足第9章有关规定。</w:t>
      </w:r>
    </w:p>
    <w:p w14:paraId="51949759">
      <w:pPr>
        <w:numPr>
          <w:ilvl w:val="2"/>
          <w:numId w:val="2"/>
        </w:numPr>
        <w:spacing w:line="360" w:lineRule="auto"/>
        <w:ind w:left="9" w:hanging="9"/>
        <w:jc w:val="left"/>
        <w:rPr>
          <w:rFonts w:eastAsia="宋体"/>
          <w:sz w:val="24"/>
          <w:szCs w:val="32"/>
        </w:rPr>
      </w:pPr>
      <w:r>
        <w:rPr>
          <w:rFonts w:hint="eastAsia" w:eastAsia="宋体"/>
          <w:sz w:val="24"/>
          <w:szCs w:val="32"/>
        </w:rPr>
        <w:t>限压法可分为室外降水减压法和室内排水减压法，在条件允许的情况下宜优先采用室外降水减压法。当既有结构基底土层和回填肥槽透水性较好、外挑底板不阻碍布井、地下结构埋深不超过10m时，可采用室外降水减压法；当地下结构基底土层和回填肥槽透水性较差、且埋深较大时，可采用室内排水减压法。</w:t>
      </w:r>
    </w:p>
    <w:p w14:paraId="4C7F16EF">
      <w:pPr>
        <w:numPr>
          <w:ilvl w:val="2"/>
          <w:numId w:val="2"/>
        </w:numPr>
        <w:spacing w:line="360" w:lineRule="auto"/>
        <w:ind w:left="9" w:hanging="9"/>
        <w:jc w:val="left"/>
        <w:rPr>
          <w:rFonts w:eastAsia="宋体"/>
          <w:sz w:val="24"/>
          <w:szCs w:val="32"/>
        </w:rPr>
      </w:pPr>
      <w:r>
        <w:rPr>
          <w:rFonts w:eastAsia="宋体"/>
          <w:sz w:val="24"/>
          <w:szCs w:val="32"/>
        </w:rPr>
        <w:t>采用</w:t>
      </w:r>
      <w:r>
        <w:rPr>
          <w:rFonts w:hint="eastAsia" w:eastAsia="宋体"/>
          <w:sz w:val="24"/>
          <w:szCs w:val="32"/>
        </w:rPr>
        <w:t>限压</w:t>
      </w:r>
      <w:r>
        <w:rPr>
          <w:rFonts w:eastAsia="宋体"/>
          <w:sz w:val="24"/>
          <w:szCs w:val="32"/>
        </w:rPr>
        <w:t>法时，既有基础底板应根据减压后控制水位进行承载力及变形计算。</w:t>
      </w:r>
    </w:p>
    <w:p w14:paraId="429FB45A">
      <w:pPr>
        <w:adjustRightInd w:val="0"/>
        <w:snapToGrid w:val="0"/>
        <w:spacing w:line="360" w:lineRule="auto"/>
        <w:jc w:val="center"/>
        <w:outlineLvl w:val="2"/>
        <w:rPr>
          <w:rFonts w:eastAsia="宋体"/>
          <w:b/>
          <w:sz w:val="22"/>
          <w:szCs w:val="22"/>
        </w:rPr>
      </w:pPr>
      <w:bookmarkStart w:id="222" w:name="_Toc19176"/>
      <w:bookmarkStart w:id="223" w:name="_Toc32416"/>
      <w:bookmarkStart w:id="224" w:name="_Toc19209"/>
      <w:bookmarkStart w:id="225" w:name="_Toc5797"/>
      <w:bookmarkStart w:id="226" w:name="_Toc17422"/>
      <w:r>
        <w:rPr>
          <w:rFonts w:eastAsia="宋体"/>
          <w:b/>
          <w:sz w:val="22"/>
          <w:szCs w:val="22"/>
        </w:rPr>
        <w:t>Ⅴ</w:t>
      </w:r>
      <w:r>
        <w:rPr>
          <w:rFonts w:hint="eastAsia" w:eastAsia="宋体"/>
          <w:b/>
          <w:sz w:val="22"/>
          <w:szCs w:val="22"/>
        </w:rPr>
        <w:t xml:space="preserve">  结构增强法</w:t>
      </w:r>
      <w:bookmarkEnd w:id="222"/>
      <w:bookmarkEnd w:id="223"/>
      <w:bookmarkEnd w:id="224"/>
      <w:bookmarkEnd w:id="225"/>
      <w:bookmarkEnd w:id="226"/>
    </w:p>
    <w:p w14:paraId="03D6BF42">
      <w:pPr>
        <w:numPr>
          <w:ilvl w:val="2"/>
          <w:numId w:val="2"/>
        </w:numPr>
        <w:spacing w:line="360" w:lineRule="auto"/>
        <w:ind w:left="9" w:hanging="9"/>
        <w:jc w:val="left"/>
        <w:rPr>
          <w:rFonts w:eastAsia="宋体"/>
          <w:sz w:val="24"/>
          <w:szCs w:val="32"/>
        </w:rPr>
      </w:pPr>
      <w:r>
        <w:rPr>
          <w:rFonts w:hint="eastAsia" w:eastAsia="宋体"/>
          <w:sz w:val="24"/>
          <w:szCs w:val="32"/>
        </w:rPr>
        <w:t xml:space="preserve"> </w:t>
      </w:r>
      <w:r>
        <w:rPr>
          <w:rFonts w:eastAsia="宋体"/>
          <w:sz w:val="24"/>
          <w:szCs w:val="32"/>
        </w:rPr>
        <w:t>既有建筑整体抗浮满足、局部结构抗浮承载力不足时，抗浮加固</w:t>
      </w:r>
      <w:r>
        <w:rPr>
          <w:rFonts w:hint="eastAsia" w:eastAsia="宋体"/>
          <w:sz w:val="24"/>
          <w:szCs w:val="32"/>
        </w:rPr>
        <w:t>可</w:t>
      </w:r>
      <w:r>
        <w:rPr>
          <w:rFonts w:eastAsia="宋体"/>
          <w:sz w:val="24"/>
          <w:szCs w:val="32"/>
        </w:rPr>
        <w:t>采用</w:t>
      </w:r>
      <w:r>
        <w:rPr>
          <w:rFonts w:hint="eastAsia" w:eastAsia="宋体"/>
          <w:sz w:val="24"/>
          <w:szCs w:val="32"/>
        </w:rPr>
        <w:t>结构</w:t>
      </w:r>
      <w:r>
        <w:rPr>
          <w:rFonts w:eastAsia="宋体"/>
          <w:sz w:val="24"/>
          <w:szCs w:val="32"/>
        </w:rPr>
        <w:t>增强法</w:t>
      </w:r>
      <w:r>
        <w:rPr>
          <w:rFonts w:hint="eastAsia" w:eastAsia="宋体"/>
          <w:sz w:val="24"/>
          <w:szCs w:val="32"/>
        </w:rPr>
        <w:t>。结构增强法</w:t>
      </w:r>
      <w:r>
        <w:rPr>
          <w:rFonts w:eastAsia="宋体"/>
          <w:sz w:val="24"/>
          <w:szCs w:val="32"/>
        </w:rPr>
        <w:t>可考虑</w:t>
      </w:r>
      <w:r>
        <w:rPr>
          <w:rFonts w:hint="eastAsia" w:eastAsia="宋体"/>
          <w:sz w:val="24"/>
          <w:szCs w:val="32"/>
        </w:rPr>
        <w:t>对结构底板进行增强，或考虑结构</w:t>
      </w:r>
      <w:r>
        <w:rPr>
          <w:rFonts w:eastAsia="宋体"/>
          <w:sz w:val="24"/>
          <w:szCs w:val="32"/>
        </w:rPr>
        <w:t>底板及上部结构共同作用，同时增强底板及上部结构刚度及承载力。</w:t>
      </w:r>
    </w:p>
    <w:p w14:paraId="6074034B">
      <w:pPr>
        <w:numPr>
          <w:ilvl w:val="2"/>
          <w:numId w:val="2"/>
        </w:numPr>
        <w:spacing w:line="360" w:lineRule="auto"/>
        <w:ind w:left="9" w:hanging="9"/>
        <w:jc w:val="left"/>
        <w:rPr>
          <w:rFonts w:eastAsia="宋体"/>
          <w:sz w:val="24"/>
          <w:szCs w:val="32"/>
        </w:rPr>
      </w:pPr>
      <w:r>
        <w:rPr>
          <w:rFonts w:hint="eastAsia" w:eastAsia="宋体"/>
          <w:sz w:val="24"/>
          <w:szCs w:val="32"/>
        </w:rPr>
        <w:t xml:space="preserve"> 底板增强设计应符合下列规定：</w:t>
      </w:r>
    </w:p>
    <w:p w14:paraId="5DAF368D">
      <w:pPr>
        <w:numPr>
          <w:ilvl w:val="0"/>
          <w:numId w:val="39"/>
        </w:numPr>
        <w:tabs>
          <w:tab w:val="clear" w:pos="420"/>
        </w:tabs>
        <w:spacing w:line="360" w:lineRule="auto"/>
        <w:ind w:left="5" w:firstLine="315"/>
        <w:rPr>
          <w:rFonts w:eastAsiaTheme="minorEastAsia"/>
          <w:sz w:val="24"/>
          <w:szCs w:val="24"/>
        </w:rPr>
      </w:pPr>
      <w:r>
        <w:rPr>
          <w:rFonts w:hint="eastAsia" w:eastAsiaTheme="minorEastAsia"/>
          <w:sz w:val="24"/>
          <w:szCs w:val="24"/>
        </w:rPr>
        <w:t>加固设计应满足现行国家标准《混凝土结构加固设计规范》GB 50367的有关规定。</w:t>
      </w:r>
    </w:p>
    <w:p w14:paraId="25CCA50D">
      <w:pPr>
        <w:numPr>
          <w:ilvl w:val="0"/>
          <w:numId w:val="39"/>
        </w:numPr>
        <w:tabs>
          <w:tab w:val="clear" w:pos="420"/>
        </w:tabs>
        <w:spacing w:line="360" w:lineRule="auto"/>
        <w:ind w:left="5" w:firstLine="315"/>
        <w:rPr>
          <w:rFonts w:eastAsiaTheme="minorEastAsia"/>
          <w:sz w:val="24"/>
          <w:szCs w:val="24"/>
        </w:rPr>
      </w:pPr>
      <w:r>
        <w:rPr>
          <w:rFonts w:hint="eastAsia" w:eastAsiaTheme="minorEastAsia"/>
          <w:sz w:val="24"/>
          <w:szCs w:val="24"/>
        </w:rPr>
        <w:t>新增钢筋混凝土叠合板厚度不宜小于100mm，既有底板防水作用失效时，新增板厚度不宜小于250mm；新增叠合板配筋应根据底板受力计算结果确定。</w:t>
      </w:r>
    </w:p>
    <w:p w14:paraId="36E4B7CB">
      <w:pPr>
        <w:numPr>
          <w:ilvl w:val="2"/>
          <w:numId w:val="2"/>
        </w:numPr>
        <w:spacing w:line="360" w:lineRule="auto"/>
        <w:ind w:left="9" w:hanging="9"/>
        <w:rPr>
          <w:rFonts w:eastAsiaTheme="minorEastAsia"/>
          <w:sz w:val="24"/>
          <w:szCs w:val="24"/>
        </w:rPr>
      </w:pPr>
      <w:r>
        <w:rPr>
          <w:rFonts w:hint="eastAsia" w:eastAsia="宋体"/>
          <w:sz w:val="24"/>
          <w:szCs w:val="32"/>
        </w:rPr>
        <w:t>当结构增强法考虑底板及上部结构共同作用时，应采用地基基础与上部结构协同分析方法。</w:t>
      </w:r>
    </w:p>
    <w:p w14:paraId="7F6BB8F0">
      <w:pPr>
        <w:rPr>
          <w:rFonts w:eastAsia="楷体"/>
          <w:sz w:val="22"/>
          <w:szCs w:val="22"/>
        </w:rPr>
      </w:pPr>
    </w:p>
    <w:p w14:paraId="62A2D95A">
      <w:pPr>
        <w:rPr>
          <w:rFonts w:eastAsia="楷体"/>
          <w:sz w:val="22"/>
          <w:szCs w:val="22"/>
        </w:rPr>
      </w:pPr>
    </w:p>
    <w:p w14:paraId="1C794FCD">
      <w:pPr>
        <w:rPr>
          <w:rFonts w:eastAsiaTheme="minorEastAsia"/>
          <w:sz w:val="24"/>
          <w:szCs w:val="24"/>
        </w:rPr>
      </w:pPr>
      <w:r>
        <w:rPr>
          <w:rFonts w:eastAsiaTheme="minorEastAsia"/>
          <w:sz w:val="24"/>
          <w:szCs w:val="24"/>
        </w:rPr>
        <w:br w:type="page"/>
      </w:r>
    </w:p>
    <w:p w14:paraId="74F739D8">
      <w:pPr>
        <w:numPr>
          <w:ilvl w:val="0"/>
          <w:numId w:val="2"/>
        </w:numPr>
        <w:spacing w:line="360" w:lineRule="auto"/>
        <w:jc w:val="center"/>
        <w:outlineLvl w:val="0"/>
        <w:rPr>
          <w:rFonts w:eastAsia="宋体"/>
          <w:sz w:val="24"/>
          <w:szCs w:val="32"/>
        </w:rPr>
      </w:pPr>
      <w:bookmarkStart w:id="227" w:name="_Toc13435"/>
      <w:bookmarkStart w:id="228" w:name="_Toc6932"/>
      <w:bookmarkStart w:id="229" w:name="_Toc1370"/>
      <w:bookmarkStart w:id="230" w:name="_Toc4336"/>
      <w:bookmarkStart w:id="231" w:name="_Toc32530"/>
      <w:bookmarkStart w:id="232" w:name="_Toc30906"/>
      <w:r>
        <w:rPr>
          <w:rFonts w:eastAsiaTheme="minorEastAsia"/>
          <w:sz w:val="28"/>
          <w:szCs w:val="28"/>
        </w:rPr>
        <w:t>监测与维护</w:t>
      </w:r>
      <w:bookmarkEnd w:id="227"/>
      <w:bookmarkEnd w:id="228"/>
      <w:bookmarkEnd w:id="229"/>
      <w:bookmarkEnd w:id="230"/>
      <w:bookmarkEnd w:id="231"/>
      <w:bookmarkEnd w:id="232"/>
    </w:p>
    <w:p w14:paraId="4B731385">
      <w:pPr>
        <w:numPr>
          <w:ilvl w:val="2"/>
          <w:numId w:val="40"/>
        </w:numPr>
        <w:spacing w:line="360" w:lineRule="auto"/>
        <w:ind w:left="16" w:hanging="16"/>
        <w:jc w:val="left"/>
        <w:rPr>
          <w:rFonts w:eastAsia="宋体"/>
          <w:sz w:val="24"/>
          <w:szCs w:val="32"/>
        </w:rPr>
      </w:pPr>
      <w:r>
        <w:rPr>
          <w:rFonts w:hint="eastAsia" w:eastAsia="宋体"/>
          <w:sz w:val="24"/>
          <w:szCs w:val="32"/>
        </w:rPr>
        <w:t xml:space="preserve"> 监测应结合北京地区水文地质特征、季节性气候影响及周边工程活动情况，抗浮监测包含施工期和使用期。</w:t>
      </w:r>
    </w:p>
    <w:p w14:paraId="18C0BF7E">
      <w:pPr>
        <w:numPr>
          <w:ilvl w:val="2"/>
          <w:numId w:val="40"/>
        </w:numPr>
        <w:spacing w:line="360" w:lineRule="auto"/>
        <w:ind w:left="16" w:hanging="16"/>
        <w:jc w:val="left"/>
        <w:rPr>
          <w:rFonts w:eastAsia="宋体"/>
          <w:sz w:val="24"/>
          <w:szCs w:val="32"/>
        </w:rPr>
      </w:pPr>
      <w:r>
        <w:rPr>
          <w:rFonts w:hint="eastAsia" w:eastAsia="宋体"/>
          <w:sz w:val="24"/>
          <w:szCs w:val="32"/>
        </w:rPr>
        <w:t>施工期应对与抗浮稳定密切相关的各含水层地下水位进行系统监测；当遭遇降雨、管网渗漏等可能引发水位快速上升的情形时，监测频次应加密。</w:t>
      </w:r>
    </w:p>
    <w:p w14:paraId="357F0703">
      <w:pPr>
        <w:numPr>
          <w:ilvl w:val="2"/>
          <w:numId w:val="40"/>
        </w:numPr>
        <w:spacing w:line="360" w:lineRule="auto"/>
        <w:ind w:left="16" w:hanging="16"/>
        <w:jc w:val="left"/>
        <w:rPr>
          <w:rFonts w:eastAsia="宋体"/>
          <w:sz w:val="24"/>
          <w:szCs w:val="32"/>
        </w:rPr>
      </w:pPr>
      <w:r>
        <w:rPr>
          <w:rFonts w:hint="eastAsia" w:eastAsia="宋体"/>
          <w:sz w:val="24"/>
          <w:szCs w:val="32"/>
        </w:rPr>
        <w:t>施工期当拟建建筑周边存在地下管线时，应重点监测管线破损渗漏等情况，及时评估其对地下水位的影响程度并采取措施。</w:t>
      </w:r>
    </w:p>
    <w:p w14:paraId="653CC771">
      <w:pPr>
        <w:numPr>
          <w:ilvl w:val="2"/>
          <w:numId w:val="40"/>
        </w:numPr>
        <w:spacing w:line="360" w:lineRule="auto"/>
        <w:ind w:left="16" w:hanging="16"/>
        <w:jc w:val="left"/>
        <w:rPr>
          <w:rFonts w:eastAsia="宋体"/>
          <w:sz w:val="24"/>
          <w:szCs w:val="32"/>
        </w:rPr>
      </w:pPr>
      <w:r>
        <w:rPr>
          <w:rFonts w:hint="eastAsia" w:eastAsia="宋体"/>
          <w:sz w:val="24"/>
          <w:szCs w:val="32"/>
        </w:rPr>
        <w:t>具备实施条件的新建建筑、既有建筑治理宜结合场地工程地质和水文地质条件设置水位长期监测井。</w:t>
      </w:r>
    </w:p>
    <w:p w14:paraId="67BC3395">
      <w:pPr>
        <w:numPr>
          <w:ilvl w:val="0"/>
          <w:numId w:val="41"/>
        </w:numPr>
        <w:tabs>
          <w:tab w:val="clear" w:pos="420"/>
        </w:tabs>
        <w:spacing w:line="360" w:lineRule="auto"/>
        <w:ind w:left="5" w:firstLine="315"/>
        <w:rPr>
          <w:rFonts w:eastAsiaTheme="minorEastAsia"/>
          <w:sz w:val="24"/>
          <w:szCs w:val="24"/>
        </w:rPr>
      </w:pPr>
      <w:r>
        <w:rPr>
          <w:rFonts w:hint="eastAsia" w:eastAsiaTheme="minorEastAsia"/>
          <w:sz w:val="24"/>
          <w:szCs w:val="24"/>
        </w:rPr>
        <w:t>勘察单位在工程项目勘察报告中应设置章节提出与工程抗浮相关的地下水长期监测井的深度、地下水分层观测的建议。</w:t>
      </w:r>
    </w:p>
    <w:p w14:paraId="3A13CCCC">
      <w:pPr>
        <w:numPr>
          <w:ilvl w:val="0"/>
          <w:numId w:val="41"/>
        </w:numPr>
        <w:tabs>
          <w:tab w:val="clear" w:pos="420"/>
        </w:tabs>
        <w:spacing w:line="360" w:lineRule="auto"/>
        <w:ind w:left="5" w:firstLine="315"/>
        <w:rPr>
          <w:rFonts w:eastAsiaTheme="minorEastAsia"/>
          <w:sz w:val="24"/>
          <w:szCs w:val="24"/>
        </w:rPr>
      </w:pPr>
      <w:r>
        <w:rPr>
          <w:rFonts w:hint="eastAsia" w:eastAsiaTheme="minorEastAsia"/>
          <w:sz w:val="24"/>
          <w:szCs w:val="24"/>
        </w:rPr>
        <w:t>设计单位根据场地情况，明确地下水长期监测井的数量、位置、报警水位。</w:t>
      </w:r>
    </w:p>
    <w:p w14:paraId="24A476A4">
      <w:pPr>
        <w:numPr>
          <w:ilvl w:val="2"/>
          <w:numId w:val="40"/>
        </w:numPr>
        <w:spacing w:line="360" w:lineRule="auto"/>
        <w:ind w:left="16" w:hanging="16"/>
        <w:jc w:val="left"/>
        <w:rPr>
          <w:rFonts w:eastAsiaTheme="minorEastAsia"/>
          <w:sz w:val="24"/>
          <w:szCs w:val="24"/>
        </w:rPr>
      </w:pPr>
      <w:r>
        <w:rPr>
          <w:rFonts w:hint="eastAsia" w:eastAsiaTheme="minorEastAsia"/>
          <w:sz w:val="24"/>
          <w:szCs w:val="24"/>
        </w:rPr>
        <w:t>监测项目及周期应按表11</w:t>
      </w:r>
      <w:r>
        <w:rPr>
          <w:rFonts w:eastAsiaTheme="minorEastAsia"/>
          <w:sz w:val="24"/>
          <w:szCs w:val="24"/>
        </w:rPr>
        <w:t>.</w:t>
      </w:r>
      <w:r>
        <w:rPr>
          <w:rFonts w:hint="eastAsia" w:eastAsiaTheme="minorEastAsia"/>
          <w:sz w:val="24"/>
          <w:szCs w:val="24"/>
        </w:rPr>
        <w:t>0.5确定。</w:t>
      </w:r>
    </w:p>
    <w:p w14:paraId="546844D3">
      <w:pPr>
        <w:spacing w:line="360" w:lineRule="auto"/>
        <w:jc w:val="center"/>
        <w:rPr>
          <w:rFonts w:eastAsiaTheme="minorEastAsia"/>
          <w:sz w:val="20"/>
        </w:rPr>
      </w:pPr>
      <w:r>
        <w:rPr>
          <w:rFonts w:hint="eastAsia" w:eastAsiaTheme="minorEastAsia"/>
          <w:sz w:val="20"/>
        </w:rPr>
        <w:t>表1</w:t>
      </w:r>
      <w:r>
        <w:rPr>
          <w:rFonts w:eastAsiaTheme="minorEastAsia"/>
          <w:sz w:val="20"/>
        </w:rPr>
        <w:t>1.</w:t>
      </w:r>
      <w:r>
        <w:rPr>
          <w:rFonts w:hint="eastAsia" w:eastAsiaTheme="minorEastAsia"/>
          <w:sz w:val="20"/>
        </w:rPr>
        <w:t>0.5  监测项目及周期</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339"/>
        <w:gridCol w:w="1515"/>
        <w:gridCol w:w="1471"/>
        <w:gridCol w:w="1203"/>
        <w:gridCol w:w="2064"/>
      </w:tblGrid>
      <w:tr w14:paraId="6367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2043" w:type="dxa"/>
            <w:gridSpan w:val="2"/>
            <w:vMerge w:val="restart"/>
            <w:vAlign w:val="center"/>
          </w:tcPr>
          <w:p w14:paraId="3F2524ED">
            <w:pPr>
              <w:jc w:val="center"/>
              <w:rPr>
                <w:rFonts w:eastAsiaTheme="minorEastAsia"/>
                <w:sz w:val="20"/>
              </w:rPr>
            </w:pPr>
            <w:r>
              <w:rPr>
                <w:rFonts w:hint="eastAsia" w:eastAsiaTheme="minorEastAsia"/>
                <w:sz w:val="20"/>
              </w:rPr>
              <w:t>抗浮类型/等级</w:t>
            </w:r>
          </w:p>
        </w:tc>
        <w:tc>
          <w:tcPr>
            <w:tcW w:w="4189" w:type="dxa"/>
            <w:gridSpan w:val="3"/>
            <w:vAlign w:val="center"/>
          </w:tcPr>
          <w:p w14:paraId="0F065C83">
            <w:pPr>
              <w:jc w:val="center"/>
              <w:rPr>
                <w:rFonts w:eastAsiaTheme="minorEastAsia"/>
                <w:sz w:val="20"/>
              </w:rPr>
            </w:pPr>
            <w:r>
              <w:rPr>
                <w:rFonts w:hint="eastAsia" w:eastAsiaTheme="minorEastAsia"/>
                <w:sz w:val="20"/>
              </w:rPr>
              <w:t>监测项目</w:t>
            </w:r>
          </w:p>
        </w:tc>
        <w:tc>
          <w:tcPr>
            <w:tcW w:w="2064" w:type="dxa"/>
            <w:vMerge w:val="restart"/>
            <w:vAlign w:val="center"/>
          </w:tcPr>
          <w:p w14:paraId="0217BADA">
            <w:pPr>
              <w:jc w:val="center"/>
              <w:rPr>
                <w:rFonts w:eastAsiaTheme="minorEastAsia"/>
                <w:sz w:val="20"/>
              </w:rPr>
            </w:pPr>
            <w:r>
              <w:rPr>
                <w:rFonts w:hint="eastAsia" w:eastAsiaTheme="minorEastAsia"/>
                <w:sz w:val="20"/>
              </w:rPr>
              <w:t>监测周期</w:t>
            </w:r>
          </w:p>
        </w:tc>
      </w:tr>
      <w:tr w14:paraId="38C4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043" w:type="dxa"/>
            <w:gridSpan w:val="2"/>
            <w:vMerge w:val="continue"/>
            <w:vAlign w:val="center"/>
          </w:tcPr>
          <w:p w14:paraId="23DF5B4D">
            <w:pPr>
              <w:jc w:val="center"/>
              <w:rPr>
                <w:rFonts w:eastAsiaTheme="minorEastAsia"/>
                <w:sz w:val="20"/>
              </w:rPr>
            </w:pPr>
          </w:p>
        </w:tc>
        <w:tc>
          <w:tcPr>
            <w:tcW w:w="1515" w:type="dxa"/>
            <w:vAlign w:val="center"/>
          </w:tcPr>
          <w:p w14:paraId="4ABE5F1B">
            <w:pPr>
              <w:jc w:val="center"/>
              <w:rPr>
                <w:rFonts w:eastAsiaTheme="minorEastAsia"/>
                <w:sz w:val="20"/>
              </w:rPr>
            </w:pPr>
            <w:r>
              <w:rPr>
                <w:rFonts w:hint="eastAsia" w:eastAsiaTheme="minorEastAsia"/>
                <w:sz w:val="20"/>
              </w:rPr>
              <w:t>地下水水位</w:t>
            </w:r>
          </w:p>
        </w:tc>
        <w:tc>
          <w:tcPr>
            <w:tcW w:w="1471" w:type="dxa"/>
            <w:vAlign w:val="center"/>
          </w:tcPr>
          <w:p w14:paraId="04536940">
            <w:pPr>
              <w:jc w:val="center"/>
              <w:rPr>
                <w:rFonts w:eastAsiaTheme="minorEastAsia"/>
                <w:sz w:val="20"/>
              </w:rPr>
            </w:pPr>
            <w:r>
              <w:rPr>
                <w:rFonts w:hint="eastAsia" w:eastAsiaTheme="minorEastAsia"/>
                <w:sz w:val="20"/>
              </w:rPr>
              <w:t>底板竖向变形</w:t>
            </w:r>
          </w:p>
        </w:tc>
        <w:tc>
          <w:tcPr>
            <w:tcW w:w="1203" w:type="dxa"/>
            <w:vAlign w:val="center"/>
          </w:tcPr>
          <w:p w14:paraId="0EF978F2">
            <w:pPr>
              <w:jc w:val="center"/>
              <w:rPr>
                <w:rFonts w:eastAsiaTheme="minorEastAsia"/>
                <w:sz w:val="20"/>
              </w:rPr>
            </w:pPr>
            <w:r>
              <w:rPr>
                <w:rFonts w:hint="eastAsia" w:eastAsiaTheme="minorEastAsia"/>
                <w:sz w:val="20"/>
              </w:rPr>
              <w:t>底板裂缝及渗漏</w:t>
            </w:r>
          </w:p>
        </w:tc>
        <w:tc>
          <w:tcPr>
            <w:tcW w:w="2064" w:type="dxa"/>
            <w:vMerge w:val="continue"/>
            <w:vAlign w:val="center"/>
          </w:tcPr>
          <w:p w14:paraId="13A19457">
            <w:pPr>
              <w:jc w:val="center"/>
              <w:rPr>
                <w:rFonts w:eastAsiaTheme="minorEastAsia"/>
                <w:sz w:val="20"/>
              </w:rPr>
            </w:pPr>
          </w:p>
        </w:tc>
      </w:tr>
      <w:tr w14:paraId="5559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644E432C">
            <w:pPr>
              <w:jc w:val="center"/>
              <w:rPr>
                <w:rFonts w:eastAsiaTheme="minorEastAsia"/>
                <w:sz w:val="20"/>
              </w:rPr>
            </w:pPr>
            <w:r>
              <w:rPr>
                <w:rFonts w:hint="eastAsia" w:eastAsiaTheme="minorEastAsia"/>
                <w:sz w:val="20"/>
              </w:rPr>
              <w:t>新建建筑</w:t>
            </w:r>
          </w:p>
        </w:tc>
        <w:tc>
          <w:tcPr>
            <w:tcW w:w="1339" w:type="dxa"/>
            <w:vAlign w:val="center"/>
          </w:tcPr>
          <w:p w14:paraId="2973D5F0">
            <w:pPr>
              <w:jc w:val="center"/>
              <w:rPr>
                <w:rFonts w:eastAsiaTheme="minorEastAsia"/>
                <w:sz w:val="20"/>
              </w:rPr>
            </w:pPr>
            <w:r>
              <w:rPr>
                <w:rFonts w:hint="eastAsia" w:eastAsiaTheme="minorEastAsia"/>
                <w:sz w:val="20"/>
              </w:rPr>
              <w:t>甲级</w:t>
            </w:r>
          </w:p>
        </w:tc>
        <w:tc>
          <w:tcPr>
            <w:tcW w:w="1515" w:type="dxa"/>
            <w:vAlign w:val="center"/>
          </w:tcPr>
          <w:p w14:paraId="5BE321B1">
            <w:pPr>
              <w:jc w:val="center"/>
              <w:rPr>
                <w:rFonts w:eastAsiaTheme="minorEastAsia"/>
                <w:sz w:val="20"/>
              </w:rPr>
            </w:pPr>
            <w:r>
              <w:rPr>
                <w:rFonts w:hint="eastAsia" w:eastAsiaTheme="minorEastAsia"/>
                <w:sz w:val="20"/>
              </w:rPr>
              <w:t>应测</w:t>
            </w:r>
          </w:p>
        </w:tc>
        <w:tc>
          <w:tcPr>
            <w:tcW w:w="1471" w:type="dxa"/>
            <w:vAlign w:val="center"/>
          </w:tcPr>
          <w:p w14:paraId="33906469">
            <w:pPr>
              <w:jc w:val="center"/>
              <w:rPr>
                <w:rFonts w:eastAsiaTheme="minorEastAsia"/>
                <w:sz w:val="20"/>
              </w:rPr>
            </w:pPr>
            <w:r>
              <w:rPr>
                <w:rFonts w:hint="eastAsia" w:eastAsiaTheme="minorEastAsia"/>
                <w:sz w:val="20"/>
              </w:rPr>
              <w:t>应测</w:t>
            </w:r>
          </w:p>
        </w:tc>
        <w:tc>
          <w:tcPr>
            <w:tcW w:w="1203" w:type="dxa"/>
            <w:vAlign w:val="center"/>
          </w:tcPr>
          <w:p w14:paraId="4568D335">
            <w:pPr>
              <w:jc w:val="center"/>
              <w:rPr>
                <w:rFonts w:eastAsiaTheme="minorEastAsia"/>
                <w:sz w:val="20"/>
              </w:rPr>
            </w:pPr>
            <w:r>
              <w:rPr>
                <w:rFonts w:hint="eastAsia" w:eastAsiaTheme="minorEastAsia"/>
                <w:sz w:val="20"/>
              </w:rPr>
              <w:t>/</w:t>
            </w:r>
          </w:p>
        </w:tc>
        <w:tc>
          <w:tcPr>
            <w:tcW w:w="2064" w:type="dxa"/>
            <w:vAlign w:val="center"/>
          </w:tcPr>
          <w:p w14:paraId="617B6188">
            <w:pPr>
              <w:rPr>
                <w:rFonts w:eastAsiaTheme="minorEastAsia"/>
                <w:sz w:val="20"/>
              </w:rPr>
            </w:pPr>
            <w:r>
              <w:rPr>
                <w:rFonts w:hint="eastAsia" w:eastAsiaTheme="minorEastAsia"/>
                <w:sz w:val="20"/>
              </w:rPr>
              <w:t>设置地下水长期监测井的工程水位监测年限与建筑设计工作年限一致；其他工程和项目不少于2年</w:t>
            </w:r>
          </w:p>
        </w:tc>
      </w:tr>
      <w:tr w14:paraId="75B0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4" w:type="dxa"/>
            <w:vMerge w:val="continue"/>
            <w:vAlign w:val="center"/>
          </w:tcPr>
          <w:p w14:paraId="681B6FE1">
            <w:pPr>
              <w:jc w:val="center"/>
              <w:rPr>
                <w:rFonts w:eastAsiaTheme="minorEastAsia"/>
                <w:sz w:val="20"/>
              </w:rPr>
            </w:pPr>
          </w:p>
        </w:tc>
        <w:tc>
          <w:tcPr>
            <w:tcW w:w="1339" w:type="dxa"/>
            <w:vAlign w:val="center"/>
          </w:tcPr>
          <w:p w14:paraId="7F9FF941">
            <w:pPr>
              <w:jc w:val="center"/>
              <w:rPr>
                <w:rFonts w:eastAsiaTheme="minorEastAsia"/>
                <w:sz w:val="20"/>
              </w:rPr>
            </w:pPr>
            <w:r>
              <w:rPr>
                <w:rFonts w:hint="eastAsia" w:eastAsiaTheme="minorEastAsia"/>
                <w:sz w:val="20"/>
              </w:rPr>
              <w:t>乙级</w:t>
            </w:r>
          </w:p>
        </w:tc>
        <w:tc>
          <w:tcPr>
            <w:tcW w:w="1515" w:type="dxa"/>
            <w:vAlign w:val="center"/>
          </w:tcPr>
          <w:p w14:paraId="372A2FBF">
            <w:pPr>
              <w:jc w:val="center"/>
              <w:rPr>
                <w:rFonts w:eastAsiaTheme="minorEastAsia"/>
                <w:sz w:val="20"/>
              </w:rPr>
            </w:pPr>
            <w:r>
              <w:rPr>
                <w:rFonts w:hint="eastAsia" w:eastAsiaTheme="minorEastAsia"/>
                <w:sz w:val="20"/>
              </w:rPr>
              <w:t>应测</w:t>
            </w:r>
          </w:p>
        </w:tc>
        <w:tc>
          <w:tcPr>
            <w:tcW w:w="1471" w:type="dxa"/>
            <w:vAlign w:val="center"/>
          </w:tcPr>
          <w:p w14:paraId="6876730C">
            <w:pPr>
              <w:jc w:val="center"/>
              <w:rPr>
                <w:rFonts w:eastAsiaTheme="minorEastAsia"/>
                <w:sz w:val="20"/>
              </w:rPr>
            </w:pPr>
            <w:r>
              <w:rPr>
                <w:rFonts w:hint="eastAsia" w:eastAsiaTheme="minorEastAsia"/>
                <w:sz w:val="20"/>
              </w:rPr>
              <w:t>宜测</w:t>
            </w:r>
          </w:p>
        </w:tc>
        <w:tc>
          <w:tcPr>
            <w:tcW w:w="1203" w:type="dxa"/>
            <w:vAlign w:val="center"/>
          </w:tcPr>
          <w:p w14:paraId="23288A33">
            <w:pPr>
              <w:jc w:val="center"/>
              <w:rPr>
                <w:rFonts w:eastAsiaTheme="minorEastAsia"/>
                <w:sz w:val="20"/>
              </w:rPr>
            </w:pPr>
            <w:r>
              <w:rPr>
                <w:rFonts w:hint="eastAsia" w:eastAsiaTheme="minorEastAsia"/>
                <w:sz w:val="20"/>
              </w:rPr>
              <w:t>/</w:t>
            </w:r>
          </w:p>
        </w:tc>
        <w:tc>
          <w:tcPr>
            <w:tcW w:w="2064" w:type="dxa"/>
            <w:vAlign w:val="center"/>
          </w:tcPr>
          <w:p w14:paraId="654A7D26">
            <w:pPr>
              <w:rPr>
                <w:rFonts w:eastAsiaTheme="minorEastAsia"/>
                <w:sz w:val="20"/>
              </w:rPr>
            </w:pPr>
            <w:r>
              <w:rPr>
                <w:rFonts w:hint="eastAsia" w:eastAsiaTheme="minorEastAsia"/>
                <w:sz w:val="20"/>
              </w:rPr>
              <w:t>不少于2年</w:t>
            </w:r>
          </w:p>
        </w:tc>
      </w:tr>
      <w:tr w14:paraId="5070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4" w:type="dxa"/>
            <w:vMerge w:val="continue"/>
            <w:vAlign w:val="center"/>
          </w:tcPr>
          <w:p w14:paraId="7CAD7410">
            <w:pPr>
              <w:jc w:val="center"/>
              <w:rPr>
                <w:rFonts w:eastAsiaTheme="minorEastAsia"/>
                <w:sz w:val="20"/>
              </w:rPr>
            </w:pPr>
          </w:p>
        </w:tc>
        <w:tc>
          <w:tcPr>
            <w:tcW w:w="1339" w:type="dxa"/>
            <w:vAlign w:val="center"/>
          </w:tcPr>
          <w:p w14:paraId="254A8E36">
            <w:pPr>
              <w:jc w:val="center"/>
              <w:rPr>
                <w:rFonts w:eastAsiaTheme="minorEastAsia"/>
                <w:sz w:val="20"/>
              </w:rPr>
            </w:pPr>
            <w:r>
              <w:rPr>
                <w:rFonts w:hint="eastAsia" w:eastAsiaTheme="minorEastAsia"/>
                <w:sz w:val="20"/>
              </w:rPr>
              <w:t>丙级</w:t>
            </w:r>
          </w:p>
        </w:tc>
        <w:tc>
          <w:tcPr>
            <w:tcW w:w="1515" w:type="dxa"/>
            <w:vAlign w:val="center"/>
          </w:tcPr>
          <w:p w14:paraId="383E85F5">
            <w:pPr>
              <w:jc w:val="center"/>
              <w:rPr>
                <w:rFonts w:eastAsiaTheme="minorEastAsia"/>
                <w:sz w:val="20"/>
              </w:rPr>
            </w:pPr>
            <w:r>
              <w:rPr>
                <w:rFonts w:hint="eastAsia" w:eastAsiaTheme="minorEastAsia"/>
                <w:sz w:val="20"/>
              </w:rPr>
              <w:t>宜测</w:t>
            </w:r>
          </w:p>
        </w:tc>
        <w:tc>
          <w:tcPr>
            <w:tcW w:w="1471" w:type="dxa"/>
            <w:vAlign w:val="center"/>
          </w:tcPr>
          <w:p w14:paraId="51A5E7C3">
            <w:pPr>
              <w:jc w:val="center"/>
              <w:rPr>
                <w:rFonts w:eastAsiaTheme="minorEastAsia"/>
                <w:sz w:val="20"/>
              </w:rPr>
            </w:pPr>
            <w:r>
              <w:rPr>
                <w:rFonts w:hint="eastAsia" w:eastAsiaTheme="minorEastAsia"/>
                <w:sz w:val="20"/>
              </w:rPr>
              <w:t>可测</w:t>
            </w:r>
          </w:p>
        </w:tc>
        <w:tc>
          <w:tcPr>
            <w:tcW w:w="1203" w:type="dxa"/>
            <w:vAlign w:val="center"/>
          </w:tcPr>
          <w:p w14:paraId="64B902EC">
            <w:pPr>
              <w:jc w:val="center"/>
              <w:rPr>
                <w:rFonts w:eastAsiaTheme="minorEastAsia"/>
                <w:sz w:val="20"/>
              </w:rPr>
            </w:pPr>
            <w:r>
              <w:rPr>
                <w:rFonts w:hint="eastAsia" w:eastAsiaTheme="minorEastAsia"/>
                <w:sz w:val="20"/>
              </w:rPr>
              <w:t>/</w:t>
            </w:r>
          </w:p>
        </w:tc>
        <w:tc>
          <w:tcPr>
            <w:tcW w:w="2064" w:type="dxa"/>
            <w:vAlign w:val="center"/>
          </w:tcPr>
          <w:p w14:paraId="28B204D5">
            <w:pPr>
              <w:rPr>
                <w:rFonts w:eastAsiaTheme="minorEastAsia"/>
                <w:sz w:val="20"/>
              </w:rPr>
            </w:pPr>
            <w:r>
              <w:rPr>
                <w:rFonts w:hint="eastAsia" w:eastAsiaTheme="minorEastAsia"/>
                <w:sz w:val="20"/>
              </w:rPr>
              <w:t>不少于</w:t>
            </w:r>
            <w:r>
              <w:rPr>
                <w:rFonts w:eastAsiaTheme="minorEastAsia"/>
                <w:sz w:val="20"/>
              </w:rPr>
              <w:t>1</w:t>
            </w:r>
            <w:r>
              <w:rPr>
                <w:rFonts w:hint="eastAsia" w:eastAsiaTheme="minorEastAsia"/>
                <w:sz w:val="20"/>
              </w:rPr>
              <w:t>年</w:t>
            </w:r>
          </w:p>
        </w:tc>
      </w:tr>
      <w:tr w14:paraId="7212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79420E30">
            <w:pPr>
              <w:jc w:val="center"/>
              <w:rPr>
                <w:rFonts w:eastAsiaTheme="minorEastAsia"/>
                <w:sz w:val="20"/>
              </w:rPr>
            </w:pPr>
            <w:r>
              <w:rPr>
                <w:rFonts w:hint="eastAsia" w:eastAsiaTheme="minorEastAsia"/>
                <w:sz w:val="20"/>
              </w:rPr>
              <w:t>既有建筑</w:t>
            </w:r>
          </w:p>
        </w:tc>
        <w:tc>
          <w:tcPr>
            <w:tcW w:w="1339" w:type="dxa"/>
            <w:vAlign w:val="center"/>
          </w:tcPr>
          <w:p w14:paraId="76274F94">
            <w:pPr>
              <w:jc w:val="center"/>
              <w:rPr>
                <w:rFonts w:eastAsiaTheme="minorEastAsia"/>
                <w:sz w:val="20"/>
              </w:rPr>
            </w:pPr>
            <w:r>
              <w:rPr>
                <w:rFonts w:hint="eastAsia" w:eastAsiaTheme="minorEastAsia"/>
                <w:sz w:val="20"/>
              </w:rPr>
              <w:t>已发生上浮</w:t>
            </w:r>
          </w:p>
        </w:tc>
        <w:tc>
          <w:tcPr>
            <w:tcW w:w="1515" w:type="dxa"/>
            <w:vAlign w:val="center"/>
          </w:tcPr>
          <w:p w14:paraId="5D24E29D">
            <w:pPr>
              <w:jc w:val="center"/>
              <w:rPr>
                <w:rFonts w:eastAsiaTheme="minorEastAsia"/>
                <w:sz w:val="20"/>
              </w:rPr>
            </w:pPr>
            <w:r>
              <w:rPr>
                <w:rFonts w:hint="eastAsia" w:eastAsiaTheme="minorEastAsia"/>
                <w:sz w:val="20"/>
              </w:rPr>
              <w:t>应测</w:t>
            </w:r>
          </w:p>
        </w:tc>
        <w:tc>
          <w:tcPr>
            <w:tcW w:w="1471" w:type="dxa"/>
            <w:vAlign w:val="center"/>
          </w:tcPr>
          <w:p w14:paraId="6B1698FE">
            <w:pPr>
              <w:jc w:val="center"/>
              <w:rPr>
                <w:rFonts w:eastAsiaTheme="minorEastAsia"/>
                <w:sz w:val="20"/>
              </w:rPr>
            </w:pPr>
            <w:r>
              <w:rPr>
                <w:rFonts w:hint="eastAsia" w:eastAsiaTheme="minorEastAsia"/>
                <w:sz w:val="20"/>
              </w:rPr>
              <w:t>应测</w:t>
            </w:r>
          </w:p>
        </w:tc>
        <w:tc>
          <w:tcPr>
            <w:tcW w:w="1203" w:type="dxa"/>
            <w:vAlign w:val="center"/>
          </w:tcPr>
          <w:p w14:paraId="5CF8410E">
            <w:pPr>
              <w:jc w:val="center"/>
              <w:rPr>
                <w:rFonts w:eastAsiaTheme="minorEastAsia"/>
                <w:sz w:val="20"/>
              </w:rPr>
            </w:pPr>
            <w:r>
              <w:rPr>
                <w:rFonts w:hint="eastAsia" w:eastAsiaTheme="minorEastAsia"/>
                <w:sz w:val="20"/>
              </w:rPr>
              <w:t>应测</w:t>
            </w:r>
          </w:p>
        </w:tc>
        <w:tc>
          <w:tcPr>
            <w:tcW w:w="2064" w:type="dxa"/>
            <w:vAlign w:val="center"/>
          </w:tcPr>
          <w:p w14:paraId="3AE4AECC">
            <w:pPr>
              <w:rPr>
                <w:rFonts w:eastAsiaTheme="minorEastAsia"/>
                <w:sz w:val="20"/>
              </w:rPr>
            </w:pPr>
            <w:r>
              <w:rPr>
                <w:rFonts w:hint="eastAsia" w:eastAsiaTheme="minorEastAsia"/>
                <w:sz w:val="20"/>
              </w:rPr>
              <w:t>不少于2年</w:t>
            </w:r>
          </w:p>
        </w:tc>
      </w:tr>
      <w:tr w14:paraId="0EF8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4DB0F1E9">
            <w:pPr>
              <w:jc w:val="center"/>
              <w:rPr>
                <w:rFonts w:eastAsiaTheme="minorEastAsia"/>
                <w:sz w:val="20"/>
              </w:rPr>
            </w:pPr>
          </w:p>
        </w:tc>
        <w:tc>
          <w:tcPr>
            <w:tcW w:w="1339" w:type="dxa"/>
            <w:vAlign w:val="center"/>
          </w:tcPr>
          <w:p w14:paraId="183D46D9">
            <w:pPr>
              <w:jc w:val="center"/>
              <w:rPr>
                <w:rFonts w:eastAsiaTheme="minorEastAsia"/>
                <w:sz w:val="20"/>
              </w:rPr>
            </w:pPr>
            <w:r>
              <w:rPr>
                <w:rFonts w:hint="eastAsia" w:eastAsiaTheme="minorEastAsia"/>
                <w:sz w:val="20"/>
              </w:rPr>
              <w:t>改造加固</w:t>
            </w:r>
          </w:p>
        </w:tc>
        <w:tc>
          <w:tcPr>
            <w:tcW w:w="1515" w:type="dxa"/>
            <w:vAlign w:val="center"/>
          </w:tcPr>
          <w:p w14:paraId="01D3A616">
            <w:pPr>
              <w:jc w:val="center"/>
              <w:rPr>
                <w:rFonts w:eastAsiaTheme="minorEastAsia"/>
                <w:sz w:val="20"/>
              </w:rPr>
            </w:pPr>
            <w:r>
              <w:rPr>
                <w:rFonts w:hint="eastAsia" w:eastAsiaTheme="minorEastAsia"/>
                <w:sz w:val="20"/>
              </w:rPr>
              <w:t>应测</w:t>
            </w:r>
          </w:p>
        </w:tc>
        <w:tc>
          <w:tcPr>
            <w:tcW w:w="1471" w:type="dxa"/>
            <w:vAlign w:val="center"/>
          </w:tcPr>
          <w:p w14:paraId="2F9756C3">
            <w:pPr>
              <w:jc w:val="center"/>
              <w:rPr>
                <w:rFonts w:eastAsiaTheme="minorEastAsia"/>
                <w:sz w:val="20"/>
              </w:rPr>
            </w:pPr>
            <w:r>
              <w:rPr>
                <w:rFonts w:hint="eastAsia" w:eastAsiaTheme="minorEastAsia"/>
                <w:sz w:val="20"/>
              </w:rPr>
              <w:t>宜测</w:t>
            </w:r>
          </w:p>
        </w:tc>
        <w:tc>
          <w:tcPr>
            <w:tcW w:w="1203" w:type="dxa"/>
            <w:vAlign w:val="center"/>
          </w:tcPr>
          <w:p w14:paraId="5BE8363B">
            <w:pPr>
              <w:jc w:val="center"/>
              <w:rPr>
                <w:rFonts w:eastAsiaTheme="minorEastAsia"/>
                <w:sz w:val="20"/>
              </w:rPr>
            </w:pPr>
            <w:r>
              <w:rPr>
                <w:rFonts w:hint="eastAsia" w:eastAsiaTheme="minorEastAsia"/>
                <w:sz w:val="20"/>
              </w:rPr>
              <w:t>宜测</w:t>
            </w:r>
          </w:p>
        </w:tc>
        <w:tc>
          <w:tcPr>
            <w:tcW w:w="2064" w:type="dxa"/>
            <w:vAlign w:val="center"/>
          </w:tcPr>
          <w:p w14:paraId="76755989">
            <w:pPr>
              <w:rPr>
                <w:rFonts w:eastAsiaTheme="minorEastAsia"/>
                <w:sz w:val="20"/>
              </w:rPr>
            </w:pPr>
            <w:r>
              <w:rPr>
                <w:rFonts w:hint="eastAsia" w:eastAsiaTheme="minorEastAsia"/>
                <w:sz w:val="20"/>
              </w:rPr>
              <w:t>不少于</w:t>
            </w:r>
            <w:r>
              <w:rPr>
                <w:rFonts w:eastAsiaTheme="minorEastAsia"/>
                <w:sz w:val="20"/>
              </w:rPr>
              <w:t>1</w:t>
            </w:r>
            <w:r>
              <w:rPr>
                <w:rFonts w:hint="eastAsia" w:eastAsiaTheme="minorEastAsia"/>
                <w:sz w:val="20"/>
              </w:rPr>
              <w:t>年</w:t>
            </w:r>
          </w:p>
        </w:tc>
      </w:tr>
    </w:tbl>
    <w:p w14:paraId="7A5F23ED">
      <w:pPr>
        <w:numPr>
          <w:ilvl w:val="2"/>
          <w:numId w:val="40"/>
        </w:numPr>
        <w:spacing w:line="360" w:lineRule="auto"/>
        <w:ind w:left="16" w:hanging="16"/>
        <w:jc w:val="left"/>
        <w:rPr>
          <w:rFonts w:eastAsiaTheme="minorEastAsia"/>
          <w:sz w:val="24"/>
          <w:szCs w:val="24"/>
        </w:rPr>
      </w:pPr>
      <w:bookmarkStart w:id="233" w:name="_Toc31077"/>
      <w:r>
        <w:rPr>
          <w:rFonts w:hint="eastAsia" w:eastAsia="宋体"/>
          <w:sz w:val="24"/>
          <w:szCs w:val="32"/>
        </w:rPr>
        <w:t>监测</w:t>
      </w:r>
      <w:r>
        <w:rPr>
          <w:rFonts w:hint="eastAsia" w:eastAsiaTheme="minorEastAsia"/>
          <w:sz w:val="24"/>
          <w:szCs w:val="24"/>
        </w:rPr>
        <w:t>频率符合下列规定：</w:t>
      </w:r>
    </w:p>
    <w:p w14:paraId="2EF2439E">
      <w:pPr>
        <w:numPr>
          <w:ilvl w:val="0"/>
          <w:numId w:val="42"/>
        </w:numPr>
        <w:tabs>
          <w:tab w:val="clear" w:pos="420"/>
        </w:tabs>
        <w:spacing w:line="360" w:lineRule="auto"/>
        <w:ind w:left="5" w:firstLine="315"/>
        <w:rPr>
          <w:rFonts w:eastAsiaTheme="minorEastAsia"/>
          <w:sz w:val="24"/>
          <w:szCs w:val="24"/>
        </w:rPr>
      </w:pPr>
      <w:r>
        <w:rPr>
          <w:rFonts w:hint="eastAsia" w:eastAsiaTheme="minorEastAsia"/>
          <w:sz w:val="24"/>
          <w:szCs w:val="24"/>
        </w:rPr>
        <w:t>使用期监测频率宜按每年6月-10月为丰水期1次/5天，其他时间1次/10天。</w:t>
      </w:r>
    </w:p>
    <w:p w14:paraId="1F18DC71">
      <w:pPr>
        <w:numPr>
          <w:ilvl w:val="0"/>
          <w:numId w:val="42"/>
        </w:numPr>
        <w:tabs>
          <w:tab w:val="clear" w:pos="420"/>
        </w:tabs>
        <w:spacing w:line="360" w:lineRule="auto"/>
        <w:ind w:left="5" w:firstLine="315"/>
        <w:rPr>
          <w:rFonts w:eastAsiaTheme="minorEastAsia"/>
          <w:sz w:val="24"/>
          <w:szCs w:val="24"/>
        </w:rPr>
      </w:pPr>
      <w:r>
        <w:rPr>
          <w:rFonts w:hint="eastAsia" w:eastAsiaTheme="minorEastAsia"/>
          <w:sz w:val="24"/>
          <w:szCs w:val="24"/>
        </w:rPr>
        <w:t>遭遇流域生态补水、地下水位骤变或持续强降水时，应加密监测，频率宜为1次/6小时。</w:t>
      </w:r>
    </w:p>
    <w:p w14:paraId="17CD9EF0">
      <w:pPr>
        <w:numPr>
          <w:ilvl w:val="0"/>
          <w:numId w:val="42"/>
        </w:numPr>
        <w:tabs>
          <w:tab w:val="clear" w:pos="420"/>
        </w:tabs>
        <w:spacing w:line="360" w:lineRule="auto"/>
        <w:ind w:left="5" w:firstLine="315"/>
        <w:rPr>
          <w:rFonts w:eastAsiaTheme="minorEastAsia"/>
          <w:sz w:val="24"/>
          <w:szCs w:val="24"/>
        </w:rPr>
      </w:pPr>
      <w:r>
        <w:rPr>
          <w:rFonts w:hint="eastAsia" w:eastAsiaTheme="minorEastAsia"/>
          <w:sz w:val="24"/>
          <w:szCs w:val="24"/>
        </w:rPr>
        <w:t>在永定河、潮白河、温榆河、北运河、蓟运河、大石河、拒马河、妫水河等北京市主干河道沿线，山前冲洪扇扇顶和扇中部位可根据情况适当加密。</w:t>
      </w:r>
    </w:p>
    <w:p w14:paraId="46572664">
      <w:pPr>
        <w:numPr>
          <w:ilvl w:val="2"/>
          <w:numId w:val="40"/>
        </w:numPr>
        <w:spacing w:line="360" w:lineRule="auto"/>
        <w:ind w:left="16" w:hanging="16"/>
        <w:jc w:val="left"/>
        <w:rPr>
          <w:rFonts w:eastAsiaTheme="minorEastAsia"/>
          <w:sz w:val="24"/>
          <w:szCs w:val="24"/>
        </w:rPr>
      </w:pPr>
      <w:r>
        <w:rPr>
          <w:rFonts w:hint="eastAsia" w:eastAsiaTheme="minorEastAsia"/>
          <w:sz w:val="24"/>
          <w:szCs w:val="24"/>
        </w:rPr>
        <w:t>基础、底层柱的变形监测点布置按抗浮分区确定；裂缝观测应测定分布位置、走向、长度、宽度及其变化情况。</w:t>
      </w:r>
    </w:p>
    <w:bookmarkEnd w:id="233"/>
    <w:p w14:paraId="1868B5EE">
      <w:pPr>
        <w:numPr>
          <w:ilvl w:val="2"/>
          <w:numId w:val="40"/>
        </w:numPr>
        <w:spacing w:line="360" w:lineRule="auto"/>
        <w:ind w:left="16" w:hanging="16"/>
        <w:jc w:val="left"/>
        <w:rPr>
          <w:rFonts w:eastAsiaTheme="minorEastAsia"/>
          <w:sz w:val="24"/>
          <w:szCs w:val="24"/>
        </w:rPr>
      </w:pPr>
      <w:r>
        <w:rPr>
          <w:rFonts w:hint="eastAsia" w:eastAsiaTheme="minorEastAsia"/>
          <w:sz w:val="24"/>
          <w:szCs w:val="24"/>
        </w:rPr>
        <w:t>限压法及长期监测井应在工作年限内进行维护</w:t>
      </w:r>
      <w:r>
        <w:rPr>
          <w:rFonts w:eastAsiaTheme="minorEastAsia"/>
          <w:sz w:val="24"/>
          <w:szCs w:val="24"/>
        </w:rPr>
        <w:t>。</w:t>
      </w:r>
      <w:r>
        <w:rPr>
          <w:rFonts w:hint="eastAsia" w:eastAsiaTheme="minorEastAsia"/>
          <w:sz w:val="24"/>
          <w:szCs w:val="24"/>
        </w:rPr>
        <w:t>维护措施按《建筑工程抗浮技术标准》JGJ 476执行。</w:t>
      </w:r>
    </w:p>
    <w:p w14:paraId="041818A6">
      <w:r>
        <w:br w:type="page"/>
      </w:r>
    </w:p>
    <w:p w14:paraId="2B7639B9">
      <w:pPr>
        <w:numPr>
          <w:ilvl w:val="0"/>
          <w:numId w:val="43"/>
        </w:numPr>
        <w:spacing w:line="360" w:lineRule="auto"/>
        <w:ind w:firstLine="0"/>
        <w:jc w:val="center"/>
        <w:outlineLvl w:val="0"/>
        <w:rPr>
          <w:rFonts w:eastAsiaTheme="minorEastAsia"/>
          <w:b/>
          <w:bCs/>
          <w:sz w:val="28"/>
          <w:szCs w:val="18"/>
        </w:rPr>
      </w:pPr>
      <w:bookmarkStart w:id="234" w:name="_Toc10482"/>
      <w:bookmarkStart w:id="235" w:name="_Toc14630"/>
      <w:bookmarkStart w:id="236" w:name="_Toc10385"/>
      <w:bookmarkStart w:id="237" w:name="_Toc1411"/>
      <w:bookmarkStart w:id="238" w:name="_Toc8932"/>
      <w:bookmarkStart w:id="239" w:name="_Toc25463"/>
      <w:bookmarkStart w:id="240" w:name="_Toc6098"/>
      <w:r>
        <w:rPr>
          <w:rFonts w:hint="eastAsia" w:eastAsiaTheme="minorEastAsia"/>
          <w:b/>
          <w:bCs/>
          <w:sz w:val="28"/>
          <w:szCs w:val="18"/>
        </w:rPr>
        <w:t>抗浮设计专篇（样例）</w:t>
      </w:r>
      <w:bookmarkEnd w:id="234"/>
      <w:bookmarkEnd w:id="235"/>
    </w:p>
    <w:p w14:paraId="7191487E">
      <w:pPr>
        <w:spacing w:line="360" w:lineRule="auto"/>
        <w:ind w:firstLine="638" w:firstLineChars="266"/>
        <w:jc w:val="left"/>
        <w:rPr>
          <w:rFonts w:eastAsia="宋体"/>
          <w:sz w:val="24"/>
          <w:szCs w:val="22"/>
        </w:rPr>
      </w:pPr>
      <w:r>
        <w:rPr>
          <w:rFonts w:eastAsia="宋体"/>
          <w:sz w:val="24"/>
          <w:szCs w:val="22"/>
        </w:rPr>
        <w:t>抗浮设计专篇主要内容建议如下：</w:t>
      </w:r>
    </w:p>
    <w:p w14:paraId="6D970541">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 设计依据</w:t>
      </w:r>
    </w:p>
    <w:p w14:paraId="55B175A4">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1.1 目的：明确本工程抗浮设计的各项要求，确保地下结构在施工期间及使用期间的抗浮稳定性。</w:t>
      </w:r>
    </w:p>
    <w:p w14:paraId="13FAE521">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1.2 主要依据：</w:t>
      </w:r>
    </w:p>
    <w:p w14:paraId="1B34E095">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《建筑与市政地基基础通用规范》GB 55003-2021</w:t>
      </w:r>
    </w:p>
    <w:p w14:paraId="56987371">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《建筑地基基础设计规范》GB50007-2011</w:t>
      </w:r>
    </w:p>
    <w:p w14:paraId="3191A28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《建筑工程抗浮技术标准》JGJ476-2019</w:t>
      </w:r>
    </w:p>
    <w:p w14:paraId="3B15AF4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《北京地区建筑地基基础勘察设计规范》（2016年版）DBJ 11-501-2009</w:t>
      </w:r>
    </w:p>
    <w:p w14:paraId="49F2D9AA">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《建筑与市政工程抗浮勘察标准》（DB11/T 2241-2024）</w:t>
      </w:r>
    </w:p>
    <w:p w14:paraId="04952D8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本工程岩土工程详细勘察报告（报告名称：   ，编制单位：    工程编号：编制日期：    ）。</w:t>
      </w:r>
    </w:p>
    <w:p w14:paraId="6A00FEB7">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1.3 抗浮设计概况</w:t>
      </w:r>
    </w:p>
    <w:p w14:paraId="4338AEC9">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建筑±0.000标高对应的绝对标高。</w:t>
      </w:r>
    </w:p>
    <w:p w14:paraId="70963BF8">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地下工程概况：地下室层数、结构形式、埋深、底板标高、用途等。</w:t>
      </w:r>
    </w:p>
    <w:p w14:paraId="4E8788F6">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需采取抗浮措施的区域。</w:t>
      </w:r>
    </w:p>
    <w:p w14:paraId="409E268D">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抗浮工程设计等级：甲/乙/丙（可按建筑区域确定）</w:t>
      </w:r>
    </w:p>
    <w:p w14:paraId="0E39B941">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抗浮安全稳定系数：</w:t>
      </w:r>
    </w:p>
    <w:p w14:paraId="5784B7C5">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 工程地质与水文地质条件</w:t>
      </w:r>
    </w:p>
    <w:p w14:paraId="198AF382">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2.1 工程地质条件</w:t>
      </w:r>
    </w:p>
    <w:p w14:paraId="02AC8E22">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工程地质简介</w:t>
      </w:r>
    </w:p>
    <w:p w14:paraId="30D561E7">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2.2水文地质条件</w:t>
      </w:r>
    </w:p>
    <w:p w14:paraId="0519B390">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1）场地地下水类型（潜水、承压水）、补给排泄条件、年变化幅度；</w:t>
      </w:r>
    </w:p>
    <w:p w14:paraId="460A6138">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2）与抗浮相关的结论与建议（含抗浮设防水位）；</w:t>
      </w:r>
    </w:p>
    <w:p w14:paraId="17408D3E">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3）设置地下水监测井的建议。</w:t>
      </w:r>
    </w:p>
    <w:p w14:paraId="22774C95">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 土水腐蚀性评价</w:t>
      </w:r>
    </w:p>
    <w:p w14:paraId="55C1A76D">
      <w:pPr>
        <w:pStyle w:val="8"/>
        <w:spacing w:line="360" w:lineRule="auto"/>
        <w:ind w:firstLine="720" w:firstLineChars="3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各岩土层地下水腐蚀性评价。</w:t>
      </w:r>
    </w:p>
    <w:p w14:paraId="0140DC64">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 建筑及结构抗浮条件</w:t>
      </w:r>
    </w:p>
    <w:p w14:paraId="30538900">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4.1 建筑结构自重</w:t>
      </w:r>
    </w:p>
    <w:p w14:paraId="0FBB7FF9">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1）结构自重（包括梁、板、柱、墙及基础底板）</w:t>
      </w:r>
    </w:p>
    <w:p w14:paraId="27293090">
      <w:pPr>
        <w:pStyle w:val="8"/>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抗浮计算时所采取的容重</w:t>
      </w:r>
    </w:p>
    <w:p w14:paraId="7238CFE0">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2）地下室顶板覆土</w:t>
      </w:r>
    </w:p>
    <w:p w14:paraId="088BB87B">
      <w:pPr>
        <w:pStyle w:val="8"/>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抗浮计算时所采取的容重。</w:t>
      </w:r>
    </w:p>
    <w:p w14:paraId="7330F85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3）其它有效荷载</w:t>
      </w:r>
    </w:p>
    <w:p w14:paraId="38B4CBAC">
      <w:pPr>
        <w:pStyle w:val="8"/>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抗浮计算时所采取的容重</w:t>
      </w:r>
    </w:p>
    <w:p w14:paraId="0AF64ED8">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4.2 相关说明</w:t>
      </w:r>
    </w:p>
    <w:p w14:paraId="263B6147">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1）作为抗浮配重的地下室顶板覆土或其它有效荷载，其自重标准值应以铭牌标示重量、体积或容重。</w:t>
      </w:r>
    </w:p>
    <w:p w14:paraId="4F0FAC18">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2）第4.1条作为抗浮配重的建筑结构构件或覆土等，在施工期和使用期不可调整，如需调整，应进行抗浮验算，必要时采取相关措施。</w:t>
      </w:r>
    </w:p>
    <w:p w14:paraId="274A039D">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5 抗浮措施</w:t>
      </w:r>
    </w:p>
    <w:p w14:paraId="5D797147">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5.1 抗浮技术方案</w:t>
      </w:r>
    </w:p>
    <w:p w14:paraId="16FBA96E">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阐述本工程采用的抗浮技术方案（如压重法、锚桩法、锚杆法、主动抗浮法等）。（注：采用联合抗浮法，应说明各部分的协同工作关系）</w:t>
      </w:r>
    </w:p>
    <w:p w14:paraId="4F9FA55F">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5.2 抗浮措施设计</w:t>
      </w:r>
    </w:p>
    <w:p w14:paraId="3A980122">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1）压重法（如采用）</w:t>
      </w:r>
    </w:p>
    <w:p w14:paraId="74704419">
      <w:pPr>
        <w:pStyle w:val="8"/>
        <w:numPr>
          <w:ilvl w:val="0"/>
          <w:numId w:val="44"/>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压重材料（如素混凝土、钢渣混凝土、素填土、级配砂石等）及其容重要求。</w:t>
      </w:r>
    </w:p>
    <w:p w14:paraId="11F16F9E">
      <w:pPr>
        <w:pStyle w:val="8"/>
        <w:numPr>
          <w:ilvl w:val="0"/>
          <w:numId w:val="44"/>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压重范围、厚度、密实度等。</w:t>
      </w:r>
    </w:p>
    <w:p w14:paraId="7653AFAD">
      <w:pPr>
        <w:pStyle w:val="8"/>
        <w:numPr>
          <w:ilvl w:val="0"/>
          <w:numId w:val="44"/>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材料要求，如钢渣混凝土需明确氧化钙、氧化镁等含量。</w:t>
      </w:r>
    </w:p>
    <w:p w14:paraId="0387714B">
      <w:pPr>
        <w:pStyle w:val="8"/>
        <w:spacing w:line="360" w:lineRule="auto"/>
        <w:ind w:firstLine="960" w:firstLineChars="400"/>
        <w:rPr>
          <w:rFonts w:ascii="Times New Roman" w:hAnsi="Times New Roman" w:eastAsia="宋体" w:cs="Times New Roman"/>
          <w:sz w:val="24"/>
          <w:szCs w:val="22"/>
        </w:rPr>
      </w:pPr>
      <w:r>
        <w:rPr>
          <w:rFonts w:ascii="Times New Roman" w:hAnsi="Times New Roman" w:eastAsia="宋体" w:cs="Times New Roman"/>
          <w:sz w:val="24"/>
          <w:szCs w:val="22"/>
        </w:rPr>
        <w:t>2）锚杆</w:t>
      </w:r>
      <w:r>
        <w:rPr>
          <w:rFonts w:ascii="Times New Roman" w:hAnsi="Times New Roman" w:eastAsia="宋体" w:cs="Times New Roman"/>
          <w:sz w:val="24"/>
          <w:szCs w:val="22"/>
          <w:lang w:eastAsia="zh-CN"/>
        </w:rPr>
        <w:t>法</w:t>
      </w:r>
      <w:r>
        <w:rPr>
          <w:rFonts w:ascii="Times New Roman" w:hAnsi="Times New Roman" w:eastAsia="宋体" w:cs="Times New Roman"/>
          <w:sz w:val="24"/>
          <w:szCs w:val="22"/>
        </w:rPr>
        <w:t>（如采用）：</w:t>
      </w:r>
    </w:p>
    <w:p w14:paraId="7E11FE05">
      <w:pPr>
        <w:pStyle w:val="8"/>
        <w:numPr>
          <w:ilvl w:val="0"/>
          <w:numId w:val="45"/>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锚杆类型、材料、直径、纵筋数量与规格、长度、布置间距；</w:t>
      </w:r>
    </w:p>
    <w:p w14:paraId="134AF35D">
      <w:pPr>
        <w:pStyle w:val="8"/>
        <w:numPr>
          <w:ilvl w:val="0"/>
          <w:numId w:val="45"/>
        </w:numPr>
        <w:spacing w:line="360" w:lineRule="auto"/>
        <w:ind w:firstLine="1320" w:firstLineChars="550"/>
        <w:rPr>
          <w:rFonts w:ascii="Times New Roman" w:hAnsi="Times New Roman" w:eastAsia="宋体" w:cs="Times New Roman"/>
          <w:sz w:val="24"/>
          <w:szCs w:val="22"/>
        </w:rPr>
      </w:pPr>
      <w:r>
        <w:rPr>
          <w:rFonts w:ascii="Times New Roman" w:hAnsi="Times New Roman" w:eastAsia="宋体" w:cs="Times New Roman"/>
          <w:sz w:val="24"/>
          <w:szCs w:val="22"/>
        </w:rPr>
        <w:t>抗拔承载力</w:t>
      </w:r>
      <w:r>
        <w:rPr>
          <w:rFonts w:hint="eastAsia" w:ascii="Times New Roman" w:hAnsi="Times New Roman" w:eastAsia="宋体" w:cs="Times New Roman"/>
          <w:sz w:val="24"/>
          <w:szCs w:val="22"/>
          <w:lang w:eastAsia="zh-CN"/>
        </w:rPr>
        <w:t>标准值</w:t>
      </w:r>
      <w:r>
        <w:rPr>
          <w:rFonts w:ascii="Times New Roman" w:hAnsi="Times New Roman" w:eastAsia="宋体" w:cs="Times New Roman"/>
          <w:sz w:val="24"/>
          <w:szCs w:val="22"/>
        </w:rPr>
        <w:t>；</w:t>
      </w:r>
    </w:p>
    <w:p w14:paraId="3D66FFD7">
      <w:pPr>
        <w:pStyle w:val="8"/>
        <w:numPr>
          <w:ilvl w:val="0"/>
          <w:numId w:val="45"/>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与底板/承台的连接构造（锚固长度、节点大样索引）；</w:t>
      </w:r>
    </w:p>
    <w:p w14:paraId="3371B8C4">
      <w:pPr>
        <w:pStyle w:val="8"/>
        <w:numPr>
          <w:ilvl w:val="0"/>
          <w:numId w:val="45"/>
        </w:numPr>
        <w:spacing w:line="360" w:lineRule="auto"/>
        <w:ind w:firstLine="1320" w:firstLineChars="550"/>
        <w:rPr>
          <w:rFonts w:ascii="Times New Roman" w:hAnsi="Times New Roman" w:eastAsia="宋体" w:cs="Times New Roman"/>
          <w:sz w:val="24"/>
          <w:szCs w:val="22"/>
        </w:rPr>
      </w:pPr>
      <w:r>
        <w:rPr>
          <w:rFonts w:ascii="Times New Roman" w:hAnsi="Times New Roman" w:eastAsia="宋体" w:cs="Times New Roman"/>
          <w:sz w:val="24"/>
          <w:szCs w:val="22"/>
        </w:rPr>
        <w:t>防腐、防水措施要求。</w:t>
      </w:r>
    </w:p>
    <w:p w14:paraId="2CCA12FE">
      <w:pPr>
        <w:pStyle w:val="8"/>
        <w:spacing w:line="360" w:lineRule="auto"/>
        <w:ind w:firstLine="960" w:firstLineChars="400"/>
        <w:rPr>
          <w:rFonts w:ascii="Times New Roman" w:hAnsi="Times New Roman" w:eastAsia="宋体" w:cs="Times New Roman"/>
          <w:sz w:val="24"/>
          <w:szCs w:val="22"/>
        </w:rPr>
      </w:pPr>
      <w:r>
        <w:rPr>
          <w:rFonts w:ascii="Times New Roman" w:hAnsi="Times New Roman" w:eastAsia="宋体" w:cs="Times New Roman"/>
          <w:sz w:val="24"/>
          <w:szCs w:val="22"/>
        </w:rPr>
        <w:t>3）锚桩</w:t>
      </w:r>
      <w:r>
        <w:rPr>
          <w:rFonts w:ascii="Times New Roman" w:hAnsi="Times New Roman" w:eastAsia="宋体" w:cs="Times New Roman"/>
          <w:sz w:val="24"/>
          <w:szCs w:val="22"/>
          <w:lang w:eastAsia="zh-CN"/>
        </w:rPr>
        <w:t>法</w:t>
      </w:r>
      <w:r>
        <w:rPr>
          <w:rFonts w:ascii="Times New Roman" w:hAnsi="Times New Roman" w:eastAsia="宋体" w:cs="Times New Roman"/>
          <w:sz w:val="24"/>
          <w:szCs w:val="22"/>
        </w:rPr>
        <w:t>（如采用）：</w:t>
      </w:r>
    </w:p>
    <w:p w14:paraId="5F47614E">
      <w:pPr>
        <w:pStyle w:val="8"/>
        <w:numPr>
          <w:ilvl w:val="0"/>
          <w:numId w:val="46"/>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抗浮桩类型、材料、直径、纵筋数量与规格、长度、布置间距；</w:t>
      </w:r>
    </w:p>
    <w:p w14:paraId="506CCEAB">
      <w:pPr>
        <w:pStyle w:val="8"/>
        <w:numPr>
          <w:ilvl w:val="0"/>
          <w:numId w:val="46"/>
        </w:numPr>
        <w:spacing w:line="360" w:lineRule="auto"/>
        <w:ind w:firstLine="1320" w:firstLineChars="550"/>
        <w:rPr>
          <w:rFonts w:ascii="Times New Roman" w:hAnsi="Times New Roman" w:eastAsia="宋体" w:cs="Times New Roman"/>
          <w:sz w:val="24"/>
          <w:szCs w:val="22"/>
        </w:rPr>
      </w:pPr>
      <w:r>
        <w:rPr>
          <w:rFonts w:ascii="Times New Roman" w:hAnsi="Times New Roman" w:eastAsia="宋体" w:cs="Times New Roman"/>
          <w:sz w:val="24"/>
          <w:szCs w:val="22"/>
        </w:rPr>
        <w:t>抗拔承载力</w:t>
      </w:r>
      <w:r>
        <w:rPr>
          <w:rFonts w:hint="eastAsia" w:ascii="Times New Roman" w:hAnsi="Times New Roman" w:eastAsia="宋体" w:cs="Times New Roman"/>
          <w:sz w:val="24"/>
          <w:szCs w:val="22"/>
          <w:lang w:eastAsia="zh-CN"/>
        </w:rPr>
        <w:t>标准值</w:t>
      </w:r>
      <w:r>
        <w:rPr>
          <w:rFonts w:ascii="Times New Roman" w:hAnsi="Times New Roman" w:eastAsia="宋体" w:cs="Times New Roman"/>
          <w:sz w:val="24"/>
          <w:szCs w:val="22"/>
        </w:rPr>
        <w:t>；</w:t>
      </w:r>
    </w:p>
    <w:p w14:paraId="79414E15">
      <w:pPr>
        <w:pStyle w:val="8"/>
        <w:numPr>
          <w:ilvl w:val="0"/>
          <w:numId w:val="46"/>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与底板/承台的连接构造；</w:t>
      </w:r>
    </w:p>
    <w:p w14:paraId="595D8545">
      <w:pPr>
        <w:pStyle w:val="8"/>
        <w:numPr>
          <w:ilvl w:val="0"/>
          <w:numId w:val="46"/>
        </w:numPr>
        <w:spacing w:line="360" w:lineRule="auto"/>
        <w:ind w:firstLine="1320" w:firstLineChars="550"/>
        <w:rPr>
          <w:rFonts w:ascii="Times New Roman" w:hAnsi="Times New Roman" w:eastAsia="宋体" w:cs="Times New Roman"/>
          <w:sz w:val="24"/>
          <w:szCs w:val="22"/>
        </w:rPr>
      </w:pPr>
      <w:r>
        <w:rPr>
          <w:rFonts w:ascii="Times New Roman" w:hAnsi="Times New Roman" w:eastAsia="宋体" w:cs="Times New Roman"/>
          <w:sz w:val="24"/>
          <w:szCs w:val="22"/>
        </w:rPr>
        <w:t>防水措施要求。</w:t>
      </w:r>
    </w:p>
    <w:p w14:paraId="73CE9BD4">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4）主动抗浮（如采用，全专业设计）：</w:t>
      </w:r>
    </w:p>
    <w:p w14:paraId="583D0635">
      <w:pPr>
        <w:pStyle w:val="8"/>
        <w:numPr>
          <w:ilvl w:val="0"/>
          <w:numId w:val="47"/>
        </w:numPr>
        <w:spacing w:line="360" w:lineRule="auto"/>
        <w:ind w:firstLine="1320" w:firstLineChars="550"/>
        <w:rPr>
          <w:rFonts w:ascii="Times New Roman" w:hAnsi="Times New Roman" w:eastAsia="宋体" w:cs="Times New Roman"/>
          <w:sz w:val="24"/>
          <w:szCs w:val="22"/>
        </w:rPr>
      </w:pPr>
      <w:r>
        <w:rPr>
          <w:rFonts w:ascii="Times New Roman" w:hAnsi="Times New Roman" w:eastAsia="宋体" w:cs="Times New Roman"/>
          <w:sz w:val="24"/>
          <w:szCs w:val="22"/>
        </w:rPr>
        <w:t>主动抗浮类型；</w:t>
      </w:r>
    </w:p>
    <w:p w14:paraId="3823F233">
      <w:pPr>
        <w:pStyle w:val="8"/>
        <w:numPr>
          <w:ilvl w:val="0"/>
          <w:numId w:val="47"/>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盲沟、集水井、排水管网的布置、材料、坡度。</w:t>
      </w:r>
    </w:p>
    <w:p w14:paraId="560F6B4A">
      <w:pPr>
        <w:pStyle w:val="8"/>
        <w:numPr>
          <w:ilvl w:val="0"/>
          <w:numId w:val="47"/>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自动启停排水泵的型号、流量、扬程、数量及控制水位。</w:t>
      </w:r>
    </w:p>
    <w:p w14:paraId="2893CAC7">
      <w:pPr>
        <w:pStyle w:val="8"/>
        <w:numPr>
          <w:ilvl w:val="0"/>
          <w:numId w:val="47"/>
        </w:numPr>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应急备用电源与报警系统要求。</w:t>
      </w:r>
    </w:p>
    <w:p w14:paraId="48D7066A">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 施工技术要求</w:t>
      </w:r>
    </w:p>
    <w:p w14:paraId="7C1DED57">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6.1 一般规定</w:t>
      </w:r>
    </w:p>
    <w:p w14:paraId="232724D5">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1）抗浮工程施工单位资质要求。</w:t>
      </w:r>
    </w:p>
    <w:p w14:paraId="2FBCCD88">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2）施工期地下水水位控制标高</w:t>
      </w:r>
    </w:p>
    <w:p w14:paraId="79259F30">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3）施工前应进行基本试验。</w:t>
      </w:r>
    </w:p>
    <w:p w14:paraId="3358EAE6">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4）肥槽回填要求。</w:t>
      </w:r>
    </w:p>
    <w:p w14:paraId="75385A22">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6.2 压重法（散体材料，如采用）</w:t>
      </w:r>
    </w:p>
    <w:p w14:paraId="0DE6CFBA">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1）分层压实要求</w:t>
      </w:r>
    </w:p>
    <w:p w14:paraId="6ABBD255">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2）分层检测要求</w:t>
      </w:r>
    </w:p>
    <w:p w14:paraId="4280F6D2">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6.3 锚杆法（如采用）</w:t>
      </w:r>
    </w:p>
    <w:p w14:paraId="6889BE5D">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1）成孔工艺、垂直度、孔径、孔深允许偏差。</w:t>
      </w:r>
    </w:p>
    <w:p w14:paraId="0758DB18">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2）清孔、杆体制作与安装、注浆工艺要求。</w:t>
      </w:r>
    </w:p>
    <w:p w14:paraId="76D9CB02">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3）关键工序：注浆压力、水泥浆配比、注浆量等。</w:t>
      </w:r>
    </w:p>
    <w:p w14:paraId="1C4DFAC6">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4）防腐施工措施。</w:t>
      </w:r>
    </w:p>
    <w:p w14:paraId="769A38E5">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6.4 锚桩法（如采用）</w:t>
      </w:r>
    </w:p>
    <w:p w14:paraId="1585A786">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1）成孔工艺（长螺旋、旋挖、跟管钻进等）、垂直度、孔径、孔深允许偏差。</w:t>
      </w:r>
    </w:p>
    <w:p w14:paraId="43787CBF">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2）清孔、钢筋笼制作与安装、灌注（后压浆）工艺要求。</w:t>
      </w:r>
    </w:p>
    <w:p w14:paraId="005686A7">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3）关键工序：塌孔控制、充盈系数等。</w:t>
      </w:r>
    </w:p>
    <w:p w14:paraId="1278714A">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4）如兼用抗压，需满足抗压桩施工要求。</w:t>
      </w:r>
    </w:p>
    <w:p w14:paraId="319ED557">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6.5 主动抗浮系统施工（如采用，全专业设计）</w:t>
      </w:r>
    </w:p>
    <w:p w14:paraId="356B27F4">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1）沟、管、井的施工顺序、材料连接、防堵塞措施。</w:t>
      </w:r>
    </w:p>
    <w:p w14:paraId="6AE89447">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2）排水泵安装与调试要求。</w:t>
      </w:r>
    </w:p>
    <w:p w14:paraId="778D636C">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7 试验与检测要求</w:t>
      </w:r>
    </w:p>
    <w:p w14:paraId="062C1B5A">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7.1 基本试验</w:t>
      </w:r>
    </w:p>
    <w:p w14:paraId="6521FB93">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1）确定抗浮锚杆/</w:t>
      </w:r>
      <w:r>
        <w:rPr>
          <w:rFonts w:hint="eastAsia" w:ascii="Times New Roman" w:hAnsi="Times New Roman" w:eastAsia="宋体" w:cs="Times New Roman"/>
          <w:sz w:val="24"/>
          <w:szCs w:val="22"/>
          <w:lang w:eastAsia="zh-CN"/>
        </w:rPr>
        <w:t>抗浮</w:t>
      </w:r>
      <w:r>
        <w:rPr>
          <w:rFonts w:ascii="Times New Roman" w:hAnsi="Times New Roman" w:eastAsia="宋体" w:cs="Times New Roman"/>
          <w:sz w:val="24"/>
          <w:szCs w:val="22"/>
          <w:lang w:eastAsia="zh-CN"/>
        </w:rPr>
        <w:t>桩极限抗拔承载力，明确数量要求。</w:t>
      </w:r>
    </w:p>
    <w:p w14:paraId="63BD12DD">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2）明确检测方法、加载等级、结果判定依据。</w:t>
      </w:r>
    </w:p>
    <w:p w14:paraId="678987AB">
      <w:pPr>
        <w:pStyle w:val="8"/>
        <w:spacing w:line="360" w:lineRule="auto"/>
        <w:ind w:firstLine="960" w:firstLineChars="40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3）由设计单位根据土层情况指定位置。</w:t>
      </w:r>
    </w:p>
    <w:p w14:paraId="22268DBB">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7.2 验收试验</w:t>
      </w:r>
    </w:p>
    <w:p w14:paraId="3C17F3E9">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1）检验</w:t>
      </w:r>
      <w:r>
        <w:rPr>
          <w:rFonts w:hint="eastAsia" w:ascii="Times New Roman" w:hAnsi="Times New Roman" w:eastAsia="宋体" w:cs="Times New Roman"/>
          <w:sz w:val="24"/>
          <w:szCs w:val="22"/>
          <w:lang w:eastAsia="zh-CN"/>
        </w:rPr>
        <w:t>抗浮</w:t>
      </w:r>
      <w:r>
        <w:rPr>
          <w:rFonts w:ascii="Times New Roman" w:hAnsi="Times New Roman" w:eastAsia="宋体" w:cs="Times New Roman"/>
          <w:sz w:val="24"/>
          <w:szCs w:val="22"/>
          <w:lang w:eastAsia="zh-CN"/>
        </w:rPr>
        <w:t>锚杆/</w:t>
      </w:r>
      <w:r>
        <w:rPr>
          <w:rFonts w:hint="eastAsia" w:ascii="Times New Roman" w:hAnsi="Times New Roman" w:eastAsia="宋体" w:cs="Times New Roman"/>
          <w:sz w:val="24"/>
          <w:szCs w:val="22"/>
          <w:lang w:eastAsia="zh-CN"/>
        </w:rPr>
        <w:t>抗浮</w:t>
      </w:r>
      <w:r>
        <w:rPr>
          <w:rFonts w:ascii="Times New Roman" w:hAnsi="Times New Roman" w:eastAsia="宋体" w:cs="Times New Roman"/>
          <w:sz w:val="24"/>
          <w:szCs w:val="22"/>
          <w:lang w:eastAsia="zh-CN"/>
        </w:rPr>
        <w:t>桩的抗拔承载力是否满足设计要求，抽检比例。</w:t>
      </w:r>
    </w:p>
    <w:p w14:paraId="7DF4F53A">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2）明确检测方法、结果判定依据。</w:t>
      </w:r>
    </w:p>
    <w:p w14:paraId="3970AC21">
      <w:pPr>
        <w:pStyle w:val="8"/>
        <w:spacing w:line="360" w:lineRule="auto"/>
        <w:ind w:firstLine="960" w:firstLineChars="40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3</w:t>
      </w:r>
      <w:r>
        <w:rPr>
          <w:rFonts w:ascii="Times New Roman" w:hAnsi="Times New Roman" w:eastAsia="宋体" w:cs="Times New Roman"/>
          <w:sz w:val="24"/>
          <w:szCs w:val="22"/>
          <w:lang w:eastAsia="zh-CN"/>
        </w:rPr>
        <w:t>）</w:t>
      </w:r>
      <w:r>
        <w:rPr>
          <w:rFonts w:hint="eastAsia" w:ascii="Times New Roman" w:hAnsi="Times New Roman" w:eastAsia="宋体" w:cs="Times New Roman"/>
          <w:sz w:val="24"/>
          <w:szCs w:val="22"/>
          <w:lang w:eastAsia="zh-CN"/>
        </w:rPr>
        <w:t>验收试验的受检桩/受检锚杆选择，宜符合下列规定：</w:t>
      </w:r>
    </w:p>
    <w:p w14:paraId="328843C8">
      <w:pPr>
        <w:pStyle w:val="8"/>
        <w:numPr>
          <w:ilvl w:val="0"/>
          <w:numId w:val="48"/>
        </w:numPr>
        <w:spacing w:line="360" w:lineRule="auto"/>
        <w:ind w:firstLine="1320" w:firstLineChars="55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rPr>
        <w:t>设计</w:t>
      </w:r>
      <w:r>
        <w:rPr>
          <w:rFonts w:hint="eastAsia" w:ascii="Times New Roman" w:hAnsi="Times New Roman" w:eastAsia="宋体" w:cs="Times New Roman"/>
          <w:sz w:val="24"/>
          <w:szCs w:val="22"/>
          <w:lang w:eastAsia="zh-CN"/>
        </w:rPr>
        <w:t>方认为重要的</w:t>
      </w:r>
    </w:p>
    <w:p w14:paraId="309D28AC">
      <w:pPr>
        <w:pStyle w:val="8"/>
        <w:numPr>
          <w:ilvl w:val="0"/>
          <w:numId w:val="48"/>
        </w:numPr>
        <w:spacing w:line="360" w:lineRule="auto"/>
        <w:ind w:firstLine="1320" w:firstLineChars="55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施工质量有疑问的；</w:t>
      </w:r>
    </w:p>
    <w:p w14:paraId="182E203C">
      <w:pPr>
        <w:pStyle w:val="8"/>
        <w:numPr>
          <w:ilvl w:val="0"/>
          <w:numId w:val="48"/>
        </w:numPr>
        <w:spacing w:line="360" w:lineRule="auto"/>
        <w:ind w:firstLine="1320" w:firstLineChars="55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局部地基条件出现异常的；</w:t>
      </w:r>
    </w:p>
    <w:p w14:paraId="3C9757CB">
      <w:pPr>
        <w:pStyle w:val="8"/>
        <w:numPr>
          <w:ilvl w:val="0"/>
          <w:numId w:val="48"/>
        </w:numPr>
        <w:spacing w:line="360" w:lineRule="auto"/>
        <w:ind w:firstLine="1320" w:firstLineChars="55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除本条第</w:t>
      </w:r>
      <w:r>
        <w:rPr>
          <w:rFonts w:ascii="Times New Roman" w:hAnsi="Times New Roman" w:eastAsia="宋体" w:cs="Times New Roman"/>
          <w:sz w:val="24"/>
          <w:szCs w:val="22"/>
          <w:lang w:eastAsia="zh-CN"/>
        </w:rPr>
        <w:t>1</w:t>
      </w:r>
      <w:r>
        <w:rPr>
          <w:rFonts w:hint="eastAsia" w:ascii="Times New Roman" w:hAnsi="Times New Roman" w:eastAsia="宋体" w:cs="Times New Roman"/>
          <w:sz w:val="24"/>
          <w:szCs w:val="22"/>
          <w:lang w:eastAsia="zh-CN"/>
        </w:rPr>
        <w:t>～</w:t>
      </w:r>
      <w:r>
        <w:rPr>
          <w:rFonts w:ascii="Times New Roman" w:hAnsi="Times New Roman" w:eastAsia="宋体" w:cs="Times New Roman"/>
          <w:sz w:val="24"/>
          <w:szCs w:val="22"/>
          <w:lang w:eastAsia="zh-CN"/>
        </w:rPr>
        <w:t>3</w:t>
      </w:r>
      <w:r>
        <w:rPr>
          <w:rFonts w:hint="eastAsia" w:ascii="Times New Roman" w:hAnsi="Times New Roman" w:eastAsia="宋体" w:cs="Times New Roman"/>
          <w:sz w:val="24"/>
          <w:szCs w:val="22"/>
          <w:lang w:eastAsia="zh-CN"/>
        </w:rPr>
        <w:t>款指定的受检桩外，其余且宜均匀或随机选择。</w:t>
      </w:r>
    </w:p>
    <w:p w14:paraId="150FD0DA">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7.</w:t>
      </w:r>
      <w:r>
        <w:rPr>
          <w:rFonts w:hint="eastAsia" w:ascii="Times New Roman" w:hAnsi="Times New Roman" w:eastAsia="宋体" w:cs="Times New Roman"/>
          <w:sz w:val="24"/>
          <w:szCs w:val="22"/>
          <w:lang w:eastAsia="zh-CN"/>
        </w:rPr>
        <w:t>3</w:t>
      </w:r>
      <w:r>
        <w:rPr>
          <w:rFonts w:ascii="Times New Roman" w:hAnsi="Times New Roman" w:eastAsia="宋体" w:cs="Times New Roman"/>
          <w:sz w:val="24"/>
          <w:szCs w:val="22"/>
          <w:lang w:eastAsia="zh-CN"/>
        </w:rPr>
        <w:t xml:space="preserve"> </w:t>
      </w:r>
      <w:r>
        <w:rPr>
          <w:rFonts w:hint="eastAsia" w:ascii="Times New Roman" w:hAnsi="Times New Roman" w:eastAsia="宋体" w:cs="Times New Roman"/>
          <w:sz w:val="24"/>
          <w:szCs w:val="22"/>
          <w:lang w:eastAsia="zh-CN"/>
        </w:rPr>
        <w:t>其它</w:t>
      </w:r>
      <w:r>
        <w:rPr>
          <w:rFonts w:ascii="Times New Roman" w:hAnsi="Times New Roman" w:eastAsia="宋体" w:cs="Times New Roman"/>
          <w:sz w:val="24"/>
          <w:szCs w:val="22"/>
          <w:lang w:eastAsia="zh-CN"/>
        </w:rPr>
        <w:t>试验</w:t>
      </w:r>
    </w:p>
    <w:p w14:paraId="1ACC0753">
      <w:pPr>
        <w:pStyle w:val="8"/>
        <w:spacing w:line="360" w:lineRule="auto"/>
        <w:ind w:firstLine="960" w:firstLineChars="400"/>
        <w:rPr>
          <w:rFonts w:ascii="Times New Roman" w:hAnsi="Times New Roman" w:eastAsia="宋体" w:cs="Times New Roman"/>
          <w:sz w:val="24"/>
          <w:szCs w:val="22"/>
          <w:lang w:eastAsia="zh-CN"/>
        </w:rPr>
      </w:pPr>
      <w:r>
        <w:rPr>
          <w:rFonts w:hint="eastAsia" w:ascii="Times New Roman" w:hAnsi="Times New Roman" w:eastAsia="宋体" w:cs="Times New Roman"/>
          <w:sz w:val="24"/>
          <w:szCs w:val="22"/>
          <w:lang w:eastAsia="zh-CN"/>
        </w:rPr>
        <w:t>包括持有荷载试验、蠕变试验等试验，明确</w:t>
      </w:r>
      <w:r>
        <w:rPr>
          <w:rFonts w:ascii="Times New Roman" w:hAnsi="Times New Roman" w:eastAsia="宋体" w:cs="Times New Roman"/>
          <w:sz w:val="24"/>
          <w:szCs w:val="22"/>
          <w:lang w:eastAsia="zh-CN"/>
        </w:rPr>
        <w:t>加载等级、结果判定依据</w:t>
      </w:r>
      <w:r>
        <w:rPr>
          <w:rFonts w:hint="eastAsia" w:ascii="Times New Roman" w:hAnsi="Times New Roman" w:eastAsia="宋体" w:cs="Times New Roman"/>
          <w:sz w:val="24"/>
          <w:szCs w:val="22"/>
          <w:lang w:eastAsia="zh-CN"/>
        </w:rPr>
        <w:t>等。</w:t>
      </w:r>
    </w:p>
    <w:p w14:paraId="2041C39C">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8 长期地下水监测井要求</w:t>
      </w:r>
    </w:p>
    <w:p w14:paraId="15FA03F4">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1）设置地下水位长期监测井数量，各监测井技术参数：编号，具体位置，监测XX层地下水</w:t>
      </w:r>
      <w:r>
        <w:rPr>
          <w:rFonts w:hint="eastAsia" w:ascii="Times New Roman" w:hAnsi="Times New Roman" w:eastAsia="宋体" w:cs="Times New Roman"/>
          <w:sz w:val="24"/>
          <w:szCs w:val="22"/>
          <w:lang w:eastAsia="zh-CN"/>
        </w:rPr>
        <w:t>，井深需进入**层不少于*m</w:t>
      </w:r>
      <w:r>
        <w:rPr>
          <w:rFonts w:ascii="Times New Roman" w:hAnsi="Times New Roman" w:eastAsia="宋体" w:cs="Times New Roman"/>
          <w:sz w:val="24"/>
          <w:szCs w:val="22"/>
          <w:lang w:eastAsia="zh-CN"/>
        </w:rPr>
        <w:t>。</w:t>
      </w:r>
    </w:p>
    <w:p w14:paraId="337657A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2）监测井平面定位详见建筑总平面图。</w:t>
      </w:r>
    </w:p>
    <w:p w14:paraId="5E0E2585">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3）监测井具体要求按照《建设工程地下水监测井建设运营技术指南》执行。</w:t>
      </w:r>
    </w:p>
    <w:p w14:paraId="5FC23675">
      <w:pPr>
        <w:pStyle w:val="8"/>
        <w:spacing w:line="360" w:lineRule="auto"/>
        <w:ind w:firstLine="480" w:firstLineChars="2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9 使用期监测与维护要求</w:t>
      </w:r>
    </w:p>
    <w:p w14:paraId="38B009DC">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1）长期监测建议：建议在代表性位置设置地下水位长期观测孔和抗浮构件应力监测点（如有需要）。</w:t>
      </w:r>
    </w:p>
    <w:p w14:paraId="54771137">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2）地下室周边防止大量积水。</w:t>
      </w:r>
    </w:p>
    <w:p w14:paraId="76DC5214">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3）特殊情况处理：如遇极端天气、周边施工等可能引起水位剧变的情况，应加强巡查。</w:t>
      </w:r>
    </w:p>
    <w:p w14:paraId="7D45C711">
      <w:pPr>
        <w:pStyle w:val="8"/>
        <w:spacing w:line="360" w:lineRule="auto"/>
        <w:ind w:firstLine="960" w:firstLineChars="40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4）主动抗浮日常维护（如采用，全专业设计）</w:t>
      </w:r>
    </w:p>
    <w:p w14:paraId="78F2D67A">
      <w:pPr>
        <w:pStyle w:val="8"/>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排水系统的定期检查、清淤、水泵维护。</w:t>
      </w:r>
    </w:p>
    <w:p w14:paraId="171AF78A">
      <w:pPr>
        <w:pStyle w:val="8"/>
        <w:spacing w:line="360" w:lineRule="auto"/>
        <w:ind w:firstLine="1320" w:firstLineChars="550"/>
        <w:rPr>
          <w:rFonts w:ascii="Times New Roman" w:hAnsi="Times New Roman" w:eastAsia="宋体" w:cs="Times New Roman"/>
          <w:sz w:val="24"/>
          <w:szCs w:val="22"/>
          <w:lang w:eastAsia="zh-CN"/>
        </w:rPr>
      </w:pPr>
      <w:r>
        <w:rPr>
          <w:rFonts w:ascii="Times New Roman" w:hAnsi="Times New Roman" w:eastAsia="宋体" w:cs="Times New Roman"/>
          <w:sz w:val="24"/>
          <w:szCs w:val="22"/>
          <w:lang w:eastAsia="zh-CN"/>
        </w:rPr>
        <w:t>严禁擅自封堵或破坏泄水减压装置。</w:t>
      </w:r>
    </w:p>
    <w:p w14:paraId="00972E4C">
      <w:r>
        <w:br w:type="page"/>
      </w:r>
    </w:p>
    <w:p w14:paraId="42D7BFD3">
      <w:pPr>
        <w:numPr>
          <w:ilvl w:val="0"/>
          <w:numId w:val="43"/>
        </w:numPr>
        <w:spacing w:line="360" w:lineRule="auto"/>
        <w:ind w:firstLine="0"/>
        <w:jc w:val="center"/>
        <w:outlineLvl w:val="0"/>
        <w:rPr>
          <w:rFonts w:eastAsiaTheme="minorEastAsia"/>
          <w:b/>
          <w:bCs/>
          <w:sz w:val="28"/>
          <w:szCs w:val="18"/>
        </w:rPr>
      </w:pPr>
      <w:bookmarkStart w:id="241" w:name="_Toc5844"/>
      <w:bookmarkStart w:id="242" w:name="_Toc11643"/>
      <w:r>
        <w:rPr>
          <w:rFonts w:eastAsiaTheme="minorEastAsia"/>
          <w:b/>
          <w:bCs/>
          <w:sz w:val="28"/>
          <w:szCs w:val="18"/>
        </w:rPr>
        <w:t>抗浮锚杆基本试验</w:t>
      </w:r>
      <w:r>
        <w:rPr>
          <w:rFonts w:hint="eastAsia" w:eastAsiaTheme="minorEastAsia"/>
          <w:b/>
          <w:bCs/>
          <w:sz w:val="28"/>
          <w:szCs w:val="18"/>
        </w:rPr>
        <w:t>与验收试验</w:t>
      </w:r>
      <w:r>
        <w:rPr>
          <w:rFonts w:eastAsiaTheme="minorEastAsia"/>
          <w:b/>
          <w:bCs/>
          <w:sz w:val="28"/>
          <w:szCs w:val="18"/>
        </w:rPr>
        <w:t>要点</w:t>
      </w:r>
      <w:bookmarkEnd w:id="236"/>
      <w:bookmarkEnd w:id="237"/>
      <w:bookmarkEnd w:id="238"/>
      <w:bookmarkEnd w:id="239"/>
      <w:bookmarkEnd w:id="240"/>
      <w:bookmarkEnd w:id="241"/>
      <w:bookmarkEnd w:id="242"/>
    </w:p>
    <w:p w14:paraId="69E6CD8E">
      <w:pPr>
        <w:tabs>
          <w:tab w:val="left" w:pos="0"/>
        </w:tabs>
        <w:spacing w:line="360" w:lineRule="auto"/>
        <w:jc w:val="center"/>
        <w:rPr>
          <w:rFonts w:eastAsiaTheme="minorEastAsia"/>
          <w:b/>
          <w:bCs/>
          <w:sz w:val="24"/>
          <w:szCs w:val="32"/>
        </w:rPr>
      </w:pPr>
      <w:r>
        <w:rPr>
          <w:rFonts w:hint="eastAsia" w:eastAsiaTheme="minorEastAsia"/>
          <w:b/>
          <w:bCs/>
          <w:sz w:val="24"/>
          <w:szCs w:val="32"/>
        </w:rPr>
        <w:t>B</w:t>
      </w:r>
      <w:r>
        <w:rPr>
          <w:rFonts w:eastAsiaTheme="minorEastAsia"/>
          <w:b/>
          <w:bCs/>
          <w:sz w:val="24"/>
          <w:szCs w:val="32"/>
        </w:rPr>
        <w:t>.</w:t>
      </w:r>
      <w:r>
        <w:rPr>
          <w:rFonts w:hint="eastAsia" w:eastAsiaTheme="minorEastAsia"/>
          <w:b/>
          <w:bCs/>
          <w:sz w:val="24"/>
          <w:szCs w:val="32"/>
        </w:rPr>
        <w:t>1</w:t>
      </w:r>
      <w:r>
        <w:rPr>
          <w:rFonts w:eastAsiaTheme="minorEastAsia"/>
          <w:b/>
          <w:bCs/>
          <w:sz w:val="24"/>
          <w:szCs w:val="32"/>
        </w:rPr>
        <w:t xml:space="preserve"> </w:t>
      </w:r>
      <w:r>
        <w:rPr>
          <w:rFonts w:hint="eastAsia" w:eastAsiaTheme="minorEastAsia"/>
          <w:b/>
          <w:bCs/>
          <w:sz w:val="24"/>
          <w:szCs w:val="32"/>
        </w:rPr>
        <w:t>基本试验</w:t>
      </w:r>
    </w:p>
    <w:p w14:paraId="5668A5F6">
      <w:pPr>
        <w:numPr>
          <w:ilvl w:val="0"/>
          <w:numId w:val="49"/>
        </w:numPr>
        <w:spacing w:line="360" w:lineRule="auto"/>
        <w:ind w:firstLine="0"/>
        <w:rPr>
          <w:rFonts w:eastAsiaTheme="minorEastAsia"/>
          <w:sz w:val="24"/>
          <w:szCs w:val="32"/>
        </w:rPr>
      </w:pPr>
      <w:r>
        <w:rPr>
          <w:rFonts w:hint="eastAsia" w:eastAsiaTheme="minorEastAsia"/>
          <w:sz w:val="24"/>
          <w:szCs w:val="32"/>
        </w:rPr>
        <w:t>抗浮锚杆应通过基本试验确定其极限抗拔承载力，基本试验锚杆</w:t>
      </w:r>
      <w:r>
        <w:rPr>
          <w:rFonts w:eastAsiaTheme="minorEastAsia"/>
          <w:sz w:val="24"/>
          <w:szCs w:val="32"/>
        </w:rPr>
        <w:t>顶标高</w:t>
      </w:r>
      <w:r>
        <w:rPr>
          <w:rFonts w:hint="eastAsia" w:eastAsiaTheme="minorEastAsia"/>
          <w:sz w:val="24"/>
          <w:szCs w:val="32"/>
        </w:rPr>
        <w:t>、锚固段长度及自由段长度应与工程锚杆一致，并应采用多循环加卸载试验方法。</w:t>
      </w:r>
    </w:p>
    <w:p w14:paraId="07B3C55B">
      <w:pPr>
        <w:numPr>
          <w:ilvl w:val="0"/>
          <w:numId w:val="49"/>
        </w:numPr>
        <w:spacing w:line="360" w:lineRule="auto"/>
        <w:ind w:firstLine="0"/>
        <w:rPr>
          <w:rFonts w:eastAsiaTheme="minorEastAsia"/>
          <w:sz w:val="24"/>
          <w:szCs w:val="32"/>
        </w:rPr>
      </w:pPr>
      <w:r>
        <w:rPr>
          <w:rFonts w:eastAsiaTheme="minorEastAsia"/>
          <w:sz w:val="24"/>
          <w:szCs w:val="32"/>
        </w:rPr>
        <w:t>同类型抗浮锚杆基本试验数量不少于6根。杆体材料</w:t>
      </w:r>
      <w:r>
        <w:rPr>
          <w:rFonts w:eastAsia="宋体"/>
          <w:sz w:val="24"/>
          <w:szCs w:val="32"/>
        </w:rPr>
        <w:t>采用缓粘结钢绞线时，尚应确定钢绞线粘结后岩土阻力是否能够达到设计要求。</w:t>
      </w:r>
    </w:p>
    <w:p w14:paraId="16A6F89F">
      <w:pPr>
        <w:numPr>
          <w:ilvl w:val="0"/>
          <w:numId w:val="49"/>
        </w:numPr>
        <w:spacing w:line="360" w:lineRule="auto"/>
        <w:ind w:firstLine="0"/>
        <w:rPr>
          <w:rFonts w:eastAsiaTheme="minorEastAsia"/>
          <w:sz w:val="24"/>
          <w:szCs w:val="24"/>
        </w:rPr>
      </w:pPr>
      <w:r>
        <w:rPr>
          <w:rFonts w:eastAsiaTheme="minorEastAsia"/>
          <w:sz w:val="24"/>
          <w:szCs w:val="32"/>
        </w:rPr>
        <w:t>试验用压力表、测力计、位移计等应满足测试要求的精度，加载反力装置选用支座横梁方式，且</w:t>
      </w:r>
      <w:r>
        <w:rPr>
          <w:rFonts w:eastAsiaTheme="minorEastAsia"/>
          <w:sz w:val="24"/>
          <w:szCs w:val="24"/>
        </w:rPr>
        <w:t>支座边与锚杆中心的距离不应小于2.0m。</w:t>
      </w:r>
    </w:p>
    <w:p w14:paraId="1E9CA6F5">
      <w:pPr>
        <w:numPr>
          <w:ilvl w:val="0"/>
          <w:numId w:val="49"/>
        </w:numPr>
        <w:spacing w:line="360" w:lineRule="auto"/>
        <w:ind w:firstLine="0"/>
        <w:rPr>
          <w:rFonts w:eastAsiaTheme="minorEastAsia"/>
          <w:sz w:val="24"/>
          <w:szCs w:val="32"/>
        </w:rPr>
      </w:pPr>
      <w:r>
        <w:rPr>
          <w:rFonts w:eastAsiaTheme="minorEastAsia"/>
          <w:sz w:val="24"/>
          <w:szCs w:val="32"/>
        </w:rPr>
        <w:t>基本试验应采用分级多循环试验方法，基本试验的加荷卸荷、稳定时间、稳定标准应符合现行规范《建筑工程抗浮技术标准》JGJ476的要求。</w:t>
      </w:r>
    </w:p>
    <w:p w14:paraId="7ABDCB82">
      <w:pPr>
        <w:numPr>
          <w:ilvl w:val="0"/>
          <w:numId w:val="49"/>
        </w:numPr>
        <w:spacing w:line="360" w:lineRule="auto"/>
        <w:ind w:firstLine="0"/>
        <w:rPr>
          <w:rFonts w:eastAsiaTheme="minorEastAsia"/>
          <w:sz w:val="24"/>
          <w:szCs w:val="32"/>
        </w:rPr>
      </w:pPr>
      <w:r>
        <w:rPr>
          <w:rFonts w:eastAsiaTheme="minorEastAsia"/>
          <w:sz w:val="24"/>
          <w:szCs w:val="32"/>
        </w:rPr>
        <w:t>出现下列情况之一时，可判定锚杆破坏并终止加载：</w:t>
      </w:r>
    </w:p>
    <w:p w14:paraId="5E353781">
      <w:pPr>
        <w:numPr>
          <w:ilvl w:val="0"/>
          <w:numId w:val="50"/>
        </w:numPr>
        <w:tabs>
          <w:tab w:val="clear" w:pos="420"/>
        </w:tabs>
        <w:spacing w:line="360" w:lineRule="auto"/>
        <w:ind w:left="625" w:hanging="305"/>
        <w:rPr>
          <w:rFonts w:eastAsiaTheme="minorEastAsia"/>
          <w:sz w:val="24"/>
          <w:szCs w:val="24"/>
        </w:rPr>
      </w:pPr>
      <w:r>
        <w:rPr>
          <w:rFonts w:eastAsiaTheme="minorEastAsia"/>
          <w:sz w:val="24"/>
          <w:szCs w:val="24"/>
        </w:rPr>
        <w:t>锚杆筋体断裂或从锚固体中拔出；</w:t>
      </w:r>
    </w:p>
    <w:p w14:paraId="3A9F44AD">
      <w:pPr>
        <w:numPr>
          <w:ilvl w:val="0"/>
          <w:numId w:val="50"/>
        </w:numPr>
        <w:tabs>
          <w:tab w:val="clear" w:pos="420"/>
        </w:tabs>
        <w:spacing w:line="360" w:lineRule="auto"/>
        <w:ind w:left="625" w:hanging="305"/>
        <w:rPr>
          <w:rFonts w:eastAsiaTheme="minorEastAsia"/>
          <w:sz w:val="24"/>
          <w:szCs w:val="24"/>
        </w:rPr>
      </w:pPr>
      <w:r>
        <w:rPr>
          <w:rFonts w:eastAsiaTheme="minorEastAsia"/>
          <w:sz w:val="24"/>
          <w:szCs w:val="24"/>
        </w:rPr>
        <w:t>荷载无法维持稳定或锚头位移6h内不收敛；</w:t>
      </w:r>
    </w:p>
    <w:p w14:paraId="0B1A8182">
      <w:pPr>
        <w:numPr>
          <w:ilvl w:val="0"/>
          <w:numId w:val="50"/>
        </w:numPr>
        <w:tabs>
          <w:tab w:val="clear" w:pos="420"/>
        </w:tabs>
        <w:spacing w:line="360" w:lineRule="auto"/>
        <w:ind w:left="625" w:hanging="305"/>
        <w:rPr>
          <w:rFonts w:eastAsiaTheme="minorEastAsia"/>
          <w:sz w:val="24"/>
          <w:szCs w:val="24"/>
        </w:rPr>
      </w:pPr>
      <w:r>
        <w:rPr>
          <w:rFonts w:eastAsiaTheme="minorEastAsia"/>
          <w:sz w:val="24"/>
          <w:szCs w:val="24"/>
        </w:rPr>
        <w:t>后一级荷载产生的位移增量达到或超过前一级的5倍；</w:t>
      </w:r>
    </w:p>
    <w:p w14:paraId="12E717D8">
      <w:pPr>
        <w:numPr>
          <w:ilvl w:val="0"/>
          <w:numId w:val="50"/>
        </w:numPr>
        <w:tabs>
          <w:tab w:val="clear" w:pos="420"/>
        </w:tabs>
        <w:spacing w:line="360" w:lineRule="auto"/>
        <w:ind w:left="625" w:hanging="305"/>
        <w:rPr>
          <w:rFonts w:eastAsiaTheme="minorEastAsia"/>
          <w:sz w:val="24"/>
          <w:szCs w:val="24"/>
        </w:rPr>
      </w:pPr>
      <w:r>
        <w:rPr>
          <w:rFonts w:eastAsiaTheme="minorEastAsia"/>
          <w:sz w:val="24"/>
          <w:szCs w:val="24"/>
        </w:rPr>
        <w:t>非预应力锚杆锚头累计总位移量大于60mm。</w:t>
      </w:r>
    </w:p>
    <w:p w14:paraId="468A751D">
      <w:pPr>
        <w:numPr>
          <w:ilvl w:val="0"/>
          <w:numId w:val="49"/>
        </w:numPr>
        <w:spacing w:line="360" w:lineRule="auto"/>
        <w:ind w:firstLine="0"/>
        <w:rPr>
          <w:rFonts w:eastAsia="宋体"/>
          <w:sz w:val="24"/>
          <w:szCs w:val="32"/>
        </w:rPr>
      </w:pPr>
      <w:r>
        <w:rPr>
          <w:rFonts w:eastAsia="宋体"/>
          <w:sz w:val="24"/>
          <w:szCs w:val="32"/>
        </w:rPr>
        <w:t>加载至最大加载值后如未出现第B.1.5条规定的终止加载情况，如条件具备，则应继续分级加载进行下一循环试验直至破坏。</w:t>
      </w:r>
    </w:p>
    <w:p w14:paraId="48BBA37D">
      <w:pPr>
        <w:numPr>
          <w:ilvl w:val="0"/>
          <w:numId w:val="49"/>
        </w:numPr>
        <w:spacing w:line="360" w:lineRule="auto"/>
        <w:ind w:firstLine="0"/>
        <w:rPr>
          <w:rFonts w:eastAsiaTheme="minorEastAsia"/>
          <w:sz w:val="24"/>
          <w:szCs w:val="24"/>
        </w:rPr>
      </w:pPr>
      <w:r>
        <w:rPr>
          <w:rFonts w:eastAsiaTheme="minorEastAsia"/>
          <w:sz w:val="24"/>
          <w:szCs w:val="32"/>
        </w:rPr>
        <w:t>预应力</w:t>
      </w:r>
      <w:r>
        <w:rPr>
          <w:rFonts w:eastAsia="宋体"/>
          <w:sz w:val="24"/>
          <w:szCs w:val="32"/>
        </w:rPr>
        <w:t>锚杆、缓粘结锚杆应进行自由段长度符合性验算，最大加载时</w:t>
      </w:r>
      <w:r>
        <w:rPr>
          <w:rFonts w:eastAsiaTheme="minorEastAsia"/>
          <w:sz w:val="24"/>
          <w:szCs w:val="24"/>
        </w:rPr>
        <w:t>锚杆弹性位移不应超过杆体自由段长度理论弹性伸长值的±20%。</w:t>
      </w:r>
    </w:p>
    <w:p w14:paraId="617BD6F6">
      <w:pPr>
        <w:numPr>
          <w:ilvl w:val="0"/>
          <w:numId w:val="49"/>
        </w:numPr>
        <w:spacing w:line="360" w:lineRule="auto"/>
        <w:ind w:firstLine="0"/>
        <w:rPr>
          <w:rFonts w:eastAsia="宋体"/>
          <w:sz w:val="24"/>
          <w:szCs w:val="32"/>
        </w:rPr>
      </w:pPr>
      <w:r>
        <w:rPr>
          <w:rFonts w:eastAsia="宋体"/>
          <w:sz w:val="24"/>
          <w:szCs w:val="32"/>
        </w:rPr>
        <w:t>抗浮锚杆极限抗拔承载力取值应符合下列规定：</w:t>
      </w:r>
    </w:p>
    <w:p w14:paraId="66F2926D">
      <w:pPr>
        <w:numPr>
          <w:ilvl w:val="0"/>
          <w:numId w:val="51"/>
        </w:numPr>
        <w:tabs>
          <w:tab w:val="clear" w:pos="420"/>
        </w:tabs>
        <w:spacing w:line="360" w:lineRule="auto"/>
        <w:ind w:left="5" w:firstLine="315"/>
        <w:rPr>
          <w:rFonts w:eastAsiaTheme="minorEastAsia"/>
          <w:sz w:val="24"/>
          <w:szCs w:val="24"/>
        </w:rPr>
      </w:pPr>
      <w:r>
        <w:rPr>
          <w:rFonts w:eastAsia="宋体"/>
          <w:sz w:val="24"/>
          <w:szCs w:val="32"/>
        </w:rPr>
        <w:t>对于</w:t>
      </w:r>
      <w:r>
        <w:rPr>
          <w:rFonts w:eastAsiaTheme="minorEastAsia"/>
          <w:sz w:val="24"/>
          <w:szCs w:val="24"/>
        </w:rPr>
        <w:t>预应力</w:t>
      </w:r>
      <w:r>
        <w:rPr>
          <w:rFonts w:eastAsia="宋体"/>
          <w:sz w:val="24"/>
          <w:szCs w:val="32"/>
        </w:rPr>
        <w:t>锚杆，当自由段长度符合性验算通过时，如达到了第B.1.5条</w:t>
      </w:r>
      <w:r>
        <w:rPr>
          <w:rFonts w:eastAsiaTheme="minorEastAsia"/>
          <w:sz w:val="24"/>
          <w:szCs w:val="24"/>
        </w:rPr>
        <w:t>1～3款规定的破坏标准，取破坏荷载的前一级荷载，否则可取最大试验荷载；</w:t>
      </w:r>
    </w:p>
    <w:p w14:paraId="02E8517E">
      <w:pPr>
        <w:numPr>
          <w:ilvl w:val="0"/>
          <w:numId w:val="51"/>
        </w:numPr>
        <w:tabs>
          <w:tab w:val="clear" w:pos="420"/>
        </w:tabs>
        <w:spacing w:line="360" w:lineRule="auto"/>
        <w:ind w:left="5" w:firstLine="315"/>
        <w:rPr>
          <w:rFonts w:eastAsiaTheme="minorEastAsia"/>
          <w:sz w:val="24"/>
          <w:szCs w:val="24"/>
        </w:rPr>
      </w:pPr>
      <w:r>
        <w:rPr>
          <w:rFonts w:eastAsiaTheme="minorEastAsia"/>
          <w:sz w:val="24"/>
          <w:szCs w:val="24"/>
        </w:rPr>
        <w:t>对于非预应力锚杆，取</w:t>
      </w:r>
      <w:r>
        <w:rPr>
          <w:rFonts w:eastAsia="宋体"/>
          <w:sz w:val="24"/>
          <w:szCs w:val="32"/>
        </w:rPr>
        <w:t>第B.1.5条</w:t>
      </w:r>
      <w:r>
        <w:rPr>
          <w:rFonts w:eastAsiaTheme="minorEastAsia"/>
          <w:sz w:val="24"/>
          <w:szCs w:val="24"/>
        </w:rPr>
        <w:t>1～3款规定的破坏荷载的前一级荷载与锚头位移</w:t>
      </w:r>
      <w:r>
        <w:rPr>
          <w:rFonts w:eastAsiaTheme="minorEastAsia"/>
          <w:i/>
          <w:iCs/>
          <w:sz w:val="24"/>
          <w:szCs w:val="24"/>
        </w:rPr>
        <w:t>s</w:t>
      </w:r>
      <w:r>
        <w:rPr>
          <w:rFonts w:eastAsiaTheme="minorEastAsia"/>
          <w:sz w:val="24"/>
          <w:szCs w:val="24"/>
        </w:rPr>
        <w:t>=30mm对应荷载的前一级荷载之间的小值。</w:t>
      </w:r>
    </w:p>
    <w:p w14:paraId="258B05D9">
      <w:pPr>
        <w:numPr>
          <w:ilvl w:val="0"/>
          <w:numId w:val="49"/>
        </w:numPr>
        <w:spacing w:line="360" w:lineRule="auto"/>
        <w:ind w:firstLine="0"/>
        <w:rPr>
          <w:rFonts w:eastAsia="宋体"/>
          <w:sz w:val="24"/>
          <w:szCs w:val="32"/>
        </w:rPr>
      </w:pPr>
      <w:r>
        <w:rPr>
          <w:rFonts w:eastAsia="宋体"/>
          <w:sz w:val="24"/>
          <w:szCs w:val="32"/>
        </w:rPr>
        <w:t>对参加统计的</w:t>
      </w:r>
      <w:r>
        <w:rPr>
          <w:rFonts w:eastAsiaTheme="minorEastAsia"/>
          <w:sz w:val="24"/>
          <w:szCs w:val="32"/>
        </w:rPr>
        <w:t>试验</w:t>
      </w:r>
      <w:r>
        <w:rPr>
          <w:rFonts w:eastAsia="宋体"/>
          <w:sz w:val="24"/>
          <w:szCs w:val="32"/>
        </w:rPr>
        <w:t>锚杆，当极差不超过平均值的30%时，可取最小值为该工程锚杆极限承载力标准值；当极差超过平均值的30%时，应分析原因，结合施工工艺、地基条件等工程具体情况综合确定。</w:t>
      </w:r>
    </w:p>
    <w:p w14:paraId="616C1CB7">
      <w:pPr>
        <w:spacing w:line="360" w:lineRule="auto"/>
        <w:jc w:val="center"/>
        <w:rPr>
          <w:rFonts w:eastAsiaTheme="minorEastAsia"/>
          <w:b/>
          <w:bCs/>
          <w:sz w:val="24"/>
          <w:szCs w:val="32"/>
        </w:rPr>
      </w:pPr>
      <w:r>
        <w:rPr>
          <w:rFonts w:eastAsiaTheme="minorEastAsia"/>
          <w:b/>
          <w:bCs/>
          <w:sz w:val="24"/>
          <w:szCs w:val="32"/>
        </w:rPr>
        <w:t>B.2 验收试验</w:t>
      </w:r>
    </w:p>
    <w:p w14:paraId="0B9682E2">
      <w:pPr>
        <w:numPr>
          <w:ilvl w:val="0"/>
          <w:numId w:val="52"/>
        </w:numPr>
        <w:spacing w:line="360" w:lineRule="auto"/>
        <w:ind w:firstLine="0"/>
        <w:rPr>
          <w:rFonts w:eastAsia="宋体"/>
          <w:sz w:val="24"/>
          <w:szCs w:val="32"/>
        </w:rPr>
      </w:pPr>
      <w:r>
        <w:rPr>
          <w:rFonts w:eastAsia="宋体"/>
          <w:sz w:val="24"/>
          <w:szCs w:val="32"/>
        </w:rPr>
        <w:t>验收试验的锚杆数量不少于锚杆总数的5%。</w:t>
      </w:r>
    </w:p>
    <w:p w14:paraId="2827C8E2">
      <w:pPr>
        <w:numPr>
          <w:ilvl w:val="0"/>
          <w:numId w:val="52"/>
        </w:numPr>
        <w:spacing w:line="360" w:lineRule="auto"/>
        <w:ind w:firstLine="0"/>
        <w:rPr>
          <w:rFonts w:eastAsia="宋体"/>
          <w:sz w:val="24"/>
          <w:szCs w:val="32"/>
        </w:rPr>
      </w:pPr>
      <w:r>
        <w:rPr>
          <w:rFonts w:eastAsia="宋体"/>
          <w:sz w:val="24"/>
          <w:szCs w:val="32"/>
        </w:rPr>
        <w:t>锚杆验收试验最大加载不低于锚杆设计承载力特征值的2.0倍。</w:t>
      </w:r>
    </w:p>
    <w:p w14:paraId="19524319">
      <w:pPr>
        <w:numPr>
          <w:ilvl w:val="0"/>
          <w:numId w:val="52"/>
        </w:numPr>
        <w:spacing w:line="360" w:lineRule="auto"/>
        <w:ind w:firstLine="0"/>
        <w:rPr>
          <w:rFonts w:eastAsia="宋体"/>
          <w:sz w:val="24"/>
          <w:szCs w:val="32"/>
        </w:rPr>
      </w:pPr>
      <w:r>
        <w:rPr>
          <w:rFonts w:eastAsia="宋体"/>
          <w:sz w:val="24"/>
          <w:szCs w:val="32"/>
        </w:rPr>
        <w:t>验收试验的加荷、持荷、卸荷和稳定时间应符合现行规范《建筑工程抗浮技术标准》JGJ476的要求。</w:t>
      </w:r>
    </w:p>
    <w:p w14:paraId="03E4C404">
      <w:pPr>
        <w:numPr>
          <w:ilvl w:val="0"/>
          <w:numId w:val="52"/>
        </w:numPr>
        <w:spacing w:line="360" w:lineRule="auto"/>
        <w:ind w:firstLine="0"/>
        <w:rPr>
          <w:rFonts w:eastAsia="宋体"/>
          <w:sz w:val="24"/>
          <w:szCs w:val="32"/>
        </w:rPr>
      </w:pPr>
      <w:r>
        <w:rPr>
          <w:rFonts w:eastAsia="宋体"/>
          <w:sz w:val="24"/>
          <w:szCs w:val="32"/>
        </w:rPr>
        <w:t>验收试验最后一级荷载作用下第1min~10min 锚头位移增量不应大于1mm；当超过时，第6min~60min 内锚头位移增量不大于2mm。</w:t>
      </w:r>
    </w:p>
    <w:p w14:paraId="7A408E30">
      <w:pPr>
        <w:numPr>
          <w:ilvl w:val="0"/>
          <w:numId w:val="52"/>
        </w:numPr>
        <w:spacing w:line="360" w:lineRule="auto"/>
        <w:ind w:firstLine="0"/>
        <w:rPr>
          <w:rFonts w:eastAsia="宋体"/>
          <w:sz w:val="24"/>
          <w:szCs w:val="32"/>
        </w:rPr>
      </w:pPr>
      <w:r>
        <w:rPr>
          <w:rFonts w:eastAsia="宋体"/>
          <w:sz w:val="24"/>
          <w:szCs w:val="32"/>
        </w:rPr>
        <w:t>预应力锚杆、缓粘结锚杆应进行自由段长度符合性验算，最大加载时锚杆弹性位移不应超过杆体自由段长度理论弹性伸长值的±20%。</w:t>
      </w:r>
    </w:p>
    <w:p w14:paraId="199BC53F">
      <w:pPr>
        <w:numPr>
          <w:ilvl w:val="0"/>
          <w:numId w:val="52"/>
        </w:numPr>
        <w:spacing w:line="360" w:lineRule="auto"/>
        <w:ind w:firstLine="0"/>
        <w:rPr>
          <w:rFonts w:eastAsia="宋体"/>
          <w:sz w:val="24"/>
          <w:szCs w:val="32"/>
        </w:rPr>
      </w:pPr>
      <w:r>
        <w:rPr>
          <w:rFonts w:eastAsia="宋体"/>
          <w:sz w:val="24"/>
          <w:szCs w:val="32"/>
        </w:rPr>
        <w:t>非预应力锚杆验收试验锚头总位移量小于30mm，且未超过设计允许值。</w:t>
      </w:r>
    </w:p>
    <w:p w14:paraId="07EAB478">
      <w:pPr>
        <w:spacing w:line="360" w:lineRule="auto"/>
        <w:jc w:val="center"/>
        <w:rPr>
          <w:rFonts w:eastAsiaTheme="minorEastAsia"/>
          <w:b/>
          <w:bCs/>
          <w:sz w:val="24"/>
          <w:szCs w:val="32"/>
        </w:rPr>
      </w:pPr>
      <w:r>
        <w:rPr>
          <w:rFonts w:eastAsiaTheme="minorEastAsia"/>
          <w:b/>
          <w:bCs/>
          <w:sz w:val="24"/>
          <w:szCs w:val="32"/>
        </w:rPr>
        <w:t>B.3 持有荷载试验</w:t>
      </w:r>
    </w:p>
    <w:p w14:paraId="521A0402">
      <w:pPr>
        <w:numPr>
          <w:ilvl w:val="0"/>
          <w:numId w:val="53"/>
        </w:numPr>
        <w:spacing w:line="360" w:lineRule="auto"/>
        <w:rPr>
          <w:rFonts w:eastAsia="宋体"/>
          <w:sz w:val="24"/>
          <w:szCs w:val="32"/>
        </w:rPr>
      </w:pPr>
      <w:r>
        <w:rPr>
          <w:rFonts w:eastAsia="宋体"/>
          <w:sz w:val="24"/>
          <w:szCs w:val="32"/>
        </w:rPr>
        <w:t>持有荷载试验用于检验锚杆锁定力。持有荷载试验的锚杆数量不少于锚杆总数的5%，且不少于5根。</w:t>
      </w:r>
    </w:p>
    <w:p w14:paraId="4B18A534">
      <w:pPr>
        <w:numPr>
          <w:ilvl w:val="0"/>
          <w:numId w:val="53"/>
        </w:numPr>
        <w:spacing w:line="360" w:lineRule="auto"/>
        <w:rPr>
          <w:rFonts w:eastAsia="宋体"/>
          <w:sz w:val="24"/>
          <w:szCs w:val="32"/>
        </w:rPr>
      </w:pPr>
      <w:r>
        <w:rPr>
          <w:rFonts w:eastAsia="宋体"/>
          <w:sz w:val="24"/>
          <w:szCs w:val="32"/>
        </w:rPr>
        <w:t>最大试验荷载宜为设计锁定荷载的1.2 倍。</w:t>
      </w:r>
    </w:p>
    <w:p w14:paraId="0B86ABFD">
      <w:pPr>
        <w:numPr>
          <w:ilvl w:val="0"/>
          <w:numId w:val="53"/>
        </w:numPr>
        <w:spacing w:line="360" w:lineRule="auto"/>
        <w:rPr>
          <w:rFonts w:eastAsia="宋体"/>
          <w:sz w:val="24"/>
          <w:szCs w:val="32"/>
        </w:rPr>
      </w:pPr>
      <w:r>
        <w:rPr>
          <w:rFonts w:eastAsia="宋体"/>
          <w:sz w:val="24"/>
          <w:szCs w:val="32"/>
        </w:rPr>
        <w:t>试验应分级加载。分级荷载宜为设计锁定荷载的0.6、0.7、0.8、0.85、0.9、0.95、1.0、1.05、1.1、1.15 及1.2 倍。</w:t>
      </w:r>
    </w:p>
    <w:p w14:paraId="4880B232">
      <w:pPr>
        <w:numPr>
          <w:ilvl w:val="0"/>
          <w:numId w:val="53"/>
        </w:numPr>
        <w:spacing w:line="360" w:lineRule="auto"/>
        <w:rPr>
          <w:rFonts w:eastAsia="宋体"/>
          <w:sz w:val="24"/>
          <w:szCs w:val="32"/>
        </w:rPr>
      </w:pPr>
      <w:r>
        <w:rPr>
          <w:rFonts w:eastAsia="宋体"/>
          <w:sz w:val="24"/>
          <w:szCs w:val="32"/>
        </w:rPr>
        <w:t>每级荷载持载时间宜为2min。</w:t>
      </w:r>
    </w:p>
    <w:p w14:paraId="0C41053A">
      <w:pPr>
        <w:numPr>
          <w:ilvl w:val="0"/>
          <w:numId w:val="53"/>
        </w:numPr>
        <w:spacing w:line="360" w:lineRule="auto"/>
        <w:rPr>
          <w:rFonts w:eastAsia="宋体"/>
          <w:sz w:val="24"/>
          <w:szCs w:val="32"/>
        </w:rPr>
      </w:pPr>
      <w:r>
        <w:rPr>
          <w:rFonts w:eastAsia="宋体"/>
          <w:sz w:val="24"/>
          <w:szCs w:val="32"/>
        </w:rPr>
        <w:t>判断锚头（锚夹具或垫板）有明显松动后宜再加载2级后停止加载，否则应一直加载到最大试验荷载。</w:t>
      </w:r>
    </w:p>
    <w:p w14:paraId="35724C7A">
      <w:pPr>
        <w:numPr>
          <w:ilvl w:val="0"/>
          <w:numId w:val="53"/>
        </w:numPr>
        <w:spacing w:line="360" w:lineRule="auto"/>
        <w:rPr>
          <w:rFonts w:eastAsia="宋体"/>
          <w:sz w:val="24"/>
          <w:szCs w:val="32"/>
        </w:rPr>
      </w:pPr>
      <w:r>
        <w:rPr>
          <w:rFonts w:eastAsia="宋体"/>
          <w:sz w:val="24"/>
          <w:szCs w:val="32"/>
        </w:rPr>
        <w:t>卸载过程中宜重新锁定。</w:t>
      </w:r>
    </w:p>
    <w:p w14:paraId="7CECA5F4">
      <w:pPr>
        <w:numPr>
          <w:ilvl w:val="0"/>
          <w:numId w:val="53"/>
        </w:numPr>
        <w:spacing w:line="360" w:lineRule="auto"/>
        <w:rPr>
          <w:rFonts w:eastAsia="宋体"/>
          <w:sz w:val="24"/>
          <w:szCs w:val="32"/>
        </w:rPr>
      </w:pPr>
      <w:r>
        <w:rPr>
          <w:rFonts w:eastAsia="宋体"/>
          <w:sz w:val="24"/>
          <w:szCs w:val="32"/>
        </w:rPr>
        <w:t>应取锚头明显松动时的前一级荷载为锚杆持有荷载。</w:t>
      </w:r>
    </w:p>
    <w:p w14:paraId="1DA78657">
      <w:pPr>
        <w:spacing w:line="360" w:lineRule="auto"/>
        <w:jc w:val="center"/>
        <w:rPr>
          <w:rFonts w:eastAsiaTheme="minorEastAsia"/>
          <w:b/>
          <w:bCs/>
          <w:sz w:val="24"/>
          <w:szCs w:val="32"/>
        </w:rPr>
      </w:pPr>
      <w:r>
        <w:rPr>
          <w:rFonts w:eastAsiaTheme="minorEastAsia"/>
          <w:b/>
          <w:bCs/>
          <w:sz w:val="24"/>
          <w:szCs w:val="32"/>
        </w:rPr>
        <w:t>B.4 蠕变试验</w:t>
      </w:r>
    </w:p>
    <w:p w14:paraId="3ED98575">
      <w:pPr>
        <w:numPr>
          <w:ilvl w:val="0"/>
          <w:numId w:val="54"/>
        </w:numPr>
        <w:spacing w:line="360" w:lineRule="auto"/>
        <w:rPr>
          <w:rFonts w:eastAsia="宋体"/>
          <w:sz w:val="24"/>
          <w:szCs w:val="32"/>
        </w:rPr>
      </w:pPr>
      <w:r>
        <w:rPr>
          <w:rFonts w:eastAsia="宋体"/>
          <w:sz w:val="24"/>
          <w:szCs w:val="32"/>
        </w:rPr>
        <w:t>蠕变试验用于确定锚杆的荷载变形随时间变化特性，蠕变试验数量不少于6根。</w:t>
      </w:r>
    </w:p>
    <w:p w14:paraId="39E1A8C7">
      <w:pPr>
        <w:numPr>
          <w:ilvl w:val="0"/>
          <w:numId w:val="54"/>
        </w:numPr>
        <w:spacing w:line="360" w:lineRule="auto"/>
        <w:rPr>
          <w:rFonts w:eastAsiaTheme="minorEastAsia"/>
          <w:sz w:val="24"/>
          <w:szCs w:val="32"/>
        </w:rPr>
      </w:pPr>
      <w:r>
        <w:rPr>
          <w:rFonts w:eastAsiaTheme="minorEastAsia"/>
          <w:sz w:val="24"/>
          <w:szCs w:val="32"/>
        </w:rPr>
        <w:t>蠕变试验的最大加载及加荷分级应符合现行规范《建筑工程抗浮技术标准》JGJ476的要求。</w:t>
      </w:r>
    </w:p>
    <w:p w14:paraId="2114BAE1">
      <w:pPr>
        <w:numPr>
          <w:ilvl w:val="0"/>
          <w:numId w:val="54"/>
        </w:numPr>
        <w:spacing w:line="360" w:lineRule="auto"/>
        <w:rPr>
          <w:rFonts w:eastAsiaTheme="minorEastAsia"/>
          <w:sz w:val="24"/>
          <w:szCs w:val="32"/>
        </w:rPr>
      </w:pPr>
      <w:r>
        <w:rPr>
          <w:rFonts w:eastAsiaTheme="minorEastAsia"/>
          <w:sz w:val="24"/>
          <w:szCs w:val="32"/>
        </w:rPr>
        <w:t>蠕变试验每级观测时间不少于120min，按第5min、15 min、30 min、45 min、60min测读锚头位移量，以后每隔30min测读一次锚头位移量。总观测时间不超过360min。</w:t>
      </w:r>
    </w:p>
    <w:p w14:paraId="33520263">
      <w:pPr>
        <w:numPr>
          <w:ilvl w:val="0"/>
          <w:numId w:val="54"/>
        </w:numPr>
        <w:spacing w:line="360" w:lineRule="auto"/>
        <w:rPr>
          <w:rFonts w:eastAsia="宋体"/>
          <w:sz w:val="24"/>
          <w:szCs w:val="32"/>
        </w:rPr>
      </w:pPr>
      <w:r>
        <w:rPr>
          <w:rFonts w:eastAsia="宋体"/>
          <w:sz w:val="24"/>
          <w:szCs w:val="32"/>
        </w:rPr>
        <w:t>应按荷载-时间-蠕变量整理，蠕变系数由下式计算：</w:t>
      </w:r>
    </w:p>
    <w:p w14:paraId="6C324FBA">
      <w:pPr>
        <w:adjustRightInd w:val="0"/>
        <w:snapToGrid w:val="0"/>
        <w:spacing w:before="156" w:beforeLines="50" w:line="360" w:lineRule="auto"/>
        <w:jc w:val="center"/>
        <w:rPr>
          <w:rFonts w:eastAsia="宋体"/>
          <w:sz w:val="24"/>
          <w:szCs w:val="24"/>
        </w:rPr>
      </w:pPr>
      <w:r>
        <w:rPr>
          <w:rFonts w:eastAsia="宋体"/>
          <w:sz w:val="24"/>
          <w:szCs w:val="24"/>
        </w:rPr>
        <w:object>
          <v:shape id="_x0000_i1040" o:spt="75" type="#_x0000_t75" style="height:33.8pt;width:79.5pt;" o:ole="t" filled="f" o:preferrelative="t" stroked="f" coordsize="21600,21600">
            <v:path/>
            <v:fill on="f" focussize="0,0"/>
            <v:stroke on="f" joinstyle="miter"/>
            <v:imagedata r:id="rId43" o:title=""/>
            <o:lock v:ext="edit" aspectratio="t"/>
            <w10:wrap type="none"/>
            <w10:anchorlock/>
          </v:shape>
          <o:OLEObject Type="Embed" ProgID="Equation.3" ShapeID="_x0000_i1040" DrawAspect="Content" ObjectID="_1468075740" r:id="rId42">
            <o:LockedField>false</o:LockedField>
          </o:OLEObject>
        </w:object>
      </w:r>
      <w:r>
        <w:rPr>
          <w:rFonts w:eastAsia="宋体"/>
          <w:sz w:val="24"/>
          <w:szCs w:val="24"/>
        </w:rPr>
        <w:t xml:space="preserve"> </w:t>
      </w:r>
    </w:p>
    <w:p w14:paraId="61298283">
      <w:pPr>
        <w:adjustRightInd w:val="0"/>
        <w:snapToGrid w:val="0"/>
        <w:spacing w:before="156" w:beforeLines="50" w:line="360" w:lineRule="auto"/>
        <w:rPr>
          <w:rFonts w:eastAsia="宋体"/>
          <w:sz w:val="24"/>
          <w:szCs w:val="24"/>
        </w:rPr>
      </w:pPr>
      <w:r>
        <w:rPr>
          <w:rFonts w:eastAsia="宋体"/>
          <w:sz w:val="24"/>
          <w:szCs w:val="24"/>
        </w:rPr>
        <w:t>式中：</w:t>
      </w:r>
      <w:r>
        <w:rPr>
          <w:rFonts w:eastAsia="宋体"/>
          <w:i/>
          <w:iCs/>
          <w:sz w:val="24"/>
          <w:szCs w:val="24"/>
        </w:rPr>
        <w:t>s</w:t>
      </w:r>
      <w:r>
        <w:rPr>
          <w:rFonts w:eastAsia="宋体"/>
          <w:sz w:val="24"/>
          <w:szCs w:val="24"/>
          <w:vertAlign w:val="subscript"/>
        </w:rPr>
        <w:t>1</w:t>
      </w:r>
      <w:r>
        <w:rPr>
          <w:rFonts w:eastAsia="宋体"/>
          <w:sz w:val="24"/>
          <w:szCs w:val="24"/>
        </w:rPr>
        <w:t>——</w:t>
      </w:r>
      <w:r>
        <w:rPr>
          <w:rFonts w:eastAsia="宋体"/>
          <w:i/>
          <w:iCs/>
          <w:sz w:val="24"/>
          <w:szCs w:val="24"/>
        </w:rPr>
        <w:t>t</w:t>
      </w:r>
      <w:r>
        <w:rPr>
          <w:rFonts w:eastAsia="宋体"/>
          <w:sz w:val="24"/>
          <w:szCs w:val="24"/>
          <w:vertAlign w:val="subscript"/>
        </w:rPr>
        <w:t>1</w:t>
      </w:r>
      <w:r>
        <w:rPr>
          <w:rFonts w:eastAsia="宋体"/>
          <w:sz w:val="24"/>
          <w:szCs w:val="24"/>
        </w:rPr>
        <w:t>时所测得的蠕变量（mm）；</w:t>
      </w:r>
    </w:p>
    <w:p w14:paraId="1080C3D1">
      <w:pPr>
        <w:adjustRightInd w:val="0"/>
        <w:snapToGrid w:val="0"/>
        <w:spacing w:before="156" w:beforeLines="50" w:line="360" w:lineRule="auto"/>
        <w:ind w:firstLine="720" w:firstLineChars="300"/>
        <w:rPr>
          <w:rFonts w:eastAsia="宋体"/>
          <w:sz w:val="24"/>
          <w:szCs w:val="24"/>
        </w:rPr>
      </w:pPr>
      <w:r>
        <w:rPr>
          <w:rFonts w:eastAsia="宋体"/>
          <w:i/>
          <w:iCs/>
          <w:sz w:val="24"/>
          <w:szCs w:val="24"/>
        </w:rPr>
        <w:t>s</w:t>
      </w:r>
      <w:r>
        <w:rPr>
          <w:rFonts w:eastAsia="宋体"/>
          <w:sz w:val="24"/>
          <w:szCs w:val="24"/>
          <w:vertAlign w:val="subscript"/>
        </w:rPr>
        <w:t>2</w:t>
      </w:r>
      <w:r>
        <w:rPr>
          <w:rFonts w:eastAsia="宋体"/>
          <w:sz w:val="24"/>
          <w:szCs w:val="24"/>
        </w:rPr>
        <w:t>——</w:t>
      </w:r>
      <w:r>
        <w:rPr>
          <w:rFonts w:eastAsia="宋体"/>
          <w:i/>
          <w:iCs/>
          <w:sz w:val="24"/>
          <w:szCs w:val="24"/>
        </w:rPr>
        <w:t>t</w:t>
      </w:r>
      <w:r>
        <w:rPr>
          <w:rFonts w:eastAsia="宋体"/>
          <w:sz w:val="24"/>
          <w:szCs w:val="24"/>
          <w:vertAlign w:val="subscript"/>
        </w:rPr>
        <w:t>2</w:t>
      </w:r>
      <w:r>
        <w:rPr>
          <w:rFonts w:eastAsia="宋体"/>
          <w:sz w:val="24"/>
          <w:szCs w:val="24"/>
        </w:rPr>
        <w:t>时所测得的蠕变量（mm）。</w:t>
      </w:r>
    </w:p>
    <w:p w14:paraId="36E4F5CE">
      <w:pPr>
        <w:tabs>
          <w:tab w:val="left" w:pos="0"/>
        </w:tabs>
        <w:spacing w:line="360" w:lineRule="auto"/>
        <w:ind w:firstLine="480" w:firstLineChars="200"/>
        <w:rPr>
          <w:rFonts w:eastAsia="宋体"/>
          <w:sz w:val="24"/>
          <w:szCs w:val="32"/>
        </w:rPr>
      </w:pPr>
      <w:r>
        <w:rPr>
          <w:rFonts w:eastAsia="宋体"/>
          <w:bCs/>
          <w:i/>
          <w:iCs/>
          <w:sz w:val="24"/>
          <w:szCs w:val="24"/>
          <w:shd w:val="clear" w:color="auto" w:fill="FFFFFF"/>
        </w:rPr>
        <w:t>t</w:t>
      </w:r>
      <w:r>
        <w:rPr>
          <w:rFonts w:eastAsia="宋体"/>
          <w:bCs/>
          <w:sz w:val="24"/>
          <w:szCs w:val="24"/>
          <w:shd w:val="clear" w:color="auto" w:fill="FFFFFF"/>
          <w:vertAlign w:val="subscript"/>
        </w:rPr>
        <w:t>2</w:t>
      </w:r>
      <w:r>
        <w:rPr>
          <w:rFonts w:eastAsia="宋体"/>
          <w:sz w:val="24"/>
          <w:szCs w:val="24"/>
        </w:rPr>
        <w:t>、</w:t>
      </w:r>
      <w:r>
        <w:rPr>
          <w:rFonts w:eastAsia="宋体"/>
          <w:bCs/>
          <w:i/>
          <w:iCs/>
          <w:sz w:val="24"/>
          <w:szCs w:val="24"/>
          <w:shd w:val="clear" w:color="auto" w:fill="FFFFFF"/>
        </w:rPr>
        <w:t>t</w:t>
      </w:r>
      <w:r>
        <w:rPr>
          <w:rFonts w:eastAsia="宋体"/>
          <w:bCs/>
          <w:sz w:val="24"/>
          <w:szCs w:val="24"/>
          <w:shd w:val="clear" w:color="auto" w:fill="FFFFFF"/>
          <w:vertAlign w:val="subscript"/>
        </w:rPr>
        <w:t>1</w:t>
      </w:r>
      <w:r>
        <w:rPr>
          <w:rFonts w:eastAsia="宋体"/>
          <w:sz w:val="24"/>
          <w:szCs w:val="24"/>
        </w:rPr>
        <w:t>——计算时间对数周期的终、始时刻（min）。</w:t>
      </w:r>
    </w:p>
    <w:p w14:paraId="08B6A141">
      <w:pPr>
        <w:numPr>
          <w:ilvl w:val="0"/>
          <w:numId w:val="54"/>
        </w:numPr>
        <w:spacing w:line="360" w:lineRule="auto"/>
        <w:rPr>
          <w:rFonts w:eastAsiaTheme="minorEastAsia"/>
          <w:sz w:val="24"/>
          <w:szCs w:val="32"/>
        </w:rPr>
      </w:pPr>
      <w:r>
        <w:rPr>
          <w:rFonts w:eastAsia="宋体"/>
          <w:sz w:val="24"/>
          <w:szCs w:val="32"/>
        </w:rPr>
        <w:t>计算锚杆在每级荷载作用下第90min~120min的蠕变系数，若不大于2.0mm，</w:t>
      </w:r>
      <w:r>
        <w:rPr>
          <w:rFonts w:eastAsiaTheme="minorEastAsia"/>
          <w:sz w:val="24"/>
          <w:szCs w:val="32"/>
        </w:rPr>
        <w:t>可判定为蠕变合格并施加下一级荷载；否则应延长蠕变观测时间并每30min测读一次计算蠕变系数，若在总观测时间内不大于2.0mm，可判定为蠕变合格。</w:t>
      </w:r>
    </w:p>
    <w:p w14:paraId="6154DDAE">
      <w:pPr>
        <w:spacing w:line="360" w:lineRule="auto"/>
        <w:rPr>
          <w:rFonts w:eastAsiaTheme="minorEastAsia"/>
          <w:sz w:val="24"/>
          <w:szCs w:val="32"/>
        </w:rPr>
      </w:pPr>
    </w:p>
    <w:p w14:paraId="0FC9365A">
      <w:pPr>
        <w:spacing w:line="360" w:lineRule="auto"/>
        <w:rPr>
          <w:rFonts w:eastAsiaTheme="minorEastAsia"/>
          <w:sz w:val="24"/>
          <w:szCs w:val="32"/>
        </w:rPr>
      </w:pPr>
    </w:p>
    <w:p w14:paraId="3536E1E1">
      <w:pPr>
        <w:rPr>
          <w:rFonts w:eastAsiaTheme="minorEastAsia"/>
          <w:sz w:val="24"/>
          <w:szCs w:val="24"/>
        </w:rPr>
      </w:pPr>
      <w:r>
        <w:rPr>
          <w:rFonts w:eastAsiaTheme="minorEastAsia"/>
          <w:sz w:val="24"/>
          <w:szCs w:val="24"/>
        </w:rPr>
        <w:br w:type="page"/>
      </w:r>
    </w:p>
    <w:p w14:paraId="15843DA5">
      <w:pPr>
        <w:numPr>
          <w:ilvl w:val="0"/>
          <w:numId w:val="43"/>
        </w:numPr>
        <w:spacing w:line="360" w:lineRule="auto"/>
        <w:ind w:firstLine="0"/>
        <w:jc w:val="center"/>
        <w:outlineLvl w:val="0"/>
        <w:rPr>
          <w:rFonts w:eastAsiaTheme="minorEastAsia"/>
          <w:b/>
          <w:bCs/>
          <w:sz w:val="28"/>
          <w:szCs w:val="18"/>
        </w:rPr>
      </w:pPr>
      <w:bookmarkStart w:id="243" w:name="_Toc30505"/>
      <w:bookmarkStart w:id="244" w:name="_Toc3926"/>
      <w:bookmarkStart w:id="245" w:name="_Toc3011"/>
      <w:bookmarkStart w:id="246" w:name="_Toc29139"/>
      <w:bookmarkStart w:id="247" w:name="_Toc2735"/>
      <w:bookmarkStart w:id="248" w:name="_Toc28248"/>
      <w:bookmarkStart w:id="249" w:name="_Toc31978"/>
      <w:r>
        <w:rPr>
          <w:rFonts w:eastAsiaTheme="minorEastAsia"/>
          <w:b/>
          <w:bCs/>
          <w:sz w:val="28"/>
          <w:szCs w:val="18"/>
        </w:rPr>
        <w:t>锚杆防腐技术要求</w:t>
      </w:r>
      <w:bookmarkEnd w:id="243"/>
      <w:bookmarkEnd w:id="244"/>
      <w:bookmarkEnd w:id="245"/>
      <w:bookmarkEnd w:id="246"/>
      <w:bookmarkEnd w:id="247"/>
      <w:bookmarkEnd w:id="248"/>
      <w:bookmarkEnd w:id="249"/>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87"/>
        <w:gridCol w:w="1100"/>
        <w:gridCol w:w="2113"/>
        <w:gridCol w:w="1274"/>
        <w:gridCol w:w="1704"/>
        <w:gridCol w:w="874"/>
      </w:tblGrid>
      <w:tr w14:paraId="0F77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restart"/>
            <w:vAlign w:val="center"/>
          </w:tcPr>
          <w:p w14:paraId="0D3DB2AB">
            <w:pPr>
              <w:jc w:val="center"/>
              <w:rPr>
                <w:rFonts w:eastAsiaTheme="minorEastAsia"/>
                <w:sz w:val="21"/>
                <w:szCs w:val="21"/>
              </w:rPr>
            </w:pPr>
            <w:r>
              <w:rPr>
                <w:rFonts w:hint="eastAsia"/>
                <w:sz w:val="21"/>
                <w:szCs w:val="21"/>
              </w:rPr>
              <w:t>防腐保护等级</w:t>
            </w:r>
          </w:p>
        </w:tc>
        <w:tc>
          <w:tcPr>
            <w:tcW w:w="787" w:type="dxa"/>
            <w:vMerge w:val="restart"/>
            <w:vAlign w:val="center"/>
          </w:tcPr>
          <w:p w14:paraId="12FC07CA">
            <w:pPr>
              <w:jc w:val="center"/>
              <w:rPr>
                <w:rFonts w:eastAsiaTheme="minorEastAsia"/>
                <w:sz w:val="21"/>
                <w:szCs w:val="21"/>
              </w:rPr>
            </w:pPr>
            <w:r>
              <w:rPr>
                <w:rFonts w:hint="eastAsia"/>
                <w:sz w:val="21"/>
                <w:szCs w:val="21"/>
              </w:rPr>
              <w:t>锚杆类型</w:t>
            </w:r>
          </w:p>
        </w:tc>
        <w:tc>
          <w:tcPr>
            <w:tcW w:w="7065" w:type="dxa"/>
            <w:gridSpan w:val="5"/>
            <w:vAlign w:val="center"/>
          </w:tcPr>
          <w:p w14:paraId="69C396AA">
            <w:pPr>
              <w:jc w:val="center"/>
              <w:rPr>
                <w:sz w:val="21"/>
                <w:szCs w:val="21"/>
              </w:rPr>
            </w:pPr>
            <w:r>
              <w:rPr>
                <w:rFonts w:hint="eastAsia"/>
                <w:sz w:val="21"/>
                <w:szCs w:val="21"/>
              </w:rPr>
              <w:t>锚杆及锚具防护要求</w:t>
            </w:r>
          </w:p>
        </w:tc>
      </w:tr>
      <w:tr w14:paraId="1CD5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04DE532B">
            <w:pPr>
              <w:jc w:val="center"/>
              <w:rPr>
                <w:sz w:val="21"/>
                <w:szCs w:val="21"/>
              </w:rPr>
            </w:pPr>
          </w:p>
        </w:tc>
        <w:tc>
          <w:tcPr>
            <w:tcW w:w="787" w:type="dxa"/>
            <w:vMerge w:val="continue"/>
            <w:vAlign w:val="center"/>
          </w:tcPr>
          <w:p w14:paraId="602951CA">
            <w:pPr>
              <w:jc w:val="center"/>
              <w:rPr>
                <w:sz w:val="21"/>
                <w:szCs w:val="21"/>
              </w:rPr>
            </w:pPr>
          </w:p>
        </w:tc>
        <w:tc>
          <w:tcPr>
            <w:tcW w:w="1100" w:type="dxa"/>
            <w:vAlign w:val="center"/>
          </w:tcPr>
          <w:p w14:paraId="2C33A2ED">
            <w:pPr>
              <w:jc w:val="center"/>
              <w:rPr>
                <w:rFonts w:eastAsiaTheme="minorEastAsia"/>
                <w:sz w:val="21"/>
                <w:szCs w:val="21"/>
              </w:rPr>
            </w:pPr>
            <w:r>
              <w:rPr>
                <w:rFonts w:hint="eastAsia"/>
                <w:sz w:val="21"/>
                <w:szCs w:val="21"/>
              </w:rPr>
              <w:t>杆体材料</w:t>
            </w:r>
          </w:p>
        </w:tc>
        <w:tc>
          <w:tcPr>
            <w:tcW w:w="2113" w:type="dxa"/>
            <w:vAlign w:val="center"/>
          </w:tcPr>
          <w:p w14:paraId="53FE3131">
            <w:pPr>
              <w:jc w:val="center"/>
              <w:rPr>
                <w:sz w:val="21"/>
                <w:szCs w:val="21"/>
              </w:rPr>
            </w:pPr>
            <w:r>
              <w:rPr>
                <w:rFonts w:hint="eastAsia"/>
                <w:sz w:val="21"/>
                <w:szCs w:val="21"/>
              </w:rPr>
              <w:t>锚头</w:t>
            </w:r>
          </w:p>
        </w:tc>
        <w:tc>
          <w:tcPr>
            <w:tcW w:w="1274" w:type="dxa"/>
            <w:vAlign w:val="center"/>
          </w:tcPr>
          <w:p w14:paraId="59B20F7F">
            <w:pPr>
              <w:jc w:val="center"/>
              <w:rPr>
                <w:rFonts w:eastAsiaTheme="minorEastAsia"/>
                <w:sz w:val="21"/>
                <w:szCs w:val="21"/>
              </w:rPr>
            </w:pPr>
            <w:r>
              <w:rPr>
                <w:rFonts w:hint="eastAsia"/>
                <w:sz w:val="21"/>
                <w:szCs w:val="21"/>
              </w:rPr>
              <w:t>自由段</w:t>
            </w:r>
          </w:p>
        </w:tc>
        <w:tc>
          <w:tcPr>
            <w:tcW w:w="1704" w:type="dxa"/>
            <w:vAlign w:val="center"/>
          </w:tcPr>
          <w:p w14:paraId="1F096E27">
            <w:pPr>
              <w:jc w:val="center"/>
              <w:rPr>
                <w:rFonts w:eastAsiaTheme="minorEastAsia"/>
                <w:sz w:val="21"/>
                <w:szCs w:val="21"/>
              </w:rPr>
            </w:pPr>
            <w:r>
              <w:rPr>
                <w:rFonts w:hint="eastAsia"/>
                <w:sz w:val="21"/>
                <w:szCs w:val="21"/>
              </w:rPr>
              <w:t>粘结段及承载体</w:t>
            </w:r>
          </w:p>
        </w:tc>
        <w:tc>
          <w:tcPr>
            <w:tcW w:w="874" w:type="dxa"/>
            <w:vAlign w:val="center"/>
          </w:tcPr>
          <w:p w14:paraId="47D3A10A">
            <w:pPr>
              <w:jc w:val="center"/>
              <w:rPr>
                <w:sz w:val="21"/>
                <w:szCs w:val="21"/>
              </w:rPr>
            </w:pPr>
            <w:r>
              <w:rPr>
                <w:rFonts w:hint="eastAsia"/>
                <w:sz w:val="21"/>
                <w:szCs w:val="21"/>
              </w:rPr>
              <w:t>保护层</w:t>
            </w:r>
          </w:p>
        </w:tc>
      </w:tr>
      <w:tr w14:paraId="1E36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restart"/>
            <w:vAlign w:val="center"/>
          </w:tcPr>
          <w:p w14:paraId="51F6789D">
            <w:pPr>
              <w:jc w:val="center"/>
              <w:rPr>
                <w:rFonts w:asciiTheme="minorHAnsi" w:hAnsiTheme="minorHAnsi" w:eastAsiaTheme="minorEastAsia" w:cstheme="minorBidi"/>
                <w:sz w:val="21"/>
                <w:szCs w:val="21"/>
              </w:rPr>
            </w:pPr>
            <w:r>
              <w:rPr>
                <w:rFonts w:hint="eastAsia"/>
                <w:sz w:val="21"/>
                <w:szCs w:val="21"/>
              </w:rPr>
              <w:t>Ⅱ</w:t>
            </w:r>
          </w:p>
        </w:tc>
        <w:tc>
          <w:tcPr>
            <w:tcW w:w="787" w:type="dxa"/>
            <w:vMerge w:val="restart"/>
            <w:vAlign w:val="center"/>
          </w:tcPr>
          <w:p w14:paraId="777DF0C7">
            <w:pPr>
              <w:jc w:val="center"/>
              <w:rPr>
                <w:rFonts w:eastAsiaTheme="minorEastAsia"/>
                <w:sz w:val="21"/>
                <w:szCs w:val="21"/>
              </w:rPr>
            </w:pPr>
            <w:r>
              <w:rPr>
                <w:rFonts w:hint="eastAsia"/>
                <w:sz w:val="21"/>
                <w:szCs w:val="21"/>
              </w:rPr>
              <w:t>全长粘结型锚杆</w:t>
            </w:r>
          </w:p>
        </w:tc>
        <w:tc>
          <w:tcPr>
            <w:tcW w:w="1100" w:type="dxa"/>
            <w:vMerge w:val="restart"/>
            <w:vAlign w:val="center"/>
          </w:tcPr>
          <w:p w14:paraId="358B0904">
            <w:pPr>
              <w:jc w:val="center"/>
              <w:rPr>
                <w:sz w:val="21"/>
                <w:szCs w:val="21"/>
              </w:rPr>
            </w:pPr>
            <w:r>
              <w:rPr>
                <w:rFonts w:hint="eastAsia"/>
                <w:sz w:val="21"/>
                <w:szCs w:val="21"/>
              </w:rPr>
              <w:t>热轧带肋钢筋</w:t>
            </w:r>
          </w:p>
        </w:tc>
        <w:tc>
          <w:tcPr>
            <w:tcW w:w="2113" w:type="dxa"/>
            <w:vAlign w:val="center"/>
          </w:tcPr>
          <w:p w14:paraId="31E5A8B5">
            <w:pPr>
              <w:jc w:val="center"/>
              <w:rPr>
                <w:sz w:val="21"/>
                <w:szCs w:val="21"/>
              </w:rPr>
            </w:pPr>
            <w:r>
              <w:rPr>
                <w:rFonts w:hint="eastAsia"/>
                <w:sz w:val="21"/>
                <w:szCs w:val="21"/>
              </w:rPr>
              <w:t>采用混凝土封闭；环氧涂层伸入长度120mm</w:t>
            </w:r>
          </w:p>
        </w:tc>
        <w:tc>
          <w:tcPr>
            <w:tcW w:w="1274" w:type="dxa"/>
            <w:vAlign w:val="center"/>
          </w:tcPr>
          <w:p w14:paraId="528601D1">
            <w:pPr>
              <w:jc w:val="center"/>
              <w:rPr>
                <w:sz w:val="21"/>
                <w:szCs w:val="21"/>
              </w:rPr>
            </w:pPr>
            <w:r>
              <w:rPr>
                <w:rFonts w:hint="eastAsia"/>
                <w:sz w:val="21"/>
                <w:szCs w:val="21"/>
              </w:rPr>
              <w:t>/</w:t>
            </w:r>
          </w:p>
        </w:tc>
        <w:tc>
          <w:tcPr>
            <w:tcW w:w="1704" w:type="dxa"/>
            <w:vAlign w:val="center"/>
          </w:tcPr>
          <w:p w14:paraId="7A009580">
            <w:pPr>
              <w:jc w:val="center"/>
              <w:rPr>
                <w:sz w:val="21"/>
                <w:szCs w:val="21"/>
              </w:rPr>
            </w:pPr>
            <w:r>
              <w:rPr>
                <w:rFonts w:hint="eastAsia"/>
                <w:sz w:val="21"/>
                <w:szCs w:val="21"/>
              </w:rPr>
              <w:t>环氧涂层厚度≥220μm</w:t>
            </w:r>
          </w:p>
        </w:tc>
        <w:tc>
          <w:tcPr>
            <w:tcW w:w="874" w:type="dxa"/>
            <w:vMerge w:val="restart"/>
            <w:vAlign w:val="center"/>
          </w:tcPr>
          <w:p w14:paraId="037442E5">
            <w:pPr>
              <w:jc w:val="center"/>
              <w:rPr>
                <w:sz w:val="21"/>
                <w:szCs w:val="21"/>
              </w:rPr>
            </w:pPr>
            <w:r>
              <w:rPr>
                <w:rFonts w:hint="eastAsia"/>
                <w:sz w:val="21"/>
                <w:szCs w:val="21"/>
              </w:rPr>
              <w:t>水泥浆厚度不应小于25mm，锚杆的锚具、承压板及端头筋体保护层厚度不应小于50mm</w:t>
            </w:r>
          </w:p>
        </w:tc>
      </w:tr>
      <w:tr w14:paraId="1782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D4249E6">
            <w:pPr>
              <w:jc w:val="center"/>
              <w:rPr>
                <w:sz w:val="21"/>
                <w:szCs w:val="21"/>
              </w:rPr>
            </w:pPr>
          </w:p>
        </w:tc>
        <w:tc>
          <w:tcPr>
            <w:tcW w:w="787" w:type="dxa"/>
            <w:vMerge w:val="continue"/>
            <w:vAlign w:val="center"/>
          </w:tcPr>
          <w:p w14:paraId="3319D772">
            <w:pPr>
              <w:jc w:val="center"/>
              <w:rPr>
                <w:sz w:val="21"/>
                <w:szCs w:val="21"/>
              </w:rPr>
            </w:pPr>
          </w:p>
        </w:tc>
        <w:tc>
          <w:tcPr>
            <w:tcW w:w="1100" w:type="dxa"/>
            <w:vMerge w:val="continue"/>
            <w:vAlign w:val="center"/>
          </w:tcPr>
          <w:p w14:paraId="016AF08F">
            <w:pPr>
              <w:jc w:val="center"/>
              <w:rPr>
                <w:sz w:val="21"/>
                <w:szCs w:val="21"/>
              </w:rPr>
            </w:pPr>
          </w:p>
        </w:tc>
        <w:tc>
          <w:tcPr>
            <w:tcW w:w="2113" w:type="dxa"/>
            <w:vAlign w:val="center"/>
          </w:tcPr>
          <w:p w14:paraId="7E9B3DA4">
            <w:pPr>
              <w:jc w:val="center"/>
              <w:rPr>
                <w:sz w:val="21"/>
                <w:szCs w:val="21"/>
              </w:rPr>
            </w:pPr>
            <w:r>
              <w:rPr>
                <w:rFonts w:hint="eastAsia"/>
                <w:sz w:val="21"/>
                <w:szCs w:val="21"/>
              </w:rPr>
              <w:t>采用混凝土封闭；波纹管内浆体深入长度40mm</w:t>
            </w:r>
          </w:p>
        </w:tc>
        <w:tc>
          <w:tcPr>
            <w:tcW w:w="1274" w:type="dxa"/>
            <w:vAlign w:val="center"/>
          </w:tcPr>
          <w:p w14:paraId="2498B66A">
            <w:pPr>
              <w:jc w:val="center"/>
              <w:rPr>
                <w:sz w:val="21"/>
                <w:szCs w:val="21"/>
              </w:rPr>
            </w:pPr>
            <w:r>
              <w:rPr>
                <w:rFonts w:hint="eastAsia"/>
                <w:sz w:val="21"/>
                <w:szCs w:val="21"/>
              </w:rPr>
              <w:t>/</w:t>
            </w:r>
          </w:p>
        </w:tc>
        <w:tc>
          <w:tcPr>
            <w:tcW w:w="1704" w:type="dxa"/>
            <w:vAlign w:val="center"/>
          </w:tcPr>
          <w:p w14:paraId="119ACCDD">
            <w:pPr>
              <w:jc w:val="center"/>
              <w:rPr>
                <w:sz w:val="21"/>
                <w:szCs w:val="21"/>
              </w:rPr>
            </w:pPr>
            <w:r>
              <w:rPr>
                <w:rFonts w:hint="eastAsia"/>
                <w:sz w:val="21"/>
                <w:szCs w:val="21"/>
              </w:rPr>
              <w:t>波纹管</w:t>
            </w:r>
          </w:p>
        </w:tc>
        <w:tc>
          <w:tcPr>
            <w:tcW w:w="874" w:type="dxa"/>
            <w:vMerge w:val="continue"/>
            <w:vAlign w:val="center"/>
          </w:tcPr>
          <w:p w14:paraId="7AB1F147">
            <w:pPr>
              <w:jc w:val="center"/>
              <w:rPr>
                <w:sz w:val="21"/>
                <w:szCs w:val="21"/>
              </w:rPr>
            </w:pPr>
          </w:p>
        </w:tc>
      </w:tr>
      <w:tr w14:paraId="17D7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70" w:type="dxa"/>
            <w:vMerge w:val="continue"/>
            <w:vAlign w:val="center"/>
          </w:tcPr>
          <w:p w14:paraId="7A7BA2EA">
            <w:pPr>
              <w:jc w:val="center"/>
              <w:rPr>
                <w:sz w:val="21"/>
                <w:szCs w:val="21"/>
              </w:rPr>
            </w:pPr>
          </w:p>
        </w:tc>
        <w:tc>
          <w:tcPr>
            <w:tcW w:w="787" w:type="dxa"/>
            <w:vMerge w:val="continue"/>
            <w:vAlign w:val="center"/>
          </w:tcPr>
          <w:p w14:paraId="7425D1CE">
            <w:pPr>
              <w:jc w:val="center"/>
              <w:rPr>
                <w:sz w:val="21"/>
                <w:szCs w:val="21"/>
              </w:rPr>
            </w:pPr>
          </w:p>
        </w:tc>
        <w:tc>
          <w:tcPr>
            <w:tcW w:w="1100" w:type="dxa"/>
            <w:vMerge w:val="restart"/>
            <w:vAlign w:val="center"/>
          </w:tcPr>
          <w:p w14:paraId="69EED421">
            <w:pPr>
              <w:jc w:val="center"/>
              <w:rPr>
                <w:sz w:val="21"/>
                <w:szCs w:val="21"/>
              </w:rPr>
            </w:pPr>
            <w:r>
              <w:rPr>
                <w:rFonts w:hint="eastAsia"/>
                <w:sz w:val="21"/>
                <w:szCs w:val="21"/>
              </w:rPr>
              <w:t>预应力螺纹钢筋</w:t>
            </w:r>
          </w:p>
        </w:tc>
        <w:tc>
          <w:tcPr>
            <w:tcW w:w="2113" w:type="dxa"/>
            <w:vAlign w:val="center"/>
          </w:tcPr>
          <w:p w14:paraId="0A4CDF6A">
            <w:pPr>
              <w:jc w:val="center"/>
              <w:rPr>
                <w:sz w:val="21"/>
                <w:szCs w:val="21"/>
              </w:rPr>
            </w:pPr>
            <w:r>
              <w:rPr>
                <w:rFonts w:hint="eastAsia"/>
                <w:sz w:val="21"/>
                <w:szCs w:val="21"/>
              </w:rPr>
              <w:t>采用混凝土封闭；全长环氧涂层</w:t>
            </w:r>
          </w:p>
        </w:tc>
        <w:tc>
          <w:tcPr>
            <w:tcW w:w="1274" w:type="dxa"/>
            <w:vAlign w:val="center"/>
          </w:tcPr>
          <w:p w14:paraId="4223AECA">
            <w:pPr>
              <w:jc w:val="center"/>
              <w:rPr>
                <w:sz w:val="21"/>
                <w:szCs w:val="21"/>
              </w:rPr>
            </w:pPr>
            <w:r>
              <w:rPr>
                <w:rFonts w:hint="eastAsia"/>
                <w:sz w:val="21"/>
                <w:szCs w:val="21"/>
              </w:rPr>
              <w:t>/</w:t>
            </w:r>
          </w:p>
        </w:tc>
        <w:tc>
          <w:tcPr>
            <w:tcW w:w="1704" w:type="dxa"/>
            <w:vAlign w:val="center"/>
          </w:tcPr>
          <w:p w14:paraId="6DF54795">
            <w:pPr>
              <w:jc w:val="center"/>
              <w:rPr>
                <w:sz w:val="21"/>
                <w:szCs w:val="21"/>
              </w:rPr>
            </w:pPr>
            <w:r>
              <w:rPr>
                <w:rFonts w:hint="eastAsia"/>
                <w:sz w:val="21"/>
                <w:szCs w:val="21"/>
              </w:rPr>
              <w:t>环氧涂层厚度≥220μm</w:t>
            </w:r>
          </w:p>
        </w:tc>
        <w:tc>
          <w:tcPr>
            <w:tcW w:w="874" w:type="dxa"/>
            <w:vMerge w:val="continue"/>
            <w:vAlign w:val="center"/>
          </w:tcPr>
          <w:p w14:paraId="75C814EA">
            <w:pPr>
              <w:jc w:val="center"/>
              <w:rPr>
                <w:sz w:val="21"/>
                <w:szCs w:val="21"/>
              </w:rPr>
            </w:pPr>
          </w:p>
        </w:tc>
      </w:tr>
      <w:tr w14:paraId="0314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84668E3">
            <w:pPr>
              <w:jc w:val="center"/>
              <w:rPr>
                <w:sz w:val="21"/>
                <w:szCs w:val="21"/>
              </w:rPr>
            </w:pPr>
          </w:p>
        </w:tc>
        <w:tc>
          <w:tcPr>
            <w:tcW w:w="787" w:type="dxa"/>
            <w:vMerge w:val="continue"/>
            <w:vAlign w:val="center"/>
          </w:tcPr>
          <w:p w14:paraId="003293F3">
            <w:pPr>
              <w:jc w:val="center"/>
              <w:rPr>
                <w:sz w:val="21"/>
                <w:szCs w:val="21"/>
              </w:rPr>
            </w:pPr>
          </w:p>
        </w:tc>
        <w:tc>
          <w:tcPr>
            <w:tcW w:w="1100" w:type="dxa"/>
            <w:vMerge w:val="continue"/>
            <w:vAlign w:val="center"/>
          </w:tcPr>
          <w:p w14:paraId="2F628FB2">
            <w:pPr>
              <w:jc w:val="center"/>
              <w:rPr>
                <w:sz w:val="21"/>
                <w:szCs w:val="21"/>
              </w:rPr>
            </w:pPr>
          </w:p>
        </w:tc>
        <w:tc>
          <w:tcPr>
            <w:tcW w:w="2113" w:type="dxa"/>
            <w:vAlign w:val="center"/>
          </w:tcPr>
          <w:p w14:paraId="732F5EE7">
            <w:pPr>
              <w:jc w:val="center"/>
              <w:rPr>
                <w:sz w:val="21"/>
                <w:szCs w:val="21"/>
              </w:rPr>
            </w:pPr>
            <w:r>
              <w:rPr>
                <w:rFonts w:hint="eastAsia"/>
                <w:sz w:val="21"/>
                <w:szCs w:val="21"/>
              </w:rPr>
              <w:t>波纹管内浆体深入长度40mm</w:t>
            </w:r>
          </w:p>
        </w:tc>
        <w:tc>
          <w:tcPr>
            <w:tcW w:w="1274" w:type="dxa"/>
            <w:vAlign w:val="center"/>
          </w:tcPr>
          <w:p w14:paraId="7B58B7D4">
            <w:pPr>
              <w:jc w:val="center"/>
              <w:rPr>
                <w:sz w:val="21"/>
                <w:szCs w:val="21"/>
              </w:rPr>
            </w:pPr>
            <w:r>
              <w:rPr>
                <w:rFonts w:hint="eastAsia"/>
                <w:sz w:val="21"/>
                <w:szCs w:val="21"/>
              </w:rPr>
              <w:t>/</w:t>
            </w:r>
          </w:p>
        </w:tc>
        <w:tc>
          <w:tcPr>
            <w:tcW w:w="1704" w:type="dxa"/>
            <w:vAlign w:val="center"/>
          </w:tcPr>
          <w:p w14:paraId="15914039">
            <w:pPr>
              <w:jc w:val="center"/>
              <w:rPr>
                <w:sz w:val="21"/>
                <w:szCs w:val="21"/>
              </w:rPr>
            </w:pPr>
            <w:r>
              <w:rPr>
                <w:rFonts w:hint="eastAsia"/>
                <w:sz w:val="21"/>
                <w:szCs w:val="21"/>
              </w:rPr>
              <w:t>采用注入水泥浆的波纹管</w:t>
            </w:r>
          </w:p>
        </w:tc>
        <w:tc>
          <w:tcPr>
            <w:tcW w:w="874" w:type="dxa"/>
            <w:vMerge w:val="continue"/>
            <w:vAlign w:val="center"/>
          </w:tcPr>
          <w:p w14:paraId="00597618">
            <w:pPr>
              <w:jc w:val="center"/>
              <w:rPr>
                <w:sz w:val="21"/>
                <w:szCs w:val="21"/>
              </w:rPr>
            </w:pPr>
          </w:p>
        </w:tc>
      </w:tr>
      <w:tr w14:paraId="14AC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89DA696">
            <w:pPr>
              <w:jc w:val="center"/>
              <w:rPr>
                <w:rFonts w:asciiTheme="minorHAnsi" w:hAnsiTheme="minorHAnsi" w:eastAsiaTheme="minorEastAsia" w:cstheme="minorBidi"/>
                <w:sz w:val="21"/>
                <w:szCs w:val="21"/>
              </w:rPr>
            </w:pPr>
          </w:p>
        </w:tc>
        <w:tc>
          <w:tcPr>
            <w:tcW w:w="787" w:type="dxa"/>
            <w:vMerge w:val="restart"/>
            <w:vAlign w:val="center"/>
          </w:tcPr>
          <w:p w14:paraId="130CA2FF">
            <w:pPr>
              <w:jc w:val="center"/>
              <w:rPr>
                <w:rFonts w:eastAsiaTheme="minorEastAsia"/>
                <w:sz w:val="21"/>
                <w:szCs w:val="21"/>
              </w:rPr>
            </w:pPr>
            <w:r>
              <w:rPr>
                <w:rFonts w:hint="eastAsia"/>
                <w:sz w:val="21"/>
                <w:szCs w:val="21"/>
              </w:rPr>
              <w:t>拉力型预应力锚杆</w:t>
            </w:r>
          </w:p>
        </w:tc>
        <w:tc>
          <w:tcPr>
            <w:tcW w:w="1100" w:type="dxa"/>
            <w:vAlign w:val="center"/>
          </w:tcPr>
          <w:p w14:paraId="66D5D45F">
            <w:pPr>
              <w:jc w:val="center"/>
              <w:rPr>
                <w:rFonts w:asciiTheme="minorHAnsi" w:hAnsiTheme="minorHAnsi" w:eastAsiaTheme="minorEastAsia" w:cstheme="minorBidi"/>
                <w:sz w:val="21"/>
                <w:szCs w:val="21"/>
              </w:rPr>
            </w:pPr>
            <w:r>
              <w:rPr>
                <w:rFonts w:hint="eastAsia"/>
                <w:sz w:val="21"/>
                <w:szCs w:val="21"/>
              </w:rPr>
              <w:t>无粘结钢绞线</w:t>
            </w:r>
          </w:p>
        </w:tc>
        <w:tc>
          <w:tcPr>
            <w:tcW w:w="2113" w:type="dxa"/>
            <w:vAlign w:val="center"/>
          </w:tcPr>
          <w:p w14:paraId="34412225">
            <w:pPr>
              <w:jc w:val="center"/>
              <w:rPr>
                <w:sz w:val="21"/>
                <w:szCs w:val="21"/>
              </w:rPr>
            </w:pPr>
            <w:r>
              <w:rPr>
                <w:rFonts w:hint="eastAsia"/>
                <w:sz w:val="21"/>
                <w:szCs w:val="21"/>
              </w:rPr>
              <w:t>采用混凝土封闭</w:t>
            </w:r>
          </w:p>
        </w:tc>
        <w:tc>
          <w:tcPr>
            <w:tcW w:w="1274" w:type="dxa"/>
            <w:vAlign w:val="center"/>
          </w:tcPr>
          <w:p w14:paraId="41C7B2EB">
            <w:pPr>
              <w:jc w:val="center"/>
              <w:rPr>
                <w:sz w:val="21"/>
                <w:szCs w:val="21"/>
              </w:rPr>
            </w:pPr>
            <w:r>
              <w:rPr>
                <w:rFonts w:hint="eastAsia"/>
                <w:sz w:val="21"/>
                <w:szCs w:val="21"/>
              </w:rPr>
              <w:t>采用内充润滑脂的套管</w:t>
            </w:r>
          </w:p>
        </w:tc>
        <w:tc>
          <w:tcPr>
            <w:tcW w:w="1704" w:type="dxa"/>
            <w:vAlign w:val="center"/>
          </w:tcPr>
          <w:p w14:paraId="2527B42B">
            <w:pPr>
              <w:jc w:val="center"/>
              <w:rPr>
                <w:rFonts w:asciiTheme="minorHAnsi" w:hAnsiTheme="minorHAnsi" w:eastAsiaTheme="minorEastAsia" w:cstheme="minorBidi"/>
                <w:sz w:val="21"/>
                <w:szCs w:val="21"/>
              </w:rPr>
            </w:pPr>
            <w:r>
              <w:rPr>
                <w:rFonts w:hint="eastAsia"/>
                <w:sz w:val="21"/>
                <w:szCs w:val="21"/>
              </w:rPr>
              <w:t>环氧涂层厚度≥</w:t>
            </w:r>
            <w:r>
              <w:rPr>
                <w:sz w:val="21"/>
                <w:szCs w:val="21"/>
              </w:rPr>
              <w:t>220μm</w:t>
            </w:r>
          </w:p>
        </w:tc>
        <w:tc>
          <w:tcPr>
            <w:tcW w:w="874" w:type="dxa"/>
            <w:vMerge w:val="continue"/>
            <w:vAlign w:val="center"/>
          </w:tcPr>
          <w:p w14:paraId="7F37A471">
            <w:pPr>
              <w:jc w:val="center"/>
              <w:rPr>
                <w:sz w:val="21"/>
                <w:szCs w:val="21"/>
              </w:rPr>
            </w:pPr>
          </w:p>
        </w:tc>
      </w:tr>
      <w:tr w14:paraId="78E8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9B2A0AC">
            <w:pPr>
              <w:jc w:val="center"/>
              <w:rPr>
                <w:rFonts w:asciiTheme="minorHAnsi" w:hAnsiTheme="minorHAnsi" w:eastAsiaTheme="minorEastAsia" w:cstheme="minorBidi"/>
                <w:sz w:val="21"/>
                <w:szCs w:val="21"/>
              </w:rPr>
            </w:pPr>
          </w:p>
        </w:tc>
        <w:tc>
          <w:tcPr>
            <w:tcW w:w="787" w:type="dxa"/>
            <w:vMerge w:val="continue"/>
            <w:vAlign w:val="center"/>
          </w:tcPr>
          <w:p w14:paraId="14CAAAF9">
            <w:pPr>
              <w:jc w:val="center"/>
              <w:rPr>
                <w:sz w:val="21"/>
                <w:szCs w:val="21"/>
              </w:rPr>
            </w:pPr>
          </w:p>
        </w:tc>
        <w:tc>
          <w:tcPr>
            <w:tcW w:w="1100" w:type="dxa"/>
            <w:vAlign w:val="center"/>
          </w:tcPr>
          <w:p w14:paraId="3E0DC6AF">
            <w:pPr>
              <w:jc w:val="center"/>
              <w:rPr>
                <w:rFonts w:asciiTheme="minorHAnsi" w:hAnsiTheme="minorHAnsi" w:eastAsiaTheme="minorEastAsia" w:cstheme="minorBidi"/>
                <w:sz w:val="21"/>
                <w:szCs w:val="21"/>
              </w:rPr>
            </w:pPr>
            <w:r>
              <w:rPr>
                <w:rFonts w:hint="eastAsia"/>
                <w:sz w:val="21"/>
                <w:szCs w:val="21"/>
              </w:rPr>
              <w:t>预应力螺纹钢筋</w:t>
            </w:r>
          </w:p>
        </w:tc>
        <w:tc>
          <w:tcPr>
            <w:tcW w:w="2113" w:type="dxa"/>
            <w:vAlign w:val="center"/>
          </w:tcPr>
          <w:p w14:paraId="318BF234">
            <w:pPr>
              <w:jc w:val="center"/>
              <w:rPr>
                <w:sz w:val="21"/>
                <w:szCs w:val="21"/>
              </w:rPr>
            </w:pPr>
            <w:r>
              <w:rPr>
                <w:rFonts w:hint="eastAsia"/>
                <w:sz w:val="21"/>
                <w:szCs w:val="21"/>
              </w:rPr>
              <w:t>采用混凝土封闭</w:t>
            </w:r>
          </w:p>
        </w:tc>
        <w:tc>
          <w:tcPr>
            <w:tcW w:w="1274" w:type="dxa"/>
            <w:vAlign w:val="center"/>
          </w:tcPr>
          <w:p w14:paraId="60D78B6E">
            <w:pPr>
              <w:jc w:val="center"/>
              <w:rPr>
                <w:sz w:val="21"/>
                <w:szCs w:val="21"/>
              </w:rPr>
            </w:pPr>
            <w:r>
              <w:rPr>
                <w:rFonts w:hint="eastAsia"/>
                <w:sz w:val="21"/>
                <w:szCs w:val="21"/>
              </w:rPr>
              <w:t>采用内充润滑脂的套管</w:t>
            </w:r>
          </w:p>
        </w:tc>
        <w:tc>
          <w:tcPr>
            <w:tcW w:w="1704" w:type="dxa"/>
            <w:vAlign w:val="center"/>
          </w:tcPr>
          <w:p w14:paraId="480CF34C">
            <w:pPr>
              <w:jc w:val="center"/>
              <w:rPr>
                <w:sz w:val="21"/>
                <w:szCs w:val="21"/>
              </w:rPr>
            </w:pPr>
            <w:r>
              <w:rPr>
                <w:rFonts w:hint="eastAsia"/>
                <w:sz w:val="21"/>
                <w:szCs w:val="21"/>
              </w:rPr>
              <w:t>环氧涂层厚度≥</w:t>
            </w:r>
            <w:r>
              <w:rPr>
                <w:sz w:val="21"/>
                <w:szCs w:val="21"/>
              </w:rPr>
              <w:t>220μm</w:t>
            </w:r>
          </w:p>
        </w:tc>
        <w:tc>
          <w:tcPr>
            <w:tcW w:w="874" w:type="dxa"/>
            <w:vMerge w:val="continue"/>
            <w:vAlign w:val="center"/>
          </w:tcPr>
          <w:p w14:paraId="33DE7983">
            <w:pPr>
              <w:jc w:val="center"/>
              <w:rPr>
                <w:sz w:val="21"/>
                <w:szCs w:val="21"/>
              </w:rPr>
            </w:pPr>
          </w:p>
        </w:tc>
      </w:tr>
      <w:tr w14:paraId="4A54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03F80E22">
            <w:pPr>
              <w:jc w:val="center"/>
              <w:rPr>
                <w:sz w:val="21"/>
                <w:szCs w:val="21"/>
              </w:rPr>
            </w:pPr>
          </w:p>
        </w:tc>
        <w:tc>
          <w:tcPr>
            <w:tcW w:w="787" w:type="dxa"/>
            <w:vMerge w:val="restart"/>
            <w:vAlign w:val="center"/>
          </w:tcPr>
          <w:p w14:paraId="5E42EC51">
            <w:pPr>
              <w:jc w:val="center"/>
              <w:rPr>
                <w:rFonts w:eastAsiaTheme="minorEastAsia"/>
                <w:sz w:val="21"/>
                <w:szCs w:val="21"/>
              </w:rPr>
            </w:pPr>
            <w:r>
              <w:rPr>
                <w:rFonts w:hint="eastAsia"/>
                <w:sz w:val="21"/>
                <w:szCs w:val="21"/>
              </w:rPr>
              <w:t>压力型预应力锚杆</w:t>
            </w:r>
          </w:p>
        </w:tc>
        <w:tc>
          <w:tcPr>
            <w:tcW w:w="1100" w:type="dxa"/>
            <w:vAlign w:val="center"/>
          </w:tcPr>
          <w:p w14:paraId="4870C195">
            <w:pPr>
              <w:jc w:val="center"/>
              <w:rPr>
                <w:rFonts w:asciiTheme="minorHAnsi" w:hAnsiTheme="minorHAnsi" w:eastAsiaTheme="minorEastAsia" w:cstheme="minorBidi"/>
                <w:sz w:val="21"/>
                <w:szCs w:val="21"/>
              </w:rPr>
            </w:pPr>
            <w:r>
              <w:rPr>
                <w:rFonts w:hint="eastAsia"/>
                <w:sz w:val="21"/>
                <w:szCs w:val="21"/>
              </w:rPr>
              <w:t>无粘结钢绞线</w:t>
            </w:r>
          </w:p>
        </w:tc>
        <w:tc>
          <w:tcPr>
            <w:tcW w:w="2113" w:type="dxa"/>
            <w:vAlign w:val="center"/>
          </w:tcPr>
          <w:p w14:paraId="28BF4906">
            <w:pPr>
              <w:jc w:val="center"/>
              <w:rPr>
                <w:sz w:val="21"/>
                <w:szCs w:val="21"/>
              </w:rPr>
            </w:pPr>
            <w:r>
              <w:rPr>
                <w:rFonts w:hint="eastAsia"/>
                <w:sz w:val="21"/>
                <w:szCs w:val="21"/>
              </w:rPr>
              <w:t>采用混凝土封闭</w:t>
            </w:r>
          </w:p>
        </w:tc>
        <w:tc>
          <w:tcPr>
            <w:tcW w:w="1274" w:type="dxa"/>
            <w:vAlign w:val="center"/>
          </w:tcPr>
          <w:p w14:paraId="4D612121">
            <w:pPr>
              <w:jc w:val="center"/>
              <w:rPr>
                <w:rFonts w:asciiTheme="minorHAnsi" w:hAnsiTheme="minorHAnsi" w:eastAsiaTheme="minorEastAsia" w:cstheme="minorBidi"/>
                <w:sz w:val="21"/>
                <w:szCs w:val="21"/>
              </w:rPr>
            </w:pPr>
            <w:r>
              <w:rPr>
                <w:rFonts w:hint="eastAsia"/>
                <w:sz w:val="21"/>
                <w:szCs w:val="21"/>
              </w:rPr>
              <w:t>采用内充润滑脂的套管</w:t>
            </w:r>
          </w:p>
        </w:tc>
        <w:tc>
          <w:tcPr>
            <w:tcW w:w="1704" w:type="dxa"/>
            <w:vAlign w:val="center"/>
          </w:tcPr>
          <w:p w14:paraId="2240C070">
            <w:pPr>
              <w:jc w:val="center"/>
              <w:rPr>
                <w:rFonts w:asciiTheme="minorHAnsi" w:hAnsiTheme="minorHAnsi" w:eastAsiaTheme="minorEastAsia" w:cstheme="minorBidi"/>
                <w:sz w:val="21"/>
                <w:szCs w:val="21"/>
              </w:rPr>
            </w:pPr>
            <w:r>
              <w:rPr>
                <w:rFonts w:hint="eastAsia" w:cstheme="minorBidi"/>
                <w:sz w:val="21"/>
                <w:szCs w:val="21"/>
              </w:rPr>
              <w:t>承载体外涂防腐涂料</w:t>
            </w:r>
          </w:p>
        </w:tc>
        <w:tc>
          <w:tcPr>
            <w:tcW w:w="874" w:type="dxa"/>
            <w:vMerge w:val="continue"/>
            <w:vAlign w:val="center"/>
          </w:tcPr>
          <w:p w14:paraId="29234D2C">
            <w:pPr>
              <w:jc w:val="center"/>
              <w:rPr>
                <w:sz w:val="21"/>
                <w:szCs w:val="21"/>
              </w:rPr>
            </w:pPr>
          </w:p>
        </w:tc>
      </w:tr>
      <w:tr w14:paraId="0B3F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23AFB108">
            <w:pPr>
              <w:jc w:val="center"/>
              <w:rPr>
                <w:sz w:val="21"/>
                <w:szCs w:val="21"/>
              </w:rPr>
            </w:pPr>
          </w:p>
        </w:tc>
        <w:tc>
          <w:tcPr>
            <w:tcW w:w="787" w:type="dxa"/>
            <w:vMerge w:val="continue"/>
            <w:vAlign w:val="center"/>
          </w:tcPr>
          <w:p w14:paraId="26275673">
            <w:pPr>
              <w:jc w:val="center"/>
              <w:rPr>
                <w:sz w:val="21"/>
                <w:szCs w:val="21"/>
              </w:rPr>
            </w:pPr>
          </w:p>
        </w:tc>
        <w:tc>
          <w:tcPr>
            <w:tcW w:w="1100" w:type="dxa"/>
            <w:vAlign w:val="center"/>
          </w:tcPr>
          <w:p w14:paraId="4E2C4BC0">
            <w:pPr>
              <w:jc w:val="center"/>
              <w:rPr>
                <w:rFonts w:asciiTheme="minorHAnsi" w:hAnsiTheme="minorHAnsi" w:eastAsiaTheme="minorEastAsia" w:cstheme="minorBidi"/>
                <w:sz w:val="21"/>
                <w:szCs w:val="21"/>
              </w:rPr>
            </w:pPr>
            <w:r>
              <w:rPr>
                <w:rFonts w:hint="eastAsia"/>
                <w:sz w:val="21"/>
                <w:szCs w:val="21"/>
              </w:rPr>
              <w:t>预应力螺纹钢筋</w:t>
            </w:r>
          </w:p>
        </w:tc>
        <w:tc>
          <w:tcPr>
            <w:tcW w:w="2113" w:type="dxa"/>
            <w:vAlign w:val="center"/>
          </w:tcPr>
          <w:p w14:paraId="1462D3A7">
            <w:pPr>
              <w:jc w:val="center"/>
              <w:rPr>
                <w:sz w:val="21"/>
                <w:szCs w:val="21"/>
              </w:rPr>
            </w:pPr>
            <w:r>
              <w:rPr>
                <w:rFonts w:hint="eastAsia"/>
                <w:sz w:val="21"/>
                <w:szCs w:val="21"/>
              </w:rPr>
              <w:t>采用混凝土封闭</w:t>
            </w:r>
          </w:p>
        </w:tc>
        <w:tc>
          <w:tcPr>
            <w:tcW w:w="1274" w:type="dxa"/>
            <w:vAlign w:val="center"/>
          </w:tcPr>
          <w:p w14:paraId="2E5E6B69">
            <w:pPr>
              <w:jc w:val="center"/>
              <w:rPr>
                <w:rFonts w:asciiTheme="minorHAnsi" w:hAnsiTheme="minorHAnsi" w:eastAsiaTheme="minorEastAsia" w:cstheme="minorBidi"/>
                <w:sz w:val="21"/>
                <w:szCs w:val="21"/>
              </w:rPr>
            </w:pPr>
            <w:r>
              <w:rPr>
                <w:rFonts w:hint="eastAsia"/>
                <w:sz w:val="21"/>
                <w:szCs w:val="21"/>
              </w:rPr>
              <w:t>采用内充润滑脂的套管</w:t>
            </w:r>
          </w:p>
        </w:tc>
        <w:tc>
          <w:tcPr>
            <w:tcW w:w="1704" w:type="dxa"/>
            <w:vAlign w:val="center"/>
          </w:tcPr>
          <w:p w14:paraId="774B6864">
            <w:pPr>
              <w:jc w:val="center"/>
              <w:rPr>
                <w:rFonts w:asciiTheme="minorHAnsi" w:hAnsiTheme="minorHAnsi" w:eastAsiaTheme="minorEastAsia" w:cstheme="minorBidi"/>
                <w:sz w:val="21"/>
                <w:szCs w:val="21"/>
              </w:rPr>
            </w:pPr>
            <w:r>
              <w:rPr>
                <w:rFonts w:hint="eastAsia" w:cstheme="minorBidi"/>
                <w:sz w:val="21"/>
                <w:szCs w:val="21"/>
              </w:rPr>
              <w:t>承载体外涂防腐涂料</w:t>
            </w:r>
          </w:p>
        </w:tc>
        <w:tc>
          <w:tcPr>
            <w:tcW w:w="874" w:type="dxa"/>
            <w:vMerge w:val="continue"/>
            <w:vAlign w:val="center"/>
          </w:tcPr>
          <w:p w14:paraId="22F0CEF3">
            <w:pPr>
              <w:jc w:val="center"/>
              <w:rPr>
                <w:sz w:val="21"/>
                <w:szCs w:val="21"/>
              </w:rPr>
            </w:pPr>
          </w:p>
        </w:tc>
      </w:tr>
      <w:tr w14:paraId="57D5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restart"/>
            <w:vAlign w:val="center"/>
          </w:tcPr>
          <w:p w14:paraId="2FB08233">
            <w:pPr>
              <w:jc w:val="center"/>
              <w:rPr>
                <w:sz w:val="21"/>
                <w:szCs w:val="21"/>
              </w:rPr>
            </w:pPr>
            <w:r>
              <w:rPr>
                <w:rFonts w:hint="eastAsia"/>
                <w:sz w:val="21"/>
                <w:szCs w:val="21"/>
              </w:rPr>
              <w:t>Ⅰ</w:t>
            </w:r>
          </w:p>
        </w:tc>
        <w:tc>
          <w:tcPr>
            <w:tcW w:w="787" w:type="dxa"/>
            <w:vMerge w:val="restart"/>
            <w:vAlign w:val="center"/>
          </w:tcPr>
          <w:p w14:paraId="217FB239">
            <w:pPr>
              <w:jc w:val="center"/>
              <w:rPr>
                <w:sz w:val="21"/>
                <w:szCs w:val="21"/>
              </w:rPr>
            </w:pPr>
            <w:r>
              <w:rPr>
                <w:rFonts w:hint="eastAsia"/>
                <w:sz w:val="21"/>
                <w:szCs w:val="21"/>
              </w:rPr>
              <w:t>全长粘结型锚杆</w:t>
            </w:r>
          </w:p>
        </w:tc>
        <w:tc>
          <w:tcPr>
            <w:tcW w:w="1100" w:type="dxa"/>
            <w:vAlign w:val="center"/>
          </w:tcPr>
          <w:p w14:paraId="3AE50A6D">
            <w:pPr>
              <w:jc w:val="center"/>
              <w:rPr>
                <w:sz w:val="21"/>
                <w:szCs w:val="21"/>
              </w:rPr>
            </w:pPr>
            <w:r>
              <w:rPr>
                <w:rFonts w:hint="eastAsia"/>
                <w:sz w:val="21"/>
                <w:szCs w:val="21"/>
              </w:rPr>
              <w:t>热轧带肋钢筋</w:t>
            </w:r>
          </w:p>
        </w:tc>
        <w:tc>
          <w:tcPr>
            <w:tcW w:w="2113" w:type="dxa"/>
            <w:vAlign w:val="center"/>
          </w:tcPr>
          <w:p w14:paraId="7FCDC9A4">
            <w:pPr>
              <w:jc w:val="center"/>
              <w:rPr>
                <w:sz w:val="21"/>
                <w:szCs w:val="21"/>
              </w:rPr>
            </w:pPr>
            <w:r>
              <w:rPr>
                <w:rFonts w:hint="eastAsia"/>
                <w:sz w:val="21"/>
                <w:szCs w:val="21"/>
              </w:rPr>
              <w:t>环氧涂层伸入长度120mm；波纹管内浆体深入长度40mm</w:t>
            </w:r>
          </w:p>
        </w:tc>
        <w:tc>
          <w:tcPr>
            <w:tcW w:w="1274" w:type="dxa"/>
            <w:vAlign w:val="center"/>
          </w:tcPr>
          <w:p w14:paraId="14BD94D0">
            <w:pPr>
              <w:jc w:val="center"/>
              <w:rPr>
                <w:sz w:val="21"/>
                <w:szCs w:val="21"/>
              </w:rPr>
            </w:pPr>
            <w:r>
              <w:rPr>
                <w:rFonts w:hint="eastAsia"/>
                <w:sz w:val="21"/>
                <w:szCs w:val="21"/>
              </w:rPr>
              <w:t>/</w:t>
            </w:r>
          </w:p>
        </w:tc>
        <w:tc>
          <w:tcPr>
            <w:tcW w:w="1704" w:type="dxa"/>
            <w:vAlign w:val="center"/>
          </w:tcPr>
          <w:p w14:paraId="4802A955">
            <w:pPr>
              <w:jc w:val="center"/>
              <w:rPr>
                <w:sz w:val="21"/>
                <w:szCs w:val="21"/>
              </w:rPr>
            </w:pPr>
            <w:r>
              <w:rPr>
                <w:rFonts w:hint="eastAsia"/>
                <w:sz w:val="21"/>
                <w:szCs w:val="21"/>
              </w:rPr>
              <w:t>环氧涂层厚度≥220μm；波纹管</w:t>
            </w:r>
          </w:p>
        </w:tc>
        <w:tc>
          <w:tcPr>
            <w:tcW w:w="874" w:type="dxa"/>
            <w:vMerge w:val="continue"/>
            <w:vAlign w:val="center"/>
          </w:tcPr>
          <w:p w14:paraId="2926FD71">
            <w:pPr>
              <w:jc w:val="center"/>
              <w:rPr>
                <w:sz w:val="21"/>
                <w:szCs w:val="21"/>
              </w:rPr>
            </w:pPr>
          </w:p>
        </w:tc>
      </w:tr>
      <w:tr w14:paraId="4485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BE28BD4">
            <w:pPr>
              <w:jc w:val="center"/>
              <w:rPr>
                <w:sz w:val="21"/>
                <w:szCs w:val="21"/>
              </w:rPr>
            </w:pPr>
          </w:p>
        </w:tc>
        <w:tc>
          <w:tcPr>
            <w:tcW w:w="787" w:type="dxa"/>
            <w:vMerge w:val="continue"/>
            <w:vAlign w:val="center"/>
          </w:tcPr>
          <w:p w14:paraId="7D1B1ADB">
            <w:pPr>
              <w:jc w:val="center"/>
              <w:rPr>
                <w:sz w:val="21"/>
                <w:szCs w:val="21"/>
              </w:rPr>
            </w:pPr>
          </w:p>
        </w:tc>
        <w:tc>
          <w:tcPr>
            <w:tcW w:w="1100" w:type="dxa"/>
            <w:vAlign w:val="center"/>
          </w:tcPr>
          <w:p w14:paraId="13E23168">
            <w:pPr>
              <w:jc w:val="center"/>
              <w:rPr>
                <w:sz w:val="21"/>
                <w:szCs w:val="21"/>
              </w:rPr>
            </w:pPr>
            <w:r>
              <w:rPr>
                <w:rFonts w:hint="eastAsia"/>
                <w:sz w:val="21"/>
                <w:szCs w:val="21"/>
              </w:rPr>
              <w:t>预应力螺纹钢筋</w:t>
            </w:r>
          </w:p>
        </w:tc>
        <w:tc>
          <w:tcPr>
            <w:tcW w:w="2113" w:type="dxa"/>
            <w:vAlign w:val="center"/>
          </w:tcPr>
          <w:p w14:paraId="678E2158">
            <w:pPr>
              <w:jc w:val="center"/>
              <w:rPr>
                <w:sz w:val="21"/>
                <w:szCs w:val="21"/>
              </w:rPr>
            </w:pPr>
            <w:r>
              <w:rPr>
                <w:rFonts w:hint="eastAsia"/>
                <w:sz w:val="21"/>
                <w:szCs w:val="21"/>
              </w:rPr>
              <w:t>全长环氧涂层；波纹管内浆体深入长度40mm</w:t>
            </w:r>
          </w:p>
        </w:tc>
        <w:tc>
          <w:tcPr>
            <w:tcW w:w="1274" w:type="dxa"/>
            <w:vAlign w:val="center"/>
          </w:tcPr>
          <w:p w14:paraId="52A22082">
            <w:pPr>
              <w:jc w:val="center"/>
              <w:rPr>
                <w:sz w:val="21"/>
                <w:szCs w:val="21"/>
              </w:rPr>
            </w:pPr>
            <w:r>
              <w:rPr>
                <w:rFonts w:hint="eastAsia"/>
                <w:sz w:val="21"/>
                <w:szCs w:val="21"/>
              </w:rPr>
              <w:t>/</w:t>
            </w:r>
          </w:p>
        </w:tc>
        <w:tc>
          <w:tcPr>
            <w:tcW w:w="1704" w:type="dxa"/>
            <w:vAlign w:val="center"/>
          </w:tcPr>
          <w:p w14:paraId="30C5F883">
            <w:pPr>
              <w:jc w:val="center"/>
              <w:rPr>
                <w:sz w:val="21"/>
                <w:szCs w:val="21"/>
              </w:rPr>
            </w:pPr>
            <w:r>
              <w:rPr>
                <w:rFonts w:hint="eastAsia"/>
                <w:sz w:val="21"/>
                <w:szCs w:val="21"/>
              </w:rPr>
              <w:t>环氧涂层厚度≥220μm；波纹管</w:t>
            </w:r>
          </w:p>
        </w:tc>
        <w:tc>
          <w:tcPr>
            <w:tcW w:w="874" w:type="dxa"/>
            <w:vMerge w:val="continue"/>
            <w:vAlign w:val="center"/>
          </w:tcPr>
          <w:p w14:paraId="35DB98E6">
            <w:pPr>
              <w:jc w:val="center"/>
              <w:rPr>
                <w:sz w:val="21"/>
                <w:szCs w:val="21"/>
              </w:rPr>
            </w:pPr>
          </w:p>
        </w:tc>
      </w:tr>
      <w:tr w14:paraId="79C5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5239B642">
            <w:pPr>
              <w:jc w:val="center"/>
              <w:rPr>
                <w:sz w:val="21"/>
                <w:szCs w:val="21"/>
              </w:rPr>
            </w:pPr>
          </w:p>
        </w:tc>
        <w:tc>
          <w:tcPr>
            <w:tcW w:w="787" w:type="dxa"/>
            <w:vMerge w:val="restart"/>
            <w:vAlign w:val="center"/>
          </w:tcPr>
          <w:p w14:paraId="0B11EB8E">
            <w:pPr>
              <w:jc w:val="center"/>
              <w:rPr>
                <w:sz w:val="21"/>
                <w:szCs w:val="21"/>
              </w:rPr>
            </w:pPr>
            <w:r>
              <w:rPr>
                <w:rFonts w:hint="eastAsia"/>
                <w:sz w:val="21"/>
                <w:szCs w:val="21"/>
              </w:rPr>
              <w:t>拉力型预应力锚杆</w:t>
            </w:r>
          </w:p>
        </w:tc>
        <w:tc>
          <w:tcPr>
            <w:tcW w:w="1100" w:type="dxa"/>
            <w:vAlign w:val="center"/>
          </w:tcPr>
          <w:p w14:paraId="49865770">
            <w:pPr>
              <w:jc w:val="center"/>
              <w:rPr>
                <w:sz w:val="21"/>
                <w:szCs w:val="21"/>
              </w:rPr>
            </w:pPr>
            <w:r>
              <w:rPr>
                <w:rFonts w:hint="eastAsia"/>
                <w:sz w:val="21"/>
                <w:szCs w:val="21"/>
              </w:rPr>
              <w:t>无粘结钢绞线</w:t>
            </w:r>
          </w:p>
        </w:tc>
        <w:tc>
          <w:tcPr>
            <w:tcW w:w="2113" w:type="dxa"/>
            <w:vAlign w:val="center"/>
          </w:tcPr>
          <w:p w14:paraId="41D54E03">
            <w:pPr>
              <w:jc w:val="center"/>
              <w:rPr>
                <w:sz w:val="21"/>
                <w:szCs w:val="21"/>
              </w:rPr>
            </w:pPr>
            <w:r>
              <w:rPr>
                <w:rFonts w:hint="eastAsia"/>
                <w:sz w:val="21"/>
                <w:szCs w:val="21"/>
              </w:rPr>
              <w:t>采用混凝土封闭</w:t>
            </w:r>
          </w:p>
        </w:tc>
        <w:tc>
          <w:tcPr>
            <w:tcW w:w="1274" w:type="dxa"/>
            <w:vAlign w:val="center"/>
          </w:tcPr>
          <w:p w14:paraId="2F1E9944">
            <w:pPr>
              <w:jc w:val="center"/>
              <w:rPr>
                <w:rFonts w:asciiTheme="minorHAnsi" w:hAnsiTheme="minorHAnsi" w:eastAsiaTheme="minorEastAsia" w:cstheme="minorBidi"/>
                <w:sz w:val="21"/>
                <w:szCs w:val="21"/>
              </w:rPr>
            </w:pPr>
            <w:r>
              <w:rPr>
                <w:rFonts w:hint="eastAsia"/>
                <w:sz w:val="21"/>
                <w:szCs w:val="21"/>
              </w:rPr>
              <w:t>采用内充润滑脂的套管</w:t>
            </w:r>
          </w:p>
        </w:tc>
        <w:tc>
          <w:tcPr>
            <w:tcW w:w="1704" w:type="dxa"/>
            <w:vAlign w:val="center"/>
          </w:tcPr>
          <w:p w14:paraId="43EA86D1">
            <w:pPr>
              <w:jc w:val="center"/>
              <w:rPr>
                <w:rFonts w:asciiTheme="minorHAnsi" w:hAnsiTheme="minorHAnsi" w:eastAsiaTheme="minorEastAsia" w:cstheme="minorBidi"/>
                <w:sz w:val="21"/>
                <w:szCs w:val="21"/>
              </w:rPr>
            </w:pPr>
            <w:r>
              <w:rPr>
                <w:rFonts w:hint="eastAsia"/>
                <w:sz w:val="21"/>
                <w:szCs w:val="21"/>
              </w:rPr>
              <w:t>环氧涂层厚度≥220μm；采用注入水泥浆的波纹管</w:t>
            </w:r>
          </w:p>
        </w:tc>
        <w:tc>
          <w:tcPr>
            <w:tcW w:w="874" w:type="dxa"/>
            <w:vMerge w:val="continue"/>
            <w:vAlign w:val="center"/>
          </w:tcPr>
          <w:p w14:paraId="1742D3D9">
            <w:pPr>
              <w:jc w:val="center"/>
              <w:rPr>
                <w:sz w:val="21"/>
                <w:szCs w:val="21"/>
              </w:rPr>
            </w:pPr>
          </w:p>
        </w:tc>
      </w:tr>
      <w:tr w14:paraId="761C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39988E67">
            <w:pPr>
              <w:jc w:val="center"/>
              <w:rPr>
                <w:sz w:val="21"/>
                <w:szCs w:val="21"/>
              </w:rPr>
            </w:pPr>
          </w:p>
        </w:tc>
        <w:tc>
          <w:tcPr>
            <w:tcW w:w="787" w:type="dxa"/>
            <w:vMerge w:val="continue"/>
            <w:vAlign w:val="center"/>
          </w:tcPr>
          <w:p w14:paraId="2C9BDC90">
            <w:pPr>
              <w:jc w:val="center"/>
              <w:rPr>
                <w:sz w:val="21"/>
                <w:szCs w:val="21"/>
              </w:rPr>
            </w:pPr>
          </w:p>
        </w:tc>
        <w:tc>
          <w:tcPr>
            <w:tcW w:w="1100" w:type="dxa"/>
            <w:vAlign w:val="center"/>
          </w:tcPr>
          <w:p w14:paraId="72693D4D">
            <w:pPr>
              <w:jc w:val="center"/>
              <w:rPr>
                <w:sz w:val="21"/>
                <w:szCs w:val="21"/>
              </w:rPr>
            </w:pPr>
            <w:r>
              <w:rPr>
                <w:rFonts w:hint="eastAsia"/>
                <w:sz w:val="21"/>
                <w:szCs w:val="21"/>
              </w:rPr>
              <w:t>预应力螺纹钢筋</w:t>
            </w:r>
          </w:p>
        </w:tc>
        <w:tc>
          <w:tcPr>
            <w:tcW w:w="2113" w:type="dxa"/>
            <w:vAlign w:val="center"/>
          </w:tcPr>
          <w:p w14:paraId="4A61ADA1">
            <w:pPr>
              <w:jc w:val="center"/>
              <w:rPr>
                <w:sz w:val="21"/>
                <w:szCs w:val="21"/>
              </w:rPr>
            </w:pPr>
            <w:r>
              <w:rPr>
                <w:rFonts w:hint="eastAsia"/>
                <w:sz w:val="21"/>
                <w:szCs w:val="21"/>
              </w:rPr>
              <w:t>采用混凝土封闭</w:t>
            </w:r>
          </w:p>
        </w:tc>
        <w:tc>
          <w:tcPr>
            <w:tcW w:w="1274" w:type="dxa"/>
            <w:vAlign w:val="center"/>
          </w:tcPr>
          <w:p w14:paraId="204EE0AB">
            <w:pPr>
              <w:jc w:val="center"/>
              <w:rPr>
                <w:rFonts w:asciiTheme="minorHAnsi" w:hAnsiTheme="minorHAnsi" w:eastAsiaTheme="minorEastAsia" w:cstheme="minorBidi"/>
                <w:sz w:val="21"/>
                <w:szCs w:val="21"/>
              </w:rPr>
            </w:pPr>
            <w:r>
              <w:rPr>
                <w:rFonts w:hint="eastAsia"/>
                <w:sz w:val="21"/>
                <w:szCs w:val="21"/>
              </w:rPr>
              <w:t>采用内充润滑脂的套管</w:t>
            </w:r>
          </w:p>
        </w:tc>
        <w:tc>
          <w:tcPr>
            <w:tcW w:w="1704" w:type="dxa"/>
            <w:vAlign w:val="center"/>
          </w:tcPr>
          <w:p w14:paraId="0D0DB82C">
            <w:pPr>
              <w:jc w:val="center"/>
              <w:rPr>
                <w:rFonts w:asciiTheme="minorHAnsi" w:hAnsiTheme="minorHAnsi" w:eastAsiaTheme="minorEastAsia" w:cstheme="minorBidi"/>
                <w:sz w:val="21"/>
                <w:szCs w:val="21"/>
              </w:rPr>
            </w:pPr>
            <w:r>
              <w:rPr>
                <w:rFonts w:hint="eastAsia"/>
                <w:sz w:val="21"/>
                <w:szCs w:val="21"/>
              </w:rPr>
              <w:t>环氧涂层厚度≥220μm；采用注入水泥浆的波纹管</w:t>
            </w:r>
          </w:p>
        </w:tc>
        <w:tc>
          <w:tcPr>
            <w:tcW w:w="874" w:type="dxa"/>
            <w:vMerge w:val="continue"/>
            <w:vAlign w:val="center"/>
          </w:tcPr>
          <w:p w14:paraId="625F1E5D">
            <w:pPr>
              <w:jc w:val="center"/>
              <w:rPr>
                <w:sz w:val="21"/>
                <w:szCs w:val="21"/>
              </w:rPr>
            </w:pPr>
          </w:p>
        </w:tc>
      </w:tr>
      <w:tr w14:paraId="5A04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480B61F5">
            <w:pPr>
              <w:jc w:val="center"/>
              <w:rPr>
                <w:sz w:val="21"/>
                <w:szCs w:val="21"/>
              </w:rPr>
            </w:pPr>
          </w:p>
        </w:tc>
        <w:tc>
          <w:tcPr>
            <w:tcW w:w="787" w:type="dxa"/>
            <w:vMerge w:val="restart"/>
            <w:vAlign w:val="center"/>
          </w:tcPr>
          <w:p w14:paraId="77B9CF30">
            <w:pPr>
              <w:jc w:val="center"/>
              <w:rPr>
                <w:sz w:val="21"/>
                <w:szCs w:val="21"/>
              </w:rPr>
            </w:pPr>
            <w:r>
              <w:rPr>
                <w:rFonts w:hint="eastAsia"/>
                <w:sz w:val="21"/>
                <w:szCs w:val="21"/>
              </w:rPr>
              <w:t>压力型预应力锚杆</w:t>
            </w:r>
          </w:p>
        </w:tc>
        <w:tc>
          <w:tcPr>
            <w:tcW w:w="1100" w:type="dxa"/>
            <w:vAlign w:val="center"/>
          </w:tcPr>
          <w:p w14:paraId="2E4E66D0">
            <w:pPr>
              <w:jc w:val="center"/>
              <w:rPr>
                <w:rFonts w:asciiTheme="minorHAnsi" w:hAnsiTheme="minorHAnsi" w:eastAsiaTheme="minorEastAsia" w:cstheme="minorBidi"/>
                <w:sz w:val="21"/>
                <w:szCs w:val="21"/>
              </w:rPr>
            </w:pPr>
            <w:r>
              <w:rPr>
                <w:rFonts w:hint="eastAsia"/>
                <w:sz w:val="21"/>
                <w:szCs w:val="21"/>
              </w:rPr>
              <w:t>无粘结钢绞线</w:t>
            </w:r>
          </w:p>
        </w:tc>
        <w:tc>
          <w:tcPr>
            <w:tcW w:w="5965" w:type="dxa"/>
            <w:gridSpan w:val="4"/>
            <w:vMerge w:val="restart"/>
            <w:vAlign w:val="center"/>
          </w:tcPr>
          <w:p w14:paraId="10CB1581">
            <w:pPr>
              <w:jc w:val="center"/>
              <w:rPr>
                <w:sz w:val="21"/>
                <w:szCs w:val="21"/>
              </w:rPr>
            </w:pPr>
            <w:r>
              <w:rPr>
                <w:rFonts w:hint="eastAsia"/>
                <w:sz w:val="21"/>
                <w:szCs w:val="21"/>
              </w:rPr>
              <w:t>同等级Ⅱ</w:t>
            </w:r>
          </w:p>
        </w:tc>
      </w:tr>
      <w:tr w14:paraId="6E36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Merge w:val="continue"/>
            <w:vAlign w:val="center"/>
          </w:tcPr>
          <w:p w14:paraId="7F2668AE">
            <w:pPr>
              <w:jc w:val="center"/>
              <w:rPr>
                <w:sz w:val="21"/>
                <w:szCs w:val="21"/>
              </w:rPr>
            </w:pPr>
          </w:p>
        </w:tc>
        <w:tc>
          <w:tcPr>
            <w:tcW w:w="787" w:type="dxa"/>
            <w:vMerge w:val="continue"/>
            <w:vAlign w:val="center"/>
          </w:tcPr>
          <w:p w14:paraId="7F8ADA49">
            <w:pPr>
              <w:jc w:val="center"/>
              <w:rPr>
                <w:sz w:val="21"/>
                <w:szCs w:val="21"/>
              </w:rPr>
            </w:pPr>
          </w:p>
        </w:tc>
        <w:tc>
          <w:tcPr>
            <w:tcW w:w="1100" w:type="dxa"/>
            <w:vAlign w:val="center"/>
          </w:tcPr>
          <w:p w14:paraId="0CE5251F">
            <w:pPr>
              <w:jc w:val="center"/>
              <w:rPr>
                <w:rFonts w:asciiTheme="minorHAnsi" w:hAnsiTheme="minorHAnsi" w:eastAsiaTheme="minorEastAsia" w:cstheme="minorBidi"/>
                <w:sz w:val="21"/>
                <w:szCs w:val="21"/>
              </w:rPr>
            </w:pPr>
            <w:r>
              <w:rPr>
                <w:rFonts w:hint="eastAsia"/>
                <w:sz w:val="21"/>
                <w:szCs w:val="21"/>
              </w:rPr>
              <w:t>预应力螺纹钢筋</w:t>
            </w:r>
          </w:p>
        </w:tc>
        <w:tc>
          <w:tcPr>
            <w:tcW w:w="5965" w:type="dxa"/>
            <w:gridSpan w:val="4"/>
            <w:vMerge w:val="continue"/>
            <w:vAlign w:val="center"/>
          </w:tcPr>
          <w:p w14:paraId="4DCDE0D1">
            <w:pPr>
              <w:jc w:val="center"/>
              <w:rPr>
                <w:sz w:val="21"/>
                <w:szCs w:val="21"/>
              </w:rPr>
            </w:pPr>
          </w:p>
        </w:tc>
      </w:tr>
    </w:tbl>
    <w:p w14:paraId="3C12E198">
      <w:pPr>
        <w:rPr>
          <w:rFonts w:eastAsiaTheme="minorEastAsia"/>
          <w:sz w:val="24"/>
          <w:szCs w:val="24"/>
        </w:rPr>
      </w:pPr>
      <w:r>
        <w:rPr>
          <w:rFonts w:eastAsiaTheme="minorEastAsia"/>
          <w:sz w:val="24"/>
          <w:szCs w:val="24"/>
        </w:rPr>
        <w:br w:type="page"/>
      </w:r>
    </w:p>
    <w:p w14:paraId="3B6552D2">
      <w:pPr>
        <w:numPr>
          <w:ilvl w:val="0"/>
          <w:numId w:val="43"/>
        </w:numPr>
        <w:spacing w:line="360" w:lineRule="auto"/>
        <w:ind w:firstLine="0"/>
        <w:jc w:val="center"/>
        <w:outlineLvl w:val="0"/>
        <w:rPr>
          <w:rFonts w:eastAsiaTheme="minorEastAsia"/>
          <w:b/>
          <w:bCs/>
          <w:sz w:val="28"/>
          <w:szCs w:val="18"/>
        </w:rPr>
      </w:pPr>
      <w:bookmarkStart w:id="250" w:name="_Toc10343"/>
      <w:bookmarkStart w:id="251" w:name="_Toc548"/>
      <w:bookmarkStart w:id="252" w:name="_Toc14153"/>
      <w:bookmarkStart w:id="253" w:name="_Toc676"/>
      <w:bookmarkStart w:id="254" w:name="_Toc5617"/>
      <w:bookmarkStart w:id="255" w:name="_Toc15128"/>
      <w:bookmarkStart w:id="256" w:name="_Toc12037"/>
      <w:r>
        <w:rPr>
          <w:rFonts w:eastAsiaTheme="minorEastAsia"/>
          <w:b/>
          <w:bCs/>
          <w:sz w:val="28"/>
          <w:szCs w:val="18"/>
        </w:rPr>
        <w:t>锚固板强度验算方法</w:t>
      </w:r>
      <w:bookmarkEnd w:id="250"/>
      <w:bookmarkEnd w:id="251"/>
      <w:bookmarkEnd w:id="252"/>
      <w:bookmarkEnd w:id="253"/>
      <w:bookmarkEnd w:id="254"/>
      <w:bookmarkEnd w:id="255"/>
      <w:bookmarkEnd w:id="256"/>
    </w:p>
    <w:p w14:paraId="39270A85">
      <w:pPr>
        <w:numPr>
          <w:ilvl w:val="0"/>
          <w:numId w:val="55"/>
        </w:numPr>
        <w:spacing w:line="360" w:lineRule="auto"/>
        <w:ind w:firstLine="0"/>
        <w:rPr>
          <w:rFonts w:eastAsiaTheme="minorEastAsia"/>
          <w:sz w:val="24"/>
          <w:szCs w:val="32"/>
        </w:rPr>
      </w:pPr>
      <w:r>
        <w:rPr>
          <w:rFonts w:eastAsiaTheme="minorEastAsia"/>
          <w:sz w:val="24"/>
          <w:szCs w:val="32"/>
        </w:rPr>
        <w:t>抗弯强度验算应符合下列规定：</w:t>
      </w:r>
    </w:p>
    <w:p w14:paraId="29CB6E0E">
      <w:pPr>
        <w:spacing w:line="360" w:lineRule="auto"/>
        <w:jc w:val="right"/>
        <w:rPr>
          <w:rFonts w:eastAsiaTheme="minorEastAsia"/>
          <w:sz w:val="24"/>
          <w:szCs w:val="32"/>
        </w:rPr>
      </w:pPr>
      <w:r>
        <w:rPr>
          <w:rFonts w:eastAsiaTheme="minorEastAsia"/>
          <w:sz w:val="24"/>
          <w:szCs w:val="32"/>
        </w:rPr>
        <w:t>1.1</w:t>
      </w:r>
      <w:r>
        <w:rPr>
          <w:rFonts w:eastAsiaTheme="minorEastAsia"/>
          <w:i/>
          <w:iCs/>
          <w:sz w:val="24"/>
          <w:szCs w:val="32"/>
        </w:rPr>
        <w:t>M</w:t>
      </w:r>
      <w:r>
        <w:rPr>
          <w:rFonts w:eastAsiaTheme="minorEastAsia"/>
          <w:sz w:val="24"/>
          <w:szCs w:val="32"/>
        </w:rPr>
        <w:t>/</w:t>
      </w:r>
      <w:r>
        <w:rPr>
          <w:rFonts w:eastAsiaTheme="minorEastAsia"/>
          <w:i/>
          <w:iCs/>
          <w:sz w:val="24"/>
          <w:szCs w:val="32"/>
        </w:rPr>
        <w:t>W</w:t>
      </w:r>
      <w:r>
        <w:rPr>
          <w:rFonts w:eastAsiaTheme="minorEastAsia"/>
          <w:sz w:val="24"/>
          <w:szCs w:val="32"/>
        </w:rPr>
        <w:t xml:space="preserve">≤ </w:t>
      </w:r>
      <w:r>
        <w:rPr>
          <w:rFonts w:eastAsiaTheme="minorEastAsia"/>
          <w:i/>
          <w:iCs/>
          <w:sz w:val="24"/>
          <w:szCs w:val="32"/>
        </w:rPr>
        <w:t>f</w:t>
      </w:r>
      <w:r>
        <w:rPr>
          <w:rFonts w:eastAsiaTheme="minorEastAsia"/>
          <w:sz w:val="24"/>
          <w:szCs w:val="32"/>
        </w:rPr>
        <w:t xml:space="preserve">                                （</w:t>
      </w:r>
      <w:r>
        <w:rPr>
          <w:rFonts w:hint="eastAsia" w:eastAsiaTheme="minorEastAsia"/>
          <w:sz w:val="24"/>
          <w:szCs w:val="32"/>
        </w:rPr>
        <w:t>D</w:t>
      </w:r>
      <w:r>
        <w:rPr>
          <w:rFonts w:eastAsiaTheme="minorEastAsia"/>
          <w:sz w:val="24"/>
          <w:szCs w:val="32"/>
        </w:rPr>
        <w:t>.0.1）</w:t>
      </w:r>
    </w:p>
    <w:p w14:paraId="7C49CB7A">
      <w:pPr>
        <w:spacing w:line="360" w:lineRule="auto"/>
        <w:rPr>
          <w:rFonts w:eastAsiaTheme="minorEastAsia"/>
          <w:sz w:val="24"/>
          <w:szCs w:val="32"/>
        </w:rPr>
      </w:pPr>
      <w:r>
        <w:rPr>
          <w:rFonts w:eastAsiaTheme="minorEastAsia"/>
          <w:sz w:val="24"/>
          <w:szCs w:val="32"/>
        </w:rPr>
        <w:t>式中：</w:t>
      </w:r>
      <w:r>
        <w:rPr>
          <w:rFonts w:eastAsiaTheme="minorEastAsia"/>
          <w:i/>
          <w:iCs/>
          <w:sz w:val="24"/>
          <w:szCs w:val="32"/>
        </w:rPr>
        <w:t>M</w:t>
      </w:r>
      <w:r>
        <w:rPr>
          <w:rFonts w:eastAsiaTheme="minorEastAsia"/>
          <w:sz w:val="24"/>
          <w:szCs w:val="32"/>
        </w:rPr>
        <w:t>——弯矩设计值（N·mm）；</w:t>
      </w:r>
    </w:p>
    <w:p w14:paraId="360FF098">
      <w:pPr>
        <w:spacing w:line="360" w:lineRule="auto"/>
        <w:rPr>
          <w:rFonts w:eastAsiaTheme="minorEastAsia"/>
          <w:sz w:val="24"/>
          <w:szCs w:val="32"/>
        </w:rPr>
      </w:pPr>
      <w:r>
        <w:rPr>
          <w:rFonts w:eastAsiaTheme="minorEastAsia"/>
          <w:sz w:val="24"/>
          <w:szCs w:val="32"/>
        </w:rPr>
        <w:t xml:space="preserve">      </w:t>
      </w:r>
      <w:r>
        <w:rPr>
          <w:rFonts w:eastAsiaTheme="minorEastAsia"/>
          <w:i/>
          <w:iCs/>
          <w:sz w:val="24"/>
          <w:szCs w:val="32"/>
        </w:rPr>
        <w:t>W</w:t>
      </w:r>
      <w:r>
        <w:rPr>
          <w:rFonts w:eastAsiaTheme="minorEastAsia"/>
          <w:sz w:val="24"/>
          <w:szCs w:val="32"/>
        </w:rPr>
        <w:t>——截面受拉弹性抵抗矩（mm</w:t>
      </w:r>
      <w:r>
        <w:rPr>
          <w:rFonts w:eastAsiaTheme="minorEastAsia"/>
          <w:sz w:val="24"/>
          <w:szCs w:val="32"/>
          <w:vertAlign w:val="superscript"/>
        </w:rPr>
        <w:t>3</w:t>
      </w:r>
      <w:r>
        <w:rPr>
          <w:rFonts w:eastAsiaTheme="minorEastAsia"/>
          <w:sz w:val="24"/>
          <w:szCs w:val="32"/>
        </w:rPr>
        <w:t>）；</w:t>
      </w:r>
    </w:p>
    <w:p w14:paraId="1C8DD901">
      <w:pPr>
        <w:spacing w:line="360" w:lineRule="auto"/>
        <w:ind w:left="1272" w:hanging="1272" w:hangingChars="530"/>
        <w:rPr>
          <w:rFonts w:eastAsiaTheme="minorEastAsia"/>
          <w:sz w:val="24"/>
          <w:szCs w:val="32"/>
        </w:rPr>
      </w:pPr>
      <w:r>
        <w:rPr>
          <w:rFonts w:eastAsiaTheme="minorEastAsia"/>
          <w:sz w:val="24"/>
          <w:szCs w:val="32"/>
        </w:rPr>
        <w:t xml:space="preserve">       </w:t>
      </w:r>
      <w:r>
        <w:rPr>
          <w:rFonts w:eastAsiaTheme="minorEastAsia"/>
          <w:i/>
          <w:iCs/>
          <w:sz w:val="24"/>
          <w:szCs w:val="32"/>
        </w:rPr>
        <w:t>f</w:t>
      </w:r>
      <w:r>
        <w:rPr>
          <w:rFonts w:eastAsiaTheme="minorEastAsia"/>
          <w:sz w:val="24"/>
          <w:szCs w:val="32"/>
        </w:rPr>
        <w:t>——钢材抗拉强度设计值（N</w:t>
      </w:r>
      <w:r>
        <w:rPr>
          <w:rFonts w:hint="eastAsia" w:eastAsiaTheme="minorEastAsia"/>
          <w:sz w:val="24"/>
          <w:szCs w:val="32"/>
        </w:rPr>
        <w:t>/</w:t>
      </w:r>
      <w:r>
        <w:rPr>
          <w:rFonts w:eastAsiaTheme="minorEastAsia"/>
          <w:sz w:val="24"/>
          <w:szCs w:val="32"/>
        </w:rPr>
        <w:t>mm</w:t>
      </w:r>
      <w:r>
        <w:rPr>
          <w:rFonts w:hint="eastAsia" w:eastAsiaTheme="minorEastAsia"/>
          <w:sz w:val="24"/>
          <w:szCs w:val="32"/>
          <w:vertAlign w:val="superscript"/>
        </w:rPr>
        <w:t>2</w:t>
      </w:r>
      <w:r>
        <w:rPr>
          <w:rFonts w:eastAsiaTheme="minorEastAsia"/>
          <w:sz w:val="24"/>
          <w:szCs w:val="32"/>
        </w:rPr>
        <w:t>），</w:t>
      </w:r>
      <w:r>
        <w:rPr>
          <w:rFonts w:hint="eastAsia" w:eastAsiaTheme="minorEastAsia"/>
          <w:sz w:val="24"/>
          <w:szCs w:val="24"/>
        </w:rPr>
        <w:t>按现行国家标准《钢结构设计标准》GB 50017</w:t>
      </w:r>
      <w:r>
        <w:rPr>
          <w:rFonts w:eastAsia="宋体"/>
          <w:sz w:val="24"/>
          <w:szCs w:val="32"/>
        </w:rPr>
        <w:t>取</w:t>
      </w:r>
      <w:r>
        <w:rPr>
          <w:rFonts w:hint="eastAsia" w:eastAsia="宋体"/>
          <w:sz w:val="24"/>
          <w:szCs w:val="32"/>
        </w:rPr>
        <w:t>值</w:t>
      </w:r>
      <w:r>
        <w:rPr>
          <w:rFonts w:eastAsiaTheme="minorEastAsia"/>
          <w:sz w:val="24"/>
          <w:szCs w:val="32"/>
        </w:rPr>
        <w:t>。</w:t>
      </w:r>
    </w:p>
    <w:p w14:paraId="08CAB06B">
      <w:pPr>
        <w:numPr>
          <w:ilvl w:val="0"/>
          <w:numId w:val="55"/>
        </w:numPr>
        <w:spacing w:line="360" w:lineRule="auto"/>
        <w:ind w:firstLine="0"/>
        <w:rPr>
          <w:rFonts w:eastAsiaTheme="minorEastAsia"/>
          <w:sz w:val="24"/>
          <w:szCs w:val="32"/>
        </w:rPr>
      </w:pPr>
      <w:r>
        <w:rPr>
          <w:rFonts w:eastAsiaTheme="minorEastAsia"/>
          <w:sz w:val="24"/>
          <w:szCs w:val="32"/>
        </w:rPr>
        <w:t>截面受拉弹性抵抗矩</w:t>
      </w:r>
      <w:r>
        <w:rPr>
          <w:rFonts w:eastAsiaTheme="minorEastAsia"/>
          <w:i/>
          <w:iCs/>
          <w:sz w:val="24"/>
          <w:szCs w:val="32"/>
        </w:rPr>
        <w:t>W</w:t>
      </w:r>
      <w:r>
        <w:rPr>
          <w:rFonts w:eastAsiaTheme="minorEastAsia"/>
          <w:sz w:val="24"/>
          <w:szCs w:val="32"/>
        </w:rPr>
        <w:t>可</w:t>
      </w:r>
      <w:r>
        <w:rPr>
          <w:rFonts w:hint="eastAsia" w:eastAsiaTheme="minorEastAsia"/>
          <w:sz w:val="24"/>
          <w:szCs w:val="32"/>
        </w:rPr>
        <w:t>按</w:t>
      </w:r>
      <w:r>
        <w:rPr>
          <w:rFonts w:eastAsiaTheme="minorEastAsia"/>
          <w:sz w:val="24"/>
          <w:szCs w:val="32"/>
        </w:rPr>
        <w:t>下列公式（图</w:t>
      </w:r>
      <w:r>
        <w:rPr>
          <w:rFonts w:hint="eastAsia" w:eastAsiaTheme="minorEastAsia"/>
          <w:sz w:val="24"/>
          <w:szCs w:val="32"/>
        </w:rPr>
        <w:t>D</w:t>
      </w:r>
      <w:r>
        <w:rPr>
          <w:rFonts w:eastAsiaTheme="minorEastAsia"/>
          <w:sz w:val="24"/>
          <w:szCs w:val="32"/>
        </w:rPr>
        <w:t>.0.2）计算：</w:t>
      </w:r>
    </w:p>
    <w:p w14:paraId="62DE9D0F">
      <w:pPr>
        <w:spacing w:line="360" w:lineRule="auto"/>
        <w:jc w:val="right"/>
        <w:rPr>
          <w:rFonts w:eastAsiaTheme="minorEastAsia"/>
          <w:sz w:val="24"/>
          <w:szCs w:val="32"/>
        </w:rPr>
      </w:pPr>
      <w:r>
        <w:rPr>
          <w:rFonts w:eastAsiaTheme="minorEastAsia"/>
          <w:i/>
          <w:iCs/>
          <w:sz w:val="24"/>
          <w:szCs w:val="32"/>
        </w:rPr>
        <w:t>W</w:t>
      </w:r>
      <w:r>
        <w:rPr>
          <w:rFonts w:eastAsiaTheme="minorEastAsia"/>
          <w:sz w:val="24"/>
          <w:szCs w:val="32"/>
        </w:rPr>
        <w:t>=</w:t>
      </w:r>
      <w:r>
        <w:rPr>
          <w:rFonts w:eastAsiaTheme="minorEastAsia"/>
          <w:i/>
          <w:iCs/>
          <w:sz w:val="24"/>
          <w:szCs w:val="32"/>
        </w:rPr>
        <w:t>πr</w:t>
      </w:r>
      <w:r>
        <w:rPr>
          <w:rFonts w:eastAsiaTheme="minorEastAsia"/>
          <w:sz w:val="24"/>
          <w:szCs w:val="32"/>
          <w:vertAlign w:val="subscript"/>
        </w:rPr>
        <w:t>1</w:t>
      </w:r>
      <w:r>
        <w:rPr>
          <w:rFonts w:eastAsiaTheme="minorEastAsia"/>
          <w:i/>
          <w:iCs/>
          <w:sz w:val="24"/>
          <w:szCs w:val="32"/>
        </w:rPr>
        <w:t>t</w:t>
      </w:r>
      <w:r>
        <w:rPr>
          <w:rFonts w:eastAsiaTheme="minorEastAsia"/>
          <w:sz w:val="24"/>
          <w:szCs w:val="32"/>
          <w:vertAlign w:val="superscript"/>
        </w:rPr>
        <w:t>2</w:t>
      </w:r>
      <w:r>
        <w:rPr>
          <w:rFonts w:eastAsiaTheme="minorEastAsia"/>
          <w:sz w:val="24"/>
          <w:szCs w:val="32"/>
        </w:rPr>
        <w:t xml:space="preserve">/3 </w:t>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ab/>
      </w:r>
      <w:r>
        <w:rPr>
          <w:rFonts w:eastAsiaTheme="minorEastAsia"/>
          <w:sz w:val="24"/>
          <w:szCs w:val="32"/>
        </w:rPr>
        <w:t xml:space="preserve">   （</w:t>
      </w:r>
      <w:r>
        <w:rPr>
          <w:rFonts w:hint="eastAsia" w:eastAsiaTheme="minorEastAsia"/>
          <w:sz w:val="24"/>
          <w:szCs w:val="32"/>
        </w:rPr>
        <w:t>D</w:t>
      </w:r>
      <w:r>
        <w:rPr>
          <w:rFonts w:eastAsiaTheme="minorEastAsia"/>
          <w:sz w:val="24"/>
          <w:szCs w:val="32"/>
        </w:rPr>
        <w:t>.0.2）</w:t>
      </w:r>
    </w:p>
    <w:p w14:paraId="113C3E64">
      <w:pPr>
        <w:spacing w:line="360" w:lineRule="auto"/>
        <w:ind w:left="1296" w:hanging="1296" w:hangingChars="540"/>
        <w:rPr>
          <w:rFonts w:eastAsiaTheme="minorEastAsia"/>
          <w:sz w:val="24"/>
          <w:szCs w:val="32"/>
        </w:rPr>
      </w:pPr>
      <w:r>
        <w:rPr>
          <w:rFonts w:eastAsiaTheme="minorEastAsia"/>
          <w:sz w:val="24"/>
          <w:szCs w:val="32"/>
        </w:rPr>
        <w:t>式中：</w:t>
      </w:r>
      <w:r>
        <w:rPr>
          <w:rFonts w:eastAsiaTheme="minorEastAsia"/>
          <w:i/>
          <w:iCs/>
          <w:sz w:val="24"/>
          <w:szCs w:val="32"/>
        </w:rPr>
        <w:t>r</w:t>
      </w:r>
      <w:r>
        <w:rPr>
          <w:rFonts w:eastAsiaTheme="minorEastAsia"/>
          <w:sz w:val="24"/>
          <w:szCs w:val="32"/>
          <w:vertAlign w:val="subscript"/>
        </w:rPr>
        <w:t>1</w:t>
      </w:r>
      <w:r>
        <w:rPr>
          <w:rFonts w:eastAsiaTheme="minorEastAsia"/>
          <w:sz w:val="24"/>
          <w:szCs w:val="32"/>
        </w:rPr>
        <w:t>——应力控制点半径（mm），取值不宜大于锁定螺母或锚具与垫板实际接触面半径；</w:t>
      </w:r>
    </w:p>
    <w:p w14:paraId="4F32320F">
      <w:pPr>
        <w:spacing w:line="360" w:lineRule="auto"/>
        <w:ind w:firstLine="480" w:firstLineChars="200"/>
        <w:rPr>
          <w:rFonts w:eastAsiaTheme="minorEastAsia"/>
          <w:sz w:val="24"/>
          <w:szCs w:val="32"/>
        </w:rPr>
      </w:pPr>
      <w:r>
        <w:rPr>
          <w:rFonts w:eastAsiaTheme="minorEastAsia"/>
          <w:sz w:val="24"/>
          <w:szCs w:val="32"/>
        </w:rPr>
        <w:t xml:space="preserve">  </w:t>
      </w:r>
      <w:r>
        <w:rPr>
          <w:rFonts w:eastAsiaTheme="minorEastAsia"/>
          <w:i/>
          <w:iCs/>
          <w:sz w:val="24"/>
          <w:szCs w:val="32"/>
        </w:rPr>
        <w:t>t</w:t>
      </w:r>
      <w:r>
        <w:rPr>
          <w:rFonts w:eastAsiaTheme="minorEastAsia"/>
          <w:sz w:val="24"/>
          <w:szCs w:val="32"/>
        </w:rPr>
        <w:t>——垫板或锚固板厚度（mm）。</w:t>
      </w:r>
    </w:p>
    <w:p w14:paraId="53B737F9">
      <w:pPr>
        <w:numPr>
          <w:ilvl w:val="0"/>
          <w:numId w:val="55"/>
        </w:numPr>
        <w:spacing w:line="360" w:lineRule="auto"/>
        <w:ind w:firstLine="0"/>
        <w:rPr>
          <w:rFonts w:eastAsiaTheme="minorEastAsia"/>
          <w:sz w:val="24"/>
          <w:szCs w:val="32"/>
        </w:rPr>
      </w:pPr>
      <w:r>
        <w:rPr>
          <w:rFonts w:eastAsiaTheme="minorEastAsia"/>
          <w:sz w:val="24"/>
          <w:szCs w:val="32"/>
        </w:rPr>
        <w:t>方形锚固板弯矩</w:t>
      </w:r>
      <w:r>
        <w:rPr>
          <w:rFonts w:eastAsiaTheme="minorEastAsia"/>
          <w:i/>
          <w:iCs/>
          <w:sz w:val="24"/>
          <w:szCs w:val="32"/>
        </w:rPr>
        <w:t>M</w:t>
      </w:r>
      <w:r>
        <w:rPr>
          <w:rFonts w:eastAsiaTheme="minorEastAsia"/>
          <w:sz w:val="24"/>
          <w:szCs w:val="32"/>
        </w:rPr>
        <w:t>可按下列公式计算：</w:t>
      </w:r>
    </w:p>
    <w:p w14:paraId="36EB3315">
      <w:pPr>
        <w:spacing w:line="360" w:lineRule="auto"/>
        <w:jc w:val="center"/>
        <w:rPr>
          <w:rFonts w:eastAsiaTheme="minorEastAsia"/>
        </w:rPr>
      </w:pPr>
      <w:r>
        <w:drawing>
          <wp:inline distT="0" distB="0" distL="114300" distR="114300">
            <wp:extent cx="2606040" cy="2327275"/>
            <wp:effectExtent l="0" t="0" r="3810" b="15875"/>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44"/>
                    <a:stretch>
                      <a:fillRect/>
                    </a:stretch>
                  </pic:blipFill>
                  <pic:spPr>
                    <a:xfrm>
                      <a:off x="0" y="0"/>
                      <a:ext cx="2606040" cy="2327275"/>
                    </a:xfrm>
                    <a:prstGeom prst="rect">
                      <a:avLst/>
                    </a:prstGeom>
                    <a:noFill/>
                    <a:ln>
                      <a:noFill/>
                    </a:ln>
                  </pic:spPr>
                </pic:pic>
              </a:graphicData>
            </a:graphic>
          </wp:inline>
        </w:drawing>
      </w:r>
    </w:p>
    <w:p w14:paraId="78138E7B">
      <w:pPr>
        <w:spacing w:line="360" w:lineRule="auto"/>
        <w:ind w:left="1188" w:hanging="1188" w:hangingChars="540"/>
        <w:jc w:val="center"/>
        <w:rPr>
          <w:rFonts w:eastAsiaTheme="minorEastAsia"/>
          <w:sz w:val="22"/>
          <w:szCs w:val="28"/>
        </w:rPr>
      </w:pPr>
      <w:r>
        <w:rPr>
          <w:rFonts w:eastAsiaTheme="minorEastAsia"/>
          <w:sz w:val="22"/>
          <w:szCs w:val="28"/>
        </w:rPr>
        <w:t>图D.0.</w:t>
      </w:r>
      <w:r>
        <w:rPr>
          <w:rFonts w:hint="eastAsia" w:eastAsiaTheme="minorEastAsia"/>
          <w:sz w:val="22"/>
          <w:szCs w:val="28"/>
        </w:rPr>
        <w:t>3</w:t>
      </w:r>
      <w:r>
        <w:rPr>
          <w:rFonts w:eastAsiaTheme="minorEastAsia"/>
          <w:sz w:val="22"/>
          <w:szCs w:val="28"/>
        </w:rPr>
        <w:t xml:space="preserve">  方形锚固板弯矩计算简图</w:t>
      </w:r>
    </w:p>
    <w:p w14:paraId="214E0D6E">
      <w:pPr>
        <w:spacing w:line="360" w:lineRule="auto"/>
        <w:ind w:left="1188" w:hanging="1188" w:hangingChars="540"/>
        <w:jc w:val="center"/>
        <w:rPr>
          <w:rFonts w:eastAsiaTheme="minorEastAsia"/>
          <w:sz w:val="22"/>
          <w:szCs w:val="28"/>
        </w:rPr>
      </w:pPr>
      <w:r>
        <w:rPr>
          <w:rFonts w:eastAsiaTheme="minorEastAsia"/>
          <w:sz w:val="22"/>
          <w:szCs w:val="28"/>
        </w:rPr>
        <w:t>1－方形锚固板；2－六角螺母；3－锚筋</w:t>
      </w:r>
      <w:r>
        <w:rPr>
          <w:rFonts w:hint="eastAsia" w:eastAsiaTheme="minorEastAsia"/>
          <w:sz w:val="22"/>
          <w:szCs w:val="28"/>
        </w:rPr>
        <w:t>；4</w:t>
      </w:r>
      <w:r>
        <w:rPr>
          <w:rFonts w:eastAsiaTheme="minorEastAsia"/>
          <w:sz w:val="22"/>
          <w:szCs w:val="28"/>
        </w:rPr>
        <w:t>－应力控制点</w:t>
      </w:r>
    </w:p>
    <w:p w14:paraId="4A65FB78">
      <w:pPr>
        <w:spacing w:line="360" w:lineRule="auto"/>
        <w:jc w:val="right"/>
        <w:rPr>
          <w:rFonts w:eastAsiaTheme="minorEastAsia"/>
          <w:sz w:val="24"/>
          <w:szCs w:val="32"/>
        </w:rPr>
      </w:pPr>
      <w:r>
        <w:rPr>
          <w:rFonts w:eastAsiaTheme="minorEastAsia"/>
          <w:i/>
          <w:iCs/>
          <w:sz w:val="24"/>
          <w:szCs w:val="32"/>
        </w:rPr>
        <w:t>M</w:t>
      </w:r>
      <w:r>
        <w:rPr>
          <w:rFonts w:eastAsiaTheme="minorEastAsia"/>
          <w:sz w:val="24"/>
          <w:szCs w:val="32"/>
        </w:rPr>
        <w:t>=2</w:t>
      </w:r>
      <w:r>
        <w:rPr>
          <w:rFonts w:eastAsiaTheme="minorEastAsia"/>
          <w:i/>
          <w:iCs/>
          <w:sz w:val="24"/>
          <w:szCs w:val="32"/>
        </w:rPr>
        <w:t>π</w:t>
      </w:r>
      <w:r>
        <w:rPr>
          <w:rFonts w:eastAsiaTheme="minorEastAsia"/>
          <w:sz w:val="24"/>
          <w:szCs w:val="32"/>
        </w:rPr>
        <w:t>(</w:t>
      </w:r>
      <w:r>
        <w:rPr>
          <w:rFonts w:eastAsiaTheme="minorEastAsia"/>
          <w:i/>
          <w:iCs/>
          <w:sz w:val="24"/>
          <w:szCs w:val="32"/>
        </w:rPr>
        <w:t>a</w:t>
      </w:r>
      <w:r>
        <w:rPr>
          <w:rFonts w:eastAsiaTheme="minorEastAsia"/>
          <w:sz w:val="24"/>
          <w:szCs w:val="32"/>
          <w:vertAlign w:val="superscript"/>
        </w:rPr>
        <w:t>3</w:t>
      </w:r>
      <w:r>
        <w:rPr>
          <w:rFonts w:eastAsiaTheme="minorEastAsia"/>
          <w:sz w:val="24"/>
          <w:szCs w:val="32"/>
        </w:rPr>
        <w:t>/24-</w:t>
      </w:r>
      <w:r>
        <w:rPr>
          <w:rFonts w:eastAsiaTheme="minorEastAsia"/>
          <w:i/>
          <w:iCs/>
          <w:sz w:val="24"/>
          <w:szCs w:val="32"/>
        </w:rPr>
        <w:t>a</w:t>
      </w:r>
      <w:r>
        <w:rPr>
          <w:rFonts w:eastAsiaTheme="minorEastAsia"/>
          <w:sz w:val="24"/>
          <w:szCs w:val="32"/>
          <w:vertAlign w:val="superscript"/>
        </w:rPr>
        <w:t>2</w:t>
      </w:r>
      <w:r>
        <w:rPr>
          <w:rFonts w:eastAsiaTheme="minorEastAsia"/>
          <w:i/>
          <w:iCs/>
          <w:sz w:val="24"/>
          <w:szCs w:val="32"/>
        </w:rPr>
        <w:t>r</w:t>
      </w:r>
      <w:r>
        <w:rPr>
          <w:rFonts w:eastAsiaTheme="minorEastAsia"/>
          <w:sz w:val="24"/>
          <w:szCs w:val="32"/>
          <w:vertAlign w:val="subscript"/>
        </w:rPr>
        <w:t>1</w:t>
      </w:r>
      <w:r>
        <w:rPr>
          <w:rFonts w:eastAsiaTheme="minorEastAsia"/>
          <w:sz w:val="24"/>
          <w:szCs w:val="32"/>
        </w:rPr>
        <w:t>/8+</w:t>
      </w:r>
      <w:r>
        <w:rPr>
          <w:rFonts w:eastAsiaTheme="minorEastAsia"/>
          <w:i/>
          <w:iCs/>
          <w:sz w:val="24"/>
          <w:szCs w:val="32"/>
        </w:rPr>
        <w:t>r</w:t>
      </w:r>
      <w:r>
        <w:rPr>
          <w:rFonts w:eastAsiaTheme="minorEastAsia"/>
          <w:sz w:val="24"/>
          <w:szCs w:val="32"/>
          <w:vertAlign w:val="subscript"/>
        </w:rPr>
        <w:t>1</w:t>
      </w:r>
      <w:r>
        <w:rPr>
          <w:rFonts w:eastAsiaTheme="minorEastAsia"/>
          <w:sz w:val="24"/>
          <w:szCs w:val="32"/>
          <w:vertAlign w:val="superscript"/>
        </w:rPr>
        <w:t>3</w:t>
      </w:r>
      <w:r>
        <w:rPr>
          <w:rFonts w:eastAsiaTheme="minorEastAsia"/>
          <w:sz w:val="24"/>
          <w:szCs w:val="32"/>
        </w:rPr>
        <w:t>/6)+0.21</w:t>
      </w:r>
      <w:r>
        <w:rPr>
          <w:rFonts w:eastAsiaTheme="minorEastAsia"/>
          <w:i/>
          <w:iCs/>
          <w:sz w:val="24"/>
          <w:szCs w:val="32"/>
        </w:rPr>
        <w:t>a</w:t>
      </w:r>
      <w:r>
        <w:rPr>
          <w:rFonts w:eastAsiaTheme="minorEastAsia"/>
          <w:sz w:val="24"/>
          <w:szCs w:val="32"/>
          <w:vertAlign w:val="superscript"/>
        </w:rPr>
        <w:t>2</w:t>
      </w:r>
      <w:r>
        <w:rPr>
          <w:rFonts w:eastAsiaTheme="minorEastAsia"/>
          <w:sz w:val="24"/>
          <w:szCs w:val="32"/>
        </w:rPr>
        <w:t>(0.55</w:t>
      </w:r>
      <w:r>
        <w:rPr>
          <w:rFonts w:eastAsiaTheme="minorEastAsia"/>
          <w:i/>
          <w:iCs/>
          <w:sz w:val="24"/>
          <w:szCs w:val="32"/>
        </w:rPr>
        <w:t>a</w:t>
      </w:r>
      <w:r>
        <w:rPr>
          <w:rFonts w:eastAsiaTheme="minorEastAsia"/>
          <w:sz w:val="24"/>
          <w:szCs w:val="32"/>
        </w:rPr>
        <w:t>-</w:t>
      </w:r>
      <w:r>
        <w:rPr>
          <w:rFonts w:eastAsiaTheme="minorEastAsia"/>
          <w:i/>
          <w:iCs/>
          <w:sz w:val="24"/>
          <w:szCs w:val="32"/>
        </w:rPr>
        <w:t>r</w:t>
      </w:r>
      <w:r>
        <w:rPr>
          <w:rFonts w:eastAsiaTheme="minorEastAsia"/>
          <w:sz w:val="24"/>
          <w:szCs w:val="32"/>
          <w:vertAlign w:val="subscript"/>
        </w:rPr>
        <w:t>1</w:t>
      </w:r>
      <w:r>
        <w:rPr>
          <w:rFonts w:eastAsiaTheme="minorEastAsia"/>
          <w:sz w:val="24"/>
          <w:szCs w:val="32"/>
        </w:rPr>
        <w:t>)</w:t>
      </w:r>
      <w:r>
        <w:rPr>
          <w:rFonts w:eastAsiaTheme="minorEastAsia"/>
          <w:i/>
          <w:iCs/>
          <w:sz w:val="24"/>
          <w:szCs w:val="32"/>
        </w:rPr>
        <w:t>N</w:t>
      </w:r>
      <w:r>
        <w:rPr>
          <w:rFonts w:eastAsiaTheme="minorEastAsia"/>
          <w:sz w:val="24"/>
          <w:szCs w:val="32"/>
          <w:vertAlign w:val="subscript"/>
        </w:rPr>
        <w:t>td</w:t>
      </w:r>
      <w:r>
        <w:rPr>
          <w:rFonts w:eastAsiaTheme="minorEastAsia"/>
          <w:sz w:val="24"/>
          <w:szCs w:val="32"/>
        </w:rPr>
        <w:t>/(</w:t>
      </w:r>
      <w:r>
        <w:rPr>
          <w:rFonts w:eastAsiaTheme="minorEastAsia"/>
          <w:i/>
          <w:iCs/>
          <w:sz w:val="24"/>
          <w:szCs w:val="32"/>
        </w:rPr>
        <w:t>a</w:t>
      </w:r>
      <w:r>
        <w:rPr>
          <w:rFonts w:eastAsiaTheme="minorEastAsia"/>
          <w:sz w:val="24"/>
          <w:szCs w:val="32"/>
          <w:vertAlign w:val="superscript"/>
        </w:rPr>
        <w:t>2</w:t>
      </w:r>
      <w:r>
        <w:rPr>
          <w:rFonts w:eastAsiaTheme="minorEastAsia"/>
          <w:sz w:val="24"/>
          <w:szCs w:val="32"/>
        </w:rPr>
        <w:t>-</w:t>
      </w:r>
      <w:r>
        <w:rPr>
          <w:rFonts w:eastAsiaTheme="minorEastAsia"/>
          <w:i/>
          <w:iCs/>
          <w:sz w:val="24"/>
          <w:szCs w:val="32"/>
        </w:rPr>
        <w:t>πr</w:t>
      </w:r>
      <w:r>
        <w:rPr>
          <w:rFonts w:eastAsiaTheme="minorEastAsia"/>
          <w:sz w:val="24"/>
          <w:szCs w:val="32"/>
          <w:vertAlign w:val="superscript"/>
        </w:rPr>
        <w:t>2</w:t>
      </w:r>
      <w:r>
        <w:rPr>
          <w:rFonts w:eastAsiaTheme="minorEastAsia"/>
          <w:sz w:val="24"/>
          <w:szCs w:val="32"/>
        </w:rPr>
        <w:t>)          （</w:t>
      </w:r>
      <w:r>
        <w:rPr>
          <w:rFonts w:hint="eastAsia" w:eastAsiaTheme="minorEastAsia"/>
          <w:sz w:val="24"/>
          <w:szCs w:val="32"/>
        </w:rPr>
        <w:t>D</w:t>
      </w:r>
      <w:r>
        <w:rPr>
          <w:rFonts w:eastAsiaTheme="minorEastAsia"/>
          <w:sz w:val="24"/>
          <w:szCs w:val="32"/>
        </w:rPr>
        <w:t>.0.3）</w:t>
      </w:r>
    </w:p>
    <w:p w14:paraId="456D0183">
      <w:pPr>
        <w:spacing w:line="360" w:lineRule="auto"/>
        <w:ind w:left="1596" w:hanging="1596" w:hangingChars="665"/>
        <w:rPr>
          <w:rFonts w:eastAsiaTheme="minorEastAsia"/>
          <w:sz w:val="24"/>
          <w:szCs w:val="32"/>
        </w:rPr>
      </w:pPr>
      <w:r>
        <w:rPr>
          <w:rFonts w:eastAsiaTheme="minorEastAsia"/>
          <w:sz w:val="24"/>
          <w:szCs w:val="32"/>
        </w:rPr>
        <w:t>式中：</w:t>
      </w:r>
      <w:r>
        <w:rPr>
          <w:rFonts w:eastAsiaTheme="minorEastAsia"/>
          <w:i/>
          <w:iCs/>
          <w:sz w:val="24"/>
          <w:szCs w:val="32"/>
        </w:rPr>
        <w:t>N</w:t>
      </w:r>
      <w:r>
        <w:rPr>
          <w:rFonts w:eastAsiaTheme="minorEastAsia"/>
          <w:sz w:val="24"/>
          <w:szCs w:val="32"/>
          <w:vertAlign w:val="subscript"/>
        </w:rPr>
        <w:t>td</w:t>
      </w:r>
      <w:r>
        <w:rPr>
          <w:rFonts w:eastAsiaTheme="minorEastAsia"/>
          <w:sz w:val="24"/>
          <w:szCs w:val="32"/>
        </w:rPr>
        <w:t>——抗浮锚杆上拔作用力设计值</w:t>
      </w:r>
      <w:r>
        <w:rPr>
          <w:rFonts w:hint="eastAsia" w:eastAsiaTheme="minorEastAsia"/>
          <w:sz w:val="24"/>
          <w:szCs w:val="32"/>
        </w:rPr>
        <w:t>（N）</w:t>
      </w:r>
      <w:r>
        <w:rPr>
          <w:rFonts w:eastAsiaTheme="minorEastAsia"/>
          <w:sz w:val="24"/>
          <w:szCs w:val="32"/>
        </w:rPr>
        <w:t>，可取1.35</w:t>
      </w:r>
      <w:r>
        <w:rPr>
          <w:rFonts w:hint="eastAsia" w:eastAsiaTheme="minorEastAsia"/>
          <w:sz w:val="24"/>
          <w:szCs w:val="32"/>
        </w:rPr>
        <w:t>倍</w:t>
      </w:r>
      <w:r>
        <w:rPr>
          <w:rFonts w:eastAsiaTheme="minorEastAsia"/>
          <w:i/>
          <w:iCs/>
          <w:sz w:val="24"/>
          <w:szCs w:val="32"/>
        </w:rPr>
        <w:t>R</w:t>
      </w:r>
      <w:r>
        <w:rPr>
          <w:rFonts w:eastAsiaTheme="minorEastAsia"/>
          <w:sz w:val="24"/>
          <w:szCs w:val="32"/>
          <w:vertAlign w:val="subscript"/>
        </w:rPr>
        <w:t>ta</w:t>
      </w:r>
      <w:r>
        <w:rPr>
          <w:rFonts w:eastAsiaTheme="minorEastAsia"/>
          <w:sz w:val="24"/>
          <w:szCs w:val="32"/>
        </w:rPr>
        <w:t>；</w:t>
      </w:r>
    </w:p>
    <w:p w14:paraId="01DFCD0B">
      <w:pPr>
        <w:spacing w:line="360" w:lineRule="auto"/>
        <w:rPr>
          <w:rFonts w:eastAsiaTheme="minorEastAsia"/>
          <w:sz w:val="24"/>
          <w:szCs w:val="32"/>
        </w:rPr>
      </w:pPr>
      <w:r>
        <w:rPr>
          <w:rFonts w:eastAsiaTheme="minorEastAsia"/>
          <w:sz w:val="24"/>
          <w:szCs w:val="32"/>
        </w:rPr>
        <w:t xml:space="preserve">       </w:t>
      </w:r>
      <w:r>
        <w:rPr>
          <w:rFonts w:eastAsiaTheme="minorEastAsia"/>
          <w:i/>
          <w:iCs/>
          <w:sz w:val="24"/>
          <w:szCs w:val="32"/>
        </w:rPr>
        <w:t xml:space="preserve">a </w:t>
      </w:r>
      <w:r>
        <w:rPr>
          <w:rFonts w:eastAsiaTheme="minorEastAsia"/>
          <w:sz w:val="24"/>
          <w:szCs w:val="32"/>
        </w:rPr>
        <w:t>——方形垫板或锚固板的边长（mm）；</w:t>
      </w:r>
    </w:p>
    <w:p w14:paraId="01C9D94B">
      <w:pPr>
        <w:spacing w:line="360" w:lineRule="auto"/>
        <w:ind w:firstLine="720" w:firstLineChars="300"/>
        <w:rPr>
          <w:rFonts w:eastAsiaTheme="minorEastAsia"/>
          <w:sz w:val="24"/>
          <w:szCs w:val="32"/>
        </w:rPr>
      </w:pPr>
      <w:r>
        <w:rPr>
          <w:rFonts w:eastAsiaTheme="minorEastAsia"/>
          <w:sz w:val="24"/>
          <w:szCs w:val="32"/>
        </w:rPr>
        <w:t xml:space="preserve">  </w:t>
      </w:r>
      <w:r>
        <w:rPr>
          <w:rFonts w:eastAsiaTheme="minorEastAsia"/>
          <w:i/>
          <w:iCs/>
          <w:sz w:val="24"/>
          <w:szCs w:val="32"/>
        </w:rPr>
        <w:t>r</w:t>
      </w:r>
      <w:r>
        <w:rPr>
          <w:rFonts w:eastAsiaTheme="minorEastAsia"/>
          <w:sz w:val="24"/>
          <w:szCs w:val="32"/>
        </w:rPr>
        <w:t>——垫板或锚固板内半径（mm）。</w:t>
      </w:r>
    </w:p>
    <w:p w14:paraId="37A1D1DD">
      <w:pPr>
        <w:numPr>
          <w:ilvl w:val="0"/>
          <w:numId w:val="55"/>
        </w:numPr>
        <w:spacing w:line="360" w:lineRule="auto"/>
        <w:ind w:firstLine="0"/>
        <w:rPr>
          <w:rFonts w:eastAsiaTheme="minorEastAsia"/>
          <w:sz w:val="24"/>
          <w:szCs w:val="32"/>
        </w:rPr>
      </w:pPr>
      <w:r>
        <w:rPr>
          <w:rFonts w:eastAsiaTheme="minorEastAsia"/>
          <w:sz w:val="24"/>
          <w:szCs w:val="32"/>
        </w:rPr>
        <w:t>圆形锚固板弯矩</w:t>
      </w:r>
      <w:r>
        <w:rPr>
          <w:rFonts w:eastAsiaTheme="minorEastAsia"/>
          <w:i/>
          <w:iCs/>
          <w:sz w:val="24"/>
          <w:szCs w:val="32"/>
        </w:rPr>
        <w:t>M</w:t>
      </w:r>
      <w:r>
        <w:rPr>
          <w:rFonts w:eastAsiaTheme="minorEastAsia"/>
          <w:sz w:val="24"/>
          <w:szCs w:val="32"/>
        </w:rPr>
        <w:t>可按下列公式计算</w:t>
      </w:r>
    </w:p>
    <w:p w14:paraId="55FCDDED">
      <w:pPr>
        <w:spacing w:line="360" w:lineRule="auto"/>
        <w:jc w:val="center"/>
        <w:rPr>
          <w:rFonts w:eastAsiaTheme="minorEastAsia"/>
        </w:rPr>
      </w:pPr>
      <w:r>
        <w:drawing>
          <wp:inline distT="0" distB="0" distL="114300" distR="114300">
            <wp:extent cx="2819400" cy="2428240"/>
            <wp:effectExtent l="0" t="0" r="0" b="10160"/>
            <wp:docPr id="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pic:cNvPicPr>
                      <a:picLocks noChangeAspect="1"/>
                    </pic:cNvPicPr>
                  </pic:nvPicPr>
                  <pic:blipFill>
                    <a:blip r:embed="rId45"/>
                    <a:stretch>
                      <a:fillRect/>
                    </a:stretch>
                  </pic:blipFill>
                  <pic:spPr>
                    <a:xfrm>
                      <a:off x="0" y="0"/>
                      <a:ext cx="2819400" cy="2428240"/>
                    </a:xfrm>
                    <a:prstGeom prst="rect">
                      <a:avLst/>
                    </a:prstGeom>
                    <a:noFill/>
                    <a:ln>
                      <a:noFill/>
                    </a:ln>
                  </pic:spPr>
                </pic:pic>
              </a:graphicData>
            </a:graphic>
          </wp:inline>
        </w:drawing>
      </w:r>
    </w:p>
    <w:p w14:paraId="60DAACB4">
      <w:pPr>
        <w:spacing w:line="360" w:lineRule="auto"/>
        <w:ind w:left="1188" w:hanging="1188" w:hangingChars="540"/>
        <w:jc w:val="center"/>
        <w:rPr>
          <w:rFonts w:eastAsiaTheme="minorEastAsia"/>
          <w:sz w:val="22"/>
          <w:szCs w:val="28"/>
        </w:rPr>
      </w:pPr>
      <w:r>
        <w:rPr>
          <w:rFonts w:eastAsiaTheme="minorEastAsia"/>
          <w:sz w:val="22"/>
          <w:szCs w:val="28"/>
        </w:rPr>
        <w:t>图</w:t>
      </w:r>
      <w:r>
        <w:rPr>
          <w:rFonts w:hint="eastAsia" w:eastAsiaTheme="minorEastAsia"/>
          <w:sz w:val="24"/>
          <w:szCs w:val="32"/>
        </w:rPr>
        <w:t>D</w:t>
      </w:r>
      <w:r>
        <w:rPr>
          <w:rFonts w:eastAsiaTheme="minorEastAsia"/>
          <w:sz w:val="22"/>
          <w:szCs w:val="28"/>
        </w:rPr>
        <w:t>.0.</w:t>
      </w:r>
      <w:r>
        <w:rPr>
          <w:rFonts w:hint="eastAsia" w:eastAsiaTheme="minorEastAsia"/>
          <w:sz w:val="22"/>
          <w:szCs w:val="28"/>
        </w:rPr>
        <w:t>4</w:t>
      </w:r>
      <w:r>
        <w:rPr>
          <w:rFonts w:eastAsiaTheme="minorEastAsia"/>
          <w:sz w:val="22"/>
          <w:szCs w:val="28"/>
        </w:rPr>
        <w:t xml:space="preserve">  圆形锚固板弯矩计算简图</w:t>
      </w:r>
    </w:p>
    <w:p w14:paraId="40206CE7">
      <w:pPr>
        <w:spacing w:line="360" w:lineRule="auto"/>
        <w:ind w:left="1188" w:hanging="1188" w:hangingChars="540"/>
        <w:jc w:val="center"/>
        <w:rPr>
          <w:rFonts w:eastAsiaTheme="minorEastAsia"/>
          <w:sz w:val="22"/>
          <w:szCs w:val="28"/>
        </w:rPr>
      </w:pPr>
      <w:r>
        <w:rPr>
          <w:rFonts w:eastAsiaTheme="minorEastAsia"/>
          <w:sz w:val="22"/>
          <w:szCs w:val="28"/>
        </w:rPr>
        <w:t>1－圆形锚固板；2－六角螺母；3－锚筋</w:t>
      </w:r>
      <w:r>
        <w:rPr>
          <w:rFonts w:hint="eastAsia" w:eastAsiaTheme="minorEastAsia"/>
          <w:sz w:val="22"/>
          <w:szCs w:val="28"/>
        </w:rPr>
        <w:t>；4</w:t>
      </w:r>
      <w:r>
        <w:rPr>
          <w:rFonts w:eastAsiaTheme="minorEastAsia"/>
          <w:sz w:val="22"/>
          <w:szCs w:val="28"/>
        </w:rPr>
        <w:t>－应力控制点</w:t>
      </w:r>
    </w:p>
    <w:p w14:paraId="36FEA8E5">
      <w:pPr>
        <w:spacing w:line="360" w:lineRule="auto"/>
        <w:jc w:val="right"/>
        <w:rPr>
          <w:rFonts w:eastAsiaTheme="minorEastAsia"/>
          <w:sz w:val="24"/>
          <w:szCs w:val="32"/>
        </w:rPr>
      </w:pPr>
      <w:r>
        <w:rPr>
          <w:rFonts w:eastAsiaTheme="minorEastAsia"/>
          <w:sz w:val="24"/>
          <w:szCs w:val="32"/>
        </w:rPr>
        <w:t xml:space="preserve">           </w:t>
      </w:r>
      <w:r>
        <w:rPr>
          <w:rFonts w:hint="eastAsia" w:eastAsiaTheme="minorEastAsia"/>
          <w:i/>
          <w:iCs/>
          <w:sz w:val="24"/>
          <w:szCs w:val="24"/>
        </w:rPr>
        <w:t>M</w:t>
      </w:r>
      <w:r>
        <w:rPr>
          <w:rFonts w:hint="eastAsia" w:eastAsiaTheme="minorEastAsia"/>
          <w:sz w:val="24"/>
          <w:szCs w:val="24"/>
        </w:rPr>
        <w:t>=2(</w:t>
      </w:r>
      <w:r>
        <w:rPr>
          <w:rFonts w:hint="eastAsia" w:eastAsiaTheme="minorEastAsia"/>
          <w:i/>
          <w:iCs/>
          <w:sz w:val="24"/>
          <w:szCs w:val="24"/>
        </w:rPr>
        <w:t>R</w:t>
      </w:r>
      <w:r>
        <w:rPr>
          <w:rFonts w:hint="eastAsia" w:eastAsiaTheme="minorEastAsia"/>
          <w:sz w:val="24"/>
          <w:szCs w:val="24"/>
          <w:vertAlign w:val="superscript"/>
        </w:rPr>
        <w:t>3</w:t>
      </w:r>
      <w:r>
        <w:rPr>
          <w:rFonts w:hint="eastAsia" w:eastAsiaTheme="minorEastAsia"/>
          <w:sz w:val="24"/>
          <w:szCs w:val="24"/>
        </w:rPr>
        <w:t>/3-</w:t>
      </w:r>
      <w:r>
        <w:rPr>
          <w:rFonts w:hint="eastAsia" w:eastAsiaTheme="minorEastAsia"/>
          <w:i/>
          <w:iCs/>
          <w:sz w:val="24"/>
          <w:szCs w:val="24"/>
        </w:rPr>
        <w:t>R</w:t>
      </w:r>
      <w:r>
        <w:rPr>
          <w:rFonts w:hint="eastAsia" w:eastAsiaTheme="minorEastAsia"/>
          <w:sz w:val="24"/>
          <w:szCs w:val="24"/>
          <w:vertAlign w:val="superscript"/>
        </w:rPr>
        <w:t>2</w:t>
      </w:r>
      <w:r>
        <w:rPr>
          <w:rFonts w:hint="eastAsia" w:eastAsiaTheme="minorEastAsia"/>
          <w:i/>
          <w:iCs/>
          <w:sz w:val="24"/>
          <w:szCs w:val="24"/>
        </w:rPr>
        <w:t>r</w:t>
      </w:r>
      <w:r>
        <w:rPr>
          <w:rFonts w:hint="eastAsia" w:eastAsiaTheme="minorEastAsia"/>
          <w:sz w:val="24"/>
          <w:szCs w:val="24"/>
          <w:vertAlign w:val="subscript"/>
        </w:rPr>
        <w:t>1</w:t>
      </w:r>
      <w:r>
        <w:rPr>
          <w:rFonts w:hint="eastAsia" w:eastAsiaTheme="minorEastAsia"/>
          <w:sz w:val="24"/>
          <w:szCs w:val="24"/>
        </w:rPr>
        <w:t>/2+</w:t>
      </w:r>
      <w:r>
        <w:rPr>
          <w:rFonts w:hint="eastAsia" w:eastAsiaTheme="minorEastAsia"/>
          <w:i/>
          <w:iCs/>
          <w:sz w:val="24"/>
          <w:szCs w:val="24"/>
        </w:rPr>
        <w:t>r</w:t>
      </w:r>
      <w:r>
        <w:rPr>
          <w:rFonts w:hint="eastAsia" w:eastAsiaTheme="minorEastAsia"/>
          <w:sz w:val="24"/>
          <w:szCs w:val="24"/>
          <w:vertAlign w:val="subscript"/>
        </w:rPr>
        <w:t>1</w:t>
      </w:r>
      <w:r>
        <w:rPr>
          <w:rFonts w:hint="eastAsia" w:eastAsiaTheme="minorEastAsia"/>
          <w:sz w:val="24"/>
          <w:szCs w:val="24"/>
          <w:vertAlign w:val="superscript"/>
        </w:rPr>
        <w:t>3</w:t>
      </w:r>
      <w:r>
        <w:rPr>
          <w:rFonts w:hint="eastAsia" w:eastAsiaTheme="minorEastAsia"/>
          <w:sz w:val="24"/>
          <w:szCs w:val="24"/>
        </w:rPr>
        <w:t>/6)</w:t>
      </w:r>
      <w:r>
        <w:rPr>
          <w:rFonts w:hint="eastAsia" w:eastAsiaTheme="minorEastAsia"/>
          <w:i/>
          <w:iCs/>
          <w:sz w:val="24"/>
          <w:szCs w:val="24"/>
        </w:rPr>
        <w:t>N</w:t>
      </w:r>
      <w:r>
        <w:rPr>
          <w:rFonts w:hint="eastAsia" w:eastAsiaTheme="minorEastAsia"/>
          <w:sz w:val="24"/>
          <w:szCs w:val="24"/>
          <w:vertAlign w:val="subscript"/>
        </w:rPr>
        <w:t>td</w:t>
      </w:r>
      <w:r>
        <w:rPr>
          <w:rFonts w:eastAsiaTheme="minorEastAsia"/>
          <w:sz w:val="24"/>
          <w:szCs w:val="24"/>
        </w:rPr>
        <w:t>/</w:t>
      </w:r>
      <w:r>
        <w:rPr>
          <w:rFonts w:hint="eastAsia" w:eastAsiaTheme="minorEastAsia"/>
          <w:sz w:val="24"/>
          <w:szCs w:val="24"/>
        </w:rPr>
        <w:t>(</w:t>
      </w:r>
      <w:r>
        <w:rPr>
          <w:rFonts w:hint="eastAsia" w:eastAsiaTheme="minorEastAsia"/>
          <w:i/>
          <w:iCs/>
          <w:sz w:val="24"/>
          <w:szCs w:val="24"/>
        </w:rPr>
        <w:t>R</w:t>
      </w:r>
      <w:r>
        <w:rPr>
          <w:rFonts w:hint="eastAsia" w:eastAsiaTheme="minorEastAsia"/>
          <w:sz w:val="24"/>
          <w:szCs w:val="24"/>
          <w:vertAlign w:val="superscript"/>
        </w:rPr>
        <w:t>2</w:t>
      </w:r>
      <w:r>
        <w:rPr>
          <w:rFonts w:hint="eastAsia" w:eastAsiaTheme="minorEastAsia"/>
          <w:sz w:val="24"/>
          <w:szCs w:val="24"/>
        </w:rPr>
        <w:t>-</w:t>
      </w:r>
      <w:r>
        <w:rPr>
          <w:rFonts w:hint="eastAsia" w:eastAsiaTheme="minorEastAsia"/>
          <w:i/>
          <w:iCs/>
          <w:sz w:val="24"/>
          <w:szCs w:val="24"/>
        </w:rPr>
        <w:t>r</w:t>
      </w:r>
      <w:r>
        <w:rPr>
          <w:rFonts w:hint="eastAsia" w:eastAsiaTheme="minorEastAsia"/>
          <w:sz w:val="24"/>
          <w:szCs w:val="24"/>
          <w:vertAlign w:val="superscript"/>
        </w:rPr>
        <w:t>2</w:t>
      </w:r>
      <w:r>
        <w:rPr>
          <w:rFonts w:hint="eastAsia" w:eastAsiaTheme="minorEastAsia"/>
          <w:sz w:val="24"/>
          <w:szCs w:val="24"/>
        </w:rPr>
        <w:t>)</w:t>
      </w:r>
      <w:r>
        <w:rPr>
          <w:rFonts w:eastAsiaTheme="minorEastAsia"/>
          <w:sz w:val="24"/>
          <w:szCs w:val="32"/>
        </w:rPr>
        <w:t xml:space="preserve">         </w:t>
      </w:r>
      <w:r>
        <w:rPr>
          <w:rFonts w:eastAsiaTheme="minorEastAsia"/>
          <w:sz w:val="24"/>
          <w:szCs w:val="32"/>
        </w:rPr>
        <w:tab/>
      </w:r>
      <w:r>
        <w:rPr>
          <w:rFonts w:eastAsiaTheme="minorEastAsia"/>
          <w:sz w:val="24"/>
          <w:szCs w:val="32"/>
        </w:rPr>
        <w:t xml:space="preserve">         （</w:t>
      </w:r>
      <w:r>
        <w:rPr>
          <w:rFonts w:hint="eastAsia" w:eastAsiaTheme="minorEastAsia"/>
          <w:sz w:val="24"/>
          <w:szCs w:val="32"/>
        </w:rPr>
        <w:t>D</w:t>
      </w:r>
      <w:r>
        <w:rPr>
          <w:rFonts w:eastAsiaTheme="minorEastAsia"/>
          <w:sz w:val="24"/>
          <w:szCs w:val="32"/>
        </w:rPr>
        <w:t>.0.4）</w:t>
      </w:r>
    </w:p>
    <w:p w14:paraId="62A21DE6">
      <w:pPr>
        <w:spacing w:line="360" w:lineRule="auto"/>
        <w:rPr>
          <w:rFonts w:eastAsiaTheme="minorEastAsia"/>
          <w:sz w:val="24"/>
          <w:szCs w:val="32"/>
        </w:rPr>
      </w:pPr>
      <w:r>
        <w:rPr>
          <w:rFonts w:eastAsiaTheme="minorEastAsia"/>
          <w:sz w:val="24"/>
          <w:szCs w:val="32"/>
        </w:rPr>
        <w:t>式中：</w:t>
      </w:r>
      <w:r>
        <w:rPr>
          <w:rFonts w:eastAsiaTheme="minorEastAsia"/>
          <w:i/>
          <w:iCs/>
          <w:sz w:val="24"/>
          <w:szCs w:val="32"/>
        </w:rPr>
        <w:t>R</w:t>
      </w:r>
      <w:r>
        <w:rPr>
          <w:rFonts w:eastAsiaTheme="minorEastAsia"/>
          <w:sz w:val="24"/>
          <w:szCs w:val="32"/>
        </w:rPr>
        <w:t>——圆形钢垫板或锚固板外半径（mm）。</w:t>
      </w:r>
    </w:p>
    <w:p w14:paraId="0061F00D">
      <w:pPr>
        <w:spacing w:line="360" w:lineRule="auto"/>
        <w:rPr>
          <w:rFonts w:eastAsiaTheme="minorEastAsia"/>
          <w:sz w:val="24"/>
          <w:szCs w:val="24"/>
        </w:rPr>
      </w:pPr>
    </w:p>
    <w:p w14:paraId="4842E0FD">
      <w:pPr>
        <w:spacing w:line="360" w:lineRule="auto"/>
        <w:rPr>
          <w:rFonts w:eastAsiaTheme="minorEastAsia"/>
          <w:sz w:val="24"/>
          <w:szCs w:val="24"/>
        </w:rPr>
      </w:pPr>
    </w:p>
    <w:p w14:paraId="48BE2194">
      <w:pPr>
        <w:spacing w:line="360" w:lineRule="auto"/>
        <w:rPr>
          <w:rFonts w:eastAsiaTheme="minorEastAsia"/>
          <w:sz w:val="24"/>
          <w:szCs w:val="24"/>
        </w:rPr>
      </w:pPr>
    </w:p>
    <w:p w14:paraId="411B008F">
      <w:pPr>
        <w:spacing w:line="360" w:lineRule="auto"/>
        <w:rPr>
          <w:rFonts w:eastAsiaTheme="minorEastAsia"/>
          <w:sz w:val="24"/>
          <w:szCs w:val="24"/>
        </w:rPr>
      </w:pPr>
    </w:p>
    <w:p w14:paraId="43F146F7">
      <w:r>
        <w:br w:type="page"/>
      </w:r>
    </w:p>
    <w:p w14:paraId="1A3C437B">
      <w:pPr>
        <w:numPr>
          <w:ilvl w:val="0"/>
          <w:numId w:val="43"/>
        </w:numPr>
        <w:spacing w:line="360" w:lineRule="auto"/>
        <w:ind w:firstLine="0"/>
        <w:jc w:val="center"/>
        <w:outlineLvl w:val="0"/>
        <w:rPr>
          <w:b/>
          <w:bCs/>
          <w:sz w:val="28"/>
          <w:szCs w:val="28"/>
        </w:rPr>
      </w:pPr>
      <w:bookmarkStart w:id="257" w:name="_Toc1647"/>
      <w:bookmarkStart w:id="258" w:name="_Toc79689267"/>
      <w:bookmarkStart w:id="259" w:name="_Toc7774"/>
      <w:bookmarkStart w:id="260" w:name="_Toc3109"/>
      <w:bookmarkStart w:id="261" w:name="_Toc16447"/>
      <w:bookmarkStart w:id="262" w:name="_Toc10404"/>
      <w:bookmarkStart w:id="263" w:name="_Toc62569221"/>
      <w:r>
        <w:rPr>
          <w:rFonts w:hint="eastAsia" w:eastAsiaTheme="minorEastAsia"/>
          <w:b/>
          <w:bCs/>
          <w:sz w:val="28"/>
          <w:szCs w:val="28"/>
        </w:rPr>
        <w:t>既有建筑桩基础(锚杆</w:t>
      </w:r>
      <w:r>
        <w:rPr>
          <w:rFonts w:eastAsiaTheme="minorEastAsia"/>
          <w:b/>
          <w:bCs/>
          <w:sz w:val="28"/>
          <w:szCs w:val="28"/>
        </w:rPr>
        <w:t>)</w:t>
      </w:r>
      <w:r>
        <w:rPr>
          <w:rFonts w:hint="eastAsia" w:eastAsiaTheme="minorEastAsia"/>
          <w:b/>
          <w:bCs/>
          <w:sz w:val="28"/>
          <w:szCs w:val="28"/>
        </w:rPr>
        <w:t>承载力持载再循环试验要点</w:t>
      </w:r>
      <w:bookmarkEnd w:id="257"/>
    </w:p>
    <w:bookmarkEnd w:id="258"/>
    <w:bookmarkEnd w:id="259"/>
    <w:bookmarkEnd w:id="260"/>
    <w:bookmarkEnd w:id="261"/>
    <w:bookmarkEnd w:id="262"/>
    <w:bookmarkEnd w:id="263"/>
    <w:p w14:paraId="14F57FAE">
      <w:pPr>
        <w:numPr>
          <w:ilvl w:val="0"/>
          <w:numId w:val="56"/>
        </w:numPr>
        <w:spacing w:line="360" w:lineRule="auto"/>
        <w:rPr>
          <w:rFonts w:eastAsia="宋体"/>
          <w:sz w:val="24"/>
          <w:szCs w:val="32"/>
        </w:rPr>
      </w:pPr>
      <w:r>
        <w:rPr>
          <w:rFonts w:eastAsia="宋体"/>
          <w:sz w:val="24"/>
          <w:szCs w:val="32"/>
        </w:rPr>
        <w:t>本试验要点适用于测定既有建筑桩基础</w:t>
      </w:r>
      <w:r>
        <w:rPr>
          <w:rFonts w:hint="eastAsia" w:eastAsia="宋体"/>
          <w:sz w:val="24"/>
          <w:szCs w:val="32"/>
        </w:rPr>
        <w:t>和锚杆的</w:t>
      </w:r>
      <w:r>
        <w:rPr>
          <w:rFonts w:eastAsia="宋体"/>
          <w:sz w:val="24"/>
          <w:szCs w:val="32"/>
        </w:rPr>
        <w:t>承载力。</w:t>
      </w:r>
      <w:r>
        <w:rPr>
          <w:rFonts w:hint="eastAsia" w:eastAsia="宋体"/>
          <w:sz w:val="24"/>
          <w:szCs w:val="32"/>
        </w:rPr>
        <w:t>试验前，应计算构件使用周期内已承担过的最大上拔荷载作为实际使用荷载。试验数量不宜少于6根。</w:t>
      </w:r>
    </w:p>
    <w:p w14:paraId="29300051">
      <w:pPr>
        <w:numPr>
          <w:ilvl w:val="0"/>
          <w:numId w:val="56"/>
        </w:numPr>
        <w:spacing w:line="360" w:lineRule="auto"/>
        <w:rPr>
          <w:rFonts w:eastAsia="宋体"/>
          <w:sz w:val="24"/>
          <w:szCs w:val="32"/>
        </w:rPr>
      </w:pPr>
      <w:r>
        <w:rPr>
          <w:rFonts w:eastAsia="宋体"/>
          <w:sz w:val="24"/>
          <w:szCs w:val="32"/>
        </w:rPr>
        <w:t>试验桩</w:t>
      </w:r>
      <w:r>
        <w:rPr>
          <w:rFonts w:hint="eastAsia" w:eastAsia="宋体"/>
          <w:sz w:val="24"/>
          <w:szCs w:val="32"/>
        </w:rPr>
        <w:t>(锚杆</w:t>
      </w:r>
      <w:r>
        <w:rPr>
          <w:rFonts w:eastAsia="宋体"/>
          <w:sz w:val="24"/>
          <w:szCs w:val="32"/>
        </w:rPr>
        <w:t>)应在与原建筑物地基条件相同的场地，并应尽量靠近既有建筑物，按原设计的尺寸、长度、施工工艺制作。开始试验的时间：在砂土</w:t>
      </w:r>
      <w:r>
        <w:rPr>
          <w:rFonts w:hint="eastAsia" w:eastAsia="宋体"/>
          <w:sz w:val="24"/>
          <w:szCs w:val="32"/>
        </w:rPr>
        <w:t>和</w:t>
      </w:r>
      <w:r>
        <w:rPr>
          <w:rFonts w:eastAsia="宋体"/>
          <w:sz w:val="24"/>
          <w:szCs w:val="32"/>
        </w:rPr>
        <w:t>黏性土</w:t>
      </w:r>
      <w:r>
        <w:rPr>
          <w:rFonts w:hint="eastAsia" w:eastAsia="宋体"/>
          <w:sz w:val="24"/>
          <w:szCs w:val="32"/>
        </w:rPr>
        <w:t>中</w:t>
      </w:r>
      <w:r>
        <w:rPr>
          <w:rFonts w:eastAsia="宋体"/>
          <w:sz w:val="24"/>
          <w:szCs w:val="32"/>
        </w:rPr>
        <w:t>不得少于15</w:t>
      </w:r>
      <w:r>
        <w:rPr>
          <w:rFonts w:hint="eastAsia" w:eastAsia="宋体"/>
          <w:sz w:val="24"/>
          <w:szCs w:val="32"/>
        </w:rPr>
        <w:t>天</w:t>
      </w:r>
      <w:r>
        <w:rPr>
          <w:rFonts w:eastAsia="宋体"/>
          <w:sz w:val="24"/>
          <w:szCs w:val="32"/>
        </w:rPr>
        <w:t>；对于饱和软黏土不得少于25</w:t>
      </w:r>
      <w:r>
        <w:rPr>
          <w:rFonts w:hint="eastAsia" w:eastAsia="宋体"/>
          <w:sz w:val="24"/>
          <w:szCs w:val="32"/>
        </w:rPr>
        <w:t>天</w:t>
      </w:r>
      <w:r>
        <w:rPr>
          <w:rFonts w:eastAsia="宋体"/>
          <w:sz w:val="24"/>
          <w:szCs w:val="32"/>
        </w:rPr>
        <w:t>；应在</w:t>
      </w:r>
      <w:r>
        <w:rPr>
          <w:rFonts w:hint="eastAsia" w:eastAsia="宋体"/>
          <w:sz w:val="24"/>
          <w:szCs w:val="32"/>
        </w:rPr>
        <w:t>桩身材料或杆体材料</w:t>
      </w:r>
      <w:r>
        <w:rPr>
          <w:rFonts w:eastAsia="宋体"/>
          <w:sz w:val="24"/>
          <w:szCs w:val="32"/>
        </w:rPr>
        <w:t>达到设计强度后，方能进行。</w:t>
      </w:r>
    </w:p>
    <w:p w14:paraId="3188EF8E">
      <w:pPr>
        <w:numPr>
          <w:ilvl w:val="0"/>
          <w:numId w:val="56"/>
        </w:numPr>
        <w:spacing w:line="360" w:lineRule="auto"/>
        <w:rPr>
          <w:rFonts w:eastAsia="宋体"/>
          <w:sz w:val="24"/>
          <w:szCs w:val="32"/>
        </w:rPr>
      </w:pPr>
      <w:r>
        <w:rPr>
          <w:rFonts w:eastAsia="宋体"/>
          <w:sz w:val="24"/>
          <w:szCs w:val="32"/>
        </w:rPr>
        <w:t>加载反力装置，试桩、锚桩和基准桩之间的中心距离，加载分级，稳定标准，终止加载条件，卸载观测应按现行国家标准</w:t>
      </w:r>
      <w:r>
        <w:rPr>
          <w:rFonts w:hint="eastAsia" w:eastAsia="宋体"/>
          <w:sz w:val="24"/>
          <w:szCs w:val="32"/>
        </w:rPr>
        <w:t>《</w:t>
      </w:r>
      <w:r>
        <w:rPr>
          <w:rFonts w:eastAsia="宋体"/>
          <w:sz w:val="24"/>
          <w:szCs w:val="32"/>
        </w:rPr>
        <w:t>建筑基桩检测技术规范》JGJ</w:t>
      </w:r>
      <w:r>
        <w:rPr>
          <w:rFonts w:hint="eastAsia" w:eastAsia="宋体"/>
          <w:sz w:val="24"/>
          <w:szCs w:val="32"/>
        </w:rPr>
        <w:t xml:space="preserve"> </w:t>
      </w:r>
      <w:r>
        <w:rPr>
          <w:rFonts w:eastAsia="宋体"/>
          <w:sz w:val="24"/>
          <w:szCs w:val="32"/>
        </w:rPr>
        <w:t>106</w:t>
      </w:r>
      <w:r>
        <w:rPr>
          <w:rFonts w:hint="eastAsia" w:eastAsia="宋体"/>
          <w:sz w:val="24"/>
          <w:szCs w:val="32"/>
        </w:rPr>
        <w:t>、</w:t>
      </w:r>
      <w:r>
        <w:rPr>
          <w:rFonts w:eastAsia="宋体"/>
          <w:sz w:val="24"/>
          <w:szCs w:val="32"/>
        </w:rPr>
        <w:t>《抗浮锚杆技术规程》YB/T4659的规定执行。试验加荷至</w:t>
      </w:r>
      <w:r>
        <w:rPr>
          <w:rFonts w:hint="eastAsia" w:eastAsia="宋体"/>
          <w:sz w:val="24"/>
          <w:szCs w:val="32"/>
        </w:rPr>
        <w:t>实际</w:t>
      </w:r>
      <w:r>
        <w:rPr>
          <w:rFonts w:eastAsia="宋体"/>
          <w:sz w:val="24"/>
          <w:szCs w:val="32"/>
        </w:rPr>
        <w:t>使用荷载时，应进行持载。持载时，应继续进行</w:t>
      </w:r>
      <w:r>
        <w:rPr>
          <w:rFonts w:hint="eastAsia" w:eastAsia="宋体"/>
          <w:sz w:val="24"/>
          <w:szCs w:val="32"/>
        </w:rPr>
        <w:t>上拔变形</w:t>
      </w:r>
      <w:r>
        <w:rPr>
          <w:rFonts w:eastAsia="宋体"/>
          <w:sz w:val="24"/>
          <w:szCs w:val="32"/>
        </w:rPr>
        <w:t>观测。持载时间不</w:t>
      </w:r>
      <w:r>
        <w:rPr>
          <w:rFonts w:hint="eastAsia" w:eastAsia="宋体"/>
          <w:sz w:val="24"/>
          <w:szCs w:val="32"/>
        </w:rPr>
        <w:t>宜</w:t>
      </w:r>
      <w:r>
        <w:rPr>
          <w:rFonts w:eastAsia="宋体"/>
          <w:sz w:val="24"/>
          <w:szCs w:val="32"/>
        </w:rPr>
        <w:t>少于24</w:t>
      </w:r>
      <w:r>
        <w:rPr>
          <w:rFonts w:hint="eastAsia" w:eastAsia="宋体"/>
          <w:sz w:val="24"/>
          <w:szCs w:val="32"/>
        </w:rPr>
        <w:t>小时</w:t>
      </w:r>
      <w:r>
        <w:rPr>
          <w:rFonts w:eastAsia="宋体"/>
          <w:sz w:val="24"/>
          <w:szCs w:val="32"/>
        </w:rPr>
        <w:t>。</w:t>
      </w:r>
    </w:p>
    <w:p w14:paraId="6D5AE30A">
      <w:pPr>
        <w:numPr>
          <w:ilvl w:val="0"/>
          <w:numId w:val="56"/>
        </w:numPr>
        <w:spacing w:line="360" w:lineRule="auto"/>
        <w:rPr>
          <w:rFonts w:eastAsia="宋体"/>
          <w:sz w:val="24"/>
          <w:szCs w:val="32"/>
        </w:rPr>
      </w:pPr>
      <w:r>
        <w:rPr>
          <w:rFonts w:hint="eastAsia" w:eastAsia="宋体"/>
          <w:sz w:val="24"/>
          <w:szCs w:val="32"/>
        </w:rPr>
        <w:t>按上述方法进行不少于3次的循环试验。</w:t>
      </w:r>
    </w:p>
    <w:p w14:paraId="52C4E946">
      <w:pPr>
        <w:numPr>
          <w:ilvl w:val="0"/>
          <w:numId w:val="56"/>
        </w:numPr>
        <w:spacing w:line="360" w:lineRule="auto"/>
        <w:rPr>
          <w:rFonts w:eastAsia="宋体"/>
          <w:sz w:val="24"/>
          <w:szCs w:val="32"/>
        </w:rPr>
      </w:pPr>
      <w:r>
        <w:rPr>
          <w:rFonts w:eastAsia="宋体"/>
          <w:sz w:val="24"/>
          <w:szCs w:val="32"/>
        </w:rPr>
        <w:t>试验使用的荷载稳压设备稳压偏差允许值不应大于施加荷载的±1％；观测仪表24</w:t>
      </w:r>
      <w:r>
        <w:rPr>
          <w:rFonts w:hint="eastAsia" w:eastAsia="宋体"/>
          <w:sz w:val="24"/>
          <w:szCs w:val="32"/>
        </w:rPr>
        <w:t>小时</w:t>
      </w:r>
      <w:r>
        <w:rPr>
          <w:rFonts w:eastAsia="宋体"/>
          <w:sz w:val="24"/>
          <w:szCs w:val="32"/>
        </w:rPr>
        <w:t>的漂移值不应大于0</w:t>
      </w:r>
      <w:r>
        <w:rPr>
          <w:rFonts w:hint="eastAsia" w:eastAsia="宋体"/>
          <w:sz w:val="24"/>
          <w:szCs w:val="32"/>
        </w:rPr>
        <w:t>.</w:t>
      </w:r>
      <w:r>
        <w:rPr>
          <w:rFonts w:eastAsia="宋体"/>
          <w:sz w:val="24"/>
          <w:szCs w:val="32"/>
        </w:rPr>
        <w:t>2mm。</w:t>
      </w:r>
    </w:p>
    <w:p w14:paraId="6735F8F8">
      <w:pPr>
        <w:numPr>
          <w:ilvl w:val="0"/>
          <w:numId w:val="56"/>
        </w:numPr>
        <w:spacing w:line="360" w:lineRule="auto"/>
        <w:rPr>
          <w:rFonts w:eastAsia="宋体"/>
          <w:sz w:val="24"/>
          <w:szCs w:val="32"/>
        </w:rPr>
      </w:pPr>
      <w:r>
        <w:rPr>
          <w:rFonts w:hint="eastAsia" w:eastAsia="宋体"/>
          <w:sz w:val="24"/>
          <w:szCs w:val="32"/>
        </w:rPr>
        <w:t>在加载及持载过程中若符合E</w:t>
      </w:r>
      <w:r>
        <w:rPr>
          <w:rFonts w:eastAsia="宋体"/>
          <w:sz w:val="24"/>
          <w:szCs w:val="32"/>
        </w:rPr>
        <w:t>.0.3</w:t>
      </w:r>
      <w:r>
        <w:rPr>
          <w:rFonts w:hint="eastAsia" w:eastAsia="宋体"/>
          <w:sz w:val="24"/>
          <w:szCs w:val="32"/>
        </w:rPr>
        <w:t>条中</w:t>
      </w:r>
      <w:r>
        <w:rPr>
          <w:rFonts w:eastAsia="宋体"/>
          <w:sz w:val="24"/>
          <w:szCs w:val="32"/>
        </w:rPr>
        <w:t>终止加载条件</w:t>
      </w:r>
      <w:r>
        <w:rPr>
          <w:rFonts w:hint="eastAsia" w:eastAsia="宋体"/>
          <w:sz w:val="24"/>
          <w:szCs w:val="32"/>
        </w:rPr>
        <w:t>，试验结束并按标准确定极限承载力。若参加统计的试验构件极差不超过平均值的3</w:t>
      </w:r>
      <w:r>
        <w:rPr>
          <w:rFonts w:eastAsia="宋体"/>
          <w:sz w:val="24"/>
          <w:szCs w:val="32"/>
        </w:rPr>
        <w:t>0%</w:t>
      </w:r>
      <w:r>
        <w:rPr>
          <w:rFonts w:hint="eastAsia" w:eastAsia="宋体"/>
          <w:sz w:val="24"/>
          <w:szCs w:val="32"/>
        </w:rPr>
        <w:t>时，取平均值作为构件的极限承载力。若参加统计的试验构件极差超过平均值的3</w:t>
      </w:r>
      <w:r>
        <w:rPr>
          <w:rFonts w:eastAsia="宋体"/>
          <w:sz w:val="24"/>
          <w:szCs w:val="32"/>
        </w:rPr>
        <w:t>0%</w:t>
      </w:r>
      <w:r>
        <w:rPr>
          <w:rFonts w:hint="eastAsia" w:eastAsia="宋体"/>
          <w:sz w:val="24"/>
          <w:szCs w:val="32"/>
        </w:rPr>
        <w:t>时，宜判定全部抗浮构件已失效。</w:t>
      </w:r>
    </w:p>
    <w:p w14:paraId="1C9D3A6E">
      <w:pPr>
        <w:numPr>
          <w:ilvl w:val="0"/>
          <w:numId w:val="56"/>
        </w:numPr>
        <w:spacing w:line="360" w:lineRule="auto"/>
        <w:rPr>
          <w:rFonts w:eastAsia="宋体"/>
          <w:sz w:val="24"/>
          <w:szCs w:val="32"/>
        </w:rPr>
      </w:pPr>
      <w:r>
        <w:rPr>
          <w:rFonts w:hint="eastAsia" w:eastAsia="宋体"/>
          <w:sz w:val="24"/>
          <w:szCs w:val="32"/>
        </w:rPr>
        <w:t>在最后一个循环加载至实际使用荷载后，未达到标准规定的终止加载条件，宜继续分级加载，直至试验构件破坏。</w:t>
      </w:r>
    </w:p>
    <w:p w14:paraId="56D75CDC">
      <w:pPr>
        <w:numPr>
          <w:ilvl w:val="0"/>
          <w:numId w:val="56"/>
        </w:numPr>
        <w:spacing w:line="360" w:lineRule="auto"/>
        <w:rPr>
          <w:rFonts w:eastAsia="宋体"/>
          <w:sz w:val="24"/>
          <w:szCs w:val="32"/>
        </w:rPr>
      </w:pPr>
      <w:r>
        <w:rPr>
          <w:rFonts w:hint="eastAsia" w:eastAsia="宋体"/>
          <w:sz w:val="24"/>
          <w:szCs w:val="32"/>
        </w:rPr>
        <w:t>再加荷的竖向抗拔承载力标准值，应按允许变形对应的荷载确定。</w:t>
      </w:r>
    </w:p>
    <w:p w14:paraId="1F124807">
      <w:pPr>
        <w:pStyle w:val="28"/>
      </w:pPr>
    </w:p>
    <w:p w14:paraId="1B6201CC"/>
    <w:p w14:paraId="19EBAD01">
      <w:pPr>
        <w:spacing w:line="360" w:lineRule="auto"/>
        <w:rPr>
          <w:sz w:val="24"/>
        </w:rPr>
      </w:pPr>
    </w:p>
    <w:p w14:paraId="0158B431">
      <w:pPr>
        <w:spacing w:line="360" w:lineRule="auto"/>
        <w:rPr>
          <w:sz w:val="24"/>
        </w:rPr>
      </w:pPr>
    </w:p>
    <w:p w14:paraId="0D4090BC">
      <w:pPr>
        <w:snapToGrid w:val="0"/>
        <w:spacing w:line="276" w:lineRule="auto"/>
        <w:jc w:val="center"/>
        <w:outlineLvl w:val="0"/>
        <w:rPr>
          <w:rFonts w:hint="eastAsia" w:ascii="宋体" w:hAnsi="宋体" w:eastAsia="宋体" w:cs="宋体"/>
          <w:b/>
          <w:sz w:val="30"/>
        </w:rPr>
      </w:pPr>
      <w:bookmarkStart w:id="264" w:name="_Toc21073"/>
      <w:r>
        <w:rPr>
          <w:rFonts w:eastAsiaTheme="minorEastAsia"/>
          <w:sz w:val="28"/>
          <w:szCs w:val="28"/>
        </w:rPr>
        <w:br w:type="page"/>
      </w:r>
      <w:bookmarkStart w:id="265" w:name="_Toc174028238"/>
      <w:bookmarkStart w:id="266" w:name="_Toc174028390"/>
      <w:bookmarkStart w:id="267" w:name="_Toc173510617"/>
      <w:bookmarkStart w:id="268" w:name="_Toc173855204"/>
      <w:bookmarkStart w:id="269" w:name="_Toc2609"/>
      <w:r>
        <w:rPr>
          <w:rFonts w:hint="eastAsia" w:ascii="宋体" w:hAnsi="宋体" w:eastAsia="宋体" w:cs="宋体"/>
          <w:b/>
          <w:sz w:val="30"/>
        </w:rPr>
        <w:t>本</w:t>
      </w:r>
      <w:r>
        <w:rPr>
          <w:rFonts w:hint="eastAsia" w:ascii="宋体" w:hAnsi="宋体" w:eastAsia="宋体" w:cs="宋体"/>
          <w:b/>
          <w:sz w:val="30"/>
          <w:lang w:val="en-US" w:eastAsia="zh-CN"/>
        </w:rPr>
        <w:t>标准</w:t>
      </w:r>
      <w:r>
        <w:rPr>
          <w:rFonts w:hint="eastAsia" w:ascii="宋体" w:hAnsi="宋体" w:eastAsia="宋体" w:cs="宋体"/>
          <w:b/>
          <w:sz w:val="30"/>
        </w:rPr>
        <w:t>用词说明</w:t>
      </w:r>
      <w:bookmarkEnd w:id="265"/>
      <w:bookmarkEnd w:id="266"/>
      <w:bookmarkEnd w:id="267"/>
      <w:bookmarkEnd w:id="268"/>
      <w:bookmarkEnd w:id="269"/>
    </w:p>
    <w:p w14:paraId="4D38A4E7">
      <w:pPr>
        <w:snapToGrid w:val="0"/>
        <w:spacing w:line="360" w:lineRule="auto"/>
        <w:ind w:firstLine="643" w:firstLineChars="200"/>
        <w:rPr>
          <w:rFonts w:hint="eastAsia" w:ascii="宋体" w:hAnsi="宋体" w:eastAsia="宋体" w:cs="宋体"/>
          <w:b/>
        </w:rPr>
      </w:pPr>
    </w:p>
    <w:p w14:paraId="69AD8738">
      <w:pPr>
        <w:widowControl/>
        <w:snapToGrid w:val="0"/>
        <w:spacing w:line="300" w:lineRule="auto"/>
        <w:ind w:firstLine="480" w:firstLineChars="200"/>
        <w:jc w:val="left"/>
        <w:rPr>
          <w:rFonts w:ascii="宋体" w:hAnsi="宋体"/>
          <w:sz w:val="24"/>
          <w:szCs w:val="24"/>
        </w:rPr>
      </w:pPr>
      <w:r>
        <w:rPr>
          <w:rFonts w:ascii="宋体" w:hAnsi="宋体"/>
          <w:sz w:val="24"/>
          <w:szCs w:val="24"/>
        </w:rPr>
        <w:t xml:space="preserve">1 </w:t>
      </w:r>
      <w:r>
        <w:rPr>
          <w:rFonts w:hint="eastAsia" w:ascii="宋体" w:hAnsi="宋体"/>
          <w:sz w:val="24"/>
          <w:szCs w:val="24"/>
        </w:rPr>
        <w:t xml:space="preserve"> 为便于在执行本</w:t>
      </w:r>
      <w:r>
        <w:rPr>
          <w:rFonts w:hint="eastAsia" w:ascii="宋体" w:hAnsi="宋体"/>
          <w:sz w:val="24"/>
          <w:szCs w:val="24"/>
          <w:lang w:val="en-US" w:eastAsia="zh-CN"/>
        </w:rPr>
        <w:t>标准</w:t>
      </w:r>
      <w:r>
        <w:rPr>
          <w:rFonts w:hint="eastAsia" w:ascii="宋体" w:hAnsi="宋体"/>
          <w:sz w:val="24"/>
          <w:szCs w:val="24"/>
        </w:rPr>
        <w:t>条文时区别对待，对要求严格程度不同的用词说明如下：</w:t>
      </w:r>
    </w:p>
    <w:p w14:paraId="6ACD0549">
      <w:pPr>
        <w:widowControl/>
        <w:snapToGrid w:val="0"/>
        <w:spacing w:line="300" w:lineRule="auto"/>
        <w:ind w:left="870" w:leftChars="272"/>
        <w:jc w:val="left"/>
        <w:rPr>
          <w:rFonts w:ascii="宋体" w:hAnsi="宋体"/>
          <w:sz w:val="24"/>
          <w:szCs w:val="24"/>
        </w:rPr>
      </w:pPr>
      <w:r>
        <w:rPr>
          <w:rFonts w:hint="eastAsia" w:ascii="宋体" w:hAnsi="宋体"/>
          <w:sz w:val="24"/>
          <w:szCs w:val="24"/>
        </w:rPr>
        <w:t>1）表示很严格，非这样做不可的用词：</w:t>
      </w:r>
    </w:p>
    <w:p w14:paraId="328F9592">
      <w:pPr>
        <w:keepNext w:val="0"/>
        <w:keepLines w:val="0"/>
        <w:pageBreakBefore w:val="0"/>
        <w:widowControl/>
        <w:kinsoku/>
        <w:wordWrap/>
        <w:overflowPunct/>
        <w:topLinePunct w:val="0"/>
        <w:autoSpaceDE/>
        <w:autoSpaceDN/>
        <w:bidi w:val="0"/>
        <w:adjustRightInd/>
        <w:snapToGrid w:val="0"/>
        <w:spacing w:line="300" w:lineRule="auto"/>
        <w:ind w:left="848" w:leftChars="265" w:firstLine="408" w:firstLineChars="170"/>
        <w:jc w:val="left"/>
        <w:textAlignment w:val="auto"/>
        <w:rPr>
          <w:rFonts w:ascii="宋体" w:hAnsi="宋体"/>
          <w:sz w:val="24"/>
          <w:szCs w:val="24"/>
        </w:rPr>
      </w:pPr>
      <w:r>
        <w:rPr>
          <w:rFonts w:hint="eastAsia" w:ascii="宋体" w:hAnsi="宋体"/>
          <w:sz w:val="24"/>
          <w:szCs w:val="24"/>
        </w:rPr>
        <w:t>正面词采用“必须”，反面词采用“严禁”；</w:t>
      </w:r>
    </w:p>
    <w:p w14:paraId="5D1BF43F">
      <w:pPr>
        <w:widowControl/>
        <w:snapToGrid w:val="0"/>
        <w:spacing w:line="300" w:lineRule="auto"/>
        <w:ind w:left="870" w:leftChars="272"/>
        <w:jc w:val="left"/>
        <w:rPr>
          <w:rFonts w:ascii="宋体" w:hAnsi="宋体"/>
          <w:sz w:val="24"/>
          <w:szCs w:val="24"/>
        </w:rPr>
      </w:pPr>
      <w:r>
        <w:rPr>
          <w:rFonts w:hint="eastAsia" w:ascii="宋体" w:hAnsi="宋体"/>
          <w:sz w:val="24"/>
          <w:szCs w:val="24"/>
        </w:rPr>
        <w:t>2）表示严格，在正常情况下均应这样做的用词：</w:t>
      </w:r>
    </w:p>
    <w:p w14:paraId="220E75A5">
      <w:pPr>
        <w:keepNext w:val="0"/>
        <w:keepLines w:val="0"/>
        <w:pageBreakBefore w:val="0"/>
        <w:widowControl/>
        <w:kinsoku/>
        <w:wordWrap/>
        <w:overflowPunct/>
        <w:topLinePunct w:val="0"/>
        <w:autoSpaceDE/>
        <w:autoSpaceDN/>
        <w:bidi w:val="0"/>
        <w:adjustRightInd/>
        <w:snapToGrid w:val="0"/>
        <w:spacing w:line="300" w:lineRule="auto"/>
        <w:ind w:left="848" w:leftChars="265" w:firstLine="408" w:firstLineChars="170"/>
        <w:jc w:val="left"/>
        <w:textAlignment w:val="auto"/>
        <w:rPr>
          <w:rFonts w:ascii="宋体" w:hAnsi="宋体"/>
          <w:sz w:val="24"/>
          <w:szCs w:val="24"/>
        </w:rPr>
      </w:pPr>
      <w:r>
        <w:rPr>
          <w:rFonts w:hint="eastAsia" w:ascii="宋体" w:hAnsi="宋体"/>
          <w:sz w:val="24"/>
          <w:szCs w:val="24"/>
        </w:rPr>
        <w:t>正面词采用“应”，反面词采用“不应”或“不得”；</w:t>
      </w:r>
    </w:p>
    <w:p w14:paraId="559C86E3">
      <w:pPr>
        <w:widowControl/>
        <w:snapToGrid w:val="0"/>
        <w:spacing w:line="300" w:lineRule="auto"/>
        <w:ind w:left="870" w:leftChars="272"/>
        <w:jc w:val="left"/>
        <w:rPr>
          <w:rFonts w:ascii="宋体" w:hAnsi="宋体"/>
          <w:sz w:val="24"/>
          <w:szCs w:val="24"/>
        </w:rPr>
      </w:pPr>
      <w:r>
        <w:rPr>
          <w:rFonts w:hint="eastAsia" w:ascii="宋体" w:hAnsi="宋体"/>
          <w:sz w:val="24"/>
          <w:szCs w:val="24"/>
        </w:rPr>
        <w:t>3）表示允许稍有选择，在条件许可时首先应这样做的用词：</w:t>
      </w:r>
    </w:p>
    <w:p w14:paraId="19C08CDE">
      <w:pPr>
        <w:keepNext w:val="0"/>
        <w:keepLines w:val="0"/>
        <w:pageBreakBefore w:val="0"/>
        <w:widowControl/>
        <w:kinsoku/>
        <w:wordWrap/>
        <w:overflowPunct/>
        <w:topLinePunct w:val="0"/>
        <w:autoSpaceDE/>
        <w:autoSpaceDN/>
        <w:bidi w:val="0"/>
        <w:adjustRightInd/>
        <w:snapToGrid w:val="0"/>
        <w:spacing w:line="300" w:lineRule="auto"/>
        <w:ind w:left="848" w:leftChars="265" w:firstLine="408" w:firstLineChars="170"/>
        <w:jc w:val="left"/>
        <w:textAlignment w:val="auto"/>
        <w:rPr>
          <w:rFonts w:ascii="宋体" w:hAnsi="宋体"/>
          <w:sz w:val="24"/>
          <w:szCs w:val="24"/>
        </w:rPr>
      </w:pPr>
      <w:r>
        <w:rPr>
          <w:rFonts w:hint="eastAsia" w:ascii="宋体" w:hAnsi="宋体"/>
          <w:sz w:val="24"/>
          <w:szCs w:val="24"/>
        </w:rPr>
        <w:t>正面词采用“宜”，反面词采用“不宜”；</w:t>
      </w:r>
    </w:p>
    <w:p w14:paraId="5058FFFB">
      <w:pPr>
        <w:widowControl/>
        <w:snapToGrid w:val="0"/>
        <w:spacing w:line="300" w:lineRule="auto"/>
        <w:ind w:left="870" w:leftChars="272"/>
        <w:jc w:val="left"/>
        <w:rPr>
          <w:rFonts w:ascii="宋体" w:hAnsi="宋体"/>
          <w:sz w:val="24"/>
          <w:szCs w:val="24"/>
        </w:rPr>
      </w:pPr>
      <w:r>
        <w:rPr>
          <w:rFonts w:hint="eastAsia" w:ascii="宋体" w:hAnsi="宋体"/>
          <w:sz w:val="24"/>
          <w:szCs w:val="24"/>
        </w:rPr>
        <w:t>4）表示有选择，在一定条件下可以这样做的用词，采用“可”。</w:t>
      </w:r>
    </w:p>
    <w:p w14:paraId="00571E41">
      <w:pPr>
        <w:widowControl/>
        <w:snapToGrid w:val="0"/>
        <w:spacing w:line="300" w:lineRule="auto"/>
        <w:ind w:firstLine="480" w:firstLineChars="200"/>
        <w:jc w:val="left"/>
        <w:rPr>
          <w:rFonts w:ascii="宋体" w:hAnsi="宋体"/>
          <w:color w:val="FF0000"/>
          <w:sz w:val="24"/>
          <w:szCs w:val="24"/>
        </w:rPr>
      </w:pPr>
      <w:r>
        <w:rPr>
          <w:rFonts w:hint="eastAsia" w:ascii="宋体" w:hAnsi="宋体"/>
          <w:sz w:val="24"/>
          <w:szCs w:val="24"/>
        </w:rPr>
        <w:t>2  本</w:t>
      </w:r>
      <w:r>
        <w:rPr>
          <w:rFonts w:hint="eastAsia" w:ascii="宋体" w:hAnsi="宋体"/>
          <w:sz w:val="24"/>
          <w:szCs w:val="24"/>
          <w:lang w:val="en-US" w:eastAsia="zh-CN"/>
        </w:rPr>
        <w:t>标准</w:t>
      </w:r>
      <w:r>
        <w:rPr>
          <w:rFonts w:hint="eastAsia" w:ascii="宋体" w:hAnsi="宋体"/>
          <w:sz w:val="24"/>
          <w:szCs w:val="24"/>
        </w:rPr>
        <w:t>中指明应按其他有关标准执行的写法为“应符合……的规定”或“应按……执行”</w:t>
      </w:r>
      <w:r>
        <w:rPr>
          <w:rFonts w:ascii="宋体" w:hAnsi="宋体"/>
          <w:sz w:val="24"/>
          <w:szCs w:val="24"/>
        </w:rPr>
        <w:t>。</w:t>
      </w:r>
    </w:p>
    <w:p w14:paraId="1783742C">
      <w:pPr>
        <w:widowControl/>
        <w:jc w:val="left"/>
        <w:rPr>
          <w:rFonts w:hint="eastAsia" w:ascii="宋体" w:hAnsi="宋体" w:eastAsia="宋体" w:cs="宋体"/>
          <w:sz w:val="28"/>
          <w:szCs w:val="28"/>
        </w:rPr>
      </w:pPr>
    </w:p>
    <w:p w14:paraId="63AC909A">
      <w:pPr>
        <w:widowControl/>
        <w:jc w:val="left"/>
        <w:rPr>
          <w:rFonts w:hint="eastAsia" w:ascii="宋体" w:hAnsi="宋体" w:eastAsia="宋体" w:cs="宋体"/>
          <w:sz w:val="28"/>
          <w:szCs w:val="28"/>
        </w:rPr>
      </w:pPr>
    </w:p>
    <w:p w14:paraId="7FED4319">
      <w:pPr>
        <w:widowControl/>
        <w:jc w:val="left"/>
        <w:rPr>
          <w:rFonts w:hint="eastAsia" w:ascii="宋体" w:hAnsi="宋体" w:eastAsia="宋体" w:cs="宋体"/>
          <w:sz w:val="28"/>
          <w:szCs w:val="28"/>
        </w:rPr>
      </w:pPr>
    </w:p>
    <w:p w14:paraId="2477BA4F">
      <w:pPr>
        <w:rPr>
          <w:rFonts w:hint="eastAsia" w:ascii="宋体" w:hAnsi="宋体" w:eastAsia="宋体" w:cs="宋体"/>
          <w:sz w:val="28"/>
          <w:szCs w:val="28"/>
        </w:rPr>
      </w:pPr>
      <w:bookmarkStart w:id="270" w:name="_Toc28999"/>
      <w:bookmarkStart w:id="271" w:name="_Toc15055"/>
      <w:bookmarkStart w:id="272" w:name="_Toc13229"/>
      <w:bookmarkStart w:id="273" w:name="_Toc6723"/>
      <w:r>
        <w:rPr>
          <w:rFonts w:hint="eastAsia" w:ascii="宋体" w:hAnsi="宋体" w:eastAsia="宋体" w:cs="宋体"/>
          <w:sz w:val="28"/>
          <w:szCs w:val="28"/>
        </w:rPr>
        <w:br w:type="page"/>
      </w:r>
    </w:p>
    <w:p w14:paraId="42DE24B7">
      <w:pPr>
        <w:spacing w:line="360" w:lineRule="auto"/>
        <w:jc w:val="center"/>
        <w:outlineLvl w:val="0"/>
        <w:rPr>
          <w:rFonts w:eastAsiaTheme="minorEastAsia"/>
          <w:sz w:val="28"/>
          <w:szCs w:val="28"/>
        </w:rPr>
      </w:pPr>
      <w:bookmarkStart w:id="274" w:name="_Toc10076"/>
      <w:r>
        <w:rPr>
          <w:rFonts w:hint="eastAsia" w:eastAsiaTheme="minorEastAsia"/>
          <w:sz w:val="28"/>
          <w:szCs w:val="28"/>
        </w:rPr>
        <w:t>引用标准名录</w:t>
      </w:r>
      <w:bookmarkEnd w:id="264"/>
      <w:bookmarkEnd w:id="270"/>
      <w:bookmarkEnd w:id="271"/>
      <w:bookmarkEnd w:id="272"/>
      <w:bookmarkEnd w:id="273"/>
      <w:bookmarkEnd w:id="274"/>
    </w:p>
    <w:p w14:paraId="5119C214">
      <w:pPr>
        <w:spacing w:line="360" w:lineRule="auto"/>
        <w:rPr>
          <w:rFonts w:eastAsiaTheme="minorEastAsia"/>
          <w:sz w:val="24"/>
          <w:szCs w:val="24"/>
        </w:rPr>
      </w:pPr>
      <w:r>
        <w:rPr>
          <w:rFonts w:hint="eastAsia" w:eastAsiaTheme="minorEastAsia"/>
          <w:sz w:val="24"/>
          <w:szCs w:val="24"/>
        </w:rPr>
        <w:t>《混凝土结构设计标准》（2024年版）GB/T 50010</w:t>
      </w:r>
    </w:p>
    <w:p w14:paraId="643767A2">
      <w:pPr>
        <w:spacing w:line="360" w:lineRule="auto"/>
        <w:rPr>
          <w:rFonts w:eastAsiaTheme="minorEastAsia"/>
          <w:sz w:val="24"/>
          <w:szCs w:val="24"/>
        </w:rPr>
      </w:pPr>
      <w:r>
        <w:rPr>
          <w:rFonts w:hint="eastAsia" w:eastAsiaTheme="minorEastAsia"/>
          <w:sz w:val="24"/>
          <w:szCs w:val="24"/>
        </w:rPr>
        <w:t>《钢结构设计标准》GB 50017</w:t>
      </w:r>
    </w:p>
    <w:p w14:paraId="3C8FA10C">
      <w:pPr>
        <w:spacing w:line="360" w:lineRule="auto"/>
        <w:rPr>
          <w:rFonts w:eastAsiaTheme="minorEastAsia"/>
          <w:sz w:val="24"/>
          <w:szCs w:val="24"/>
        </w:rPr>
      </w:pPr>
      <w:r>
        <w:rPr>
          <w:rFonts w:hint="eastAsia" w:eastAsiaTheme="minorEastAsia"/>
          <w:sz w:val="24"/>
          <w:szCs w:val="24"/>
        </w:rPr>
        <w:t>《岩土工程勘察规范》GB 50021</w:t>
      </w:r>
    </w:p>
    <w:p w14:paraId="6D22121D">
      <w:pPr>
        <w:spacing w:line="360" w:lineRule="auto"/>
        <w:rPr>
          <w:rFonts w:eastAsiaTheme="minorEastAsia"/>
          <w:sz w:val="24"/>
          <w:szCs w:val="24"/>
        </w:rPr>
      </w:pPr>
      <w:r>
        <w:rPr>
          <w:rFonts w:hint="eastAsia" w:eastAsiaTheme="minorEastAsia"/>
          <w:sz w:val="24"/>
          <w:szCs w:val="24"/>
        </w:rPr>
        <w:t>《混凝土结构加固设计规范》GB 50367</w:t>
      </w:r>
    </w:p>
    <w:p w14:paraId="4F1DCAAF">
      <w:pPr>
        <w:spacing w:line="360" w:lineRule="auto"/>
        <w:rPr>
          <w:rFonts w:eastAsiaTheme="minorEastAsia"/>
          <w:sz w:val="24"/>
          <w:szCs w:val="24"/>
        </w:rPr>
      </w:pPr>
      <w:r>
        <w:rPr>
          <w:rFonts w:hint="eastAsia" w:eastAsiaTheme="minorEastAsia"/>
          <w:sz w:val="24"/>
          <w:szCs w:val="24"/>
        </w:rPr>
        <w:t>《机井技术规范》GB/T 50625</w:t>
      </w:r>
    </w:p>
    <w:p w14:paraId="44F587FF">
      <w:pPr>
        <w:spacing w:line="360" w:lineRule="auto"/>
        <w:rPr>
          <w:rFonts w:eastAsiaTheme="minorEastAsia"/>
          <w:sz w:val="24"/>
          <w:szCs w:val="24"/>
        </w:rPr>
      </w:pPr>
      <w:r>
        <w:rPr>
          <w:rFonts w:hint="eastAsia" w:eastAsiaTheme="minorEastAsia"/>
          <w:sz w:val="24"/>
          <w:szCs w:val="24"/>
        </w:rPr>
        <w:t>《预应力筋用锚具、夹具和连接器》GB/T 14370</w:t>
      </w:r>
    </w:p>
    <w:p w14:paraId="1A6F151C">
      <w:pPr>
        <w:spacing w:line="360" w:lineRule="auto"/>
        <w:rPr>
          <w:rFonts w:eastAsiaTheme="minorEastAsia"/>
          <w:sz w:val="24"/>
          <w:szCs w:val="24"/>
        </w:rPr>
      </w:pPr>
      <w:r>
        <w:rPr>
          <w:rFonts w:hint="eastAsia" w:eastAsiaTheme="minorEastAsia"/>
          <w:sz w:val="24"/>
          <w:szCs w:val="24"/>
        </w:rPr>
        <w:t>《预应力混凝土用螺纹钢筋》GB/T 20065</w:t>
      </w:r>
    </w:p>
    <w:p w14:paraId="328993FC">
      <w:pPr>
        <w:spacing w:line="360" w:lineRule="auto"/>
        <w:rPr>
          <w:rFonts w:eastAsiaTheme="minorEastAsia"/>
          <w:sz w:val="24"/>
          <w:szCs w:val="24"/>
        </w:rPr>
      </w:pPr>
      <w:r>
        <w:rPr>
          <w:rFonts w:hint="eastAsia" w:eastAsiaTheme="minorEastAsia"/>
          <w:sz w:val="24"/>
          <w:szCs w:val="24"/>
        </w:rPr>
        <w:t>《预应力混凝土用钢绞线》GB/T 5224</w:t>
      </w:r>
    </w:p>
    <w:p w14:paraId="6D0773BF">
      <w:pPr>
        <w:spacing w:line="360" w:lineRule="auto"/>
        <w:rPr>
          <w:rFonts w:eastAsia="宋体"/>
          <w:sz w:val="24"/>
        </w:rPr>
      </w:pPr>
      <w:r>
        <w:rPr>
          <w:rFonts w:hint="eastAsia" w:eastAsia="宋体"/>
          <w:sz w:val="24"/>
        </w:rPr>
        <w:t>《</w:t>
      </w:r>
      <w:r>
        <w:rPr>
          <w:rFonts w:eastAsia="宋体"/>
          <w:sz w:val="24"/>
        </w:rPr>
        <w:t>城市地下水动态观测规程</w:t>
      </w:r>
      <w:r>
        <w:rPr>
          <w:rFonts w:hint="eastAsia" w:eastAsia="宋体"/>
          <w:sz w:val="24"/>
        </w:rPr>
        <w:t>》</w:t>
      </w:r>
      <w:r>
        <w:rPr>
          <w:rFonts w:eastAsia="宋体"/>
          <w:sz w:val="24"/>
        </w:rPr>
        <w:t>CJJ 76</w:t>
      </w:r>
    </w:p>
    <w:p w14:paraId="51F050EF">
      <w:pPr>
        <w:spacing w:line="360" w:lineRule="auto"/>
        <w:rPr>
          <w:rFonts w:eastAsiaTheme="minorEastAsia"/>
          <w:sz w:val="24"/>
          <w:szCs w:val="24"/>
        </w:rPr>
      </w:pPr>
      <w:r>
        <w:rPr>
          <w:rFonts w:hint="eastAsia" w:eastAsiaTheme="minorEastAsia"/>
          <w:sz w:val="24"/>
          <w:szCs w:val="24"/>
        </w:rPr>
        <w:t xml:space="preserve">《建筑工程地质勘探与取样技术规程》JGJ/T </w:t>
      </w:r>
      <w:bookmarkStart w:id="275" w:name="OLE_LINK39"/>
      <w:bookmarkStart w:id="276" w:name="OLE_LINK40"/>
      <w:r>
        <w:rPr>
          <w:rFonts w:hint="eastAsia" w:eastAsiaTheme="minorEastAsia"/>
          <w:sz w:val="24"/>
          <w:szCs w:val="24"/>
        </w:rPr>
        <w:t>87</w:t>
      </w:r>
      <w:bookmarkEnd w:id="275"/>
      <w:bookmarkEnd w:id="276"/>
    </w:p>
    <w:p w14:paraId="0B5DC60E">
      <w:pPr>
        <w:spacing w:line="360" w:lineRule="auto"/>
        <w:rPr>
          <w:rFonts w:eastAsiaTheme="minorEastAsia"/>
          <w:sz w:val="24"/>
          <w:szCs w:val="24"/>
        </w:rPr>
      </w:pPr>
      <w:r>
        <w:rPr>
          <w:rFonts w:hint="eastAsia" w:eastAsiaTheme="minorEastAsia"/>
          <w:sz w:val="24"/>
          <w:szCs w:val="24"/>
        </w:rPr>
        <w:t>《建筑桩基技术规范》JGJ 94</w:t>
      </w:r>
    </w:p>
    <w:p w14:paraId="2783C9C6">
      <w:pPr>
        <w:spacing w:line="360" w:lineRule="auto"/>
        <w:rPr>
          <w:rFonts w:eastAsiaTheme="minorEastAsia"/>
          <w:sz w:val="24"/>
          <w:szCs w:val="24"/>
        </w:rPr>
      </w:pPr>
      <w:r>
        <w:rPr>
          <w:rFonts w:hint="eastAsia" w:eastAsiaTheme="minorEastAsia"/>
          <w:sz w:val="24"/>
          <w:szCs w:val="24"/>
        </w:rPr>
        <w:t>《建筑基桩检测技术规范》JGJ 106</w:t>
      </w:r>
    </w:p>
    <w:p w14:paraId="05E07DBC">
      <w:pPr>
        <w:spacing w:line="360" w:lineRule="auto"/>
        <w:rPr>
          <w:rFonts w:eastAsiaTheme="minorEastAsia"/>
          <w:sz w:val="24"/>
          <w:szCs w:val="24"/>
        </w:rPr>
      </w:pPr>
      <w:r>
        <w:rPr>
          <w:rFonts w:hint="eastAsia" w:eastAsiaTheme="minorEastAsia"/>
          <w:sz w:val="24"/>
          <w:szCs w:val="24"/>
        </w:rPr>
        <w:t>《钢筋锚固板应用技术规程》JGJ 256</w:t>
      </w:r>
    </w:p>
    <w:p w14:paraId="10444FBF">
      <w:pPr>
        <w:spacing w:line="360" w:lineRule="auto"/>
        <w:rPr>
          <w:rFonts w:eastAsiaTheme="minorEastAsia"/>
          <w:sz w:val="24"/>
          <w:szCs w:val="24"/>
        </w:rPr>
      </w:pPr>
      <w:r>
        <w:rPr>
          <w:rFonts w:hint="eastAsia" w:eastAsiaTheme="minorEastAsia"/>
          <w:sz w:val="24"/>
          <w:szCs w:val="24"/>
        </w:rPr>
        <w:t>《</w:t>
      </w:r>
      <w:r>
        <w:rPr>
          <w:rFonts w:eastAsiaTheme="minorEastAsia"/>
          <w:sz w:val="24"/>
          <w:szCs w:val="24"/>
        </w:rPr>
        <w:t>缓粘结预应力混凝土结构技术规程》JGJ</w:t>
      </w:r>
      <w:r>
        <w:rPr>
          <w:rFonts w:hint="eastAsia" w:eastAsiaTheme="minorEastAsia"/>
          <w:sz w:val="24"/>
          <w:szCs w:val="24"/>
        </w:rPr>
        <w:t xml:space="preserve"> </w:t>
      </w:r>
      <w:r>
        <w:rPr>
          <w:rFonts w:eastAsiaTheme="minorEastAsia"/>
          <w:sz w:val="24"/>
          <w:szCs w:val="24"/>
        </w:rPr>
        <w:t>387</w:t>
      </w:r>
    </w:p>
    <w:p w14:paraId="27B3F993">
      <w:pPr>
        <w:spacing w:line="360" w:lineRule="auto"/>
        <w:rPr>
          <w:rFonts w:eastAsiaTheme="minorEastAsia"/>
          <w:sz w:val="24"/>
          <w:szCs w:val="24"/>
        </w:rPr>
      </w:pPr>
      <w:bookmarkStart w:id="277" w:name="OLE_LINK2"/>
      <w:bookmarkStart w:id="278" w:name="OLE_LINK1"/>
      <w:r>
        <w:rPr>
          <w:rFonts w:hint="eastAsia" w:eastAsiaTheme="minorEastAsia"/>
          <w:sz w:val="24"/>
          <w:szCs w:val="24"/>
        </w:rPr>
        <w:t>《</w:t>
      </w:r>
      <w:bookmarkStart w:id="279" w:name="OLE_LINK3"/>
      <w:bookmarkStart w:id="280" w:name="OLE_LINK4"/>
      <w:r>
        <w:rPr>
          <w:rFonts w:hint="eastAsia" w:eastAsiaTheme="minorEastAsia"/>
          <w:sz w:val="24"/>
          <w:szCs w:val="24"/>
        </w:rPr>
        <w:t>建筑工程抗浮技术标准</w:t>
      </w:r>
      <w:bookmarkEnd w:id="279"/>
      <w:bookmarkEnd w:id="280"/>
      <w:r>
        <w:rPr>
          <w:rFonts w:hint="eastAsia" w:eastAsiaTheme="minorEastAsia"/>
          <w:sz w:val="24"/>
          <w:szCs w:val="24"/>
        </w:rPr>
        <w:t>》JGJ 4</w:t>
      </w:r>
      <w:r>
        <w:rPr>
          <w:rFonts w:eastAsiaTheme="minorEastAsia"/>
          <w:sz w:val="24"/>
          <w:szCs w:val="24"/>
        </w:rPr>
        <w:t>3</w:t>
      </w:r>
      <w:r>
        <w:rPr>
          <w:rFonts w:hint="eastAsia" w:eastAsiaTheme="minorEastAsia"/>
          <w:sz w:val="24"/>
          <w:szCs w:val="24"/>
        </w:rPr>
        <w:t>76</w:t>
      </w:r>
    </w:p>
    <w:bookmarkEnd w:id="277"/>
    <w:bookmarkEnd w:id="278"/>
    <w:p w14:paraId="3E7A562B">
      <w:pPr>
        <w:spacing w:line="360" w:lineRule="auto"/>
        <w:rPr>
          <w:rFonts w:eastAsiaTheme="minorEastAsia"/>
          <w:sz w:val="24"/>
          <w:szCs w:val="24"/>
        </w:rPr>
      </w:pPr>
      <w:r>
        <w:rPr>
          <w:rFonts w:hint="eastAsia" w:eastAsiaTheme="minorEastAsia"/>
          <w:sz w:val="24"/>
          <w:szCs w:val="24"/>
        </w:rPr>
        <w:t>《环氧树脂涂层钢筋》JG/T 502</w:t>
      </w:r>
    </w:p>
    <w:p w14:paraId="76487A52">
      <w:pPr>
        <w:spacing w:line="360" w:lineRule="auto"/>
        <w:rPr>
          <w:rFonts w:eastAsia="宋体"/>
          <w:sz w:val="24"/>
        </w:rPr>
      </w:pPr>
      <w:r>
        <w:rPr>
          <w:rFonts w:hint="eastAsia" w:eastAsiaTheme="minorEastAsia"/>
          <w:sz w:val="24"/>
          <w:szCs w:val="24"/>
        </w:rPr>
        <w:t>《</w:t>
      </w:r>
      <w:r>
        <w:rPr>
          <w:rFonts w:eastAsia="宋体"/>
          <w:sz w:val="24"/>
        </w:rPr>
        <w:t>抗浮锚杆技术规程</w:t>
      </w:r>
      <w:r>
        <w:rPr>
          <w:rFonts w:hint="eastAsia" w:eastAsiaTheme="minorEastAsia"/>
          <w:sz w:val="24"/>
          <w:szCs w:val="24"/>
        </w:rPr>
        <w:t>》</w:t>
      </w:r>
      <w:r>
        <w:rPr>
          <w:rFonts w:eastAsia="宋体"/>
          <w:sz w:val="24"/>
        </w:rPr>
        <w:t>YB/T 4659</w:t>
      </w:r>
    </w:p>
    <w:p w14:paraId="55899FA9">
      <w:pPr>
        <w:spacing w:line="360" w:lineRule="auto"/>
        <w:rPr>
          <w:rFonts w:eastAsiaTheme="minorEastAsia"/>
          <w:sz w:val="24"/>
          <w:szCs w:val="24"/>
        </w:rPr>
      </w:pPr>
      <w:r>
        <w:rPr>
          <w:rFonts w:eastAsiaTheme="minorEastAsia"/>
          <w:sz w:val="24"/>
          <w:szCs w:val="24"/>
        </w:rPr>
        <w:t>《建筑与市政工程抗浮勘察标准》DB</w:t>
      </w:r>
      <w:r>
        <w:rPr>
          <w:rFonts w:hint="eastAsia" w:eastAsiaTheme="minorEastAsia"/>
          <w:sz w:val="24"/>
          <w:szCs w:val="24"/>
        </w:rPr>
        <w:t xml:space="preserve"> </w:t>
      </w:r>
      <w:r>
        <w:rPr>
          <w:rFonts w:eastAsiaTheme="minorEastAsia"/>
          <w:sz w:val="24"/>
          <w:szCs w:val="24"/>
        </w:rPr>
        <w:t>11</w:t>
      </w:r>
      <w:r>
        <w:rPr>
          <w:rFonts w:hint="eastAsia" w:eastAsiaTheme="minorEastAsia"/>
          <w:sz w:val="24"/>
          <w:szCs w:val="24"/>
        </w:rPr>
        <w:t>/</w:t>
      </w:r>
      <w:r>
        <w:rPr>
          <w:rFonts w:eastAsiaTheme="minorEastAsia"/>
          <w:sz w:val="24"/>
          <w:szCs w:val="24"/>
        </w:rPr>
        <w:t>T 2241</w:t>
      </w:r>
    </w:p>
    <w:p w14:paraId="1BBF0A9C">
      <w:pPr>
        <w:spacing w:line="360" w:lineRule="auto"/>
        <w:rPr>
          <w:rFonts w:eastAsiaTheme="minorEastAsia"/>
          <w:sz w:val="24"/>
          <w:szCs w:val="24"/>
        </w:rPr>
      </w:pP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72D4526-6A90-4476-874A-99C33BE9C5D9}"/>
  </w:font>
  <w:font w:name="Arial">
    <w:panose1 w:val="020B0604020202020204"/>
    <w:charset w:val="01"/>
    <w:family w:val="swiss"/>
    <w:pitch w:val="default"/>
    <w:sig w:usb0="E0002EFF" w:usb1="C000785B" w:usb2="00000009" w:usb3="00000000" w:csb0="400001FF" w:csb1="FFFF0000"/>
    <w:embedRegular r:id="rId2" w:fontKey="{852BF995-35F1-4814-8598-2EB23F8938A3}"/>
  </w:font>
  <w:font w:name="黑体">
    <w:panose1 w:val="02010609060101010101"/>
    <w:charset w:val="86"/>
    <w:family w:val="auto"/>
    <w:pitch w:val="default"/>
    <w:sig w:usb0="800002BF" w:usb1="38CF7CFA" w:usb2="00000016" w:usb3="00000000" w:csb0="00040001" w:csb1="00000000"/>
    <w:embedRegular r:id="rId3" w:fontKey="{E5E5B8B2-39F2-4CA6-B2D5-A578A6751A3E}"/>
  </w:font>
  <w:font w:name="Courier New">
    <w:panose1 w:val="02070309020205020404"/>
    <w:charset w:val="01"/>
    <w:family w:val="modern"/>
    <w:pitch w:val="default"/>
    <w:sig w:usb0="E0002EFF" w:usb1="C0007843" w:usb2="00000009" w:usb3="00000000" w:csb0="400001FF" w:csb1="FFFF0000"/>
    <w:embedRegular r:id="rId4" w:fontKey="{CE620C4D-9498-4A15-A735-ED063E38A1F8}"/>
  </w:font>
  <w:font w:name="Symbol">
    <w:panose1 w:val="05050102010706020507"/>
    <w:charset w:val="02"/>
    <w:family w:val="roman"/>
    <w:pitch w:val="default"/>
    <w:sig w:usb0="00000000" w:usb1="00000000" w:usb2="00000000" w:usb3="00000000" w:csb0="80000000" w:csb1="00000000"/>
    <w:embedRegular r:id="rId5" w:fontKey="{83FDCB7E-E910-471D-A068-C577F00B9A79}"/>
  </w:font>
  <w:font w:name="Calibri">
    <w:panose1 w:val="020F0502020204030204"/>
    <w:charset w:val="00"/>
    <w:family w:val="swiss"/>
    <w:pitch w:val="default"/>
    <w:sig w:usb0="E4002EFF" w:usb1="C200247B" w:usb2="00000009" w:usb3="00000000" w:csb0="200001FF" w:csb1="00000000"/>
    <w:embedRegular r:id="rId6" w:fontKey="{F1F89C92-437E-4119-A26A-43C542AD46C3}"/>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embedRegular r:id="rId7" w:fontKey="{00AB47E2-B579-45C4-9E17-840C2F5D2735}"/>
  </w:font>
  <w:font w:name="微软雅黑">
    <w:panose1 w:val="020B0503020204020204"/>
    <w:charset w:val="86"/>
    <w:family w:val="swiss"/>
    <w:pitch w:val="default"/>
    <w:sig w:usb0="80000287" w:usb1="2ACF3C50" w:usb2="00000016" w:usb3="00000000" w:csb0="0004001F" w:csb1="00000000"/>
    <w:embedRegular r:id="rId8" w:fontKey="{F895EFB1-F5F2-4206-ABE2-DC08D9098D45}"/>
  </w:font>
  <w:font w:name="方正黑体_GBK">
    <w:panose1 w:val="02000000000000000000"/>
    <w:charset w:val="86"/>
    <w:family w:val="auto"/>
    <w:pitch w:val="default"/>
    <w:sig w:usb0="A00002BF" w:usb1="38CF7CFA" w:usb2="00082016" w:usb3="00000000" w:csb0="00040001" w:csb1="00000000"/>
    <w:embedRegular r:id="rId9" w:fontKey="{759782EE-9B93-4632-BDFD-A0FFC9E97969}"/>
  </w:font>
  <w:font w:name="方正大标宋简体">
    <w:altName w:val="微软雅黑"/>
    <w:panose1 w:val="00000000000000000000"/>
    <w:charset w:val="86"/>
    <w:family w:val="auto"/>
    <w:pitch w:val="default"/>
    <w:sig w:usb0="00000000" w:usb1="00000000" w:usb2="00000012" w:usb3="00000000" w:csb0="00040001" w:csb1="00000000"/>
    <w:embedRegular r:id="rId10" w:fontKey="{E159078F-3644-4307-80A6-2DCC55A40F57}"/>
  </w:font>
  <w:font w:name="Arial Unicode MS">
    <w:altName w:val="宋体"/>
    <w:panose1 w:val="020B0604020202020204"/>
    <w:charset w:val="86"/>
    <w:family w:val="auto"/>
    <w:pitch w:val="default"/>
    <w:sig w:usb0="00000000" w:usb1="00000000" w:usb2="0000003F" w:usb3="00000000" w:csb0="603F01FF" w:csb1="FFFF0000"/>
  </w:font>
  <w:font w:name="Segoe UI">
    <w:panose1 w:val="020B0502040204020203"/>
    <w:charset w:val="00"/>
    <w:family w:val="auto"/>
    <w:pitch w:val="default"/>
    <w:sig w:usb0="E4002EFF" w:usb1="C000E47F" w:usb2="00000009" w:usb3="00000000" w:csb0="200001FF" w:csb1="00000000"/>
    <w:embedRegular r:id="rId11" w:fontKey="{B377F872-5AD7-4CAB-9F62-B04D3B52FD11}"/>
  </w:font>
  <w:font w:name="Cambria Math">
    <w:panose1 w:val="02040503050406030204"/>
    <w:charset w:val="00"/>
    <w:family w:val="roman"/>
    <w:pitch w:val="default"/>
    <w:sig w:usb0="E00006FF" w:usb1="420024FF" w:usb2="02000000" w:usb3="00000000" w:csb0="2000019F" w:csb1="00000000"/>
    <w:embedRegular r:id="rId12" w:fontKey="{DB5FB69F-2AEE-4C86-BA51-3C2C6339B89D}"/>
  </w:font>
  <w:font w:name="楷体">
    <w:panose1 w:val="02010609060101010101"/>
    <w:charset w:val="86"/>
    <w:family w:val="modern"/>
    <w:pitch w:val="default"/>
    <w:sig w:usb0="800002BF" w:usb1="38CF7CFA" w:usb2="00000016" w:usb3="00000000" w:csb0="00040001" w:csb1="00000000"/>
    <w:embedRegular r:id="rId13" w:fontKey="{0A34588A-AACA-4BD4-9321-F4AAD7F27E80}"/>
  </w:font>
  <w:font w:name="楷体_GB2312">
    <w:panose1 w:val="02010609030101010101"/>
    <w:charset w:val="86"/>
    <w:family w:val="modern"/>
    <w:pitch w:val="default"/>
    <w:sig w:usb0="00000001" w:usb1="080E0000" w:usb2="00000000" w:usb3="00000000" w:csb0="00040000" w:csb1="00000000"/>
    <w:embedRegular r:id="rId14" w:fontKey="{3A9C26DC-1BAC-4CF0-A2E8-B54D9515DFD6}"/>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98951">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7CF09">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208F92">
                          <w:pPr>
                            <w:pStyle w:val="12"/>
                          </w:pPr>
                          <w:r>
                            <w:rPr>
                              <w:rFonts w:hint="eastAsia"/>
                            </w:rPr>
                            <w:t xml:space="preserve">第 </w:t>
                          </w:r>
                          <w:r>
                            <w:fldChar w:fldCharType="begin"/>
                          </w:r>
                          <w:r>
                            <w:instrText xml:space="preserve"> </w:instrText>
                          </w:r>
                          <w:r>
                            <w:rPr>
                              <w:rFonts w:hint="eastAsia"/>
                            </w:rPr>
                            <w:instrText xml:space="preserve">=</w:instrText>
                          </w:r>
                          <w:r>
                            <w:fldChar w:fldCharType="begin"/>
                          </w:r>
                          <w:r>
                            <w:instrText xml:space="preserve"> PAGE </w:instrText>
                          </w:r>
                          <w:r>
                            <w:fldChar w:fldCharType="separate"/>
                          </w:r>
                          <w:r>
                            <w:instrText xml:space="preserve">42</w:instrText>
                          </w:r>
                          <w:r>
                            <w:fldChar w:fldCharType="end"/>
                          </w:r>
                          <w:r>
                            <w:rPr>
                              <w:rFonts w:hint="eastAsia"/>
                            </w:rPr>
                            <w:instrText xml:space="preserve">-0</w:instrText>
                          </w:r>
                          <w:r>
                            <w:instrText xml:space="preserve"> </w:instrText>
                          </w:r>
                          <w:r>
                            <w:fldChar w:fldCharType="separate"/>
                          </w:r>
                          <w:r>
                            <w:t>42</w:t>
                          </w:r>
                          <w:r>
                            <w:fldChar w:fldCharType="end"/>
                          </w:r>
                          <w:r>
                            <w:rPr>
                              <w:rFonts w:hint="eastAsia"/>
                            </w:rPr>
                            <w:t xml:space="preserve"> 页  共 </w:t>
                          </w:r>
                          <w:r>
                            <w:fldChar w:fldCharType="begin"/>
                          </w:r>
                          <w:r>
                            <w:instrText xml:space="preserve"> </w:instrText>
                          </w:r>
                          <w:r>
                            <w:rPr>
                              <w:rFonts w:hint="eastAsia"/>
                            </w:rPr>
                            <w:instrText xml:space="preserve">=</w:instrText>
                          </w:r>
                          <w:r>
                            <w:fldChar w:fldCharType="begin"/>
                          </w:r>
                          <w:r>
                            <w:instrText xml:space="preserve"> NUMPAGES </w:instrText>
                          </w:r>
                          <w:r>
                            <w:fldChar w:fldCharType="separate"/>
                          </w:r>
                          <w:r>
                            <w:instrText xml:space="preserve">59</w:instrText>
                          </w:r>
                          <w:r>
                            <w:fldChar w:fldCharType="end"/>
                          </w:r>
                          <w:r>
                            <w:rPr>
                              <w:rFonts w:hint="eastAsia"/>
                            </w:rPr>
                            <w:instrText xml:space="preserve">   -</w:instrText>
                          </w:r>
                          <w:r>
                            <w:rPr>
                              <w:rFonts w:hint="eastAsia"/>
                              <w:lang w:val="en-US" w:eastAsia="zh-CN"/>
                            </w:rPr>
                            <w:instrText xml:space="preserve">7</w:instrText>
                          </w:r>
                          <w:r>
                            <w:instrText xml:space="preserve"> </w:instrText>
                          </w:r>
                          <w:r>
                            <w:fldChar w:fldCharType="separate"/>
                          </w:r>
                          <w:r>
                            <w:t>56</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0208F92">
                    <w:pPr>
                      <w:pStyle w:val="12"/>
                    </w:pPr>
                    <w:r>
                      <w:rPr>
                        <w:rFonts w:hint="eastAsia"/>
                      </w:rPr>
                      <w:t xml:space="preserve">第 </w:t>
                    </w:r>
                    <w:r>
                      <w:fldChar w:fldCharType="begin"/>
                    </w:r>
                    <w:r>
                      <w:instrText xml:space="preserve"> </w:instrText>
                    </w:r>
                    <w:r>
                      <w:rPr>
                        <w:rFonts w:hint="eastAsia"/>
                      </w:rPr>
                      <w:instrText xml:space="preserve">=</w:instrText>
                    </w:r>
                    <w:r>
                      <w:fldChar w:fldCharType="begin"/>
                    </w:r>
                    <w:r>
                      <w:instrText xml:space="preserve"> PAGE </w:instrText>
                    </w:r>
                    <w:r>
                      <w:fldChar w:fldCharType="separate"/>
                    </w:r>
                    <w:r>
                      <w:instrText xml:space="preserve">42</w:instrText>
                    </w:r>
                    <w:r>
                      <w:fldChar w:fldCharType="end"/>
                    </w:r>
                    <w:r>
                      <w:rPr>
                        <w:rFonts w:hint="eastAsia"/>
                      </w:rPr>
                      <w:instrText xml:space="preserve">-0</w:instrText>
                    </w:r>
                    <w:r>
                      <w:instrText xml:space="preserve"> </w:instrText>
                    </w:r>
                    <w:r>
                      <w:fldChar w:fldCharType="separate"/>
                    </w:r>
                    <w:r>
                      <w:t>42</w:t>
                    </w:r>
                    <w:r>
                      <w:fldChar w:fldCharType="end"/>
                    </w:r>
                    <w:r>
                      <w:rPr>
                        <w:rFonts w:hint="eastAsia"/>
                      </w:rPr>
                      <w:t xml:space="preserve"> 页  共 </w:t>
                    </w:r>
                    <w:r>
                      <w:fldChar w:fldCharType="begin"/>
                    </w:r>
                    <w:r>
                      <w:instrText xml:space="preserve"> </w:instrText>
                    </w:r>
                    <w:r>
                      <w:rPr>
                        <w:rFonts w:hint="eastAsia"/>
                      </w:rPr>
                      <w:instrText xml:space="preserve">=</w:instrText>
                    </w:r>
                    <w:r>
                      <w:fldChar w:fldCharType="begin"/>
                    </w:r>
                    <w:r>
                      <w:instrText xml:space="preserve"> NUMPAGES </w:instrText>
                    </w:r>
                    <w:r>
                      <w:fldChar w:fldCharType="separate"/>
                    </w:r>
                    <w:r>
                      <w:instrText xml:space="preserve">59</w:instrText>
                    </w:r>
                    <w:r>
                      <w:fldChar w:fldCharType="end"/>
                    </w:r>
                    <w:r>
                      <w:rPr>
                        <w:rFonts w:hint="eastAsia"/>
                      </w:rPr>
                      <w:instrText xml:space="preserve">   -</w:instrText>
                    </w:r>
                    <w:r>
                      <w:rPr>
                        <w:rFonts w:hint="eastAsia"/>
                        <w:lang w:val="en-US" w:eastAsia="zh-CN"/>
                      </w:rPr>
                      <w:instrText xml:space="preserve">7</w:instrText>
                    </w:r>
                    <w:r>
                      <w:instrText xml:space="preserve"> </w:instrText>
                    </w:r>
                    <w:r>
                      <w:fldChar w:fldCharType="separate"/>
                    </w:r>
                    <w:r>
                      <w:t>56</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9DC7C"/>
    <w:multiLevelType w:val="singleLevel"/>
    <w:tmpl w:val="82A9DC7C"/>
    <w:lvl w:ilvl="0" w:tentative="0">
      <w:start w:val="1"/>
      <w:numFmt w:val="decimal"/>
      <w:lvlText w:val="%1."/>
      <w:lvlJc w:val="left"/>
      <w:pPr>
        <w:ind w:left="425" w:hanging="425"/>
      </w:pPr>
      <w:rPr>
        <w:rFonts w:hint="default"/>
      </w:rPr>
    </w:lvl>
  </w:abstractNum>
  <w:abstractNum w:abstractNumId="1">
    <w:nsid w:val="8591D024"/>
    <w:multiLevelType w:val="singleLevel"/>
    <w:tmpl w:val="8591D024"/>
    <w:lvl w:ilvl="0" w:tentative="0">
      <w:start w:val="1"/>
      <w:numFmt w:val="decimal"/>
      <w:lvlText w:val="%1 "/>
      <w:lvlJc w:val="left"/>
      <w:pPr>
        <w:tabs>
          <w:tab w:val="left" w:pos="420"/>
        </w:tabs>
        <w:ind w:left="425" w:hanging="425"/>
      </w:pPr>
      <w:rPr>
        <w:rFonts w:hint="default"/>
      </w:rPr>
    </w:lvl>
  </w:abstractNum>
  <w:abstractNum w:abstractNumId="2">
    <w:nsid w:val="8EB8E7B9"/>
    <w:multiLevelType w:val="singleLevel"/>
    <w:tmpl w:val="8EB8E7B9"/>
    <w:lvl w:ilvl="0" w:tentative="0">
      <w:start w:val="1"/>
      <w:numFmt w:val="decimal"/>
      <w:suff w:val="nothing"/>
      <w:lvlText w:val="B.1.%1 "/>
      <w:lvlJc w:val="left"/>
      <w:pPr>
        <w:tabs>
          <w:tab w:val="left" w:pos="0"/>
        </w:tabs>
        <w:ind w:left="0" w:firstLine="420"/>
      </w:pPr>
      <w:rPr>
        <w:rFonts w:hint="default"/>
      </w:rPr>
    </w:lvl>
  </w:abstractNum>
  <w:abstractNum w:abstractNumId="3">
    <w:nsid w:val="9F8E9FA4"/>
    <w:multiLevelType w:val="singleLevel"/>
    <w:tmpl w:val="9F8E9FA4"/>
    <w:lvl w:ilvl="0" w:tentative="0">
      <w:start w:val="1"/>
      <w:numFmt w:val="decimal"/>
      <w:suff w:val="nothing"/>
      <w:lvlText w:val="3.0.%1 "/>
      <w:lvlJc w:val="left"/>
      <w:pPr>
        <w:tabs>
          <w:tab w:val="left" w:pos="0"/>
        </w:tabs>
        <w:ind w:left="0" w:firstLine="420"/>
      </w:pPr>
      <w:rPr>
        <w:rFonts w:hint="default" w:ascii="Times New Roman" w:hAnsi="Times New Roman" w:cs="Times New Roman"/>
      </w:rPr>
    </w:lvl>
  </w:abstractNum>
  <w:abstractNum w:abstractNumId="4">
    <w:nsid w:val="A0014179"/>
    <w:multiLevelType w:val="singleLevel"/>
    <w:tmpl w:val="A0014179"/>
    <w:lvl w:ilvl="0" w:tentative="0">
      <w:start w:val="1"/>
      <w:numFmt w:val="decimal"/>
      <w:lvlText w:val="%1"/>
      <w:lvlJc w:val="left"/>
      <w:pPr>
        <w:tabs>
          <w:tab w:val="left" w:pos="420"/>
        </w:tabs>
        <w:ind w:left="425" w:hanging="425"/>
      </w:pPr>
      <w:rPr>
        <w:rFonts w:hint="default"/>
      </w:rPr>
    </w:lvl>
  </w:abstractNum>
  <w:abstractNum w:abstractNumId="5">
    <w:nsid w:val="A486BA9A"/>
    <w:multiLevelType w:val="singleLevel"/>
    <w:tmpl w:val="A486BA9A"/>
    <w:lvl w:ilvl="0" w:tentative="0">
      <w:start w:val="1"/>
      <w:numFmt w:val="decimal"/>
      <w:lvlText w:val="%1) "/>
      <w:lvlJc w:val="left"/>
      <w:pPr>
        <w:tabs>
          <w:tab w:val="left" w:pos="312"/>
        </w:tabs>
      </w:pPr>
      <w:rPr>
        <w:rFonts w:hint="default"/>
      </w:rPr>
    </w:lvl>
  </w:abstractNum>
  <w:abstractNum w:abstractNumId="6">
    <w:nsid w:val="A68B26D4"/>
    <w:multiLevelType w:val="singleLevel"/>
    <w:tmpl w:val="A68B26D4"/>
    <w:lvl w:ilvl="0" w:tentative="0">
      <w:start w:val="1"/>
      <w:numFmt w:val="decimal"/>
      <w:lvlText w:val="%1 "/>
      <w:lvlJc w:val="left"/>
      <w:pPr>
        <w:tabs>
          <w:tab w:val="left" w:pos="420"/>
        </w:tabs>
        <w:ind w:left="425" w:hanging="425"/>
      </w:pPr>
      <w:rPr>
        <w:rFonts w:hint="default"/>
      </w:rPr>
    </w:lvl>
  </w:abstractNum>
  <w:abstractNum w:abstractNumId="7">
    <w:nsid w:val="A86DD09A"/>
    <w:multiLevelType w:val="singleLevel"/>
    <w:tmpl w:val="A86DD09A"/>
    <w:lvl w:ilvl="0" w:tentative="0">
      <w:start w:val="1"/>
      <w:numFmt w:val="decimalEnclosedCircleChinese"/>
      <w:suff w:val="nothing"/>
      <w:lvlText w:val="%1　"/>
      <w:lvlJc w:val="left"/>
      <w:pPr>
        <w:ind w:left="0" w:firstLine="400"/>
      </w:pPr>
      <w:rPr>
        <w:rFonts w:hint="eastAsia"/>
      </w:rPr>
    </w:lvl>
  </w:abstractNum>
  <w:abstractNum w:abstractNumId="8">
    <w:nsid w:val="A98BA0AB"/>
    <w:multiLevelType w:val="singleLevel"/>
    <w:tmpl w:val="A98BA0AB"/>
    <w:lvl w:ilvl="0" w:tentative="0">
      <w:start w:val="1"/>
      <w:numFmt w:val="decimal"/>
      <w:lvlText w:val="%1"/>
      <w:lvlJc w:val="left"/>
      <w:pPr>
        <w:tabs>
          <w:tab w:val="left" w:pos="420"/>
        </w:tabs>
        <w:ind w:left="425" w:hanging="425"/>
      </w:pPr>
      <w:rPr>
        <w:rFonts w:hint="default"/>
      </w:rPr>
    </w:lvl>
  </w:abstractNum>
  <w:abstractNum w:abstractNumId="9">
    <w:nsid w:val="AE693120"/>
    <w:multiLevelType w:val="singleLevel"/>
    <w:tmpl w:val="AE693120"/>
    <w:lvl w:ilvl="0" w:tentative="0">
      <w:start w:val="1"/>
      <w:numFmt w:val="decimal"/>
      <w:lvlText w:val="%1."/>
      <w:lvlJc w:val="left"/>
      <w:pPr>
        <w:ind w:left="425" w:hanging="425"/>
      </w:pPr>
      <w:rPr>
        <w:rFonts w:hint="default"/>
      </w:rPr>
    </w:lvl>
  </w:abstractNum>
  <w:abstractNum w:abstractNumId="10">
    <w:nsid w:val="BB4DFAFE"/>
    <w:multiLevelType w:val="singleLevel"/>
    <w:tmpl w:val="BB4DFAFE"/>
    <w:lvl w:ilvl="0" w:tentative="0">
      <w:start w:val="1"/>
      <w:numFmt w:val="decimal"/>
      <w:lvlText w:val="%1"/>
      <w:lvlJc w:val="left"/>
      <w:pPr>
        <w:tabs>
          <w:tab w:val="left" w:pos="420"/>
        </w:tabs>
        <w:ind w:left="425" w:hanging="425"/>
      </w:pPr>
      <w:rPr>
        <w:rFonts w:hint="default" w:ascii="Times New Roman" w:hAnsi="Times New Roman" w:cs="Times New Roman"/>
      </w:rPr>
    </w:lvl>
  </w:abstractNum>
  <w:abstractNum w:abstractNumId="11">
    <w:nsid w:val="BC11BB25"/>
    <w:multiLevelType w:val="singleLevel"/>
    <w:tmpl w:val="BC11BB25"/>
    <w:lvl w:ilvl="0" w:tentative="0">
      <w:start w:val="1"/>
      <w:numFmt w:val="decimal"/>
      <w:lvlText w:val="%1"/>
      <w:lvlJc w:val="left"/>
      <w:pPr>
        <w:tabs>
          <w:tab w:val="left" w:pos="420"/>
        </w:tabs>
        <w:ind w:left="425" w:hanging="425"/>
      </w:pPr>
      <w:rPr>
        <w:rFonts w:hint="default"/>
      </w:rPr>
    </w:lvl>
  </w:abstractNum>
  <w:abstractNum w:abstractNumId="12">
    <w:nsid w:val="BD236156"/>
    <w:multiLevelType w:val="singleLevel"/>
    <w:tmpl w:val="BD236156"/>
    <w:lvl w:ilvl="0" w:tentative="0">
      <w:start w:val="1"/>
      <w:numFmt w:val="decimal"/>
      <w:lvlText w:val="%1"/>
      <w:lvlJc w:val="left"/>
      <w:pPr>
        <w:tabs>
          <w:tab w:val="left" w:pos="420"/>
        </w:tabs>
        <w:ind w:left="425" w:hanging="425"/>
      </w:pPr>
      <w:rPr>
        <w:rFonts w:hint="default"/>
      </w:rPr>
    </w:lvl>
  </w:abstractNum>
  <w:abstractNum w:abstractNumId="13">
    <w:nsid w:val="BFAAA0C3"/>
    <w:multiLevelType w:val="singleLevel"/>
    <w:tmpl w:val="BFAAA0C3"/>
    <w:lvl w:ilvl="0" w:tentative="0">
      <w:start w:val="1"/>
      <w:numFmt w:val="decimal"/>
      <w:lvlText w:val="%1) "/>
      <w:lvlJc w:val="left"/>
      <w:pPr>
        <w:tabs>
          <w:tab w:val="left" w:pos="312"/>
        </w:tabs>
      </w:pPr>
      <w:rPr>
        <w:rFonts w:hint="default"/>
      </w:rPr>
    </w:lvl>
  </w:abstractNum>
  <w:abstractNum w:abstractNumId="14">
    <w:nsid w:val="C64748A4"/>
    <w:multiLevelType w:val="singleLevel"/>
    <w:tmpl w:val="C64748A4"/>
    <w:lvl w:ilvl="0" w:tentative="0">
      <w:start w:val="1"/>
      <w:numFmt w:val="decimal"/>
      <w:lvlText w:val="%1)"/>
      <w:lvlJc w:val="left"/>
      <w:pPr>
        <w:ind w:left="425" w:hanging="425"/>
      </w:pPr>
      <w:rPr>
        <w:rFonts w:hint="default"/>
      </w:rPr>
    </w:lvl>
  </w:abstractNum>
  <w:abstractNum w:abstractNumId="15">
    <w:nsid w:val="C67FCE70"/>
    <w:multiLevelType w:val="singleLevel"/>
    <w:tmpl w:val="C67FCE70"/>
    <w:lvl w:ilvl="0" w:tentative="0">
      <w:start w:val="1"/>
      <w:numFmt w:val="decimal"/>
      <w:lvlText w:val="%1 "/>
      <w:lvlJc w:val="left"/>
      <w:pPr>
        <w:tabs>
          <w:tab w:val="left" w:pos="420"/>
        </w:tabs>
        <w:ind w:left="425" w:hanging="425"/>
      </w:pPr>
      <w:rPr>
        <w:rFonts w:hint="default"/>
      </w:rPr>
    </w:lvl>
  </w:abstractNum>
  <w:abstractNum w:abstractNumId="16">
    <w:nsid w:val="D2975769"/>
    <w:multiLevelType w:val="singleLevel"/>
    <w:tmpl w:val="D2975769"/>
    <w:lvl w:ilvl="0" w:tentative="0">
      <w:start w:val="1"/>
      <w:numFmt w:val="decimal"/>
      <w:lvlText w:val="%1"/>
      <w:lvlJc w:val="left"/>
      <w:pPr>
        <w:tabs>
          <w:tab w:val="left" w:pos="420"/>
        </w:tabs>
        <w:ind w:left="425" w:hanging="425"/>
      </w:pPr>
      <w:rPr>
        <w:rFonts w:hint="default"/>
      </w:rPr>
    </w:lvl>
  </w:abstractNum>
  <w:abstractNum w:abstractNumId="17">
    <w:nsid w:val="D2F93D13"/>
    <w:multiLevelType w:val="multilevel"/>
    <w:tmpl w:val="D2F93D13"/>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1276"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8">
    <w:nsid w:val="DE65C3EA"/>
    <w:multiLevelType w:val="singleLevel"/>
    <w:tmpl w:val="DE65C3EA"/>
    <w:lvl w:ilvl="0" w:tentative="0">
      <w:start w:val="1"/>
      <w:numFmt w:val="decimal"/>
      <w:suff w:val="nothing"/>
      <w:lvlText w:val="B.3.%1 "/>
      <w:lvlJc w:val="left"/>
      <w:pPr>
        <w:tabs>
          <w:tab w:val="left" w:pos="0"/>
        </w:tabs>
        <w:ind w:left="0" w:firstLine="0"/>
      </w:pPr>
      <w:rPr>
        <w:rFonts w:hint="default"/>
      </w:rPr>
    </w:lvl>
  </w:abstractNum>
  <w:abstractNum w:abstractNumId="19">
    <w:nsid w:val="E065A195"/>
    <w:multiLevelType w:val="singleLevel"/>
    <w:tmpl w:val="E065A195"/>
    <w:lvl w:ilvl="0" w:tentative="0">
      <w:start w:val="1"/>
      <w:numFmt w:val="decimal"/>
      <w:lvlText w:val="%1"/>
      <w:lvlJc w:val="left"/>
      <w:pPr>
        <w:tabs>
          <w:tab w:val="left" w:pos="420"/>
        </w:tabs>
        <w:ind w:left="425" w:hanging="425"/>
      </w:pPr>
      <w:rPr>
        <w:rFonts w:hint="default"/>
      </w:rPr>
    </w:lvl>
  </w:abstractNum>
  <w:abstractNum w:abstractNumId="20">
    <w:nsid w:val="E7DD3570"/>
    <w:multiLevelType w:val="singleLevel"/>
    <w:tmpl w:val="E7DD3570"/>
    <w:lvl w:ilvl="0" w:tentative="0">
      <w:start w:val="1"/>
      <w:numFmt w:val="decimal"/>
      <w:suff w:val="nothing"/>
      <w:lvlText w:val="B.4.%1 "/>
      <w:lvlJc w:val="left"/>
      <w:pPr>
        <w:tabs>
          <w:tab w:val="left" w:pos="0"/>
        </w:tabs>
        <w:ind w:left="0" w:firstLine="0"/>
      </w:pPr>
      <w:rPr>
        <w:rFonts w:hint="default"/>
      </w:rPr>
    </w:lvl>
  </w:abstractNum>
  <w:abstractNum w:abstractNumId="21">
    <w:nsid w:val="ED3DE9F8"/>
    <w:multiLevelType w:val="singleLevel"/>
    <w:tmpl w:val="ED3DE9F8"/>
    <w:lvl w:ilvl="0" w:tentative="0">
      <w:start w:val="1"/>
      <w:numFmt w:val="decimal"/>
      <w:lvlText w:val="%1"/>
      <w:lvlJc w:val="left"/>
      <w:pPr>
        <w:tabs>
          <w:tab w:val="left" w:pos="420"/>
        </w:tabs>
        <w:ind w:left="425" w:hanging="425"/>
      </w:pPr>
      <w:rPr>
        <w:rFonts w:hint="default"/>
      </w:rPr>
    </w:lvl>
  </w:abstractNum>
  <w:abstractNum w:abstractNumId="22">
    <w:nsid w:val="EF7F6C68"/>
    <w:multiLevelType w:val="singleLevel"/>
    <w:tmpl w:val="EF7F6C68"/>
    <w:lvl w:ilvl="0" w:tentative="0">
      <w:start w:val="1"/>
      <w:numFmt w:val="decimal"/>
      <w:lvlText w:val="%1"/>
      <w:lvlJc w:val="left"/>
      <w:pPr>
        <w:tabs>
          <w:tab w:val="left" w:pos="420"/>
        </w:tabs>
        <w:ind w:left="425" w:hanging="425"/>
      </w:pPr>
      <w:rPr>
        <w:rFonts w:hint="default" w:ascii="Times New Roman" w:hAnsi="Times New Roman" w:cs="Times New Roman"/>
      </w:rPr>
    </w:lvl>
  </w:abstractNum>
  <w:abstractNum w:abstractNumId="23">
    <w:nsid w:val="FAAFEC4B"/>
    <w:multiLevelType w:val="singleLevel"/>
    <w:tmpl w:val="FAAFEC4B"/>
    <w:lvl w:ilvl="0" w:tentative="0">
      <w:start w:val="1"/>
      <w:numFmt w:val="decimal"/>
      <w:lvlText w:val="%1"/>
      <w:lvlJc w:val="left"/>
      <w:pPr>
        <w:tabs>
          <w:tab w:val="left" w:pos="420"/>
        </w:tabs>
        <w:ind w:left="425" w:hanging="425"/>
      </w:pPr>
      <w:rPr>
        <w:rFonts w:hint="default"/>
      </w:rPr>
    </w:lvl>
  </w:abstractNum>
  <w:abstractNum w:abstractNumId="24">
    <w:nsid w:val="FB7075B6"/>
    <w:multiLevelType w:val="singleLevel"/>
    <w:tmpl w:val="FB7075B6"/>
    <w:lvl w:ilvl="0" w:tentative="0">
      <w:start w:val="1"/>
      <w:numFmt w:val="decimal"/>
      <w:lvlText w:val="%1."/>
      <w:lvlJc w:val="left"/>
      <w:pPr>
        <w:ind w:left="425" w:hanging="425"/>
      </w:pPr>
      <w:rPr>
        <w:rFonts w:hint="default"/>
      </w:rPr>
    </w:lvl>
  </w:abstractNum>
  <w:abstractNum w:abstractNumId="25">
    <w:nsid w:val="FE65A43E"/>
    <w:multiLevelType w:val="singleLevel"/>
    <w:tmpl w:val="FE65A43E"/>
    <w:lvl w:ilvl="0" w:tentative="0">
      <w:start w:val="1"/>
      <w:numFmt w:val="decimal"/>
      <w:lvlText w:val="%1"/>
      <w:lvlJc w:val="left"/>
      <w:pPr>
        <w:tabs>
          <w:tab w:val="left" w:pos="420"/>
        </w:tabs>
        <w:ind w:left="425" w:hanging="425"/>
      </w:pPr>
      <w:rPr>
        <w:rFonts w:hint="default"/>
      </w:rPr>
    </w:lvl>
  </w:abstractNum>
  <w:abstractNum w:abstractNumId="26">
    <w:nsid w:val="FEC873AF"/>
    <w:multiLevelType w:val="singleLevel"/>
    <w:tmpl w:val="FEC873AF"/>
    <w:lvl w:ilvl="0" w:tentative="0">
      <w:start w:val="1"/>
      <w:numFmt w:val="decimal"/>
      <w:lvlText w:val="%1"/>
      <w:lvlJc w:val="left"/>
      <w:pPr>
        <w:tabs>
          <w:tab w:val="left" w:pos="420"/>
        </w:tabs>
        <w:ind w:left="425" w:hanging="425"/>
      </w:pPr>
      <w:rPr>
        <w:rFonts w:hint="default"/>
      </w:rPr>
    </w:lvl>
  </w:abstractNum>
  <w:abstractNum w:abstractNumId="27">
    <w:nsid w:val="FF5D0A25"/>
    <w:multiLevelType w:val="singleLevel"/>
    <w:tmpl w:val="FF5D0A25"/>
    <w:lvl w:ilvl="0" w:tentative="0">
      <w:start w:val="1"/>
      <w:numFmt w:val="decimal"/>
      <w:lvlText w:val="%1"/>
      <w:lvlJc w:val="left"/>
      <w:pPr>
        <w:tabs>
          <w:tab w:val="left" w:pos="420"/>
        </w:tabs>
        <w:ind w:left="425" w:hanging="425"/>
      </w:pPr>
      <w:rPr>
        <w:rFonts w:hint="default" w:ascii="Times New Roman" w:hAnsi="Times New Roman" w:cs="Times New Roman"/>
      </w:rPr>
    </w:lvl>
  </w:abstractNum>
  <w:abstractNum w:abstractNumId="28">
    <w:nsid w:val="07359188"/>
    <w:multiLevelType w:val="singleLevel"/>
    <w:tmpl w:val="07359188"/>
    <w:lvl w:ilvl="0" w:tentative="0">
      <w:start w:val="1"/>
      <w:numFmt w:val="decimal"/>
      <w:lvlText w:val="%1 "/>
      <w:lvlJc w:val="left"/>
      <w:pPr>
        <w:tabs>
          <w:tab w:val="left" w:pos="420"/>
        </w:tabs>
        <w:ind w:left="425" w:hanging="425"/>
      </w:pPr>
      <w:rPr>
        <w:rFonts w:hint="default"/>
      </w:rPr>
    </w:lvl>
  </w:abstractNum>
  <w:abstractNum w:abstractNumId="29">
    <w:nsid w:val="0A4615C6"/>
    <w:multiLevelType w:val="multilevel"/>
    <w:tmpl w:val="0A4615C6"/>
    <w:lvl w:ilvl="0" w:tentative="0">
      <w:start w:val="1"/>
      <w:numFmt w:val="decimal"/>
      <w:suff w:val="nothing"/>
      <w:lvlText w:val="D.0.%1 "/>
      <w:lvlJc w:val="left"/>
      <w:pPr>
        <w:tabs>
          <w:tab w:val="left" w:pos="0"/>
        </w:tabs>
        <w:ind w:left="0" w:firstLine="420"/>
      </w:pPr>
      <w:rPr>
        <w:rFonts w:hint="default"/>
      </w:rPr>
    </w:lvl>
    <w:lvl w:ilvl="1" w:tentative="0">
      <w:start w:val="1"/>
      <w:numFmt w:val="lowerLetter"/>
      <w:lvlText w:val="%2)"/>
      <w:lvlJc w:val="left"/>
      <w:pPr>
        <w:tabs>
          <w:tab w:val="left" w:pos="840"/>
        </w:tabs>
        <w:ind w:left="1260" w:hanging="420"/>
      </w:pPr>
      <w:rPr>
        <w:rFonts w:hint="default"/>
      </w:rPr>
    </w:lvl>
    <w:lvl w:ilvl="2" w:tentative="0">
      <w:start w:val="1"/>
      <w:numFmt w:val="lowerRoman"/>
      <w:lvlText w:val="%3."/>
      <w:lvlJc w:val="left"/>
      <w:pPr>
        <w:tabs>
          <w:tab w:val="left" w:pos="1260"/>
        </w:tabs>
        <w:ind w:left="1680" w:hanging="420"/>
      </w:pPr>
      <w:rPr>
        <w:rFonts w:hint="default"/>
      </w:rPr>
    </w:lvl>
    <w:lvl w:ilvl="3" w:tentative="0">
      <w:start w:val="1"/>
      <w:numFmt w:val="decimal"/>
      <w:lvlText w:val="%4."/>
      <w:lvlJc w:val="left"/>
      <w:pPr>
        <w:tabs>
          <w:tab w:val="left" w:pos="1680"/>
        </w:tabs>
        <w:ind w:left="2100" w:hanging="420"/>
      </w:pPr>
      <w:rPr>
        <w:rFonts w:hint="default"/>
      </w:rPr>
    </w:lvl>
    <w:lvl w:ilvl="4" w:tentative="0">
      <w:start w:val="1"/>
      <w:numFmt w:val="lowerLetter"/>
      <w:lvlText w:val="%5)"/>
      <w:lvlJc w:val="left"/>
      <w:pPr>
        <w:tabs>
          <w:tab w:val="left" w:pos="2100"/>
        </w:tabs>
        <w:ind w:left="2520" w:hanging="420"/>
      </w:pPr>
      <w:rPr>
        <w:rFonts w:hint="default"/>
      </w:rPr>
    </w:lvl>
    <w:lvl w:ilvl="5" w:tentative="0">
      <w:start w:val="1"/>
      <w:numFmt w:val="lowerRoman"/>
      <w:lvlText w:val="%6."/>
      <w:lvlJc w:val="left"/>
      <w:pPr>
        <w:tabs>
          <w:tab w:val="left" w:pos="2520"/>
        </w:tabs>
        <w:ind w:left="2940" w:hanging="420"/>
      </w:pPr>
      <w:rPr>
        <w:rFonts w:hint="default"/>
      </w:rPr>
    </w:lvl>
    <w:lvl w:ilvl="6" w:tentative="0">
      <w:start w:val="1"/>
      <w:numFmt w:val="decimal"/>
      <w:lvlText w:val="%7."/>
      <w:lvlJc w:val="left"/>
      <w:pPr>
        <w:tabs>
          <w:tab w:val="left" w:pos="2940"/>
        </w:tabs>
        <w:ind w:left="3360" w:hanging="420"/>
      </w:pPr>
      <w:rPr>
        <w:rFonts w:hint="default"/>
      </w:rPr>
    </w:lvl>
    <w:lvl w:ilvl="7" w:tentative="0">
      <w:start w:val="1"/>
      <w:numFmt w:val="lowerLetter"/>
      <w:lvlText w:val="%8)"/>
      <w:lvlJc w:val="left"/>
      <w:pPr>
        <w:tabs>
          <w:tab w:val="left" w:pos="3360"/>
        </w:tabs>
        <w:ind w:left="3780" w:hanging="420"/>
      </w:pPr>
      <w:rPr>
        <w:rFonts w:hint="default"/>
      </w:rPr>
    </w:lvl>
    <w:lvl w:ilvl="8" w:tentative="0">
      <w:start w:val="1"/>
      <w:numFmt w:val="lowerRoman"/>
      <w:lvlText w:val="%9."/>
      <w:lvlJc w:val="left"/>
      <w:pPr>
        <w:tabs>
          <w:tab w:val="left" w:pos="3780"/>
        </w:tabs>
        <w:ind w:left="4200" w:hanging="420"/>
      </w:pPr>
      <w:rPr>
        <w:rFonts w:hint="default"/>
      </w:rPr>
    </w:lvl>
  </w:abstractNum>
  <w:abstractNum w:abstractNumId="30">
    <w:nsid w:val="0CA8A4B0"/>
    <w:multiLevelType w:val="singleLevel"/>
    <w:tmpl w:val="0CA8A4B0"/>
    <w:lvl w:ilvl="0" w:tentative="0">
      <w:start w:val="1"/>
      <w:numFmt w:val="decimal"/>
      <w:lvlText w:val="%1 "/>
      <w:lvlJc w:val="left"/>
      <w:pPr>
        <w:tabs>
          <w:tab w:val="left" w:pos="420"/>
        </w:tabs>
        <w:ind w:left="425" w:hanging="425"/>
      </w:pPr>
      <w:rPr>
        <w:rFonts w:hint="default"/>
      </w:rPr>
    </w:lvl>
  </w:abstractNum>
  <w:abstractNum w:abstractNumId="31">
    <w:nsid w:val="1245AB92"/>
    <w:multiLevelType w:val="singleLevel"/>
    <w:tmpl w:val="1245AB92"/>
    <w:lvl w:ilvl="0" w:tentative="0">
      <w:start w:val="1"/>
      <w:numFmt w:val="decimal"/>
      <w:lvlText w:val="%1 "/>
      <w:lvlJc w:val="left"/>
      <w:pPr>
        <w:tabs>
          <w:tab w:val="left" w:pos="420"/>
        </w:tabs>
        <w:ind w:left="425" w:hanging="425"/>
      </w:pPr>
      <w:rPr>
        <w:rFonts w:hint="default"/>
      </w:rPr>
    </w:lvl>
  </w:abstractNum>
  <w:abstractNum w:abstractNumId="32">
    <w:nsid w:val="146948F8"/>
    <w:multiLevelType w:val="singleLevel"/>
    <w:tmpl w:val="146948F8"/>
    <w:lvl w:ilvl="0" w:tentative="0">
      <w:start w:val="1"/>
      <w:numFmt w:val="decimal"/>
      <w:suff w:val="nothing"/>
      <w:lvlText w:val="E.0.%1 "/>
      <w:lvlJc w:val="left"/>
      <w:pPr>
        <w:tabs>
          <w:tab w:val="left" w:pos="0"/>
        </w:tabs>
        <w:ind w:left="0" w:firstLine="0"/>
      </w:pPr>
      <w:rPr>
        <w:rFonts w:hint="default"/>
      </w:rPr>
    </w:lvl>
  </w:abstractNum>
  <w:abstractNum w:abstractNumId="33">
    <w:nsid w:val="1ED00D0B"/>
    <w:multiLevelType w:val="singleLevel"/>
    <w:tmpl w:val="1ED00D0B"/>
    <w:lvl w:ilvl="0" w:tentative="0">
      <w:start w:val="1"/>
      <w:numFmt w:val="decimal"/>
      <w:lvlText w:val="%1 "/>
      <w:lvlJc w:val="left"/>
      <w:pPr>
        <w:tabs>
          <w:tab w:val="left" w:pos="420"/>
        </w:tabs>
        <w:ind w:left="425" w:hanging="425"/>
      </w:pPr>
      <w:rPr>
        <w:rFonts w:hint="default"/>
      </w:rPr>
    </w:lvl>
  </w:abstractNum>
  <w:abstractNum w:abstractNumId="34">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8"/>
        <w:szCs w:val="21"/>
      </w:rPr>
    </w:lvl>
    <w:lvl w:ilvl="1" w:tentative="0">
      <w:start w:val="1"/>
      <w:numFmt w:val="decimal"/>
      <w:pStyle w:val="3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8"/>
        <w:szCs w:val="28"/>
        <w:u w:val="none"/>
        <w:vertAlign w:val="baseline"/>
      </w:rPr>
    </w:lvl>
    <w:lvl w:ilvl="2" w:tentative="0">
      <w:start w:val="1"/>
      <w:numFmt w:val="decimal"/>
      <w:suff w:val="nothing"/>
      <w:lvlText w:val="%1.%2.%3　"/>
      <w:lvlJc w:val="left"/>
      <w:pPr>
        <w:ind w:left="0" w:firstLine="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5">
    <w:nsid w:val="1FFFECC7"/>
    <w:multiLevelType w:val="singleLevel"/>
    <w:tmpl w:val="1FFFECC7"/>
    <w:lvl w:ilvl="0" w:tentative="0">
      <w:start w:val="1"/>
      <w:numFmt w:val="decimal"/>
      <w:suff w:val="nothing"/>
      <w:lvlText w:val="1.0.%1 "/>
      <w:lvlJc w:val="left"/>
      <w:pPr>
        <w:tabs>
          <w:tab w:val="left" w:pos="0"/>
        </w:tabs>
        <w:ind w:left="0" w:firstLine="420"/>
      </w:pPr>
      <w:rPr>
        <w:rFonts w:hint="default"/>
      </w:rPr>
    </w:lvl>
  </w:abstractNum>
  <w:abstractNum w:abstractNumId="36">
    <w:nsid w:val="240FA2BD"/>
    <w:multiLevelType w:val="multilevel"/>
    <w:tmpl w:val="240FA2BD"/>
    <w:lvl w:ilvl="0" w:tentative="0">
      <w:start w:val="1"/>
      <w:numFmt w:val="none"/>
      <w:lvlText w:val="1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1.0.%3"/>
      <w:lvlJc w:val="left"/>
      <w:pPr>
        <w:ind w:left="1276" w:hanging="127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7">
    <w:nsid w:val="26DB5762"/>
    <w:multiLevelType w:val="singleLevel"/>
    <w:tmpl w:val="26DB5762"/>
    <w:lvl w:ilvl="0" w:tentative="0">
      <w:start w:val="1"/>
      <w:numFmt w:val="decimalEnclosedCircleChinese"/>
      <w:suff w:val="nothing"/>
      <w:lvlText w:val="%1　"/>
      <w:lvlJc w:val="left"/>
      <w:pPr>
        <w:ind w:left="0" w:firstLine="400"/>
      </w:pPr>
      <w:rPr>
        <w:rFonts w:hint="eastAsia"/>
      </w:rPr>
    </w:lvl>
  </w:abstractNum>
  <w:abstractNum w:abstractNumId="38">
    <w:nsid w:val="29C42E6C"/>
    <w:multiLevelType w:val="singleLevel"/>
    <w:tmpl w:val="29C42E6C"/>
    <w:lvl w:ilvl="0" w:tentative="0">
      <w:start w:val="1"/>
      <w:numFmt w:val="decimal"/>
      <w:lvlText w:val="%1"/>
      <w:lvlJc w:val="left"/>
      <w:pPr>
        <w:tabs>
          <w:tab w:val="left" w:pos="420"/>
        </w:tabs>
        <w:ind w:left="425" w:hanging="425"/>
      </w:pPr>
      <w:rPr>
        <w:rFonts w:hint="default"/>
        <w:sz w:val="24"/>
        <w:szCs w:val="24"/>
      </w:rPr>
    </w:lvl>
  </w:abstractNum>
  <w:abstractNum w:abstractNumId="39">
    <w:nsid w:val="2DA68E66"/>
    <w:multiLevelType w:val="singleLevel"/>
    <w:tmpl w:val="2DA68E66"/>
    <w:lvl w:ilvl="0" w:tentative="0">
      <w:start w:val="1"/>
      <w:numFmt w:val="decimal"/>
      <w:lvlText w:val="%1."/>
      <w:lvlJc w:val="left"/>
      <w:pPr>
        <w:ind w:left="425" w:hanging="425"/>
      </w:pPr>
      <w:rPr>
        <w:rFonts w:hint="default"/>
      </w:rPr>
    </w:lvl>
  </w:abstractNum>
  <w:abstractNum w:abstractNumId="40">
    <w:nsid w:val="333A537F"/>
    <w:multiLevelType w:val="singleLevel"/>
    <w:tmpl w:val="333A537F"/>
    <w:lvl w:ilvl="0" w:tentative="0">
      <w:start w:val="1"/>
      <w:numFmt w:val="upperLetter"/>
      <w:suff w:val="nothing"/>
      <w:lvlText w:val="附录%1 "/>
      <w:lvlJc w:val="left"/>
      <w:pPr>
        <w:ind w:left="0" w:firstLine="420"/>
      </w:pPr>
      <w:rPr>
        <w:rFonts w:hint="default"/>
      </w:rPr>
    </w:lvl>
  </w:abstractNum>
  <w:abstractNum w:abstractNumId="41">
    <w:nsid w:val="36805EC7"/>
    <w:multiLevelType w:val="singleLevel"/>
    <w:tmpl w:val="36805EC7"/>
    <w:lvl w:ilvl="0" w:tentative="0">
      <w:start w:val="1"/>
      <w:numFmt w:val="decimal"/>
      <w:lvlText w:val="%1"/>
      <w:lvlJc w:val="left"/>
      <w:pPr>
        <w:tabs>
          <w:tab w:val="left" w:pos="420"/>
        </w:tabs>
        <w:ind w:left="425" w:hanging="425"/>
      </w:pPr>
      <w:rPr>
        <w:rFonts w:hint="default"/>
      </w:rPr>
    </w:lvl>
  </w:abstractNum>
  <w:abstractNum w:abstractNumId="42">
    <w:nsid w:val="3B09BE01"/>
    <w:multiLevelType w:val="singleLevel"/>
    <w:tmpl w:val="3B09BE01"/>
    <w:lvl w:ilvl="0" w:tentative="0">
      <w:start w:val="1"/>
      <w:numFmt w:val="decimal"/>
      <w:suff w:val="nothing"/>
      <w:lvlText w:val="B.2.%1 "/>
      <w:lvlJc w:val="left"/>
      <w:pPr>
        <w:tabs>
          <w:tab w:val="left" w:pos="0"/>
        </w:tabs>
        <w:ind w:left="0" w:firstLine="420"/>
      </w:pPr>
      <w:rPr>
        <w:rFonts w:hint="default"/>
      </w:rPr>
    </w:lvl>
  </w:abstractNum>
  <w:abstractNum w:abstractNumId="43">
    <w:nsid w:val="4237C0CD"/>
    <w:multiLevelType w:val="singleLevel"/>
    <w:tmpl w:val="4237C0CD"/>
    <w:lvl w:ilvl="0" w:tentative="0">
      <w:start w:val="1"/>
      <w:numFmt w:val="decimalEnclosedCircleChinese"/>
      <w:suff w:val="nothing"/>
      <w:lvlText w:val="%1　"/>
      <w:lvlJc w:val="left"/>
      <w:pPr>
        <w:ind w:left="0" w:firstLine="400"/>
      </w:pPr>
      <w:rPr>
        <w:rFonts w:hint="eastAsia"/>
      </w:rPr>
    </w:lvl>
  </w:abstractNum>
  <w:abstractNum w:abstractNumId="44">
    <w:nsid w:val="429FCB29"/>
    <w:multiLevelType w:val="singleLevel"/>
    <w:tmpl w:val="429FCB29"/>
    <w:lvl w:ilvl="0" w:tentative="0">
      <w:start w:val="1"/>
      <w:numFmt w:val="decimal"/>
      <w:lvlText w:val="%1"/>
      <w:lvlJc w:val="left"/>
      <w:pPr>
        <w:tabs>
          <w:tab w:val="left" w:pos="420"/>
        </w:tabs>
        <w:ind w:left="425" w:hanging="425"/>
      </w:pPr>
      <w:rPr>
        <w:rFonts w:hint="default"/>
      </w:rPr>
    </w:lvl>
  </w:abstractNum>
  <w:abstractNum w:abstractNumId="45">
    <w:nsid w:val="47748B35"/>
    <w:multiLevelType w:val="singleLevel"/>
    <w:tmpl w:val="47748B35"/>
    <w:lvl w:ilvl="0" w:tentative="0">
      <w:start w:val="1"/>
      <w:numFmt w:val="decimal"/>
      <w:lvlText w:val="%1"/>
      <w:lvlJc w:val="left"/>
      <w:pPr>
        <w:tabs>
          <w:tab w:val="left" w:pos="420"/>
        </w:tabs>
        <w:ind w:left="425" w:hanging="425"/>
      </w:pPr>
      <w:rPr>
        <w:rFonts w:hint="default"/>
      </w:rPr>
    </w:lvl>
  </w:abstractNum>
  <w:abstractNum w:abstractNumId="46">
    <w:nsid w:val="5D8B77B8"/>
    <w:multiLevelType w:val="singleLevel"/>
    <w:tmpl w:val="5D8B77B8"/>
    <w:lvl w:ilvl="0" w:tentative="0">
      <w:start w:val="1"/>
      <w:numFmt w:val="decimalEnclosedCircleChinese"/>
      <w:suff w:val="nothing"/>
      <w:lvlText w:val="%1　"/>
      <w:lvlJc w:val="left"/>
      <w:pPr>
        <w:ind w:left="0" w:firstLine="400"/>
      </w:pPr>
      <w:rPr>
        <w:rFonts w:hint="eastAsia"/>
      </w:rPr>
    </w:lvl>
  </w:abstractNum>
  <w:abstractNum w:abstractNumId="47">
    <w:nsid w:val="6164C26A"/>
    <w:multiLevelType w:val="singleLevel"/>
    <w:tmpl w:val="6164C26A"/>
    <w:lvl w:ilvl="0" w:tentative="0">
      <w:start w:val="1"/>
      <w:numFmt w:val="decimal"/>
      <w:lvlText w:val="%1"/>
      <w:lvlJc w:val="left"/>
      <w:pPr>
        <w:tabs>
          <w:tab w:val="left" w:pos="420"/>
        </w:tabs>
        <w:ind w:left="425" w:hanging="425"/>
      </w:pPr>
      <w:rPr>
        <w:rFonts w:hint="default"/>
      </w:rPr>
    </w:lvl>
  </w:abstractNum>
  <w:abstractNum w:abstractNumId="48">
    <w:nsid w:val="651D4416"/>
    <w:multiLevelType w:val="multilevel"/>
    <w:tmpl w:val="651D441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9">
    <w:nsid w:val="6E240F66"/>
    <w:multiLevelType w:val="singleLevel"/>
    <w:tmpl w:val="6E240F66"/>
    <w:lvl w:ilvl="0" w:tentative="0">
      <w:start w:val="1"/>
      <w:numFmt w:val="decimal"/>
      <w:lvlText w:val="%1 "/>
      <w:lvlJc w:val="left"/>
      <w:pPr>
        <w:tabs>
          <w:tab w:val="left" w:pos="420"/>
        </w:tabs>
        <w:ind w:left="425" w:hanging="425"/>
      </w:pPr>
      <w:rPr>
        <w:rFonts w:hint="default"/>
      </w:rPr>
    </w:lvl>
  </w:abstractNum>
  <w:abstractNum w:abstractNumId="50">
    <w:nsid w:val="6EC56DBD"/>
    <w:multiLevelType w:val="singleLevel"/>
    <w:tmpl w:val="6EC56DBD"/>
    <w:lvl w:ilvl="0" w:tentative="0">
      <w:start w:val="1"/>
      <w:numFmt w:val="decimal"/>
      <w:lvlText w:val="%1 "/>
      <w:lvlJc w:val="left"/>
      <w:pPr>
        <w:tabs>
          <w:tab w:val="left" w:pos="420"/>
        </w:tabs>
        <w:ind w:left="425" w:hanging="425"/>
      </w:pPr>
      <w:rPr>
        <w:rFonts w:hint="default"/>
      </w:rPr>
    </w:lvl>
  </w:abstractNum>
  <w:abstractNum w:abstractNumId="51">
    <w:nsid w:val="73763D67"/>
    <w:multiLevelType w:val="singleLevel"/>
    <w:tmpl w:val="73763D67"/>
    <w:lvl w:ilvl="0" w:tentative="0">
      <w:start w:val="1"/>
      <w:numFmt w:val="decimalEnclosedCircleChinese"/>
      <w:suff w:val="nothing"/>
      <w:lvlText w:val="%1　"/>
      <w:lvlJc w:val="left"/>
      <w:pPr>
        <w:ind w:left="0" w:firstLine="400"/>
      </w:pPr>
      <w:rPr>
        <w:rFonts w:hint="eastAsia"/>
      </w:rPr>
    </w:lvl>
  </w:abstractNum>
  <w:abstractNum w:abstractNumId="52">
    <w:nsid w:val="760D9588"/>
    <w:multiLevelType w:val="singleLevel"/>
    <w:tmpl w:val="760D9588"/>
    <w:lvl w:ilvl="0" w:tentative="0">
      <w:start w:val="1"/>
      <w:numFmt w:val="decimal"/>
      <w:lvlText w:val="%1"/>
      <w:lvlJc w:val="left"/>
      <w:pPr>
        <w:tabs>
          <w:tab w:val="left" w:pos="420"/>
        </w:tabs>
        <w:ind w:left="425" w:hanging="425"/>
      </w:pPr>
      <w:rPr>
        <w:rFonts w:hint="default"/>
      </w:rPr>
    </w:lvl>
  </w:abstractNum>
  <w:abstractNum w:abstractNumId="53">
    <w:nsid w:val="776E3CC2"/>
    <w:multiLevelType w:val="singleLevel"/>
    <w:tmpl w:val="776E3CC2"/>
    <w:lvl w:ilvl="0" w:tentative="0">
      <w:start w:val="1"/>
      <w:numFmt w:val="decimal"/>
      <w:lvlText w:val="%1."/>
      <w:lvlJc w:val="left"/>
      <w:pPr>
        <w:ind w:left="425" w:hanging="425"/>
      </w:pPr>
      <w:rPr>
        <w:rFonts w:hint="default"/>
      </w:rPr>
    </w:lvl>
  </w:abstractNum>
  <w:abstractNum w:abstractNumId="54">
    <w:nsid w:val="7AF4D9BF"/>
    <w:multiLevelType w:val="multilevel"/>
    <w:tmpl w:val="7AF4D9BF"/>
    <w:lvl w:ilvl="0" w:tentative="0">
      <w:start w:val="1"/>
      <w:numFmt w:val="decimal"/>
      <w:lvlText w:val="%1"/>
      <w:lvlJc w:val="left"/>
      <w:pPr>
        <w:tabs>
          <w:tab w:val="left" w:pos="420"/>
        </w:tabs>
        <w:ind w:left="425" w:hanging="425"/>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5">
    <w:nsid w:val="7E21FE9D"/>
    <w:multiLevelType w:val="singleLevel"/>
    <w:tmpl w:val="7E21FE9D"/>
    <w:lvl w:ilvl="0" w:tentative="0">
      <w:start w:val="1"/>
      <w:numFmt w:val="decimal"/>
      <w:lvlText w:val="%1"/>
      <w:lvlJc w:val="left"/>
      <w:pPr>
        <w:tabs>
          <w:tab w:val="left" w:pos="420"/>
        </w:tabs>
        <w:ind w:left="425" w:hanging="425"/>
      </w:pPr>
      <w:rPr>
        <w:rFonts w:hint="default"/>
      </w:rPr>
    </w:lvl>
  </w:abstractNum>
  <w:num w:numId="1">
    <w:abstractNumId w:val="34"/>
  </w:num>
  <w:num w:numId="2">
    <w:abstractNumId w:val="17"/>
  </w:num>
  <w:num w:numId="3">
    <w:abstractNumId w:val="35"/>
  </w:num>
  <w:num w:numId="4">
    <w:abstractNumId w:val="3"/>
  </w:num>
  <w:num w:numId="5">
    <w:abstractNumId w:val="16"/>
  </w:num>
  <w:num w:numId="6">
    <w:abstractNumId w:val="5"/>
  </w:num>
  <w:num w:numId="7">
    <w:abstractNumId w:val="13"/>
  </w:num>
  <w:num w:numId="8">
    <w:abstractNumId w:val="19"/>
  </w:num>
  <w:num w:numId="9">
    <w:abstractNumId w:val="44"/>
  </w:num>
  <w:num w:numId="10">
    <w:abstractNumId w:val="27"/>
  </w:num>
  <w:num w:numId="11">
    <w:abstractNumId w:val="22"/>
  </w:num>
  <w:num w:numId="12">
    <w:abstractNumId w:val="10"/>
  </w:num>
  <w:num w:numId="13">
    <w:abstractNumId w:val="23"/>
  </w:num>
  <w:num w:numId="14">
    <w:abstractNumId w:val="12"/>
  </w:num>
  <w:num w:numId="15">
    <w:abstractNumId w:val="25"/>
  </w:num>
  <w:num w:numId="16">
    <w:abstractNumId w:val="48"/>
  </w:num>
  <w:num w:numId="17">
    <w:abstractNumId w:val="38"/>
  </w:num>
  <w:num w:numId="18">
    <w:abstractNumId w:val="52"/>
  </w:num>
  <w:num w:numId="19">
    <w:abstractNumId w:val="41"/>
  </w:num>
  <w:num w:numId="20">
    <w:abstractNumId w:val="26"/>
  </w:num>
  <w:num w:numId="21">
    <w:abstractNumId w:val="4"/>
  </w:num>
  <w:num w:numId="22">
    <w:abstractNumId w:val="54"/>
  </w:num>
  <w:num w:numId="23">
    <w:abstractNumId w:val="14"/>
  </w:num>
  <w:num w:numId="24">
    <w:abstractNumId w:val="45"/>
  </w:num>
  <w:num w:numId="25">
    <w:abstractNumId w:val="8"/>
  </w:num>
  <w:num w:numId="26">
    <w:abstractNumId w:val="55"/>
  </w:num>
  <w:num w:numId="27">
    <w:abstractNumId w:val="9"/>
  </w:num>
  <w:num w:numId="28">
    <w:abstractNumId w:val="39"/>
  </w:num>
  <w:num w:numId="29">
    <w:abstractNumId w:val="53"/>
  </w:num>
  <w:num w:numId="30">
    <w:abstractNumId w:val="24"/>
  </w:num>
  <w:num w:numId="31">
    <w:abstractNumId w:val="0"/>
  </w:num>
  <w:num w:numId="32">
    <w:abstractNumId w:val="21"/>
  </w:num>
  <w:num w:numId="33">
    <w:abstractNumId w:val="30"/>
  </w:num>
  <w:num w:numId="34">
    <w:abstractNumId w:val="15"/>
  </w:num>
  <w:num w:numId="35">
    <w:abstractNumId w:val="47"/>
  </w:num>
  <w:num w:numId="36">
    <w:abstractNumId w:val="11"/>
  </w:num>
  <w:num w:numId="37">
    <w:abstractNumId w:val="31"/>
  </w:num>
  <w:num w:numId="38">
    <w:abstractNumId w:val="33"/>
  </w:num>
  <w:num w:numId="39">
    <w:abstractNumId w:val="28"/>
  </w:num>
  <w:num w:numId="40">
    <w:abstractNumId w:val="36"/>
  </w:num>
  <w:num w:numId="41">
    <w:abstractNumId w:val="1"/>
  </w:num>
  <w:num w:numId="42">
    <w:abstractNumId w:val="50"/>
  </w:num>
  <w:num w:numId="43">
    <w:abstractNumId w:val="40"/>
  </w:num>
  <w:num w:numId="44">
    <w:abstractNumId w:val="43"/>
  </w:num>
  <w:num w:numId="45">
    <w:abstractNumId w:val="51"/>
  </w:num>
  <w:num w:numId="46">
    <w:abstractNumId w:val="37"/>
  </w:num>
  <w:num w:numId="47">
    <w:abstractNumId w:val="7"/>
  </w:num>
  <w:num w:numId="48">
    <w:abstractNumId w:val="46"/>
  </w:num>
  <w:num w:numId="49">
    <w:abstractNumId w:val="2"/>
  </w:num>
  <w:num w:numId="50">
    <w:abstractNumId w:val="49"/>
  </w:num>
  <w:num w:numId="51">
    <w:abstractNumId w:val="6"/>
  </w:num>
  <w:num w:numId="52">
    <w:abstractNumId w:val="42"/>
  </w:num>
  <w:num w:numId="53">
    <w:abstractNumId w:val="18"/>
  </w:num>
  <w:num w:numId="54">
    <w:abstractNumId w:val="20"/>
  </w:num>
  <w:num w:numId="55">
    <w:abstractNumId w:val="29"/>
  </w:num>
  <w:num w:numId="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0YjcwYzRiMzBkZGYzMDQ0MWZjMGMyZWZhMGExNzAifQ=="/>
  </w:docVars>
  <w:rsids>
    <w:rsidRoot w:val="00172A27"/>
    <w:rsid w:val="00013152"/>
    <w:rsid w:val="000215F5"/>
    <w:rsid w:val="00045866"/>
    <w:rsid w:val="00071CFF"/>
    <w:rsid w:val="00093126"/>
    <w:rsid w:val="000A7D1B"/>
    <w:rsid w:val="000C61A3"/>
    <w:rsid w:val="00112169"/>
    <w:rsid w:val="00167A55"/>
    <w:rsid w:val="00172A27"/>
    <w:rsid w:val="00186B82"/>
    <w:rsid w:val="001A2AE6"/>
    <w:rsid w:val="001A5017"/>
    <w:rsid w:val="001C4A6B"/>
    <w:rsid w:val="001D0CE7"/>
    <w:rsid w:val="001E28AB"/>
    <w:rsid w:val="001F7872"/>
    <w:rsid w:val="00214CC2"/>
    <w:rsid w:val="002D494F"/>
    <w:rsid w:val="002F245F"/>
    <w:rsid w:val="00345456"/>
    <w:rsid w:val="0037013F"/>
    <w:rsid w:val="003A3D69"/>
    <w:rsid w:val="003A6E2C"/>
    <w:rsid w:val="004578A1"/>
    <w:rsid w:val="004B2924"/>
    <w:rsid w:val="004F1ECE"/>
    <w:rsid w:val="0054741C"/>
    <w:rsid w:val="00576170"/>
    <w:rsid w:val="00580565"/>
    <w:rsid w:val="005956C0"/>
    <w:rsid w:val="005B0A7D"/>
    <w:rsid w:val="005F39C5"/>
    <w:rsid w:val="00635327"/>
    <w:rsid w:val="006820D6"/>
    <w:rsid w:val="00682CF8"/>
    <w:rsid w:val="006A20EB"/>
    <w:rsid w:val="006A5127"/>
    <w:rsid w:val="006A6CEF"/>
    <w:rsid w:val="006D16AF"/>
    <w:rsid w:val="006E1F90"/>
    <w:rsid w:val="006F36BE"/>
    <w:rsid w:val="00723FE8"/>
    <w:rsid w:val="007A3C23"/>
    <w:rsid w:val="007D2CD9"/>
    <w:rsid w:val="00805255"/>
    <w:rsid w:val="00853BBC"/>
    <w:rsid w:val="00855F0D"/>
    <w:rsid w:val="00862ACA"/>
    <w:rsid w:val="008A2323"/>
    <w:rsid w:val="008D22EE"/>
    <w:rsid w:val="008E24ED"/>
    <w:rsid w:val="0090348B"/>
    <w:rsid w:val="00906985"/>
    <w:rsid w:val="00940A12"/>
    <w:rsid w:val="00986A18"/>
    <w:rsid w:val="009B25F9"/>
    <w:rsid w:val="00A04272"/>
    <w:rsid w:val="00A17A47"/>
    <w:rsid w:val="00A45BFB"/>
    <w:rsid w:val="00A86E63"/>
    <w:rsid w:val="00AA5184"/>
    <w:rsid w:val="00AF67BF"/>
    <w:rsid w:val="00B315A1"/>
    <w:rsid w:val="00B55C38"/>
    <w:rsid w:val="00B645C2"/>
    <w:rsid w:val="00B73C3F"/>
    <w:rsid w:val="00B75A08"/>
    <w:rsid w:val="00B87B54"/>
    <w:rsid w:val="00BB4BF0"/>
    <w:rsid w:val="00BB5106"/>
    <w:rsid w:val="00BC76CC"/>
    <w:rsid w:val="00BD6FEF"/>
    <w:rsid w:val="00C46E22"/>
    <w:rsid w:val="00C778F3"/>
    <w:rsid w:val="00C8129E"/>
    <w:rsid w:val="00C856DE"/>
    <w:rsid w:val="00CA1FDC"/>
    <w:rsid w:val="00CB3900"/>
    <w:rsid w:val="00CB7C04"/>
    <w:rsid w:val="00CE3D22"/>
    <w:rsid w:val="00CF149F"/>
    <w:rsid w:val="00CF1DD0"/>
    <w:rsid w:val="00D3773F"/>
    <w:rsid w:val="00DB20F7"/>
    <w:rsid w:val="00DC27C9"/>
    <w:rsid w:val="00E31221"/>
    <w:rsid w:val="00E913AE"/>
    <w:rsid w:val="00EA6ACC"/>
    <w:rsid w:val="00EB2660"/>
    <w:rsid w:val="00F16A33"/>
    <w:rsid w:val="00F34698"/>
    <w:rsid w:val="00F45521"/>
    <w:rsid w:val="00F6147F"/>
    <w:rsid w:val="00F85096"/>
    <w:rsid w:val="00F92130"/>
    <w:rsid w:val="00FA3DB5"/>
    <w:rsid w:val="00FA6269"/>
    <w:rsid w:val="00FC7F3F"/>
    <w:rsid w:val="00FD3947"/>
    <w:rsid w:val="00FF08BD"/>
    <w:rsid w:val="00FF5630"/>
    <w:rsid w:val="01132AA7"/>
    <w:rsid w:val="01147257"/>
    <w:rsid w:val="011C1178"/>
    <w:rsid w:val="01750C40"/>
    <w:rsid w:val="019F095A"/>
    <w:rsid w:val="01A437F3"/>
    <w:rsid w:val="01F431B6"/>
    <w:rsid w:val="020611E9"/>
    <w:rsid w:val="024D3F23"/>
    <w:rsid w:val="027B12AB"/>
    <w:rsid w:val="029F7154"/>
    <w:rsid w:val="02A325B3"/>
    <w:rsid w:val="02B65640"/>
    <w:rsid w:val="02BF0D6E"/>
    <w:rsid w:val="02C05613"/>
    <w:rsid w:val="02D957AA"/>
    <w:rsid w:val="02F2255C"/>
    <w:rsid w:val="030C05B1"/>
    <w:rsid w:val="030E7E36"/>
    <w:rsid w:val="031F744D"/>
    <w:rsid w:val="03343D25"/>
    <w:rsid w:val="036A1585"/>
    <w:rsid w:val="036B1176"/>
    <w:rsid w:val="037863C5"/>
    <w:rsid w:val="0387367F"/>
    <w:rsid w:val="03A508B7"/>
    <w:rsid w:val="03B50BBF"/>
    <w:rsid w:val="03EB5DB4"/>
    <w:rsid w:val="04180F6C"/>
    <w:rsid w:val="04190BAB"/>
    <w:rsid w:val="042E253E"/>
    <w:rsid w:val="042F01BE"/>
    <w:rsid w:val="0432168D"/>
    <w:rsid w:val="044E534D"/>
    <w:rsid w:val="04561F88"/>
    <w:rsid w:val="045E5FB4"/>
    <w:rsid w:val="04824B9E"/>
    <w:rsid w:val="049B21B4"/>
    <w:rsid w:val="04B53428"/>
    <w:rsid w:val="04B646F9"/>
    <w:rsid w:val="04BC45D8"/>
    <w:rsid w:val="04EA62E2"/>
    <w:rsid w:val="052E6E3E"/>
    <w:rsid w:val="053B2A47"/>
    <w:rsid w:val="054B55BB"/>
    <w:rsid w:val="055B464A"/>
    <w:rsid w:val="056D21C3"/>
    <w:rsid w:val="05867411"/>
    <w:rsid w:val="05960A24"/>
    <w:rsid w:val="05B065C2"/>
    <w:rsid w:val="05BF70FB"/>
    <w:rsid w:val="05DD7D3B"/>
    <w:rsid w:val="05F94004"/>
    <w:rsid w:val="061F4BAB"/>
    <w:rsid w:val="06646CD7"/>
    <w:rsid w:val="066A450A"/>
    <w:rsid w:val="066D3BA8"/>
    <w:rsid w:val="066E40F6"/>
    <w:rsid w:val="06883782"/>
    <w:rsid w:val="0696086E"/>
    <w:rsid w:val="069C6D34"/>
    <w:rsid w:val="06B83286"/>
    <w:rsid w:val="06BF6E95"/>
    <w:rsid w:val="06E96222"/>
    <w:rsid w:val="073701E0"/>
    <w:rsid w:val="07602C49"/>
    <w:rsid w:val="078613EE"/>
    <w:rsid w:val="07B471FE"/>
    <w:rsid w:val="07C74C28"/>
    <w:rsid w:val="07D225A4"/>
    <w:rsid w:val="07E501FC"/>
    <w:rsid w:val="07E7528E"/>
    <w:rsid w:val="07F669BF"/>
    <w:rsid w:val="07FC6DE7"/>
    <w:rsid w:val="08097783"/>
    <w:rsid w:val="08615472"/>
    <w:rsid w:val="08675FCE"/>
    <w:rsid w:val="08880FA7"/>
    <w:rsid w:val="088C354A"/>
    <w:rsid w:val="08A64C8B"/>
    <w:rsid w:val="08BF22FE"/>
    <w:rsid w:val="08D25D40"/>
    <w:rsid w:val="090441E3"/>
    <w:rsid w:val="09175C96"/>
    <w:rsid w:val="093208BE"/>
    <w:rsid w:val="09353BD7"/>
    <w:rsid w:val="095A3EE0"/>
    <w:rsid w:val="096C3E74"/>
    <w:rsid w:val="09721474"/>
    <w:rsid w:val="097B0F5B"/>
    <w:rsid w:val="099C7352"/>
    <w:rsid w:val="09A27F7E"/>
    <w:rsid w:val="09A75429"/>
    <w:rsid w:val="09A9504D"/>
    <w:rsid w:val="09AC5238"/>
    <w:rsid w:val="09BC63D8"/>
    <w:rsid w:val="09BE4364"/>
    <w:rsid w:val="09DC2418"/>
    <w:rsid w:val="0A010916"/>
    <w:rsid w:val="0A0A18FF"/>
    <w:rsid w:val="0A0C717D"/>
    <w:rsid w:val="0A197D55"/>
    <w:rsid w:val="0A206DCD"/>
    <w:rsid w:val="0A5B13F8"/>
    <w:rsid w:val="0A670A6B"/>
    <w:rsid w:val="0AA60154"/>
    <w:rsid w:val="0AAE5ABE"/>
    <w:rsid w:val="0AC46728"/>
    <w:rsid w:val="0AE61E8C"/>
    <w:rsid w:val="0AEC0393"/>
    <w:rsid w:val="0AEC0519"/>
    <w:rsid w:val="0B1450EB"/>
    <w:rsid w:val="0B1D3CDA"/>
    <w:rsid w:val="0B285FBB"/>
    <w:rsid w:val="0B295580"/>
    <w:rsid w:val="0B4E1717"/>
    <w:rsid w:val="0B560763"/>
    <w:rsid w:val="0B5A0CF9"/>
    <w:rsid w:val="0BA96403"/>
    <w:rsid w:val="0BAD74E2"/>
    <w:rsid w:val="0BAE6A65"/>
    <w:rsid w:val="0BB7019C"/>
    <w:rsid w:val="0BD62EBC"/>
    <w:rsid w:val="0BE52A80"/>
    <w:rsid w:val="0BFC1173"/>
    <w:rsid w:val="0C043221"/>
    <w:rsid w:val="0C0966E1"/>
    <w:rsid w:val="0C0C2D9C"/>
    <w:rsid w:val="0C344DB1"/>
    <w:rsid w:val="0C922D96"/>
    <w:rsid w:val="0C957759"/>
    <w:rsid w:val="0CAB23F8"/>
    <w:rsid w:val="0CAC2B9A"/>
    <w:rsid w:val="0CBC5489"/>
    <w:rsid w:val="0D280F20"/>
    <w:rsid w:val="0D2D2D0E"/>
    <w:rsid w:val="0D4F6DE5"/>
    <w:rsid w:val="0D6C5892"/>
    <w:rsid w:val="0D8F10E4"/>
    <w:rsid w:val="0DA7611C"/>
    <w:rsid w:val="0DAF1561"/>
    <w:rsid w:val="0DBC679B"/>
    <w:rsid w:val="0DC8096D"/>
    <w:rsid w:val="0DD805EB"/>
    <w:rsid w:val="0DE12986"/>
    <w:rsid w:val="0E0A030F"/>
    <w:rsid w:val="0E141195"/>
    <w:rsid w:val="0E315D1B"/>
    <w:rsid w:val="0E927FFD"/>
    <w:rsid w:val="0EB26CF5"/>
    <w:rsid w:val="0EBC4F8B"/>
    <w:rsid w:val="0ECD2B20"/>
    <w:rsid w:val="0ED168E7"/>
    <w:rsid w:val="0EDC5858"/>
    <w:rsid w:val="0EDD5C60"/>
    <w:rsid w:val="0EF56A7A"/>
    <w:rsid w:val="0F03308E"/>
    <w:rsid w:val="0F540563"/>
    <w:rsid w:val="0F550554"/>
    <w:rsid w:val="0F555FC9"/>
    <w:rsid w:val="0F6239E3"/>
    <w:rsid w:val="0F63192A"/>
    <w:rsid w:val="0F64775C"/>
    <w:rsid w:val="0F7C4934"/>
    <w:rsid w:val="0FA55611"/>
    <w:rsid w:val="0FAC7C47"/>
    <w:rsid w:val="0FBD0AA3"/>
    <w:rsid w:val="0FCD487B"/>
    <w:rsid w:val="0FDA50DE"/>
    <w:rsid w:val="0FDD529B"/>
    <w:rsid w:val="0FF0247E"/>
    <w:rsid w:val="101562EC"/>
    <w:rsid w:val="101F463A"/>
    <w:rsid w:val="102D3FF1"/>
    <w:rsid w:val="104A2792"/>
    <w:rsid w:val="105E4149"/>
    <w:rsid w:val="10691EA8"/>
    <w:rsid w:val="10747010"/>
    <w:rsid w:val="10AD431B"/>
    <w:rsid w:val="10CA16AF"/>
    <w:rsid w:val="11002778"/>
    <w:rsid w:val="113754D6"/>
    <w:rsid w:val="115B64FD"/>
    <w:rsid w:val="1160547B"/>
    <w:rsid w:val="116A100B"/>
    <w:rsid w:val="11704065"/>
    <w:rsid w:val="11843FEF"/>
    <w:rsid w:val="119B0AC5"/>
    <w:rsid w:val="11B43BA3"/>
    <w:rsid w:val="11EC198C"/>
    <w:rsid w:val="12270487"/>
    <w:rsid w:val="12386C7D"/>
    <w:rsid w:val="1248265A"/>
    <w:rsid w:val="1252559A"/>
    <w:rsid w:val="125910CE"/>
    <w:rsid w:val="12843C71"/>
    <w:rsid w:val="12C677B8"/>
    <w:rsid w:val="13005C64"/>
    <w:rsid w:val="131A59CE"/>
    <w:rsid w:val="13263FC3"/>
    <w:rsid w:val="13451233"/>
    <w:rsid w:val="13460288"/>
    <w:rsid w:val="13662676"/>
    <w:rsid w:val="13830FE4"/>
    <w:rsid w:val="139F7BC2"/>
    <w:rsid w:val="13A02C56"/>
    <w:rsid w:val="13D36C5E"/>
    <w:rsid w:val="13F23AA3"/>
    <w:rsid w:val="13F84916"/>
    <w:rsid w:val="14050323"/>
    <w:rsid w:val="145B05E8"/>
    <w:rsid w:val="14770840"/>
    <w:rsid w:val="149947E3"/>
    <w:rsid w:val="149C4D70"/>
    <w:rsid w:val="14C2278D"/>
    <w:rsid w:val="14CA61B3"/>
    <w:rsid w:val="15166F1F"/>
    <w:rsid w:val="153627EC"/>
    <w:rsid w:val="15444650"/>
    <w:rsid w:val="154716B1"/>
    <w:rsid w:val="154C22A3"/>
    <w:rsid w:val="154E5B0C"/>
    <w:rsid w:val="158663BE"/>
    <w:rsid w:val="15C7448A"/>
    <w:rsid w:val="15D2312F"/>
    <w:rsid w:val="15F51C7C"/>
    <w:rsid w:val="160B30AA"/>
    <w:rsid w:val="161708D3"/>
    <w:rsid w:val="16486A45"/>
    <w:rsid w:val="165C6338"/>
    <w:rsid w:val="165C720B"/>
    <w:rsid w:val="169F2F1E"/>
    <w:rsid w:val="16BB299D"/>
    <w:rsid w:val="16C10B26"/>
    <w:rsid w:val="16CC1184"/>
    <w:rsid w:val="16E47033"/>
    <w:rsid w:val="16F1189C"/>
    <w:rsid w:val="16F12733"/>
    <w:rsid w:val="16F6769C"/>
    <w:rsid w:val="16F87697"/>
    <w:rsid w:val="16FC12FB"/>
    <w:rsid w:val="17243DE9"/>
    <w:rsid w:val="172A7F46"/>
    <w:rsid w:val="17446B88"/>
    <w:rsid w:val="17B62E49"/>
    <w:rsid w:val="17D63C8B"/>
    <w:rsid w:val="17E16D7D"/>
    <w:rsid w:val="17F11DA8"/>
    <w:rsid w:val="18240D13"/>
    <w:rsid w:val="185B3300"/>
    <w:rsid w:val="18660C01"/>
    <w:rsid w:val="188456F0"/>
    <w:rsid w:val="189773F1"/>
    <w:rsid w:val="18B2182F"/>
    <w:rsid w:val="18B232E6"/>
    <w:rsid w:val="18C27971"/>
    <w:rsid w:val="18C7360A"/>
    <w:rsid w:val="18DC3F74"/>
    <w:rsid w:val="18F62D63"/>
    <w:rsid w:val="1975792A"/>
    <w:rsid w:val="19847FFE"/>
    <w:rsid w:val="198E7072"/>
    <w:rsid w:val="198F0C6E"/>
    <w:rsid w:val="19992041"/>
    <w:rsid w:val="19A6486F"/>
    <w:rsid w:val="19AA3149"/>
    <w:rsid w:val="19B5667D"/>
    <w:rsid w:val="19C72DC1"/>
    <w:rsid w:val="19F47AC5"/>
    <w:rsid w:val="1A2E0F1B"/>
    <w:rsid w:val="1A495ECC"/>
    <w:rsid w:val="1A4A39E4"/>
    <w:rsid w:val="1A580257"/>
    <w:rsid w:val="1A6C37B0"/>
    <w:rsid w:val="1A730642"/>
    <w:rsid w:val="1A907657"/>
    <w:rsid w:val="1A965B80"/>
    <w:rsid w:val="1A9A0701"/>
    <w:rsid w:val="1AAC00DD"/>
    <w:rsid w:val="1AB931EA"/>
    <w:rsid w:val="1ABF466C"/>
    <w:rsid w:val="1AC819CB"/>
    <w:rsid w:val="1AF57E29"/>
    <w:rsid w:val="1B030B15"/>
    <w:rsid w:val="1B2F0231"/>
    <w:rsid w:val="1B3319F7"/>
    <w:rsid w:val="1B526075"/>
    <w:rsid w:val="1B591C69"/>
    <w:rsid w:val="1B612829"/>
    <w:rsid w:val="1B642C68"/>
    <w:rsid w:val="1B6835BF"/>
    <w:rsid w:val="1B74042F"/>
    <w:rsid w:val="1B817726"/>
    <w:rsid w:val="1BAB11DF"/>
    <w:rsid w:val="1BD02183"/>
    <w:rsid w:val="1BE25706"/>
    <w:rsid w:val="1BFB31F6"/>
    <w:rsid w:val="1BFF3D48"/>
    <w:rsid w:val="1C115D6F"/>
    <w:rsid w:val="1C1206C6"/>
    <w:rsid w:val="1C175DB1"/>
    <w:rsid w:val="1C691EA5"/>
    <w:rsid w:val="1C7504CB"/>
    <w:rsid w:val="1C7B60E4"/>
    <w:rsid w:val="1C7D0F0E"/>
    <w:rsid w:val="1C897AF9"/>
    <w:rsid w:val="1C8E14DF"/>
    <w:rsid w:val="1C977196"/>
    <w:rsid w:val="1C9A5329"/>
    <w:rsid w:val="1CD34380"/>
    <w:rsid w:val="1CDD6DDD"/>
    <w:rsid w:val="1CE935AE"/>
    <w:rsid w:val="1D303373"/>
    <w:rsid w:val="1D3814CB"/>
    <w:rsid w:val="1D394D52"/>
    <w:rsid w:val="1D5D5368"/>
    <w:rsid w:val="1D631E94"/>
    <w:rsid w:val="1D8B112D"/>
    <w:rsid w:val="1D8B77CC"/>
    <w:rsid w:val="1D9A1894"/>
    <w:rsid w:val="1DA740E7"/>
    <w:rsid w:val="1DAC09CC"/>
    <w:rsid w:val="1DBD4C56"/>
    <w:rsid w:val="1DD51824"/>
    <w:rsid w:val="1E0104B3"/>
    <w:rsid w:val="1E6C1A8F"/>
    <w:rsid w:val="1E71154D"/>
    <w:rsid w:val="1E713E80"/>
    <w:rsid w:val="1E7E516C"/>
    <w:rsid w:val="1EAF2075"/>
    <w:rsid w:val="1EBC474E"/>
    <w:rsid w:val="1ED91AEC"/>
    <w:rsid w:val="1EFC55CC"/>
    <w:rsid w:val="1F21589E"/>
    <w:rsid w:val="1F5776A4"/>
    <w:rsid w:val="1F5D4A70"/>
    <w:rsid w:val="1F5F584A"/>
    <w:rsid w:val="1F7470F2"/>
    <w:rsid w:val="1F7672BE"/>
    <w:rsid w:val="1F8F17BF"/>
    <w:rsid w:val="1F9C4840"/>
    <w:rsid w:val="1F9F287C"/>
    <w:rsid w:val="1FA12974"/>
    <w:rsid w:val="1FB3481E"/>
    <w:rsid w:val="1FEE1F4A"/>
    <w:rsid w:val="1FF128AB"/>
    <w:rsid w:val="200A518B"/>
    <w:rsid w:val="20290441"/>
    <w:rsid w:val="202B0DA1"/>
    <w:rsid w:val="203E6362"/>
    <w:rsid w:val="20650FAE"/>
    <w:rsid w:val="207B4905"/>
    <w:rsid w:val="20801C4A"/>
    <w:rsid w:val="20821001"/>
    <w:rsid w:val="20A44F1B"/>
    <w:rsid w:val="20FB1C60"/>
    <w:rsid w:val="21415B46"/>
    <w:rsid w:val="21471095"/>
    <w:rsid w:val="216020CE"/>
    <w:rsid w:val="21637D8E"/>
    <w:rsid w:val="217558AD"/>
    <w:rsid w:val="217C0D06"/>
    <w:rsid w:val="218D6DE0"/>
    <w:rsid w:val="21904C0C"/>
    <w:rsid w:val="21C97B19"/>
    <w:rsid w:val="21CB7C39"/>
    <w:rsid w:val="22204DB7"/>
    <w:rsid w:val="222332B4"/>
    <w:rsid w:val="22371E9B"/>
    <w:rsid w:val="228B184C"/>
    <w:rsid w:val="229C4B1B"/>
    <w:rsid w:val="22AE03ED"/>
    <w:rsid w:val="22CB08C6"/>
    <w:rsid w:val="22F469B8"/>
    <w:rsid w:val="230C6F30"/>
    <w:rsid w:val="234B45D7"/>
    <w:rsid w:val="235A2EF8"/>
    <w:rsid w:val="23610F31"/>
    <w:rsid w:val="2377306D"/>
    <w:rsid w:val="23773C65"/>
    <w:rsid w:val="23864E24"/>
    <w:rsid w:val="23A46FD4"/>
    <w:rsid w:val="23A73240"/>
    <w:rsid w:val="23B578BA"/>
    <w:rsid w:val="23B67657"/>
    <w:rsid w:val="23BB4570"/>
    <w:rsid w:val="23FD0F72"/>
    <w:rsid w:val="24007AC0"/>
    <w:rsid w:val="240263F9"/>
    <w:rsid w:val="24100657"/>
    <w:rsid w:val="241B5429"/>
    <w:rsid w:val="2454684F"/>
    <w:rsid w:val="245729C4"/>
    <w:rsid w:val="245A23BA"/>
    <w:rsid w:val="245F790A"/>
    <w:rsid w:val="247B75B6"/>
    <w:rsid w:val="24AE0B30"/>
    <w:rsid w:val="24EB667D"/>
    <w:rsid w:val="24EE40C3"/>
    <w:rsid w:val="24F2466B"/>
    <w:rsid w:val="24FF3D57"/>
    <w:rsid w:val="250A5FA0"/>
    <w:rsid w:val="25104604"/>
    <w:rsid w:val="252217F3"/>
    <w:rsid w:val="253C6E23"/>
    <w:rsid w:val="2557543A"/>
    <w:rsid w:val="25635A28"/>
    <w:rsid w:val="256F4360"/>
    <w:rsid w:val="25717121"/>
    <w:rsid w:val="25826865"/>
    <w:rsid w:val="25A66F0C"/>
    <w:rsid w:val="25E42F4C"/>
    <w:rsid w:val="25E44CFA"/>
    <w:rsid w:val="25E936AE"/>
    <w:rsid w:val="26042FE4"/>
    <w:rsid w:val="260D26F7"/>
    <w:rsid w:val="261C7FBB"/>
    <w:rsid w:val="262256A4"/>
    <w:rsid w:val="26543C2E"/>
    <w:rsid w:val="269C3827"/>
    <w:rsid w:val="269D38EB"/>
    <w:rsid w:val="26DF2158"/>
    <w:rsid w:val="26EA65D2"/>
    <w:rsid w:val="26F33907"/>
    <w:rsid w:val="26F6654B"/>
    <w:rsid w:val="26FB2A9E"/>
    <w:rsid w:val="272E0923"/>
    <w:rsid w:val="27303F23"/>
    <w:rsid w:val="27562D97"/>
    <w:rsid w:val="2767180D"/>
    <w:rsid w:val="276860FF"/>
    <w:rsid w:val="27705650"/>
    <w:rsid w:val="27763257"/>
    <w:rsid w:val="278C444B"/>
    <w:rsid w:val="2791206A"/>
    <w:rsid w:val="27B1365C"/>
    <w:rsid w:val="27E20C5E"/>
    <w:rsid w:val="27FF751D"/>
    <w:rsid w:val="28066FAE"/>
    <w:rsid w:val="28186918"/>
    <w:rsid w:val="281F3608"/>
    <w:rsid w:val="28435434"/>
    <w:rsid w:val="287A1854"/>
    <w:rsid w:val="28872F1C"/>
    <w:rsid w:val="28996A28"/>
    <w:rsid w:val="28B417C5"/>
    <w:rsid w:val="28C3643C"/>
    <w:rsid w:val="28CA69A3"/>
    <w:rsid w:val="28CE3220"/>
    <w:rsid w:val="290A5935"/>
    <w:rsid w:val="290B0C9E"/>
    <w:rsid w:val="291B0A33"/>
    <w:rsid w:val="29344A75"/>
    <w:rsid w:val="29532CDC"/>
    <w:rsid w:val="297E4A9C"/>
    <w:rsid w:val="29AF3D21"/>
    <w:rsid w:val="2A0C0FB4"/>
    <w:rsid w:val="2A2953D2"/>
    <w:rsid w:val="2A2D57AB"/>
    <w:rsid w:val="2A7E65F5"/>
    <w:rsid w:val="2A8B78F3"/>
    <w:rsid w:val="2A8D6093"/>
    <w:rsid w:val="2A9C2D33"/>
    <w:rsid w:val="2AC52913"/>
    <w:rsid w:val="2ACD6BF6"/>
    <w:rsid w:val="2AF673FA"/>
    <w:rsid w:val="2B053063"/>
    <w:rsid w:val="2B1D39AC"/>
    <w:rsid w:val="2B3F60B3"/>
    <w:rsid w:val="2B624713"/>
    <w:rsid w:val="2B7B738E"/>
    <w:rsid w:val="2B8202B3"/>
    <w:rsid w:val="2B961419"/>
    <w:rsid w:val="2BAF6153"/>
    <w:rsid w:val="2C16499C"/>
    <w:rsid w:val="2C2B5431"/>
    <w:rsid w:val="2C3F7B5B"/>
    <w:rsid w:val="2C482942"/>
    <w:rsid w:val="2C4A27FA"/>
    <w:rsid w:val="2C54662E"/>
    <w:rsid w:val="2C554743"/>
    <w:rsid w:val="2C5719B4"/>
    <w:rsid w:val="2C855B37"/>
    <w:rsid w:val="2C87561C"/>
    <w:rsid w:val="2C9E7F33"/>
    <w:rsid w:val="2CA5739C"/>
    <w:rsid w:val="2CB10A28"/>
    <w:rsid w:val="2CD02B7C"/>
    <w:rsid w:val="2CE736F0"/>
    <w:rsid w:val="2CF871C7"/>
    <w:rsid w:val="2D197EE7"/>
    <w:rsid w:val="2D1A44DD"/>
    <w:rsid w:val="2D954F24"/>
    <w:rsid w:val="2DA26214"/>
    <w:rsid w:val="2DF61A6F"/>
    <w:rsid w:val="2E030006"/>
    <w:rsid w:val="2E1B0B12"/>
    <w:rsid w:val="2E424C8B"/>
    <w:rsid w:val="2E4270DC"/>
    <w:rsid w:val="2E487F60"/>
    <w:rsid w:val="2E4C78E1"/>
    <w:rsid w:val="2E510244"/>
    <w:rsid w:val="2E5F79F2"/>
    <w:rsid w:val="2E731311"/>
    <w:rsid w:val="2E8550C8"/>
    <w:rsid w:val="2E9C7CE7"/>
    <w:rsid w:val="2EA24AD1"/>
    <w:rsid w:val="2EBC4A66"/>
    <w:rsid w:val="2EBE08B6"/>
    <w:rsid w:val="2EDA4CBD"/>
    <w:rsid w:val="2F0A47FF"/>
    <w:rsid w:val="2F386F18"/>
    <w:rsid w:val="2F3F1275"/>
    <w:rsid w:val="2F4F055A"/>
    <w:rsid w:val="2F792F30"/>
    <w:rsid w:val="2F8654B3"/>
    <w:rsid w:val="2FCB34FB"/>
    <w:rsid w:val="2FD75CFF"/>
    <w:rsid w:val="2FE73D65"/>
    <w:rsid w:val="300860FB"/>
    <w:rsid w:val="302F14C5"/>
    <w:rsid w:val="303712D2"/>
    <w:rsid w:val="304B0CF6"/>
    <w:rsid w:val="304D125F"/>
    <w:rsid w:val="30742897"/>
    <w:rsid w:val="308158FA"/>
    <w:rsid w:val="308920EF"/>
    <w:rsid w:val="30A0664C"/>
    <w:rsid w:val="30BC19C5"/>
    <w:rsid w:val="30C61B6F"/>
    <w:rsid w:val="30C95219"/>
    <w:rsid w:val="30D675AD"/>
    <w:rsid w:val="30FF6E8C"/>
    <w:rsid w:val="311A4605"/>
    <w:rsid w:val="311E73BA"/>
    <w:rsid w:val="31305298"/>
    <w:rsid w:val="313110BC"/>
    <w:rsid w:val="31376626"/>
    <w:rsid w:val="318B1C70"/>
    <w:rsid w:val="319B6BB5"/>
    <w:rsid w:val="31A83080"/>
    <w:rsid w:val="31BB45E4"/>
    <w:rsid w:val="31BC6B2B"/>
    <w:rsid w:val="31D23C1A"/>
    <w:rsid w:val="31D245A1"/>
    <w:rsid w:val="3219571B"/>
    <w:rsid w:val="32273399"/>
    <w:rsid w:val="324D6FCB"/>
    <w:rsid w:val="32586E0B"/>
    <w:rsid w:val="32684654"/>
    <w:rsid w:val="326C082A"/>
    <w:rsid w:val="32881457"/>
    <w:rsid w:val="32955EA5"/>
    <w:rsid w:val="32B64EED"/>
    <w:rsid w:val="32BC4AC6"/>
    <w:rsid w:val="32BD7740"/>
    <w:rsid w:val="32D52F7B"/>
    <w:rsid w:val="32ED0E6A"/>
    <w:rsid w:val="32F06ED5"/>
    <w:rsid w:val="33062754"/>
    <w:rsid w:val="33223149"/>
    <w:rsid w:val="33323549"/>
    <w:rsid w:val="336D27D3"/>
    <w:rsid w:val="33891226"/>
    <w:rsid w:val="339B04DF"/>
    <w:rsid w:val="339F0696"/>
    <w:rsid w:val="33C65B63"/>
    <w:rsid w:val="33CB12A8"/>
    <w:rsid w:val="33EF3697"/>
    <w:rsid w:val="34073588"/>
    <w:rsid w:val="340B19C9"/>
    <w:rsid w:val="341C4A50"/>
    <w:rsid w:val="34782738"/>
    <w:rsid w:val="349A3434"/>
    <w:rsid w:val="34C40B66"/>
    <w:rsid w:val="34D21A7C"/>
    <w:rsid w:val="34EC467A"/>
    <w:rsid w:val="34F7344A"/>
    <w:rsid w:val="34F82E14"/>
    <w:rsid w:val="34FA76A1"/>
    <w:rsid w:val="35026192"/>
    <w:rsid w:val="354237EC"/>
    <w:rsid w:val="354A42E5"/>
    <w:rsid w:val="354C6312"/>
    <w:rsid w:val="3557025E"/>
    <w:rsid w:val="3566653C"/>
    <w:rsid w:val="35831E3A"/>
    <w:rsid w:val="358F2CCD"/>
    <w:rsid w:val="3592207D"/>
    <w:rsid w:val="35BE3559"/>
    <w:rsid w:val="35F44AE6"/>
    <w:rsid w:val="35F86B28"/>
    <w:rsid w:val="361E1B63"/>
    <w:rsid w:val="367D5953"/>
    <w:rsid w:val="368740A1"/>
    <w:rsid w:val="368A2F3E"/>
    <w:rsid w:val="36B30DA6"/>
    <w:rsid w:val="36CE35D4"/>
    <w:rsid w:val="36D10954"/>
    <w:rsid w:val="36D63503"/>
    <w:rsid w:val="36ED79DC"/>
    <w:rsid w:val="372C175E"/>
    <w:rsid w:val="374D1160"/>
    <w:rsid w:val="374E2B08"/>
    <w:rsid w:val="37744822"/>
    <w:rsid w:val="37794BAB"/>
    <w:rsid w:val="37944B00"/>
    <w:rsid w:val="379D6EF7"/>
    <w:rsid w:val="37B96A8F"/>
    <w:rsid w:val="37F26321"/>
    <w:rsid w:val="380F6DFC"/>
    <w:rsid w:val="38400793"/>
    <w:rsid w:val="3851621F"/>
    <w:rsid w:val="385C46B2"/>
    <w:rsid w:val="38605B4E"/>
    <w:rsid w:val="38727FB0"/>
    <w:rsid w:val="38BA0DFF"/>
    <w:rsid w:val="38D05E15"/>
    <w:rsid w:val="38DA0C1B"/>
    <w:rsid w:val="38EC7C2E"/>
    <w:rsid w:val="38F55DE8"/>
    <w:rsid w:val="38F807D6"/>
    <w:rsid w:val="38FE651C"/>
    <w:rsid w:val="39290464"/>
    <w:rsid w:val="393001EF"/>
    <w:rsid w:val="393671C3"/>
    <w:rsid w:val="393A4F06"/>
    <w:rsid w:val="3941088B"/>
    <w:rsid w:val="39644109"/>
    <w:rsid w:val="39717C97"/>
    <w:rsid w:val="398A41C4"/>
    <w:rsid w:val="399C169B"/>
    <w:rsid w:val="39A305F6"/>
    <w:rsid w:val="39B44A5B"/>
    <w:rsid w:val="39C47688"/>
    <w:rsid w:val="39F133C0"/>
    <w:rsid w:val="3A037403"/>
    <w:rsid w:val="3A061378"/>
    <w:rsid w:val="3A2A18F1"/>
    <w:rsid w:val="3A4C69F0"/>
    <w:rsid w:val="3A5D0062"/>
    <w:rsid w:val="3A6B10EF"/>
    <w:rsid w:val="3A951C36"/>
    <w:rsid w:val="3A9B4986"/>
    <w:rsid w:val="3AA7436C"/>
    <w:rsid w:val="3AC0768C"/>
    <w:rsid w:val="3AC64FC4"/>
    <w:rsid w:val="3AD02A6A"/>
    <w:rsid w:val="3AE5360C"/>
    <w:rsid w:val="3B050A75"/>
    <w:rsid w:val="3B1D4650"/>
    <w:rsid w:val="3B72199B"/>
    <w:rsid w:val="3BC638FF"/>
    <w:rsid w:val="3BD744E7"/>
    <w:rsid w:val="3BDE7C8C"/>
    <w:rsid w:val="3BE948AD"/>
    <w:rsid w:val="3BEC18E2"/>
    <w:rsid w:val="3C0B5C69"/>
    <w:rsid w:val="3C0F0FAE"/>
    <w:rsid w:val="3C1D499B"/>
    <w:rsid w:val="3C28713B"/>
    <w:rsid w:val="3C2D0D52"/>
    <w:rsid w:val="3C2E7818"/>
    <w:rsid w:val="3C3D0C8E"/>
    <w:rsid w:val="3C6166A1"/>
    <w:rsid w:val="3C7929D3"/>
    <w:rsid w:val="3CA926B1"/>
    <w:rsid w:val="3CB57A9D"/>
    <w:rsid w:val="3CC43A57"/>
    <w:rsid w:val="3CE04016"/>
    <w:rsid w:val="3D107C33"/>
    <w:rsid w:val="3D1836F5"/>
    <w:rsid w:val="3D3610D9"/>
    <w:rsid w:val="3D49542E"/>
    <w:rsid w:val="3D5A2B93"/>
    <w:rsid w:val="3D5E514C"/>
    <w:rsid w:val="3D7A6218"/>
    <w:rsid w:val="3DB106E3"/>
    <w:rsid w:val="3DD355BC"/>
    <w:rsid w:val="3DE43C63"/>
    <w:rsid w:val="3DF71617"/>
    <w:rsid w:val="3E267DB2"/>
    <w:rsid w:val="3E2A7B5D"/>
    <w:rsid w:val="3E2B0B41"/>
    <w:rsid w:val="3E2D71EC"/>
    <w:rsid w:val="3E3839DE"/>
    <w:rsid w:val="3E474439"/>
    <w:rsid w:val="3E483C21"/>
    <w:rsid w:val="3E545162"/>
    <w:rsid w:val="3E572DFE"/>
    <w:rsid w:val="3E6D060B"/>
    <w:rsid w:val="3E813130"/>
    <w:rsid w:val="3ED90B8E"/>
    <w:rsid w:val="3EDE6333"/>
    <w:rsid w:val="3F38048F"/>
    <w:rsid w:val="3F9D552F"/>
    <w:rsid w:val="3FA7706D"/>
    <w:rsid w:val="3FAE12E1"/>
    <w:rsid w:val="3FBB6CC3"/>
    <w:rsid w:val="3FC13E21"/>
    <w:rsid w:val="401B2788"/>
    <w:rsid w:val="401B4533"/>
    <w:rsid w:val="40282BED"/>
    <w:rsid w:val="40550877"/>
    <w:rsid w:val="40776A3F"/>
    <w:rsid w:val="40975077"/>
    <w:rsid w:val="40AB66EB"/>
    <w:rsid w:val="40CA2FDB"/>
    <w:rsid w:val="40D17E3D"/>
    <w:rsid w:val="40E25EE4"/>
    <w:rsid w:val="40E30105"/>
    <w:rsid w:val="411B6157"/>
    <w:rsid w:val="416A3998"/>
    <w:rsid w:val="41867AAE"/>
    <w:rsid w:val="418B697A"/>
    <w:rsid w:val="41931164"/>
    <w:rsid w:val="419C4171"/>
    <w:rsid w:val="41C03786"/>
    <w:rsid w:val="41C17040"/>
    <w:rsid w:val="41D421ED"/>
    <w:rsid w:val="41D428D9"/>
    <w:rsid w:val="41F60AD4"/>
    <w:rsid w:val="42032840"/>
    <w:rsid w:val="421850CA"/>
    <w:rsid w:val="421A1D78"/>
    <w:rsid w:val="42353119"/>
    <w:rsid w:val="425608D6"/>
    <w:rsid w:val="42865E45"/>
    <w:rsid w:val="42907C96"/>
    <w:rsid w:val="42BD6E4C"/>
    <w:rsid w:val="42C150F7"/>
    <w:rsid w:val="42C75E86"/>
    <w:rsid w:val="42D9753D"/>
    <w:rsid w:val="42DC1A22"/>
    <w:rsid w:val="43024C98"/>
    <w:rsid w:val="430A17B4"/>
    <w:rsid w:val="432F6A5C"/>
    <w:rsid w:val="43523213"/>
    <w:rsid w:val="43565589"/>
    <w:rsid w:val="43697B1B"/>
    <w:rsid w:val="438628CE"/>
    <w:rsid w:val="440D059F"/>
    <w:rsid w:val="44765407"/>
    <w:rsid w:val="449617A0"/>
    <w:rsid w:val="449D30D0"/>
    <w:rsid w:val="44B21CE6"/>
    <w:rsid w:val="44B85FFB"/>
    <w:rsid w:val="44B96010"/>
    <w:rsid w:val="44C24001"/>
    <w:rsid w:val="44CA2892"/>
    <w:rsid w:val="44FD1C09"/>
    <w:rsid w:val="4501244D"/>
    <w:rsid w:val="454226FD"/>
    <w:rsid w:val="454C31E3"/>
    <w:rsid w:val="455A7ECE"/>
    <w:rsid w:val="45637077"/>
    <w:rsid w:val="45655ED8"/>
    <w:rsid w:val="45677D15"/>
    <w:rsid w:val="45871A58"/>
    <w:rsid w:val="45A60877"/>
    <w:rsid w:val="45A773DC"/>
    <w:rsid w:val="45CC24B5"/>
    <w:rsid w:val="45D308EF"/>
    <w:rsid w:val="45E96F9B"/>
    <w:rsid w:val="45FF6FA6"/>
    <w:rsid w:val="46377DB5"/>
    <w:rsid w:val="464A59ED"/>
    <w:rsid w:val="464F519B"/>
    <w:rsid w:val="46683998"/>
    <w:rsid w:val="46685E10"/>
    <w:rsid w:val="468437F9"/>
    <w:rsid w:val="46860BA5"/>
    <w:rsid w:val="469A6B78"/>
    <w:rsid w:val="46C2478C"/>
    <w:rsid w:val="46D63D94"/>
    <w:rsid w:val="46DE067E"/>
    <w:rsid w:val="46E73121"/>
    <w:rsid w:val="46FF50FE"/>
    <w:rsid w:val="471231DE"/>
    <w:rsid w:val="473C0639"/>
    <w:rsid w:val="474500FE"/>
    <w:rsid w:val="47471001"/>
    <w:rsid w:val="47615C1B"/>
    <w:rsid w:val="47723ABC"/>
    <w:rsid w:val="47BD041F"/>
    <w:rsid w:val="47E6159B"/>
    <w:rsid w:val="48561A78"/>
    <w:rsid w:val="48576465"/>
    <w:rsid w:val="487752EE"/>
    <w:rsid w:val="489E00CD"/>
    <w:rsid w:val="48B27FB4"/>
    <w:rsid w:val="48CF21D0"/>
    <w:rsid w:val="48D44BB4"/>
    <w:rsid w:val="48E42798"/>
    <w:rsid w:val="48FC0B25"/>
    <w:rsid w:val="49033FA5"/>
    <w:rsid w:val="492760F0"/>
    <w:rsid w:val="49301FE3"/>
    <w:rsid w:val="49380D36"/>
    <w:rsid w:val="495B251A"/>
    <w:rsid w:val="495E50FC"/>
    <w:rsid w:val="499138ED"/>
    <w:rsid w:val="49B550C8"/>
    <w:rsid w:val="49B72900"/>
    <w:rsid w:val="49CF3448"/>
    <w:rsid w:val="49D23A3B"/>
    <w:rsid w:val="49DA1007"/>
    <w:rsid w:val="49E24E95"/>
    <w:rsid w:val="49EC5305"/>
    <w:rsid w:val="4A406172"/>
    <w:rsid w:val="4ABC70AC"/>
    <w:rsid w:val="4ACD6AE4"/>
    <w:rsid w:val="4AD06DEC"/>
    <w:rsid w:val="4B321CDA"/>
    <w:rsid w:val="4B3E460A"/>
    <w:rsid w:val="4B550683"/>
    <w:rsid w:val="4BC623CC"/>
    <w:rsid w:val="4BDA5C54"/>
    <w:rsid w:val="4BF502BA"/>
    <w:rsid w:val="4C845336"/>
    <w:rsid w:val="4C8A2ADB"/>
    <w:rsid w:val="4C915602"/>
    <w:rsid w:val="4CAC3F2B"/>
    <w:rsid w:val="4CE73541"/>
    <w:rsid w:val="4CF84A64"/>
    <w:rsid w:val="4CFF02E2"/>
    <w:rsid w:val="4CFF7B51"/>
    <w:rsid w:val="4D700A9E"/>
    <w:rsid w:val="4D74321C"/>
    <w:rsid w:val="4DD919C5"/>
    <w:rsid w:val="4DF34673"/>
    <w:rsid w:val="4E0C01B8"/>
    <w:rsid w:val="4E2A6045"/>
    <w:rsid w:val="4E2C787B"/>
    <w:rsid w:val="4E514BE6"/>
    <w:rsid w:val="4E5D7067"/>
    <w:rsid w:val="4E62713E"/>
    <w:rsid w:val="4E737FD8"/>
    <w:rsid w:val="4E900C5D"/>
    <w:rsid w:val="4EF13DB4"/>
    <w:rsid w:val="4F1046C9"/>
    <w:rsid w:val="4F120E3C"/>
    <w:rsid w:val="4F2F71CE"/>
    <w:rsid w:val="4F601ECF"/>
    <w:rsid w:val="4F602CBF"/>
    <w:rsid w:val="4F7D3D81"/>
    <w:rsid w:val="4F9F38D5"/>
    <w:rsid w:val="4FC27754"/>
    <w:rsid w:val="4FE6272D"/>
    <w:rsid w:val="4FEE5DDD"/>
    <w:rsid w:val="4FF67EA1"/>
    <w:rsid w:val="4FF97707"/>
    <w:rsid w:val="500F3F1D"/>
    <w:rsid w:val="50227EF1"/>
    <w:rsid w:val="504534D0"/>
    <w:rsid w:val="50625E81"/>
    <w:rsid w:val="506D1A49"/>
    <w:rsid w:val="50972C83"/>
    <w:rsid w:val="511537FE"/>
    <w:rsid w:val="511F4F59"/>
    <w:rsid w:val="51473232"/>
    <w:rsid w:val="5162488D"/>
    <w:rsid w:val="51B87E32"/>
    <w:rsid w:val="51BB7325"/>
    <w:rsid w:val="51C52DD6"/>
    <w:rsid w:val="51EF3302"/>
    <w:rsid w:val="5226666A"/>
    <w:rsid w:val="522E0B7E"/>
    <w:rsid w:val="522E0F28"/>
    <w:rsid w:val="524815CD"/>
    <w:rsid w:val="525E6885"/>
    <w:rsid w:val="52825483"/>
    <w:rsid w:val="53057EDB"/>
    <w:rsid w:val="532864A2"/>
    <w:rsid w:val="533A5F44"/>
    <w:rsid w:val="536D1792"/>
    <w:rsid w:val="5370079C"/>
    <w:rsid w:val="53994B7A"/>
    <w:rsid w:val="53BE4CD7"/>
    <w:rsid w:val="53D26537"/>
    <w:rsid w:val="53DE5824"/>
    <w:rsid w:val="541E6552"/>
    <w:rsid w:val="547345BE"/>
    <w:rsid w:val="54AD2F3E"/>
    <w:rsid w:val="54B13DB9"/>
    <w:rsid w:val="54BF05A1"/>
    <w:rsid w:val="54D11FB6"/>
    <w:rsid w:val="54DA5642"/>
    <w:rsid w:val="5528124E"/>
    <w:rsid w:val="555A34A8"/>
    <w:rsid w:val="556552AC"/>
    <w:rsid w:val="556D5881"/>
    <w:rsid w:val="557A1216"/>
    <w:rsid w:val="5586539F"/>
    <w:rsid w:val="558E1787"/>
    <w:rsid w:val="55952571"/>
    <w:rsid w:val="55A102FF"/>
    <w:rsid w:val="55BC0D3E"/>
    <w:rsid w:val="55D05041"/>
    <w:rsid w:val="55E3388B"/>
    <w:rsid w:val="55FB670D"/>
    <w:rsid w:val="563635B1"/>
    <w:rsid w:val="563A0E9D"/>
    <w:rsid w:val="565C6063"/>
    <w:rsid w:val="565C6ACC"/>
    <w:rsid w:val="56680059"/>
    <w:rsid w:val="568E5EBA"/>
    <w:rsid w:val="569A32A2"/>
    <w:rsid w:val="56B90C3F"/>
    <w:rsid w:val="56BC7408"/>
    <w:rsid w:val="56E02076"/>
    <w:rsid w:val="56E27F2F"/>
    <w:rsid w:val="575B7D5A"/>
    <w:rsid w:val="577E0816"/>
    <w:rsid w:val="5789687E"/>
    <w:rsid w:val="578D66F1"/>
    <w:rsid w:val="579C48DF"/>
    <w:rsid w:val="57CB1548"/>
    <w:rsid w:val="57DB3900"/>
    <w:rsid w:val="57F70D2C"/>
    <w:rsid w:val="58313675"/>
    <w:rsid w:val="58417808"/>
    <w:rsid w:val="584B509B"/>
    <w:rsid w:val="585B5A65"/>
    <w:rsid w:val="5867636F"/>
    <w:rsid w:val="587479C0"/>
    <w:rsid w:val="588A3951"/>
    <w:rsid w:val="58BD150F"/>
    <w:rsid w:val="58C106A9"/>
    <w:rsid w:val="58C20143"/>
    <w:rsid w:val="58C82D77"/>
    <w:rsid w:val="58ED0B7E"/>
    <w:rsid w:val="58F13D00"/>
    <w:rsid w:val="58F26A20"/>
    <w:rsid w:val="593871B7"/>
    <w:rsid w:val="59441112"/>
    <w:rsid w:val="59492F26"/>
    <w:rsid w:val="597466ED"/>
    <w:rsid w:val="598D1B00"/>
    <w:rsid w:val="599C1508"/>
    <w:rsid w:val="59D8013F"/>
    <w:rsid w:val="5A1B236C"/>
    <w:rsid w:val="5A4729E8"/>
    <w:rsid w:val="5A6F70EB"/>
    <w:rsid w:val="5AA9366E"/>
    <w:rsid w:val="5AB91708"/>
    <w:rsid w:val="5AB9705D"/>
    <w:rsid w:val="5AC801C0"/>
    <w:rsid w:val="5AD16135"/>
    <w:rsid w:val="5ADB35FB"/>
    <w:rsid w:val="5AE163F1"/>
    <w:rsid w:val="5AEB36A2"/>
    <w:rsid w:val="5B140F14"/>
    <w:rsid w:val="5B21787C"/>
    <w:rsid w:val="5B223CAC"/>
    <w:rsid w:val="5B2570CA"/>
    <w:rsid w:val="5B3F7D02"/>
    <w:rsid w:val="5B427906"/>
    <w:rsid w:val="5B4564CD"/>
    <w:rsid w:val="5B527C84"/>
    <w:rsid w:val="5B561C9C"/>
    <w:rsid w:val="5B615ECA"/>
    <w:rsid w:val="5B7046CF"/>
    <w:rsid w:val="5B7A0A2A"/>
    <w:rsid w:val="5B7C3DA5"/>
    <w:rsid w:val="5B9B762E"/>
    <w:rsid w:val="5BB04AD9"/>
    <w:rsid w:val="5BB10BFF"/>
    <w:rsid w:val="5BD4178E"/>
    <w:rsid w:val="5BFC7A7E"/>
    <w:rsid w:val="5C25514A"/>
    <w:rsid w:val="5C3A5E5E"/>
    <w:rsid w:val="5C873E71"/>
    <w:rsid w:val="5C910DB0"/>
    <w:rsid w:val="5C98222E"/>
    <w:rsid w:val="5CBD6A4B"/>
    <w:rsid w:val="5CBD6CF9"/>
    <w:rsid w:val="5CBF3C55"/>
    <w:rsid w:val="5CC0720F"/>
    <w:rsid w:val="5CE25D24"/>
    <w:rsid w:val="5CEF57E2"/>
    <w:rsid w:val="5CFB636F"/>
    <w:rsid w:val="5D2370E1"/>
    <w:rsid w:val="5D3962BC"/>
    <w:rsid w:val="5D482C42"/>
    <w:rsid w:val="5D997B9D"/>
    <w:rsid w:val="5DB65E9B"/>
    <w:rsid w:val="5E3E379F"/>
    <w:rsid w:val="5E734C2C"/>
    <w:rsid w:val="5E745F14"/>
    <w:rsid w:val="5E7A4609"/>
    <w:rsid w:val="5EA41C94"/>
    <w:rsid w:val="5ED42650"/>
    <w:rsid w:val="5EFD6F9F"/>
    <w:rsid w:val="5F077E24"/>
    <w:rsid w:val="5F6C2640"/>
    <w:rsid w:val="5F8D792C"/>
    <w:rsid w:val="5F966D22"/>
    <w:rsid w:val="5FA73C5F"/>
    <w:rsid w:val="5FC0167E"/>
    <w:rsid w:val="5FCC15F7"/>
    <w:rsid w:val="5FDC6699"/>
    <w:rsid w:val="5FDE7B09"/>
    <w:rsid w:val="5FFD32F5"/>
    <w:rsid w:val="5FFD40D3"/>
    <w:rsid w:val="60101E2A"/>
    <w:rsid w:val="60225706"/>
    <w:rsid w:val="6030647E"/>
    <w:rsid w:val="603957F6"/>
    <w:rsid w:val="605E6E7C"/>
    <w:rsid w:val="60777430"/>
    <w:rsid w:val="60870FE1"/>
    <w:rsid w:val="608C1C3B"/>
    <w:rsid w:val="608C3568"/>
    <w:rsid w:val="60966616"/>
    <w:rsid w:val="60997D7A"/>
    <w:rsid w:val="609E0CCD"/>
    <w:rsid w:val="60CA3BE8"/>
    <w:rsid w:val="611A0FF5"/>
    <w:rsid w:val="61252B70"/>
    <w:rsid w:val="615C2473"/>
    <w:rsid w:val="616468F1"/>
    <w:rsid w:val="61652290"/>
    <w:rsid w:val="61797A4C"/>
    <w:rsid w:val="619125CC"/>
    <w:rsid w:val="61AF3E33"/>
    <w:rsid w:val="61C75F2D"/>
    <w:rsid w:val="61D1162C"/>
    <w:rsid w:val="62086520"/>
    <w:rsid w:val="62261C1B"/>
    <w:rsid w:val="62456545"/>
    <w:rsid w:val="625B18C5"/>
    <w:rsid w:val="62644596"/>
    <w:rsid w:val="62AE3483"/>
    <w:rsid w:val="62B27782"/>
    <w:rsid w:val="62C26DD1"/>
    <w:rsid w:val="62ED6DDC"/>
    <w:rsid w:val="62FC0F02"/>
    <w:rsid w:val="62FE4F70"/>
    <w:rsid w:val="632E45F4"/>
    <w:rsid w:val="63393F99"/>
    <w:rsid w:val="634F44A3"/>
    <w:rsid w:val="63580EFE"/>
    <w:rsid w:val="63C2683A"/>
    <w:rsid w:val="63FE09B3"/>
    <w:rsid w:val="643B6DAD"/>
    <w:rsid w:val="64636121"/>
    <w:rsid w:val="646D3B32"/>
    <w:rsid w:val="64766E25"/>
    <w:rsid w:val="647A167B"/>
    <w:rsid w:val="64AE3639"/>
    <w:rsid w:val="64BD6E3E"/>
    <w:rsid w:val="64C54F9C"/>
    <w:rsid w:val="64CB3D86"/>
    <w:rsid w:val="64E21E2A"/>
    <w:rsid w:val="64F47DAF"/>
    <w:rsid w:val="64FA132B"/>
    <w:rsid w:val="650F4E9D"/>
    <w:rsid w:val="65130235"/>
    <w:rsid w:val="652B3C53"/>
    <w:rsid w:val="653C4D85"/>
    <w:rsid w:val="65622F6B"/>
    <w:rsid w:val="65975EE4"/>
    <w:rsid w:val="65D66516"/>
    <w:rsid w:val="66073CF5"/>
    <w:rsid w:val="661916CC"/>
    <w:rsid w:val="661A35AC"/>
    <w:rsid w:val="664762A1"/>
    <w:rsid w:val="665F56FC"/>
    <w:rsid w:val="669F4100"/>
    <w:rsid w:val="66A0576A"/>
    <w:rsid w:val="66A60B43"/>
    <w:rsid w:val="66A671E7"/>
    <w:rsid w:val="66B46F0D"/>
    <w:rsid w:val="66C26053"/>
    <w:rsid w:val="66C5455D"/>
    <w:rsid w:val="66C754A8"/>
    <w:rsid w:val="66E1317C"/>
    <w:rsid w:val="66E5373F"/>
    <w:rsid w:val="66EC6782"/>
    <w:rsid w:val="67010561"/>
    <w:rsid w:val="67095D94"/>
    <w:rsid w:val="670B5473"/>
    <w:rsid w:val="674E59DB"/>
    <w:rsid w:val="675D4546"/>
    <w:rsid w:val="67956417"/>
    <w:rsid w:val="67B95926"/>
    <w:rsid w:val="67D812AD"/>
    <w:rsid w:val="67F278AA"/>
    <w:rsid w:val="681A18DB"/>
    <w:rsid w:val="682E64E9"/>
    <w:rsid w:val="68444CF7"/>
    <w:rsid w:val="68466F22"/>
    <w:rsid w:val="6862351A"/>
    <w:rsid w:val="68704694"/>
    <w:rsid w:val="687A4427"/>
    <w:rsid w:val="687B6A71"/>
    <w:rsid w:val="68886FC7"/>
    <w:rsid w:val="689F3432"/>
    <w:rsid w:val="68B91A19"/>
    <w:rsid w:val="68DE1658"/>
    <w:rsid w:val="690B5FDD"/>
    <w:rsid w:val="69107745"/>
    <w:rsid w:val="692A5A2E"/>
    <w:rsid w:val="69947CD7"/>
    <w:rsid w:val="69B9253A"/>
    <w:rsid w:val="69CC30A8"/>
    <w:rsid w:val="6A5A5ED4"/>
    <w:rsid w:val="6A815C41"/>
    <w:rsid w:val="6A82729F"/>
    <w:rsid w:val="6AA72487"/>
    <w:rsid w:val="6AB225A6"/>
    <w:rsid w:val="6ABB660F"/>
    <w:rsid w:val="6ADA2BA8"/>
    <w:rsid w:val="6B3E2FEB"/>
    <w:rsid w:val="6C0B7AC3"/>
    <w:rsid w:val="6C0C3900"/>
    <w:rsid w:val="6C1647D1"/>
    <w:rsid w:val="6C275008"/>
    <w:rsid w:val="6C2E088C"/>
    <w:rsid w:val="6C316DA2"/>
    <w:rsid w:val="6C4A6162"/>
    <w:rsid w:val="6C691DD7"/>
    <w:rsid w:val="6C765DE1"/>
    <w:rsid w:val="6C7A39C9"/>
    <w:rsid w:val="6C8C4262"/>
    <w:rsid w:val="6CB0192C"/>
    <w:rsid w:val="6CE07597"/>
    <w:rsid w:val="6CE97307"/>
    <w:rsid w:val="6D033968"/>
    <w:rsid w:val="6D035033"/>
    <w:rsid w:val="6D075386"/>
    <w:rsid w:val="6D0F7B79"/>
    <w:rsid w:val="6D282CEC"/>
    <w:rsid w:val="6D621744"/>
    <w:rsid w:val="6D7601E8"/>
    <w:rsid w:val="6D8B7FE5"/>
    <w:rsid w:val="6DA74875"/>
    <w:rsid w:val="6DB4316E"/>
    <w:rsid w:val="6DCB2A04"/>
    <w:rsid w:val="6DD72B83"/>
    <w:rsid w:val="6DD82340"/>
    <w:rsid w:val="6DDC52B0"/>
    <w:rsid w:val="6E292F4E"/>
    <w:rsid w:val="6E370AD3"/>
    <w:rsid w:val="6E3A2CD6"/>
    <w:rsid w:val="6E3D53C6"/>
    <w:rsid w:val="6ECC4789"/>
    <w:rsid w:val="6EE03818"/>
    <w:rsid w:val="6EEC5D52"/>
    <w:rsid w:val="6EED7D49"/>
    <w:rsid w:val="6F010E38"/>
    <w:rsid w:val="6F3339A9"/>
    <w:rsid w:val="6F536777"/>
    <w:rsid w:val="6F9618E6"/>
    <w:rsid w:val="6FC02C9E"/>
    <w:rsid w:val="6FFA2C86"/>
    <w:rsid w:val="6FFE5F86"/>
    <w:rsid w:val="6FFF70A2"/>
    <w:rsid w:val="70236879"/>
    <w:rsid w:val="706031B8"/>
    <w:rsid w:val="70651945"/>
    <w:rsid w:val="7077120D"/>
    <w:rsid w:val="707C0394"/>
    <w:rsid w:val="707C30FA"/>
    <w:rsid w:val="707F0068"/>
    <w:rsid w:val="70877817"/>
    <w:rsid w:val="70971468"/>
    <w:rsid w:val="70A55DEB"/>
    <w:rsid w:val="70AD3C34"/>
    <w:rsid w:val="70B63384"/>
    <w:rsid w:val="70B644F5"/>
    <w:rsid w:val="70BF135A"/>
    <w:rsid w:val="70D94169"/>
    <w:rsid w:val="70E029A6"/>
    <w:rsid w:val="70E34E8C"/>
    <w:rsid w:val="71495716"/>
    <w:rsid w:val="714F144C"/>
    <w:rsid w:val="715468C3"/>
    <w:rsid w:val="71574054"/>
    <w:rsid w:val="71701ADF"/>
    <w:rsid w:val="71902A1E"/>
    <w:rsid w:val="71981747"/>
    <w:rsid w:val="71A768D5"/>
    <w:rsid w:val="71F758A0"/>
    <w:rsid w:val="722B68E0"/>
    <w:rsid w:val="72445F08"/>
    <w:rsid w:val="72730565"/>
    <w:rsid w:val="727B3360"/>
    <w:rsid w:val="72A76B5D"/>
    <w:rsid w:val="72EA7D8D"/>
    <w:rsid w:val="72FE055B"/>
    <w:rsid w:val="73455B92"/>
    <w:rsid w:val="734B3D23"/>
    <w:rsid w:val="736D1C5D"/>
    <w:rsid w:val="73B41C44"/>
    <w:rsid w:val="73BD1F34"/>
    <w:rsid w:val="73CD77C0"/>
    <w:rsid w:val="73F2195D"/>
    <w:rsid w:val="740D49E9"/>
    <w:rsid w:val="741B5358"/>
    <w:rsid w:val="74232EB2"/>
    <w:rsid w:val="7456013E"/>
    <w:rsid w:val="74880FAF"/>
    <w:rsid w:val="74B94A52"/>
    <w:rsid w:val="74BA2E1C"/>
    <w:rsid w:val="74EB0099"/>
    <w:rsid w:val="751A7096"/>
    <w:rsid w:val="75362C8E"/>
    <w:rsid w:val="75376C96"/>
    <w:rsid w:val="754B5C2D"/>
    <w:rsid w:val="754E771E"/>
    <w:rsid w:val="755F4F38"/>
    <w:rsid w:val="75697F5A"/>
    <w:rsid w:val="758C7A19"/>
    <w:rsid w:val="75B00C41"/>
    <w:rsid w:val="760705FE"/>
    <w:rsid w:val="7619186B"/>
    <w:rsid w:val="761C43B7"/>
    <w:rsid w:val="762A758E"/>
    <w:rsid w:val="766A3FEA"/>
    <w:rsid w:val="76787019"/>
    <w:rsid w:val="768D3247"/>
    <w:rsid w:val="768D4B1F"/>
    <w:rsid w:val="7697057F"/>
    <w:rsid w:val="76D04BFD"/>
    <w:rsid w:val="76D077FE"/>
    <w:rsid w:val="76D63990"/>
    <w:rsid w:val="76F37CEE"/>
    <w:rsid w:val="76F74F4E"/>
    <w:rsid w:val="77291B3A"/>
    <w:rsid w:val="77470212"/>
    <w:rsid w:val="77553692"/>
    <w:rsid w:val="77821C98"/>
    <w:rsid w:val="778D72A3"/>
    <w:rsid w:val="77904E23"/>
    <w:rsid w:val="77953EC7"/>
    <w:rsid w:val="77B423DE"/>
    <w:rsid w:val="77B908D9"/>
    <w:rsid w:val="77B96018"/>
    <w:rsid w:val="77E06627"/>
    <w:rsid w:val="77E32175"/>
    <w:rsid w:val="77F739E6"/>
    <w:rsid w:val="7813480A"/>
    <w:rsid w:val="781664F6"/>
    <w:rsid w:val="781901AF"/>
    <w:rsid w:val="781E731D"/>
    <w:rsid w:val="78234083"/>
    <w:rsid w:val="783E7F15"/>
    <w:rsid w:val="786A0AFD"/>
    <w:rsid w:val="787863EF"/>
    <w:rsid w:val="78FC4D64"/>
    <w:rsid w:val="79336CA0"/>
    <w:rsid w:val="79957780"/>
    <w:rsid w:val="79B3178B"/>
    <w:rsid w:val="79CD5089"/>
    <w:rsid w:val="79FD4B66"/>
    <w:rsid w:val="7A1F0FD2"/>
    <w:rsid w:val="7A4F6DEE"/>
    <w:rsid w:val="7A505630"/>
    <w:rsid w:val="7A5E78FA"/>
    <w:rsid w:val="7A66358F"/>
    <w:rsid w:val="7A7F0EB4"/>
    <w:rsid w:val="7A85352B"/>
    <w:rsid w:val="7A8F6158"/>
    <w:rsid w:val="7A917BF0"/>
    <w:rsid w:val="7AA072D0"/>
    <w:rsid w:val="7AB43197"/>
    <w:rsid w:val="7ABB6F28"/>
    <w:rsid w:val="7ABE4384"/>
    <w:rsid w:val="7AEE738B"/>
    <w:rsid w:val="7B1C72E0"/>
    <w:rsid w:val="7B227E18"/>
    <w:rsid w:val="7B2453DC"/>
    <w:rsid w:val="7B2F16E9"/>
    <w:rsid w:val="7BA925C9"/>
    <w:rsid w:val="7BAD1045"/>
    <w:rsid w:val="7BB716CE"/>
    <w:rsid w:val="7BBA3565"/>
    <w:rsid w:val="7BC83D7B"/>
    <w:rsid w:val="7BED3238"/>
    <w:rsid w:val="7BF35D52"/>
    <w:rsid w:val="7BFE2F73"/>
    <w:rsid w:val="7C1A1BE9"/>
    <w:rsid w:val="7C200750"/>
    <w:rsid w:val="7C915C73"/>
    <w:rsid w:val="7CA229A4"/>
    <w:rsid w:val="7CAA72F2"/>
    <w:rsid w:val="7CC80E49"/>
    <w:rsid w:val="7CDC4E4D"/>
    <w:rsid w:val="7CF64C47"/>
    <w:rsid w:val="7D06456A"/>
    <w:rsid w:val="7D090ECD"/>
    <w:rsid w:val="7D1832BB"/>
    <w:rsid w:val="7D403B36"/>
    <w:rsid w:val="7D4326D1"/>
    <w:rsid w:val="7D6C0CE8"/>
    <w:rsid w:val="7D8C748A"/>
    <w:rsid w:val="7D8F32C2"/>
    <w:rsid w:val="7D951EFA"/>
    <w:rsid w:val="7DA11DD4"/>
    <w:rsid w:val="7DF920C6"/>
    <w:rsid w:val="7E22019D"/>
    <w:rsid w:val="7E247FAE"/>
    <w:rsid w:val="7E2766A8"/>
    <w:rsid w:val="7E6E54DB"/>
    <w:rsid w:val="7E7A4E2C"/>
    <w:rsid w:val="7EC80D21"/>
    <w:rsid w:val="7EDA6638"/>
    <w:rsid w:val="7EDD7747"/>
    <w:rsid w:val="7EF12FA3"/>
    <w:rsid w:val="7EFC41F2"/>
    <w:rsid w:val="7F0D085E"/>
    <w:rsid w:val="7F237516"/>
    <w:rsid w:val="7F30213D"/>
    <w:rsid w:val="7F3D58B7"/>
    <w:rsid w:val="7F4C32AB"/>
    <w:rsid w:val="7F5E5205"/>
    <w:rsid w:val="7F641F2B"/>
    <w:rsid w:val="7F6A5F0E"/>
    <w:rsid w:val="7F863288"/>
    <w:rsid w:val="7FB26944"/>
    <w:rsid w:val="7FBD3767"/>
    <w:rsid w:val="7FBE1168"/>
    <w:rsid w:val="7FCC48A1"/>
    <w:rsid w:val="7FF75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38"/>
    <w:autoRedefine/>
    <w:qFormat/>
    <w:uiPriority w:val="0"/>
    <w:pPr>
      <w:keepNext/>
      <w:keepLines/>
      <w:spacing w:before="340" w:after="330" w:line="578" w:lineRule="auto"/>
      <w:outlineLvl w:val="0"/>
    </w:pPr>
    <w:rPr>
      <w:rFonts w:eastAsia="宋体"/>
      <w:b/>
      <w:bCs/>
      <w:kern w:val="44"/>
      <w:sz w:val="44"/>
      <w:szCs w:val="44"/>
    </w:rPr>
  </w:style>
  <w:style w:type="paragraph" w:styleId="3">
    <w:name w:val="heading 2"/>
    <w:basedOn w:val="1"/>
    <w:next w:val="1"/>
    <w:link w:val="44"/>
    <w:autoRedefine/>
    <w:unhideWhenUsed/>
    <w:qFormat/>
    <w:uiPriority w:val="9"/>
    <w:pPr>
      <w:keepNext/>
      <w:keepLines/>
      <w:spacing w:before="160" w:after="80"/>
      <w:outlineLvl w:val="1"/>
    </w:pPr>
    <w:rPr>
      <w:rFonts w:asciiTheme="majorHAnsi" w:hAnsiTheme="majorHAnsi" w:eastAsiaTheme="majorEastAsia" w:cstheme="majorBidi"/>
      <w:b/>
      <w:color w:val="C00000"/>
      <w:sz w:val="28"/>
      <w:szCs w:val="40"/>
    </w:rPr>
  </w:style>
  <w:style w:type="paragraph" w:styleId="4">
    <w:name w:val="heading 3"/>
    <w:basedOn w:val="1"/>
    <w:next w:val="1"/>
    <w:autoRedefine/>
    <w:unhideWhenUsed/>
    <w:qFormat/>
    <w:uiPriority w:val="9"/>
    <w:pPr>
      <w:keepNext/>
      <w:keepLines/>
      <w:outlineLvl w:val="2"/>
    </w:pPr>
    <w:rPr>
      <w:rFonts w:asciiTheme="majorHAnsi" w:hAnsiTheme="majorHAnsi" w:cstheme="majorBidi"/>
      <w:color w:val="657D9D" w:themeColor="text2" w:themeTint="BF"/>
      <w:sz w:val="24"/>
      <w:szCs w:val="32"/>
      <w14:textFill>
        <w14:solidFill>
          <w14:schemeClr w14:val="tx2">
            <w14:lumMod w14:val="75000"/>
            <w14:lumOff w14:val="25000"/>
          </w14:schemeClr>
        </w14:solidFill>
      </w14:textFill>
    </w:rPr>
  </w:style>
  <w:style w:type="paragraph" w:styleId="5">
    <w:name w:val="heading 4"/>
    <w:basedOn w:val="1"/>
    <w:next w:val="1"/>
    <w:autoRedefine/>
    <w:unhideWhenUsed/>
    <w:qFormat/>
    <w:uiPriority w:val="9"/>
    <w:pPr>
      <w:keepNext/>
      <w:keepLines/>
      <w:spacing w:before="80" w:after="40"/>
      <w:outlineLvl w:val="3"/>
    </w:pPr>
    <w:rPr>
      <w:rFonts w:cstheme="majorBidi"/>
      <w:color w:val="51647E" w:themeColor="text2" w:themeTint="E6"/>
      <w:szCs w:val="28"/>
      <w14:textFill>
        <w14:solidFill>
          <w14:schemeClr w14:val="tx2">
            <w14:lumMod w14:val="90000"/>
            <w14:lumOff w14:val="10000"/>
          </w14:schemeClr>
        </w14:solidFill>
      </w14:textFill>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autoRedefine/>
    <w:semiHidden/>
    <w:unhideWhenUsed/>
    <w:qFormat/>
    <w:uiPriority w:val="0"/>
    <w:rPr>
      <w:rFonts w:ascii="Arial" w:hAnsi="Arial" w:eastAsia="黑体"/>
      <w:sz w:val="20"/>
    </w:rPr>
  </w:style>
  <w:style w:type="paragraph" w:styleId="7">
    <w:name w:val="annotation text"/>
    <w:basedOn w:val="1"/>
    <w:link w:val="39"/>
    <w:autoRedefine/>
    <w:qFormat/>
    <w:uiPriority w:val="0"/>
    <w:pPr>
      <w:jc w:val="left"/>
    </w:pPr>
  </w:style>
  <w:style w:type="paragraph" w:styleId="8">
    <w:name w:val="Body Text"/>
    <w:basedOn w:val="1"/>
    <w:autoRedefine/>
    <w:semiHidden/>
    <w:qFormat/>
    <w:uiPriority w:val="0"/>
    <w:rPr>
      <w:rFonts w:ascii="Arial" w:hAnsi="Arial" w:eastAsia="Arial" w:cs="Arial"/>
      <w:sz w:val="21"/>
      <w:szCs w:val="21"/>
      <w:lang w:eastAsia="en-US"/>
    </w:rPr>
  </w:style>
  <w:style w:type="paragraph" w:styleId="9">
    <w:name w:val="Body Text Indent"/>
    <w:basedOn w:val="1"/>
    <w:next w:val="1"/>
    <w:autoRedefine/>
    <w:semiHidden/>
    <w:unhideWhenUsed/>
    <w:qFormat/>
    <w:uiPriority w:val="99"/>
    <w:pPr>
      <w:spacing w:after="120"/>
      <w:ind w:left="420" w:leftChars="200"/>
    </w:pPr>
  </w:style>
  <w:style w:type="paragraph" w:styleId="10">
    <w:name w:val="toc 3"/>
    <w:basedOn w:val="1"/>
    <w:next w:val="1"/>
    <w:qFormat/>
    <w:uiPriority w:val="0"/>
    <w:pPr>
      <w:ind w:left="840" w:leftChars="400"/>
    </w:pPr>
  </w:style>
  <w:style w:type="paragraph" w:styleId="11">
    <w:name w:val="Balloon Text"/>
    <w:basedOn w:val="1"/>
    <w:link w:val="51"/>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autoRedefine/>
    <w:qFormat/>
    <w:uiPriority w:val="0"/>
  </w:style>
  <w:style w:type="paragraph" w:styleId="15">
    <w:name w:val="footnote text"/>
    <w:basedOn w:val="1"/>
    <w:qFormat/>
    <w:uiPriority w:val="0"/>
    <w:pPr>
      <w:snapToGrid w:val="0"/>
      <w:jc w:val="left"/>
    </w:pPr>
    <w:rPr>
      <w:sz w:val="18"/>
    </w:rPr>
  </w:style>
  <w:style w:type="paragraph" w:styleId="16">
    <w:name w:val="toc 2"/>
    <w:basedOn w:val="1"/>
    <w:next w:val="1"/>
    <w:autoRedefine/>
    <w:qFormat/>
    <w:uiPriority w:val="0"/>
    <w:pPr>
      <w:ind w:left="420" w:leftChars="200"/>
    </w:pPr>
  </w:style>
  <w:style w:type="paragraph" w:styleId="17">
    <w:name w:val="Normal (Web)"/>
    <w:basedOn w:val="1"/>
    <w:qFormat/>
    <w:uiPriority w:val="0"/>
    <w:rPr>
      <w:sz w:val="24"/>
    </w:rPr>
  </w:style>
  <w:style w:type="paragraph" w:styleId="18">
    <w:name w:val="annotation subject"/>
    <w:basedOn w:val="7"/>
    <w:next w:val="7"/>
    <w:link w:val="40"/>
    <w:autoRedefine/>
    <w:qFormat/>
    <w:uiPriority w:val="0"/>
    <w:rPr>
      <w:b/>
      <w:bCs/>
    </w:rPr>
  </w:style>
  <w:style w:type="paragraph" w:styleId="19">
    <w:name w:val="Body Text First Indent 2"/>
    <w:basedOn w:val="9"/>
    <w:autoRedefine/>
    <w:qFormat/>
    <w:uiPriority w:val="0"/>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Emphasis"/>
    <w:basedOn w:val="22"/>
    <w:autoRedefine/>
    <w:qFormat/>
    <w:uiPriority w:val="20"/>
    <w:rPr>
      <w:i/>
      <w:iCs/>
    </w:rPr>
  </w:style>
  <w:style w:type="character" w:styleId="25">
    <w:name w:val="Hyperlink"/>
    <w:basedOn w:val="22"/>
    <w:autoRedefine/>
    <w:unhideWhenUsed/>
    <w:qFormat/>
    <w:uiPriority w:val="99"/>
    <w:rPr>
      <w:color w:val="0000FF"/>
      <w:u w:val="single"/>
    </w:rPr>
  </w:style>
  <w:style w:type="character" w:styleId="26">
    <w:name w:val="annotation reference"/>
    <w:basedOn w:val="22"/>
    <w:autoRedefine/>
    <w:qFormat/>
    <w:uiPriority w:val="0"/>
    <w:rPr>
      <w:sz w:val="21"/>
      <w:szCs w:val="21"/>
    </w:rPr>
  </w:style>
  <w:style w:type="character" w:styleId="27">
    <w:name w:val="footnote reference"/>
    <w:basedOn w:val="22"/>
    <w:qFormat/>
    <w:uiPriority w:val="0"/>
    <w:rPr>
      <w:vertAlign w:val="superscript"/>
    </w:rPr>
  </w:style>
  <w:style w:type="paragraph" w:customStyle="1" w:styleId="28">
    <w:name w:val="commentary"/>
    <w:basedOn w:val="1"/>
    <w:next w:val="29"/>
    <w:autoRedefine/>
    <w:qFormat/>
    <w:uiPriority w:val="0"/>
    <w:pPr>
      <w:spacing w:before="100" w:after="100"/>
      <w:ind w:firstLine="200"/>
    </w:pPr>
    <w:rPr>
      <w:color w:val="3333FF"/>
    </w:rPr>
  </w:style>
  <w:style w:type="paragraph" w:customStyle="1" w:styleId="29">
    <w:name w:val="wy2二级条标题"/>
    <w:basedOn w:val="30"/>
    <w:next w:val="1"/>
    <w:autoRedefine/>
    <w:qFormat/>
    <w:uiPriority w:val="0"/>
    <w:pPr>
      <w:numPr>
        <w:ilvl w:val="0"/>
        <w:numId w:val="0"/>
      </w:numPr>
      <w:spacing w:before="50" w:after="50"/>
      <w:ind w:left="567"/>
      <w:outlineLvl w:val="3"/>
    </w:pPr>
    <w:rPr>
      <w:sz w:val="21"/>
    </w:rPr>
  </w:style>
  <w:style w:type="paragraph" w:customStyle="1" w:styleId="30">
    <w:name w:val="wy4一级条标题"/>
    <w:next w:val="1"/>
    <w:autoRedefine/>
    <w:qFormat/>
    <w:uiPriority w:val="0"/>
    <w:pPr>
      <w:numPr>
        <w:ilvl w:val="1"/>
        <w:numId w:val="1"/>
      </w:numPr>
      <w:spacing w:beforeLines="50" w:afterLines="50"/>
      <w:outlineLvl w:val="2"/>
    </w:pPr>
    <w:rPr>
      <w:rFonts w:ascii="黑体" w:hAnsi="Times New Roman" w:eastAsia="黑体" w:cs="Times New Roman"/>
      <w:sz w:val="28"/>
      <w:szCs w:val="21"/>
      <w:lang w:val="en-US" w:eastAsia="zh-CN" w:bidi="ar-SA"/>
    </w:rPr>
  </w:style>
  <w:style w:type="paragraph" w:customStyle="1" w:styleId="31">
    <w:name w:val="WPSOffice手动目录 1"/>
    <w:autoRedefine/>
    <w:qFormat/>
    <w:uiPriority w:val="0"/>
    <w:rPr>
      <w:rFonts w:ascii="Times New Roman" w:hAnsi="Times New Roman" w:eastAsia="宋体" w:cs="Times New Roman"/>
      <w:lang w:val="en-US" w:eastAsia="zh-CN" w:bidi="ar-SA"/>
    </w:rPr>
  </w:style>
  <w:style w:type="paragraph" w:customStyle="1" w:styleId="32">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3">
    <w:name w:val="Table Text"/>
    <w:basedOn w:val="1"/>
    <w:autoRedefine/>
    <w:semiHidden/>
    <w:qFormat/>
    <w:uiPriority w:val="0"/>
    <w:rPr>
      <w:rFonts w:ascii="微软雅黑" w:hAnsi="微软雅黑" w:eastAsia="微软雅黑" w:cs="微软雅黑"/>
      <w:sz w:val="15"/>
      <w:szCs w:val="15"/>
      <w:lang w:eastAsia="en-US"/>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_paragraph_10ku5_2"/>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6">
    <w:name w:val="tts-b-hl"/>
    <w:basedOn w:val="22"/>
    <w:autoRedefine/>
    <w:qFormat/>
    <w:uiPriority w:val="0"/>
  </w:style>
  <w:style w:type="character" w:customStyle="1" w:styleId="37">
    <w:name w:val="标题 1 字符"/>
    <w:basedOn w:val="22"/>
    <w:autoRedefine/>
    <w:qFormat/>
    <w:uiPriority w:val="0"/>
    <w:rPr>
      <w:rFonts w:eastAsia="仿宋_GB2312"/>
      <w:b/>
      <w:bCs/>
      <w:kern w:val="44"/>
      <w:sz w:val="44"/>
      <w:szCs w:val="44"/>
    </w:rPr>
  </w:style>
  <w:style w:type="character" w:customStyle="1" w:styleId="38">
    <w:name w:val="标题 1 字符1"/>
    <w:link w:val="2"/>
    <w:autoRedefine/>
    <w:qFormat/>
    <w:uiPriority w:val="0"/>
    <w:rPr>
      <w:b/>
      <w:bCs/>
      <w:kern w:val="44"/>
      <w:sz w:val="44"/>
      <w:szCs w:val="44"/>
    </w:rPr>
  </w:style>
  <w:style w:type="character" w:customStyle="1" w:styleId="39">
    <w:name w:val="批注文字 字符"/>
    <w:basedOn w:val="22"/>
    <w:link w:val="7"/>
    <w:autoRedefine/>
    <w:qFormat/>
    <w:uiPriority w:val="0"/>
    <w:rPr>
      <w:rFonts w:eastAsia="仿宋_GB2312"/>
      <w:kern w:val="2"/>
      <w:sz w:val="32"/>
    </w:rPr>
  </w:style>
  <w:style w:type="character" w:customStyle="1" w:styleId="40">
    <w:name w:val="批注主题 字符"/>
    <w:basedOn w:val="39"/>
    <w:link w:val="18"/>
    <w:autoRedefine/>
    <w:qFormat/>
    <w:uiPriority w:val="0"/>
    <w:rPr>
      <w:rFonts w:eastAsia="仿宋_GB2312"/>
      <w:b/>
      <w:bCs/>
      <w:kern w:val="2"/>
      <w:sz w:val="32"/>
    </w:rPr>
  </w:style>
  <w:style w:type="paragraph" w:styleId="41">
    <w:name w:val="List Paragraph"/>
    <w:basedOn w:val="1"/>
    <w:autoRedefine/>
    <w:qFormat/>
    <w:uiPriority w:val="34"/>
    <w:pPr>
      <w:ind w:left="720"/>
      <w:contextualSpacing/>
    </w:pPr>
  </w:style>
  <w:style w:type="paragraph" w:customStyle="1" w:styleId="42">
    <w:name w:val="表格"/>
    <w:basedOn w:val="1"/>
    <w:autoRedefine/>
    <w:qFormat/>
    <w:uiPriority w:val="0"/>
    <w:pPr>
      <w:jc w:val="center"/>
    </w:pPr>
  </w:style>
  <w:style w:type="paragraph" w:customStyle="1" w:styleId="43">
    <w:name w:val="ds-markdown-paragraph"/>
    <w:basedOn w:val="1"/>
    <w:autoRedefine/>
    <w:qFormat/>
    <w:uiPriority w:val="0"/>
    <w:pPr>
      <w:widowControl/>
      <w:spacing w:before="100" w:beforeAutospacing="1" w:after="100" w:afterAutospacing="1"/>
    </w:pPr>
    <w:rPr>
      <w:rFonts w:ascii="宋体" w:hAnsi="宋体" w:eastAsia="宋体" w:cs="宋体"/>
      <w:kern w:val="0"/>
    </w:rPr>
  </w:style>
  <w:style w:type="character" w:customStyle="1" w:styleId="44">
    <w:name w:val="标题 2 字符"/>
    <w:basedOn w:val="22"/>
    <w:link w:val="3"/>
    <w:autoRedefine/>
    <w:qFormat/>
    <w:uiPriority w:val="9"/>
    <w:rPr>
      <w:rFonts w:asciiTheme="majorHAnsi" w:hAnsiTheme="majorHAnsi" w:eastAsiaTheme="majorEastAsia" w:cstheme="majorBidi"/>
      <w:b/>
      <w:color w:val="C00000"/>
      <w:sz w:val="28"/>
      <w:szCs w:val="40"/>
    </w:rPr>
  </w:style>
  <w:style w:type="paragraph" w:customStyle="1" w:styleId="45">
    <w:name w:val="样式 宋体 六号 黑色 居中 首行缩进:  0.32 厘米 右侧:  0.19 厘米 行距: 多倍行距 1.2 字行"/>
    <w:basedOn w:val="1"/>
    <w:autoRedefine/>
    <w:qFormat/>
    <w:uiPriority w:val="0"/>
    <w:pPr>
      <w:jc w:val="center"/>
    </w:pPr>
    <w:rPr>
      <w:rFonts w:cs="宋体"/>
      <w:color w:val="000000"/>
      <w:sz w:val="18"/>
    </w:rPr>
  </w:style>
  <w:style w:type="paragraph" w:customStyle="1" w:styleId="46">
    <w:name w:val="修订1"/>
    <w:hidden/>
    <w:unhideWhenUsed/>
    <w:qFormat/>
    <w:uiPriority w:val="99"/>
    <w:rPr>
      <w:rFonts w:ascii="Times New Roman" w:hAnsi="Times New Roman" w:eastAsia="仿宋_GB2312" w:cs="Times New Roman"/>
      <w:kern w:val="2"/>
      <w:sz w:val="32"/>
      <w:lang w:val="en-US" w:eastAsia="zh-CN" w:bidi="ar-SA"/>
    </w:rPr>
  </w:style>
  <w:style w:type="paragraph" w:customStyle="1" w:styleId="47">
    <w:name w:val="A条"/>
    <w:qFormat/>
    <w:uiPriority w:val="0"/>
    <w:pPr>
      <w:overflowPunct w:val="0"/>
      <w:spacing w:line="360" w:lineRule="auto"/>
      <w:jc w:val="both"/>
    </w:pPr>
    <w:rPr>
      <w:rFonts w:ascii="Times New Roman" w:hAnsi="Times New Roman" w:eastAsia="宋体" w:cs="Times New Roman"/>
      <w:sz w:val="24"/>
      <w:szCs w:val="24"/>
      <w:lang w:val="en-US" w:eastAsia="zh-CN" w:bidi="ar-SA"/>
    </w:rPr>
  </w:style>
  <w:style w:type="paragraph" w:customStyle="1" w:styleId="48">
    <w:name w:val="修订2"/>
    <w:hidden/>
    <w:unhideWhenUsed/>
    <w:qFormat/>
    <w:uiPriority w:val="99"/>
    <w:rPr>
      <w:rFonts w:ascii="Times New Roman" w:hAnsi="Times New Roman" w:eastAsia="仿宋_GB2312" w:cs="Times New Roman"/>
      <w:kern w:val="2"/>
      <w:sz w:val="32"/>
      <w:lang w:val="en-US" w:eastAsia="zh-CN" w:bidi="ar-SA"/>
    </w:rPr>
  </w:style>
  <w:style w:type="paragraph" w:customStyle="1" w:styleId="49">
    <w:name w:val="修订3"/>
    <w:hidden/>
    <w:unhideWhenUsed/>
    <w:qFormat/>
    <w:uiPriority w:val="99"/>
    <w:rPr>
      <w:rFonts w:ascii="Times New Roman" w:hAnsi="Times New Roman" w:eastAsia="仿宋_GB2312" w:cs="Times New Roman"/>
      <w:kern w:val="2"/>
      <w:sz w:val="32"/>
      <w:lang w:val="en-US" w:eastAsia="zh-CN" w:bidi="ar-SA"/>
    </w:rPr>
  </w:style>
  <w:style w:type="paragraph" w:customStyle="1" w:styleId="50">
    <w:name w:val="修订4"/>
    <w:hidden/>
    <w:unhideWhenUsed/>
    <w:qFormat/>
    <w:uiPriority w:val="99"/>
    <w:rPr>
      <w:rFonts w:ascii="Times New Roman" w:hAnsi="Times New Roman" w:eastAsia="仿宋_GB2312" w:cs="Times New Roman"/>
      <w:kern w:val="2"/>
      <w:sz w:val="32"/>
      <w:lang w:val="en-US" w:eastAsia="zh-CN" w:bidi="ar-SA"/>
    </w:rPr>
  </w:style>
  <w:style w:type="character" w:customStyle="1" w:styleId="51">
    <w:name w:val="批注框文本 字符"/>
    <w:basedOn w:val="22"/>
    <w:link w:val="11"/>
    <w:qFormat/>
    <w:uiPriority w:val="0"/>
    <w:rPr>
      <w:rFonts w:eastAsia="仿宋_GB2312"/>
      <w:kern w:val="2"/>
      <w:sz w:val="18"/>
      <w:szCs w:val="18"/>
    </w:rPr>
  </w:style>
  <w:style w:type="character" w:customStyle="1" w:styleId="52">
    <w:name w:val="样式 加粗"/>
    <w:qFormat/>
    <w:uiPriority w:val="0"/>
    <w:rPr>
      <w:rFonts w:ascii="Times New Roman" w:hAnsi="Times New Roman" w:eastAsia="宋体"/>
      <w:b/>
      <w:bCs/>
      <w:sz w:val="21"/>
    </w:rPr>
  </w:style>
  <w:style w:type="paragraph" w:customStyle="1" w:styleId="53">
    <w:name w:val="样式 样式 样式 样式 样式 行距: 多倍行距 1.2 字行 左  3 字符 + 左侧:  3 字符 + 左侧:  3 字符 首..."/>
    <w:basedOn w:val="54"/>
    <w:qFormat/>
    <w:uiPriority w:val="0"/>
  </w:style>
  <w:style w:type="paragraph" w:customStyle="1" w:styleId="54">
    <w:name w:val="样式 样式 样式 样式 行距: 多倍行距 1.2 字行 左  3 字符 + 左侧:  3 字符 + 左侧:  3 字符 首行缩进..."/>
    <w:basedOn w:val="55"/>
    <w:qFormat/>
    <w:uiPriority w:val="0"/>
    <w:pPr>
      <w:ind w:left="500" w:hanging="200" w:hangingChars="200"/>
    </w:pPr>
  </w:style>
  <w:style w:type="paragraph" w:customStyle="1" w:styleId="55">
    <w:name w:val="样式 样式 样式 行距: 多倍行距 1.2 字行 左  3 字符 + 左侧:  3 字符 + 左侧:  3 字符 首行缩进: ..."/>
    <w:basedOn w:val="56"/>
    <w:qFormat/>
    <w:uiPriority w:val="0"/>
    <w:pPr>
      <w:ind w:left="400" w:hanging="100" w:hangingChars="100"/>
    </w:pPr>
  </w:style>
  <w:style w:type="paragraph" w:customStyle="1" w:styleId="56">
    <w:name w:val="样式 样式 行距: 多倍行距 1.2 字行 左  3 字符 + 左侧:  3 字符"/>
    <w:basedOn w:val="57"/>
    <w:qFormat/>
    <w:uiPriority w:val="0"/>
    <w:pPr>
      <w:ind w:firstLine="100" w:firstLineChars="100"/>
    </w:pPr>
  </w:style>
  <w:style w:type="paragraph" w:customStyle="1" w:styleId="57">
    <w:name w:val="样式 行距: 多倍行距 1.2 字行 左  3 字符"/>
    <w:basedOn w:val="1"/>
    <w:qFormat/>
    <w:uiPriority w:val="0"/>
    <w:pPr>
      <w:spacing w:line="288" w:lineRule="auto"/>
      <w:ind w:left="300" w:leftChars="300"/>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wmf"/><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24.emf"/><Relationship Id="rId44" Type="http://schemas.openxmlformats.org/officeDocument/2006/relationships/image" Target="media/image23.emf"/><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footer" Target="footer2.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footer" Target="foot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9D75E0-6035-46D2-BF1A-C691F0F75AE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7594</Words>
  <Characters>9421</Characters>
  <Lines>239</Lines>
  <Paragraphs>67</Paragraphs>
  <TotalTime>5</TotalTime>
  <ScaleCrop>false</ScaleCrop>
  <LinksUpToDate>false</LinksUpToDate>
  <CharactersWithSpaces>9884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2026-09-08T03:58:00Z</dcterms:created>
  <dc:creator>方云飞</dc:creator>
  <cp:lastModifiedBy>白</cp:lastModifiedBy>
  <cp:lastPrinted>2026-02-06T03:04:00Z</cp:lastPrinted>
  <dcterms:modified xsi:type="dcterms:W3CDTF">2026-09-16T03:29:03Z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E48961DD813546A8B801C30D53910C43_13</vt:lpwstr>
  </property>
  <property fmtid="{D5CDD505-2E9C-101B-9397-08002B2CF9AE}" pid="4" name="KSOTemplateDocerSaveRecord">
    <vt:lpwstr>eyJoZGlkIjoiMDY1MGE0YzFiZDM4NDZhMmE0MzQ4ZTEwOGJlNTgyYzAiLCJ1c2VySWQiOiI3NjExMzAzNTQifQ==</vt:lpwstr>
  </property>
</Properties>
</file>