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AA4C1">
      <w:pPr>
        <w:pStyle w:val="128"/>
        <w:framePr w:wrap="around"/>
        <w:rPr>
          <w:rFonts w:hint="eastAsia" w:hAnsi="黑体"/>
        </w:rPr>
      </w:pPr>
      <w:r>
        <w:rPr>
          <w:rFonts w:hAnsi="黑体"/>
        </w:rPr>
        <w:t>ICS </w:t>
      </w:r>
      <w:r>
        <w:rPr>
          <w:rFonts w:hAnsi="黑体"/>
        </w:rPr>
        <w:fldChar w:fldCharType="begin">
          <w:ffData>
            <w:name w:val="ICS"/>
            <w:enabled/>
            <w:calcOnExit w:val="0"/>
            <w:helpText w:type="text" w:val="请输入正确的ICS号："/>
            <w:textInput>
              <w:default w:val="点击此处添加ICS号"/>
            </w:textInput>
          </w:ffData>
        </w:fldChar>
      </w:r>
      <w:bookmarkStart w:id="0" w:name="ICS"/>
      <w:r>
        <w:rPr>
          <w:rFonts w:hAnsi="黑体"/>
        </w:rPr>
        <w:instrText xml:space="preserve"> FORMTEXT </w:instrText>
      </w:r>
      <w:r>
        <w:rPr>
          <w:rFonts w:hAnsi="黑体"/>
        </w:rPr>
        <w:fldChar w:fldCharType="separate"/>
      </w:r>
      <w:r>
        <w:rPr>
          <w:rFonts w:hint="eastAsia" w:hAnsi="黑体"/>
        </w:rPr>
        <w:t>点击此处添加ICS号</w:t>
      </w:r>
      <w:r>
        <w:rPr>
          <w:rFonts w:hAnsi="黑体"/>
        </w:rPr>
        <w:fldChar w:fldCharType="end"/>
      </w:r>
      <w:bookmarkEnd w:id="0"/>
    </w:p>
    <w:p w14:paraId="702F58AD">
      <w:pPr>
        <w:pStyle w:val="128"/>
        <w:framePr w:wrap="around"/>
        <w:rPr>
          <w:rFonts w:hint="eastAsia" w:hAnsi="黑体"/>
        </w:rPr>
      </w:pPr>
      <w:r>
        <w:rPr>
          <w:rFonts w:hint="eastAsia" w:hAnsi="黑体"/>
        </w:rPr>
        <w:t>C</w:t>
      </w:r>
      <w:r>
        <w:rPr>
          <w:rFonts w:hAnsi="黑体"/>
        </w:rPr>
        <w:t xml:space="preserve">CS  </w:t>
      </w:r>
      <w:r>
        <w:rPr>
          <w:rFonts w:hAnsi="黑体"/>
        </w:rPr>
        <w:fldChar w:fldCharType="begin">
          <w:ffData>
            <w:name w:val="WXFLH"/>
            <w:enabled/>
            <w:calcOnExit w:val="0"/>
            <w:helpText w:type="text" w:val="请输入中国标准文献分类号："/>
            <w:textInput>
              <w:default w:val="点击此处添加中国标准文献分类号"/>
            </w:textInput>
          </w:ffData>
        </w:fldChar>
      </w:r>
      <w:bookmarkStart w:id="1" w:name="WXFLH"/>
      <w:r>
        <w:rPr>
          <w:rFonts w:hAnsi="黑体"/>
        </w:rPr>
        <w:instrText xml:space="preserve"> FORMTEXT </w:instrText>
      </w:r>
      <w:r>
        <w:rPr>
          <w:rFonts w:hAnsi="黑体"/>
        </w:rPr>
        <w:fldChar w:fldCharType="separate"/>
      </w:r>
      <w:r>
        <w:rPr>
          <w:rFonts w:hint="eastAsia" w:hAnsi="黑体"/>
        </w:rPr>
        <w:t>点击此处添加中国标准文献分类号</w:t>
      </w:r>
      <w:r>
        <w:rPr>
          <w:rFonts w:hAnsi="黑体"/>
        </w:rPr>
        <w:fldChar w:fldCharType="end"/>
      </w:r>
      <w:bookmarkEnd w:id="1"/>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71"/>
      </w:tblGrid>
      <w:tr w14:paraId="6ECA4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628" w:type="dxa"/>
            <w:tcBorders>
              <w:top w:val="nil"/>
              <w:left w:val="nil"/>
              <w:bottom w:val="nil"/>
              <w:right w:val="nil"/>
            </w:tcBorders>
          </w:tcPr>
          <w:p w14:paraId="6369D982">
            <w:pPr>
              <w:pStyle w:val="128"/>
              <w:framePr w:wrap="around"/>
              <w:rPr>
                <w:rFonts w:hint="eastAsia" w:hAnsi="黑体"/>
              </w:rPr>
            </w:pPr>
          </w:p>
        </w:tc>
      </w:tr>
    </w:tbl>
    <w:p w14:paraId="616E29CA">
      <w:pPr>
        <w:pStyle w:val="114"/>
        <w:framePr w:wrap="around"/>
      </w:pPr>
      <w:r>
        <w:t>D</w:t>
      </w:r>
      <w:r>
        <w:rPr>
          <w:spacing w:val="100"/>
        </w:rPr>
        <w:t>B</w:t>
      </w:r>
      <w:r>
        <w:rPr>
          <w:rFonts w:hint="eastAsia"/>
        </w:rPr>
        <w:t>11</w:t>
      </w:r>
    </w:p>
    <w:p w14:paraId="5A460784">
      <w:pPr>
        <w:pStyle w:val="115"/>
        <w:framePr w:wrap="around"/>
        <w:rPr>
          <w:rFonts w:hint="eastAsia"/>
        </w:rPr>
      </w:pPr>
      <w:r>
        <w:rPr>
          <w:rFonts w:hint="eastAsia"/>
        </w:rPr>
        <w:t>北京市</w:t>
      </w:r>
      <w:r>
        <w:t>地方标准</w:t>
      </w:r>
    </w:p>
    <w:p w14:paraId="4B9B4AB0">
      <w:pPr>
        <w:pStyle w:val="52"/>
        <w:framePr w:wrap="around"/>
        <w:rPr>
          <w:rFonts w:hint="eastAsia" w:hAnsi="黑体"/>
        </w:rPr>
      </w:pPr>
      <w:r>
        <w:rPr>
          <w:rFonts w:hAnsi="黑体"/>
        </w:rPr>
        <w:t xml:space="preserve">DB11/T </w:t>
      </w:r>
      <w:r>
        <w:rPr>
          <w:rFonts w:hAnsi="黑体"/>
        </w:rPr>
        <w:fldChar w:fldCharType="begin">
          <w:ffData>
            <w:name w:val="StdNo1"/>
            <w:enabled/>
            <w:calcOnExit w:val="0"/>
            <w:textInput>
              <w:default w:val="××××"/>
            </w:textInput>
          </w:ffData>
        </w:fldChar>
      </w:r>
      <w:bookmarkStart w:id="2" w:name="StdNo1"/>
      <w:r>
        <w:rPr>
          <w:rFonts w:hAnsi="黑体"/>
        </w:rPr>
        <w:instrText xml:space="preserve"> FORMTEXT </w:instrText>
      </w:r>
      <w:r>
        <w:rPr>
          <w:rFonts w:hAnsi="黑体"/>
        </w:rPr>
        <w:fldChar w:fldCharType="separate"/>
      </w:r>
      <w:r>
        <w:rPr>
          <w:rFonts w:hAnsi="黑体"/>
        </w:rPr>
        <w:t>××××</w:t>
      </w:r>
      <w:r>
        <w:rPr>
          <w:rFonts w:hAnsi="黑体"/>
        </w:rPr>
        <w:fldChar w:fldCharType="end"/>
      </w:r>
      <w:bookmarkEnd w:id="2"/>
      <w:r>
        <w:rPr>
          <w:rFonts w:hAnsi="黑体"/>
        </w:rPr>
        <w:t>—</w:t>
      </w:r>
      <w:r>
        <w:rPr>
          <w:rFonts w:hAnsi="黑体"/>
        </w:rPr>
        <w:fldChar w:fldCharType="begin">
          <w:ffData>
            <w:name w:val="StdNo2"/>
            <w:enabled/>
            <w:calcOnExit w:val="0"/>
            <w:textInput>
              <w:default w:val="××××"/>
              <w:maxLength w:val="4"/>
            </w:textInput>
          </w:ffData>
        </w:fldChar>
      </w:r>
      <w:bookmarkStart w:id="3" w:name="StdNo2"/>
      <w:r>
        <w:rPr>
          <w:rFonts w:hAnsi="黑体"/>
        </w:rPr>
        <w:instrText xml:space="preserve"> FORMTEXT </w:instrText>
      </w:r>
      <w:r>
        <w:rPr>
          <w:rFonts w:hAnsi="黑体"/>
        </w:rPr>
        <w:fldChar w:fldCharType="separate"/>
      </w:r>
      <w:r>
        <w:rPr>
          <w:rFonts w:hAnsi="黑体"/>
        </w:rPr>
        <w:t>××××</w:t>
      </w:r>
      <w:r>
        <w:rPr>
          <w:rFonts w:hAnsi="黑体"/>
        </w:rPr>
        <w:fldChar w:fldCharType="end"/>
      </w:r>
      <w:bookmarkEnd w:id="3"/>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0"/>
      </w:tblGrid>
      <w:tr w14:paraId="04F0A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130" w:type="dxa"/>
            <w:tcBorders>
              <w:top w:val="nil"/>
              <w:left w:val="nil"/>
              <w:bottom w:val="nil"/>
              <w:right w:val="nil"/>
            </w:tcBorders>
          </w:tcPr>
          <w:p w14:paraId="1F8D25D2">
            <w:pPr>
              <w:pStyle w:val="81"/>
              <w:framePr w:wrap="around"/>
              <w:rPr>
                <w:rFonts w:hint="eastAsia" w:ascii="黑体" w:hAnsi="黑体" w:eastAsia="黑体"/>
              </w:rPr>
            </w:pPr>
            <w:r>
              <w:rPr>
                <w:rFonts w:ascii="黑体" w:hAnsi="黑体" w:eastAsia="黑体"/>
              </w:rPr>
              <mc:AlternateContent>
                <mc:Choice Requires="wps">
                  <w:drawing>
                    <wp:anchor distT="0" distB="0" distL="114300" distR="114300" simplePos="0" relativeHeight="251663360" behindDoc="1" locked="0" layoutInCell="1" allowOverlap="1">
                      <wp:simplePos x="0" y="0"/>
                      <wp:positionH relativeFrom="column">
                        <wp:posOffset>4665980</wp:posOffset>
                      </wp:positionH>
                      <wp:positionV relativeFrom="paragraph">
                        <wp:posOffset>34290</wp:posOffset>
                      </wp:positionV>
                      <wp:extent cx="1143000" cy="228600"/>
                      <wp:effectExtent l="0" t="0" r="0" b="0"/>
                      <wp:wrapNone/>
                      <wp:docPr id="8"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ctr" anchorCtr="0" upright="1">
                              <a:noAutofit/>
                            </wps:bodyPr>
                          </wps:wsp>
                        </a:graphicData>
                      </a:graphic>
                    </wp:anchor>
                  </w:drawing>
                </mc:Choice>
                <mc:Fallback>
                  <w:pict>
                    <v:rect id="DT" o:spid="_x0000_s1026" o:spt="1" style="position:absolute;left:0pt;margin-left:367.4pt;margin-top:2.7pt;height:18pt;width:90pt;z-index:-251653120;v-text-anchor:middle;mso-width-relative:page;mso-height-relative:page;" fillcolor="#FFFFFF" filled="t" stroked="f" coordsize="21600,21600" o:gfxdata="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ju9tLWAAAACAEAAA8AAAAAAAAAAQAgAAAAIgAA&#10;AGRycy9kb3ducmV2LnhtbFBLAQIUABQAAAAIAIdO4kBrPpKqCgIAACIEAAAOAAAAAAAAAAEAIAAA&#10;ACUBAABkcnMvZTJvRG9jLnhtbFBLBQYAAAAABgAGAFkBAAChBQAAAAA=&#10;">
                      <v:fill on="t" focussize="0,0"/>
                      <v:stroke on="f"/>
                      <v:imagedata o:title=""/>
                      <o:lock v:ext="edit" aspectratio="f"/>
                    </v:rect>
                  </w:pict>
                </mc:Fallback>
              </mc:AlternateContent>
            </w:r>
            <w:r>
              <w:rPr>
                <w:rFonts w:ascii="黑体" w:hAnsi="黑体" w:eastAsia="黑体"/>
              </w:rPr>
              <w:fldChar w:fldCharType="begin">
                <w:ffData>
                  <w:name w:val="DT"/>
                  <w:enabled/>
                  <w:calcOnExit w:val="0"/>
                  <w:entryMacro w:val="ShowHelp4"/>
                  <w:textInput/>
                </w:ffData>
              </w:fldChar>
            </w:r>
            <w:bookmarkStart w:id="4" w:name="DT"/>
            <w:r>
              <w:rPr>
                <w:rFonts w:ascii="黑体" w:hAnsi="黑体" w:eastAsia="黑体"/>
              </w:rPr>
              <w:instrText xml:space="preserve"> FORMTEXT </w:instrText>
            </w:r>
            <w:r>
              <w:rPr>
                <w:rFonts w:ascii="黑体" w:hAnsi="黑体" w:eastAsia="黑体"/>
              </w:rPr>
              <w:fldChar w:fldCharType="separate"/>
            </w:r>
            <w:r>
              <w:rPr>
                <w:rFonts w:ascii="黑体" w:hAnsi="黑体" w:eastAsia="黑体"/>
              </w:rPr>
              <w:t>     </w:t>
            </w:r>
            <w:r>
              <w:rPr>
                <w:rFonts w:ascii="黑体" w:hAnsi="黑体" w:eastAsia="黑体"/>
              </w:rPr>
              <w:fldChar w:fldCharType="end"/>
            </w:r>
            <w:bookmarkEnd w:id="4"/>
          </w:p>
        </w:tc>
      </w:tr>
    </w:tbl>
    <w:p w14:paraId="1E75B479">
      <w:pPr>
        <w:pStyle w:val="52"/>
        <w:framePr w:wrap="around"/>
        <w:rPr>
          <w:rFonts w:hint="eastAsia" w:hAnsi="黑体"/>
        </w:rPr>
      </w:pPr>
    </w:p>
    <w:p w14:paraId="249939A9">
      <w:pPr>
        <w:pStyle w:val="52"/>
        <w:framePr w:wrap="around"/>
        <w:rPr>
          <w:rFonts w:hint="eastAsia" w:hAnsi="黑体"/>
        </w:rPr>
      </w:pPr>
    </w:p>
    <w:p w14:paraId="2545C89C">
      <w:pPr>
        <w:pStyle w:val="84"/>
        <w:framePr w:wrap="around" w:x="1516" w:y="6406"/>
        <w:spacing w:line="560" w:lineRule="exact"/>
        <w:rPr>
          <w:rFonts w:ascii="黑体" w:cs="黑体"/>
          <w:sz w:val="52"/>
          <w:szCs w:val="52"/>
        </w:rPr>
      </w:pPr>
      <w:bookmarkStart w:id="5" w:name="_Hlk178152504"/>
      <w:bookmarkStart w:id="6" w:name="OLE_LINK11"/>
      <w:r>
        <w:rPr>
          <w:rFonts w:hint="eastAsia" w:ascii="黑体" w:cs="黑体"/>
          <w:sz w:val="52"/>
          <w:szCs w:val="52"/>
        </w:rPr>
        <w:t>温室气</w:t>
      </w:r>
      <w:r>
        <w:rPr>
          <w:rFonts w:hint="eastAsia" w:ascii="黑体" w:cs="黑体"/>
          <w:sz w:val="52"/>
          <w:szCs w:val="52"/>
          <w:highlight w:val="none"/>
        </w:rPr>
        <w:t>体（CO</w:t>
      </w:r>
      <w:r>
        <w:rPr>
          <w:rFonts w:ascii="黑体" w:cs="黑体"/>
          <w:sz w:val="52"/>
          <w:szCs w:val="52"/>
          <w:highlight w:val="none"/>
          <w:vertAlign w:val="subscript"/>
        </w:rPr>
        <w:t>2</w:t>
      </w:r>
      <w:r>
        <w:rPr>
          <w:rFonts w:hint="eastAsia" w:ascii="黑体" w:cs="黑体"/>
          <w:sz w:val="52"/>
          <w:szCs w:val="52"/>
          <w:highlight w:val="none"/>
        </w:rPr>
        <w:t>、CH</w:t>
      </w:r>
      <w:r>
        <w:rPr>
          <w:rFonts w:ascii="黑体" w:cs="黑体"/>
          <w:sz w:val="52"/>
          <w:szCs w:val="52"/>
          <w:highlight w:val="none"/>
          <w:vertAlign w:val="subscript"/>
        </w:rPr>
        <w:t>4</w:t>
      </w:r>
      <w:r>
        <w:rPr>
          <w:rFonts w:hint="eastAsia" w:ascii="黑体" w:cs="黑体"/>
          <w:sz w:val="52"/>
          <w:szCs w:val="52"/>
          <w:highlight w:val="none"/>
        </w:rPr>
        <w:t>）卫</w:t>
      </w:r>
      <w:r>
        <w:rPr>
          <w:rFonts w:hint="eastAsia" w:ascii="黑体" w:cs="黑体"/>
          <w:sz w:val="52"/>
          <w:szCs w:val="52"/>
        </w:rPr>
        <w:t>星遥感监测数据</w:t>
      </w:r>
      <w:bookmarkEnd w:id="5"/>
      <w:r>
        <w:rPr>
          <w:rFonts w:hint="eastAsia" w:ascii="黑体" w:cs="黑体"/>
          <w:sz w:val="52"/>
          <w:szCs w:val="52"/>
        </w:rPr>
        <w:t>准确性检验技术规范</w:t>
      </w:r>
    </w:p>
    <w:bookmarkEnd w:id="6"/>
    <w:p w14:paraId="012DD5B4">
      <w:pPr>
        <w:pStyle w:val="84"/>
        <w:framePr w:wrap="around" w:x="1516" w:y="6406"/>
        <w:rPr>
          <w:rFonts w:hint="eastAsia" w:ascii="黑体" w:hAnsi="黑体"/>
        </w:rPr>
      </w:pPr>
      <w:r>
        <w:rPr>
          <w:rFonts w:hint="eastAsia" w:ascii="黑体" w:hAnsi="黑体"/>
        </w:rPr>
        <w:t>Technical specification for accuracy verification of greenhouse gas (CO</w:t>
      </w:r>
      <w:r>
        <w:rPr>
          <w:rFonts w:hint="eastAsia" w:ascii="黑体" w:hAnsi="黑体"/>
          <w:vertAlign w:val="subscript"/>
        </w:rPr>
        <w:t>2</w:t>
      </w:r>
      <w:r>
        <w:rPr>
          <w:rFonts w:hint="eastAsia" w:ascii="黑体" w:hAnsi="黑体"/>
        </w:rPr>
        <w:t>, CH</w:t>
      </w:r>
      <w:r>
        <w:rPr>
          <w:rFonts w:hint="eastAsia" w:ascii="黑体" w:hAnsi="黑体"/>
          <w:vertAlign w:val="subscript"/>
        </w:rPr>
        <w:t>4</w:t>
      </w:r>
      <w:r>
        <w:rPr>
          <w:rFonts w:hint="eastAsia" w:ascii="黑体" w:hAnsi="黑体"/>
        </w:rPr>
        <w:t>) satellite remote sensing monitoring data</w:t>
      </w:r>
    </w:p>
    <w:tbl>
      <w:tblPr>
        <w:tblStyle w:val="3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29"/>
      </w:tblGrid>
      <w:tr w14:paraId="08CA6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tcPr>
          <w:p w14:paraId="566C0360">
            <w:pPr>
              <w:pStyle w:val="86"/>
              <w:framePr w:wrap="around" w:x="1516" w:y="6406"/>
            </w:pPr>
            <w:r>
              <mc:AlternateContent>
                <mc:Choice Requires="wps">
                  <w:drawing>
                    <wp:anchor distT="0" distB="0" distL="114300" distR="114300" simplePos="0" relativeHeight="251665408" behindDoc="1" locked="1" layoutInCell="1" allowOverlap="1">
                      <wp:simplePos x="0" y="0"/>
                      <wp:positionH relativeFrom="column">
                        <wp:posOffset>2132330</wp:posOffset>
                      </wp:positionH>
                      <wp:positionV relativeFrom="paragraph">
                        <wp:posOffset>573405</wp:posOffset>
                      </wp:positionV>
                      <wp:extent cx="1905000" cy="254000"/>
                      <wp:effectExtent l="0" t="0" r="0" b="0"/>
                      <wp:wrapNone/>
                      <wp:docPr id="7"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wps:spPr>
                            <wps:bodyPr rot="0" vert="horz" wrap="square" lIns="91440" tIns="45720" rIns="91440" bIns="45720" anchor="ctr" anchorCtr="0" upright="1">
                              <a:noAutofit/>
                            </wps:bodyPr>
                          </wps:wsp>
                        </a:graphicData>
                      </a:graphic>
                    </wp:anchor>
                  </w:drawing>
                </mc:Choice>
                <mc:Fallback>
                  <w:pict>
                    <v:rect id="RQ" o:spid="_x0000_s1026" o:spt="1" style="position:absolute;left:0pt;margin-left:167.9pt;margin-top:45.15pt;height:20pt;width:150pt;z-index:-251651072;v-text-anchor:middle;mso-width-relative:page;mso-height-relative:page;" fillcolor="#FFFFFF" filled="t" stroked="f" coordsize="21600,21600" o:gfxdata="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mkFy3WAAAACgEAAA8AAAAAAAAAAQAgAAAAIgAA&#10;AGRycy9kb3ducmV2LnhtbFBLAQIUABQAAAAIAIdO4kACj/dxCgIAACIEAAAOAAAAAAAAAAEAIAAA&#10;ACUBAABkcnMvZTJvRG9jLnhtbFBLBQYAAAAABgAGAFkBAAChBQAAAAA=&#10;">
                      <v:fill on="t" focussize="0,0"/>
                      <v:stroke on="f"/>
                      <v:imagedata o:title=""/>
                      <o:lock v:ext="edit" aspectratio="f"/>
                      <w10:anchorlock/>
                    </v:rect>
                  </w:pict>
                </mc:Fallback>
              </mc:AlternateContent>
            </w:r>
            <w:r>
              <mc:AlternateContent>
                <mc:Choice Requires="wps">
                  <w:drawing>
                    <wp:anchor distT="0" distB="0" distL="114300" distR="114300" simplePos="0" relativeHeight="251664384" behindDoc="1" locked="0" layoutInCell="1" allowOverlap="1">
                      <wp:simplePos x="0" y="0"/>
                      <wp:positionH relativeFrom="column">
                        <wp:posOffset>2386330</wp:posOffset>
                      </wp:positionH>
                      <wp:positionV relativeFrom="paragraph">
                        <wp:posOffset>255905</wp:posOffset>
                      </wp:positionV>
                      <wp:extent cx="1270000" cy="304800"/>
                      <wp:effectExtent l="0" t="0" r="0" b="0"/>
                      <wp:wrapNone/>
                      <wp:docPr id="6" name="LB"/>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wps:spPr>
                            <wps:bodyPr rot="0" vert="horz" wrap="square" lIns="91440" tIns="45720" rIns="91440" bIns="45720" anchor="ctr" anchorCtr="0" upright="1">
                              <a:noAutofit/>
                            </wps:bodyPr>
                          </wps:wsp>
                        </a:graphicData>
                      </a:graphic>
                    </wp:anchor>
                  </w:drawing>
                </mc:Choice>
                <mc:Fallback>
                  <w:pict>
                    <v:rect id="LB" o:spid="_x0000_s1026" o:spt="1" style="position:absolute;left:0pt;margin-left:187.9pt;margin-top:20.15pt;height:24pt;width:100pt;z-index:-251652096;v-text-anchor:middle;mso-width-relative:page;mso-height-relative:page;" fillcolor="#FFFFFF" filled="t" stroked="f" coordsize="21600,21600" o:gfxdata="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IbrVq1wAAAAkBAAAPAAAAAAAAAAEAIAAAACIA&#10;AABkcnMvZG93bnJldi54bWxQSwECFAAUAAAACACHTuJAEy/IFwoCAAAiBAAADgAAAAAAAAABACAA&#10;AAAmAQAAZHJzL2Uyb0RvYy54bWxQSwUGAAAAAAYABgBZAQAAogUAAAAA&#10;">
                      <v:fill on="t" focussize="0,0"/>
                      <v:stroke on="f"/>
                      <v:imagedata o:title=""/>
                      <o:lock v:ext="edit" aspectratio="f"/>
                    </v:rect>
                  </w:pict>
                </mc:Fallback>
              </mc:AlternateContent>
            </w:r>
            <w:r>
              <w:rPr>
                <w:rFonts w:hint="eastAsia"/>
              </w:rPr>
              <w:t>（征求意见稿）</w:t>
            </w:r>
          </w:p>
        </w:tc>
      </w:tr>
      <w:tr w14:paraId="7B14E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tcPr>
          <w:p w14:paraId="570878F3">
            <w:pPr>
              <w:pStyle w:val="87"/>
              <w:framePr w:wrap="around" w:x="1516" w:y="6406"/>
              <w:rPr>
                <w:b/>
              </w:rPr>
            </w:pPr>
          </w:p>
        </w:tc>
      </w:tr>
    </w:tbl>
    <w:p w14:paraId="6AFF748D">
      <w:pPr>
        <w:pStyle w:val="135"/>
        <w:framePr w:wrap="around"/>
        <w:rPr>
          <w:rFonts w:hint="eastAsia" w:ascii="黑体" w:hAnsi="黑体"/>
        </w:rPr>
      </w:pPr>
      <w:r>
        <w:rPr>
          <w:rFonts w:ascii="黑体" w:hAnsi="黑体"/>
        </w:rPr>
        <w:fldChar w:fldCharType="begin">
          <w:ffData>
            <w:name w:val="FY"/>
            <w:enabled/>
            <w:calcOnExit w:val="0"/>
            <w:entryMacro w:val="ShowHelp8"/>
            <w:textInput>
              <w:default w:val="××××"/>
              <w:maxLength w:val="4"/>
            </w:textInput>
          </w:ffData>
        </w:fldChar>
      </w:r>
      <w:bookmarkStart w:id="7" w:name="FY"/>
      <w:r>
        <w:rPr>
          <w:rFonts w:ascii="黑体" w:hAnsi="黑体"/>
        </w:rPr>
        <w:instrText xml:space="preserve"> FORMTEXT </w:instrText>
      </w:r>
      <w:r>
        <w:rPr>
          <w:rFonts w:ascii="黑体" w:hAnsi="黑体"/>
        </w:rPr>
        <w:fldChar w:fldCharType="separate"/>
      </w:r>
      <w:r>
        <w:rPr>
          <w:rFonts w:ascii="黑体" w:hAnsi="黑体"/>
        </w:rPr>
        <w:t>××××</w:t>
      </w:r>
      <w:r>
        <w:rPr>
          <w:rFonts w:ascii="黑体" w:hAnsi="黑体"/>
        </w:rPr>
        <w:fldChar w:fldCharType="end"/>
      </w:r>
      <w:bookmarkEnd w:id="7"/>
      <w:r>
        <w:rPr>
          <w:rFonts w:ascii="黑体" w:hAnsi="黑体"/>
        </w:rPr>
        <w:t xml:space="preserve"> - </w:t>
      </w:r>
      <w:r>
        <w:rPr>
          <w:rFonts w:ascii="黑体" w:hAnsi="黑体"/>
        </w:rPr>
        <w:fldChar w:fldCharType="begin">
          <w:ffData>
            <w:name w:val="FM"/>
            <w:enabled/>
            <w:calcOnExit w:val="0"/>
            <w:entryMacro w:val="ShowHelp8"/>
            <w:textInput>
              <w:default w:val="××"/>
              <w:maxLength w:val="2"/>
            </w:textInput>
          </w:ffData>
        </w:fldChar>
      </w:r>
      <w:r>
        <w:rPr>
          <w:rFonts w:ascii="黑体" w:hAnsi="黑体"/>
        </w:rPr>
        <w:instrText xml:space="preserve"> FORMTEXT </w:instrText>
      </w:r>
      <w:r>
        <w:rPr>
          <w:rFonts w:ascii="黑体" w:hAnsi="黑体"/>
        </w:rPr>
        <w:fldChar w:fldCharType="separate"/>
      </w:r>
      <w:r>
        <w:rPr>
          <w:rFonts w:ascii="黑体" w:hAnsi="黑体"/>
        </w:rPr>
        <w:t>××</w:t>
      </w:r>
      <w:r>
        <w:rPr>
          <w:rFonts w:ascii="黑体" w:hAnsi="黑体"/>
        </w:rPr>
        <w:fldChar w:fldCharType="end"/>
      </w:r>
      <w:r>
        <w:rPr>
          <w:rFonts w:ascii="黑体" w:hAnsi="黑体"/>
        </w:rPr>
        <w:t xml:space="preserve"> - </w:t>
      </w:r>
      <w:r>
        <w:rPr>
          <w:rFonts w:ascii="黑体" w:hAnsi="黑体"/>
        </w:rPr>
        <w:fldChar w:fldCharType="begin">
          <w:ffData>
            <w:name w:val="FD"/>
            <w:enabled/>
            <w:calcOnExit w:val="0"/>
            <w:textInput>
              <w:default w:val="××"/>
              <w:maxLength w:val="2"/>
            </w:textInput>
          </w:ffData>
        </w:fldChar>
      </w:r>
      <w:bookmarkStart w:id="8" w:name="FD"/>
      <w:r>
        <w:rPr>
          <w:rFonts w:ascii="黑体" w:hAnsi="黑体"/>
        </w:rPr>
        <w:instrText xml:space="preserve"> FORMTEXT </w:instrText>
      </w:r>
      <w:r>
        <w:rPr>
          <w:rFonts w:ascii="黑体" w:hAnsi="黑体"/>
        </w:rPr>
        <w:fldChar w:fldCharType="separate"/>
      </w:r>
      <w:r>
        <w:rPr>
          <w:rFonts w:ascii="黑体" w:hAnsi="黑体"/>
        </w:rPr>
        <w:t>××</w:t>
      </w:r>
      <w:r>
        <w:rPr>
          <w:rFonts w:ascii="黑体" w:hAnsi="黑体"/>
        </w:rPr>
        <w:fldChar w:fldCharType="end"/>
      </w:r>
      <w:bookmarkEnd w:id="8"/>
      <w:r>
        <w:rPr>
          <w:rFonts w:hint="eastAsia" w:ascii="黑体" w:hAnsi="黑体"/>
        </w:rPr>
        <w:t>发布</w:t>
      </w:r>
      <w:r>
        <w:rPr>
          <w:rFonts w:ascii="黑体" w:hAnsi="黑体"/>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2339340</wp:posOffset>
                </wp:positionV>
                <wp:extent cx="6120130" cy="0"/>
                <wp:effectExtent l="0" t="0" r="0" b="0"/>
                <wp:wrapNone/>
                <wp:docPr id="5" name="直接连接符 2"/>
                <wp:cNvGraphicFramePr/>
                <a:graphic xmlns:a="http://schemas.openxmlformats.org/drawingml/2006/main">
                  <a:graphicData uri="http://schemas.microsoft.com/office/word/2010/wordprocessingShape">
                    <wps:wsp>
                      <wps:cNvCnPr/>
                      <wps:spPr>
                        <a:xfrm>
                          <a:off x="0" y="0"/>
                          <a:ext cx="6120130" cy="0"/>
                        </a:xfrm>
                        <a:prstGeom prst="line">
                          <a:avLst/>
                        </a:prstGeom>
                        <a:noFill/>
                        <a:ln w="9525" cap="flat" cmpd="sng" algn="ctr">
                          <a:solidFill>
                            <a:srgbClr val="000000"/>
                          </a:solidFill>
                          <a:prstDash val="solid"/>
                        </a:ln>
                        <a:effectLst/>
                      </wps:spPr>
                      <wps:bodyPr/>
                    </wps:wsp>
                  </a:graphicData>
                </a:graphic>
              </wp:anchor>
            </w:drawing>
          </mc:Choice>
          <mc:Fallback>
            <w:pict>
              <v:line id="直接连接符 2" o:spid="_x0000_s1026" o:spt="20" style="position:absolute;left:0pt;margin-left:-0.05pt;margin-top:184.2pt;height:0pt;width:481.9pt;z-index:251660288;mso-width-relative:page;mso-height-relative:page;" filled="f" stroked="t" coordsize="21600,21600" o:gfxdata="UEsDBAoAAAAAAIdO4kAAAAAAAAAAAAAAAAAEAAAAZHJzL1BLAwQUAAAACACHTuJABdbwCNcAAAAJ&#10;AQAADwAAAGRycy9kb3ducmV2LnhtbE2PzU7DMBCE70h9B2uRuFStnQaF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AXW8AjXAAAACQEAAA8AAAAA&#10;AAAAAQAgAAAAIgAAAGRycy9kb3ducmV2LnhtbFBLAQIUABQAAAAIAIdO4kDYK5Ff3AEAAKgDAAAO&#10;AAAAAAAAAAEAIAAAACYBAABkcnMvZTJvRG9jLnhtbFBLBQYAAAAABgAGAFkBAAB0BQAAAAA=&#10;">
                <v:fill on="f" focussize="0,0"/>
                <v:stroke color="#000000" joinstyle="round"/>
                <v:imagedata o:title=""/>
                <o:lock v:ext="edit" aspectratio="f"/>
              </v:line>
            </w:pict>
          </mc:Fallback>
        </mc:AlternateContent>
      </w:r>
      <w:r>
        <w:rPr>
          <w:rFonts w:ascii="黑体" w:hAnsi="黑体"/>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8891270</wp:posOffset>
                </wp:positionV>
                <wp:extent cx="6120130" cy="0"/>
                <wp:effectExtent l="0" t="0" r="0" b="0"/>
                <wp:wrapNone/>
                <wp:docPr id="2" name="直接连接符 1"/>
                <wp:cNvGraphicFramePr/>
                <a:graphic xmlns:a="http://schemas.openxmlformats.org/drawingml/2006/main">
                  <a:graphicData uri="http://schemas.microsoft.com/office/word/2010/wordprocessingShape">
                    <wps:wsp>
                      <wps:cNvCnPr/>
                      <wps:spPr>
                        <a:xfrm>
                          <a:off x="0" y="0"/>
                          <a:ext cx="6120130" cy="0"/>
                        </a:xfrm>
                        <a:prstGeom prst="line">
                          <a:avLst/>
                        </a:prstGeom>
                        <a:noFill/>
                        <a:ln w="9525" cap="flat" cmpd="sng" algn="ctr">
                          <a:solidFill>
                            <a:srgbClr val="000000"/>
                          </a:solidFill>
                          <a:prstDash val="solid"/>
                        </a:ln>
                        <a:effectLst/>
                      </wps:spPr>
                      <wps:bodyPr/>
                    </wps:wsp>
                  </a:graphicData>
                </a:graphic>
              </wp:anchor>
            </w:drawing>
          </mc:Choice>
          <mc:Fallback>
            <w:pict>
              <v:line id="直接连接符 1" o:spid="_x0000_s1026" o:spt="20" style="position:absolute;left:0pt;margin-left:-0.05pt;margin-top:700.1pt;height:0pt;width:481.9pt;z-index:251659264;mso-width-relative:page;mso-height-relative:page;" filled="f" stroked="t" coordsize="21600,21600" o:gfxdata="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bjTqdYAAAALAQAADwAAAAAA&#10;AAABACAAAAAiAAAAZHJzL2Rvd25yZXYueG1sUEsBAhQAFAAAAAgAh07iQJYNV9HcAQAAqAMAAA4A&#10;AAAAAAAAAQAgAAAAJQEAAGRycy9lMm9Eb2MueG1sUEsFBgAAAAAGAAYAWQEAAHMFAAAAAA==&#10;">
                <v:fill on="f" focussize="0,0"/>
                <v:stroke color="#000000" joinstyle="round"/>
                <v:imagedata o:title=""/>
                <o:lock v:ext="edit" aspectratio="f"/>
              </v:line>
            </w:pict>
          </mc:Fallback>
        </mc:AlternateContent>
      </w:r>
    </w:p>
    <w:p w14:paraId="65272BA6">
      <w:pPr>
        <w:pStyle w:val="136"/>
        <w:framePr w:wrap="around"/>
        <w:rPr>
          <w:rFonts w:hint="eastAsia" w:ascii="黑体" w:hAnsi="黑体"/>
        </w:rPr>
      </w:pPr>
      <w:r>
        <w:rPr>
          <w:rFonts w:ascii="黑体" w:hAnsi="黑体"/>
        </w:rPr>
        <w:fldChar w:fldCharType="begin">
          <w:ffData>
            <w:name w:val="SY"/>
            <w:enabled/>
            <w:calcOnExit w:val="0"/>
            <w:entryMacro w:val="ShowHelp9"/>
            <w:textInput>
              <w:default w:val="××××"/>
              <w:maxLength w:val="4"/>
            </w:textInput>
          </w:ffData>
        </w:fldChar>
      </w:r>
      <w:bookmarkStart w:id="9" w:name="SY"/>
      <w:r>
        <w:rPr>
          <w:rFonts w:ascii="黑体" w:hAnsi="黑体"/>
        </w:rPr>
        <w:instrText xml:space="preserve"> FORMTEXT </w:instrText>
      </w:r>
      <w:r>
        <w:rPr>
          <w:rFonts w:ascii="黑体" w:hAnsi="黑体"/>
        </w:rPr>
        <w:fldChar w:fldCharType="separate"/>
      </w:r>
      <w:r>
        <w:rPr>
          <w:rFonts w:ascii="黑体" w:hAnsi="黑体"/>
        </w:rPr>
        <w:t>××××</w:t>
      </w:r>
      <w:r>
        <w:rPr>
          <w:rFonts w:ascii="黑体" w:hAnsi="黑体"/>
        </w:rPr>
        <w:fldChar w:fldCharType="end"/>
      </w:r>
      <w:bookmarkEnd w:id="9"/>
      <w:r>
        <w:rPr>
          <w:rFonts w:ascii="黑体" w:hAnsi="黑体"/>
        </w:rPr>
        <w:t xml:space="preserve"> - </w:t>
      </w:r>
      <w:r>
        <w:rPr>
          <w:rFonts w:ascii="黑体" w:hAnsi="黑体"/>
        </w:rPr>
        <w:fldChar w:fldCharType="begin">
          <w:ffData>
            <w:name w:val="SM"/>
            <w:enabled/>
            <w:calcOnExit w:val="0"/>
            <w:entryMacro w:val="ShowHelp9"/>
            <w:textInput>
              <w:default w:val="××"/>
              <w:maxLength w:val="2"/>
            </w:textInput>
          </w:ffData>
        </w:fldChar>
      </w:r>
      <w:bookmarkStart w:id="10" w:name="SM"/>
      <w:r>
        <w:rPr>
          <w:rFonts w:ascii="黑体" w:hAnsi="黑体"/>
        </w:rPr>
        <w:instrText xml:space="preserve"> FORMTEXT </w:instrText>
      </w:r>
      <w:r>
        <w:rPr>
          <w:rFonts w:ascii="黑体" w:hAnsi="黑体"/>
        </w:rPr>
        <w:fldChar w:fldCharType="separate"/>
      </w:r>
      <w:r>
        <w:rPr>
          <w:rFonts w:ascii="黑体" w:hAnsi="黑体"/>
        </w:rPr>
        <w:t>××</w:t>
      </w:r>
      <w:r>
        <w:rPr>
          <w:rFonts w:ascii="黑体" w:hAnsi="黑体"/>
        </w:rPr>
        <w:fldChar w:fldCharType="end"/>
      </w:r>
      <w:bookmarkEnd w:id="10"/>
      <w:r>
        <w:rPr>
          <w:rFonts w:ascii="黑体" w:hAnsi="黑体"/>
        </w:rPr>
        <w:t xml:space="preserve"> - </w:t>
      </w:r>
      <w:r>
        <w:rPr>
          <w:rFonts w:ascii="黑体" w:hAnsi="黑体"/>
        </w:rPr>
        <w:fldChar w:fldCharType="begin">
          <w:ffData>
            <w:name w:val="SD"/>
            <w:enabled/>
            <w:calcOnExit w:val="0"/>
            <w:entryMacro w:val="ShowHelp9"/>
            <w:textInput>
              <w:default w:val="××"/>
              <w:maxLength w:val="2"/>
            </w:textInput>
          </w:ffData>
        </w:fldChar>
      </w:r>
      <w:bookmarkStart w:id="11" w:name="SD"/>
      <w:r>
        <w:rPr>
          <w:rFonts w:ascii="黑体" w:hAnsi="黑体"/>
        </w:rPr>
        <w:instrText xml:space="preserve"> FORMTEXT </w:instrText>
      </w:r>
      <w:r>
        <w:rPr>
          <w:rFonts w:ascii="黑体" w:hAnsi="黑体"/>
        </w:rPr>
        <w:fldChar w:fldCharType="separate"/>
      </w:r>
      <w:r>
        <w:rPr>
          <w:rFonts w:ascii="黑体" w:hAnsi="黑体"/>
        </w:rPr>
        <w:t>××</w:t>
      </w:r>
      <w:r>
        <w:rPr>
          <w:rFonts w:ascii="黑体" w:hAnsi="黑体"/>
        </w:rPr>
        <w:fldChar w:fldCharType="end"/>
      </w:r>
      <w:bookmarkEnd w:id="11"/>
      <w:r>
        <w:rPr>
          <w:rFonts w:hint="eastAsia" w:ascii="黑体" w:hAnsi="黑体"/>
        </w:rPr>
        <w:t>实施</w:t>
      </w:r>
    </w:p>
    <w:p w14:paraId="2AC264D6">
      <w:pPr>
        <w:pStyle w:val="116"/>
        <w:framePr w:wrap="around"/>
      </w:pPr>
      <w:r>
        <w:rPr>
          <w:rFonts w:hint="eastAsia"/>
        </w:rPr>
        <w:t>北京市市场监督管理局</w:t>
      </w:r>
      <w:r>
        <w:t xml:space="preserve"> </w:t>
      </w:r>
      <w:r>
        <w:rPr>
          <w:rStyle w:val="78"/>
        </w:rPr>
        <w:t xml:space="preserve"> </w:t>
      </w:r>
      <w:r>
        <w:rPr>
          <w:rStyle w:val="78"/>
          <w:rFonts w:hint="eastAsia"/>
        </w:rPr>
        <w:t>发布</w:t>
      </w:r>
    </w:p>
    <w:p w14:paraId="7EA31DEF">
      <w:pPr>
        <w:pStyle w:val="27"/>
        <w:sectPr>
          <w:headerReference r:id="rId5" w:type="even"/>
          <w:footerReference r:id="rId6" w:type="even"/>
          <w:pgSz w:w="11906" w:h="16838"/>
          <w:pgMar w:top="567" w:right="1134" w:bottom="1134" w:left="1417" w:header="0" w:footer="0" w:gutter="0"/>
          <w:pgNumType w:fmt="upperRoman" w:start="1"/>
          <w:cols w:space="425" w:num="1"/>
          <w:docGrid w:type="lines" w:linePitch="312" w:charSpace="0"/>
        </w:sectPr>
      </w:pPr>
      <w:r>
        <mc:AlternateContent>
          <mc:Choice Requires="wps">
            <w:drawing>
              <wp:anchor distT="0" distB="0" distL="114300" distR="114300" simplePos="0" relativeHeight="251666432" behindDoc="1" locked="0" layoutInCell="1" allowOverlap="1">
                <wp:simplePos x="0" y="0"/>
                <wp:positionH relativeFrom="column">
                  <wp:posOffset>-66675</wp:posOffset>
                </wp:positionH>
                <wp:positionV relativeFrom="paragraph">
                  <wp:posOffset>396240</wp:posOffset>
                </wp:positionV>
                <wp:extent cx="866775" cy="198120"/>
                <wp:effectExtent l="0" t="0" r="0" b="0"/>
                <wp:wrapNone/>
                <wp:docPr id="1" name="BAH"/>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wps:spPr>
                      <wps:bodyPr rot="0" vert="horz" wrap="square" lIns="91440" tIns="45720" rIns="91440" bIns="45720" anchor="ctr" anchorCtr="0" upright="1">
                        <a:noAutofit/>
                      </wps:bodyPr>
                    </wps:wsp>
                  </a:graphicData>
                </a:graphic>
              </wp:anchor>
            </w:drawing>
          </mc:Choice>
          <mc:Fallback>
            <w:pict>
              <v:rect id="BAH" o:spid="_x0000_s1026" o:spt="1" style="position:absolute;left:0pt;margin-left:-5.25pt;margin-top:31.2pt;height:15.6pt;width:68.25pt;z-index:-251650048;v-text-anchor:middle;mso-width-relative:page;mso-height-relative:page;" fillcolor="#FFFFFF" filled="t" stroked="f" coordsize="21600,21600" o:gfxdata="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DoKVnYAAAACQEAAA8AAAAAAAAAAQAg&#10;AAAAIgAAAGRycy9kb3ducmV2LnhtbFBLAQIUABQAAAAIAIdO4kDgWGHuDgIAACIEAAAOAAAAAAAA&#10;AAEAIAAAACcBAABkcnMvZTJvRG9jLnhtbFBLBQYAAAAABgAGAFkBAACnBQAAAAA=&#10;">
                <v:fill on="t" focussize="0,0"/>
                <v:stroke on="f"/>
                <v:imagedata o:title=""/>
                <o:lock v:ext="edit" aspectratio="f"/>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2339340</wp:posOffset>
                </wp:positionV>
                <wp:extent cx="612013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612013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05pt;margin-top:184.2pt;height:0pt;width:481.9pt;z-index:251662336;mso-width-relative:page;mso-height-relative:page;" filled="f" stroked="t" coordsize="21600,21600" o:gfxdata="UEsDBAoAAAAAAIdO4kAAAAAAAAAAAAAAAAAEAAAAZHJzL1BLAwQUAAAACACHTuJABdbwCNcAAAAJ&#10;AQAADwAAAGRycy9kb3ducmV2LnhtbE2PzU7DMBCE70h9B2uRuFStnQaF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AXW8AjXAAAACQEAAA8AAAAA&#10;AAAAAQAgAAAAIgAAAGRycy9kb3ducmV2LnhtbFBLAQIUABQAAAAIAIdO4kASUVFC3AEAAKgDAAAO&#10;AAAAAAAAAAEAIAAAACYBAABkcnMvZTJvRG9jLnhtbFBLBQYAAAAABgAGAFkBAAB0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8891270</wp:posOffset>
                </wp:positionV>
                <wp:extent cx="6120130" cy="0"/>
                <wp:effectExtent l="0" t="0" r="0" b="0"/>
                <wp:wrapNone/>
                <wp:docPr id="3" name="直接连接符 2"/>
                <wp:cNvGraphicFramePr/>
                <a:graphic xmlns:a="http://schemas.openxmlformats.org/drawingml/2006/main">
                  <a:graphicData uri="http://schemas.microsoft.com/office/word/2010/wordprocessingShape">
                    <wps:wsp>
                      <wps:cNvCnPr/>
                      <wps:spPr>
                        <a:xfrm>
                          <a:off x="0" y="0"/>
                          <a:ext cx="6120130" cy="0"/>
                        </a:xfrm>
                        <a:prstGeom prst="line">
                          <a:avLst/>
                        </a:prstGeom>
                        <a:noFill/>
                        <a:ln w="9525" cap="flat" cmpd="sng" algn="ctr">
                          <a:solidFill>
                            <a:srgbClr val="000000"/>
                          </a:solidFill>
                          <a:prstDash val="solid"/>
                        </a:ln>
                        <a:effectLst/>
                      </wps:spPr>
                      <wps:bodyPr/>
                    </wps:wsp>
                  </a:graphicData>
                </a:graphic>
              </wp:anchor>
            </w:drawing>
          </mc:Choice>
          <mc:Fallback>
            <w:pict>
              <v:line id="直接连接符 2" o:spid="_x0000_s1026" o:spt="20" style="position:absolute;left:0pt;margin-left:-0.05pt;margin-top:700.1pt;height:0pt;width:481.9pt;z-index:251661312;mso-width-relative:page;mso-height-relative:page;" filled="f" stroked="t" coordsize="21600,21600" o:gfxdata="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bjTqdYAAAALAQAADwAAAAAA&#10;AAABACAAAAAiAAAAZHJzL2Rvd25yZXYueG1sUEsBAhQAFAAAAAgAh07iQATIFvXcAQAAqAMAAA4A&#10;AAAAAAAAAQAgAAAAJQEAAGRycy9lMm9Eb2MueG1sUEsFBgAAAAAGAAYAWQEAAHMFAAAAAA==&#10;">
                <v:fill on="f" focussize="0,0"/>
                <v:stroke color="#000000" joinstyle="round"/>
                <v:imagedata o:title=""/>
                <o:lock v:ext="edit" aspectratio="f"/>
              </v:line>
            </w:pict>
          </mc:Fallback>
        </mc:AlternateContent>
      </w:r>
    </w:p>
    <w:sdt>
      <w:sdtPr>
        <w:rPr>
          <w:rFonts w:ascii="Times New Roman" w:eastAsia="宋体"/>
          <w:kern w:val="2"/>
          <w:sz w:val="21"/>
          <w:szCs w:val="24"/>
        </w:rPr>
        <w:id w:val="25174589"/>
        <w:docPartObj>
          <w:docPartGallery w:val="Table of Contents"/>
          <w:docPartUnique/>
        </w:docPartObj>
      </w:sdtPr>
      <w:sdtEndPr>
        <w:rPr>
          <w:rFonts w:ascii="Times New Roman" w:eastAsia="宋体"/>
          <w:kern w:val="2"/>
          <w:sz w:val="21"/>
          <w:szCs w:val="24"/>
        </w:rPr>
      </w:sdtEndPr>
      <w:sdtContent>
        <w:p w14:paraId="52C062DE">
          <w:pPr>
            <w:pStyle w:val="55"/>
            <w:spacing w:before="300" w:after="240"/>
          </w:pPr>
          <w:bookmarkStart w:id="12" w:name="_Toc19904"/>
          <w:bookmarkStart w:id="13" w:name="_Toc178171698"/>
          <w:bookmarkStart w:id="14" w:name="_Toc15473"/>
          <w:bookmarkStart w:id="15" w:name="_Toc2485"/>
          <w:bookmarkStart w:id="16" w:name="_Toc29898"/>
          <w:bookmarkStart w:id="17" w:name="_Toc83210741"/>
          <w:bookmarkStart w:id="18" w:name="_Toc21183"/>
          <w:r>
            <w:t>目</w:t>
          </w:r>
          <w:r>
            <w:rPr>
              <w:rFonts w:hint="eastAsia"/>
            </w:rPr>
            <w:t xml:space="preserve">  次</w:t>
          </w:r>
          <w:bookmarkEnd w:id="12"/>
          <w:bookmarkEnd w:id="13"/>
          <w:bookmarkEnd w:id="14"/>
          <w:bookmarkEnd w:id="15"/>
          <w:bookmarkEnd w:id="16"/>
          <w:bookmarkEnd w:id="17"/>
          <w:bookmarkEnd w:id="18"/>
        </w:p>
        <w:p w14:paraId="7F42AE40">
          <w:pPr>
            <w:pStyle w:val="23"/>
            <w:tabs>
              <w:tab w:val="right" w:leader="dot" w:pos="9355"/>
              <w:tab w:val="clear" w:pos="9241"/>
            </w:tabs>
          </w:pPr>
        </w:p>
        <w:p w14:paraId="6C708945">
          <w:pPr>
            <w:pStyle w:val="23"/>
            <w:tabs>
              <w:tab w:val="right" w:leader="dot" w:pos="9355"/>
              <w:tab w:val="clear" w:pos="9241"/>
            </w:tabs>
          </w:pPr>
          <w:r>
            <w:fldChar w:fldCharType="begin"/>
          </w:r>
          <w:r>
            <w:instrText xml:space="preserve"> TOC \o "1-3" \h \z \u </w:instrText>
          </w:r>
          <w:r>
            <w:fldChar w:fldCharType="separate"/>
          </w:r>
        </w:p>
        <w:p w14:paraId="6D7543C2">
          <w:pPr>
            <w:pStyle w:val="23"/>
            <w:tabs>
              <w:tab w:val="right" w:leader="dot" w:pos="9355"/>
              <w:tab w:val="clear" w:pos="9241"/>
            </w:tabs>
            <w:spacing w:line="240" w:lineRule="auto"/>
          </w:pPr>
          <w:r>
            <w:fldChar w:fldCharType="begin"/>
          </w:r>
          <w:r>
            <w:instrText xml:space="preserve"> HYPERLINK \l _Toc2225 </w:instrText>
          </w:r>
          <w:r>
            <w:fldChar w:fldCharType="separate"/>
          </w:r>
          <w:r>
            <w:rPr>
              <w:rFonts w:hint="eastAsia"/>
            </w:rPr>
            <w:t>前</w:t>
          </w:r>
          <w:r>
            <w:rPr>
              <w:rFonts w:hint="eastAsia"/>
              <w:lang w:val="en-US" w:eastAsia="zh-CN"/>
            </w:rPr>
            <w:t xml:space="preserve">  </w:t>
          </w:r>
          <w:r>
            <w:rPr>
              <w:rFonts w:hint="eastAsia"/>
            </w:rPr>
            <w:t>言</w:t>
          </w:r>
          <w:r>
            <w:tab/>
          </w:r>
          <w:r>
            <w:fldChar w:fldCharType="begin"/>
          </w:r>
          <w:r>
            <w:instrText xml:space="preserve"> PAGEREF _Toc2225 \h </w:instrText>
          </w:r>
          <w:r>
            <w:fldChar w:fldCharType="separate"/>
          </w:r>
          <w:r>
            <w:t>II</w:t>
          </w:r>
          <w:r>
            <w:fldChar w:fldCharType="end"/>
          </w:r>
          <w:r>
            <w:fldChar w:fldCharType="end"/>
          </w:r>
        </w:p>
        <w:p w14:paraId="7D71FA40">
          <w:pPr>
            <w:pStyle w:val="32"/>
            <w:tabs>
              <w:tab w:val="right" w:leader="dot" w:pos="9355"/>
              <w:tab w:val="clear" w:pos="9241"/>
            </w:tabs>
            <w:spacing w:line="240" w:lineRule="auto"/>
          </w:pPr>
          <w:r>
            <w:fldChar w:fldCharType="begin"/>
          </w:r>
          <w:r>
            <w:instrText xml:space="preserve"> HYPERLINK \l _Toc4253 </w:instrText>
          </w:r>
          <w:r>
            <w:fldChar w:fldCharType="separate"/>
          </w:r>
          <w:r>
            <w:rPr>
              <w:rFonts w:hint="eastAsia" w:ascii="黑体" w:hAnsi="Times New Roman" w:eastAsia="黑体"/>
              <w:i w:val="0"/>
              <w:szCs w:val="21"/>
            </w:rPr>
            <w:t xml:space="preserve">1 </w:t>
          </w:r>
          <w:r>
            <w:rPr>
              <w:rFonts w:hint="eastAsia"/>
            </w:rPr>
            <w:t>范围</w:t>
          </w:r>
          <w:r>
            <w:tab/>
          </w:r>
          <w:r>
            <w:fldChar w:fldCharType="begin"/>
          </w:r>
          <w:r>
            <w:instrText xml:space="preserve"> PAGEREF _Toc4253 \h </w:instrText>
          </w:r>
          <w:r>
            <w:fldChar w:fldCharType="separate"/>
          </w:r>
          <w:r>
            <w:t>1</w:t>
          </w:r>
          <w:r>
            <w:fldChar w:fldCharType="end"/>
          </w:r>
          <w:r>
            <w:fldChar w:fldCharType="end"/>
          </w:r>
        </w:p>
        <w:p w14:paraId="1D7E2640">
          <w:pPr>
            <w:pStyle w:val="32"/>
            <w:tabs>
              <w:tab w:val="right" w:leader="dot" w:pos="9355"/>
              <w:tab w:val="clear" w:pos="9241"/>
            </w:tabs>
            <w:spacing w:line="240" w:lineRule="auto"/>
          </w:pPr>
          <w:r>
            <w:fldChar w:fldCharType="begin"/>
          </w:r>
          <w:r>
            <w:instrText xml:space="preserve"> HYPERLINK \l _Toc30509 </w:instrText>
          </w:r>
          <w:r>
            <w:fldChar w:fldCharType="separate"/>
          </w:r>
          <w:r>
            <w:rPr>
              <w:rFonts w:hint="eastAsia" w:ascii="黑体" w:hAnsi="Times New Roman" w:eastAsia="黑体"/>
              <w:i w:val="0"/>
              <w:szCs w:val="21"/>
            </w:rPr>
            <w:t xml:space="preserve">2 </w:t>
          </w:r>
          <w:r>
            <w:rPr>
              <w:rFonts w:hint="eastAsia"/>
            </w:rPr>
            <w:t>规范性引用文件</w:t>
          </w:r>
          <w:r>
            <w:tab/>
          </w:r>
          <w:r>
            <w:fldChar w:fldCharType="begin"/>
          </w:r>
          <w:r>
            <w:instrText xml:space="preserve"> PAGEREF _Toc30509 \h </w:instrText>
          </w:r>
          <w:r>
            <w:fldChar w:fldCharType="separate"/>
          </w:r>
          <w:r>
            <w:t>1</w:t>
          </w:r>
          <w:r>
            <w:fldChar w:fldCharType="end"/>
          </w:r>
          <w:r>
            <w:fldChar w:fldCharType="end"/>
          </w:r>
        </w:p>
        <w:p w14:paraId="6F5F8678">
          <w:pPr>
            <w:pStyle w:val="32"/>
            <w:tabs>
              <w:tab w:val="right" w:leader="dot" w:pos="9355"/>
              <w:tab w:val="clear" w:pos="9241"/>
            </w:tabs>
            <w:spacing w:line="240" w:lineRule="auto"/>
          </w:pPr>
          <w:r>
            <w:fldChar w:fldCharType="begin"/>
          </w:r>
          <w:r>
            <w:instrText xml:space="preserve"> HYPERLINK \l _Toc17973 </w:instrText>
          </w:r>
          <w:r>
            <w:fldChar w:fldCharType="separate"/>
          </w:r>
          <w:r>
            <w:rPr>
              <w:rFonts w:hint="eastAsia" w:ascii="黑体" w:hAnsi="Times New Roman" w:eastAsia="黑体"/>
              <w:i w:val="0"/>
              <w:szCs w:val="21"/>
            </w:rPr>
            <w:t xml:space="preserve">3 </w:t>
          </w:r>
          <w:r>
            <w:rPr>
              <w:rFonts w:hint="eastAsia"/>
            </w:rPr>
            <w:t>术语</w:t>
          </w:r>
          <w:r>
            <w:t>和定义</w:t>
          </w:r>
          <w:r>
            <w:tab/>
          </w:r>
          <w:r>
            <w:fldChar w:fldCharType="begin"/>
          </w:r>
          <w:r>
            <w:instrText xml:space="preserve"> PAGEREF _Toc17973 \h </w:instrText>
          </w:r>
          <w:r>
            <w:fldChar w:fldCharType="separate"/>
          </w:r>
          <w:r>
            <w:t>1</w:t>
          </w:r>
          <w:r>
            <w:fldChar w:fldCharType="end"/>
          </w:r>
          <w:r>
            <w:fldChar w:fldCharType="end"/>
          </w:r>
        </w:p>
        <w:p w14:paraId="32FEB9A1">
          <w:pPr>
            <w:pStyle w:val="32"/>
            <w:tabs>
              <w:tab w:val="right" w:leader="dot" w:pos="9355"/>
              <w:tab w:val="clear" w:pos="9241"/>
            </w:tabs>
            <w:spacing w:line="240" w:lineRule="auto"/>
          </w:pPr>
          <w:r>
            <w:fldChar w:fldCharType="begin"/>
          </w:r>
          <w:r>
            <w:instrText xml:space="preserve"> HYPERLINK \l _Toc7202 </w:instrText>
          </w:r>
          <w:r>
            <w:fldChar w:fldCharType="separate"/>
          </w:r>
          <w:r>
            <w:rPr>
              <w:rFonts w:hint="eastAsia" w:ascii="黑体" w:hAnsi="Times New Roman" w:eastAsia="黑体"/>
              <w:i w:val="0"/>
              <w:szCs w:val="21"/>
            </w:rPr>
            <w:t xml:space="preserve">4 </w:t>
          </w:r>
          <w:r>
            <w:rPr>
              <w:rFonts w:hint="eastAsia"/>
            </w:rPr>
            <w:t>监测数据</w:t>
          </w:r>
          <w:r>
            <w:tab/>
          </w:r>
          <w:r>
            <w:fldChar w:fldCharType="begin"/>
          </w:r>
          <w:r>
            <w:instrText xml:space="preserve"> PAGEREF _Toc7202 \h </w:instrText>
          </w:r>
          <w:r>
            <w:fldChar w:fldCharType="separate"/>
          </w:r>
          <w:r>
            <w:t>2</w:t>
          </w:r>
          <w:r>
            <w:fldChar w:fldCharType="end"/>
          </w:r>
          <w:r>
            <w:fldChar w:fldCharType="end"/>
          </w:r>
        </w:p>
        <w:p w14:paraId="41307D96">
          <w:pPr>
            <w:pStyle w:val="32"/>
            <w:tabs>
              <w:tab w:val="right" w:leader="dot" w:pos="9355"/>
              <w:tab w:val="clear" w:pos="9241"/>
            </w:tabs>
            <w:spacing w:line="240" w:lineRule="auto"/>
          </w:pPr>
          <w:r>
            <w:fldChar w:fldCharType="begin"/>
          </w:r>
          <w:r>
            <w:instrText xml:space="preserve"> HYPERLINK \l _Toc31226 </w:instrText>
          </w:r>
          <w:r>
            <w:fldChar w:fldCharType="separate"/>
          </w:r>
          <w:r>
            <w:rPr>
              <w:rFonts w:hint="eastAsia" w:ascii="黑体" w:hAnsi="Times New Roman" w:eastAsia="黑体"/>
              <w:i w:val="0"/>
              <w:szCs w:val="21"/>
            </w:rPr>
            <w:t xml:space="preserve">5 </w:t>
          </w:r>
          <w:r>
            <w:rPr>
              <w:rFonts w:hint="eastAsia"/>
            </w:rPr>
            <w:t>基本要求</w:t>
          </w:r>
          <w:r>
            <w:tab/>
          </w:r>
          <w:r>
            <w:fldChar w:fldCharType="begin"/>
          </w:r>
          <w:r>
            <w:instrText xml:space="preserve"> PAGEREF _Toc31226 \h </w:instrText>
          </w:r>
          <w:r>
            <w:fldChar w:fldCharType="separate"/>
          </w:r>
          <w:r>
            <w:t>3</w:t>
          </w:r>
          <w:r>
            <w:fldChar w:fldCharType="end"/>
          </w:r>
          <w:r>
            <w:fldChar w:fldCharType="end"/>
          </w:r>
        </w:p>
        <w:p w14:paraId="1D2303BF">
          <w:pPr>
            <w:pStyle w:val="32"/>
            <w:tabs>
              <w:tab w:val="right" w:leader="dot" w:pos="9355"/>
              <w:tab w:val="clear" w:pos="9241"/>
            </w:tabs>
            <w:spacing w:line="240" w:lineRule="auto"/>
          </w:pPr>
          <w:r>
            <w:fldChar w:fldCharType="begin"/>
          </w:r>
          <w:r>
            <w:instrText xml:space="preserve"> HYPERLINK \l _Toc1250 </w:instrText>
          </w:r>
          <w:r>
            <w:fldChar w:fldCharType="separate"/>
          </w:r>
          <w:r>
            <w:rPr>
              <w:rFonts w:hint="eastAsia" w:ascii="黑体" w:hAnsi="Times New Roman" w:eastAsia="黑体"/>
              <w:i w:val="0"/>
              <w:szCs w:val="21"/>
            </w:rPr>
            <w:t xml:space="preserve">6 </w:t>
          </w:r>
          <w:r>
            <w:rPr>
              <w:rFonts w:hint="eastAsia"/>
            </w:rPr>
            <w:t>检验方法</w:t>
          </w:r>
          <w:r>
            <w:tab/>
          </w:r>
          <w:r>
            <w:fldChar w:fldCharType="begin"/>
          </w:r>
          <w:r>
            <w:instrText xml:space="preserve"> PAGEREF _Toc1250 \h </w:instrText>
          </w:r>
          <w:r>
            <w:fldChar w:fldCharType="separate"/>
          </w:r>
          <w:r>
            <w:t>3</w:t>
          </w:r>
          <w:r>
            <w:fldChar w:fldCharType="end"/>
          </w:r>
          <w:r>
            <w:fldChar w:fldCharType="end"/>
          </w:r>
        </w:p>
        <w:p w14:paraId="404441BA">
          <w:pPr>
            <w:pStyle w:val="32"/>
            <w:tabs>
              <w:tab w:val="right" w:leader="dot" w:pos="9355"/>
              <w:tab w:val="clear" w:pos="9241"/>
            </w:tabs>
            <w:spacing w:line="240" w:lineRule="auto"/>
          </w:pPr>
          <w:r>
            <w:fldChar w:fldCharType="begin"/>
          </w:r>
          <w:r>
            <w:instrText xml:space="preserve"> HYPERLINK \l _Toc20025 </w:instrText>
          </w:r>
          <w:r>
            <w:fldChar w:fldCharType="separate"/>
          </w:r>
          <w:r>
            <w:rPr>
              <w:rFonts w:hint="eastAsia" w:ascii="黑体" w:hAnsi="Times New Roman" w:eastAsia="黑体"/>
              <w:i w:val="0"/>
              <w:szCs w:val="21"/>
            </w:rPr>
            <w:t xml:space="preserve">7 </w:t>
          </w:r>
          <w:r>
            <w:rPr>
              <w:rFonts w:hint="eastAsia" w:ascii="Times New Roman"/>
            </w:rPr>
            <w:t>检验记录</w:t>
          </w:r>
          <w:r>
            <w:tab/>
          </w:r>
          <w:r>
            <w:fldChar w:fldCharType="begin"/>
          </w:r>
          <w:r>
            <w:instrText xml:space="preserve"> PAGEREF _Toc20025 \h </w:instrText>
          </w:r>
          <w:r>
            <w:fldChar w:fldCharType="separate"/>
          </w:r>
          <w:r>
            <w:t>6</w:t>
          </w:r>
          <w:r>
            <w:fldChar w:fldCharType="end"/>
          </w:r>
          <w:r>
            <w:fldChar w:fldCharType="end"/>
          </w:r>
        </w:p>
        <w:p w14:paraId="099221E5">
          <w:pPr>
            <w:pStyle w:val="23"/>
            <w:tabs>
              <w:tab w:val="right" w:leader="dot" w:pos="9355"/>
              <w:tab w:val="clear" w:pos="9241"/>
            </w:tabs>
            <w:spacing w:line="240" w:lineRule="auto"/>
          </w:pPr>
          <w:r>
            <w:fldChar w:fldCharType="begin"/>
          </w:r>
          <w:r>
            <w:instrText xml:space="preserve"> HYPERLINK \l _Toc25096 </w:instrText>
          </w:r>
          <w:r>
            <w:fldChar w:fldCharType="separate"/>
          </w:r>
          <w:r>
            <w:rPr>
              <w:rFonts w:ascii="Times New Roman"/>
            </w:rPr>
            <w:t>附录</w:t>
          </w:r>
          <w:r>
            <w:rPr>
              <w:rFonts w:hint="default" w:ascii="Times New Roman"/>
              <w:lang w:val="en-US" w:eastAsia="zh-CN"/>
            </w:rPr>
            <w:t>A</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资料性</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温室气体地基遥感数据说明</w:t>
          </w:r>
          <w:r>
            <w:tab/>
          </w:r>
          <w:r>
            <w:fldChar w:fldCharType="begin"/>
          </w:r>
          <w:r>
            <w:instrText xml:space="preserve"> PAGEREF _Toc25096 \h </w:instrText>
          </w:r>
          <w:r>
            <w:fldChar w:fldCharType="separate"/>
          </w:r>
          <w:r>
            <w:t>7</w:t>
          </w:r>
          <w:r>
            <w:fldChar w:fldCharType="end"/>
          </w:r>
          <w:r>
            <w:fldChar w:fldCharType="end"/>
          </w:r>
        </w:p>
        <w:p w14:paraId="683C92A2">
          <w:pPr>
            <w:pStyle w:val="23"/>
            <w:tabs>
              <w:tab w:val="right" w:leader="dot" w:pos="9355"/>
              <w:tab w:val="clear" w:pos="9241"/>
            </w:tabs>
            <w:spacing w:line="240" w:lineRule="auto"/>
          </w:pPr>
          <w:r>
            <w:fldChar w:fldCharType="begin"/>
          </w:r>
          <w:r>
            <w:instrText xml:space="preserve"> HYPERLINK \l _Toc1781 </w:instrText>
          </w:r>
          <w:r>
            <w:fldChar w:fldCharType="separate"/>
          </w:r>
          <w:r>
            <w:rPr>
              <w:rFonts w:ascii="Times New Roman"/>
            </w:rPr>
            <w:t>附录</w:t>
          </w:r>
          <w:r>
            <w:rPr>
              <w:rFonts w:hint="eastAsia" w:ascii="Times New Roman"/>
              <w:lang w:val="en-US" w:eastAsia="zh-CN"/>
            </w:rPr>
            <w:t>B</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资料性</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温室气体柱浓度卫星遥感数据筛选</w:t>
          </w:r>
          <w:r>
            <w:tab/>
          </w:r>
          <w:r>
            <w:fldChar w:fldCharType="begin"/>
          </w:r>
          <w:r>
            <w:instrText xml:space="preserve"> PAGEREF _Toc1781 \h </w:instrText>
          </w:r>
          <w:r>
            <w:fldChar w:fldCharType="separate"/>
          </w:r>
          <w:r>
            <w:t>8</w:t>
          </w:r>
          <w:r>
            <w:fldChar w:fldCharType="end"/>
          </w:r>
          <w:r>
            <w:fldChar w:fldCharType="end"/>
          </w:r>
        </w:p>
        <w:p w14:paraId="3A95EAB5">
          <w:pPr>
            <w:pStyle w:val="23"/>
            <w:tabs>
              <w:tab w:val="right" w:leader="dot" w:pos="9355"/>
              <w:tab w:val="clear" w:pos="9241"/>
            </w:tabs>
            <w:spacing w:line="240" w:lineRule="auto"/>
          </w:pPr>
          <w:r>
            <w:fldChar w:fldCharType="begin"/>
          </w:r>
          <w:r>
            <w:instrText xml:space="preserve"> HYPERLINK \l _Toc4301 </w:instrText>
          </w:r>
          <w:r>
            <w:fldChar w:fldCharType="separate"/>
          </w:r>
          <w:r>
            <w:rPr>
              <w:rFonts w:ascii="Times New Roman"/>
            </w:rPr>
            <w:t>附录</w:t>
          </w:r>
          <w:r>
            <w:rPr>
              <w:rFonts w:hint="eastAsia" w:ascii="Times New Roman"/>
            </w:rPr>
            <w:t>C</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资料性</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准确度评价指标及计算方法</w:t>
          </w:r>
          <w:r>
            <w:tab/>
          </w:r>
          <w:r>
            <w:fldChar w:fldCharType="begin"/>
          </w:r>
          <w:r>
            <w:instrText xml:space="preserve"> PAGEREF _Toc4301 \h </w:instrText>
          </w:r>
          <w:r>
            <w:fldChar w:fldCharType="separate"/>
          </w:r>
          <w:r>
            <w:t>9</w:t>
          </w:r>
          <w:r>
            <w:fldChar w:fldCharType="end"/>
          </w:r>
          <w:r>
            <w:fldChar w:fldCharType="end"/>
          </w:r>
        </w:p>
        <w:p w14:paraId="7D32DDB3">
          <w:pPr>
            <w:pStyle w:val="23"/>
            <w:tabs>
              <w:tab w:val="right" w:leader="dot" w:pos="9355"/>
              <w:tab w:val="clear" w:pos="9241"/>
            </w:tabs>
            <w:spacing w:line="240" w:lineRule="auto"/>
          </w:pPr>
          <w:r>
            <w:fldChar w:fldCharType="begin"/>
          </w:r>
          <w:r>
            <w:instrText xml:space="preserve"> HYPERLINK \l _Toc31829 </w:instrText>
          </w:r>
          <w:r>
            <w:fldChar w:fldCharType="separate"/>
          </w:r>
          <w:r>
            <w:rPr>
              <w:rFonts w:ascii="Times New Roman"/>
            </w:rPr>
            <w:t>附录</w:t>
          </w:r>
          <w:r>
            <w:rPr>
              <w:rFonts w:hint="eastAsia" w:ascii="Times New Roman"/>
            </w:rPr>
            <w:t>D</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资料性</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不确定度评价指标及计算方法</w:t>
          </w:r>
          <w:r>
            <w:tab/>
          </w:r>
          <w:r>
            <w:fldChar w:fldCharType="begin"/>
          </w:r>
          <w:r>
            <w:instrText xml:space="preserve"> PAGEREF _Toc31829 \h </w:instrText>
          </w:r>
          <w:r>
            <w:fldChar w:fldCharType="separate"/>
          </w:r>
          <w:r>
            <w:t>11</w:t>
          </w:r>
          <w:r>
            <w:fldChar w:fldCharType="end"/>
          </w:r>
          <w:r>
            <w:fldChar w:fldCharType="end"/>
          </w:r>
        </w:p>
        <w:p w14:paraId="4B79BE2D">
          <w:pPr>
            <w:pStyle w:val="23"/>
            <w:tabs>
              <w:tab w:val="right" w:leader="dot" w:pos="9355"/>
              <w:tab w:val="clear" w:pos="9241"/>
            </w:tabs>
            <w:spacing w:line="240" w:lineRule="auto"/>
          </w:pPr>
          <w:r>
            <w:fldChar w:fldCharType="begin"/>
          </w:r>
          <w:r>
            <w:instrText xml:space="preserve"> HYPERLINK \l _Toc4085 </w:instrText>
          </w:r>
          <w:r>
            <w:fldChar w:fldCharType="separate"/>
          </w:r>
          <w:r>
            <w:rPr>
              <w:rFonts w:ascii="Times New Roman"/>
            </w:rPr>
            <w:t>附录</w:t>
          </w:r>
          <w:r>
            <w:rPr>
              <w:rFonts w:hint="eastAsia" w:ascii="Times New Roman"/>
            </w:rPr>
            <w:t>E</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资料性</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温室气体卫星遥感准确性检验记录样例</w:t>
          </w:r>
          <w:r>
            <w:tab/>
          </w:r>
          <w:r>
            <w:fldChar w:fldCharType="begin"/>
          </w:r>
          <w:r>
            <w:instrText xml:space="preserve"> PAGEREF _Toc4085 \h </w:instrText>
          </w:r>
          <w:r>
            <w:fldChar w:fldCharType="separate"/>
          </w:r>
          <w:r>
            <w:t>12</w:t>
          </w:r>
          <w:r>
            <w:fldChar w:fldCharType="end"/>
          </w:r>
          <w:r>
            <w:fldChar w:fldCharType="end"/>
          </w:r>
        </w:p>
        <w:p w14:paraId="47591A9A">
          <w:pPr>
            <w:pStyle w:val="23"/>
            <w:tabs>
              <w:tab w:val="right" w:leader="dot" w:pos="9355"/>
              <w:tab w:val="clear" w:pos="9241"/>
            </w:tabs>
            <w:spacing w:line="240" w:lineRule="auto"/>
          </w:pPr>
          <w:r>
            <w:fldChar w:fldCharType="begin"/>
          </w:r>
          <w:r>
            <w:instrText xml:space="preserve"> HYPERLINK \l _Toc7852 </w:instrText>
          </w:r>
          <w:r>
            <w:fldChar w:fldCharType="separate"/>
          </w:r>
          <w:r>
            <w:rPr>
              <w:rFonts w:hint="eastAsia"/>
            </w:rPr>
            <w:t>参考文献</w:t>
          </w:r>
          <w:r>
            <w:tab/>
          </w:r>
          <w:r>
            <w:fldChar w:fldCharType="begin"/>
          </w:r>
          <w:r>
            <w:instrText xml:space="preserve"> PAGEREF _Toc7852 \h </w:instrText>
          </w:r>
          <w:r>
            <w:fldChar w:fldCharType="separate"/>
          </w:r>
          <w:r>
            <w:t>13</w:t>
          </w:r>
          <w:r>
            <w:fldChar w:fldCharType="end"/>
          </w:r>
          <w:r>
            <w:fldChar w:fldCharType="end"/>
          </w:r>
        </w:p>
        <w:p w14:paraId="248580AB">
          <w:pPr>
            <w:spacing w:after="0" w:line="279" w:lineRule="auto"/>
          </w:pPr>
          <w:r>
            <w:fldChar w:fldCharType="end"/>
          </w:r>
        </w:p>
      </w:sdtContent>
    </w:sdt>
    <w:p w14:paraId="30A5D8B1">
      <w:pPr>
        <w:pStyle w:val="27"/>
      </w:pPr>
    </w:p>
    <w:p w14:paraId="38C637DC">
      <w:pPr>
        <w:pStyle w:val="27"/>
      </w:pPr>
    </w:p>
    <w:p w14:paraId="0CEB2A30">
      <w:pPr>
        <w:pStyle w:val="23"/>
        <w:tabs>
          <w:tab w:val="right" w:leader="dot" w:pos="9355"/>
          <w:tab w:val="clear" w:pos="9241"/>
        </w:tabs>
        <w:spacing w:beforeLines="0" w:after="0" w:afterLines="0" w:line="279" w:lineRule="auto"/>
        <w:rPr>
          <w:rFonts w:hint="eastAsia" w:asciiTheme="minorEastAsia" w:hAnsiTheme="minorEastAsia" w:eastAsiaTheme="minorEastAsia" w:cstheme="minorEastAsia"/>
        </w:rPr>
      </w:pPr>
    </w:p>
    <w:p w14:paraId="7342493D">
      <w:pPr>
        <w:pStyle w:val="27"/>
      </w:pPr>
    </w:p>
    <w:p w14:paraId="6576DD75">
      <w:pPr>
        <w:pStyle w:val="117"/>
        <w:tabs>
          <w:tab w:val="left" w:pos="1105"/>
          <w:tab w:val="center" w:pos="4677"/>
        </w:tabs>
        <w:jc w:val="left"/>
      </w:pPr>
      <w:bookmarkStart w:id="19" w:name="_Toc17878125"/>
      <w:r>
        <w:tab/>
      </w:r>
      <w:r>
        <w:tab/>
      </w:r>
      <w:bookmarkStart w:id="20" w:name="_Toc82446805"/>
      <w:bookmarkStart w:id="21" w:name="_Toc178171699"/>
      <w:bookmarkStart w:id="22" w:name="_Toc15868"/>
      <w:bookmarkStart w:id="23" w:name="_Toc82446710"/>
      <w:bookmarkStart w:id="24" w:name="_Toc11388"/>
      <w:bookmarkStart w:id="25" w:name="_Toc7661"/>
      <w:bookmarkStart w:id="26" w:name="_Toc6198"/>
      <w:bookmarkStart w:id="27" w:name="_Toc2225"/>
      <w:r>
        <w:rPr>
          <w:rFonts w:hint="eastAsia"/>
        </w:rPr>
        <w:t>前</w:t>
      </w:r>
      <w:bookmarkStart w:id="28" w:name="BKQY"/>
      <w:r>
        <w:rPr>
          <w:rFonts w:hAnsi="黑体"/>
        </w:rPr>
        <w:t>  </w:t>
      </w:r>
      <w:r>
        <w:rPr>
          <w:rFonts w:hint="eastAsia"/>
        </w:rPr>
        <w:t>言</w:t>
      </w:r>
      <w:bookmarkEnd w:id="19"/>
      <w:bookmarkEnd w:id="20"/>
      <w:bookmarkEnd w:id="21"/>
      <w:bookmarkEnd w:id="22"/>
      <w:bookmarkEnd w:id="23"/>
      <w:bookmarkEnd w:id="24"/>
      <w:bookmarkEnd w:id="25"/>
      <w:bookmarkEnd w:id="26"/>
      <w:bookmarkEnd w:id="27"/>
      <w:bookmarkEnd w:id="28"/>
    </w:p>
    <w:p w14:paraId="1C1AC592">
      <w:pPr>
        <w:pStyle w:val="27"/>
        <w:spacing w:after="0" w:line="240" w:lineRule="auto"/>
        <w:rPr>
          <w:rFonts w:ascii="Times New Roman"/>
        </w:rPr>
      </w:pPr>
      <w:r>
        <w:rPr>
          <w:rFonts w:ascii="Times New Roman"/>
        </w:rPr>
        <w:t>本文件按照GB/T 1.1—2020《标准化工作导则 第1部分：标准化文件的结构和起草规则》的规定起草。</w:t>
      </w:r>
    </w:p>
    <w:p w14:paraId="4A1A3360">
      <w:pPr>
        <w:pStyle w:val="27"/>
        <w:spacing w:after="0" w:line="240" w:lineRule="auto"/>
        <w:rPr>
          <w:rFonts w:ascii="Times New Roman"/>
        </w:rPr>
      </w:pPr>
      <w:r>
        <w:rPr>
          <w:rFonts w:ascii="Times New Roman"/>
        </w:rPr>
        <w:t>本文件由北京市生态环境局提出并归口。</w:t>
      </w:r>
    </w:p>
    <w:p w14:paraId="6A31D2B3">
      <w:pPr>
        <w:pStyle w:val="27"/>
        <w:spacing w:after="0" w:line="240" w:lineRule="auto"/>
        <w:rPr>
          <w:rFonts w:ascii="Times New Roman"/>
        </w:rPr>
      </w:pPr>
      <w:r>
        <w:rPr>
          <w:rFonts w:ascii="Times New Roman"/>
        </w:rPr>
        <w:t>本文件由北京市生态环境局组织实施。</w:t>
      </w:r>
    </w:p>
    <w:p w14:paraId="146CFB4A">
      <w:pPr>
        <w:pStyle w:val="27"/>
        <w:spacing w:after="0" w:line="240" w:lineRule="auto"/>
        <w:rPr>
          <w:rFonts w:ascii="Times New Roman"/>
        </w:rPr>
      </w:pPr>
      <w:r>
        <w:rPr>
          <w:rFonts w:ascii="Times New Roman"/>
        </w:rPr>
        <w:t>本文件起草单位：北京市生态环境监测中心</w:t>
      </w:r>
      <w:r>
        <w:rPr>
          <w:rFonts w:hint="eastAsia" w:ascii="Times New Roman"/>
        </w:rPr>
        <w:t>、</w:t>
      </w:r>
      <w:bookmarkStart w:id="29" w:name="OLE_LINK12"/>
      <w:r>
        <w:rPr>
          <w:rFonts w:hint="eastAsia" w:ascii="Times New Roman"/>
        </w:rPr>
        <w:t>中国科学院空天信息创新研究院</w:t>
      </w:r>
      <w:bookmarkEnd w:id="29"/>
      <w:r>
        <w:rPr>
          <w:rFonts w:hint="eastAsia" w:ascii="Times New Roman"/>
        </w:rPr>
        <w:t>。</w:t>
      </w:r>
    </w:p>
    <w:p w14:paraId="33F10CB1">
      <w:pPr>
        <w:pStyle w:val="27"/>
        <w:spacing w:after="0" w:line="240" w:lineRule="auto"/>
        <w:rPr>
          <w:rFonts w:hint="default" w:eastAsia="宋体"/>
          <w:lang w:val="en-US" w:eastAsia="zh-CN"/>
        </w:rPr>
        <w:sectPr>
          <w:headerReference r:id="rId7" w:type="default"/>
          <w:footerReference r:id="rId8" w:type="default"/>
          <w:pgSz w:w="11906" w:h="16838"/>
          <w:pgMar w:top="567" w:right="1134" w:bottom="1134" w:left="1417" w:header="1418" w:footer="1134" w:gutter="0"/>
          <w:pgNumType w:fmt="upperRoman" w:start="1"/>
          <w:cols w:space="425" w:num="1"/>
          <w:formProt w:val="0"/>
          <w:docGrid w:type="lines" w:linePitch="312" w:charSpace="0"/>
        </w:sectPr>
      </w:pPr>
      <w:r>
        <w:rPr>
          <w:rFonts w:ascii="Times New Roman"/>
        </w:rPr>
        <w:t>本文件主要起草人：</w:t>
      </w:r>
      <w:r>
        <w:rPr>
          <w:rFonts w:hint="eastAsia" w:ascii="Times New Roman"/>
          <w:lang w:val="en-US" w:eastAsia="zh-CN"/>
        </w:rPr>
        <w:t>郇宁、王新辉、冯鹏、邹本东、刘嘉林、沈秀娥、李莘莘、赵文慧、李令军、王铮、白鑫、胡晴、徐新宇、王馨乐、徐淼。</w:t>
      </w:r>
    </w:p>
    <w:p w14:paraId="4180AEBA">
      <w:pPr>
        <w:pStyle w:val="142"/>
      </w:pPr>
      <w:bookmarkStart w:id="30" w:name="_Toc19257"/>
      <w:bookmarkStart w:id="31" w:name="_Toc178171700"/>
      <w:bookmarkStart w:id="32" w:name="_Toc22424"/>
      <w:bookmarkStart w:id="33" w:name="_Toc82446849"/>
      <w:bookmarkStart w:id="34" w:name="_Toc82446807"/>
      <w:bookmarkStart w:id="35" w:name="_Toc4923"/>
      <w:bookmarkStart w:id="36" w:name="_Toc18453"/>
      <w:bookmarkStart w:id="37" w:name="_Toc83210744"/>
      <w:bookmarkStart w:id="38" w:name="_Toc82446712"/>
      <w:bookmarkStart w:id="39" w:name="_Toc18231"/>
      <w:sdt>
        <w:sdtPr>
          <w:rPr>
            <w:rFonts w:hint="eastAsia"/>
          </w:rPr>
          <w:alias w:val="标准名称"/>
          <w:tag w:val="标准名称"/>
          <w:id w:val="1795105741"/>
          <w:lock w:val="sdtLocked"/>
          <w:text w:multiLine="1"/>
        </w:sdtPr>
        <w:sdtEndPr>
          <w:rPr>
            <w:rFonts w:hint="eastAsia"/>
          </w:rPr>
        </w:sdtEndPr>
        <w:sdtContent>
          <w:r>
            <w:rPr>
              <w:rFonts w:hint="eastAsia"/>
            </w:rPr>
            <w:t>温室气体</w:t>
          </w:r>
          <w:r>
            <w:rPr>
              <w:rFonts w:ascii="Times New Roman"/>
            </w:rPr>
            <w:t>（CO</w:t>
          </w:r>
          <w:r>
            <w:rPr>
              <w:rFonts w:ascii="Times New Roman"/>
              <w:vertAlign w:val="subscript"/>
            </w:rPr>
            <w:t>2</w:t>
          </w:r>
          <w:r>
            <w:rPr>
              <w:rFonts w:ascii="Times New Roman"/>
            </w:rPr>
            <w:t>、CH</w:t>
          </w:r>
          <w:r>
            <w:rPr>
              <w:rFonts w:ascii="Times New Roman"/>
              <w:vertAlign w:val="subscript"/>
            </w:rPr>
            <w:t>4</w:t>
          </w:r>
          <w:r>
            <w:rPr>
              <w:rFonts w:ascii="Times New Roman"/>
            </w:rPr>
            <w:t>）</w:t>
          </w:r>
          <w:r>
            <w:rPr>
              <w:rFonts w:hint="eastAsia"/>
            </w:rPr>
            <w:t>卫星遥感监测数据准确性检验技术规范</w:t>
          </w:r>
        </w:sdtContent>
      </w:sdt>
      <w:bookmarkEnd w:id="30"/>
      <w:bookmarkEnd w:id="31"/>
      <w:bookmarkEnd w:id="32"/>
      <w:bookmarkEnd w:id="33"/>
      <w:bookmarkEnd w:id="34"/>
      <w:bookmarkEnd w:id="35"/>
      <w:bookmarkEnd w:id="36"/>
      <w:bookmarkEnd w:id="37"/>
      <w:bookmarkEnd w:id="38"/>
      <w:bookmarkEnd w:id="39"/>
      <w:bookmarkStart w:id="40" w:name="StandardName"/>
      <w:bookmarkEnd w:id="40"/>
    </w:p>
    <w:p w14:paraId="00BBF9E7">
      <w:pPr>
        <w:pStyle w:val="50"/>
        <w:spacing w:before="312" w:after="312" w:line="240" w:lineRule="auto"/>
      </w:pPr>
      <w:bookmarkStart w:id="41" w:name="_Toc178171701"/>
      <w:bookmarkStart w:id="42" w:name="_Toc82446808"/>
      <w:bookmarkStart w:id="43" w:name="_Toc13322"/>
      <w:bookmarkStart w:id="44" w:name="_Toc4253"/>
      <w:bookmarkStart w:id="45" w:name="_Toc30382"/>
      <w:bookmarkStart w:id="46" w:name="_Toc17878127"/>
      <w:bookmarkStart w:id="47" w:name="_Toc14880"/>
      <w:bookmarkStart w:id="48" w:name="_Toc6719"/>
      <w:bookmarkStart w:id="49" w:name="_Toc82446713"/>
      <w:r>
        <w:rPr>
          <w:rFonts w:hint="eastAsia"/>
        </w:rPr>
        <w:t>范围</w:t>
      </w:r>
      <w:bookmarkEnd w:id="41"/>
      <w:bookmarkEnd w:id="42"/>
      <w:bookmarkEnd w:id="43"/>
      <w:bookmarkEnd w:id="44"/>
      <w:bookmarkEnd w:id="45"/>
      <w:bookmarkEnd w:id="46"/>
      <w:bookmarkEnd w:id="47"/>
      <w:bookmarkEnd w:id="48"/>
      <w:bookmarkEnd w:id="49"/>
    </w:p>
    <w:p w14:paraId="466ECEB6">
      <w:pPr>
        <w:pStyle w:val="27"/>
        <w:spacing w:after="0" w:line="240" w:lineRule="auto"/>
        <w:rPr>
          <w:rFonts w:ascii="Times New Roman"/>
        </w:rPr>
      </w:pPr>
      <w:r>
        <w:rPr>
          <w:rFonts w:ascii="Times New Roman"/>
        </w:rPr>
        <w:t>本文件规定了温室气体</w:t>
      </w:r>
      <w:bookmarkStart w:id="50" w:name="OLE_LINK21"/>
      <w:r>
        <w:rPr>
          <w:rFonts w:ascii="Times New Roman"/>
        </w:rPr>
        <w:t>二氧化碳（CO</w:t>
      </w:r>
      <w:r>
        <w:rPr>
          <w:rFonts w:ascii="Times New Roman"/>
          <w:vertAlign w:val="subscript"/>
        </w:rPr>
        <w:t>2</w:t>
      </w:r>
      <w:r>
        <w:rPr>
          <w:rFonts w:ascii="Times New Roman"/>
        </w:rPr>
        <w:t>）和甲烷（CH</w:t>
      </w:r>
      <w:r>
        <w:rPr>
          <w:rFonts w:ascii="Times New Roman"/>
          <w:vertAlign w:val="subscript"/>
        </w:rPr>
        <w:t>4</w:t>
      </w:r>
      <w:r>
        <w:rPr>
          <w:rFonts w:ascii="Times New Roman"/>
        </w:rPr>
        <w:t>）</w:t>
      </w:r>
      <w:bookmarkEnd w:id="50"/>
      <w:r>
        <w:rPr>
          <w:rFonts w:ascii="Times New Roman"/>
        </w:rPr>
        <w:t>柱浓度卫星遥感监测主要数据</w:t>
      </w:r>
      <w:r>
        <w:rPr>
          <w:rFonts w:hint="eastAsia" w:ascii="Times New Roman"/>
        </w:rPr>
        <w:t>类型及处理、</w:t>
      </w:r>
      <w:r>
        <w:rPr>
          <w:rFonts w:ascii="Times New Roman"/>
        </w:rPr>
        <w:t>准确性检验方法</w:t>
      </w:r>
      <w:r>
        <w:rPr>
          <w:rFonts w:hint="eastAsia" w:ascii="Times New Roman"/>
          <w:highlight w:val="none"/>
        </w:rPr>
        <w:t>及检验</w:t>
      </w:r>
      <w:r>
        <w:rPr>
          <w:rFonts w:hint="eastAsia" w:ascii="Times New Roman"/>
          <w:highlight w:val="none"/>
          <w:lang w:val="en-US" w:eastAsia="zh-CN"/>
        </w:rPr>
        <w:t>记录</w:t>
      </w:r>
      <w:r>
        <w:rPr>
          <w:rFonts w:hint="eastAsia" w:ascii="Times New Roman"/>
          <w:highlight w:val="none"/>
        </w:rPr>
        <w:t>要</w:t>
      </w:r>
      <w:r>
        <w:rPr>
          <w:rFonts w:hint="eastAsia" w:ascii="Times New Roman"/>
        </w:rPr>
        <w:t>求</w:t>
      </w:r>
      <w:r>
        <w:rPr>
          <w:rFonts w:hint="eastAsia" w:ascii="Times New Roman"/>
          <w:lang w:val="en-US" w:eastAsia="zh-CN"/>
        </w:rPr>
        <w:t>等</w:t>
      </w:r>
      <w:r>
        <w:rPr>
          <w:rFonts w:ascii="Times New Roman"/>
        </w:rPr>
        <w:t>。</w:t>
      </w:r>
    </w:p>
    <w:p w14:paraId="23FCF403">
      <w:pPr>
        <w:pStyle w:val="27"/>
        <w:spacing w:after="0" w:line="240" w:lineRule="auto"/>
        <w:rPr>
          <w:rFonts w:ascii="Times New Roman"/>
        </w:rPr>
      </w:pPr>
      <w:r>
        <w:rPr>
          <w:rFonts w:ascii="Times New Roman"/>
        </w:rPr>
        <w:t>本文件适用于温室气体二氧化碳（CO</w:t>
      </w:r>
      <w:r>
        <w:rPr>
          <w:rFonts w:ascii="Times New Roman"/>
          <w:vertAlign w:val="subscript"/>
        </w:rPr>
        <w:t>2</w:t>
      </w:r>
      <w:r>
        <w:rPr>
          <w:rFonts w:ascii="Times New Roman"/>
        </w:rPr>
        <w:t>）和甲烷（CH</w:t>
      </w:r>
      <w:r>
        <w:rPr>
          <w:rFonts w:ascii="Times New Roman"/>
          <w:vertAlign w:val="subscript"/>
        </w:rPr>
        <w:t>4</w:t>
      </w:r>
      <w:r>
        <w:rPr>
          <w:rFonts w:ascii="Times New Roman"/>
        </w:rPr>
        <w:t>）柱浓度卫星遥感反演及基于遥感反演结果进行</w:t>
      </w:r>
      <w:r>
        <w:rPr>
          <w:rFonts w:hint="eastAsia" w:ascii="Times New Roman"/>
        </w:rPr>
        <w:t>城市级小空间尺度</w:t>
      </w:r>
      <w:r>
        <w:rPr>
          <w:rFonts w:ascii="Times New Roman"/>
        </w:rPr>
        <w:t>数据补全后所得数据产品的准确性检验。</w:t>
      </w:r>
    </w:p>
    <w:p w14:paraId="3A29D881">
      <w:pPr>
        <w:pStyle w:val="50"/>
        <w:spacing w:before="312" w:after="312" w:line="240" w:lineRule="auto"/>
      </w:pPr>
      <w:bookmarkStart w:id="51" w:name="_Toc25895"/>
      <w:bookmarkStart w:id="52" w:name="_Toc30509"/>
      <w:bookmarkStart w:id="53" w:name="_Toc28189"/>
      <w:bookmarkStart w:id="54" w:name="_Toc178171702"/>
      <w:bookmarkStart w:id="55" w:name="_Toc17878128"/>
      <w:bookmarkStart w:id="56" w:name="_Toc5400"/>
      <w:bookmarkStart w:id="57" w:name="_Toc82446714"/>
      <w:bookmarkStart w:id="58" w:name="_Toc82446809"/>
      <w:bookmarkStart w:id="59" w:name="_Toc10055"/>
      <w:r>
        <w:rPr>
          <w:rFonts w:hint="eastAsia"/>
        </w:rPr>
        <w:t>规范性引用文件</w:t>
      </w:r>
      <w:bookmarkEnd w:id="51"/>
      <w:bookmarkEnd w:id="52"/>
      <w:bookmarkEnd w:id="53"/>
      <w:bookmarkEnd w:id="54"/>
      <w:bookmarkEnd w:id="55"/>
      <w:bookmarkEnd w:id="56"/>
      <w:bookmarkEnd w:id="57"/>
      <w:bookmarkEnd w:id="58"/>
      <w:bookmarkEnd w:id="59"/>
    </w:p>
    <w:p w14:paraId="7263964A">
      <w:pPr>
        <w:pStyle w:val="27"/>
        <w:spacing w:after="0" w:line="240" w:lineRule="auto"/>
      </w:pPr>
      <w:r>
        <w:rPr>
          <w:rFonts w:hint="eastAsia"/>
        </w:rPr>
        <w:t>下列</w:t>
      </w:r>
      <w:r>
        <w:t>文件中的内容通过文中的规范性引用而构成本文件必不可少的条款。其中</w:t>
      </w:r>
      <w:r>
        <w:rPr>
          <w:rFonts w:hint="eastAsia"/>
        </w:rPr>
        <w:t>，</w:t>
      </w:r>
      <w:r>
        <w:t>注日期的引用文件，仅该日期对应的版本适用于本文件；不注日期的引用文件，</w:t>
      </w:r>
      <w:r>
        <w:rPr>
          <w:rFonts w:hint="eastAsia"/>
        </w:rPr>
        <w:t>其</w:t>
      </w:r>
      <w:r>
        <w:t>最新版本（</w:t>
      </w:r>
      <w:r>
        <w:rPr>
          <w:rFonts w:hint="eastAsia"/>
        </w:rPr>
        <w:t>包括</w:t>
      </w:r>
      <w:r>
        <w:t>所有的修改</w:t>
      </w:r>
      <w:r>
        <w:rPr>
          <w:rFonts w:hint="eastAsia"/>
        </w:rPr>
        <w:t>单</w:t>
      </w:r>
      <w:r>
        <w:t>）</w:t>
      </w:r>
      <w:r>
        <w:rPr>
          <w:rFonts w:hint="eastAsia"/>
        </w:rPr>
        <w:t>适用于</w:t>
      </w:r>
      <w:r>
        <w:t>本文件。</w:t>
      </w:r>
    </w:p>
    <w:p w14:paraId="05F0BD12">
      <w:pPr>
        <w:pStyle w:val="27"/>
        <w:tabs>
          <w:tab w:val="left" w:leader="dot" w:pos="2520"/>
          <w:tab w:val="clear" w:pos="4201"/>
          <w:tab w:val="clear" w:pos="9298"/>
        </w:tabs>
        <w:autoSpaceDE/>
        <w:autoSpaceDN/>
        <w:spacing w:after="0" w:line="240" w:lineRule="auto"/>
        <w:jc w:val="left"/>
        <w:rPr>
          <w:rFonts w:hint="eastAsia" w:ascii="Times New Roman"/>
        </w:rPr>
      </w:pPr>
      <w:r>
        <w:rPr>
          <w:rFonts w:ascii="Times New Roman"/>
        </w:rPr>
        <w:t>GB/T</w:t>
      </w:r>
      <w:r>
        <w:rPr>
          <w:rFonts w:hint="eastAsia" w:ascii="Times New Roman"/>
        </w:rPr>
        <w:t xml:space="preserve"> 6379.</w:t>
      </w:r>
      <w:r>
        <w:rPr>
          <w:rFonts w:hint="eastAsia" w:ascii="Times New Roman"/>
          <w:lang w:val="en-US" w:eastAsia="zh-CN"/>
        </w:rPr>
        <w:t>1</w:t>
      </w:r>
      <w:r>
        <w:rPr>
          <w:rFonts w:hint="eastAsia" w:ascii="Times New Roman"/>
          <w:color w:val="FFFFFF" w:themeColor="background1"/>
          <w:lang w:val="en-US" w:eastAsia="zh-CN"/>
          <w14:textFill>
            <w14:solidFill>
              <w14:schemeClr w14:val="bg1"/>
            </w14:solidFill>
          </w14:textFill>
        </w:rPr>
        <w:tab/>
      </w:r>
      <w:r>
        <w:rPr>
          <w:rFonts w:hint="eastAsia" w:ascii="Times New Roman"/>
        </w:rPr>
        <w:t>测量方法与结果的准确度</w:t>
      </w:r>
      <w:r>
        <w:rPr>
          <w:rFonts w:hint="eastAsia" w:ascii="Times New Roman"/>
          <w:lang w:eastAsia="zh-CN"/>
        </w:rPr>
        <w:t>（</w:t>
      </w:r>
      <w:r>
        <w:rPr>
          <w:rFonts w:hint="eastAsia" w:ascii="Times New Roman"/>
        </w:rPr>
        <w:t>正确度与精密度</w:t>
      </w:r>
      <w:r>
        <w:rPr>
          <w:rFonts w:hint="eastAsia" w:ascii="Times New Roman"/>
          <w:lang w:eastAsia="zh-CN"/>
        </w:rPr>
        <w:t>）</w:t>
      </w:r>
      <w:r>
        <w:rPr>
          <w:rFonts w:hint="eastAsia" w:ascii="Times New Roman"/>
          <w:lang w:val="en-US" w:eastAsia="zh-CN"/>
        </w:rPr>
        <w:t xml:space="preserve"> </w:t>
      </w:r>
      <w:r>
        <w:rPr>
          <w:rFonts w:hint="eastAsia" w:ascii="Times New Roman"/>
        </w:rPr>
        <w:t>第1部分:总则与定义</w:t>
      </w:r>
    </w:p>
    <w:p w14:paraId="71899562">
      <w:pPr>
        <w:pStyle w:val="27"/>
        <w:tabs>
          <w:tab w:val="left" w:pos="2520"/>
          <w:tab w:val="clear" w:pos="4201"/>
        </w:tabs>
        <w:autoSpaceDE/>
        <w:autoSpaceDN/>
        <w:spacing w:after="0" w:line="240" w:lineRule="auto"/>
        <w:jc w:val="left"/>
        <w:rPr>
          <w:rFonts w:ascii="Times New Roman"/>
        </w:rPr>
      </w:pPr>
      <w:r>
        <w:rPr>
          <w:rFonts w:hint="eastAsia" w:ascii="Times New Roman"/>
        </w:rPr>
        <w:t>GB/T 36296</w:t>
      </w:r>
      <w:r>
        <w:rPr>
          <w:rFonts w:hint="eastAsia" w:ascii="Times New Roman"/>
          <w:lang w:val="en-US" w:eastAsia="zh-CN"/>
        </w:rPr>
        <w:tab/>
      </w:r>
      <w:r>
        <w:rPr>
          <w:rFonts w:hint="eastAsia" w:ascii="Times New Roman"/>
        </w:rPr>
        <w:t>遥感产品真实性检验导则</w:t>
      </w:r>
    </w:p>
    <w:p w14:paraId="4634BE39">
      <w:pPr>
        <w:pStyle w:val="27"/>
        <w:tabs>
          <w:tab w:val="left" w:pos="2520"/>
          <w:tab w:val="clear" w:pos="4201"/>
        </w:tabs>
        <w:autoSpaceDE/>
        <w:autoSpaceDN/>
        <w:spacing w:after="0" w:line="240" w:lineRule="auto"/>
        <w:jc w:val="left"/>
        <w:rPr>
          <w:rFonts w:hint="eastAsia" w:ascii="Times New Roman"/>
        </w:rPr>
      </w:pPr>
      <w:r>
        <w:rPr>
          <w:rFonts w:hint="eastAsia" w:ascii="Times New Roman"/>
        </w:rPr>
        <w:t>QX/T 125</w:t>
      </w:r>
      <w:r>
        <w:rPr>
          <w:rFonts w:hint="eastAsia" w:ascii="Times New Roman"/>
          <w:lang w:val="en-US" w:eastAsia="zh-CN"/>
        </w:rPr>
        <w:tab/>
      </w:r>
      <w:r>
        <w:rPr>
          <w:rFonts w:hint="eastAsia" w:ascii="Times New Roman"/>
        </w:rPr>
        <w:t>温室气体本底观测术语</w:t>
      </w:r>
    </w:p>
    <w:p w14:paraId="6EF2DF9A">
      <w:pPr>
        <w:pStyle w:val="50"/>
        <w:spacing w:before="312" w:after="312" w:line="240" w:lineRule="auto"/>
      </w:pPr>
      <w:bookmarkStart w:id="60" w:name="_Toc17878129"/>
      <w:bookmarkEnd w:id="60"/>
      <w:bookmarkStart w:id="61" w:name="_Toc26379"/>
      <w:bookmarkStart w:id="62" w:name="_Toc19462"/>
      <w:bookmarkStart w:id="63" w:name="_Toc82446810"/>
      <w:bookmarkStart w:id="64" w:name="_Toc178171703"/>
      <w:bookmarkStart w:id="65" w:name="_Toc12287"/>
      <w:bookmarkStart w:id="66" w:name="_Toc8349"/>
      <w:bookmarkStart w:id="67" w:name="_Toc82446715"/>
      <w:bookmarkStart w:id="68" w:name="_Toc17973"/>
      <w:r>
        <w:rPr>
          <w:rFonts w:hint="eastAsia"/>
        </w:rPr>
        <w:t>术语</w:t>
      </w:r>
      <w:r>
        <w:t>和定义</w:t>
      </w:r>
      <w:bookmarkEnd w:id="61"/>
      <w:bookmarkEnd w:id="62"/>
      <w:bookmarkEnd w:id="63"/>
      <w:bookmarkEnd w:id="64"/>
      <w:bookmarkEnd w:id="65"/>
      <w:bookmarkEnd w:id="66"/>
      <w:bookmarkEnd w:id="67"/>
      <w:bookmarkEnd w:id="68"/>
    </w:p>
    <w:p w14:paraId="7678F760">
      <w:pPr>
        <w:pStyle w:val="27"/>
        <w:autoSpaceDE/>
        <w:autoSpaceDN/>
        <w:spacing w:before="157" w:beforeLines="50" w:after="157" w:afterLines="50" w:line="240" w:lineRule="auto"/>
        <w:ind w:left="420" w:hanging="420" w:hangingChars="200"/>
        <w:rPr>
          <w:rFonts w:ascii="Times New Roman" w:eastAsia="黑体"/>
          <w:szCs w:val="21"/>
        </w:rPr>
      </w:pPr>
      <w:bookmarkStart w:id="69" w:name="_Toc177935557"/>
      <w:bookmarkStart w:id="70" w:name="_Toc178171704"/>
      <w:bookmarkStart w:id="71" w:name="_Toc7224"/>
      <w:bookmarkStart w:id="72" w:name="_Toc82446718"/>
      <w:bookmarkStart w:id="73" w:name="_Toc82446811"/>
      <w:bookmarkStart w:id="74" w:name="_Toc82446716"/>
      <w:bookmarkStart w:id="75" w:name="_Toc82446812"/>
      <w:bookmarkStart w:id="76" w:name="_Toc82446853"/>
      <w:bookmarkStart w:id="77" w:name="_Toc82446855"/>
      <w:bookmarkStart w:id="78" w:name="_Toc82446854"/>
      <w:bookmarkStart w:id="79" w:name="_Toc82446813"/>
      <w:bookmarkStart w:id="80" w:name="_Toc83210748"/>
      <w:bookmarkStart w:id="81" w:name="_Toc82446717"/>
      <w:r>
        <w:rPr>
          <w:rFonts w:hint="eastAsia" w:ascii="黑体" w:hAnsi="黑体" w:eastAsia="黑体" w:cs="黑体"/>
          <w:szCs w:val="21"/>
        </w:rPr>
        <w:t>3.</w:t>
      </w:r>
      <w:bookmarkStart w:id="82" w:name="OLE_LINK14"/>
      <w:r>
        <w:rPr>
          <w:rFonts w:hint="eastAsia" w:ascii="黑体" w:hAnsi="黑体" w:eastAsia="黑体" w:cs="黑体"/>
          <w:szCs w:val="21"/>
        </w:rPr>
        <w:t>1</w:t>
      </w:r>
      <w:bookmarkEnd w:id="69"/>
      <w:bookmarkEnd w:id="70"/>
      <w:bookmarkEnd w:id="71"/>
      <w:r>
        <w:rPr>
          <w:rFonts w:hint="eastAsia" w:ascii="黑体" w:hAnsi="黑体" w:eastAsia="黑体" w:cs="黑体"/>
          <w:szCs w:val="21"/>
        </w:rPr>
        <w:br w:type="textWrapping"/>
      </w:r>
      <w:r>
        <w:rPr>
          <w:rFonts w:hint="default" w:ascii="Times New Roman" w:hAnsi="Times New Roman" w:eastAsia="黑体" w:cs="Times New Roman"/>
          <w:szCs w:val="21"/>
        </w:rPr>
        <w:t>温室气体</w:t>
      </w:r>
      <w:r>
        <w:rPr>
          <w:rFonts w:hint="eastAsia" w:ascii="Times New Roman" w:eastAsia="黑体" w:cs="Times New Roman"/>
          <w:szCs w:val="21"/>
          <w:lang w:val="en-US" w:eastAsia="zh-CN"/>
        </w:rPr>
        <w:t xml:space="preserve"> </w:t>
      </w:r>
      <w:r>
        <w:rPr>
          <w:rFonts w:hint="default" w:ascii="Times New Roman" w:hAnsi="Times New Roman" w:eastAsia="黑体" w:cs="Times New Roman"/>
          <w:szCs w:val="21"/>
        </w:rPr>
        <w:t>greenhouse gases</w:t>
      </w:r>
    </w:p>
    <w:p w14:paraId="1FBC4604">
      <w:pPr>
        <w:pStyle w:val="27"/>
        <w:spacing w:after="0" w:line="240" w:lineRule="auto"/>
        <w:rPr>
          <w:rFonts w:ascii="Times New Roman"/>
        </w:rPr>
      </w:pPr>
      <w:r>
        <w:rPr>
          <w:rFonts w:hint="eastAsia" w:ascii="Times New Roman"/>
        </w:rPr>
        <w:t>大气中能够吸收红外辐射、具有温室效应的微量气体成分。</w:t>
      </w:r>
    </w:p>
    <w:p w14:paraId="14D6D322">
      <w:pPr>
        <w:pStyle w:val="27"/>
        <w:spacing w:after="0" w:line="240" w:lineRule="auto"/>
        <w:rPr>
          <w:rFonts w:ascii="Times New Roman" w:eastAsiaTheme="minorEastAsia"/>
        </w:rPr>
      </w:pPr>
      <w:r>
        <w:rPr>
          <w:rFonts w:ascii="Times New Roman" w:eastAsiaTheme="minorEastAsia"/>
        </w:rPr>
        <w:t>[</w:t>
      </w:r>
      <w:r>
        <w:rPr>
          <w:rFonts w:hint="eastAsia" w:ascii="Times New Roman" w:eastAsiaTheme="minorEastAsia"/>
        </w:rPr>
        <w:t>来源：</w:t>
      </w:r>
      <w:r>
        <w:rPr>
          <w:rFonts w:ascii="Times New Roman" w:eastAsiaTheme="minorEastAsia"/>
        </w:rPr>
        <w:t>QX/T</w:t>
      </w:r>
      <w:r>
        <w:rPr>
          <w:rFonts w:hint="eastAsia" w:ascii="Times New Roman" w:eastAsiaTheme="minorEastAsia"/>
        </w:rPr>
        <w:t xml:space="preserve"> </w:t>
      </w:r>
      <w:r>
        <w:rPr>
          <w:rFonts w:ascii="Times New Roman" w:eastAsiaTheme="minorEastAsia"/>
        </w:rPr>
        <w:t>125</w:t>
      </w:r>
      <w:r>
        <w:rPr>
          <w:rFonts w:hint="eastAsia" w:ascii="Times New Roman" w:eastAsiaTheme="minorEastAsia"/>
        </w:rPr>
        <w:t>-2011，3.1、3.2，有修改</w:t>
      </w:r>
      <w:r>
        <w:rPr>
          <w:rFonts w:ascii="Times New Roman" w:eastAsiaTheme="minorEastAsia"/>
        </w:rPr>
        <w:t>]</w:t>
      </w:r>
    </w:p>
    <w:p w14:paraId="106E845D">
      <w:pPr>
        <w:pStyle w:val="27"/>
        <w:autoSpaceDE/>
        <w:autoSpaceDN/>
        <w:spacing w:before="157" w:beforeLines="50" w:after="157" w:afterLines="50" w:line="240" w:lineRule="auto"/>
        <w:ind w:left="420" w:hanging="420" w:hangingChars="200"/>
        <w:jc w:val="left"/>
        <w:rPr>
          <w:rFonts w:ascii="Times New Roman"/>
          <w:szCs w:val="21"/>
        </w:rPr>
      </w:pPr>
      <w:bookmarkStart w:id="83" w:name="_Toc178171705"/>
      <w:bookmarkStart w:id="84" w:name="_Toc177935558"/>
      <w:bookmarkStart w:id="85" w:name="_Toc31583"/>
      <w:r>
        <w:rPr>
          <w:rFonts w:hint="eastAsia" w:ascii="黑体" w:hAnsi="黑体" w:eastAsia="黑体" w:cs="黑体"/>
          <w:szCs w:val="21"/>
        </w:rPr>
        <w:t>3.2</w:t>
      </w:r>
      <w:bookmarkEnd w:id="83"/>
      <w:bookmarkEnd w:id="84"/>
      <w:bookmarkEnd w:id="85"/>
      <w:r>
        <w:rPr>
          <w:rFonts w:hint="eastAsia" w:ascii="黑体" w:hAnsi="黑体" w:eastAsia="黑体" w:cs="黑体"/>
          <w:szCs w:val="21"/>
        </w:rPr>
        <w:br w:type="textWrapping"/>
      </w:r>
      <w:r>
        <w:rPr>
          <w:rFonts w:hint="default" w:ascii="Times New Roman" w:hAnsi="Times New Roman" w:eastAsia="黑体" w:cs="Times New Roman"/>
          <w:szCs w:val="21"/>
        </w:rPr>
        <w:t>CO</w:t>
      </w:r>
      <w:r>
        <w:rPr>
          <w:rFonts w:hint="default" w:ascii="Times New Roman" w:hAnsi="Times New Roman" w:eastAsia="黑体" w:cs="Times New Roman"/>
          <w:szCs w:val="21"/>
          <w:vertAlign w:val="subscript"/>
        </w:rPr>
        <w:t>2</w:t>
      </w:r>
      <w:r>
        <w:rPr>
          <w:rFonts w:hint="default" w:ascii="Times New Roman" w:hAnsi="Times New Roman" w:eastAsia="黑体" w:cs="Times New Roman"/>
          <w:szCs w:val="21"/>
        </w:rPr>
        <w:t>柱浓</w:t>
      </w:r>
      <w:r>
        <w:rPr>
          <w:rFonts w:hint="eastAsia" w:ascii="Times New Roman" w:eastAsia="黑体" w:cs="Times New Roman"/>
          <w:szCs w:val="21"/>
          <w:lang w:val="en-US" w:eastAsia="zh-CN"/>
        </w:rPr>
        <w:t xml:space="preserve">度 </w:t>
      </w:r>
      <w:r>
        <w:rPr>
          <w:rFonts w:hint="default" w:ascii="Times New Roman" w:hAnsi="Times New Roman" w:eastAsia="黑体" w:cs="Times New Roman"/>
          <w:szCs w:val="21"/>
        </w:rPr>
        <w:t>CO</w:t>
      </w:r>
      <w:r>
        <w:rPr>
          <w:rFonts w:hint="default" w:ascii="Times New Roman" w:hAnsi="Times New Roman" w:eastAsia="黑体" w:cs="Times New Roman"/>
          <w:szCs w:val="21"/>
          <w:vertAlign w:val="subscript"/>
        </w:rPr>
        <w:t>2</w:t>
      </w:r>
      <w:r>
        <w:rPr>
          <w:rFonts w:hint="eastAsia" w:ascii="Times New Roman" w:eastAsia="黑体" w:cs="Times New Roman"/>
          <w:szCs w:val="21"/>
          <w:vertAlign w:val="subscript"/>
          <w:lang w:val="en-US" w:eastAsia="zh-CN"/>
        </w:rPr>
        <w:t xml:space="preserve"> </w:t>
      </w:r>
      <w:r>
        <w:rPr>
          <w:rFonts w:hint="default" w:ascii="Times New Roman" w:hAnsi="Times New Roman" w:eastAsia="黑体" w:cs="Times New Roman"/>
          <w:szCs w:val="21"/>
        </w:rPr>
        <w:t>column concentration</w:t>
      </w:r>
    </w:p>
    <w:p w14:paraId="63DC03BE">
      <w:pPr>
        <w:pStyle w:val="27"/>
        <w:spacing w:after="0" w:line="240" w:lineRule="auto"/>
        <w:rPr>
          <w:rFonts w:ascii="Times New Roman"/>
        </w:rPr>
      </w:pPr>
      <w:r>
        <w:rPr>
          <w:rFonts w:hint="eastAsia" w:ascii="Times New Roman"/>
        </w:rPr>
        <w:t>地表上大气中垂直气柱内</w:t>
      </w:r>
      <w:r>
        <w:rPr>
          <w:rFonts w:ascii="Times New Roman"/>
        </w:rPr>
        <w:t>CO</w:t>
      </w:r>
      <w:r>
        <w:rPr>
          <w:rFonts w:ascii="Times New Roman"/>
          <w:vertAlign w:val="subscript"/>
        </w:rPr>
        <w:t>2</w:t>
      </w:r>
      <w:r>
        <w:rPr>
          <w:rFonts w:hint="eastAsia" w:ascii="Times New Roman"/>
        </w:rPr>
        <w:t>分子总数与干空气分子总数之比，XCO</w:t>
      </w:r>
      <w:r>
        <w:rPr>
          <w:rFonts w:hint="eastAsia" w:ascii="Times New Roman"/>
          <w:vertAlign w:val="subscript"/>
        </w:rPr>
        <w:t>2</w:t>
      </w:r>
      <w:r>
        <w:rPr>
          <w:rFonts w:hint="eastAsia" w:ascii="Times New Roman"/>
        </w:rPr>
        <w:t>，单位为</w:t>
      </w:r>
      <w:r>
        <w:rPr>
          <w:rFonts w:ascii="Times New Roman"/>
        </w:rPr>
        <w:t>μmol/mol</w:t>
      </w:r>
      <w:r>
        <w:rPr>
          <w:rFonts w:hint="eastAsia" w:ascii="Times New Roman"/>
        </w:rPr>
        <w:t>。</w:t>
      </w:r>
    </w:p>
    <w:bookmarkEnd w:id="72"/>
    <w:bookmarkEnd w:id="73"/>
    <w:bookmarkEnd w:id="74"/>
    <w:bookmarkEnd w:id="75"/>
    <w:bookmarkEnd w:id="76"/>
    <w:bookmarkEnd w:id="77"/>
    <w:bookmarkEnd w:id="78"/>
    <w:bookmarkEnd w:id="79"/>
    <w:bookmarkEnd w:id="80"/>
    <w:bookmarkEnd w:id="81"/>
    <w:bookmarkEnd w:id="82"/>
    <w:p w14:paraId="0A886944">
      <w:pPr>
        <w:pStyle w:val="27"/>
        <w:spacing w:before="157" w:beforeLines="50" w:after="157" w:afterLines="50"/>
        <w:ind w:left="420" w:hanging="420" w:hangingChars="200"/>
        <w:jc w:val="left"/>
        <w:rPr>
          <w:rFonts w:ascii="Times New Roman" w:eastAsia="黑体"/>
          <w:kern w:val="0"/>
          <w:szCs w:val="20"/>
        </w:rPr>
      </w:pPr>
      <w:bookmarkStart w:id="86" w:name="_Toc177935560"/>
      <w:bookmarkStart w:id="87" w:name="_Toc29198"/>
      <w:bookmarkStart w:id="88" w:name="_Toc178171707"/>
      <w:bookmarkStart w:id="89" w:name="_Toc83210751"/>
      <w:r>
        <w:rPr>
          <w:rFonts w:hint="eastAsia" w:ascii="黑体" w:hAnsi="黑体" w:eastAsia="黑体" w:cs="黑体"/>
        </w:rPr>
        <w:t>3.3</w:t>
      </w:r>
      <w:bookmarkEnd w:id="86"/>
      <w:bookmarkEnd w:id="87"/>
      <w:bookmarkEnd w:id="88"/>
      <w:r>
        <w:rPr>
          <w:rFonts w:hint="eastAsia" w:ascii="黑体" w:hAnsi="黑体" w:eastAsia="黑体" w:cs="黑体"/>
        </w:rPr>
        <w:br w:type="textWrapping"/>
      </w:r>
      <w:r>
        <w:rPr>
          <w:rFonts w:hint="default" w:ascii="Times New Roman" w:hAnsi="Times New Roman" w:eastAsia="黑体" w:cs="Times New Roman"/>
        </w:rPr>
        <w:t>CH</w:t>
      </w:r>
      <w:r>
        <w:rPr>
          <w:rFonts w:hint="default" w:ascii="Times New Roman" w:hAnsi="Times New Roman" w:eastAsia="黑体" w:cs="Times New Roman"/>
          <w:vertAlign w:val="subscript"/>
        </w:rPr>
        <w:t>4</w:t>
      </w:r>
      <w:r>
        <w:rPr>
          <w:rFonts w:hint="default" w:ascii="Times New Roman" w:hAnsi="Times New Roman" w:eastAsia="黑体" w:cs="Times New Roman"/>
        </w:rPr>
        <w:t>柱浓度 CH</w:t>
      </w:r>
      <w:r>
        <w:rPr>
          <w:rFonts w:hint="default" w:ascii="Times New Roman" w:hAnsi="Times New Roman" w:eastAsia="黑体" w:cs="Times New Roman"/>
          <w:vertAlign w:val="subscript"/>
        </w:rPr>
        <w:t>4</w:t>
      </w:r>
      <w:r>
        <w:rPr>
          <w:rFonts w:hint="eastAsia" w:ascii="Times New Roman" w:eastAsia="黑体" w:cs="Times New Roman"/>
          <w:vertAlign w:val="subscript"/>
          <w:lang w:val="en-US" w:eastAsia="zh-CN"/>
        </w:rPr>
        <w:t xml:space="preserve"> </w:t>
      </w:r>
      <w:r>
        <w:rPr>
          <w:rFonts w:hint="default" w:ascii="Times New Roman" w:hAnsi="Times New Roman" w:eastAsia="黑体" w:cs="Times New Roman"/>
        </w:rPr>
        <w:t>column</w:t>
      </w:r>
      <w:r>
        <w:rPr>
          <w:rFonts w:hint="eastAsia" w:ascii="Times New Roman" w:eastAsia="黑体" w:cs="Times New Roman"/>
          <w:lang w:val="en-US" w:eastAsia="zh-CN"/>
        </w:rPr>
        <w:t xml:space="preserve"> </w:t>
      </w:r>
      <w:r>
        <w:rPr>
          <w:rFonts w:hint="default" w:ascii="Times New Roman" w:hAnsi="Times New Roman" w:eastAsia="黑体" w:cs="Times New Roman"/>
        </w:rPr>
        <w:t>concentration</w:t>
      </w:r>
    </w:p>
    <w:p w14:paraId="2BC78545">
      <w:pPr>
        <w:pStyle w:val="27"/>
        <w:spacing w:after="0" w:line="240" w:lineRule="auto"/>
        <w:rPr>
          <w:rFonts w:ascii="Times New Roman"/>
        </w:rPr>
      </w:pPr>
      <w:bookmarkStart w:id="90" w:name="_Toc177935561"/>
      <w:bookmarkStart w:id="91" w:name="_Toc178171708"/>
      <w:r>
        <w:rPr>
          <w:rFonts w:hint="eastAsia" w:ascii="Times New Roman"/>
        </w:rPr>
        <w:t>地表上大气中垂直气柱内</w:t>
      </w:r>
      <w:r>
        <w:rPr>
          <w:rFonts w:ascii="Times New Roman"/>
        </w:rPr>
        <w:t>CH</w:t>
      </w:r>
      <w:r>
        <w:rPr>
          <w:rFonts w:ascii="Times New Roman"/>
          <w:vertAlign w:val="subscript"/>
        </w:rPr>
        <w:t>4</w:t>
      </w:r>
      <w:r>
        <w:rPr>
          <w:rFonts w:hint="eastAsia" w:ascii="Times New Roman"/>
        </w:rPr>
        <w:t>分子总数与干空气分子总数之比，XCH</w:t>
      </w:r>
      <w:r>
        <w:rPr>
          <w:rFonts w:hint="eastAsia" w:ascii="Times New Roman"/>
          <w:vertAlign w:val="subscript"/>
        </w:rPr>
        <w:t>4，</w:t>
      </w:r>
      <w:r>
        <w:rPr>
          <w:rFonts w:hint="eastAsia" w:ascii="Times New Roman"/>
        </w:rPr>
        <w:t>单位为</w:t>
      </w:r>
      <w:r>
        <w:rPr>
          <w:rFonts w:ascii="Times New Roman"/>
        </w:rPr>
        <w:t>nmol/mol</w:t>
      </w:r>
      <w:r>
        <w:rPr>
          <w:rFonts w:hint="eastAsia" w:ascii="Times New Roman"/>
        </w:rPr>
        <w:t>。</w:t>
      </w:r>
      <w:bookmarkEnd w:id="89"/>
      <w:bookmarkEnd w:id="90"/>
      <w:bookmarkEnd w:id="91"/>
      <w:bookmarkStart w:id="92" w:name="_Toc83210752"/>
    </w:p>
    <w:bookmarkEnd w:id="92"/>
    <w:p w14:paraId="2050734C">
      <w:pPr>
        <w:pStyle w:val="27"/>
        <w:autoSpaceDE/>
        <w:autoSpaceDN/>
        <w:spacing w:before="157" w:beforeLines="50" w:after="157" w:afterLines="50"/>
        <w:ind w:left="420" w:hanging="420" w:hangingChars="200"/>
        <w:rPr>
          <w:rFonts w:ascii="Times New Roman" w:hAnsi="Times New Roman" w:eastAsia="黑体" w:cs="Times New Roman"/>
          <w:color w:val="auto"/>
          <w:sz w:val="21"/>
          <w:szCs w:val="20"/>
        </w:rPr>
      </w:pPr>
      <w:bookmarkStart w:id="93" w:name="_Toc178171712"/>
      <w:bookmarkStart w:id="94" w:name="_Toc15059"/>
      <w:r>
        <w:rPr>
          <w:rFonts w:hint="eastAsia" w:ascii="黑体" w:hAnsi="黑体" w:eastAsia="黑体" w:cs="黑体"/>
        </w:rPr>
        <w:t>3.</w:t>
      </w:r>
      <w:bookmarkEnd w:id="93"/>
      <w:r>
        <w:rPr>
          <w:rFonts w:hint="eastAsia" w:ascii="黑体" w:hAnsi="黑体" w:eastAsia="黑体" w:cs="黑体"/>
        </w:rPr>
        <w:t>4</w:t>
      </w:r>
      <w:bookmarkEnd w:id="94"/>
      <w:r>
        <w:rPr>
          <w:rFonts w:hint="eastAsia" w:ascii="黑体" w:hAnsi="黑体" w:eastAsia="黑体" w:cs="黑体"/>
        </w:rPr>
        <w:br w:type="textWrapping"/>
      </w:r>
      <w:r>
        <w:rPr>
          <w:rFonts w:hint="default" w:ascii="Times New Roman" w:hAnsi="Times New Roman" w:eastAsia="黑体" w:cs="Times New Roman"/>
        </w:rPr>
        <w:t>准确性检验 accuracy verification</w:t>
      </w:r>
    </w:p>
    <w:p w14:paraId="19682B5A">
      <w:pPr>
        <w:pStyle w:val="151"/>
        <w:spacing w:after="0" w:line="240" w:lineRule="auto"/>
        <w:ind w:firstLine="420" w:firstLineChars="200"/>
        <w:rPr>
          <w:rFonts w:hint="eastAsia" w:ascii="Times New Roman" w:hAnsi="Times New Roman" w:eastAsia="宋体" w:cs="Times New Roman"/>
          <w:color w:val="auto"/>
          <w:sz w:val="21"/>
          <w:szCs w:val="20"/>
        </w:rPr>
      </w:pPr>
      <w:r>
        <w:rPr>
          <w:rFonts w:hint="eastAsia" w:ascii="Times New Roman" w:hAnsi="Times New Roman" w:eastAsia="宋体" w:cs="Times New Roman"/>
          <w:color w:val="auto"/>
          <w:sz w:val="21"/>
          <w:szCs w:val="20"/>
        </w:rPr>
        <w:t>真实性检验 validation</w:t>
      </w:r>
    </w:p>
    <w:p w14:paraId="4C53ED97">
      <w:pPr>
        <w:pStyle w:val="27"/>
        <w:spacing w:after="0" w:line="240" w:lineRule="auto"/>
        <w:rPr>
          <w:rFonts w:ascii="Times New Roman"/>
        </w:rPr>
      </w:pPr>
      <w:r>
        <w:rPr>
          <w:rFonts w:hint="eastAsia" w:ascii="Times New Roman"/>
        </w:rPr>
        <w:t>通过独立方法评价待检监测结果与客观实际的一致程度并分析其不确定性的过程。</w:t>
      </w:r>
    </w:p>
    <w:p w14:paraId="4ACEA826">
      <w:pPr>
        <w:pStyle w:val="27"/>
        <w:spacing w:after="0" w:line="240" w:lineRule="auto"/>
        <w:rPr>
          <w:rFonts w:ascii="Times New Roman"/>
        </w:rPr>
      </w:pPr>
      <w:r>
        <w:rPr>
          <w:rFonts w:ascii="Times New Roman" w:eastAsiaTheme="minorEastAsia"/>
        </w:rPr>
        <w:t>[来源：</w:t>
      </w:r>
      <w:r>
        <w:rPr>
          <w:rFonts w:ascii="Times New Roman"/>
        </w:rPr>
        <w:t>GB/T</w:t>
      </w:r>
      <w:r>
        <w:rPr>
          <w:rFonts w:hint="eastAsia" w:ascii="Times New Roman"/>
        </w:rPr>
        <w:t xml:space="preserve"> </w:t>
      </w:r>
      <w:r>
        <w:rPr>
          <w:rFonts w:ascii="Times New Roman"/>
        </w:rPr>
        <w:t>3629</w:t>
      </w:r>
      <w:r>
        <w:rPr>
          <w:rFonts w:hint="eastAsia" w:ascii="Times New Roman"/>
        </w:rPr>
        <w:t>6-2018，</w:t>
      </w:r>
      <w:r>
        <w:rPr>
          <w:rFonts w:ascii="Times New Roman"/>
        </w:rPr>
        <w:t>3.2</w:t>
      </w:r>
      <w:r>
        <w:rPr>
          <w:rFonts w:hint="eastAsia" w:ascii="Times New Roman"/>
        </w:rPr>
        <w:t>，有修改</w:t>
      </w:r>
      <w:r>
        <w:rPr>
          <w:rFonts w:ascii="Times New Roman" w:eastAsiaTheme="minorEastAsia"/>
        </w:rPr>
        <w:t>]</w:t>
      </w:r>
    </w:p>
    <w:p w14:paraId="7515A207">
      <w:pPr>
        <w:pStyle w:val="27"/>
        <w:autoSpaceDE/>
        <w:autoSpaceDN/>
        <w:spacing w:before="157" w:beforeLines="50" w:after="157" w:afterLines="50"/>
        <w:ind w:left="420" w:hanging="420" w:hangingChars="200"/>
        <w:rPr>
          <w:rFonts w:ascii="Times New Roman" w:hAnsi="Times New Roman" w:eastAsia="黑体" w:cs="Times New Roman"/>
          <w:color w:val="auto"/>
          <w:sz w:val="21"/>
          <w:szCs w:val="20"/>
        </w:rPr>
      </w:pPr>
      <w:bookmarkStart w:id="95" w:name="_Toc178171713"/>
      <w:bookmarkStart w:id="96" w:name="_Toc26483"/>
      <w:r>
        <w:rPr>
          <w:rFonts w:hint="eastAsia" w:ascii="黑体" w:hAnsi="黑体" w:eastAsia="黑体" w:cs="黑体"/>
        </w:rPr>
        <w:t>3.</w:t>
      </w:r>
      <w:bookmarkEnd w:id="95"/>
      <w:r>
        <w:rPr>
          <w:rFonts w:hint="eastAsia" w:ascii="黑体" w:hAnsi="黑体" w:eastAsia="黑体" w:cs="黑体"/>
        </w:rPr>
        <w:t>5</w:t>
      </w:r>
      <w:bookmarkEnd w:id="96"/>
      <w:r>
        <w:rPr>
          <w:rFonts w:hint="eastAsia" w:ascii="黑体" w:hAnsi="黑体" w:eastAsia="黑体" w:cs="黑体"/>
        </w:rPr>
        <w:br w:type="textWrapping"/>
      </w:r>
      <w:r>
        <w:rPr>
          <w:rFonts w:hint="default" w:ascii="Times New Roman" w:hAnsi="Times New Roman" w:eastAsia="黑体" w:cs="Times New Roman"/>
        </w:rPr>
        <w:t>准确度 accuracy</w:t>
      </w:r>
    </w:p>
    <w:p w14:paraId="47B0B595">
      <w:pPr>
        <w:pStyle w:val="27"/>
        <w:spacing w:after="0" w:line="240" w:lineRule="auto"/>
        <w:rPr>
          <w:rFonts w:ascii="Times New Roman"/>
        </w:rPr>
      </w:pPr>
      <w:r>
        <w:rPr>
          <w:rFonts w:hint="eastAsia" w:ascii="Times New Roman"/>
        </w:rPr>
        <w:t>测量结果与测量</w:t>
      </w:r>
      <w:bookmarkStart w:id="97" w:name="OLE_LINK35"/>
      <w:r>
        <w:rPr>
          <w:rFonts w:hint="eastAsia" w:ascii="Times New Roman"/>
        </w:rPr>
        <w:t>真值</w:t>
      </w:r>
      <w:bookmarkEnd w:id="97"/>
      <w:r>
        <w:rPr>
          <w:rFonts w:hint="eastAsia" w:ascii="Times New Roman"/>
        </w:rPr>
        <w:t>或接受参照值间的一致程度。</w:t>
      </w:r>
    </w:p>
    <w:p w14:paraId="6132EC7E">
      <w:pPr>
        <w:pStyle w:val="27"/>
        <w:spacing w:after="0" w:line="240" w:lineRule="auto"/>
        <w:rPr>
          <w:rFonts w:ascii="Times New Roman"/>
        </w:rPr>
      </w:pPr>
      <w:r>
        <w:rPr>
          <w:rFonts w:hint="eastAsia" w:asciiTheme="minorEastAsia" w:hAnsiTheme="minorEastAsia" w:eastAsiaTheme="minorEastAsia"/>
        </w:rPr>
        <w:t>[来源：</w:t>
      </w:r>
      <w:r>
        <w:rPr>
          <w:rFonts w:ascii="Times New Roman"/>
        </w:rPr>
        <w:t>GB/T</w:t>
      </w:r>
      <w:r>
        <w:rPr>
          <w:rFonts w:hint="eastAsia" w:ascii="Times New Roman"/>
        </w:rPr>
        <w:t xml:space="preserve"> 6379.1-2004，</w:t>
      </w:r>
      <w:r>
        <w:rPr>
          <w:rFonts w:ascii="Times New Roman"/>
        </w:rPr>
        <w:t>3.</w:t>
      </w:r>
      <w:r>
        <w:rPr>
          <w:rFonts w:hint="eastAsia" w:ascii="Times New Roman"/>
        </w:rPr>
        <w:t>6，有修改</w:t>
      </w:r>
      <w:r>
        <w:rPr>
          <w:rFonts w:hint="eastAsia" w:asciiTheme="minorEastAsia" w:hAnsiTheme="minorEastAsia" w:eastAsiaTheme="minorEastAsia"/>
        </w:rPr>
        <w:t>]</w:t>
      </w:r>
    </w:p>
    <w:p w14:paraId="79A79608">
      <w:pPr>
        <w:pStyle w:val="27"/>
        <w:autoSpaceDE/>
        <w:autoSpaceDN/>
        <w:spacing w:before="157" w:beforeLines="50" w:after="157" w:afterLines="50"/>
        <w:ind w:left="420" w:hanging="420" w:hangingChars="200"/>
        <w:rPr>
          <w:rFonts w:ascii="Times New Roman" w:hAnsi="Times New Roman" w:eastAsia="黑体" w:cs="Times New Roman"/>
          <w:color w:val="auto"/>
          <w:sz w:val="21"/>
          <w:szCs w:val="20"/>
        </w:rPr>
      </w:pPr>
      <w:bookmarkStart w:id="98" w:name="_Toc178171714"/>
      <w:bookmarkStart w:id="99" w:name="_Toc1912"/>
      <w:r>
        <w:rPr>
          <w:rFonts w:hint="eastAsia" w:ascii="黑体" w:hAnsi="黑体" w:eastAsia="黑体" w:cs="黑体"/>
        </w:rPr>
        <w:t>3.</w:t>
      </w:r>
      <w:bookmarkEnd w:id="98"/>
      <w:r>
        <w:rPr>
          <w:rFonts w:hint="eastAsia" w:ascii="黑体" w:hAnsi="黑体" w:eastAsia="黑体" w:cs="黑体"/>
        </w:rPr>
        <w:t>6</w:t>
      </w:r>
      <w:bookmarkEnd w:id="99"/>
      <w:r>
        <w:rPr>
          <w:rFonts w:hint="eastAsia" w:ascii="黑体" w:hAnsi="黑体" w:eastAsia="黑体" w:cs="黑体"/>
        </w:rPr>
        <w:br w:type="textWrapping"/>
      </w:r>
      <w:r>
        <w:rPr>
          <w:rFonts w:hint="default" w:ascii="Times New Roman" w:hAnsi="Times New Roman" w:eastAsia="黑体" w:cs="Times New Roman"/>
        </w:rPr>
        <w:t>不确定度 uncertainty</w:t>
      </w:r>
    </w:p>
    <w:p w14:paraId="306F4FC1">
      <w:pPr>
        <w:pStyle w:val="27"/>
        <w:spacing w:after="0" w:line="240" w:lineRule="auto"/>
        <w:rPr>
          <w:rFonts w:ascii="Times New Roman"/>
        </w:rPr>
      </w:pPr>
      <w:r>
        <w:rPr>
          <w:rFonts w:hint="eastAsia" w:ascii="Times New Roman"/>
        </w:rPr>
        <w:t>与测量结果相关联的一个参数，表征了被测量值的分散性，定量说明了测量结果的质量，用以指示测量结果的可信性、有效性的怀疑程度或不确定程度。</w:t>
      </w:r>
    </w:p>
    <w:p w14:paraId="39536BFE">
      <w:pPr>
        <w:pStyle w:val="27"/>
        <w:spacing w:after="0" w:line="240" w:lineRule="auto"/>
        <w:rPr>
          <w:rFonts w:hint="eastAsia" w:asciiTheme="minorEastAsia" w:hAnsiTheme="minorEastAsia" w:eastAsiaTheme="minorEastAsia"/>
        </w:rPr>
      </w:pPr>
      <w:r>
        <w:rPr>
          <w:rFonts w:asciiTheme="minorEastAsia" w:hAnsiTheme="minorEastAsia" w:eastAsiaTheme="minorEastAsia"/>
        </w:rPr>
        <w:t>[</w:t>
      </w:r>
      <w:r>
        <w:rPr>
          <w:rFonts w:hint="eastAsia" w:asciiTheme="minorEastAsia" w:hAnsiTheme="minorEastAsia" w:eastAsiaTheme="minorEastAsia"/>
        </w:rPr>
        <w:t>来源：</w:t>
      </w:r>
      <w:r>
        <w:rPr>
          <w:rFonts w:ascii="Times New Roman"/>
        </w:rPr>
        <w:t>GB/T</w:t>
      </w:r>
      <w:r>
        <w:rPr>
          <w:rFonts w:hint="eastAsia" w:ascii="Times New Roman"/>
        </w:rPr>
        <w:t xml:space="preserve"> </w:t>
      </w:r>
      <w:r>
        <w:rPr>
          <w:rFonts w:ascii="Times New Roman"/>
        </w:rPr>
        <w:t>3629</w:t>
      </w:r>
      <w:r>
        <w:rPr>
          <w:rFonts w:hint="eastAsia" w:ascii="Times New Roman"/>
        </w:rPr>
        <w:t>6-2018，</w:t>
      </w:r>
      <w:r>
        <w:rPr>
          <w:rFonts w:ascii="Times New Roman"/>
        </w:rPr>
        <w:t>3.10</w:t>
      </w:r>
      <w:r>
        <w:rPr>
          <w:rFonts w:asciiTheme="minorEastAsia" w:hAnsiTheme="minorEastAsia" w:eastAsiaTheme="minorEastAsia"/>
        </w:rPr>
        <w:t>]</w:t>
      </w:r>
    </w:p>
    <w:p w14:paraId="5062B0AF">
      <w:pPr>
        <w:pStyle w:val="50"/>
        <w:spacing w:before="312" w:after="312" w:line="240" w:lineRule="auto"/>
      </w:pPr>
      <w:bookmarkStart w:id="100" w:name="_Toc22935"/>
      <w:bookmarkStart w:id="101" w:name="_Toc178171715"/>
      <w:bookmarkStart w:id="102" w:name="_Toc18702"/>
      <w:bookmarkStart w:id="103" w:name="_Toc17838"/>
      <w:bookmarkStart w:id="104" w:name="_Toc16122"/>
      <w:bookmarkStart w:id="105" w:name="_Toc7202"/>
      <w:r>
        <w:rPr>
          <w:rFonts w:hint="eastAsia"/>
        </w:rPr>
        <w:t>监测数据</w:t>
      </w:r>
      <w:bookmarkEnd w:id="100"/>
      <w:bookmarkEnd w:id="101"/>
      <w:bookmarkEnd w:id="102"/>
      <w:bookmarkEnd w:id="103"/>
      <w:bookmarkEnd w:id="104"/>
      <w:bookmarkEnd w:id="105"/>
    </w:p>
    <w:p w14:paraId="7521195D">
      <w:pPr>
        <w:pStyle w:val="47"/>
        <w:spacing w:before="156" w:after="156" w:line="279" w:lineRule="auto"/>
      </w:pPr>
      <w:bookmarkStart w:id="106" w:name="_Toc82446859"/>
      <w:bookmarkStart w:id="107" w:name="_Toc83210755"/>
      <w:bookmarkStart w:id="108" w:name="_Toc82446817"/>
      <w:bookmarkStart w:id="109" w:name="_Toc82446722"/>
      <w:bookmarkStart w:id="110" w:name="_Toc15646"/>
      <w:bookmarkStart w:id="111" w:name="_Toc12220"/>
      <w:bookmarkStart w:id="112" w:name="_Toc18441"/>
      <w:bookmarkStart w:id="113" w:name="_Toc25722"/>
      <w:bookmarkStart w:id="114" w:name="_Toc16489"/>
      <w:bookmarkStart w:id="115" w:name="_Toc178171716"/>
      <w:bookmarkStart w:id="116" w:name="_Toc177935570"/>
      <w:r>
        <w:rPr>
          <w:rFonts w:hint="eastAsia"/>
        </w:rPr>
        <w:t>卫星遥感</w:t>
      </w:r>
      <w:bookmarkEnd w:id="106"/>
      <w:bookmarkEnd w:id="107"/>
      <w:bookmarkEnd w:id="108"/>
      <w:bookmarkEnd w:id="109"/>
      <w:r>
        <w:rPr>
          <w:rFonts w:hint="eastAsia"/>
        </w:rPr>
        <w:t>数据</w:t>
      </w:r>
      <w:bookmarkEnd w:id="110"/>
      <w:bookmarkEnd w:id="111"/>
      <w:bookmarkEnd w:id="112"/>
      <w:bookmarkEnd w:id="113"/>
    </w:p>
    <w:bookmarkEnd w:id="114"/>
    <w:bookmarkEnd w:id="115"/>
    <w:bookmarkEnd w:id="116"/>
    <w:p w14:paraId="11D7054A">
      <w:pPr>
        <w:pStyle w:val="11"/>
        <w:spacing w:before="157" w:beforeLines="50" w:after="157" w:afterLines="50" w:line="240" w:lineRule="auto"/>
        <w:rPr>
          <w:rFonts w:ascii="黑体" w:eastAsia="黑体"/>
          <w:szCs w:val="21"/>
        </w:rPr>
      </w:pPr>
      <w:r>
        <w:rPr>
          <w:rFonts w:hint="eastAsia" w:ascii="黑体" w:hAnsi="黑体" w:eastAsia="黑体" w:cs="黑体"/>
        </w:rPr>
        <w:t>4.1.1</w:t>
      </w:r>
      <w:r>
        <w:rPr>
          <w:rFonts w:hint="eastAsia"/>
        </w:rPr>
        <w:t xml:space="preserve"> </w:t>
      </w:r>
      <w:r>
        <w:t>CO</w:t>
      </w:r>
      <w:r>
        <w:rPr>
          <w:vertAlign w:val="subscript"/>
        </w:rPr>
        <w:t>2</w:t>
      </w:r>
      <w:r>
        <w:rPr>
          <w:rFonts w:hint="eastAsia" w:ascii="黑体" w:eastAsia="黑体"/>
          <w:szCs w:val="21"/>
        </w:rPr>
        <w:t>卫星</w:t>
      </w:r>
      <w:r>
        <w:rPr>
          <w:rFonts w:hint="eastAsia" w:ascii="黑体" w:eastAsia="黑体"/>
          <w:szCs w:val="21"/>
          <w:lang w:val="en-US" w:eastAsia="zh-CN"/>
        </w:rPr>
        <w:t>遥感</w:t>
      </w:r>
      <w:r>
        <w:rPr>
          <w:rFonts w:hint="eastAsia" w:ascii="黑体" w:eastAsia="黑体"/>
          <w:szCs w:val="21"/>
        </w:rPr>
        <w:t>数据</w:t>
      </w:r>
    </w:p>
    <w:p w14:paraId="00F2AF25">
      <w:pPr>
        <w:pStyle w:val="27"/>
        <w:spacing w:after="0" w:line="240" w:lineRule="auto"/>
        <w:rPr>
          <w:rFonts w:ascii="Times New Roman"/>
        </w:rPr>
      </w:pPr>
      <w:bookmarkStart w:id="117" w:name="OLE_LINK2"/>
      <w:r>
        <w:rPr>
          <w:rFonts w:hint="eastAsia" w:ascii="Times New Roman"/>
        </w:rPr>
        <w:t>选用搭载高光谱分辨率光谱仪的卫星，光谱覆盖范围</w:t>
      </w:r>
      <w:r>
        <w:rPr>
          <w:rFonts w:hint="eastAsia" w:ascii="Times New Roman"/>
          <w:color w:val="auto"/>
        </w:rPr>
        <w:t>需</w:t>
      </w:r>
      <w:r>
        <w:rPr>
          <w:rFonts w:hint="eastAsia" w:ascii="Times New Roman"/>
        </w:rPr>
        <w:t>包含</w:t>
      </w:r>
      <w:r>
        <w:rPr>
          <w:rFonts w:ascii="Times New Roman"/>
        </w:rPr>
        <w:t>CO</w:t>
      </w:r>
      <w:r>
        <w:rPr>
          <w:rFonts w:ascii="Times New Roman"/>
          <w:vertAlign w:val="subscript"/>
        </w:rPr>
        <w:t>2</w:t>
      </w:r>
      <w:r>
        <w:rPr>
          <w:rFonts w:hint="eastAsia" w:ascii="Times New Roman"/>
        </w:rPr>
        <w:t>吸收特征波段，且光谱分辨率满足</w:t>
      </w:r>
      <w:r>
        <w:rPr>
          <w:rFonts w:ascii="Times New Roman"/>
        </w:rPr>
        <w:t>CO</w:t>
      </w:r>
      <w:r>
        <w:rPr>
          <w:rFonts w:ascii="Times New Roman"/>
          <w:vertAlign w:val="subscript"/>
        </w:rPr>
        <w:t>2</w:t>
      </w:r>
      <w:r>
        <w:rPr>
          <w:rFonts w:hint="eastAsia" w:ascii="Times New Roman"/>
        </w:rPr>
        <w:t>反演算法对光谱采样间隔的要求</w:t>
      </w:r>
      <w:bookmarkEnd w:id="117"/>
      <w:r>
        <w:rPr>
          <w:rFonts w:hint="eastAsia" w:ascii="Times New Roman"/>
        </w:rPr>
        <w:t>。</w:t>
      </w:r>
      <w:r>
        <w:rPr>
          <w:rFonts w:ascii="Times New Roman"/>
        </w:rPr>
        <w:t>XCO</w:t>
      </w:r>
      <w:r>
        <w:rPr>
          <w:rFonts w:ascii="Times New Roman"/>
          <w:vertAlign w:val="subscript"/>
        </w:rPr>
        <w:t>2</w:t>
      </w:r>
      <w:r>
        <w:rPr>
          <w:rFonts w:hint="eastAsia" w:ascii="Times New Roman"/>
        </w:rPr>
        <w:t>监测产品至少包含XCO</w:t>
      </w:r>
      <w:r>
        <w:rPr>
          <w:rFonts w:ascii="Times New Roman"/>
          <w:vertAlign w:val="subscript"/>
        </w:rPr>
        <w:t>2</w:t>
      </w:r>
      <w:r>
        <w:rPr>
          <w:rFonts w:hint="eastAsia" w:ascii="Times New Roman"/>
        </w:rPr>
        <w:t>值、地理位置信息、监测时间、数据质量标识以及用于数据筛选和</w:t>
      </w:r>
      <w:r>
        <w:rPr>
          <w:rFonts w:hint="eastAsia" w:ascii="Times New Roman"/>
          <w:lang w:val="en-US" w:eastAsia="zh-CN"/>
        </w:rPr>
        <w:t>准确性</w:t>
      </w:r>
      <w:r>
        <w:rPr>
          <w:rFonts w:hint="eastAsia" w:ascii="Times New Roman"/>
        </w:rPr>
        <w:t>分析的辅助参数。</w:t>
      </w:r>
    </w:p>
    <w:p w14:paraId="7935C7F3">
      <w:pPr>
        <w:pStyle w:val="11"/>
        <w:spacing w:before="157" w:beforeLines="50" w:after="157" w:afterLines="50" w:line="240" w:lineRule="auto"/>
        <w:rPr>
          <w:rFonts w:eastAsia="黑体"/>
        </w:rPr>
      </w:pPr>
      <w:r>
        <w:rPr>
          <w:rFonts w:hint="eastAsia" w:ascii="黑体" w:hAnsi="黑体" w:eastAsia="黑体" w:cs="黑体"/>
        </w:rPr>
        <w:t>4.1.2</w:t>
      </w:r>
      <w:r>
        <w:rPr>
          <w:rFonts w:hint="eastAsia" w:eastAsia="黑体"/>
        </w:rPr>
        <w:t xml:space="preserve"> CH</w:t>
      </w:r>
      <w:r>
        <w:rPr>
          <w:rFonts w:hint="eastAsia"/>
          <w:kern w:val="0"/>
          <w:szCs w:val="21"/>
          <w:vertAlign w:val="subscript"/>
        </w:rPr>
        <w:t>4</w:t>
      </w:r>
      <w:r>
        <w:rPr>
          <w:rFonts w:hint="eastAsia" w:ascii="黑体" w:eastAsia="黑体"/>
          <w:szCs w:val="21"/>
        </w:rPr>
        <w:t>卫星</w:t>
      </w:r>
      <w:r>
        <w:rPr>
          <w:rFonts w:hint="eastAsia" w:ascii="黑体" w:eastAsia="黑体"/>
          <w:szCs w:val="21"/>
          <w:lang w:val="en-US" w:eastAsia="zh-CN"/>
        </w:rPr>
        <w:t>遥感</w:t>
      </w:r>
      <w:r>
        <w:rPr>
          <w:rFonts w:hint="eastAsia" w:ascii="黑体" w:eastAsia="黑体"/>
          <w:szCs w:val="21"/>
        </w:rPr>
        <w:t>数据</w:t>
      </w:r>
    </w:p>
    <w:p w14:paraId="1F44A73F">
      <w:pPr>
        <w:pStyle w:val="27"/>
        <w:spacing w:after="0" w:line="240" w:lineRule="auto"/>
        <w:rPr>
          <w:rFonts w:ascii="Times New Roman"/>
        </w:rPr>
      </w:pPr>
      <w:r>
        <w:rPr>
          <w:rFonts w:hint="eastAsia" w:ascii="Times New Roman"/>
        </w:rPr>
        <w:t>选用搭载高光谱分辨率光谱仪的卫星，光谱覆盖范围</w:t>
      </w:r>
      <w:r>
        <w:rPr>
          <w:rFonts w:hint="eastAsia" w:ascii="Times New Roman"/>
          <w:color w:val="auto"/>
        </w:rPr>
        <w:t>需</w:t>
      </w:r>
      <w:r>
        <w:rPr>
          <w:rFonts w:hint="eastAsia" w:ascii="Times New Roman"/>
        </w:rPr>
        <w:t>包含</w:t>
      </w:r>
      <w:r>
        <w:rPr>
          <w:rFonts w:ascii="Times New Roman"/>
        </w:rPr>
        <w:t>CH</w:t>
      </w:r>
      <w:r>
        <w:rPr>
          <w:rFonts w:hint="eastAsia" w:ascii="Times New Roman"/>
          <w:vertAlign w:val="subscript"/>
        </w:rPr>
        <w:t>4</w:t>
      </w:r>
      <w:r>
        <w:rPr>
          <w:rFonts w:hint="eastAsia" w:ascii="Times New Roman"/>
        </w:rPr>
        <w:t>吸收特征波段，且光谱分辨率满足</w:t>
      </w:r>
      <w:r>
        <w:rPr>
          <w:rFonts w:ascii="Times New Roman"/>
        </w:rPr>
        <w:t>CH</w:t>
      </w:r>
      <w:r>
        <w:rPr>
          <w:rFonts w:hint="eastAsia" w:ascii="Times New Roman"/>
          <w:vertAlign w:val="subscript"/>
        </w:rPr>
        <w:t>4</w:t>
      </w:r>
      <w:r>
        <w:rPr>
          <w:rFonts w:hint="eastAsia" w:ascii="Times New Roman"/>
        </w:rPr>
        <w:t>反演算法对光谱采样间隔的要求。</w:t>
      </w:r>
      <w:r>
        <w:rPr>
          <w:rFonts w:ascii="Times New Roman"/>
        </w:rPr>
        <w:t>XCH</w:t>
      </w:r>
      <w:r>
        <w:rPr>
          <w:rFonts w:hint="eastAsia" w:ascii="Times New Roman"/>
          <w:vertAlign w:val="subscript"/>
        </w:rPr>
        <w:t>4</w:t>
      </w:r>
      <w:r>
        <w:rPr>
          <w:rFonts w:hint="eastAsia" w:ascii="Times New Roman"/>
        </w:rPr>
        <w:t>监测产品至少包含XCH</w:t>
      </w:r>
      <w:r>
        <w:rPr>
          <w:rFonts w:hint="eastAsia" w:ascii="Times New Roman"/>
          <w:vertAlign w:val="subscript"/>
        </w:rPr>
        <w:t>4</w:t>
      </w:r>
      <w:r>
        <w:rPr>
          <w:rFonts w:hint="eastAsia" w:ascii="Times New Roman"/>
        </w:rPr>
        <w:t>值、地理位置信息、监测时间、数据质量标识以及用于数据筛选和</w:t>
      </w:r>
      <w:r>
        <w:rPr>
          <w:rFonts w:hint="eastAsia" w:ascii="Times New Roman"/>
          <w:lang w:val="en-US" w:eastAsia="zh-CN"/>
        </w:rPr>
        <w:t>准确性</w:t>
      </w:r>
      <w:r>
        <w:rPr>
          <w:rFonts w:hint="eastAsia" w:ascii="Times New Roman"/>
        </w:rPr>
        <w:t>分析的辅助参数。</w:t>
      </w:r>
    </w:p>
    <w:p w14:paraId="27D0E58B">
      <w:pPr>
        <w:pStyle w:val="47"/>
        <w:spacing w:before="156" w:after="156" w:line="240" w:lineRule="auto"/>
      </w:pPr>
      <w:bookmarkStart w:id="118" w:name="_Toc16273"/>
      <w:bookmarkStart w:id="119" w:name="_Toc22906"/>
      <w:bookmarkStart w:id="120" w:name="_Toc681"/>
      <w:bookmarkStart w:id="121" w:name="_Toc28049"/>
      <w:bookmarkStart w:id="122" w:name="OLE_LINK3"/>
      <w:r>
        <w:rPr>
          <w:rFonts w:hint="eastAsia"/>
        </w:rPr>
        <w:t>地</w:t>
      </w:r>
      <w:bookmarkEnd w:id="118"/>
      <w:r>
        <w:rPr>
          <w:rFonts w:hint="eastAsia"/>
        </w:rPr>
        <w:t>基遥感数据</w:t>
      </w:r>
      <w:bookmarkEnd w:id="119"/>
      <w:bookmarkEnd w:id="120"/>
      <w:bookmarkEnd w:id="121"/>
      <w:r>
        <w:t xml:space="preserve"> </w:t>
      </w:r>
    </w:p>
    <w:p w14:paraId="1402CE2E">
      <w:pPr>
        <w:pStyle w:val="27"/>
        <w:spacing w:after="0" w:line="240" w:lineRule="auto"/>
        <w:rPr>
          <w:rFonts w:hint="default" w:ascii="Times New Roman" w:eastAsia="宋体"/>
          <w:lang w:val="en-US" w:eastAsia="zh-CN"/>
        </w:rPr>
      </w:pPr>
      <w:bookmarkStart w:id="123" w:name="OLE_LINK4"/>
      <w:r>
        <w:rPr>
          <w:rFonts w:hint="eastAsia"/>
        </w:rPr>
        <w:t>用于准确度检验的地基遥感监测数据，</w:t>
      </w:r>
      <w:r>
        <w:t>测量目标为特定地理</w:t>
      </w:r>
      <w:r>
        <w:rPr>
          <w:rFonts w:hint="eastAsia" w:ascii="Times New Roman"/>
        </w:rPr>
        <w:t>位置上的</w:t>
      </w:r>
      <w:r>
        <w:rPr>
          <w:rFonts w:ascii="Times New Roman"/>
        </w:rPr>
        <w:t>XCO</w:t>
      </w:r>
      <w:r>
        <w:rPr>
          <w:rFonts w:ascii="Times New Roman"/>
          <w:vertAlign w:val="subscript"/>
        </w:rPr>
        <w:t>2</w:t>
      </w:r>
      <w:r>
        <w:rPr>
          <w:rFonts w:hint="eastAsia" w:ascii="Times New Roman"/>
        </w:rPr>
        <w:t>或</w:t>
      </w:r>
      <w:r>
        <w:rPr>
          <w:rFonts w:ascii="Times New Roman"/>
        </w:rPr>
        <w:t>XCH</w:t>
      </w:r>
      <w:r>
        <w:rPr>
          <w:rFonts w:hint="eastAsia" w:ascii="Times New Roman"/>
          <w:vertAlign w:val="subscript"/>
        </w:rPr>
        <w:t>4</w:t>
      </w:r>
      <w:r>
        <w:rPr>
          <w:rFonts w:hint="eastAsia" w:ascii="Times New Roman"/>
        </w:rPr>
        <w:t>。地基验证数据优先选择国际公认的标准监测网络数据或采用同等标准建设和运行的区域监测网；在无监测网覆盖的区域，</w:t>
      </w:r>
      <w:r>
        <w:rPr>
          <w:rFonts w:hint="eastAsia" w:ascii="Times New Roman"/>
          <w:highlight w:val="none"/>
        </w:rPr>
        <w:t>可采用</w:t>
      </w:r>
      <w:r>
        <w:rPr>
          <w:rFonts w:hint="eastAsia" w:ascii="Times New Roman"/>
          <w:highlight w:val="none"/>
          <w:lang w:val="en-US" w:eastAsia="zh-CN"/>
        </w:rPr>
        <w:t>能</w:t>
      </w:r>
      <w:r>
        <w:rPr>
          <w:rFonts w:hint="eastAsia" w:ascii="Times New Roman"/>
          <w:highlight w:val="none"/>
        </w:rPr>
        <w:t>溯源至国际公认标准</w:t>
      </w:r>
      <w:r>
        <w:rPr>
          <w:rFonts w:hint="eastAsia" w:ascii="Times New Roman"/>
          <w:highlight w:val="none"/>
          <w:lang w:val="en-US" w:eastAsia="zh-CN"/>
        </w:rPr>
        <w:t>的</w:t>
      </w:r>
      <w:r>
        <w:rPr>
          <w:rFonts w:hint="eastAsia" w:ascii="Times New Roman"/>
          <w:highlight w:val="none"/>
        </w:rPr>
        <w:t>便携</w:t>
      </w:r>
      <w:r>
        <w:rPr>
          <w:rFonts w:hint="eastAsia" w:ascii="Times New Roman"/>
        </w:rPr>
        <w:t>式地基光谱仪</w:t>
      </w:r>
      <w:r>
        <w:rPr>
          <w:rFonts w:hint="eastAsia" w:ascii="Times New Roman"/>
          <w:lang w:eastAsia="zh-CN"/>
        </w:rPr>
        <w:t>，参见附录</w:t>
      </w:r>
      <w:r>
        <w:rPr>
          <w:rFonts w:hint="eastAsia" w:ascii="Times New Roman"/>
          <w:lang w:val="en-US" w:eastAsia="zh-CN"/>
        </w:rPr>
        <w:t>A</w:t>
      </w:r>
      <w:r>
        <w:rPr>
          <w:rFonts w:hint="eastAsia" w:ascii="Times New Roman"/>
        </w:rPr>
        <w:t>。数据应包含柱浓度值、监测时间、地理位置、数据质量标志和</w:t>
      </w:r>
      <w:r>
        <w:rPr>
          <w:rFonts w:hint="eastAsia" w:ascii="Times New Roman"/>
          <w:lang w:val="en-US" w:eastAsia="zh-CN"/>
        </w:rPr>
        <w:t>数据精度</w:t>
      </w:r>
      <w:r>
        <w:rPr>
          <w:rFonts w:hint="eastAsia" w:ascii="Times New Roman"/>
        </w:rPr>
        <w:t>。</w:t>
      </w:r>
    </w:p>
    <w:bookmarkEnd w:id="122"/>
    <w:bookmarkEnd w:id="123"/>
    <w:p w14:paraId="4AAC7588">
      <w:pPr>
        <w:pStyle w:val="47"/>
        <w:spacing w:before="156" w:after="156" w:line="240" w:lineRule="auto"/>
      </w:pPr>
      <w:bookmarkStart w:id="124" w:name="_Toc178171717"/>
      <w:bookmarkStart w:id="125" w:name="_Toc1470"/>
      <w:bookmarkStart w:id="126" w:name="_Toc25987"/>
      <w:bookmarkStart w:id="127" w:name="_Toc140"/>
      <w:bookmarkStart w:id="128" w:name="_Toc177935571"/>
      <w:bookmarkStart w:id="129" w:name="_Toc4373"/>
      <w:r>
        <w:rPr>
          <w:rFonts w:hint="eastAsia"/>
        </w:rPr>
        <w:t>辅助数据</w:t>
      </w:r>
      <w:bookmarkEnd w:id="124"/>
      <w:bookmarkEnd w:id="125"/>
      <w:bookmarkEnd w:id="126"/>
      <w:bookmarkEnd w:id="127"/>
      <w:bookmarkEnd w:id="128"/>
      <w:bookmarkEnd w:id="129"/>
    </w:p>
    <w:p w14:paraId="5525AC6F">
      <w:pPr>
        <w:pStyle w:val="27"/>
        <w:spacing w:after="0" w:line="240" w:lineRule="auto"/>
        <w:rPr>
          <w:rFonts w:ascii="Times New Roman"/>
        </w:rPr>
      </w:pPr>
      <w:bookmarkStart w:id="130" w:name="OLE_LINK5"/>
      <w:r>
        <w:rPr>
          <w:rFonts w:hint="eastAsia" w:ascii="Times New Roman"/>
        </w:rPr>
        <w:t>用于支持温室气体柱浓度遥感监测数据融合补全的辅助数据，可包括气象数据、常规污染气体（如</w:t>
      </w:r>
      <w:r>
        <w:rPr>
          <w:rFonts w:ascii="Times New Roman"/>
        </w:rPr>
        <w:t>CO</w:t>
      </w:r>
      <w:r>
        <w:rPr>
          <w:rFonts w:hint="eastAsia" w:ascii="Times New Roman"/>
        </w:rPr>
        <w:t>、</w:t>
      </w:r>
      <w:r>
        <w:rPr>
          <w:rFonts w:ascii="Times New Roman"/>
        </w:rPr>
        <w:t>NO</w:t>
      </w:r>
      <w:r>
        <w:rPr>
          <w:rFonts w:ascii="Times New Roman"/>
          <w:vertAlign w:val="subscript"/>
        </w:rPr>
        <w:t>2</w:t>
      </w:r>
      <w:r>
        <w:rPr>
          <w:rFonts w:hint="eastAsia" w:ascii="Times New Roman"/>
        </w:rPr>
        <w:t>、O</w:t>
      </w:r>
      <w:r>
        <w:rPr>
          <w:rFonts w:hint="eastAsia" w:ascii="Times New Roman"/>
          <w:vertAlign w:val="subscript"/>
        </w:rPr>
        <w:t>3</w:t>
      </w:r>
      <w:r>
        <w:rPr>
          <w:rFonts w:hint="eastAsia" w:ascii="Times New Roman"/>
        </w:rPr>
        <w:t>等）、植被指数、地理高程以及人为活动数据（如夜间灯光、人口密度、化石能源消费量、温室气体排放源信息）等</w:t>
      </w:r>
      <w:bookmarkEnd w:id="130"/>
      <w:r>
        <w:rPr>
          <w:rFonts w:hint="eastAsia" w:ascii="Times New Roman"/>
        </w:rPr>
        <w:t>。</w:t>
      </w:r>
    </w:p>
    <w:p w14:paraId="215509D9">
      <w:pPr>
        <w:pStyle w:val="47"/>
        <w:spacing w:before="156" w:after="156" w:line="240" w:lineRule="auto"/>
      </w:pPr>
      <w:bookmarkStart w:id="131" w:name="_Toc11230"/>
      <w:bookmarkStart w:id="132" w:name="_Toc178171718"/>
      <w:bookmarkStart w:id="133" w:name="_Toc29494"/>
      <w:bookmarkStart w:id="134" w:name="_Toc26784"/>
      <w:bookmarkStart w:id="135" w:name="_Toc177935572"/>
      <w:bookmarkStart w:id="136" w:name="_Toc21567"/>
      <w:bookmarkStart w:id="137" w:name="_Toc5184"/>
      <w:bookmarkStart w:id="138" w:name="_Toc82446861"/>
      <w:bookmarkStart w:id="139" w:name="_Toc82446724"/>
      <w:bookmarkStart w:id="140" w:name="_Toc83210757"/>
      <w:bookmarkStart w:id="141" w:name="_Toc82446819"/>
      <w:r>
        <w:rPr>
          <w:rFonts w:hint="eastAsia"/>
        </w:rPr>
        <w:t>数据处理</w:t>
      </w:r>
      <w:bookmarkEnd w:id="131"/>
      <w:bookmarkEnd w:id="132"/>
      <w:bookmarkEnd w:id="133"/>
      <w:bookmarkEnd w:id="134"/>
      <w:bookmarkEnd w:id="135"/>
      <w:bookmarkEnd w:id="136"/>
      <w:bookmarkEnd w:id="137"/>
    </w:p>
    <w:p w14:paraId="56679668">
      <w:pPr>
        <w:pStyle w:val="11"/>
        <w:spacing w:before="157" w:beforeLines="50" w:after="157" w:afterLines="50" w:line="240" w:lineRule="auto"/>
        <w:rPr>
          <w:rFonts w:hint="eastAsia" w:ascii="黑体" w:hAnsi="黑体" w:eastAsia="黑体"/>
        </w:rPr>
      </w:pPr>
      <w:bookmarkStart w:id="142" w:name="_Toc177678519"/>
      <w:r>
        <w:rPr>
          <w:rFonts w:hint="eastAsia" w:ascii="黑体" w:hAnsi="黑体" w:eastAsia="黑体"/>
        </w:rPr>
        <w:t>4.4</w:t>
      </w:r>
      <w:r>
        <w:rPr>
          <w:rFonts w:ascii="黑体" w:hAnsi="黑体" w:eastAsia="黑体"/>
        </w:rPr>
        <w:t xml:space="preserve">.1 </w:t>
      </w:r>
      <w:r>
        <w:rPr>
          <w:rFonts w:hint="eastAsia" w:ascii="黑体" w:hAnsi="黑体" w:eastAsia="黑体"/>
        </w:rPr>
        <w:t>数据筛选</w:t>
      </w:r>
      <w:bookmarkEnd w:id="142"/>
    </w:p>
    <w:p w14:paraId="5F02060C">
      <w:pPr>
        <w:pStyle w:val="27"/>
        <w:spacing w:after="0" w:line="240" w:lineRule="auto"/>
      </w:pPr>
      <w:bookmarkStart w:id="143" w:name="_Toc177678520"/>
      <w:r>
        <w:rPr>
          <w:rFonts w:hint="eastAsia"/>
        </w:rPr>
        <w:t>卫星监测的柱浓度数据应根据数据质量标识进行筛选，即通过数据质量标识及实际大气监测条件筛选出高质量数据，剔除低质量数据。</w:t>
      </w:r>
      <w:bookmarkEnd w:id="143"/>
      <w:r>
        <w:rPr>
          <w:rFonts w:hint="eastAsia"/>
        </w:rPr>
        <w:t>筛选方法参见附录</w:t>
      </w:r>
      <w:r>
        <w:rPr>
          <w:rFonts w:hint="eastAsia" w:ascii="Times New Roman"/>
          <w:lang w:val="en-US" w:eastAsia="zh-CN"/>
        </w:rPr>
        <w:t>B</w:t>
      </w:r>
      <w:r>
        <w:rPr>
          <w:rFonts w:hint="eastAsia"/>
        </w:rPr>
        <w:t>。</w:t>
      </w:r>
    </w:p>
    <w:p w14:paraId="6BAED445">
      <w:pPr>
        <w:pStyle w:val="11"/>
        <w:spacing w:before="157" w:beforeLines="50" w:after="157" w:afterLines="50" w:line="240" w:lineRule="auto"/>
        <w:rPr>
          <w:rFonts w:hint="eastAsia" w:ascii="黑体" w:hAnsi="黑体" w:eastAsia="黑体"/>
        </w:rPr>
      </w:pPr>
      <w:bookmarkStart w:id="144" w:name="_Toc177678521"/>
      <w:r>
        <w:rPr>
          <w:rFonts w:hint="eastAsia" w:ascii="黑体" w:hAnsi="黑体" w:eastAsia="黑体"/>
        </w:rPr>
        <w:t>4.4</w:t>
      </w:r>
      <w:r>
        <w:rPr>
          <w:rFonts w:ascii="黑体" w:hAnsi="黑体" w:eastAsia="黑体"/>
        </w:rPr>
        <w:t xml:space="preserve">.2 </w:t>
      </w:r>
      <w:bookmarkEnd w:id="144"/>
      <w:r>
        <w:rPr>
          <w:rFonts w:hint="eastAsia" w:ascii="黑体" w:hAnsi="黑体" w:eastAsia="黑体"/>
        </w:rPr>
        <w:t>多源数据匹配</w:t>
      </w:r>
    </w:p>
    <w:p w14:paraId="2D125A12">
      <w:pPr>
        <w:pStyle w:val="27"/>
        <w:spacing w:after="0" w:line="240" w:lineRule="auto"/>
      </w:pPr>
      <w:bookmarkStart w:id="145" w:name="_Toc177678522"/>
      <w:r>
        <w:rPr>
          <w:rFonts w:hint="eastAsia"/>
        </w:rPr>
        <w:t>通过对温室气体遥感监测数据和多源辅助数据进行数据重采样以统一空间分辨率，提取同一时间或邻近时间数据，即数据时空匹配处理，以形成统一的数据集用于后续融合补全方法建立。</w:t>
      </w:r>
      <w:bookmarkEnd w:id="145"/>
    </w:p>
    <w:p w14:paraId="341639E2">
      <w:pPr>
        <w:pStyle w:val="11"/>
        <w:spacing w:before="157" w:beforeLines="50" w:after="157" w:afterLines="50" w:line="240" w:lineRule="auto"/>
        <w:rPr>
          <w:rFonts w:hint="eastAsia" w:ascii="黑体" w:hAnsi="黑体" w:eastAsia="黑体"/>
        </w:rPr>
      </w:pPr>
      <w:bookmarkStart w:id="146" w:name="_Toc177678523"/>
      <w:r>
        <w:rPr>
          <w:rFonts w:hint="eastAsia" w:ascii="黑体" w:hAnsi="黑体" w:eastAsia="黑体"/>
        </w:rPr>
        <w:t>4.4</w:t>
      </w:r>
      <w:r>
        <w:rPr>
          <w:rFonts w:ascii="黑体" w:hAnsi="黑体" w:eastAsia="黑体"/>
        </w:rPr>
        <w:t xml:space="preserve">.3 </w:t>
      </w:r>
      <w:bookmarkEnd w:id="146"/>
      <w:r>
        <w:rPr>
          <w:rFonts w:hint="eastAsia" w:ascii="黑体" w:hAnsi="黑体" w:eastAsia="黑体"/>
        </w:rPr>
        <w:t>模型建立</w:t>
      </w:r>
    </w:p>
    <w:p w14:paraId="53B768AB">
      <w:pPr>
        <w:pStyle w:val="27"/>
        <w:spacing w:after="0" w:line="240" w:lineRule="auto"/>
      </w:pPr>
      <w:bookmarkStart w:id="147" w:name="_Toc177678524"/>
      <w:r>
        <w:rPr>
          <w:rFonts w:hint="eastAsia"/>
          <w:color w:val="auto"/>
        </w:rPr>
        <w:t>为实现高时空分辨率的卫星监测</w:t>
      </w:r>
      <w:r>
        <w:rPr>
          <w:rFonts w:ascii="Times New Roman"/>
          <w:color w:val="auto"/>
        </w:rPr>
        <w:t>CO</w:t>
      </w:r>
      <w:r>
        <w:rPr>
          <w:rFonts w:ascii="Times New Roman"/>
          <w:color w:val="auto"/>
          <w:vertAlign w:val="subscript"/>
        </w:rPr>
        <w:t>2</w:t>
      </w:r>
      <w:r>
        <w:rPr>
          <w:rFonts w:hint="eastAsia"/>
          <w:color w:val="auto"/>
        </w:rPr>
        <w:t>和</w:t>
      </w:r>
      <w:r>
        <w:rPr>
          <w:rFonts w:ascii="Times New Roman"/>
          <w:color w:val="auto"/>
        </w:rPr>
        <w:t>CH</w:t>
      </w:r>
      <w:r>
        <w:rPr>
          <w:rFonts w:ascii="Times New Roman"/>
          <w:color w:val="auto"/>
          <w:vertAlign w:val="subscript"/>
        </w:rPr>
        <w:t>4</w:t>
      </w:r>
      <w:r>
        <w:rPr>
          <w:rFonts w:hint="eastAsia"/>
          <w:color w:val="auto"/>
        </w:rPr>
        <w:t>柱浓度数据补全，在多源辅助数据匹配的基础上，</w:t>
      </w:r>
      <w:r>
        <w:rPr>
          <w:rFonts w:hint="eastAsia"/>
        </w:rPr>
        <w:t>利用数学统计建模、机器学习等技术，构建温室气体浓度与辅助数据之间的复杂关系模型。</w:t>
      </w:r>
      <w:bookmarkEnd w:id="147"/>
    </w:p>
    <w:p w14:paraId="3E375298">
      <w:pPr>
        <w:pStyle w:val="11"/>
        <w:spacing w:before="157" w:beforeLines="50" w:after="157" w:afterLines="50" w:line="240" w:lineRule="auto"/>
        <w:rPr>
          <w:rFonts w:hint="eastAsia" w:ascii="黑体" w:hAnsi="黑体" w:eastAsia="黑体"/>
        </w:rPr>
      </w:pPr>
      <w:r>
        <w:rPr>
          <w:rFonts w:hint="eastAsia" w:ascii="黑体" w:hAnsi="黑体" w:eastAsia="黑体"/>
        </w:rPr>
        <w:t>4.4.4 数据补全</w:t>
      </w:r>
    </w:p>
    <w:p w14:paraId="6B686F54">
      <w:pPr>
        <w:pStyle w:val="27"/>
        <w:autoSpaceDE/>
        <w:autoSpaceDN/>
        <w:spacing w:after="0" w:line="240" w:lineRule="auto"/>
      </w:pPr>
      <w:r>
        <w:rPr>
          <w:rFonts w:hint="eastAsia"/>
        </w:rPr>
        <w:t>针对卫星观测中因云层遮挡、传感器故障、轨道覆盖间隙等造成的数据缺失问题，利用构建模型对缺失的柱浓度进行插值或融合补全，形成高时空分辨率、完整连续的包含</w:t>
      </w:r>
      <w:r>
        <w:rPr>
          <w:rFonts w:hint="eastAsia" w:ascii="Times New Roman"/>
        </w:rPr>
        <w:t>XCO</w:t>
      </w:r>
      <w:r>
        <w:rPr>
          <w:rFonts w:ascii="Times New Roman"/>
          <w:vertAlign w:val="subscript"/>
        </w:rPr>
        <w:t>2</w:t>
      </w:r>
      <w:r>
        <w:rPr>
          <w:rFonts w:hint="eastAsia" w:ascii="Times New Roman"/>
        </w:rPr>
        <w:t>值、XCH</w:t>
      </w:r>
      <w:r>
        <w:rPr>
          <w:rFonts w:hint="eastAsia" w:ascii="Times New Roman"/>
          <w:vertAlign w:val="subscript"/>
        </w:rPr>
        <w:t>4</w:t>
      </w:r>
      <w:r>
        <w:rPr>
          <w:rFonts w:hint="eastAsia" w:ascii="Times New Roman"/>
        </w:rPr>
        <w:t>值等信息参数的</w:t>
      </w:r>
      <w:r>
        <w:rPr>
          <w:rFonts w:ascii="Times New Roman"/>
        </w:rPr>
        <w:t>CO</w:t>
      </w:r>
      <w:r>
        <w:rPr>
          <w:rFonts w:ascii="Times New Roman"/>
          <w:vertAlign w:val="subscript"/>
        </w:rPr>
        <w:t>2</w:t>
      </w:r>
      <w:r>
        <w:rPr>
          <w:rFonts w:hint="eastAsia" w:ascii="Times New Roman"/>
        </w:rPr>
        <w:t>、</w:t>
      </w:r>
      <w:r>
        <w:rPr>
          <w:rFonts w:ascii="Times New Roman"/>
        </w:rPr>
        <w:t>CH</w:t>
      </w:r>
      <w:r>
        <w:rPr>
          <w:rFonts w:ascii="Times New Roman"/>
          <w:vertAlign w:val="subscript"/>
        </w:rPr>
        <w:t>4</w:t>
      </w:r>
      <w:r>
        <w:rPr>
          <w:rFonts w:ascii="Times New Roman"/>
        </w:rPr>
        <w:t>卫</w:t>
      </w:r>
      <w:r>
        <w:rPr>
          <w:rFonts w:hint="eastAsia"/>
        </w:rPr>
        <w:t>星遥感数据。</w:t>
      </w:r>
    </w:p>
    <w:p w14:paraId="2083C8C0">
      <w:pPr>
        <w:pStyle w:val="50"/>
        <w:spacing w:before="312" w:after="312" w:line="240" w:lineRule="auto"/>
      </w:pPr>
      <w:bookmarkStart w:id="148" w:name="_Toc31226"/>
      <w:bookmarkStart w:id="149" w:name="_Toc27905"/>
      <w:r>
        <w:rPr>
          <w:rFonts w:hint="eastAsia"/>
        </w:rPr>
        <w:t>基本要求</w:t>
      </w:r>
      <w:bookmarkEnd w:id="148"/>
      <w:bookmarkEnd w:id="149"/>
    </w:p>
    <w:p w14:paraId="7AB9427E">
      <w:pPr>
        <w:pStyle w:val="27"/>
        <w:numPr>
          <w:ilvl w:val="255"/>
          <w:numId w:val="0"/>
        </w:numPr>
        <w:autoSpaceDE/>
        <w:autoSpaceDN/>
        <w:spacing w:after="0" w:line="240" w:lineRule="auto"/>
        <w:ind w:firstLine="420" w:firstLineChars="200"/>
      </w:pPr>
      <w:r>
        <w:rPr>
          <w:rFonts w:hint="eastAsia"/>
        </w:rPr>
        <w:t>卫星遥感监测数据准确性检验</w:t>
      </w:r>
      <w:r>
        <w:rPr>
          <w:rFonts w:hint="eastAsia"/>
          <w:lang w:eastAsia="zh-CN"/>
        </w:rPr>
        <w:t>应</w:t>
      </w:r>
      <w:r>
        <w:rPr>
          <w:rFonts w:hint="eastAsia"/>
        </w:rPr>
        <w:t>遵循以下基本要求：</w:t>
      </w:r>
    </w:p>
    <w:p w14:paraId="3038C653">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a）所选的待检对象样本具有代表性；</w:t>
      </w:r>
    </w:p>
    <w:p w14:paraId="0D1D1D05">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b）待检对象样本包括不同季节、不同区域、不同地表类型上的数据，以全面评估待检卫星遥感监测数据的性能；</w:t>
      </w:r>
    </w:p>
    <w:p w14:paraId="30EF0B81">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c）优先选择相对均匀待检对象样本进行准确性检验，以减少空间异质性带来的尺度效应；</w:t>
      </w:r>
    </w:p>
    <w:p w14:paraId="5D9920AA">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d）提前完成待检对象样本与参考对象样本几何信息配准；</w:t>
      </w:r>
    </w:p>
    <w:p w14:paraId="5686FA90">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e）参考遥感产品的空间、光谱、辐射、时间分辨率均优于或接近于待检卫星遥感产品；</w:t>
      </w:r>
    </w:p>
    <w:p w14:paraId="13475A3B">
      <w:pPr>
        <w:pStyle w:val="27"/>
        <w:spacing w:after="0" w:line="240" w:lineRule="auto"/>
      </w:pPr>
      <w:r>
        <w:rPr>
          <w:rFonts w:hint="eastAsia" w:ascii="Times New Roman"/>
        </w:rPr>
        <w:t>f</w:t>
      </w:r>
      <w:r>
        <w:rPr>
          <w:rFonts w:hint="eastAsia" w:ascii="Times New Roman"/>
          <w:kern w:val="2"/>
          <w:szCs w:val="24"/>
        </w:rPr>
        <w:t>）</w:t>
      </w:r>
      <w:r>
        <w:rPr>
          <w:rFonts w:hint="eastAsia"/>
        </w:rPr>
        <w:t>准确性检验包括模型训练及优化中的过程检验，也包括数据补全之后卫星</w:t>
      </w:r>
      <w:r>
        <w:rPr>
          <w:rFonts w:hint="eastAsia" w:ascii="Times New Roman"/>
          <w:kern w:val="2"/>
          <w:szCs w:val="24"/>
        </w:rPr>
        <w:t>遥感产品的</w:t>
      </w:r>
      <w:r>
        <w:rPr>
          <w:rFonts w:hint="eastAsia"/>
        </w:rPr>
        <w:t>结果检验。</w:t>
      </w:r>
    </w:p>
    <w:bookmarkEnd w:id="138"/>
    <w:bookmarkEnd w:id="139"/>
    <w:bookmarkEnd w:id="140"/>
    <w:bookmarkEnd w:id="141"/>
    <w:p w14:paraId="335D3CD6">
      <w:pPr>
        <w:pStyle w:val="50"/>
        <w:spacing w:before="312" w:after="312" w:line="240" w:lineRule="auto"/>
      </w:pPr>
      <w:bookmarkStart w:id="150" w:name="_Toc31170"/>
      <w:bookmarkStart w:id="151" w:name="_Toc18058"/>
      <w:bookmarkStart w:id="152" w:name="_Toc25690"/>
      <w:bookmarkStart w:id="153" w:name="_Toc2660"/>
      <w:bookmarkStart w:id="154" w:name="_Toc178171719"/>
      <w:bookmarkStart w:id="155" w:name="_Toc1250"/>
      <w:r>
        <w:rPr>
          <w:rFonts w:hint="eastAsia"/>
        </w:rPr>
        <w:t>检验方法</w:t>
      </w:r>
      <w:bookmarkEnd w:id="150"/>
      <w:bookmarkEnd w:id="151"/>
      <w:bookmarkEnd w:id="152"/>
      <w:bookmarkEnd w:id="153"/>
      <w:bookmarkEnd w:id="154"/>
      <w:bookmarkEnd w:id="155"/>
    </w:p>
    <w:p w14:paraId="1AF3A873">
      <w:pPr>
        <w:pStyle w:val="47"/>
        <w:spacing w:before="156" w:after="156" w:line="240" w:lineRule="auto"/>
      </w:pPr>
      <w:bookmarkStart w:id="156" w:name="_Toc448322988"/>
      <w:bookmarkEnd w:id="156"/>
      <w:bookmarkStart w:id="157" w:name="_Toc449037260"/>
      <w:bookmarkEnd w:id="157"/>
      <w:bookmarkStart w:id="158" w:name="_Toc31902"/>
      <w:bookmarkStart w:id="159" w:name="_Toc15839"/>
      <w:bookmarkStart w:id="160" w:name="_Toc5173"/>
      <w:bookmarkStart w:id="161" w:name="_Toc21391"/>
      <w:bookmarkStart w:id="162" w:name="_Toc178171720"/>
      <w:bookmarkStart w:id="163" w:name="_Toc9143"/>
      <w:bookmarkStart w:id="164" w:name="OLE_LINK6"/>
      <w:r>
        <w:rPr>
          <w:rFonts w:hint="eastAsia"/>
        </w:rPr>
        <w:t>检验方法选择</w:t>
      </w:r>
      <w:bookmarkEnd w:id="158"/>
      <w:bookmarkEnd w:id="159"/>
      <w:bookmarkEnd w:id="160"/>
      <w:bookmarkEnd w:id="161"/>
      <w:bookmarkEnd w:id="162"/>
      <w:bookmarkEnd w:id="163"/>
    </w:p>
    <w:p w14:paraId="1091FAEE">
      <w:pPr>
        <w:pStyle w:val="27"/>
        <w:numPr>
          <w:ilvl w:val="255"/>
          <w:numId w:val="0"/>
        </w:numPr>
        <w:autoSpaceDE/>
        <w:autoSpaceDN/>
        <w:spacing w:after="0" w:line="240" w:lineRule="auto"/>
        <w:ind w:firstLine="420" w:firstLineChars="200"/>
        <w:rPr>
          <w:rFonts w:ascii="Times New Roman"/>
          <w:kern w:val="2"/>
          <w:szCs w:val="24"/>
        </w:rPr>
      </w:pPr>
      <w:r>
        <w:rPr>
          <w:rFonts w:hint="eastAsia"/>
        </w:rPr>
        <w:t>根据参考对象的可获取性选择相应的检验方法：</w:t>
      </w:r>
    </w:p>
    <w:p w14:paraId="4B5423F3">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a）当有符合</w:t>
      </w:r>
      <w:r>
        <w:rPr>
          <w:rFonts w:hint="eastAsia" w:ascii="Times New Roman"/>
          <w:kern w:val="2"/>
          <w:szCs w:val="24"/>
          <w:highlight w:val="none"/>
        </w:rPr>
        <w:t>4</w:t>
      </w:r>
      <w:r>
        <w:rPr>
          <w:rFonts w:ascii="Times New Roman"/>
          <w:kern w:val="2"/>
          <w:szCs w:val="24"/>
          <w:highlight w:val="none"/>
        </w:rPr>
        <w:t>.2</w:t>
      </w:r>
      <w:r>
        <w:rPr>
          <w:rFonts w:hint="eastAsia" w:ascii="Times New Roman"/>
          <w:kern w:val="2"/>
          <w:szCs w:val="24"/>
        </w:rPr>
        <w:t>的地基遥感数据作为</w:t>
      </w:r>
      <w:bookmarkStart w:id="165" w:name="OLE_LINK92"/>
      <w:r>
        <w:rPr>
          <w:rFonts w:hint="eastAsia" w:ascii="Times New Roman"/>
          <w:kern w:val="2"/>
          <w:szCs w:val="24"/>
        </w:rPr>
        <w:t>参考对象时</w:t>
      </w:r>
      <w:bookmarkEnd w:id="165"/>
      <w:r>
        <w:rPr>
          <w:rFonts w:hint="eastAsia" w:ascii="Times New Roman"/>
          <w:kern w:val="2"/>
          <w:szCs w:val="24"/>
        </w:rPr>
        <w:t>，优先采用直接检验法；</w:t>
      </w:r>
    </w:p>
    <w:p w14:paraId="75F3F08C">
      <w:pPr>
        <w:pStyle w:val="27"/>
        <w:autoSpaceDE/>
        <w:autoSpaceDN/>
        <w:spacing w:after="0" w:line="240" w:lineRule="auto"/>
      </w:pPr>
      <w:r>
        <w:rPr>
          <w:rFonts w:hint="eastAsia" w:ascii="Times New Roman"/>
          <w:kern w:val="2"/>
          <w:szCs w:val="24"/>
        </w:rPr>
        <w:t>b）当无符合</w:t>
      </w:r>
      <w:r>
        <w:rPr>
          <w:rFonts w:hint="eastAsia" w:ascii="Times New Roman"/>
          <w:kern w:val="2"/>
          <w:szCs w:val="24"/>
          <w:highlight w:val="none"/>
        </w:rPr>
        <w:t>4</w:t>
      </w:r>
      <w:r>
        <w:rPr>
          <w:rFonts w:ascii="Times New Roman"/>
          <w:kern w:val="2"/>
          <w:szCs w:val="24"/>
          <w:highlight w:val="none"/>
        </w:rPr>
        <w:t>.2</w:t>
      </w:r>
      <w:r>
        <w:rPr>
          <w:rFonts w:hint="eastAsia" w:ascii="Times New Roman"/>
          <w:kern w:val="2"/>
          <w:szCs w:val="24"/>
        </w:rPr>
        <w:t>的地基遥感数据，有已通过检校的高精度卫星遥感等监测产品作为参考对象时，可采用间接检验法。</w:t>
      </w:r>
    </w:p>
    <w:bookmarkEnd w:id="164"/>
    <w:p w14:paraId="2A6031CF">
      <w:pPr>
        <w:pStyle w:val="47"/>
        <w:spacing w:before="156" w:after="156" w:line="240" w:lineRule="auto"/>
      </w:pPr>
      <w:bookmarkStart w:id="166" w:name="_Toc20295"/>
      <w:bookmarkStart w:id="167" w:name="_Toc28192"/>
      <w:bookmarkStart w:id="168" w:name="_Toc3888"/>
      <w:bookmarkStart w:id="169" w:name="_Toc178171721"/>
      <w:bookmarkStart w:id="170" w:name="_Toc11457"/>
      <w:bookmarkStart w:id="171" w:name="_Toc10370"/>
      <w:r>
        <w:rPr>
          <w:rFonts w:hint="eastAsia"/>
        </w:rPr>
        <w:t>直接检验法</w:t>
      </w:r>
      <w:bookmarkEnd w:id="166"/>
      <w:bookmarkEnd w:id="167"/>
      <w:bookmarkEnd w:id="168"/>
      <w:bookmarkEnd w:id="169"/>
      <w:bookmarkEnd w:id="170"/>
      <w:bookmarkEnd w:id="171"/>
    </w:p>
    <w:p w14:paraId="47638AEB">
      <w:pPr>
        <w:pStyle w:val="27"/>
        <w:spacing w:after="0" w:line="240" w:lineRule="auto"/>
        <w:rPr>
          <w:rFonts w:ascii="Times New Roman"/>
          <w:kern w:val="2"/>
          <w:szCs w:val="24"/>
        </w:rPr>
      </w:pPr>
      <w:bookmarkStart w:id="172" w:name="OLE_LINK39"/>
      <w:r>
        <w:rPr>
          <w:rFonts w:hint="eastAsia" w:ascii="Times New Roman"/>
          <w:kern w:val="2"/>
          <w:szCs w:val="24"/>
        </w:rPr>
        <w:t>直接检验法检验主要流程见图1，步骤如下：</w:t>
      </w:r>
    </w:p>
    <w:p w14:paraId="50D54677">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a）基本信息获取：读取待检卫星遥感产品的基本信息，包括产品数据标识、经纬度、地理投影、空间分辨率、空间范围、时间分辨率、监测时间等；</w:t>
      </w:r>
    </w:p>
    <w:p w14:paraId="20FD2F0E">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rPr>
        <w:t>b）样本选择：参照GB/T 39468中检验样本抽样方法进行样本选择；</w:t>
      </w:r>
    </w:p>
    <w:p w14:paraId="2C02EE2D">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lang w:val="en-US" w:eastAsia="zh-CN"/>
        </w:rPr>
        <w:t>c</w:t>
      </w:r>
      <w:r>
        <w:rPr>
          <w:rFonts w:hint="eastAsia" w:ascii="Times New Roman"/>
          <w:kern w:val="2"/>
          <w:szCs w:val="24"/>
        </w:rPr>
        <w:t>）地基遥感数据获取：根据待检卫星遥感产品的空间范围判断在此范围内是否已有地基遥感数据。若待检卫星遥感产品空间范围内已有地基遥感数据，则选取对应的已有监测数据；若无地基遥感数据，可布设符合国际公认标准监测网的便携式地基光谱仪，进行地面监测及数据采集，以获取地基遥感数据；</w:t>
      </w:r>
    </w:p>
    <w:p w14:paraId="0777EFC5">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lang w:val="en-US" w:eastAsia="zh-CN"/>
        </w:rPr>
        <w:t>d</w:t>
      </w:r>
      <w:r>
        <w:rPr>
          <w:rFonts w:hint="eastAsia" w:ascii="Times New Roman"/>
          <w:kern w:val="2"/>
          <w:szCs w:val="24"/>
        </w:rPr>
        <w:t>）空间匹配：将地基遥感数据与待检验卫星遥感产品相关像元进行空间匹配，相关像元建议以地面监测站点为中心，获取其周边一定范围内（如3 km*3 km）的卫星产品，计算该范围内的卫星遥感监测平均值作为待检卫星遥感监测值；</w:t>
      </w:r>
    </w:p>
    <w:p w14:paraId="1F360D9E">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lang w:val="en-US" w:eastAsia="zh-CN"/>
        </w:rPr>
        <w:t>e</w:t>
      </w:r>
      <w:r>
        <w:rPr>
          <w:rFonts w:hint="eastAsia" w:ascii="Times New Roman"/>
          <w:kern w:val="2"/>
          <w:szCs w:val="24"/>
        </w:rPr>
        <w:t>）时间匹配：将与待检卫星遥感产品监测时间相差前后30 min或1 h内的所有地基遥感数据进行时间插值，</w:t>
      </w:r>
      <w:r>
        <w:rPr>
          <w:rFonts w:ascii="Times New Roman"/>
          <w:kern w:val="2"/>
          <w:szCs w:val="24"/>
          <w:lang w:bidi="ar"/>
        </w:rPr>
        <w:t>计算该时间窗口内的平均值作为</w:t>
      </w:r>
      <w:r>
        <w:rPr>
          <w:rFonts w:hint="eastAsia" w:ascii="Times New Roman"/>
          <w:kern w:val="2"/>
          <w:szCs w:val="24"/>
          <w:lang w:bidi="ar"/>
        </w:rPr>
        <w:t>地基遥感</w:t>
      </w:r>
      <w:r>
        <w:rPr>
          <w:rFonts w:hint="eastAsia" w:ascii="Times New Roman"/>
          <w:kern w:val="2"/>
          <w:szCs w:val="24"/>
        </w:rPr>
        <w:t>监测</w:t>
      </w:r>
      <w:r>
        <w:rPr>
          <w:rFonts w:ascii="Times New Roman"/>
          <w:kern w:val="2"/>
          <w:szCs w:val="24"/>
          <w:lang w:bidi="ar"/>
        </w:rPr>
        <w:t>参考值</w:t>
      </w:r>
      <w:r>
        <w:rPr>
          <w:rFonts w:hint="eastAsia" w:ascii="Times New Roman"/>
          <w:kern w:val="2"/>
          <w:szCs w:val="24"/>
        </w:rPr>
        <w:t>；</w:t>
      </w:r>
    </w:p>
    <w:p w14:paraId="77B530F3">
      <w:pPr>
        <w:pStyle w:val="27"/>
        <w:numPr>
          <w:ilvl w:val="255"/>
          <w:numId w:val="0"/>
        </w:numPr>
        <w:autoSpaceDE/>
        <w:autoSpaceDN/>
        <w:spacing w:after="0" w:line="240" w:lineRule="auto"/>
        <w:ind w:firstLine="420" w:firstLineChars="200"/>
        <w:rPr>
          <w:rFonts w:ascii="Times New Roman"/>
          <w:kern w:val="2"/>
          <w:szCs w:val="24"/>
        </w:rPr>
      </w:pPr>
      <w:r>
        <w:rPr>
          <w:rFonts w:hint="eastAsia" w:ascii="Times New Roman"/>
          <w:kern w:val="2"/>
          <w:szCs w:val="24"/>
          <w:lang w:val="en-US" w:eastAsia="zh-CN"/>
        </w:rPr>
        <w:t>f</w:t>
      </w:r>
      <w:r>
        <w:rPr>
          <w:rFonts w:hint="eastAsia" w:ascii="Times New Roman"/>
          <w:kern w:val="2"/>
          <w:szCs w:val="24"/>
          <w:lang w:eastAsia="zh-CN"/>
        </w:rPr>
        <w:t>）</w:t>
      </w:r>
      <w:r>
        <w:rPr>
          <w:rFonts w:hint="eastAsia" w:ascii="Times New Roman"/>
          <w:kern w:val="2"/>
          <w:szCs w:val="24"/>
        </w:rPr>
        <w:t>准确度评价：参照GB/T 36296中准确度评价指标定量表达待检卫星遥感产品的准确度，准确度评价指标应包括均方根误差、相关系数、</w:t>
      </w:r>
      <w:r>
        <w:rPr>
          <w:rFonts w:hint="eastAsia" w:ascii="Times New Roman"/>
          <w:kern w:val="2"/>
          <w:szCs w:val="24"/>
          <w:lang w:val="en-US" w:eastAsia="zh-CN"/>
        </w:rPr>
        <w:t>平均</w:t>
      </w:r>
      <w:r>
        <w:rPr>
          <w:rFonts w:hint="eastAsia" w:ascii="Times New Roman"/>
          <w:kern w:val="2"/>
          <w:szCs w:val="24"/>
        </w:rPr>
        <w:t>绝对误差，</w:t>
      </w:r>
      <w:r>
        <w:rPr>
          <w:rFonts w:hint="eastAsia"/>
        </w:rPr>
        <w:t>计算方法见附录</w:t>
      </w:r>
      <w:r>
        <w:rPr>
          <w:rFonts w:hint="eastAsia" w:ascii="Times New Roman"/>
          <w:lang w:val="en-US" w:eastAsia="zh-CN"/>
        </w:rPr>
        <w:t>C</w:t>
      </w:r>
      <w:r>
        <w:rPr>
          <w:rFonts w:hint="eastAsia"/>
        </w:rPr>
        <w:t>；</w:t>
      </w:r>
    </w:p>
    <w:p w14:paraId="7D23D036">
      <w:pPr>
        <w:pStyle w:val="27"/>
        <w:numPr>
          <w:ilvl w:val="255"/>
          <w:numId w:val="0"/>
        </w:numPr>
        <w:autoSpaceDE/>
        <w:autoSpaceDN/>
        <w:spacing w:after="0" w:line="240" w:lineRule="auto"/>
        <w:ind w:firstLine="420" w:firstLineChars="200"/>
      </w:pPr>
      <w:r>
        <w:rPr>
          <w:rFonts w:hint="eastAsia" w:ascii="Times New Roman"/>
          <w:kern w:val="2"/>
          <w:szCs w:val="24"/>
          <w:lang w:val="en-US" w:eastAsia="zh-CN"/>
        </w:rPr>
        <w:t>g</w:t>
      </w:r>
      <w:r>
        <w:rPr>
          <w:rFonts w:hint="eastAsia" w:ascii="Times New Roman"/>
          <w:kern w:val="2"/>
          <w:szCs w:val="24"/>
        </w:rPr>
        <w:t>）不确定度评价：参照GB/T 36296中不确定度评价指标进行待检卫星遥感产品的不确定度分析，不确定度评价指标应包括标准差，</w:t>
      </w:r>
      <w:r>
        <w:rPr>
          <w:rFonts w:hint="eastAsia"/>
        </w:rPr>
        <w:t>计算方法见附录</w:t>
      </w:r>
      <w:r>
        <w:rPr>
          <w:rFonts w:hint="eastAsia" w:ascii="Times New Roman"/>
          <w:lang w:val="en-US" w:eastAsia="zh-CN"/>
        </w:rPr>
        <w:t>D</w:t>
      </w:r>
      <w:r>
        <w:rPr>
          <w:rFonts w:hint="eastAsia"/>
        </w:rPr>
        <w:t>。</w:t>
      </w:r>
    </w:p>
    <w:p w14:paraId="61F7A439">
      <w:pPr>
        <w:pStyle w:val="27"/>
        <w:numPr>
          <w:ilvl w:val="255"/>
          <w:numId w:val="0"/>
        </w:numPr>
        <w:autoSpaceDE/>
        <w:autoSpaceDN/>
        <w:spacing w:after="0" w:line="240" w:lineRule="auto"/>
        <w:jc w:val="center"/>
      </w:pPr>
      <w:r>
        <w:drawing>
          <wp:inline distT="0" distB="0" distL="114300" distR="114300">
            <wp:extent cx="3608705" cy="4563745"/>
            <wp:effectExtent l="0" t="0" r="10795" b="825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4"/>
                    <a:stretch>
                      <a:fillRect/>
                    </a:stretch>
                  </pic:blipFill>
                  <pic:spPr>
                    <a:xfrm>
                      <a:off x="0" y="0"/>
                      <a:ext cx="3608705" cy="4563745"/>
                    </a:xfrm>
                    <a:prstGeom prst="rect">
                      <a:avLst/>
                    </a:prstGeom>
                    <a:noFill/>
                    <a:ln>
                      <a:noFill/>
                    </a:ln>
                  </pic:spPr>
                </pic:pic>
              </a:graphicData>
            </a:graphic>
          </wp:inline>
        </w:drawing>
      </w:r>
    </w:p>
    <w:p w14:paraId="7463FB3E">
      <w:pPr>
        <w:pStyle w:val="27"/>
        <w:ind w:firstLine="0" w:firstLineChars="0"/>
        <w:jc w:val="center"/>
        <w:rPr>
          <w:sz w:val="18"/>
          <w:szCs w:val="18"/>
        </w:rPr>
      </w:pPr>
      <w:r>
        <w:rPr>
          <w:rFonts w:hint="eastAsia"/>
          <w:sz w:val="18"/>
          <w:szCs w:val="18"/>
        </w:rPr>
        <w:t>图1 温室气体柱浓度遥感监测结果直接检验法操作流程</w:t>
      </w:r>
    </w:p>
    <w:bookmarkEnd w:id="172"/>
    <w:p w14:paraId="3AAA5FE0">
      <w:pPr>
        <w:pStyle w:val="47"/>
        <w:spacing w:before="156" w:after="156" w:line="240" w:lineRule="auto"/>
      </w:pPr>
      <w:bookmarkStart w:id="173" w:name="_Toc178171722"/>
      <w:bookmarkStart w:id="174" w:name="_Toc29975"/>
      <w:bookmarkStart w:id="175" w:name="_Toc17057"/>
      <w:bookmarkStart w:id="176" w:name="_Toc2828"/>
      <w:bookmarkStart w:id="177" w:name="_Toc14177"/>
      <w:bookmarkStart w:id="178" w:name="_Toc14768"/>
      <w:r>
        <w:rPr>
          <w:rFonts w:hint="eastAsia"/>
        </w:rPr>
        <w:t>间接检验</w:t>
      </w:r>
      <w:bookmarkEnd w:id="173"/>
      <w:r>
        <w:rPr>
          <w:rFonts w:hint="eastAsia"/>
        </w:rPr>
        <w:t>法</w:t>
      </w:r>
      <w:bookmarkEnd w:id="174"/>
      <w:bookmarkEnd w:id="175"/>
      <w:bookmarkEnd w:id="176"/>
      <w:bookmarkEnd w:id="177"/>
      <w:bookmarkEnd w:id="178"/>
    </w:p>
    <w:p w14:paraId="352CF303">
      <w:pPr>
        <w:pStyle w:val="27"/>
        <w:spacing w:after="0" w:line="240" w:lineRule="auto"/>
        <w:rPr>
          <w:rFonts w:ascii="Times New Roman"/>
        </w:rPr>
      </w:pPr>
      <w:bookmarkStart w:id="179" w:name="_Hlk201850081"/>
      <w:r>
        <w:rPr>
          <w:rFonts w:hint="eastAsia" w:ascii="Times New Roman"/>
        </w:rPr>
        <w:t>间接检验流程应符合</w:t>
      </w:r>
      <w:r>
        <w:rPr>
          <w:rFonts w:ascii="Times New Roman"/>
        </w:rPr>
        <w:t>GB/T</w:t>
      </w:r>
      <w:r>
        <w:rPr>
          <w:rFonts w:hint="eastAsia" w:ascii="Times New Roman"/>
        </w:rPr>
        <w:t xml:space="preserve"> </w:t>
      </w:r>
      <w:r>
        <w:rPr>
          <w:rFonts w:ascii="Times New Roman"/>
        </w:rPr>
        <w:t>36296</w:t>
      </w:r>
      <w:r>
        <w:rPr>
          <w:rFonts w:hint="eastAsia" w:ascii="Times New Roman"/>
        </w:rPr>
        <w:t>中</w:t>
      </w:r>
      <w:r>
        <w:rPr>
          <w:rFonts w:hint="eastAsia" w:ascii="Times New Roman"/>
          <w:lang w:val="en-US" w:eastAsia="zh-CN"/>
        </w:rPr>
        <w:t>间接检验法中的交叉检验法</w:t>
      </w:r>
      <w:r>
        <w:rPr>
          <w:rFonts w:hint="eastAsia" w:ascii="Times New Roman"/>
        </w:rPr>
        <w:t>规定，主要操作流程见图</w:t>
      </w:r>
      <w:r>
        <w:rPr>
          <w:rFonts w:ascii="Times New Roman"/>
        </w:rPr>
        <w:t>2</w:t>
      </w:r>
      <w:r>
        <w:rPr>
          <w:rFonts w:hint="eastAsia" w:ascii="Times New Roman"/>
        </w:rPr>
        <w:t>，操作步骤如下</w:t>
      </w:r>
      <w:r>
        <w:rPr>
          <w:rFonts w:ascii="Times New Roman"/>
        </w:rPr>
        <w:t>:</w:t>
      </w:r>
    </w:p>
    <w:p w14:paraId="18737D61">
      <w:pPr>
        <w:pStyle w:val="27"/>
        <w:numPr>
          <w:ilvl w:val="255"/>
          <w:numId w:val="0"/>
        </w:numPr>
        <w:tabs>
          <w:tab w:val="left" w:pos="840"/>
        </w:tabs>
        <w:autoSpaceDE/>
        <w:autoSpaceDN/>
        <w:spacing w:after="0" w:line="240" w:lineRule="auto"/>
        <w:ind w:firstLine="420" w:firstLineChars="200"/>
        <w:rPr>
          <w:rFonts w:ascii="Times New Roman"/>
        </w:rPr>
      </w:pPr>
      <w:r>
        <w:rPr>
          <w:rFonts w:hint="eastAsia" w:ascii="Times New Roman"/>
        </w:rPr>
        <w:t>a）基本信息获取：从待检卫星遥感产品中读取基本信息，包括监测数据类别、空间分辨率、空间范围、时间分辨率及监测时间等信息；</w:t>
      </w:r>
    </w:p>
    <w:p w14:paraId="219DAA10">
      <w:pPr>
        <w:pStyle w:val="27"/>
        <w:numPr>
          <w:ilvl w:val="255"/>
          <w:numId w:val="0"/>
        </w:numPr>
        <w:autoSpaceDE/>
        <w:autoSpaceDN/>
        <w:spacing w:after="0" w:line="240" w:lineRule="auto"/>
        <w:ind w:firstLine="420" w:firstLineChars="200"/>
        <w:rPr>
          <w:rFonts w:ascii="Times New Roman"/>
        </w:rPr>
      </w:pPr>
      <w:r>
        <w:rPr>
          <w:rFonts w:hint="eastAsia" w:ascii="Times New Roman"/>
        </w:rPr>
        <w:t>b）已检监测产品选择：按照第</w:t>
      </w:r>
      <w:r>
        <w:rPr>
          <w:rFonts w:hint="eastAsia" w:ascii="Times New Roman"/>
          <w:lang w:val="en-US" w:eastAsia="zh-CN"/>
        </w:rPr>
        <w:t>5</w:t>
      </w:r>
      <w:r>
        <w:rPr>
          <w:rFonts w:hint="eastAsia" w:ascii="Times New Roman"/>
        </w:rPr>
        <w:t>章中基本要求</w:t>
      </w:r>
      <w:r>
        <w:rPr>
          <w:rFonts w:hint="eastAsia" w:ascii="Times New Roman"/>
          <w:lang w:eastAsia="zh-CN"/>
        </w:rPr>
        <w:t>，</w:t>
      </w:r>
      <w:r>
        <w:rPr>
          <w:rFonts w:hint="eastAsia" w:ascii="Times New Roman"/>
        </w:rPr>
        <w:t>选取准确度及不确定度已知且数据质量高的已检产品作为间接检验的参考对象；</w:t>
      </w:r>
    </w:p>
    <w:p w14:paraId="3891E7A7">
      <w:pPr>
        <w:pStyle w:val="27"/>
        <w:numPr>
          <w:ilvl w:val="255"/>
          <w:numId w:val="0"/>
        </w:numPr>
        <w:autoSpaceDE/>
        <w:autoSpaceDN/>
        <w:spacing w:after="0" w:line="240" w:lineRule="auto"/>
        <w:ind w:firstLine="420" w:firstLineChars="200"/>
        <w:rPr>
          <w:rFonts w:ascii="Times New Roman"/>
        </w:rPr>
      </w:pPr>
      <w:r>
        <w:rPr>
          <w:rFonts w:hint="eastAsia" w:ascii="Times New Roman"/>
        </w:rPr>
        <w:t>c）空间重采样：对已检监测产品和待检卫星遥感产品中空间分辨率高的产品进行空间重采样，使两者空间分辨率一致；</w:t>
      </w:r>
      <w:bookmarkStart w:id="248" w:name="_GoBack"/>
      <w:bookmarkEnd w:id="248"/>
    </w:p>
    <w:p w14:paraId="5070C237">
      <w:pPr>
        <w:pStyle w:val="27"/>
        <w:numPr>
          <w:ilvl w:val="255"/>
          <w:numId w:val="0"/>
        </w:numPr>
        <w:autoSpaceDE/>
        <w:autoSpaceDN/>
        <w:spacing w:after="0" w:line="240" w:lineRule="auto"/>
        <w:ind w:firstLine="420" w:firstLineChars="200"/>
        <w:rPr>
          <w:rFonts w:ascii="Times New Roman"/>
        </w:rPr>
      </w:pPr>
      <w:r>
        <w:rPr>
          <w:rFonts w:hint="eastAsia" w:ascii="Times New Roman"/>
        </w:rPr>
        <w:t>d）时间匹配：应计算与待检卫星遥感产品监测时间30 min或</w:t>
      </w:r>
      <w:r>
        <w:rPr>
          <w:rFonts w:ascii="Times New Roman"/>
        </w:rPr>
        <w:t>1</w:t>
      </w:r>
      <w:r>
        <w:rPr>
          <w:rFonts w:hint="eastAsia" w:ascii="Times New Roman"/>
        </w:rPr>
        <w:t xml:space="preserve"> </w:t>
      </w:r>
      <w:r>
        <w:rPr>
          <w:rFonts w:ascii="Times New Roman"/>
        </w:rPr>
        <w:t>h</w:t>
      </w:r>
      <w:r>
        <w:rPr>
          <w:rFonts w:hint="eastAsia" w:ascii="Times New Roman"/>
        </w:rPr>
        <w:t>内的所有已检监测产品数据的算数平均值作为像元尺度的相对真值；</w:t>
      </w:r>
    </w:p>
    <w:p w14:paraId="10D79BF0">
      <w:pPr>
        <w:pStyle w:val="27"/>
        <w:numPr>
          <w:ilvl w:val="255"/>
          <w:numId w:val="0"/>
        </w:numPr>
        <w:autoSpaceDE/>
        <w:autoSpaceDN/>
        <w:spacing w:after="0" w:line="240" w:lineRule="auto"/>
        <w:ind w:firstLine="420" w:firstLineChars="200"/>
        <w:rPr>
          <w:rFonts w:ascii="Times New Roman"/>
        </w:rPr>
      </w:pPr>
      <w:r>
        <w:rPr>
          <w:rFonts w:hint="eastAsia" w:ascii="Times New Roman"/>
        </w:rPr>
        <w:t>e）样本选择：参照</w:t>
      </w:r>
      <w:r>
        <w:rPr>
          <w:rFonts w:ascii="Times New Roman"/>
        </w:rPr>
        <w:t>GB/T</w:t>
      </w:r>
      <w:r>
        <w:rPr>
          <w:rFonts w:hint="eastAsia" w:ascii="Times New Roman"/>
        </w:rPr>
        <w:t xml:space="preserve"> </w:t>
      </w:r>
      <w:r>
        <w:rPr>
          <w:rFonts w:ascii="Times New Roman"/>
        </w:rPr>
        <w:t>39468</w:t>
      </w:r>
      <w:r>
        <w:rPr>
          <w:rFonts w:hint="eastAsia" w:ascii="Times New Roman"/>
        </w:rPr>
        <w:t>中</w:t>
      </w:r>
      <w:r>
        <w:rPr>
          <w:rFonts w:hint="eastAsia" w:ascii="Times New Roman"/>
          <w:lang w:val="en-US" w:eastAsia="zh-CN"/>
        </w:rPr>
        <w:t>交叉检验法中对</w:t>
      </w:r>
      <w:r>
        <w:rPr>
          <w:rFonts w:hint="eastAsia" w:ascii="Times New Roman"/>
        </w:rPr>
        <w:t>检验样本抽样方法进行样本选择，</w:t>
      </w:r>
      <w:r>
        <w:rPr>
          <w:rFonts w:ascii="Times New Roman"/>
        </w:rPr>
        <w:t>样本</w:t>
      </w:r>
      <w:r>
        <w:rPr>
          <w:rFonts w:hint="eastAsia" w:ascii="Times New Roman"/>
        </w:rPr>
        <w:t>应</w:t>
      </w:r>
      <w:r>
        <w:rPr>
          <w:rFonts w:ascii="Times New Roman"/>
        </w:rPr>
        <w:t>覆盖</w:t>
      </w:r>
      <w:r>
        <w:rPr>
          <w:rFonts w:hint="eastAsia" w:ascii="Times New Roman"/>
        </w:rPr>
        <w:t>不同季节、不同区域、不同地表类型；</w:t>
      </w:r>
    </w:p>
    <w:p w14:paraId="3A860581">
      <w:pPr>
        <w:pStyle w:val="27"/>
        <w:numPr>
          <w:ilvl w:val="255"/>
          <w:numId w:val="0"/>
        </w:numPr>
        <w:autoSpaceDE/>
        <w:autoSpaceDN/>
        <w:spacing w:after="0" w:line="240" w:lineRule="auto"/>
        <w:ind w:firstLine="420" w:firstLineChars="200"/>
        <w:rPr>
          <w:rFonts w:ascii="Times New Roman"/>
        </w:rPr>
      </w:pPr>
      <w:r>
        <w:rPr>
          <w:rFonts w:hint="eastAsia" w:ascii="Times New Roman"/>
        </w:rPr>
        <w:t>f）准确度评价：参照</w:t>
      </w:r>
      <w:r>
        <w:rPr>
          <w:rFonts w:ascii="Times New Roman"/>
        </w:rPr>
        <w:t>GB/T</w:t>
      </w:r>
      <w:r>
        <w:rPr>
          <w:rFonts w:hint="eastAsia" w:ascii="Times New Roman"/>
        </w:rPr>
        <w:t xml:space="preserve"> </w:t>
      </w:r>
      <w:r>
        <w:rPr>
          <w:rFonts w:ascii="Times New Roman"/>
        </w:rPr>
        <w:t>36296</w:t>
      </w:r>
      <w:r>
        <w:rPr>
          <w:rFonts w:hint="eastAsia" w:ascii="Times New Roman"/>
        </w:rPr>
        <w:t>中准确度评价指标定量表达待检卫星遥感产品准确度，准确度评价指标应包括均方根误差、相关系数、</w:t>
      </w:r>
      <w:r>
        <w:rPr>
          <w:rFonts w:hint="eastAsia" w:ascii="Times New Roman"/>
          <w:lang w:val="en-US" w:eastAsia="zh-CN"/>
        </w:rPr>
        <w:t>平均</w:t>
      </w:r>
      <w:r>
        <w:rPr>
          <w:rFonts w:hint="eastAsia" w:ascii="Times New Roman"/>
        </w:rPr>
        <w:t>绝对误差，计算方法见附录</w:t>
      </w:r>
      <w:r>
        <w:rPr>
          <w:rFonts w:hint="eastAsia" w:ascii="Times New Roman"/>
          <w:lang w:val="en-US" w:eastAsia="zh-CN"/>
        </w:rPr>
        <w:t>C</w:t>
      </w:r>
      <w:r>
        <w:rPr>
          <w:rFonts w:hint="eastAsia" w:ascii="Times New Roman"/>
        </w:rPr>
        <w:t>；</w:t>
      </w:r>
    </w:p>
    <w:p w14:paraId="428DEBFF">
      <w:pPr>
        <w:pStyle w:val="27"/>
        <w:numPr>
          <w:ilvl w:val="255"/>
          <w:numId w:val="0"/>
        </w:numPr>
        <w:autoSpaceDE/>
        <w:autoSpaceDN/>
        <w:spacing w:after="0" w:line="240" w:lineRule="auto"/>
        <w:ind w:firstLine="420" w:firstLineChars="200"/>
        <w:rPr>
          <w:rFonts w:ascii="Times New Roman"/>
        </w:rPr>
      </w:pPr>
      <w:r>
        <w:rPr>
          <w:rFonts w:hint="eastAsia" w:ascii="Times New Roman"/>
        </w:rPr>
        <w:t>g）不确定度评价：参照</w:t>
      </w:r>
      <w:r>
        <w:rPr>
          <w:rFonts w:ascii="Times New Roman"/>
        </w:rPr>
        <w:t>GB/T</w:t>
      </w:r>
      <w:r>
        <w:rPr>
          <w:rFonts w:hint="eastAsia" w:ascii="Times New Roman"/>
        </w:rPr>
        <w:t xml:space="preserve"> </w:t>
      </w:r>
      <w:r>
        <w:rPr>
          <w:rFonts w:ascii="Times New Roman"/>
        </w:rPr>
        <w:t>36296</w:t>
      </w:r>
      <w:r>
        <w:rPr>
          <w:rFonts w:hint="eastAsia" w:ascii="Times New Roman"/>
        </w:rPr>
        <w:t>中不确定度评价指标进行待检卫星遥感产品不确定度分析，不确定度评价指标应包括标准差，计算方法见附录</w:t>
      </w:r>
      <w:r>
        <w:rPr>
          <w:rFonts w:hint="eastAsia" w:ascii="Times New Roman"/>
          <w:lang w:val="en-US" w:eastAsia="zh-CN"/>
        </w:rPr>
        <w:t>D</w:t>
      </w:r>
      <w:r>
        <w:rPr>
          <w:rFonts w:hint="eastAsia" w:ascii="Times New Roman"/>
        </w:rPr>
        <w:t>。</w:t>
      </w:r>
    </w:p>
    <w:p w14:paraId="59A37013">
      <w:pPr>
        <w:pStyle w:val="27"/>
        <w:spacing w:after="0" w:line="240" w:lineRule="auto"/>
        <w:ind w:firstLine="0" w:firstLineChars="0"/>
        <w:jc w:val="center"/>
      </w:pPr>
      <w:r>
        <w:drawing>
          <wp:inline distT="0" distB="0" distL="114300" distR="114300">
            <wp:extent cx="3669665" cy="4208780"/>
            <wp:effectExtent l="0" t="0" r="635" b="762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5"/>
                    <a:stretch>
                      <a:fillRect/>
                    </a:stretch>
                  </pic:blipFill>
                  <pic:spPr>
                    <a:xfrm>
                      <a:off x="0" y="0"/>
                      <a:ext cx="3669665" cy="4208780"/>
                    </a:xfrm>
                    <a:prstGeom prst="rect">
                      <a:avLst/>
                    </a:prstGeom>
                    <a:noFill/>
                    <a:ln>
                      <a:noFill/>
                    </a:ln>
                  </pic:spPr>
                </pic:pic>
              </a:graphicData>
            </a:graphic>
          </wp:inline>
        </w:drawing>
      </w:r>
      <w:bookmarkEnd w:id="179"/>
    </w:p>
    <w:p w14:paraId="6E0F6BF4">
      <w:pPr>
        <w:pStyle w:val="27"/>
        <w:ind w:firstLine="0" w:firstLineChars="0"/>
        <w:jc w:val="center"/>
        <w:rPr>
          <w:sz w:val="18"/>
          <w:szCs w:val="18"/>
        </w:rPr>
      </w:pPr>
      <w:bookmarkStart w:id="180" w:name="_Hlk201850184"/>
      <w:r>
        <w:rPr>
          <w:rFonts w:hint="eastAsia"/>
          <w:sz w:val="18"/>
          <w:szCs w:val="18"/>
        </w:rPr>
        <w:t>图2 温室气体柱浓度遥感监测结果间接检验法操作流程</w:t>
      </w:r>
    </w:p>
    <w:p w14:paraId="60AD74C9">
      <w:pPr>
        <w:pStyle w:val="47"/>
        <w:spacing w:before="156" w:after="156" w:line="240" w:lineRule="auto"/>
      </w:pPr>
      <w:bookmarkStart w:id="181" w:name="_Toc221"/>
      <w:bookmarkStart w:id="182" w:name="_Toc30161"/>
      <w:bookmarkStart w:id="183" w:name="OLE_LINK8"/>
      <w:r>
        <w:rPr>
          <w:rFonts w:hint="eastAsia"/>
        </w:rPr>
        <w:t>实施规则</w:t>
      </w:r>
      <w:bookmarkEnd w:id="181"/>
      <w:bookmarkEnd w:id="182"/>
    </w:p>
    <w:p w14:paraId="79663AAD">
      <w:pPr>
        <w:spacing w:after="0" w:line="240" w:lineRule="auto"/>
        <w:ind w:firstLine="420" w:firstLineChars="200"/>
        <w:rPr>
          <w:rFonts w:hint="eastAsia" w:ascii="宋体" w:hAnsi="宋体"/>
        </w:rPr>
      </w:pPr>
      <w:bookmarkStart w:id="184" w:name="OLE_LINK7"/>
      <w:r>
        <w:rPr>
          <w:rFonts w:ascii="宋体" w:hAnsi="宋体"/>
        </w:rPr>
        <w:t>准确性检验频次依据</w:t>
      </w:r>
      <w:r>
        <w:rPr>
          <w:rFonts w:hint="eastAsia" w:ascii="宋体" w:hAnsi="宋体"/>
        </w:rPr>
        <w:t>待检卫星遥感产品</w:t>
      </w:r>
      <w:r>
        <w:rPr>
          <w:rFonts w:ascii="宋体" w:hAnsi="宋体"/>
        </w:rPr>
        <w:t>变更、应用阶段</w:t>
      </w:r>
      <w:r>
        <w:rPr>
          <w:rFonts w:hint="eastAsia" w:ascii="宋体" w:hAnsi="宋体"/>
        </w:rPr>
        <w:t>以及</w:t>
      </w:r>
      <w:r>
        <w:rPr>
          <w:rFonts w:ascii="宋体" w:hAnsi="宋体"/>
        </w:rPr>
        <w:t>参考</w:t>
      </w:r>
      <w:r>
        <w:rPr>
          <w:rFonts w:hint="eastAsia" w:ascii="宋体" w:hAnsi="宋体"/>
        </w:rPr>
        <w:t>对象</w:t>
      </w:r>
      <w:r>
        <w:rPr>
          <w:rFonts w:ascii="宋体" w:hAnsi="宋体"/>
        </w:rPr>
        <w:t>可获得性等</w:t>
      </w:r>
      <w:r>
        <w:rPr>
          <w:rFonts w:hint="eastAsia" w:ascii="宋体" w:hAnsi="宋体"/>
        </w:rPr>
        <w:t>因素</w:t>
      </w:r>
      <w:r>
        <w:rPr>
          <w:rFonts w:ascii="宋体" w:hAnsi="宋体"/>
        </w:rPr>
        <w:t>分情形制定检查评价规则。</w:t>
      </w:r>
    </w:p>
    <w:p w14:paraId="61E6021F">
      <w:pPr>
        <w:pStyle w:val="11"/>
        <w:spacing w:before="157" w:beforeLines="50" w:after="157" w:afterLines="50" w:line="240" w:lineRule="auto"/>
        <w:rPr>
          <w:rFonts w:hint="eastAsia" w:ascii="黑体" w:hAnsi="黑体" w:eastAsia="黑体"/>
        </w:rPr>
      </w:pPr>
      <w:r>
        <w:rPr>
          <w:rFonts w:hint="eastAsia" w:ascii="黑体" w:hAnsi="黑体" w:eastAsia="黑体"/>
        </w:rPr>
        <w:t>6.4.1 触发检验</w:t>
      </w:r>
    </w:p>
    <w:p w14:paraId="4FEC4217">
      <w:pPr>
        <w:spacing w:after="0" w:line="240" w:lineRule="auto"/>
        <w:ind w:firstLine="420" w:firstLineChars="200"/>
        <w:rPr>
          <w:rFonts w:hint="eastAsia" w:ascii="宋体" w:hAnsi="宋体"/>
        </w:rPr>
      </w:pPr>
      <w:r>
        <w:rPr>
          <w:rFonts w:ascii="宋体" w:hAnsi="宋体"/>
        </w:rPr>
        <w:t>满足以下任一情形时，应开展准确性检验：</w:t>
      </w:r>
    </w:p>
    <w:p w14:paraId="4641DF88">
      <w:pPr>
        <w:numPr>
          <w:ilvl w:val="-1"/>
          <w:numId w:val="0"/>
        </w:numPr>
        <w:spacing w:after="0" w:line="240" w:lineRule="auto"/>
        <w:ind w:firstLine="420" w:firstLineChars="200"/>
        <w:rPr>
          <w:rFonts w:ascii="宋体" w:hAnsi="宋体"/>
        </w:rPr>
      </w:pPr>
      <w:r>
        <w:rPr>
          <w:rFonts w:hint="eastAsia"/>
        </w:rPr>
        <w:t>a）</w:t>
      </w:r>
      <w:r>
        <w:rPr>
          <w:rFonts w:hint="eastAsia" w:ascii="宋体" w:hAnsi="宋体"/>
        </w:rPr>
        <w:t>方法变更：待检卫星遥感产品的</w:t>
      </w:r>
      <w:r>
        <w:rPr>
          <w:rFonts w:ascii="宋体" w:hAnsi="宋体"/>
        </w:rPr>
        <w:t>反演算法、融合补全模型</w:t>
      </w:r>
      <w:r>
        <w:rPr>
          <w:rFonts w:hint="eastAsia" w:ascii="宋体" w:hAnsi="宋体"/>
        </w:rPr>
        <w:t>等</w:t>
      </w:r>
      <w:r>
        <w:rPr>
          <w:rFonts w:ascii="宋体" w:hAnsi="宋体"/>
        </w:rPr>
        <w:t>关键处理流程发生实质性变更；</w:t>
      </w:r>
    </w:p>
    <w:p w14:paraId="35B05C99">
      <w:pPr>
        <w:numPr>
          <w:ilvl w:val="-1"/>
          <w:numId w:val="0"/>
        </w:numPr>
        <w:spacing w:after="0" w:line="240" w:lineRule="auto"/>
        <w:ind w:firstLine="420" w:firstLineChars="200"/>
        <w:rPr>
          <w:rFonts w:hint="eastAsia" w:ascii="宋体" w:hAnsi="宋体"/>
        </w:rPr>
      </w:pPr>
      <w:r>
        <w:rPr>
          <w:rFonts w:hint="eastAsia"/>
        </w:rPr>
        <w:t>b）</w:t>
      </w:r>
      <w:r>
        <w:rPr>
          <w:rFonts w:hint="eastAsia" w:ascii="宋体" w:hAnsi="宋体"/>
        </w:rPr>
        <w:t>数据源变更：待检卫星遥感产品的</w:t>
      </w:r>
      <w:r>
        <w:rPr>
          <w:rFonts w:ascii="宋体" w:hAnsi="宋体"/>
        </w:rPr>
        <w:t>数据源、地基</w:t>
      </w:r>
      <w:r>
        <w:rPr>
          <w:rFonts w:hint="eastAsia" w:ascii="宋体" w:hAnsi="宋体"/>
        </w:rPr>
        <w:t>遥感</w:t>
      </w:r>
      <w:r>
        <w:rPr>
          <w:rFonts w:ascii="宋体" w:hAnsi="宋体"/>
        </w:rPr>
        <w:t>数据源</w:t>
      </w:r>
      <w:r>
        <w:rPr>
          <w:rFonts w:hint="eastAsia" w:ascii="宋体" w:hAnsi="宋体"/>
        </w:rPr>
        <w:t>、</w:t>
      </w:r>
      <w:r>
        <w:rPr>
          <w:rStyle w:val="44"/>
          <w:rFonts w:hint="eastAsia" w:ascii="宋体" w:hAnsi="宋体"/>
          <w:szCs w:val="24"/>
        </w:rPr>
        <w:t>参考</w:t>
      </w:r>
      <w:r>
        <w:rPr>
          <w:rStyle w:val="44"/>
          <w:rFonts w:hint="eastAsia" w:ascii="宋体" w:hAnsi="宋体"/>
          <w:szCs w:val="24"/>
          <w:lang w:val="en-US" w:eastAsia="zh-CN"/>
        </w:rPr>
        <w:t>卫</w:t>
      </w:r>
      <w:r>
        <w:rPr>
          <w:rStyle w:val="44"/>
          <w:rFonts w:hint="eastAsia" w:ascii="宋体" w:hAnsi="宋体"/>
          <w:szCs w:val="24"/>
        </w:rPr>
        <w:t>星遥感产品数据源、数据</w:t>
      </w:r>
      <w:r>
        <w:rPr>
          <w:rFonts w:hint="eastAsia" w:ascii="宋体" w:hAnsi="宋体"/>
        </w:rPr>
        <w:t>补全模型中辅助</w:t>
      </w:r>
      <w:r>
        <w:rPr>
          <w:rFonts w:ascii="宋体" w:hAnsi="宋体"/>
        </w:rPr>
        <w:t>数据</w:t>
      </w:r>
      <w:r>
        <w:rPr>
          <w:rFonts w:hint="eastAsia" w:ascii="宋体" w:hAnsi="宋体"/>
        </w:rPr>
        <w:t>源等</w:t>
      </w:r>
      <w:r>
        <w:rPr>
          <w:rFonts w:ascii="宋体" w:hAnsi="宋体"/>
        </w:rPr>
        <w:t>版本发生变更。</w:t>
      </w:r>
    </w:p>
    <w:bookmarkEnd w:id="184"/>
    <w:p w14:paraId="49DD372B">
      <w:pPr>
        <w:pStyle w:val="11"/>
        <w:spacing w:before="157" w:beforeLines="50" w:after="157" w:afterLines="50" w:line="240" w:lineRule="auto"/>
        <w:rPr>
          <w:rFonts w:hint="eastAsia" w:ascii="黑体" w:hAnsi="黑体" w:eastAsia="黑体"/>
        </w:rPr>
      </w:pPr>
      <w:r>
        <w:rPr>
          <w:rFonts w:hint="eastAsia" w:ascii="黑体" w:hAnsi="黑体" w:eastAsia="黑体"/>
        </w:rPr>
        <w:t>6.4.2 定期检验</w:t>
      </w:r>
    </w:p>
    <w:p w14:paraId="469A4171">
      <w:pPr>
        <w:spacing w:after="0" w:line="240" w:lineRule="auto"/>
        <w:ind w:firstLine="420" w:firstLineChars="200"/>
        <w:rPr>
          <w:rFonts w:hint="eastAsia" w:ascii="宋体" w:hAnsi="宋体"/>
        </w:rPr>
      </w:pPr>
      <w:r>
        <w:rPr>
          <w:rFonts w:ascii="宋体" w:hAnsi="宋体"/>
        </w:rPr>
        <w:t>应依据</w:t>
      </w:r>
      <w:r>
        <w:rPr>
          <w:rFonts w:hint="eastAsia" w:ascii="宋体" w:hAnsi="宋体"/>
        </w:rPr>
        <w:t>参考对象实际</w:t>
      </w:r>
      <w:r>
        <w:rPr>
          <w:rFonts w:ascii="宋体" w:hAnsi="宋体"/>
        </w:rPr>
        <w:t>可用情况开展持续性检验：</w:t>
      </w:r>
    </w:p>
    <w:bookmarkEnd w:id="183"/>
    <w:p w14:paraId="26CD5735">
      <w:pPr>
        <w:spacing w:after="0" w:line="240" w:lineRule="auto"/>
        <w:ind w:firstLine="420" w:firstLineChars="200"/>
      </w:pPr>
      <w:r>
        <w:rPr>
          <w:rFonts w:hint="eastAsia"/>
        </w:rPr>
        <w:t>a）</w:t>
      </w:r>
      <w:r>
        <w:rPr>
          <w:rFonts w:ascii="宋体" w:hAnsi="宋体"/>
        </w:rPr>
        <w:t>存在地基站点时：</w:t>
      </w:r>
      <w:r>
        <w:t>待检卫星遥感产品空间范围内存在至少1个符合</w:t>
      </w:r>
      <w:r>
        <w:rPr>
          <w:rFonts w:hint="eastAsia"/>
          <w:highlight w:val="none"/>
        </w:rPr>
        <w:t>4</w:t>
      </w:r>
      <w:r>
        <w:rPr>
          <w:highlight w:val="none"/>
        </w:rPr>
        <w:t>.2</w:t>
      </w:r>
      <w:r>
        <w:t>要求的地基站点，且有效匹配事件不少于30个，采用6.2直接检验法，至少每年一次；连续两次检验通过后，频次可适当放宽。</w:t>
      </w:r>
    </w:p>
    <w:p w14:paraId="2E9746D9">
      <w:pPr>
        <w:spacing w:after="0" w:line="240" w:lineRule="auto"/>
        <w:ind w:firstLine="420" w:firstLineChars="200"/>
        <w:rPr>
          <w:rFonts w:hint="eastAsia" w:ascii="宋体" w:hAnsi="宋体"/>
        </w:rPr>
      </w:pPr>
      <w:r>
        <w:rPr>
          <w:rFonts w:hint="eastAsia"/>
        </w:rPr>
        <w:t>b）</w:t>
      </w:r>
      <w:r>
        <w:t>地基站点不足时：存在地基站点但有效匹配事件少于30个，或无符合</w:t>
      </w:r>
      <w:r>
        <w:rPr>
          <w:rFonts w:hint="eastAsia"/>
          <w:highlight w:val="none"/>
        </w:rPr>
        <w:t>4</w:t>
      </w:r>
      <w:r>
        <w:rPr>
          <w:highlight w:val="none"/>
        </w:rPr>
        <w:t>.2</w:t>
      </w:r>
      <w:r>
        <w:t>要求的地基站点，采用6.3间接检验法，至少每年一次；累积有效匹配事件达30个，</w:t>
      </w:r>
      <w:r>
        <w:rPr>
          <w:rFonts w:ascii="宋体" w:hAnsi="宋体"/>
        </w:rPr>
        <w:t>应补充直接检验。</w:t>
      </w:r>
    </w:p>
    <w:p w14:paraId="7C85CE51">
      <w:pPr>
        <w:spacing w:after="0" w:line="240" w:lineRule="auto"/>
        <w:ind w:firstLine="420" w:firstLineChars="200"/>
        <w:rPr>
          <w:rFonts w:hint="eastAsia" w:ascii="宋体" w:hAnsi="宋体"/>
        </w:rPr>
      </w:pPr>
      <w:r>
        <w:rPr>
          <w:rFonts w:hint="eastAsia"/>
        </w:rPr>
        <w:t>c）</w:t>
      </w:r>
      <w:r>
        <w:rPr>
          <w:rFonts w:ascii="宋体" w:hAnsi="宋体"/>
        </w:rPr>
        <w:t>无参考产品时：缺乏地基</w:t>
      </w:r>
      <w:r>
        <w:rPr>
          <w:rFonts w:hint="eastAsia" w:ascii="宋体" w:hAnsi="宋体"/>
        </w:rPr>
        <w:t>站点</w:t>
      </w:r>
      <w:r>
        <w:rPr>
          <w:rFonts w:ascii="宋体" w:hAnsi="宋体"/>
        </w:rPr>
        <w:t>及</w:t>
      </w:r>
      <w:r>
        <w:rPr>
          <w:rFonts w:hint="eastAsia" w:ascii="宋体" w:hAnsi="宋体"/>
        </w:rPr>
        <w:t>已检监测</w:t>
      </w:r>
      <w:r>
        <w:rPr>
          <w:rFonts w:ascii="宋体" w:hAnsi="宋体"/>
        </w:rPr>
        <w:t>产品，可临时采用交叉检验或自洽性检验，但最终应以直接或间接检验为准。</w:t>
      </w:r>
    </w:p>
    <w:bookmarkEnd w:id="180"/>
    <w:p w14:paraId="3448F150">
      <w:pPr>
        <w:pStyle w:val="50"/>
        <w:spacing w:before="312" w:after="312" w:line="240" w:lineRule="auto"/>
        <w:rPr>
          <w:rFonts w:ascii="Times New Roman"/>
        </w:rPr>
      </w:pPr>
      <w:bookmarkStart w:id="185" w:name="_Toc178171723"/>
      <w:bookmarkStart w:id="186" w:name="_Toc20025"/>
      <w:bookmarkStart w:id="187" w:name="_Toc5850"/>
      <w:bookmarkStart w:id="188" w:name="_Toc16985"/>
      <w:bookmarkStart w:id="189" w:name="_Toc7793"/>
      <w:bookmarkStart w:id="190" w:name="_Toc25193"/>
      <w:bookmarkStart w:id="191" w:name="_Hlk200458422"/>
      <w:r>
        <w:rPr>
          <w:rFonts w:hint="eastAsia" w:ascii="Times New Roman"/>
        </w:rPr>
        <w:t>检验记录</w:t>
      </w:r>
      <w:bookmarkEnd w:id="185"/>
      <w:bookmarkEnd w:id="186"/>
      <w:bookmarkEnd w:id="187"/>
      <w:bookmarkEnd w:id="188"/>
      <w:bookmarkEnd w:id="189"/>
      <w:bookmarkEnd w:id="190"/>
    </w:p>
    <w:p w14:paraId="6D5E5583">
      <w:pPr>
        <w:pStyle w:val="11"/>
        <w:spacing w:after="0" w:line="240" w:lineRule="auto"/>
        <w:ind w:firstLine="420" w:firstLineChars="200"/>
      </w:pPr>
      <w:bookmarkStart w:id="192" w:name="_Toc177678539"/>
      <w:bookmarkStart w:id="193" w:name="_Toc82446875"/>
      <w:bookmarkStart w:id="194" w:name="_Toc82446738"/>
      <w:bookmarkStart w:id="195" w:name="_Toc82446833"/>
      <w:bookmarkStart w:id="196" w:name="_Toc83210772"/>
      <w:r>
        <w:rPr>
          <w:rFonts w:hint="eastAsia"/>
        </w:rPr>
        <w:t>检验工作需进行检测过程记录，至少应包括：</w:t>
      </w:r>
    </w:p>
    <w:p w14:paraId="57037F6B">
      <w:pPr>
        <w:pStyle w:val="11"/>
        <w:spacing w:before="157" w:beforeLines="50" w:after="157" w:afterLines="50" w:line="240" w:lineRule="auto"/>
      </w:pPr>
      <w:r>
        <w:rPr>
          <w:rFonts w:ascii="黑体" w:hAnsi="黑体" w:eastAsia="黑体" w:cs="黑体"/>
        </w:rPr>
        <w:t>7.1</w:t>
      </w:r>
      <w:r>
        <w:rPr>
          <w:rFonts w:hint="eastAsia" w:ascii="黑体" w:hAnsi="黑体" w:eastAsia="黑体" w:cs="黑体"/>
        </w:rPr>
        <w:t xml:space="preserve"> 待检卫星遥感产品</w:t>
      </w:r>
    </w:p>
    <w:bookmarkEnd w:id="192"/>
    <w:p w14:paraId="3C3C1D63">
      <w:pPr>
        <w:pStyle w:val="11"/>
        <w:spacing w:after="0" w:line="240" w:lineRule="auto"/>
        <w:ind w:firstLine="420" w:firstLineChars="200"/>
      </w:pPr>
      <w:r>
        <w:rPr>
          <w:rFonts w:hint="eastAsia"/>
        </w:rPr>
        <w:t>对待检卫星遥感产品进行简要描述，应包括但不限于：</w:t>
      </w:r>
    </w:p>
    <w:p w14:paraId="69403FEB">
      <w:pPr>
        <w:pStyle w:val="11"/>
        <w:spacing w:after="0" w:line="240" w:lineRule="auto"/>
        <w:ind w:left="420"/>
      </w:pPr>
      <w:r>
        <w:rPr>
          <w:rFonts w:hint="eastAsia"/>
        </w:rPr>
        <w:t>a）温室气体名称；</w:t>
      </w:r>
    </w:p>
    <w:p w14:paraId="60E11C38">
      <w:pPr>
        <w:pStyle w:val="11"/>
        <w:numPr>
          <w:ilvl w:val="255"/>
          <w:numId w:val="0"/>
        </w:numPr>
        <w:spacing w:after="0" w:line="240" w:lineRule="auto"/>
        <w:ind w:left="420"/>
      </w:pPr>
      <w:r>
        <w:rPr>
          <w:rFonts w:hint="eastAsia"/>
        </w:rPr>
        <w:t>b）数据源，包括卫星数据、地基数据及多源辅助数据等；</w:t>
      </w:r>
    </w:p>
    <w:p w14:paraId="3704883B">
      <w:pPr>
        <w:pStyle w:val="11"/>
        <w:numPr>
          <w:ilvl w:val="255"/>
          <w:numId w:val="0"/>
        </w:numPr>
        <w:spacing w:after="0" w:line="240" w:lineRule="auto"/>
        <w:ind w:left="420"/>
      </w:pPr>
      <w:r>
        <w:rPr>
          <w:rFonts w:hint="eastAsia"/>
        </w:rPr>
        <w:t>c）</w:t>
      </w:r>
      <w:r>
        <w:rPr>
          <w:rFonts w:hint="eastAsia"/>
          <w:lang w:bidi="ar"/>
        </w:rPr>
        <w:t>卫星遥感反演及数据</w:t>
      </w:r>
      <w:r>
        <w:rPr>
          <w:lang w:bidi="ar"/>
        </w:rPr>
        <w:t>补全</w:t>
      </w:r>
      <w:r>
        <w:rPr>
          <w:rFonts w:hint="eastAsia"/>
          <w:lang w:bidi="ar"/>
        </w:rPr>
        <w:t>方法；</w:t>
      </w:r>
    </w:p>
    <w:p w14:paraId="43EB0AE3">
      <w:pPr>
        <w:pStyle w:val="11"/>
        <w:numPr>
          <w:ilvl w:val="255"/>
          <w:numId w:val="0"/>
        </w:numPr>
        <w:spacing w:after="0" w:line="240" w:lineRule="auto"/>
        <w:ind w:left="420"/>
      </w:pPr>
      <w:r>
        <w:rPr>
          <w:rFonts w:hint="eastAsia"/>
        </w:rPr>
        <w:t>d）空间分辨率；</w:t>
      </w:r>
    </w:p>
    <w:p w14:paraId="2B0D7CEF">
      <w:pPr>
        <w:pStyle w:val="11"/>
        <w:numPr>
          <w:ilvl w:val="255"/>
          <w:numId w:val="0"/>
        </w:numPr>
        <w:spacing w:after="0" w:line="240" w:lineRule="auto"/>
        <w:ind w:left="420"/>
      </w:pPr>
      <w:r>
        <w:rPr>
          <w:rFonts w:hint="eastAsia"/>
        </w:rPr>
        <w:t>e）空间覆盖范围；</w:t>
      </w:r>
    </w:p>
    <w:p w14:paraId="3F7EA7D4">
      <w:pPr>
        <w:pStyle w:val="11"/>
        <w:numPr>
          <w:ilvl w:val="255"/>
          <w:numId w:val="0"/>
        </w:numPr>
        <w:spacing w:after="0" w:line="240" w:lineRule="auto"/>
        <w:ind w:left="420"/>
      </w:pPr>
      <w:r>
        <w:rPr>
          <w:rFonts w:hint="eastAsia"/>
        </w:rPr>
        <w:t>f）获取时间范围；</w:t>
      </w:r>
    </w:p>
    <w:p w14:paraId="78F94308">
      <w:pPr>
        <w:pStyle w:val="11"/>
        <w:numPr>
          <w:ilvl w:val="255"/>
          <w:numId w:val="0"/>
        </w:numPr>
        <w:spacing w:after="0" w:line="240" w:lineRule="auto"/>
        <w:ind w:left="420"/>
      </w:pPr>
      <w:r>
        <w:rPr>
          <w:rFonts w:hint="eastAsia"/>
        </w:rPr>
        <w:t>g）时间分辨率。</w:t>
      </w:r>
    </w:p>
    <w:p w14:paraId="0D8D9401">
      <w:pPr>
        <w:pStyle w:val="11"/>
        <w:spacing w:before="157" w:beforeLines="50" w:after="157" w:afterLines="50" w:line="240" w:lineRule="auto"/>
        <w:rPr>
          <w:rFonts w:hint="eastAsia" w:ascii="黑体" w:hAnsi="黑体" w:eastAsia="黑体" w:cs="黑体"/>
        </w:rPr>
      </w:pPr>
      <w:r>
        <w:rPr>
          <w:rFonts w:ascii="黑体" w:hAnsi="黑体" w:eastAsia="黑体" w:cs="黑体"/>
        </w:rPr>
        <w:t>7.2</w:t>
      </w:r>
      <w:r>
        <w:rPr>
          <w:rFonts w:hint="eastAsia" w:ascii="黑体" w:hAnsi="黑体" w:eastAsia="黑体" w:cs="黑体"/>
        </w:rPr>
        <w:t xml:space="preserve"> 检验方法及流程</w:t>
      </w:r>
    </w:p>
    <w:p w14:paraId="0B7394DA">
      <w:pPr>
        <w:pStyle w:val="11"/>
        <w:spacing w:after="0" w:line="240" w:lineRule="auto"/>
        <w:ind w:firstLine="420" w:firstLineChars="200"/>
      </w:pPr>
      <w:r>
        <w:rPr>
          <w:rFonts w:hint="eastAsia"/>
        </w:rPr>
        <w:t>对检验方法和过程进行描述，应包括但不限于：</w:t>
      </w:r>
    </w:p>
    <w:p w14:paraId="6C22224B">
      <w:pPr>
        <w:pStyle w:val="11"/>
        <w:numPr>
          <w:ilvl w:val="255"/>
          <w:numId w:val="0"/>
        </w:numPr>
        <w:spacing w:after="0" w:line="240" w:lineRule="auto"/>
        <w:ind w:left="420"/>
      </w:pPr>
      <w:r>
        <w:rPr>
          <w:rFonts w:hint="eastAsia"/>
        </w:rPr>
        <w:t>a）参照对象选择及特征，包括但不限于数据类型、时空特征、测量仪器以及数据精度等；</w:t>
      </w:r>
    </w:p>
    <w:p w14:paraId="748A92CD">
      <w:pPr>
        <w:pStyle w:val="11"/>
        <w:numPr>
          <w:ilvl w:val="255"/>
          <w:numId w:val="0"/>
        </w:numPr>
        <w:spacing w:after="0" w:line="240" w:lineRule="auto"/>
        <w:ind w:left="420"/>
      </w:pPr>
      <w:r>
        <w:rPr>
          <w:rFonts w:hint="eastAsia"/>
        </w:rPr>
        <w:t>b）样本数量及空间分布；</w:t>
      </w:r>
    </w:p>
    <w:p w14:paraId="032EB08C">
      <w:pPr>
        <w:pStyle w:val="11"/>
        <w:numPr>
          <w:ilvl w:val="255"/>
          <w:numId w:val="0"/>
        </w:numPr>
        <w:spacing w:after="0" w:line="240" w:lineRule="auto"/>
        <w:ind w:left="420"/>
      </w:pPr>
      <w:r>
        <w:rPr>
          <w:rFonts w:hint="eastAsia"/>
        </w:rPr>
        <w:t>c）空间匹配与时间匹配具体方法与参数；</w:t>
      </w:r>
    </w:p>
    <w:p w14:paraId="313797E4">
      <w:pPr>
        <w:pStyle w:val="11"/>
        <w:numPr>
          <w:ilvl w:val="255"/>
          <w:numId w:val="0"/>
        </w:numPr>
        <w:spacing w:after="0" w:line="240" w:lineRule="auto"/>
        <w:ind w:left="420"/>
      </w:pPr>
      <w:r>
        <w:rPr>
          <w:rFonts w:hint="eastAsia"/>
        </w:rPr>
        <w:t>d）检验指标；</w:t>
      </w:r>
    </w:p>
    <w:p w14:paraId="3CCAE60A">
      <w:pPr>
        <w:pStyle w:val="11"/>
        <w:numPr>
          <w:ilvl w:val="255"/>
          <w:numId w:val="0"/>
        </w:numPr>
        <w:spacing w:after="0" w:line="240" w:lineRule="auto"/>
        <w:ind w:left="420"/>
      </w:pPr>
      <w:r>
        <w:rPr>
          <w:rFonts w:hint="eastAsia"/>
        </w:rPr>
        <w:t>e）过程记录存档。</w:t>
      </w:r>
    </w:p>
    <w:p w14:paraId="4EE7E0CD">
      <w:pPr>
        <w:pStyle w:val="11"/>
        <w:spacing w:before="157" w:beforeLines="50" w:after="157" w:afterLines="50" w:line="240" w:lineRule="auto"/>
        <w:rPr>
          <w:rFonts w:hint="eastAsia" w:ascii="黑体" w:hAnsi="黑体" w:eastAsia="黑体" w:cs="黑体"/>
        </w:rPr>
      </w:pPr>
      <w:bookmarkStart w:id="197" w:name="OLE_LINK10"/>
      <w:r>
        <w:rPr>
          <w:rFonts w:ascii="黑体" w:hAnsi="黑体" w:eastAsia="黑体" w:cs="黑体"/>
        </w:rPr>
        <w:t>7.3</w:t>
      </w:r>
      <w:r>
        <w:rPr>
          <w:rFonts w:hint="eastAsia" w:ascii="黑体" w:hAnsi="黑体" w:eastAsia="黑体" w:cs="黑体"/>
        </w:rPr>
        <w:t xml:space="preserve"> 检验结论描述</w:t>
      </w:r>
    </w:p>
    <w:bookmarkEnd w:id="197"/>
    <w:p w14:paraId="30A80A24">
      <w:pPr>
        <w:pStyle w:val="11"/>
        <w:spacing w:after="0" w:line="240" w:lineRule="auto"/>
        <w:ind w:firstLine="420" w:firstLineChars="200"/>
      </w:pPr>
      <w:r>
        <w:rPr>
          <w:rFonts w:hint="eastAsia"/>
        </w:rPr>
        <w:t>对检验方法和结果进行描述，应包括但不限于：</w:t>
      </w:r>
    </w:p>
    <w:p w14:paraId="3999CF9C">
      <w:pPr>
        <w:pStyle w:val="11"/>
        <w:numPr>
          <w:ilvl w:val="255"/>
          <w:numId w:val="0"/>
        </w:numPr>
        <w:spacing w:after="0" w:line="240" w:lineRule="auto"/>
        <w:ind w:left="420"/>
      </w:pPr>
      <w:bookmarkStart w:id="198" w:name="OLE_LINK43"/>
      <w:bookmarkStart w:id="199" w:name="OLE_LINK13"/>
      <w:r>
        <w:rPr>
          <w:rFonts w:hint="eastAsia"/>
        </w:rPr>
        <w:t>a）检验结果</w:t>
      </w:r>
      <w:bookmarkEnd w:id="198"/>
      <w:r>
        <w:rPr>
          <w:rFonts w:hint="eastAsia"/>
        </w:rPr>
        <w:t>总体评价；</w:t>
      </w:r>
    </w:p>
    <w:p w14:paraId="5CBE66EA">
      <w:pPr>
        <w:pStyle w:val="11"/>
        <w:numPr>
          <w:ilvl w:val="255"/>
          <w:numId w:val="0"/>
        </w:numPr>
        <w:spacing w:after="0" w:line="240" w:lineRule="auto"/>
        <w:ind w:left="420"/>
      </w:pPr>
      <w:r>
        <w:rPr>
          <w:rFonts w:hint="eastAsia"/>
        </w:rPr>
        <w:t>b）</w:t>
      </w:r>
      <w:r>
        <w:rPr>
          <w:rFonts w:hint="eastAsia" w:eastAsia="宋体"/>
        </w:rPr>
        <w:t>数据结果</w:t>
      </w:r>
      <w:r>
        <w:rPr>
          <w:rFonts w:hint="eastAsia"/>
        </w:rPr>
        <w:t>的分项指标评价，如待检产品在不同季节、不同区域、不同地表类型的准确度；</w:t>
      </w:r>
    </w:p>
    <w:p w14:paraId="0F7F17A5">
      <w:pPr>
        <w:pStyle w:val="11"/>
        <w:numPr>
          <w:ilvl w:val="255"/>
          <w:numId w:val="0"/>
        </w:numPr>
        <w:spacing w:after="0" w:line="240" w:lineRule="auto"/>
        <w:ind w:left="420"/>
      </w:pPr>
      <w:r>
        <w:rPr>
          <w:rFonts w:hint="eastAsia"/>
        </w:rPr>
        <w:t>c）检验结果的指标评价，包括准确度、不确定度等。</w:t>
      </w:r>
    </w:p>
    <w:bookmarkEnd w:id="199"/>
    <w:p w14:paraId="19BAD95B">
      <w:pPr>
        <w:pStyle w:val="11"/>
        <w:spacing w:before="157" w:beforeLines="50" w:after="157" w:afterLines="50" w:line="240" w:lineRule="auto"/>
        <w:rPr>
          <w:rFonts w:ascii="黑体" w:hAnsi="黑体" w:eastAsia="黑体" w:cs="黑体"/>
        </w:rPr>
      </w:pPr>
      <w:r>
        <w:rPr>
          <w:rFonts w:ascii="黑体" w:hAnsi="黑体" w:eastAsia="黑体" w:cs="黑体"/>
        </w:rPr>
        <w:t>7.4</w:t>
      </w:r>
      <w:r>
        <w:rPr>
          <w:rFonts w:hint="eastAsia" w:ascii="黑体" w:hAnsi="黑体" w:eastAsia="黑体" w:cs="黑体"/>
        </w:rPr>
        <w:t xml:space="preserve"> </w:t>
      </w:r>
      <w:r>
        <w:rPr>
          <w:rFonts w:ascii="黑体" w:hAnsi="黑体" w:eastAsia="黑体" w:cs="黑体"/>
        </w:rPr>
        <w:t>检验</w:t>
      </w:r>
      <w:r>
        <w:rPr>
          <w:rFonts w:hint="eastAsia" w:ascii="黑体" w:hAnsi="黑体" w:eastAsia="黑体" w:cs="黑体"/>
        </w:rPr>
        <w:t>记录样例</w:t>
      </w:r>
    </w:p>
    <w:p w14:paraId="60F68B83">
      <w:pPr>
        <w:widowControl/>
        <w:ind w:firstLine="420" w:firstLineChars="200"/>
        <w:jc w:val="left"/>
        <w:rPr>
          <w:rFonts w:ascii="宋体"/>
          <w:kern w:val="0"/>
          <w:szCs w:val="20"/>
        </w:rPr>
      </w:pPr>
      <w:r>
        <w:rPr>
          <w:rFonts w:hint="eastAsia"/>
        </w:rPr>
        <w:t>见附录</w:t>
      </w:r>
      <w:r>
        <w:rPr>
          <w:rFonts w:hint="eastAsia"/>
          <w:lang w:val="en-US" w:eastAsia="zh-CN"/>
        </w:rPr>
        <w:t>E</w:t>
      </w:r>
      <w:r>
        <w:rPr>
          <w:rFonts w:hint="eastAsia"/>
        </w:rPr>
        <w:t>。</w:t>
      </w:r>
      <w:bookmarkEnd w:id="191"/>
      <w:bookmarkEnd w:id="193"/>
      <w:bookmarkEnd w:id="194"/>
      <w:bookmarkEnd w:id="195"/>
      <w:bookmarkEnd w:id="196"/>
      <w:r>
        <w:br w:type="page"/>
      </w:r>
    </w:p>
    <w:p w14:paraId="27D0B3E5">
      <w:pPr>
        <w:pStyle w:val="89"/>
        <w:numPr>
          <w:ilvl w:val="255"/>
          <w:numId w:val="0"/>
        </w:numPr>
        <w:spacing w:before="313" w:beforeLines="100" w:after="313" w:afterLines="100" w:line="240" w:lineRule="auto"/>
        <w:rPr>
          <w:rFonts w:ascii="Times New Roman"/>
        </w:rPr>
      </w:pPr>
      <w:bookmarkStart w:id="200" w:name="_Toc5834"/>
      <w:bookmarkStart w:id="201" w:name="_Toc25096"/>
      <w:bookmarkStart w:id="202" w:name="_Toc8095"/>
      <w:bookmarkStart w:id="203" w:name="_Toc20862"/>
      <w:bookmarkStart w:id="204" w:name="_Toc178171725"/>
      <w:bookmarkStart w:id="205" w:name="_Toc82"/>
      <w:bookmarkStart w:id="206" w:name="OLE_LINK84"/>
      <w:r>
        <w:rPr>
          <w:rFonts w:ascii="Times New Roman"/>
        </w:rPr>
        <w:t>附录</w:t>
      </w:r>
      <w:bookmarkEnd w:id="200"/>
      <w:r>
        <w:rPr>
          <w:rFonts w:hint="default" w:ascii="Times New Roman"/>
          <w:lang w:val="en-US" w:eastAsia="zh-CN"/>
        </w:rPr>
        <w:t>A</w:t>
      </w:r>
      <w:bookmarkEnd w:id="201"/>
    </w:p>
    <w:p w14:paraId="0C920F58">
      <w:pPr>
        <w:pStyle w:val="11"/>
        <w:spacing w:before="157" w:beforeLines="50" w:after="157" w:afterLines="50" w:line="240" w:lineRule="auto"/>
        <w:jc w:val="center"/>
      </w:pPr>
      <w:r>
        <w:rPr>
          <w:rFonts w:ascii="黑体"/>
        </w:rPr>
        <w:t>（</w:t>
      </w:r>
      <w:r>
        <w:rPr>
          <w:rFonts w:hint="eastAsia" w:ascii="黑体"/>
        </w:rPr>
        <w:t>资料</w:t>
      </w:r>
      <w:r>
        <w:rPr>
          <w:rFonts w:ascii="黑体"/>
        </w:rPr>
        <w:t>性）</w:t>
      </w:r>
    </w:p>
    <w:p w14:paraId="5A634A74">
      <w:pPr>
        <w:spacing w:before="157" w:beforeLines="50" w:after="157" w:afterLines="50" w:line="240" w:lineRule="auto"/>
        <w:jc w:val="center"/>
        <w:rPr>
          <w:rFonts w:ascii="黑体" w:eastAsia="黑体"/>
        </w:rPr>
      </w:pPr>
      <w:r>
        <w:rPr>
          <w:rFonts w:ascii="黑体" w:eastAsia="黑体"/>
        </w:rPr>
        <w:t>温室气体地基遥感数据说明</w:t>
      </w:r>
    </w:p>
    <w:p w14:paraId="6FAB922B">
      <w:pPr>
        <w:spacing w:before="157" w:beforeLines="50" w:after="157" w:afterLines="50" w:line="240" w:lineRule="auto"/>
        <w:jc w:val="center"/>
        <w:rPr>
          <w:rFonts w:ascii="黑体" w:eastAsia="黑体"/>
        </w:rPr>
      </w:pPr>
    </w:p>
    <w:p w14:paraId="2E2C39C8">
      <w:pPr>
        <w:pStyle w:val="27"/>
        <w:spacing w:before="156" w:beforeLines="50" w:after="156" w:afterLines="50" w:line="240" w:lineRule="auto"/>
        <w:ind w:firstLine="0" w:firstLineChars="0"/>
        <w:jc w:val="left"/>
        <w:rPr>
          <w:rFonts w:ascii="Times New Roman" w:eastAsia="黑体"/>
        </w:rPr>
      </w:pPr>
      <w:r>
        <w:rPr>
          <w:rFonts w:hint="eastAsia" w:ascii="Times New Roman" w:eastAsia="黑体"/>
          <w:lang w:val="en-US" w:eastAsia="zh-CN"/>
        </w:rPr>
        <w:t>A</w:t>
      </w:r>
      <w:r>
        <w:rPr>
          <w:rFonts w:ascii="Times New Roman" w:eastAsia="黑体"/>
        </w:rPr>
        <w:t>.1 概述</w:t>
      </w:r>
    </w:p>
    <w:p w14:paraId="71B167DF">
      <w:pPr>
        <w:pStyle w:val="27"/>
        <w:spacing w:after="0" w:line="240" w:lineRule="auto"/>
        <w:rPr>
          <w:rFonts w:ascii="Times New Roman"/>
        </w:rPr>
      </w:pPr>
      <w:r>
        <w:rPr>
          <w:rFonts w:ascii="Times New Roman"/>
        </w:rPr>
        <w:t>地基遥感数据是验证卫星反演XCO</w:t>
      </w:r>
      <w:r>
        <w:rPr>
          <w:rFonts w:ascii="Times New Roman"/>
          <w:color w:val="auto"/>
          <w:vertAlign w:val="subscript"/>
        </w:rPr>
        <w:t>2</w:t>
      </w:r>
      <w:r>
        <w:rPr>
          <w:rFonts w:ascii="Times New Roman"/>
        </w:rPr>
        <w:t>及XCH</w:t>
      </w:r>
      <w:r>
        <w:rPr>
          <w:rFonts w:hint="eastAsia" w:ascii="Times New Roman"/>
          <w:vertAlign w:val="subscript"/>
          <w:lang w:val="en-US" w:eastAsia="zh-CN"/>
        </w:rPr>
        <w:t>4</w:t>
      </w:r>
      <w:r>
        <w:rPr>
          <w:rFonts w:ascii="Times New Roman"/>
        </w:rPr>
        <w:t>柱浓度产品准确度的主要参考基准。本附录旨在为检验人员提供关于数据来源、选择标准、操作流程的</w:t>
      </w:r>
      <w:r>
        <w:rPr>
          <w:rFonts w:hint="eastAsia" w:ascii="Times New Roman"/>
        </w:rPr>
        <w:t>说明和</w:t>
      </w:r>
      <w:r>
        <w:rPr>
          <w:rFonts w:ascii="Times New Roman"/>
        </w:rPr>
        <w:t>指导</w:t>
      </w:r>
      <w:r>
        <w:rPr>
          <w:rFonts w:hint="eastAsia" w:ascii="Times New Roman"/>
        </w:rPr>
        <w:t>。</w:t>
      </w:r>
    </w:p>
    <w:p w14:paraId="3DEADB62">
      <w:pPr>
        <w:pStyle w:val="27"/>
        <w:spacing w:before="156" w:beforeLines="50" w:after="156" w:afterLines="50" w:line="240" w:lineRule="auto"/>
        <w:ind w:firstLine="0" w:firstLineChars="0"/>
        <w:jc w:val="left"/>
        <w:rPr>
          <w:rFonts w:ascii="Times New Roman" w:eastAsia="黑体"/>
        </w:rPr>
      </w:pPr>
      <w:r>
        <w:rPr>
          <w:rFonts w:hint="eastAsia" w:ascii="Times New Roman" w:eastAsia="黑体"/>
          <w:lang w:val="en-US" w:eastAsia="zh-CN"/>
        </w:rPr>
        <w:t>A</w:t>
      </w:r>
      <w:r>
        <w:rPr>
          <w:rFonts w:ascii="Times New Roman" w:eastAsia="黑体"/>
        </w:rPr>
        <w:t xml:space="preserve">.2 </w:t>
      </w:r>
      <w:r>
        <w:rPr>
          <w:rFonts w:hint="eastAsia" w:ascii="Times New Roman" w:eastAsia="黑体"/>
        </w:rPr>
        <w:t>碳柱总量观测网</w:t>
      </w:r>
    </w:p>
    <w:p w14:paraId="75EF24BA">
      <w:pPr>
        <w:pStyle w:val="27"/>
        <w:spacing w:after="0" w:line="240" w:lineRule="auto"/>
        <w:rPr>
          <w:rFonts w:ascii="Times New Roman"/>
        </w:rPr>
      </w:pPr>
      <w:r>
        <w:rPr>
          <w:rFonts w:hint="eastAsia" w:ascii="Times New Roman"/>
        </w:rPr>
        <w:t>全球碳柱观测网络（Total Carbon Column Observing Network，TCCON）是</w:t>
      </w:r>
      <w:r>
        <w:rPr>
          <w:rFonts w:hint="eastAsia" w:ascii="Times New Roman"/>
          <w:lang w:val="en-US" w:eastAsia="zh-CN"/>
        </w:rPr>
        <w:t>目前</w:t>
      </w:r>
      <w:r>
        <w:rPr>
          <w:rFonts w:hint="eastAsia" w:ascii="Times New Roman"/>
        </w:rPr>
        <w:t>国际公认的提供基准参考数据的傅里叶变换红外（FTIR）光谱标准网络。使用高分辨率光谱仪，通过记录近红外太阳光谱，反演高精度的大气成分柱浓度。TCCON提供的XCO</w:t>
      </w:r>
      <w:r>
        <w:rPr>
          <w:rFonts w:hint="eastAsia" w:ascii="Times New Roman"/>
          <w:vertAlign w:val="subscript"/>
        </w:rPr>
        <w:t>2</w:t>
      </w:r>
      <w:r>
        <w:rPr>
          <w:rFonts w:hint="eastAsia" w:ascii="Times New Roman"/>
        </w:rPr>
        <w:t>测量不确定度优于0.25%（约1 ppm）</w:t>
      </w:r>
      <w:bookmarkStart w:id="207" w:name="OLE_LINK116"/>
      <w:r>
        <w:rPr>
          <w:rFonts w:hint="eastAsia" w:ascii="Times New Roman"/>
        </w:rPr>
        <w:t>，</w:t>
      </w:r>
      <w:bookmarkEnd w:id="207"/>
      <w:r>
        <w:rPr>
          <w:rFonts w:hint="eastAsia" w:ascii="Times New Roman"/>
        </w:rPr>
        <w:t>XCH</w:t>
      </w:r>
      <w:r>
        <w:rPr>
          <w:rFonts w:hint="eastAsia" w:ascii="Times New Roman"/>
          <w:vertAlign w:val="subscript"/>
          <w:lang w:val="en-US" w:eastAsia="zh-CN"/>
        </w:rPr>
        <w:t>4</w:t>
      </w:r>
      <w:r>
        <w:rPr>
          <w:rFonts w:hint="eastAsia" w:ascii="Times New Roman"/>
        </w:rPr>
        <w:t>优于0.2%（约5 ppb）。</w:t>
      </w:r>
    </w:p>
    <w:p w14:paraId="7260E383">
      <w:pPr>
        <w:pStyle w:val="27"/>
        <w:spacing w:after="0" w:line="240" w:lineRule="auto"/>
        <w:rPr>
          <w:rFonts w:ascii="Times New Roman"/>
        </w:rPr>
      </w:pPr>
      <w:r>
        <w:rPr>
          <w:rFonts w:hint="eastAsia" w:ascii="Times New Roman"/>
        </w:rPr>
        <w:t>a</w:t>
      </w:r>
      <w:r>
        <w:rPr>
          <w:rFonts w:ascii="Times New Roman"/>
        </w:rPr>
        <w:t>）数据获取：从TCCON官方数据档案库获取</w:t>
      </w:r>
      <w:r>
        <w:rPr>
          <w:rFonts w:hint="eastAsia" w:ascii="Times New Roman"/>
        </w:rPr>
        <w:t>(</w:t>
      </w:r>
      <w:r>
        <w:rPr>
          <w:rFonts w:ascii="Times New Roman"/>
        </w:rPr>
        <w:t>https://tccondata.org/</w:t>
      </w:r>
      <w:r>
        <w:rPr>
          <w:rFonts w:hint="eastAsia" w:ascii="Times New Roman"/>
        </w:rPr>
        <w:t>)</w:t>
      </w:r>
      <w:r>
        <w:rPr>
          <w:rFonts w:ascii="Times New Roman"/>
        </w:rPr>
        <w:t>。数据使用应遵循其数据政策。</w:t>
      </w:r>
    </w:p>
    <w:p w14:paraId="0A0500D2">
      <w:pPr>
        <w:pStyle w:val="27"/>
        <w:spacing w:after="0" w:line="240" w:lineRule="auto"/>
        <w:rPr>
          <w:rFonts w:ascii="Times New Roman"/>
        </w:rPr>
      </w:pPr>
      <w:r>
        <w:rPr>
          <w:rFonts w:ascii="Times New Roman"/>
        </w:rPr>
        <w:t>b）数据筛选：仅使用通过所有质量控制（QC）测试、标志为</w:t>
      </w:r>
      <w:r>
        <w:rPr>
          <w:rFonts w:hint="eastAsia" w:ascii="Times New Roman"/>
          <w:lang w:eastAsia="zh-CN"/>
        </w:rPr>
        <w:t>“</w:t>
      </w:r>
      <w:r>
        <w:rPr>
          <w:rFonts w:ascii="Times New Roman"/>
        </w:rPr>
        <w:t>0</w:t>
      </w:r>
      <w:r>
        <w:rPr>
          <w:rFonts w:hint="eastAsia" w:ascii="Times New Roman"/>
          <w:lang w:eastAsia="zh-CN"/>
        </w:rPr>
        <w:t>”</w:t>
      </w:r>
      <w:r>
        <w:rPr>
          <w:rFonts w:ascii="Times New Roman"/>
        </w:rPr>
        <w:t>（unflagged）的公开数据。</w:t>
      </w:r>
    </w:p>
    <w:p w14:paraId="7CFD1EE0">
      <w:pPr>
        <w:pStyle w:val="27"/>
        <w:spacing w:before="156" w:beforeLines="50" w:after="156" w:afterLines="50" w:line="240" w:lineRule="auto"/>
        <w:ind w:firstLine="0" w:firstLineChars="0"/>
        <w:jc w:val="left"/>
        <w:rPr>
          <w:rFonts w:ascii="Times New Roman" w:eastAsia="黑体"/>
        </w:rPr>
      </w:pPr>
      <w:bookmarkStart w:id="208" w:name="OLE_LINK86"/>
      <w:r>
        <w:rPr>
          <w:rFonts w:hint="eastAsia" w:ascii="Times New Roman" w:eastAsia="黑体"/>
          <w:highlight w:val="none"/>
          <w:lang w:val="en-US" w:eastAsia="zh-CN"/>
        </w:rPr>
        <w:t>A</w:t>
      </w:r>
      <w:r>
        <w:rPr>
          <w:rFonts w:ascii="Times New Roman" w:eastAsia="黑体"/>
          <w:highlight w:val="none"/>
        </w:rPr>
        <w:t xml:space="preserve">.3 </w:t>
      </w:r>
      <w:r>
        <w:rPr>
          <w:rFonts w:hint="eastAsia" w:ascii="Times New Roman" w:eastAsia="黑体"/>
          <w:highlight w:val="none"/>
        </w:rPr>
        <w:t>碳柱观测合作网</w:t>
      </w:r>
    </w:p>
    <w:p w14:paraId="2EF78A56">
      <w:pPr>
        <w:spacing w:after="0" w:line="240" w:lineRule="auto"/>
        <w:ind w:firstLine="420" w:firstLineChars="200"/>
        <w:rPr>
          <w:rFonts w:hint="eastAsia" w:ascii="宋体" w:hAnsi="宋体"/>
        </w:rPr>
      </w:pPr>
      <w:r>
        <w:t>碳柱观测合作网络（</w:t>
      </w:r>
      <w:r>
        <w:rPr>
          <w:rFonts w:hint="eastAsia"/>
        </w:rPr>
        <w:t>C</w:t>
      </w:r>
      <w:r>
        <w:rPr>
          <w:rFonts w:hint="eastAsia"/>
          <w:lang w:val="en-US" w:eastAsia="zh-CN"/>
        </w:rPr>
        <w:t>O</w:t>
      </w:r>
      <w:r>
        <w:rPr>
          <w:rFonts w:hint="eastAsia"/>
        </w:rPr>
        <w:t>llaborative Carbon Column Observing Network，</w:t>
      </w:r>
      <w:r>
        <w:t>COCCON）是TCCON</w:t>
      </w:r>
      <w:r>
        <w:rPr>
          <w:rFonts w:hint="eastAsia"/>
        </w:rPr>
        <w:t>的</w:t>
      </w:r>
      <w:r>
        <w:t>重要补充，</w:t>
      </w:r>
      <w:bookmarkStart w:id="209" w:name="OLE_LINK128"/>
      <w:r>
        <w:rPr>
          <w:rFonts w:hint="eastAsia"/>
          <w:lang w:val="en-US" w:eastAsia="zh-CN"/>
        </w:rPr>
        <w:t>可</w:t>
      </w:r>
      <w:r>
        <w:rPr>
          <w:rFonts w:hint="eastAsia"/>
          <w:lang w:eastAsia="zh-CN"/>
        </w:rPr>
        <w:t>评估全球不同TCCON站点间一致性，并能在缺乏固定站点的地区开展补充观测。经与TCCON基准站点同期比对校准后，COCCON数据可溯源至基准级标准。</w:t>
      </w:r>
      <w:r>
        <w:rPr>
          <w:rFonts w:ascii="宋体" w:hAnsi="宋体"/>
        </w:rPr>
        <w:t>其数据不确定度在良好校准状态下可接近</w:t>
      </w:r>
      <w:r>
        <w:rPr>
          <w:rFonts w:hint="eastAsia" w:ascii="Times New Roman" w:hAnsi="Times New Roman"/>
        </w:rPr>
        <w:t>TCCON</w:t>
      </w:r>
      <w:r>
        <w:rPr>
          <w:rFonts w:ascii="宋体" w:hAnsi="宋体"/>
        </w:rPr>
        <w:t>水平。</w:t>
      </w:r>
    </w:p>
    <w:bookmarkEnd w:id="209"/>
    <w:p w14:paraId="45D878B8">
      <w:pPr>
        <w:pStyle w:val="27"/>
        <w:spacing w:after="0" w:line="240" w:lineRule="auto"/>
        <w:rPr>
          <w:rFonts w:ascii="Times New Roman"/>
        </w:rPr>
      </w:pPr>
      <w:r>
        <w:rPr>
          <w:rFonts w:hint="eastAsia" w:ascii="Times New Roman"/>
        </w:rPr>
        <w:t>a</w:t>
      </w:r>
      <w:r>
        <w:rPr>
          <w:rFonts w:ascii="Times New Roman"/>
        </w:rPr>
        <w:t>） 数据获取：从COCCON官方数据档案库获取</w:t>
      </w:r>
      <w:r>
        <w:rPr>
          <w:rFonts w:hint="eastAsia" w:ascii="Times New Roman"/>
          <w:lang w:eastAsia="zh-CN"/>
        </w:rPr>
        <w:t>（</w:t>
      </w:r>
      <w:r>
        <w:rPr>
          <w:rFonts w:ascii="Times New Roman"/>
        </w:rPr>
        <w:t>https://www.coccon.ki t.edu/</w:t>
      </w:r>
      <w:r>
        <w:rPr>
          <w:rFonts w:hint="eastAsia" w:ascii="Times New Roman"/>
          <w:lang w:eastAsia="zh-CN"/>
        </w:rPr>
        <w:t>）</w:t>
      </w:r>
      <w:r>
        <w:rPr>
          <w:rFonts w:ascii="Times New Roman"/>
        </w:rPr>
        <w:t>。</w:t>
      </w:r>
    </w:p>
    <w:p w14:paraId="1C9C134C">
      <w:pPr>
        <w:pStyle w:val="27"/>
        <w:spacing w:after="0" w:line="240" w:lineRule="auto"/>
        <w:rPr>
          <w:rFonts w:ascii="Times New Roman"/>
          <w:b w:val="0"/>
          <w:bCs w:val="0"/>
        </w:rPr>
      </w:pPr>
      <w:r>
        <w:rPr>
          <w:rFonts w:hint="eastAsia" w:ascii="Times New Roman"/>
        </w:rPr>
        <w:t>b</w:t>
      </w:r>
      <w:r>
        <w:rPr>
          <w:rFonts w:ascii="Times New Roman"/>
        </w:rPr>
        <w:t>） 数据筛</w:t>
      </w:r>
      <w:r>
        <w:rPr>
          <w:rFonts w:ascii="Times New Roman"/>
          <w:highlight w:val="none"/>
        </w:rPr>
        <w:t>选</w:t>
      </w:r>
      <w:r>
        <w:rPr>
          <w:rFonts w:hint="eastAsia" w:ascii="Times New Roman"/>
          <w:b w:val="0"/>
          <w:bCs w:val="0"/>
          <w:highlight w:val="none"/>
        </w:rPr>
        <w:t>：优先选用数据质量标志为</w:t>
      </w:r>
      <w:bookmarkStart w:id="210" w:name="OLE_LINK119"/>
      <w:r>
        <w:rPr>
          <w:rFonts w:ascii="Times New Roman"/>
          <w:b w:val="0"/>
          <w:bCs w:val="0"/>
          <w:highlight w:val="none"/>
        </w:rPr>
        <w:t>通过（pass）或良好（good）</w:t>
      </w:r>
      <w:bookmarkEnd w:id="210"/>
      <w:r>
        <w:rPr>
          <w:rFonts w:hint="eastAsia" w:ascii="Times New Roman"/>
          <w:b w:val="0"/>
          <w:bCs w:val="0"/>
          <w:highlight w:val="none"/>
        </w:rPr>
        <w:t>的测量值</w:t>
      </w:r>
      <w:r>
        <w:rPr>
          <w:rFonts w:ascii="Times New Roman"/>
          <w:b w:val="0"/>
          <w:bCs w:val="0"/>
          <w:highlight w:val="none"/>
        </w:rPr>
        <w:t>。</w:t>
      </w:r>
    </w:p>
    <w:bookmarkEnd w:id="208"/>
    <w:p w14:paraId="2A9D0607">
      <w:pPr>
        <w:pStyle w:val="27"/>
        <w:spacing w:before="156" w:beforeLines="50" w:after="156" w:afterLines="50" w:line="240" w:lineRule="auto"/>
        <w:ind w:firstLine="0" w:firstLineChars="0"/>
        <w:jc w:val="left"/>
        <w:rPr>
          <w:rFonts w:ascii="Times New Roman" w:eastAsia="黑体"/>
        </w:rPr>
      </w:pPr>
      <w:bookmarkStart w:id="211" w:name="OLE_LINK122"/>
      <w:r>
        <w:rPr>
          <w:rFonts w:hint="eastAsia" w:ascii="Times New Roman" w:eastAsia="黑体"/>
          <w:lang w:val="en-US" w:eastAsia="zh-CN"/>
        </w:rPr>
        <w:t>A</w:t>
      </w:r>
      <w:r>
        <w:rPr>
          <w:rFonts w:ascii="Times New Roman" w:eastAsia="黑体"/>
        </w:rPr>
        <w:t>.4 便携补充观测</w:t>
      </w:r>
    </w:p>
    <w:p w14:paraId="64FD15F4">
      <w:pPr>
        <w:pStyle w:val="27"/>
        <w:spacing w:after="0" w:line="240" w:lineRule="auto"/>
        <w:rPr>
          <w:rFonts w:ascii="Times New Roman"/>
        </w:rPr>
      </w:pPr>
      <w:r>
        <w:rPr>
          <w:rFonts w:ascii="Times New Roman"/>
        </w:rPr>
        <w:t>未纳入COCCON等标准化网络的单台便携式设备，</w:t>
      </w:r>
      <w:r>
        <w:rPr>
          <w:rFonts w:hint="eastAsia" w:ascii="Times New Roman"/>
        </w:rPr>
        <w:t>可</w:t>
      </w:r>
      <w:r>
        <w:rPr>
          <w:rFonts w:ascii="Times New Roman"/>
        </w:rPr>
        <w:t>作为在缺乏固定地基站点的区域开展补充</w:t>
      </w:r>
      <w:r>
        <w:rPr>
          <w:rFonts w:hint="eastAsia" w:ascii="Times New Roman"/>
        </w:rPr>
        <w:t>监测</w:t>
      </w:r>
      <w:r>
        <w:rPr>
          <w:rFonts w:ascii="Times New Roman"/>
        </w:rPr>
        <w:t>。使用前须完成以下要求：</w:t>
      </w:r>
    </w:p>
    <w:p w14:paraId="3C66C34E">
      <w:pPr>
        <w:pStyle w:val="27"/>
        <w:spacing w:after="0" w:line="240" w:lineRule="auto"/>
        <w:rPr>
          <w:rFonts w:hint="default" w:ascii="Times New Roman"/>
        </w:rPr>
      </w:pPr>
      <w:r>
        <w:rPr>
          <w:rFonts w:hint="default" w:ascii="Times New Roman"/>
        </w:rPr>
        <w:t>a</w:t>
      </w:r>
      <w:r>
        <w:rPr>
          <w:rFonts w:ascii="Times New Roman"/>
        </w:rPr>
        <w:t>）</w:t>
      </w:r>
      <w:r>
        <w:rPr>
          <w:rFonts w:hint="default" w:ascii="Times New Roman"/>
        </w:rPr>
        <w:t xml:space="preserve"> 仪器线形参数标定：设备使用前应经基准实验室完成开放光路仪器线形参数标定，获取调制效率及相位误差等关键参数，并形成标定报告。</w:t>
      </w:r>
    </w:p>
    <w:p w14:paraId="7B16C308">
      <w:pPr>
        <w:pStyle w:val="27"/>
        <w:spacing w:after="0" w:line="240" w:lineRule="auto"/>
        <w:rPr>
          <w:rFonts w:hint="default" w:ascii="Times New Roman"/>
        </w:rPr>
      </w:pPr>
      <w:r>
        <w:rPr>
          <w:rFonts w:hint="default" w:ascii="Times New Roman"/>
        </w:rPr>
        <w:t>b</w:t>
      </w:r>
      <w:r>
        <w:rPr>
          <w:rFonts w:ascii="Times New Roman"/>
        </w:rPr>
        <w:t>）</w:t>
      </w:r>
      <w:r>
        <w:rPr>
          <w:rFonts w:hint="default" w:ascii="Times New Roman"/>
        </w:rPr>
        <w:t xml:space="preserve"> 同期比对观测：将便携式设备与TCCON或COCCON基准站点光谱仪进行不少于连续7天的同期太阳跟踪观测，比对期间应覆盖不同大气质量状况。</w:t>
      </w:r>
    </w:p>
    <w:p w14:paraId="78D16AA5">
      <w:pPr>
        <w:pStyle w:val="27"/>
        <w:spacing w:after="0" w:line="240" w:lineRule="auto"/>
        <w:rPr>
          <w:rFonts w:hint="default" w:ascii="Times New Roman"/>
        </w:rPr>
      </w:pPr>
      <w:r>
        <w:rPr>
          <w:rFonts w:hint="default" w:ascii="Times New Roman"/>
        </w:rPr>
        <w:t>c</w:t>
      </w:r>
      <w:r>
        <w:rPr>
          <w:rFonts w:ascii="Times New Roman"/>
        </w:rPr>
        <w:t>）</w:t>
      </w:r>
      <w:r>
        <w:rPr>
          <w:rFonts w:hint="default" w:ascii="Times New Roman"/>
        </w:rPr>
        <w:t xml:space="preserve"> 数据反演与偏差修正：采用与基准站点一致的反演算法处理光谱数据，基于同期观测数据计算系统偏差，分析偏差与大气质量因子等因素的相关性并建立综合修正函数。未经比对校准和偏差修正的数据不得用于正式准确性检验。校准后的数据可量值溯源至所比对的TCCON和COCCON基准站点。</w:t>
      </w:r>
    </w:p>
    <w:p w14:paraId="2DAD890D">
      <w:pPr>
        <w:pStyle w:val="27"/>
        <w:spacing w:line="240" w:lineRule="auto"/>
        <w:rPr>
          <w:rFonts w:hint="default" w:ascii="Times New Roman"/>
        </w:rPr>
      </w:pPr>
      <w:r>
        <w:rPr>
          <w:rFonts w:hint="default" w:ascii="Times New Roman"/>
        </w:rPr>
        <w:t>d</w:t>
      </w:r>
      <w:r>
        <w:rPr>
          <w:rFonts w:ascii="Times New Roman"/>
        </w:rPr>
        <w:t>）</w:t>
      </w:r>
      <w:r>
        <w:rPr>
          <w:rFonts w:hint="default" w:ascii="Times New Roman"/>
        </w:rPr>
        <w:t xml:space="preserve"> 数据记录与报告：数据存储格式参照COCCON数据规范。检验记录需附设备序列号与固件版本、仪器线性参数标定报告、溯源基准站名称、偏差修正报告等。</w:t>
      </w:r>
      <w:bookmarkEnd w:id="211"/>
      <w:r>
        <w:rPr>
          <w:rFonts w:hint="default" w:ascii="Times New Roman"/>
        </w:rPr>
        <w:br w:type="page"/>
      </w:r>
    </w:p>
    <w:p w14:paraId="5651AEA7">
      <w:pPr>
        <w:pStyle w:val="89"/>
        <w:numPr>
          <w:ilvl w:val="255"/>
          <w:numId w:val="0"/>
        </w:numPr>
        <w:shd w:val="clear" w:color="FFFFFF" w:fill="FFFFFF"/>
        <w:spacing w:before="313" w:beforeLines="100" w:after="313" w:afterLines="100" w:line="240" w:lineRule="auto"/>
        <w:rPr>
          <w:rFonts w:hint="default" w:ascii="Times New Roman" w:eastAsia="黑体"/>
          <w:lang w:eastAsia="zh-CN"/>
        </w:rPr>
      </w:pPr>
      <w:bookmarkStart w:id="212" w:name="_Toc1781"/>
      <w:r>
        <w:rPr>
          <w:rFonts w:ascii="Times New Roman"/>
        </w:rPr>
        <w:t>附录</w:t>
      </w:r>
      <w:r>
        <w:rPr>
          <w:rFonts w:hint="default" w:ascii="Times New Roman"/>
          <w:lang w:val="en-US" w:eastAsia="zh-CN"/>
        </w:rPr>
        <w:t>B</w:t>
      </w:r>
      <w:bookmarkEnd w:id="212"/>
    </w:p>
    <w:p w14:paraId="7A656E84">
      <w:pPr>
        <w:spacing w:before="157" w:beforeLines="50" w:after="157" w:afterLines="50" w:line="240" w:lineRule="auto"/>
        <w:jc w:val="center"/>
        <w:rPr>
          <w:rFonts w:ascii="黑体" w:eastAsia="宋体"/>
        </w:rPr>
      </w:pPr>
      <w:r>
        <w:rPr>
          <w:rFonts w:ascii="黑体" w:eastAsia="宋体"/>
        </w:rPr>
        <w:t>（资料性）</w:t>
      </w:r>
    </w:p>
    <w:p w14:paraId="333BF58F">
      <w:pPr>
        <w:spacing w:before="157" w:beforeLines="50" w:after="157" w:afterLines="50" w:line="240" w:lineRule="auto"/>
        <w:jc w:val="center"/>
        <w:rPr>
          <w:rFonts w:ascii="黑体" w:eastAsia="黑体"/>
        </w:rPr>
      </w:pPr>
      <w:r>
        <w:rPr>
          <w:rFonts w:ascii="黑体" w:eastAsia="黑体"/>
        </w:rPr>
        <w:t>温室气体柱浓度卫星遥感数据筛选</w:t>
      </w:r>
    </w:p>
    <w:p w14:paraId="05DF6125">
      <w:pPr>
        <w:autoSpaceDE w:val="0"/>
        <w:autoSpaceDN w:val="0"/>
        <w:spacing w:before="156" w:beforeLines="50" w:after="156" w:afterLines="50" w:line="240" w:lineRule="auto"/>
        <w:ind w:firstLine="0" w:firstLineChars="0"/>
        <w:jc w:val="both"/>
        <w:rPr>
          <w:rFonts w:hint="eastAsia" w:ascii="Times New Roman" w:hAnsi="Times New Roman" w:eastAsia="黑体" w:cs="Times New Roman"/>
          <w:sz w:val="21"/>
          <w:lang w:val="en-US" w:eastAsia="zh-CN" w:bidi="ar-SA"/>
        </w:rPr>
      </w:pPr>
    </w:p>
    <w:p w14:paraId="7DFBA977">
      <w:pPr>
        <w:autoSpaceDE w:val="0"/>
        <w:autoSpaceDN w:val="0"/>
        <w:spacing w:before="156" w:beforeLines="50" w:after="156" w:afterLines="50" w:line="240" w:lineRule="auto"/>
        <w:ind w:firstLine="0" w:firstLineChars="0"/>
        <w:jc w:val="both"/>
        <w:rPr>
          <w:rFonts w:ascii="Times New Roman" w:hAnsi="Times New Roman" w:eastAsia="黑体" w:cs="Times New Roman"/>
          <w:sz w:val="21"/>
          <w:lang w:val="en-US" w:eastAsia="zh-CN" w:bidi="ar-SA"/>
        </w:rPr>
      </w:pPr>
      <w:r>
        <w:rPr>
          <w:rFonts w:hint="eastAsia" w:ascii="Times New Roman" w:hAnsi="Times New Roman" w:eastAsia="黑体" w:cs="Times New Roman"/>
          <w:sz w:val="21"/>
          <w:lang w:val="en-US" w:eastAsia="zh-CN" w:bidi="ar-SA"/>
        </w:rPr>
        <w:t>B</w:t>
      </w:r>
      <w:r>
        <w:rPr>
          <w:rFonts w:ascii="Times New Roman" w:hAnsi="Times New Roman" w:eastAsia="黑体" w:cs="Times New Roman"/>
          <w:sz w:val="21"/>
          <w:lang w:val="en-US" w:eastAsia="zh-CN" w:bidi="ar-SA"/>
        </w:rPr>
        <w:t xml:space="preserve">.1 </w:t>
      </w:r>
      <w:r>
        <w:rPr>
          <w:rFonts w:hint="eastAsia" w:ascii="Times New Roman" w:hAnsi="Times New Roman" w:eastAsia="黑体" w:cs="Times New Roman"/>
          <w:sz w:val="21"/>
          <w:lang w:val="en-US" w:eastAsia="zh-CN" w:bidi="ar-SA"/>
        </w:rPr>
        <w:t>筛选原则</w:t>
      </w:r>
    </w:p>
    <w:p w14:paraId="0A877C22">
      <w:pPr>
        <w:autoSpaceDE w:val="0"/>
        <w:autoSpaceDN w:val="0"/>
        <w:spacing w:after="0" w:line="240" w:lineRule="auto"/>
        <w:ind w:firstLine="420" w:firstLineChars="200"/>
        <w:jc w:val="both"/>
        <w:rPr>
          <w:rFonts w:ascii="Times New Roman" w:hAnsi="Times New Roman" w:eastAsia="宋体" w:cs="Times New Roman"/>
          <w:sz w:val="21"/>
          <w:lang w:val="en-US" w:eastAsia="zh-CN" w:bidi="ar-SA"/>
        </w:rPr>
      </w:pPr>
      <w:r>
        <w:rPr>
          <w:rFonts w:ascii="Times New Roman" w:hAnsi="Times New Roman" w:eastAsia="宋体" w:cs="Times New Roman"/>
          <w:sz w:val="21"/>
          <w:lang w:val="en-US" w:eastAsia="zh-CN" w:bidi="ar-SA"/>
        </w:rPr>
        <w:t>卫星监测的柱浓度数据应依据其附带的数据质量标识或质量控制参数进行筛选。筛选的目标是保留高质量数据，剔除受云、气溶胶、高太阳天顶角、反演算法未收敛等因素显著影响的低质量数据。</w:t>
      </w:r>
    </w:p>
    <w:p w14:paraId="3411B1BB">
      <w:pPr>
        <w:autoSpaceDE w:val="0"/>
        <w:autoSpaceDN w:val="0"/>
        <w:spacing w:before="156" w:beforeLines="50" w:after="156" w:afterLines="50" w:line="240" w:lineRule="auto"/>
        <w:ind w:firstLine="0" w:firstLineChars="0"/>
        <w:jc w:val="both"/>
        <w:rPr>
          <w:rFonts w:ascii="Times New Roman" w:hAnsi="Times New Roman" w:eastAsia="黑体" w:cs="Times New Roman"/>
          <w:sz w:val="21"/>
          <w:lang w:val="en-US" w:eastAsia="zh-CN" w:bidi="ar-SA"/>
        </w:rPr>
      </w:pPr>
      <w:r>
        <w:rPr>
          <w:rFonts w:hint="eastAsia" w:ascii="Times New Roman" w:hAnsi="Times New Roman" w:eastAsia="黑体" w:cs="Times New Roman"/>
          <w:sz w:val="21"/>
          <w:lang w:val="en-US" w:eastAsia="zh-CN" w:bidi="ar-SA"/>
        </w:rPr>
        <w:t>B</w:t>
      </w:r>
      <w:r>
        <w:rPr>
          <w:rFonts w:ascii="Times New Roman" w:hAnsi="Times New Roman" w:eastAsia="黑体" w:cs="Times New Roman"/>
          <w:sz w:val="21"/>
          <w:lang w:val="en-US" w:eastAsia="zh-CN" w:bidi="ar-SA"/>
        </w:rPr>
        <w:t xml:space="preserve">.2 </w:t>
      </w:r>
      <w:r>
        <w:rPr>
          <w:rFonts w:hint="eastAsia" w:ascii="Times New Roman" w:hAnsi="Times New Roman" w:eastAsia="黑体" w:cs="Times New Roman"/>
          <w:sz w:val="21"/>
          <w:lang w:val="en-US" w:eastAsia="zh-CN" w:bidi="ar-SA"/>
        </w:rPr>
        <w:t>筛选方法</w:t>
      </w:r>
    </w:p>
    <w:p w14:paraId="3488E8F6">
      <w:pPr>
        <w:autoSpaceDE w:val="0"/>
        <w:autoSpaceDN w:val="0"/>
        <w:spacing w:after="0" w:line="240" w:lineRule="auto"/>
        <w:ind w:firstLine="420" w:firstLineChars="200"/>
        <w:jc w:val="both"/>
        <w:rPr>
          <w:rFonts w:ascii="Times New Roman" w:hAnsi="Times New Roman" w:eastAsia="宋体" w:cs="Times New Roman"/>
          <w:sz w:val="21"/>
          <w:lang w:val="en-US" w:eastAsia="zh-CN" w:bidi="ar-SA"/>
        </w:rPr>
      </w:pPr>
      <w:r>
        <w:rPr>
          <w:rFonts w:ascii="Times New Roman" w:hAnsi="Times New Roman" w:eastAsia="宋体" w:cs="Times New Roman"/>
          <w:sz w:val="21"/>
          <w:lang w:val="en-US" w:eastAsia="zh-CN" w:bidi="ar-SA"/>
        </w:rPr>
        <w:t>不同卫星传感器的数据质量标识体系和筛选阈值各异，使用者应依据具体数据产品的官方用户手册进行操作</w:t>
      </w:r>
      <w:r>
        <w:rPr>
          <w:rFonts w:hint="eastAsia" w:ascii="Times New Roman" w:hAnsi="Times New Roman" w:eastAsia="宋体" w:cs="Times New Roman"/>
          <w:sz w:val="21"/>
          <w:lang w:val="en-US" w:eastAsia="zh-CN" w:bidi="ar-SA"/>
        </w:rPr>
        <w:t>，常见卫星数据筛选示例参见表B.1</w:t>
      </w:r>
      <w:r>
        <w:rPr>
          <w:rFonts w:ascii="Times New Roman" w:hAnsi="Times New Roman" w:eastAsia="宋体" w:cs="Times New Roman"/>
          <w:sz w:val="21"/>
          <w:lang w:val="en-US" w:eastAsia="zh-CN" w:bidi="ar-SA"/>
        </w:rPr>
        <w:t>。</w:t>
      </w:r>
    </w:p>
    <w:p w14:paraId="5226C945">
      <w:pPr>
        <w:autoSpaceDE w:val="0"/>
        <w:autoSpaceDN w:val="0"/>
        <w:spacing w:after="0" w:line="240" w:lineRule="auto"/>
        <w:ind w:firstLine="420" w:firstLineChars="200"/>
        <w:jc w:val="both"/>
        <w:rPr>
          <w:rFonts w:ascii="Times New Roman" w:hAnsi="Times New Roman" w:eastAsia="宋体" w:cs="Times New Roman"/>
          <w:sz w:val="21"/>
          <w:lang w:val="en-US" w:eastAsia="zh-CN" w:bidi="ar-SA"/>
        </w:rPr>
      </w:pPr>
      <w:r>
        <w:rPr>
          <w:rFonts w:ascii="Times New Roman" w:hAnsi="Times New Roman" w:eastAsia="宋体" w:cs="Times New Roman"/>
          <w:sz w:val="21"/>
          <w:lang w:val="en-US" w:eastAsia="zh-CN" w:bidi="ar-SA"/>
        </w:rPr>
        <w:t>a) 使用官方质量标识判断：若数据产品提供明确的质量标识，优先选择官方文档或科学算法推荐的质量等级进行筛选。</w:t>
      </w:r>
    </w:p>
    <w:p w14:paraId="0E7E64F2">
      <w:pPr>
        <w:autoSpaceDE w:val="0"/>
        <w:autoSpaceDN w:val="0"/>
        <w:spacing w:after="0" w:line="240" w:lineRule="auto"/>
        <w:ind w:firstLine="420" w:firstLineChars="200"/>
        <w:jc w:val="both"/>
        <w:rPr>
          <w:rFonts w:ascii="Times New Roman" w:hAnsi="Times New Roman" w:eastAsia="宋体" w:cs="Times New Roman"/>
          <w:sz w:val="21"/>
          <w:lang w:val="en-US" w:eastAsia="zh-CN" w:bidi="ar-SA"/>
        </w:rPr>
      </w:pPr>
      <w:r>
        <w:rPr>
          <w:rFonts w:ascii="Times New Roman" w:hAnsi="Times New Roman" w:eastAsia="宋体" w:cs="Times New Roman"/>
          <w:sz w:val="21"/>
          <w:lang w:val="en-US" w:eastAsia="zh-CN" w:bidi="ar-SA"/>
        </w:rPr>
        <w:t>b) 使用关键反演参数判断：若数据产品未提供综合质量标识，可依据反演算法中的关键状态参数进行判断。典型参数有：反演收敛标</w:t>
      </w:r>
      <w:r>
        <w:rPr>
          <w:rFonts w:hint="eastAsia" w:ascii="Times New Roman" w:hAnsi="Times New Roman" w:eastAsia="宋体" w:cs="Times New Roman"/>
          <w:sz w:val="21"/>
          <w:lang w:val="en-US" w:eastAsia="zh-CN" w:bidi="ar-SA"/>
        </w:rPr>
        <w:t>识</w:t>
      </w:r>
      <w:r>
        <w:rPr>
          <w:rFonts w:ascii="Times New Roman" w:hAnsi="Times New Roman" w:eastAsia="宋体" w:cs="Times New Roman"/>
          <w:sz w:val="21"/>
          <w:lang w:val="en-US" w:eastAsia="zh-CN" w:bidi="ar-SA"/>
        </w:rPr>
        <w:t>、光谱拟合残差、云与气溶胶标识、</w:t>
      </w:r>
      <w:r>
        <w:rPr>
          <w:rFonts w:hint="eastAsia" w:ascii="Times New Roman" w:hAnsi="Times New Roman" w:eastAsia="宋体" w:cs="Times New Roman"/>
          <w:sz w:val="21"/>
          <w:lang w:val="en-US" w:eastAsia="zh-CN" w:bidi="ar-SA"/>
        </w:rPr>
        <w:t>监测</w:t>
      </w:r>
      <w:r>
        <w:rPr>
          <w:rFonts w:ascii="Times New Roman" w:hAnsi="Times New Roman" w:eastAsia="宋体" w:cs="Times New Roman"/>
          <w:sz w:val="21"/>
          <w:lang w:val="en-US" w:eastAsia="zh-CN" w:bidi="ar-SA"/>
        </w:rPr>
        <w:t>几何参数等。</w:t>
      </w:r>
    </w:p>
    <w:p w14:paraId="774011FD">
      <w:pPr>
        <w:autoSpaceDE w:val="0"/>
        <w:autoSpaceDN w:val="0"/>
        <w:spacing w:after="0" w:line="240" w:lineRule="auto"/>
        <w:ind w:firstLine="360" w:firstLineChars="200"/>
        <w:jc w:val="both"/>
        <w:rPr>
          <w:rFonts w:ascii="Times New Roman" w:hAnsi="Times New Roman" w:eastAsia="宋体" w:cs="Times New Roman"/>
          <w:sz w:val="18"/>
          <w:szCs w:val="18"/>
          <w:lang w:val="en-US" w:eastAsia="zh-CN" w:bidi="ar-SA"/>
        </w:rPr>
      </w:pPr>
      <w:r>
        <w:rPr>
          <w:rFonts w:ascii="Times New Roman" w:hAnsi="Times New Roman" w:eastAsia="宋体" w:cs="Times New Roman"/>
          <w:sz w:val="18"/>
          <w:szCs w:val="18"/>
          <w:lang w:val="en-US" w:eastAsia="zh-CN" w:bidi="ar-SA"/>
        </w:rPr>
        <w:t>注：反演收敛标志指算法在求解最优浓度参数时是否成功达到预定拟合精度的状态标识；未收敛通常意味着反演结果不可靠。气溶胶光学厚度是表征气溶胶对光衰减作用的无量纲量，其值过大会严重影响温室气体吸收光谱的解析，通常作为数据筛选的重要辅助判据。尺度效应指由于地表异质性、卫星</w:t>
      </w:r>
      <w:r>
        <w:rPr>
          <w:rFonts w:hint="eastAsia" w:ascii="Times New Roman" w:hAnsi="Times New Roman" w:eastAsia="宋体" w:cs="Times New Roman"/>
          <w:sz w:val="18"/>
          <w:szCs w:val="18"/>
          <w:lang w:val="en-US" w:eastAsia="zh-CN" w:bidi="ar-SA"/>
        </w:rPr>
        <w:t>监测</w:t>
      </w:r>
      <w:r>
        <w:rPr>
          <w:rFonts w:ascii="Times New Roman" w:hAnsi="Times New Roman" w:eastAsia="宋体" w:cs="Times New Roman"/>
          <w:sz w:val="18"/>
          <w:szCs w:val="18"/>
          <w:lang w:val="en-US" w:eastAsia="zh-CN" w:bidi="ar-SA"/>
        </w:rPr>
        <w:t>与地面</w:t>
      </w:r>
      <w:r>
        <w:rPr>
          <w:rFonts w:hint="eastAsia" w:ascii="Times New Roman" w:hAnsi="Times New Roman" w:eastAsia="宋体" w:cs="Times New Roman"/>
          <w:sz w:val="18"/>
          <w:szCs w:val="18"/>
          <w:lang w:val="en-US" w:eastAsia="zh-CN" w:bidi="ar-SA"/>
        </w:rPr>
        <w:t>监测</w:t>
      </w:r>
      <w:r>
        <w:rPr>
          <w:rFonts w:ascii="Times New Roman" w:hAnsi="Times New Roman" w:eastAsia="宋体" w:cs="Times New Roman"/>
          <w:sz w:val="18"/>
          <w:szCs w:val="18"/>
          <w:lang w:val="en-US" w:eastAsia="zh-CN" w:bidi="ar-SA"/>
        </w:rPr>
        <w:t>在空间和时空代表性上的差异所导致的比较偏差，在准确性检验的样本选择和匹配策略设计中需予以考虑。</w:t>
      </w:r>
    </w:p>
    <w:p w14:paraId="5A2ABCC1">
      <w:pPr>
        <w:spacing w:before="157" w:beforeLines="50" w:after="157" w:afterLines="50" w:line="240" w:lineRule="auto"/>
        <w:jc w:val="center"/>
        <w:rPr>
          <w:rFonts w:hint="eastAsia" w:ascii="黑体" w:hAnsi="黑体" w:eastAsia="黑体" w:cs="黑体"/>
          <w:sz w:val="21"/>
          <w:szCs w:val="21"/>
        </w:rPr>
      </w:pPr>
      <w:r>
        <w:rPr>
          <w:rFonts w:hint="eastAsia" w:ascii="黑体" w:hAnsi="黑体" w:eastAsia="黑体" w:cs="黑体"/>
          <w:sz w:val="21"/>
          <w:szCs w:val="21"/>
        </w:rPr>
        <w:t>表</w:t>
      </w:r>
      <w:r>
        <w:rPr>
          <w:rFonts w:hint="eastAsia" w:ascii="黑体" w:hAnsi="黑体" w:eastAsia="黑体" w:cs="黑体"/>
          <w:sz w:val="21"/>
          <w:szCs w:val="21"/>
          <w:lang w:val="en-US" w:eastAsia="zh-CN"/>
        </w:rPr>
        <w:t>B</w:t>
      </w:r>
      <w:r>
        <w:rPr>
          <w:rFonts w:hint="eastAsia" w:ascii="黑体" w:hAnsi="黑体" w:eastAsia="黑体" w:cs="黑体"/>
          <w:sz w:val="21"/>
          <w:szCs w:val="21"/>
        </w:rPr>
        <w:t>.1常见高质量卫星数据标识及筛选示例</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2186"/>
        <w:gridCol w:w="2313"/>
        <w:gridCol w:w="3229"/>
        <w:gridCol w:w="645"/>
      </w:tblGrid>
      <w:tr w14:paraId="2750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pct"/>
          </w:tcPr>
          <w:p w14:paraId="0EC6DE89">
            <w:pPr>
              <w:spacing w:after="0" w:line="240" w:lineRule="auto"/>
              <w:jc w:val="center"/>
              <w:rPr>
                <w:rFonts w:eastAsia="黑体"/>
                <w:szCs w:val="21"/>
              </w:rPr>
            </w:pPr>
            <w:r>
              <w:rPr>
                <w:rFonts w:eastAsia="黑体"/>
                <w:szCs w:val="21"/>
              </w:rPr>
              <w:t>卫星</w:t>
            </w:r>
            <w:r>
              <w:rPr>
                <w:rFonts w:hint="eastAsia" w:eastAsia="黑体"/>
                <w:szCs w:val="21"/>
              </w:rPr>
              <w:t>型号</w:t>
            </w:r>
            <w:r>
              <w:rPr>
                <w:rFonts w:eastAsia="黑体"/>
                <w:szCs w:val="21"/>
              </w:rPr>
              <w:t>/传感器</w:t>
            </w:r>
          </w:p>
        </w:tc>
        <w:tc>
          <w:tcPr>
            <w:tcW w:w="1141" w:type="pct"/>
          </w:tcPr>
          <w:p w14:paraId="05C24810">
            <w:pPr>
              <w:spacing w:after="0" w:line="240" w:lineRule="auto"/>
              <w:jc w:val="center"/>
              <w:rPr>
                <w:rFonts w:eastAsia="黑体"/>
                <w:szCs w:val="21"/>
              </w:rPr>
            </w:pPr>
            <w:r>
              <w:rPr>
                <w:rFonts w:hint="eastAsia" w:eastAsia="黑体"/>
                <w:szCs w:val="21"/>
              </w:rPr>
              <w:t>卫星遥感数据</w:t>
            </w:r>
          </w:p>
          <w:p w14:paraId="01BD1B19">
            <w:pPr>
              <w:spacing w:after="0" w:line="240" w:lineRule="auto"/>
              <w:jc w:val="center"/>
              <w:rPr>
                <w:rFonts w:eastAsia="黑体"/>
                <w:szCs w:val="21"/>
              </w:rPr>
            </w:pPr>
            <w:r>
              <w:rPr>
                <w:rFonts w:eastAsia="黑体"/>
                <w:szCs w:val="21"/>
              </w:rPr>
              <w:t>(Level 2)</w:t>
            </w:r>
          </w:p>
        </w:tc>
        <w:tc>
          <w:tcPr>
            <w:tcW w:w="1207" w:type="pct"/>
          </w:tcPr>
          <w:p w14:paraId="359600B9">
            <w:pPr>
              <w:spacing w:after="0" w:line="240" w:lineRule="auto"/>
              <w:jc w:val="center"/>
              <w:rPr>
                <w:rFonts w:eastAsia="黑体"/>
                <w:szCs w:val="21"/>
              </w:rPr>
            </w:pPr>
            <w:r>
              <w:rPr>
                <w:rFonts w:eastAsia="黑体"/>
                <w:szCs w:val="21"/>
              </w:rPr>
              <w:t>关键质量标识/参数</w:t>
            </w:r>
          </w:p>
        </w:tc>
        <w:tc>
          <w:tcPr>
            <w:tcW w:w="1686" w:type="pct"/>
          </w:tcPr>
          <w:p w14:paraId="2A8BFC04">
            <w:pPr>
              <w:spacing w:after="0" w:line="240" w:lineRule="auto"/>
              <w:jc w:val="center"/>
              <w:rPr>
                <w:rFonts w:eastAsia="黑体"/>
                <w:szCs w:val="21"/>
              </w:rPr>
            </w:pPr>
            <w:r>
              <w:rPr>
                <w:rFonts w:eastAsia="黑体"/>
                <w:szCs w:val="21"/>
              </w:rPr>
              <w:t>高质量数据筛选建议</w:t>
            </w:r>
          </w:p>
        </w:tc>
        <w:tc>
          <w:tcPr>
            <w:tcW w:w="337" w:type="pct"/>
          </w:tcPr>
          <w:p w14:paraId="49600397">
            <w:pPr>
              <w:spacing w:after="0" w:line="240" w:lineRule="auto"/>
              <w:jc w:val="center"/>
              <w:rPr>
                <w:rFonts w:eastAsia="黑体"/>
                <w:szCs w:val="21"/>
              </w:rPr>
            </w:pPr>
            <w:r>
              <w:rPr>
                <w:rFonts w:eastAsia="黑体"/>
                <w:szCs w:val="21"/>
              </w:rPr>
              <w:t>备注</w:t>
            </w:r>
          </w:p>
        </w:tc>
      </w:tr>
      <w:tr w14:paraId="2D95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pct"/>
          </w:tcPr>
          <w:p w14:paraId="1FA1774A">
            <w:pPr>
              <w:spacing w:after="0" w:line="240" w:lineRule="auto"/>
              <w:rPr>
                <w:rFonts w:eastAsia="宋体"/>
                <w:sz w:val="18"/>
                <w:szCs w:val="18"/>
              </w:rPr>
            </w:pPr>
            <w:r>
              <w:rPr>
                <w:rFonts w:eastAsia="宋体"/>
                <w:sz w:val="18"/>
                <w:szCs w:val="18"/>
              </w:rPr>
              <w:t>OCO-2/-3</w:t>
            </w:r>
          </w:p>
          <w:p w14:paraId="021A0174">
            <w:pPr>
              <w:spacing w:after="0" w:line="240" w:lineRule="auto"/>
              <w:rPr>
                <w:rFonts w:eastAsia="宋体"/>
                <w:sz w:val="18"/>
                <w:szCs w:val="18"/>
              </w:rPr>
            </w:pPr>
          </w:p>
        </w:tc>
        <w:tc>
          <w:tcPr>
            <w:tcW w:w="1141" w:type="pct"/>
          </w:tcPr>
          <w:p w14:paraId="19881AC6">
            <w:pPr>
              <w:spacing w:after="0" w:line="240" w:lineRule="auto"/>
              <w:rPr>
                <w:rFonts w:eastAsia="宋体"/>
                <w:sz w:val="18"/>
                <w:szCs w:val="18"/>
              </w:rPr>
            </w:pPr>
            <w:r>
              <w:rPr>
                <w:rFonts w:eastAsia="宋体"/>
                <w:sz w:val="18"/>
                <w:szCs w:val="18"/>
              </w:rPr>
              <w:t>XCO</w:t>
            </w:r>
            <w:r>
              <w:rPr>
                <w:rFonts w:eastAsia="宋体"/>
                <w:sz w:val="18"/>
                <w:szCs w:val="18"/>
                <w:vertAlign w:val="subscript"/>
              </w:rPr>
              <w:t>2</w:t>
            </w:r>
          </w:p>
        </w:tc>
        <w:tc>
          <w:tcPr>
            <w:tcW w:w="1207" w:type="pct"/>
          </w:tcPr>
          <w:p w14:paraId="2C38B4BA">
            <w:pPr>
              <w:spacing w:after="0" w:line="240" w:lineRule="auto"/>
              <w:rPr>
                <w:rFonts w:eastAsia="宋体"/>
                <w:sz w:val="18"/>
                <w:szCs w:val="18"/>
              </w:rPr>
            </w:pPr>
            <w:r>
              <w:rPr>
                <w:rFonts w:eastAsia="宋体"/>
                <w:sz w:val="18"/>
                <w:szCs w:val="18"/>
              </w:rPr>
              <w:t>quality_flag</w:t>
            </w:r>
            <w:r>
              <w:rPr>
                <w:rFonts w:hint="eastAsia" w:eastAsia="宋体"/>
                <w:sz w:val="18"/>
                <w:szCs w:val="18"/>
              </w:rPr>
              <w:t>；</w:t>
            </w:r>
            <w:r>
              <w:rPr>
                <w:rFonts w:eastAsia="宋体"/>
                <w:sz w:val="18"/>
                <w:szCs w:val="18"/>
              </w:rPr>
              <w:br w:type="textWrapping"/>
            </w:r>
            <w:r>
              <w:rPr>
                <w:rFonts w:eastAsia="宋体"/>
                <w:sz w:val="18"/>
                <w:szCs w:val="18"/>
              </w:rPr>
              <w:t>warn_level</w:t>
            </w:r>
          </w:p>
        </w:tc>
        <w:tc>
          <w:tcPr>
            <w:tcW w:w="1686" w:type="pct"/>
          </w:tcPr>
          <w:p w14:paraId="1B8CC41C">
            <w:pPr>
              <w:spacing w:after="0" w:line="240" w:lineRule="auto"/>
              <w:rPr>
                <w:rFonts w:eastAsia="宋体"/>
                <w:sz w:val="18"/>
                <w:szCs w:val="18"/>
              </w:rPr>
            </w:pPr>
            <w:r>
              <w:rPr>
                <w:rFonts w:eastAsia="宋体"/>
                <w:sz w:val="18"/>
                <w:szCs w:val="18"/>
              </w:rPr>
              <w:t>1.方法：quality_flag等于0。</w:t>
            </w:r>
            <w:r>
              <w:rPr>
                <w:rFonts w:eastAsia="宋体"/>
                <w:sz w:val="18"/>
                <w:szCs w:val="18"/>
              </w:rPr>
              <w:br w:type="textWrapping"/>
            </w:r>
            <w:r>
              <w:rPr>
                <w:rFonts w:eastAsia="宋体"/>
                <w:sz w:val="18"/>
                <w:szCs w:val="18"/>
              </w:rPr>
              <w:t>2.进阶方法：优先选用warn_level数值较低的</w:t>
            </w:r>
            <w:r>
              <w:rPr>
                <w:rFonts w:hint="eastAsia" w:eastAsia="宋体"/>
                <w:sz w:val="18"/>
                <w:szCs w:val="18"/>
              </w:rPr>
              <w:t>监测</w:t>
            </w:r>
            <w:r>
              <w:rPr>
                <w:rFonts w:eastAsia="宋体"/>
                <w:sz w:val="18"/>
                <w:szCs w:val="18"/>
              </w:rPr>
              <w:t>值（如WL ≤15），该值越低表示数据可信度越高。</w:t>
            </w:r>
          </w:p>
        </w:tc>
        <w:tc>
          <w:tcPr>
            <w:tcW w:w="337" w:type="pct"/>
          </w:tcPr>
          <w:p w14:paraId="11D8F110">
            <w:pPr>
              <w:spacing w:after="0" w:line="240" w:lineRule="auto"/>
              <w:rPr>
                <w:rFonts w:eastAsia="宋体"/>
                <w:sz w:val="18"/>
                <w:szCs w:val="18"/>
              </w:rPr>
            </w:pPr>
          </w:p>
        </w:tc>
      </w:tr>
      <w:tr w14:paraId="098F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pct"/>
          </w:tcPr>
          <w:p w14:paraId="29654794">
            <w:pPr>
              <w:spacing w:after="0" w:line="240" w:lineRule="auto"/>
              <w:rPr>
                <w:rFonts w:eastAsia="宋体"/>
                <w:sz w:val="18"/>
                <w:szCs w:val="18"/>
              </w:rPr>
            </w:pPr>
            <w:r>
              <w:rPr>
                <w:rFonts w:eastAsia="宋体"/>
                <w:sz w:val="18"/>
                <w:szCs w:val="18"/>
              </w:rPr>
              <w:t>Sentinel-5P/ TROPOMI</w:t>
            </w:r>
          </w:p>
          <w:p w14:paraId="72E9997D">
            <w:pPr>
              <w:spacing w:after="0" w:line="240" w:lineRule="auto"/>
              <w:rPr>
                <w:rFonts w:eastAsia="宋体"/>
                <w:sz w:val="18"/>
                <w:szCs w:val="18"/>
              </w:rPr>
            </w:pPr>
          </w:p>
        </w:tc>
        <w:tc>
          <w:tcPr>
            <w:tcW w:w="1141" w:type="pct"/>
          </w:tcPr>
          <w:p w14:paraId="41826EB0">
            <w:pPr>
              <w:spacing w:after="0" w:line="240" w:lineRule="auto"/>
              <w:rPr>
                <w:rFonts w:eastAsia="宋体"/>
                <w:sz w:val="18"/>
                <w:szCs w:val="18"/>
              </w:rPr>
            </w:pPr>
            <w:r>
              <w:rPr>
                <w:rFonts w:eastAsia="宋体"/>
                <w:sz w:val="18"/>
                <w:szCs w:val="18"/>
              </w:rPr>
              <w:t>XCH</w:t>
            </w:r>
            <w:r>
              <w:rPr>
                <w:rFonts w:hint="eastAsia" w:eastAsia="宋体"/>
                <w:sz w:val="18"/>
                <w:szCs w:val="18"/>
                <w:vertAlign w:val="subscript"/>
              </w:rPr>
              <w:t>4</w:t>
            </w:r>
          </w:p>
        </w:tc>
        <w:tc>
          <w:tcPr>
            <w:tcW w:w="1207" w:type="pct"/>
          </w:tcPr>
          <w:p w14:paraId="19CECFC9">
            <w:pPr>
              <w:spacing w:after="0" w:line="240" w:lineRule="auto"/>
              <w:rPr>
                <w:rFonts w:eastAsia="宋体"/>
                <w:sz w:val="18"/>
                <w:szCs w:val="18"/>
              </w:rPr>
            </w:pPr>
            <w:r>
              <w:rPr>
                <w:rFonts w:eastAsia="宋体"/>
                <w:sz w:val="18"/>
                <w:szCs w:val="18"/>
              </w:rPr>
              <w:t>qa_value</w:t>
            </w:r>
          </w:p>
        </w:tc>
        <w:tc>
          <w:tcPr>
            <w:tcW w:w="1686" w:type="pct"/>
          </w:tcPr>
          <w:p w14:paraId="6F913018">
            <w:pPr>
              <w:spacing w:after="0" w:line="240" w:lineRule="auto"/>
              <w:rPr>
                <w:rFonts w:eastAsia="宋体"/>
                <w:sz w:val="18"/>
                <w:szCs w:val="18"/>
              </w:rPr>
            </w:pPr>
            <w:r>
              <w:rPr>
                <w:rFonts w:eastAsia="宋体"/>
                <w:sz w:val="18"/>
                <w:szCs w:val="18"/>
              </w:rPr>
              <w:t>qa_value≥0.5（典型建议阈值）。此阈值有助于过滤掉大部分云覆盖和问题反演数据。</w:t>
            </w:r>
          </w:p>
        </w:tc>
        <w:tc>
          <w:tcPr>
            <w:tcW w:w="337" w:type="pct"/>
          </w:tcPr>
          <w:p w14:paraId="61ED6F2C">
            <w:pPr>
              <w:spacing w:after="0" w:line="240" w:lineRule="auto"/>
              <w:rPr>
                <w:rFonts w:eastAsia="宋体"/>
                <w:sz w:val="18"/>
                <w:szCs w:val="18"/>
              </w:rPr>
            </w:pPr>
          </w:p>
        </w:tc>
      </w:tr>
      <w:tr w14:paraId="35A8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pct"/>
          </w:tcPr>
          <w:p w14:paraId="6C0DC952">
            <w:pPr>
              <w:spacing w:after="0" w:line="240" w:lineRule="auto"/>
              <w:rPr>
                <w:rFonts w:eastAsia="宋体"/>
                <w:sz w:val="18"/>
                <w:szCs w:val="18"/>
              </w:rPr>
            </w:pPr>
            <w:r>
              <w:rPr>
                <w:rFonts w:eastAsia="宋体"/>
                <w:sz w:val="18"/>
                <w:szCs w:val="18"/>
              </w:rPr>
              <w:t>GOSAT/ TANSO-FTS</w:t>
            </w:r>
          </w:p>
        </w:tc>
        <w:tc>
          <w:tcPr>
            <w:tcW w:w="1141" w:type="pct"/>
          </w:tcPr>
          <w:p w14:paraId="2E05CE94">
            <w:pPr>
              <w:spacing w:after="0" w:line="240" w:lineRule="auto"/>
              <w:rPr>
                <w:rFonts w:eastAsia="宋体"/>
                <w:sz w:val="18"/>
                <w:szCs w:val="18"/>
              </w:rPr>
            </w:pPr>
            <w:r>
              <w:rPr>
                <w:rFonts w:eastAsia="宋体"/>
                <w:sz w:val="18"/>
                <w:szCs w:val="18"/>
              </w:rPr>
              <w:t>XCO</w:t>
            </w:r>
            <w:r>
              <w:rPr>
                <w:rFonts w:eastAsia="宋体"/>
                <w:sz w:val="18"/>
                <w:szCs w:val="18"/>
                <w:vertAlign w:val="subscript"/>
              </w:rPr>
              <w:t>2</w:t>
            </w:r>
            <w:r>
              <w:rPr>
                <w:rFonts w:eastAsia="宋体"/>
                <w:sz w:val="18"/>
                <w:szCs w:val="18"/>
              </w:rPr>
              <w:t>，XCH</w:t>
            </w:r>
            <w:r>
              <w:rPr>
                <w:rFonts w:hint="eastAsia" w:eastAsia="宋体"/>
                <w:sz w:val="18"/>
                <w:szCs w:val="18"/>
                <w:vertAlign w:val="subscript"/>
              </w:rPr>
              <w:t>4</w:t>
            </w:r>
          </w:p>
        </w:tc>
        <w:tc>
          <w:tcPr>
            <w:tcW w:w="1207" w:type="pct"/>
          </w:tcPr>
          <w:p w14:paraId="5F4FB5A1">
            <w:pPr>
              <w:spacing w:after="0" w:line="240" w:lineRule="auto"/>
              <w:rPr>
                <w:rFonts w:eastAsia="宋体"/>
                <w:sz w:val="18"/>
                <w:szCs w:val="18"/>
              </w:rPr>
            </w:pPr>
            <w:r>
              <w:rPr>
                <w:rFonts w:hint="eastAsia" w:eastAsia="宋体"/>
                <w:sz w:val="18"/>
                <w:szCs w:val="18"/>
              </w:rPr>
              <w:t>quality flag</w:t>
            </w:r>
          </w:p>
          <w:p w14:paraId="298F9618">
            <w:pPr>
              <w:spacing w:after="0" w:line="240" w:lineRule="auto"/>
              <w:rPr>
                <w:rFonts w:eastAsia="宋体"/>
                <w:sz w:val="18"/>
                <w:szCs w:val="18"/>
              </w:rPr>
            </w:pPr>
            <w:r>
              <w:rPr>
                <w:rFonts w:hint="eastAsia" w:eastAsia="宋体"/>
                <w:sz w:val="18"/>
                <w:szCs w:val="18"/>
              </w:rPr>
              <w:t xml:space="preserve">flag retrieval convergence </w:t>
            </w:r>
          </w:p>
          <w:p w14:paraId="717D5EF7">
            <w:pPr>
              <w:spacing w:after="0" w:line="240" w:lineRule="auto"/>
              <w:rPr>
                <w:rFonts w:eastAsia="宋体"/>
                <w:sz w:val="18"/>
                <w:szCs w:val="18"/>
              </w:rPr>
            </w:pPr>
            <w:r>
              <w:rPr>
                <w:rFonts w:hint="eastAsia" w:eastAsia="宋体"/>
                <w:sz w:val="18"/>
                <w:szCs w:val="18"/>
              </w:rPr>
              <w:t xml:space="preserve">flag cloud </w:t>
            </w:r>
          </w:p>
          <w:p w14:paraId="5753D5C7">
            <w:pPr>
              <w:spacing w:after="0" w:line="240" w:lineRule="auto"/>
              <w:rPr>
                <w:rFonts w:eastAsia="宋体"/>
                <w:sz w:val="18"/>
                <w:szCs w:val="18"/>
              </w:rPr>
            </w:pPr>
            <w:r>
              <w:rPr>
                <w:rFonts w:hint="eastAsia" w:eastAsia="宋体"/>
                <w:sz w:val="18"/>
                <w:szCs w:val="18"/>
              </w:rPr>
              <w:t>solar zenith angle</w:t>
            </w:r>
          </w:p>
        </w:tc>
        <w:tc>
          <w:tcPr>
            <w:tcW w:w="1686" w:type="pct"/>
          </w:tcPr>
          <w:p w14:paraId="4F50101E">
            <w:pPr>
              <w:spacing w:after="0" w:line="240" w:lineRule="auto"/>
              <w:rPr>
                <w:rFonts w:eastAsia="宋体"/>
                <w:sz w:val="18"/>
                <w:szCs w:val="18"/>
              </w:rPr>
            </w:pPr>
            <w:r>
              <w:rPr>
                <w:rFonts w:eastAsia="宋体"/>
                <w:sz w:val="18"/>
                <w:szCs w:val="18"/>
              </w:rPr>
              <w:t>需参考特定数据版本的用户手册。通常要求：</w:t>
            </w:r>
            <w:r>
              <w:rPr>
                <w:rFonts w:eastAsia="宋体"/>
                <w:sz w:val="18"/>
                <w:szCs w:val="18"/>
              </w:rPr>
              <w:br w:type="textWrapping"/>
            </w:r>
            <w:r>
              <w:rPr>
                <w:rFonts w:eastAsia="宋体"/>
                <w:sz w:val="18"/>
                <w:szCs w:val="18"/>
              </w:rPr>
              <w:t>1.反演收敛。</w:t>
            </w:r>
            <w:r>
              <w:rPr>
                <w:rFonts w:eastAsia="宋体"/>
                <w:sz w:val="18"/>
                <w:szCs w:val="18"/>
              </w:rPr>
              <w:br w:type="textWrapping"/>
            </w:r>
            <w:r>
              <w:rPr>
                <w:rFonts w:eastAsia="宋体"/>
                <w:sz w:val="18"/>
                <w:szCs w:val="18"/>
              </w:rPr>
              <w:t>2.云污染（云标志判定）。</w:t>
            </w:r>
            <w:r>
              <w:rPr>
                <w:rFonts w:eastAsia="宋体"/>
                <w:sz w:val="18"/>
                <w:szCs w:val="18"/>
              </w:rPr>
              <w:br w:type="textWrapping"/>
            </w:r>
            <w:r>
              <w:rPr>
                <w:rFonts w:eastAsia="宋体"/>
                <w:sz w:val="18"/>
                <w:szCs w:val="18"/>
              </w:rPr>
              <w:t>3.太阳天顶角小于阈值。</w:t>
            </w:r>
          </w:p>
        </w:tc>
        <w:tc>
          <w:tcPr>
            <w:tcW w:w="337" w:type="pct"/>
          </w:tcPr>
          <w:p w14:paraId="2762ED8F">
            <w:pPr>
              <w:spacing w:after="0" w:line="240" w:lineRule="auto"/>
              <w:rPr>
                <w:rFonts w:eastAsia="宋体"/>
                <w:sz w:val="18"/>
                <w:szCs w:val="18"/>
              </w:rPr>
            </w:pPr>
          </w:p>
        </w:tc>
      </w:tr>
    </w:tbl>
    <w:p w14:paraId="15BED842">
      <w:pPr>
        <w:jc w:val="center"/>
        <w:rPr>
          <w:rFonts w:eastAsia="宋体"/>
        </w:rPr>
      </w:pPr>
    </w:p>
    <w:p w14:paraId="003FF063">
      <w:pPr>
        <w:jc w:val="left"/>
        <w:rPr>
          <w:rFonts w:ascii="Times New Roman"/>
        </w:rPr>
      </w:pPr>
      <w:r>
        <w:rPr>
          <w:rFonts w:ascii="宋体" w:hAnsi="宋体" w:eastAsia="宋体"/>
          <w:b/>
          <w:bCs/>
        </w:rPr>
        <w:br w:type="page"/>
      </w:r>
    </w:p>
    <w:p w14:paraId="70B7690F">
      <w:pPr>
        <w:pStyle w:val="89"/>
        <w:numPr>
          <w:ilvl w:val="255"/>
          <w:numId w:val="0"/>
        </w:numPr>
        <w:spacing w:before="313" w:beforeLines="100" w:after="313" w:afterLines="100" w:line="240" w:lineRule="auto"/>
        <w:rPr>
          <w:rFonts w:ascii="Times New Roman"/>
        </w:rPr>
      </w:pPr>
      <w:bookmarkStart w:id="213" w:name="_Toc4301"/>
      <w:bookmarkStart w:id="214" w:name="_Toc655"/>
      <w:r>
        <w:rPr>
          <w:rFonts w:ascii="Times New Roman"/>
        </w:rPr>
        <w:t>附录</w:t>
      </w:r>
      <w:bookmarkEnd w:id="202"/>
      <w:bookmarkEnd w:id="203"/>
      <w:bookmarkEnd w:id="204"/>
      <w:bookmarkEnd w:id="205"/>
      <w:r>
        <w:rPr>
          <w:rFonts w:hint="eastAsia" w:ascii="Times New Roman"/>
        </w:rPr>
        <w:t>C</w:t>
      </w:r>
      <w:bookmarkEnd w:id="213"/>
      <w:bookmarkEnd w:id="214"/>
    </w:p>
    <w:p w14:paraId="474646D4">
      <w:pPr>
        <w:pStyle w:val="11"/>
        <w:spacing w:before="157" w:beforeLines="50" w:after="157" w:afterLines="50" w:line="240" w:lineRule="auto"/>
        <w:jc w:val="center"/>
      </w:pPr>
      <w:bookmarkStart w:id="215" w:name="_Toc177935580"/>
      <w:bookmarkStart w:id="216" w:name="_Toc7141"/>
      <w:bookmarkStart w:id="217" w:name="_Toc178171726"/>
      <w:r>
        <w:rPr>
          <w:rFonts w:ascii="黑体"/>
        </w:rPr>
        <w:t>（</w:t>
      </w:r>
      <w:r>
        <w:rPr>
          <w:rFonts w:hint="eastAsia" w:ascii="黑体"/>
        </w:rPr>
        <w:t>资料</w:t>
      </w:r>
      <w:r>
        <w:rPr>
          <w:rFonts w:ascii="黑体"/>
        </w:rPr>
        <w:t>性）</w:t>
      </w:r>
    </w:p>
    <w:p w14:paraId="6E181FE2">
      <w:pPr>
        <w:tabs>
          <w:tab w:val="left" w:pos="360"/>
          <w:tab w:val="left" w:pos="6405"/>
        </w:tabs>
        <w:spacing w:before="157" w:beforeLines="50" w:after="157" w:afterLines="50" w:line="240" w:lineRule="auto"/>
        <w:jc w:val="center"/>
        <w:rPr>
          <w:rFonts w:ascii="黑体" w:eastAsia="黑体"/>
        </w:rPr>
      </w:pPr>
      <w:r>
        <w:rPr>
          <w:rFonts w:hint="eastAsia" w:ascii="黑体" w:eastAsia="黑体"/>
        </w:rPr>
        <w:t>准确度评价指标及计算方法</w:t>
      </w:r>
    </w:p>
    <w:p w14:paraId="2E8C1E62">
      <w:pPr>
        <w:pStyle w:val="11"/>
        <w:jc w:val="center"/>
      </w:pPr>
    </w:p>
    <w:bookmarkEnd w:id="215"/>
    <w:bookmarkEnd w:id="216"/>
    <w:bookmarkEnd w:id="217"/>
    <w:p w14:paraId="5076640D">
      <w:pPr>
        <w:pStyle w:val="27"/>
        <w:spacing w:before="157" w:beforeLines="50" w:after="157" w:afterLines="50" w:line="240" w:lineRule="auto"/>
        <w:ind w:firstLine="0" w:firstLineChars="0"/>
        <w:rPr>
          <w:rFonts w:ascii="Times New Roman" w:eastAsia="黑体"/>
        </w:rPr>
      </w:pPr>
      <w:r>
        <w:rPr>
          <w:rFonts w:hint="eastAsia" w:ascii="Times New Roman" w:eastAsia="黑体"/>
        </w:rPr>
        <w:t>C</w:t>
      </w:r>
      <w:r>
        <w:rPr>
          <w:rFonts w:ascii="Times New Roman" w:eastAsia="黑体"/>
        </w:rPr>
        <w:t xml:space="preserve">.1 </w:t>
      </w:r>
      <w:r>
        <w:rPr>
          <w:rFonts w:hint="eastAsia" w:ascii="Times New Roman" w:eastAsia="黑体"/>
        </w:rPr>
        <w:t>评价指标</w:t>
      </w:r>
    </w:p>
    <w:p w14:paraId="68E92761">
      <w:pPr>
        <w:pStyle w:val="27"/>
        <w:spacing w:after="0" w:line="240" w:lineRule="auto"/>
        <w:rPr>
          <w:rFonts w:ascii="Times New Roman"/>
        </w:rPr>
      </w:pPr>
      <w:r>
        <w:rPr>
          <w:rFonts w:ascii="Times New Roman"/>
        </w:rPr>
        <w:t>准确度评价指标应符合GB/T 36296</w:t>
      </w:r>
      <w:r>
        <w:rPr>
          <w:rFonts w:hint="eastAsia" w:ascii="Times New Roman"/>
        </w:rPr>
        <w:t>-2018</w:t>
      </w:r>
      <w:r>
        <w:rPr>
          <w:rFonts w:ascii="Times New Roman"/>
        </w:rPr>
        <w:t>中6.1中推荐指标，包括：平均误差、平均绝对误差、相对误差、平均相对误差、平均绝对相对误差、均方根误差、相关系数、误差矩阵、总体分类精度以及Kappa系数。</w:t>
      </w:r>
      <w:r>
        <w:rPr>
          <w:rFonts w:hint="eastAsia" w:ascii="Times New Roman"/>
        </w:rPr>
        <w:t>进行</w:t>
      </w:r>
      <w:r>
        <w:rPr>
          <w:rFonts w:ascii="Times New Roman"/>
        </w:rPr>
        <w:t>准确度评价</w:t>
      </w:r>
      <w:r>
        <w:rPr>
          <w:rFonts w:hint="eastAsia" w:ascii="Times New Roman"/>
        </w:rPr>
        <w:t>时可选择其中的一或几个。</w:t>
      </w:r>
      <w:r>
        <w:rPr>
          <w:rFonts w:ascii="Times New Roman"/>
        </w:rPr>
        <w:t>本文件选取</w:t>
      </w:r>
      <w:r>
        <w:rPr>
          <w:rFonts w:hint="eastAsia" w:ascii="Times New Roman"/>
        </w:rPr>
        <w:t>均方根误差、相关系数及绝对误差</w:t>
      </w:r>
      <w:r>
        <w:rPr>
          <w:rFonts w:ascii="Times New Roman"/>
        </w:rPr>
        <w:t>，计算方法</w:t>
      </w:r>
      <w:r>
        <w:rPr>
          <w:rFonts w:hint="eastAsia" w:ascii="Times New Roman"/>
        </w:rPr>
        <w:t>分别</w:t>
      </w:r>
      <w:r>
        <w:rPr>
          <w:rFonts w:ascii="Times New Roman"/>
        </w:rPr>
        <w:t>如</w:t>
      </w:r>
      <w:r>
        <w:rPr>
          <w:rFonts w:hint="eastAsia" w:ascii="Times New Roman"/>
        </w:rPr>
        <w:t>公式</w:t>
      </w:r>
      <w:r>
        <w:rPr>
          <w:rFonts w:hint="eastAsia" w:ascii="Times New Roman"/>
          <w:lang w:val="en-US" w:eastAsia="zh-CN"/>
        </w:rPr>
        <w:t>C</w:t>
      </w:r>
      <w:r>
        <w:rPr>
          <w:rFonts w:hint="eastAsia" w:ascii="Times New Roman"/>
        </w:rPr>
        <w:t>.1、</w:t>
      </w:r>
      <w:r>
        <w:rPr>
          <w:rFonts w:hint="eastAsia" w:ascii="Times New Roman"/>
          <w:lang w:val="en-US" w:eastAsia="zh-CN"/>
        </w:rPr>
        <w:t>C</w:t>
      </w:r>
      <w:r>
        <w:rPr>
          <w:rFonts w:hint="eastAsia" w:ascii="Times New Roman"/>
        </w:rPr>
        <w:t>.2、</w:t>
      </w:r>
      <w:r>
        <w:rPr>
          <w:rFonts w:hint="eastAsia" w:ascii="Times New Roman"/>
          <w:lang w:val="en-US" w:eastAsia="zh-CN"/>
        </w:rPr>
        <w:t>C</w:t>
      </w:r>
      <w:r>
        <w:rPr>
          <w:rFonts w:hint="eastAsia" w:ascii="Times New Roman"/>
        </w:rPr>
        <w:t>.3</w:t>
      </w:r>
      <w:r>
        <w:rPr>
          <w:rFonts w:ascii="Times New Roman"/>
        </w:rPr>
        <w:t>所示</w:t>
      </w:r>
      <w:r>
        <w:rPr>
          <w:rFonts w:hint="eastAsia" w:ascii="Times New Roman"/>
        </w:rPr>
        <w:t>。</w:t>
      </w:r>
    </w:p>
    <w:p w14:paraId="53989A37">
      <w:pPr>
        <w:pStyle w:val="27"/>
        <w:autoSpaceDE/>
        <w:autoSpaceDN/>
        <w:spacing w:before="157" w:beforeLines="50" w:after="157" w:afterLines="50" w:line="240" w:lineRule="auto"/>
        <w:ind w:firstLine="0" w:firstLineChars="0"/>
        <w:rPr>
          <w:rFonts w:ascii="Times New Roman" w:eastAsia="黑体"/>
        </w:rPr>
      </w:pPr>
      <w:r>
        <w:rPr>
          <w:rFonts w:hint="eastAsia" w:ascii="Times New Roman" w:eastAsia="黑体"/>
        </w:rPr>
        <w:t>C</w:t>
      </w:r>
      <w:r>
        <w:rPr>
          <w:rFonts w:ascii="Times New Roman" w:eastAsia="黑体"/>
        </w:rPr>
        <w:t>.2 均方根误差</w:t>
      </w:r>
      <w:r>
        <w:rPr>
          <w:rFonts w:hint="eastAsia" w:ascii="Times New Roman" w:eastAsia="黑体"/>
          <w:lang w:val="en-US" w:eastAsia="zh-CN"/>
        </w:rPr>
        <w:t xml:space="preserve"> </w:t>
      </w:r>
      <w:r>
        <w:rPr>
          <w:rFonts w:hint="eastAsia" w:ascii="Times New Roman" w:eastAsia="黑体"/>
        </w:rPr>
        <w:t>root mean square error</w:t>
      </w:r>
    </w:p>
    <w:p w14:paraId="206111FD">
      <w:pPr>
        <w:pStyle w:val="27"/>
        <w:spacing w:after="0" w:line="240" w:lineRule="auto"/>
        <w:rPr>
          <w:rFonts w:ascii="Times New Roman"/>
        </w:rPr>
      </w:pPr>
      <w:r>
        <w:rPr>
          <w:rFonts w:hint="eastAsia" w:ascii="Times New Roman"/>
        </w:rPr>
        <w:t>误差平方和与样本量n比值的平方根，符号为RMSE</w:t>
      </w:r>
      <w:r>
        <w:rPr>
          <w:rFonts w:ascii="Times New Roman"/>
        </w:rPr>
        <w:t>，由</w:t>
      </w:r>
      <w:r>
        <w:rPr>
          <w:rFonts w:hint="eastAsia" w:ascii="Times New Roman"/>
          <w:lang w:val="en-US" w:eastAsia="zh-CN"/>
        </w:rPr>
        <w:t>公</w:t>
      </w:r>
      <w:r>
        <w:rPr>
          <w:rFonts w:ascii="Times New Roman"/>
        </w:rPr>
        <w:t>式（</w:t>
      </w:r>
      <w:r>
        <w:rPr>
          <w:rFonts w:hint="eastAsia" w:ascii="Times New Roman"/>
          <w:lang w:val="en-US" w:eastAsia="zh-CN"/>
        </w:rPr>
        <w:t>C</w:t>
      </w:r>
      <w:r>
        <w:rPr>
          <w:rFonts w:ascii="Times New Roman"/>
        </w:rPr>
        <w:t>.</w:t>
      </w:r>
      <w:r>
        <w:rPr>
          <w:rFonts w:hint="eastAsia" w:ascii="Times New Roman"/>
        </w:rPr>
        <w:t>1</w:t>
      </w:r>
      <w:r>
        <w:rPr>
          <w:rFonts w:ascii="Times New Roman"/>
        </w:rPr>
        <w:t>）表示</w:t>
      </w:r>
      <w:r>
        <w:rPr>
          <w:rFonts w:hint="eastAsia" w:ascii="Times New Roman"/>
        </w:rPr>
        <w:t>：</w:t>
      </w:r>
    </w:p>
    <w:p w14:paraId="46FBE0DD">
      <w:pPr>
        <w:pStyle w:val="27"/>
        <w:spacing w:line="240" w:lineRule="auto"/>
        <w:rPr>
          <w:rFonts w:ascii="Times New Roman"/>
        </w:rPr>
      </w:pPr>
    </w:p>
    <w:p w14:paraId="47EE62D7">
      <w:pPr>
        <w:pStyle w:val="27"/>
        <w:spacing w:line="240" w:lineRule="auto"/>
        <w:jc w:val="right"/>
        <w:rPr>
          <w:rFonts w:ascii="Times New Roman"/>
        </w:rPr>
      </w:pPr>
      <m:oMath>
        <m:r>
          <m:rPr>
            <m:nor/>
            <m:sty m:val="p"/>
          </m:rPr>
          <w:rPr>
            <w:rFonts w:ascii="Times New Roman" w:eastAsiaTheme="minorEastAsia"/>
            <w:b w:val="0"/>
            <w:i w:val="0"/>
            <w:szCs w:val="21"/>
          </w:rPr>
          <m:t>RMSE</m:t>
        </m:r>
        <m:r>
          <m:rPr>
            <m:nor/>
            <m:sty m:val="p"/>
          </m:rPr>
          <w:rPr>
            <w:rFonts w:ascii="Times New Roman" w:eastAsia="Cambria Math"/>
            <w:b w:val="0"/>
            <w:i w:val="0"/>
            <w:szCs w:val="21"/>
          </w:rPr>
          <m:t>=</m:t>
        </m:r>
        <m:rad>
          <m:radPr>
            <m:degHide m:val="1"/>
            <m:ctrlPr>
              <w:rPr>
                <w:rFonts w:ascii="Cambria Math" w:hAnsi="Cambria Math" w:eastAsia="Cambria Math"/>
                <w:szCs w:val="21"/>
              </w:rPr>
            </m:ctrlPr>
          </m:radPr>
          <m:deg>
            <m:ctrlPr>
              <w:rPr>
                <w:rFonts w:ascii="Cambria Math" w:hAnsi="Cambria Math" w:eastAsia="Cambria Math"/>
                <w:szCs w:val="21"/>
              </w:rPr>
            </m:ctrlPr>
          </m:deg>
          <m:e>
            <m:f>
              <m:fPr>
                <m:ctrlPr>
                  <w:rPr>
                    <w:rFonts w:ascii="Cambria Math" w:hAnsi="Cambria Math" w:eastAsia="Cambria Math"/>
                    <w:szCs w:val="21"/>
                  </w:rPr>
                </m:ctrlPr>
              </m:fPr>
              <m:num>
                <m:nary>
                  <m:naryPr>
                    <m:chr m:val="∑"/>
                    <m:limLoc m:val="undOvr"/>
                    <m:ctrlPr>
                      <w:rPr>
                        <w:rFonts w:ascii="Cambria Math" w:hAnsi="Cambria Math" w:eastAsia="Cambria Math"/>
                        <w:i/>
                        <w:szCs w:val="21"/>
                      </w:rPr>
                    </m:ctrlPr>
                  </m:naryPr>
                  <m:sub>
                    <m:r>
                      <m:rPr>
                        <m:nor/>
                      </m:rPr>
                      <w:rPr>
                        <w:rFonts w:ascii="Times New Roman" w:eastAsiaTheme="minorEastAsia"/>
                        <w:i/>
                        <w:szCs w:val="21"/>
                      </w:rPr>
                      <m:t>i</m:t>
                    </m:r>
                    <m:r>
                      <m:rPr>
                        <m:nor/>
                        <m:sty m:val="p"/>
                      </m:rPr>
                      <w:rPr>
                        <w:rFonts w:ascii="Times New Roman" w:eastAsia="Cambria Math"/>
                        <w:b w:val="0"/>
                        <w:i w:val="0"/>
                        <w:szCs w:val="21"/>
                      </w:rPr>
                      <m:t>=1</m:t>
                    </m:r>
                    <m:ctrlPr>
                      <w:rPr>
                        <w:rFonts w:ascii="Cambria Math" w:hAnsi="Cambria Math" w:eastAsia="Cambria Math"/>
                        <w:i/>
                        <w:szCs w:val="21"/>
                      </w:rPr>
                    </m:ctrlPr>
                  </m:sub>
                  <m:sup>
                    <m:r>
                      <m:rPr>
                        <m:nor/>
                      </m:rPr>
                      <w:rPr>
                        <w:rFonts w:ascii="Times New Roman" w:eastAsiaTheme="minorEastAsia"/>
                        <w:i/>
                        <w:szCs w:val="21"/>
                      </w:rPr>
                      <m:t>n</m:t>
                    </m:r>
                    <m:ctrlPr>
                      <w:rPr>
                        <w:rFonts w:ascii="Cambria Math" w:hAnsi="Cambria Math" w:eastAsia="Cambria Math"/>
                        <w:i/>
                        <w:szCs w:val="21"/>
                      </w:rPr>
                    </m:ctrlPr>
                  </m:sup>
                  <m:e>
                    <m:sSubSup>
                      <m:sSubSupPr>
                        <m:ctrlPr>
                          <w:rPr>
                            <w:rFonts w:ascii="Cambria Math" w:hAnsi="Cambria Math" w:eastAsia="Cambria Math"/>
                            <w:i/>
                            <w:szCs w:val="21"/>
                          </w:rPr>
                        </m:ctrlPr>
                      </m:sSubSupPr>
                      <m:e>
                        <m:r>
                          <m:rPr>
                            <m:nor/>
                          </m:rPr>
                          <w:rPr>
                            <w:rFonts w:ascii="Times New Roman" w:eastAsiaTheme="minorEastAsia"/>
                            <w:i/>
                            <w:szCs w:val="21"/>
                          </w:rPr>
                          <m:t>e</m:t>
                        </m:r>
                        <m:ctrlPr>
                          <w:rPr>
                            <w:rFonts w:ascii="Cambria Math" w:hAnsi="Cambria Math" w:eastAsia="Cambria Math"/>
                            <w:i/>
                            <w:szCs w:val="21"/>
                          </w:rPr>
                        </m:ctrlPr>
                      </m:e>
                      <m:sub>
                        <m:r>
                          <m:rPr>
                            <m:nor/>
                          </m:rPr>
                          <w:rPr>
                            <w:rFonts w:ascii="Times New Roman" w:eastAsiaTheme="minorEastAsia"/>
                            <w:i/>
                            <w:szCs w:val="21"/>
                          </w:rPr>
                          <m:t>i</m:t>
                        </m:r>
                        <m:ctrlPr>
                          <w:rPr>
                            <w:rFonts w:ascii="Cambria Math" w:hAnsi="Cambria Math" w:eastAsia="Cambria Math"/>
                            <w:i/>
                            <w:szCs w:val="21"/>
                          </w:rPr>
                        </m:ctrlPr>
                      </m:sub>
                      <m:sup>
                        <m:r>
                          <m:rPr>
                            <m:nor/>
                            <m:sty m:val="p"/>
                          </m:rPr>
                          <w:rPr>
                            <w:rFonts w:ascii="Times New Roman" w:eastAsia="Cambria Math"/>
                            <w:b w:val="0"/>
                            <w:i w:val="0"/>
                            <w:szCs w:val="21"/>
                          </w:rPr>
                          <m:t>2</m:t>
                        </m:r>
                        <m:ctrlPr>
                          <w:rPr>
                            <w:rFonts w:ascii="Cambria Math" w:hAnsi="Cambria Math" w:eastAsia="Cambria Math"/>
                            <w:i/>
                            <w:szCs w:val="21"/>
                          </w:rPr>
                        </m:ctrlPr>
                      </m:sup>
                    </m:sSubSup>
                    <m:ctrlPr>
                      <w:rPr>
                        <w:rFonts w:ascii="Cambria Math" w:hAnsi="Cambria Math" w:eastAsia="Cambria Math"/>
                        <w:i/>
                        <w:szCs w:val="21"/>
                      </w:rPr>
                    </m:ctrlPr>
                  </m:e>
                </m:nary>
                <m:ctrlPr>
                  <w:rPr>
                    <w:rFonts w:ascii="Cambria Math" w:hAnsi="Cambria Math" w:eastAsia="Cambria Math"/>
                    <w:szCs w:val="21"/>
                  </w:rPr>
                </m:ctrlPr>
              </m:num>
              <m:den>
                <m:r>
                  <m:rPr>
                    <m:nor/>
                    <m:sty m:val="p"/>
                  </m:rPr>
                  <w:rPr>
                    <w:rFonts w:ascii="Times New Roman" w:eastAsiaTheme="minorEastAsia"/>
                    <w:b w:val="0"/>
                    <w:i w:val="0"/>
                    <w:szCs w:val="21"/>
                  </w:rPr>
                  <m:t>n</m:t>
                </m:r>
                <m:ctrlPr>
                  <w:rPr>
                    <w:rFonts w:ascii="Cambria Math" w:hAnsi="Cambria Math" w:eastAsia="Cambria Math"/>
                    <w:szCs w:val="21"/>
                  </w:rPr>
                </m:ctrlPr>
              </m:den>
            </m:f>
            <m:ctrlPr>
              <w:rPr>
                <w:rFonts w:ascii="Cambria Math" w:hAnsi="Cambria Math" w:eastAsia="Cambria Math"/>
                <w:szCs w:val="21"/>
              </w:rPr>
            </m:ctrlPr>
          </m:e>
        </m:rad>
      </m:oMath>
      <w:r>
        <w:rPr>
          <w:rFonts w:ascii="Times New Roman" w:eastAsiaTheme="minorEastAsia"/>
          <w:i/>
        </w:rPr>
        <w:t xml:space="preserve">                </w:t>
      </w:r>
      <w:r>
        <w:rPr>
          <w:rFonts w:ascii="Times New Roman"/>
        </w:rPr>
        <w:t>………………（</w:t>
      </w:r>
      <w:r>
        <w:rPr>
          <w:rFonts w:hint="eastAsia" w:ascii="Times New Roman"/>
        </w:rPr>
        <w:t>C</w:t>
      </w:r>
      <w:r>
        <w:rPr>
          <w:rFonts w:ascii="Times New Roman"/>
        </w:rPr>
        <w:t>.</w:t>
      </w:r>
      <w:r>
        <w:rPr>
          <w:rFonts w:hint="eastAsia" w:ascii="Times New Roman"/>
        </w:rPr>
        <w:t>1</w:t>
      </w:r>
      <w:r>
        <w:rPr>
          <w:rFonts w:ascii="Times New Roman"/>
        </w:rPr>
        <w:t>）</w:t>
      </w:r>
    </w:p>
    <w:p w14:paraId="1F52A2CE">
      <w:pPr>
        <w:pStyle w:val="27"/>
        <w:spacing w:after="0" w:line="240" w:lineRule="auto"/>
        <w:ind w:right="210"/>
        <w:rPr>
          <w:rFonts w:ascii="Times New Roman"/>
        </w:rPr>
      </w:pPr>
      <w:r>
        <w:rPr>
          <w:rFonts w:hint="eastAsia" w:ascii="Times New Roman"/>
        </w:rPr>
        <w:t>式中：</w:t>
      </w:r>
    </w:p>
    <w:p w14:paraId="403C845D">
      <w:pPr>
        <w:pStyle w:val="27"/>
        <w:spacing w:after="0" w:line="240" w:lineRule="auto"/>
        <w:ind w:right="0"/>
        <w:rPr>
          <w:rFonts w:ascii="Times New Roman"/>
        </w:rPr>
      </w:pPr>
      <m:oMath>
        <m:r>
          <m:rPr>
            <m:nor/>
            <m:sty m:val="p"/>
          </m:rPr>
          <w:rPr>
            <w:rFonts w:ascii="Times New Roman"/>
            <w:b w:val="0"/>
            <w:i w:val="0"/>
          </w:rPr>
          <m:t>RMSE</m:t>
        </m:r>
      </m:oMath>
      <w:r>
        <w:rPr>
          <w:rFonts w:hint="eastAsia" w:ascii="Times New Roman"/>
        </w:rPr>
        <w:t>——均方根误差；</w:t>
      </w:r>
    </w:p>
    <w:p w14:paraId="6CAEC138">
      <w:pPr>
        <w:pStyle w:val="27"/>
        <w:spacing w:after="0" w:line="240" w:lineRule="auto"/>
        <w:ind w:right="0"/>
        <w:rPr>
          <w:rFonts w:hint="eastAsia" w:ascii="Times New Roman" w:eastAsiaTheme="minorEastAsia"/>
          <w:i w:val="0"/>
          <w:iCs/>
        </w:rPr>
      </w:pPr>
      <m:oMath>
        <m:sSub>
          <m:sSubPr>
            <m:ctrlPr>
              <w:rPr>
                <w:rFonts w:ascii="Cambria Math" w:hAnsi="Cambria Math" w:eastAsiaTheme="minorEastAsia"/>
                <w:i/>
              </w:rPr>
            </m:ctrlPr>
          </m:sSubPr>
          <m:e>
            <m:r>
              <m:rPr>
                <m:nor/>
              </m:rPr>
              <w:rPr>
                <w:rFonts w:ascii="Times New Roman" w:eastAsiaTheme="minorEastAsia"/>
                <w:i/>
                <w:vertAlign w:val="subscript"/>
              </w:rPr>
              <m:t>e</m:t>
            </m:r>
            <m:ctrlPr>
              <w:rPr>
                <w:rFonts w:ascii="Cambria Math" w:hAnsi="Cambria Math" w:eastAsiaTheme="minorEastAsia"/>
                <w:i/>
              </w:rPr>
            </m:ctrlPr>
          </m:e>
          <m:sub>
            <m:r>
              <m:rPr>
                <m:nor/>
              </m:rPr>
              <w:rPr>
                <w:rFonts w:ascii="Times New Roman" w:eastAsiaTheme="minorEastAsia"/>
                <w:i/>
              </w:rPr>
              <m:t>i</m:t>
            </m:r>
            <m:ctrlPr>
              <w:rPr>
                <w:rFonts w:ascii="Cambria Math" w:hAnsi="Cambria Math" w:eastAsiaTheme="minorEastAsia"/>
                <w:i/>
              </w:rPr>
            </m:ctrlPr>
          </m:sub>
        </m:sSub>
      </m:oMath>
      <w:r>
        <w:rPr>
          <w:rFonts w:hint="eastAsia" w:ascii="Times New Roman" w:eastAsiaTheme="minorEastAsia"/>
          <w:i/>
        </w:rPr>
        <w:t>——</w:t>
      </w:r>
      <w:r>
        <w:rPr>
          <w:rFonts w:hint="eastAsia" w:ascii="Times New Roman" w:eastAsiaTheme="minorEastAsia"/>
          <w:iCs/>
        </w:rPr>
        <w:t>第i次测量结果的误差</w:t>
      </w:r>
      <w:r>
        <w:rPr>
          <w:rFonts w:hint="eastAsia" w:ascii="Times New Roman" w:eastAsiaTheme="minorEastAsia"/>
          <w:i w:val="0"/>
          <w:iCs/>
        </w:rPr>
        <w:t>；</w:t>
      </w:r>
    </w:p>
    <w:p w14:paraId="07376E98">
      <w:pPr>
        <w:pStyle w:val="27"/>
        <w:spacing w:after="0" w:line="240" w:lineRule="auto"/>
        <w:ind w:right="0"/>
        <w:rPr>
          <w:rFonts w:hint="eastAsia" w:ascii="Times New Roman" w:eastAsiaTheme="minorEastAsia"/>
          <w:i/>
          <w:lang w:eastAsia="zh-CN"/>
        </w:rPr>
      </w:pPr>
      <w:r>
        <w:rPr>
          <w:rFonts w:hint="eastAsia" w:ascii="Times New Roman" w:eastAsiaTheme="minorEastAsia"/>
          <w:i/>
          <w:iCs w:val="0"/>
          <w:lang w:val="en-US" w:eastAsia="zh-CN"/>
        </w:rPr>
        <w:t>n</w:t>
      </w:r>
      <w:r>
        <w:rPr>
          <w:rFonts w:hint="eastAsia" w:ascii="Times New Roman" w:eastAsiaTheme="minorEastAsia"/>
          <w:i/>
        </w:rPr>
        <w:t>——</w:t>
      </w:r>
      <w:r>
        <w:rPr>
          <w:rFonts w:hint="eastAsia" w:ascii="Times New Roman" w:eastAsiaTheme="minorEastAsia"/>
          <w:iCs/>
        </w:rPr>
        <w:t>样本量（</w:t>
      </w:r>
      <m:oMath>
        <m:r>
          <m:rPr>
            <m:nor/>
          </m:rPr>
          <w:rPr>
            <w:rFonts w:ascii="Times New Roman" w:eastAsiaTheme="minorEastAsia"/>
            <w:i/>
          </w:rPr>
          <m:t>n</m:t>
        </m:r>
      </m:oMath>
      <w:r>
        <w:rPr>
          <w:rFonts w:hint="eastAsia" w:hAnsi="宋体" w:cs="宋体"/>
          <w:sz w:val="24"/>
          <w:szCs w:val="24"/>
        </w:rPr>
        <w:t>≧</w:t>
      </w:r>
      <w:r>
        <w:rPr>
          <w:rFonts w:ascii="Times New Roman" w:eastAsia="仿宋"/>
          <w:sz w:val="24"/>
          <w:szCs w:val="24"/>
        </w:rPr>
        <w:t>30</w:t>
      </w:r>
      <w:r>
        <w:rPr>
          <w:rFonts w:hint="eastAsia" w:ascii="Times New Roman" w:eastAsiaTheme="minorEastAsia"/>
          <w:iCs/>
        </w:rPr>
        <w:t>）</w:t>
      </w:r>
      <w:r>
        <w:rPr>
          <w:rFonts w:hint="eastAsia" w:ascii="Times New Roman" w:eastAsiaTheme="minorEastAsia"/>
          <w:i w:val="0"/>
          <w:iCs/>
          <w:lang w:eastAsia="zh-CN"/>
        </w:rPr>
        <w:t>；</w:t>
      </w:r>
    </w:p>
    <w:p w14:paraId="62F0B933">
      <w:pPr>
        <w:pStyle w:val="27"/>
        <w:spacing w:after="0" w:line="240" w:lineRule="auto"/>
        <w:ind w:right="0"/>
        <w:rPr>
          <w:rFonts w:ascii="Times New Roman"/>
        </w:rPr>
      </w:pPr>
      <w:r>
        <w:rPr>
          <w:rFonts w:hint="eastAsia" w:ascii="Times New Roman"/>
        </w:rPr>
        <w:t>XCO</w:t>
      </w:r>
      <w:r>
        <w:rPr>
          <w:rFonts w:hint="eastAsia" w:ascii="Times New Roman"/>
          <w:vertAlign w:val="subscript"/>
        </w:rPr>
        <w:t>2</w:t>
      </w:r>
      <w:r>
        <w:rPr>
          <w:rFonts w:hint="eastAsia" w:ascii="Times New Roman"/>
        </w:rPr>
        <w:t>均方根误差宜小于3 ppm、XCH</w:t>
      </w:r>
      <w:r>
        <w:rPr>
          <w:rFonts w:hint="eastAsia" w:ascii="Times New Roman"/>
          <w:vertAlign w:val="subscript"/>
        </w:rPr>
        <w:t>4</w:t>
      </w:r>
      <w:r>
        <w:rPr>
          <w:rFonts w:hint="eastAsia" w:ascii="Times New Roman"/>
        </w:rPr>
        <w:t>均方根误差宜小于20 ppb。</w:t>
      </w:r>
    </w:p>
    <w:p w14:paraId="47FDB3F7">
      <w:pPr>
        <w:pStyle w:val="27"/>
        <w:autoSpaceDE/>
        <w:autoSpaceDN/>
        <w:spacing w:before="157" w:beforeLines="50" w:after="157" w:afterLines="50" w:line="240" w:lineRule="auto"/>
        <w:ind w:firstLine="0" w:firstLineChars="0"/>
        <w:rPr>
          <w:rFonts w:ascii="Times New Roman" w:eastAsia="黑体"/>
        </w:rPr>
      </w:pPr>
      <w:r>
        <w:rPr>
          <w:rFonts w:hint="eastAsia" w:ascii="Times New Roman" w:eastAsia="黑体"/>
        </w:rPr>
        <w:t>C</w:t>
      </w:r>
      <w:r>
        <w:rPr>
          <w:rFonts w:ascii="Times New Roman" w:eastAsia="黑体"/>
        </w:rPr>
        <w:t>.3 相关系数 correlation coefficient</w:t>
      </w:r>
    </w:p>
    <w:p w14:paraId="6AEDEDC9">
      <w:pPr>
        <w:pStyle w:val="27"/>
        <w:spacing w:after="0" w:line="240" w:lineRule="auto"/>
        <w:rPr>
          <w:rFonts w:ascii="Times New Roman"/>
        </w:rPr>
      </w:pPr>
      <w:r>
        <w:rPr>
          <w:rFonts w:hint="eastAsia" w:ascii="Times New Roman"/>
        </w:rPr>
        <w:t>两个随机变量之间相互依赖性的度量，等于两个变量间的协方差除以各自方差之积的正平方根，符号为</w:t>
      </w:r>
      <m:oMath>
        <m:r>
          <m:rPr>
            <m:sty m:val="p"/>
          </m:rPr>
          <w:rPr>
            <w:rFonts w:hint="eastAsia" w:ascii="Cambria Math" w:hAnsi="Cambria Math" w:eastAsiaTheme="minorEastAsia"/>
            <w:szCs w:val="21"/>
          </w:rPr>
          <m:t>r</m:t>
        </m:r>
        <m:d>
          <m:dPr>
            <m:endChr m:val=""/>
            <m:ctrlPr>
              <w:rPr>
                <w:rFonts w:ascii="Cambria Math" w:hAnsi="Cambria Math"/>
                <w:szCs w:val="21"/>
              </w:rPr>
            </m:ctrlPr>
          </m:dPr>
          <m:e>
            <m:sSub>
              <m:sSubPr>
                <m:ctrlPr>
                  <w:rPr>
                    <w:rFonts w:ascii="Cambria Math" w:hAnsi="Cambria Math"/>
                    <w:i/>
                    <w:szCs w:val="21"/>
                  </w:rPr>
                </m:ctrlPr>
              </m:sSubPr>
              <m:e>
                <m:r>
                  <m:rPr>
                    <m:nor/>
                  </m:rPr>
                  <w:rPr>
                    <w:rFonts w:ascii="Times New Roman"/>
                    <w:i/>
                    <w:szCs w:val="21"/>
                  </w:rPr>
                  <m:t>x</m:t>
                </m:r>
                <m:ctrlPr>
                  <w:rPr>
                    <w:rFonts w:ascii="Cambria Math" w:hAnsi="Cambria Math"/>
                    <w:i/>
                    <w:szCs w:val="21"/>
                  </w:rPr>
                </m:ctrlPr>
              </m:e>
              <m:sub>
                <m:r>
                  <m:rPr>
                    <m:nor/>
                    <m:sty m:val="p"/>
                  </m:rPr>
                  <w:rPr>
                    <w:rFonts w:ascii="Times New Roman"/>
                    <w:b w:val="0"/>
                    <w:i w:val="0"/>
                    <w:szCs w:val="21"/>
                  </w:rPr>
                  <m:t>1</m:t>
                </m:r>
                <m:ctrlPr>
                  <w:rPr>
                    <w:rFonts w:ascii="Cambria Math" w:hAnsi="Cambria Math"/>
                    <w:i/>
                    <w:szCs w:val="21"/>
                  </w:rPr>
                </m:ctrlPr>
              </m:sub>
            </m:sSub>
            <m:ctrlPr>
              <w:rPr>
                <w:rFonts w:ascii="Cambria Math" w:hAnsi="Cambria Math"/>
                <w:szCs w:val="21"/>
              </w:rPr>
            </m:ctrlPr>
          </m:e>
        </m:d>
        <m:r>
          <m:rPr>
            <m:nor/>
            <m:sty m:val="p"/>
          </m:rPr>
          <w:rPr>
            <w:rFonts w:ascii="Times New Roman"/>
            <w:b w:val="0"/>
            <w:i w:val="0"/>
            <w:szCs w:val="21"/>
          </w:rPr>
          <m:t>，</m:t>
        </m:r>
        <m:d>
          <m:dPr>
            <m:begChr m:val=""/>
            <m:ctrlPr>
              <w:rPr>
                <w:rFonts w:ascii="Cambria Math" w:hAnsi="Cambria Math"/>
                <w:szCs w:val="21"/>
              </w:rPr>
            </m:ctrlPr>
          </m:dPr>
          <m:e>
            <m:sSub>
              <m:sSubPr>
                <m:ctrlPr>
                  <w:rPr>
                    <w:rFonts w:ascii="Cambria Math" w:hAnsi="Cambria Math"/>
                    <w:i/>
                    <w:szCs w:val="21"/>
                  </w:rPr>
                </m:ctrlPr>
              </m:sSubPr>
              <m:e>
                <m:r>
                  <m:rPr>
                    <m:nor/>
                  </m:rPr>
                  <w:rPr>
                    <w:rFonts w:ascii="Times New Roman"/>
                    <w:i/>
                    <w:szCs w:val="21"/>
                  </w:rPr>
                  <m:t>x</m:t>
                </m:r>
                <m:ctrlPr>
                  <w:rPr>
                    <w:rFonts w:ascii="Cambria Math" w:hAnsi="Cambria Math"/>
                    <w:i/>
                    <w:szCs w:val="21"/>
                  </w:rPr>
                </m:ctrlPr>
              </m:e>
              <m:sub>
                <m:r>
                  <m:rPr>
                    <m:nor/>
                    <m:sty m:val="p"/>
                  </m:rPr>
                  <w:rPr>
                    <w:rFonts w:ascii="Times New Roman"/>
                    <w:b w:val="0"/>
                    <w:i w:val="0"/>
                    <w:szCs w:val="21"/>
                  </w:rPr>
                  <m:t>2</m:t>
                </m:r>
                <m:ctrlPr>
                  <w:rPr>
                    <w:rFonts w:ascii="Cambria Math" w:hAnsi="Cambria Math"/>
                    <w:i/>
                    <w:szCs w:val="21"/>
                  </w:rPr>
                </m:ctrlPr>
              </m:sub>
            </m:sSub>
            <m:ctrlPr>
              <w:rPr>
                <w:rFonts w:ascii="Cambria Math" w:hAnsi="Cambria Math"/>
                <w:szCs w:val="21"/>
              </w:rPr>
            </m:ctrlPr>
          </m:e>
        </m:d>
      </m:oMath>
      <w:r>
        <w:rPr>
          <w:rFonts w:hint="eastAsia" w:ascii="Times New Roman"/>
        </w:rPr>
        <w:t>，由</w:t>
      </w:r>
      <w:r>
        <w:rPr>
          <w:rFonts w:hint="eastAsia" w:ascii="Times New Roman"/>
          <w:lang w:val="en-US" w:eastAsia="zh-CN"/>
        </w:rPr>
        <w:t>公</w:t>
      </w:r>
      <w:r>
        <w:rPr>
          <w:rFonts w:hint="eastAsia" w:ascii="Times New Roman"/>
        </w:rPr>
        <w:t>式（</w:t>
      </w:r>
      <w:r>
        <w:rPr>
          <w:rFonts w:hint="eastAsia" w:ascii="Times New Roman"/>
          <w:lang w:val="en-US" w:eastAsia="zh-CN"/>
        </w:rPr>
        <w:t>C</w:t>
      </w:r>
      <w:r>
        <w:rPr>
          <w:rFonts w:hint="eastAsia" w:ascii="Times New Roman"/>
        </w:rPr>
        <w:t>.2）表示：</w:t>
      </w:r>
    </w:p>
    <w:p w14:paraId="44C816CE">
      <w:pPr>
        <w:pStyle w:val="27"/>
        <w:spacing w:line="240" w:lineRule="auto"/>
        <w:rPr>
          <w:rFonts w:ascii="Times New Roman"/>
        </w:rPr>
      </w:pPr>
    </w:p>
    <w:p w14:paraId="4B1FAE22">
      <w:pPr>
        <w:pStyle w:val="27"/>
        <w:spacing w:line="240" w:lineRule="auto"/>
        <w:jc w:val="right"/>
        <w:rPr>
          <w:rFonts w:ascii="Times New Roman"/>
        </w:rPr>
      </w:pPr>
      <m:oMath>
        <m:r>
          <m:rPr>
            <m:sty m:val="p"/>
          </m:rPr>
          <w:rPr>
            <w:rFonts w:hint="eastAsia" w:ascii="Cambria Math" w:hAnsi="Cambria Math" w:eastAsiaTheme="minorEastAsia"/>
            <w:szCs w:val="21"/>
          </w:rPr>
          <m:t>r</m:t>
        </m:r>
        <m:d>
          <m:dPr>
            <m:endChr m:val=""/>
            <m:ctrlPr>
              <w:rPr>
                <w:rFonts w:ascii="Cambria Math" w:hAnsi="Cambria Math"/>
                <w:szCs w:val="21"/>
              </w:rPr>
            </m:ctrlPr>
          </m:dPr>
          <m:e>
            <m:sSub>
              <m:sSubPr>
                <m:ctrlPr>
                  <w:rPr>
                    <w:rFonts w:ascii="Cambria Math" w:hAnsi="Cambria Math"/>
                    <w:i/>
                    <w:szCs w:val="21"/>
                  </w:rPr>
                </m:ctrlPr>
              </m:sSubPr>
              <m:e>
                <m:r>
                  <m:rPr>
                    <m:nor/>
                  </m:rPr>
                  <w:rPr>
                    <w:rFonts w:ascii="Times New Roman"/>
                    <w:i/>
                    <w:szCs w:val="21"/>
                  </w:rPr>
                  <m:t>x</m:t>
                </m:r>
                <m:ctrlPr>
                  <w:rPr>
                    <w:rFonts w:ascii="Cambria Math" w:hAnsi="Cambria Math"/>
                    <w:i/>
                    <w:szCs w:val="21"/>
                  </w:rPr>
                </m:ctrlPr>
              </m:e>
              <m:sub>
                <m:r>
                  <m:rPr>
                    <m:nor/>
                    <m:sty m:val="p"/>
                  </m:rPr>
                  <w:rPr>
                    <w:rFonts w:ascii="Times New Roman"/>
                    <w:b w:val="0"/>
                    <w:i w:val="0"/>
                    <w:szCs w:val="21"/>
                  </w:rPr>
                  <m:t>1</m:t>
                </m:r>
                <m:ctrlPr>
                  <w:rPr>
                    <w:rFonts w:ascii="Cambria Math" w:hAnsi="Cambria Math"/>
                    <w:i/>
                    <w:szCs w:val="21"/>
                  </w:rPr>
                </m:ctrlPr>
              </m:sub>
            </m:sSub>
            <m:ctrlPr>
              <w:rPr>
                <w:rFonts w:ascii="Cambria Math" w:hAnsi="Cambria Math"/>
                <w:szCs w:val="21"/>
              </w:rPr>
            </m:ctrlPr>
          </m:e>
        </m:d>
        <m:r>
          <m:rPr>
            <m:nor/>
            <m:sty m:val="p"/>
          </m:rPr>
          <w:rPr>
            <w:rFonts w:ascii="Times New Roman"/>
            <w:b w:val="0"/>
            <w:i w:val="0"/>
            <w:szCs w:val="21"/>
          </w:rPr>
          <m:t>，</m:t>
        </m:r>
        <m:d>
          <m:dPr>
            <m:begChr m:val=""/>
            <m:ctrlPr>
              <w:rPr>
                <w:rFonts w:ascii="Cambria Math" w:hAnsi="Cambria Math"/>
                <w:szCs w:val="21"/>
              </w:rPr>
            </m:ctrlPr>
          </m:dPr>
          <m:e>
            <m:sSub>
              <m:sSubPr>
                <m:ctrlPr>
                  <w:rPr>
                    <w:rFonts w:ascii="Cambria Math" w:hAnsi="Cambria Math"/>
                    <w:i/>
                    <w:szCs w:val="21"/>
                  </w:rPr>
                </m:ctrlPr>
              </m:sSubPr>
              <m:e>
                <m:r>
                  <m:rPr>
                    <m:nor/>
                  </m:rPr>
                  <w:rPr>
                    <w:rFonts w:ascii="Times New Roman"/>
                    <w:i/>
                    <w:szCs w:val="21"/>
                  </w:rPr>
                  <m:t>x</m:t>
                </m:r>
                <m:ctrlPr>
                  <w:rPr>
                    <w:rFonts w:ascii="Cambria Math" w:hAnsi="Cambria Math"/>
                    <w:i/>
                    <w:szCs w:val="21"/>
                  </w:rPr>
                </m:ctrlPr>
              </m:e>
              <m:sub>
                <m:r>
                  <m:rPr>
                    <m:nor/>
                    <m:sty m:val="p"/>
                  </m:rPr>
                  <w:rPr>
                    <w:rFonts w:ascii="Times New Roman"/>
                    <w:b w:val="0"/>
                    <w:i w:val="0"/>
                    <w:szCs w:val="21"/>
                  </w:rPr>
                  <m:t>2</m:t>
                </m:r>
                <m:ctrlPr>
                  <w:rPr>
                    <w:rFonts w:ascii="Cambria Math" w:hAnsi="Cambria Math"/>
                    <w:i/>
                    <w:szCs w:val="21"/>
                  </w:rPr>
                </m:ctrlPr>
              </m:sub>
            </m:sSub>
            <m:ctrlPr>
              <w:rPr>
                <w:rFonts w:ascii="Cambria Math" w:hAnsi="Cambria Math"/>
                <w:szCs w:val="21"/>
              </w:rPr>
            </m:ctrlPr>
          </m:e>
        </m:d>
        <m:r>
          <m:rPr>
            <m:nor/>
            <m:sty m:val="p"/>
          </m:rPr>
          <w:rPr>
            <w:rFonts w:ascii="Times New Roman" w:eastAsia="Cambria Math"/>
            <w:b w:val="0"/>
            <w:i w:val="0"/>
            <w:szCs w:val="21"/>
          </w:rPr>
          <m:t>=</m:t>
        </m:r>
        <m:f>
          <m:fPr>
            <m:ctrlPr>
              <w:rPr>
                <w:rFonts w:ascii="Cambria Math" w:hAnsi="Cambria Math" w:eastAsia="Cambria Math"/>
                <w:szCs w:val="21"/>
              </w:rPr>
            </m:ctrlPr>
          </m:fPr>
          <m:num>
            <m:nary>
              <m:naryPr>
                <m:chr m:val="∑"/>
                <m:limLoc m:val="undOvr"/>
                <m:ctrlPr>
                  <w:rPr>
                    <w:rFonts w:ascii="Cambria Math" w:hAnsi="Cambria Math" w:eastAsia="Cambria Math"/>
                    <w:szCs w:val="21"/>
                  </w:rPr>
                </m:ctrlPr>
              </m:naryPr>
              <m:sub>
                <m:r>
                  <m:rPr>
                    <m:nor/>
                  </m:rPr>
                  <w:rPr>
                    <w:rFonts w:ascii="Times New Roman" w:eastAsiaTheme="minorEastAsia"/>
                    <w:i/>
                    <w:szCs w:val="21"/>
                  </w:rPr>
                  <m:t>i</m:t>
                </m:r>
                <m:r>
                  <m:rPr>
                    <m:nor/>
                    <m:sty m:val="p"/>
                  </m:rPr>
                  <w:rPr>
                    <w:rFonts w:ascii="Times New Roman" w:eastAsia="Cambria Math"/>
                    <w:b w:val="0"/>
                    <w:i w:val="0"/>
                    <w:szCs w:val="21"/>
                  </w:rPr>
                  <m:t>=</m:t>
                </m:r>
                <m:r>
                  <m:rPr>
                    <m:nor/>
                    <m:sty m:val="p"/>
                  </m:rPr>
                  <w:rPr>
                    <w:rFonts w:ascii="Times New Roman" w:eastAsiaTheme="minorEastAsia"/>
                    <w:b w:val="0"/>
                    <w:i w:val="0"/>
                    <w:szCs w:val="21"/>
                  </w:rPr>
                  <m:t>1</m:t>
                </m:r>
                <m:ctrlPr>
                  <w:rPr>
                    <w:rFonts w:ascii="Cambria Math" w:hAnsi="Cambria Math" w:eastAsia="Cambria Math"/>
                    <w:szCs w:val="21"/>
                  </w:rPr>
                </m:ctrlPr>
              </m:sub>
              <m:sup>
                <m:r>
                  <m:rPr>
                    <m:nor/>
                  </m:rPr>
                  <w:rPr>
                    <w:rFonts w:ascii="Times New Roman" w:eastAsiaTheme="minorEastAsia"/>
                    <w:i/>
                    <w:szCs w:val="21"/>
                  </w:rPr>
                  <m:t>n</m:t>
                </m:r>
                <m:ctrlPr>
                  <w:rPr>
                    <w:rFonts w:ascii="Cambria Math" w:hAnsi="Cambria Math" w:eastAsia="Cambria Math"/>
                    <w:szCs w:val="21"/>
                  </w:rPr>
                </m:ctrlPr>
              </m:sup>
              <m:e>
                <m:d>
                  <m:dPr>
                    <m:ctrlPr>
                      <w:rPr>
                        <w:rFonts w:ascii="Cambria Math" w:hAnsi="Cambria Math" w:eastAsia="Cambria Math"/>
                        <w:i/>
                        <w:szCs w:val="21"/>
                      </w:rPr>
                    </m:ctrlPr>
                  </m:dPr>
                  <m:e>
                    <m:sSub>
                      <m:sSubPr>
                        <m:ctrlPr>
                          <w:rPr>
                            <w:rFonts w:ascii="Cambria Math" w:hAnsi="Cambria Math" w:eastAsia="Cambria Math"/>
                            <w:i/>
                            <w:szCs w:val="21"/>
                          </w:rPr>
                        </m:ctrlPr>
                      </m:sSubPr>
                      <m:e>
                        <m:r>
                          <m:rPr>
                            <m:nor/>
                          </m:rPr>
                          <w:rPr>
                            <w:rFonts w:ascii="Times New Roman" w:eastAsiaTheme="minorEastAsia"/>
                            <w:i/>
                            <w:szCs w:val="21"/>
                          </w:rPr>
                          <m:t>x</m:t>
                        </m:r>
                        <m:ctrlPr>
                          <w:rPr>
                            <w:rFonts w:ascii="Cambria Math" w:hAnsi="Cambria Math" w:eastAsia="Cambria Math"/>
                            <w:i/>
                            <w:szCs w:val="21"/>
                          </w:rPr>
                        </m:ctrlPr>
                      </m:e>
                      <m:sub>
                        <m:r>
                          <m:rPr>
                            <m:nor/>
                            <m:sty m:val="p"/>
                          </m:rPr>
                          <w:rPr>
                            <w:rFonts w:ascii="Times New Roman" w:eastAsia="Cambria Math"/>
                            <w:b w:val="0"/>
                            <w:i w:val="0"/>
                            <w:szCs w:val="21"/>
                          </w:rPr>
                          <m:t>1</m:t>
                        </m:r>
                        <m:r>
                          <m:rPr>
                            <m:nor/>
                            <m:sty m:val="p"/>
                          </m:rPr>
                          <w:rPr>
                            <w:rFonts w:ascii="Times New Roman" w:eastAsiaTheme="minorEastAsia"/>
                            <w:b w:val="0"/>
                            <w:i w:val="0"/>
                            <w:szCs w:val="21"/>
                          </w:rPr>
                          <m:t>，</m:t>
                        </m:r>
                        <m:r>
                          <m:rPr>
                            <m:nor/>
                          </m:rPr>
                          <w:rPr>
                            <w:rFonts w:ascii="Times New Roman" w:eastAsiaTheme="minorEastAsia"/>
                            <w:i/>
                            <w:szCs w:val="21"/>
                          </w:rPr>
                          <m:t>i</m:t>
                        </m:r>
                        <m:ctrlPr>
                          <w:rPr>
                            <w:rFonts w:ascii="Cambria Math" w:hAnsi="Cambria Math" w:eastAsia="Cambria Math"/>
                            <w:i/>
                            <w:szCs w:val="21"/>
                          </w:rPr>
                        </m:ctrlPr>
                      </m:sub>
                    </m:sSub>
                    <m:r>
                      <m:rPr>
                        <m:nor/>
                        <m:sty m:val="p"/>
                      </m:rPr>
                      <w:rPr>
                        <w:rFonts w:ascii="Times New Roman" w:eastAsia="Cambria Math"/>
                        <w:b w:val="0"/>
                        <w:i w:val="0"/>
                        <w:szCs w:val="21"/>
                      </w:rPr>
                      <m:t>-</m:t>
                    </m:r>
                    <m:bar>
                      <m:barPr>
                        <m:pos m:val="top"/>
                        <m:ctrlPr>
                          <w:rPr>
                            <w:rFonts w:ascii="Cambria Math" w:hAnsi="Cambria Math" w:eastAsiaTheme="minorEastAsia"/>
                            <w:i/>
                            <w:szCs w:val="21"/>
                          </w:rPr>
                        </m:ctrlPr>
                      </m:barPr>
                      <m:e>
                        <m:sSub>
                          <m:sSubPr>
                            <m:ctrlPr>
                              <w:rPr>
                                <w:rFonts w:ascii="Cambria Math" w:hAnsi="Cambria Math" w:eastAsiaTheme="minorEastAsia"/>
                                <w:i/>
                                <w:szCs w:val="21"/>
                              </w:rPr>
                            </m:ctrlPr>
                          </m:sSubPr>
                          <m:e>
                            <m:r>
                              <m:rPr>
                                <m:nor/>
                              </m:rPr>
                              <w:rPr>
                                <w:rFonts w:ascii="Times New Roman" w:eastAsiaTheme="minorEastAsia"/>
                                <w:i/>
                                <w:szCs w:val="21"/>
                              </w:rPr>
                              <m:t>x</m:t>
                            </m:r>
                            <m:ctrlPr>
                              <w:rPr>
                                <w:rFonts w:ascii="Cambria Math" w:hAnsi="Cambria Math" w:eastAsiaTheme="minorEastAsia"/>
                                <w:i/>
                                <w:szCs w:val="21"/>
                              </w:rPr>
                            </m:ctrlPr>
                          </m:e>
                          <m:sub>
                            <m:r>
                              <m:rPr>
                                <m:nor/>
                                <m:sty m:val="p"/>
                              </m:rPr>
                              <w:rPr>
                                <w:rFonts w:ascii="Times New Roman" w:eastAsiaTheme="minorEastAsia"/>
                                <w:b w:val="0"/>
                                <w:i w:val="0"/>
                                <w:szCs w:val="21"/>
                              </w:rPr>
                              <m:t>1</m:t>
                            </m:r>
                            <m:ctrlPr>
                              <w:rPr>
                                <w:rFonts w:ascii="Cambria Math" w:hAnsi="Cambria Math" w:eastAsiaTheme="minorEastAsia"/>
                                <w:i/>
                                <w:szCs w:val="21"/>
                              </w:rPr>
                            </m:ctrlPr>
                          </m:sub>
                        </m:sSub>
                        <m:ctrlPr>
                          <w:rPr>
                            <w:rFonts w:ascii="Cambria Math" w:hAnsi="Cambria Math" w:eastAsiaTheme="minorEastAsia"/>
                            <w:i/>
                            <w:szCs w:val="21"/>
                          </w:rPr>
                        </m:ctrlPr>
                      </m:e>
                    </m:bar>
                    <m:ctrlPr>
                      <w:rPr>
                        <w:rFonts w:ascii="Cambria Math" w:hAnsi="Cambria Math" w:eastAsia="Cambria Math"/>
                        <w:i/>
                        <w:szCs w:val="21"/>
                      </w:rPr>
                    </m:ctrlPr>
                  </m:e>
                </m:d>
                <m:d>
                  <m:dPr>
                    <m:ctrlPr>
                      <w:rPr>
                        <w:rFonts w:ascii="Cambria Math" w:hAnsi="Cambria Math" w:eastAsia="Cambria Math"/>
                        <w:i/>
                        <w:szCs w:val="21"/>
                      </w:rPr>
                    </m:ctrlPr>
                  </m:dPr>
                  <m:e>
                    <m:sSub>
                      <m:sSubPr>
                        <m:ctrlPr>
                          <w:rPr>
                            <w:rFonts w:ascii="Cambria Math" w:hAnsi="Cambria Math" w:eastAsia="Cambria Math"/>
                            <w:i/>
                            <w:szCs w:val="21"/>
                          </w:rPr>
                        </m:ctrlPr>
                      </m:sSubPr>
                      <m:e>
                        <m:r>
                          <m:rPr>
                            <m:nor/>
                          </m:rPr>
                          <w:rPr>
                            <w:rFonts w:ascii="Times New Roman" w:eastAsiaTheme="minorEastAsia"/>
                            <w:i/>
                            <w:szCs w:val="21"/>
                          </w:rPr>
                          <m:t>x</m:t>
                        </m:r>
                        <m:ctrlPr>
                          <w:rPr>
                            <w:rFonts w:ascii="Cambria Math" w:hAnsi="Cambria Math" w:eastAsia="Cambria Math"/>
                            <w:i/>
                            <w:szCs w:val="21"/>
                          </w:rPr>
                        </m:ctrlPr>
                      </m:e>
                      <m:sub>
                        <m:r>
                          <m:rPr>
                            <m:nor/>
                            <m:sty m:val="p"/>
                          </m:rPr>
                          <w:rPr>
                            <w:rFonts w:ascii="Times New Roman" w:eastAsia="Cambria Math"/>
                            <w:b w:val="0"/>
                            <w:i w:val="0"/>
                            <w:szCs w:val="21"/>
                          </w:rPr>
                          <m:t>2</m:t>
                        </m:r>
                        <m:r>
                          <m:rPr>
                            <m:nor/>
                            <m:sty m:val="p"/>
                          </m:rPr>
                          <w:rPr>
                            <w:rFonts w:ascii="Times New Roman" w:eastAsiaTheme="minorEastAsia"/>
                            <w:b w:val="0"/>
                            <w:i w:val="0"/>
                            <w:szCs w:val="21"/>
                          </w:rPr>
                          <m:t>，</m:t>
                        </m:r>
                        <m:r>
                          <m:rPr>
                            <m:nor/>
                          </m:rPr>
                          <w:rPr>
                            <w:rFonts w:ascii="Times New Roman" w:eastAsiaTheme="minorEastAsia"/>
                            <w:i/>
                            <w:szCs w:val="21"/>
                          </w:rPr>
                          <m:t>i</m:t>
                        </m:r>
                        <m:ctrlPr>
                          <w:rPr>
                            <w:rFonts w:ascii="Cambria Math" w:hAnsi="Cambria Math" w:eastAsia="Cambria Math"/>
                            <w:i/>
                            <w:szCs w:val="21"/>
                          </w:rPr>
                        </m:ctrlPr>
                      </m:sub>
                    </m:sSub>
                    <m:r>
                      <m:rPr>
                        <m:nor/>
                        <m:sty m:val="p"/>
                      </m:rPr>
                      <w:rPr>
                        <w:rFonts w:ascii="Times New Roman" w:eastAsia="Cambria Math"/>
                        <w:b w:val="0"/>
                        <w:i w:val="0"/>
                        <w:szCs w:val="21"/>
                      </w:rPr>
                      <m:t>-</m:t>
                    </m:r>
                    <m:bar>
                      <m:barPr>
                        <m:pos m:val="top"/>
                        <m:ctrlPr>
                          <w:rPr>
                            <w:rFonts w:ascii="Cambria Math" w:hAnsi="Cambria Math" w:eastAsiaTheme="minorEastAsia"/>
                            <w:i/>
                            <w:szCs w:val="21"/>
                          </w:rPr>
                        </m:ctrlPr>
                      </m:barPr>
                      <m:e>
                        <m:sSub>
                          <m:sSubPr>
                            <m:ctrlPr>
                              <w:rPr>
                                <w:rFonts w:ascii="Cambria Math" w:hAnsi="Cambria Math" w:eastAsiaTheme="minorEastAsia"/>
                                <w:i/>
                                <w:szCs w:val="21"/>
                              </w:rPr>
                            </m:ctrlPr>
                          </m:sSubPr>
                          <m:e>
                            <m:r>
                              <m:rPr>
                                <m:nor/>
                              </m:rPr>
                              <w:rPr>
                                <w:rFonts w:ascii="Times New Roman" w:eastAsiaTheme="minorEastAsia"/>
                                <w:i/>
                                <w:szCs w:val="21"/>
                              </w:rPr>
                              <m:t>x</m:t>
                            </m:r>
                            <m:ctrlPr>
                              <w:rPr>
                                <w:rFonts w:ascii="Cambria Math" w:hAnsi="Cambria Math" w:eastAsiaTheme="minorEastAsia"/>
                                <w:i/>
                                <w:szCs w:val="21"/>
                              </w:rPr>
                            </m:ctrlPr>
                          </m:e>
                          <m:sub>
                            <m:r>
                              <m:rPr>
                                <m:nor/>
                                <m:sty m:val="p"/>
                              </m:rPr>
                              <w:rPr>
                                <w:rFonts w:ascii="Times New Roman" w:eastAsiaTheme="minorEastAsia"/>
                                <w:b w:val="0"/>
                                <w:i w:val="0"/>
                                <w:szCs w:val="21"/>
                              </w:rPr>
                              <m:t>2</m:t>
                            </m:r>
                            <m:ctrlPr>
                              <w:rPr>
                                <w:rFonts w:ascii="Cambria Math" w:hAnsi="Cambria Math" w:eastAsiaTheme="minorEastAsia"/>
                                <w:i/>
                                <w:szCs w:val="21"/>
                              </w:rPr>
                            </m:ctrlPr>
                          </m:sub>
                        </m:sSub>
                        <m:ctrlPr>
                          <w:rPr>
                            <w:rFonts w:ascii="Cambria Math" w:hAnsi="Cambria Math" w:eastAsiaTheme="minorEastAsia"/>
                            <w:i/>
                            <w:szCs w:val="21"/>
                          </w:rPr>
                        </m:ctrlPr>
                      </m:e>
                    </m:bar>
                    <m:ctrlPr>
                      <w:rPr>
                        <w:rFonts w:ascii="Cambria Math" w:hAnsi="Cambria Math" w:eastAsia="Cambria Math"/>
                        <w:i/>
                        <w:szCs w:val="21"/>
                      </w:rPr>
                    </m:ctrlPr>
                  </m:e>
                </m:d>
                <m:ctrlPr>
                  <w:rPr>
                    <w:rFonts w:ascii="Cambria Math" w:hAnsi="Cambria Math" w:eastAsia="Cambria Math"/>
                    <w:szCs w:val="21"/>
                  </w:rPr>
                </m:ctrlPr>
              </m:e>
            </m:nary>
            <m:ctrlPr>
              <w:rPr>
                <w:rFonts w:ascii="Cambria Math" w:hAnsi="Cambria Math" w:eastAsia="Cambria Math"/>
                <w:szCs w:val="21"/>
              </w:rPr>
            </m:ctrlPr>
          </m:num>
          <m:den>
            <m:rad>
              <m:radPr>
                <m:degHide m:val="1"/>
                <m:ctrlPr>
                  <w:rPr>
                    <w:rFonts w:ascii="Cambria Math" w:hAnsi="Cambria Math" w:eastAsia="Cambria Math"/>
                    <w:i/>
                    <w:szCs w:val="21"/>
                  </w:rPr>
                </m:ctrlPr>
              </m:radPr>
              <m:deg>
                <m:ctrlPr>
                  <w:rPr>
                    <w:rFonts w:ascii="Cambria Math" w:hAnsi="Cambria Math" w:eastAsia="Cambria Math"/>
                    <w:i/>
                    <w:szCs w:val="21"/>
                  </w:rPr>
                </m:ctrlPr>
              </m:deg>
              <m:e>
                <m:nary>
                  <m:naryPr>
                    <m:chr m:val="∑"/>
                    <m:limLoc m:val="subSup"/>
                    <m:ctrlPr>
                      <w:rPr>
                        <w:rFonts w:ascii="Cambria Math" w:hAnsi="Cambria Math" w:eastAsia="Cambria Math"/>
                        <w:i/>
                        <w:szCs w:val="21"/>
                      </w:rPr>
                    </m:ctrlPr>
                  </m:naryPr>
                  <m:sub>
                    <m:r>
                      <m:rPr>
                        <m:nor/>
                      </m:rPr>
                      <w:rPr>
                        <w:rFonts w:ascii="Times New Roman" w:eastAsiaTheme="minorEastAsia"/>
                        <w:i/>
                        <w:szCs w:val="21"/>
                      </w:rPr>
                      <m:t>i</m:t>
                    </m:r>
                    <m:r>
                      <m:rPr>
                        <m:nor/>
                        <m:sty m:val="p"/>
                      </m:rPr>
                      <w:rPr>
                        <w:rFonts w:ascii="Times New Roman" w:eastAsia="Cambria Math"/>
                        <w:b w:val="0"/>
                        <w:i w:val="0"/>
                        <w:szCs w:val="21"/>
                      </w:rPr>
                      <m:t>=</m:t>
                    </m:r>
                    <m:r>
                      <m:rPr>
                        <m:nor/>
                        <m:sty m:val="p"/>
                      </m:rPr>
                      <w:rPr>
                        <w:rFonts w:ascii="Times New Roman" w:eastAsiaTheme="minorEastAsia"/>
                        <w:b w:val="0"/>
                        <w:i w:val="0"/>
                        <w:szCs w:val="21"/>
                      </w:rPr>
                      <m:t>1</m:t>
                    </m:r>
                    <m:ctrlPr>
                      <w:rPr>
                        <w:rFonts w:ascii="Cambria Math" w:hAnsi="Cambria Math" w:eastAsia="Cambria Math"/>
                        <w:i/>
                        <w:szCs w:val="21"/>
                      </w:rPr>
                    </m:ctrlPr>
                  </m:sub>
                  <m:sup>
                    <m:r>
                      <m:rPr>
                        <m:nor/>
                      </m:rPr>
                      <w:rPr>
                        <w:rFonts w:ascii="Times New Roman" w:eastAsiaTheme="minorEastAsia"/>
                        <w:i/>
                        <w:szCs w:val="21"/>
                      </w:rPr>
                      <m:t>n</m:t>
                    </m:r>
                    <m:ctrlPr>
                      <w:rPr>
                        <w:rFonts w:ascii="Cambria Math" w:hAnsi="Cambria Math" w:eastAsia="Cambria Math"/>
                        <w:i/>
                        <w:szCs w:val="21"/>
                      </w:rPr>
                    </m:ctrlPr>
                  </m:sup>
                  <m:e>
                    <m:sSup>
                      <m:sSupPr>
                        <m:ctrlPr>
                          <w:rPr>
                            <w:rFonts w:ascii="Cambria Math" w:hAnsi="Cambria Math" w:eastAsia="Cambria Math"/>
                            <w:i/>
                            <w:szCs w:val="21"/>
                          </w:rPr>
                        </m:ctrlPr>
                      </m:sSupPr>
                      <m:e>
                        <m:d>
                          <m:dPr>
                            <m:ctrlPr>
                              <w:rPr>
                                <w:rFonts w:ascii="Cambria Math" w:hAnsi="Cambria Math" w:eastAsia="Cambria Math"/>
                                <w:i/>
                                <w:szCs w:val="21"/>
                              </w:rPr>
                            </m:ctrlPr>
                          </m:dPr>
                          <m:e>
                            <m:sSub>
                              <m:sSubPr>
                                <m:ctrlPr>
                                  <w:rPr>
                                    <w:rFonts w:ascii="Cambria Math" w:hAnsi="Cambria Math" w:eastAsia="Cambria Math"/>
                                    <w:i/>
                                    <w:szCs w:val="21"/>
                                  </w:rPr>
                                </m:ctrlPr>
                              </m:sSubPr>
                              <m:e>
                                <m:r>
                                  <m:rPr>
                                    <m:nor/>
                                  </m:rPr>
                                  <w:rPr>
                                    <w:rFonts w:ascii="Times New Roman" w:eastAsiaTheme="minorEastAsia"/>
                                    <w:i/>
                                    <w:szCs w:val="21"/>
                                  </w:rPr>
                                  <m:t>x</m:t>
                                </m:r>
                                <m:ctrlPr>
                                  <w:rPr>
                                    <w:rFonts w:ascii="Cambria Math" w:hAnsi="Cambria Math" w:eastAsia="Cambria Math"/>
                                    <w:i/>
                                    <w:szCs w:val="21"/>
                                  </w:rPr>
                                </m:ctrlPr>
                              </m:e>
                              <m:sub>
                                <m:r>
                                  <m:rPr>
                                    <m:nor/>
                                    <m:sty m:val="p"/>
                                  </m:rPr>
                                  <w:rPr>
                                    <w:rFonts w:ascii="Times New Roman" w:eastAsia="Cambria Math"/>
                                    <w:b w:val="0"/>
                                    <w:i w:val="0"/>
                                    <w:szCs w:val="21"/>
                                  </w:rPr>
                                  <m:t>1</m:t>
                                </m:r>
                                <m:r>
                                  <m:rPr>
                                    <m:nor/>
                                    <m:sty m:val="p"/>
                                  </m:rPr>
                                  <w:rPr>
                                    <w:rFonts w:ascii="Times New Roman" w:eastAsiaTheme="minorEastAsia"/>
                                    <w:b w:val="0"/>
                                    <w:i w:val="0"/>
                                    <w:szCs w:val="21"/>
                                  </w:rPr>
                                  <m:t>，</m:t>
                                </m:r>
                                <m:r>
                                  <m:rPr>
                                    <m:nor/>
                                  </m:rPr>
                                  <w:rPr>
                                    <w:rFonts w:ascii="Times New Roman" w:eastAsiaTheme="minorEastAsia"/>
                                    <w:i/>
                                    <w:szCs w:val="21"/>
                                  </w:rPr>
                                  <m:t>i</m:t>
                                </m:r>
                                <m:ctrlPr>
                                  <w:rPr>
                                    <w:rFonts w:ascii="Cambria Math" w:hAnsi="Cambria Math" w:eastAsia="Cambria Math"/>
                                    <w:i/>
                                    <w:szCs w:val="21"/>
                                  </w:rPr>
                                </m:ctrlPr>
                              </m:sub>
                            </m:sSub>
                            <m:r>
                              <m:rPr>
                                <m:nor/>
                                <m:sty m:val="p"/>
                              </m:rPr>
                              <w:rPr>
                                <w:rFonts w:ascii="Times New Roman" w:eastAsia="Cambria Math"/>
                                <w:b w:val="0"/>
                                <w:i w:val="0"/>
                                <w:szCs w:val="21"/>
                              </w:rPr>
                              <m:t>-</m:t>
                            </m:r>
                            <m:bar>
                              <m:barPr>
                                <m:pos m:val="top"/>
                                <m:ctrlPr>
                                  <w:rPr>
                                    <w:rFonts w:ascii="Cambria Math" w:hAnsi="Cambria Math" w:eastAsiaTheme="minorEastAsia"/>
                                    <w:i/>
                                    <w:szCs w:val="21"/>
                                  </w:rPr>
                                </m:ctrlPr>
                              </m:barPr>
                              <m:e>
                                <m:sSub>
                                  <m:sSubPr>
                                    <m:ctrlPr>
                                      <w:rPr>
                                        <w:rFonts w:ascii="Cambria Math" w:hAnsi="Cambria Math" w:eastAsiaTheme="minorEastAsia"/>
                                        <w:i/>
                                        <w:szCs w:val="21"/>
                                      </w:rPr>
                                    </m:ctrlPr>
                                  </m:sSubPr>
                                  <m:e>
                                    <m:r>
                                      <m:rPr>
                                        <m:nor/>
                                      </m:rPr>
                                      <w:rPr>
                                        <w:rFonts w:ascii="Times New Roman" w:eastAsiaTheme="minorEastAsia"/>
                                        <w:i/>
                                        <w:szCs w:val="21"/>
                                      </w:rPr>
                                      <m:t>x</m:t>
                                    </m:r>
                                    <m:ctrlPr>
                                      <w:rPr>
                                        <w:rFonts w:ascii="Cambria Math" w:hAnsi="Cambria Math" w:eastAsiaTheme="minorEastAsia"/>
                                        <w:i/>
                                        <w:szCs w:val="21"/>
                                      </w:rPr>
                                    </m:ctrlPr>
                                  </m:e>
                                  <m:sub>
                                    <m:r>
                                      <m:rPr>
                                        <m:nor/>
                                        <m:sty m:val="p"/>
                                      </m:rPr>
                                      <w:rPr>
                                        <w:rFonts w:ascii="Times New Roman" w:eastAsiaTheme="minorEastAsia"/>
                                        <w:b w:val="0"/>
                                        <w:i w:val="0"/>
                                        <w:szCs w:val="21"/>
                                      </w:rPr>
                                      <m:t>1</m:t>
                                    </m:r>
                                    <m:ctrlPr>
                                      <w:rPr>
                                        <w:rFonts w:ascii="Cambria Math" w:hAnsi="Cambria Math" w:eastAsiaTheme="minorEastAsia"/>
                                        <w:i/>
                                        <w:szCs w:val="21"/>
                                      </w:rPr>
                                    </m:ctrlPr>
                                  </m:sub>
                                </m:sSub>
                                <m:ctrlPr>
                                  <w:rPr>
                                    <w:rFonts w:ascii="Cambria Math" w:hAnsi="Cambria Math" w:eastAsiaTheme="minorEastAsia"/>
                                    <w:i/>
                                    <w:szCs w:val="21"/>
                                  </w:rPr>
                                </m:ctrlPr>
                              </m:e>
                            </m:bar>
                            <m:ctrlPr>
                              <w:rPr>
                                <w:rFonts w:ascii="Cambria Math" w:hAnsi="Cambria Math" w:eastAsia="Cambria Math"/>
                                <w:i/>
                                <w:szCs w:val="21"/>
                              </w:rPr>
                            </m:ctrlPr>
                          </m:e>
                        </m:d>
                        <m:ctrlPr>
                          <w:rPr>
                            <w:rFonts w:ascii="Cambria Math" w:hAnsi="Cambria Math" w:eastAsia="Cambria Math"/>
                            <w:i/>
                            <w:szCs w:val="21"/>
                          </w:rPr>
                        </m:ctrlPr>
                      </m:e>
                      <m:sup>
                        <m:r>
                          <m:rPr>
                            <m:nor/>
                            <m:sty m:val="p"/>
                          </m:rPr>
                          <w:rPr>
                            <w:rFonts w:ascii="Times New Roman" w:eastAsia="Cambria Math"/>
                            <w:b w:val="0"/>
                            <w:i w:val="0"/>
                            <w:szCs w:val="21"/>
                          </w:rPr>
                          <m:t>2</m:t>
                        </m:r>
                        <m:ctrlPr>
                          <w:rPr>
                            <w:rFonts w:ascii="Cambria Math" w:hAnsi="Cambria Math" w:eastAsia="Cambria Math"/>
                            <w:i/>
                            <w:szCs w:val="21"/>
                          </w:rPr>
                        </m:ctrlPr>
                      </m:sup>
                    </m:sSup>
                    <m:ctrlPr>
                      <w:rPr>
                        <w:rFonts w:ascii="Cambria Math" w:hAnsi="Cambria Math" w:eastAsia="Cambria Math"/>
                        <w:i/>
                        <w:szCs w:val="21"/>
                      </w:rPr>
                    </m:ctrlPr>
                  </m:e>
                </m:nary>
                <m:nary>
                  <m:naryPr>
                    <m:chr m:val="∑"/>
                    <m:limLoc m:val="undOvr"/>
                    <m:ctrlPr>
                      <w:rPr>
                        <w:rFonts w:ascii="Cambria Math" w:hAnsi="Cambria Math" w:eastAsia="Cambria Math"/>
                        <w:i/>
                        <w:szCs w:val="21"/>
                      </w:rPr>
                    </m:ctrlPr>
                  </m:naryPr>
                  <m:sub>
                    <m:r>
                      <m:rPr>
                        <m:nor/>
                      </m:rPr>
                      <w:rPr>
                        <w:rFonts w:ascii="Times New Roman" w:eastAsiaTheme="minorEastAsia"/>
                        <w:i/>
                        <w:szCs w:val="21"/>
                      </w:rPr>
                      <m:t>i</m:t>
                    </m:r>
                    <m:r>
                      <m:rPr>
                        <m:nor/>
                        <m:sty m:val="p"/>
                      </m:rPr>
                      <w:rPr>
                        <w:rFonts w:ascii="Times New Roman" w:eastAsia="Cambria Math"/>
                        <w:b w:val="0"/>
                        <w:i w:val="0"/>
                        <w:szCs w:val="21"/>
                      </w:rPr>
                      <m:t>=</m:t>
                    </m:r>
                    <m:r>
                      <m:rPr>
                        <m:nor/>
                        <m:sty m:val="p"/>
                      </m:rPr>
                      <w:rPr>
                        <w:rFonts w:ascii="Times New Roman" w:eastAsiaTheme="minorEastAsia"/>
                        <w:b w:val="0"/>
                        <w:i w:val="0"/>
                        <w:szCs w:val="21"/>
                      </w:rPr>
                      <m:t>1</m:t>
                    </m:r>
                    <m:ctrlPr>
                      <w:rPr>
                        <w:rFonts w:ascii="Cambria Math" w:hAnsi="Cambria Math" w:eastAsia="Cambria Math"/>
                        <w:i/>
                        <w:szCs w:val="21"/>
                      </w:rPr>
                    </m:ctrlPr>
                  </m:sub>
                  <m:sup>
                    <m:r>
                      <m:rPr>
                        <m:nor/>
                      </m:rPr>
                      <w:rPr>
                        <w:rFonts w:ascii="Times New Roman" w:eastAsiaTheme="minorEastAsia"/>
                        <w:i/>
                        <w:szCs w:val="21"/>
                      </w:rPr>
                      <m:t>n</m:t>
                    </m:r>
                    <m:ctrlPr>
                      <w:rPr>
                        <w:rFonts w:ascii="Cambria Math" w:hAnsi="Cambria Math" w:eastAsia="Cambria Math"/>
                        <w:i/>
                        <w:szCs w:val="21"/>
                      </w:rPr>
                    </m:ctrlPr>
                  </m:sup>
                  <m:e>
                    <m:sSup>
                      <m:sSupPr>
                        <m:ctrlPr>
                          <w:rPr>
                            <w:rFonts w:ascii="Cambria Math" w:hAnsi="Cambria Math" w:eastAsia="Cambria Math"/>
                            <w:i/>
                            <w:szCs w:val="21"/>
                          </w:rPr>
                        </m:ctrlPr>
                      </m:sSupPr>
                      <m:e>
                        <m:d>
                          <m:dPr>
                            <m:ctrlPr>
                              <w:rPr>
                                <w:rFonts w:ascii="Cambria Math" w:hAnsi="Cambria Math" w:eastAsia="Cambria Math"/>
                                <w:i/>
                                <w:szCs w:val="21"/>
                              </w:rPr>
                            </m:ctrlPr>
                          </m:dPr>
                          <m:e>
                            <m:sSub>
                              <m:sSubPr>
                                <m:ctrlPr>
                                  <w:rPr>
                                    <w:rFonts w:ascii="Cambria Math" w:hAnsi="Cambria Math" w:eastAsia="Cambria Math"/>
                                    <w:i/>
                                    <w:szCs w:val="21"/>
                                  </w:rPr>
                                </m:ctrlPr>
                              </m:sSubPr>
                              <m:e>
                                <m:r>
                                  <m:rPr>
                                    <m:nor/>
                                  </m:rPr>
                                  <w:rPr>
                                    <w:rFonts w:ascii="Times New Roman" w:eastAsiaTheme="minorEastAsia"/>
                                    <w:i/>
                                    <w:szCs w:val="21"/>
                                  </w:rPr>
                                  <m:t>x</m:t>
                                </m:r>
                                <m:ctrlPr>
                                  <w:rPr>
                                    <w:rFonts w:ascii="Cambria Math" w:hAnsi="Cambria Math" w:eastAsia="Cambria Math"/>
                                    <w:i/>
                                    <w:szCs w:val="21"/>
                                  </w:rPr>
                                </m:ctrlPr>
                              </m:e>
                              <m:sub>
                                <m:r>
                                  <m:rPr>
                                    <m:nor/>
                                    <m:sty m:val="p"/>
                                  </m:rPr>
                                  <w:rPr>
                                    <w:rFonts w:ascii="Times New Roman" w:eastAsia="Cambria Math"/>
                                    <w:b w:val="0"/>
                                    <w:i w:val="0"/>
                                    <w:szCs w:val="21"/>
                                  </w:rPr>
                                  <m:t>2</m:t>
                                </m:r>
                                <m:r>
                                  <m:rPr>
                                    <m:nor/>
                                    <m:sty m:val="p"/>
                                  </m:rPr>
                                  <w:rPr>
                                    <w:rFonts w:ascii="Times New Roman" w:eastAsiaTheme="minorEastAsia"/>
                                    <w:b w:val="0"/>
                                    <w:i w:val="0"/>
                                    <w:szCs w:val="21"/>
                                  </w:rPr>
                                  <m:t>，</m:t>
                                </m:r>
                                <m:r>
                                  <m:rPr>
                                    <m:nor/>
                                  </m:rPr>
                                  <w:rPr>
                                    <w:rFonts w:ascii="Times New Roman" w:eastAsiaTheme="minorEastAsia"/>
                                    <w:i/>
                                    <w:szCs w:val="21"/>
                                  </w:rPr>
                                  <m:t>i</m:t>
                                </m:r>
                                <m:ctrlPr>
                                  <w:rPr>
                                    <w:rFonts w:ascii="Cambria Math" w:hAnsi="Cambria Math" w:eastAsia="Cambria Math"/>
                                    <w:i/>
                                    <w:szCs w:val="21"/>
                                  </w:rPr>
                                </m:ctrlPr>
                              </m:sub>
                            </m:sSub>
                            <m:r>
                              <m:rPr>
                                <m:nor/>
                                <m:sty m:val="p"/>
                              </m:rPr>
                              <w:rPr>
                                <w:rFonts w:ascii="Times New Roman" w:eastAsia="Cambria Math"/>
                                <w:b w:val="0"/>
                                <w:i w:val="0"/>
                                <w:szCs w:val="21"/>
                              </w:rPr>
                              <m:t>-</m:t>
                            </m:r>
                            <m:bar>
                              <m:barPr>
                                <m:pos m:val="top"/>
                                <m:ctrlPr>
                                  <w:rPr>
                                    <w:rFonts w:ascii="Cambria Math" w:hAnsi="Cambria Math" w:eastAsiaTheme="minorEastAsia"/>
                                    <w:i/>
                                    <w:szCs w:val="21"/>
                                  </w:rPr>
                                </m:ctrlPr>
                              </m:barPr>
                              <m:e>
                                <m:sSub>
                                  <m:sSubPr>
                                    <m:ctrlPr>
                                      <w:rPr>
                                        <w:rFonts w:ascii="Cambria Math" w:hAnsi="Cambria Math" w:eastAsiaTheme="minorEastAsia"/>
                                        <w:i/>
                                        <w:szCs w:val="21"/>
                                      </w:rPr>
                                    </m:ctrlPr>
                                  </m:sSubPr>
                                  <m:e>
                                    <m:r>
                                      <m:rPr>
                                        <m:nor/>
                                      </m:rPr>
                                      <w:rPr>
                                        <w:rFonts w:ascii="Times New Roman" w:eastAsiaTheme="minorEastAsia"/>
                                        <w:i/>
                                        <w:szCs w:val="21"/>
                                      </w:rPr>
                                      <m:t>x</m:t>
                                    </m:r>
                                    <m:ctrlPr>
                                      <w:rPr>
                                        <w:rFonts w:ascii="Cambria Math" w:hAnsi="Cambria Math" w:eastAsiaTheme="minorEastAsia"/>
                                        <w:i/>
                                        <w:szCs w:val="21"/>
                                      </w:rPr>
                                    </m:ctrlPr>
                                  </m:e>
                                  <m:sub>
                                    <m:r>
                                      <m:rPr>
                                        <m:nor/>
                                        <m:sty m:val="p"/>
                                      </m:rPr>
                                      <w:rPr>
                                        <w:rFonts w:ascii="Times New Roman" w:eastAsiaTheme="minorEastAsia"/>
                                        <w:b w:val="0"/>
                                        <w:i w:val="0"/>
                                        <w:szCs w:val="21"/>
                                      </w:rPr>
                                      <m:t>2</m:t>
                                    </m:r>
                                    <m:ctrlPr>
                                      <w:rPr>
                                        <w:rFonts w:ascii="Cambria Math" w:hAnsi="Cambria Math" w:eastAsiaTheme="minorEastAsia"/>
                                        <w:i/>
                                        <w:szCs w:val="21"/>
                                      </w:rPr>
                                    </m:ctrlPr>
                                  </m:sub>
                                </m:sSub>
                                <m:ctrlPr>
                                  <w:rPr>
                                    <w:rFonts w:ascii="Cambria Math" w:hAnsi="Cambria Math" w:eastAsiaTheme="minorEastAsia"/>
                                    <w:i/>
                                    <w:szCs w:val="21"/>
                                  </w:rPr>
                                </m:ctrlPr>
                              </m:e>
                            </m:bar>
                            <m:ctrlPr>
                              <w:rPr>
                                <w:rFonts w:ascii="Cambria Math" w:hAnsi="Cambria Math" w:eastAsia="Cambria Math"/>
                                <w:i/>
                                <w:szCs w:val="21"/>
                              </w:rPr>
                            </m:ctrlPr>
                          </m:e>
                        </m:d>
                        <m:ctrlPr>
                          <w:rPr>
                            <w:rFonts w:ascii="Cambria Math" w:hAnsi="Cambria Math" w:eastAsia="Cambria Math"/>
                            <w:i/>
                            <w:szCs w:val="21"/>
                          </w:rPr>
                        </m:ctrlPr>
                      </m:e>
                      <m:sup>
                        <m:r>
                          <m:rPr>
                            <m:nor/>
                            <m:sty m:val="p"/>
                          </m:rPr>
                          <w:rPr>
                            <w:rFonts w:ascii="Times New Roman" w:eastAsia="Cambria Math"/>
                            <w:b w:val="0"/>
                            <w:i w:val="0"/>
                            <w:szCs w:val="21"/>
                          </w:rPr>
                          <m:t>2</m:t>
                        </m:r>
                        <m:ctrlPr>
                          <w:rPr>
                            <w:rFonts w:ascii="Cambria Math" w:hAnsi="Cambria Math" w:eastAsia="Cambria Math"/>
                            <w:i/>
                            <w:szCs w:val="21"/>
                          </w:rPr>
                        </m:ctrlPr>
                      </m:sup>
                    </m:sSup>
                    <m:ctrlPr>
                      <w:rPr>
                        <w:rFonts w:ascii="Cambria Math" w:hAnsi="Cambria Math" w:eastAsia="Cambria Math"/>
                        <w:i/>
                        <w:szCs w:val="21"/>
                      </w:rPr>
                    </m:ctrlPr>
                  </m:e>
                </m:nary>
                <m:ctrlPr>
                  <w:rPr>
                    <w:rFonts w:ascii="Cambria Math" w:hAnsi="Cambria Math" w:eastAsia="Cambria Math"/>
                    <w:i/>
                    <w:szCs w:val="21"/>
                  </w:rPr>
                </m:ctrlPr>
              </m:e>
            </m:rad>
            <m:ctrlPr>
              <w:rPr>
                <w:rFonts w:ascii="Cambria Math" w:hAnsi="Cambria Math" w:eastAsia="Cambria Math"/>
                <w:szCs w:val="21"/>
              </w:rPr>
            </m:ctrlPr>
          </m:den>
        </m:f>
      </m:oMath>
      <w:r>
        <w:rPr>
          <w:rFonts w:hint="eastAsia" w:hAnsi="Cambria Math"/>
          <w:i/>
          <w:szCs w:val="21"/>
        </w:rPr>
        <w:t xml:space="preserve">          </w:t>
      </w:r>
      <w:r>
        <w:rPr>
          <w:rFonts w:ascii="Times New Roman" w:eastAsiaTheme="minorEastAsia"/>
          <w:i/>
        </w:rPr>
        <w:t xml:space="preserve"> </w:t>
      </w:r>
      <w:r>
        <w:rPr>
          <w:rFonts w:ascii="Times New Roman"/>
        </w:rPr>
        <w:t>………………（</w:t>
      </w:r>
      <w:r>
        <w:rPr>
          <w:rFonts w:hint="eastAsia" w:ascii="Times New Roman"/>
        </w:rPr>
        <w:t>C</w:t>
      </w:r>
      <w:r>
        <w:rPr>
          <w:rFonts w:ascii="Times New Roman"/>
        </w:rPr>
        <w:t>.</w:t>
      </w:r>
      <w:r>
        <w:rPr>
          <w:rFonts w:hint="eastAsia" w:ascii="Times New Roman"/>
        </w:rPr>
        <w:t>2</w:t>
      </w:r>
      <w:r>
        <w:rPr>
          <w:rFonts w:ascii="Times New Roman"/>
        </w:rPr>
        <w:t>）</w:t>
      </w:r>
    </w:p>
    <w:p w14:paraId="19682B44">
      <w:pPr>
        <w:pStyle w:val="27"/>
        <w:spacing w:line="240" w:lineRule="auto"/>
        <w:rPr>
          <w:rFonts w:ascii="Times New Roman"/>
        </w:rPr>
      </w:pPr>
      <w:r>
        <w:rPr>
          <w:rFonts w:ascii="Times New Roman"/>
        </w:rPr>
        <w:t>式中：</w:t>
      </w:r>
    </w:p>
    <w:p w14:paraId="4C508C2B">
      <w:pPr>
        <w:pStyle w:val="27"/>
        <w:spacing w:after="0" w:line="240" w:lineRule="auto"/>
        <w:rPr>
          <w:rFonts w:ascii="Times New Roman"/>
        </w:rPr>
      </w:pPr>
      <m:oMath>
        <m:sSub>
          <m:sSubPr>
            <m:ctrlPr>
              <w:rPr>
                <w:rFonts w:ascii="Cambria Math" w:hAnsi="Cambria Math"/>
              </w:rPr>
            </m:ctrlPr>
          </m:sSubPr>
          <m:e>
            <m:r>
              <m:rPr>
                <m:nor/>
                <m:sty m:val="p"/>
              </m:rPr>
              <w:rPr>
                <w:rFonts w:ascii="Times New Roman"/>
                <w:b w:val="0"/>
                <w:i w:val="0"/>
              </w:rPr>
              <m:t>x</m:t>
            </m:r>
            <m:ctrlPr>
              <w:rPr>
                <w:rFonts w:ascii="Cambria Math" w:hAnsi="Cambria Math"/>
              </w:rPr>
            </m:ctrlPr>
          </m:e>
          <m:sub>
            <m:r>
              <m:rPr>
                <m:nor/>
                <m:sty m:val="p"/>
              </m:rPr>
              <w:rPr>
                <w:rFonts w:ascii="Times New Roman"/>
                <w:b w:val="0"/>
                <w:i w:val="0"/>
              </w:rPr>
              <m:t>1，i</m:t>
            </m:r>
            <m:ctrlPr>
              <w:rPr>
                <w:rFonts w:ascii="Cambria Math" w:hAnsi="Cambria Math"/>
              </w:rPr>
            </m:ctrlPr>
          </m:sub>
        </m:sSub>
      </m:oMath>
      <w:r>
        <w:rPr>
          <w:rFonts w:hint="eastAsia" w:hAnsi="Cambria Math"/>
        </w:rPr>
        <w:t xml:space="preserve"> </w:t>
      </w:r>
      <w:r>
        <w:rPr>
          <w:rFonts w:ascii="Times New Roman"/>
        </w:rPr>
        <w:t>——变量x</w:t>
      </w:r>
      <w:r>
        <w:rPr>
          <w:rFonts w:ascii="Times New Roman"/>
          <w:vertAlign w:val="subscript"/>
        </w:rPr>
        <w:t>1</w:t>
      </w:r>
      <w:r>
        <w:rPr>
          <w:rFonts w:ascii="Times New Roman"/>
        </w:rPr>
        <w:t>第i次测量结果；</w:t>
      </w:r>
    </w:p>
    <w:p w14:paraId="491E3DDD">
      <w:pPr>
        <w:pStyle w:val="27"/>
        <w:spacing w:after="0" w:line="240" w:lineRule="auto"/>
        <w:rPr>
          <w:rFonts w:ascii="Times New Roman"/>
        </w:rPr>
      </w:pPr>
      <w:bookmarkStart w:id="218" w:name="OLE_LINK15"/>
      <m:oMath>
        <m:sSub>
          <m:sSubPr>
            <m:ctrlPr>
              <w:rPr>
                <w:rFonts w:ascii="Cambria Math" w:hAnsi="Cambria Math"/>
              </w:rPr>
            </m:ctrlPr>
          </m:sSubPr>
          <m:e>
            <m:r>
              <m:rPr>
                <m:nor/>
                <m:sty m:val="p"/>
              </m:rPr>
              <w:rPr>
                <w:rFonts w:ascii="Times New Roman"/>
                <w:b w:val="0"/>
                <w:i w:val="0"/>
              </w:rPr>
              <m:t>x</m:t>
            </m:r>
            <m:ctrlPr>
              <w:rPr>
                <w:rFonts w:ascii="Cambria Math" w:hAnsi="Cambria Math"/>
              </w:rPr>
            </m:ctrlPr>
          </m:e>
          <m:sub>
            <m:r>
              <m:rPr>
                <m:nor/>
                <m:sty m:val="p"/>
              </m:rPr>
              <w:rPr>
                <w:rFonts w:ascii="Times New Roman"/>
                <w:b w:val="0"/>
                <w:i w:val="0"/>
              </w:rPr>
              <m:t>2，i</m:t>
            </m:r>
            <m:ctrlPr>
              <w:rPr>
                <w:rFonts w:ascii="Cambria Math" w:hAnsi="Cambria Math"/>
              </w:rPr>
            </m:ctrlPr>
          </m:sub>
        </m:sSub>
      </m:oMath>
      <w:r>
        <w:rPr>
          <w:rFonts w:hint="eastAsia" w:hAnsi="Cambria Math"/>
        </w:rPr>
        <w:t xml:space="preserve"> </w:t>
      </w:r>
      <w:r>
        <w:rPr>
          <w:rFonts w:ascii="Times New Roman"/>
        </w:rPr>
        <w:t>——变量x</w:t>
      </w:r>
      <w:r>
        <w:rPr>
          <w:rFonts w:ascii="Times New Roman"/>
          <w:vertAlign w:val="subscript"/>
        </w:rPr>
        <w:t>2</w:t>
      </w:r>
      <w:r>
        <w:rPr>
          <w:rFonts w:ascii="Times New Roman"/>
        </w:rPr>
        <w:t>第i次测量结果</w:t>
      </w:r>
      <w:bookmarkEnd w:id="218"/>
      <w:r>
        <w:rPr>
          <w:rFonts w:ascii="Times New Roman"/>
        </w:rPr>
        <w:t>；</w:t>
      </w:r>
    </w:p>
    <w:p w14:paraId="283824DF">
      <w:pPr>
        <w:pStyle w:val="27"/>
        <w:spacing w:after="0" w:line="240" w:lineRule="auto"/>
        <w:rPr>
          <w:rFonts w:ascii="Times New Roman"/>
        </w:rPr>
      </w:pPr>
      <m:oMath>
        <m:bar>
          <m:barPr>
            <m:pos m:val="top"/>
            <m:ctrlPr>
              <w:rPr>
                <w:rFonts w:ascii="Cambria Math" w:hAnsi="Cambria Math"/>
                <w:i/>
              </w:rPr>
            </m:ctrlPr>
          </m:barPr>
          <m:e>
            <m:sSub>
              <m:sSubPr>
                <m:ctrlPr>
                  <w:rPr>
                    <w:rFonts w:ascii="Cambria Math" w:hAnsi="Cambria Math"/>
                    <w:i/>
                  </w:rPr>
                </m:ctrlPr>
              </m:sSubPr>
              <m:e>
                <m:r>
                  <m:rPr>
                    <m:nor/>
                  </m:rPr>
                  <w:rPr>
                    <w:rFonts w:ascii="Times New Roman"/>
                    <w:i/>
                  </w:rPr>
                  <m:t>x</m:t>
                </m:r>
                <m:ctrlPr>
                  <w:rPr>
                    <w:rFonts w:ascii="Cambria Math" w:hAnsi="Cambria Math"/>
                    <w:i/>
                  </w:rPr>
                </m:ctrlPr>
              </m:e>
              <m:sub>
                <m:r>
                  <m:rPr>
                    <m:nor/>
                    <m:sty m:val="p"/>
                  </m:rPr>
                  <w:rPr>
                    <w:rFonts w:ascii="Times New Roman"/>
                    <w:b w:val="0"/>
                    <w:i w:val="0"/>
                  </w:rPr>
                  <m:t>1</m:t>
                </m:r>
                <m:ctrlPr>
                  <w:rPr>
                    <w:rFonts w:ascii="Cambria Math" w:hAnsi="Cambria Math"/>
                    <w:i/>
                  </w:rPr>
                </m:ctrlPr>
              </m:sub>
            </m:sSub>
            <m:ctrlPr>
              <w:rPr>
                <w:rFonts w:ascii="Cambria Math" w:hAnsi="Cambria Math"/>
                <w:i/>
              </w:rPr>
            </m:ctrlPr>
          </m:e>
        </m:bar>
      </m:oMath>
      <w:r>
        <w:rPr>
          <w:rFonts w:ascii="Times New Roman"/>
        </w:rPr>
        <w:t xml:space="preserve">   ——变量x</w:t>
      </w:r>
      <w:r>
        <w:rPr>
          <w:rFonts w:ascii="Times New Roman"/>
          <w:vertAlign w:val="subscript"/>
        </w:rPr>
        <w:t>1</w:t>
      </w:r>
      <w:r>
        <w:rPr>
          <w:rFonts w:ascii="Times New Roman"/>
        </w:rPr>
        <w:t>的算数平均值；</w:t>
      </w:r>
    </w:p>
    <w:p w14:paraId="0CEB53D6">
      <w:pPr>
        <w:pStyle w:val="27"/>
        <w:spacing w:after="0" w:line="240" w:lineRule="auto"/>
        <w:rPr>
          <w:rFonts w:ascii="Times New Roman"/>
        </w:rPr>
      </w:pPr>
      <m:oMath>
        <m:bar>
          <m:barPr>
            <m:pos m:val="top"/>
            <m:ctrlPr>
              <w:rPr>
                <w:rFonts w:ascii="Cambria Math" w:hAnsi="Cambria Math"/>
                <w:i/>
              </w:rPr>
            </m:ctrlPr>
          </m:barPr>
          <m:e>
            <m:sSub>
              <m:sSubPr>
                <m:ctrlPr>
                  <w:rPr>
                    <w:rFonts w:ascii="Cambria Math" w:hAnsi="Cambria Math"/>
                    <w:i/>
                  </w:rPr>
                </m:ctrlPr>
              </m:sSubPr>
              <m:e>
                <m:r>
                  <m:rPr>
                    <m:nor/>
                  </m:rPr>
                  <w:rPr>
                    <w:rFonts w:ascii="Times New Roman"/>
                    <w:i/>
                  </w:rPr>
                  <m:t>x</m:t>
                </m:r>
                <m:ctrlPr>
                  <w:rPr>
                    <w:rFonts w:ascii="Cambria Math" w:hAnsi="Cambria Math"/>
                    <w:i/>
                  </w:rPr>
                </m:ctrlPr>
              </m:e>
              <m:sub>
                <m:r>
                  <m:rPr>
                    <m:nor/>
                    <m:sty m:val="p"/>
                  </m:rPr>
                  <w:rPr>
                    <w:rFonts w:ascii="Times New Roman"/>
                    <w:b w:val="0"/>
                    <w:i w:val="0"/>
                  </w:rPr>
                  <m:t>2</m:t>
                </m:r>
                <m:ctrlPr>
                  <w:rPr>
                    <w:rFonts w:ascii="Cambria Math" w:hAnsi="Cambria Math"/>
                    <w:i/>
                  </w:rPr>
                </m:ctrlPr>
              </m:sub>
            </m:sSub>
            <m:ctrlPr>
              <w:rPr>
                <w:rFonts w:ascii="Cambria Math" w:hAnsi="Cambria Math"/>
                <w:i/>
              </w:rPr>
            </m:ctrlPr>
          </m:e>
        </m:bar>
      </m:oMath>
      <w:r>
        <w:rPr>
          <w:rFonts w:ascii="Times New Roman"/>
        </w:rPr>
        <w:t xml:space="preserve">   ——变量x</w:t>
      </w:r>
      <w:r>
        <w:rPr>
          <w:rFonts w:ascii="Times New Roman"/>
          <w:vertAlign w:val="subscript"/>
        </w:rPr>
        <w:t>2</w:t>
      </w:r>
      <w:r>
        <w:rPr>
          <w:rFonts w:ascii="Times New Roman"/>
        </w:rPr>
        <w:t>的算数平均值。</w:t>
      </w:r>
    </w:p>
    <w:p w14:paraId="3AFBDD88">
      <w:pPr>
        <w:pStyle w:val="27"/>
        <w:spacing w:after="0" w:line="240" w:lineRule="auto"/>
        <w:rPr>
          <w:rFonts w:ascii="Times New Roman"/>
        </w:rPr>
      </w:pPr>
      <w:r>
        <w:rPr>
          <w:rFonts w:ascii="Times New Roman"/>
        </w:rPr>
        <w:t>XCO</w:t>
      </w:r>
      <w:r>
        <w:rPr>
          <w:rFonts w:ascii="Times New Roman"/>
          <w:vertAlign w:val="subscript"/>
        </w:rPr>
        <w:t>2</w:t>
      </w:r>
      <w:r>
        <w:rPr>
          <w:rFonts w:ascii="Times New Roman"/>
        </w:rPr>
        <w:t>相关系数</w:t>
      </w:r>
      <w:r>
        <w:rPr>
          <w:rFonts w:hint="eastAsia" w:ascii="Times New Roman"/>
        </w:rPr>
        <w:t>宜大</w:t>
      </w:r>
      <w:r>
        <w:rPr>
          <w:rFonts w:ascii="Times New Roman"/>
        </w:rPr>
        <w:t>于0.</w:t>
      </w:r>
      <w:r>
        <w:rPr>
          <w:rFonts w:hint="eastAsia" w:ascii="Times New Roman"/>
        </w:rPr>
        <w:t>8</w:t>
      </w:r>
      <w:r>
        <w:rPr>
          <w:rFonts w:ascii="Times New Roman"/>
        </w:rPr>
        <w:t>、XCH</w:t>
      </w:r>
      <w:r>
        <w:rPr>
          <w:rFonts w:ascii="Times New Roman"/>
          <w:vertAlign w:val="subscript"/>
        </w:rPr>
        <w:t>4</w:t>
      </w:r>
      <w:r>
        <w:rPr>
          <w:rFonts w:ascii="Times New Roman"/>
        </w:rPr>
        <w:t>相关系数</w:t>
      </w:r>
      <w:r>
        <w:rPr>
          <w:rFonts w:hint="eastAsia" w:ascii="Times New Roman"/>
        </w:rPr>
        <w:t>宜大</w:t>
      </w:r>
      <w:r>
        <w:rPr>
          <w:rFonts w:ascii="Times New Roman"/>
        </w:rPr>
        <w:t>于0.</w:t>
      </w:r>
      <w:r>
        <w:rPr>
          <w:rFonts w:hint="eastAsia" w:ascii="Times New Roman"/>
        </w:rPr>
        <w:t>7。</w:t>
      </w:r>
    </w:p>
    <w:p w14:paraId="6B6E8B5C">
      <w:pPr>
        <w:pStyle w:val="27"/>
        <w:spacing w:after="0" w:line="240" w:lineRule="auto"/>
        <w:rPr>
          <w:rFonts w:ascii="Times New Roman"/>
        </w:rPr>
      </w:pPr>
    </w:p>
    <w:p w14:paraId="0AE54A47">
      <w:pPr>
        <w:pStyle w:val="27"/>
        <w:autoSpaceDE/>
        <w:autoSpaceDN/>
        <w:spacing w:before="157" w:beforeLines="50" w:after="157" w:afterLines="50" w:line="240" w:lineRule="auto"/>
        <w:ind w:firstLine="0" w:firstLineChars="0"/>
        <w:rPr>
          <w:rFonts w:hint="eastAsia" w:ascii="Times New Roman" w:hAnsi="Times New Roman" w:eastAsia="黑体" w:cs="Times New Roman"/>
        </w:rPr>
      </w:pPr>
      <w:r>
        <w:rPr>
          <w:rFonts w:hint="eastAsia" w:ascii="Times New Roman" w:eastAsia="黑体"/>
        </w:rPr>
        <w:t>C</w:t>
      </w:r>
      <w:r>
        <w:rPr>
          <w:rFonts w:ascii="Times New Roman" w:eastAsia="黑体"/>
        </w:rPr>
        <w:t xml:space="preserve">.4 </w:t>
      </w:r>
      <w:r>
        <w:rPr>
          <w:rFonts w:hint="eastAsia" w:ascii="Times New Roman" w:eastAsia="黑体"/>
        </w:rPr>
        <w:t>平均</w:t>
      </w:r>
      <w:r>
        <w:rPr>
          <w:rFonts w:hint="eastAsia" w:ascii="Times New Roman" w:hAnsi="Times New Roman" w:eastAsia="黑体" w:cs="Times New Roman"/>
        </w:rPr>
        <w:t>绝对误差</w:t>
      </w:r>
      <w:r>
        <w:rPr>
          <w:rFonts w:hint="eastAsia" w:ascii="Times New Roman" w:eastAsia="黑体"/>
        </w:rPr>
        <w:t>mean absolute error</w:t>
      </w:r>
    </w:p>
    <w:p w14:paraId="195F3107">
      <w:pPr>
        <w:pStyle w:val="27"/>
        <w:spacing w:after="0" w:line="240" w:lineRule="auto"/>
        <w:rPr>
          <w:rFonts w:ascii="Times New Roman"/>
        </w:rPr>
      </w:pPr>
      <w:r>
        <w:rPr>
          <w:rFonts w:hint="eastAsia" w:ascii="Times New Roman"/>
        </w:rPr>
        <w:t>误差绝对值的平均，指测量值与真值或参考值之间的差值，表征测量结果偏离真值的实际大小，符号为MAE，由</w:t>
      </w:r>
      <w:r>
        <w:rPr>
          <w:rFonts w:hint="eastAsia" w:ascii="Times New Roman"/>
          <w:lang w:val="en-US" w:eastAsia="zh-CN"/>
        </w:rPr>
        <w:t>公</w:t>
      </w:r>
      <w:r>
        <w:rPr>
          <w:rFonts w:hint="eastAsia" w:ascii="Times New Roman"/>
        </w:rPr>
        <w:t>式（</w:t>
      </w:r>
      <w:r>
        <w:rPr>
          <w:rFonts w:hint="eastAsia" w:ascii="Times New Roman"/>
          <w:lang w:val="en-US" w:eastAsia="zh-CN"/>
        </w:rPr>
        <w:t>C</w:t>
      </w:r>
      <w:r>
        <w:rPr>
          <w:rFonts w:hint="eastAsia" w:ascii="Times New Roman"/>
        </w:rPr>
        <w:t>.3）表示</w:t>
      </w:r>
      <w:r>
        <w:rPr>
          <w:rFonts w:ascii="Times New Roman"/>
        </w:rPr>
        <w:t>：</w:t>
      </w:r>
    </w:p>
    <w:p w14:paraId="73E8ABF6">
      <w:pPr>
        <w:pStyle w:val="27"/>
        <w:spacing w:line="240" w:lineRule="auto"/>
        <w:jc w:val="right"/>
        <w:rPr>
          <w:rFonts w:ascii="Times New Roman"/>
        </w:rPr>
      </w:pPr>
      <m:oMath>
        <m:r>
          <m:rPr>
            <m:nor/>
          </m:rPr>
          <w:rPr>
            <w:rFonts w:hint="default" w:ascii="DejaVu Math TeX Gyre" w:hAnsi="DejaVu Math TeX Gyre" w:cs="Times New Roman"/>
            <w:i/>
            <w:szCs w:val="21"/>
          </w:rPr>
          <m:t>MAE</m:t>
        </m:r>
        <m:r>
          <m:rPr>
            <m:nor/>
            <m:sty m:val="p"/>
          </m:rPr>
          <w:rPr>
            <w:rFonts w:hint="default" w:ascii="DejaVu Math TeX Gyre" w:hAnsi="DejaVu Math TeX Gyre" w:cs="Times New Roman"/>
            <w:b w:val="0"/>
            <w:i w:val="0"/>
            <w:szCs w:val="21"/>
          </w:rPr>
          <m:t>=</m:t>
        </m:r>
        <m:f>
          <m:fPr>
            <m:ctrlPr>
              <w:rPr>
                <w:rFonts w:hint="default" w:ascii="DejaVu Math TeX Gyre" w:hAnsi="DejaVu Math TeX Gyre" w:cs="Times New Roman"/>
                <w:szCs w:val="21"/>
              </w:rPr>
            </m:ctrlPr>
          </m:fPr>
          <m:num>
            <m:nary>
              <m:naryPr>
                <m:chr m:val="∑"/>
                <m:limLoc m:val="undOvr"/>
                <m:ctrlPr>
                  <w:rPr>
                    <w:rFonts w:hint="default" w:ascii="DejaVu Math TeX Gyre" w:hAnsi="DejaVu Math TeX Gyre" w:cs="Times New Roman"/>
                    <w:i/>
                    <w:szCs w:val="21"/>
                  </w:rPr>
                </m:ctrlPr>
              </m:naryPr>
              <m:sub>
                <m:r>
                  <m:rPr>
                    <m:nor/>
                  </m:rPr>
                  <w:rPr>
                    <w:rFonts w:hint="default" w:ascii="DejaVu Math TeX Gyre" w:hAnsi="DejaVu Math TeX Gyre" w:cs="Times New Roman"/>
                    <w:i/>
                    <w:szCs w:val="21"/>
                  </w:rPr>
                  <m:t>i</m:t>
                </m:r>
                <m:r>
                  <m:rPr>
                    <m:nor/>
                    <m:sty m:val="p"/>
                  </m:rPr>
                  <w:rPr>
                    <w:rFonts w:hint="default" w:ascii="DejaVu Math TeX Gyre" w:hAnsi="DejaVu Math TeX Gyre" w:cs="Times New Roman"/>
                    <w:b w:val="0"/>
                    <w:i w:val="0"/>
                    <w:szCs w:val="21"/>
                  </w:rPr>
                  <m:t>=1</m:t>
                </m:r>
                <m:ctrlPr>
                  <w:rPr>
                    <w:rFonts w:hint="default" w:ascii="DejaVu Math TeX Gyre" w:hAnsi="DejaVu Math TeX Gyre" w:cs="Times New Roman"/>
                    <w:i/>
                    <w:szCs w:val="21"/>
                  </w:rPr>
                </m:ctrlPr>
              </m:sub>
              <m:sup>
                <m:r>
                  <m:rPr>
                    <m:nor/>
                  </m:rPr>
                  <w:rPr>
                    <w:rFonts w:hint="default" w:ascii="DejaVu Math TeX Gyre" w:hAnsi="DejaVu Math TeX Gyre" w:cs="Times New Roman"/>
                    <w:i/>
                    <w:szCs w:val="21"/>
                  </w:rPr>
                  <m:t>n</m:t>
                </m:r>
                <m:ctrlPr>
                  <w:rPr>
                    <w:rFonts w:hint="default" w:ascii="DejaVu Math TeX Gyre" w:hAnsi="DejaVu Math TeX Gyre" w:cs="Times New Roman"/>
                    <w:i/>
                    <w:szCs w:val="21"/>
                  </w:rPr>
                </m:ctrlPr>
              </m:sup>
              <m:e>
                <m:d>
                  <m:dPr>
                    <m:begChr m:val="|"/>
                    <m:endChr m:val="|"/>
                    <m:ctrlPr>
                      <w:rPr>
                        <w:rFonts w:hint="default" w:ascii="DejaVu Math TeX Gyre" w:hAnsi="DejaVu Math TeX Gyre" w:cs="Times New Roman"/>
                        <w:i/>
                        <w:szCs w:val="21"/>
                      </w:rPr>
                    </m:ctrlPr>
                  </m:dPr>
                  <m:e>
                    <m:sSub>
                      <m:sSubPr>
                        <m:ctrlPr>
                          <w:rPr>
                            <w:rFonts w:hint="default" w:ascii="DejaVu Math TeX Gyre" w:hAnsi="DejaVu Math TeX Gyre" w:cs="Times New Roman"/>
                            <w:i/>
                            <w:szCs w:val="21"/>
                          </w:rPr>
                        </m:ctrlPr>
                      </m:sSubPr>
                      <m:e>
                        <m:r>
                          <m:rPr>
                            <m:nor/>
                          </m:rPr>
                          <w:rPr>
                            <w:rFonts w:hint="default" w:ascii="DejaVu Math TeX Gyre" w:hAnsi="DejaVu Math TeX Gyre" w:cs="Times New Roman"/>
                            <w:i/>
                            <w:szCs w:val="21"/>
                          </w:rPr>
                          <m:t>e</m:t>
                        </m:r>
                        <m:ctrlPr>
                          <w:rPr>
                            <w:rFonts w:hint="default" w:ascii="DejaVu Math TeX Gyre" w:hAnsi="DejaVu Math TeX Gyre" w:cs="Times New Roman"/>
                            <w:i/>
                            <w:szCs w:val="21"/>
                          </w:rPr>
                        </m:ctrlPr>
                      </m:e>
                      <m:sub>
                        <m:r>
                          <m:rPr>
                            <m:nor/>
                          </m:rPr>
                          <w:rPr>
                            <w:rFonts w:hint="default" w:ascii="DejaVu Math TeX Gyre" w:hAnsi="DejaVu Math TeX Gyre" w:cs="Times New Roman"/>
                            <w:i/>
                            <w:szCs w:val="21"/>
                          </w:rPr>
                          <m:t>i</m:t>
                        </m:r>
                        <m:ctrlPr>
                          <w:rPr>
                            <w:rFonts w:hint="default" w:ascii="DejaVu Math TeX Gyre" w:hAnsi="DejaVu Math TeX Gyre" w:cs="Times New Roman"/>
                            <w:i/>
                            <w:szCs w:val="21"/>
                          </w:rPr>
                        </m:ctrlPr>
                      </m:sub>
                    </m:sSub>
                    <m:ctrlPr>
                      <w:rPr>
                        <w:rFonts w:hint="default" w:ascii="DejaVu Math TeX Gyre" w:hAnsi="DejaVu Math TeX Gyre" w:cs="Times New Roman"/>
                        <w:i/>
                        <w:szCs w:val="21"/>
                      </w:rPr>
                    </m:ctrlPr>
                  </m:e>
                </m:d>
                <m:ctrlPr>
                  <w:rPr>
                    <w:rFonts w:hint="default" w:ascii="DejaVu Math TeX Gyre" w:hAnsi="DejaVu Math TeX Gyre" w:cs="Times New Roman"/>
                    <w:i/>
                    <w:szCs w:val="21"/>
                  </w:rPr>
                </m:ctrlPr>
              </m:e>
            </m:nary>
            <m:ctrlPr>
              <w:rPr>
                <w:rFonts w:hint="default" w:ascii="DejaVu Math TeX Gyre" w:hAnsi="DejaVu Math TeX Gyre" w:cs="Times New Roman"/>
                <w:szCs w:val="21"/>
              </w:rPr>
            </m:ctrlPr>
          </m:num>
          <m:den>
            <m:r>
              <m:rPr>
                <m:nor/>
              </m:rPr>
              <w:rPr>
                <w:rFonts w:hint="default" w:ascii="DejaVu Math TeX Gyre" w:hAnsi="DejaVu Math TeX Gyre" w:cs="Times New Roman"/>
                <w:i/>
                <w:szCs w:val="21"/>
              </w:rPr>
              <m:t>n</m:t>
            </m:r>
            <m:ctrlPr>
              <w:rPr>
                <w:rFonts w:hint="default" w:ascii="DejaVu Math TeX Gyre" w:hAnsi="DejaVu Math TeX Gyre" w:cs="Times New Roman"/>
                <w:szCs w:val="21"/>
              </w:rPr>
            </m:ctrlPr>
          </m:den>
        </m:f>
      </m:oMath>
      <w:r>
        <w:rPr>
          <w:rFonts w:ascii="Times New Roman"/>
        </w:rPr>
        <w:t xml:space="preserve"> </w:t>
      </w:r>
      <w:r>
        <w:rPr>
          <w:rFonts w:hint="eastAsia" w:ascii="Times New Roman"/>
        </w:rPr>
        <w:t xml:space="preserve">   </w:t>
      </w:r>
      <w:r>
        <w:rPr>
          <w:rFonts w:ascii="Times New Roman"/>
        </w:rPr>
        <w:t xml:space="preserve">              ………………（</w:t>
      </w:r>
      <w:r>
        <w:rPr>
          <w:rFonts w:hint="eastAsia" w:ascii="Times New Roman"/>
        </w:rPr>
        <w:t>C</w:t>
      </w:r>
      <w:r>
        <w:rPr>
          <w:rFonts w:ascii="Times New Roman"/>
        </w:rPr>
        <w:t>.</w:t>
      </w:r>
      <w:r>
        <w:rPr>
          <w:rFonts w:hint="eastAsia" w:ascii="Times New Roman"/>
        </w:rPr>
        <w:t>3</w:t>
      </w:r>
      <w:r>
        <w:rPr>
          <w:rFonts w:ascii="Times New Roman"/>
        </w:rPr>
        <w:t>）</w:t>
      </w:r>
    </w:p>
    <w:p w14:paraId="4019F514">
      <w:pPr>
        <w:pStyle w:val="27"/>
        <w:spacing w:after="0" w:line="240" w:lineRule="auto"/>
        <w:rPr>
          <w:rFonts w:ascii="Times New Roman"/>
        </w:rPr>
      </w:pPr>
      <w:r>
        <w:rPr>
          <w:rFonts w:ascii="Times New Roman"/>
        </w:rPr>
        <w:t>式中：</w:t>
      </w:r>
    </w:p>
    <w:p w14:paraId="3EDBCBB8">
      <w:pPr>
        <w:pStyle w:val="27"/>
        <w:spacing w:after="0" w:line="240" w:lineRule="auto"/>
        <w:rPr>
          <w:rFonts w:ascii="Times New Roman"/>
        </w:rPr>
      </w:pPr>
      <w:r>
        <w:rPr>
          <w:rFonts w:hint="eastAsia" w:ascii="Times New Roman"/>
        </w:rPr>
        <w:t>e</w:t>
      </w:r>
      <w:r>
        <w:rPr>
          <w:rFonts w:hint="eastAsia" w:ascii="Times New Roman"/>
          <w:vertAlign w:val="subscript"/>
        </w:rPr>
        <w:t>i</w:t>
      </w:r>
      <w:r>
        <w:rPr>
          <w:rFonts w:hint="eastAsia" w:ascii="Times New Roman"/>
        </w:rPr>
        <w:t xml:space="preserve">  </w:t>
      </w:r>
      <w:r>
        <w:rPr>
          <w:rFonts w:ascii="Times New Roman"/>
        </w:rPr>
        <w:t>——</w:t>
      </w:r>
      <w:r>
        <w:rPr>
          <w:rFonts w:hint="eastAsia" w:ascii="Times New Roman"/>
        </w:rPr>
        <w:t>绝对误差；</w:t>
      </w:r>
    </w:p>
    <w:p w14:paraId="11232850">
      <w:pPr>
        <w:pStyle w:val="27"/>
        <w:spacing w:after="0" w:line="240" w:lineRule="auto"/>
        <w:rPr>
          <w:rFonts w:ascii="Times New Roman"/>
        </w:rPr>
      </w:pPr>
      <w:r>
        <w:rPr>
          <w:rFonts w:hint="eastAsia" w:ascii="Times New Roman"/>
        </w:rPr>
        <w:t xml:space="preserve">n  </w:t>
      </w:r>
      <w:r>
        <w:rPr>
          <w:rFonts w:ascii="Times New Roman"/>
        </w:rPr>
        <w:t>——</w:t>
      </w:r>
      <w:r>
        <w:rPr>
          <w:rFonts w:hint="eastAsia" w:ascii="Times New Roman"/>
        </w:rPr>
        <w:t>为样本量</w:t>
      </w:r>
      <w:r>
        <w:rPr>
          <w:rFonts w:hint="eastAsia" w:ascii="Times New Roman" w:eastAsiaTheme="minorEastAsia"/>
          <w:iCs/>
        </w:rPr>
        <w:t>（</w:t>
      </w:r>
      <m:oMath>
        <m:r>
          <m:rPr>
            <m:nor/>
          </m:rPr>
          <w:rPr>
            <w:rFonts w:ascii="Times New Roman" w:eastAsiaTheme="minorEastAsia"/>
            <w:i/>
          </w:rPr>
          <m:t>n</m:t>
        </m:r>
      </m:oMath>
      <w:r>
        <w:rPr>
          <w:rFonts w:hint="eastAsia" w:hAnsi="宋体" w:cs="宋体"/>
          <w:sz w:val="24"/>
          <w:szCs w:val="24"/>
        </w:rPr>
        <w:t>≧</w:t>
      </w:r>
      <w:r>
        <w:rPr>
          <w:rFonts w:ascii="Times New Roman" w:eastAsia="仿宋"/>
          <w:sz w:val="24"/>
          <w:szCs w:val="24"/>
        </w:rPr>
        <w:t>30</w:t>
      </w:r>
      <w:r>
        <w:rPr>
          <w:rFonts w:hint="eastAsia" w:ascii="Times New Roman" w:eastAsiaTheme="minorEastAsia"/>
          <w:iCs/>
        </w:rPr>
        <w:t>）</w:t>
      </w:r>
      <w:r>
        <w:rPr>
          <w:rFonts w:hint="eastAsia" w:ascii="Times New Roman"/>
        </w:rPr>
        <w:t>。</w:t>
      </w:r>
    </w:p>
    <w:p w14:paraId="0CCE5012">
      <w:pPr>
        <w:pStyle w:val="27"/>
        <w:spacing w:after="0" w:line="240" w:lineRule="auto"/>
        <w:rPr>
          <w:rFonts w:ascii="Times New Roman"/>
        </w:rPr>
      </w:pPr>
      <w:r>
        <w:rPr>
          <w:rFonts w:ascii="Times New Roman"/>
        </w:rPr>
        <w:t>XCO</w:t>
      </w:r>
      <w:r>
        <w:rPr>
          <w:rFonts w:ascii="Times New Roman"/>
          <w:vertAlign w:val="subscript"/>
        </w:rPr>
        <w:t>2</w:t>
      </w:r>
      <w:r>
        <w:rPr>
          <w:rFonts w:ascii="Times New Roman"/>
        </w:rPr>
        <w:t>平均绝对误差</w:t>
      </w:r>
      <w:r>
        <w:rPr>
          <w:rFonts w:hint="eastAsia" w:ascii="Times New Roman"/>
        </w:rPr>
        <w:t>宜小</w:t>
      </w:r>
      <w:r>
        <w:rPr>
          <w:rFonts w:ascii="Times New Roman"/>
        </w:rPr>
        <w:t>于</w:t>
      </w:r>
      <w:r>
        <w:rPr>
          <w:rFonts w:hint="eastAsia" w:ascii="Times New Roman"/>
        </w:rPr>
        <w:t xml:space="preserve">2 </w:t>
      </w:r>
      <w:r>
        <w:rPr>
          <w:rFonts w:ascii="Times New Roman"/>
        </w:rPr>
        <w:t>ppm、XCH</w:t>
      </w:r>
      <w:r>
        <w:rPr>
          <w:rFonts w:ascii="Times New Roman"/>
          <w:vertAlign w:val="subscript"/>
        </w:rPr>
        <w:t>4</w:t>
      </w:r>
      <w:r>
        <w:rPr>
          <w:rFonts w:ascii="Times New Roman"/>
        </w:rPr>
        <w:t>平均绝对误差</w:t>
      </w:r>
      <w:r>
        <w:rPr>
          <w:rFonts w:hint="eastAsia" w:ascii="Times New Roman"/>
        </w:rPr>
        <w:t>宜小</w:t>
      </w:r>
      <w:r>
        <w:rPr>
          <w:rFonts w:ascii="Times New Roman"/>
        </w:rPr>
        <w:t>于</w:t>
      </w:r>
      <w:r>
        <w:rPr>
          <w:rFonts w:hint="eastAsia" w:ascii="Times New Roman"/>
        </w:rPr>
        <w:t xml:space="preserve">15 </w:t>
      </w:r>
      <w:r>
        <w:rPr>
          <w:rFonts w:ascii="Times New Roman"/>
        </w:rPr>
        <w:t>ppb</w:t>
      </w:r>
      <w:r>
        <w:rPr>
          <w:rFonts w:hint="eastAsia" w:ascii="Times New Roman"/>
        </w:rPr>
        <w:t>。</w:t>
      </w:r>
    </w:p>
    <w:p w14:paraId="61E26F32">
      <w:pPr>
        <w:pStyle w:val="27"/>
        <w:spacing w:line="360" w:lineRule="auto"/>
        <w:rPr>
          <w:rFonts w:hint="eastAsia" w:asciiTheme="minorEastAsia" w:hAnsiTheme="minorEastAsia" w:eastAsiaTheme="minorEastAsia" w:cstheme="minorEastAsia"/>
        </w:rPr>
      </w:pPr>
    </w:p>
    <w:p w14:paraId="46D0B4E5">
      <w:r>
        <w:br w:type="page"/>
      </w:r>
    </w:p>
    <w:bookmarkEnd w:id="206"/>
    <w:p w14:paraId="4FB885F7">
      <w:pPr>
        <w:pStyle w:val="89"/>
        <w:numPr>
          <w:ilvl w:val="255"/>
          <w:numId w:val="0"/>
        </w:numPr>
        <w:spacing w:before="313" w:beforeLines="100" w:after="313" w:afterLines="100" w:line="240" w:lineRule="auto"/>
        <w:rPr>
          <w:rFonts w:ascii="Times New Roman"/>
        </w:rPr>
      </w:pPr>
      <w:bookmarkStart w:id="219" w:name="_Toc31015"/>
      <w:bookmarkStart w:id="220" w:name="_Toc31631"/>
      <w:bookmarkStart w:id="221" w:name="_Toc31829"/>
      <w:bookmarkStart w:id="222" w:name="_Toc31293"/>
      <w:bookmarkStart w:id="223" w:name="_Toc177678544"/>
      <w:bookmarkStart w:id="224" w:name="_Toc20685"/>
      <w:bookmarkStart w:id="225" w:name="_Toc178171728"/>
      <w:r>
        <w:rPr>
          <w:rFonts w:ascii="Times New Roman"/>
        </w:rPr>
        <w:t>附录</w:t>
      </w:r>
      <w:bookmarkEnd w:id="219"/>
      <w:bookmarkEnd w:id="220"/>
      <w:r>
        <w:rPr>
          <w:rFonts w:hint="eastAsia" w:ascii="Times New Roman"/>
        </w:rPr>
        <w:t>D</w:t>
      </w:r>
      <w:bookmarkEnd w:id="221"/>
      <w:bookmarkEnd w:id="222"/>
    </w:p>
    <w:p w14:paraId="74F82739">
      <w:pPr>
        <w:pStyle w:val="11"/>
        <w:spacing w:before="157" w:beforeLines="50" w:after="157" w:afterLines="50" w:line="240" w:lineRule="auto"/>
        <w:jc w:val="center"/>
      </w:pPr>
      <w:r>
        <w:rPr>
          <w:rFonts w:ascii="黑体"/>
        </w:rPr>
        <w:t>（</w:t>
      </w:r>
      <w:r>
        <w:rPr>
          <w:rFonts w:hint="eastAsia" w:ascii="黑体"/>
        </w:rPr>
        <w:t>资料</w:t>
      </w:r>
      <w:r>
        <w:rPr>
          <w:rFonts w:ascii="黑体"/>
        </w:rPr>
        <w:t>性）</w:t>
      </w:r>
    </w:p>
    <w:p w14:paraId="6F05B562">
      <w:pPr>
        <w:tabs>
          <w:tab w:val="left" w:pos="360"/>
          <w:tab w:val="left" w:pos="6405"/>
        </w:tabs>
        <w:spacing w:before="157" w:beforeLines="50" w:after="157" w:afterLines="50" w:line="240" w:lineRule="auto"/>
        <w:jc w:val="center"/>
        <w:rPr>
          <w:rFonts w:hint="eastAsia" w:ascii="黑体" w:eastAsia="黑体"/>
        </w:rPr>
      </w:pPr>
      <w:r>
        <w:rPr>
          <w:rFonts w:hint="eastAsia" w:ascii="黑体" w:eastAsia="黑体"/>
        </w:rPr>
        <w:t>不确定度评价指标及计算方法</w:t>
      </w:r>
    </w:p>
    <w:p w14:paraId="60275A0A">
      <w:pPr>
        <w:tabs>
          <w:tab w:val="left" w:pos="360"/>
          <w:tab w:val="left" w:pos="6405"/>
        </w:tabs>
        <w:spacing w:before="157" w:beforeLines="50" w:after="157" w:afterLines="50" w:line="240" w:lineRule="auto"/>
        <w:jc w:val="center"/>
        <w:rPr>
          <w:rFonts w:hint="eastAsia" w:ascii="黑体" w:eastAsia="黑体"/>
        </w:rPr>
      </w:pPr>
    </w:p>
    <w:bookmarkEnd w:id="223"/>
    <w:bookmarkEnd w:id="224"/>
    <w:bookmarkEnd w:id="225"/>
    <w:p w14:paraId="490C5E39">
      <w:pPr>
        <w:pStyle w:val="27"/>
        <w:spacing w:before="157" w:beforeLines="50" w:after="157" w:afterLines="50" w:line="240" w:lineRule="auto"/>
        <w:ind w:firstLine="0" w:firstLineChars="0"/>
        <w:rPr>
          <w:rFonts w:ascii="Times New Roman" w:eastAsia="黑体"/>
        </w:rPr>
      </w:pPr>
      <w:r>
        <w:rPr>
          <w:rFonts w:hint="eastAsia" w:ascii="Times New Roman" w:eastAsia="黑体"/>
        </w:rPr>
        <w:t>D</w:t>
      </w:r>
      <w:r>
        <w:rPr>
          <w:rFonts w:ascii="Times New Roman" w:eastAsia="黑体"/>
        </w:rPr>
        <w:t xml:space="preserve">.1 </w:t>
      </w:r>
      <w:r>
        <w:rPr>
          <w:rFonts w:hint="eastAsia" w:ascii="Times New Roman" w:eastAsia="黑体"/>
        </w:rPr>
        <w:t>评价指标</w:t>
      </w:r>
      <w:r>
        <w:rPr>
          <w:rFonts w:ascii="Times New Roman" w:eastAsia="黑体"/>
        </w:rPr>
        <w:t xml:space="preserve"> </w:t>
      </w:r>
    </w:p>
    <w:p w14:paraId="7A8780A7">
      <w:pPr>
        <w:pStyle w:val="27"/>
        <w:spacing w:after="0" w:line="240" w:lineRule="auto"/>
        <w:rPr>
          <w:rFonts w:ascii="Times New Roman"/>
        </w:rPr>
      </w:pPr>
      <w:r>
        <w:rPr>
          <w:rFonts w:ascii="Times New Roman"/>
        </w:rPr>
        <w:t>不确定度评价指标应符合GB/T 36296</w:t>
      </w:r>
      <w:r>
        <w:rPr>
          <w:rFonts w:hint="eastAsia" w:ascii="Times New Roman"/>
          <w:lang w:val="en-US" w:eastAsia="zh-CN"/>
        </w:rPr>
        <w:t>-</w:t>
      </w:r>
      <w:r>
        <w:rPr>
          <w:rFonts w:hint="eastAsia" w:ascii="Times New Roman"/>
        </w:rPr>
        <w:t>2018</w:t>
      </w:r>
      <w:r>
        <w:rPr>
          <w:rFonts w:ascii="Times New Roman"/>
        </w:rPr>
        <w:t>中6.2中推荐指标，包括：标准差、方差、协方差、标准不确定度、不确定度的A类评定、不确定度的B类评定、合成标准不确定度以及扩展不确定度</w:t>
      </w:r>
      <w:r>
        <w:rPr>
          <w:rFonts w:hint="eastAsia" w:ascii="Times New Roman"/>
        </w:rPr>
        <w:t>等</w:t>
      </w:r>
      <w:r>
        <w:rPr>
          <w:rFonts w:ascii="Times New Roman"/>
        </w:rPr>
        <w:t>。本文件选取标准差，计算方法如</w:t>
      </w:r>
      <w:r>
        <w:rPr>
          <w:rFonts w:hint="eastAsia" w:ascii="Times New Roman"/>
        </w:rPr>
        <w:t>公式</w:t>
      </w:r>
      <w:r>
        <w:rPr>
          <w:rFonts w:hint="eastAsia" w:ascii="Times New Roman"/>
          <w:lang w:val="en-US" w:eastAsia="zh-CN"/>
        </w:rPr>
        <w:t>D</w:t>
      </w:r>
      <w:r>
        <w:rPr>
          <w:rFonts w:hint="eastAsia" w:ascii="Times New Roman"/>
        </w:rPr>
        <w:t>.1</w:t>
      </w:r>
      <w:r>
        <w:rPr>
          <w:rFonts w:ascii="Times New Roman"/>
        </w:rPr>
        <w:t>所示。</w:t>
      </w:r>
    </w:p>
    <w:p w14:paraId="3B5F7F9A">
      <w:pPr>
        <w:pStyle w:val="27"/>
        <w:autoSpaceDE/>
        <w:autoSpaceDN/>
        <w:spacing w:before="157" w:beforeLines="50" w:after="157" w:afterLines="50" w:line="240" w:lineRule="auto"/>
        <w:ind w:firstLine="0" w:firstLineChars="0"/>
        <w:rPr>
          <w:rFonts w:hint="eastAsia" w:ascii="Times New Roman" w:hAnsi="Times New Roman" w:eastAsia="黑体" w:cs="Times New Roman"/>
        </w:rPr>
      </w:pPr>
      <w:r>
        <w:rPr>
          <w:rFonts w:hint="eastAsia" w:ascii="Times New Roman" w:eastAsia="黑体"/>
        </w:rPr>
        <w:t>D</w:t>
      </w:r>
      <w:r>
        <w:rPr>
          <w:rFonts w:ascii="Times New Roman" w:eastAsia="黑体"/>
        </w:rPr>
        <w:t xml:space="preserve">.2 </w:t>
      </w:r>
      <w:r>
        <w:rPr>
          <w:rFonts w:hint="eastAsia" w:ascii="Times New Roman" w:hAnsi="Times New Roman" w:eastAsia="黑体" w:cs="Times New Roman"/>
        </w:rPr>
        <w:t xml:space="preserve">标准差 </w:t>
      </w:r>
      <w:r>
        <w:rPr>
          <w:rFonts w:hint="eastAsia" w:ascii="Times New Roman" w:eastAsia="黑体"/>
        </w:rPr>
        <w:t>standard deviation</w:t>
      </w:r>
    </w:p>
    <w:p w14:paraId="59AF1760">
      <w:pPr>
        <w:pStyle w:val="27"/>
        <w:spacing w:after="0" w:line="240" w:lineRule="auto"/>
        <w:rPr>
          <w:rFonts w:ascii="Times New Roman"/>
        </w:rPr>
      </w:pPr>
      <w:r>
        <w:rPr>
          <w:rFonts w:hint="eastAsia" w:ascii="Times New Roman"/>
        </w:rPr>
        <w:t>对同一被测量对象作n次测量，表征测量结果分散性的量，符号为SD，由式（D.1）表示</w:t>
      </w:r>
      <w:r>
        <w:rPr>
          <w:rFonts w:ascii="Times New Roman"/>
        </w:rPr>
        <w:t>：</w:t>
      </w:r>
    </w:p>
    <w:p w14:paraId="3B17FBEC">
      <w:pPr>
        <w:pStyle w:val="27"/>
        <w:autoSpaceDE/>
        <w:autoSpaceDN/>
        <w:spacing w:line="240" w:lineRule="auto"/>
        <w:jc w:val="right"/>
        <w:rPr>
          <w:rFonts w:ascii="Times New Roman"/>
        </w:rPr>
      </w:pPr>
      <m:oMath>
        <m:r>
          <m:rPr>
            <m:nor/>
            <m:sty m:val="p"/>
          </m:rPr>
          <w:rPr>
            <w:rFonts w:hint="default" w:ascii="DejaVu Math TeX Gyre" w:hAnsi="DejaVu Math TeX Gyre" w:eastAsiaTheme="minorEastAsia"/>
            <w:b w:val="0"/>
            <w:i w:val="0"/>
            <w:szCs w:val="21"/>
          </w:rPr>
          <m:t>SD</m:t>
        </m:r>
        <m:r>
          <m:rPr>
            <m:nor/>
            <m:sty m:val="p"/>
          </m:rPr>
          <w:rPr>
            <w:rFonts w:ascii="DejaVu Math TeX Gyre" w:hAnsi="DejaVu Math TeX Gyre" w:eastAsia="Cambria Math"/>
            <w:b w:val="0"/>
            <w:i w:val="0"/>
            <w:szCs w:val="21"/>
          </w:rPr>
          <m:t>=</m:t>
        </m:r>
        <m:rad>
          <m:radPr>
            <m:degHide m:val="1"/>
            <m:ctrlPr>
              <w:rPr>
                <w:rFonts w:ascii="DejaVu Math TeX Gyre" w:hAnsi="DejaVu Math TeX Gyre" w:eastAsia="Cambria Math"/>
                <w:szCs w:val="21"/>
              </w:rPr>
            </m:ctrlPr>
          </m:radPr>
          <m:deg>
            <m:ctrlPr>
              <w:rPr>
                <w:rFonts w:ascii="DejaVu Math TeX Gyre" w:hAnsi="DejaVu Math TeX Gyre" w:eastAsia="Cambria Math"/>
                <w:szCs w:val="21"/>
              </w:rPr>
            </m:ctrlPr>
          </m:deg>
          <m:e>
            <m:f>
              <m:fPr>
                <m:ctrlPr>
                  <w:rPr>
                    <w:rFonts w:ascii="DejaVu Math TeX Gyre" w:hAnsi="DejaVu Math TeX Gyre" w:eastAsia="Cambria Math"/>
                    <w:szCs w:val="21"/>
                  </w:rPr>
                </m:ctrlPr>
              </m:fPr>
              <m:num>
                <m:nary>
                  <m:naryPr>
                    <m:chr m:val="∑"/>
                    <m:limLoc m:val="undOvr"/>
                    <m:ctrlPr>
                      <w:rPr>
                        <w:rFonts w:ascii="DejaVu Math TeX Gyre" w:hAnsi="DejaVu Math TeX Gyre" w:eastAsia="Cambria Math"/>
                        <w:szCs w:val="21"/>
                      </w:rPr>
                    </m:ctrlPr>
                  </m:naryPr>
                  <m:sub>
                    <m:r>
                      <m:rPr>
                        <m:nor/>
                        <m:sty m:val="p"/>
                      </m:rPr>
                      <w:rPr>
                        <w:rFonts w:hint="default" w:ascii="DejaVu Math TeX Gyre" w:hAnsi="DejaVu Math TeX Gyre"/>
                        <w:b w:val="0"/>
                        <w:i w:val="0"/>
                        <w:szCs w:val="21"/>
                      </w:rPr>
                      <m:t>i</m:t>
                    </m:r>
                    <m:r>
                      <m:rPr>
                        <m:nor/>
                        <m:sty m:val="p"/>
                      </m:rPr>
                      <w:rPr>
                        <w:rFonts w:ascii="DejaVu Math TeX Gyre" w:hAnsi="DejaVu Math TeX Gyre"/>
                        <w:b w:val="0"/>
                        <w:i w:val="0"/>
                        <w:szCs w:val="21"/>
                      </w:rPr>
                      <m:t>=1</m:t>
                    </m:r>
                    <m:ctrlPr>
                      <w:rPr>
                        <w:rFonts w:ascii="DejaVu Math TeX Gyre" w:hAnsi="DejaVu Math TeX Gyre" w:eastAsia="Cambria Math"/>
                        <w:szCs w:val="21"/>
                      </w:rPr>
                    </m:ctrlPr>
                  </m:sub>
                  <m:sup>
                    <m:r>
                      <m:rPr>
                        <m:nor/>
                        <m:sty m:val="p"/>
                      </m:rPr>
                      <w:rPr>
                        <w:rFonts w:hint="default" w:ascii="DejaVu Math TeX Gyre" w:hAnsi="DejaVu Math TeX Gyre"/>
                        <w:b w:val="0"/>
                        <w:i w:val="0"/>
                        <w:szCs w:val="21"/>
                      </w:rPr>
                      <m:t>n</m:t>
                    </m:r>
                    <m:ctrlPr>
                      <w:rPr>
                        <w:rFonts w:ascii="DejaVu Math TeX Gyre" w:hAnsi="DejaVu Math TeX Gyre" w:eastAsia="Cambria Math"/>
                        <w:szCs w:val="21"/>
                      </w:rPr>
                    </m:ctrlPr>
                  </m:sup>
                  <m:e>
                    <m:r>
                      <m:rPr>
                        <m:nor/>
                        <m:sty m:val="p"/>
                      </m:rPr>
                      <w:rPr>
                        <w:rFonts w:ascii="DejaVu Math TeX Gyre" w:hAnsi="DejaVu Math TeX Gyre"/>
                        <w:b w:val="0"/>
                        <w:i w:val="0"/>
                        <w:szCs w:val="21"/>
                      </w:rPr>
                      <m:t xml:space="preserve"> </m:t>
                    </m:r>
                    <m:sSup>
                      <m:sSupPr>
                        <m:ctrlPr>
                          <w:rPr>
                            <w:rFonts w:ascii="DejaVu Math TeX Gyre" w:hAnsi="DejaVu Math TeX Gyre"/>
                            <w:szCs w:val="21"/>
                          </w:rPr>
                        </m:ctrlPr>
                      </m:sSupPr>
                      <m:e>
                        <m:r>
                          <m:rPr>
                            <m:nor/>
                            <m:sty m:val="p"/>
                          </m:rPr>
                          <w:rPr>
                            <w:rFonts w:hint="default" w:ascii="DejaVu Math TeX Gyre" w:hAnsi="DejaVu Math TeX Gyre"/>
                            <w:b w:val="0"/>
                            <w:i w:val="0"/>
                            <w:szCs w:val="21"/>
                          </w:rPr>
                          <m:t>（</m:t>
                        </m:r>
                        <m:sSub>
                          <m:sSubPr>
                            <m:ctrlPr>
                              <w:rPr>
                                <w:rFonts w:hint="default" w:ascii="DejaVu Math TeX Gyre" w:hAnsi="DejaVu Math TeX Gyre"/>
                                <w:szCs w:val="21"/>
                              </w:rPr>
                            </m:ctrlPr>
                          </m:sSubPr>
                          <m:e>
                            <m:r>
                              <m:rPr>
                                <m:nor/>
                                <m:sty m:val="p"/>
                              </m:rPr>
                              <w:rPr>
                                <w:rFonts w:hint="default" w:ascii="DejaVu Math TeX Gyre" w:hAnsi="DejaVu Math TeX Gyre"/>
                                <w:b w:val="0"/>
                                <w:i w:val="0"/>
                                <w:szCs w:val="21"/>
                              </w:rPr>
                              <m:t>x</m:t>
                            </m:r>
                            <m:ctrlPr>
                              <w:rPr>
                                <w:rFonts w:hint="default" w:ascii="DejaVu Math TeX Gyre" w:hAnsi="DejaVu Math TeX Gyre"/>
                                <w:szCs w:val="21"/>
                              </w:rPr>
                            </m:ctrlPr>
                          </m:e>
                          <m:sub>
                            <m:r>
                              <m:rPr>
                                <m:nor/>
                                <m:sty m:val="p"/>
                              </m:rPr>
                              <w:rPr>
                                <w:rFonts w:hint="default" w:ascii="DejaVu Math TeX Gyre" w:hAnsi="DejaVu Math TeX Gyre"/>
                                <w:b w:val="0"/>
                                <w:i w:val="0"/>
                                <w:szCs w:val="21"/>
                              </w:rPr>
                              <m:t>i</m:t>
                            </m:r>
                            <m:ctrlPr>
                              <w:rPr>
                                <w:rFonts w:hint="default" w:ascii="DejaVu Math TeX Gyre" w:hAnsi="DejaVu Math TeX Gyre"/>
                                <w:szCs w:val="21"/>
                              </w:rPr>
                            </m:ctrlPr>
                          </m:sub>
                        </m:sSub>
                        <m:r>
                          <m:rPr>
                            <m:nor/>
                            <m:sty m:val="p"/>
                          </m:rPr>
                          <w:rPr>
                            <w:rFonts w:ascii="DejaVu Math TeX Gyre" w:hAnsi="DejaVu Math TeX Gyre"/>
                            <w:b w:val="0"/>
                            <w:i w:val="0"/>
                            <w:szCs w:val="21"/>
                          </w:rPr>
                          <m:t>−</m:t>
                        </m:r>
                        <m:bar>
                          <m:barPr>
                            <m:pos m:val="top"/>
                            <m:ctrlPr>
                              <w:rPr>
                                <w:rFonts w:ascii="DejaVu Math TeX Gyre" w:hAnsi="DejaVu Math TeX Gyre"/>
                                <w:szCs w:val="21"/>
                              </w:rPr>
                            </m:ctrlPr>
                          </m:barPr>
                          <m:e>
                            <m:r>
                              <m:rPr>
                                <m:nor/>
                                <m:sty m:val="p"/>
                              </m:rPr>
                              <w:rPr>
                                <w:rFonts w:hint="default" w:ascii="DejaVu Math TeX Gyre" w:hAnsi="DejaVu Math TeX Gyre"/>
                                <w:b w:val="0"/>
                                <w:i w:val="0"/>
                                <w:szCs w:val="21"/>
                              </w:rPr>
                              <m:t>x</m:t>
                            </m:r>
                            <m:ctrlPr>
                              <w:rPr>
                                <w:rFonts w:ascii="DejaVu Math TeX Gyre" w:hAnsi="DejaVu Math TeX Gyre"/>
                                <w:szCs w:val="21"/>
                              </w:rPr>
                            </m:ctrlPr>
                          </m:e>
                        </m:bar>
                        <m:r>
                          <m:rPr>
                            <m:nor/>
                            <m:sty m:val="p"/>
                          </m:rPr>
                          <w:rPr>
                            <w:rFonts w:hint="default" w:ascii="DejaVu Math TeX Gyre" w:hAnsi="DejaVu Math TeX Gyre"/>
                            <w:b w:val="0"/>
                            <w:i w:val="0"/>
                            <w:szCs w:val="21"/>
                          </w:rPr>
                          <m:t>）</m:t>
                        </m:r>
                        <m:ctrlPr>
                          <w:rPr>
                            <w:rFonts w:ascii="DejaVu Math TeX Gyre" w:hAnsi="DejaVu Math TeX Gyre"/>
                            <w:szCs w:val="21"/>
                          </w:rPr>
                        </m:ctrlPr>
                      </m:e>
                      <m:sup>
                        <m:r>
                          <m:rPr>
                            <m:nor/>
                            <m:sty m:val="p"/>
                          </m:rPr>
                          <w:rPr>
                            <w:rFonts w:ascii="DejaVu Math TeX Gyre" w:hAnsi="DejaVu Math TeX Gyre"/>
                            <w:b w:val="0"/>
                            <w:i w:val="0"/>
                            <w:szCs w:val="21"/>
                          </w:rPr>
                          <m:t>2</m:t>
                        </m:r>
                        <m:ctrlPr>
                          <w:rPr>
                            <w:rFonts w:ascii="DejaVu Math TeX Gyre" w:hAnsi="DejaVu Math TeX Gyre"/>
                            <w:szCs w:val="21"/>
                          </w:rPr>
                        </m:ctrlPr>
                      </m:sup>
                    </m:sSup>
                    <m:ctrlPr>
                      <w:rPr>
                        <w:rFonts w:ascii="DejaVu Math TeX Gyre" w:hAnsi="DejaVu Math TeX Gyre" w:eastAsia="Cambria Math"/>
                        <w:szCs w:val="21"/>
                      </w:rPr>
                    </m:ctrlPr>
                  </m:e>
                </m:nary>
                <m:ctrlPr>
                  <w:rPr>
                    <w:rFonts w:ascii="DejaVu Math TeX Gyre" w:hAnsi="DejaVu Math TeX Gyre" w:eastAsia="Cambria Math"/>
                    <w:szCs w:val="21"/>
                  </w:rPr>
                </m:ctrlPr>
              </m:num>
              <m:den>
                <m:r>
                  <m:rPr>
                    <m:nor/>
                    <m:sty m:val="p"/>
                  </m:rPr>
                  <w:rPr>
                    <w:rFonts w:ascii="DejaVu Math TeX Gyre" w:hAnsi="DejaVu Math TeX Gyre"/>
                    <w:b w:val="0"/>
                    <w:i w:val="0"/>
                    <w:szCs w:val="21"/>
                  </w:rPr>
                  <m:t>n−1</m:t>
                </m:r>
                <m:ctrlPr>
                  <w:rPr>
                    <w:rFonts w:ascii="DejaVu Math TeX Gyre" w:hAnsi="DejaVu Math TeX Gyre" w:eastAsia="Cambria Math"/>
                    <w:szCs w:val="21"/>
                  </w:rPr>
                </m:ctrlPr>
              </m:den>
            </m:f>
            <m:ctrlPr>
              <w:rPr>
                <w:rFonts w:ascii="DejaVu Math TeX Gyre" w:hAnsi="DejaVu Math TeX Gyre" w:eastAsia="Cambria Math"/>
                <w:szCs w:val="21"/>
              </w:rPr>
            </m:ctrlPr>
          </m:e>
        </m:rad>
      </m:oMath>
      <w:r>
        <w:rPr>
          <w:rFonts w:hint="eastAsia" w:hAnsi="DejaVu Math TeX Gyre" w:eastAsia="宋体"/>
          <w:i w:val="0"/>
          <w:szCs w:val="21"/>
          <w:lang w:val="en-US" w:eastAsia="zh-CN"/>
        </w:rPr>
        <w:tab/>
      </w:r>
      <w:r>
        <w:rPr>
          <w:rFonts w:hint="eastAsia" w:hAnsi="DejaVu Math TeX Gyre" w:eastAsia="宋体"/>
          <w:i w:val="0"/>
          <w:szCs w:val="21"/>
          <w:lang w:val="en-US" w:eastAsia="zh-CN"/>
        </w:rPr>
        <w:t xml:space="preserve">                          </w:t>
      </w:r>
      <w:r>
        <w:rPr>
          <w:rFonts w:ascii="Times New Roman"/>
        </w:rPr>
        <w:t>（</w:t>
      </w:r>
      <w:r>
        <w:rPr>
          <w:rFonts w:hint="eastAsia" w:ascii="Times New Roman"/>
        </w:rPr>
        <w:t>D</w:t>
      </w:r>
      <w:r>
        <w:rPr>
          <w:rFonts w:ascii="Times New Roman"/>
        </w:rPr>
        <w:t>.1）</w:t>
      </w:r>
    </w:p>
    <w:p w14:paraId="3F9C295F">
      <w:pPr>
        <w:pStyle w:val="27"/>
        <w:spacing w:after="0" w:line="240" w:lineRule="auto"/>
        <w:rPr>
          <w:rFonts w:ascii="Times New Roman"/>
        </w:rPr>
      </w:pPr>
      <w:r>
        <w:rPr>
          <w:rFonts w:ascii="Times New Roman"/>
        </w:rPr>
        <w:t>式中：</w:t>
      </w:r>
    </w:p>
    <w:p w14:paraId="64EBEA44">
      <w:pPr>
        <w:pStyle w:val="27"/>
        <w:spacing w:after="0" w:line="240" w:lineRule="auto"/>
        <w:rPr>
          <w:rFonts w:ascii="Times New Roman"/>
        </w:rPr>
      </w:pPr>
      <w:r>
        <w:rPr>
          <w:rFonts w:ascii="Times New Roman"/>
        </w:rPr>
        <w:t>SD——</w:t>
      </w:r>
      <w:r>
        <w:rPr>
          <w:rFonts w:hint="eastAsia" w:ascii="Times New Roman"/>
        </w:rPr>
        <w:t>标准差；</w:t>
      </w:r>
    </w:p>
    <w:p w14:paraId="49871ADA">
      <w:pPr>
        <w:pStyle w:val="27"/>
        <w:spacing w:after="0" w:line="240" w:lineRule="auto"/>
        <w:rPr>
          <w:rFonts w:ascii="Times New Roman"/>
        </w:rPr>
      </w:pPr>
      <w:r>
        <w:rPr>
          <w:rFonts w:ascii="Times New Roman"/>
        </w:rPr>
        <w:t>n  ——样本量</w:t>
      </w:r>
      <w:r>
        <w:rPr>
          <w:rFonts w:hint="eastAsia" w:ascii="Times New Roman" w:eastAsiaTheme="minorEastAsia"/>
          <w:iCs/>
        </w:rPr>
        <w:t>（</w:t>
      </w:r>
      <m:oMath>
        <m:r>
          <m:rPr>
            <m:nor/>
          </m:rPr>
          <w:rPr>
            <w:rFonts w:ascii="Times New Roman" w:eastAsiaTheme="minorEastAsia"/>
            <w:i/>
          </w:rPr>
          <m:t>n</m:t>
        </m:r>
      </m:oMath>
      <w:r>
        <w:rPr>
          <w:rFonts w:hint="eastAsia" w:hAnsi="宋体" w:cs="宋体"/>
          <w:sz w:val="24"/>
          <w:szCs w:val="24"/>
        </w:rPr>
        <w:t>≧</w:t>
      </w:r>
      <w:r>
        <w:rPr>
          <w:rFonts w:ascii="Times New Roman" w:eastAsia="仿宋"/>
          <w:sz w:val="24"/>
          <w:szCs w:val="24"/>
        </w:rPr>
        <w:t>30</w:t>
      </w:r>
      <w:r>
        <w:rPr>
          <w:rFonts w:hint="eastAsia" w:ascii="Times New Roman" w:eastAsiaTheme="minorEastAsia"/>
          <w:iCs/>
        </w:rPr>
        <w:t>）</w:t>
      </w:r>
      <w:r>
        <w:rPr>
          <w:rFonts w:hint="eastAsia" w:ascii="Times New Roman"/>
        </w:rPr>
        <w:t>；</w:t>
      </w:r>
    </w:p>
    <w:p w14:paraId="5F1E0977">
      <w:pPr>
        <w:pStyle w:val="27"/>
        <w:spacing w:after="0" w:line="240" w:lineRule="auto"/>
        <w:rPr>
          <w:rFonts w:ascii="Times New Roman"/>
        </w:rPr>
      </w:pPr>
      <m:oMath>
        <m:sSub>
          <m:sSubPr>
            <m:ctrlPr>
              <w:rPr>
                <w:rFonts w:hint="eastAsia" w:ascii="Cambria Math" w:hAnsi="Cambria Math" w:eastAsiaTheme="minorEastAsia" w:cstheme="minorEastAsia"/>
              </w:rPr>
            </m:ctrlPr>
          </m:sSubPr>
          <m:e>
            <m:r>
              <m:rPr>
                <m:sty m:val="p"/>
              </m:rPr>
              <w:rPr>
                <w:rFonts w:hint="eastAsia" w:ascii="Cambria Math" w:hAnsi="Cambria Math" w:eastAsiaTheme="minorEastAsia" w:cstheme="minorEastAsia"/>
              </w:rPr>
              <m:t>x</m:t>
            </m:r>
            <m:ctrlPr>
              <w:rPr>
                <w:rFonts w:hint="eastAsia" w:ascii="Cambria Math" w:hAnsi="Cambria Math" w:eastAsiaTheme="minorEastAsia" w:cstheme="minorEastAsia"/>
              </w:rPr>
            </m:ctrlPr>
          </m:e>
          <m:sub>
            <m:r>
              <m:rPr>
                <m:sty m:val="p"/>
              </m:rPr>
              <w:rPr>
                <w:rFonts w:hint="eastAsia" w:ascii="Cambria Math" w:hAnsi="Cambria Math" w:eastAsiaTheme="minorEastAsia" w:cstheme="minorEastAsia"/>
              </w:rPr>
              <m:t>i</m:t>
            </m:r>
            <m:ctrlPr>
              <w:rPr>
                <w:rFonts w:hint="eastAsia" w:ascii="Cambria Math" w:hAnsi="Cambria Math" w:eastAsiaTheme="minorEastAsia" w:cstheme="minorEastAsia"/>
              </w:rPr>
            </m:ctrlPr>
          </m:sub>
        </m:sSub>
      </m:oMath>
      <w:r>
        <w:rPr>
          <w:rFonts w:ascii="Times New Roman"/>
        </w:rPr>
        <w:t xml:space="preserve">  ——</w:t>
      </w:r>
      <w:r>
        <w:rPr>
          <w:rFonts w:hint="eastAsia" w:ascii="Times New Roman"/>
        </w:rPr>
        <w:t>监测值的第i个值；</w:t>
      </w:r>
    </w:p>
    <w:p w14:paraId="1E5E0621">
      <w:pPr>
        <w:pStyle w:val="27"/>
        <w:spacing w:after="0" w:line="240" w:lineRule="auto"/>
        <w:rPr>
          <w:rFonts w:ascii="Times New Roman"/>
        </w:rPr>
      </w:pPr>
      <m:oMath>
        <m:bar>
          <m:barPr>
            <m:pos m:val="top"/>
            <m:ctrlPr>
              <w:rPr>
                <w:rFonts w:hint="eastAsia" w:ascii="Cambria Math" w:hAnsi="Cambria Math" w:eastAsiaTheme="minorEastAsia" w:cstheme="minorEastAsia"/>
              </w:rPr>
            </m:ctrlPr>
          </m:barPr>
          <m:e>
            <m:r>
              <m:rPr>
                <m:sty m:val="p"/>
              </m:rPr>
              <w:rPr>
                <w:rFonts w:hint="eastAsia" w:ascii="Cambria Math" w:hAnsi="Cambria Math" w:eastAsiaTheme="minorEastAsia" w:cstheme="minorEastAsia"/>
              </w:rPr>
              <m:t>x</m:t>
            </m:r>
            <m:ctrlPr>
              <w:rPr>
                <w:rFonts w:hint="eastAsia" w:ascii="Cambria Math" w:hAnsi="Cambria Math" w:eastAsiaTheme="minorEastAsia" w:cstheme="minorEastAsia"/>
              </w:rPr>
            </m:ctrlPr>
          </m:e>
        </m:bar>
      </m:oMath>
      <w:r>
        <w:rPr>
          <w:rFonts w:ascii="Times New Roman"/>
        </w:rPr>
        <w:t xml:space="preserve">  ——</w:t>
      </w:r>
      <w:r>
        <w:rPr>
          <w:rFonts w:hint="eastAsia" w:ascii="Times New Roman"/>
        </w:rPr>
        <w:t>监测的n次测量（或n个样本）算术平均值。</w:t>
      </w:r>
    </w:p>
    <w:p w14:paraId="181DE90C">
      <w:pPr>
        <w:pStyle w:val="27"/>
        <w:spacing w:after="0" w:line="240" w:lineRule="auto"/>
        <w:rPr>
          <w:rFonts w:ascii="Times New Roman"/>
        </w:rPr>
      </w:pPr>
      <w:r>
        <w:rPr>
          <w:rFonts w:hint="eastAsia" w:ascii="Times New Roman"/>
        </w:rPr>
        <w:t>XCO</w:t>
      </w:r>
      <w:r>
        <w:rPr>
          <w:rFonts w:hint="eastAsia" w:ascii="Times New Roman"/>
          <w:vertAlign w:val="subscript"/>
        </w:rPr>
        <w:t>2</w:t>
      </w:r>
      <w:r>
        <w:rPr>
          <w:rFonts w:hint="eastAsia" w:ascii="Times New Roman"/>
        </w:rPr>
        <w:t>标准差（SD）宜小于3 ppm、XCH</w:t>
      </w:r>
      <w:r>
        <w:rPr>
          <w:rFonts w:hint="eastAsia" w:ascii="Times New Roman"/>
          <w:vertAlign w:val="subscript"/>
        </w:rPr>
        <w:t>4</w:t>
      </w:r>
      <w:r>
        <w:rPr>
          <w:rFonts w:hint="eastAsia" w:ascii="Times New Roman"/>
        </w:rPr>
        <w:t>标准差（SD）宜小于20 ppb。</w:t>
      </w:r>
    </w:p>
    <w:p w14:paraId="4E8228A8">
      <w:pPr>
        <w:widowControl/>
        <w:jc w:val="left"/>
        <w:rPr>
          <w:kern w:val="0"/>
          <w:szCs w:val="20"/>
        </w:rPr>
      </w:pPr>
      <w:r>
        <w:br w:type="page"/>
      </w:r>
    </w:p>
    <w:p w14:paraId="725E90D1">
      <w:pPr>
        <w:pStyle w:val="89"/>
        <w:numPr>
          <w:ilvl w:val="255"/>
          <w:numId w:val="0"/>
        </w:numPr>
        <w:spacing w:before="313" w:beforeLines="100" w:after="313" w:afterLines="100" w:line="240" w:lineRule="auto"/>
        <w:rPr>
          <w:rFonts w:ascii="Times New Roman"/>
        </w:rPr>
      </w:pPr>
      <w:bookmarkStart w:id="226" w:name="_Toc6888"/>
      <w:bookmarkStart w:id="227" w:name="_Toc6948"/>
      <w:bookmarkStart w:id="228" w:name="_Toc4085"/>
      <w:bookmarkStart w:id="229" w:name="_Toc11697"/>
      <w:bookmarkStart w:id="230" w:name="_Toc178171729"/>
      <w:bookmarkStart w:id="231" w:name="_Toc14822"/>
      <w:r>
        <w:rPr>
          <w:rFonts w:ascii="Times New Roman"/>
        </w:rPr>
        <w:t>附录</w:t>
      </w:r>
      <w:bookmarkEnd w:id="226"/>
      <w:bookmarkEnd w:id="227"/>
      <w:r>
        <w:rPr>
          <w:rFonts w:hint="eastAsia" w:ascii="Times New Roman"/>
        </w:rPr>
        <w:t>E</w:t>
      </w:r>
      <w:bookmarkEnd w:id="228"/>
      <w:bookmarkEnd w:id="229"/>
    </w:p>
    <w:p w14:paraId="2DB9C69B">
      <w:pPr>
        <w:pStyle w:val="11"/>
        <w:spacing w:before="157" w:beforeLines="50" w:after="157" w:afterLines="50" w:line="240" w:lineRule="auto"/>
        <w:jc w:val="center"/>
        <w:rPr>
          <w:rFonts w:ascii="黑体"/>
        </w:rPr>
      </w:pPr>
      <w:r>
        <w:rPr>
          <w:rFonts w:ascii="黑体"/>
        </w:rPr>
        <w:t>（资料性）</w:t>
      </w:r>
    </w:p>
    <w:p w14:paraId="30E68F53">
      <w:pPr>
        <w:pStyle w:val="11"/>
        <w:spacing w:before="157" w:beforeLines="50" w:after="157" w:afterLines="50" w:line="240" w:lineRule="auto"/>
        <w:jc w:val="center"/>
        <w:rPr>
          <w:rFonts w:hint="eastAsia" w:ascii="黑体" w:eastAsia="黑体"/>
        </w:rPr>
      </w:pPr>
      <w:r>
        <w:rPr>
          <w:rFonts w:hint="eastAsia" w:ascii="黑体" w:eastAsia="黑体"/>
        </w:rPr>
        <w:t>温室气体卫星遥感准确性检验记录样例</w:t>
      </w:r>
      <w:bookmarkEnd w:id="230"/>
      <w:bookmarkEnd w:id="231"/>
    </w:p>
    <w:p w14:paraId="2C63EBC2">
      <w:pPr>
        <w:pStyle w:val="11"/>
        <w:spacing w:before="157" w:beforeLines="50" w:after="157" w:afterLines="50" w:line="240" w:lineRule="auto"/>
        <w:jc w:val="center"/>
        <w:rPr>
          <w:rFonts w:hint="eastAsia" w:ascii="黑体" w:eastAsia="黑体"/>
        </w:rPr>
      </w:pPr>
    </w:p>
    <w:p w14:paraId="18151E20">
      <w:pPr>
        <w:pStyle w:val="27"/>
        <w:spacing w:line="240" w:lineRule="auto"/>
        <w:rPr>
          <w:rFonts w:ascii="Times New Roman"/>
        </w:rPr>
      </w:pPr>
      <w:bookmarkStart w:id="232" w:name="OLE_LINK38"/>
      <w:r>
        <w:rPr>
          <w:rFonts w:ascii="Times New Roman"/>
        </w:rPr>
        <w:t>温室气体卫星遥感准确性检验</w:t>
      </w:r>
      <w:r>
        <w:rPr>
          <w:rFonts w:hint="eastAsia" w:ascii="Times New Roman"/>
        </w:rPr>
        <w:t>记录</w:t>
      </w:r>
      <w:r>
        <w:rPr>
          <w:rFonts w:ascii="Times New Roman"/>
        </w:rPr>
        <w:t>参见表</w:t>
      </w:r>
      <w:r>
        <w:rPr>
          <w:rFonts w:hint="eastAsia" w:ascii="Times New Roman"/>
        </w:rPr>
        <w:t>E</w:t>
      </w:r>
      <w:r>
        <w:rPr>
          <w:rFonts w:ascii="Times New Roman"/>
        </w:rPr>
        <w:t>.1。</w:t>
      </w:r>
    </w:p>
    <w:p w14:paraId="7D316339">
      <w:pPr>
        <w:pStyle w:val="27"/>
        <w:spacing w:line="240" w:lineRule="auto"/>
        <w:jc w:val="center"/>
        <w:rPr>
          <w:rFonts w:ascii="Times New Roman"/>
        </w:rPr>
      </w:pPr>
      <w:r>
        <w:rPr>
          <w:rFonts w:hint="eastAsia" w:ascii="黑体" w:hAnsi="黑体" w:eastAsia="黑体" w:cs="黑体"/>
        </w:rPr>
        <w:t>表E.1 温室气体卫星遥感准确性检验记录表</w:t>
      </w:r>
      <w:r>
        <w:rPr>
          <w:rFonts w:ascii="Times New Roman"/>
        </w:rPr>
        <w:t xml:space="preserve">                                                                    </w:t>
      </w:r>
    </w:p>
    <w:tbl>
      <w:tblPr>
        <w:tblStyle w:val="38"/>
        <w:tblW w:w="0" w:type="auto"/>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25"/>
        <w:gridCol w:w="1975"/>
        <w:gridCol w:w="1250"/>
        <w:gridCol w:w="750"/>
        <w:gridCol w:w="200"/>
        <w:gridCol w:w="1225"/>
        <w:gridCol w:w="137"/>
        <w:gridCol w:w="775"/>
        <w:gridCol w:w="683"/>
        <w:gridCol w:w="117"/>
        <w:gridCol w:w="225"/>
        <w:gridCol w:w="860"/>
      </w:tblGrid>
      <w:tr w14:paraId="47E71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25" w:type="dxa"/>
            <w:vMerge w:val="restart"/>
            <w:tcBorders>
              <w:top w:val="single" w:color="000000" w:sz="4" w:space="0"/>
              <w:left w:val="single" w:color="000000" w:sz="4" w:space="0"/>
              <w:bottom w:val="single" w:color="000000" w:sz="4" w:space="0"/>
              <w:right w:val="single" w:color="000000" w:sz="4" w:space="0"/>
            </w:tcBorders>
            <w:vAlign w:val="center"/>
          </w:tcPr>
          <w:p w14:paraId="6AB88B59">
            <w:pPr>
              <w:pStyle w:val="27"/>
              <w:autoSpaceDE/>
              <w:autoSpaceDN/>
              <w:spacing w:beforeLines="0" w:after="0" w:afterLines="0" w:line="279" w:lineRule="auto"/>
              <w:ind w:firstLine="0" w:firstLineChars="0"/>
              <w:jc w:val="center"/>
              <w:rPr>
                <w:rFonts w:ascii="Times New Roman"/>
                <w:b/>
                <w:bCs/>
                <w:szCs w:val="18"/>
              </w:rPr>
            </w:pPr>
            <w:bookmarkStart w:id="233" w:name="_Hlk232602965"/>
            <w:r>
              <w:rPr>
                <w:rFonts w:ascii="Times New Roman"/>
                <w:b/>
                <w:bCs/>
                <w:szCs w:val="20"/>
              </w:rPr>
              <w:t>待检</w:t>
            </w:r>
            <w:r>
              <w:rPr>
                <w:rFonts w:hint="eastAsia" w:ascii="Times New Roman"/>
                <w:b/>
                <w:bCs/>
                <w:szCs w:val="20"/>
              </w:rPr>
              <w:t>卫星遥感产品</w:t>
            </w:r>
            <w:r>
              <w:rPr>
                <w:rFonts w:ascii="Times New Roman"/>
                <w:b/>
                <w:bCs/>
                <w:szCs w:val="20"/>
              </w:rPr>
              <w:t>特征</w:t>
            </w:r>
          </w:p>
        </w:tc>
        <w:tc>
          <w:tcPr>
            <w:tcW w:w="1975" w:type="dxa"/>
            <w:tcBorders>
              <w:top w:val="single" w:color="000000" w:sz="4" w:space="0"/>
              <w:left w:val="single" w:color="000000" w:sz="4" w:space="0"/>
              <w:bottom w:val="single" w:color="000000" w:sz="4" w:space="0"/>
              <w:right w:val="single" w:color="000000" w:sz="4" w:space="0"/>
            </w:tcBorders>
          </w:tcPr>
          <w:p w14:paraId="44C6C919">
            <w:pPr>
              <w:pStyle w:val="27"/>
              <w:autoSpaceDE/>
              <w:autoSpaceDN/>
              <w:spacing w:beforeLines="0" w:after="0" w:afterLines="0" w:line="279" w:lineRule="auto"/>
              <w:ind w:firstLine="0" w:firstLineChars="0"/>
              <w:rPr>
                <w:rFonts w:ascii="Times New Roman"/>
                <w:b/>
                <w:bCs/>
                <w:szCs w:val="18"/>
              </w:rPr>
            </w:pPr>
            <w:r>
              <w:rPr>
                <w:rFonts w:hint="eastAsia" w:ascii="Times New Roman"/>
                <w:b/>
                <w:bCs/>
                <w:szCs w:val="20"/>
              </w:rPr>
              <w:t>产品</w:t>
            </w:r>
            <w:r>
              <w:rPr>
                <w:rFonts w:ascii="Times New Roman"/>
                <w:b/>
                <w:bCs/>
                <w:szCs w:val="20"/>
              </w:rPr>
              <w:t>名称</w:t>
            </w:r>
          </w:p>
        </w:tc>
        <w:tc>
          <w:tcPr>
            <w:tcW w:w="2000" w:type="dxa"/>
            <w:gridSpan w:val="2"/>
            <w:tcBorders>
              <w:top w:val="single" w:color="000000" w:sz="4" w:space="0"/>
              <w:left w:val="single" w:color="000000" w:sz="4" w:space="0"/>
              <w:bottom w:val="single" w:color="000000" w:sz="4" w:space="0"/>
              <w:right w:val="single" w:color="auto" w:sz="4" w:space="0"/>
            </w:tcBorders>
          </w:tcPr>
          <w:p w14:paraId="191D8FEA">
            <w:pPr>
              <w:pStyle w:val="27"/>
              <w:autoSpaceDE/>
              <w:autoSpaceDN/>
              <w:spacing w:beforeLines="0" w:after="0" w:afterLines="0" w:line="279" w:lineRule="auto"/>
              <w:ind w:firstLine="0" w:firstLineChars="0"/>
              <w:rPr>
                <w:rFonts w:ascii="Times New Roman"/>
                <w:szCs w:val="18"/>
              </w:rPr>
            </w:pPr>
          </w:p>
        </w:tc>
        <w:tc>
          <w:tcPr>
            <w:tcW w:w="1562" w:type="dxa"/>
            <w:gridSpan w:val="3"/>
            <w:tcBorders>
              <w:top w:val="single" w:color="000000" w:sz="4" w:space="0"/>
              <w:left w:val="single" w:color="auto" w:sz="4" w:space="0"/>
              <w:bottom w:val="single" w:color="000000" w:sz="4" w:space="0"/>
              <w:right w:val="single" w:color="000000" w:sz="4" w:space="0"/>
            </w:tcBorders>
          </w:tcPr>
          <w:p w14:paraId="1E26B098">
            <w:pPr>
              <w:pStyle w:val="27"/>
              <w:autoSpaceDE/>
              <w:autoSpaceDN/>
              <w:spacing w:beforeLines="0" w:after="0" w:afterLines="0" w:line="279" w:lineRule="auto"/>
              <w:ind w:firstLine="0" w:firstLineChars="0"/>
              <w:rPr>
                <w:rFonts w:ascii="Times New Roman"/>
                <w:szCs w:val="18"/>
              </w:rPr>
            </w:pPr>
            <w:r>
              <w:rPr>
                <w:rFonts w:hint="eastAsia" w:ascii="Times New Roman"/>
                <w:b/>
                <w:bCs/>
                <w:szCs w:val="18"/>
              </w:rPr>
              <w:t>卫星</w:t>
            </w:r>
            <w:r>
              <w:rPr>
                <w:rFonts w:ascii="Times New Roman"/>
                <w:b/>
                <w:bCs/>
                <w:szCs w:val="18"/>
              </w:rPr>
              <w:t>数据源</w:t>
            </w:r>
          </w:p>
        </w:tc>
        <w:tc>
          <w:tcPr>
            <w:tcW w:w="2660" w:type="dxa"/>
            <w:gridSpan w:val="5"/>
            <w:tcBorders>
              <w:top w:val="single" w:color="000000" w:sz="4" w:space="0"/>
              <w:left w:val="single" w:color="000000" w:sz="4" w:space="0"/>
              <w:bottom w:val="single" w:color="000000" w:sz="4" w:space="0"/>
              <w:right w:val="single" w:color="000000" w:sz="4" w:space="0"/>
            </w:tcBorders>
          </w:tcPr>
          <w:p w14:paraId="4D516D9E">
            <w:pPr>
              <w:pStyle w:val="27"/>
              <w:autoSpaceDE/>
              <w:autoSpaceDN/>
              <w:spacing w:beforeLines="0" w:after="0" w:afterLines="0" w:line="279" w:lineRule="auto"/>
              <w:ind w:firstLine="0" w:firstLineChars="0"/>
              <w:rPr>
                <w:rFonts w:ascii="Times New Roman"/>
                <w:szCs w:val="18"/>
              </w:rPr>
            </w:pPr>
          </w:p>
        </w:tc>
      </w:tr>
      <w:tr w14:paraId="1BEE3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25" w:type="dxa"/>
            <w:vMerge w:val="continue"/>
            <w:tcBorders>
              <w:left w:val="single" w:color="000000" w:sz="4" w:space="0"/>
              <w:right w:val="single" w:color="000000" w:sz="4" w:space="0"/>
            </w:tcBorders>
            <w:vAlign w:val="center"/>
          </w:tcPr>
          <w:p w14:paraId="080EDE5F">
            <w:pPr>
              <w:pStyle w:val="27"/>
              <w:autoSpaceDE/>
              <w:autoSpaceDN/>
              <w:spacing w:beforeLines="0" w:after="0" w:afterLines="0" w:line="279" w:lineRule="auto"/>
              <w:ind w:firstLine="0" w:firstLineChars="0"/>
              <w:jc w:val="center"/>
              <w:rPr>
                <w:b/>
                <w:bCs/>
                <w:szCs w:val="20"/>
              </w:rPr>
            </w:pPr>
          </w:p>
        </w:tc>
        <w:tc>
          <w:tcPr>
            <w:tcW w:w="1975" w:type="dxa"/>
            <w:tcBorders>
              <w:top w:val="single" w:color="000000" w:sz="4" w:space="0"/>
              <w:left w:val="single" w:color="000000" w:sz="4" w:space="0"/>
              <w:bottom w:val="single" w:color="000000" w:sz="4" w:space="0"/>
              <w:right w:val="single" w:color="000000" w:sz="4" w:space="0"/>
            </w:tcBorders>
          </w:tcPr>
          <w:p w14:paraId="3D7598FC">
            <w:pPr>
              <w:pStyle w:val="27"/>
              <w:autoSpaceDE/>
              <w:autoSpaceDN/>
              <w:spacing w:beforeLines="0" w:after="0" w:afterLines="0" w:line="279" w:lineRule="auto"/>
              <w:ind w:firstLine="0" w:firstLineChars="0"/>
              <w:rPr>
                <w:b/>
                <w:bCs/>
                <w:szCs w:val="20"/>
              </w:rPr>
            </w:pPr>
            <w:r>
              <w:rPr>
                <w:rFonts w:hint="eastAsia"/>
                <w:b/>
                <w:bCs/>
                <w:szCs w:val="20"/>
              </w:rPr>
              <w:t>反演算法</w:t>
            </w:r>
          </w:p>
        </w:tc>
        <w:tc>
          <w:tcPr>
            <w:tcW w:w="2000" w:type="dxa"/>
            <w:gridSpan w:val="2"/>
            <w:tcBorders>
              <w:top w:val="single" w:color="000000" w:sz="4" w:space="0"/>
              <w:left w:val="single" w:color="000000" w:sz="4" w:space="0"/>
              <w:bottom w:val="single" w:color="000000" w:sz="4" w:space="0"/>
              <w:right w:val="single" w:color="auto" w:sz="4" w:space="0"/>
            </w:tcBorders>
          </w:tcPr>
          <w:p w14:paraId="637AD768">
            <w:pPr>
              <w:pStyle w:val="27"/>
              <w:autoSpaceDE/>
              <w:autoSpaceDN/>
              <w:spacing w:beforeLines="0" w:after="0" w:afterLines="0" w:line="279" w:lineRule="auto"/>
              <w:ind w:firstLine="0" w:firstLineChars="0"/>
              <w:rPr>
                <w:szCs w:val="20"/>
              </w:rPr>
            </w:pPr>
          </w:p>
        </w:tc>
        <w:tc>
          <w:tcPr>
            <w:tcW w:w="1562" w:type="dxa"/>
            <w:gridSpan w:val="3"/>
            <w:tcBorders>
              <w:top w:val="single" w:color="000000" w:sz="4" w:space="0"/>
              <w:left w:val="single" w:color="auto" w:sz="4" w:space="0"/>
              <w:bottom w:val="single" w:color="000000" w:sz="4" w:space="0"/>
              <w:right w:val="single" w:color="auto" w:sz="4" w:space="0"/>
            </w:tcBorders>
          </w:tcPr>
          <w:p w14:paraId="7AA6A524">
            <w:pPr>
              <w:pStyle w:val="27"/>
              <w:autoSpaceDE/>
              <w:autoSpaceDN/>
              <w:spacing w:beforeLines="0" w:after="0" w:afterLines="0" w:line="279" w:lineRule="auto"/>
              <w:ind w:firstLine="0" w:firstLineChars="0"/>
              <w:rPr>
                <w:szCs w:val="20"/>
              </w:rPr>
            </w:pPr>
            <w:r>
              <w:rPr>
                <w:rFonts w:hint="eastAsia"/>
                <w:b/>
                <w:bCs/>
                <w:szCs w:val="20"/>
              </w:rPr>
              <w:t>数据补全算法</w:t>
            </w:r>
          </w:p>
        </w:tc>
        <w:tc>
          <w:tcPr>
            <w:tcW w:w="2660" w:type="dxa"/>
            <w:gridSpan w:val="5"/>
            <w:tcBorders>
              <w:top w:val="single" w:color="000000" w:sz="4" w:space="0"/>
              <w:left w:val="single" w:color="auto" w:sz="4" w:space="0"/>
              <w:bottom w:val="single" w:color="000000" w:sz="4" w:space="0"/>
              <w:right w:val="single" w:color="000000" w:sz="4" w:space="0"/>
            </w:tcBorders>
          </w:tcPr>
          <w:p w14:paraId="661A59A6">
            <w:pPr>
              <w:pStyle w:val="27"/>
              <w:autoSpaceDE/>
              <w:autoSpaceDN/>
              <w:spacing w:beforeLines="0" w:after="0" w:afterLines="0" w:line="279" w:lineRule="auto"/>
              <w:ind w:firstLine="0" w:firstLineChars="0"/>
              <w:rPr>
                <w:szCs w:val="20"/>
              </w:rPr>
            </w:pPr>
          </w:p>
        </w:tc>
      </w:tr>
      <w:tr w14:paraId="387DB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25" w:type="dxa"/>
            <w:vMerge w:val="continue"/>
            <w:tcBorders>
              <w:top w:val="single" w:color="000000" w:sz="4" w:space="0"/>
              <w:left w:val="single" w:color="000000" w:sz="4" w:space="0"/>
              <w:bottom w:val="single" w:color="000000" w:sz="4" w:space="0"/>
              <w:right w:val="single" w:color="000000" w:sz="4" w:space="0"/>
            </w:tcBorders>
            <w:vAlign w:val="center"/>
          </w:tcPr>
          <w:p w14:paraId="1C4E107D">
            <w:pPr>
              <w:pStyle w:val="27"/>
              <w:autoSpaceDE/>
              <w:autoSpaceDN/>
              <w:spacing w:beforeLines="0" w:after="0" w:afterLines="0" w:line="279" w:lineRule="auto"/>
              <w:ind w:firstLine="0" w:firstLineChars="0"/>
              <w:jc w:val="center"/>
              <w:rPr>
                <w:b/>
                <w:bCs/>
                <w:szCs w:val="20"/>
              </w:rPr>
            </w:pPr>
          </w:p>
        </w:tc>
        <w:tc>
          <w:tcPr>
            <w:tcW w:w="1975" w:type="dxa"/>
            <w:tcBorders>
              <w:top w:val="single" w:color="000000" w:sz="4" w:space="0"/>
              <w:left w:val="single" w:color="000000" w:sz="4" w:space="0"/>
              <w:bottom w:val="single" w:color="000000" w:sz="4" w:space="0"/>
              <w:right w:val="single" w:color="000000" w:sz="4" w:space="0"/>
            </w:tcBorders>
          </w:tcPr>
          <w:p w14:paraId="79DB4421">
            <w:pPr>
              <w:pStyle w:val="27"/>
              <w:autoSpaceDE/>
              <w:autoSpaceDN/>
              <w:spacing w:beforeLines="0" w:after="0" w:afterLines="0" w:line="279" w:lineRule="auto"/>
              <w:ind w:firstLine="0" w:firstLineChars="0"/>
              <w:rPr>
                <w:b/>
                <w:bCs/>
                <w:szCs w:val="20"/>
              </w:rPr>
            </w:pPr>
            <w:r>
              <w:rPr>
                <w:rFonts w:hint="eastAsia"/>
                <w:b/>
                <w:bCs/>
                <w:szCs w:val="20"/>
              </w:rPr>
              <w:t>空间覆盖范围</w:t>
            </w:r>
          </w:p>
        </w:tc>
        <w:tc>
          <w:tcPr>
            <w:tcW w:w="2000" w:type="dxa"/>
            <w:gridSpan w:val="2"/>
            <w:tcBorders>
              <w:top w:val="single" w:color="000000" w:sz="4" w:space="0"/>
              <w:left w:val="single" w:color="000000" w:sz="4" w:space="0"/>
              <w:bottom w:val="single" w:color="000000" w:sz="4" w:space="0"/>
              <w:right w:val="single" w:color="auto" w:sz="4" w:space="0"/>
            </w:tcBorders>
          </w:tcPr>
          <w:p w14:paraId="6BD19315">
            <w:pPr>
              <w:pStyle w:val="27"/>
              <w:autoSpaceDE/>
              <w:autoSpaceDN/>
              <w:spacing w:beforeLines="0" w:after="0" w:afterLines="0" w:line="279" w:lineRule="auto"/>
              <w:ind w:firstLine="0" w:firstLineChars="0"/>
              <w:rPr>
                <w:szCs w:val="20"/>
              </w:rPr>
            </w:pPr>
          </w:p>
        </w:tc>
        <w:tc>
          <w:tcPr>
            <w:tcW w:w="1562" w:type="dxa"/>
            <w:gridSpan w:val="3"/>
            <w:tcBorders>
              <w:top w:val="single" w:color="000000" w:sz="4" w:space="0"/>
              <w:left w:val="single" w:color="auto" w:sz="4" w:space="0"/>
              <w:bottom w:val="single" w:color="000000" w:sz="4" w:space="0"/>
              <w:right w:val="single" w:color="auto" w:sz="4" w:space="0"/>
            </w:tcBorders>
          </w:tcPr>
          <w:p w14:paraId="62047873">
            <w:pPr>
              <w:pStyle w:val="27"/>
              <w:autoSpaceDE/>
              <w:autoSpaceDN/>
              <w:spacing w:beforeLines="0" w:after="0" w:afterLines="0" w:line="279" w:lineRule="auto"/>
              <w:ind w:firstLine="0" w:firstLineChars="0"/>
              <w:rPr>
                <w:b/>
                <w:bCs/>
                <w:szCs w:val="18"/>
              </w:rPr>
            </w:pPr>
            <w:r>
              <w:rPr>
                <w:rFonts w:hint="eastAsia"/>
                <w:b/>
                <w:bCs/>
                <w:szCs w:val="18"/>
              </w:rPr>
              <w:t>空间分辨率</w:t>
            </w:r>
          </w:p>
        </w:tc>
        <w:tc>
          <w:tcPr>
            <w:tcW w:w="2660" w:type="dxa"/>
            <w:gridSpan w:val="5"/>
            <w:tcBorders>
              <w:top w:val="single" w:color="000000" w:sz="4" w:space="0"/>
              <w:left w:val="single" w:color="auto" w:sz="4" w:space="0"/>
              <w:bottom w:val="single" w:color="000000" w:sz="4" w:space="0"/>
              <w:right w:val="single" w:color="000000" w:sz="4" w:space="0"/>
            </w:tcBorders>
          </w:tcPr>
          <w:p w14:paraId="608DBC4D">
            <w:pPr>
              <w:pStyle w:val="27"/>
              <w:autoSpaceDE/>
              <w:autoSpaceDN/>
              <w:spacing w:beforeLines="0" w:after="0" w:afterLines="0" w:line="279" w:lineRule="auto"/>
              <w:ind w:firstLine="0" w:firstLineChars="0"/>
              <w:rPr>
                <w:szCs w:val="18"/>
              </w:rPr>
            </w:pPr>
          </w:p>
        </w:tc>
      </w:tr>
      <w:tr w14:paraId="0169F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25" w:type="dxa"/>
            <w:vMerge w:val="continue"/>
            <w:tcBorders>
              <w:top w:val="single" w:color="000000" w:sz="4" w:space="0"/>
              <w:left w:val="single" w:color="000000" w:sz="4" w:space="0"/>
              <w:bottom w:val="single" w:color="000000" w:sz="4" w:space="0"/>
              <w:right w:val="single" w:color="000000" w:sz="4" w:space="0"/>
            </w:tcBorders>
            <w:vAlign w:val="center"/>
          </w:tcPr>
          <w:p w14:paraId="4B0A9680">
            <w:pPr>
              <w:pStyle w:val="27"/>
              <w:autoSpaceDE/>
              <w:autoSpaceDN/>
              <w:spacing w:beforeLines="0" w:after="0" w:afterLines="0" w:line="279" w:lineRule="auto"/>
              <w:ind w:firstLine="0" w:firstLineChars="0"/>
              <w:jc w:val="center"/>
              <w:rPr>
                <w:b/>
                <w:bCs/>
                <w:szCs w:val="20"/>
              </w:rPr>
            </w:pPr>
          </w:p>
        </w:tc>
        <w:tc>
          <w:tcPr>
            <w:tcW w:w="1975" w:type="dxa"/>
            <w:tcBorders>
              <w:top w:val="single" w:color="000000" w:sz="4" w:space="0"/>
              <w:left w:val="single" w:color="000000" w:sz="4" w:space="0"/>
              <w:bottom w:val="single" w:color="000000" w:sz="4" w:space="0"/>
              <w:right w:val="single" w:color="000000" w:sz="4" w:space="0"/>
            </w:tcBorders>
          </w:tcPr>
          <w:p w14:paraId="703C776D">
            <w:pPr>
              <w:pStyle w:val="27"/>
              <w:autoSpaceDE/>
              <w:autoSpaceDN/>
              <w:spacing w:beforeLines="0" w:after="0" w:afterLines="0" w:line="279" w:lineRule="auto"/>
              <w:ind w:firstLine="0" w:firstLineChars="0"/>
              <w:rPr>
                <w:b/>
                <w:bCs/>
                <w:szCs w:val="20"/>
              </w:rPr>
            </w:pPr>
            <w:r>
              <w:rPr>
                <w:rFonts w:hint="eastAsia"/>
                <w:b/>
                <w:bCs/>
                <w:szCs w:val="20"/>
              </w:rPr>
              <w:t>时间覆盖范围</w:t>
            </w:r>
          </w:p>
        </w:tc>
        <w:tc>
          <w:tcPr>
            <w:tcW w:w="2000" w:type="dxa"/>
            <w:gridSpan w:val="2"/>
            <w:tcBorders>
              <w:top w:val="single" w:color="000000" w:sz="4" w:space="0"/>
              <w:left w:val="single" w:color="000000" w:sz="4" w:space="0"/>
              <w:bottom w:val="single" w:color="000000" w:sz="4" w:space="0"/>
              <w:right w:val="single" w:color="auto" w:sz="4" w:space="0"/>
            </w:tcBorders>
          </w:tcPr>
          <w:p w14:paraId="5ABE8303">
            <w:pPr>
              <w:pStyle w:val="27"/>
              <w:autoSpaceDE/>
              <w:autoSpaceDN/>
              <w:spacing w:beforeLines="0" w:after="0" w:afterLines="0" w:line="279" w:lineRule="auto"/>
              <w:ind w:firstLine="0" w:firstLineChars="0"/>
              <w:rPr>
                <w:szCs w:val="20"/>
              </w:rPr>
            </w:pPr>
          </w:p>
        </w:tc>
        <w:tc>
          <w:tcPr>
            <w:tcW w:w="1562" w:type="dxa"/>
            <w:gridSpan w:val="3"/>
            <w:tcBorders>
              <w:top w:val="single" w:color="000000" w:sz="4" w:space="0"/>
              <w:left w:val="single" w:color="auto" w:sz="4" w:space="0"/>
              <w:bottom w:val="single" w:color="000000" w:sz="4" w:space="0"/>
              <w:right w:val="single" w:color="auto" w:sz="4" w:space="0"/>
            </w:tcBorders>
          </w:tcPr>
          <w:p w14:paraId="59B4F204">
            <w:pPr>
              <w:pStyle w:val="27"/>
              <w:autoSpaceDE/>
              <w:autoSpaceDN/>
              <w:spacing w:beforeLines="0" w:after="0" w:afterLines="0" w:line="279" w:lineRule="auto"/>
              <w:ind w:firstLine="0" w:firstLineChars="0"/>
              <w:rPr>
                <w:b/>
                <w:bCs/>
                <w:szCs w:val="18"/>
              </w:rPr>
            </w:pPr>
            <w:r>
              <w:rPr>
                <w:rFonts w:hint="eastAsia"/>
                <w:b/>
                <w:bCs/>
                <w:szCs w:val="18"/>
              </w:rPr>
              <w:t>时间分辨率</w:t>
            </w:r>
          </w:p>
        </w:tc>
        <w:tc>
          <w:tcPr>
            <w:tcW w:w="2660" w:type="dxa"/>
            <w:gridSpan w:val="5"/>
            <w:tcBorders>
              <w:top w:val="single" w:color="000000" w:sz="4" w:space="0"/>
              <w:left w:val="single" w:color="auto" w:sz="4" w:space="0"/>
              <w:bottom w:val="single" w:color="000000" w:sz="4" w:space="0"/>
              <w:right w:val="single" w:color="000000" w:sz="4" w:space="0"/>
            </w:tcBorders>
          </w:tcPr>
          <w:p w14:paraId="0DB55AD3">
            <w:pPr>
              <w:pStyle w:val="27"/>
              <w:autoSpaceDE/>
              <w:autoSpaceDN/>
              <w:spacing w:beforeLines="0" w:after="0" w:afterLines="0" w:line="279" w:lineRule="auto"/>
              <w:ind w:firstLine="0" w:firstLineChars="0"/>
              <w:rPr>
                <w:szCs w:val="18"/>
              </w:rPr>
            </w:pPr>
          </w:p>
        </w:tc>
      </w:tr>
      <w:bookmarkEnd w:id="233"/>
      <w:tr w14:paraId="5F49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trPr>
        <w:tc>
          <w:tcPr>
            <w:tcW w:w="1125" w:type="dxa"/>
            <w:vMerge w:val="restart"/>
            <w:tcBorders>
              <w:top w:val="single" w:color="000000" w:sz="4" w:space="0"/>
              <w:left w:val="single" w:color="000000" w:sz="4" w:space="0"/>
              <w:right w:val="single" w:color="000000" w:sz="4" w:space="0"/>
            </w:tcBorders>
            <w:vAlign w:val="center"/>
          </w:tcPr>
          <w:p w14:paraId="59FC855E">
            <w:pPr>
              <w:pStyle w:val="27"/>
              <w:autoSpaceDE/>
              <w:autoSpaceDN/>
              <w:spacing w:beforeLines="0" w:after="0" w:afterLines="0" w:line="279" w:lineRule="auto"/>
              <w:ind w:firstLine="0" w:firstLineChars="0"/>
              <w:jc w:val="center"/>
              <w:rPr>
                <w:b/>
                <w:bCs/>
                <w:szCs w:val="20"/>
              </w:rPr>
            </w:pPr>
            <w:r>
              <w:rPr>
                <w:rFonts w:hint="eastAsia"/>
                <w:b/>
                <w:bCs/>
                <w:szCs w:val="18"/>
              </w:rPr>
              <w:t>已检卫星遥感产品或地基遥感数据特征</w:t>
            </w:r>
          </w:p>
        </w:tc>
        <w:tc>
          <w:tcPr>
            <w:tcW w:w="1975" w:type="dxa"/>
            <w:tcBorders>
              <w:top w:val="single" w:color="000000" w:sz="4" w:space="0"/>
              <w:left w:val="single" w:color="000000" w:sz="4" w:space="0"/>
              <w:bottom w:val="single" w:color="auto" w:sz="4" w:space="0"/>
              <w:right w:val="single" w:color="000000" w:sz="4" w:space="0"/>
            </w:tcBorders>
          </w:tcPr>
          <w:p w14:paraId="47954F60">
            <w:pPr>
              <w:pStyle w:val="27"/>
              <w:autoSpaceDE/>
              <w:autoSpaceDN/>
              <w:spacing w:beforeLines="0" w:after="0" w:afterLines="0" w:line="279" w:lineRule="auto"/>
              <w:ind w:firstLine="0" w:firstLineChars="0"/>
              <w:rPr>
                <w:b/>
                <w:bCs/>
                <w:szCs w:val="20"/>
              </w:rPr>
            </w:pPr>
            <w:r>
              <w:rPr>
                <w:rFonts w:hint="eastAsia"/>
                <w:b/>
                <w:bCs/>
                <w:szCs w:val="18"/>
              </w:rPr>
              <w:t>数据/产品类型</w:t>
            </w:r>
          </w:p>
        </w:tc>
        <w:tc>
          <w:tcPr>
            <w:tcW w:w="6222" w:type="dxa"/>
            <w:gridSpan w:val="10"/>
            <w:tcBorders>
              <w:top w:val="single" w:color="000000" w:sz="4" w:space="0"/>
              <w:left w:val="single" w:color="000000" w:sz="4" w:space="0"/>
              <w:bottom w:val="single" w:color="auto" w:sz="4" w:space="0"/>
              <w:right w:val="single" w:color="000000" w:sz="4" w:space="0"/>
            </w:tcBorders>
          </w:tcPr>
          <w:p w14:paraId="4612EE37">
            <w:pPr>
              <w:pStyle w:val="27"/>
              <w:autoSpaceDE/>
              <w:autoSpaceDN/>
              <w:spacing w:beforeLines="0" w:after="0" w:afterLines="0" w:line="279" w:lineRule="auto"/>
              <w:ind w:firstLine="0" w:firstLineChars="0"/>
              <w:rPr>
                <w:szCs w:val="20"/>
              </w:rPr>
            </w:pPr>
            <w:r>
              <w:rPr>
                <w:rFonts w:hint="eastAsia" w:hAnsi="宋体" w:cs="宋体"/>
                <w:szCs w:val="20"/>
              </w:rPr>
              <w:t>□地基遥感数据        □已检卫星遥感产品       □其他数据</w:t>
            </w:r>
          </w:p>
        </w:tc>
      </w:tr>
      <w:tr w14:paraId="62530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1125" w:type="dxa"/>
            <w:vMerge w:val="continue"/>
            <w:tcBorders>
              <w:left w:val="single" w:color="000000" w:sz="4" w:space="0"/>
              <w:right w:val="single" w:color="000000" w:sz="4" w:space="0"/>
            </w:tcBorders>
            <w:vAlign w:val="center"/>
          </w:tcPr>
          <w:p w14:paraId="24B598BF">
            <w:pPr>
              <w:pStyle w:val="27"/>
              <w:autoSpaceDE/>
              <w:autoSpaceDN/>
              <w:spacing w:beforeLines="0" w:after="0" w:afterLines="0" w:line="279" w:lineRule="auto"/>
              <w:ind w:firstLine="0" w:firstLineChars="0"/>
              <w:jc w:val="center"/>
              <w:rPr>
                <w:szCs w:val="18"/>
              </w:rPr>
            </w:pPr>
          </w:p>
        </w:tc>
        <w:tc>
          <w:tcPr>
            <w:tcW w:w="1975" w:type="dxa"/>
            <w:tcBorders>
              <w:top w:val="single" w:color="auto" w:sz="4" w:space="0"/>
              <w:left w:val="single" w:color="000000" w:sz="4" w:space="0"/>
              <w:bottom w:val="single" w:color="auto" w:sz="4" w:space="0"/>
              <w:right w:val="single" w:color="000000" w:sz="4" w:space="0"/>
            </w:tcBorders>
          </w:tcPr>
          <w:p w14:paraId="65B19E1E">
            <w:pPr>
              <w:pStyle w:val="27"/>
              <w:autoSpaceDE/>
              <w:autoSpaceDN/>
              <w:spacing w:beforeLines="0" w:after="0" w:afterLines="0" w:line="279" w:lineRule="auto"/>
              <w:ind w:firstLine="0" w:firstLineChars="0"/>
              <w:rPr>
                <w:b/>
                <w:bCs/>
                <w:szCs w:val="18"/>
              </w:rPr>
            </w:pPr>
            <w:r>
              <w:rPr>
                <w:rFonts w:hint="eastAsia"/>
                <w:b/>
                <w:bCs/>
                <w:szCs w:val="18"/>
              </w:rPr>
              <w:t>数据/产品名称</w:t>
            </w:r>
          </w:p>
        </w:tc>
        <w:tc>
          <w:tcPr>
            <w:tcW w:w="6222" w:type="dxa"/>
            <w:gridSpan w:val="10"/>
            <w:tcBorders>
              <w:top w:val="single" w:color="auto" w:sz="4" w:space="0"/>
              <w:left w:val="single" w:color="000000" w:sz="4" w:space="0"/>
              <w:right w:val="single" w:color="000000" w:sz="4" w:space="0"/>
            </w:tcBorders>
          </w:tcPr>
          <w:p w14:paraId="6A0BD0B8">
            <w:pPr>
              <w:pStyle w:val="27"/>
              <w:autoSpaceDE/>
              <w:autoSpaceDN/>
              <w:spacing w:beforeLines="0" w:after="0" w:afterLines="0" w:line="279" w:lineRule="auto"/>
              <w:ind w:firstLine="0" w:firstLineChars="0"/>
              <w:rPr>
                <w:szCs w:val="18"/>
              </w:rPr>
            </w:pPr>
          </w:p>
        </w:tc>
      </w:tr>
      <w:tr w14:paraId="2BA30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1125" w:type="dxa"/>
            <w:vMerge w:val="continue"/>
            <w:tcBorders>
              <w:left w:val="single" w:color="000000" w:sz="4" w:space="0"/>
              <w:right w:val="single" w:color="000000" w:sz="4" w:space="0"/>
            </w:tcBorders>
            <w:vAlign w:val="center"/>
          </w:tcPr>
          <w:p w14:paraId="26E51E08">
            <w:pPr>
              <w:pStyle w:val="27"/>
              <w:autoSpaceDE/>
              <w:autoSpaceDN/>
              <w:spacing w:beforeLines="0" w:after="0" w:afterLines="0" w:line="279" w:lineRule="auto"/>
              <w:ind w:firstLine="0" w:firstLineChars="0"/>
              <w:jc w:val="center"/>
              <w:rPr>
                <w:szCs w:val="18"/>
              </w:rPr>
            </w:pPr>
            <w:bookmarkStart w:id="234" w:name="_Hlk232603133"/>
          </w:p>
        </w:tc>
        <w:tc>
          <w:tcPr>
            <w:tcW w:w="1975" w:type="dxa"/>
            <w:tcBorders>
              <w:top w:val="single" w:color="auto" w:sz="4" w:space="0"/>
              <w:left w:val="single" w:color="000000" w:sz="4" w:space="0"/>
              <w:bottom w:val="single" w:color="auto" w:sz="4" w:space="0"/>
              <w:right w:val="single" w:color="000000" w:sz="4" w:space="0"/>
            </w:tcBorders>
          </w:tcPr>
          <w:p w14:paraId="3EBDCDF5">
            <w:pPr>
              <w:pStyle w:val="27"/>
              <w:autoSpaceDE/>
              <w:autoSpaceDN/>
              <w:spacing w:beforeLines="0" w:after="0" w:afterLines="0" w:line="279" w:lineRule="auto"/>
              <w:ind w:firstLine="0" w:firstLineChars="0"/>
              <w:rPr>
                <w:b/>
                <w:bCs/>
                <w:szCs w:val="18"/>
              </w:rPr>
            </w:pPr>
            <w:r>
              <w:rPr>
                <w:rFonts w:hint="eastAsia"/>
                <w:b/>
                <w:bCs/>
                <w:szCs w:val="18"/>
              </w:rPr>
              <w:t>仪器/传感器名称</w:t>
            </w:r>
          </w:p>
        </w:tc>
        <w:tc>
          <w:tcPr>
            <w:tcW w:w="6222" w:type="dxa"/>
            <w:gridSpan w:val="10"/>
            <w:tcBorders>
              <w:top w:val="single" w:color="auto" w:sz="4" w:space="0"/>
              <w:left w:val="single" w:color="000000" w:sz="4" w:space="0"/>
              <w:right w:val="single" w:color="000000" w:sz="4" w:space="0"/>
            </w:tcBorders>
          </w:tcPr>
          <w:p w14:paraId="1292FA90">
            <w:pPr>
              <w:pStyle w:val="27"/>
              <w:autoSpaceDE/>
              <w:autoSpaceDN/>
              <w:spacing w:beforeLines="0" w:after="0" w:afterLines="0" w:line="279" w:lineRule="auto"/>
              <w:ind w:firstLine="0" w:firstLineChars="0"/>
              <w:rPr>
                <w:szCs w:val="20"/>
              </w:rPr>
            </w:pPr>
          </w:p>
        </w:tc>
      </w:tr>
      <w:bookmarkEnd w:id="234"/>
      <w:tr w14:paraId="62096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 w:hRule="atLeast"/>
        </w:trPr>
        <w:tc>
          <w:tcPr>
            <w:tcW w:w="1125" w:type="dxa"/>
            <w:vMerge w:val="continue"/>
            <w:tcBorders>
              <w:left w:val="single" w:color="000000" w:sz="4" w:space="0"/>
              <w:bottom w:val="single" w:color="000000" w:sz="4" w:space="0"/>
              <w:right w:val="single" w:color="000000" w:sz="4" w:space="0"/>
            </w:tcBorders>
            <w:vAlign w:val="center"/>
          </w:tcPr>
          <w:p w14:paraId="29975DC6">
            <w:pPr>
              <w:pStyle w:val="27"/>
              <w:autoSpaceDE/>
              <w:autoSpaceDN/>
              <w:spacing w:beforeLines="0" w:after="0" w:afterLines="0" w:line="279" w:lineRule="auto"/>
              <w:ind w:firstLine="0" w:firstLineChars="0"/>
              <w:jc w:val="center"/>
              <w:rPr>
                <w:szCs w:val="18"/>
              </w:rPr>
            </w:pPr>
            <w:bookmarkStart w:id="235" w:name="_Hlk232603471"/>
          </w:p>
        </w:tc>
        <w:tc>
          <w:tcPr>
            <w:tcW w:w="1975" w:type="dxa"/>
            <w:tcBorders>
              <w:top w:val="single" w:color="auto" w:sz="4" w:space="0"/>
              <w:left w:val="single" w:color="000000" w:sz="4" w:space="0"/>
              <w:bottom w:val="single" w:color="auto" w:sz="4" w:space="0"/>
              <w:right w:val="single" w:color="000000" w:sz="4" w:space="0"/>
            </w:tcBorders>
          </w:tcPr>
          <w:p w14:paraId="2EF54375">
            <w:pPr>
              <w:pStyle w:val="27"/>
              <w:autoSpaceDE/>
              <w:autoSpaceDN/>
              <w:spacing w:beforeLines="0" w:after="0" w:afterLines="0" w:line="279" w:lineRule="auto"/>
              <w:ind w:firstLine="0" w:firstLineChars="0"/>
              <w:rPr>
                <w:rFonts w:hint="eastAsia"/>
                <w:b/>
                <w:bCs/>
                <w:szCs w:val="18"/>
              </w:rPr>
            </w:pPr>
            <w:r>
              <w:rPr>
                <w:b/>
                <w:bCs/>
                <w:szCs w:val="18"/>
              </w:rPr>
              <w:t>数据/产品精度</w:t>
            </w:r>
          </w:p>
        </w:tc>
        <w:tc>
          <w:tcPr>
            <w:tcW w:w="6222" w:type="dxa"/>
            <w:gridSpan w:val="10"/>
            <w:tcBorders>
              <w:left w:val="single" w:color="000000" w:sz="4" w:space="0"/>
              <w:bottom w:val="single" w:color="auto" w:sz="4" w:space="0"/>
              <w:right w:val="single" w:color="000000" w:sz="4" w:space="0"/>
            </w:tcBorders>
          </w:tcPr>
          <w:p w14:paraId="1229A0C5">
            <w:pPr>
              <w:pStyle w:val="27"/>
              <w:autoSpaceDE/>
              <w:autoSpaceDN/>
              <w:spacing w:beforeLines="0" w:after="0" w:afterLines="0" w:line="279" w:lineRule="auto"/>
              <w:ind w:firstLine="0" w:firstLineChars="0"/>
              <w:rPr>
                <w:szCs w:val="20"/>
              </w:rPr>
            </w:pPr>
          </w:p>
        </w:tc>
      </w:tr>
      <w:bookmarkEnd w:id="235"/>
      <w:tr w14:paraId="60E37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1125" w:type="dxa"/>
            <w:vMerge w:val="continue"/>
            <w:tcBorders>
              <w:left w:val="single" w:color="000000" w:sz="4" w:space="0"/>
              <w:bottom w:val="single" w:color="000000" w:sz="4" w:space="0"/>
              <w:right w:val="single" w:color="000000" w:sz="4" w:space="0"/>
            </w:tcBorders>
            <w:vAlign w:val="center"/>
          </w:tcPr>
          <w:p w14:paraId="1CDD5ED5">
            <w:pPr>
              <w:pStyle w:val="27"/>
              <w:autoSpaceDE/>
              <w:autoSpaceDN/>
              <w:spacing w:beforeLines="0" w:after="0" w:afterLines="0" w:line="279" w:lineRule="auto"/>
              <w:ind w:firstLine="0" w:firstLineChars="0"/>
              <w:jc w:val="center"/>
              <w:rPr>
                <w:szCs w:val="18"/>
              </w:rPr>
            </w:pPr>
          </w:p>
        </w:tc>
        <w:tc>
          <w:tcPr>
            <w:tcW w:w="1975" w:type="dxa"/>
            <w:tcBorders>
              <w:top w:val="single" w:color="auto" w:sz="4" w:space="0"/>
              <w:left w:val="single" w:color="000000" w:sz="4" w:space="0"/>
              <w:bottom w:val="single" w:color="auto" w:sz="4" w:space="0"/>
              <w:right w:val="single" w:color="000000" w:sz="4" w:space="0"/>
            </w:tcBorders>
          </w:tcPr>
          <w:p w14:paraId="738BD7CF">
            <w:pPr>
              <w:pStyle w:val="27"/>
              <w:autoSpaceDE/>
              <w:autoSpaceDN/>
              <w:spacing w:beforeLines="0" w:after="0" w:afterLines="0" w:line="279" w:lineRule="auto"/>
              <w:ind w:firstLine="0" w:firstLineChars="0"/>
              <w:rPr>
                <w:b/>
                <w:bCs/>
                <w:szCs w:val="18"/>
              </w:rPr>
            </w:pPr>
            <w:r>
              <w:rPr>
                <w:rFonts w:hint="eastAsia"/>
                <w:b/>
                <w:bCs/>
                <w:szCs w:val="18"/>
              </w:rPr>
              <w:t>空间/时间分辨率</w:t>
            </w:r>
          </w:p>
        </w:tc>
        <w:tc>
          <w:tcPr>
            <w:tcW w:w="6222" w:type="dxa"/>
            <w:gridSpan w:val="10"/>
            <w:tcBorders>
              <w:top w:val="single" w:color="auto" w:sz="4" w:space="0"/>
              <w:left w:val="single" w:color="000000" w:sz="4" w:space="0"/>
              <w:right w:val="single" w:color="000000" w:sz="4" w:space="0"/>
            </w:tcBorders>
          </w:tcPr>
          <w:p w14:paraId="56E31683">
            <w:pPr>
              <w:pStyle w:val="27"/>
              <w:autoSpaceDE/>
              <w:autoSpaceDN/>
              <w:spacing w:beforeLines="0" w:after="0" w:afterLines="0" w:line="279" w:lineRule="auto"/>
              <w:ind w:firstLine="0" w:firstLineChars="0"/>
              <w:rPr>
                <w:szCs w:val="20"/>
              </w:rPr>
            </w:pPr>
          </w:p>
        </w:tc>
      </w:tr>
      <w:tr w14:paraId="0B141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1125" w:type="dxa"/>
            <w:vMerge w:val="continue"/>
            <w:tcBorders>
              <w:left w:val="single" w:color="000000" w:sz="4" w:space="0"/>
              <w:right w:val="single" w:color="000000" w:sz="4" w:space="0"/>
            </w:tcBorders>
            <w:vAlign w:val="center"/>
          </w:tcPr>
          <w:p w14:paraId="10A24F0D">
            <w:pPr>
              <w:pStyle w:val="27"/>
              <w:autoSpaceDE/>
              <w:autoSpaceDN/>
              <w:spacing w:beforeLines="0" w:after="0" w:afterLines="0" w:line="279" w:lineRule="auto"/>
              <w:ind w:firstLine="0" w:firstLineChars="0"/>
              <w:jc w:val="center"/>
              <w:rPr>
                <w:b/>
                <w:bCs/>
                <w:szCs w:val="20"/>
              </w:rPr>
            </w:pPr>
          </w:p>
        </w:tc>
        <w:tc>
          <w:tcPr>
            <w:tcW w:w="1975" w:type="dxa"/>
            <w:vMerge w:val="restart"/>
            <w:tcBorders>
              <w:left w:val="single" w:color="000000" w:sz="4" w:space="0"/>
              <w:right w:val="single" w:color="000000" w:sz="4" w:space="0"/>
            </w:tcBorders>
            <w:vAlign w:val="center"/>
          </w:tcPr>
          <w:p w14:paraId="3DBF64BD">
            <w:pPr>
              <w:pStyle w:val="27"/>
              <w:autoSpaceDE/>
              <w:autoSpaceDN/>
              <w:spacing w:beforeLines="0" w:after="0" w:afterLines="0" w:line="279" w:lineRule="auto"/>
              <w:ind w:firstLine="0" w:firstLineChars="0"/>
              <w:rPr>
                <w:b/>
                <w:bCs/>
                <w:szCs w:val="18"/>
              </w:rPr>
            </w:pPr>
            <w:r>
              <w:rPr>
                <w:rFonts w:hint="eastAsia"/>
                <w:b/>
                <w:bCs/>
                <w:szCs w:val="20"/>
              </w:rPr>
              <w:t xml:space="preserve">直接检验法  </w:t>
            </w:r>
            <w:r>
              <w:rPr>
                <w:rFonts w:hint="eastAsia"/>
                <w:b/>
                <w:bCs/>
                <w:szCs w:val="18"/>
              </w:rPr>
              <w:t>□</w:t>
            </w:r>
          </w:p>
          <w:p w14:paraId="72887748">
            <w:pPr>
              <w:pStyle w:val="27"/>
              <w:autoSpaceDE/>
              <w:autoSpaceDN/>
              <w:spacing w:beforeLines="0" w:after="0" w:afterLines="0" w:line="279" w:lineRule="auto"/>
              <w:ind w:firstLine="0" w:firstLineChars="0"/>
              <w:rPr>
                <w:b/>
                <w:bCs/>
                <w:szCs w:val="20"/>
              </w:rPr>
            </w:pPr>
          </w:p>
        </w:tc>
        <w:tc>
          <w:tcPr>
            <w:tcW w:w="2000" w:type="dxa"/>
            <w:gridSpan w:val="2"/>
            <w:tcBorders>
              <w:top w:val="single" w:color="000000" w:sz="4" w:space="0"/>
              <w:left w:val="single" w:color="000000" w:sz="4" w:space="0"/>
              <w:bottom w:val="single" w:color="000000" w:sz="4" w:space="0"/>
              <w:right w:val="single" w:color="000000" w:sz="4" w:space="0"/>
            </w:tcBorders>
          </w:tcPr>
          <w:p w14:paraId="7854F013">
            <w:pPr>
              <w:pStyle w:val="27"/>
              <w:autoSpaceDE/>
              <w:autoSpaceDN/>
              <w:spacing w:before="0" w:beforeLines="0" w:after="0" w:afterLines="0" w:line="279" w:lineRule="auto"/>
              <w:ind w:firstLine="0" w:firstLineChars="0"/>
              <w:rPr>
                <w:szCs w:val="20"/>
              </w:rPr>
            </w:pPr>
            <w:r>
              <w:rPr>
                <w:rFonts w:hint="eastAsia"/>
                <w:szCs w:val="18"/>
              </w:rPr>
              <w:t>空间匹配窗口</w:t>
            </w:r>
          </w:p>
        </w:tc>
        <w:tc>
          <w:tcPr>
            <w:tcW w:w="4222" w:type="dxa"/>
            <w:gridSpan w:val="8"/>
            <w:tcBorders>
              <w:top w:val="single" w:color="000000" w:sz="4" w:space="0"/>
              <w:left w:val="single" w:color="000000" w:sz="4" w:space="0"/>
              <w:bottom w:val="single" w:color="000000" w:sz="4" w:space="0"/>
              <w:right w:val="single" w:color="000000" w:sz="4" w:space="0"/>
            </w:tcBorders>
          </w:tcPr>
          <w:p w14:paraId="6D8B10E5">
            <w:pPr>
              <w:pStyle w:val="27"/>
              <w:autoSpaceDE/>
              <w:autoSpaceDN/>
              <w:spacing w:beforeLines="0" w:after="0" w:afterLines="0" w:line="279" w:lineRule="auto"/>
              <w:ind w:firstLine="0" w:firstLineChars="0"/>
              <w:rPr>
                <w:szCs w:val="20"/>
              </w:rPr>
            </w:pPr>
          </w:p>
        </w:tc>
      </w:tr>
      <w:tr w14:paraId="64490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25" w:type="dxa"/>
            <w:vMerge w:val="continue"/>
            <w:tcBorders>
              <w:left w:val="single" w:color="000000" w:sz="4" w:space="0"/>
              <w:right w:val="single" w:color="000000" w:sz="4" w:space="0"/>
            </w:tcBorders>
            <w:vAlign w:val="center"/>
          </w:tcPr>
          <w:p w14:paraId="1C7A86A6">
            <w:pPr>
              <w:pStyle w:val="27"/>
              <w:autoSpaceDE/>
              <w:autoSpaceDN/>
              <w:spacing w:beforeLines="0" w:after="0" w:afterLines="0" w:line="279" w:lineRule="auto"/>
              <w:ind w:firstLine="0" w:firstLineChars="0"/>
              <w:jc w:val="center"/>
              <w:rPr>
                <w:b/>
                <w:bCs/>
                <w:szCs w:val="20"/>
              </w:rPr>
            </w:pPr>
          </w:p>
        </w:tc>
        <w:tc>
          <w:tcPr>
            <w:tcW w:w="1975" w:type="dxa"/>
            <w:vMerge w:val="continue"/>
            <w:tcBorders>
              <w:left w:val="single" w:color="000000" w:sz="4" w:space="0"/>
              <w:right w:val="single" w:color="000000" w:sz="4" w:space="0"/>
            </w:tcBorders>
            <w:vAlign w:val="center"/>
          </w:tcPr>
          <w:p w14:paraId="238C5FFB">
            <w:pPr>
              <w:pStyle w:val="27"/>
              <w:autoSpaceDE/>
              <w:autoSpaceDN/>
              <w:spacing w:beforeLines="0" w:after="0" w:afterLines="0" w:line="279" w:lineRule="auto"/>
              <w:ind w:firstLine="0" w:firstLineChars="0"/>
              <w:rPr>
                <w:b/>
                <w:bCs/>
                <w:szCs w:val="20"/>
              </w:rPr>
            </w:pPr>
          </w:p>
        </w:tc>
        <w:tc>
          <w:tcPr>
            <w:tcW w:w="2000" w:type="dxa"/>
            <w:gridSpan w:val="2"/>
            <w:tcBorders>
              <w:top w:val="single" w:color="000000" w:sz="4" w:space="0"/>
              <w:left w:val="single" w:color="000000" w:sz="4" w:space="0"/>
              <w:bottom w:val="single" w:color="000000" w:sz="4" w:space="0"/>
              <w:right w:val="single" w:color="000000" w:sz="4" w:space="0"/>
            </w:tcBorders>
          </w:tcPr>
          <w:p w14:paraId="5B4AD335">
            <w:pPr>
              <w:pStyle w:val="27"/>
              <w:autoSpaceDE/>
              <w:autoSpaceDN/>
              <w:spacing w:before="0" w:beforeLines="0" w:after="0" w:afterLines="0" w:line="279" w:lineRule="auto"/>
              <w:ind w:firstLine="0" w:firstLineChars="0"/>
              <w:rPr>
                <w:szCs w:val="20"/>
              </w:rPr>
            </w:pPr>
            <w:r>
              <w:rPr>
                <w:rFonts w:hint="eastAsia"/>
                <w:szCs w:val="18"/>
              </w:rPr>
              <w:t>时间匹配窗口</w:t>
            </w:r>
          </w:p>
        </w:tc>
        <w:tc>
          <w:tcPr>
            <w:tcW w:w="4222" w:type="dxa"/>
            <w:gridSpan w:val="8"/>
            <w:tcBorders>
              <w:top w:val="single" w:color="000000" w:sz="4" w:space="0"/>
              <w:left w:val="single" w:color="000000" w:sz="4" w:space="0"/>
              <w:bottom w:val="single" w:color="000000" w:sz="4" w:space="0"/>
              <w:right w:val="single" w:color="000000" w:sz="4" w:space="0"/>
            </w:tcBorders>
          </w:tcPr>
          <w:p w14:paraId="60958CD7">
            <w:pPr>
              <w:pStyle w:val="27"/>
              <w:autoSpaceDE/>
              <w:autoSpaceDN/>
              <w:spacing w:before="0" w:beforeLines="0" w:after="0" w:afterLines="0" w:line="279" w:lineRule="auto"/>
              <w:ind w:firstLine="0" w:firstLineChars="0"/>
              <w:rPr>
                <w:szCs w:val="20"/>
              </w:rPr>
            </w:pPr>
          </w:p>
        </w:tc>
      </w:tr>
      <w:tr w14:paraId="50303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25" w:type="dxa"/>
            <w:vMerge w:val="continue"/>
            <w:tcBorders>
              <w:left w:val="single" w:color="000000" w:sz="4" w:space="0"/>
              <w:right w:val="single" w:color="000000" w:sz="4" w:space="0"/>
            </w:tcBorders>
            <w:vAlign w:val="center"/>
          </w:tcPr>
          <w:p w14:paraId="608084AF">
            <w:pPr>
              <w:pStyle w:val="27"/>
              <w:autoSpaceDE/>
              <w:autoSpaceDN/>
              <w:spacing w:beforeLines="0" w:after="0" w:afterLines="0" w:line="279" w:lineRule="auto"/>
              <w:ind w:firstLine="0" w:firstLineChars="0"/>
              <w:jc w:val="center"/>
              <w:rPr>
                <w:b/>
                <w:bCs/>
                <w:szCs w:val="18"/>
              </w:rPr>
            </w:pPr>
          </w:p>
        </w:tc>
        <w:tc>
          <w:tcPr>
            <w:tcW w:w="1975" w:type="dxa"/>
            <w:vMerge w:val="continue"/>
            <w:tcBorders>
              <w:left w:val="single" w:color="000000" w:sz="4" w:space="0"/>
              <w:right w:val="single" w:color="000000" w:sz="4" w:space="0"/>
            </w:tcBorders>
            <w:vAlign w:val="center"/>
          </w:tcPr>
          <w:p w14:paraId="3D6F0E75">
            <w:pPr>
              <w:pStyle w:val="27"/>
              <w:autoSpaceDE/>
              <w:autoSpaceDN/>
              <w:spacing w:beforeLines="0" w:after="0" w:afterLines="0" w:line="279" w:lineRule="auto"/>
              <w:ind w:firstLine="0" w:firstLineChars="0"/>
              <w:rPr>
                <w:b/>
                <w:bCs/>
                <w:szCs w:val="18"/>
              </w:rPr>
            </w:pPr>
          </w:p>
        </w:tc>
        <w:tc>
          <w:tcPr>
            <w:tcW w:w="2000" w:type="dxa"/>
            <w:gridSpan w:val="2"/>
            <w:tcBorders>
              <w:top w:val="single" w:color="000000" w:sz="4" w:space="0"/>
              <w:left w:val="single" w:color="000000" w:sz="4" w:space="0"/>
              <w:bottom w:val="single" w:color="000000" w:sz="4" w:space="0"/>
              <w:right w:val="single" w:color="000000" w:sz="4" w:space="0"/>
            </w:tcBorders>
          </w:tcPr>
          <w:p w14:paraId="688A7305">
            <w:pPr>
              <w:pStyle w:val="27"/>
              <w:autoSpaceDE/>
              <w:autoSpaceDN/>
              <w:spacing w:before="0" w:beforeLines="0" w:after="0" w:afterLines="0" w:line="279" w:lineRule="auto"/>
              <w:ind w:firstLine="0" w:firstLineChars="0"/>
              <w:rPr>
                <w:szCs w:val="18"/>
              </w:rPr>
            </w:pPr>
            <w:r>
              <w:rPr>
                <w:rFonts w:hint="eastAsia"/>
                <w:szCs w:val="18"/>
              </w:rPr>
              <w:t>样本数量</w:t>
            </w:r>
          </w:p>
        </w:tc>
        <w:tc>
          <w:tcPr>
            <w:tcW w:w="1425" w:type="dxa"/>
            <w:gridSpan w:val="2"/>
            <w:tcBorders>
              <w:top w:val="single" w:color="000000" w:sz="4" w:space="0"/>
              <w:left w:val="single" w:color="000000" w:sz="4" w:space="0"/>
              <w:bottom w:val="single" w:color="000000" w:sz="4" w:space="0"/>
              <w:right w:val="single" w:color="auto" w:sz="4" w:space="0"/>
            </w:tcBorders>
          </w:tcPr>
          <w:p w14:paraId="226B82D3">
            <w:pPr>
              <w:pStyle w:val="27"/>
              <w:autoSpaceDE/>
              <w:autoSpaceDN/>
              <w:spacing w:before="0" w:beforeLines="0" w:after="0" w:afterLines="0" w:line="279" w:lineRule="auto"/>
              <w:ind w:firstLine="0" w:firstLineChars="0"/>
              <w:rPr>
                <w:szCs w:val="18"/>
              </w:rPr>
            </w:pPr>
          </w:p>
        </w:tc>
        <w:tc>
          <w:tcPr>
            <w:tcW w:w="1595" w:type="dxa"/>
            <w:gridSpan w:val="3"/>
            <w:tcBorders>
              <w:top w:val="single" w:color="000000" w:sz="4" w:space="0"/>
              <w:left w:val="single" w:color="auto" w:sz="4" w:space="0"/>
              <w:bottom w:val="single" w:color="000000" w:sz="4" w:space="0"/>
              <w:right w:val="single" w:color="auto" w:sz="4" w:space="0"/>
            </w:tcBorders>
          </w:tcPr>
          <w:p w14:paraId="1186A3BC">
            <w:pPr>
              <w:pStyle w:val="27"/>
              <w:autoSpaceDE/>
              <w:autoSpaceDN/>
              <w:spacing w:before="0" w:beforeLines="0" w:after="0" w:afterLines="0" w:line="279" w:lineRule="auto"/>
              <w:ind w:firstLine="0" w:firstLineChars="0"/>
              <w:rPr>
                <w:szCs w:val="18"/>
              </w:rPr>
            </w:pPr>
            <w:r>
              <w:rPr>
                <w:rFonts w:hint="eastAsia"/>
                <w:szCs w:val="18"/>
              </w:rPr>
              <w:t>样本选择方法</w:t>
            </w:r>
          </w:p>
        </w:tc>
        <w:tc>
          <w:tcPr>
            <w:tcW w:w="1202" w:type="dxa"/>
            <w:gridSpan w:val="3"/>
            <w:tcBorders>
              <w:top w:val="single" w:color="000000" w:sz="4" w:space="0"/>
              <w:left w:val="single" w:color="auto" w:sz="4" w:space="0"/>
              <w:bottom w:val="single" w:color="000000" w:sz="4" w:space="0"/>
              <w:right w:val="single" w:color="000000" w:sz="4" w:space="0"/>
            </w:tcBorders>
          </w:tcPr>
          <w:p w14:paraId="754416EB">
            <w:pPr>
              <w:pStyle w:val="27"/>
              <w:autoSpaceDE/>
              <w:autoSpaceDN/>
              <w:spacing w:before="0" w:beforeLines="0" w:after="0" w:afterLines="0" w:line="279" w:lineRule="auto"/>
              <w:ind w:firstLine="0" w:firstLineChars="0"/>
              <w:rPr>
                <w:szCs w:val="18"/>
              </w:rPr>
            </w:pPr>
          </w:p>
        </w:tc>
      </w:tr>
      <w:tr w14:paraId="2AAC7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25" w:type="dxa"/>
            <w:vMerge w:val="continue"/>
            <w:tcBorders>
              <w:left w:val="single" w:color="000000" w:sz="4" w:space="0"/>
              <w:right w:val="single" w:color="000000" w:sz="4" w:space="0"/>
            </w:tcBorders>
            <w:vAlign w:val="center"/>
          </w:tcPr>
          <w:p w14:paraId="6561701D">
            <w:pPr>
              <w:pStyle w:val="27"/>
              <w:autoSpaceDE/>
              <w:autoSpaceDN/>
              <w:spacing w:beforeLines="0" w:after="0" w:afterLines="0" w:line="279" w:lineRule="auto"/>
              <w:ind w:firstLine="0" w:firstLineChars="0"/>
              <w:jc w:val="center"/>
              <w:rPr>
                <w:b/>
                <w:bCs/>
                <w:szCs w:val="20"/>
              </w:rPr>
            </w:pPr>
          </w:p>
        </w:tc>
        <w:tc>
          <w:tcPr>
            <w:tcW w:w="1975" w:type="dxa"/>
            <w:vMerge w:val="restart"/>
            <w:tcBorders>
              <w:top w:val="single" w:color="000000" w:sz="4" w:space="0"/>
              <w:left w:val="single" w:color="000000" w:sz="4" w:space="0"/>
              <w:right w:val="single" w:color="000000" w:sz="4" w:space="0"/>
            </w:tcBorders>
            <w:vAlign w:val="center"/>
          </w:tcPr>
          <w:p w14:paraId="6616FDDF">
            <w:pPr>
              <w:pStyle w:val="27"/>
              <w:autoSpaceDE/>
              <w:autoSpaceDN/>
              <w:spacing w:beforeLines="0" w:after="0" w:afterLines="0" w:line="279" w:lineRule="auto"/>
              <w:ind w:firstLine="0" w:firstLineChars="0"/>
              <w:rPr>
                <w:b/>
                <w:bCs/>
                <w:szCs w:val="18"/>
              </w:rPr>
            </w:pPr>
            <w:bookmarkStart w:id="236" w:name="OLE_LINK106"/>
            <w:r>
              <w:rPr>
                <w:rFonts w:hint="eastAsia"/>
                <w:b/>
                <w:bCs/>
                <w:szCs w:val="18"/>
              </w:rPr>
              <w:t>间接检验法  □</w:t>
            </w:r>
          </w:p>
          <w:bookmarkEnd w:id="236"/>
          <w:p w14:paraId="1B163F16">
            <w:pPr>
              <w:pStyle w:val="27"/>
              <w:autoSpaceDE/>
              <w:autoSpaceDN/>
              <w:spacing w:beforeLines="0" w:after="0" w:afterLines="0" w:line="279" w:lineRule="auto"/>
              <w:ind w:firstLine="0" w:firstLineChars="0"/>
              <w:rPr>
                <w:szCs w:val="18"/>
              </w:rPr>
            </w:pPr>
          </w:p>
        </w:tc>
        <w:tc>
          <w:tcPr>
            <w:tcW w:w="2000" w:type="dxa"/>
            <w:gridSpan w:val="2"/>
            <w:tcBorders>
              <w:top w:val="single" w:color="000000" w:sz="4" w:space="0"/>
              <w:left w:val="single" w:color="000000" w:sz="4" w:space="0"/>
              <w:bottom w:val="single" w:color="000000" w:sz="4" w:space="0"/>
              <w:right w:val="single" w:color="000000" w:sz="4" w:space="0"/>
            </w:tcBorders>
          </w:tcPr>
          <w:p w14:paraId="3F7EF81F">
            <w:pPr>
              <w:pStyle w:val="27"/>
              <w:autoSpaceDE/>
              <w:autoSpaceDN/>
              <w:spacing w:before="0" w:beforeLines="0" w:after="0" w:afterLines="0" w:line="279" w:lineRule="auto"/>
              <w:ind w:firstLine="0" w:firstLineChars="0"/>
              <w:rPr>
                <w:szCs w:val="18"/>
              </w:rPr>
            </w:pPr>
            <w:r>
              <w:rPr>
                <w:szCs w:val="18"/>
              </w:rPr>
              <w:t>空间重采样分辨率</w:t>
            </w:r>
          </w:p>
        </w:tc>
        <w:tc>
          <w:tcPr>
            <w:tcW w:w="4222" w:type="dxa"/>
            <w:gridSpan w:val="8"/>
            <w:tcBorders>
              <w:top w:val="single" w:color="000000" w:sz="4" w:space="0"/>
              <w:left w:val="single" w:color="000000" w:sz="4" w:space="0"/>
              <w:bottom w:val="single" w:color="000000" w:sz="4" w:space="0"/>
              <w:right w:val="single" w:color="000000" w:sz="4" w:space="0"/>
            </w:tcBorders>
          </w:tcPr>
          <w:p w14:paraId="0501A1E5">
            <w:pPr>
              <w:pStyle w:val="27"/>
              <w:autoSpaceDE/>
              <w:autoSpaceDN/>
              <w:spacing w:before="0" w:beforeLines="0" w:after="0" w:afterLines="0" w:line="279" w:lineRule="auto"/>
              <w:ind w:firstLine="0" w:firstLineChars="0"/>
              <w:rPr>
                <w:szCs w:val="20"/>
              </w:rPr>
            </w:pPr>
          </w:p>
        </w:tc>
      </w:tr>
      <w:tr w14:paraId="67EE0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25" w:type="dxa"/>
            <w:vMerge w:val="continue"/>
            <w:tcBorders>
              <w:left w:val="single" w:color="000000" w:sz="4" w:space="0"/>
              <w:right w:val="single" w:color="000000" w:sz="4" w:space="0"/>
            </w:tcBorders>
            <w:vAlign w:val="center"/>
          </w:tcPr>
          <w:p w14:paraId="36A3F28B">
            <w:pPr>
              <w:pStyle w:val="27"/>
              <w:autoSpaceDE/>
              <w:autoSpaceDN/>
              <w:spacing w:beforeLines="0" w:after="0" w:afterLines="0" w:line="279" w:lineRule="auto"/>
              <w:ind w:firstLine="0" w:firstLineChars="0"/>
              <w:jc w:val="center"/>
              <w:rPr>
                <w:b/>
                <w:bCs/>
                <w:szCs w:val="20"/>
              </w:rPr>
            </w:pPr>
          </w:p>
        </w:tc>
        <w:tc>
          <w:tcPr>
            <w:tcW w:w="1975" w:type="dxa"/>
            <w:vMerge w:val="continue"/>
            <w:tcBorders>
              <w:left w:val="single" w:color="000000" w:sz="4" w:space="0"/>
              <w:right w:val="single" w:color="000000" w:sz="4" w:space="0"/>
            </w:tcBorders>
            <w:vAlign w:val="center"/>
          </w:tcPr>
          <w:p w14:paraId="4A9C9C4E">
            <w:pPr>
              <w:pStyle w:val="27"/>
              <w:autoSpaceDE/>
              <w:autoSpaceDN/>
              <w:spacing w:beforeLines="0" w:after="0" w:afterLines="0" w:line="279" w:lineRule="auto"/>
              <w:ind w:firstLine="0" w:firstLineChars="0"/>
              <w:rPr>
                <w:szCs w:val="18"/>
              </w:rPr>
            </w:pPr>
          </w:p>
        </w:tc>
        <w:tc>
          <w:tcPr>
            <w:tcW w:w="2000" w:type="dxa"/>
            <w:gridSpan w:val="2"/>
            <w:tcBorders>
              <w:top w:val="single" w:color="000000" w:sz="4" w:space="0"/>
              <w:left w:val="single" w:color="000000" w:sz="4" w:space="0"/>
              <w:bottom w:val="single" w:color="000000" w:sz="4" w:space="0"/>
              <w:right w:val="single" w:color="000000" w:sz="4" w:space="0"/>
            </w:tcBorders>
          </w:tcPr>
          <w:p w14:paraId="7525460F">
            <w:pPr>
              <w:pStyle w:val="27"/>
              <w:autoSpaceDE/>
              <w:autoSpaceDN/>
              <w:spacing w:before="0" w:beforeLines="0" w:after="0" w:afterLines="0" w:line="279" w:lineRule="auto"/>
              <w:ind w:firstLine="0" w:firstLineChars="0"/>
              <w:rPr>
                <w:szCs w:val="18"/>
              </w:rPr>
            </w:pPr>
            <w:r>
              <w:rPr>
                <w:rFonts w:hint="eastAsia"/>
                <w:szCs w:val="18"/>
              </w:rPr>
              <w:t>时间匹配窗口</w:t>
            </w:r>
          </w:p>
        </w:tc>
        <w:tc>
          <w:tcPr>
            <w:tcW w:w="4222" w:type="dxa"/>
            <w:gridSpan w:val="8"/>
            <w:tcBorders>
              <w:top w:val="single" w:color="000000" w:sz="4" w:space="0"/>
              <w:left w:val="single" w:color="000000" w:sz="4" w:space="0"/>
              <w:bottom w:val="single" w:color="000000" w:sz="4" w:space="0"/>
              <w:right w:val="single" w:color="000000" w:sz="4" w:space="0"/>
            </w:tcBorders>
          </w:tcPr>
          <w:p w14:paraId="31FD929B">
            <w:pPr>
              <w:pStyle w:val="27"/>
              <w:autoSpaceDE/>
              <w:autoSpaceDN/>
              <w:spacing w:before="0" w:beforeLines="0" w:after="0" w:afterLines="0" w:line="279" w:lineRule="auto"/>
              <w:ind w:firstLine="0" w:firstLineChars="0"/>
              <w:rPr>
                <w:szCs w:val="20"/>
              </w:rPr>
            </w:pPr>
          </w:p>
        </w:tc>
      </w:tr>
      <w:tr w14:paraId="3C482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125" w:type="dxa"/>
            <w:vMerge w:val="continue"/>
            <w:tcBorders>
              <w:left w:val="single" w:color="000000" w:sz="4" w:space="0"/>
              <w:bottom w:val="single" w:color="000000" w:sz="4" w:space="0"/>
              <w:right w:val="single" w:color="000000" w:sz="4" w:space="0"/>
            </w:tcBorders>
            <w:vAlign w:val="center"/>
          </w:tcPr>
          <w:p w14:paraId="30899D35">
            <w:pPr>
              <w:pStyle w:val="27"/>
              <w:autoSpaceDE/>
              <w:autoSpaceDN/>
              <w:spacing w:beforeLines="0" w:after="0" w:afterLines="0" w:line="279" w:lineRule="auto"/>
              <w:ind w:firstLine="0" w:firstLineChars="0"/>
              <w:jc w:val="center"/>
              <w:rPr>
                <w:b/>
                <w:bCs/>
                <w:szCs w:val="18"/>
              </w:rPr>
            </w:pPr>
          </w:p>
        </w:tc>
        <w:tc>
          <w:tcPr>
            <w:tcW w:w="1975" w:type="dxa"/>
            <w:vMerge w:val="continue"/>
            <w:tcBorders>
              <w:left w:val="single" w:color="000000" w:sz="4" w:space="0"/>
              <w:bottom w:val="single" w:color="000000" w:sz="4" w:space="0"/>
              <w:right w:val="single" w:color="000000" w:sz="4" w:space="0"/>
            </w:tcBorders>
            <w:vAlign w:val="center"/>
          </w:tcPr>
          <w:p w14:paraId="2A60D272">
            <w:pPr>
              <w:pStyle w:val="27"/>
              <w:autoSpaceDE/>
              <w:autoSpaceDN/>
              <w:spacing w:beforeLines="0" w:after="0" w:afterLines="0" w:line="279" w:lineRule="auto"/>
              <w:ind w:firstLine="0" w:firstLineChars="0"/>
              <w:rPr>
                <w:szCs w:val="18"/>
              </w:rPr>
            </w:pPr>
          </w:p>
        </w:tc>
        <w:tc>
          <w:tcPr>
            <w:tcW w:w="2000" w:type="dxa"/>
            <w:gridSpan w:val="2"/>
            <w:tcBorders>
              <w:top w:val="single" w:color="000000" w:sz="4" w:space="0"/>
              <w:left w:val="single" w:color="000000" w:sz="4" w:space="0"/>
              <w:bottom w:val="single" w:color="000000" w:sz="4" w:space="0"/>
              <w:right w:val="single" w:color="000000" w:sz="4" w:space="0"/>
            </w:tcBorders>
            <w:vAlign w:val="center"/>
          </w:tcPr>
          <w:p w14:paraId="5F76313C">
            <w:pPr>
              <w:pStyle w:val="27"/>
              <w:autoSpaceDE/>
              <w:autoSpaceDN/>
              <w:spacing w:before="0" w:beforeLines="0" w:after="0" w:afterLines="0" w:line="279" w:lineRule="auto"/>
              <w:ind w:firstLine="0" w:firstLineChars="0"/>
              <w:rPr>
                <w:szCs w:val="18"/>
              </w:rPr>
            </w:pPr>
            <w:r>
              <w:rPr>
                <w:rFonts w:hint="eastAsia"/>
                <w:szCs w:val="18"/>
              </w:rPr>
              <w:t>样本数量</w:t>
            </w:r>
          </w:p>
        </w:tc>
        <w:tc>
          <w:tcPr>
            <w:tcW w:w="1562" w:type="dxa"/>
            <w:gridSpan w:val="3"/>
            <w:tcBorders>
              <w:top w:val="single" w:color="000000" w:sz="4" w:space="0"/>
              <w:left w:val="single" w:color="000000" w:sz="4" w:space="0"/>
              <w:bottom w:val="single" w:color="000000" w:sz="4" w:space="0"/>
              <w:right w:val="single" w:color="auto" w:sz="4" w:space="0"/>
            </w:tcBorders>
          </w:tcPr>
          <w:p w14:paraId="544BB21F">
            <w:pPr>
              <w:pStyle w:val="27"/>
              <w:autoSpaceDE/>
              <w:autoSpaceDN/>
              <w:spacing w:before="0" w:beforeLines="0" w:after="0" w:afterLines="0" w:line="279" w:lineRule="auto"/>
              <w:ind w:firstLine="1260" w:firstLineChars="600"/>
              <w:rPr>
                <w:szCs w:val="18"/>
              </w:rPr>
            </w:pPr>
          </w:p>
        </w:tc>
        <w:tc>
          <w:tcPr>
            <w:tcW w:w="1575" w:type="dxa"/>
            <w:gridSpan w:val="3"/>
            <w:tcBorders>
              <w:top w:val="single" w:color="000000" w:sz="4" w:space="0"/>
              <w:left w:val="single" w:color="000000" w:sz="4" w:space="0"/>
              <w:bottom w:val="single" w:color="000000" w:sz="4" w:space="0"/>
              <w:right w:val="single" w:color="auto" w:sz="4" w:space="0"/>
            </w:tcBorders>
          </w:tcPr>
          <w:p w14:paraId="76FD3B9B">
            <w:pPr>
              <w:pStyle w:val="27"/>
              <w:autoSpaceDE/>
              <w:autoSpaceDN/>
              <w:spacing w:before="0" w:beforeLines="0" w:after="0" w:afterLines="0" w:line="279" w:lineRule="auto"/>
              <w:ind w:firstLine="0" w:firstLineChars="0"/>
              <w:rPr>
                <w:szCs w:val="18"/>
              </w:rPr>
            </w:pPr>
            <w:r>
              <w:rPr>
                <w:rFonts w:hint="eastAsia"/>
                <w:szCs w:val="18"/>
              </w:rPr>
              <w:t>样本选择方法</w:t>
            </w:r>
          </w:p>
        </w:tc>
        <w:tc>
          <w:tcPr>
            <w:tcW w:w="1085" w:type="dxa"/>
            <w:gridSpan w:val="2"/>
            <w:tcBorders>
              <w:top w:val="single" w:color="000000" w:sz="4" w:space="0"/>
              <w:left w:val="single" w:color="auto" w:sz="4" w:space="0"/>
              <w:bottom w:val="single" w:color="000000" w:sz="4" w:space="0"/>
              <w:right w:val="single" w:color="000000" w:sz="4" w:space="0"/>
            </w:tcBorders>
          </w:tcPr>
          <w:p w14:paraId="6BE49C2C">
            <w:pPr>
              <w:pStyle w:val="27"/>
              <w:autoSpaceDE/>
              <w:autoSpaceDN/>
              <w:spacing w:before="0" w:beforeLines="0" w:after="0" w:afterLines="0" w:line="279" w:lineRule="auto"/>
              <w:ind w:firstLine="0" w:firstLineChars="0"/>
              <w:rPr>
                <w:szCs w:val="18"/>
              </w:rPr>
            </w:pPr>
          </w:p>
        </w:tc>
      </w:tr>
      <w:tr w14:paraId="66B0C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125" w:type="dxa"/>
            <w:vMerge w:val="restart"/>
            <w:tcBorders>
              <w:top w:val="single" w:color="000000" w:sz="4" w:space="0"/>
              <w:left w:val="single" w:color="000000" w:sz="4" w:space="0"/>
              <w:bottom w:val="single" w:color="000000" w:sz="4" w:space="0"/>
              <w:right w:val="single" w:color="000000" w:sz="4" w:space="0"/>
            </w:tcBorders>
            <w:vAlign w:val="center"/>
          </w:tcPr>
          <w:p w14:paraId="384D9B23">
            <w:pPr>
              <w:pStyle w:val="27"/>
              <w:autoSpaceDE/>
              <w:autoSpaceDN/>
              <w:spacing w:beforeLines="0" w:after="0" w:afterLines="0" w:line="279" w:lineRule="auto"/>
              <w:ind w:firstLine="0" w:firstLineChars="0"/>
              <w:jc w:val="center"/>
              <w:rPr>
                <w:b/>
                <w:bCs/>
                <w:szCs w:val="20"/>
              </w:rPr>
            </w:pPr>
            <w:r>
              <w:rPr>
                <w:rFonts w:hint="eastAsia"/>
                <w:b/>
                <w:bCs/>
                <w:szCs w:val="20"/>
              </w:rPr>
              <w:t>检验</w:t>
            </w:r>
          </w:p>
          <w:p w14:paraId="144568D5">
            <w:pPr>
              <w:pStyle w:val="27"/>
              <w:autoSpaceDE/>
              <w:autoSpaceDN/>
              <w:spacing w:beforeLines="0" w:after="0" w:afterLines="0" w:line="279" w:lineRule="auto"/>
              <w:ind w:firstLine="0" w:firstLineChars="0"/>
              <w:jc w:val="center"/>
              <w:rPr>
                <w:b/>
                <w:bCs/>
                <w:szCs w:val="20"/>
              </w:rPr>
            </w:pPr>
            <w:r>
              <w:rPr>
                <w:rFonts w:hint="eastAsia"/>
                <w:b/>
                <w:bCs/>
                <w:szCs w:val="20"/>
              </w:rPr>
              <w:t>结果</w:t>
            </w:r>
          </w:p>
        </w:tc>
        <w:tc>
          <w:tcPr>
            <w:tcW w:w="1975" w:type="dxa"/>
            <w:tcBorders>
              <w:top w:val="single" w:color="000000" w:sz="4" w:space="0"/>
              <w:left w:val="single" w:color="000000" w:sz="4" w:space="0"/>
              <w:bottom w:val="single" w:color="000000" w:sz="4" w:space="0"/>
              <w:right w:val="single" w:color="000000" w:sz="4" w:space="0"/>
            </w:tcBorders>
            <w:vAlign w:val="center"/>
          </w:tcPr>
          <w:p w14:paraId="45D3620F">
            <w:pPr>
              <w:pStyle w:val="27"/>
              <w:autoSpaceDE/>
              <w:autoSpaceDN/>
              <w:spacing w:beforeLines="0" w:after="0" w:afterLines="0" w:line="279" w:lineRule="auto"/>
              <w:ind w:firstLine="0" w:firstLineChars="0"/>
              <w:jc w:val="left"/>
              <w:rPr>
                <w:b/>
                <w:bCs/>
                <w:szCs w:val="20"/>
              </w:rPr>
            </w:pPr>
            <w:r>
              <w:rPr>
                <w:rFonts w:hint="eastAsia"/>
                <w:b/>
                <w:bCs/>
                <w:szCs w:val="20"/>
              </w:rPr>
              <w:t>准确度</w:t>
            </w:r>
            <w:bookmarkStart w:id="237" w:name="OLE_LINK29"/>
            <w:r>
              <w:rPr>
                <w:rFonts w:hint="eastAsia"/>
                <w:b/>
                <w:bCs/>
                <w:szCs w:val="20"/>
              </w:rPr>
              <w:t>评价</w:t>
            </w:r>
            <w:bookmarkEnd w:id="237"/>
            <w:r>
              <w:rPr>
                <w:rFonts w:hint="eastAsia"/>
                <w:b/>
                <w:bCs/>
                <w:szCs w:val="20"/>
              </w:rPr>
              <w:t>结果</w:t>
            </w:r>
          </w:p>
        </w:tc>
        <w:tc>
          <w:tcPr>
            <w:tcW w:w="1250" w:type="dxa"/>
            <w:tcBorders>
              <w:top w:val="single" w:color="000000" w:sz="4" w:space="0"/>
              <w:left w:val="single" w:color="000000" w:sz="4" w:space="0"/>
              <w:bottom w:val="single" w:color="000000" w:sz="4" w:space="0"/>
              <w:right w:val="single" w:color="auto" w:sz="4" w:space="0"/>
            </w:tcBorders>
            <w:vAlign w:val="center"/>
          </w:tcPr>
          <w:p w14:paraId="5965B982">
            <w:pPr>
              <w:pStyle w:val="27"/>
              <w:autoSpaceDE/>
              <w:autoSpaceDN/>
              <w:spacing w:beforeLines="0" w:after="0" w:afterLines="0" w:line="279" w:lineRule="auto"/>
              <w:ind w:firstLine="0" w:firstLineChars="0"/>
              <w:jc w:val="left"/>
              <w:rPr>
                <w:szCs w:val="20"/>
              </w:rPr>
            </w:pPr>
            <w:r>
              <w:rPr>
                <w:rFonts w:hint="eastAsia"/>
                <w:szCs w:val="20"/>
              </w:rPr>
              <w:t>均方根</w:t>
            </w:r>
          </w:p>
          <w:p w14:paraId="2E8A84D2">
            <w:pPr>
              <w:pStyle w:val="27"/>
              <w:autoSpaceDE/>
              <w:autoSpaceDN/>
              <w:spacing w:beforeLines="0" w:after="0" w:afterLines="0" w:line="279" w:lineRule="auto"/>
              <w:ind w:firstLine="0" w:firstLineChars="0"/>
              <w:jc w:val="left"/>
              <w:rPr>
                <w:szCs w:val="20"/>
              </w:rPr>
            </w:pPr>
            <w:r>
              <w:rPr>
                <w:rFonts w:hint="eastAsia"/>
                <w:szCs w:val="20"/>
              </w:rPr>
              <w:t>误差</w:t>
            </w:r>
          </w:p>
        </w:tc>
        <w:tc>
          <w:tcPr>
            <w:tcW w:w="950" w:type="dxa"/>
            <w:gridSpan w:val="2"/>
            <w:tcBorders>
              <w:top w:val="single" w:color="000000" w:sz="4" w:space="0"/>
              <w:left w:val="single" w:color="auto" w:sz="4" w:space="0"/>
              <w:bottom w:val="single" w:color="000000" w:sz="4" w:space="0"/>
              <w:right w:val="single" w:color="auto" w:sz="4" w:space="0"/>
            </w:tcBorders>
            <w:vAlign w:val="center"/>
          </w:tcPr>
          <w:p w14:paraId="131648E7">
            <w:pPr>
              <w:pStyle w:val="27"/>
              <w:autoSpaceDE/>
              <w:autoSpaceDN/>
              <w:spacing w:beforeLines="0" w:after="0" w:afterLines="0" w:line="279" w:lineRule="auto"/>
              <w:ind w:firstLine="0" w:firstLineChars="0"/>
              <w:jc w:val="left"/>
              <w:rPr>
                <w:szCs w:val="20"/>
              </w:rPr>
            </w:pPr>
          </w:p>
        </w:tc>
        <w:tc>
          <w:tcPr>
            <w:tcW w:w="1225" w:type="dxa"/>
            <w:tcBorders>
              <w:top w:val="single" w:color="000000" w:sz="4" w:space="0"/>
              <w:left w:val="single" w:color="auto" w:sz="4" w:space="0"/>
              <w:bottom w:val="single" w:color="000000" w:sz="4" w:space="0"/>
              <w:right w:val="single" w:color="auto" w:sz="4" w:space="0"/>
            </w:tcBorders>
            <w:vAlign w:val="center"/>
          </w:tcPr>
          <w:p w14:paraId="58F78CE0">
            <w:pPr>
              <w:pStyle w:val="27"/>
              <w:autoSpaceDE/>
              <w:autoSpaceDN/>
              <w:spacing w:beforeLines="0" w:after="0" w:afterLines="0" w:line="279" w:lineRule="auto"/>
              <w:ind w:firstLine="0" w:firstLineChars="0"/>
              <w:jc w:val="left"/>
              <w:rPr>
                <w:szCs w:val="18"/>
              </w:rPr>
            </w:pPr>
            <w:r>
              <w:rPr>
                <w:rFonts w:hint="eastAsia"/>
                <w:szCs w:val="20"/>
              </w:rPr>
              <w:t>相关系数</w:t>
            </w:r>
          </w:p>
        </w:tc>
        <w:tc>
          <w:tcPr>
            <w:tcW w:w="912" w:type="dxa"/>
            <w:gridSpan w:val="2"/>
            <w:tcBorders>
              <w:top w:val="single" w:color="000000" w:sz="4" w:space="0"/>
              <w:left w:val="single" w:color="auto" w:sz="4" w:space="0"/>
              <w:bottom w:val="single" w:color="000000" w:sz="4" w:space="0"/>
              <w:right w:val="single" w:color="auto" w:sz="4" w:space="0"/>
            </w:tcBorders>
            <w:vAlign w:val="center"/>
          </w:tcPr>
          <w:p w14:paraId="2BE447BD">
            <w:pPr>
              <w:pStyle w:val="27"/>
              <w:autoSpaceDE/>
              <w:autoSpaceDN/>
              <w:spacing w:beforeLines="0" w:after="0" w:afterLines="0" w:line="279" w:lineRule="auto"/>
              <w:ind w:firstLine="0" w:firstLineChars="0"/>
              <w:jc w:val="left"/>
              <w:rPr>
                <w:szCs w:val="20"/>
              </w:rPr>
            </w:pPr>
          </w:p>
        </w:tc>
        <w:tc>
          <w:tcPr>
            <w:tcW w:w="1025" w:type="dxa"/>
            <w:gridSpan w:val="3"/>
            <w:tcBorders>
              <w:top w:val="single" w:color="000000" w:sz="4" w:space="0"/>
              <w:left w:val="single" w:color="auto" w:sz="4" w:space="0"/>
              <w:bottom w:val="single" w:color="000000" w:sz="4" w:space="0"/>
              <w:right w:val="single" w:color="auto" w:sz="4" w:space="0"/>
            </w:tcBorders>
            <w:vAlign w:val="center"/>
          </w:tcPr>
          <w:p w14:paraId="6FA0F9BF">
            <w:pPr>
              <w:pStyle w:val="27"/>
              <w:autoSpaceDE/>
              <w:autoSpaceDN/>
              <w:spacing w:beforeLines="0" w:after="0" w:afterLines="0" w:line="279" w:lineRule="auto"/>
              <w:ind w:firstLine="0" w:firstLineChars="0"/>
              <w:jc w:val="left"/>
              <w:rPr>
                <w:szCs w:val="18"/>
              </w:rPr>
            </w:pPr>
            <w:r>
              <w:rPr>
                <w:rFonts w:hint="eastAsia"/>
                <w:szCs w:val="18"/>
              </w:rPr>
              <w:t>平均绝对误差</w:t>
            </w:r>
          </w:p>
        </w:tc>
        <w:tc>
          <w:tcPr>
            <w:tcW w:w="860" w:type="dxa"/>
            <w:tcBorders>
              <w:top w:val="single" w:color="000000" w:sz="4" w:space="0"/>
              <w:left w:val="single" w:color="auto" w:sz="4" w:space="0"/>
              <w:bottom w:val="single" w:color="000000" w:sz="4" w:space="0"/>
              <w:right w:val="single" w:color="000000" w:sz="4" w:space="0"/>
            </w:tcBorders>
            <w:vAlign w:val="center"/>
          </w:tcPr>
          <w:p w14:paraId="0D99F74C">
            <w:pPr>
              <w:pStyle w:val="27"/>
              <w:autoSpaceDE/>
              <w:autoSpaceDN/>
              <w:spacing w:beforeLines="0" w:after="0" w:afterLines="0" w:line="279" w:lineRule="auto"/>
              <w:ind w:firstLine="0" w:firstLineChars="0"/>
              <w:jc w:val="left"/>
              <w:rPr>
                <w:szCs w:val="18"/>
              </w:rPr>
            </w:pPr>
          </w:p>
        </w:tc>
      </w:tr>
      <w:tr w14:paraId="3A5B3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1125" w:type="dxa"/>
            <w:vMerge w:val="continue"/>
            <w:tcBorders>
              <w:top w:val="single" w:color="000000" w:sz="4" w:space="0"/>
              <w:left w:val="single" w:color="000000" w:sz="4" w:space="0"/>
              <w:bottom w:val="single" w:color="000000" w:sz="4" w:space="0"/>
              <w:right w:val="single" w:color="000000" w:sz="4" w:space="0"/>
            </w:tcBorders>
            <w:vAlign w:val="center"/>
          </w:tcPr>
          <w:p w14:paraId="271F772F">
            <w:pPr>
              <w:pStyle w:val="27"/>
              <w:autoSpaceDE/>
              <w:autoSpaceDN/>
              <w:spacing w:beforeLines="0" w:after="0" w:afterLines="0" w:line="279" w:lineRule="auto"/>
              <w:ind w:firstLine="0" w:firstLineChars="0"/>
              <w:jc w:val="center"/>
              <w:rPr>
                <w:b/>
                <w:bCs/>
                <w:szCs w:val="20"/>
              </w:rPr>
            </w:pPr>
          </w:p>
        </w:tc>
        <w:tc>
          <w:tcPr>
            <w:tcW w:w="1975" w:type="dxa"/>
            <w:tcBorders>
              <w:top w:val="single" w:color="000000" w:sz="4" w:space="0"/>
              <w:left w:val="single" w:color="000000" w:sz="4" w:space="0"/>
              <w:bottom w:val="single" w:color="000000" w:sz="4" w:space="0"/>
              <w:right w:val="single" w:color="000000" w:sz="4" w:space="0"/>
            </w:tcBorders>
            <w:vAlign w:val="center"/>
          </w:tcPr>
          <w:p w14:paraId="7D2C1B44">
            <w:pPr>
              <w:pStyle w:val="27"/>
              <w:autoSpaceDE/>
              <w:autoSpaceDN/>
              <w:spacing w:beforeLines="0" w:after="0" w:afterLines="0" w:line="279" w:lineRule="auto"/>
              <w:ind w:firstLine="0" w:firstLineChars="0"/>
              <w:jc w:val="left"/>
              <w:rPr>
                <w:b/>
                <w:bCs/>
                <w:szCs w:val="20"/>
              </w:rPr>
            </w:pPr>
            <w:r>
              <w:rPr>
                <w:rFonts w:hint="eastAsia"/>
                <w:b/>
                <w:bCs/>
                <w:szCs w:val="20"/>
              </w:rPr>
              <w:t>不确定度评价结果</w:t>
            </w:r>
          </w:p>
        </w:tc>
        <w:tc>
          <w:tcPr>
            <w:tcW w:w="2000" w:type="dxa"/>
            <w:gridSpan w:val="2"/>
            <w:tcBorders>
              <w:top w:val="single" w:color="000000" w:sz="4" w:space="0"/>
              <w:left w:val="single" w:color="000000" w:sz="4" w:space="0"/>
              <w:bottom w:val="single" w:color="000000" w:sz="4" w:space="0"/>
              <w:right w:val="single" w:color="auto" w:sz="4" w:space="0"/>
            </w:tcBorders>
            <w:vAlign w:val="center"/>
          </w:tcPr>
          <w:p w14:paraId="201EEDB3">
            <w:pPr>
              <w:pStyle w:val="27"/>
              <w:autoSpaceDE/>
              <w:autoSpaceDN/>
              <w:spacing w:beforeLines="0" w:after="0" w:afterLines="0" w:line="279" w:lineRule="auto"/>
              <w:ind w:firstLine="0" w:firstLineChars="0"/>
              <w:jc w:val="left"/>
              <w:rPr>
                <w:szCs w:val="20"/>
              </w:rPr>
            </w:pPr>
            <w:r>
              <w:rPr>
                <w:rFonts w:hint="eastAsia"/>
                <w:szCs w:val="20"/>
              </w:rPr>
              <w:t>标准差</w:t>
            </w:r>
          </w:p>
        </w:tc>
        <w:tc>
          <w:tcPr>
            <w:tcW w:w="4222" w:type="dxa"/>
            <w:gridSpan w:val="8"/>
            <w:tcBorders>
              <w:top w:val="single" w:color="000000" w:sz="4" w:space="0"/>
              <w:left w:val="single" w:color="auto" w:sz="4" w:space="0"/>
              <w:bottom w:val="single" w:color="000000" w:sz="4" w:space="0"/>
              <w:right w:val="single" w:color="000000" w:sz="4" w:space="0"/>
            </w:tcBorders>
            <w:vAlign w:val="center"/>
          </w:tcPr>
          <w:p w14:paraId="5D91B861">
            <w:pPr>
              <w:pStyle w:val="27"/>
              <w:autoSpaceDE/>
              <w:autoSpaceDN/>
              <w:spacing w:beforeLines="0" w:after="0" w:afterLines="0" w:line="279" w:lineRule="auto"/>
              <w:ind w:firstLine="0" w:firstLineChars="0"/>
              <w:jc w:val="left"/>
              <w:rPr>
                <w:szCs w:val="18"/>
              </w:rPr>
            </w:pPr>
          </w:p>
        </w:tc>
      </w:tr>
      <w:tr w14:paraId="7C9BB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597D59DC">
            <w:pPr>
              <w:pStyle w:val="27"/>
              <w:autoSpaceDE/>
              <w:autoSpaceDN/>
              <w:spacing w:beforeLines="0" w:after="0" w:afterLines="0" w:line="279" w:lineRule="auto"/>
              <w:ind w:firstLine="0" w:firstLineChars="0"/>
              <w:rPr>
                <w:b/>
                <w:bCs/>
                <w:szCs w:val="20"/>
              </w:rPr>
            </w:pPr>
            <w:r>
              <w:rPr>
                <w:rFonts w:hint="eastAsia"/>
                <w:b/>
                <w:bCs/>
                <w:szCs w:val="20"/>
              </w:rPr>
              <w:t>总体评价</w:t>
            </w:r>
          </w:p>
        </w:tc>
        <w:tc>
          <w:tcPr>
            <w:tcW w:w="8197" w:type="dxa"/>
            <w:gridSpan w:val="11"/>
            <w:tcBorders>
              <w:top w:val="single" w:color="000000" w:sz="4" w:space="0"/>
              <w:left w:val="single" w:color="000000" w:sz="4" w:space="0"/>
              <w:bottom w:val="single" w:color="000000" w:sz="4" w:space="0"/>
              <w:right w:val="single" w:color="000000" w:sz="4" w:space="0"/>
            </w:tcBorders>
            <w:vAlign w:val="center"/>
          </w:tcPr>
          <w:p w14:paraId="38ED2470">
            <w:pPr>
              <w:pStyle w:val="27"/>
              <w:autoSpaceDE/>
              <w:autoSpaceDN/>
              <w:spacing w:beforeLines="0" w:after="0" w:afterLines="0" w:line="279" w:lineRule="auto"/>
              <w:ind w:firstLine="0" w:firstLineChars="0"/>
              <w:rPr>
                <w:b/>
                <w:bCs/>
                <w:szCs w:val="20"/>
              </w:rPr>
            </w:pPr>
          </w:p>
        </w:tc>
      </w:tr>
      <w:tr w14:paraId="4A829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1125" w:type="dxa"/>
            <w:vMerge w:val="restart"/>
            <w:tcBorders>
              <w:top w:val="single" w:color="000000" w:sz="4" w:space="0"/>
              <w:left w:val="single" w:color="000000" w:sz="4" w:space="0"/>
              <w:bottom w:val="single" w:color="000000" w:sz="4" w:space="0"/>
              <w:right w:val="single" w:color="000000" w:sz="4" w:space="0"/>
            </w:tcBorders>
            <w:vAlign w:val="center"/>
          </w:tcPr>
          <w:p w14:paraId="7D9C205E">
            <w:pPr>
              <w:pStyle w:val="27"/>
              <w:autoSpaceDE/>
              <w:autoSpaceDN/>
              <w:spacing w:beforeLines="0" w:after="0" w:afterLines="0" w:line="279" w:lineRule="auto"/>
              <w:ind w:firstLine="0" w:firstLineChars="0"/>
              <w:jc w:val="center"/>
              <w:rPr>
                <w:b/>
                <w:bCs/>
                <w:szCs w:val="20"/>
              </w:rPr>
            </w:pPr>
            <w:r>
              <w:rPr>
                <w:rFonts w:hint="eastAsia"/>
                <w:b/>
                <w:bCs/>
                <w:szCs w:val="20"/>
              </w:rPr>
              <w:t>操作人员描述</w:t>
            </w:r>
          </w:p>
        </w:tc>
        <w:tc>
          <w:tcPr>
            <w:tcW w:w="1975" w:type="dxa"/>
            <w:tcBorders>
              <w:top w:val="single" w:color="000000" w:sz="4" w:space="0"/>
              <w:left w:val="single" w:color="000000" w:sz="4" w:space="0"/>
              <w:bottom w:val="single" w:color="000000" w:sz="4" w:space="0"/>
              <w:right w:val="single" w:color="000000" w:sz="4" w:space="0"/>
            </w:tcBorders>
            <w:vAlign w:val="center"/>
          </w:tcPr>
          <w:p w14:paraId="69929F45">
            <w:pPr>
              <w:pStyle w:val="27"/>
              <w:autoSpaceDE/>
              <w:autoSpaceDN/>
              <w:spacing w:beforeLines="0" w:after="0" w:afterLines="0" w:line="279" w:lineRule="auto"/>
              <w:ind w:firstLine="0" w:firstLineChars="0"/>
              <w:rPr>
                <w:b/>
                <w:bCs/>
                <w:szCs w:val="20"/>
              </w:rPr>
            </w:pPr>
            <w:r>
              <w:rPr>
                <w:rFonts w:hint="eastAsia"/>
                <w:b/>
                <w:bCs/>
                <w:szCs w:val="20"/>
              </w:rPr>
              <w:t>检验人</w:t>
            </w:r>
          </w:p>
        </w:tc>
        <w:tc>
          <w:tcPr>
            <w:tcW w:w="2000" w:type="dxa"/>
            <w:gridSpan w:val="2"/>
            <w:tcBorders>
              <w:top w:val="single" w:color="000000" w:sz="4" w:space="0"/>
              <w:left w:val="single" w:color="000000" w:sz="4" w:space="0"/>
              <w:bottom w:val="single" w:color="000000" w:sz="4" w:space="0"/>
              <w:right w:val="single" w:color="000000" w:sz="4" w:space="0"/>
            </w:tcBorders>
            <w:vAlign w:val="center"/>
          </w:tcPr>
          <w:p w14:paraId="38F51446">
            <w:pPr>
              <w:pStyle w:val="27"/>
              <w:autoSpaceDE/>
              <w:autoSpaceDN/>
              <w:spacing w:beforeLines="0" w:after="0" w:afterLines="0" w:line="279" w:lineRule="auto"/>
              <w:ind w:firstLine="0" w:firstLineChars="0"/>
              <w:rPr>
                <w:szCs w:val="20"/>
              </w:rPr>
            </w:pPr>
          </w:p>
        </w:tc>
        <w:tc>
          <w:tcPr>
            <w:tcW w:w="1562" w:type="dxa"/>
            <w:gridSpan w:val="3"/>
            <w:tcBorders>
              <w:top w:val="single" w:color="000000" w:sz="4" w:space="0"/>
              <w:left w:val="single" w:color="000000" w:sz="4" w:space="0"/>
              <w:bottom w:val="single" w:color="000000" w:sz="4" w:space="0"/>
              <w:right w:val="single" w:color="auto" w:sz="4" w:space="0"/>
            </w:tcBorders>
            <w:vAlign w:val="center"/>
          </w:tcPr>
          <w:p w14:paraId="2D17A516">
            <w:pPr>
              <w:pStyle w:val="27"/>
              <w:autoSpaceDE/>
              <w:autoSpaceDN/>
              <w:spacing w:beforeLines="0" w:after="0" w:afterLines="0" w:line="279" w:lineRule="auto"/>
              <w:ind w:firstLine="0" w:firstLineChars="0"/>
              <w:rPr>
                <w:b/>
                <w:bCs/>
                <w:szCs w:val="18"/>
              </w:rPr>
            </w:pPr>
            <w:r>
              <w:rPr>
                <w:rFonts w:hint="eastAsia"/>
                <w:b/>
                <w:bCs/>
                <w:szCs w:val="20"/>
              </w:rPr>
              <w:t>单位</w:t>
            </w:r>
          </w:p>
        </w:tc>
        <w:tc>
          <w:tcPr>
            <w:tcW w:w="2660" w:type="dxa"/>
            <w:gridSpan w:val="5"/>
            <w:tcBorders>
              <w:top w:val="single" w:color="000000" w:sz="4" w:space="0"/>
              <w:left w:val="single" w:color="auto" w:sz="4" w:space="0"/>
              <w:bottom w:val="single" w:color="000000" w:sz="4" w:space="0"/>
              <w:right w:val="single" w:color="000000" w:sz="4" w:space="0"/>
            </w:tcBorders>
          </w:tcPr>
          <w:p w14:paraId="7F2506CB">
            <w:pPr>
              <w:pStyle w:val="27"/>
              <w:autoSpaceDE/>
              <w:autoSpaceDN/>
              <w:spacing w:beforeLines="0" w:after="0" w:afterLines="0" w:line="279" w:lineRule="auto"/>
              <w:ind w:firstLine="0" w:firstLineChars="0"/>
              <w:rPr>
                <w:szCs w:val="18"/>
              </w:rPr>
            </w:pPr>
          </w:p>
        </w:tc>
      </w:tr>
      <w:tr w14:paraId="026C3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125" w:type="dxa"/>
            <w:vMerge w:val="continue"/>
            <w:tcBorders>
              <w:top w:val="single" w:color="000000" w:sz="4" w:space="0"/>
              <w:left w:val="single" w:color="000000" w:sz="4" w:space="0"/>
              <w:bottom w:val="single" w:color="000000" w:sz="4" w:space="0"/>
              <w:right w:val="single" w:color="000000" w:sz="4" w:space="0"/>
            </w:tcBorders>
            <w:vAlign w:val="center"/>
          </w:tcPr>
          <w:p w14:paraId="0EDD3683">
            <w:pPr>
              <w:pStyle w:val="27"/>
              <w:autoSpaceDE/>
              <w:autoSpaceDN/>
              <w:spacing w:beforeLines="0" w:after="0" w:afterLines="0" w:line="279" w:lineRule="auto"/>
              <w:ind w:firstLine="0" w:firstLineChars="0"/>
              <w:jc w:val="center"/>
              <w:rPr>
                <w:b/>
                <w:bCs/>
                <w:szCs w:val="20"/>
              </w:rPr>
            </w:pPr>
          </w:p>
        </w:tc>
        <w:tc>
          <w:tcPr>
            <w:tcW w:w="1975" w:type="dxa"/>
            <w:tcBorders>
              <w:top w:val="single" w:color="000000" w:sz="4" w:space="0"/>
              <w:left w:val="single" w:color="000000" w:sz="4" w:space="0"/>
              <w:bottom w:val="single" w:color="000000" w:sz="4" w:space="0"/>
              <w:right w:val="single" w:color="000000" w:sz="4" w:space="0"/>
            </w:tcBorders>
            <w:vAlign w:val="center"/>
          </w:tcPr>
          <w:p w14:paraId="57810A5E">
            <w:pPr>
              <w:pStyle w:val="27"/>
              <w:autoSpaceDE/>
              <w:autoSpaceDN/>
              <w:spacing w:beforeLines="0" w:after="0" w:afterLines="0" w:line="279" w:lineRule="auto"/>
              <w:ind w:firstLine="0" w:firstLineChars="0"/>
              <w:rPr>
                <w:b/>
                <w:bCs/>
                <w:szCs w:val="20"/>
              </w:rPr>
            </w:pPr>
            <w:r>
              <w:rPr>
                <w:rFonts w:hint="eastAsia"/>
                <w:b/>
                <w:bCs/>
                <w:szCs w:val="20"/>
              </w:rPr>
              <w:t>联系方式</w:t>
            </w:r>
          </w:p>
        </w:tc>
        <w:tc>
          <w:tcPr>
            <w:tcW w:w="2000" w:type="dxa"/>
            <w:gridSpan w:val="2"/>
            <w:tcBorders>
              <w:top w:val="single" w:color="000000" w:sz="4" w:space="0"/>
              <w:left w:val="single" w:color="000000" w:sz="4" w:space="0"/>
              <w:bottom w:val="single" w:color="000000" w:sz="4" w:space="0"/>
              <w:right w:val="single" w:color="000000" w:sz="4" w:space="0"/>
            </w:tcBorders>
            <w:vAlign w:val="center"/>
          </w:tcPr>
          <w:p w14:paraId="0C779CA1">
            <w:pPr>
              <w:pStyle w:val="27"/>
              <w:autoSpaceDE/>
              <w:autoSpaceDN/>
              <w:spacing w:beforeLines="0" w:after="0" w:afterLines="0" w:line="279" w:lineRule="auto"/>
              <w:ind w:firstLine="0" w:firstLineChars="0"/>
              <w:rPr>
                <w:szCs w:val="20"/>
              </w:rPr>
            </w:pPr>
          </w:p>
        </w:tc>
        <w:tc>
          <w:tcPr>
            <w:tcW w:w="1562" w:type="dxa"/>
            <w:gridSpan w:val="3"/>
            <w:tcBorders>
              <w:top w:val="single" w:color="000000" w:sz="4" w:space="0"/>
              <w:left w:val="single" w:color="000000" w:sz="4" w:space="0"/>
              <w:bottom w:val="single" w:color="000000" w:sz="4" w:space="0"/>
              <w:right w:val="single" w:color="auto" w:sz="4" w:space="0"/>
            </w:tcBorders>
            <w:vAlign w:val="center"/>
          </w:tcPr>
          <w:p w14:paraId="63C09637">
            <w:pPr>
              <w:pStyle w:val="27"/>
              <w:autoSpaceDE/>
              <w:autoSpaceDN/>
              <w:spacing w:beforeLines="0" w:after="0" w:afterLines="0" w:line="279" w:lineRule="auto"/>
              <w:ind w:firstLine="0" w:firstLineChars="0"/>
              <w:rPr>
                <w:b/>
                <w:bCs/>
                <w:szCs w:val="18"/>
              </w:rPr>
            </w:pPr>
            <w:r>
              <w:rPr>
                <w:rFonts w:hint="eastAsia"/>
                <w:b/>
                <w:bCs/>
                <w:szCs w:val="20"/>
              </w:rPr>
              <w:t>时间</w:t>
            </w:r>
          </w:p>
        </w:tc>
        <w:tc>
          <w:tcPr>
            <w:tcW w:w="2660" w:type="dxa"/>
            <w:gridSpan w:val="5"/>
            <w:tcBorders>
              <w:top w:val="single" w:color="000000" w:sz="4" w:space="0"/>
              <w:left w:val="single" w:color="auto" w:sz="4" w:space="0"/>
              <w:bottom w:val="single" w:color="000000" w:sz="4" w:space="0"/>
              <w:right w:val="single" w:color="000000" w:sz="4" w:space="0"/>
            </w:tcBorders>
          </w:tcPr>
          <w:p w14:paraId="6E4FB1FD">
            <w:pPr>
              <w:pStyle w:val="27"/>
              <w:autoSpaceDE/>
              <w:autoSpaceDN/>
              <w:spacing w:beforeLines="0" w:after="0" w:afterLines="0" w:line="279" w:lineRule="auto"/>
              <w:ind w:firstLine="0" w:firstLineChars="0"/>
              <w:rPr>
                <w:szCs w:val="18"/>
              </w:rPr>
            </w:pPr>
          </w:p>
        </w:tc>
      </w:tr>
      <w:tr w14:paraId="209E5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trPr>
        <w:tc>
          <w:tcPr>
            <w:tcW w:w="1125" w:type="dxa"/>
            <w:tcBorders>
              <w:top w:val="single" w:color="000000" w:sz="4" w:space="0"/>
              <w:left w:val="single" w:color="000000" w:sz="4" w:space="0"/>
              <w:bottom w:val="single" w:color="000000" w:sz="4" w:space="0"/>
              <w:right w:val="single" w:color="000000" w:sz="4" w:space="0"/>
            </w:tcBorders>
            <w:vAlign w:val="center"/>
          </w:tcPr>
          <w:p w14:paraId="0D06BFCD">
            <w:pPr>
              <w:pStyle w:val="27"/>
              <w:autoSpaceDE/>
              <w:autoSpaceDN/>
              <w:spacing w:beforeLines="0" w:after="0" w:afterLines="0" w:line="279" w:lineRule="auto"/>
              <w:ind w:firstLine="0" w:firstLineChars="0"/>
              <w:jc w:val="center"/>
              <w:rPr>
                <w:b/>
                <w:bCs/>
                <w:szCs w:val="20"/>
              </w:rPr>
            </w:pPr>
            <w:r>
              <w:rPr>
                <w:rFonts w:hint="eastAsia"/>
                <w:b/>
                <w:bCs/>
                <w:szCs w:val="18"/>
              </w:rPr>
              <w:t>备注</w:t>
            </w:r>
          </w:p>
        </w:tc>
        <w:tc>
          <w:tcPr>
            <w:tcW w:w="8197" w:type="dxa"/>
            <w:gridSpan w:val="11"/>
            <w:tcBorders>
              <w:top w:val="single" w:color="000000" w:sz="4" w:space="0"/>
              <w:left w:val="single" w:color="000000" w:sz="4" w:space="0"/>
              <w:bottom w:val="single" w:color="000000" w:sz="4" w:space="0"/>
              <w:right w:val="single" w:color="000000" w:sz="4" w:space="0"/>
            </w:tcBorders>
          </w:tcPr>
          <w:p w14:paraId="56F8C4AF">
            <w:pPr>
              <w:pStyle w:val="27"/>
              <w:autoSpaceDE/>
              <w:autoSpaceDN/>
              <w:spacing w:beforeLines="0" w:after="0" w:afterLines="0" w:line="279" w:lineRule="auto"/>
              <w:ind w:firstLine="0" w:firstLineChars="0"/>
              <w:rPr>
                <w:b/>
                <w:bCs/>
                <w:szCs w:val="20"/>
              </w:rPr>
            </w:pPr>
          </w:p>
        </w:tc>
      </w:tr>
      <w:bookmarkEnd w:id="232"/>
    </w:tbl>
    <w:p w14:paraId="7608E1EE">
      <w:pPr>
        <w:pStyle w:val="76"/>
        <w:spacing w:before="0" w:beforeLines="0" w:after="0" w:afterLines="0" w:line="279" w:lineRule="auto"/>
      </w:pPr>
      <w:bookmarkStart w:id="238" w:name="BKCKWX"/>
      <w:bookmarkStart w:id="239" w:name="_Toc21546"/>
      <w:bookmarkStart w:id="240" w:name="_Toc82446747"/>
      <w:bookmarkStart w:id="241" w:name="_Toc7852"/>
      <w:bookmarkStart w:id="242" w:name="_Toc178171730"/>
      <w:bookmarkStart w:id="243" w:name="_Toc8593"/>
      <w:bookmarkStart w:id="244" w:name="_Toc13201"/>
      <w:bookmarkStart w:id="245" w:name="_Toc82446842"/>
      <w:bookmarkStart w:id="246" w:name="_Toc25691"/>
      <w:bookmarkStart w:id="247" w:name="_Toc17878131"/>
      <w:r>
        <w:rPr>
          <w:rFonts w:hint="eastAsia"/>
        </w:rPr>
        <w:t>参</w:t>
      </w:r>
      <w:r>
        <w:rPr>
          <w:rFonts w:hAnsi="黑体"/>
        </w:rPr>
        <w:t> </w:t>
      </w:r>
      <w:r>
        <w:rPr>
          <w:rFonts w:hint="eastAsia"/>
        </w:rPr>
        <w:t>考</w:t>
      </w:r>
      <w:r>
        <w:rPr>
          <w:rFonts w:hAnsi="黑体"/>
        </w:rPr>
        <w:t> </w:t>
      </w:r>
      <w:r>
        <w:rPr>
          <w:rFonts w:hint="eastAsia"/>
        </w:rPr>
        <w:t>文</w:t>
      </w:r>
      <w:r>
        <w:rPr>
          <w:rFonts w:hAnsi="黑体"/>
        </w:rPr>
        <w:t> </w:t>
      </w:r>
      <w:r>
        <w:rPr>
          <w:rFonts w:hint="eastAsia"/>
        </w:rPr>
        <w:t>献</w:t>
      </w:r>
      <w:bookmarkEnd w:id="238"/>
      <w:bookmarkEnd w:id="239"/>
      <w:bookmarkEnd w:id="240"/>
      <w:bookmarkEnd w:id="241"/>
      <w:bookmarkEnd w:id="242"/>
      <w:bookmarkEnd w:id="243"/>
      <w:bookmarkEnd w:id="244"/>
      <w:bookmarkEnd w:id="245"/>
      <w:bookmarkEnd w:id="246"/>
      <w:bookmarkEnd w:id="247"/>
    </w:p>
    <w:p w14:paraId="5AA1EA5B">
      <w:pPr>
        <w:numPr>
          <w:ilvl w:val="0"/>
          <w:numId w:val="19"/>
        </w:numPr>
        <w:spacing w:after="0" w:line="240" w:lineRule="auto"/>
        <w:rPr>
          <w:szCs w:val="32"/>
          <w:highlight w:val="none"/>
        </w:rPr>
      </w:pPr>
      <w:r>
        <w:rPr>
          <w:szCs w:val="32"/>
          <w:highlight w:val="none"/>
        </w:rPr>
        <w:t>GB/T 39468 陆地定量遥感产品真实性检验通用方法</w:t>
      </w:r>
    </w:p>
    <w:p w14:paraId="4DD04DD0">
      <w:pPr>
        <w:numPr>
          <w:ilvl w:val="0"/>
          <w:numId w:val="19"/>
        </w:numPr>
        <w:spacing w:after="0" w:line="240" w:lineRule="auto"/>
        <w:rPr>
          <w:szCs w:val="32"/>
        </w:rPr>
      </w:pPr>
      <w:r>
        <w:rPr>
          <w:szCs w:val="32"/>
        </w:rPr>
        <w:t>GB/T 41535 气溶胶光学厚度遥感产品真实性检验</w:t>
      </w:r>
    </w:p>
    <w:p w14:paraId="57F57ED0">
      <w:pPr>
        <w:numPr>
          <w:ilvl w:val="0"/>
          <w:numId w:val="19"/>
        </w:numPr>
        <w:spacing w:after="0" w:line="240" w:lineRule="auto"/>
        <w:rPr>
          <w:szCs w:val="32"/>
        </w:rPr>
      </w:pPr>
      <w:r>
        <w:rPr>
          <w:szCs w:val="32"/>
        </w:rPr>
        <w:t>ISO GUM 1995 Guide to the expression of Uncertainty in Measurement</w:t>
      </w:r>
    </w:p>
    <w:p w14:paraId="000ECFC0">
      <w:pPr>
        <w:pStyle w:val="134"/>
        <w:framePr w:wrap="around"/>
      </w:pPr>
      <w:r>
        <w:t>_________________________________</w:t>
      </w:r>
    </w:p>
    <w:sectPr>
      <w:headerReference r:id="rId9" w:type="default"/>
      <w:footerReference r:id="rId11" w:type="default"/>
      <w:headerReference r:id="rId10" w:type="even"/>
      <w:footerReference r:id="rId12" w:type="even"/>
      <w:pgSz w:w="11906" w:h="16838"/>
      <w:pgMar w:top="567" w:right="1134" w:bottom="1134" w:left="1417" w:header="1418" w:footer="1134" w:gutter="0"/>
      <w:pgNumType w:start="1"/>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DejaVu Sans">
    <w:panose1 w:val="020B0603030804020204"/>
    <w:charset w:val="00"/>
    <w:family w:val="auto"/>
    <w:pitch w:val="default"/>
    <w:sig w:usb0="E7006EFF" w:usb1="D200FDFF" w:usb2="0A246029" w:usb3="0400200C" w:csb0="600001FF" w:csb1="DFFF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Noto Sans Symbols2">
    <w:panose1 w:val="020B0502040504020204"/>
    <w:charset w:val="00"/>
    <w:family w:val="auto"/>
    <w:pitch w:val="default"/>
    <w:sig w:usb0="80000003" w:usb1="0200E3E4" w:usb2="00040020" w:usb3="0580A048" w:csb0="00000001"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5C46D">
    <w:pPr>
      <w:pStyle w:val="73"/>
      <w:jc w:val="right"/>
    </w:pPr>
    <w:r>
      <w:fldChar w:fldCharType="begin"/>
    </w:r>
    <w:r>
      <w:instrText xml:space="preserve"> PAGE  \* MERGEFORMAT </w:instrText>
    </w:r>
    <w:r>
      <w:fldChar w:fldCharType="separate"/>
    </w:r>
    <w: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C9A13">
    <w:pPr>
      <w:pStyle w:val="48"/>
    </w:pPr>
    <w:r>
      <w:fldChar w:fldCharType="begin"/>
    </w:r>
    <w:r>
      <w:instrText xml:space="preserve"> PAGE  \* MERGEFORMAT </w:instrText>
    </w:r>
    <w:r>
      <w:fldChar w:fldCharType="separate"/>
    </w:r>
    <w:r>
      <w:t>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4C128">
    <w:pPr>
      <w:pStyle w:val="48"/>
    </w:pPr>
    <w:r>
      <w:fldChar w:fldCharType="begin"/>
    </w:r>
    <w:r>
      <w:instrText xml:space="preserve"> PAGE  \* MERGEFORMAT </w:instrText>
    </w:r>
    <w:r>
      <w:fldChar w:fldCharType="separate"/>
    </w:r>
    <w:r>
      <w:t>11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899F5">
    <w:pPr>
      <w:pStyle w:val="73"/>
    </w:pPr>
    <w:r>
      <w:fldChar w:fldCharType="begin"/>
    </w:r>
    <w:r>
      <w:instrText xml:space="preserve"> PAGE  \* MERGEFORMAT </w:instrText>
    </w:r>
    <w:r>
      <w:fldChar w:fldCharType="separate"/>
    </w:r>
    <w: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D3569">
    <w:pPr>
      <w:pStyle w:val="74"/>
      <w:jc w:val="right"/>
    </w:pPr>
    <w:r>
      <w:t>DB11/T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ADBE8">
    <w:pPr>
      <w:pStyle w:val="49"/>
      <w:rPr>
        <w:rFonts w:hint="eastAsia" w:hAnsi="黑体"/>
      </w:rPr>
    </w:pPr>
    <w:r>
      <w:rPr>
        <w:rFonts w:hAnsi="黑体"/>
      </w:rPr>
      <w:t>DB11/T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3A9E5">
    <w:pPr>
      <w:pStyle w:val="49"/>
    </w:pPr>
    <w:r>
      <w:t>DB11/T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B477A">
    <w:pPr>
      <w:pStyle w:val="74"/>
    </w:pPr>
    <w:r>
      <w:t>DB11/T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94EB0"/>
    <w:multiLevelType w:val="singleLevel"/>
    <w:tmpl w:val="94494EB0"/>
    <w:lvl w:ilvl="0" w:tentative="0">
      <w:start w:val="1"/>
      <w:numFmt w:val="decimal"/>
      <w:suff w:val="space"/>
      <w:lvlText w:val="[%1]"/>
      <w:lvlJc w:val="left"/>
    </w:lvl>
  </w:abstractNum>
  <w:abstractNum w:abstractNumId="1">
    <w:nsid w:val="0A952887"/>
    <w:multiLevelType w:val="multilevel"/>
    <w:tmpl w:val="0A952887"/>
    <w:lvl w:ilvl="0" w:tentative="0">
      <w:start w:val="1"/>
      <w:numFmt w:val="decimal"/>
      <w:pStyle w:val="70"/>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0F805D97"/>
    <w:multiLevelType w:val="multilevel"/>
    <w:tmpl w:val="0F805D97"/>
    <w:lvl w:ilvl="0" w:tentative="0">
      <w:start w:val="1"/>
      <w:numFmt w:val="none"/>
      <w:pStyle w:val="62"/>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7"/>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56"/>
      <w:suff w:val="nothing"/>
      <w:lvlText w:val="%1.%2.%3.%4　"/>
      <w:lvlJc w:val="left"/>
      <w:pPr>
        <w:ind w:left="0" w:firstLine="0"/>
      </w:pPr>
      <w:rPr>
        <w:rFonts w:hint="eastAsia" w:ascii="黑体" w:hAnsi="Times New Roman" w:eastAsia="黑体"/>
        <w:b w:val="0"/>
        <w:i w:val="0"/>
        <w:sz w:val="21"/>
      </w:rPr>
    </w:lvl>
    <w:lvl w:ilvl="4" w:tentative="0">
      <w:start w:val="1"/>
      <w:numFmt w:val="decimal"/>
      <w:pStyle w:val="60"/>
      <w:suff w:val="nothing"/>
      <w:lvlText w:val="%1.%2.%3.%4.%5　"/>
      <w:lvlJc w:val="left"/>
      <w:pPr>
        <w:ind w:left="0" w:firstLine="0"/>
      </w:pPr>
      <w:rPr>
        <w:rFonts w:hint="eastAsia" w:ascii="黑体" w:hAnsi="Times New Roman" w:eastAsia="黑体"/>
        <w:b w:val="0"/>
        <w:i w:val="0"/>
        <w:sz w:val="21"/>
      </w:rPr>
    </w:lvl>
    <w:lvl w:ilvl="5" w:tentative="0">
      <w:start w:val="1"/>
      <w:numFmt w:val="decimal"/>
      <w:pStyle w:val="61"/>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24B435DB"/>
    <w:multiLevelType w:val="multilevel"/>
    <w:tmpl w:val="24B435DB"/>
    <w:lvl w:ilvl="0" w:tentative="0">
      <w:start w:val="1"/>
      <w:numFmt w:val="lowerLetter"/>
      <w:pStyle w:val="126"/>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5">
    <w:nsid w:val="29707437"/>
    <w:multiLevelType w:val="multilevel"/>
    <w:tmpl w:val="29707437"/>
    <w:lvl w:ilvl="0" w:tentative="0">
      <w:start w:val="1"/>
      <w:numFmt w:val="none"/>
      <w:pStyle w:val="69"/>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2A8F7113"/>
    <w:multiLevelType w:val="multilevel"/>
    <w:tmpl w:val="2A8F7113"/>
    <w:lvl w:ilvl="0" w:tentative="0">
      <w:start w:val="1"/>
      <w:numFmt w:val="upperLetter"/>
      <w:pStyle w:val="103"/>
      <w:suff w:val="space"/>
      <w:lvlText w:val="%1"/>
      <w:lvlJc w:val="left"/>
      <w:pPr>
        <w:ind w:left="623" w:hanging="425"/>
      </w:pPr>
      <w:rPr>
        <w:rFonts w:hint="eastAsia"/>
      </w:rPr>
    </w:lvl>
    <w:lvl w:ilvl="1" w:tentative="0">
      <w:start w:val="1"/>
      <w:numFmt w:val="decimal"/>
      <w:pStyle w:val="104"/>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none"/>
      <w:pStyle w:val="53"/>
      <w:suff w:val="nothing"/>
      <w:lvlText w:val="%1——"/>
      <w:lvlJc w:val="left"/>
      <w:pPr>
        <w:ind w:left="833" w:hanging="408"/>
      </w:pPr>
      <w:rPr>
        <w:rFonts w:hint="eastAsia"/>
      </w:rPr>
    </w:lvl>
    <w:lvl w:ilvl="1" w:tentative="0">
      <w:start w:val="1"/>
      <w:numFmt w:val="bullet"/>
      <w:pStyle w:val="54"/>
      <w:lvlText w:val=""/>
      <w:lvlJc w:val="left"/>
      <w:pPr>
        <w:tabs>
          <w:tab w:val="left" w:pos="760"/>
        </w:tabs>
        <w:ind w:left="1264" w:hanging="413"/>
      </w:pPr>
      <w:rPr>
        <w:rFonts w:hint="default" w:ascii="Symbol" w:hAnsi="Symbol"/>
        <w:color w:val="auto"/>
      </w:rPr>
    </w:lvl>
    <w:lvl w:ilvl="2" w:tentative="0">
      <w:start w:val="1"/>
      <w:numFmt w:val="bullet"/>
      <w:pStyle w:val="65"/>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28"/>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3C1140C"/>
    <w:multiLevelType w:val="multilevel"/>
    <w:tmpl w:val="43C1140C"/>
    <w:lvl w:ilvl="0" w:tentative="0">
      <w:start w:val="1"/>
      <w:numFmt w:val="lowerLetter"/>
      <w:pStyle w:val="167"/>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44C50F90"/>
    <w:multiLevelType w:val="multilevel"/>
    <w:tmpl w:val="44C50F90"/>
    <w:lvl w:ilvl="0" w:tentative="0">
      <w:start w:val="1"/>
      <w:numFmt w:val="lowerLetter"/>
      <w:pStyle w:val="64"/>
      <w:lvlText w:val="%1)"/>
      <w:lvlJc w:val="left"/>
      <w:pPr>
        <w:tabs>
          <w:tab w:val="left" w:pos="840"/>
        </w:tabs>
        <w:ind w:left="839" w:hanging="419"/>
      </w:pPr>
      <w:rPr>
        <w:rFonts w:hint="eastAsia" w:ascii="宋体" w:eastAsia="宋体"/>
        <w:b w:val="0"/>
        <w:i w:val="0"/>
        <w:sz w:val="21"/>
        <w:szCs w:val="21"/>
      </w:rPr>
    </w:lvl>
    <w:lvl w:ilvl="1" w:tentative="0">
      <w:start w:val="1"/>
      <w:numFmt w:val="decimal"/>
      <w:pStyle w:val="59"/>
      <w:lvlText w:val="%2)"/>
      <w:lvlJc w:val="left"/>
      <w:pPr>
        <w:tabs>
          <w:tab w:val="left" w:pos="1260"/>
        </w:tabs>
        <w:ind w:left="1259" w:hanging="419"/>
      </w:pPr>
      <w:rPr>
        <w:rFonts w:hint="eastAsia"/>
      </w:rPr>
    </w:lvl>
    <w:lvl w:ilvl="2" w:tentative="0">
      <w:start w:val="1"/>
      <w:numFmt w:val="decimal"/>
      <w:pStyle w:val="66"/>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520F62E9"/>
    <w:multiLevelType w:val="multilevel"/>
    <w:tmpl w:val="520F62E9"/>
    <w:lvl w:ilvl="0" w:tentative="0">
      <w:start w:val="1"/>
      <w:numFmt w:val="decimal"/>
      <w:pStyle w:val="133"/>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5E63562F"/>
    <w:multiLevelType w:val="multilevel"/>
    <w:tmpl w:val="5E63562F"/>
    <w:lvl w:ilvl="0" w:tentative="0">
      <w:start w:val="1"/>
      <w:numFmt w:val="decimal"/>
      <w:pStyle w:val="63"/>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3">
    <w:nsid w:val="60B55DC2"/>
    <w:multiLevelType w:val="multilevel"/>
    <w:tmpl w:val="60B55DC2"/>
    <w:lvl w:ilvl="0" w:tentative="0">
      <w:start w:val="1"/>
      <w:numFmt w:val="upperLetter"/>
      <w:pStyle w:val="91"/>
      <w:lvlText w:val="%1"/>
      <w:lvlJc w:val="left"/>
      <w:pPr>
        <w:tabs>
          <w:tab w:val="left" w:pos="0"/>
        </w:tabs>
        <w:ind w:left="0" w:hanging="425"/>
      </w:pPr>
      <w:rPr>
        <w:rFonts w:hint="eastAsia"/>
      </w:rPr>
    </w:lvl>
    <w:lvl w:ilvl="1" w:tentative="0">
      <w:start w:val="1"/>
      <w:numFmt w:val="decimal"/>
      <w:pStyle w:val="92"/>
      <w:suff w:val="nothing"/>
      <w:lvlText w:val="表%1.%2　"/>
      <w:lvlJc w:val="left"/>
      <w:pPr>
        <w:ind w:left="567" w:hanging="567"/>
      </w:pPr>
      <w:rPr>
        <w:rFonts w:hint="eastAsia"/>
        <w:color w:val="FF0000"/>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4">
    <w:nsid w:val="63404DBE"/>
    <w:multiLevelType w:val="multilevel"/>
    <w:tmpl w:val="63404DBE"/>
    <w:lvl w:ilvl="0" w:tentative="0">
      <w:start w:val="1"/>
      <w:numFmt w:val="none"/>
      <w:pStyle w:val="57"/>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5">
    <w:nsid w:val="63AF7EBF"/>
    <w:multiLevelType w:val="multilevel"/>
    <w:tmpl w:val="63AF7EBF"/>
    <w:lvl w:ilvl="0" w:tentative="0">
      <w:start w:val="1"/>
      <w:numFmt w:val="decimal"/>
      <w:pStyle w:val="131"/>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657D3FBC"/>
    <w:multiLevelType w:val="multilevel"/>
    <w:tmpl w:val="657D3FBC"/>
    <w:lvl w:ilvl="0" w:tentative="0">
      <w:start w:val="1"/>
      <w:numFmt w:val="upperLetter"/>
      <w:pStyle w:val="89"/>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7"/>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8"/>
      <w:suff w:val="nothing"/>
      <w:lvlText w:val="%1.%2.%3　"/>
      <w:lvlJc w:val="left"/>
      <w:pPr>
        <w:ind w:left="0" w:firstLine="0"/>
      </w:pPr>
      <w:rPr>
        <w:rFonts w:hint="eastAsia" w:ascii="黑体" w:hAnsi="Times New Roman" w:eastAsia="黑体"/>
        <w:b w:val="0"/>
        <w:i w:val="0"/>
        <w:sz w:val="21"/>
      </w:rPr>
    </w:lvl>
    <w:lvl w:ilvl="3" w:tentative="0">
      <w:start w:val="1"/>
      <w:numFmt w:val="decimal"/>
      <w:pStyle w:val="93"/>
      <w:suff w:val="nothing"/>
      <w:lvlText w:val="%1.%2.%3.%4　"/>
      <w:lvlJc w:val="left"/>
      <w:pPr>
        <w:ind w:left="0" w:firstLine="0"/>
      </w:pPr>
      <w:rPr>
        <w:rFonts w:hint="eastAsia" w:ascii="黑体" w:hAnsi="Times New Roman" w:eastAsia="黑体"/>
        <w:b w:val="0"/>
        <w:i w:val="0"/>
        <w:sz w:val="21"/>
      </w:rPr>
    </w:lvl>
    <w:lvl w:ilvl="4" w:tentative="0">
      <w:start w:val="1"/>
      <w:numFmt w:val="decimal"/>
      <w:pStyle w:val="98"/>
      <w:suff w:val="nothing"/>
      <w:lvlText w:val="%1.%2.%3.%4.%5　"/>
      <w:lvlJc w:val="left"/>
      <w:pPr>
        <w:ind w:left="0" w:firstLine="0"/>
      </w:pPr>
      <w:rPr>
        <w:rFonts w:hint="eastAsia" w:ascii="黑体" w:hAnsi="Times New Roman" w:eastAsia="黑体"/>
        <w:b w:val="0"/>
        <w:i w:val="0"/>
        <w:sz w:val="21"/>
      </w:rPr>
    </w:lvl>
    <w:lvl w:ilvl="5" w:tentative="0">
      <w:start w:val="1"/>
      <w:numFmt w:val="decimal"/>
      <w:pStyle w:val="101"/>
      <w:suff w:val="nothing"/>
      <w:lvlText w:val="%1.%2.%3.%4.%5.%6　"/>
      <w:lvlJc w:val="left"/>
      <w:pPr>
        <w:ind w:left="0" w:firstLine="0"/>
      </w:pPr>
      <w:rPr>
        <w:rFonts w:hint="eastAsia" w:ascii="黑体" w:hAnsi="Times New Roman" w:eastAsia="黑体"/>
        <w:b w:val="0"/>
        <w:i w:val="0"/>
        <w:sz w:val="21"/>
      </w:rPr>
    </w:lvl>
    <w:lvl w:ilvl="6" w:tentative="0">
      <w:start w:val="1"/>
      <w:numFmt w:val="decimal"/>
      <w:pStyle w:val="10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7">
    <w:nsid w:val="6AB870ED"/>
    <w:multiLevelType w:val="multilevel"/>
    <w:tmpl w:val="6AB870ED"/>
    <w:lvl w:ilvl="0" w:tentative="0">
      <w:start w:val="1"/>
      <w:numFmt w:val="decimal"/>
      <w:pStyle w:val="67"/>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8">
    <w:nsid w:val="6D6C07CD"/>
    <w:multiLevelType w:val="multilevel"/>
    <w:tmpl w:val="6D6C07CD"/>
    <w:lvl w:ilvl="0" w:tentative="0">
      <w:start w:val="1"/>
      <w:numFmt w:val="lowerLetter"/>
      <w:pStyle w:val="110"/>
      <w:lvlText w:val="%1)"/>
      <w:lvlJc w:val="left"/>
      <w:pPr>
        <w:tabs>
          <w:tab w:val="left" w:pos="839"/>
        </w:tabs>
        <w:ind w:left="839" w:hanging="419"/>
      </w:pPr>
      <w:rPr>
        <w:rFonts w:hint="eastAsia" w:ascii="宋体" w:eastAsia="宋体"/>
        <w:b w:val="0"/>
        <w:i w:val="0"/>
        <w:sz w:val="21"/>
      </w:rPr>
    </w:lvl>
    <w:lvl w:ilvl="1" w:tentative="0">
      <w:start w:val="1"/>
      <w:numFmt w:val="decimal"/>
      <w:pStyle w:val="100"/>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8"/>
  </w:num>
  <w:num w:numId="2">
    <w:abstractNumId w:val="3"/>
  </w:num>
  <w:num w:numId="3">
    <w:abstractNumId w:val="7"/>
  </w:num>
  <w:num w:numId="4">
    <w:abstractNumId w:val="14"/>
  </w:num>
  <w:num w:numId="5">
    <w:abstractNumId w:val="10"/>
  </w:num>
  <w:num w:numId="6">
    <w:abstractNumId w:val="2"/>
  </w:num>
  <w:num w:numId="7">
    <w:abstractNumId w:val="12"/>
  </w:num>
  <w:num w:numId="8">
    <w:abstractNumId w:val="17"/>
  </w:num>
  <w:num w:numId="9">
    <w:abstractNumId w:val="5"/>
  </w:num>
  <w:num w:numId="10">
    <w:abstractNumId w:val="1"/>
  </w:num>
  <w:num w:numId="11">
    <w:abstractNumId w:val="16"/>
  </w:num>
  <w:num w:numId="12">
    <w:abstractNumId w:val="13"/>
  </w:num>
  <w:num w:numId="13">
    <w:abstractNumId w:val="18"/>
  </w:num>
  <w:num w:numId="14">
    <w:abstractNumId w:val="6"/>
  </w:num>
  <w:num w:numId="15">
    <w:abstractNumId w:val="4"/>
  </w:num>
  <w:num w:numId="16">
    <w:abstractNumId w:val="15"/>
  </w:num>
  <w:num w:numId="17">
    <w:abstractNumId w:val="11"/>
  </w:num>
  <w:num w:numId="18">
    <w:abstractNumId w:val="9"/>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mirrorMargins w:val="1"/>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925"/>
    <w:rsid w:val="000001FC"/>
    <w:rsid w:val="00000244"/>
    <w:rsid w:val="00000559"/>
    <w:rsid w:val="00000BB3"/>
    <w:rsid w:val="0000185F"/>
    <w:rsid w:val="00004B91"/>
    <w:rsid w:val="00004E32"/>
    <w:rsid w:val="0000586F"/>
    <w:rsid w:val="00006B34"/>
    <w:rsid w:val="00006F84"/>
    <w:rsid w:val="00013D86"/>
    <w:rsid w:val="00013E02"/>
    <w:rsid w:val="00014838"/>
    <w:rsid w:val="000163E7"/>
    <w:rsid w:val="00020B2B"/>
    <w:rsid w:val="00020EC5"/>
    <w:rsid w:val="0002143C"/>
    <w:rsid w:val="00021BC8"/>
    <w:rsid w:val="00023B0C"/>
    <w:rsid w:val="0002561E"/>
    <w:rsid w:val="00025A65"/>
    <w:rsid w:val="00026793"/>
    <w:rsid w:val="00026C31"/>
    <w:rsid w:val="00027280"/>
    <w:rsid w:val="00030C73"/>
    <w:rsid w:val="000320A7"/>
    <w:rsid w:val="000325EA"/>
    <w:rsid w:val="000326E1"/>
    <w:rsid w:val="000331F0"/>
    <w:rsid w:val="000336D5"/>
    <w:rsid w:val="00034EAF"/>
    <w:rsid w:val="00035925"/>
    <w:rsid w:val="00036863"/>
    <w:rsid w:val="00036C2C"/>
    <w:rsid w:val="00040247"/>
    <w:rsid w:val="00044D1D"/>
    <w:rsid w:val="00045A7C"/>
    <w:rsid w:val="00053C1D"/>
    <w:rsid w:val="00054016"/>
    <w:rsid w:val="00054A89"/>
    <w:rsid w:val="00055371"/>
    <w:rsid w:val="000559E4"/>
    <w:rsid w:val="000565C1"/>
    <w:rsid w:val="00056A24"/>
    <w:rsid w:val="00057CE5"/>
    <w:rsid w:val="00057EED"/>
    <w:rsid w:val="000607A3"/>
    <w:rsid w:val="000630C8"/>
    <w:rsid w:val="00063373"/>
    <w:rsid w:val="00063466"/>
    <w:rsid w:val="000647BA"/>
    <w:rsid w:val="000657F7"/>
    <w:rsid w:val="00065BF0"/>
    <w:rsid w:val="00066F10"/>
    <w:rsid w:val="0006728A"/>
    <w:rsid w:val="00067CDF"/>
    <w:rsid w:val="0007490F"/>
    <w:rsid w:val="00074FBE"/>
    <w:rsid w:val="00076618"/>
    <w:rsid w:val="0007762A"/>
    <w:rsid w:val="000779E1"/>
    <w:rsid w:val="00077CAB"/>
    <w:rsid w:val="00080E77"/>
    <w:rsid w:val="000817DE"/>
    <w:rsid w:val="00081F6E"/>
    <w:rsid w:val="00082226"/>
    <w:rsid w:val="000825F3"/>
    <w:rsid w:val="00082E1B"/>
    <w:rsid w:val="00083A09"/>
    <w:rsid w:val="00084A24"/>
    <w:rsid w:val="00087A50"/>
    <w:rsid w:val="0009005E"/>
    <w:rsid w:val="000918A9"/>
    <w:rsid w:val="00092001"/>
    <w:rsid w:val="00092618"/>
    <w:rsid w:val="00092857"/>
    <w:rsid w:val="00092BD8"/>
    <w:rsid w:val="00094035"/>
    <w:rsid w:val="000964C7"/>
    <w:rsid w:val="00097764"/>
    <w:rsid w:val="000979D9"/>
    <w:rsid w:val="00097BFD"/>
    <w:rsid w:val="00097DAF"/>
    <w:rsid w:val="000A1FB7"/>
    <w:rsid w:val="000A20A9"/>
    <w:rsid w:val="000A2CF7"/>
    <w:rsid w:val="000A48B1"/>
    <w:rsid w:val="000A4A1E"/>
    <w:rsid w:val="000A5596"/>
    <w:rsid w:val="000B2F0E"/>
    <w:rsid w:val="000B3143"/>
    <w:rsid w:val="000B405D"/>
    <w:rsid w:val="000B4BE1"/>
    <w:rsid w:val="000C0C31"/>
    <w:rsid w:val="000C2BE6"/>
    <w:rsid w:val="000C5CB8"/>
    <w:rsid w:val="000C6B05"/>
    <w:rsid w:val="000C6CCD"/>
    <w:rsid w:val="000C6DD6"/>
    <w:rsid w:val="000C73D4"/>
    <w:rsid w:val="000D1B16"/>
    <w:rsid w:val="000D3D4C"/>
    <w:rsid w:val="000D4059"/>
    <w:rsid w:val="000D4F51"/>
    <w:rsid w:val="000D612D"/>
    <w:rsid w:val="000D718B"/>
    <w:rsid w:val="000E0534"/>
    <w:rsid w:val="000E087D"/>
    <w:rsid w:val="000E0C46"/>
    <w:rsid w:val="000E15EE"/>
    <w:rsid w:val="000E4A35"/>
    <w:rsid w:val="000F00A9"/>
    <w:rsid w:val="000F030C"/>
    <w:rsid w:val="000F129C"/>
    <w:rsid w:val="000F162F"/>
    <w:rsid w:val="000F174F"/>
    <w:rsid w:val="00100518"/>
    <w:rsid w:val="0010158E"/>
    <w:rsid w:val="00104563"/>
    <w:rsid w:val="00104D71"/>
    <w:rsid w:val="00104E29"/>
    <w:rsid w:val="00104EE4"/>
    <w:rsid w:val="001056DE"/>
    <w:rsid w:val="001057BA"/>
    <w:rsid w:val="001102E5"/>
    <w:rsid w:val="0011090E"/>
    <w:rsid w:val="001124C0"/>
    <w:rsid w:val="00113927"/>
    <w:rsid w:val="00114287"/>
    <w:rsid w:val="00116821"/>
    <w:rsid w:val="00117A25"/>
    <w:rsid w:val="0012053B"/>
    <w:rsid w:val="00121293"/>
    <w:rsid w:val="00122F77"/>
    <w:rsid w:val="0012681F"/>
    <w:rsid w:val="00130C17"/>
    <w:rsid w:val="0013150E"/>
    <w:rsid w:val="0013175F"/>
    <w:rsid w:val="00132283"/>
    <w:rsid w:val="00132B56"/>
    <w:rsid w:val="0013364D"/>
    <w:rsid w:val="00133BAF"/>
    <w:rsid w:val="001343BB"/>
    <w:rsid w:val="001356C3"/>
    <w:rsid w:val="001367D0"/>
    <w:rsid w:val="0013714A"/>
    <w:rsid w:val="00137216"/>
    <w:rsid w:val="00142896"/>
    <w:rsid w:val="00143E03"/>
    <w:rsid w:val="00144126"/>
    <w:rsid w:val="001443B0"/>
    <w:rsid w:val="001512B4"/>
    <w:rsid w:val="00152125"/>
    <w:rsid w:val="00153A26"/>
    <w:rsid w:val="0015459E"/>
    <w:rsid w:val="00155C90"/>
    <w:rsid w:val="00156BD1"/>
    <w:rsid w:val="0015720F"/>
    <w:rsid w:val="00160B54"/>
    <w:rsid w:val="001620A5"/>
    <w:rsid w:val="001649E4"/>
    <w:rsid w:val="00164E53"/>
    <w:rsid w:val="00165D35"/>
    <w:rsid w:val="0016699D"/>
    <w:rsid w:val="00166D1F"/>
    <w:rsid w:val="001670D9"/>
    <w:rsid w:val="00173634"/>
    <w:rsid w:val="00175159"/>
    <w:rsid w:val="00175877"/>
    <w:rsid w:val="00175AD7"/>
    <w:rsid w:val="001761F7"/>
    <w:rsid w:val="00176208"/>
    <w:rsid w:val="00176EDA"/>
    <w:rsid w:val="0017780C"/>
    <w:rsid w:val="001813B2"/>
    <w:rsid w:val="0018211B"/>
    <w:rsid w:val="00183FE1"/>
    <w:rsid w:val="001840D3"/>
    <w:rsid w:val="00184782"/>
    <w:rsid w:val="001866B2"/>
    <w:rsid w:val="00186F57"/>
    <w:rsid w:val="00187A8A"/>
    <w:rsid w:val="001900F8"/>
    <w:rsid w:val="0019020C"/>
    <w:rsid w:val="00190F0C"/>
    <w:rsid w:val="00191258"/>
    <w:rsid w:val="00191F35"/>
    <w:rsid w:val="00192680"/>
    <w:rsid w:val="00193037"/>
    <w:rsid w:val="00193375"/>
    <w:rsid w:val="00193A2C"/>
    <w:rsid w:val="00194778"/>
    <w:rsid w:val="001A288E"/>
    <w:rsid w:val="001A4E56"/>
    <w:rsid w:val="001A6BDD"/>
    <w:rsid w:val="001A77F2"/>
    <w:rsid w:val="001B2020"/>
    <w:rsid w:val="001B30B6"/>
    <w:rsid w:val="001B36ED"/>
    <w:rsid w:val="001B4613"/>
    <w:rsid w:val="001B5C26"/>
    <w:rsid w:val="001B6A17"/>
    <w:rsid w:val="001B6DC2"/>
    <w:rsid w:val="001B754B"/>
    <w:rsid w:val="001B7BF8"/>
    <w:rsid w:val="001C149C"/>
    <w:rsid w:val="001C21AC"/>
    <w:rsid w:val="001C240D"/>
    <w:rsid w:val="001C2FA4"/>
    <w:rsid w:val="001C3689"/>
    <w:rsid w:val="001C3964"/>
    <w:rsid w:val="001C47BA"/>
    <w:rsid w:val="001C4BCC"/>
    <w:rsid w:val="001C59EA"/>
    <w:rsid w:val="001C67FE"/>
    <w:rsid w:val="001D3556"/>
    <w:rsid w:val="001D406C"/>
    <w:rsid w:val="001D41EE"/>
    <w:rsid w:val="001D45B6"/>
    <w:rsid w:val="001D4BEB"/>
    <w:rsid w:val="001D5366"/>
    <w:rsid w:val="001D612F"/>
    <w:rsid w:val="001D71E6"/>
    <w:rsid w:val="001E02B5"/>
    <w:rsid w:val="001E0380"/>
    <w:rsid w:val="001E0B1B"/>
    <w:rsid w:val="001E13B1"/>
    <w:rsid w:val="001E1E6E"/>
    <w:rsid w:val="001E2153"/>
    <w:rsid w:val="001E5F38"/>
    <w:rsid w:val="001E7755"/>
    <w:rsid w:val="001E7B3D"/>
    <w:rsid w:val="001F2945"/>
    <w:rsid w:val="001F389D"/>
    <w:rsid w:val="001F3A19"/>
    <w:rsid w:val="001F6F5D"/>
    <w:rsid w:val="002009E4"/>
    <w:rsid w:val="00200A15"/>
    <w:rsid w:val="00201053"/>
    <w:rsid w:val="00201196"/>
    <w:rsid w:val="00201A92"/>
    <w:rsid w:val="00201C65"/>
    <w:rsid w:val="0020251B"/>
    <w:rsid w:val="00204FFB"/>
    <w:rsid w:val="00206663"/>
    <w:rsid w:val="00206921"/>
    <w:rsid w:val="002073D3"/>
    <w:rsid w:val="00212DEC"/>
    <w:rsid w:val="00215C75"/>
    <w:rsid w:val="00215D48"/>
    <w:rsid w:val="0021624B"/>
    <w:rsid w:val="002177B5"/>
    <w:rsid w:val="0021782B"/>
    <w:rsid w:val="00217CE3"/>
    <w:rsid w:val="0022185E"/>
    <w:rsid w:val="00224282"/>
    <w:rsid w:val="00224689"/>
    <w:rsid w:val="002278AD"/>
    <w:rsid w:val="00227FED"/>
    <w:rsid w:val="0023030A"/>
    <w:rsid w:val="00230F08"/>
    <w:rsid w:val="00231F74"/>
    <w:rsid w:val="00234467"/>
    <w:rsid w:val="00234E14"/>
    <w:rsid w:val="00235B28"/>
    <w:rsid w:val="00235BE6"/>
    <w:rsid w:val="00237D8D"/>
    <w:rsid w:val="00241DA2"/>
    <w:rsid w:val="0024286F"/>
    <w:rsid w:val="00242BD1"/>
    <w:rsid w:val="0024688F"/>
    <w:rsid w:val="00247FEE"/>
    <w:rsid w:val="00250E7D"/>
    <w:rsid w:val="002523DB"/>
    <w:rsid w:val="002527DD"/>
    <w:rsid w:val="002528B7"/>
    <w:rsid w:val="00252DAA"/>
    <w:rsid w:val="0025365B"/>
    <w:rsid w:val="002556A3"/>
    <w:rsid w:val="0025640E"/>
    <w:rsid w:val="002565D5"/>
    <w:rsid w:val="00256F12"/>
    <w:rsid w:val="00257EA5"/>
    <w:rsid w:val="00257FEC"/>
    <w:rsid w:val="00260054"/>
    <w:rsid w:val="002622C0"/>
    <w:rsid w:val="0026299C"/>
    <w:rsid w:val="00263E54"/>
    <w:rsid w:val="00266F5B"/>
    <w:rsid w:val="00267A5D"/>
    <w:rsid w:val="002726F2"/>
    <w:rsid w:val="0027358A"/>
    <w:rsid w:val="002778AE"/>
    <w:rsid w:val="00277932"/>
    <w:rsid w:val="0028165F"/>
    <w:rsid w:val="0028269A"/>
    <w:rsid w:val="00283590"/>
    <w:rsid w:val="0028488E"/>
    <w:rsid w:val="00286973"/>
    <w:rsid w:val="00287674"/>
    <w:rsid w:val="002938A4"/>
    <w:rsid w:val="00293FEA"/>
    <w:rsid w:val="00294E70"/>
    <w:rsid w:val="002954B8"/>
    <w:rsid w:val="002967B2"/>
    <w:rsid w:val="00296C6F"/>
    <w:rsid w:val="002A18B9"/>
    <w:rsid w:val="002A1924"/>
    <w:rsid w:val="002A4104"/>
    <w:rsid w:val="002A7409"/>
    <w:rsid w:val="002A7420"/>
    <w:rsid w:val="002A7A7E"/>
    <w:rsid w:val="002B0252"/>
    <w:rsid w:val="002B0F12"/>
    <w:rsid w:val="002B1308"/>
    <w:rsid w:val="002B3DDC"/>
    <w:rsid w:val="002B4554"/>
    <w:rsid w:val="002B707C"/>
    <w:rsid w:val="002C0627"/>
    <w:rsid w:val="002C0A53"/>
    <w:rsid w:val="002C124B"/>
    <w:rsid w:val="002C1BEA"/>
    <w:rsid w:val="002C2510"/>
    <w:rsid w:val="002C47CF"/>
    <w:rsid w:val="002C4F86"/>
    <w:rsid w:val="002C72D8"/>
    <w:rsid w:val="002D11FA"/>
    <w:rsid w:val="002D17BC"/>
    <w:rsid w:val="002D19A4"/>
    <w:rsid w:val="002D3749"/>
    <w:rsid w:val="002D6352"/>
    <w:rsid w:val="002D74B0"/>
    <w:rsid w:val="002D7B77"/>
    <w:rsid w:val="002E0161"/>
    <w:rsid w:val="002E0DDF"/>
    <w:rsid w:val="002E1B60"/>
    <w:rsid w:val="002E1F69"/>
    <w:rsid w:val="002E2906"/>
    <w:rsid w:val="002E2FBB"/>
    <w:rsid w:val="002E3DD5"/>
    <w:rsid w:val="002E4467"/>
    <w:rsid w:val="002E5635"/>
    <w:rsid w:val="002E64C3"/>
    <w:rsid w:val="002E6A2C"/>
    <w:rsid w:val="002E79BD"/>
    <w:rsid w:val="002E7B04"/>
    <w:rsid w:val="002F035E"/>
    <w:rsid w:val="002F0FE8"/>
    <w:rsid w:val="002F1D8C"/>
    <w:rsid w:val="002F21DA"/>
    <w:rsid w:val="002F2C15"/>
    <w:rsid w:val="002F34B8"/>
    <w:rsid w:val="002F5AC7"/>
    <w:rsid w:val="002F679A"/>
    <w:rsid w:val="002F7D63"/>
    <w:rsid w:val="00301F39"/>
    <w:rsid w:val="00302A3F"/>
    <w:rsid w:val="00303D27"/>
    <w:rsid w:val="00304F7D"/>
    <w:rsid w:val="00305BEE"/>
    <w:rsid w:val="00306D05"/>
    <w:rsid w:val="00310B16"/>
    <w:rsid w:val="00312956"/>
    <w:rsid w:val="00313962"/>
    <w:rsid w:val="0032044B"/>
    <w:rsid w:val="003234E0"/>
    <w:rsid w:val="00325926"/>
    <w:rsid w:val="00326E27"/>
    <w:rsid w:val="00327A8A"/>
    <w:rsid w:val="003339A3"/>
    <w:rsid w:val="00334F4F"/>
    <w:rsid w:val="00336610"/>
    <w:rsid w:val="00340D18"/>
    <w:rsid w:val="00341F5C"/>
    <w:rsid w:val="00343D23"/>
    <w:rsid w:val="00343F73"/>
    <w:rsid w:val="00344591"/>
    <w:rsid w:val="00345060"/>
    <w:rsid w:val="003451FB"/>
    <w:rsid w:val="003474A6"/>
    <w:rsid w:val="003509DC"/>
    <w:rsid w:val="00352629"/>
    <w:rsid w:val="0035323B"/>
    <w:rsid w:val="003535C7"/>
    <w:rsid w:val="00353D19"/>
    <w:rsid w:val="0035575F"/>
    <w:rsid w:val="0035675F"/>
    <w:rsid w:val="003576E1"/>
    <w:rsid w:val="0035785A"/>
    <w:rsid w:val="00360602"/>
    <w:rsid w:val="003609D2"/>
    <w:rsid w:val="00362490"/>
    <w:rsid w:val="00363074"/>
    <w:rsid w:val="00363F22"/>
    <w:rsid w:val="00364813"/>
    <w:rsid w:val="00364940"/>
    <w:rsid w:val="00366DE2"/>
    <w:rsid w:val="00366EA5"/>
    <w:rsid w:val="00371334"/>
    <w:rsid w:val="00374839"/>
    <w:rsid w:val="00375564"/>
    <w:rsid w:val="00375B86"/>
    <w:rsid w:val="00375BA4"/>
    <w:rsid w:val="00376489"/>
    <w:rsid w:val="003814CF"/>
    <w:rsid w:val="00383191"/>
    <w:rsid w:val="00386DED"/>
    <w:rsid w:val="003912E7"/>
    <w:rsid w:val="00391DF5"/>
    <w:rsid w:val="00392D86"/>
    <w:rsid w:val="00393947"/>
    <w:rsid w:val="00395141"/>
    <w:rsid w:val="003A0E27"/>
    <w:rsid w:val="003A1529"/>
    <w:rsid w:val="003A2275"/>
    <w:rsid w:val="003A24AF"/>
    <w:rsid w:val="003A3EB0"/>
    <w:rsid w:val="003A4469"/>
    <w:rsid w:val="003A6A4F"/>
    <w:rsid w:val="003A7088"/>
    <w:rsid w:val="003B00DF"/>
    <w:rsid w:val="003B1275"/>
    <w:rsid w:val="003B1778"/>
    <w:rsid w:val="003B1E8E"/>
    <w:rsid w:val="003B2637"/>
    <w:rsid w:val="003B7E0A"/>
    <w:rsid w:val="003C0757"/>
    <w:rsid w:val="003C11CB"/>
    <w:rsid w:val="003C3017"/>
    <w:rsid w:val="003C31E0"/>
    <w:rsid w:val="003C4EE4"/>
    <w:rsid w:val="003C6A77"/>
    <w:rsid w:val="003C6E51"/>
    <w:rsid w:val="003C75F3"/>
    <w:rsid w:val="003C78A3"/>
    <w:rsid w:val="003D0476"/>
    <w:rsid w:val="003D138F"/>
    <w:rsid w:val="003D36AB"/>
    <w:rsid w:val="003D7310"/>
    <w:rsid w:val="003E13CD"/>
    <w:rsid w:val="003E1867"/>
    <w:rsid w:val="003E35E6"/>
    <w:rsid w:val="003E37CC"/>
    <w:rsid w:val="003E3E97"/>
    <w:rsid w:val="003E44F5"/>
    <w:rsid w:val="003E5729"/>
    <w:rsid w:val="003E632C"/>
    <w:rsid w:val="003E724E"/>
    <w:rsid w:val="003F1670"/>
    <w:rsid w:val="003F1D40"/>
    <w:rsid w:val="003F22BB"/>
    <w:rsid w:val="003F2A5B"/>
    <w:rsid w:val="003F4EE0"/>
    <w:rsid w:val="003F52F9"/>
    <w:rsid w:val="003F5559"/>
    <w:rsid w:val="003F6CCD"/>
    <w:rsid w:val="003F6E1E"/>
    <w:rsid w:val="00400473"/>
    <w:rsid w:val="00402153"/>
    <w:rsid w:val="00402E26"/>
    <w:rsid w:val="00402F26"/>
    <w:rsid w:val="00402FC1"/>
    <w:rsid w:val="00404BCC"/>
    <w:rsid w:val="004056F8"/>
    <w:rsid w:val="004074A7"/>
    <w:rsid w:val="00411319"/>
    <w:rsid w:val="00416224"/>
    <w:rsid w:val="00417E4B"/>
    <w:rsid w:val="004200D9"/>
    <w:rsid w:val="0042249F"/>
    <w:rsid w:val="00425082"/>
    <w:rsid w:val="0042524F"/>
    <w:rsid w:val="00426302"/>
    <w:rsid w:val="00427346"/>
    <w:rsid w:val="00427B37"/>
    <w:rsid w:val="00430B44"/>
    <w:rsid w:val="00431DEB"/>
    <w:rsid w:val="00434AFB"/>
    <w:rsid w:val="00434C4B"/>
    <w:rsid w:val="0044259D"/>
    <w:rsid w:val="0044307F"/>
    <w:rsid w:val="00443541"/>
    <w:rsid w:val="004439D9"/>
    <w:rsid w:val="004444E6"/>
    <w:rsid w:val="00446672"/>
    <w:rsid w:val="00446B29"/>
    <w:rsid w:val="0044702F"/>
    <w:rsid w:val="00450DD7"/>
    <w:rsid w:val="004524BE"/>
    <w:rsid w:val="00452C65"/>
    <w:rsid w:val="00453F9A"/>
    <w:rsid w:val="00454CC3"/>
    <w:rsid w:val="0045679F"/>
    <w:rsid w:val="004574B2"/>
    <w:rsid w:val="004604A3"/>
    <w:rsid w:val="00464903"/>
    <w:rsid w:val="00471E91"/>
    <w:rsid w:val="00474079"/>
    <w:rsid w:val="00474675"/>
    <w:rsid w:val="0047470C"/>
    <w:rsid w:val="00477E74"/>
    <w:rsid w:val="00480EAD"/>
    <w:rsid w:val="004826C0"/>
    <w:rsid w:val="00484C88"/>
    <w:rsid w:val="004907AF"/>
    <w:rsid w:val="00494CBE"/>
    <w:rsid w:val="00494E9A"/>
    <w:rsid w:val="00495010"/>
    <w:rsid w:val="00495479"/>
    <w:rsid w:val="004A0BB6"/>
    <w:rsid w:val="004A203E"/>
    <w:rsid w:val="004A251D"/>
    <w:rsid w:val="004A35F9"/>
    <w:rsid w:val="004A374F"/>
    <w:rsid w:val="004A4662"/>
    <w:rsid w:val="004A6537"/>
    <w:rsid w:val="004A67F3"/>
    <w:rsid w:val="004A7C93"/>
    <w:rsid w:val="004A7E02"/>
    <w:rsid w:val="004B0474"/>
    <w:rsid w:val="004B157A"/>
    <w:rsid w:val="004B24C1"/>
    <w:rsid w:val="004B27EE"/>
    <w:rsid w:val="004B3092"/>
    <w:rsid w:val="004B49B1"/>
    <w:rsid w:val="004B49E3"/>
    <w:rsid w:val="004B557C"/>
    <w:rsid w:val="004B57E2"/>
    <w:rsid w:val="004B5A24"/>
    <w:rsid w:val="004C0E20"/>
    <w:rsid w:val="004C1CA0"/>
    <w:rsid w:val="004C292F"/>
    <w:rsid w:val="004C4AE8"/>
    <w:rsid w:val="004C5A80"/>
    <w:rsid w:val="004C657F"/>
    <w:rsid w:val="004D1D58"/>
    <w:rsid w:val="004D306F"/>
    <w:rsid w:val="004D313B"/>
    <w:rsid w:val="004D3202"/>
    <w:rsid w:val="004D4B02"/>
    <w:rsid w:val="004D4F76"/>
    <w:rsid w:val="004D79CF"/>
    <w:rsid w:val="004E4B13"/>
    <w:rsid w:val="004E4B8C"/>
    <w:rsid w:val="004E5A47"/>
    <w:rsid w:val="004E61D8"/>
    <w:rsid w:val="004F2EF3"/>
    <w:rsid w:val="004F41F5"/>
    <w:rsid w:val="004F4D19"/>
    <w:rsid w:val="004F5DAC"/>
    <w:rsid w:val="00502DEC"/>
    <w:rsid w:val="005036E2"/>
    <w:rsid w:val="00503892"/>
    <w:rsid w:val="00510280"/>
    <w:rsid w:val="00513D73"/>
    <w:rsid w:val="005148B3"/>
    <w:rsid w:val="00514A43"/>
    <w:rsid w:val="00515E5F"/>
    <w:rsid w:val="00515E9C"/>
    <w:rsid w:val="005174E5"/>
    <w:rsid w:val="00520898"/>
    <w:rsid w:val="005211E6"/>
    <w:rsid w:val="00522393"/>
    <w:rsid w:val="00522620"/>
    <w:rsid w:val="00524C4F"/>
    <w:rsid w:val="00525656"/>
    <w:rsid w:val="00525BF3"/>
    <w:rsid w:val="005275ED"/>
    <w:rsid w:val="005333DF"/>
    <w:rsid w:val="0053396A"/>
    <w:rsid w:val="00533BF9"/>
    <w:rsid w:val="00534A17"/>
    <w:rsid w:val="00534C02"/>
    <w:rsid w:val="005351B5"/>
    <w:rsid w:val="0053712F"/>
    <w:rsid w:val="0054044C"/>
    <w:rsid w:val="00540C74"/>
    <w:rsid w:val="0054264B"/>
    <w:rsid w:val="00542B05"/>
    <w:rsid w:val="00543139"/>
    <w:rsid w:val="00543786"/>
    <w:rsid w:val="00545617"/>
    <w:rsid w:val="00545A49"/>
    <w:rsid w:val="005463CC"/>
    <w:rsid w:val="00546D0D"/>
    <w:rsid w:val="0054722F"/>
    <w:rsid w:val="0054724B"/>
    <w:rsid w:val="0055099B"/>
    <w:rsid w:val="00551118"/>
    <w:rsid w:val="0055153A"/>
    <w:rsid w:val="005533D7"/>
    <w:rsid w:val="0055441E"/>
    <w:rsid w:val="00554B63"/>
    <w:rsid w:val="00554D17"/>
    <w:rsid w:val="0055646B"/>
    <w:rsid w:val="00556D40"/>
    <w:rsid w:val="00562CF6"/>
    <w:rsid w:val="005635FA"/>
    <w:rsid w:val="0056544B"/>
    <w:rsid w:val="0056631E"/>
    <w:rsid w:val="00567177"/>
    <w:rsid w:val="005703DE"/>
    <w:rsid w:val="005710BC"/>
    <w:rsid w:val="005755F1"/>
    <w:rsid w:val="00575962"/>
    <w:rsid w:val="00576459"/>
    <w:rsid w:val="00577AE9"/>
    <w:rsid w:val="005805BC"/>
    <w:rsid w:val="00581F1F"/>
    <w:rsid w:val="00582BBE"/>
    <w:rsid w:val="0058464E"/>
    <w:rsid w:val="00584DAF"/>
    <w:rsid w:val="0058516A"/>
    <w:rsid w:val="0058609C"/>
    <w:rsid w:val="005860F1"/>
    <w:rsid w:val="0058650E"/>
    <w:rsid w:val="00586C54"/>
    <w:rsid w:val="00590444"/>
    <w:rsid w:val="00591B10"/>
    <w:rsid w:val="00591EE0"/>
    <w:rsid w:val="005922A1"/>
    <w:rsid w:val="005A01CB"/>
    <w:rsid w:val="005A19A9"/>
    <w:rsid w:val="005A248E"/>
    <w:rsid w:val="005A2B7D"/>
    <w:rsid w:val="005A58FF"/>
    <w:rsid w:val="005A5EAF"/>
    <w:rsid w:val="005A6491"/>
    <w:rsid w:val="005A64C0"/>
    <w:rsid w:val="005A6D8B"/>
    <w:rsid w:val="005B1499"/>
    <w:rsid w:val="005B1985"/>
    <w:rsid w:val="005B239D"/>
    <w:rsid w:val="005B3C11"/>
    <w:rsid w:val="005B4EEF"/>
    <w:rsid w:val="005B6CA2"/>
    <w:rsid w:val="005B7C8A"/>
    <w:rsid w:val="005C1C28"/>
    <w:rsid w:val="005C2E0D"/>
    <w:rsid w:val="005C42D0"/>
    <w:rsid w:val="005C43D0"/>
    <w:rsid w:val="005C6DB5"/>
    <w:rsid w:val="005C78A5"/>
    <w:rsid w:val="005C7B9C"/>
    <w:rsid w:val="005D0137"/>
    <w:rsid w:val="005D21C5"/>
    <w:rsid w:val="005D3067"/>
    <w:rsid w:val="005D3077"/>
    <w:rsid w:val="005D3154"/>
    <w:rsid w:val="005D3842"/>
    <w:rsid w:val="005D47A7"/>
    <w:rsid w:val="005E032D"/>
    <w:rsid w:val="005E140F"/>
    <w:rsid w:val="005E19E7"/>
    <w:rsid w:val="005E2392"/>
    <w:rsid w:val="005E48D6"/>
    <w:rsid w:val="005E699D"/>
    <w:rsid w:val="005F2B38"/>
    <w:rsid w:val="005F3CD8"/>
    <w:rsid w:val="005F4CAC"/>
    <w:rsid w:val="0060073E"/>
    <w:rsid w:val="0060121A"/>
    <w:rsid w:val="00601622"/>
    <w:rsid w:val="00602F97"/>
    <w:rsid w:val="00606951"/>
    <w:rsid w:val="0060789B"/>
    <w:rsid w:val="0061037E"/>
    <w:rsid w:val="00611D48"/>
    <w:rsid w:val="00613FAA"/>
    <w:rsid w:val="00616588"/>
    <w:rsid w:val="00616854"/>
    <w:rsid w:val="00616B23"/>
    <w:rsid w:val="00616C36"/>
    <w:rsid w:val="0061716C"/>
    <w:rsid w:val="006171AF"/>
    <w:rsid w:val="00617868"/>
    <w:rsid w:val="00617A83"/>
    <w:rsid w:val="006217EB"/>
    <w:rsid w:val="006243A1"/>
    <w:rsid w:val="0062496A"/>
    <w:rsid w:val="006255E8"/>
    <w:rsid w:val="00626005"/>
    <w:rsid w:val="00627395"/>
    <w:rsid w:val="006315F3"/>
    <w:rsid w:val="00632E56"/>
    <w:rsid w:val="006336F4"/>
    <w:rsid w:val="0063370E"/>
    <w:rsid w:val="0063550B"/>
    <w:rsid w:val="00635841"/>
    <w:rsid w:val="00635CBA"/>
    <w:rsid w:val="00636EFC"/>
    <w:rsid w:val="00637DA8"/>
    <w:rsid w:val="00641430"/>
    <w:rsid w:val="00641F55"/>
    <w:rsid w:val="0064338B"/>
    <w:rsid w:val="0064539E"/>
    <w:rsid w:val="00646542"/>
    <w:rsid w:val="00646D5E"/>
    <w:rsid w:val="006504F4"/>
    <w:rsid w:val="00650DEF"/>
    <w:rsid w:val="0065348B"/>
    <w:rsid w:val="0065366F"/>
    <w:rsid w:val="006545BB"/>
    <w:rsid w:val="00654BC9"/>
    <w:rsid w:val="006552FD"/>
    <w:rsid w:val="00656F0B"/>
    <w:rsid w:val="00663733"/>
    <w:rsid w:val="00663AF3"/>
    <w:rsid w:val="00663E57"/>
    <w:rsid w:val="00666B6C"/>
    <w:rsid w:val="0067294A"/>
    <w:rsid w:val="00673F23"/>
    <w:rsid w:val="00677B54"/>
    <w:rsid w:val="00677D4D"/>
    <w:rsid w:val="006821BD"/>
    <w:rsid w:val="00682682"/>
    <w:rsid w:val="00682702"/>
    <w:rsid w:val="0069023E"/>
    <w:rsid w:val="006904A8"/>
    <w:rsid w:val="00692368"/>
    <w:rsid w:val="00692D69"/>
    <w:rsid w:val="006941C8"/>
    <w:rsid w:val="00695192"/>
    <w:rsid w:val="006A12FD"/>
    <w:rsid w:val="006A2EBC"/>
    <w:rsid w:val="006A3C23"/>
    <w:rsid w:val="006A3C72"/>
    <w:rsid w:val="006A5793"/>
    <w:rsid w:val="006A5EA0"/>
    <w:rsid w:val="006A625A"/>
    <w:rsid w:val="006A783B"/>
    <w:rsid w:val="006A7B33"/>
    <w:rsid w:val="006B497F"/>
    <w:rsid w:val="006B4E13"/>
    <w:rsid w:val="006B75DD"/>
    <w:rsid w:val="006C047C"/>
    <w:rsid w:val="006C1733"/>
    <w:rsid w:val="006C1CBE"/>
    <w:rsid w:val="006C2475"/>
    <w:rsid w:val="006C2DC1"/>
    <w:rsid w:val="006C3D8B"/>
    <w:rsid w:val="006C67E0"/>
    <w:rsid w:val="006C7475"/>
    <w:rsid w:val="006C7ABA"/>
    <w:rsid w:val="006C7BB8"/>
    <w:rsid w:val="006D0A13"/>
    <w:rsid w:val="006D0D60"/>
    <w:rsid w:val="006D1122"/>
    <w:rsid w:val="006D1F73"/>
    <w:rsid w:val="006D317E"/>
    <w:rsid w:val="006D3B1E"/>
    <w:rsid w:val="006D3C00"/>
    <w:rsid w:val="006D5C05"/>
    <w:rsid w:val="006E06AD"/>
    <w:rsid w:val="006E1D49"/>
    <w:rsid w:val="006E257A"/>
    <w:rsid w:val="006E3675"/>
    <w:rsid w:val="006E4A7F"/>
    <w:rsid w:val="006E5342"/>
    <w:rsid w:val="006E6D31"/>
    <w:rsid w:val="006F0967"/>
    <w:rsid w:val="006F12C5"/>
    <w:rsid w:val="006F1DC7"/>
    <w:rsid w:val="006F2274"/>
    <w:rsid w:val="006F35A1"/>
    <w:rsid w:val="006F5935"/>
    <w:rsid w:val="006F64A0"/>
    <w:rsid w:val="0070038F"/>
    <w:rsid w:val="007010EF"/>
    <w:rsid w:val="007016D8"/>
    <w:rsid w:val="00702392"/>
    <w:rsid w:val="007027B1"/>
    <w:rsid w:val="0070286C"/>
    <w:rsid w:val="00703045"/>
    <w:rsid w:val="00703166"/>
    <w:rsid w:val="00704DF6"/>
    <w:rsid w:val="0070641D"/>
    <w:rsid w:val="0070651C"/>
    <w:rsid w:val="00706938"/>
    <w:rsid w:val="007132A3"/>
    <w:rsid w:val="007141C6"/>
    <w:rsid w:val="00714862"/>
    <w:rsid w:val="007157FD"/>
    <w:rsid w:val="00716421"/>
    <w:rsid w:val="00716B5E"/>
    <w:rsid w:val="00721419"/>
    <w:rsid w:val="00722EA7"/>
    <w:rsid w:val="00722F6F"/>
    <w:rsid w:val="00723109"/>
    <w:rsid w:val="00723507"/>
    <w:rsid w:val="0072482A"/>
    <w:rsid w:val="00724EFB"/>
    <w:rsid w:val="00726575"/>
    <w:rsid w:val="00727641"/>
    <w:rsid w:val="00730310"/>
    <w:rsid w:val="00732B43"/>
    <w:rsid w:val="00733130"/>
    <w:rsid w:val="00740A49"/>
    <w:rsid w:val="00740F9E"/>
    <w:rsid w:val="007419C3"/>
    <w:rsid w:val="007423CD"/>
    <w:rsid w:val="00742578"/>
    <w:rsid w:val="0074390C"/>
    <w:rsid w:val="00746559"/>
    <w:rsid w:val="007467A7"/>
    <w:rsid w:val="007469DD"/>
    <w:rsid w:val="0074741B"/>
    <w:rsid w:val="0074759E"/>
    <w:rsid w:val="007478EA"/>
    <w:rsid w:val="0075415C"/>
    <w:rsid w:val="00754270"/>
    <w:rsid w:val="00754CAD"/>
    <w:rsid w:val="0075525F"/>
    <w:rsid w:val="00757097"/>
    <w:rsid w:val="00757FD7"/>
    <w:rsid w:val="00760435"/>
    <w:rsid w:val="007606CB"/>
    <w:rsid w:val="007612EF"/>
    <w:rsid w:val="00761E8B"/>
    <w:rsid w:val="00763502"/>
    <w:rsid w:val="0076360A"/>
    <w:rsid w:val="00763632"/>
    <w:rsid w:val="00767B14"/>
    <w:rsid w:val="007705D4"/>
    <w:rsid w:val="007712CC"/>
    <w:rsid w:val="007712D9"/>
    <w:rsid w:val="007718DE"/>
    <w:rsid w:val="0077243B"/>
    <w:rsid w:val="007730D0"/>
    <w:rsid w:val="00773F00"/>
    <w:rsid w:val="00774847"/>
    <w:rsid w:val="0077596B"/>
    <w:rsid w:val="00780238"/>
    <w:rsid w:val="00780DE2"/>
    <w:rsid w:val="00781D95"/>
    <w:rsid w:val="0078633A"/>
    <w:rsid w:val="00787773"/>
    <w:rsid w:val="00787F6D"/>
    <w:rsid w:val="007913AB"/>
    <w:rsid w:val="007914F7"/>
    <w:rsid w:val="00792DF3"/>
    <w:rsid w:val="00794C99"/>
    <w:rsid w:val="0079592E"/>
    <w:rsid w:val="00795C73"/>
    <w:rsid w:val="00795FAC"/>
    <w:rsid w:val="007A1945"/>
    <w:rsid w:val="007A271D"/>
    <w:rsid w:val="007A4809"/>
    <w:rsid w:val="007B1625"/>
    <w:rsid w:val="007B1DF4"/>
    <w:rsid w:val="007B25E1"/>
    <w:rsid w:val="007B5223"/>
    <w:rsid w:val="007B706E"/>
    <w:rsid w:val="007B71EB"/>
    <w:rsid w:val="007B7B85"/>
    <w:rsid w:val="007C0748"/>
    <w:rsid w:val="007C1E3A"/>
    <w:rsid w:val="007C2086"/>
    <w:rsid w:val="007C4152"/>
    <w:rsid w:val="007C6205"/>
    <w:rsid w:val="007C686A"/>
    <w:rsid w:val="007C728E"/>
    <w:rsid w:val="007D0BE0"/>
    <w:rsid w:val="007D204F"/>
    <w:rsid w:val="007D2C53"/>
    <w:rsid w:val="007D39EF"/>
    <w:rsid w:val="007D3D60"/>
    <w:rsid w:val="007D5E73"/>
    <w:rsid w:val="007D75C9"/>
    <w:rsid w:val="007E138E"/>
    <w:rsid w:val="007E16CA"/>
    <w:rsid w:val="007E1980"/>
    <w:rsid w:val="007E1E6D"/>
    <w:rsid w:val="007E34CD"/>
    <w:rsid w:val="007E367F"/>
    <w:rsid w:val="007E4B76"/>
    <w:rsid w:val="007E5043"/>
    <w:rsid w:val="007E588C"/>
    <w:rsid w:val="007E5C69"/>
    <w:rsid w:val="007E5EA8"/>
    <w:rsid w:val="007E628C"/>
    <w:rsid w:val="007F0CF1"/>
    <w:rsid w:val="007F0F3A"/>
    <w:rsid w:val="007F12A5"/>
    <w:rsid w:val="007F155C"/>
    <w:rsid w:val="007F15FA"/>
    <w:rsid w:val="007F2D74"/>
    <w:rsid w:val="007F3FB7"/>
    <w:rsid w:val="007F4CF1"/>
    <w:rsid w:val="007F6744"/>
    <w:rsid w:val="007F758D"/>
    <w:rsid w:val="007F7816"/>
    <w:rsid w:val="007F7D52"/>
    <w:rsid w:val="00800096"/>
    <w:rsid w:val="00800F21"/>
    <w:rsid w:val="0080484A"/>
    <w:rsid w:val="00805589"/>
    <w:rsid w:val="008057A5"/>
    <w:rsid w:val="00805E2F"/>
    <w:rsid w:val="0080654C"/>
    <w:rsid w:val="00806984"/>
    <w:rsid w:val="008071C6"/>
    <w:rsid w:val="00811CCC"/>
    <w:rsid w:val="008122E2"/>
    <w:rsid w:val="00817A00"/>
    <w:rsid w:val="00820B95"/>
    <w:rsid w:val="008216C9"/>
    <w:rsid w:val="00824E45"/>
    <w:rsid w:val="00825891"/>
    <w:rsid w:val="00827108"/>
    <w:rsid w:val="00831631"/>
    <w:rsid w:val="0083228D"/>
    <w:rsid w:val="00833D07"/>
    <w:rsid w:val="0083559E"/>
    <w:rsid w:val="00835DB3"/>
    <w:rsid w:val="0083617B"/>
    <w:rsid w:val="00836342"/>
    <w:rsid w:val="00836A2D"/>
    <w:rsid w:val="008371BD"/>
    <w:rsid w:val="00840EBF"/>
    <w:rsid w:val="00841C7B"/>
    <w:rsid w:val="008422EF"/>
    <w:rsid w:val="008424FE"/>
    <w:rsid w:val="008430EF"/>
    <w:rsid w:val="0084371D"/>
    <w:rsid w:val="00844862"/>
    <w:rsid w:val="008504A8"/>
    <w:rsid w:val="00850CCC"/>
    <w:rsid w:val="008518FA"/>
    <w:rsid w:val="00851B58"/>
    <w:rsid w:val="0085282E"/>
    <w:rsid w:val="00853D54"/>
    <w:rsid w:val="008566F7"/>
    <w:rsid w:val="0086322E"/>
    <w:rsid w:val="00867088"/>
    <w:rsid w:val="0087198C"/>
    <w:rsid w:val="00871AA8"/>
    <w:rsid w:val="00872C1F"/>
    <w:rsid w:val="00873B42"/>
    <w:rsid w:val="00875CB9"/>
    <w:rsid w:val="00875E1A"/>
    <w:rsid w:val="00877715"/>
    <w:rsid w:val="00877CB0"/>
    <w:rsid w:val="00880360"/>
    <w:rsid w:val="008805AC"/>
    <w:rsid w:val="00880A38"/>
    <w:rsid w:val="00880D1A"/>
    <w:rsid w:val="00881547"/>
    <w:rsid w:val="00882BEC"/>
    <w:rsid w:val="008833B6"/>
    <w:rsid w:val="00884468"/>
    <w:rsid w:val="008856D8"/>
    <w:rsid w:val="00885B23"/>
    <w:rsid w:val="00890879"/>
    <w:rsid w:val="00892E82"/>
    <w:rsid w:val="00893175"/>
    <w:rsid w:val="00893277"/>
    <w:rsid w:val="00894CBE"/>
    <w:rsid w:val="00895FA9"/>
    <w:rsid w:val="008963B1"/>
    <w:rsid w:val="00897398"/>
    <w:rsid w:val="00897454"/>
    <w:rsid w:val="00897830"/>
    <w:rsid w:val="008A1035"/>
    <w:rsid w:val="008A27B4"/>
    <w:rsid w:val="008A2A0E"/>
    <w:rsid w:val="008A6E08"/>
    <w:rsid w:val="008B6232"/>
    <w:rsid w:val="008B70BD"/>
    <w:rsid w:val="008C0BE9"/>
    <w:rsid w:val="008C1B58"/>
    <w:rsid w:val="008C39AE"/>
    <w:rsid w:val="008C40DF"/>
    <w:rsid w:val="008C522A"/>
    <w:rsid w:val="008C590D"/>
    <w:rsid w:val="008C5A98"/>
    <w:rsid w:val="008D2459"/>
    <w:rsid w:val="008D3BCE"/>
    <w:rsid w:val="008D447E"/>
    <w:rsid w:val="008D48EE"/>
    <w:rsid w:val="008D5789"/>
    <w:rsid w:val="008D5F6B"/>
    <w:rsid w:val="008D73D4"/>
    <w:rsid w:val="008D7566"/>
    <w:rsid w:val="008E003C"/>
    <w:rsid w:val="008E031B"/>
    <w:rsid w:val="008E0560"/>
    <w:rsid w:val="008E1210"/>
    <w:rsid w:val="008E1A1B"/>
    <w:rsid w:val="008E2D8C"/>
    <w:rsid w:val="008E2ED0"/>
    <w:rsid w:val="008E7029"/>
    <w:rsid w:val="008E7EA6"/>
    <w:rsid w:val="008E7EF6"/>
    <w:rsid w:val="008F1F98"/>
    <w:rsid w:val="008F2340"/>
    <w:rsid w:val="008F2790"/>
    <w:rsid w:val="008F62DC"/>
    <w:rsid w:val="008F6758"/>
    <w:rsid w:val="0090023F"/>
    <w:rsid w:val="00904075"/>
    <w:rsid w:val="009040DD"/>
    <w:rsid w:val="0090533F"/>
    <w:rsid w:val="00905B47"/>
    <w:rsid w:val="00906260"/>
    <w:rsid w:val="0090690F"/>
    <w:rsid w:val="00906F78"/>
    <w:rsid w:val="00910B6A"/>
    <w:rsid w:val="00910CE9"/>
    <w:rsid w:val="00911391"/>
    <w:rsid w:val="00912A7F"/>
    <w:rsid w:val="0091331C"/>
    <w:rsid w:val="009137BD"/>
    <w:rsid w:val="0091503D"/>
    <w:rsid w:val="00915129"/>
    <w:rsid w:val="00915DA9"/>
    <w:rsid w:val="00920839"/>
    <w:rsid w:val="00920EA5"/>
    <w:rsid w:val="00921E1D"/>
    <w:rsid w:val="00923610"/>
    <w:rsid w:val="00923827"/>
    <w:rsid w:val="00923BEB"/>
    <w:rsid w:val="00924DF0"/>
    <w:rsid w:val="009251F3"/>
    <w:rsid w:val="00925D64"/>
    <w:rsid w:val="00925EBD"/>
    <w:rsid w:val="009276DC"/>
    <w:rsid w:val="009279DE"/>
    <w:rsid w:val="00927AB9"/>
    <w:rsid w:val="00927B37"/>
    <w:rsid w:val="00930116"/>
    <w:rsid w:val="00930625"/>
    <w:rsid w:val="00934B8F"/>
    <w:rsid w:val="0093622E"/>
    <w:rsid w:val="009374A3"/>
    <w:rsid w:val="00940886"/>
    <w:rsid w:val="00941082"/>
    <w:rsid w:val="0094175B"/>
    <w:rsid w:val="0094212C"/>
    <w:rsid w:val="00943339"/>
    <w:rsid w:val="00944853"/>
    <w:rsid w:val="00944B67"/>
    <w:rsid w:val="00944C9B"/>
    <w:rsid w:val="00945A7F"/>
    <w:rsid w:val="00945B11"/>
    <w:rsid w:val="0094609D"/>
    <w:rsid w:val="00950C3E"/>
    <w:rsid w:val="009519EF"/>
    <w:rsid w:val="009521B9"/>
    <w:rsid w:val="00952E9A"/>
    <w:rsid w:val="009531C7"/>
    <w:rsid w:val="0095378C"/>
    <w:rsid w:val="00954689"/>
    <w:rsid w:val="0095472A"/>
    <w:rsid w:val="00954E58"/>
    <w:rsid w:val="009564D8"/>
    <w:rsid w:val="0096085A"/>
    <w:rsid w:val="009617C9"/>
    <w:rsid w:val="00961C93"/>
    <w:rsid w:val="00962B4E"/>
    <w:rsid w:val="00963877"/>
    <w:rsid w:val="00964B5A"/>
    <w:rsid w:val="00965324"/>
    <w:rsid w:val="009671D3"/>
    <w:rsid w:val="00967EEF"/>
    <w:rsid w:val="009701F0"/>
    <w:rsid w:val="00970778"/>
    <w:rsid w:val="0097091E"/>
    <w:rsid w:val="0097343C"/>
    <w:rsid w:val="00973C6F"/>
    <w:rsid w:val="009751EC"/>
    <w:rsid w:val="009760D3"/>
    <w:rsid w:val="00976916"/>
    <w:rsid w:val="00977132"/>
    <w:rsid w:val="00981A4B"/>
    <w:rsid w:val="00981BC0"/>
    <w:rsid w:val="00982006"/>
    <w:rsid w:val="00982250"/>
    <w:rsid w:val="00982501"/>
    <w:rsid w:val="00983D33"/>
    <w:rsid w:val="00984358"/>
    <w:rsid w:val="00984F83"/>
    <w:rsid w:val="00985256"/>
    <w:rsid w:val="009877D3"/>
    <w:rsid w:val="00987E80"/>
    <w:rsid w:val="00993D0C"/>
    <w:rsid w:val="00994E8F"/>
    <w:rsid w:val="009951DC"/>
    <w:rsid w:val="009959BB"/>
    <w:rsid w:val="00997158"/>
    <w:rsid w:val="009A0827"/>
    <w:rsid w:val="009A2CB8"/>
    <w:rsid w:val="009A3A7C"/>
    <w:rsid w:val="009A3D1E"/>
    <w:rsid w:val="009A3EF5"/>
    <w:rsid w:val="009A481D"/>
    <w:rsid w:val="009A50B6"/>
    <w:rsid w:val="009A59D7"/>
    <w:rsid w:val="009A5D33"/>
    <w:rsid w:val="009A797F"/>
    <w:rsid w:val="009A7D84"/>
    <w:rsid w:val="009B2323"/>
    <w:rsid w:val="009B2ADB"/>
    <w:rsid w:val="009B603A"/>
    <w:rsid w:val="009B60B5"/>
    <w:rsid w:val="009B7C49"/>
    <w:rsid w:val="009B7F4D"/>
    <w:rsid w:val="009C2D0E"/>
    <w:rsid w:val="009C3018"/>
    <w:rsid w:val="009C33A0"/>
    <w:rsid w:val="009C3DAC"/>
    <w:rsid w:val="009C42E0"/>
    <w:rsid w:val="009C430E"/>
    <w:rsid w:val="009C5292"/>
    <w:rsid w:val="009D1DBC"/>
    <w:rsid w:val="009D1E5E"/>
    <w:rsid w:val="009D1EE4"/>
    <w:rsid w:val="009D3230"/>
    <w:rsid w:val="009D4D59"/>
    <w:rsid w:val="009D5362"/>
    <w:rsid w:val="009D60C4"/>
    <w:rsid w:val="009D7660"/>
    <w:rsid w:val="009E120A"/>
    <w:rsid w:val="009E1415"/>
    <w:rsid w:val="009E19F8"/>
    <w:rsid w:val="009E3EDD"/>
    <w:rsid w:val="009E4EE7"/>
    <w:rsid w:val="009E6116"/>
    <w:rsid w:val="009E63E0"/>
    <w:rsid w:val="009E7096"/>
    <w:rsid w:val="009E763A"/>
    <w:rsid w:val="009E7D1A"/>
    <w:rsid w:val="009E7E25"/>
    <w:rsid w:val="009E7F9C"/>
    <w:rsid w:val="009F048A"/>
    <w:rsid w:val="009F1DA7"/>
    <w:rsid w:val="009F55E9"/>
    <w:rsid w:val="00A0045C"/>
    <w:rsid w:val="00A02E43"/>
    <w:rsid w:val="00A0405F"/>
    <w:rsid w:val="00A05368"/>
    <w:rsid w:val="00A065F9"/>
    <w:rsid w:val="00A07011"/>
    <w:rsid w:val="00A073F1"/>
    <w:rsid w:val="00A07F34"/>
    <w:rsid w:val="00A12DF2"/>
    <w:rsid w:val="00A1544C"/>
    <w:rsid w:val="00A201D5"/>
    <w:rsid w:val="00A20B98"/>
    <w:rsid w:val="00A22154"/>
    <w:rsid w:val="00A22613"/>
    <w:rsid w:val="00A24058"/>
    <w:rsid w:val="00A25C38"/>
    <w:rsid w:val="00A26108"/>
    <w:rsid w:val="00A2634B"/>
    <w:rsid w:val="00A26BEF"/>
    <w:rsid w:val="00A326AF"/>
    <w:rsid w:val="00A347D6"/>
    <w:rsid w:val="00A35824"/>
    <w:rsid w:val="00A35DF8"/>
    <w:rsid w:val="00A36BBE"/>
    <w:rsid w:val="00A37C20"/>
    <w:rsid w:val="00A40D9E"/>
    <w:rsid w:val="00A41B0A"/>
    <w:rsid w:val="00A41DF7"/>
    <w:rsid w:val="00A420B1"/>
    <w:rsid w:val="00A42ECA"/>
    <w:rsid w:val="00A4307A"/>
    <w:rsid w:val="00A46DEF"/>
    <w:rsid w:val="00A47EBB"/>
    <w:rsid w:val="00A51836"/>
    <w:rsid w:val="00A51CDD"/>
    <w:rsid w:val="00A52BED"/>
    <w:rsid w:val="00A549C6"/>
    <w:rsid w:val="00A563F8"/>
    <w:rsid w:val="00A56BBA"/>
    <w:rsid w:val="00A56F16"/>
    <w:rsid w:val="00A57482"/>
    <w:rsid w:val="00A57635"/>
    <w:rsid w:val="00A609E9"/>
    <w:rsid w:val="00A64EFE"/>
    <w:rsid w:val="00A6702F"/>
    <w:rsid w:val="00A6730D"/>
    <w:rsid w:val="00A70A1F"/>
    <w:rsid w:val="00A70D7C"/>
    <w:rsid w:val="00A71625"/>
    <w:rsid w:val="00A71B9B"/>
    <w:rsid w:val="00A73CF0"/>
    <w:rsid w:val="00A7412C"/>
    <w:rsid w:val="00A751C7"/>
    <w:rsid w:val="00A76EF0"/>
    <w:rsid w:val="00A80008"/>
    <w:rsid w:val="00A805CD"/>
    <w:rsid w:val="00A84CE5"/>
    <w:rsid w:val="00A868C7"/>
    <w:rsid w:val="00A86C32"/>
    <w:rsid w:val="00A87844"/>
    <w:rsid w:val="00A90617"/>
    <w:rsid w:val="00A90CAA"/>
    <w:rsid w:val="00A9227B"/>
    <w:rsid w:val="00A92D9F"/>
    <w:rsid w:val="00A979F6"/>
    <w:rsid w:val="00A97A55"/>
    <w:rsid w:val="00AA01D9"/>
    <w:rsid w:val="00AA038C"/>
    <w:rsid w:val="00AA4BBA"/>
    <w:rsid w:val="00AA69AF"/>
    <w:rsid w:val="00AA727E"/>
    <w:rsid w:val="00AA7A09"/>
    <w:rsid w:val="00AB3B50"/>
    <w:rsid w:val="00AB67BC"/>
    <w:rsid w:val="00AC025F"/>
    <w:rsid w:val="00AC05B1"/>
    <w:rsid w:val="00AC37B4"/>
    <w:rsid w:val="00AC450C"/>
    <w:rsid w:val="00AC6AC7"/>
    <w:rsid w:val="00AD03A9"/>
    <w:rsid w:val="00AD0A77"/>
    <w:rsid w:val="00AD1CAB"/>
    <w:rsid w:val="00AD340B"/>
    <w:rsid w:val="00AD356C"/>
    <w:rsid w:val="00AD4E95"/>
    <w:rsid w:val="00AD68CB"/>
    <w:rsid w:val="00AE0BD1"/>
    <w:rsid w:val="00AE2914"/>
    <w:rsid w:val="00AE2C40"/>
    <w:rsid w:val="00AE5DA1"/>
    <w:rsid w:val="00AE6402"/>
    <w:rsid w:val="00AE6D15"/>
    <w:rsid w:val="00AE7023"/>
    <w:rsid w:val="00AE78AA"/>
    <w:rsid w:val="00AF0BF9"/>
    <w:rsid w:val="00AF0EF3"/>
    <w:rsid w:val="00AF1F49"/>
    <w:rsid w:val="00AF2D81"/>
    <w:rsid w:val="00AF2F19"/>
    <w:rsid w:val="00AF34B1"/>
    <w:rsid w:val="00AF52BE"/>
    <w:rsid w:val="00AF531D"/>
    <w:rsid w:val="00AF5E45"/>
    <w:rsid w:val="00B0161B"/>
    <w:rsid w:val="00B02B9F"/>
    <w:rsid w:val="00B04182"/>
    <w:rsid w:val="00B05ECF"/>
    <w:rsid w:val="00B07780"/>
    <w:rsid w:val="00B07AE3"/>
    <w:rsid w:val="00B10897"/>
    <w:rsid w:val="00B10B98"/>
    <w:rsid w:val="00B11430"/>
    <w:rsid w:val="00B12A5D"/>
    <w:rsid w:val="00B12D45"/>
    <w:rsid w:val="00B20098"/>
    <w:rsid w:val="00B20444"/>
    <w:rsid w:val="00B21390"/>
    <w:rsid w:val="00B2278E"/>
    <w:rsid w:val="00B242F4"/>
    <w:rsid w:val="00B2477A"/>
    <w:rsid w:val="00B24B08"/>
    <w:rsid w:val="00B24D1C"/>
    <w:rsid w:val="00B260A5"/>
    <w:rsid w:val="00B26BCF"/>
    <w:rsid w:val="00B26D4C"/>
    <w:rsid w:val="00B30072"/>
    <w:rsid w:val="00B30481"/>
    <w:rsid w:val="00B3312F"/>
    <w:rsid w:val="00B353EB"/>
    <w:rsid w:val="00B4016F"/>
    <w:rsid w:val="00B407AC"/>
    <w:rsid w:val="00B439C4"/>
    <w:rsid w:val="00B44C68"/>
    <w:rsid w:val="00B4535E"/>
    <w:rsid w:val="00B45727"/>
    <w:rsid w:val="00B45C4F"/>
    <w:rsid w:val="00B46C84"/>
    <w:rsid w:val="00B52093"/>
    <w:rsid w:val="00B52831"/>
    <w:rsid w:val="00B52A8C"/>
    <w:rsid w:val="00B52B55"/>
    <w:rsid w:val="00B53A08"/>
    <w:rsid w:val="00B53D65"/>
    <w:rsid w:val="00B54707"/>
    <w:rsid w:val="00B56155"/>
    <w:rsid w:val="00B5654F"/>
    <w:rsid w:val="00B60C90"/>
    <w:rsid w:val="00B6204C"/>
    <w:rsid w:val="00B62F11"/>
    <w:rsid w:val="00B63042"/>
    <w:rsid w:val="00B636A8"/>
    <w:rsid w:val="00B63920"/>
    <w:rsid w:val="00B665C6"/>
    <w:rsid w:val="00B66F26"/>
    <w:rsid w:val="00B67BFF"/>
    <w:rsid w:val="00B7135B"/>
    <w:rsid w:val="00B71C0E"/>
    <w:rsid w:val="00B72AD8"/>
    <w:rsid w:val="00B73047"/>
    <w:rsid w:val="00B74441"/>
    <w:rsid w:val="00B74666"/>
    <w:rsid w:val="00B753A0"/>
    <w:rsid w:val="00B758A5"/>
    <w:rsid w:val="00B77FB6"/>
    <w:rsid w:val="00B805AF"/>
    <w:rsid w:val="00B816CF"/>
    <w:rsid w:val="00B82BD5"/>
    <w:rsid w:val="00B8376D"/>
    <w:rsid w:val="00B84F0B"/>
    <w:rsid w:val="00B85DCE"/>
    <w:rsid w:val="00B869EC"/>
    <w:rsid w:val="00B86EEB"/>
    <w:rsid w:val="00B87A0B"/>
    <w:rsid w:val="00B92383"/>
    <w:rsid w:val="00B9261C"/>
    <w:rsid w:val="00B9397A"/>
    <w:rsid w:val="00B94959"/>
    <w:rsid w:val="00B9633D"/>
    <w:rsid w:val="00B967D5"/>
    <w:rsid w:val="00BA0B2E"/>
    <w:rsid w:val="00BA1211"/>
    <w:rsid w:val="00BA2EBE"/>
    <w:rsid w:val="00BA2FD9"/>
    <w:rsid w:val="00BA58BB"/>
    <w:rsid w:val="00BA7DBC"/>
    <w:rsid w:val="00BB0F28"/>
    <w:rsid w:val="00BB1846"/>
    <w:rsid w:val="00BB3522"/>
    <w:rsid w:val="00BB3ACF"/>
    <w:rsid w:val="00BB42DB"/>
    <w:rsid w:val="00BB458A"/>
    <w:rsid w:val="00BB470A"/>
    <w:rsid w:val="00BB58C7"/>
    <w:rsid w:val="00BB693F"/>
    <w:rsid w:val="00BB6C11"/>
    <w:rsid w:val="00BC00C7"/>
    <w:rsid w:val="00BC142F"/>
    <w:rsid w:val="00BC5953"/>
    <w:rsid w:val="00BC6DF5"/>
    <w:rsid w:val="00BD00D3"/>
    <w:rsid w:val="00BD0C9D"/>
    <w:rsid w:val="00BD1659"/>
    <w:rsid w:val="00BD1AD7"/>
    <w:rsid w:val="00BD2E1D"/>
    <w:rsid w:val="00BD3AA9"/>
    <w:rsid w:val="00BD4A18"/>
    <w:rsid w:val="00BD5181"/>
    <w:rsid w:val="00BD6DB2"/>
    <w:rsid w:val="00BD73A1"/>
    <w:rsid w:val="00BE11CF"/>
    <w:rsid w:val="00BE21AB"/>
    <w:rsid w:val="00BE55CB"/>
    <w:rsid w:val="00BE7067"/>
    <w:rsid w:val="00BE7A50"/>
    <w:rsid w:val="00BF0C45"/>
    <w:rsid w:val="00BF254C"/>
    <w:rsid w:val="00BF3BB2"/>
    <w:rsid w:val="00BF4063"/>
    <w:rsid w:val="00BF5F3A"/>
    <w:rsid w:val="00BF617A"/>
    <w:rsid w:val="00BF6D6B"/>
    <w:rsid w:val="00BF72F9"/>
    <w:rsid w:val="00BF79E7"/>
    <w:rsid w:val="00C02355"/>
    <w:rsid w:val="00C0379D"/>
    <w:rsid w:val="00C03931"/>
    <w:rsid w:val="00C03BAC"/>
    <w:rsid w:val="00C05FE3"/>
    <w:rsid w:val="00C11DA9"/>
    <w:rsid w:val="00C16935"/>
    <w:rsid w:val="00C16A5A"/>
    <w:rsid w:val="00C1782E"/>
    <w:rsid w:val="00C2136D"/>
    <w:rsid w:val="00C214EE"/>
    <w:rsid w:val="00C21C03"/>
    <w:rsid w:val="00C2226F"/>
    <w:rsid w:val="00C2314B"/>
    <w:rsid w:val="00C24077"/>
    <w:rsid w:val="00C244A0"/>
    <w:rsid w:val="00C24971"/>
    <w:rsid w:val="00C24E35"/>
    <w:rsid w:val="00C25355"/>
    <w:rsid w:val="00C25670"/>
    <w:rsid w:val="00C26BE5"/>
    <w:rsid w:val="00C26E4D"/>
    <w:rsid w:val="00C27909"/>
    <w:rsid w:val="00C27B03"/>
    <w:rsid w:val="00C27F8C"/>
    <w:rsid w:val="00C30748"/>
    <w:rsid w:val="00C314E1"/>
    <w:rsid w:val="00C34397"/>
    <w:rsid w:val="00C3586E"/>
    <w:rsid w:val="00C37626"/>
    <w:rsid w:val="00C378E6"/>
    <w:rsid w:val="00C40503"/>
    <w:rsid w:val="00C406CC"/>
    <w:rsid w:val="00C4095D"/>
    <w:rsid w:val="00C4696B"/>
    <w:rsid w:val="00C51FE5"/>
    <w:rsid w:val="00C52B76"/>
    <w:rsid w:val="00C52E12"/>
    <w:rsid w:val="00C533B1"/>
    <w:rsid w:val="00C5531E"/>
    <w:rsid w:val="00C56B64"/>
    <w:rsid w:val="00C56BC7"/>
    <w:rsid w:val="00C57A9C"/>
    <w:rsid w:val="00C601D2"/>
    <w:rsid w:val="00C6166B"/>
    <w:rsid w:val="00C638D4"/>
    <w:rsid w:val="00C65BCC"/>
    <w:rsid w:val="00C66970"/>
    <w:rsid w:val="00C71635"/>
    <w:rsid w:val="00C71F4D"/>
    <w:rsid w:val="00C74DC7"/>
    <w:rsid w:val="00C75A36"/>
    <w:rsid w:val="00C76BFB"/>
    <w:rsid w:val="00C77588"/>
    <w:rsid w:val="00C82310"/>
    <w:rsid w:val="00C8691C"/>
    <w:rsid w:val="00C86CB4"/>
    <w:rsid w:val="00C91668"/>
    <w:rsid w:val="00C94F65"/>
    <w:rsid w:val="00C96295"/>
    <w:rsid w:val="00C96364"/>
    <w:rsid w:val="00CA020B"/>
    <w:rsid w:val="00CA03DF"/>
    <w:rsid w:val="00CA168A"/>
    <w:rsid w:val="00CA1B6B"/>
    <w:rsid w:val="00CA2097"/>
    <w:rsid w:val="00CA2987"/>
    <w:rsid w:val="00CA357E"/>
    <w:rsid w:val="00CA42C2"/>
    <w:rsid w:val="00CA44F9"/>
    <w:rsid w:val="00CA4A69"/>
    <w:rsid w:val="00CA573D"/>
    <w:rsid w:val="00CA5811"/>
    <w:rsid w:val="00CB0FE2"/>
    <w:rsid w:val="00CB20D7"/>
    <w:rsid w:val="00CB485B"/>
    <w:rsid w:val="00CB5F91"/>
    <w:rsid w:val="00CB722E"/>
    <w:rsid w:val="00CC0664"/>
    <w:rsid w:val="00CC28DB"/>
    <w:rsid w:val="00CC3E0C"/>
    <w:rsid w:val="00CC4CDE"/>
    <w:rsid w:val="00CC562F"/>
    <w:rsid w:val="00CC58D3"/>
    <w:rsid w:val="00CC6643"/>
    <w:rsid w:val="00CC6FD4"/>
    <w:rsid w:val="00CC7502"/>
    <w:rsid w:val="00CC763E"/>
    <w:rsid w:val="00CC784D"/>
    <w:rsid w:val="00CD6FED"/>
    <w:rsid w:val="00CD76B1"/>
    <w:rsid w:val="00CE00B6"/>
    <w:rsid w:val="00CE119B"/>
    <w:rsid w:val="00CE5140"/>
    <w:rsid w:val="00CF0C02"/>
    <w:rsid w:val="00CF1E15"/>
    <w:rsid w:val="00CF7725"/>
    <w:rsid w:val="00D0006A"/>
    <w:rsid w:val="00D00A8D"/>
    <w:rsid w:val="00D0109E"/>
    <w:rsid w:val="00D0203F"/>
    <w:rsid w:val="00D0278A"/>
    <w:rsid w:val="00D03268"/>
    <w:rsid w:val="00D0337B"/>
    <w:rsid w:val="00D07777"/>
    <w:rsid w:val="00D079B2"/>
    <w:rsid w:val="00D105BC"/>
    <w:rsid w:val="00D114E9"/>
    <w:rsid w:val="00D17CD8"/>
    <w:rsid w:val="00D2527C"/>
    <w:rsid w:val="00D25D33"/>
    <w:rsid w:val="00D313B3"/>
    <w:rsid w:val="00D319E3"/>
    <w:rsid w:val="00D32C3B"/>
    <w:rsid w:val="00D33FC3"/>
    <w:rsid w:val="00D35B8E"/>
    <w:rsid w:val="00D37204"/>
    <w:rsid w:val="00D40F07"/>
    <w:rsid w:val="00D429C6"/>
    <w:rsid w:val="00D43072"/>
    <w:rsid w:val="00D46B0F"/>
    <w:rsid w:val="00D47748"/>
    <w:rsid w:val="00D47BE1"/>
    <w:rsid w:val="00D514AB"/>
    <w:rsid w:val="00D5178F"/>
    <w:rsid w:val="00D518DF"/>
    <w:rsid w:val="00D51E60"/>
    <w:rsid w:val="00D52AF0"/>
    <w:rsid w:val="00D53582"/>
    <w:rsid w:val="00D54CC3"/>
    <w:rsid w:val="00D55BB5"/>
    <w:rsid w:val="00D57001"/>
    <w:rsid w:val="00D6041A"/>
    <w:rsid w:val="00D61258"/>
    <w:rsid w:val="00D633EB"/>
    <w:rsid w:val="00D64A51"/>
    <w:rsid w:val="00D667DE"/>
    <w:rsid w:val="00D736AC"/>
    <w:rsid w:val="00D747AA"/>
    <w:rsid w:val="00D7567A"/>
    <w:rsid w:val="00D75A7E"/>
    <w:rsid w:val="00D763F5"/>
    <w:rsid w:val="00D805EC"/>
    <w:rsid w:val="00D82FF7"/>
    <w:rsid w:val="00D83C6F"/>
    <w:rsid w:val="00D8401C"/>
    <w:rsid w:val="00D84271"/>
    <w:rsid w:val="00D847FE"/>
    <w:rsid w:val="00D8697E"/>
    <w:rsid w:val="00D86B9C"/>
    <w:rsid w:val="00D86CDA"/>
    <w:rsid w:val="00D900CD"/>
    <w:rsid w:val="00D905CA"/>
    <w:rsid w:val="00D90A39"/>
    <w:rsid w:val="00D91872"/>
    <w:rsid w:val="00D937E9"/>
    <w:rsid w:val="00D938E6"/>
    <w:rsid w:val="00D94A01"/>
    <w:rsid w:val="00D950F9"/>
    <w:rsid w:val="00D964EA"/>
    <w:rsid w:val="00D966D0"/>
    <w:rsid w:val="00D976DC"/>
    <w:rsid w:val="00DA021B"/>
    <w:rsid w:val="00DA0C59"/>
    <w:rsid w:val="00DA1B7A"/>
    <w:rsid w:val="00DA2BAD"/>
    <w:rsid w:val="00DA309B"/>
    <w:rsid w:val="00DA35BA"/>
    <w:rsid w:val="00DA3991"/>
    <w:rsid w:val="00DA3F57"/>
    <w:rsid w:val="00DA72A1"/>
    <w:rsid w:val="00DA7F95"/>
    <w:rsid w:val="00DB01F1"/>
    <w:rsid w:val="00DB3222"/>
    <w:rsid w:val="00DB521F"/>
    <w:rsid w:val="00DB6C06"/>
    <w:rsid w:val="00DB7E6C"/>
    <w:rsid w:val="00DC029F"/>
    <w:rsid w:val="00DC05DE"/>
    <w:rsid w:val="00DC0CBD"/>
    <w:rsid w:val="00DC4F29"/>
    <w:rsid w:val="00DC4F54"/>
    <w:rsid w:val="00DC4F68"/>
    <w:rsid w:val="00DC5E64"/>
    <w:rsid w:val="00DC64B0"/>
    <w:rsid w:val="00DC6B1E"/>
    <w:rsid w:val="00DC7CB4"/>
    <w:rsid w:val="00DD252A"/>
    <w:rsid w:val="00DD3D00"/>
    <w:rsid w:val="00DD5949"/>
    <w:rsid w:val="00DD5A29"/>
    <w:rsid w:val="00DD5D9D"/>
    <w:rsid w:val="00DD78E6"/>
    <w:rsid w:val="00DD79BC"/>
    <w:rsid w:val="00DE1BF2"/>
    <w:rsid w:val="00DE35CB"/>
    <w:rsid w:val="00DE71B1"/>
    <w:rsid w:val="00DE782F"/>
    <w:rsid w:val="00DF0EF0"/>
    <w:rsid w:val="00DF21E9"/>
    <w:rsid w:val="00DF22C7"/>
    <w:rsid w:val="00DF41EC"/>
    <w:rsid w:val="00DF49F7"/>
    <w:rsid w:val="00DF5588"/>
    <w:rsid w:val="00DF5ACA"/>
    <w:rsid w:val="00DF5CC9"/>
    <w:rsid w:val="00DF5EE1"/>
    <w:rsid w:val="00DF6465"/>
    <w:rsid w:val="00E005D3"/>
    <w:rsid w:val="00E00ACA"/>
    <w:rsid w:val="00E00F14"/>
    <w:rsid w:val="00E01CB8"/>
    <w:rsid w:val="00E01EB8"/>
    <w:rsid w:val="00E02315"/>
    <w:rsid w:val="00E051B0"/>
    <w:rsid w:val="00E06386"/>
    <w:rsid w:val="00E075C5"/>
    <w:rsid w:val="00E1051A"/>
    <w:rsid w:val="00E111F3"/>
    <w:rsid w:val="00E11668"/>
    <w:rsid w:val="00E118E7"/>
    <w:rsid w:val="00E122B7"/>
    <w:rsid w:val="00E14ABF"/>
    <w:rsid w:val="00E150DF"/>
    <w:rsid w:val="00E1535F"/>
    <w:rsid w:val="00E16038"/>
    <w:rsid w:val="00E16137"/>
    <w:rsid w:val="00E16FD5"/>
    <w:rsid w:val="00E17EEA"/>
    <w:rsid w:val="00E17EFA"/>
    <w:rsid w:val="00E20BD0"/>
    <w:rsid w:val="00E20E6A"/>
    <w:rsid w:val="00E2194B"/>
    <w:rsid w:val="00E21A65"/>
    <w:rsid w:val="00E21B55"/>
    <w:rsid w:val="00E221D3"/>
    <w:rsid w:val="00E226B0"/>
    <w:rsid w:val="00E23723"/>
    <w:rsid w:val="00E24552"/>
    <w:rsid w:val="00E24EB4"/>
    <w:rsid w:val="00E26781"/>
    <w:rsid w:val="00E27306"/>
    <w:rsid w:val="00E27996"/>
    <w:rsid w:val="00E30635"/>
    <w:rsid w:val="00E31513"/>
    <w:rsid w:val="00E31783"/>
    <w:rsid w:val="00E320ED"/>
    <w:rsid w:val="00E3329F"/>
    <w:rsid w:val="00E33AFB"/>
    <w:rsid w:val="00E34218"/>
    <w:rsid w:val="00E34B22"/>
    <w:rsid w:val="00E356F9"/>
    <w:rsid w:val="00E361D3"/>
    <w:rsid w:val="00E37B78"/>
    <w:rsid w:val="00E4008C"/>
    <w:rsid w:val="00E449DE"/>
    <w:rsid w:val="00E44D25"/>
    <w:rsid w:val="00E4555B"/>
    <w:rsid w:val="00E46282"/>
    <w:rsid w:val="00E479BF"/>
    <w:rsid w:val="00E50462"/>
    <w:rsid w:val="00E5096B"/>
    <w:rsid w:val="00E51284"/>
    <w:rsid w:val="00E5216E"/>
    <w:rsid w:val="00E528A1"/>
    <w:rsid w:val="00E535ED"/>
    <w:rsid w:val="00E53BD3"/>
    <w:rsid w:val="00E5529C"/>
    <w:rsid w:val="00E60F65"/>
    <w:rsid w:val="00E61A8D"/>
    <w:rsid w:val="00E62C2F"/>
    <w:rsid w:val="00E6327B"/>
    <w:rsid w:val="00E657A5"/>
    <w:rsid w:val="00E657C6"/>
    <w:rsid w:val="00E66607"/>
    <w:rsid w:val="00E7484B"/>
    <w:rsid w:val="00E75D40"/>
    <w:rsid w:val="00E75F88"/>
    <w:rsid w:val="00E76E5B"/>
    <w:rsid w:val="00E800A5"/>
    <w:rsid w:val="00E81965"/>
    <w:rsid w:val="00E81A88"/>
    <w:rsid w:val="00E82344"/>
    <w:rsid w:val="00E84C82"/>
    <w:rsid w:val="00E84D64"/>
    <w:rsid w:val="00E856C8"/>
    <w:rsid w:val="00E87408"/>
    <w:rsid w:val="00E914C4"/>
    <w:rsid w:val="00E934F5"/>
    <w:rsid w:val="00E948CC"/>
    <w:rsid w:val="00E956B9"/>
    <w:rsid w:val="00E95EF9"/>
    <w:rsid w:val="00E96961"/>
    <w:rsid w:val="00EA4336"/>
    <w:rsid w:val="00EA5AC3"/>
    <w:rsid w:val="00EA6421"/>
    <w:rsid w:val="00EA72EC"/>
    <w:rsid w:val="00EB11CB"/>
    <w:rsid w:val="00EB1C71"/>
    <w:rsid w:val="00EB2605"/>
    <w:rsid w:val="00EB275A"/>
    <w:rsid w:val="00EB300C"/>
    <w:rsid w:val="00EB4047"/>
    <w:rsid w:val="00EB5507"/>
    <w:rsid w:val="00EB57CA"/>
    <w:rsid w:val="00EB786A"/>
    <w:rsid w:val="00EC0901"/>
    <w:rsid w:val="00EC0F53"/>
    <w:rsid w:val="00EC114C"/>
    <w:rsid w:val="00EC1578"/>
    <w:rsid w:val="00EC1BFC"/>
    <w:rsid w:val="00EC1C72"/>
    <w:rsid w:val="00EC3356"/>
    <w:rsid w:val="00EC3CC9"/>
    <w:rsid w:val="00EC5D85"/>
    <w:rsid w:val="00EC680A"/>
    <w:rsid w:val="00ED417B"/>
    <w:rsid w:val="00ED511C"/>
    <w:rsid w:val="00ED612F"/>
    <w:rsid w:val="00ED7229"/>
    <w:rsid w:val="00EE25CB"/>
    <w:rsid w:val="00EE2BED"/>
    <w:rsid w:val="00EE374B"/>
    <w:rsid w:val="00EE4A87"/>
    <w:rsid w:val="00EE5C08"/>
    <w:rsid w:val="00EF0AB4"/>
    <w:rsid w:val="00EF0AB7"/>
    <w:rsid w:val="00EF2165"/>
    <w:rsid w:val="00EF2869"/>
    <w:rsid w:val="00EF331F"/>
    <w:rsid w:val="00EF4AB0"/>
    <w:rsid w:val="00EF4FA5"/>
    <w:rsid w:val="00EF5B8C"/>
    <w:rsid w:val="00EF6DC8"/>
    <w:rsid w:val="00F019C4"/>
    <w:rsid w:val="00F02C13"/>
    <w:rsid w:val="00F03176"/>
    <w:rsid w:val="00F05D60"/>
    <w:rsid w:val="00F071EA"/>
    <w:rsid w:val="00F07224"/>
    <w:rsid w:val="00F075B8"/>
    <w:rsid w:val="00F07FD3"/>
    <w:rsid w:val="00F11BB5"/>
    <w:rsid w:val="00F12318"/>
    <w:rsid w:val="00F1296C"/>
    <w:rsid w:val="00F13D31"/>
    <w:rsid w:val="00F1417B"/>
    <w:rsid w:val="00F14A99"/>
    <w:rsid w:val="00F1712D"/>
    <w:rsid w:val="00F17A17"/>
    <w:rsid w:val="00F208A0"/>
    <w:rsid w:val="00F2115E"/>
    <w:rsid w:val="00F212E9"/>
    <w:rsid w:val="00F2315C"/>
    <w:rsid w:val="00F25DD8"/>
    <w:rsid w:val="00F278C6"/>
    <w:rsid w:val="00F27B3D"/>
    <w:rsid w:val="00F27DCA"/>
    <w:rsid w:val="00F30024"/>
    <w:rsid w:val="00F30598"/>
    <w:rsid w:val="00F30ABD"/>
    <w:rsid w:val="00F3283A"/>
    <w:rsid w:val="00F341A1"/>
    <w:rsid w:val="00F34B99"/>
    <w:rsid w:val="00F3545E"/>
    <w:rsid w:val="00F3721D"/>
    <w:rsid w:val="00F37ADF"/>
    <w:rsid w:val="00F40B02"/>
    <w:rsid w:val="00F413F8"/>
    <w:rsid w:val="00F41E81"/>
    <w:rsid w:val="00F45E4C"/>
    <w:rsid w:val="00F45EA7"/>
    <w:rsid w:val="00F467E2"/>
    <w:rsid w:val="00F46ECD"/>
    <w:rsid w:val="00F508D5"/>
    <w:rsid w:val="00F50B5D"/>
    <w:rsid w:val="00F51720"/>
    <w:rsid w:val="00F51CF2"/>
    <w:rsid w:val="00F51E45"/>
    <w:rsid w:val="00F524BA"/>
    <w:rsid w:val="00F52DAB"/>
    <w:rsid w:val="00F54368"/>
    <w:rsid w:val="00F543F0"/>
    <w:rsid w:val="00F55E3E"/>
    <w:rsid w:val="00F57601"/>
    <w:rsid w:val="00F601E4"/>
    <w:rsid w:val="00F60A18"/>
    <w:rsid w:val="00F61023"/>
    <w:rsid w:val="00F6165A"/>
    <w:rsid w:val="00F6520A"/>
    <w:rsid w:val="00F66940"/>
    <w:rsid w:val="00F66D8F"/>
    <w:rsid w:val="00F7028B"/>
    <w:rsid w:val="00F703C5"/>
    <w:rsid w:val="00F71C10"/>
    <w:rsid w:val="00F72044"/>
    <w:rsid w:val="00F725D9"/>
    <w:rsid w:val="00F72931"/>
    <w:rsid w:val="00F73F47"/>
    <w:rsid w:val="00F73F99"/>
    <w:rsid w:val="00F743CA"/>
    <w:rsid w:val="00F7585A"/>
    <w:rsid w:val="00F75F80"/>
    <w:rsid w:val="00F76C27"/>
    <w:rsid w:val="00F8129D"/>
    <w:rsid w:val="00F81D29"/>
    <w:rsid w:val="00F82AE5"/>
    <w:rsid w:val="00F863C8"/>
    <w:rsid w:val="00F90BE5"/>
    <w:rsid w:val="00F91641"/>
    <w:rsid w:val="00F91C4D"/>
    <w:rsid w:val="00F9237A"/>
    <w:rsid w:val="00F92FD9"/>
    <w:rsid w:val="00F94637"/>
    <w:rsid w:val="00F952EF"/>
    <w:rsid w:val="00F9537F"/>
    <w:rsid w:val="00F9563B"/>
    <w:rsid w:val="00F956E3"/>
    <w:rsid w:val="00F960DF"/>
    <w:rsid w:val="00F96680"/>
    <w:rsid w:val="00F97443"/>
    <w:rsid w:val="00F97EAB"/>
    <w:rsid w:val="00FA37B1"/>
    <w:rsid w:val="00FA3E0B"/>
    <w:rsid w:val="00FA4700"/>
    <w:rsid w:val="00FA5C60"/>
    <w:rsid w:val="00FA5EF7"/>
    <w:rsid w:val="00FA628B"/>
    <w:rsid w:val="00FA6684"/>
    <w:rsid w:val="00FA731E"/>
    <w:rsid w:val="00FA7BD0"/>
    <w:rsid w:val="00FB0E6D"/>
    <w:rsid w:val="00FB1DCF"/>
    <w:rsid w:val="00FB2B38"/>
    <w:rsid w:val="00FB4EB7"/>
    <w:rsid w:val="00FB61CE"/>
    <w:rsid w:val="00FB7A07"/>
    <w:rsid w:val="00FC04CC"/>
    <w:rsid w:val="00FC1C08"/>
    <w:rsid w:val="00FC2066"/>
    <w:rsid w:val="00FC6358"/>
    <w:rsid w:val="00FD0925"/>
    <w:rsid w:val="00FD1381"/>
    <w:rsid w:val="00FD320D"/>
    <w:rsid w:val="00FD3384"/>
    <w:rsid w:val="00FD716C"/>
    <w:rsid w:val="00FD79BB"/>
    <w:rsid w:val="00FE0B2D"/>
    <w:rsid w:val="00FE13E9"/>
    <w:rsid w:val="00FE1A3C"/>
    <w:rsid w:val="00FE1B98"/>
    <w:rsid w:val="00FE23DE"/>
    <w:rsid w:val="00FE66FF"/>
    <w:rsid w:val="00FE6968"/>
    <w:rsid w:val="00FF0A91"/>
    <w:rsid w:val="00FF1801"/>
    <w:rsid w:val="00FF180B"/>
    <w:rsid w:val="00FF3596"/>
    <w:rsid w:val="00FF6842"/>
    <w:rsid w:val="010C095C"/>
    <w:rsid w:val="01207B0A"/>
    <w:rsid w:val="01435B86"/>
    <w:rsid w:val="01464537"/>
    <w:rsid w:val="017F3AA6"/>
    <w:rsid w:val="01A324E9"/>
    <w:rsid w:val="01B45442"/>
    <w:rsid w:val="01DB7ED5"/>
    <w:rsid w:val="01EE63F4"/>
    <w:rsid w:val="020220C6"/>
    <w:rsid w:val="020E5B7B"/>
    <w:rsid w:val="02123FC9"/>
    <w:rsid w:val="021359DC"/>
    <w:rsid w:val="02502671"/>
    <w:rsid w:val="027506FA"/>
    <w:rsid w:val="028916DF"/>
    <w:rsid w:val="02D747A1"/>
    <w:rsid w:val="02E96621"/>
    <w:rsid w:val="030671D3"/>
    <w:rsid w:val="034356D6"/>
    <w:rsid w:val="042E253E"/>
    <w:rsid w:val="043833BC"/>
    <w:rsid w:val="04471852"/>
    <w:rsid w:val="045F2099"/>
    <w:rsid w:val="0476075B"/>
    <w:rsid w:val="04A722F0"/>
    <w:rsid w:val="04BB0C92"/>
    <w:rsid w:val="04F512AE"/>
    <w:rsid w:val="051C4A8C"/>
    <w:rsid w:val="05557F9E"/>
    <w:rsid w:val="05681A7F"/>
    <w:rsid w:val="057228FE"/>
    <w:rsid w:val="059960DD"/>
    <w:rsid w:val="05A51412"/>
    <w:rsid w:val="06110369"/>
    <w:rsid w:val="06343D3A"/>
    <w:rsid w:val="0648365F"/>
    <w:rsid w:val="06587D46"/>
    <w:rsid w:val="06634915"/>
    <w:rsid w:val="07416A2C"/>
    <w:rsid w:val="07433953"/>
    <w:rsid w:val="0754675F"/>
    <w:rsid w:val="0780126B"/>
    <w:rsid w:val="07E850FA"/>
    <w:rsid w:val="08205941"/>
    <w:rsid w:val="08297A69"/>
    <w:rsid w:val="082B6FE4"/>
    <w:rsid w:val="087F780C"/>
    <w:rsid w:val="088017D6"/>
    <w:rsid w:val="08803584"/>
    <w:rsid w:val="08B126AB"/>
    <w:rsid w:val="08C565F2"/>
    <w:rsid w:val="08C94F2B"/>
    <w:rsid w:val="08DB2F49"/>
    <w:rsid w:val="08EB30F3"/>
    <w:rsid w:val="08FF094D"/>
    <w:rsid w:val="093A26EE"/>
    <w:rsid w:val="093A3733"/>
    <w:rsid w:val="093F51ED"/>
    <w:rsid w:val="095F13EB"/>
    <w:rsid w:val="09CC13A3"/>
    <w:rsid w:val="09CF6571"/>
    <w:rsid w:val="09F010E7"/>
    <w:rsid w:val="09F935EE"/>
    <w:rsid w:val="0A0845E0"/>
    <w:rsid w:val="0A3B2AE6"/>
    <w:rsid w:val="0A7D7D7B"/>
    <w:rsid w:val="0AF52007"/>
    <w:rsid w:val="0B4B1C27"/>
    <w:rsid w:val="0B626F71"/>
    <w:rsid w:val="0B8E122D"/>
    <w:rsid w:val="0BD11D60"/>
    <w:rsid w:val="0BDE6F3F"/>
    <w:rsid w:val="0C112E71"/>
    <w:rsid w:val="0C563643"/>
    <w:rsid w:val="0C637445"/>
    <w:rsid w:val="0C76711C"/>
    <w:rsid w:val="0CAA2B93"/>
    <w:rsid w:val="0D091D9A"/>
    <w:rsid w:val="0D0D2B71"/>
    <w:rsid w:val="0D136775"/>
    <w:rsid w:val="0D2766C4"/>
    <w:rsid w:val="0D38267F"/>
    <w:rsid w:val="0D570D57"/>
    <w:rsid w:val="0DA9532B"/>
    <w:rsid w:val="0DA96C46"/>
    <w:rsid w:val="0DE11357"/>
    <w:rsid w:val="0E012A71"/>
    <w:rsid w:val="0E0E1C1F"/>
    <w:rsid w:val="0E2B3F92"/>
    <w:rsid w:val="0E63372C"/>
    <w:rsid w:val="0E7761E9"/>
    <w:rsid w:val="0EFD76DC"/>
    <w:rsid w:val="0F0068BF"/>
    <w:rsid w:val="0F1408FD"/>
    <w:rsid w:val="0F213AB7"/>
    <w:rsid w:val="0F3F5F47"/>
    <w:rsid w:val="0F403A6D"/>
    <w:rsid w:val="0F744470"/>
    <w:rsid w:val="0F851480"/>
    <w:rsid w:val="0F8E0D81"/>
    <w:rsid w:val="0FB32A62"/>
    <w:rsid w:val="0FC24482"/>
    <w:rsid w:val="0FC52B4F"/>
    <w:rsid w:val="0FC91CB4"/>
    <w:rsid w:val="0FF94348"/>
    <w:rsid w:val="10042CED"/>
    <w:rsid w:val="100B7BD7"/>
    <w:rsid w:val="103709CC"/>
    <w:rsid w:val="103D19A3"/>
    <w:rsid w:val="10484987"/>
    <w:rsid w:val="104F21BA"/>
    <w:rsid w:val="10815624"/>
    <w:rsid w:val="10B244F7"/>
    <w:rsid w:val="10CA3B32"/>
    <w:rsid w:val="10CD662D"/>
    <w:rsid w:val="10E71A42"/>
    <w:rsid w:val="10EC4127"/>
    <w:rsid w:val="111C399F"/>
    <w:rsid w:val="116E6670"/>
    <w:rsid w:val="125B7A11"/>
    <w:rsid w:val="12687563"/>
    <w:rsid w:val="12CF6DC8"/>
    <w:rsid w:val="12D46EE5"/>
    <w:rsid w:val="12F56565"/>
    <w:rsid w:val="12FC447D"/>
    <w:rsid w:val="130A23C8"/>
    <w:rsid w:val="130D1EB8"/>
    <w:rsid w:val="13105D24"/>
    <w:rsid w:val="1316525D"/>
    <w:rsid w:val="13292E43"/>
    <w:rsid w:val="13467D8A"/>
    <w:rsid w:val="135F7D3B"/>
    <w:rsid w:val="136C6BDF"/>
    <w:rsid w:val="137D0BF5"/>
    <w:rsid w:val="137D5290"/>
    <w:rsid w:val="137D703E"/>
    <w:rsid w:val="13BE00FE"/>
    <w:rsid w:val="13C92283"/>
    <w:rsid w:val="13D03611"/>
    <w:rsid w:val="13E1581F"/>
    <w:rsid w:val="14045069"/>
    <w:rsid w:val="140908D1"/>
    <w:rsid w:val="14101C60"/>
    <w:rsid w:val="141554C8"/>
    <w:rsid w:val="14290357"/>
    <w:rsid w:val="144731A8"/>
    <w:rsid w:val="145042A1"/>
    <w:rsid w:val="148F527B"/>
    <w:rsid w:val="14BE16BC"/>
    <w:rsid w:val="14BE790E"/>
    <w:rsid w:val="14CF38C9"/>
    <w:rsid w:val="14DF33FC"/>
    <w:rsid w:val="14E804E7"/>
    <w:rsid w:val="14EB5373"/>
    <w:rsid w:val="14FE67AA"/>
    <w:rsid w:val="15051099"/>
    <w:rsid w:val="152C0D1B"/>
    <w:rsid w:val="154F67B8"/>
    <w:rsid w:val="155344FA"/>
    <w:rsid w:val="15744470"/>
    <w:rsid w:val="158A77F0"/>
    <w:rsid w:val="15B4486D"/>
    <w:rsid w:val="15DF29F2"/>
    <w:rsid w:val="15E513F3"/>
    <w:rsid w:val="15F86E50"/>
    <w:rsid w:val="161D68B6"/>
    <w:rsid w:val="166E2C6E"/>
    <w:rsid w:val="168C1346"/>
    <w:rsid w:val="169E79BF"/>
    <w:rsid w:val="16D8458B"/>
    <w:rsid w:val="16E12F09"/>
    <w:rsid w:val="16F07B27"/>
    <w:rsid w:val="171B2DF6"/>
    <w:rsid w:val="17836BED"/>
    <w:rsid w:val="17E123C5"/>
    <w:rsid w:val="17E96119"/>
    <w:rsid w:val="18DF7E53"/>
    <w:rsid w:val="18F365C9"/>
    <w:rsid w:val="190F0738"/>
    <w:rsid w:val="190F580C"/>
    <w:rsid w:val="19607EF4"/>
    <w:rsid w:val="19BA0781"/>
    <w:rsid w:val="1A3366A8"/>
    <w:rsid w:val="1A6920CA"/>
    <w:rsid w:val="1A6E5932"/>
    <w:rsid w:val="1A892B95"/>
    <w:rsid w:val="1A9205AA"/>
    <w:rsid w:val="1AAA0875"/>
    <w:rsid w:val="1AD42B5F"/>
    <w:rsid w:val="1ADC6D40"/>
    <w:rsid w:val="1AF851FC"/>
    <w:rsid w:val="1B0D6EF9"/>
    <w:rsid w:val="1B0E7B6E"/>
    <w:rsid w:val="1B574241"/>
    <w:rsid w:val="1BD2612C"/>
    <w:rsid w:val="1BDE43F2"/>
    <w:rsid w:val="1BF74BBB"/>
    <w:rsid w:val="1C0B5290"/>
    <w:rsid w:val="1C4E1577"/>
    <w:rsid w:val="1C505CC0"/>
    <w:rsid w:val="1C5C65CD"/>
    <w:rsid w:val="1C623275"/>
    <w:rsid w:val="1C9F1B1E"/>
    <w:rsid w:val="1CA218C3"/>
    <w:rsid w:val="1CCC4B92"/>
    <w:rsid w:val="1CD51C99"/>
    <w:rsid w:val="1CE4012E"/>
    <w:rsid w:val="1CF739BD"/>
    <w:rsid w:val="1D1E3640"/>
    <w:rsid w:val="1D28249E"/>
    <w:rsid w:val="1D3E783E"/>
    <w:rsid w:val="1D6E17A5"/>
    <w:rsid w:val="1D70551D"/>
    <w:rsid w:val="1DA76DE6"/>
    <w:rsid w:val="1DAA5EA1"/>
    <w:rsid w:val="1DDA6E3B"/>
    <w:rsid w:val="1DDC5D8A"/>
    <w:rsid w:val="1DF604F6"/>
    <w:rsid w:val="1DF63C75"/>
    <w:rsid w:val="1E0F3155"/>
    <w:rsid w:val="1E390005"/>
    <w:rsid w:val="1E4B7092"/>
    <w:rsid w:val="1EC6026F"/>
    <w:rsid w:val="1EE066D3"/>
    <w:rsid w:val="1EFD7285"/>
    <w:rsid w:val="1F576995"/>
    <w:rsid w:val="1F6F3102"/>
    <w:rsid w:val="1FA37E2C"/>
    <w:rsid w:val="1FBB7EFD"/>
    <w:rsid w:val="1FC7463A"/>
    <w:rsid w:val="1FF266BE"/>
    <w:rsid w:val="20174376"/>
    <w:rsid w:val="201A2D1D"/>
    <w:rsid w:val="201B3E66"/>
    <w:rsid w:val="202566E7"/>
    <w:rsid w:val="204A64FA"/>
    <w:rsid w:val="204E6CEF"/>
    <w:rsid w:val="20575593"/>
    <w:rsid w:val="20605D1D"/>
    <w:rsid w:val="208C43CE"/>
    <w:rsid w:val="20A34A1A"/>
    <w:rsid w:val="20DD2ECA"/>
    <w:rsid w:val="210C6647"/>
    <w:rsid w:val="21376286"/>
    <w:rsid w:val="214D34C4"/>
    <w:rsid w:val="21751354"/>
    <w:rsid w:val="21893052"/>
    <w:rsid w:val="21A659B2"/>
    <w:rsid w:val="220B4CEC"/>
    <w:rsid w:val="220D3C83"/>
    <w:rsid w:val="221E19EC"/>
    <w:rsid w:val="22384980"/>
    <w:rsid w:val="22873A35"/>
    <w:rsid w:val="22BB36DF"/>
    <w:rsid w:val="22C02AA3"/>
    <w:rsid w:val="22C63A50"/>
    <w:rsid w:val="230706D2"/>
    <w:rsid w:val="231352C9"/>
    <w:rsid w:val="23223517"/>
    <w:rsid w:val="23775858"/>
    <w:rsid w:val="239D1036"/>
    <w:rsid w:val="23A32D3D"/>
    <w:rsid w:val="2406429A"/>
    <w:rsid w:val="2414620B"/>
    <w:rsid w:val="241E5CD3"/>
    <w:rsid w:val="243F3E9B"/>
    <w:rsid w:val="2455546D"/>
    <w:rsid w:val="245D3857"/>
    <w:rsid w:val="249B13E7"/>
    <w:rsid w:val="249B1DA1"/>
    <w:rsid w:val="24A964F0"/>
    <w:rsid w:val="255E5755"/>
    <w:rsid w:val="2593624D"/>
    <w:rsid w:val="259C2AC4"/>
    <w:rsid w:val="25A60B1D"/>
    <w:rsid w:val="25CE3729"/>
    <w:rsid w:val="25E35426"/>
    <w:rsid w:val="2603073A"/>
    <w:rsid w:val="266E5853"/>
    <w:rsid w:val="2685028B"/>
    <w:rsid w:val="270C275B"/>
    <w:rsid w:val="27411024"/>
    <w:rsid w:val="27457A1B"/>
    <w:rsid w:val="2751016E"/>
    <w:rsid w:val="277125BE"/>
    <w:rsid w:val="27DF39CB"/>
    <w:rsid w:val="27FA0805"/>
    <w:rsid w:val="28174DE5"/>
    <w:rsid w:val="283C7070"/>
    <w:rsid w:val="28447CD2"/>
    <w:rsid w:val="28666529"/>
    <w:rsid w:val="286E4D4F"/>
    <w:rsid w:val="288F4AB8"/>
    <w:rsid w:val="289C366A"/>
    <w:rsid w:val="29023E15"/>
    <w:rsid w:val="29325D7D"/>
    <w:rsid w:val="294F2DD3"/>
    <w:rsid w:val="297C1DC0"/>
    <w:rsid w:val="298411BE"/>
    <w:rsid w:val="2987431B"/>
    <w:rsid w:val="29915199"/>
    <w:rsid w:val="29932CBF"/>
    <w:rsid w:val="29B13146"/>
    <w:rsid w:val="29DA269C"/>
    <w:rsid w:val="29FA1520"/>
    <w:rsid w:val="2A41271B"/>
    <w:rsid w:val="2A7C1A43"/>
    <w:rsid w:val="2A9C2048"/>
    <w:rsid w:val="2B480469"/>
    <w:rsid w:val="2B5570D5"/>
    <w:rsid w:val="2B667F60"/>
    <w:rsid w:val="2BA80578"/>
    <w:rsid w:val="2C0B1233"/>
    <w:rsid w:val="2C2A4EAB"/>
    <w:rsid w:val="2C970D19"/>
    <w:rsid w:val="2C9D31EA"/>
    <w:rsid w:val="2CD31625"/>
    <w:rsid w:val="2CF972DD"/>
    <w:rsid w:val="2D214A86"/>
    <w:rsid w:val="2D2E3E2D"/>
    <w:rsid w:val="2D416E7C"/>
    <w:rsid w:val="2D5F5E51"/>
    <w:rsid w:val="2D60110A"/>
    <w:rsid w:val="2D937732"/>
    <w:rsid w:val="2D992886"/>
    <w:rsid w:val="2DE97352"/>
    <w:rsid w:val="2E070F73"/>
    <w:rsid w:val="2E766B49"/>
    <w:rsid w:val="2EAE2349"/>
    <w:rsid w:val="2EE713B8"/>
    <w:rsid w:val="2F067A90"/>
    <w:rsid w:val="2F39625B"/>
    <w:rsid w:val="2FD40337"/>
    <w:rsid w:val="2FDE0A0C"/>
    <w:rsid w:val="2FE9188B"/>
    <w:rsid w:val="2FFFC1BB"/>
    <w:rsid w:val="302F391C"/>
    <w:rsid w:val="30514298"/>
    <w:rsid w:val="30647F3C"/>
    <w:rsid w:val="306B6744"/>
    <w:rsid w:val="308A649E"/>
    <w:rsid w:val="30CB71E3"/>
    <w:rsid w:val="30FF0F33"/>
    <w:rsid w:val="310E5321"/>
    <w:rsid w:val="312E32CE"/>
    <w:rsid w:val="3138414C"/>
    <w:rsid w:val="313F372D"/>
    <w:rsid w:val="31975317"/>
    <w:rsid w:val="31C61758"/>
    <w:rsid w:val="3216448E"/>
    <w:rsid w:val="328238D1"/>
    <w:rsid w:val="32957AA8"/>
    <w:rsid w:val="32EB48CA"/>
    <w:rsid w:val="3321133C"/>
    <w:rsid w:val="334119DE"/>
    <w:rsid w:val="335C05C6"/>
    <w:rsid w:val="33B16F43"/>
    <w:rsid w:val="33CD5020"/>
    <w:rsid w:val="33EE589E"/>
    <w:rsid w:val="33F16F60"/>
    <w:rsid w:val="33F6144D"/>
    <w:rsid w:val="34474DD2"/>
    <w:rsid w:val="344C2F57"/>
    <w:rsid w:val="344F39A5"/>
    <w:rsid w:val="347627E5"/>
    <w:rsid w:val="34B75B15"/>
    <w:rsid w:val="34CA155F"/>
    <w:rsid w:val="34CC177B"/>
    <w:rsid w:val="34E645EB"/>
    <w:rsid w:val="34FF745B"/>
    <w:rsid w:val="35042CC3"/>
    <w:rsid w:val="351C625F"/>
    <w:rsid w:val="3558300F"/>
    <w:rsid w:val="35951755"/>
    <w:rsid w:val="35BF1CEF"/>
    <w:rsid w:val="35C56BDF"/>
    <w:rsid w:val="36015455"/>
    <w:rsid w:val="36321AB2"/>
    <w:rsid w:val="36A01CE7"/>
    <w:rsid w:val="36AE738B"/>
    <w:rsid w:val="36D74C82"/>
    <w:rsid w:val="37232B3A"/>
    <w:rsid w:val="3733163E"/>
    <w:rsid w:val="37573DB4"/>
    <w:rsid w:val="3776777C"/>
    <w:rsid w:val="37C64260"/>
    <w:rsid w:val="37CB29F0"/>
    <w:rsid w:val="37DC7F27"/>
    <w:rsid w:val="37FE39FA"/>
    <w:rsid w:val="380D2663"/>
    <w:rsid w:val="3842555B"/>
    <w:rsid w:val="38576AF0"/>
    <w:rsid w:val="38C757B4"/>
    <w:rsid w:val="38D66725"/>
    <w:rsid w:val="39253208"/>
    <w:rsid w:val="39382D78"/>
    <w:rsid w:val="394418E0"/>
    <w:rsid w:val="396C0EB2"/>
    <w:rsid w:val="39732003"/>
    <w:rsid w:val="399A3BF6"/>
    <w:rsid w:val="39A24859"/>
    <w:rsid w:val="39EE7A9E"/>
    <w:rsid w:val="39F7F151"/>
    <w:rsid w:val="3A173499"/>
    <w:rsid w:val="3A2B2AB1"/>
    <w:rsid w:val="3AA269FF"/>
    <w:rsid w:val="3AC0143A"/>
    <w:rsid w:val="3B2220F5"/>
    <w:rsid w:val="3B437AE1"/>
    <w:rsid w:val="3B547DD5"/>
    <w:rsid w:val="3B6C511E"/>
    <w:rsid w:val="3B6F38CF"/>
    <w:rsid w:val="3B964830"/>
    <w:rsid w:val="3BF4114D"/>
    <w:rsid w:val="3BF64CE0"/>
    <w:rsid w:val="3C0B4937"/>
    <w:rsid w:val="3C0E4427"/>
    <w:rsid w:val="3C30387C"/>
    <w:rsid w:val="3CA8662A"/>
    <w:rsid w:val="3D09356D"/>
    <w:rsid w:val="3D303FF0"/>
    <w:rsid w:val="3D671609"/>
    <w:rsid w:val="3D687B67"/>
    <w:rsid w:val="3D8C4172"/>
    <w:rsid w:val="3D94095C"/>
    <w:rsid w:val="3DB64BA3"/>
    <w:rsid w:val="3DFD64FE"/>
    <w:rsid w:val="3E42660A"/>
    <w:rsid w:val="3E75253C"/>
    <w:rsid w:val="3E990920"/>
    <w:rsid w:val="3EB66CF4"/>
    <w:rsid w:val="3EC36034"/>
    <w:rsid w:val="3EC86B10"/>
    <w:rsid w:val="3EF64421"/>
    <w:rsid w:val="3F0A30CD"/>
    <w:rsid w:val="3F3643C1"/>
    <w:rsid w:val="3F52465F"/>
    <w:rsid w:val="3F6D0ED2"/>
    <w:rsid w:val="3F753D18"/>
    <w:rsid w:val="3FAC1EF1"/>
    <w:rsid w:val="3FB80CB0"/>
    <w:rsid w:val="3FCD13BF"/>
    <w:rsid w:val="3FD17C46"/>
    <w:rsid w:val="3FEB6F5A"/>
    <w:rsid w:val="40204729"/>
    <w:rsid w:val="40464190"/>
    <w:rsid w:val="407A02DD"/>
    <w:rsid w:val="407C6B3F"/>
    <w:rsid w:val="408B4299"/>
    <w:rsid w:val="40CA3013"/>
    <w:rsid w:val="40CE4185"/>
    <w:rsid w:val="40D5745F"/>
    <w:rsid w:val="413C46BC"/>
    <w:rsid w:val="41605085"/>
    <w:rsid w:val="41962EF5"/>
    <w:rsid w:val="41A3673E"/>
    <w:rsid w:val="41BB295C"/>
    <w:rsid w:val="42042555"/>
    <w:rsid w:val="42573DF5"/>
    <w:rsid w:val="426314A5"/>
    <w:rsid w:val="42BF3D26"/>
    <w:rsid w:val="42C910A8"/>
    <w:rsid w:val="42DD2D40"/>
    <w:rsid w:val="42F9198D"/>
    <w:rsid w:val="430345BA"/>
    <w:rsid w:val="43370708"/>
    <w:rsid w:val="43947557"/>
    <w:rsid w:val="43947908"/>
    <w:rsid w:val="439E6C28"/>
    <w:rsid w:val="43E02B4D"/>
    <w:rsid w:val="43FD36FF"/>
    <w:rsid w:val="44CC5421"/>
    <w:rsid w:val="44EA2720"/>
    <w:rsid w:val="44F3240C"/>
    <w:rsid w:val="455A248C"/>
    <w:rsid w:val="45757ADA"/>
    <w:rsid w:val="45943BEF"/>
    <w:rsid w:val="4597038B"/>
    <w:rsid w:val="45BE0C6C"/>
    <w:rsid w:val="45EC64AD"/>
    <w:rsid w:val="461E53A0"/>
    <w:rsid w:val="46386C71"/>
    <w:rsid w:val="46404781"/>
    <w:rsid w:val="46C87FF5"/>
    <w:rsid w:val="46FD1EFC"/>
    <w:rsid w:val="47017063"/>
    <w:rsid w:val="474E6020"/>
    <w:rsid w:val="477B5067"/>
    <w:rsid w:val="47B51D7C"/>
    <w:rsid w:val="47CB5A57"/>
    <w:rsid w:val="47FE35A2"/>
    <w:rsid w:val="480037BE"/>
    <w:rsid w:val="480224E2"/>
    <w:rsid w:val="48070E96"/>
    <w:rsid w:val="484D0086"/>
    <w:rsid w:val="48C5532C"/>
    <w:rsid w:val="48E704DA"/>
    <w:rsid w:val="490C1CEF"/>
    <w:rsid w:val="491C4628"/>
    <w:rsid w:val="495F4514"/>
    <w:rsid w:val="49824A97"/>
    <w:rsid w:val="49C65702"/>
    <w:rsid w:val="49D43B04"/>
    <w:rsid w:val="49E827EB"/>
    <w:rsid w:val="4A01737A"/>
    <w:rsid w:val="4A1B7144"/>
    <w:rsid w:val="4A7144FF"/>
    <w:rsid w:val="4AF93748"/>
    <w:rsid w:val="4B097F1D"/>
    <w:rsid w:val="4B5A1437"/>
    <w:rsid w:val="4B6469EB"/>
    <w:rsid w:val="4BA53F16"/>
    <w:rsid w:val="4BB328F5"/>
    <w:rsid w:val="4BDA60D4"/>
    <w:rsid w:val="4C3103EA"/>
    <w:rsid w:val="4C746529"/>
    <w:rsid w:val="4CD62D3F"/>
    <w:rsid w:val="4CE15AB0"/>
    <w:rsid w:val="4CF976FD"/>
    <w:rsid w:val="4D266B5C"/>
    <w:rsid w:val="4D5679DC"/>
    <w:rsid w:val="4D64034B"/>
    <w:rsid w:val="4D6C02CA"/>
    <w:rsid w:val="4D6E11CA"/>
    <w:rsid w:val="4D7560B4"/>
    <w:rsid w:val="4D7A022C"/>
    <w:rsid w:val="4D8851D0"/>
    <w:rsid w:val="4D994499"/>
    <w:rsid w:val="4DAF3ACE"/>
    <w:rsid w:val="4DE42CFB"/>
    <w:rsid w:val="4DEB3321"/>
    <w:rsid w:val="4DF33A40"/>
    <w:rsid w:val="4E2A0839"/>
    <w:rsid w:val="4E2B2C17"/>
    <w:rsid w:val="4E794891"/>
    <w:rsid w:val="4E9C58C3"/>
    <w:rsid w:val="4EDD03B5"/>
    <w:rsid w:val="4EE259CC"/>
    <w:rsid w:val="4F053468"/>
    <w:rsid w:val="4F2204BE"/>
    <w:rsid w:val="4F9B5B7A"/>
    <w:rsid w:val="4FD13E5B"/>
    <w:rsid w:val="4FF077D8"/>
    <w:rsid w:val="4FF91895"/>
    <w:rsid w:val="500A3329"/>
    <w:rsid w:val="503F45A5"/>
    <w:rsid w:val="5043249A"/>
    <w:rsid w:val="504A47C7"/>
    <w:rsid w:val="507E1724"/>
    <w:rsid w:val="507F2C03"/>
    <w:rsid w:val="509727E6"/>
    <w:rsid w:val="50A8097D"/>
    <w:rsid w:val="50B415EA"/>
    <w:rsid w:val="50BF3A90"/>
    <w:rsid w:val="50D024A2"/>
    <w:rsid w:val="50D13F4A"/>
    <w:rsid w:val="50FA77B5"/>
    <w:rsid w:val="50FE1712"/>
    <w:rsid w:val="513A6D2F"/>
    <w:rsid w:val="51563B0A"/>
    <w:rsid w:val="5167665C"/>
    <w:rsid w:val="51A9512C"/>
    <w:rsid w:val="51CD2620"/>
    <w:rsid w:val="51D4744B"/>
    <w:rsid w:val="51FB0B52"/>
    <w:rsid w:val="521A547C"/>
    <w:rsid w:val="5233653E"/>
    <w:rsid w:val="52455887"/>
    <w:rsid w:val="52500B2A"/>
    <w:rsid w:val="527C1C93"/>
    <w:rsid w:val="52852335"/>
    <w:rsid w:val="529E60AD"/>
    <w:rsid w:val="52A42F98"/>
    <w:rsid w:val="52AE368A"/>
    <w:rsid w:val="52D01FDF"/>
    <w:rsid w:val="52DA15FD"/>
    <w:rsid w:val="52F201A7"/>
    <w:rsid w:val="532A7941"/>
    <w:rsid w:val="53876B42"/>
    <w:rsid w:val="538E0D71"/>
    <w:rsid w:val="53D37FD9"/>
    <w:rsid w:val="53DA030A"/>
    <w:rsid w:val="53EF36C4"/>
    <w:rsid w:val="544A605F"/>
    <w:rsid w:val="547F1F0F"/>
    <w:rsid w:val="54837309"/>
    <w:rsid w:val="548D0919"/>
    <w:rsid w:val="548E3F00"/>
    <w:rsid w:val="5492579E"/>
    <w:rsid w:val="549A1BD9"/>
    <w:rsid w:val="54A656ED"/>
    <w:rsid w:val="54D538DD"/>
    <w:rsid w:val="54EE7959"/>
    <w:rsid w:val="55573274"/>
    <w:rsid w:val="55BB8320"/>
    <w:rsid w:val="55FB664F"/>
    <w:rsid w:val="563A0FCF"/>
    <w:rsid w:val="563A7E9B"/>
    <w:rsid w:val="56530930"/>
    <w:rsid w:val="565E0ACA"/>
    <w:rsid w:val="569E48CE"/>
    <w:rsid w:val="56B52866"/>
    <w:rsid w:val="56DF0A43"/>
    <w:rsid w:val="56E32EFB"/>
    <w:rsid w:val="56FC33A3"/>
    <w:rsid w:val="571E5A0F"/>
    <w:rsid w:val="57437223"/>
    <w:rsid w:val="575907F5"/>
    <w:rsid w:val="576378C6"/>
    <w:rsid w:val="57813CEB"/>
    <w:rsid w:val="57A51C8C"/>
    <w:rsid w:val="57AF3D93"/>
    <w:rsid w:val="57CE6FB5"/>
    <w:rsid w:val="57F20F36"/>
    <w:rsid w:val="580B2FAA"/>
    <w:rsid w:val="58966990"/>
    <w:rsid w:val="58AC2BA6"/>
    <w:rsid w:val="58AE691E"/>
    <w:rsid w:val="58BE3005"/>
    <w:rsid w:val="58DE1504"/>
    <w:rsid w:val="591250FF"/>
    <w:rsid w:val="597B0EF6"/>
    <w:rsid w:val="59D17463"/>
    <w:rsid w:val="59F6145E"/>
    <w:rsid w:val="59F667CF"/>
    <w:rsid w:val="5A00764E"/>
    <w:rsid w:val="5A054C64"/>
    <w:rsid w:val="5A1D0200"/>
    <w:rsid w:val="5A61633E"/>
    <w:rsid w:val="5AA93841"/>
    <w:rsid w:val="5AD14B46"/>
    <w:rsid w:val="5AF92925"/>
    <w:rsid w:val="5B432946"/>
    <w:rsid w:val="5B445318"/>
    <w:rsid w:val="5BB339BE"/>
    <w:rsid w:val="5BC26636"/>
    <w:rsid w:val="5C2F7D76"/>
    <w:rsid w:val="5C4850FD"/>
    <w:rsid w:val="5C515CA6"/>
    <w:rsid w:val="5C564943"/>
    <w:rsid w:val="5D1D2351"/>
    <w:rsid w:val="5D6F8BA7"/>
    <w:rsid w:val="5DAA3B58"/>
    <w:rsid w:val="5DFF0A15"/>
    <w:rsid w:val="5E6C09BB"/>
    <w:rsid w:val="5E8E5228"/>
    <w:rsid w:val="5E915E30"/>
    <w:rsid w:val="5EA507C4"/>
    <w:rsid w:val="5EC450EE"/>
    <w:rsid w:val="5EDA2E3C"/>
    <w:rsid w:val="5F1E6730"/>
    <w:rsid w:val="5F334654"/>
    <w:rsid w:val="5F5C47F9"/>
    <w:rsid w:val="5F7111CE"/>
    <w:rsid w:val="5F88069A"/>
    <w:rsid w:val="5FA13D70"/>
    <w:rsid w:val="5FFB2C46"/>
    <w:rsid w:val="601B2AEB"/>
    <w:rsid w:val="60511E26"/>
    <w:rsid w:val="60966624"/>
    <w:rsid w:val="60A800F7"/>
    <w:rsid w:val="60CA4511"/>
    <w:rsid w:val="60D62EB6"/>
    <w:rsid w:val="61150EB3"/>
    <w:rsid w:val="6143538B"/>
    <w:rsid w:val="616E1341"/>
    <w:rsid w:val="6187362D"/>
    <w:rsid w:val="618D5C6B"/>
    <w:rsid w:val="61BC20AC"/>
    <w:rsid w:val="61F5736C"/>
    <w:rsid w:val="621F37A0"/>
    <w:rsid w:val="6260512D"/>
    <w:rsid w:val="6267026A"/>
    <w:rsid w:val="62972CCA"/>
    <w:rsid w:val="629D0130"/>
    <w:rsid w:val="62FA10DE"/>
    <w:rsid w:val="630A6E47"/>
    <w:rsid w:val="632909BD"/>
    <w:rsid w:val="634E4F86"/>
    <w:rsid w:val="634F3BC0"/>
    <w:rsid w:val="63B07956"/>
    <w:rsid w:val="63B76FCF"/>
    <w:rsid w:val="63B84AF5"/>
    <w:rsid w:val="6429154F"/>
    <w:rsid w:val="643423CE"/>
    <w:rsid w:val="644B7EBA"/>
    <w:rsid w:val="647B3FFD"/>
    <w:rsid w:val="647B68E9"/>
    <w:rsid w:val="64C47814"/>
    <w:rsid w:val="64CA7EBD"/>
    <w:rsid w:val="64D23995"/>
    <w:rsid w:val="64D82CFC"/>
    <w:rsid w:val="65031DA0"/>
    <w:rsid w:val="65074CAC"/>
    <w:rsid w:val="650F4BE9"/>
    <w:rsid w:val="651B17E0"/>
    <w:rsid w:val="65640A91"/>
    <w:rsid w:val="65720914"/>
    <w:rsid w:val="658C6239"/>
    <w:rsid w:val="65950A4E"/>
    <w:rsid w:val="65B512EC"/>
    <w:rsid w:val="65B85280"/>
    <w:rsid w:val="65EC0A86"/>
    <w:rsid w:val="66124991"/>
    <w:rsid w:val="66147976"/>
    <w:rsid w:val="663E2D9D"/>
    <w:rsid w:val="66AD22D4"/>
    <w:rsid w:val="66B73663"/>
    <w:rsid w:val="66BC48FC"/>
    <w:rsid w:val="66EE45BF"/>
    <w:rsid w:val="670F5159"/>
    <w:rsid w:val="673E38AD"/>
    <w:rsid w:val="674F6BC6"/>
    <w:rsid w:val="677E01D8"/>
    <w:rsid w:val="6787315C"/>
    <w:rsid w:val="67987117"/>
    <w:rsid w:val="67CA66C1"/>
    <w:rsid w:val="67EFCE05"/>
    <w:rsid w:val="680E2F36"/>
    <w:rsid w:val="68444BA9"/>
    <w:rsid w:val="6873294B"/>
    <w:rsid w:val="68806B32"/>
    <w:rsid w:val="68DE4FFE"/>
    <w:rsid w:val="68F93BE6"/>
    <w:rsid w:val="69450BD9"/>
    <w:rsid w:val="695B21AB"/>
    <w:rsid w:val="69635503"/>
    <w:rsid w:val="696C468F"/>
    <w:rsid w:val="697F7D43"/>
    <w:rsid w:val="69937B96"/>
    <w:rsid w:val="6A050368"/>
    <w:rsid w:val="6A237219"/>
    <w:rsid w:val="6A553A32"/>
    <w:rsid w:val="6A6729A5"/>
    <w:rsid w:val="6A6F12EE"/>
    <w:rsid w:val="6B5B2936"/>
    <w:rsid w:val="6B757752"/>
    <w:rsid w:val="6B7E03D2"/>
    <w:rsid w:val="6B8005EE"/>
    <w:rsid w:val="6BE6277F"/>
    <w:rsid w:val="6C126612"/>
    <w:rsid w:val="6C3D383F"/>
    <w:rsid w:val="6CFF828F"/>
    <w:rsid w:val="6D3D05E3"/>
    <w:rsid w:val="6D4A44DB"/>
    <w:rsid w:val="6D5533B5"/>
    <w:rsid w:val="6D8C327A"/>
    <w:rsid w:val="6DAC6054"/>
    <w:rsid w:val="6DBF18F3"/>
    <w:rsid w:val="6DEF55B7"/>
    <w:rsid w:val="6E0E04D4"/>
    <w:rsid w:val="6E2A65EF"/>
    <w:rsid w:val="6EA77C40"/>
    <w:rsid w:val="6EC24A7A"/>
    <w:rsid w:val="6ECD58F9"/>
    <w:rsid w:val="6ED7F382"/>
    <w:rsid w:val="6EDF6694"/>
    <w:rsid w:val="6EF54E4F"/>
    <w:rsid w:val="6F2028EA"/>
    <w:rsid w:val="6F35524C"/>
    <w:rsid w:val="6F6822D7"/>
    <w:rsid w:val="6F702A08"/>
    <w:rsid w:val="6F914B78"/>
    <w:rsid w:val="6FB683B8"/>
    <w:rsid w:val="6FD6163C"/>
    <w:rsid w:val="6FE42DFE"/>
    <w:rsid w:val="6FED5B27"/>
    <w:rsid w:val="6FF66A25"/>
    <w:rsid w:val="70022965"/>
    <w:rsid w:val="702F613F"/>
    <w:rsid w:val="705067E1"/>
    <w:rsid w:val="70551AF6"/>
    <w:rsid w:val="70586F63"/>
    <w:rsid w:val="70A26911"/>
    <w:rsid w:val="70CE1488"/>
    <w:rsid w:val="70E217DC"/>
    <w:rsid w:val="712032A0"/>
    <w:rsid w:val="713559D7"/>
    <w:rsid w:val="71726E84"/>
    <w:rsid w:val="71844269"/>
    <w:rsid w:val="71A76B92"/>
    <w:rsid w:val="71B55B97"/>
    <w:rsid w:val="71EF7F37"/>
    <w:rsid w:val="721D6B97"/>
    <w:rsid w:val="724A54B2"/>
    <w:rsid w:val="725105EF"/>
    <w:rsid w:val="72914E8F"/>
    <w:rsid w:val="72B52207"/>
    <w:rsid w:val="72D57472"/>
    <w:rsid w:val="72E70F53"/>
    <w:rsid w:val="72FD21A2"/>
    <w:rsid w:val="73250147"/>
    <w:rsid w:val="73337CF4"/>
    <w:rsid w:val="733D6108"/>
    <w:rsid w:val="734A7500"/>
    <w:rsid w:val="735D0533"/>
    <w:rsid w:val="736138AF"/>
    <w:rsid w:val="73853084"/>
    <w:rsid w:val="73CD6E07"/>
    <w:rsid w:val="73E831D5"/>
    <w:rsid w:val="74033B6B"/>
    <w:rsid w:val="74194BC7"/>
    <w:rsid w:val="74345C0A"/>
    <w:rsid w:val="743B50B2"/>
    <w:rsid w:val="74410281"/>
    <w:rsid w:val="74437B29"/>
    <w:rsid w:val="74C31BE4"/>
    <w:rsid w:val="74C94DB4"/>
    <w:rsid w:val="74DA48CB"/>
    <w:rsid w:val="74E53270"/>
    <w:rsid w:val="74E8656C"/>
    <w:rsid w:val="7544268D"/>
    <w:rsid w:val="754937FF"/>
    <w:rsid w:val="757227A3"/>
    <w:rsid w:val="75870C5B"/>
    <w:rsid w:val="75AF0E93"/>
    <w:rsid w:val="761F5C27"/>
    <w:rsid w:val="763418A7"/>
    <w:rsid w:val="766F0422"/>
    <w:rsid w:val="76AC673B"/>
    <w:rsid w:val="76F40CE1"/>
    <w:rsid w:val="76FBC95A"/>
    <w:rsid w:val="77843214"/>
    <w:rsid w:val="778D500B"/>
    <w:rsid w:val="77905715"/>
    <w:rsid w:val="77996CC0"/>
    <w:rsid w:val="77BF3706"/>
    <w:rsid w:val="781520BE"/>
    <w:rsid w:val="7820118F"/>
    <w:rsid w:val="783B7D77"/>
    <w:rsid w:val="78A55BB7"/>
    <w:rsid w:val="78AA5874"/>
    <w:rsid w:val="78E33C9D"/>
    <w:rsid w:val="78FB0B1B"/>
    <w:rsid w:val="78FE2B52"/>
    <w:rsid w:val="79030169"/>
    <w:rsid w:val="791505C8"/>
    <w:rsid w:val="792E3438"/>
    <w:rsid w:val="79594327"/>
    <w:rsid w:val="79622AB2"/>
    <w:rsid w:val="798936F7"/>
    <w:rsid w:val="79A33E26"/>
    <w:rsid w:val="79CD4E6A"/>
    <w:rsid w:val="7A356A48"/>
    <w:rsid w:val="7A7F8B93"/>
    <w:rsid w:val="7A831561"/>
    <w:rsid w:val="7AAF7244"/>
    <w:rsid w:val="7AC80685"/>
    <w:rsid w:val="7ACE1F3C"/>
    <w:rsid w:val="7AD718AD"/>
    <w:rsid w:val="7AEF0707"/>
    <w:rsid w:val="7B0A57DF"/>
    <w:rsid w:val="7B272834"/>
    <w:rsid w:val="7B316949"/>
    <w:rsid w:val="7B3F7B89"/>
    <w:rsid w:val="7B5A6766"/>
    <w:rsid w:val="7BAE260E"/>
    <w:rsid w:val="7BE14791"/>
    <w:rsid w:val="7C332759"/>
    <w:rsid w:val="7C3475CF"/>
    <w:rsid w:val="7C5767DC"/>
    <w:rsid w:val="7C5A4544"/>
    <w:rsid w:val="7C6B6751"/>
    <w:rsid w:val="7C705B15"/>
    <w:rsid w:val="7C7D1B6E"/>
    <w:rsid w:val="7C9965B3"/>
    <w:rsid w:val="7CA977DE"/>
    <w:rsid w:val="7CB447E3"/>
    <w:rsid w:val="7CEE6610"/>
    <w:rsid w:val="7CFF1B1E"/>
    <w:rsid w:val="7D553689"/>
    <w:rsid w:val="7D6C452F"/>
    <w:rsid w:val="7D87580C"/>
    <w:rsid w:val="7D9121E7"/>
    <w:rsid w:val="7D913F95"/>
    <w:rsid w:val="7D987E9A"/>
    <w:rsid w:val="7D9D0B8C"/>
    <w:rsid w:val="7E437985"/>
    <w:rsid w:val="7E543940"/>
    <w:rsid w:val="7E6169AE"/>
    <w:rsid w:val="7EA6B682"/>
    <w:rsid w:val="7EAF1843"/>
    <w:rsid w:val="7EDD14DF"/>
    <w:rsid w:val="7EEC92AE"/>
    <w:rsid w:val="7EED7340"/>
    <w:rsid w:val="7EF40C80"/>
    <w:rsid w:val="7EFF4F1E"/>
    <w:rsid w:val="7F3F0BA9"/>
    <w:rsid w:val="7F45772D"/>
    <w:rsid w:val="7F4A08A0"/>
    <w:rsid w:val="7F643E02"/>
    <w:rsid w:val="7FA72F9D"/>
    <w:rsid w:val="7FBE4DEA"/>
    <w:rsid w:val="7FF98AE8"/>
    <w:rsid w:val="89B7A3CD"/>
    <w:rsid w:val="8F787F64"/>
    <w:rsid w:val="95ABDF82"/>
    <w:rsid w:val="9FFF1C79"/>
    <w:rsid w:val="A5F7D5BD"/>
    <w:rsid w:val="AAF10C9A"/>
    <w:rsid w:val="AF370FDC"/>
    <w:rsid w:val="B195FF80"/>
    <w:rsid w:val="BDDDD203"/>
    <w:rsid w:val="BF57715A"/>
    <w:rsid w:val="BF7A126B"/>
    <w:rsid w:val="BFF7905B"/>
    <w:rsid w:val="BFFFB8E7"/>
    <w:rsid w:val="DCFDD54D"/>
    <w:rsid w:val="DDBF79DC"/>
    <w:rsid w:val="ED6FF8C7"/>
    <w:rsid w:val="ED79312F"/>
    <w:rsid w:val="EEDDF102"/>
    <w:rsid w:val="EEE77D3E"/>
    <w:rsid w:val="EEFF9C61"/>
    <w:rsid w:val="EFDB6AC7"/>
    <w:rsid w:val="EFFF28BD"/>
    <w:rsid w:val="EFFFF551"/>
    <w:rsid w:val="F77FA7FC"/>
    <w:rsid w:val="FAEECAF9"/>
    <w:rsid w:val="FBEFE848"/>
    <w:rsid w:val="FE7FA1C3"/>
    <w:rsid w:val="FEBD8645"/>
    <w:rsid w:val="FEEFD8FC"/>
    <w:rsid w:val="FF2E8D42"/>
    <w:rsid w:val="FF5661BC"/>
    <w:rsid w:val="FF7FE5C1"/>
    <w:rsid w:val="FF9E2302"/>
    <w:rsid w:val="FFF77B07"/>
    <w:rsid w:val="FFF798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iPriority="99"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39">
    <w:name w:val="Default Paragraph Font"/>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semiHidden/>
    <w:qFormat/>
    <w:uiPriority w:val="0"/>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qFormat/>
    <w:uiPriority w:val="0"/>
    <w:pPr>
      <w:spacing w:before="152"/>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link w:val="147"/>
    <w:semiHidden/>
    <w:qFormat/>
    <w:uiPriority w:val="99"/>
    <w:pPr>
      <w:shd w:val="clear" w:color="auto" w:fill="000080"/>
    </w:pPr>
  </w:style>
  <w:style w:type="paragraph" w:styleId="9">
    <w:name w:val="annotation text"/>
    <w:basedOn w:val="1"/>
    <w:link w:val="153"/>
    <w:unhideWhenUsed/>
    <w:qFormat/>
    <w:uiPriority w:val="99"/>
    <w:pPr>
      <w:spacing w:line="360" w:lineRule="auto"/>
      <w:jc w:val="left"/>
    </w:pPr>
    <w:rPr>
      <w:rFonts w:ascii="Calibri" w:hAnsi="Calibri"/>
      <w:szCs w:val="20"/>
    </w:rPr>
  </w:style>
  <w:style w:type="paragraph" w:styleId="10">
    <w:name w:val="index 6"/>
    <w:basedOn w:val="1"/>
    <w:next w:val="1"/>
    <w:qFormat/>
    <w:uiPriority w:val="0"/>
    <w:pPr>
      <w:ind w:left="1260" w:hanging="210"/>
      <w:jc w:val="left"/>
    </w:pPr>
    <w:rPr>
      <w:rFonts w:ascii="Calibri" w:hAnsi="Calibri"/>
      <w:sz w:val="20"/>
      <w:szCs w:val="20"/>
    </w:rPr>
  </w:style>
  <w:style w:type="paragraph" w:styleId="11">
    <w:name w:val="Body Text"/>
    <w:basedOn w:val="1"/>
    <w:link w:val="148"/>
    <w:unhideWhenUsed/>
    <w:qFormat/>
    <w:uiPriority w:val="99"/>
    <w:pPr>
      <w:spacing w:after="120"/>
    </w:pPr>
  </w:style>
  <w:style w:type="paragraph" w:styleId="12">
    <w:name w:val="index 4"/>
    <w:basedOn w:val="1"/>
    <w:next w:val="1"/>
    <w:qFormat/>
    <w:uiPriority w:val="0"/>
    <w:pPr>
      <w:ind w:left="840" w:hanging="210"/>
      <w:jc w:val="left"/>
    </w:pPr>
    <w:rPr>
      <w:rFonts w:ascii="Calibri" w:hAnsi="Calibri"/>
      <w:sz w:val="20"/>
      <w:szCs w:val="20"/>
    </w:rPr>
  </w:style>
  <w:style w:type="paragraph" w:styleId="13">
    <w:name w:val="toc 5"/>
    <w:basedOn w:val="1"/>
    <w:next w:val="1"/>
    <w:semiHidden/>
    <w:qFormat/>
    <w:uiPriority w:val="0"/>
    <w:pPr>
      <w:tabs>
        <w:tab w:val="right" w:leader="dot" w:pos="9241"/>
      </w:tabs>
      <w:ind w:firstLine="300" w:firstLineChars="300"/>
      <w:jc w:val="left"/>
    </w:pPr>
    <w:rPr>
      <w:rFonts w:ascii="宋体"/>
      <w:szCs w:val="21"/>
    </w:rPr>
  </w:style>
  <w:style w:type="paragraph" w:styleId="14">
    <w:name w:val="toc 3"/>
    <w:basedOn w:val="1"/>
    <w:next w:val="1"/>
    <w:qFormat/>
    <w:uiPriority w:val="39"/>
    <w:pPr>
      <w:tabs>
        <w:tab w:val="right" w:leader="dot" w:pos="9241"/>
      </w:tabs>
      <w:ind w:firstLine="102" w:firstLineChars="100"/>
      <w:jc w:val="left"/>
    </w:pPr>
    <w:rPr>
      <w:rFonts w:ascii="宋体"/>
      <w:szCs w:val="21"/>
    </w:rPr>
  </w:style>
  <w:style w:type="paragraph" w:styleId="15">
    <w:name w:val="Plain Text"/>
    <w:basedOn w:val="1"/>
    <w:link w:val="149"/>
    <w:qFormat/>
    <w:uiPriority w:val="99"/>
    <w:pPr>
      <w:spacing w:beforeLines="50" w:line="360" w:lineRule="auto"/>
      <w:ind w:firstLine="200" w:firstLineChars="200"/>
    </w:pPr>
    <w:rPr>
      <w:rFonts w:ascii="宋体" w:hAnsi="Courier New" w:cstheme="minorBidi"/>
      <w:szCs w:val="22"/>
    </w:rPr>
  </w:style>
  <w:style w:type="paragraph" w:styleId="16">
    <w:name w:val="toc 8"/>
    <w:basedOn w:val="1"/>
    <w:next w:val="1"/>
    <w:semiHidden/>
    <w:qFormat/>
    <w:uiPriority w:val="0"/>
    <w:pPr>
      <w:tabs>
        <w:tab w:val="right" w:leader="dot" w:pos="9241"/>
      </w:tabs>
      <w:ind w:firstLine="607" w:firstLineChars="600"/>
      <w:jc w:val="left"/>
    </w:pPr>
    <w:rPr>
      <w:rFonts w:ascii="宋体"/>
      <w:szCs w:val="21"/>
    </w:rPr>
  </w:style>
  <w:style w:type="paragraph" w:styleId="17">
    <w:name w:val="index 3"/>
    <w:basedOn w:val="1"/>
    <w:next w:val="1"/>
    <w:qFormat/>
    <w:uiPriority w:val="0"/>
    <w:pPr>
      <w:ind w:left="630" w:hanging="210"/>
      <w:jc w:val="left"/>
    </w:pPr>
    <w:rPr>
      <w:rFonts w:ascii="Calibri" w:hAnsi="Calibri"/>
      <w:sz w:val="20"/>
      <w:szCs w:val="20"/>
    </w:rPr>
  </w:style>
  <w:style w:type="paragraph" w:styleId="18">
    <w:name w:val="Date"/>
    <w:basedOn w:val="1"/>
    <w:next w:val="1"/>
    <w:link w:val="156"/>
    <w:qFormat/>
    <w:uiPriority w:val="0"/>
    <w:pPr>
      <w:ind w:left="100" w:leftChars="2500"/>
    </w:pPr>
  </w:style>
  <w:style w:type="paragraph" w:styleId="19">
    <w:name w:val="endnote text"/>
    <w:basedOn w:val="1"/>
    <w:semiHidden/>
    <w:qFormat/>
    <w:uiPriority w:val="0"/>
    <w:pPr>
      <w:snapToGrid w:val="0"/>
      <w:jc w:val="left"/>
    </w:pPr>
  </w:style>
  <w:style w:type="paragraph" w:styleId="20">
    <w:name w:val="Balloon Text"/>
    <w:basedOn w:val="1"/>
    <w:link w:val="146"/>
    <w:qFormat/>
    <w:uiPriority w:val="0"/>
    <w:rPr>
      <w:sz w:val="18"/>
      <w:szCs w:val="18"/>
    </w:rPr>
  </w:style>
  <w:style w:type="paragraph" w:styleId="21">
    <w:name w:val="footer"/>
    <w:basedOn w:val="1"/>
    <w:qFormat/>
    <w:uiPriority w:val="0"/>
    <w:pPr>
      <w:snapToGrid w:val="0"/>
      <w:ind w:right="210" w:rightChars="100"/>
      <w:jc w:val="right"/>
    </w:pPr>
    <w:rPr>
      <w:sz w:val="18"/>
      <w:szCs w:val="18"/>
    </w:rPr>
  </w:style>
  <w:style w:type="paragraph" w:styleId="22">
    <w:name w:val="header"/>
    <w:basedOn w:val="1"/>
    <w:qFormat/>
    <w:uiPriority w:val="0"/>
    <w:pPr>
      <w:snapToGrid w:val="0"/>
      <w:jc w:val="left"/>
    </w:pPr>
    <w:rPr>
      <w:sz w:val="18"/>
      <w:szCs w:val="18"/>
    </w:rPr>
  </w:style>
  <w:style w:type="paragraph" w:styleId="23">
    <w:name w:val="toc 1"/>
    <w:basedOn w:val="1"/>
    <w:next w:val="1"/>
    <w:qFormat/>
    <w:uiPriority w:val="39"/>
    <w:pPr>
      <w:tabs>
        <w:tab w:val="right" w:leader="dot" w:pos="9241"/>
      </w:tabs>
      <w:spacing w:beforeLines="25" w:afterLines="25"/>
      <w:jc w:val="left"/>
    </w:pPr>
    <w:rPr>
      <w:rFonts w:ascii="宋体"/>
      <w:szCs w:val="21"/>
    </w:rPr>
  </w:style>
  <w:style w:type="paragraph" w:styleId="24">
    <w:name w:val="toc 4"/>
    <w:basedOn w:val="1"/>
    <w:next w:val="1"/>
    <w:semiHidden/>
    <w:qFormat/>
    <w:uiPriority w:val="0"/>
    <w:pPr>
      <w:tabs>
        <w:tab w:val="right" w:leader="dot" w:pos="9241"/>
      </w:tabs>
      <w:ind w:firstLine="198" w:firstLineChars="200"/>
      <w:jc w:val="left"/>
    </w:pPr>
    <w:rPr>
      <w:rFonts w:ascii="宋体"/>
      <w:szCs w:val="21"/>
    </w:rPr>
  </w:style>
  <w:style w:type="paragraph" w:styleId="25">
    <w:name w:val="index heading"/>
    <w:basedOn w:val="1"/>
    <w:next w:val="26"/>
    <w:qFormat/>
    <w:uiPriority w:val="0"/>
    <w:pPr>
      <w:spacing w:before="120" w:after="120"/>
      <w:jc w:val="center"/>
    </w:pPr>
    <w:rPr>
      <w:rFonts w:ascii="Calibri" w:hAnsi="Calibri"/>
      <w:b/>
      <w:bCs/>
      <w:iCs/>
      <w:szCs w:val="20"/>
    </w:rPr>
  </w:style>
  <w:style w:type="paragraph" w:styleId="26">
    <w:name w:val="index 1"/>
    <w:basedOn w:val="1"/>
    <w:next w:val="27"/>
    <w:qFormat/>
    <w:uiPriority w:val="0"/>
    <w:pPr>
      <w:tabs>
        <w:tab w:val="right" w:leader="dot" w:pos="9299"/>
      </w:tabs>
      <w:jc w:val="left"/>
    </w:pPr>
    <w:rPr>
      <w:rFonts w:ascii="宋体"/>
      <w:szCs w:val="21"/>
    </w:rPr>
  </w:style>
  <w:style w:type="paragraph" w:customStyle="1" w:styleId="27">
    <w:name w:val="段"/>
    <w:link w:val="46"/>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paragraph" w:styleId="28">
    <w:name w:val="footnote text"/>
    <w:basedOn w:val="1"/>
    <w:qFormat/>
    <w:uiPriority w:val="0"/>
    <w:pPr>
      <w:numPr>
        <w:ilvl w:val="0"/>
        <w:numId w:val="1"/>
      </w:numPr>
      <w:snapToGrid w:val="0"/>
      <w:jc w:val="left"/>
    </w:pPr>
    <w:rPr>
      <w:rFonts w:ascii="宋体"/>
      <w:sz w:val="18"/>
      <w:szCs w:val="18"/>
    </w:rPr>
  </w:style>
  <w:style w:type="paragraph" w:styleId="29">
    <w:name w:val="toc 6"/>
    <w:basedOn w:val="1"/>
    <w:next w:val="1"/>
    <w:semiHidden/>
    <w:qFormat/>
    <w:uiPriority w:val="0"/>
    <w:pPr>
      <w:tabs>
        <w:tab w:val="right" w:leader="dot" w:pos="9241"/>
      </w:tabs>
      <w:ind w:firstLine="403" w:firstLineChars="400"/>
      <w:jc w:val="left"/>
    </w:pPr>
    <w:rPr>
      <w:rFonts w:ascii="宋体"/>
      <w:szCs w:val="21"/>
    </w:rPr>
  </w:style>
  <w:style w:type="paragraph" w:styleId="30">
    <w:name w:val="index 7"/>
    <w:basedOn w:val="1"/>
    <w:next w:val="1"/>
    <w:qFormat/>
    <w:uiPriority w:val="0"/>
    <w:pPr>
      <w:ind w:left="1470" w:hanging="210"/>
      <w:jc w:val="left"/>
    </w:pPr>
    <w:rPr>
      <w:rFonts w:ascii="Calibri" w:hAnsi="Calibri"/>
      <w:sz w:val="20"/>
      <w:szCs w:val="20"/>
    </w:rPr>
  </w:style>
  <w:style w:type="paragraph" w:styleId="31">
    <w:name w:val="index 9"/>
    <w:basedOn w:val="1"/>
    <w:next w:val="1"/>
    <w:qFormat/>
    <w:uiPriority w:val="0"/>
    <w:pPr>
      <w:ind w:left="1890" w:hanging="210"/>
      <w:jc w:val="left"/>
    </w:pPr>
    <w:rPr>
      <w:rFonts w:ascii="Calibri" w:hAnsi="Calibri"/>
      <w:sz w:val="20"/>
      <w:szCs w:val="20"/>
    </w:rPr>
  </w:style>
  <w:style w:type="paragraph" w:styleId="32">
    <w:name w:val="toc 2"/>
    <w:basedOn w:val="1"/>
    <w:next w:val="1"/>
    <w:qFormat/>
    <w:uiPriority w:val="39"/>
    <w:pPr>
      <w:tabs>
        <w:tab w:val="right" w:leader="dot" w:pos="9241"/>
      </w:tabs>
      <w:spacing w:before="5" w:after="5"/>
    </w:pPr>
    <w:rPr>
      <w:rFonts w:ascii="宋体"/>
      <w:szCs w:val="21"/>
    </w:rPr>
  </w:style>
  <w:style w:type="paragraph" w:styleId="33">
    <w:name w:val="toc 9"/>
    <w:basedOn w:val="1"/>
    <w:next w:val="1"/>
    <w:semiHidden/>
    <w:qFormat/>
    <w:uiPriority w:val="0"/>
    <w:pPr>
      <w:ind w:left="1470"/>
      <w:jc w:val="left"/>
    </w:pPr>
    <w:rPr>
      <w:sz w:val="20"/>
      <w:szCs w:val="20"/>
    </w:rPr>
  </w:style>
  <w:style w:type="paragraph" w:styleId="34">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5">
    <w:name w:val="index 2"/>
    <w:basedOn w:val="1"/>
    <w:next w:val="1"/>
    <w:qFormat/>
    <w:uiPriority w:val="0"/>
    <w:pPr>
      <w:ind w:left="420" w:hanging="210"/>
      <w:jc w:val="left"/>
    </w:pPr>
    <w:rPr>
      <w:rFonts w:ascii="Calibri" w:hAnsi="Calibri"/>
      <w:sz w:val="20"/>
      <w:szCs w:val="20"/>
    </w:rPr>
  </w:style>
  <w:style w:type="paragraph" w:styleId="36">
    <w:name w:val="annotation subject"/>
    <w:basedOn w:val="9"/>
    <w:next w:val="9"/>
    <w:link w:val="158"/>
    <w:semiHidden/>
    <w:unhideWhenUsed/>
    <w:qFormat/>
    <w:uiPriority w:val="0"/>
    <w:pPr>
      <w:spacing w:line="240" w:lineRule="auto"/>
    </w:pPr>
    <w:rPr>
      <w:rFonts w:ascii="Times New Roman" w:hAnsi="Times New Roman"/>
      <w:b/>
      <w:bCs/>
      <w:szCs w:val="24"/>
    </w:rPr>
  </w:style>
  <w:style w:type="table" w:styleId="38">
    <w:name w:val="Table Grid"/>
    <w:basedOn w:val="37"/>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endnote reference"/>
    <w:semiHidden/>
    <w:qFormat/>
    <w:uiPriority w:val="0"/>
    <w:rPr>
      <w:vertAlign w:val="superscript"/>
    </w:rPr>
  </w:style>
  <w:style w:type="character" w:styleId="41">
    <w:name w:val="page number"/>
    <w:qFormat/>
    <w:uiPriority w:val="0"/>
    <w:rPr>
      <w:rFonts w:ascii="Times New Roman" w:hAnsi="Times New Roman" w:eastAsia="宋体"/>
      <w:sz w:val="18"/>
    </w:rPr>
  </w:style>
  <w:style w:type="character" w:styleId="42">
    <w:name w:val="FollowedHyperlink"/>
    <w:qFormat/>
    <w:uiPriority w:val="0"/>
    <w:rPr>
      <w:color w:val="800080"/>
      <w:u w:val="single"/>
    </w:rPr>
  </w:style>
  <w:style w:type="character" w:styleId="43">
    <w:name w:val="Hyperlink"/>
    <w:basedOn w:val="39"/>
    <w:qFormat/>
    <w:uiPriority w:val="99"/>
    <w:rPr>
      <w:color w:val="0000FF"/>
      <w:spacing w:val="0"/>
      <w:w w:val="100"/>
      <w:szCs w:val="21"/>
      <w:u w:val="single"/>
    </w:rPr>
  </w:style>
  <w:style w:type="character" w:styleId="44">
    <w:name w:val="annotation reference"/>
    <w:basedOn w:val="39"/>
    <w:semiHidden/>
    <w:unhideWhenUsed/>
    <w:qFormat/>
    <w:uiPriority w:val="99"/>
    <w:rPr>
      <w:sz w:val="21"/>
      <w:szCs w:val="21"/>
    </w:rPr>
  </w:style>
  <w:style w:type="character" w:styleId="45">
    <w:name w:val="footnote reference"/>
    <w:semiHidden/>
    <w:qFormat/>
    <w:uiPriority w:val="0"/>
    <w:rPr>
      <w:vertAlign w:val="superscript"/>
    </w:rPr>
  </w:style>
  <w:style w:type="character" w:customStyle="1" w:styleId="46">
    <w:name w:val="段 Char"/>
    <w:link w:val="27"/>
    <w:qFormat/>
    <w:uiPriority w:val="0"/>
    <w:rPr>
      <w:rFonts w:ascii="宋体"/>
      <w:sz w:val="21"/>
      <w:lang w:val="en-US" w:eastAsia="zh-CN" w:bidi="ar-SA"/>
    </w:rPr>
  </w:style>
  <w:style w:type="paragraph" w:customStyle="1" w:styleId="47">
    <w:name w:val="一级条标题"/>
    <w:next w:val="27"/>
    <w:qFormat/>
    <w:uiPriority w:val="0"/>
    <w:pPr>
      <w:numPr>
        <w:ilvl w:val="1"/>
        <w:numId w:val="2"/>
      </w:numPr>
      <w:spacing w:beforeLines="50" w:after="160" w:afterLines="50" w:line="278" w:lineRule="auto"/>
      <w:outlineLvl w:val="2"/>
    </w:pPr>
    <w:rPr>
      <w:rFonts w:ascii="黑体" w:hAnsi="Times New Roman" w:eastAsia="黑体" w:cs="Times New Roman"/>
      <w:sz w:val="21"/>
      <w:szCs w:val="21"/>
      <w:lang w:val="en-US" w:eastAsia="zh-CN" w:bidi="ar-SA"/>
    </w:rPr>
  </w:style>
  <w:style w:type="paragraph" w:customStyle="1" w:styleId="48">
    <w:name w:val="标准书脚_奇数页"/>
    <w:qFormat/>
    <w:uiPriority w:val="0"/>
    <w:pPr>
      <w:spacing w:before="120" w:after="160" w:line="278" w:lineRule="auto"/>
      <w:ind w:right="198"/>
      <w:jc w:val="right"/>
    </w:pPr>
    <w:rPr>
      <w:rFonts w:ascii="宋体" w:hAnsi="Times New Roman" w:eastAsia="宋体" w:cs="Times New Roman"/>
      <w:sz w:val="18"/>
      <w:szCs w:val="18"/>
      <w:lang w:val="en-US" w:eastAsia="zh-CN" w:bidi="ar-SA"/>
    </w:rPr>
  </w:style>
  <w:style w:type="paragraph" w:customStyle="1" w:styleId="49">
    <w:name w:val="标准书眉_奇数页"/>
    <w:next w:val="1"/>
    <w:link w:val="172"/>
    <w:qFormat/>
    <w:uiPriority w:val="0"/>
    <w:pPr>
      <w:tabs>
        <w:tab w:val="center" w:pos="4154"/>
        <w:tab w:val="right" w:pos="8306"/>
      </w:tabs>
      <w:spacing w:after="220" w:line="278" w:lineRule="auto"/>
      <w:jc w:val="right"/>
    </w:pPr>
    <w:rPr>
      <w:rFonts w:ascii="黑体" w:hAnsi="Times New Roman" w:eastAsia="黑体" w:cs="Times New Roman"/>
      <w:sz w:val="21"/>
      <w:szCs w:val="21"/>
      <w:lang w:val="en-US" w:eastAsia="zh-CN" w:bidi="ar-SA"/>
    </w:rPr>
  </w:style>
  <w:style w:type="paragraph" w:customStyle="1" w:styleId="50">
    <w:name w:val="章标题"/>
    <w:next w:val="27"/>
    <w:qFormat/>
    <w:uiPriority w:val="0"/>
    <w:pPr>
      <w:numPr>
        <w:ilvl w:val="0"/>
        <w:numId w:val="2"/>
      </w:numPr>
      <w:spacing w:beforeLines="100" w:after="160" w:afterLines="100" w:line="278" w:lineRule="auto"/>
      <w:jc w:val="both"/>
      <w:outlineLvl w:val="1"/>
    </w:pPr>
    <w:rPr>
      <w:rFonts w:ascii="黑体" w:hAnsi="Times New Roman" w:eastAsia="黑体" w:cs="Times New Roman"/>
      <w:sz w:val="21"/>
      <w:lang w:val="en-US" w:eastAsia="zh-CN" w:bidi="ar-SA"/>
    </w:rPr>
  </w:style>
  <w:style w:type="paragraph" w:customStyle="1" w:styleId="51">
    <w:name w:val="二级条标题"/>
    <w:basedOn w:val="47"/>
    <w:next w:val="27"/>
    <w:qFormat/>
    <w:uiPriority w:val="0"/>
    <w:pPr>
      <w:numPr>
        <w:ilvl w:val="2"/>
      </w:numPr>
      <w:spacing w:before="50" w:after="50"/>
      <w:outlineLvl w:val="3"/>
    </w:pPr>
  </w:style>
  <w:style w:type="paragraph" w:customStyle="1" w:styleId="52">
    <w:name w:val="封面标准号2"/>
    <w:qFormat/>
    <w:uiPriority w:val="0"/>
    <w:pPr>
      <w:framePr w:w="9140" w:h="1242" w:hRule="exact" w:hSpace="284" w:wrap="around" w:vAnchor="page" w:hAnchor="page" w:x="1645" w:y="2910" w:anchorLock="1"/>
      <w:spacing w:before="357" w:after="160" w:line="280" w:lineRule="exact"/>
      <w:jc w:val="right"/>
    </w:pPr>
    <w:rPr>
      <w:rFonts w:ascii="黑体" w:hAnsi="Times New Roman" w:eastAsia="黑体" w:cs="Times New Roman"/>
      <w:sz w:val="28"/>
      <w:szCs w:val="28"/>
      <w:lang w:val="en-US" w:eastAsia="zh-CN" w:bidi="ar-SA"/>
    </w:rPr>
  </w:style>
  <w:style w:type="paragraph" w:customStyle="1" w:styleId="53">
    <w:name w:val="列项——（一级）"/>
    <w:qFormat/>
    <w:uiPriority w:val="0"/>
    <w:pPr>
      <w:widowControl w:val="0"/>
      <w:numPr>
        <w:ilvl w:val="0"/>
        <w:numId w:val="3"/>
      </w:numPr>
      <w:spacing w:after="160" w:line="278" w:lineRule="auto"/>
      <w:jc w:val="both"/>
    </w:pPr>
    <w:rPr>
      <w:rFonts w:ascii="宋体" w:hAnsi="Times New Roman" w:eastAsia="宋体" w:cs="Times New Roman"/>
      <w:sz w:val="21"/>
      <w:lang w:val="en-US" w:eastAsia="zh-CN" w:bidi="ar-SA"/>
    </w:rPr>
  </w:style>
  <w:style w:type="paragraph" w:customStyle="1" w:styleId="54">
    <w:name w:val="列项●（二级）"/>
    <w:qFormat/>
    <w:uiPriority w:val="0"/>
    <w:pPr>
      <w:numPr>
        <w:ilvl w:val="1"/>
        <w:numId w:val="3"/>
      </w:numPr>
      <w:tabs>
        <w:tab w:val="left" w:pos="840"/>
      </w:tabs>
      <w:spacing w:after="160" w:line="278" w:lineRule="auto"/>
      <w:jc w:val="both"/>
    </w:pPr>
    <w:rPr>
      <w:rFonts w:ascii="宋体" w:hAnsi="Times New Roman" w:eastAsia="宋体" w:cs="Times New Roman"/>
      <w:sz w:val="21"/>
      <w:lang w:val="en-US" w:eastAsia="zh-CN" w:bidi="ar-SA"/>
    </w:rPr>
  </w:style>
  <w:style w:type="paragraph" w:customStyle="1" w:styleId="55">
    <w:name w:val="目次、标准名称标题"/>
    <w:basedOn w:val="1"/>
    <w:next w:val="27"/>
    <w:link w:val="144"/>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6">
    <w:name w:val="三级条标题"/>
    <w:basedOn w:val="51"/>
    <w:next w:val="27"/>
    <w:qFormat/>
    <w:uiPriority w:val="0"/>
    <w:pPr>
      <w:numPr>
        <w:ilvl w:val="3"/>
      </w:numPr>
      <w:outlineLvl w:val="4"/>
    </w:pPr>
  </w:style>
  <w:style w:type="paragraph" w:customStyle="1" w:styleId="57">
    <w:name w:val="示例"/>
    <w:next w:val="58"/>
    <w:qFormat/>
    <w:uiPriority w:val="0"/>
    <w:pPr>
      <w:widowControl w:val="0"/>
      <w:numPr>
        <w:ilvl w:val="0"/>
        <w:numId w:val="4"/>
      </w:numPr>
      <w:spacing w:after="160" w:line="278" w:lineRule="auto"/>
      <w:jc w:val="both"/>
    </w:pPr>
    <w:rPr>
      <w:rFonts w:ascii="宋体" w:hAnsi="Times New Roman" w:eastAsia="宋体" w:cs="Times New Roman"/>
      <w:sz w:val="18"/>
      <w:szCs w:val="18"/>
      <w:lang w:val="en-US" w:eastAsia="zh-CN" w:bidi="ar-SA"/>
    </w:rPr>
  </w:style>
  <w:style w:type="paragraph" w:customStyle="1" w:styleId="58">
    <w:name w:val="示例内容"/>
    <w:qFormat/>
    <w:uiPriority w:val="0"/>
    <w:pPr>
      <w:spacing w:after="160" w:line="278" w:lineRule="auto"/>
      <w:ind w:firstLine="200" w:firstLineChars="200"/>
    </w:pPr>
    <w:rPr>
      <w:rFonts w:ascii="宋体" w:hAnsi="Times New Roman" w:eastAsia="宋体" w:cs="Times New Roman"/>
      <w:sz w:val="18"/>
      <w:szCs w:val="18"/>
      <w:lang w:val="en-US" w:eastAsia="zh-CN" w:bidi="ar-SA"/>
    </w:rPr>
  </w:style>
  <w:style w:type="paragraph" w:customStyle="1" w:styleId="59">
    <w:name w:val="数字编号列项（二级）"/>
    <w:qFormat/>
    <w:uiPriority w:val="0"/>
    <w:pPr>
      <w:numPr>
        <w:ilvl w:val="1"/>
        <w:numId w:val="5"/>
      </w:numPr>
      <w:tabs>
        <w:tab w:val="left" w:pos="840"/>
      </w:tabs>
      <w:spacing w:after="160" w:line="278" w:lineRule="auto"/>
      <w:jc w:val="both"/>
    </w:pPr>
    <w:rPr>
      <w:rFonts w:ascii="宋体" w:hAnsi="Times New Roman" w:eastAsia="宋体" w:cs="Times New Roman"/>
      <w:sz w:val="21"/>
      <w:lang w:val="en-US" w:eastAsia="zh-CN" w:bidi="ar-SA"/>
    </w:rPr>
  </w:style>
  <w:style w:type="paragraph" w:customStyle="1" w:styleId="60">
    <w:name w:val="四级条标题"/>
    <w:basedOn w:val="56"/>
    <w:next w:val="27"/>
    <w:qFormat/>
    <w:uiPriority w:val="0"/>
    <w:pPr>
      <w:numPr>
        <w:ilvl w:val="4"/>
      </w:numPr>
      <w:outlineLvl w:val="5"/>
    </w:pPr>
  </w:style>
  <w:style w:type="paragraph" w:customStyle="1" w:styleId="61">
    <w:name w:val="五级条标题"/>
    <w:basedOn w:val="60"/>
    <w:next w:val="27"/>
    <w:qFormat/>
    <w:uiPriority w:val="0"/>
    <w:pPr>
      <w:numPr>
        <w:ilvl w:val="5"/>
      </w:numPr>
      <w:outlineLvl w:val="6"/>
    </w:pPr>
  </w:style>
  <w:style w:type="paragraph" w:customStyle="1" w:styleId="62">
    <w:name w:val="注："/>
    <w:next w:val="27"/>
    <w:qFormat/>
    <w:uiPriority w:val="0"/>
    <w:pPr>
      <w:widowControl w:val="0"/>
      <w:numPr>
        <w:ilvl w:val="0"/>
        <w:numId w:val="6"/>
      </w:numPr>
      <w:autoSpaceDE w:val="0"/>
      <w:autoSpaceDN w:val="0"/>
      <w:spacing w:after="160" w:line="278" w:lineRule="auto"/>
      <w:ind w:left="726" w:hanging="363"/>
      <w:jc w:val="both"/>
    </w:pPr>
    <w:rPr>
      <w:rFonts w:ascii="宋体" w:hAnsi="Times New Roman" w:eastAsia="宋体" w:cs="Times New Roman"/>
      <w:sz w:val="18"/>
      <w:szCs w:val="18"/>
      <w:lang w:val="en-US" w:eastAsia="zh-CN" w:bidi="ar-SA"/>
    </w:rPr>
  </w:style>
  <w:style w:type="paragraph" w:customStyle="1" w:styleId="63">
    <w:name w:val="注×："/>
    <w:qFormat/>
    <w:uiPriority w:val="0"/>
    <w:pPr>
      <w:widowControl w:val="0"/>
      <w:numPr>
        <w:ilvl w:val="0"/>
        <w:numId w:val="7"/>
      </w:numPr>
      <w:autoSpaceDE w:val="0"/>
      <w:autoSpaceDN w:val="0"/>
      <w:spacing w:after="160" w:line="278" w:lineRule="auto"/>
      <w:ind w:left="811" w:hanging="448"/>
      <w:jc w:val="both"/>
    </w:pPr>
    <w:rPr>
      <w:rFonts w:ascii="宋体" w:hAnsi="Times New Roman" w:eastAsia="宋体" w:cs="Times New Roman"/>
      <w:sz w:val="18"/>
      <w:szCs w:val="18"/>
      <w:lang w:val="en-US" w:eastAsia="zh-CN" w:bidi="ar-SA"/>
    </w:rPr>
  </w:style>
  <w:style w:type="paragraph" w:customStyle="1" w:styleId="64">
    <w:name w:val="字母编号列项（一级）"/>
    <w:qFormat/>
    <w:uiPriority w:val="0"/>
    <w:pPr>
      <w:numPr>
        <w:ilvl w:val="0"/>
        <w:numId w:val="5"/>
      </w:numPr>
      <w:spacing w:after="160" w:line="278" w:lineRule="auto"/>
      <w:jc w:val="both"/>
    </w:pPr>
    <w:rPr>
      <w:rFonts w:ascii="宋体" w:hAnsi="Times New Roman" w:eastAsia="宋体" w:cs="Times New Roman"/>
      <w:sz w:val="21"/>
      <w:lang w:val="en-US" w:eastAsia="zh-CN" w:bidi="ar-SA"/>
    </w:rPr>
  </w:style>
  <w:style w:type="paragraph" w:customStyle="1" w:styleId="65">
    <w:name w:val="列项◆（三级）"/>
    <w:basedOn w:val="1"/>
    <w:qFormat/>
    <w:uiPriority w:val="0"/>
    <w:pPr>
      <w:numPr>
        <w:ilvl w:val="2"/>
        <w:numId w:val="3"/>
      </w:numPr>
    </w:pPr>
    <w:rPr>
      <w:rFonts w:ascii="宋体"/>
      <w:szCs w:val="21"/>
    </w:rPr>
  </w:style>
  <w:style w:type="paragraph" w:customStyle="1" w:styleId="66">
    <w:name w:val="编号列项（三级）"/>
    <w:qFormat/>
    <w:uiPriority w:val="0"/>
    <w:pPr>
      <w:numPr>
        <w:ilvl w:val="2"/>
        <w:numId w:val="5"/>
      </w:numPr>
      <w:tabs>
        <w:tab w:val="left" w:pos="840"/>
      </w:tabs>
      <w:spacing w:after="160" w:line="278" w:lineRule="auto"/>
    </w:pPr>
    <w:rPr>
      <w:rFonts w:ascii="宋体" w:hAnsi="Times New Roman" w:eastAsia="宋体" w:cs="Times New Roman"/>
      <w:sz w:val="21"/>
      <w:lang w:val="en-US" w:eastAsia="zh-CN" w:bidi="ar-SA"/>
    </w:rPr>
  </w:style>
  <w:style w:type="paragraph" w:customStyle="1" w:styleId="67">
    <w:name w:val="示例×："/>
    <w:basedOn w:val="50"/>
    <w:qFormat/>
    <w:uiPriority w:val="0"/>
    <w:pPr>
      <w:numPr>
        <w:numId w:val="8"/>
      </w:numPr>
      <w:spacing w:beforeLines="0" w:afterLines="0"/>
      <w:outlineLvl w:val="9"/>
    </w:pPr>
    <w:rPr>
      <w:rFonts w:ascii="宋体" w:eastAsia="宋体"/>
      <w:sz w:val="18"/>
      <w:szCs w:val="18"/>
    </w:rPr>
  </w:style>
  <w:style w:type="paragraph" w:customStyle="1" w:styleId="68">
    <w:name w:val="二级无"/>
    <w:basedOn w:val="51"/>
    <w:qFormat/>
    <w:uiPriority w:val="0"/>
    <w:pPr>
      <w:spacing w:beforeLines="0" w:afterLines="0"/>
    </w:pPr>
    <w:rPr>
      <w:rFonts w:ascii="宋体" w:eastAsia="宋体"/>
    </w:rPr>
  </w:style>
  <w:style w:type="paragraph" w:customStyle="1" w:styleId="69">
    <w:name w:val="注：（正文）"/>
    <w:basedOn w:val="62"/>
    <w:next w:val="27"/>
    <w:qFormat/>
    <w:uiPriority w:val="0"/>
    <w:pPr>
      <w:numPr>
        <w:numId w:val="9"/>
      </w:numPr>
      <w:ind w:left="726" w:hanging="363"/>
    </w:pPr>
  </w:style>
  <w:style w:type="paragraph" w:customStyle="1" w:styleId="70">
    <w:name w:val="注×：（正文）"/>
    <w:qFormat/>
    <w:uiPriority w:val="0"/>
    <w:pPr>
      <w:numPr>
        <w:ilvl w:val="0"/>
        <w:numId w:val="10"/>
      </w:numPr>
      <w:spacing w:after="160" w:line="278" w:lineRule="auto"/>
      <w:ind w:left="811" w:hanging="448"/>
      <w:jc w:val="both"/>
    </w:pPr>
    <w:rPr>
      <w:rFonts w:ascii="宋体" w:hAnsi="Times New Roman" w:eastAsia="宋体" w:cs="Times New Roman"/>
      <w:sz w:val="18"/>
      <w:szCs w:val="18"/>
      <w:lang w:val="en-US" w:eastAsia="zh-CN" w:bidi="ar-SA"/>
    </w:rPr>
  </w:style>
  <w:style w:type="paragraph" w:customStyle="1" w:styleId="71">
    <w:name w:val="标准标志"/>
    <w:next w:val="1"/>
    <w:qFormat/>
    <w:uiPriority w:val="0"/>
    <w:pPr>
      <w:framePr w:w="2546" w:h="1389" w:hRule="exact" w:hSpace="181" w:vSpace="181" w:wrap="around" w:vAnchor="margin" w:hAnchor="margin" w:x="6522" w:y="398" w:anchorLock="1"/>
      <w:shd w:val="solid" w:color="FFFFFF" w:fill="FFFFFF"/>
      <w:spacing w:after="160" w:line="0" w:lineRule="atLeast"/>
      <w:jc w:val="right"/>
    </w:pPr>
    <w:rPr>
      <w:rFonts w:ascii="Times New Roman" w:hAnsi="Times New Roman" w:eastAsia="宋体" w:cs="Times New Roman"/>
      <w:b/>
      <w:w w:val="170"/>
      <w:sz w:val="96"/>
      <w:szCs w:val="96"/>
      <w:lang w:val="en-US" w:eastAsia="zh-CN" w:bidi="ar-SA"/>
    </w:rPr>
  </w:style>
  <w:style w:type="paragraph" w:customStyle="1" w:styleId="72">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after="160" w:line="0" w:lineRule="atLeast"/>
      <w:jc w:val="distribute"/>
    </w:pPr>
    <w:rPr>
      <w:rFonts w:ascii="宋体" w:hAnsi="Times New Roman" w:eastAsia="宋体" w:cs="Times New Roman"/>
      <w:b/>
      <w:bCs/>
      <w:spacing w:val="20"/>
      <w:w w:val="148"/>
      <w:sz w:val="48"/>
      <w:lang w:val="en-US" w:eastAsia="zh-CN" w:bidi="ar-SA"/>
    </w:rPr>
  </w:style>
  <w:style w:type="paragraph" w:customStyle="1" w:styleId="73">
    <w:name w:val="标准书脚_偶数页"/>
    <w:qFormat/>
    <w:uiPriority w:val="0"/>
    <w:pPr>
      <w:spacing w:before="120" w:after="160" w:line="278" w:lineRule="auto"/>
      <w:ind w:left="221"/>
    </w:pPr>
    <w:rPr>
      <w:rFonts w:ascii="宋体" w:hAnsi="Times New Roman" w:eastAsia="宋体" w:cs="Times New Roman"/>
      <w:sz w:val="18"/>
      <w:szCs w:val="18"/>
      <w:lang w:val="en-US" w:eastAsia="zh-CN" w:bidi="ar-SA"/>
    </w:rPr>
  </w:style>
  <w:style w:type="paragraph" w:customStyle="1" w:styleId="74">
    <w:name w:val="标准书眉_偶数页"/>
    <w:basedOn w:val="49"/>
    <w:next w:val="1"/>
    <w:qFormat/>
    <w:uiPriority w:val="0"/>
    <w:pPr>
      <w:jc w:val="left"/>
    </w:pPr>
  </w:style>
  <w:style w:type="paragraph" w:customStyle="1" w:styleId="75">
    <w:name w:val="标准书眉一"/>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76">
    <w:name w:val="参考文献"/>
    <w:basedOn w:val="1"/>
    <w:next w:val="27"/>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7">
    <w:name w:val="参考文献、索引标题"/>
    <w:basedOn w:val="1"/>
    <w:next w:val="27"/>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8">
    <w:name w:val="发布"/>
    <w:qFormat/>
    <w:uiPriority w:val="0"/>
    <w:rPr>
      <w:rFonts w:ascii="黑体" w:eastAsia="黑体"/>
      <w:spacing w:val="85"/>
      <w:w w:val="100"/>
      <w:position w:val="3"/>
      <w:sz w:val="28"/>
      <w:szCs w:val="28"/>
    </w:rPr>
  </w:style>
  <w:style w:type="paragraph" w:customStyle="1" w:styleId="79">
    <w:name w:val="发布部门"/>
    <w:next w:val="27"/>
    <w:qFormat/>
    <w:uiPriority w:val="0"/>
    <w:pPr>
      <w:framePr w:w="7938" w:h="1134" w:hRule="exact" w:hSpace="125" w:vSpace="181" w:wrap="around" w:vAnchor="page" w:hAnchor="page" w:x="2150" w:y="14630" w:anchorLock="1"/>
      <w:spacing w:after="160" w:line="278" w:lineRule="auto"/>
      <w:jc w:val="center"/>
    </w:pPr>
    <w:rPr>
      <w:rFonts w:ascii="宋体" w:hAnsi="Times New Roman" w:eastAsia="宋体" w:cs="Times New Roman"/>
      <w:b/>
      <w:spacing w:val="20"/>
      <w:w w:val="135"/>
      <w:sz w:val="28"/>
      <w:lang w:val="en-US" w:eastAsia="zh-CN" w:bidi="ar-SA"/>
    </w:rPr>
  </w:style>
  <w:style w:type="paragraph" w:customStyle="1" w:styleId="80">
    <w:name w:val="发布日期"/>
    <w:qFormat/>
    <w:uiPriority w:val="0"/>
    <w:pPr>
      <w:framePr w:w="3997" w:h="471" w:hRule="exact" w:vSpace="181" w:wrap="around" w:vAnchor="margin" w:hAnchor="page" w:x="7089" w:y="14097" w:anchorLock="1"/>
      <w:spacing w:after="160" w:line="278" w:lineRule="auto"/>
    </w:pPr>
    <w:rPr>
      <w:rFonts w:ascii="Times New Roman" w:hAnsi="Times New Roman" w:eastAsia="黑体" w:cs="Times New Roman"/>
      <w:sz w:val="28"/>
      <w:lang w:val="en-US" w:eastAsia="zh-CN" w:bidi="ar-SA"/>
    </w:rPr>
  </w:style>
  <w:style w:type="paragraph" w:customStyle="1" w:styleId="81">
    <w:name w:val="封面标准代替信息"/>
    <w:qFormat/>
    <w:uiPriority w:val="0"/>
    <w:pPr>
      <w:framePr w:w="9140" w:h="1242" w:hRule="exact" w:hSpace="284" w:wrap="around" w:vAnchor="page" w:hAnchor="page" w:x="1645" w:y="2910" w:anchorLock="1"/>
      <w:spacing w:before="57" w:after="160" w:line="280" w:lineRule="exact"/>
      <w:jc w:val="right"/>
    </w:pPr>
    <w:rPr>
      <w:rFonts w:ascii="宋体" w:hAnsi="Times New Roman" w:eastAsia="宋体" w:cs="Times New Roman"/>
      <w:sz w:val="21"/>
      <w:szCs w:val="21"/>
      <w:lang w:val="en-US" w:eastAsia="zh-CN" w:bidi="ar-SA"/>
    </w:rPr>
  </w:style>
  <w:style w:type="paragraph" w:customStyle="1" w:styleId="82">
    <w:name w:val="封面标准号1"/>
    <w:qFormat/>
    <w:uiPriority w:val="0"/>
    <w:pPr>
      <w:widowControl w:val="0"/>
      <w:kinsoku w:val="0"/>
      <w:overflowPunct w:val="0"/>
      <w:autoSpaceDE w:val="0"/>
      <w:autoSpaceDN w:val="0"/>
      <w:spacing w:before="308" w:after="160" w:line="278" w:lineRule="auto"/>
      <w:jc w:val="right"/>
      <w:textAlignment w:val="center"/>
    </w:pPr>
    <w:rPr>
      <w:rFonts w:ascii="Times New Roman" w:hAnsi="Times New Roman" w:eastAsia="宋体" w:cs="Times New Roman"/>
      <w:sz w:val="28"/>
      <w:lang w:val="en-US" w:eastAsia="zh-CN" w:bidi="ar-SA"/>
    </w:rPr>
  </w:style>
  <w:style w:type="paragraph" w:customStyle="1" w:styleId="83">
    <w:name w:val="封面标准名称"/>
    <w:qFormat/>
    <w:uiPriority w:val="0"/>
    <w:pPr>
      <w:framePr w:w="9639" w:h="6917" w:hRule="exact" w:wrap="around" w:vAnchor="page" w:hAnchor="page" w:xAlign="center" w:y="6408" w:anchorLock="1"/>
      <w:widowControl w:val="0"/>
      <w:spacing w:after="160" w:line="680" w:lineRule="exact"/>
      <w:jc w:val="center"/>
      <w:textAlignment w:val="center"/>
    </w:pPr>
    <w:rPr>
      <w:rFonts w:ascii="黑体" w:hAnsi="Times New Roman" w:eastAsia="黑体" w:cs="Times New Roman"/>
      <w:sz w:val="52"/>
      <w:lang w:val="en-US" w:eastAsia="zh-CN" w:bidi="ar-SA"/>
    </w:rPr>
  </w:style>
  <w:style w:type="paragraph" w:customStyle="1" w:styleId="84">
    <w:name w:val="封面标准英文名称"/>
    <w:basedOn w:val="83"/>
    <w:qFormat/>
    <w:uiPriority w:val="0"/>
    <w:pPr>
      <w:framePr w:wrap="around"/>
      <w:spacing w:before="370" w:line="400" w:lineRule="exact"/>
    </w:pPr>
    <w:rPr>
      <w:rFonts w:ascii="Times New Roman"/>
      <w:sz w:val="28"/>
      <w:szCs w:val="28"/>
    </w:rPr>
  </w:style>
  <w:style w:type="paragraph" w:customStyle="1" w:styleId="85">
    <w:name w:val="封面一致性程度标识"/>
    <w:basedOn w:val="84"/>
    <w:qFormat/>
    <w:uiPriority w:val="0"/>
    <w:pPr>
      <w:framePr w:wrap="around"/>
      <w:spacing w:before="440"/>
    </w:pPr>
    <w:rPr>
      <w:rFonts w:ascii="宋体" w:eastAsia="宋体"/>
    </w:rPr>
  </w:style>
  <w:style w:type="paragraph" w:customStyle="1" w:styleId="86">
    <w:name w:val="封面标准文稿类别"/>
    <w:basedOn w:val="85"/>
    <w:qFormat/>
    <w:uiPriority w:val="0"/>
    <w:pPr>
      <w:framePr w:wrap="around"/>
      <w:spacing w:line="240" w:lineRule="auto"/>
    </w:pPr>
    <w:rPr>
      <w:sz w:val="24"/>
    </w:rPr>
  </w:style>
  <w:style w:type="paragraph" w:customStyle="1" w:styleId="87">
    <w:name w:val="封面标准文稿编辑信息"/>
    <w:basedOn w:val="86"/>
    <w:qFormat/>
    <w:uiPriority w:val="0"/>
    <w:pPr>
      <w:framePr w:wrap="around"/>
      <w:spacing w:before="180" w:line="180" w:lineRule="exact"/>
    </w:pPr>
    <w:rPr>
      <w:sz w:val="21"/>
    </w:rPr>
  </w:style>
  <w:style w:type="paragraph" w:customStyle="1" w:styleId="88">
    <w:name w:val="封面正文"/>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89">
    <w:name w:val="附录标识"/>
    <w:basedOn w:val="1"/>
    <w:next w:val="27"/>
    <w:link w:val="170"/>
    <w:qFormat/>
    <w:uiPriority w:val="0"/>
    <w:pPr>
      <w:keepNext/>
      <w:widowControl/>
      <w:numPr>
        <w:ilvl w:val="0"/>
        <w:numId w:val="11"/>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0">
    <w:name w:val="附录标题"/>
    <w:basedOn w:val="27"/>
    <w:next w:val="27"/>
    <w:link w:val="171"/>
    <w:qFormat/>
    <w:uiPriority w:val="0"/>
    <w:pPr>
      <w:ind w:firstLine="0" w:firstLineChars="0"/>
      <w:jc w:val="center"/>
    </w:pPr>
    <w:rPr>
      <w:rFonts w:ascii="黑体" w:eastAsia="黑体"/>
    </w:rPr>
  </w:style>
  <w:style w:type="paragraph" w:customStyle="1" w:styleId="91">
    <w:name w:val="附录表标号"/>
    <w:basedOn w:val="1"/>
    <w:next w:val="27"/>
    <w:qFormat/>
    <w:uiPriority w:val="0"/>
    <w:pPr>
      <w:numPr>
        <w:ilvl w:val="0"/>
        <w:numId w:val="12"/>
      </w:numPr>
      <w:tabs>
        <w:tab w:val="clear" w:pos="0"/>
      </w:tabs>
      <w:spacing w:line="14" w:lineRule="exact"/>
      <w:ind w:left="811" w:hanging="448"/>
      <w:jc w:val="center"/>
      <w:outlineLvl w:val="0"/>
    </w:pPr>
    <w:rPr>
      <w:color w:val="FFFFFF"/>
    </w:rPr>
  </w:style>
  <w:style w:type="paragraph" w:customStyle="1" w:styleId="92">
    <w:name w:val="附录表标题"/>
    <w:basedOn w:val="1"/>
    <w:next w:val="27"/>
    <w:qFormat/>
    <w:uiPriority w:val="0"/>
    <w:pPr>
      <w:numPr>
        <w:ilvl w:val="1"/>
        <w:numId w:val="12"/>
      </w:numPr>
      <w:tabs>
        <w:tab w:val="left" w:pos="180"/>
      </w:tabs>
      <w:spacing w:beforeLines="50" w:afterLines="50"/>
      <w:ind w:left="0" w:firstLine="0"/>
      <w:jc w:val="center"/>
    </w:pPr>
    <w:rPr>
      <w:rFonts w:ascii="黑体" w:eastAsia="黑体"/>
      <w:szCs w:val="21"/>
    </w:rPr>
  </w:style>
  <w:style w:type="paragraph" w:customStyle="1" w:styleId="93">
    <w:name w:val="附录二级条标题"/>
    <w:basedOn w:val="1"/>
    <w:next w:val="27"/>
    <w:qFormat/>
    <w:uiPriority w:val="0"/>
    <w:pPr>
      <w:widowControl/>
      <w:numPr>
        <w:ilvl w:val="3"/>
        <w:numId w:val="11"/>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94">
    <w:name w:val="附录二级无"/>
    <w:basedOn w:val="93"/>
    <w:qFormat/>
    <w:uiPriority w:val="0"/>
    <w:pPr>
      <w:tabs>
        <w:tab w:val="clear" w:pos="360"/>
      </w:tabs>
      <w:spacing w:beforeLines="0" w:afterLines="0"/>
    </w:pPr>
    <w:rPr>
      <w:rFonts w:ascii="宋体" w:eastAsia="宋体"/>
      <w:szCs w:val="21"/>
    </w:rPr>
  </w:style>
  <w:style w:type="paragraph" w:customStyle="1" w:styleId="95">
    <w:name w:val="附录公式"/>
    <w:basedOn w:val="27"/>
    <w:next w:val="27"/>
    <w:link w:val="96"/>
    <w:qFormat/>
    <w:uiPriority w:val="0"/>
  </w:style>
  <w:style w:type="character" w:customStyle="1" w:styleId="96">
    <w:name w:val="附录公式 Char"/>
    <w:basedOn w:val="46"/>
    <w:link w:val="95"/>
    <w:qFormat/>
    <w:uiPriority w:val="0"/>
    <w:rPr>
      <w:rFonts w:ascii="宋体"/>
      <w:sz w:val="21"/>
      <w:lang w:val="en-US" w:eastAsia="zh-CN" w:bidi="ar-SA"/>
    </w:rPr>
  </w:style>
  <w:style w:type="paragraph" w:customStyle="1" w:styleId="97">
    <w:name w:val="附录公式编号制表符"/>
    <w:basedOn w:val="1"/>
    <w:next w:val="27"/>
    <w:qFormat/>
    <w:uiPriority w:val="0"/>
    <w:pPr>
      <w:widowControl/>
      <w:tabs>
        <w:tab w:val="center" w:pos="4201"/>
        <w:tab w:val="right" w:leader="dot" w:pos="9298"/>
      </w:tabs>
      <w:autoSpaceDE w:val="0"/>
      <w:autoSpaceDN w:val="0"/>
    </w:pPr>
    <w:rPr>
      <w:rFonts w:ascii="宋体"/>
      <w:kern w:val="0"/>
      <w:szCs w:val="20"/>
    </w:rPr>
  </w:style>
  <w:style w:type="paragraph" w:customStyle="1" w:styleId="98">
    <w:name w:val="附录三级条标题"/>
    <w:basedOn w:val="93"/>
    <w:next w:val="27"/>
    <w:qFormat/>
    <w:uiPriority w:val="0"/>
    <w:pPr>
      <w:numPr>
        <w:ilvl w:val="4"/>
      </w:numPr>
      <w:outlineLvl w:val="4"/>
    </w:pPr>
  </w:style>
  <w:style w:type="paragraph" w:customStyle="1" w:styleId="99">
    <w:name w:val="附录三级无"/>
    <w:basedOn w:val="98"/>
    <w:qFormat/>
    <w:uiPriority w:val="0"/>
    <w:pPr>
      <w:tabs>
        <w:tab w:val="clear" w:pos="360"/>
      </w:tabs>
      <w:spacing w:beforeLines="0" w:afterLines="0"/>
    </w:pPr>
    <w:rPr>
      <w:rFonts w:ascii="宋体" w:eastAsia="宋体"/>
      <w:szCs w:val="21"/>
    </w:rPr>
  </w:style>
  <w:style w:type="paragraph" w:customStyle="1" w:styleId="100">
    <w:name w:val="附录数字编号列项（二级）"/>
    <w:qFormat/>
    <w:uiPriority w:val="0"/>
    <w:pPr>
      <w:numPr>
        <w:ilvl w:val="1"/>
        <w:numId w:val="13"/>
      </w:numPr>
      <w:spacing w:after="160" w:line="278" w:lineRule="auto"/>
    </w:pPr>
    <w:rPr>
      <w:rFonts w:ascii="宋体" w:hAnsi="Times New Roman" w:eastAsia="宋体" w:cs="Times New Roman"/>
      <w:sz w:val="21"/>
      <w:lang w:val="en-US" w:eastAsia="zh-CN" w:bidi="ar-SA"/>
    </w:rPr>
  </w:style>
  <w:style w:type="paragraph" w:customStyle="1" w:styleId="101">
    <w:name w:val="附录四级条标题"/>
    <w:basedOn w:val="98"/>
    <w:next w:val="27"/>
    <w:qFormat/>
    <w:uiPriority w:val="0"/>
    <w:pPr>
      <w:numPr>
        <w:ilvl w:val="5"/>
      </w:numPr>
      <w:outlineLvl w:val="5"/>
    </w:pPr>
  </w:style>
  <w:style w:type="paragraph" w:customStyle="1" w:styleId="102">
    <w:name w:val="附录四级无"/>
    <w:basedOn w:val="101"/>
    <w:qFormat/>
    <w:uiPriority w:val="0"/>
    <w:pPr>
      <w:tabs>
        <w:tab w:val="clear" w:pos="360"/>
      </w:tabs>
      <w:spacing w:beforeLines="0" w:afterLines="0"/>
    </w:pPr>
    <w:rPr>
      <w:rFonts w:ascii="宋体" w:eastAsia="宋体"/>
      <w:szCs w:val="21"/>
    </w:rPr>
  </w:style>
  <w:style w:type="paragraph" w:customStyle="1" w:styleId="103">
    <w:name w:val="附录图标号"/>
    <w:basedOn w:val="1"/>
    <w:qFormat/>
    <w:uiPriority w:val="0"/>
    <w:pPr>
      <w:keepNext/>
      <w:pageBreakBefore/>
      <w:widowControl/>
      <w:numPr>
        <w:ilvl w:val="0"/>
        <w:numId w:val="14"/>
      </w:numPr>
      <w:spacing w:line="14" w:lineRule="exact"/>
      <w:ind w:left="0" w:firstLine="363"/>
      <w:jc w:val="center"/>
      <w:outlineLvl w:val="0"/>
    </w:pPr>
    <w:rPr>
      <w:color w:val="FFFFFF"/>
    </w:rPr>
  </w:style>
  <w:style w:type="paragraph" w:customStyle="1" w:styleId="104">
    <w:name w:val="附录图标题"/>
    <w:basedOn w:val="1"/>
    <w:next w:val="27"/>
    <w:qFormat/>
    <w:uiPriority w:val="0"/>
    <w:pPr>
      <w:numPr>
        <w:ilvl w:val="1"/>
        <w:numId w:val="14"/>
      </w:numPr>
      <w:tabs>
        <w:tab w:val="left" w:pos="363"/>
      </w:tabs>
      <w:spacing w:beforeLines="50" w:afterLines="50"/>
      <w:ind w:left="0" w:firstLine="0"/>
      <w:jc w:val="center"/>
    </w:pPr>
    <w:rPr>
      <w:rFonts w:ascii="黑体" w:eastAsia="黑体"/>
      <w:szCs w:val="21"/>
    </w:rPr>
  </w:style>
  <w:style w:type="paragraph" w:customStyle="1" w:styleId="105">
    <w:name w:val="附录五级条标题"/>
    <w:basedOn w:val="101"/>
    <w:next w:val="27"/>
    <w:qFormat/>
    <w:uiPriority w:val="0"/>
    <w:pPr>
      <w:numPr>
        <w:ilvl w:val="6"/>
      </w:numPr>
      <w:outlineLvl w:val="6"/>
    </w:pPr>
  </w:style>
  <w:style w:type="paragraph" w:customStyle="1" w:styleId="106">
    <w:name w:val="附录五级无"/>
    <w:basedOn w:val="105"/>
    <w:qFormat/>
    <w:uiPriority w:val="0"/>
    <w:pPr>
      <w:tabs>
        <w:tab w:val="clear" w:pos="360"/>
      </w:tabs>
      <w:spacing w:beforeLines="0" w:afterLines="0"/>
    </w:pPr>
    <w:rPr>
      <w:rFonts w:ascii="宋体" w:eastAsia="宋体"/>
      <w:szCs w:val="21"/>
    </w:rPr>
  </w:style>
  <w:style w:type="paragraph" w:customStyle="1" w:styleId="107">
    <w:name w:val="附录章标题"/>
    <w:next w:val="27"/>
    <w:link w:val="169"/>
    <w:qFormat/>
    <w:uiPriority w:val="0"/>
    <w:pPr>
      <w:numPr>
        <w:ilvl w:val="1"/>
        <w:numId w:val="11"/>
      </w:numPr>
      <w:tabs>
        <w:tab w:val="left" w:pos="360"/>
      </w:tabs>
      <w:wordWrap w:val="0"/>
      <w:overflowPunct w:val="0"/>
      <w:autoSpaceDE w:val="0"/>
      <w:spacing w:beforeLines="100" w:after="160" w:afterLines="100" w:line="278" w:lineRule="auto"/>
      <w:jc w:val="both"/>
      <w:textAlignment w:val="baseline"/>
      <w:outlineLvl w:val="1"/>
    </w:pPr>
    <w:rPr>
      <w:rFonts w:ascii="黑体" w:hAnsi="Times New Roman" w:eastAsia="黑体" w:cs="Times New Roman"/>
      <w:kern w:val="21"/>
      <w:sz w:val="21"/>
      <w:lang w:val="en-US" w:eastAsia="zh-CN" w:bidi="ar-SA"/>
    </w:rPr>
  </w:style>
  <w:style w:type="paragraph" w:customStyle="1" w:styleId="108">
    <w:name w:val="附录一级条标题"/>
    <w:basedOn w:val="107"/>
    <w:next w:val="27"/>
    <w:qFormat/>
    <w:uiPriority w:val="0"/>
    <w:pPr>
      <w:numPr>
        <w:ilvl w:val="2"/>
      </w:numPr>
      <w:autoSpaceDN w:val="0"/>
      <w:spacing w:beforeLines="50" w:afterLines="50"/>
      <w:outlineLvl w:val="2"/>
    </w:pPr>
  </w:style>
  <w:style w:type="paragraph" w:customStyle="1" w:styleId="109">
    <w:name w:val="附录一级无"/>
    <w:basedOn w:val="108"/>
    <w:qFormat/>
    <w:uiPriority w:val="0"/>
    <w:pPr>
      <w:tabs>
        <w:tab w:val="clear" w:pos="360"/>
      </w:tabs>
      <w:spacing w:beforeLines="0" w:afterLines="0"/>
    </w:pPr>
    <w:rPr>
      <w:rFonts w:ascii="宋体" w:eastAsia="宋体"/>
      <w:szCs w:val="21"/>
    </w:rPr>
  </w:style>
  <w:style w:type="paragraph" w:customStyle="1" w:styleId="110">
    <w:name w:val="附录字母编号列项（一级）"/>
    <w:qFormat/>
    <w:uiPriority w:val="0"/>
    <w:pPr>
      <w:numPr>
        <w:ilvl w:val="0"/>
        <w:numId w:val="13"/>
      </w:numPr>
      <w:spacing w:after="160" w:line="278" w:lineRule="auto"/>
    </w:pPr>
    <w:rPr>
      <w:rFonts w:ascii="宋体" w:hAnsi="Times New Roman" w:eastAsia="宋体" w:cs="Times New Roman"/>
      <w:sz w:val="21"/>
      <w:lang w:val="en-US" w:eastAsia="zh-CN" w:bidi="ar-SA"/>
    </w:rPr>
  </w:style>
  <w:style w:type="paragraph" w:customStyle="1" w:styleId="111">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2">
    <w:name w:val="列项说明数字编号"/>
    <w:qFormat/>
    <w:uiPriority w:val="0"/>
    <w:pPr>
      <w:spacing w:after="160" w:line="278" w:lineRule="auto"/>
      <w:ind w:left="600" w:leftChars="400" w:hanging="200" w:hangingChars="200"/>
    </w:pPr>
    <w:rPr>
      <w:rFonts w:ascii="宋体" w:hAnsi="Times New Roman" w:eastAsia="宋体" w:cs="Times New Roman"/>
      <w:sz w:val="21"/>
      <w:lang w:val="en-US" w:eastAsia="zh-CN" w:bidi="ar-SA"/>
    </w:rPr>
  </w:style>
  <w:style w:type="paragraph" w:customStyle="1" w:styleId="113">
    <w:name w:val="目次、索引正文"/>
    <w:qFormat/>
    <w:uiPriority w:val="0"/>
    <w:pPr>
      <w:spacing w:after="160" w:line="320" w:lineRule="exact"/>
      <w:jc w:val="both"/>
    </w:pPr>
    <w:rPr>
      <w:rFonts w:ascii="宋体" w:hAnsi="Times New Roman" w:eastAsia="宋体" w:cs="Times New Roman"/>
      <w:sz w:val="21"/>
      <w:lang w:val="en-US" w:eastAsia="zh-CN" w:bidi="ar-SA"/>
    </w:rPr>
  </w:style>
  <w:style w:type="paragraph" w:customStyle="1" w:styleId="114">
    <w:name w:val="其他标准标志"/>
    <w:basedOn w:val="71"/>
    <w:qFormat/>
    <w:uiPriority w:val="0"/>
    <w:pPr>
      <w:framePr w:w="6101" w:wrap="around" w:vAnchor="page" w:hAnchor="page" w:x="4673" w:y="942"/>
    </w:pPr>
    <w:rPr>
      <w:w w:val="130"/>
    </w:rPr>
  </w:style>
  <w:style w:type="paragraph" w:customStyle="1" w:styleId="115">
    <w:name w:val="其他标准称谓"/>
    <w:next w:val="1"/>
    <w:qFormat/>
    <w:uiPriority w:val="0"/>
    <w:pPr>
      <w:framePr w:hSpace="181" w:vSpace="181" w:wrap="around" w:vAnchor="page" w:hAnchor="page" w:x="1419" w:y="2286" w:anchorLock="1"/>
      <w:spacing w:after="160" w:line="0" w:lineRule="atLeast"/>
      <w:jc w:val="distribute"/>
    </w:pPr>
    <w:rPr>
      <w:rFonts w:ascii="黑体" w:hAnsi="宋体" w:eastAsia="黑体" w:cs="Times New Roman"/>
      <w:spacing w:val="-40"/>
      <w:sz w:val="48"/>
      <w:szCs w:val="52"/>
      <w:lang w:val="en-US" w:eastAsia="zh-CN" w:bidi="ar-SA"/>
    </w:rPr>
  </w:style>
  <w:style w:type="paragraph" w:customStyle="1" w:styleId="116">
    <w:name w:val="其他发布部门"/>
    <w:basedOn w:val="79"/>
    <w:qFormat/>
    <w:uiPriority w:val="0"/>
    <w:pPr>
      <w:framePr w:wrap="around" w:y="15310"/>
      <w:spacing w:line="0" w:lineRule="atLeast"/>
    </w:pPr>
    <w:rPr>
      <w:rFonts w:ascii="黑体" w:eastAsia="黑体"/>
      <w:b w:val="0"/>
    </w:rPr>
  </w:style>
  <w:style w:type="paragraph" w:customStyle="1" w:styleId="117">
    <w:name w:val="前言、引言标题"/>
    <w:next w:val="27"/>
    <w:qFormat/>
    <w:uiPriority w:val="0"/>
    <w:pPr>
      <w:keepNext/>
      <w:pageBreakBefore/>
      <w:shd w:val="clear" w:color="FFFFFF" w:fill="FFFFFF"/>
      <w:spacing w:before="640" w:after="560" w:line="278" w:lineRule="auto"/>
      <w:jc w:val="center"/>
      <w:outlineLvl w:val="0"/>
    </w:pPr>
    <w:rPr>
      <w:rFonts w:ascii="黑体" w:hAnsi="Times New Roman" w:eastAsia="黑体" w:cs="Times New Roman"/>
      <w:sz w:val="32"/>
      <w:lang w:val="en-US" w:eastAsia="zh-CN" w:bidi="ar-SA"/>
    </w:rPr>
  </w:style>
  <w:style w:type="paragraph" w:customStyle="1" w:styleId="118">
    <w:name w:val="三级无"/>
    <w:basedOn w:val="56"/>
    <w:qFormat/>
    <w:uiPriority w:val="0"/>
    <w:pPr>
      <w:spacing w:beforeLines="0" w:afterLines="0"/>
    </w:pPr>
    <w:rPr>
      <w:rFonts w:ascii="宋体" w:eastAsia="宋体"/>
    </w:rPr>
  </w:style>
  <w:style w:type="paragraph" w:customStyle="1" w:styleId="119">
    <w:name w:val="实施日期"/>
    <w:qFormat/>
    <w:uiPriority w:val="0"/>
    <w:pPr>
      <w:framePr w:w="3997" w:h="471" w:hRule="exact" w:vSpace="181" w:wrap="around" w:vAnchor="page" w:hAnchor="page" w:x="7089" w:y="14097"/>
      <w:spacing w:after="160" w:line="278" w:lineRule="auto"/>
      <w:jc w:val="right"/>
    </w:pPr>
    <w:rPr>
      <w:rFonts w:ascii="Times New Roman" w:hAnsi="Times New Roman" w:eastAsia="黑体" w:cs="Times New Roman"/>
      <w:sz w:val="28"/>
      <w:lang w:val="en-US" w:eastAsia="zh-CN" w:bidi="ar-SA"/>
    </w:rPr>
  </w:style>
  <w:style w:type="paragraph" w:customStyle="1" w:styleId="120">
    <w:name w:val="示例后文字"/>
    <w:basedOn w:val="27"/>
    <w:next w:val="27"/>
    <w:qFormat/>
    <w:uiPriority w:val="0"/>
    <w:pPr>
      <w:ind w:firstLine="360"/>
    </w:pPr>
    <w:rPr>
      <w:sz w:val="18"/>
    </w:rPr>
  </w:style>
  <w:style w:type="paragraph" w:customStyle="1" w:styleId="121">
    <w:name w:val="首示例"/>
    <w:next w:val="27"/>
    <w:link w:val="122"/>
    <w:qFormat/>
    <w:uiPriority w:val="0"/>
    <w:pPr>
      <w:tabs>
        <w:tab w:val="left" w:pos="360"/>
      </w:tabs>
      <w:spacing w:after="160" w:line="278" w:lineRule="auto"/>
    </w:pPr>
    <w:rPr>
      <w:rFonts w:ascii="宋体" w:hAnsi="宋体" w:eastAsia="宋体" w:cs="Times New Roman"/>
      <w:kern w:val="2"/>
      <w:sz w:val="18"/>
      <w:szCs w:val="18"/>
      <w:lang w:val="en-US" w:eastAsia="zh-CN" w:bidi="ar-SA"/>
    </w:rPr>
  </w:style>
  <w:style w:type="character" w:customStyle="1" w:styleId="122">
    <w:name w:val="首示例 Char"/>
    <w:link w:val="121"/>
    <w:qFormat/>
    <w:uiPriority w:val="0"/>
    <w:rPr>
      <w:rFonts w:ascii="宋体" w:hAnsi="宋体"/>
      <w:kern w:val="2"/>
      <w:sz w:val="18"/>
      <w:szCs w:val="18"/>
    </w:rPr>
  </w:style>
  <w:style w:type="paragraph" w:customStyle="1" w:styleId="123">
    <w:name w:val="四级无"/>
    <w:basedOn w:val="60"/>
    <w:qFormat/>
    <w:uiPriority w:val="0"/>
    <w:pPr>
      <w:spacing w:beforeLines="0" w:afterLines="0"/>
    </w:pPr>
    <w:rPr>
      <w:rFonts w:ascii="宋体" w:eastAsia="宋体"/>
    </w:rPr>
  </w:style>
  <w:style w:type="paragraph" w:customStyle="1" w:styleId="124">
    <w:name w:val="条文脚注"/>
    <w:basedOn w:val="28"/>
    <w:qFormat/>
    <w:uiPriority w:val="0"/>
    <w:pPr>
      <w:numPr>
        <w:numId w:val="0"/>
      </w:numPr>
      <w:jc w:val="both"/>
    </w:pPr>
  </w:style>
  <w:style w:type="paragraph" w:customStyle="1" w:styleId="125">
    <w:name w:val="图标脚注说明"/>
    <w:basedOn w:val="27"/>
    <w:qFormat/>
    <w:uiPriority w:val="0"/>
    <w:pPr>
      <w:ind w:left="840" w:hanging="420" w:firstLineChars="0"/>
    </w:pPr>
    <w:rPr>
      <w:sz w:val="18"/>
      <w:szCs w:val="18"/>
    </w:rPr>
  </w:style>
  <w:style w:type="paragraph" w:customStyle="1" w:styleId="126">
    <w:name w:val="图表脚注说明"/>
    <w:basedOn w:val="1"/>
    <w:qFormat/>
    <w:uiPriority w:val="0"/>
    <w:pPr>
      <w:numPr>
        <w:ilvl w:val="0"/>
        <w:numId w:val="15"/>
      </w:numPr>
    </w:pPr>
    <w:rPr>
      <w:rFonts w:ascii="宋体"/>
      <w:sz w:val="18"/>
      <w:szCs w:val="18"/>
    </w:rPr>
  </w:style>
  <w:style w:type="paragraph" w:customStyle="1" w:styleId="127">
    <w:name w:val="图的脚注"/>
    <w:next w:val="27"/>
    <w:qFormat/>
    <w:uiPriority w:val="0"/>
    <w:pPr>
      <w:widowControl w:val="0"/>
      <w:spacing w:after="160" w:line="278" w:lineRule="auto"/>
      <w:ind w:left="840" w:leftChars="200" w:hanging="420" w:hangingChars="200"/>
      <w:jc w:val="both"/>
    </w:pPr>
    <w:rPr>
      <w:rFonts w:ascii="宋体" w:hAnsi="Times New Roman" w:eastAsia="宋体" w:cs="Times New Roman"/>
      <w:sz w:val="18"/>
      <w:lang w:val="en-US" w:eastAsia="zh-CN" w:bidi="ar-SA"/>
    </w:rPr>
  </w:style>
  <w:style w:type="paragraph" w:customStyle="1" w:styleId="128">
    <w:name w:val="文献分类号"/>
    <w:qFormat/>
    <w:uiPriority w:val="0"/>
    <w:pPr>
      <w:framePr w:hSpace="180" w:vSpace="180" w:wrap="around" w:vAnchor="margin" w:hAnchor="margin" w:y="1" w:anchorLock="1"/>
      <w:widowControl w:val="0"/>
      <w:spacing w:after="160" w:line="278" w:lineRule="auto"/>
      <w:textAlignment w:val="center"/>
    </w:pPr>
    <w:rPr>
      <w:rFonts w:ascii="黑体" w:hAnsi="Times New Roman" w:eastAsia="黑体" w:cs="Times New Roman"/>
      <w:sz w:val="21"/>
      <w:szCs w:val="21"/>
      <w:lang w:val="en-US" w:eastAsia="zh-CN" w:bidi="ar-SA"/>
    </w:rPr>
  </w:style>
  <w:style w:type="paragraph" w:customStyle="1" w:styleId="129">
    <w:name w:val="五级无"/>
    <w:basedOn w:val="61"/>
    <w:qFormat/>
    <w:uiPriority w:val="0"/>
    <w:pPr>
      <w:spacing w:beforeLines="0" w:afterLines="0"/>
    </w:pPr>
    <w:rPr>
      <w:rFonts w:ascii="宋体" w:eastAsia="宋体"/>
    </w:rPr>
  </w:style>
  <w:style w:type="paragraph" w:customStyle="1" w:styleId="130">
    <w:name w:val="一级无"/>
    <w:basedOn w:val="47"/>
    <w:qFormat/>
    <w:uiPriority w:val="0"/>
    <w:pPr>
      <w:spacing w:beforeLines="0" w:afterLines="0"/>
    </w:pPr>
    <w:rPr>
      <w:rFonts w:ascii="宋体" w:eastAsia="宋体"/>
    </w:rPr>
  </w:style>
  <w:style w:type="paragraph" w:customStyle="1" w:styleId="131">
    <w:name w:val="正文表标题"/>
    <w:next w:val="27"/>
    <w:qFormat/>
    <w:uiPriority w:val="0"/>
    <w:pPr>
      <w:numPr>
        <w:ilvl w:val="0"/>
        <w:numId w:val="16"/>
      </w:numPr>
      <w:spacing w:beforeLines="50" w:after="160" w:afterLines="50" w:line="278" w:lineRule="auto"/>
      <w:jc w:val="center"/>
    </w:pPr>
    <w:rPr>
      <w:rFonts w:ascii="黑体" w:hAnsi="Times New Roman" w:eastAsia="黑体" w:cs="Times New Roman"/>
      <w:sz w:val="21"/>
      <w:lang w:val="en-US" w:eastAsia="zh-CN" w:bidi="ar-SA"/>
    </w:rPr>
  </w:style>
  <w:style w:type="paragraph" w:customStyle="1" w:styleId="132">
    <w:name w:val="正文公式编号制表符"/>
    <w:basedOn w:val="27"/>
    <w:next w:val="27"/>
    <w:qFormat/>
    <w:uiPriority w:val="0"/>
    <w:pPr>
      <w:ind w:firstLine="0" w:firstLineChars="0"/>
    </w:pPr>
  </w:style>
  <w:style w:type="paragraph" w:customStyle="1" w:styleId="133">
    <w:name w:val="正文图标题"/>
    <w:next w:val="27"/>
    <w:qFormat/>
    <w:uiPriority w:val="0"/>
    <w:pPr>
      <w:numPr>
        <w:ilvl w:val="0"/>
        <w:numId w:val="17"/>
      </w:numPr>
      <w:spacing w:beforeLines="50" w:after="160" w:afterLines="50" w:line="278" w:lineRule="auto"/>
      <w:jc w:val="center"/>
    </w:pPr>
    <w:rPr>
      <w:rFonts w:ascii="黑体" w:hAnsi="Times New Roman" w:eastAsia="黑体" w:cs="Times New Roman"/>
      <w:sz w:val="21"/>
      <w:lang w:val="en-US" w:eastAsia="zh-CN" w:bidi="ar-SA"/>
    </w:rPr>
  </w:style>
  <w:style w:type="paragraph" w:customStyle="1" w:styleId="134">
    <w:name w:val="终结线"/>
    <w:basedOn w:val="1"/>
    <w:qFormat/>
    <w:uiPriority w:val="0"/>
    <w:pPr>
      <w:framePr w:hSpace="181" w:vSpace="181" w:wrap="around" w:vAnchor="text" w:hAnchor="margin" w:xAlign="center" w:y="285"/>
    </w:pPr>
  </w:style>
  <w:style w:type="paragraph" w:customStyle="1" w:styleId="135">
    <w:name w:val="其他发布日期"/>
    <w:qFormat/>
    <w:uiPriority w:val="0"/>
    <w:pPr>
      <w:framePr w:w="3997" w:h="471" w:hRule="exact" w:vSpace="181" w:wrap="around" w:vAnchor="page" w:hAnchor="page" w:x="1419" w:y="14097" w:anchorLock="1"/>
      <w:spacing w:after="160" w:line="278" w:lineRule="auto"/>
    </w:pPr>
    <w:rPr>
      <w:rFonts w:ascii="Times New Roman" w:hAnsi="Times New Roman" w:eastAsia="黑体" w:cs="Times New Roman"/>
      <w:sz w:val="28"/>
      <w:lang w:val="en-US" w:eastAsia="zh-CN" w:bidi="ar-SA"/>
    </w:rPr>
  </w:style>
  <w:style w:type="paragraph" w:customStyle="1" w:styleId="136">
    <w:name w:val="其他实施日期"/>
    <w:basedOn w:val="119"/>
    <w:qFormat/>
    <w:uiPriority w:val="0"/>
    <w:pPr>
      <w:framePr w:wrap="around"/>
    </w:pPr>
  </w:style>
  <w:style w:type="paragraph" w:customStyle="1" w:styleId="137">
    <w:name w:val="封面标准名称2"/>
    <w:basedOn w:val="83"/>
    <w:qFormat/>
    <w:uiPriority w:val="0"/>
    <w:pPr>
      <w:framePr w:wrap="around" w:y="4469"/>
      <w:spacing w:beforeLines="630"/>
    </w:pPr>
  </w:style>
  <w:style w:type="paragraph" w:customStyle="1" w:styleId="138">
    <w:name w:val="封面标准英文名称2"/>
    <w:basedOn w:val="84"/>
    <w:qFormat/>
    <w:uiPriority w:val="0"/>
    <w:pPr>
      <w:framePr w:wrap="around" w:y="4469"/>
    </w:pPr>
  </w:style>
  <w:style w:type="paragraph" w:customStyle="1" w:styleId="139">
    <w:name w:val="封面一致性程度标识2"/>
    <w:basedOn w:val="85"/>
    <w:qFormat/>
    <w:uiPriority w:val="0"/>
    <w:pPr>
      <w:framePr w:wrap="around" w:y="4469"/>
    </w:pPr>
  </w:style>
  <w:style w:type="paragraph" w:customStyle="1" w:styleId="140">
    <w:name w:val="封面标准文稿类别2"/>
    <w:basedOn w:val="86"/>
    <w:qFormat/>
    <w:uiPriority w:val="0"/>
    <w:pPr>
      <w:framePr w:wrap="around" w:y="4469"/>
    </w:pPr>
  </w:style>
  <w:style w:type="paragraph" w:customStyle="1" w:styleId="141">
    <w:name w:val="封面标准文稿编辑信息2"/>
    <w:basedOn w:val="87"/>
    <w:qFormat/>
    <w:uiPriority w:val="0"/>
    <w:pPr>
      <w:framePr w:wrap="around" w:y="4469"/>
    </w:pPr>
  </w:style>
  <w:style w:type="paragraph" w:customStyle="1" w:styleId="142">
    <w:name w:val="标准名称"/>
    <w:basedOn w:val="55"/>
    <w:link w:val="145"/>
    <w:qFormat/>
    <w:uiPriority w:val="0"/>
  </w:style>
  <w:style w:type="character" w:styleId="143">
    <w:name w:val="Placeholder Text"/>
    <w:basedOn w:val="39"/>
    <w:semiHidden/>
    <w:qFormat/>
    <w:uiPriority w:val="99"/>
    <w:rPr>
      <w:color w:val="808080"/>
    </w:rPr>
  </w:style>
  <w:style w:type="character" w:customStyle="1" w:styleId="144">
    <w:name w:val="目次、标准名称标题 Char"/>
    <w:basedOn w:val="39"/>
    <w:link w:val="55"/>
    <w:qFormat/>
    <w:uiPriority w:val="0"/>
    <w:rPr>
      <w:rFonts w:ascii="黑体" w:eastAsia="黑体"/>
      <w:sz w:val="32"/>
      <w:shd w:val="clear" w:color="FFFFFF" w:fill="FFFFFF"/>
    </w:rPr>
  </w:style>
  <w:style w:type="character" w:customStyle="1" w:styleId="145">
    <w:name w:val="标准名称 Char"/>
    <w:basedOn w:val="144"/>
    <w:link w:val="142"/>
    <w:qFormat/>
    <w:uiPriority w:val="0"/>
    <w:rPr>
      <w:rFonts w:ascii="黑体" w:eastAsia="黑体"/>
      <w:sz w:val="32"/>
      <w:shd w:val="clear" w:color="FFFFFF" w:fill="FFFFFF"/>
    </w:rPr>
  </w:style>
  <w:style w:type="character" w:customStyle="1" w:styleId="146">
    <w:name w:val="批注框文本 字符"/>
    <w:basedOn w:val="39"/>
    <w:link w:val="20"/>
    <w:qFormat/>
    <w:uiPriority w:val="0"/>
    <w:rPr>
      <w:kern w:val="2"/>
      <w:sz w:val="18"/>
      <w:szCs w:val="18"/>
    </w:rPr>
  </w:style>
  <w:style w:type="character" w:customStyle="1" w:styleId="147">
    <w:name w:val="文档结构图 字符"/>
    <w:basedOn w:val="39"/>
    <w:link w:val="8"/>
    <w:semiHidden/>
    <w:qFormat/>
    <w:uiPriority w:val="99"/>
    <w:rPr>
      <w:kern w:val="2"/>
      <w:sz w:val="21"/>
      <w:szCs w:val="24"/>
      <w:shd w:val="clear" w:color="auto" w:fill="000080"/>
    </w:rPr>
  </w:style>
  <w:style w:type="character" w:customStyle="1" w:styleId="148">
    <w:name w:val="正文文本 字符"/>
    <w:basedOn w:val="39"/>
    <w:link w:val="11"/>
    <w:qFormat/>
    <w:uiPriority w:val="99"/>
    <w:rPr>
      <w:kern w:val="2"/>
      <w:sz w:val="21"/>
      <w:szCs w:val="24"/>
    </w:rPr>
  </w:style>
  <w:style w:type="character" w:customStyle="1" w:styleId="149">
    <w:name w:val="纯文本 字符"/>
    <w:basedOn w:val="39"/>
    <w:link w:val="15"/>
    <w:qFormat/>
    <w:uiPriority w:val="99"/>
    <w:rPr>
      <w:rFonts w:ascii="宋体" w:hAnsi="Courier New" w:cstheme="minorBidi"/>
      <w:kern w:val="2"/>
      <w:sz w:val="21"/>
      <w:szCs w:val="22"/>
    </w:rPr>
  </w:style>
  <w:style w:type="paragraph" w:customStyle="1" w:styleId="150">
    <w:name w:val="样式 标题 1 + 段前: 0.5 行 段后: 0.5 行1"/>
    <w:basedOn w:val="2"/>
    <w:qFormat/>
    <w:uiPriority w:val="0"/>
    <w:pPr>
      <w:keepLines w:val="0"/>
      <w:widowControl/>
      <w:tabs>
        <w:tab w:val="left" w:pos="360"/>
      </w:tabs>
      <w:spacing w:beforeLines="50" w:afterLines="50" w:line="360" w:lineRule="exact"/>
      <w:ind w:left="360" w:hanging="360"/>
    </w:pPr>
    <w:rPr>
      <w:rFonts w:eastAsia="黑体" w:cs="宋体"/>
      <w:b w:val="0"/>
      <w:bCs w:val="0"/>
      <w:kern w:val="0"/>
      <w:sz w:val="21"/>
      <w:szCs w:val="20"/>
    </w:rPr>
  </w:style>
  <w:style w:type="paragraph" w:customStyle="1" w:styleId="151">
    <w:name w:val="Default"/>
    <w:qFormat/>
    <w:uiPriority w:val="0"/>
    <w:pPr>
      <w:widowControl w:val="0"/>
      <w:autoSpaceDE w:val="0"/>
      <w:autoSpaceDN w:val="0"/>
      <w:adjustRightInd w:val="0"/>
      <w:spacing w:after="160" w:line="278" w:lineRule="auto"/>
    </w:pPr>
    <w:rPr>
      <w:rFonts w:ascii="宋体" w:hAnsi="宋体" w:eastAsia="宋体" w:cs="宋体"/>
      <w:color w:val="000000"/>
      <w:sz w:val="24"/>
      <w:szCs w:val="24"/>
      <w:lang w:val="en-US" w:eastAsia="zh-CN" w:bidi="ar-SA"/>
    </w:rPr>
  </w:style>
  <w:style w:type="paragraph" w:customStyle="1" w:styleId="152">
    <w:name w:val="列出段落1"/>
    <w:basedOn w:val="1"/>
    <w:qFormat/>
    <w:uiPriority w:val="0"/>
    <w:pPr>
      <w:widowControl/>
      <w:ind w:firstLine="420" w:firstLineChars="200"/>
    </w:pPr>
    <w:rPr>
      <w:szCs w:val="20"/>
    </w:rPr>
  </w:style>
  <w:style w:type="character" w:customStyle="1" w:styleId="153">
    <w:name w:val="批注文字 字符"/>
    <w:basedOn w:val="39"/>
    <w:link w:val="9"/>
    <w:qFormat/>
    <w:uiPriority w:val="99"/>
    <w:rPr>
      <w:rFonts w:ascii="Calibri" w:hAnsi="Calibri"/>
      <w:kern w:val="2"/>
      <w:sz w:val="21"/>
    </w:rPr>
  </w:style>
  <w:style w:type="character" w:customStyle="1" w:styleId="154">
    <w:name w:val="标题 1 字符"/>
    <w:basedOn w:val="39"/>
    <w:link w:val="2"/>
    <w:qFormat/>
    <w:uiPriority w:val="0"/>
    <w:rPr>
      <w:b/>
      <w:bCs/>
      <w:kern w:val="44"/>
      <w:sz w:val="44"/>
      <w:szCs w:val="44"/>
    </w:rPr>
  </w:style>
  <w:style w:type="paragraph" w:customStyle="1" w:styleId="155">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56">
    <w:name w:val="日期 字符"/>
    <w:basedOn w:val="39"/>
    <w:link w:val="18"/>
    <w:qFormat/>
    <w:uiPriority w:val="0"/>
    <w:rPr>
      <w:kern w:val="2"/>
      <w:sz w:val="21"/>
      <w:szCs w:val="24"/>
    </w:rPr>
  </w:style>
  <w:style w:type="paragraph" w:styleId="157">
    <w:name w:val="List Paragraph"/>
    <w:basedOn w:val="1"/>
    <w:qFormat/>
    <w:uiPriority w:val="34"/>
    <w:pPr>
      <w:widowControl/>
      <w:ind w:firstLine="420" w:firstLineChars="200"/>
      <w:jc w:val="left"/>
    </w:pPr>
    <w:rPr>
      <w:rFonts w:ascii="宋体" w:hAnsi="宋体" w:cs="宋体"/>
      <w:kern w:val="0"/>
      <w:sz w:val="24"/>
    </w:rPr>
  </w:style>
  <w:style w:type="character" w:customStyle="1" w:styleId="158">
    <w:name w:val="批注主题 字符"/>
    <w:basedOn w:val="153"/>
    <w:link w:val="36"/>
    <w:semiHidden/>
    <w:qFormat/>
    <w:uiPriority w:val="0"/>
    <w:rPr>
      <w:rFonts w:ascii="Calibri" w:hAnsi="Calibri"/>
      <w:b/>
      <w:bCs/>
      <w:kern w:val="2"/>
      <w:sz w:val="21"/>
      <w:szCs w:val="24"/>
    </w:rPr>
  </w:style>
  <w:style w:type="paragraph" w:customStyle="1" w:styleId="159">
    <w:name w:val="TOC 标题2"/>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160">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161">
    <w:name w:val="标题 2 字符"/>
    <w:basedOn w:val="39"/>
    <w:link w:val="3"/>
    <w:semiHidden/>
    <w:qFormat/>
    <w:uiPriority w:val="0"/>
    <w:rPr>
      <w:rFonts w:asciiTheme="majorHAnsi" w:hAnsiTheme="majorHAnsi" w:eastAsiaTheme="majorEastAsia" w:cstheme="majorBidi"/>
      <w:b/>
      <w:bCs/>
      <w:kern w:val="2"/>
      <w:sz w:val="32"/>
      <w:szCs w:val="32"/>
    </w:rPr>
  </w:style>
  <w:style w:type="table" w:customStyle="1" w:styleId="162">
    <w:name w:val="网格型1"/>
    <w:basedOn w:val="37"/>
    <w:qFormat/>
    <w:uiPriority w:val="39"/>
    <w:pPr>
      <w:spacing w:line="360" w:lineRule="auto"/>
      <w:ind w:firstLine="200" w:firstLineChars="20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64">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165">
    <w:name w:val="未处理的提及1"/>
    <w:basedOn w:val="39"/>
    <w:semiHidden/>
    <w:unhideWhenUsed/>
    <w:qFormat/>
    <w:uiPriority w:val="99"/>
    <w:rPr>
      <w:color w:val="605E5C"/>
      <w:shd w:val="clear" w:color="auto" w:fill="E1DFDD"/>
    </w:rPr>
  </w:style>
  <w:style w:type="paragraph" w:customStyle="1" w:styleId="166">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67">
    <w:name w:val="段落序号"/>
    <w:basedOn w:val="1"/>
    <w:qFormat/>
    <w:uiPriority w:val="0"/>
    <w:pPr>
      <w:numPr>
        <w:ilvl w:val="0"/>
        <w:numId w:val="18"/>
      </w:numPr>
      <w:tabs>
        <w:tab w:val="center" w:pos="4201"/>
        <w:tab w:val="right" w:leader="dot" w:pos="9298"/>
      </w:tabs>
      <w:autoSpaceDE w:val="0"/>
      <w:autoSpaceDN w:val="0"/>
      <w:spacing w:line="279" w:lineRule="auto"/>
      <w:ind w:left="442" w:firstLine="200" w:firstLineChars="200"/>
    </w:pPr>
    <w:rPr>
      <w:kern w:val="0"/>
      <w:szCs w:val="20"/>
    </w:rPr>
  </w:style>
  <w:style w:type="paragraph" w:customStyle="1" w:styleId="168">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169">
    <w:name w:val="附录章标题 Char"/>
    <w:link w:val="107"/>
    <w:qFormat/>
    <w:uiPriority w:val="0"/>
    <w:rPr>
      <w:rFonts w:ascii="黑体" w:hAnsi="Times New Roman" w:eastAsia="黑体" w:cs="Times New Roman"/>
      <w:kern w:val="21"/>
      <w:sz w:val="21"/>
      <w:lang w:val="en-US" w:eastAsia="zh-CN" w:bidi="ar-SA"/>
    </w:rPr>
  </w:style>
  <w:style w:type="character" w:customStyle="1" w:styleId="170">
    <w:name w:val="附录标识 Char"/>
    <w:link w:val="89"/>
    <w:qFormat/>
    <w:uiPriority w:val="0"/>
    <w:rPr>
      <w:rFonts w:ascii="黑体" w:eastAsia="黑体"/>
      <w:kern w:val="0"/>
      <w:szCs w:val="20"/>
    </w:rPr>
  </w:style>
  <w:style w:type="character" w:customStyle="1" w:styleId="171">
    <w:name w:val="附录标题 Char"/>
    <w:link w:val="90"/>
    <w:qFormat/>
    <w:uiPriority w:val="0"/>
    <w:rPr>
      <w:rFonts w:ascii="黑体" w:eastAsia="黑体"/>
    </w:rPr>
  </w:style>
  <w:style w:type="character" w:customStyle="1" w:styleId="172">
    <w:name w:val="标准书眉_奇数页 Char"/>
    <w:link w:val="49"/>
    <w:qFormat/>
    <w:uiPriority w:val="0"/>
    <w:rPr>
      <w:rFonts w:ascii="黑体" w:hAnsi="Times New Roman" w:eastAsia="黑体" w:cs="Times New Roman"/>
      <w:sz w:val="21"/>
      <w:szCs w:val="21"/>
      <w:lang w:val="en-US" w:eastAsia="zh-CN" w:bidi="ar-SA"/>
    </w:rPr>
  </w:style>
  <w:style w:type="paragraph" w:customStyle="1" w:styleId="173">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174">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microsoft.com/office/2006/relationships/keyMapCustomizations" Target="customizations.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zle</Company>
  <Pages>18</Pages>
  <Words>6633</Words>
  <Characters>7872</Characters>
  <Lines>197</Lines>
  <Paragraphs>162</Paragraphs>
  <TotalTime>157</TotalTime>
  <ScaleCrop>false</ScaleCrop>
  <LinksUpToDate>false</LinksUpToDate>
  <CharactersWithSpaces>8233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2026-06-26T10:29:00Z</dcterms:created>
  <dc:creator>CNIS</dc:creator>
  <cp:lastModifiedBy>user</cp:lastModifiedBy>
  <cp:lastPrinted>2026-08-17T11:08:00Z</cp:lastPrinted>
  <dcterms:modified xsi:type="dcterms:W3CDTF">2026-09-03T14:36:30Z</dcterms:modified>
  <dc:title>标准名称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F38BC355CD6946099CB956921AF86228_13</vt:lpwstr>
  </property>
  <property fmtid="{D5CDD505-2E9C-101B-9397-08002B2CF9AE}" pid="4" name="KSOTemplateDocerSaveRecord">
    <vt:lpwstr>eyJoZGlkIjoiYjkyZmNhZmMwYTRkMzdjNDc0ZDBiODA4ZTNmNjg2YzYiLCJ1c2VySWQiOiI2NDAxODUwODEifQ==</vt:lpwstr>
  </property>
</Properties>
</file>