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highlight w:val="none"/>
              </w:rPr>
            </w:pPr>
            <w:r>
              <w:rPr>
                <w:rFonts w:ascii="Times New Roman" w:hAnsi="Times New Roman" w:eastAsia="黑体"/>
                <w:sz w:val="21"/>
                <w:szCs w:val="21"/>
                <w:highlight w:val="none"/>
              </w:rPr>
              <w:t>ICS</w:t>
            </w:r>
            <w:r>
              <w:rPr>
                <w:rFonts w:ascii="黑体" w:hAnsi="黑体" w:eastAsia="黑体"/>
                <w:sz w:val="21"/>
                <w:szCs w:val="21"/>
                <w:highlight w:val="none"/>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highlight w:val="none"/>
              </w:rPr>
            </w:pPr>
            <w:r>
              <w:rPr>
                <w:rFonts w:ascii="黑体" w:hAnsi="黑体" w:eastAsia="黑体"/>
                <w:sz w:val="21"/>
                <w:szCs w:val="21"/>
                <w:highlight w:val="none"/>
              </w:rPr>
              <w:fldChar w:fldCharType="begin">
                <w:ffData>
                  <w:name w:val="ICS"/>
                  <w:enabled/>
                  <w:calcOnExit w:val="0"/>
                  <w:textInput>
                    <w:default w:val="点击此处添加ICS号"/>
                  </w:textInput>
                </w:ffData>
              </w:fldChar>
            </w:r>
            <w:bookmarkStart w:id="0" w:name="ICS"/>
            <w:r>
              <w:rPr>
                <w:rFonts w:ascii="黑体" w:hAnsi="黑体" w:eastAsia="黑体"/>
                <w:sz w:val="21"/>
                <w:szCs w:val="21"/>
                <w:highlight w:val="none"/>
              </w:rPr>
              <w:instrText xml:space="preserve"> FORMTEXT </w:instrText>
            </w:r>
            <w:r>
              <w:rPr>
                <w:rFonts w:ascii="黑体" w:hAnsi="黑体" w:eastAsia="黑体"/>
                <w:sz w:val="21"/>
                <w:szCs w:val="21"/>
                <w:highlight w:val="none"/>
              </w:rPr>
              <w:fldChar w:fldCharType="separate"/>
            </w:r>
            <w:r>
              <w:rPr>
                <w:rFonts w:hint="eastAsia" w:ascii="黑体" w:hAnsi="黑体" w:eastAsia="黑体"/>
                <w:sz w:val="21"/>
                <w:szCs w:val="21"/>
                <w:highlight w:val="none"/>
                <w:lang w:val="en-US" w:eastAsia="zh-CN"/>
              </w:rPr>
              <w:t xml:space="preserve">93.160 </w:t>
            </w:r>
            <w:r>
              <w:rPr>
                <w:rFonts w:ascii="黑体" w:hAnsi="黑体" w:eastAsia="黑体"/>
                <w:sz w:val="21"/>
                <w:szCs w:val="21"/>
                <w:highlight w:val="none"/>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highlight w:val="none"/>
              </w:rPr>
            </w:pPr>
            <w:r>
              <w:rPr>
                <w:rFonts w:ascii="Times New Roman" w:hAnsi="Times New Roman" w:eastAsia="黑体"/>
                <w:sz w:val="21"/>
                <w:szCs w:val="21"/>
                <w:highlight w:val="none"/>
              </w:rPr>
              <w:t xml:space="preserve">CCS </w:t>
            </w:r>
            <w:r>
              <w:rPr>
                <w:rFonts w:ascii="黑体" w:hAnsi="黑体" w:eastAsia="黑体"/>
                <w:sz w:val="21"/>
                <w:szCs w:val="21"/>
                <w:highlight w:val="none"/>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highlight w:val="none"/>
              </w:rPr>
            </w:pPr>
            <w:r>
              <w:rPr>
                <w:rFonts w:ascii="黑体" w:hAnsi="黑体" w:eastAsia="黑体"/>
                <w:sz w:val="21"/>
                <w:szCs w:val="21"/>
                <w:highlight w:val="none"/>
              </w:rPr>
              <w:fldChar w:fldCharType="begin">
                <w:ffData>
                  <w:name w:val="CSDN"/>
                  <w:enabled/>
                  <w:calcOnExit w:val="0"/>
                  <w:textInput>
                    <w:default w:val="点击此处添加CCS号"/>
                  </w:textInput>
                </w:ffData>
              </w:fldChar>
            </w:r>
            <w:bookmarkStart w:id="1" w:name="CSDN"/>
            <w:r>
              <w:rPr>
                <w:rFonts w:ascii="黑体" w:hAnsi="黑体" w:eastAsia="黑体"/>
                <w:sz w:val="21"/>
                <w:szCs w:val="21"/>
                <w:highlight w:val="none"/>
              </w:rPr>
              <w:instrText xml:space="preserve"> FORMTEXT </w:instrText>
            </w:r>
            <w:r>
              <w:rPr>
                <w:rFonts w:ascii="黑体" w:hAnsi="黑体" w:eastAsia="黑体"/>
                <w:sz w:val="21"/>
                <w:szCs w:val="21"/>
                <w:highlight w:val="none"/>
              </w:rPr>
              <w:fldChar w:fldCharType="separate"/>
            </w:r>
            <w:r>
              <w:rPr>
                <w:rFonts w:hint="eastAsia" w:ascii="黑体" w:hAnsi="黑体" w:eastAsia="黑体"/>
                <w:sz w:val="21"/>
                <w:szCs w:val="21"/>
                <w:highlight w:val="none"/>
                <w:lang w:val="en-US" w:eastAsia="zh-CN"/>
              </w:rPr>
              <w:t xml:space="preserve">C </w:t>
            </w:r>
            <w:r>
              <w:rPr>
                <w:rFonts w:hint="eastAsia" w:ascii="黑体" w:hAnsi="黑体" w:eastAsia="黑体"/>
                <w:sz w:val="21"/>
                <w:szCs w:val="21"/>
                <w:highlight w:val="none"/>
                <w:lang w:eastAsia="zh-CN"/>
              </w:rPr>
              <w:t>6</w:t>
            </w:r>
            <w:r>
              <w:rPr>
                <w:rFonts w:hint="eastAsia" w:ascii="黑体" w:hAnsi="黑体" w:eastAsia="黑体"/>
                <w:sz w:val="21"/>
                <w:szCs w:val="21"/>
                <w:highlight w:val="none"/>
                <w:lang w:val="en-US" w:eastAsia="zh-CN"/>
              </w:rPr>
              <w:t>5</w:t>
            </w:r>
            <w:r>
              <w:rPr>
                <w:rFonts w:ascii="黑体" w:hAnsi="黑体" w:eastAsia="黑体"/>
                <w:sz w:val="21"/>
                <w:szCs w:val="21"/>
                <w:highlight w:val="none"/>
              </w:rPr>
              <w:fldChar w:fldCharType="end"/>
            </w:r>
            <w:bookmarkEnd w:id="1"/>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1"/>
              <w:framePr w:w="0" w:hRule="auto" w:wrap="auto" w:vAnchor="margin" w:hAnchor="text" w:xAlign="left" w:yAlign="inline"/>
              <w:rPr>
                <w:rFonts w:ascii="宋体" w:hAnsi="宋体"/>
                <w:sz w:val="28"/>
                <w:szCs w:val="28"/>
                <w:highlight w:val="none"/>
              </w:rPr>
            </w:pPr>
            <w:bookmarkStart w:id="2" w:name="_Hlk26473981"/>
            <w:r>
              <w:rPr>
                <w:highlight w:val="none"/>
              </w:rP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30"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sz w:val="21"/>
                <w:szCs w:val="21"/>
                <w:highlight w:val="none"/>
              </w:rPr>
              <w:t xml:space="preserve"> </w:t>
            </w:r>
            <w:r>
              <w:rPr>
                <w:highlight w:val="none"/>
              </w:rPr>
              <w:fldChar w:fldCharType="begin">
                <w:ffData>
                  <w:name w:val="c1"/>
                  <w:enabled/>
                  <w:calcOnExit w:val="0"/>
                  <w:textInput>
                    <w:maxLength w:val="8"/>
                  </w:textInput>
                </w:ffData>
              </w:fldChar>
            </w:r>
            <w:bookmarkStart w:id="3" w:name="c1"/>
            <w:r>
              <w:rPr>
                <w:highlight w:val="none"/>
              </w:rPr>
              <w:instrText xml:space="preserve"> FORMTEXT </w:instrText>
            </w:r>
            <w:r>
              <w:rPr>
                <w:highlight w:val="none"/>
              </w:rPr>
              <w:fldChar w:fldCharType="separate"/>
            </w:r>
            <w:r>
              <w:rPr>
                <w:highlight w:val="none"/>
              </w:rPr>
              <w:t>11</w:t>
            </w:r>
            <w:r>
              <w:rPr>
                <w:highlight w:val="none"/>
              </w:rPr>
              <w:fldChar w:fldCharType="end"/>
            </w:r>
            <w:bookmarkEnd w:id="3"/>
          </w:p>
        </w:tc>
      </w:tr>
    </w:tbl>
    <w:p>
      <w:pPr>
        <w:pStyle w:val="52"/>
        <w:framePr w:w="9639" w:h="624" w:hRule="exact" w:hSpace="181" w:vSpace="181" w:hAnchor="page" w:x="1305" w:y="2269"/>
        <w:rPr>
          <w:rFonts w:ascii="黑体" w:hAnsi="黑体" w:eastAsia="黑体"/>
          <w:b w:val="0"/>
          <w:bCs w:val="0"/>
          <w:w w:val="100"/>
          <w:sz w:val="48"/>
          <w:szCs w:val="48"/>
          <w:highlight w:val="none"/>
        </w:rPr>
      </w:pPr>
      <w:r>
        <w:rPr>
          <w:rFonts w:ascii="黑体" w:eastAsia="黑体"/>
          <w:b w:val="0"/>
          <w:w w:val="100"/>
          <w:sz w:val="48"/>
          <w:highlight w:val="none"/>
        </w:rPr>
        <w:fldChar w:fldCharType="begin">
          <w:ffData>
            <w:name w:val="c2"/>
            <w:enabled/>
            <w:calcOnExit w:val="0"/>
            <w:textInput/>
          </w:ffData>
        </w:fldChar>
      </w:r>
      <w:bookmarkStart w:id="4" w:name="c2"/>
      <w:r>
        <w:rPr>
          <w:rFonts w:ascii="黑体" w:eastAsia="黑体"/>
          <w:b w:val="0"/>
          <w:w w:val="100"/>
          <w:sz w:val="48"/>
          <w:highlight w:val="none"/>
        </w:rPr>
        <w:instrText xml:space="preserve"> FORMTEXT </w:instrText>
      </w:r>
      <w:r>
        <w:rPr>
          <w:rFonts w:ascii="黑体" w:eastAsia="黑体"/>
          <w:b w:val="0"/>
          <w:w w:val="100"/>
          <w:sz w:val="48"/>
          <w:highlight w:val="none"/>
        </w:rPr>
        <w:fldChar w:fldCharType="separate"/>
      </w:r>
      <w:r>
        <w:rPr>
          <w:rFonts w:ascii="黑体" w:eastAsia="黑体"/>
          <w:b w:val="0"/>
          <w:w w:val="100"/>
          <w:sz w:val="48"/>
          <w:highlight w:val="none"/>
        </w:rPr>
        <w:t>北</w:t>
      </w:r>
      <w:r>
        <w:rPr>
          <w:rFonts w:hint="eastAsia" w:ascii="黑体" w:eastAsia="黑体"/>
          <w:b w:val="0"/>
          <w:w w:val="100"/>
          <w:sz w:val="48"/>
          <w:highlight w:val="none"/>
        </w:rPr>
        <w:t>京市</w:t>
      </w:r>
      <w:r>
        <w:rPr>
          <w:rFonts w:ascii="黑体" w:eastAsia="黑体"/>
          <w:b w:val="0"/>
          <w:w w:val="100"/>
          <w:sz w:val="48"/>
          <w:highlight w:val="none"/>
        </w:rPr>
        <w:fldChar w:fldCharType="end"/>
      </w:r>
      <w:bookmarkEnd w:id="4"/>
      <w:r>
        <w:rPr>
          <w:rFonts w:hint="eastAsia" w:ascii="黑体" w:hAnsi="黑体" w:eastAsia="黑体"/>
          <w:b w:val="0"/>
          <w:bCs w:val="0"/>
          <w:w w:val="100"/>
          <w:sz w:val="48"/>
          <w:szCs w:val="48"/>
          <w:highlight w:val="none"/>
        </w:rPr>
        <w:t>地方标准</w:t>
      </w:r>
    </w:p>
    <w:bookmarkEnd w:id="2"/>
    <w:p>
      <w:pPr>
        <w:pStyle w:val="197"/>
        <w:rPr>
          <w:highlight w:val="none"/>
          <w:lang w:val="fr-FR"/>
        </w:rPr>
      </w:pPr>
      <w:r>
        <w:rPr>
          <w:highlight w:val="none"/>
          <w:lang w:val="fr-FR"/>
        </w:rPr>
        <w:t>DB</w:t>
      </w:r>
      <w:r>
        <w:rPr>
          <w:highlight w:val="none"/>
        </w:rPr>
        <w:fldChar w:fldCharType="begin">
          <w:ffData>
            <w:name w:val="文字1"/>
            <w:enabled/>
            <w:calcOnExit w:val="0"/>
            <w:textInput>
              <w:default w:val="XX/T"/>
            </w:textInput>
          </w:ffData>
        </w:fldChar>
      </w:r>
      <w:bookmarkStart w:id="5" w:name="文字1"/>
      <w:r>
        <w:rPr>
          <w:highlight w:val="none"/>
          <w:lang w:val="fr-FR"/>
        </w:rPr>
        <w:instrText xml:space="preserve"> FORMTEXT </w:instrText>
      </w:r>
      <w:r>
        <w:rPr>
          <w:highlight w:val="none"/>
        </w:rPr>
        <w:fldChar w:fldCharType="separate"/>
      </w:r>
      <w:r>
        <w:rPr>
          <w:highlight w:val="none"/>
          <w:lang w:val="fr-FR"/>
        </w:rPr>
        <w:t>11/T</w:t>
      </w:r>
      <w:r>
        <w:rPr>
          <w:highlight w:val="none"/>
        </w:rPr>
        <w:fldChar w:fldCharType="end"/>
      </w:r>
      <w:bookmarkEnd w:id="5"/>
      <w:r>
        <w:rPr>
          <w:highlight w:val="none"/>
          <w:lang w:val="fr-FR"/>
        </w:rPr>
        <w:t xml:space="preserve"> </w:t>
      </w:r>
      <w:r>
        <w:rPr>
          <w:highlight w:val="none"/>
        </w:rPr>
        <w:fldChar w:fldCharType="begin">
          <w:ffData>
            <w:name w:val="NSTD_CODE_F"/>
            <w:enabled/>
            <w:calcOnExit w:val="0"/>
            <w:textInput>
              <w:default w:val="XXXX"/>
            </w:textInput>
          </w:ffData>
        </w:fldChar>
      </w:r>
      <w:bookmarkStart w:id="6" w:name="NSTD_CODE_F"/>
      <w:r>
        <w:rPr>
          <w:highlight w:val="none"/>
          <w:lang w:val="fr-FR"/>
        </w:rPr>
        <w:instrText xml:space="preserve"> FORMTEXT </w:instrText>
      </w:r>
      <w:r>
        <w:rPr>
          <w:highlight w:val="none"/>
        </w:rPr>
        <w:fldChar w:fldCharType="separate"/>
      </w:r>
      <w:r>
        <w:rPr>
          <w:highlight w:val="none"/>
        </w:rPr>
        <w:t>1322.66</w:t>
      </w:r>
      <w:r>
        <w:rPr>
          <w:highlight w:val="none"/>
        </w:rPr>
        <w:fldChar w:fldCharType="end"/>
      </w:r>
      <w:bookmarkEnd w:id="6"/>
      <w:r>
        <w:rPr>
          <w:rFonts w:hAnsi="黑体"/>
          <w:highlight w:val="none"/>
          <w:lang w:val="fr-FR"/>
        </w:rPr>
        <w:t>—</w:t>
      </w:r>
      <w:r>
        <w:rPr>
          <w:highlight w:val="none"/>
        </w:rPr>
        <w:fldChar w:fldCharType="begin">
          <w:ffData>
            <w:name w:val="NSTD_CODE_B"/>
            <w:enabled/>
            <w:calcOnExit w:val="0"/>
            <w:textInput>
              <w:default w:val="XXXX"/>
            </w:textInput>
          </w:ffData>
        </w:fldChar>
      </w:r>
      <w:bookmarkStart w:id="7" w:name="NSTD_CODE_B"/>
      <w:r>
        <w:rPr>
          <w:highlight w:val="none"/>
          <w:lang w:val="fr-FR"/>
        </w:rPr>
        <w:instrText xml:space="preserve"> FORMTEXT </w:instrText>
      </w:r>
      <w:r>
        <w:rPr>
          <w:highlight w:val="none"/>
        </w:rPr>
        <w:fldChar w:fldCharType="separate"/>
      </w:r>
      <w:r>
        <w:rPr>
          <w:highlight w:val="none"/>
          <w:lang w:val="fr-FR"/>
        </w:rPr>
        <w:t>XXXX</w:t>
      </w:r>
      <w:r>
        <w:rPr>
          <w:highlight w:val="none"/>
        </w:rPr>
        <w:fldChar w:fldCharType="end"/>
      </w:r>
      <w:bookmarkEnd w:id="7"/>
    </w:p>
    <w:p>
      <w:pPr>
        <w:pStyle w:val="198"/>
        <w:rPr>
          <w:rFonts w:hAnsi="黑体"/>
          <w:highlight w:val="none"/>
        </w:rPr>
      </w:pPr>
      <w:r>
        <w:rPr>
          <w:rFonts w:hAnsi="黑体"/>
          <w:highlight w:val="none"/>
        </w:rPr>
        <w:fldChar w:fldCharType="begin">
          <w:ffData>
            <w:name w:val="OSTD_CODE"/>
            <w:enabled/>
            <w:calcOnExit w:val="0"/>
            <w:textInput/>
          </w:ffData>
        </w:fldChar>
      </w:r>
      <w:bookmarkStart w:id="8" w:name="OSTD_CODE"/>
      <w:r>
        <w:rPr>
          <w:rFonts w:hAnsi="黑体"/>
          <w:highlight w:val="none"/>
        </w:rPr>
        <w:instrText xml:space="preserve"> FORMTEXT </w:instrText>
      </w:r>
      <w:r>
        <w:rPr>
          <w:rFonts w:hAnsi="黑体"/>
          <w:highlight w:val="none"/>
        </w:rPr>
        <w:fldChar w:fldCharType="separate"/>
      </w:r>
      <w:r>
        <w:rPr>
          <w:rFonts w:hAnsi="黑体"/>
          <w:highlight w:val="none"/>
        </w:rPr>
        <w:t>代替DB11/T</w:t>
      </w:r>
      <w:r>
        <w:rPr>
          <w:rFonts w:hint="eastAsia" w:hAnsi="黑体"/>
          <w:highlight w:val="none"/>
          <w:lang w:val="en-US" w:eastAsia="zh-CN"/>
        </w:rPr>
        <w:t xml:space="preserve"> 1322.66-2019</w:t>
      </w:r>
      <w:r>
        <w:rPr>
          <w:rFonts w:hAnsi="黑体"/>
          <w:highlight w:val="none"/>
        </w:rPr>
        <w:fldChar w:fldCharType="end"/>
      </w:r>
      <w:bookmarkEnd w:id="8"/>
    </w:p>
    <w:p>
      <w:pPr>
        <w:spacing w:line="240" w:lineRule="auto"/>
        <w:rPr>
          <w:rFonts w:ascii="黑体" w:hAnsi="黑体" w:eastAsia="黑体"/>
          <w:kern w:val="0"/>
          <w:sz w:val="10"/>
          <w:szCs w:val="10"/>
          <w:highlight w:val="none"/>
        </w:rPr>
      </w:pPr>
      <w:r>
        <w:rPr>
          <w:rFonts w:ascii="黑体" w:hAnsi="黑体" w:eastAsia="黑体"/>
          <w:kern w:val="0"/>
          <w:sz w:val="10"/>
          <w:szCs w:val="10"/>
          <w:highlight w:val="none"/>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2"/>
        <w:framePr w:w="9639" w:h="6976" w:hRule="exact" w:hSpace="0" w:vSpace="0" w:hAnchor="page" w:y="6408"/>
        <w:jc w:val="center"/>
        <w:rPr>
          <w:rFonts w:ascii="黑体" w:hAnsi="黑体" w:eastAsia="黑体"/>
          <w:b w:val="0"/>
          <w:bCs w:val="0"/>
          <w:w w:val="100"/>
          <w:highlight w:val="none"/>
        </w:rPr>
      </w:pPr>
    </w:p>
    <w:p>
      <w:pPr>
        <w:pStyle w:val="199"/>
        <w:framePr w:h="6974" w:hRule="exact" w:wrap="around" w:x="1419" w:anchorLock="1"/>
        <w:rPr>
          <w:rFonts w:hint="eastAsia"/>
          <w:highlight w:val="none"/>
        </w:rPr>
      </w:pPr>
      <w:r>
        <w:rPr>
          <w:rFonts w:hint="eastAsia"/>
          <w:highlight w:val="none"/>
        </w:rPr>
        <w:t>安全生产标准</w:t>
      </w:r>
      <w:r>
        <w:rPr>
          <w:rFonts w:hint="eastAsia"/>
          <w:color w:val="auto"/>
          <w:highlight w:val="none"/>
        </w:rPr>
        <w:t>化</w:t>
      </w:r>
      <w:r>
        <w:rPr>
          <w:rFonts w:hint="eastAsia"/>
          <w:color w:val="auto"/>
          <w:highlight w:val="none"/>
          <w:lang w:val="en-US" w:eastAsia="zh-CN"/>
        </w:rPr>
        <w:t>指标</w:t>
      </w:r>
      <w:r>
        <w:rPr>
          <w:rFonts w:hint="eastAsia"/>
          <w:color w:val="auto"/>
          <w:highlight w:val="none"/>
        </w:rPr>
        <w:t>体系</w:t>
      </w:r>
      <w:r>
        <w:rPr>
          <w:rFonts w:hint="eastAsia"/>
          <w:highlight w:val="none"/>
          <w:lang w:val="en-US" w:eastAsia="zh-CN"/>
        </w:rPr>
        <w:t>和</w:t>
      </w:r>
      <w:r>
        <w:rPr>
          <w:rFonts w:hint="eastAsia"/>
          <w:highlight w:val="none"/>
        </w:rPr>
        <w:t>实施要求</w:t>
      </w:r>
    </w:p>
    <w:p>
      <w:pPr>
        <w:pStyle w:val="199"/>
        <w:framePr w:h="6974" w:hRule="exact" w:wrap="around" w:x="1419" w:anchorLock="1"/>
        <w:rPr>
          <w:rFonts w:hint="default" w:eastAsia="黑体"/>
          <w:highlight w:val="none"/>
          <w:lang w:val="en-US" w:eastAsia="zh-CN"/>
        </w:rPr>
      </w:pPr>
      <w:r>
        <w:rPr>
          <w:rFonts w:hint="eastAsia"/>
          <w:highlight w:val="none"/>
          <w:lang w:val="en-US" w:eastAsia="zh-CN"/>
        </w:rPr>
        <w:t>第66部分：水利施工企业</w:t>
      </w:r>
    </w:p>
    <w:p>
      <w:pPr>
        <w:framePr w:w="9639" w:h="6974" w:hRule="exact" w:wrap="around" w:vAnchor="page" w:hAnchor="page" w:x="1419" w:y="6408" w:anchorLock="1"/>
        <w:ind w:left="-1418"/>
        <w:rPr>
          <w:highlight w:val="none"/>
        </w:rPr>
      </w:pPr>
    </w:p>
    <w:p>
      <w:pPr>
        <w:pStyle w:val="127"/>
        <w:framePr w:w="9639" w:h="6974" w:hRule="exact" w:wrap="around" w:vAnchor="page" w:hAnchor="page" w:x="1419" w:y="6408" w:anchorLock="1"/>
        <w:textAlignment w:val="bottom"/>
        <w:rPr>
          <w:rFonts w:hint="eastAsia" w:ascii="黑体" w:hAnsi="黑体" w:eastAsia="黑体"/>
          <w:szCs w:val="28"/>
          <w:highlight w:val="none"/>
          <w:lang w:val="en-US" w:eastAsia="zh-CN"/>
        </w:rPr>
      </w:pPr>
      <w:r>
        <w:rPr>
          <w:rFonts w:hint="eastAsia" w:ascii="黑体" w:hAnsi="黑体" w:eastAsia="黑体"/>
          <w:szCs w:val="28"/>
          <w:highlight w:val="none"/>
          <w:lang w:val="en-US" w:eastAsia="zh-CN"/>
        </w:rPr>
        <w:t xml:space="preserve">Implementation Requirements for the Standardized Management System for Work Safety </w:t>
      </w:r>
    </w:p>
    <w:p>
      <w:pPr>
        <w:pStyle w:val="127"/>
        <w:framePr w:w="9639" w:h="6974" w:hRule="exact" w:wrap="around" w:vAnchor="page" w:hAnchor="page" w:x="1419" w:y="6408" w:anchorLock="1"/>
        <w:textAlignment w:val="bottom"/>
        <w:rPr>
          <w:rFonts w:hint="default" w:ascii="黑体" w:hAnsi="黑体" w:eastAsia="黑体"/>
          <w:szCs w:val="28"/>
          <w:highlight w:val="none"/>
          <w:lang w:val="en-US" w:eastAsia="zh-CN"/>
        </w:rPr>
      </w:pPr>
      <w:r>
        <w:rPr>
          <w:rFonts w:hint="eastAsia" w:ascii="黑体" w:hAnsi="黑体" w:eastAsia="黑体"/>
          <w:szCs w:val="28"/>
          <w:highlight w:val="none"/>
          <w:lang w:val="en-US" w:eastAsia="zh-CN"/>
        </w:rPr>
        <w:t>Part 66: Water Conservancy Construction Enterprises</w:t>
      </w:r>
    </w:p>
    <w:p>
      <w:pPr>
        <w:framePr w:w="9639" w:h="6974" w:hRule="exact" w:wrap="around" w:vAnchor="page" w:hAnchor="page" w:x="1419" w:y="6408" w:anchorLock="1"/>
        <w:spacing w:line="760" w:lineRule="exact"/>
        <w:ind w:left="-1418"/>
        <w:rPr>
          <w:highlight w:val="none"/>
        </w:rPr>
      </w:pPr>
    </w:p>
    <w:p>
      <w:pPr>
        <w:pStyle w:val="127"/>
        <w:framePr w:w="9639" w:h="6974" w:hRule="exact" w:wrap="around" w:vAnchor="page" w:hAnchor="page" w:x="1419" w:y="6408" w:anchorLock="1"/>
        <w:jc w:val="both"/>
        <w:textAlignment w:val="bottom"/>
        <w:rPr>
          <w:rFonts w:hint="default" w:eastAsia="黑体"/>
          <w:szCs w:val="28"/>
          <w:highlight w:val="none"/>
          <w:lang w:val="en-US" w:eastAsia="zh-CN"/>
        </w:rPr>
      </w:pPr>
    </w:p>
    <w:p>
      <w:pPr>
        <w:pStyle w:val="127"/>
        <w:framePr w:w="9639" w:h="6974" w:hRule="exact" w:wrap="around" w:vAnchor="page" w:hAnchor="page" w:x="1419" w:y="6408" w:anchorLock="1"/>
        <w:spacing w:before="440" w:after="160"/>
        <w:textAlignment w:val="bottom"/>
        <w:rPr>
          <w:sz w:val="24"/>
          <w:szCs w:val="28"/>
          <w:highlight w:val="none"/>
        </w:rPr>
      </w:pPr>
      <w:bookmarkStart w:id="9" w:name="下拉1"/>
      <w:r>
        <w:rPr>
          <w:rFonts w:ascii="Times New Roman" w:hAnsi="Times New Roman" w:eastAsia="宋体" w:cs="Times New Roman"/>
          <w:sz w:val="24"/>
          <w:szCs w:val="28"/>
          <w:highlight w:val="none"/>
          <w:lang w:val="en-US" w:eastAsia="zh-CN" w:bidi="ar-SA"/>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listEntry w:val="（初审讨论稿）"/>
              <w:listEntry w:val="（初审稿）"/>
            </w:ddList>
          </w:ffData>
        </w:fldChar>
      </w:r>
      <w:r>
        <w:rPr>
          <w:rFonts w:ascii="Times New Roman" w:hAnsi="Times New Roman" w:eastAsia="宋体" w:cs="Times New Roman"/>
          <w:sz w:val="24"/>
          <w:szCs w:val="28"/>
          <w:highlight w:val="none"/>
          <w:lang w:val="en-US" w:eastAsia="zh-CN" w:bidi="ar-SA"/>
        </w:rPr>
        <w:instrText xml:space="preserve">FORMDROPDOWN</w:instrText>
      </w:r>
      <w:r>
        <w:rPr>
          <w:rFonts w:ascii="Times New Roman" w:hAnsi="Times New Roman" w:eastAsia="宋体" w:cs="Times New Roman"/>
          <w:sz w:val="24"/>
          <w:szCs w:val="28"/>
          <w:highlight w:val="none"/>
          <w:lang w:val="en-US" w:eastAsia="zh-CN" w:bidi="ar-SA"/>
        </w:rPr>
        <w:fldChar w:fldCharType="separate"/>
      </w:r>
      <w:r>
        <w:rPr>
          <w:rFonts w:ascii="Times New Roman" w:hAnsi="Times New Roman" w:eastAsia="宋体" w:cs="Times New Roman"/>
          <w:sz w:val="24"/>
          <w:szCs w:val="28"/>
          <w:highlight w:val="none"/>
          <w:lang w:val="en-US" w:eastAsia="zh-CN" w:bidi="ar-SA"/>
        </w:rPr>
        <w:fldChar w:fldCharType="end"/>
      </w:r>
      <w:bookmarkEnd w:id="9"/>
    </w:p>
    <w:p>
      <w:pPr>
        <w:pStyle w:val="127"/>
        <w:framePr w:w="9639" w:h="6974" w:hRule="exact" w:wrap="around" w:vAnchor="page" w:hAnchor="page" w:x="1419" w:y="6408" w:anchorLock="1"/>
        <w:spacing w:before="180" w:line="240" w:lineRule="atLeast"/>
        <w:textAlignment w:val="bottom"/>
        <w:rPr>
          <w:sz w:val="21"/>
          <w:szCs w:val="28"/>
          <w:highlight w:val="none"/>
        </w:rPr>
      </w:pPr>
      <w:r>
        <w:rPr>
          <w:sz w:val="21"/>
          <w:szCs w:val="28"/>
          <w:highlight w:val="none"/>
        </w:rPr>
        <w:fldChar w:fldCharType="begin">
          <w:ffData>
            <w:name w:val="CMPLSH_DATE"/>
            <w:enabled/>
            <w:calcOnExit w:val="0"/>
            <w:textInput/>
          </w:ffData>
        </w:fldChar>
      </w:r>
      <w:bookmarkStart w:id="10" w:name="CMPLSH_DATE"/>
      <w:r>
        <w:rPr>
          <w:sz w:val="21"/>
          <w:szCs w:val="28"/>
          <w:highlight w:val="none"/>
        </w:rPr>
        <w:instrText xml:space="preserve"> FORMTEXT </w:instrText>
      </w:r>
      <w:r>
        <w:rPr>
          <w:sz w:val="21"/>
          <w:szCs w:val="28"/>
          <w:highlight w:val="none"/>
        </w:rPr>
        <w:fldChar w:fldCharType="separate"/>
      </w:r>
      <w:r>
        <w:rPr>
          <w:sz w:val="21"/>
          <w:szCs w:val="28"/>
          <w:highlight w:val="none"/>
        </w:rPr>
        <w:t>     </w:t>
      </w:r>
      <w:r>
        <w:rPr>
          <w:sz w:val="21"/>
          <w:szCs w:val="28"/>
          <w:highlight w:val="none"/>
        </w:rPr>
        <w:fldChar w:fldCharType="end"/>
      </w:r>
      <w:bookmarkEnd w:id="10"/>
    </w:p>
    <w:p>
      <w:pPr>
        <w:pStyle w:val="127"/>
        <w:framePr w:w="9639" w:h="6974" w:hRule="exact" w:wrap="around" w:vAnchor="page" w:hAnchor="page" w:x="1419" w:y="6408" w:anchorLock="1"/>
        <w:spacing w:before="720" w:beforeLines="300" w:after="72" w:afterLines="30" w:line="240" w:lineRule="auto"/>
        <w:textAlignment w:val="bottom"/>
        <w:rPr>
          <w:b/>
          <w:sz w:val="21"/>
          <w:szCs w:val="28"/>
          <w:highlight w:val="none"/>
        </w:rPr>
      </w:pPr>
      <w:r>
        <w:rPr>
          <w:b/>
          <w:sz w:val="21"/>
          <w:szCs w:val="28"/>
          <w:highlight w:val="none"/>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highlight w:val="none"/>
        </w:rPr>
        <w:instrText xml:space="preserve"> FORMDROPDOWN </w:instrText>
      </w:r>
      <w:r>
        <w:rPr>
          <w:b/>
          <w:sz w:val="21"/>
          <w:szCs w:val="28"/>
          <w:highlight w:val="none"/>
        </w:rPr>
        <w:fldChar w:fldCharType="separate"/>
      </w:r>
      <w:r>
        <w:rPr>
          <w:b/>
          <w:sz w:val="21"/>
          <w:szCs w:val="28"/>
          <w:highlight w:val="none"/>
        </w:rPr>
        <w:fldChar w:fldCharType="end"/>
      </w:r>
      <w:bookmarkEnd w:id="11"/>
    </w:p>
    <w:p>
      <w:pPr>
        <w:pStyle w:val="195"/>
        <w:framePr w:y="14176"/>
        <w:rPr>
          <w:highlight w:val="none"/>
        </w:rPr>
      </w:pPr>
      <w:r>
        <w:rPr>
          <w:rFonts w:ascii="黑体"/>
          <w:highlight w:val="none"/>
        </w:rPr>
        <w:fldChar w:fldCharType="begin">
          <w:ffData>
            <w:name w:val="PLSH_DATE_Y"/>
            <w:enabled/>
            <w:calcOnExit w:val="0"/>
            <w:textInput>
              <w:default w:val="XXXX"/>
              <w:maxLength w:val="4"/>
            </w:textInput>
          </w:ffData>
        </w:fldChar>
      </w:r>
      <w:bookmarkStart w:id="12" w:name="PLSH_DATE_Y"/>
      <w:r>
        <w:rPr>
          <w:rFonts w:ascii="黑体"/>
          <w:highlight w:val="none"/>
        </w:rPr>
        <w:instrText xml:space="preserve"> FORMTEXT </w:instrText>
      </w:r>
      <w:r>
        <w:rPr>
          <w:rFonts w:ascii="黑体"/>
          <w:highlight w:val="none"/>
        </w:rPr>
        <w:fldChar w:fldCharType="separate"/>
      </w:r>
      <w:r>
        <w:rPr>
          <w:rFonts w:ascii="黑体"/>
          <w:highlight w:val="none"/>
        </w:rPr>
        <w:t>XXXX</w:t>
      </w:r>
      <w:r>
        <w:rPr>
          <w:rFonts w:ascii="黑体"/>
          <w:highlight w:val="none"/>
        </w:rPr>
        <w:fldChar w:fldCharType="end"/>
      </w:r>
      <w:bookmarkEnd w:id="12"/>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PLSH_DATE_M"/>
            <w:enabled/>
            <w:calcOnExit w:val="0"/>
            <w:textInput>
              <w:default w:val="XX"/>
              <w:maxLength w:val="2"/>
            </w:textInput>
          </w:ffData>
        </w:fldChar>
      </w:r>
      <w:bookmarkStart w:id="13" w:name="PLSH_DATE_M"/>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3"/>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PLSH_DATE_D"/>
            <w:enabled/>
            <w:calcOnExit w:val="0"/>
            <w:textInput>
              <w:default w:val="XX"/>
              <w:maxLength w:val="2"/>
            </w:textInput>
          </w:ffData>
        </w:fldChar>
      </w:r>
      <w:bookmarkStart w:id="14" w:name="PLSH_DATE_D"/>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4"/>
      <w:r>
        <w:rPr>
          <w:rFonts w:hint="eastAsia"/>
          <w:highlight w:val="none"/>
        </w:rPr>
        <w:t>发布</w:t>
      </w:r>
    </w:p>
    <w:p>
      <w:pPr>
        <w:pStyle w:val="196"/>
        <w:framePr w:y="14176"/>
        <w:rPr>
          <w:highlight w:val="none"/>
        </w:rPr>
      </w:pPr>
      <w:r>
        <w:rPr>
          <w:rFonts w:ascii="黑体"/>
          <w:highlight w:val="none"/>
        </w:rPr>
        <w:fldChar w:fldCharType="begin">
          <w:ffData>
            <w:name w:val="CROT_DATE_Y"/>
            <w:enabled/>
            <w:calcOnExit w:val="0"/>
            <w:textInput>
              <w:default w:val="XXXX"/>
              <w:maxLength w:val="4"/>
            </w:textInput>
          </w:ffData>
        </w:fldChar>
      </w:r>
      <w:bookmarkStart w:id="15" w:name="CROT_DATE_Y"/>
      <w:r>
        <w:rPr>
          <w:rFonts w:ascii="黑体"/>
          <w:highlight w:val="none"/>
        </w:rPr>
        <w:instrText xml:space="preserve"> FORMTEXT </w:instrText>
      </w:r>
      <w:r>
        <w:rPr>
          <w:rFonts w:ascii="黑体"/>
          <w:highlight w:val="none"/>
        </w:rPr>
        <w:fldChar w:fldCharType="separate"/>
      </w:r>
      <w:r>
        <w:rPr>
          <w:rFonts w:ascii="黑体"/>
          <w:highlight w:val="none"/>
        </w:rPr>
        <w:t>XXXX</w:t>
      </w:r>
      <w:r>
        <w:rPr>
          <w:rFonts w:ascii="黑体"/>
          <w:highlight w:val="none"/>
        </w:rPr>
        <w:fldChar w:fldCharType="end"/>
      </w:r>
      <w:bookmarkEnd w:id="15"/>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CROT_DATE_M"/>
            <w:enabled/>
            <w:calcOnExit w:val="0"/>
            <w:textInput>
              <w:default w:val="XX"/>
              <w:maxLength w:val="2"/>
            </w:textInput>
          </w:ffData>
        </w:fldChar>
      </w:r>
      <w:bookmarkStart w:id="16" w:name="CROT_DATE_M"/>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6"/>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CROT_DATE_D"/>
            <w:enabled/>
            <w:calcOnExit w:val="0"/>
            <w:textInput>
              <w:default w:val="XX"/>
              <w:maxLength w:val="2"/>
            </w:textInput>
          </w:ffData>
        </w:fldChar>
      </w:r>
      <w:bookmarkStart w:id="17" w:name="CROT_DATE_D"/>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7"/>
      <w:r>
        <w:rPr>
          <w:rFonts w:hint="eastAsia"/>
          <w:highlight w:val="none"/>
        </w:rPr>
        <w:t>实施</w:t>
      </w:r>
    </w:p>
    <w:p>
      <w:pPr>
        <w:pStyle w:val="153"/>
        <w:framePr w:h="584" w:hRule="exact" w:hSpace="181" w:vSpace="181" w:y="15027"/>
        <w:rPr>
          <w:rFonts w:hAnsi="黑体"/>
          <w:highlight w:val="none"/>
        </w:rPr>
      </w:pPr>
      <w:r>
        <w:rPr>
          <w:rFonts w:hAnsi="黑体"/>
          <w:w w:val="100"/>
          <w:sz w:val="28"/>
          <w:highlight w:val="none"/>
        </w:rPr>
        <w:fldChar w:fldCharType="begin">
          <w:ffData>
            <w:name w:val="fm"/>
            <w:enabled/>
            <w:calcOnExit w:val="0"/>
            <w:textInput/>
          </w:ffData>
        </w:fldChar>
      </w:r>
      <w:bookmarkStart w:id="18" w:name="fm"/>
      <w:r>
        <w:rPr>
          <w:rFonts w:hAnsi="黑体"/>
          <w:w w:val="100"/>
          <w:sz w:val="28"/>
          <w:highlight w:val="none"/>
        </w:rPr>
        <w:instrText xml:space="preserve"> FORMTEXT </w:instrText>
      </w:r>
      <w:r>
        <w:rPr>
          <w:rFonts w:hAnsi="黑体"/>
          <w:w w:val="100"/>
          <w:sz w:val="28"/>
          <w:highlight w:val="none"/>
        </w:rPr>
        <w:fldChar w:fldCharType="separate"/>
      </w:r>
      <w:r>
        <w:rPr>
          <w:rFonts w:hAnsi="黑体"/>
          <w:w w:val="100"/>
          <w:sz w:val="28"/>
          <w:highlight w:val="none"/>
        </w:rPr>
        <w:t>北</w:t>
      </w:r>
      <w:r>
        <w:rPr>
          <w:rFonts w:hint="eastAsia" w:hAnsi="黑体"/>
          <w:w w:val="100"/>
          <w:sz w:val="28"/>
          <w:highlight w:val="none"/>
        </w:rPr>
        <w:t>京市市场监督管理局</w:t>
      </w:r>
      <w:r>
        <w:rPr>
          <w:rFonts w:hAnsi="黑体"/>
          <w:w w:val="100"/>
          <w:sz w:val="28"/>
          <w:highlight w:val="none"/>
        </w:rPr>
        <w:fldChar w:fldCharType="end"/>
      </w:r>
      <w:bookmarkEnd w:id="18"/>
      <w:r>
        <w:rPr>
          <w:rFonts w:ascii="Times New Roman"/>
          <w:w w:val="100"/>
          <w:sz w:val="28"/>
          <w:highlight w:val="none"/>
        </w:rPr>
        <w:t>  </w:t>
      </w:r>
      <w:r>
        <w:rPr>
          <w:rStyle w:val="231"/>
          <w:rFonts w:hint="eastAsia" w:hAnsi="黑体"/>
          <w:position w:val="0"/>
          <w:highlight w:val="none"/>
        </w:rPr>
        <w:t>发</w:t>
      </w:r>
      <w:r>
        <w:rPr>
          <w:rStyle w:val="231"/>
          <w:rFonts w:hint="eastAsia" w:hAnsi="黑体"/>
          <w:spacing w:val="0"/>
          <w:position w:val="0"/>
          <w:highlight w:val="none"/>
        </w:rPr>
        <w:t>布</w:t>
      </w:r>
    </w:p>
    <w:p>
      <w:pPr>
        <w:rPr>
          <w:rFonts w:ascii="宋体" w:hAnsi="宋体"/>
          <w:sz w:val="28"/>
          <w:szCs w:val="28"/>
          <w:highlight w:val="none"/>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highlight w:val="none"/>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3"/>
        <w:bidi w:val="0"/>
        <w:rPr>
          <w:rFonts w:hint="eastAsia"/>
          <w:highlight w:val="none"/>
          <w:lang w:eastAsia="zh-CN"/>
        </w:rPr>
      </w:pPr>
      <w:bookmarkStart w:id="19" w:name="BookMark1"/>
      <w:r>
        <w:rPr>
          <w:rFonts w:hint="eastAsia"/>
          <w:spacing w:val="320"/>
          <w:highlight w:val="none"/>
          <w:lang w:eastAsia="zh-CN"/>
        </w:rPr>
        <w:t>目</w:t>
      </w:r>
      <w:r>
        <w:rPr>
          <w:rFonts w:hint="eastAsia"/>
          <w:highlight w:val="none"/>
          <w:lang w:eastAsia="zh-CN"/>
        </w:rPr>
        <w:t>次</w:t>
      </w:r>
    </w:p>
    <w:p>
      <w:pPr>
        <w:pStyle w:val="20"/>
        <w:tabs>
          <w:tab w:val="right" w:leader="dot" w:pos="9354"/>
        </w:tabs>
        <w:spacing w:line="360" w:lineRule="auto"/>
        <w:jc w:val="center"/>
        <w:rPr>
          <w:rFonts w:hint="default"/>
          <w:spacing w:val="0"/>
          <w:highlight w:val="none"/>
          <w:lang w:val="en-US" w:eastAsia="zh-CN"/>
        </w:rPr>
      </w:pPr>
    </w:p>
    <w:bookmarkEnd w:id="19"/>
    <w:sdt>
      <w:sdtPr>
        <w:rPr>
          <w:rFonts w:ascii="宋体" w:hAnsi="宋体" w:eastAsia="宋体" w:cs="Times New Roman"/>
          <w:kern w:val="2"/>
          <w:sz w:val="21"/>
          <w:szCs w:val="21"/>
          <w:lang w:val="en-US" w:eastAsia="zh-CN" w:bidi="ar-SA"/>
        </w:rPr>
        <w:id w:val="147482025"/>
        <w15:color w:val="DBDBDB"/>
        <w:docPartObj>
          <w:docPartGallery w:val="Table of Contents"/>
          <w:docPartUnique/>
        </w:docPartObj>
      </w:sdtPr>
      <w:sdtEndPr>
        <w:rPr>
          <w:rFonts w:hint="eastAsia" w:ascii="黑体" w:hAnsi="Calibri" w:eastAsia="黑体" w:cs="Times New Roman"/>
          <w:spacing w:val="0"/>
          <w:kern w:val="2"/>
          <w:sz w:val="32"/>
          <w:szCs w:val="21"/>
          <w:highlight w:val="none"/>
          <w:lang w:val="en-US" w:eastAsia="zh-CN" w:bidi="ar-SA"/>
        </w:rPr>
      </w:sdtEndPr>
      <w:sdtContent>
        <w:p>
          <w:pPr>
            <w:spacing w:before="0" w:beforeLines="0" w:after="0" w:afterLines="0" w:line="240" w:lineRule="auto"/>
            <w:ind w:left="0" w:leftChars="0" w:right="0" w:rightChars="0" w:firstLine="0" w:firstLineChars="0"/>
            <w:jc w:val="center"/>
          </w:pPr>
        </w:p>
        <w:p>
          <w:pPr>
            <w:pStyle w:val="20"/>
            <w:tabs>
              <w:tab w:val="right" w:leader="dot" w:pos="9354"/>
            </w:tabs>
            <w:spacing w:line="360" w:lineRule="auto"/>
          </w:pPr>
          <w:r>
            <w:rPr>
              <w:rFonts w:hint="eastAsia" w:ascii="黑体" w:hAnsi="Calibri" w:eastAsia="黑体" w:cs="Times New Roman"/>
              <w:spacing w:val="0"/>
              <w:kern w:val="2"/>
              <w:sz w:val="32"/>
              <w:szCs w:val="21"/>
              <w:highlight w:val="none"/>
              <w:lang w:val="en-US" w:eastAsia="zh-CN" w:bidi="ar-SA"/>
            </w:rPr>
            <w:fldChar w:fldCharType="begin"/>
          </w:r>
          <w:r>
            <w:rPr>
              <w:rFonts w:hint="eastAsia" w:ascii="黑体" w:hAnsi="Calibri" w:eastAsia="黑体" w:cs="Times New Roman"/>
              <w:spacing w:val="0"/>
              <w:kern w:val="2"/>
              <w:sz w:val="32"/>
              <w:szCs w:val="21"/>
              <w:highlight w:val="none"/>
              <w:lang w:val="en-US" w:eastAsia="zh-CN" w:bidi="ar-SA"/>
            </w:rPr>
            <w:instrText xml:space="preserve">TOC \o "1-2" \h \u </w:instrText>
          </w:r>
          <w:r>
            <w:rPr>
              <w:rFonts w:hint="eastAsia" w:ascii="黑体" w:hAnsi="Calibri" w:eastAsia="黑体" w:cs="Times New Roman"/>
              <w:spacing w:val="0"/>
              <w:kern w:val="2"/>
              <w:sz w:val="32"/>
              <w:szCs w:val="21"/>
              <w:highlight w:val="none"/>
              <w:lang w:val="en-US" w:eastAsia="zh-CN" w:bidi="ar-SA"/>
            </w:rPr>
            <w:fldChar w:fldCharType="separate"/>
          </w: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_Toc22217 </w:instrText>
          </w:r>
          <w:r>
            <w:rPr>
              <w:rFonts w:hint="eastAsia" w:ascii="黑体" w:hAnsi="Calibri" w:eastAsia="黑体" w:cs="Times New Roman"/>
              <w:spacing w:val="0"/>
              <w:kern w:val="2"/>
              <w:szCs w:val="21"/>
              <w:highlight w:val="none"/>
              <w:lang w:val="en-US" w:eastAsia="zh-CN" w:bidi="ar-SA"/>
            </w:rPr>
            <w:fldChar w:fldCharType="separate"/>
          </w:r>
          <w:r>
            <w:rPr>
              <w:rFonts w:hint="eastAsia"/>
              <w:spacing w:val="320"/>
              <w:highlight w:val="none"/>
              <w:lang w:val="en-US" w:eastAsia="zh-CN"/>
            </w:rPr>
            <w:t>前言</w:t>
          </w:r>
          <w:r>
            <w:tab/>
          </w:r>
          <w:r>
            <w:fldChar w:fldCharType="begin"/>
          </w:r>
          <w:r>
            <w:instrText xml:space="preserve"> PAGEREF _Toc22217 \h </w:instrText>
          </w:r>
          <w:r>
            <w:fldChar w:fldCharType="separate"/>
          </w:r>
          <w:r>
            <w:t>II</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_Toc13723 </w:instrText>
          </w:r>
          <w:r>
            <w:rPr>
              <w:rFonts w:hint="eastAsia" w:ascii="黑体" w:hAnsi="Calibri" w:eastAsia="黑体" w:cs="Times New Roman"/>
              <w:spacing w:val="0"/>
              <w:kern w:val="2"/>
              <w:szCs w:val="21"/>
              <w:highlight w:val="none"/>
              <w:lang w:val="en-US" w:eastAsia="zh-CN" w:bidi="ar-SA"/>
            </w:rPr>
            <w:fldChar w:fldCharType="separate"/>
          </w:r>
          <w:r>
            <w:rPr>
              <w:rFonts w:hint="eastAsia"/>
              <w:spacing w:val="320"/>
              <w:highlight w:val="none"/>
              <w:lang w:val="en-US" w:eastAsia="zh-CN"/>
            </w:rPr>
            <w:t>引言</w:t>
          </w:r>
          <w:r>
            <w:tab/>
          </w:r>
          <w:r>
            <w:fldChar w:fldCharType="begin"/>
          </w:r>
          <w:r>
            <w:instrText xml:space="preserve"> PAGEREF _Toc13723 \h </w:instrText>
          </w:r>
          <w:r>
            <w:fldChar w:fldCharType="separate"/>
          </w:r>
          <w:r>
            <w:t>III</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_Toc12927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eastAsia="黑体"/>
              <w:i w:val="0"/>
            </w:rPr>
            <w:t xml:space="preserve">1 </w:t>
          </w:r>
          <w:r>
            <w:rPr>
              <w:rFonts w:hint="eastAsia"/>
              <w:highlight w:val="none"/>
            </w:rPr>
            <w:t>范围</w:t>
          </w:r>
          <w:r>
            <w:tab/>
          </w:r>
          <w:r>
            <w:fldChar w:fldCharType="begin"/>
          </w:r>
          <w:r>
            <w:instrText xml:space="preserve"> PAGEREF _Toc12927 \h </w:instrText>
          </w:r>
          <w:r>
            <w:fldChar w:fldCharType="separate"/>
          </w:r>
          <w:r>
            <w:t>1</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_Toc4407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eastAsia="黑体"/>
              <w:i w:val="0"/>
            </w:rPr>
            <w:t xml:space="preserve">2 </w:t>
          </w:r>
          <w:r>
            <w:rPr>
              <w:rFonts w:hint="eastAsia"/>
              <w:highlight w:val="none"/>
            </w:rPr>
            <w:t>规范性引用文件</w:t>
          </w:r>
          <w:r>
            <w:tab/>
          </w:r>
          <w:r>
            <w:fldChar w:fldCharType="begin"/>
          </w:r>
          <w:r>
            <w:instrText xml:space="preserve"> PAGEREF _Toc4407 \h </w:instrText>
          </w:r>
          <w:r>
            <w:fldChar w:fldCharType="separate"/>
          </w:r>
          <w:r>
            <w:t>1</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_Toc20630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eastAsia="黑体"/>
              <w:i w:val="0"/>
            </w:rPr>
            <w:t xml:space="preserve">3 </w:t>
          </w:r>
          <w:r>
            <w:rPr>
              <w:rFonts w:hint="eastAsia"/>
              <w:szCs w:val="21"/>
              <w:highlight w:val="none"/>
            </w:rPr>
            <w:t>术语和定义</w:t>
          </w:r>
          <w:r>
            <w:tab/>
          </w:r>
          <w:r>
            <w:fldChar w:fldCharType="begin"/>
          </w:r>
          <w:r>
            <w:instrText xml:space="preserve"> PAGEREF _Toc20630 \h </w:instrText>
          </w:r>
          <w:r>
            <w:fldChar w:fldCharType="separate"/>
          </w:r>
          <w:r>
            <w:t>1</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_Toc11478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eastAsia="黑体"/>
              <w:i w:val="0"/>
            </w:rPr>
            <w:t>4</w:t>
          </w:r>
          <w:r>
            <w:rPr>
              <w:rFonts w:hint="eastAsia" w:ascii="黑体" w:eastAsia="黑体"/>
              <w:i w:val="0"/>
              <w:color w:val="auto"/>
            </w:rPr>
            <w:t xml:space="preserve"> </w:t>
          </w:r>
          <w:r>
            <w:rPr>
              <w:rFonts w:hint="eastAsia"/>
              <w:strike w:val="0"/>
              <w:dstrike w:val="0"/>
              <w:color w:val="auto"/>
              <w:highlight w:val="none"/>
              <w:lang w:val="en-US" w:eastAsia="zh-CN"/>
            </w:rPr>
            <w:t>指标体系</w:t>
          </w:r>
          <w:r>
            <w:tab/>
          </w:r>
          <w:r>
            <w:fldChar w:fldCharType="begin"/>
          </w:r>
          <w:r>
            <w:instrText xml:space="preserve"> PAGEREF _Toc11478 \h </w:instrText>
          </w:r>
          <w:r>
            <w:fldChar w:fldCharType="separate"/>
          </w:r>
          <w:r>
            <w:t>1</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_Toc561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highlight w:val="none"/>
            </w:rPr>
            <w:t>领导作用</w:t>
          </w:r>
          <w:r>
            <w:tab/>
          </w:r>
          <w:r>
            <w:fldChar w:fldCharType="begin"/>
          </w:r>
          <w:r>
            <w:instrText xml:space="preserve"> PAGEREF _Toc561 \h </w:instrText>
          </w:r>
          <w:r>
            <w:fldChar w:fldCharType="separate"/>
          </w:r>
          <w:r>
            <w:t>1</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_Toc22592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highlight w:val="none"/>
            </w:rPr>
            <w:t>基础保障</w:t>
          </w:r>
          <w:r>
            <w:tab/>
          </w:r>
          <w:r>
            <w:fldChar w:fldCharType="begin"/>
          </w:r>
          <w:r>
            <w:instrText xml:space="preserve"> PAGEREF _Toc22592 \h </w:instrText>
          </w:r>
          <w:r>
            <w:fldChar w:fldCharType="separate"/>
          </w:r>
          <w:r>
            <w:t>2</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_Toc22112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4.3 </w:t>
          </w:r>
          <w:r>
            <w:rPr>
              <w:rFonts w:hint="eastAsia"/>
              <w:highlight w:val="none"/>
            </w:rPr>
            <w:t>策划</w:t>
          </w:r>
          <w:r>
            <w:tab/>
          </w:r>
          <w:r>
            <w:fldChar w:fldCharType="begin"/>
          </w:r>
          <w:r>
            <w:instrText xml:space="preserve"> PAGEREF _Toc22112 \h </w:instrText>
          </w:r>
          <w:r>
            <w:fldChar w:fldCharType="separate"/>
          </w:r>
          <w:r>
            <w:t>5</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_Toc4871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4.4 </w:t>
          </w:r>
          <w:r>
            <w:rPr>
              <w:rFonts w:hint="eastAsia"/>
              <w:highlight w:val="none"/>
            </w:rPr>
            <w:t>安全风险分级管控</w:t>
          </w:r>
          <w:r>
            <w:tab/>
          </w:r>
          <w:r>
            <w:fldChar w:fldCharType="begin"/>
          </w:r>
          <w:r>
            <w:instrText xml:space="preserve"> PAGEREF _Toc4871 \h </w:instrText>
          </w:r>
          <w:r>
            <w:fldChar w:fldCharType="separate"/>
          </w:r>
          <w:r>
            <w:t>6</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_Toc20523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4.5 </w:t>
          </w:r>
          <w:r>
            <w:rPr>
              <w:rFonts w:hint="eastAsia"/>
              <w:highlight w:val="none"/>
            </w:rPr>
            <w:t>隐患排查治理</w:t>
          </w:r>
          <w:r>
            <w:tab/>
          </w:r>
          <w:r>
            <w:fldChar w:fldCharType="begin"/>
          </w:r>
          <w:r>
            <w:instrText xml:space="preserve"> PAGEREF _Toc20523 \h </w:instrText>
          </w:r>
          <w:r>
            <w:fldChar w:fldCharType="separate"/>
          </w:r>
          <w:r>
            <w:t>7</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_Toc14057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4.6 </w:t>
          </w:r>
          <w:r>
            <w:rPr>
              <w:rFonts w:hint="eastAsia"/>
              <w:highlight w:val="none"/>
            </w:rPr>
            <w:t>人员管理</w:t>
          </w:r>
          <w:r>
            <w:tab/>
          </w:r>
          <w:r>
            <w:fldChar w:fldCharType="begin"/>
          </w:r>
          <w:r>
            <w:instrText xml:space="preserve"> PAGEREF _Toc14057 \h </w:instrText>
          </w:r>
          <w:r>
            <w:fldChar w:fldCharType="separate"/>
          </w:r>
          <w:r>
            <w:t>8</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_Toc480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4.7 </w:t>
          </w:r>
          <w:r>
            <w:rPr>
              <w:rFonts w:hint="eastAsia"/>
              <w:highlight w:val="none"/>
            </w:rPr>
            <w:t>现场管理</w:t>
          </w:r>
          <w:r>
            <w:tab/>
          </w:r>
          <w:r>
            <w:fldChar w:fldCharType="begin"/>
          </w:r>
          <w:r>
            <w:instrText xml:space="preserve"> PAGEREF _Toc480 \h </w:instrText>
          </w:r>
          <w:r>
            <w:fldChar w:fldCharType="separate"/>
          </w:r>
          <w:r>
            <w:t>9</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_Toc22107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4.8 </w:t>
          </w:r>
          <w:r>
            <w:rPr>
              <w:rFonts w:hint="eastAsia"/>
              <w:highlight w:val="none"/>
            </w:rPr>
            <w:t>应急管理</w:t>
          </w:r>
          <w:r>
            <w:tab/>
          </w:r>
          <w:r>
            <w:fldChar w:fldCharType="begin"/>
          </w:r>
          <w:r>
            <w:instrText xml:space="preserve"> PAGEREF _Toc22107 \h </w:instrText>
          </w:r>
          <w:r>
            <w:fldChar w:fldCharType="separate"/>
          </w:r>
          <w:r>
            <w:t>16</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_Toc24569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eastAsia="黑体"/>
              <w:i w:val="0"/>
            </w:rPr>
            <w:t xml:space="preserve">5 </w:t>
          </w:r>
          <w:r>
            <w:rPr>
              <w:rFonts w:hint="eastAsia"/>
              <w:highlight w:val="none"/>
              <w:lang w:val="en-US" w:eastAsia="zh-CN"/>
            </w:rPr>
            <w:t>实施要求</w:t>
          </w:r>
          <w:r>
            <w:tab/>
          </w:r>
          <w:r>
            <w:fldChar w:fldCharType="begin"/>
          </w:r>
          <w:r>
            <w:instrText xml:space="preserve"> PAGEREF _Toc24569 \h </w:instrText>
          </w:r>
          <w:r>
            <w:fldChar w:fldCharType="separate"/>
          </w:r>
          <w:r>
            <w:t>17</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_Toc30816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highlight w:val="none"/>
              <w:lang w:val="en-US" w:eastAsia="zh-CN"/>
            </w:rPr>
            <w:t>建立</w:t>
          </w:r>
          <w:r>
            <w:tab/>
          </w:r>
          <w:r>
            <w:fldChar w:fldCharType="begin"/>
          </w:r>
          <w:r>
            <w:instrText xml:space="preserve"> PAGEREF _Toc30816 \h </w:instrText>
          </w:r>
          <w:r>
            <w:fldChar w:fldCharType="separate"/>
          </w:r>
          <w:r>
            <w:t>17</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_Toc28696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highlight w:val="none"/>
              <w:lang w:val="en-US" w:eastAsia="zh-CN"/>
            </w:rPr>
            <w:t>运行</w:t>
          </w:r>
          <w:r>
            <w:tab/>
          </w:r>
          <w:r>
            <w:fldChar w:fldCharType="begin"/>
          </w:r>
          <w:r>
            <w:instrText xml:space="preserve"> PAGEREF _Toc28696 \h </w:instrText>
          </w:r>
          <w:r>
            <w:fldChar w:fldCharType="separate"/>
          </w:r>
          <w:r>
            <w:t>17</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5"/>
            <w:tabs>
              <w:tab w:val="right" w:leader="dot" w:pos="9354"/>
              <w:tab w:val="clear" w:pos="934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_Toc25620 </w:instrText>
          </w:r>
          <w:r>
            <w:rPr>
              <w:rFonts w:hint="eastAsia" w:ascii="黑体" w:hAnsi="Calibri" w:eastAsia="黑体" w:cs="Times New Roman"/>
              <w:spacing w:val="0"/>
              <w:kern w:val="2"/>
              <w:szCs w:val="21"/>
              <w:highlight w:val="none"/>
              <w:lang w:val="en-US" w:eastAsia="zh-CN" w:bidi="ar-S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highlight w:val="none"/>
              <w:lang w:val="en-US" w:eastAsia="zh-CN"/>
            </w:rPr>
            <w:t>持续改进</w:t>
          </w:r>
          <w:r>
            <w:tab/>
          </w:r>
          <w:r>
            <w:fldChar w:fldCharType="begin"/>
          </w:r>
          <w:r>
            <w:instrText xml:space="preserve"> PAGEREF _Toc25620 \h </w:instrText>
          </w:r>
          <w:r>
            <w:fldChar w:fldCharType="separate"/>
          </w:r>
          <w:r>
            <w:t>17</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20"/>
            <w:tabs>
              <w:tab w:val="right" w:leader="dot" w:pos="9354"/>
            </w:tabs>
            <w:spacing w:line="360" w:lineRule="auto"/>
          </w:pPr>
          <w:r>
            <w:rPr>
              <w:rFonts w:hint="eastAsia" w:ascii="黑体" w:hAnsi="Calibri" w:eastAsia="黑体" w:cs="Times New Roman"/>
              <w:spacing w:val="0"/>
              <w:kern w:val="2"/>
              <w:szCs w:val="21"/>
              <w:highlight w:val="none"/>
              <w:lang w:val="en-US" w:eastAsia="zh-CN" w:bidi="ar-SA"/>
            </w:rPr>
            <w:fldChar w:fldCharType="begin"/>
          </w:r>
          <w:r>
            <w:rPr>
              <w:rFonts w:hint="eastAsia" w:ascii="黑体" w:hAnsi="Calibri" w:eastAsia="黑体" w:cs="Times New Roman"/>
              <w:spacing w:val="0"/>
              <w:kern w:val="2"/>
              <w:szCs w:val="21"/>
              <w:highlight w:val="none"/>
              <w:lang w:val="en-US" w:eastAsia="zh-CN" w:bidi="ar-SA"/>
            </w:rPr>
            <w:instrText xml:space="preserve"> HYPERLINK \l _Toc404 </w:instrText>
          </w:r>
          <w:r>
            <w:rPr>
              <w:rFonts w:hint="eastAsia" w:ascii="黑体" w:hAnsi="Calibri" w:eastAsia="黑体" w:cs="Times New Roman"/>
              <w:spacing w:val="0"/>
              <w:kern w:val="2"/>
              <w:szCs w:val="21"/>
              <w:highlight w:val="none"/>
              <w:lang w:val="en-US" w:eastAsia="zh-CN" w:bidi="ar-SA"/>
            </w:rPr>
            <w:fldChar w:fldCharType="separate"/>
          </w:r>
          <w:r>
            <w:rPr>
              <w:rFonts w:hint="eastAsia"/>
              <w:spacing w:val="105"/>
              <w:highlight w:val="none"/>
            </w:rPr>
            <w:t>参考文</w:t>
          </w:r>
          <w:r>
            <w:rPr>
              <w:rFonts w:hint="eastAsia"/>
              <w:highlight w:val="none"/>
            </w:rPr>
            <w:t>献</w:t>
          </w:r>
          <w:r>
            <w:tab/>
          </w:r>
          <w:r>
            <w:fldChar w:fldCharType="begin"/>
          </w:r>
          <w:r>
            <w:instrText xml:space="preserve"> PAGEREF _Toc404 \h </w:instrText>
          </w:r>
          <w:r>
            <w:fldChar w:fldCharType="separate"/>
          </w:r>
          <w:r>
            <w:t>19</w:t>
          </w:r>
          <w:r>
            <w:fldChar w:fldCharType="end"/>
          </w:r>
          <w:r>
            <w:rPr>
              <w:rFonts w:hint="eastAsia" w:ascii="黑体" w:hAnsi="Calibri" w:eastAsia="黑体" w:cs="Times New Roman"/>
              <w:spacing w:val="0"/>
              <w:kern w:val="2"/>
              <w:szCs w:val="21"/>
              <w:highlight w:val="none"/>
              <w:lang w:val="en-US" w:eastAsia="zh-CN" w:bidi="ar-SA"/>
            </w:rPr>
            <w:fldChar w:fldCharType="end"/>
          </w:r>
        </w:p>
        <w:p>
          <w:pPr>
            <w:pStyle w:val="93"/>
            <w:bidi w:val="0"/>
            <w:jc w:val="both"/>
            <w:rPr>
              <w:rFonts w:hint="eastAsia" w:ascii="黑体" w:hAnsi="Calibri" w:eastAsia="黑体" w:cs="Times New Roman"/>
              <w:spacing w:val="0"/>
              <w:kern w:val="2"/>
              <w:sz w:val="32"/>
              <w:szCs w:val="21"/>
              <w:highlight w:val="none"/>
              <w:lang w:val="en-US" w:eastAsia="zh-CN" w:bidi="ar-SA"/>
            </w:rPr>
          </w:pPr>
          <w:r>
            <w:rPr>
              <w:rFonts w:hint="eastAsia" w:ascii="黑体" w:hAnsi="Calibri" w:eastAsia="黑体" w:cs="Times New Roman"/>
              <w:spacing w:val="0"/>
              <w:kern w:val="2"/>
              <w:szCs w:val="21"/>
              <w:highlight w:val="none"/>
              <w:lang w:val="en-US" w:eastAsia="zh-CN" w:bidi="ar-SA"/>
            </w:rPr>
            <w:fldChar w:fldCharType="end"/>
          </w:r>
        </w:p>
      </w:sdtContent>
    </w:sdt>
    <w:p>
      <w:pPr>
        <w:pStyle w:val="93"/>
        <w:bidi w:val="0"/>
        <w:jc w:val="both"/>
        <w:rPr>
          <w:rFonts w:hint="eastAsia" w:ascii="黑体" w:hAnsi="Calibri" w:eastAsia="黑体" w:cs="Times New Roman"/>
          <w:spacing w:val="0"/>
          <w:kern w:val="2"/>
          <w:sz w:val="32"/>
          <w:szCs w:val="21"/>
          <w:highlight w:val="none"/>
          <w:lang w:val="en-US" w:eastAsia="zh-CN" w:bidi="ar-SA"/>
        </w:rPr>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p>
    <w:p>
      <w:pPr>
        <w:pStyle w:val="93"/>
        <w:keepNext w:val="0"/>
        <w:keepLines w:val="0"/>
        <w:pageBreakBefore w:val="0"/>
        <w:widowControl w:val="0"/>
        <w:kinsoku/>
        <w:wordWrap/>
        <w:overflowPunct/>
        <w:topLinePunct w:val="0"/>
        <w:autoSpaceDE/>
        <w:autoSpaceDN/>
        <w:bidi w:val="0"/>
        <w:adjustRightInd w:val="0"/>
        <w:snapToGrid/>
        <w:jc w:val="center"/>
        <w:textAlignment w:val="auto"/>
        <w:outlineLvl w:val="0"/>
        <w:rPr>
          <w:rFonts w:hint="eastAsia"/>
          <w:spacing w:val="320"/>
          <w:highlight w:val="none"/>
          <w:lang w:eastAsia="zh-CN"/>
        </w:rPr>
      </w:pPr>
      <w:bookmarkStart w:id="20" w:name="_Toc22217"/>
      <w:bookmarkStart w:id="21" w:name="BookMark2"/>
      <w:r>
        <w:rPr>
          <w:rFonts w:hint="eastAsia"/>
          <w:spacing w:val="320"/>
          <w:highlight w:val="none"/>
          <w:lang w:val="en-US" w:eastAsia="zh-CN"/>
        </w:rPr>
        <w:t>前言</w:t>
      </w:r>
      <w:bookmarkEnd w:id="20"/>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本文件按照GB/T</w:t>
      </w:r>
      <w:r>
        <w:rPr>
          <w:rFonts w:hint="eastAsia"/>
          <w:highlight w:val="none"/>
          <w:lang w:val="en-US" w:eastAsia="zh-CN"/>
        </w:rPr>
        <w:t xml:space="preserve"> </w:t>
      </w:r>
      <w:r>
        <w:rPr>
          <w:rFonts w:hint="eastAsia"/>
          <w:highlight w:val="none"/>
        </w:rPr>
        <w:t>1.1-2020《标准化工作导则</w:t>
      </w:r>
      <w:r>
        <w:rPr>
          <w:rFonts w:hint="eastAsia"/>
          <w:highlight w:val="none"/>
          <w:lang w:val="en-US" w:eastAsia="zh-CN"/>
        </w:rPr>
        <w:t xml:space="preserve"> </w:t>
      </w:r>
      <w:r>
        <w:rPr>
          <w:rFonts w:hint="eastAsia"/>
          <w:highlight w:val="none"/>
        </w:rPr>
        <w:t>第1部分：标准化文件的结构和起草规则》的规定起草。</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本文件代替DB11/T</w:t>
      </w:r>
      <w:r>
        <w:rPr>
          <w:rFonts w:hint="eastAsia"/>
          <w:highlight w:val="none"/>
          <w:lang w:val="en-US" w:eastAsia="zh-CN"/>
        </w:rPr>
        <w:t xml:space="preserve"> </w:t>
      </w:r>
      <w:r>
        <w:rPr>
          <w:rFonts w:hint="eastAsia"/>
          <w:highlight w:val="none"/>
        </w:rPr>
        <w:t>1322.66-2019《安全生产等级评定技术规范 第66部分：水利施工企业》，与DB11/T</w:t>
      </w:r>
      <w:r>
        <w:rPr>
          <w:rFonts w:hint="eastAsia"/>
          <w:highlight w:val="none"/>
          <w:lang w:val="en-US" w:eastAsia="zh-CN"/>
        </w:rPr>
        <w:t xml:space="preserve"> </w:t>
      </w:r>
      <w:r>
        <w:rPr>
          <w:rFonts w:hint="eastAsia"/>
          <w:highlight w:val="none"/>
        </w:rPr>
        <w:t>1322.66-2019相比，除结构调整和编辑性改动外，主要技术变化如下：</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增加了术语和定义（见第3章）；</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删除了基础管理要求中的一般要求（见2019年版的3.1.1）；</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lang w:eastAsia="zh-CN"/>
        </w:rPr>
        <w:t>增加了领导作用（见4.1）；</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增加了基础保障（见4.2）；</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修改了组织保障中安全生产委员会、安全生产管理机构和专职安全生产管理人员配备要求（见4.2.1.1、4.2.1.2，2019年版的3.1.3.1）；</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修改了安全生产教育培训（见4.6.</w:t>
      </w:r>
      <w:r>
        <w:rPr>
          <w:rFonts w:hint="eastAsia"/>
          <w:highlight w:val="none"/>
          <w:lang w:val="en-US" w:eastAsia="zh-CN"/>
        </w:rPr>
        <w:t>2</w:t>
      </w:r>
      <w:r>
        <w:rPr>
          <w:rFonts w:hint="eastAsia"/>
          <w:highlight w:val="none"/>
        </w:rPr>
        <w:t>，2019年版的3.1.4）；</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修改了安全生产投入（见4.2.4，2019年版的3.1.6）；</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增加了策划（见4.3）；</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修改了安全生产目标（见4.3.2，2019年版的3.1.5）；</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删除了重大危险源（见2019年版的3.1.9）；</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删除了变更管理（见2019年版的3.1.10）；</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删除了事故</w:t>
      </w:r>
      <w:r>
        <w:rPr>
          <w:rFonts w:hint="eastAsia"/>
          <w:highlight w:val="none"/>
          <w:lang w:val="en-US" w:eastAsia="zh-CN"/>
        </w:rPr>
        <w:t>报告、</w:t>
      </w:r>
      <w:r>
        <w:rPr>
          <w:rFonts w:hint="eastAsia"/>
          <w:highlight w:val="none"/>
        </w:rPr>
        <w:t>调查</w:t>
      </w:r>
      <w:r>
        <w:rPr>
          <w:rFonts w:hint="eastAsia"/>
          <w:highlight w:val="none"/>
          <w:lang w:val="en-US" w:eastAsia="zh-CN"/>
        </w:rPr>
        <w:t>和</w:t>
      </w:r>
      <w:r>
        <w:rPr>
          <w:rFonts w:hint="eastAsia"/>
          <w:highlight w:val="none"/>
        </w:rPr>
        <w:t>处理（见2019年版的3.1.11）；</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增加了安全风险分级管控（见4.4）；</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lang w:eastAsia="zh-CN"/>
        </w:rPr>
        <w:t>增加了隐患排查治理（见4.5）；</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增加了行为管控（见4.6.</w:t>
      </w:r>
      <w:r>
        <w:rPr>
          <w:rFonts w:hint="eastAsia"/>
          <w:highlight w:val="none"/>
          <w:lang w:val="en-US" w:eastAsia="zh-CN"/>
        </w:rPr>
        <w:t>3</w:t>
      </w:r>
      <w:r>
        <w:rPr>
          <w:rFonts w:hint="eastAsia"/>
          <w:highlight w:val="none"/>
        </w:rPr>
        <w:t>）；</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修改了</w:t>
      </w:r>
      <w:r>
        <w:rPr>
          <w:rFonts w:hint="eastAsia"/>
          <w:highlight w:val="none"/>
          <w:lang w:val="en-US" w:eastAsia="zh-CN"/>
        </w:rPr>
        <w:t>场所环境</w:t>
      </w:r>
      <w:r>
        <w:rPr>
          <w:rFonts w:hint="eastAsia"/>
          <w:highlight w:val="none"/>
        </w:rPr>
        <w:t>（见4.7，2019年版的3.2）；</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删除了操作人员行为规范中的一般要求（见2019年版的3.10.1）；</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highlight w:val="none"/>
        </w:rPr>
      </w:pPr>
      <w:r>
        <w:rPr>
          <w:rFonts w:hint="eastAsia"/>
          <w:highlight w:val="none"/>
        </w:rPr>
        <w:t>增加了应急管理（见4.8）</w:t>
      </w:r>
      <w:r>
        <w:rPr>
          <w:rFonts w:hint="eastAsia"/>
          <w:highlight w:val="none"/>
          <w:lang w:eastAsia="zh-CN"/>
        </w:rPr>
        <w:t>；</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color w:val="auto"/>
          <w:highlight w:val="none"/>
        </w:rPr>
      </w:pPr>
      <w:r>
        <w:rPr>
          <w:rFonts w:hint="eastAsia"/>
          <w:color w:val="auto"/>
          <w:highlight w:val="none"/>
          <w:lang w:val="en-US" w:eastAsia="zh-CN"/>
        </w:rPr>
        <w:t>增加了实施要求（见第5章）；</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color w:val="auto"/>
          <w:highlight w:val="none"/>
        </w:rPr>
      </w:pPr>
      <w:r>
        <w:rPr>
          <w:rFonts w:hint="eastAsia"/>
          <w:color w:val="auto"/>
          <w:highlight w:val="none"/>
        </w:rPr>
        <w:t>删除了评定细则（见201</w:t>
      </w:r>
      <w:r>
        <w:rPr>
          <w:rFonts w:hint="eastAsia"/>
          <w:color w:val="auto"/>
          <w:highlight w:val="none"/>
          <w:lang w:val="en-US" w:eastAsia="zh-CN"/>
        </w:rPr>
        <w:t>9年版</w:t>
      </w:r>
      <w:r>
        <w:rPr>
          <w:rFonts w:hint="eastAsia"/>
          <w:color w:val="auto"/>
          <w:highlight w:val="none"/>
        </w:rPr>
        <w:t>的第4章）</w:t>
      </w:r>
      <w:r>
        <w:rPr>
          <w:rFonts w:hint="eastAsia"/>
          <w:color w:val="auto"/>
          <w:highlight w:val="none"/>
          <w:lang w:eastAsia="zh-CN"/>
        </w:rPr>
        <w:t>；</w:t>
      </w:r>
    </w:p>
    <w:p>
      <w:pPr>
        <w:pStyle w:val="176"/>
        <w:keepNext w:val="0"/>
        <w:keepLines w:val="0"/>
        <w:pageBreakBefore w:val="0"/>
        <w:widowControl/>
        <w:kinsoku/>
        <w:wordWrap w:val="0"/>
        <w:overflowPunct/>
        <w:topLinePunct w:val="0"/>
        <w:autoSpaceDE/>
        <w:autoSpaceDN/>
        <w:bidi w:val="0"/>
        <w:adjustRightInd/>
        <w:snapToGrid/>
        <w:ind w:left="851" w:leftChars="0" w:hanging="426" w:firstLineChars="0"/>
        <w:textAlignment w:val="auto"/>
        <w:rPr>
          <w:color w:val="auto"/>
          <w:highlight w:val="none"/>
        </w:rPr>
      </w:pPr>
      <w:r>
        <w:rPr>
          <w:rFonts w:hint="eastAsia"/>
          <w:color w:val="auto"/>
          <w:highlight w:val="none"/>
          <w:lang w:val="en-US" w:eastAsia="zh-CN"/>
        </w:rPr>
        <w:t>删除了附录A至附录K(见2019年版的附录A、附录B、附录C、附录D、附录E、附录F、附录G、附录H、附录I、附录J、附录K)。</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color w:val="auto"/>
          <w:highlight w:val="none"/>
        </w:rPr>
      </w:pPr>
      <w:r>
        <w:rPr>
          <w:rFonts w:hint="eastAsia"/>
          <w:color w:val="auto"/>
          <w:highlight w:val="none"/>
        </w:rPr>
        <w:t>本文件由</w:t>
      </w:r>
      <w:r>
        <w:rPr>
          <w:rFonts w:hint="eastAsia"/>
          <w:color w:val="auto"/>
          <w:highlight w:val="none"/>
          <w:lang w:val="en-US" w:eastAsia="zh-CN"/>
        </w:rPr>
        <w:t>北京市水务局提出并归口</w:t>
      </w:r>
      <w:r>
        <w:rPr>
          <w:rFonts w:hint="eastAsia"/>
          <w:color w:val="auto"/>
          <w:highlight w:val="none"/>
        </w:rPr>
        <w:t>。</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本文件由</w:t>
      </w:r>
      <w:r>
        <w:rPr>
          <w:rFonts w:hint="eastAsia"/>
          <w:highlight w:val="none"/>
          <w:lang w:val="en-US" w:eastAsia="zh-CN"/>
        </w:rPr>
        <w:t>北京市水务局组织实施</w:t>
      </w:r>
      <w:r>
        <w:rPr>
          <w:rFonts w:hint="eastAsia"/>
          <w:highlight w:val="none"/>
        </w:rPr>
        <w:t>。</w:t>
      </w:r>
    </w:p>
    <w:p>
      <w:pPr>
        <w:pStyle w:val="58"/>
        <w:keepNext w:val="0"/>
        <w:keepLines w:val="0"/>
        <w:pageBreakBefore w:val="0"/>
        <w:widowControl/>
        <w:kinsoku/>
        <w:wordWrap w:val="0"/>
        <w:overflowPunct/>
        <w:topLinePunct w:val="0"/>
        <w:autoSpaceDE/>
        <w:autoSpaceDN/>
        <w:bidi w:val="0"/>
        <w:adjustRightInd/>
        <w:snapToGrid/>
        <w:ind w:firstLine="420"/>
        <w:textAlignment w:val="auto"/>
        <w:rPr>
          <w:highlight w:val="none"/>
        </w:rPr>
      </w:pPr>
      <w:r>
        <w:rPr>
          <w:rFonts w:hint="eastAsia"/>
          <w:highlight w:val="none"/>
        </w:rPr>
        <w:t>本文件起草单位：</w:t>
      </w:r>
    </w:p>
    <w:p>
      <w:pPr>
        <w:pStyle w:val="58"/>
        <w:keepNext w:val="0"/>
        <w:keepLines w:val="0"/>
        <w:pageBreakBefore w:val="0"/>
        <w:widowControl/>
        <w:kinsoku/>
        <w:wordWrap w:val="0"/>
        <w:overflowPunct/>
        <w:topLinePunct w:val="0"/>
        <w:autoSpaceDE/>
        <w:autoSpaceDN/>
        <w:bidi w:val="0"/>
        <w:adjustRightInd/>
        <w:snapToGrid/>
        <w:ind w:firstLine="420"/>
        <w:textAlignment w:val="auto"/>
        <w:rPr>
          <w:highlight w:val="none"/>
        </w:rPr>
      </w:pPr>
      <w:r>
        <w:rPr>
          <w:rFonts w:hint="eastAsia"/>
          <w:highlight w:val="none"/>
        </w:rPr>
        <w:t>本文件主要起草人：</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本文件及其所代替文件的历次版本发布情况为：</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——2019年首次发布为DB11/T</w:t>
      </w:r>
      <w:r>
        <w:rPr>
          <w:rFonts w:hint="eastAsia"/>
          <w:highlight w:val="none"/>
          <w:lang w:val="en-US" w:eastAsia="zh-CN"/>
        </w:rPr>
        <w:t xml:space="preserve"> </w:t>
      </w:r>
      <w:r>
        <w:rPr>
          <w:rFonts w:hint="eastAsia"/>
          <w:highlight w:val="none"/>
        </w:rPr>
        <w:t>1322.66—2019；</w:t>
      </w:r>
    </w:p>
    <w:p>
      <w:pPr>
        <w:pStyle w:val="58"/>
        <w:keepNext w:val="0"/>
        <w:keepLines w:val="0"/>
        <w:pageBreakBefore w:val="0"/>
        <w:widowControl/>
        <w:kinsoku/>
        <w:wordWrap w:val="0"/>
        <w:overflowPunct/>
        <w:topLinePunct w:val="0"/>
        <w:autoSpaceDE/>
        <w:autoSpaceDN/>
        <w:bidi w:val="0"/>
        <w:adjustRightInd/>
        <w:snapToGrid/>
        <w:ind w:firstLine="420"/>
        <w:textAlignment w:val="auto"/>
        <w:rPr>
          <w:highlight w:val="none"/>
        </w:rPr>
      </w:pPr>
      <w:r>
        <w:rPr>
          <w:rFonts w:hint="eastAsia"/>
          <w:highlight w:val="none"/>
        </w:rPr>
        <w:t>——本次为第一次修订。</w:t>
      </w:r>
    </w:p>
    <w:p>
      <w:pPr>
        <w:pStyle w:val="58"/>
        <w:ind w:firstLine="420"/>
        <w:rPr>
          <w:highlight w:val="none"/>
        </w:rPr>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p>
    <w:bookmarkEnd w:id="21"/>
    <w:p>
      <w:pPr>
        <w:pStyle w:val="93"/>
        <w:bidi w:val="0"/>
        <w:jc w:val="center"/>
        <w:outlineLvl w:val="0"/>
        <w:rPr>
          <w:rFonts w:hint="eastAsia"/>
          <w:spacing w:val="320"/>
          <w:highlight w:val="none"/>
          <w:lang w:val="en-US" w:eastAsia="zh-CN"/>
        </w:rPr>
      </w:pPr>
      <w:bookmarkStart w:id="22" w:name="_Toc13723"/>
      <w:bookmarkStart w:id="23" w:name="_Toc208403390"/>
      <w:bookmarkStart w:id="24" w:name="_Toc207877289"/>
      <w:bookmarkStart w:id="25" w:name="BookMark3"/>
      <w:r>
        <w:rPr>
          <w:rFonts w:hint="eastAsia"/>
          <w:spacing w:val="320"/>
          <w:highlight w:val="none"/>
          <w:lang w:val="en-US" w:eastAsia="zh-CN"/>
        </w:rPr>
        <w:t>引言</w:t>
      </w:r>
      <w:bookmarkEnd w:id="22"/>
      <w:bookmarkEnd w:id="23"/>
      <w:bookmarkEnd w:id="24"/>
    </w:p>
    <w:p>
      <w:pPr>
        <w:pStyle w:val="58"/>
        <w:keepNext w:val="0"/>
        <w:keepLines w:val="0"/>
        <w:pageBreakBefore w:val="0"/>
        <w:widowControl/>
        <w:kinsoku/>
        <w:wordWrap/>
        <w:overflowPunct/>
        <w:topLinePunct w:val="0"/>
        <w:autoSpaceDE w:val="0"/>
        <w:autoSpaceDN w:val="0"/>
        <w:bidi w:val="0"/>
        <w:adjustRightInd/>
        <w:snapToGrid/>
        <w:ind w:firstLine="420"/>
        <w:textAlignment w:val="auto"/>
        <w:rPr>
          <w:rFonts w:hint="eastAsia"/>
          <w:color w:val="auto"/>
          <w:highlight w:val="none"/>
        </w:rPr>
      </w:pPr>
      <w:r>
        <w:rPr>
          <w:rFonts w:hint="eastAsia"/>
          <w:color w:val="auto"/>
          <w:highlight w:val="none"/>
        </w:rPr>
        <w:t>为贯彻落实《中华人民共和国安全生产法》《北京市安全生产条例》关于构建安全风险分级管控和隐患排查治理双重预防机制的要求，响应水利部《关于印发构建水利安全生产风险管控 “六项机制” 的实施意见》（水监督〔2022〕309号）的决策要求，规范水利施工企业安全生产标准化</w:t>
      </w:r>
      <w:r>
        <w:rPr>
          <w:rFonts w:hint="eastAsia"/>
          <w:color w:val="auto"/>
          <w:highlight w:val="none"/>
          <w:lang w:val="en-US" w:eastAsia="zh-CN"/>
        </w:rPr>
        <w:t>指标</w:t>
      </w:r>
      <w:r>
        <w:rPr>
          <w:rFonts w:hint="eastAsia"/>
          <w:color w:val="auto"/>
          <w:highlight w:val="none"/>
        </w:rPr>
        <w:t>体系</w:t>
      </w:r>
      <w:r>
        <w:rPr>
          <w:rFonts w:hint="eastAsia"/>
          <w:color w:val="auto"/>
          <w:highlight w:val="none"/>
          <w:lang w:eastAsia="zh-CN"/>
        </w:rPr>
        <w:t>和</w:t>
      </w:r>
      <w:r>
        <w:rPr>
          <w:rFonts w:hint="eastAsia"/>
          <w:color w:val="auto"/>
          <w:highlight w:val="none"/>
        </w:rPr>
        <w:t>实施</w:t>
      </w:r>
      <w:r>
        <w:rPr>
          <w:rFonts w:hint="eastAsia"/>
          <w:color w:val="auto"/>
          <w:highlight w:val="none"/>
          <w:lang w:val="en-US" w:eastAsia="zh-CN"/>
        </w:rPr>
        <w:t>相关</w:t>
      </w:r>
      <w:r>
        <w:rPr>
          <w:rFonts w:hint="eastAsia"/>
          <w:color w:val="auto"/>
          <w:highlight w:val="none"/>
        </w:rPr>
        <w:t>工作，防范化解水利工程建设过程中的重大安全风险，保障从业人员生命财产安全和工程建设安全，依据《中华人民共和国安全生产法》等法律法规，结合水利行业特点，制定本文件。​​</w:t>
      </w:r>
    </w:p>
    <w:p>
      <w:pPr>
        <w:pStyle w:val="58"/>
        <w:keepNext w:val="0"/>
        <w:keepLines w:val="0"/>
        <w:pageBreakBefore w:val="0"/>
        <w:widowControl/>
        <w:kinsoku/>
        <w:wordWrap/>
        <w:overflowPunct/>
        <w:topLinePunct w:val="0"/>
        <w:autoSpaceDE w:val="0"/>
        <w:autoSpaceDN w:val="0"/>
        <w:bidi w:val="0"/>
        <w:adjustRightInd/>
        <w:snapToGrid/>
        <w:ind w:firstLine="420"/>
        <w:textAlignment w:val="auto"/>
        <w:rPr>
          <w:rFonts w:hint="eastAsia"/>
          <w:color w:val="auto"/>
          <w:highlight w:val="none"/>
          <w:lang w:val="en-US" w:eastAsia="zh-CN"/>
        </w:rPr>
      </w:pPr>
      <w:r>
        <w:rPr>
          <w:rFonts w:hint="eastAsia"/>
          <w:color w:val="auto"/>
          <w:highlight w:val="none"/>
          <w:lang w:val="en-US" w:eastAsia="zh-CN"/>
        </w:rPr>
        <w:t>本文件为《安全生产标准化指标体系</w:t>
      </w:r>
      <w:r>
        <w:rPr>
          <w:rFonts w:hint="eastAsia"/>
          <w:color w:val="auto"/>
          <w:highlight w:val="none"/>
          <w:lang w:eastAsia="zh-CN"/>
        </w:rPr>
        <w:t>和</w:t>
      </w:r>
      <w:r>
        <w:rPr>
          <w:rFonts w:hint="eastAsia"/>
          <w:color w:val="auto"/>
          <w:highlight w:val="none"/>
          <w:lang w:val="en-US" w:eastAsia="zh-CN"/>
        </w:rPr>
        <w:t>实施要求》（以下简称“本系列标准”）的第66部分。本系列标准遵循“总则定框架、专项强适配”的层级化构建原则，构建分层分类的安全生产标准化指标体系。本文件立足水利施工行业生产作业特性，针对性提出专项实施要求，实现安全生产标准化指标体系在水利施工领域的精准落地。</w:t>
      </w:r>
    </w:p>
    <w:p>
      <w:pPr>
        <w:pStyle w:val="58"/>
        <w:keepNext w:val="0"/>
        <w:keepLines w:val="0"/>
        <w:pageBreakBefore w:val="0"/>
        <w:widowControl/>
        <w:kinsoku/>
        <w:wordWrap/>
        <w:overflowPunct/>
        <w:topLinePunct w:val="0"/>
        <w:autoSpaceDE w:val="0"/>
        <w:autoSpaceDN w:val="0"/>
        <w:bidi w:val="0"/>
        <w:adjustRightInd/>
        <w:snapToGrid/>
        <w:ind w:firstLine="420"/>
        <w:textAlignment w:val="auto"/>
        <w:rPr>
          <w:rFonts w:hint="eastAsia"/>
          <w:color w:val="auto"/>
          <w:highlight w:val="none"/>
        </w:rPr>
      </w:pPr>
      <w:r>
        <w:rPr>
          <w:rFonts w:hint="eastAsia"/>
          <w:color w:val="auto"/>
          <w:highlight w:val="none"/>
        </w:rPr>
        <w:t>本文件修订过程中，</w:t>
      </w:r>
      <w:r>
        <w:rPr>
          <w:rFonts w:hint="eastAsia"/>
          <w:color w:val="auto"/>
          <w:highlight w:val="none"/>
          <w:lang w:eastAsia="zh-CN"/>
        </w:rPr>
        <w:t>遵循</w:t>
      </w:r>
      <w:r>
        <w:rPr>
          <w:rFonts w:hint="eastAsia"/>
          <w:color w:val="auto"/>
          <w:highlight w:val="none"/>
        </w:rPr>
        <w:t>第1部分</w:t>
      </w:r>
      <w:r>
        <w:rPr>
          <w:rFonts w:hint="eastAsia"/>
          <w:color w:val="auto"/>
          <w:highlight w:val="none"/>
          <w:lang w:val="en-US" w:eastAsia="zh-CN"/>
        </w:rPr>
        <w:t>总则</w:t>
      </w:r>
      <w:r>
        <w:rPr>
          <w:rFonts w:hint="eastAsia"/>
          <w:color w:val="auto"/>
          <w:highlight w:val="none"/>
          <w:lang w:eastAsia="zh-CN"/>
        </w:rPr>
        <w:t>的基本原则开展修订工作</w:t>
      </w:r>
      <w:r>
        <w:rPr>
          <w:rFonts w:hint="eastAsia"/>
          <w:color w:val="auto"/>
          <w:highlight w:val="none"/>
        </w:rPr>
        <w:t>：对于共性管理条款，直接引用通用标准编号并明确适用场景；对于行业特殊需求，在不突破总则框架的前提下增设专项章节；对于技术指标冲突，执行“行业规范优先、通用要求兜底”规则。通过体系化衔接，既保障了跨行业评定标准的统一性，又解决了通用标准在水利施工领域“针对性不足”的问题，为精准评估水利施工企业安全管理水平、推动企业落实主体责任提供技术支撑。​​​</w:t>
      </w:r>
    </w:p>
    <w:p>
      <w:pPr>
        <w:pStyle w:val="58"/>
        <w:rPr>
          <w:color w:val="auto"/>
          <w:highlight w:val="none"/>
        </w:rPr>
        <w:sectPr>
          <w:headerReference r:id="rId17" w:type="default"/>
          <w:footerReference r:id="rId19" w:type="default"/>
          <w:headerReference r:id="rId18" w:type="even"/>
          <w:footerReference r:id="rId20" w:type="even"/>
          <w:pgSz w:w="11906" w:h="16838"/>
          <w:pgMar w:top="1928" w:right="1134" w:bottom="1134" w:left="1134" w:header="1418" w:footer="1134" w:gutter="284"/>
          <w:pgNumType w:fmt="upperRoman"/>
          <w:cols w:space="425" w:num="1"/>
          <w:formProt w:val="0"/>
          <w:docGrid w:type="lines" w:linePitch="312" w:charSpace="0"/>
        </w:sectPr>
      </w:pPr>
    </w:p>
    <w:bookmarkEnd w:id="25"/>
    <w:p>
      <w:pPr>
        <w:spacing w:line="20" w:lineRule="exact"/>
        <w:jc w:val="center"/>
        <w:rPr>
          <w:rFonts w:ascii="黑体" w:hAnsi="黑体" w:eastAsia="黑体"/>
          <w:sz w:val="32"/>
          <w:szCs w:val="32"/>
          <w:highlight w:val="none"/>
        </w:rPr>
      </w:pPr>
      <w:bookmarkStart w:id="26" w:name="BookMark4"/>
    </w:p>
    <w:p>
      <w:pPr>
        <w:spacing w:line="20" w:lineRule="exact"/>
        <w:jc w:val="center"/>
        <w:rPr>
          <w:rFonts w:ascii="黑体" w:hAnsi="黑体" w:eastAsia="黑体"/>
          <w:sz w:val="32"/>
          <w:szCs w:val="32"/>
          <w:highlight w:val="none"/>
        </w:rPr>
      </w:pPr>
    </w:p>
    <w:sdt>
      <w:sdtPr>
        <w:rPr>
          <w:highlight w:val="none"/>
        </w:rPr>
        <w:tag w:val="NEW_STAND_NAME"/>
        <w:id w:val="595910757"/>
        <w:lock w:val="sdtLocked"/>
        <w:placeholder>
          <w:docPart w:val="B5154B8C170A436DA546265414E75DEC"/>
        </w:placeholder>
      </w:sdtPr>
      <w:sdtEndPr>
        <w:rPr>
          <w:highlight w:val="none"/>
        </w:rPr>
      </w:sdtEndPr>
      <w:sdtContent>
        <w:p>
          <w:pPr>
            <w:pStyle w:val="179"/>
            <w:bidi w:val="0"/>
            <w:spacing w:before="4" w:beforeLines="1" w:after="680"/>
            <w:rPr>
              <w:highlight w:val="none"/>
            </w:rPr>
          </w:pPr>
          <w:bookmarkStart w:id="27" w:name="NEW_STAND_NAME"/>
          <w:r>
            <w:rPr>
              <w:rFonts w:hint="eastAsia"/>
              <w:highlight w:val="none"/>
              <w:lang w:eastAsia="zh-CN"/>
            </w:rPr>
            <w:t>安全生产标准化管理体系实施要求</w:t>
          </w:r>
          <w:r>
            <w:rPr>
              <w:rFonts w:hint="eastAsia"/>
              <w:highlight w:val="none"/>
              <w:lang w:val="en-US" w:eastAsia="zh-CN"/>
            </w:rPr>
            <w:t xml:space="preserve">                                    第66部分：水利施工企业</w:t>
          </w:r>
        </w:p>
      </w:sdtContent>
    </w:sdt>
    <w:bookmarkEnd w:id="27"/>
    <w:p>
      <w:pPr>
        <w:pStyle w:val="106"/>
        <w:keepNext w:val="0"/>
        <w:keepLines w:val="0"/>
        <w:pageBreakBefore w:val="0"/>
        <w:widowControl/>
        <w:kinsoku/>
        <w:wordWrap/>
        <w:overflowPunct/>
        <w:topLinePunct w:val="0"/>
        <w:autoSpaceDE/>
        <w:autoSpaceDN/>
        <w:bidi w:val="0"/>
        <w:adjustRightInd/>
        <w:snapToGrid/>
        <w:spacing w:before="312" w:after="312"/>
        <w:textAlignment w:val="auto"/>
        <w:rPr>
          <w:highlight w:val="none"/>
        </w:rPr>
      </w:pPr>
      <w:bookmarkStart w:id="28" w:name="_Toc12927"/>
      <w:bookmarkStart w:id="29" w:name="_Toc21535"/>
      <w:bookmarkStart w:id="30" w:name="_Toc26986771"/>
      <w:bookmarkStart w:id="31" w:name="_Toc17233333"/>
      <w:bookmarkStart w:id="32" w:name="_Toc207877290"/>
      <w:bookmarkStart w:id="33" w:name="_Toc26986530"/>
      <w:bookmarkStart w:id="34" w:name="_Toc24884211"/>
      <w:bookmarkStart w:id="35" w:name="_Toc26718930"/>
      <w:bookmarkStart w:id="36" w:name="_Toc17233325"/>
      <w:bookmarkStart w:id="37" w:name="_Toc26648465"/>
      <w:bookmarkStart w:id="38" w:name="_Toc24884218"/>
      <w:bookmarkStart w:id="39" w:name="_Toc97191423"/>
      <w:bookmarkStart w:id="40" w:name="_Toc208403391"/>
      <w:r>
        <w:rPr>
          <w:rFonts w:hint="eastAsia"/>
          <w:highlight w:val="none"/>
        </w:rPr>
        <w:t>范围</w:t>
      </w:r>
      <w:bookmarkEnd w:id="28"/>
      <w:bookmarkEnd w:id="29"/>
      <w:bookmarkEnd w:id="30"/>
      <w:bookmarkEnd w:id="31"/>
      <w:bookmarkEnd w:id="32"/>
      <w:bookmarkEnd w:id="33"/>
      <w:bookmarkEnd w:id="34"/>
      <w:bookmarkEnd w:id="35"/>
      <w:bookmarkEnd w:id="36"/>
      <w:bookmarkEnd w:id="37"/>
      <w:bookmarkEnd w:id="38"/>
      <w:bookmarkEnd w:id="39"/>
      <w:bookmarkEnd w:id="40"/>
    </w:p>
    <w:p>
      <w:pPr>
        <w:pStyle w:val="58"/>
        <w:keepNext w:val="0"/>
        <w:keepLines w:val="0"/>
        <w:pageBreakBefore w:val="0"/>
        <w:kinsoku/>
        <w:wordWrap/>
        <w:overflowPunct/>
        <w:topLinePunct w:val="0"/>
        <w:bidi w:val="0"/>
        <w:adjustRightInd/>
        <w:snapToGrid/>
        <w:ind w:firstLine="420"/>
        <w:textAlignment w:val="auto"/>
        <w:rPr>
          <w:rFonts w:hint="default"/>
          <w:highlight w:val="none"/>
          <w:lang w:val="en-US" w:eastAsia="zh-CN"/>
        </w:rPr>
      </w:pPr>
      <w:bookmarkStart w:id="41" w:name="_Toc24884219"/>
      <w:bookmarkStart w:id="42" w:name="_Toc24884212"/>
      <w:bookmarkStart w:id="43" w:name="_Toc17233334"/>
      <w:bookmarkStart w:id="44" w:name="_Toc17233326"/>
      <w:bookmarkStart w:id="45" w:name="_Toc26648466"/>
      <w:r>
        <w:rPr>
          <w:rFonts w:hint="eastAsia"/>
          <w:strike w:val="0"/>
          <w:dstrike w:val="0"/>
          <w:highlight w:val="none"/>
        </w:rPr>
        <w:t>本文件规定了水利施工企业（以下简称“企业”）</w:t>
      </w:r>
      <w:r>
        <w:rPr>
          <w:rFonts w:hint="eastAsia"/>
          <w:strike w:val="0"/>
          <w:dstrike w:val="0"/>
          <w:highlight w:val="none"/>
          <w:lang w:val="en-US" w:eastAsia="zh-CN"/>
        </w:rPr>
        <w:t>实施要求。</w:t>
      </w:r>
    </w:p>
    <w:p>
      <w:pPr>
        <w:pStyle w:val="58"/>
        <w:keepNext w:val="0"/>
        <w:keepLines w:val="0"/>
        <w:pageBreakBefore w:val="0"/>
        <w:kinsoku/>
        <w:wordWrap/>
        <w:overflowPunct/>
        <w:topLinePunct w:val="0"/>
        <w:bidi w:val="0"/>
        <w:adjustRightInd/>
        <w:snapToGrid/>
        <w:ind w:firstLine="420"/>
        <w:textAlignment w:val="auto"/>
        <w:rPr>
          <w:rFonts w:hint="eastAsia"/>
          <w:highlight w:val="none"/>
        </w:rPr>
      </w:pPr>
      <w:r>
        <w:rPr>
          <w:rFonts w:hint="eastAsia"/>
          <w:highlight w:val="none"/>
        </w:rPr>
        <w:t>本文件适用于企业安全生产</w:t>
      </w:r>
      <w:r>
        <w:rPr>
          <w:rFonts w:hint="eastAsia"/>
          <w:highlight w:val="none"/>
          <w:lang w:val="en-US" w:eastAsia="zh-CN"/>
        </w:rPr>
        <w:t>标准化</w:t>
      </w:r>
      <w:r>
        <w:rPr>
          <w:rFonts w:hint="eastAsia"/>
          <w:strike w:val="0"/>
          <w:dstrike w:val="0"/>
          <w:color w:val="auto"/>
          <w:highlight w:val="none"/>
          <w:lang w:val="en-US" w:eastAsia="zh-CN"/>
        </w:rPr>
        <w:t>指标</w:t>
      </w:r>
      <w:r>
        <w:rPr>
          <w:rFonts w:hint="eastAsia"/>
          <w:highlight w:val="none"/>
          <w:lang w:val="en-US" w:eastAsia="zh-CN"/>
        </w:rPr>
        <w:t>体系的建立、实施、保持和持续改进</w:t>
      </w:r>
      <w:r>
        <w:rPr>
          <w:rFonts w:hint="eastAsia"/>
          <w:highlight w:val="none"/>
        </w:rPr>
        <w:t>。</w:t>
      </w:r>
    </w:p>
    <w:p>
      <w:pPr>
        <w:pStyle w:val="106"/>
        <w:keepNext w:val="0"/>
        <w:keepLines w:val="0"/>
        <w:pageBreakBefore w:val="0"/>
        <w:kinsoku/>
        <w:wordWrap/>
        <w:overflowPunct/>
        <w:topLinePunct w:val="0"/>
        <w:bidi w:val="0"/>
        <w:adjustRightInd/>
        <w:snapToGrid/>
        <w:spacing w:before="312" w:after="312"/>
        <w:textAlignment w:val="auto"/>
        <w:rPr>
          <w:highlight w:val="none"/>
        </w:rPr>
      </w:pPr>
      <w:bookmarkStart w:id="46" w:name="_Toc97191424"/>
      <w:bookmarkStart w:id="47" w:name="_Toc4284"/>
      <w:bookmarkStart w:id="48" w:name="_Toc208403392"/>
      <w:bookmarkStart w:id="49" w:name="_Toc26718931"/>
      <w:bookmarkStart w:id="50" w:name="_Toc26986531"/>
      <w:bookmarkStart w:id="51" w:name="_Toc26986772"/>
      <w:bookmarkStart w:id="52" w:name="_Toc207877291"/>
      <w:bookmarkStart w:id="53" w:name="_Toc4407"/>
      <w:r>
        <w:rPr>
          <w:rFonts w:hint="eastAsia"/>
          <w:highlight w:val="none"/>
        </w:rPr>
        <w:t>规范性引用文件</w:t>
      </w:r>
      <w:bookmarkEnd w:id="41"/>
      <w:bookmarkEnd w:id="42"/>
      <w:bookmarkEnd w:id="43"/>
      <w:bookmarkEnd w:id="44"/>
      <w:bookmarkEnd w:id="45"/>
      <w:bookmarkEnd w:id="46"/>
      <w:bookmarkEnd w:id="47"/>
      <w:bookmarkEnd w:id="48"/>
      <w:bookmarkEnd w:id="49"/>
      <w:bookmarkEnd w:id="50"/>
      <w:bookmarkEnd w:id="51"/>
      <w:bookmarkEnd w:id="52"/>
      <w:bookmarkEnd w:id="53"/>
    </w:p>
    <w:sdt>
      <w:sdtPr>
        <w:rPr>
          <w:rFonts w:hint="eastAsia"/>
          <w:highlight w:val="none"/>
        </w:rPr>
        <w:id w:val="715848253"/>
        <w:placeholder>
          <w:docPart w:val="127B604BADC04448AC527C985A6E8E6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highlight w:val="none"/>
        </w:rPr>
      </w:sdtEndPr>
      <w:sdtContent>
        <w:p>
          <w:pPr>
            <w:pStyle w:val="58"/>
            <w:keepNext w:val="0"/>
            <w:keepLines w:val="0"/>
            <w:pageBreakBefore w:val="0"/>
            <w:kinsoku/>
            <w:wordWrap/>
            <w:overflowPunct/>
            <w:topLinePunct w:val="0"/>
            <w:bidi w:val="0"/>
            <w:adjustRightInd/>
            <w:snapToGrid/>
            <w:ind w:firstLine="420"/>
            <w:textAlignment w:val="auto"/>
            <w:rPr>
              <w:rFonts w:hint="default" w:eastAsia="宋体"/>
              <w:highlight w:val="yellow"/>
              <w:lang w:val="en-US" w:eastAsia="zh-CN"/>
            </w:rPr>
          </w:pPr>
          <w:r>
            <w:rPr>
              <w:rFonts w:hint="eastAsia"/>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eastAsia="宋体"/>
          <w:highlight w:val="yellow"/>
          <w:lang w:val="en-US" w:eastAsia="zh-CN"/>
        </w:rPr>
      </w:pPr>
      <w:r>
        <w:rPr>
          <w:rFonts w:hint="eastAsia"/>
          <w:highlight w:val="none"/>
        </w:rPr>
        <w:t>GB 6722 爆破安全规程</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eastAsia="宋体"/>
          <w:highlight w:val="yellow"/>
          <w:lang w:val="en-US" w:eastAsia="zh-CN"/>
        </w:rPr>
      </w:pPr>
      <w:r>
        <w:rPr>
          <w:rFonts w:hint="eastAsia"/>
          <w:highlight w:val="none"/>
          <w:lang w:val="en-US" w:eastAsia="zh-CN"/>
        </w:rPr>
        <w:t>GB 46768 有限空间作业安全技术规范</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hAnsi="黑体" w:eastAsia="宋体" w:cs="Times New Roman"/>
          <w:sz w:val="21"/>
          <w:szCs w:val="52"/>
          <w:highlight w:val="yellow"/>
          <w:lang w:val="en-US" w:eastAsia="zh-CN" w:bidi="ar-SA"/>
        </w:rPr>
      </w:pPr>
      <w:r>
        <w:rPr>
          <w:rFonts w:hint="eastAsia"/>
          <w:highlight w:val="none"/>
        </w:rPr>
        <w:t>GB 50028</w:t>
      </w:r>
      <w:r>
        <w:rPr>
          <w:rFonts w:hint="eastAsia"/>
          <w:highlight w:val="none"/>
          <w:lang w:val="en-US" w:eastAsia="zh-CN"/>
        </w:rPr>
        <w:t xml:space="preserve"> </w:t>
      </w:r>
      <w:r>
        <w:rPr>
          <w:rFonts w:hint="eastAsia"/>
          <w:highlight w:val="none"/>
        </w:rPr>
        <w:t>城镇燃气设计规范</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hAnsi="黑体" w:cs="Times New Roman"/>
          <w:sz w:val="21"/>
          <w:szCs w:val="52"/>
          <w:highlight w:val="yellow"/>
          <w:lang w:val="en-US" w:eastAsia="zh-CN" w:bidi="ar-SA"/>
        </w:rPr>
      </w:pPr>
      <w:r>
        <w:rPr>
          <w:rFonts w:hint="eastAsia"/>
          <w:highlight w:val="none"/>
        </w:rPr>
        <w:t>GB 50268</w:t>
      </w:r>
      <w:r>
        <w:rPr>
          <w:rFonts w:hint="eastAsia"/>
          <w:highlight w:val="none"/>
          <w:lang w:val="en-US" w:eastAsia="zh-CN"/>
        </w:rPr>
        <w:t xml:space="preserve"> </w:t>
      </w:r>
      <w:r>
        <w:rPr>
          <w:rFonts w:hint="eastAsia"/>
          <w:highlight w:val="none"/>
        </w:rPr>
        <w:t>给水排水管道工程施工及验收规范</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GB/T 50720 建设工程施工现场消防安全技术标准</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highlight w:val="none"/>
          <w:lang w:val="en-US"/>
        </w:rPr>
      </w:pPr>
      <w:r>
        <w:rPr>
          <w:rFonts w:hint="eastAsia"/>
          <w:highlight w:val="none"/>
        </w:rPr>
        <w:t>GB 55023 施工脚手架通用规范</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eastAsia="宋体"/>
          <w:color w:val="auto"/>
          <w:highlight w:val="none"/>
          <w:lang w:val="en-US" w:eastAsia="zh-CN"/>
        </w:rPr>
      </w:pPr>
      <w:r>
        <w:rPr>
          <w:rFonts w:hint="eastAsia"/>
          <w:highlight w:val="none"/>
        </w:rPr>
        <w:t>GB 55037</w:t>
      </w:r>
      <w:r>
        <w:rPr>
          <w:rFonts w:hint="eastAsia"/>
          <w:highlight w:val="none"/>
          <w:lang w:val="en-US" w:eastAsia="zh-CN"/>
        </w:rPr>
        <w:t xml:space="preserve"> </w:t>
      </w:r>
      <w:r>
        <w:rPr>
          <w:rFonts w:hint="eastAsia"/>
          <w:highlight w:val="none"/>
        </w:rPr>
        <w:t>建筑防火通用规范</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color w:val="auto"/>
          <w:highlight w:val="none"/>
        </w:rPr>
      </w:pPr>
      <w:r>
        <w:rPr>
          <w:rFonts w:hint="eastAsia"/>
          <w:color w:val="auto"/>
          <w:highlight w:val="none"/>
        </w:rPr>
        <w:t>SL 398</w:t>
      </w:r>
      <w:r>
        <w:rPr>
          <w:rFonts w:hint="eastAsia"/>
          <w:color w:val="auto"/>
          <w:highlight w:val="none"/>
          <w:lang w:val="en-US" w:eastAsia="zh-CN"/>
        </w:rPr>
        <w:t xml:space="preserve"> </w:t>
      </w:r>
      <w:r>
        <w:rPr>
          <w:rFonts w:hint="eastAsia"/>
          <w:color w:val="auto"/>
          <w:highlight w:val="none"/>
        </w:rPr>
        <w:t>水利水电工程施工通用安全技术规程</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color w:val="auto"/>
          <w:highlight w:val="none"/>
          <w:lang w:val="en-US" w:eastAsia="zh-CN"/>
        </w:rPr>
      </w:pPr>
      <w:r>
        <w:rPr>
          <w:rFonts w:hint="default"/>
          <w:color w:val="auto"/>
          <w:highlight w:val="none"/>
          <w:lang w:val="en-US" w:eastAsia="zh-CN"/>
        </w:rPr>
        <w:t>SL 399</w:t>
      </w:r>
      <w:r>
        <w:rPr>
          <w:rFonts w:hint="eastAsia"/>
          <w:color w:val="auto"/>
          <w:highlight w:val="none"/>
          <w:lang w:val="en-US" w:eastAsia="zh-CN"/>
        </w:rPr>
        <w:t xml:space="preserve"> </w:t>
      </w:r>
      <w:r>
        <w:rPr>
          <w:rFonts w:hint="default"/>
          <w:color w:val="auto"/>
          <w:highlight w:val="none"/>
          <w:lang w:val="en-US" w:eastAsia="zh-CN"/>
        </w:rPr>
        <w:t>水利水电工程土建施工安全技术规程</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SL 714 水利水电工程施工安全防护设施技术规范</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SL 721 水利水电工程施工安全管理导则</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SL/T 842 水利水电工程生产安全重大事故隐患判定导则</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highlight w:val="yellow"/>
          <w:lang w:val="en-US" w:eastAsia="zh-CN"/>
        </w:rPr>
      </w:pPr>
      <w:r>
        <w:rPr>
          <w:rFonts w:hint="eastAsia"/>
          <w:highlight w:val="none"/>
        </w:rPr>
        <w:t>SL/T 843 水利水电工程危险源辨识与风险评价导则</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JGJ/T 46</w:t>
      </w:r>
      <w:r>
        <w:rPr>
          <w:rFonts w:hint="eastAsia"/>
          <w:highlight w:val="none"/>
          <w:lang w:val="en-US" w:eastAsia="zh-CN"/>
        </w:rPr>
        <w:t xml:space="preserve"> </w:t>
      </w:r>
      <w:r>
        <w:rPr>
          <w:rFonts w:hint="eastAsia"/>
          <w:highlight w:val="none"/>
        </w:rPr>
        <w:t>建筑与市政工程施工现场临时用电安全技术标准</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DB11/T 945.1</w:t>
      </w:r>
      <w:r>
        <w:rPr>
          <w:rFonts w:hint="eastAsia"/>
          <w:highlight w:val="none"/>
          <w:lang w:val="en-US" w:eastAsia="zh-CN"/>
        </w:rPr>
        <w:t xml:space="preserve"> </w:t>
      </w:r>
      <w:r>
        <w:rPr>
          <w:rFonts w:hint="eastAsia"/>
          <w:highlight w:val="none"/>
        </w:rPr>
        <w:t>建设工程施工现场安全防护、场容卫生及消防保卫标准</w:t>
      </w:r>
      <w:r>
        <w:rPr>
          <w:rFonts w:hint="eastAsia"/>
          <w:highlight w:val="none"/>
          <w:lang w:val="en-US" w:eastAsia="zh-CN"/>
        </w:rPr>
        <w:t xml:space="preserve"> </w:t>
      </w:r>
      <w:r>
        <w:rPr>
          <w:rFonts w:hint="eastAsia"/>
          <w:highlight w:val="none"/>
        </w:rPr>
        <w:t>第1部分：通则</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eastAsia="宋体"/>
          <w:highlight w:val="none"/>
          <w:lang w:val="en-US" w:eastAsia="zh-CN"/>
        </w:rPr>
      </w:pPr>
      <w:r>
        <w:rPr>
          <w:rFonts w:hint="eastAsia"/>
          <w:highlight w:val="none"/>
          <w:lang w:val="en-US" w:eastAsia="zh-CN"/>
        </w:rPr>
        <w:t>DB11/T 1322.1 安全生产等级评定技术规范 第1部分：总则</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highlight w:val="none"/>
          <w:lang w:val="en-US" w:eastAsia="zh-CN"/>
        </w:rPr>
      </w:pPr>
      <w:r>
        <w:rPr>
          <w:rFonts w:hint="eastAsia"/>
          <w:highlight w:val="none"/>
        </w:rPr>
        <w:t>DB11/T</w:t>
      </w:r>
      <w:r>
        <w:rPr>
          <w:rFonts w:hint="eastAsia"/>
          <w:highlight w:val="none"/>
          <w:lang w:val="en-US" w:eastAsia="zh-CN"/>
        </w:rPr>
        <w:t xml:space="preserve"> 1582 高危行业企业应急装备配备要求</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default"/>
          <w:color w:val="auto"/>
          <w:highlight w:val="none"/>
          <w:lang w:val="en-US" w:eastAsia="zh-CN"/>
        </w:rPr>
      </w:pPr>
      <w:r>
        <w:rPr>
          <w:rFonts w:hint="eastAsia"/>
          <w:color w:val="auto"/>
          <w:highlight w:val="none"/>
        </w:rPr>
        <w:t>DB11/T</w:t>
      </w:r>
      <w:r>
        <w:rPr>
          <w:rFonts w:hint="eastAsia"/>
          <w:color w:val="auto"/>
          <w:highlight w:val="none"/>
          <w:lang w:val="en-US" w:eastAsia="zh-CN"/>
        </w:rPr>
        <w:t xml:space="preserve"> 1583 生产安全事故应急演练实施与评估</w:t>
      </w:r>
    </w:p>
    <w:p>
      <w:pPr>
        <w:pStyle w:val="58"/>
        <w:keepNext w:val="0"/>
        <w:keepLines w:val="0"/>
        <w:pageBreakBefore w:val="0"/>
        <w:widowControl/>
        <w:kinsoku/>
        <w:wordWrap w:val="0"/>
        <w:overflowPunct/>
        <w:topLinePunct w:val="0"/>
        <w:autoSpaceDE/>
        <w:autoSpaceDN/>
        <w:bidi w:val="0"/>
        <w:adjustRightInd/>
        <w:snapToGrid/>
        <w:ind w:firstLine="420"/>
        <w:textAlignment w:val="auto"/>
        <w:rPr>
          <w:rFonts w:hint="eastAsia"/>
          <w:highlight w:val="none"/>
        </w:rPr>
      </w:pPr>
      <w:r>
        <w:rPr>
          <w:rFonts w:hint="eastAsia"/>
          <w:highlight w:val="none"/>
        </w:rPr>
        <w:t>DB11/T 2274</w:t>
      </w:r>
      <w:r>
        <w:rPr>
          <w:rFonts w:hint="eastAsia"/>
          <w:highlight w:val="none"/>
          <w:lang w:val="en-US" w:eastAsia="zh-CN"/>
        </w:rPr>
        <w:t xml:space="preserve"> </w:t>
      </w:r>
      <w:r>
        <w:rPr>
          <w:rFonts w:hint="eastAsia"/>
          <w:highlight w:val="none"/>
        </w:rPr>
        <w:t>水务工程施工现场安全生产管理导则</w:t>
      </w:r>
    </w:p>
    <w:p>
      <w:pPr>
        <w:pStyle w:val="106"/>
        <w:keepNext w:val="0"/>
        <w:keepLines w:val="0"/>
        <w:pageBreakBefore w:val="0"/>
        <w:kinsoku/>
        <w:wordWrap/>
        <w:overflowPunct/>
        <w:topLinePunct w:val="0"/>
        <w:bidi w:val="0"/>
        <w:adjustRightInd/>
        <w:snapToGrid/>
        <w:spacing w:before="312" w:after="312"/>
        <w:textAlignment w:val="auto"/>
        <w:rPr>
          <w:highlight w:val="none"/>
        </w:rPr>
      </w:pPr>
      <w:bookmarkStart w:id="54" w:name="_Toc20630"/>
      <w:bookmarkStart w:id="55" w:name="_Toc5526"/>
      <w:bookmarkStart w:id="56" w:name="_Toc208403393"/>
      <w:bookmarkStart w:id="57" w:name="_Toc97191425"/>
      <w:bookmarkStart w:id="58" w:name="_Toc207877292"/>
      <w:r>
        <w:rPr>
          <w:rFonts w:hint="eastAsia"/>
          <w:szCs w:val="21"/>
          <w:highlight w:val="none"/>
        </w:rPr>
        <w:t>术语和定义</w:t>
      </w:r>
      <w:bookmarkEnd w:id="54"/>
      <w:bookmarkEnd w:id="55"/>
      <w:bookmarkEnd w:id="56"/>
      <w:bookmarkEnd w:id="57"/>
      <w:bookmarkEnd w:id="58"/>
    </w:p>
    <w:sdt>
      <w:sdtPr>
        <w:rPr>
          <w:highlight w:val="none"/>
        </w:rPr>
        <w:id w:val="-1909835108"/>
        <w:placeholder>
          <w:docPart w:val="A9AB82EA453F42109F4937745D40E8A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highlight w:val="none"/>
        </w:rPr>
      </w:sdtEndPr>
      <w:sdtContent>
        <w:p>
          <w:pPr>
            <w:pStyle w:val="58"/>
            <w:keepNext w:val="0"/>
            <w:keepLines w:val="0"/>
            <w:pageBreakBefore w:val="0"/>
            <w:kinsoku/>
            <w:wordWrap/>
            <w:overflowPunct/>
            <w:topLinePunct w:val="0"/>
            <w:bidi w:val="0"/>
            <w:adjustRightInd/>
            <w:snapToGrid/>
            <w:ind w:firstLine="420"/>
            <w:textAlignment w:val="auto"/>
            <w:rPr>
              <w:highlight w:val="none"/>
            </w:rPr>
          </w:pPr>
          <w:bookmarkStart w:id="59" w:name="_Toc26986532"/>
          <w:bookmarkEnd w:id="59"/>
          <w:r>
            <w:rPr>
              <w:highlight w:val="none"/>
            </w:rPr>
            <w:t>本文件没有需要界定的术语和定义。</w:t>
          </w:r>
        </w:p>
      </w:sdtContent>
    </w:sdt>
    <w:p>
      <w:pPr>
        <w:pStyle w:val="106"/>
        <w:keepNext w:val="0"/>
        <w:keepLines w:val="0"/>
        <w:pageBreakBefore w:val="0"/>
        <w:kinsoku/>
        <w:wordWrap/>
        <w:overflowPunct/>
        <w:topLinePunct w:val="0"/>
        <w:bidi w:val="0"/>
        <w:adjustRightInd/>
        <w:snapToGrid/>
        <w:spacing w:before="312" w:after="312"/>
        <w:textAlignment w:val="auto"/>
        <w:rPr>
          <w:color w:val="auto"/>
        </w:rPr>
      </w:pPr>
      <w:bookmarkStart w:id="60" w:name="_Toc208403394"/>
      <w:bookmarkStart w:id="61" w:name="_Toc16611"/>
      <w:bookmarkStart w:id="62" w:name="_Toc207877293"/>
      <w:bookmarkStart w:id="63" w:name="_Toc11478"/>
      <w:r>
        <w:rPr>
          <w:rFonts w:hint="eastAsia"/>
          <w:strike w:val="0"/>
          <w:dstrike w:val="0"/>
          <w:color w:val="auto"/>
          <w:highlight w:val="none"/>
          <w:lang w:val="en-US" w:eastAsia="zh-CN"/>
        </w:rPr>
        <w:t>指标体系</w:t>
      </w:r>
      <w:bookmarkEnd w:id="60"/>
      <w:bookmarkEnd w:id="61"/>
      <w:bookmarkEnd w:id="62"/>
      <w:bookmarkEnd w:id="63"/>
    </w:p>
    <w:p>
      <w:pPr>
        <w:pStyle w:val="107"/>
        <w:keepNext w:val="0"/>
        <w:keepLines w:val="0"/>
        <w:pageBreakBefore w:val="0"/>
        <w:kinsoku/>
        <w:wordWrap/>
        <w:overflowPunct/>
        <w:topLinePunct w:val="0"/>
        <w:bidi w:val="0"/>
        <w:adjustRightInd/>
        <w:snapToGrid/>
        <w:spacing w:before="156" w:after="156"/>
        <w:textAlignment w:val="auto"/>
        <w:rPr>
          <w:color w:val="auto"/>
          <w:highlight w:val="none"/>
        </w:rPr>
      </w:pPr>
      <w:bookmarkStart w:id="64" w:name="_Toc208403395"/>
      <w:bookmarkStart w:id="65" w:name="_Toc561"/>
      <w:bookmarkStart w:id="66" w:name="_Toc5022"/>
      <w:bookmarkStart w:id="67" w:name="_Toc207877294"/>
      <w:r>
        <w:rPr>
          <w:rFonts w:hint="eastAsia"/>
          <w:color w:val="auto"/>
          <w:highlight w:val="none"/>
        </w:rPr>
        <w:t>领导作用</w:t>
      </w:r>
      <w:bookmarkEnd w:id="64"/>
      <w:bookmarkEnd w:id="65"/>
      <w:bookmarkEnd w:id="66"/>
      <w:bookmarkEnd w:id="67"/>
    </w:p>
    <w:p>
      <w:pPr>
        <w:pStyle w:val="67"/>
        <w:keepNext w:val="0"/>
        <w:keepLines w:val="0"/>
        <w:pageBreakBefore w:val="0"/>
        <w:kinsoku/>
        <w:wordWrap/>
        <w:overflowPunct/>
        <w:topLinePunct w:val="0"/>
        <w:bidi w:val="0"/>
        <w:adjustRightInd/>
        <w:snapToGrid/>
        <w:spacing w:before="156" w:after="156"/>
        <w:textAlignment w:val="auto"/>
        <w:rPr>
          <w:highlight w:val="none"/>
        </w:rPr>
      </w:pPr>
      <w:bookmarkStart w:id="68" w:name="_Toc208403397"/>
      <w:bookmarkStart w:id="69" w:name="_Toc207877296"/>
      <w:r>
        <w:rPr>
          <w:rFonts w:hint="eastAsia"/>
          <w:highlight w:val="none"/>
          <w:lang w:eastAsia="zh-CN"/>
        </w:rPr>
        <w:t>安全领导力</w:t>
      </w:r>
    </w:p>
    <w:p>
      <w:pPr>
        <w:pStyle w:val="166"/>
        <w:bidi w:val="0"/>
        <w:rPr>
          <w:highlight w:val="none"/>
        </w:rPr>
      </w:pPr>
      <w:r>
        <w:rPr>
          <w:rFonts w:hint="eastAsia"/>
          <w:highlight w:val="none"/>
          <w:lang w:val="en-US" w:eastAsia="zh-CN"/>
        </w:rPr>
        <w:t>企业各级领导应提升决策力、执行力和影响力，并在以下方面发挥领导作用：</w:t>
      </w:r>
    </w:p>
    <w:p>
      <w:pPr>
        <w:pStyle w:val="176"/>
        <w:numPr>
          <w:ilvl w:val="0"/>
          <w:numId w:val="32"/>
        </w:numPr>
        <w:bidi w:val="0"/>
        <w:ind w:left="851" w:leftChars="0" w:hanging="426" w:firstLineChars="0"/>
        <w:rPr>
          <w:highlight w:val="none"/>
        </w:rPr>
      </w:pPr>
      <w:r>
        <w:rPr>
          <w:rFonts w:hint="eastAsia"/>
          <w:highlight w:val="none"/>
          <w:lang w:val="en-US" w:eastAsia="zh-CN"/>
        </w:rPr>
        <w:t>践行安全理念；</w:t>
      </w:r>
    </w:p>
    <w:p>
      <w:pPr>
        <w:pStyle w:val="176"/>
        <w:numPr>
          <w:ilvl w:val="0"/>
          <w:numId w:val="32"/>
        </w:numPr>
        <w:bidi w:val="0"/>
        <w:ind w:left="851" w:leftChars="0" w:hanging="426" w:firstLineChars="0"/>
        <w:rPr>
          <w:highlight w:val="none"/>
        </w:rPr>
      </w:pPr>
      <w:r>
        <w:rPr>
          <w:rFonts w:hint="eastAsia"/>
          <w:highlight w:val="none"/>
        </w:rPr>
        <w:t>发挥表率作用；</w:t>
      </w:r>
    </w:p>
    <w:p>
      <w:pPr>
        <w:pStyle w:val="176"/>
        <w:numPr>
          <w:ilvl w:val="0"/>
          <w:numId w:val="32"/>
        </w:numPr>
        <w:bidi w:val="0"/>
        <w:ind w:left="851" w:leftChars="0" w:hanging="426" w:firstLineChars="0"/>
        <w:rPr>
          <w:highlight w:val="none"/>
        </w:rPr>
      </w:pPr>
      <w:r>
        <w:rPr>
          <w:rFonts w:hint="eastAsia"/>
          <w:highlight w:val="none"/>
        </w:rPr>
        <w:t>提供资源保障；</w:t>
      </w:r>
    </w:p>
    <w:p>
      <w:pPr>
        <w:pStyle w:val="176"/>
        <w:numPr>
          <w:ilvl w:val="0"/>
          <w:numId w:val="32"/>
        </w:numPr>
        <w:bidi w:val="0"/>
        <w:ind w:left="851" w:leftChars="0" w:hanging="426" w:firstLineChars="0"/>
        <w:rPr>
          <w:highlight w:val="none"/>
        </w:rPr>
      </w:pPr>
      <w:r>
        <w:rPr>
          <w:rFonts w:hint="eastAsia"/>
          <w:highlight w:val="none"/>
        </w:rPr>
        <w:t>管控安全风险；</w:t>
      </w:r>
    </w:p>
    <w:p>
      <w:pPr>
        <w:pStyle w:val="176"/>
        <w:numPr>
          <w:ilvl w:val="0"/>
          <w:numId w:val="32"/>
        </w:numPr>
        <w:bidi w:val="0"/>
        <w:ind w:left="851" w:leftChars="0" w:hanging="426" w:firstLineChars="0"/>
        <w:rPr>
          <w:highlight w:val="none"/>
        </w:rPr>
      </w:pPr>
      <w:r>
        <w:rPr>
          <w:rFonts w:hint="eastAsia"/>
          <w:highlight w:val="none"/>
        </w:rPr>
        <w:t>排查治理隐患；</w:t>
      </w:r>
    </w:p>
    <w:p>
      <w:pPr>
        <w:pStyle w:val="176"/>
        <w:numPr>
          <w:ilvl w:val="0"/>
          <w:numId w:val="32"/>
        </w:numPr>
        <w:bidi w:val="0"/>
        <w:ind w:left="851" w:leftChars="0" w:hanging="426" w:firstLineChars="0"/>
        <w:rPr>
          <w:highlight w:val="none"/>
        </w:rPr>
      </w:pPr>
      <w:r>
        <w:rPr>
          <w:rFonts w:hint="eastAsia"/>
          <w:highlight w:val="none"/>
        </w:rPr>
        <w:t>开展应急处置；</w:t>
      </w:r>
    </w:p>
    <w:p>
      <w:pPr>
        <w:pStyle w:val="176"/>
        <w:numPr>
          <w:ilvl w:val="0"/>
          <w:numId w:val="32"/>
        </w:numPr>
        <w:bidi w:val="0"/>
        <w:ind w:left="851" w:leftChars="0" w:hanging="426" w:firstLineChars="0"/>
        <w:rPr>
          <w:highlight w:val="none"/>
        </w:rPr>
      </w:pPr>
      <w:r>
        <w:rPr>
          <w:rFonts w:hint="eastAsia"/>
          <w:highlight w:val="none"/>
        </w:rPr>
        <w:t>维护职工合法权益。</w:t>
      </w:r>
    </w:p>
    <w:p>
      <w:pPr>
        <w:pStyle w:val="166"/>
        <w:bidi w:val="0"/>
        <w:rPr>
          <w:strike/>
          <w:dstrike w:val="0"/>
          <w:highlight w:val="yellow"/>
        </w:rPr>
      </w:pPr>
      <w:r>
        <w:rPr>
          <w:rFonts w:hint="eastAsia"/>
          <w:highlight w:val="none"/>
          <w:lang w:val="en-US" w:eastAsia="zh-CN"/>
        </w:rPr>
        <w:t>企业主要负责人应对本企业安全生产工作全面负责，其他负责人应对职责范围内的安全生产工作负责。</w:t>
      </w:r>
    </w:p>
    <w:bookmarkEnd w:id="68"/>
    <w:bookmarkEnd w:id="69"/>
    <w:p>
      <w:pPr>
        <w:pStyle w:val="67"/>
        <w:spacing w:before="156" w:after="156"/>
        <w:rPr>
          <w:highlight w:val="none"/>
        </w:rPr>
      </w:pPr>
      <w:bookmarkStart w:id="70" w:name="_Toc207877298"/>
      <w:bookmarkStart w:id="71" w:name="_Toc208403399"/>
      <w:r>
        <w:rPr>
          <w:rFonts w:hint="eastAsia"/>
          <w:highlight w:val="none"/>
        </w:rPr>
        <w:t>安全履职评价</w:t>
      </w:r>
      <w:bookmarkEnd w:id="70"/>
      <w:bookmarkEnd w:id="71"/>
    </w:p>
    <w:p>
      <w:pPr>
        <w:pStyle w:val="166"/>
        <w:rPr>
          <w:strike/>
          <w:dstrike w:val="0"/>
          <w:highlight w:val="green"/>
        </w:rPr>
      </w:pPr>
      <w:r>
        <w:rPr>
          <w:rFonts w:hint="eastAsia"/>
          <w:highlight w:val="none"/>
        </w:rPr>
        <w:t>企业应建立主要负责人和其他负责人安全履职评价的管理要求，明确安全履职评价的周期、标准、结果应用等内容。</w:t>
      </w:r>
    </w:p>
    <w:p>
      <w:pPr>
        <w:pStyle w:val="166"/>
        <w:rPr>
          <w:strike/>
          <w:dstrike w:val="0"/>
          <w:highlight w:val="green"/>
        </w:rPr>
      </w:pPr>
      <w:r>
        <w:rPr>
          <w:rFonts w:hint="eastAsia"/>
          <w:highlight w:val="none"/>
          <w:lang w:val="en-US" w:eastAsia="zh-CN"/>
        </w:rPr>
        <w:t>主要负责人应每年进行安全述职，并将其作为履职评价的重要内容。</w:t>
      </w:r>
    </w:p>
    <w:p>
      <w:pPr>
        <w:pStyle w:val="107"/>
        <w:spacing w:before="156" w:after="156"/>
        <w:rPr>
          <w:highlight w:val="none"/>
        </w:rPr>
      </w:pPr>
      <w:bookmarkStart w:id="72" w:name="_Toc22592"/>
      <w:bookmarkStart w:id="73" w:name="_Toc22269"/>
      <w:bookmarkStart w:id="74" w:name="_Toc208403400"/>
      <w:bookmarkStart w:id="75" w:name="_Toc207877299"/>
      <w:r>
        <w:rPr>
          <w:rFonts w:hint="eastAsia"/>
          <w:highlight w:val="none"/>
        </w:rPr>
        <w:t>基础保障</w:t>
      </w:r>
      <w:bookmarkEnd w:id="72"/>
      <w:bookmarkEnd w:id="73"/>
      <w:bookmarkEnd w:id="74"/>
      <w:bookmarkEnd w:id="75"/>
    </w:p>
    <w:p>
      <w:pPr>
        <w:pStyle w:val="67"/>
        <w:spacing w:before="156" w:after="156"/>
        <w:rPr>
          <w:highlight w:val="none"/>
        </w:rPr>
      </w:pPr>
      <w:bookmarkStart w:id="76" w:name="_Toc208403401"/>
      <w:bookmarkStart w:id="77" w:name="_Toc207877300"/>
      <w:r>
        <w:rPr>
          <w:rFonts w:hint="eastAsia"/>
          <w:highlight w:val="none"/>
        </w:rPr>
        <w:t>组织保障</w:t>
      </w:r>
      <w:bookmarkEnd w:id="76"/>
      <w:bookmarkEnd w:id="77"/>
    </w:p>
    <w:p>
      <w:pPr>
        <w:pStyle w:val="166"/>
        <w:rPr>
          <w:highlight w:val="none"/>
        </w:rPr>
      </w:pPr>
      <w:r>
        <w:rPr>
          <w:rFonts w:hint="eastAsia"/>
          <w:highlight w:val="none"/>
        </w:rPr>
        <w:t>企业应</w:t>
      </w:r>
      <w:r>
        <w:rPr>
          <w:rFonts w:hint="eastAsia"/>
          <w:highlight w:val="none"/>
          <w:lang w:eastAsia="zh-CN"/>
        </w:rPr>
        <w:t>建立</w:t>
      </w:r>
      <w:r>
        <w:rPr>
          <w:rFonts w:hint="eastAsia"/>
          <w:highlight w:val="none"/>
        </w:rPr>
        <w:t>安全生产组织领导机构，成立安全生产委员会（领导小组），并应按照有关规定设置安全生产和职业健康管理机构，或配备相应的专职或兼职安全生产和职业健康管理人员，建立健全从管理机构到基层班组的管理网络，并符合以下要求：</w:t>
      </w:r>
    </w:p>
    <w:p>
      <w:pPr>
        <w:pStyle w:val="176"/>
        <w:numPr>
          <w:ilvl w:val="0"/>
          <w:numId w:val="33"/>
        </w:numPr>
        <w:rPr>
          <w:highlight w:val="none"/>
        </w:rPr>
      </w:pPr>
      <w:r>
        <w:rPr>
          <w:rFonts w:hint="eastAsia"/>
          <w:highlight w:val="none"/>
        </w:rPr>
        <w:t>企业安全生产委员会</w:t>
      </w:r>
      <w:r>
        <w:rPr>
          <w:rFonts w:hint="eastAsia"/>
          <w:highlight w:val="none"/>
          <w:lang w:eastAsia="zh-CN"/>
        </w:rPr>
        <w:t>（</w:t>
      </w:r>
      <w:r>
        <w:rPr>
          <w:rFonts w:hint="eastAsia"/>
          <w:highlight w:val="none"/>
        </w:rPr>
        <w:t>领导小组</w:t>
      </w:r>
      <w:r>
        <w:rPr>
          <w:rFonts w:hint="eastAsia"/>
          <w:highlight w:val="none"/>
          <w:lang w:eastAsia="zh-CN"/>
        </w:rPr>
        <w:t>）</w:t>
      </w:r>
      <w:r>
        <w:rPr>
          <w:rFonts w:hint="eastAsia"/>
          <w:highlight w:val="none"/>
        </w:rPr>
        <w:t>成员应包括主要负责人、</w:t>
      </w:r>
      <w:r>
        <w:rPr>
          <w:rFonts w:hint="eastAsia"/>
          <w:highlight w:val="none"/>
          <w:lang w:val="en-US" w:eastAsia="zh-CN"/>
        </w:rPr>
        <w:t>安全总监、</w:t>
      </w:r>
      <w:r>
        <w:rPr>
          <w:rFonts w:hint="eastAsia"/>
          <w:highlight w:val="none"/>
        </w:rPr>
        <w:t>领导班子成员、各部门负责人及专职安全生产管理人员等；</w:t>
      </w:r>
    </w:p>
    <w:p>
      <w:pPr>
        <w:pStyle w:val="176"/>
        <w:numPr>
          <w:ilvl w:val="0"/>
          <w:numId w:val="33"/>
        </w:numPr>
        <w:rPr>
          <w:highlight w:val="none"/>
        </w:rPr>
      </w:pPr>
      <w:r>
        <w:rPr>
          <w:rFonts w:hint="eastAsia"/>
          <w:highlight w:val="none"/>
        </w:rPr>
        <w:t>项目部安全生产领导小组成员应包括项目部主要负责人、分管负责人、技术负责人、各部门主要负责人、专职安全生产管理人员及分包单位主要负责人等；</w:t>
      </w:r>
    </w:p>
    <w:p>
      <w:pPr>
        <w:pStyle w:val="176"/>
        <w:numPr>
          <w:ilvl w:val="0"/>
          <w:numId w:val="33"/>
        </w:numPr>
        <w:rPr>
          <w:highlight w:val="none"/>
        </w:rPr>
      </w:pPr>
      <w:r>
        <w:rPr>
          <w:rFonts w:hint="eastAsia"/>
          <w:highlight w:val="none"/>
        </w:rPr>
        <w:t>每季度至少应召开一次安全生产委员会或安全生产领导小组会议，跟踪落实上次会议要求，总结分析安全生产情况，评估存在的风险，研究解决安全生产工作中的重大问题，并形成会议纪要。</w:t>
      </w:r>
    </w:p>
    <w:p>
      <w:pPr>
        <w:pStyle w:val="166"/>
        <w:rPr>
          <w:highlight w:val="none"/>
        </w:rPr>
      </w:pPr>
      <w:r>
        <w:rPr>
          <w:rFonts w:hint="eastAsia"/>
          <w:highlight w:val="none"/>
        </w:rPr>
        <w:t>企业应当按照下列规定设置安全生产管理机构</w:t>
      </w:r>
      <w:r>
        <w:rPr>
          <w:rFonts w:hint="eastAsia"/>
          <w:highlight w:val="none"/>
          <w:lang w:eastAsia="zh-CN"/>
        </w:rPr>
        <w:t>、</w:t>
      </w:r>
      <w:r>
        <w:rPr>
          <w:rFonts w:hint="eastAsia"/>
          <w:highlight w:val="none"/>
        </w:rPr>
        <w:t>配备专职安全生产管理人员，但国家另有规定的除外：</w:t>
      </w:r>
    </w:p>
    <w:p>
      <w:pPr>
        <w:pStyle w:val="176"/>
        <w:numPr>
          <w:ilvl w:val="0"/>
          <w:numId w:val="34"/>
        </w:numPr>
        <w:rPr>
          <w:highlight w:val="none"/>
        </w:rPr>
      </w:pPr>
      <w:r>
        <w:rPr>
          <w:rFonts w:hint="eastAsia"/>
          <w:highlight w:val="none"/>
        </w:rPr>
        <w:t>一级资质企业不少于4人，二级以下资质企业不少于3人；</w:t>
      </w:r>
    </w:p>
    <w:p>
      <w:pPr>
        <w:pStyle w:val="176"/>
        <w:numPr>
          <w:ilvl w:val="0"/>
          <w:numId w:val="34"/>
        </w:numPr>
        <w:rPr>
          <w:rFonts w:hint="default"/>
          <w:strike/>
          <w:dstrike w:val="0"/>
          <w:highlight w:val="yellow"/>
          <w:lang w:val="en-US" w:eastAsia="zh-CN"/>
        </w:rPr>
      </w:pPr>
      <w:r>
        <w:rPr>
          <w:rFonts w:hint="eastAsia"/>
          <w:highlight w:val="none"/>
        </w:rPr>
        <w:t>工程合同价款在5000万元以下的项目不少于1人；5000万～2亿元的项目不少于2人；2亿元以上的项目不少于3人，且每增加2亿元，应当至少增加1名专职安全生产管理人员。</w:t>
      </w:r>
    </w:p>
    <w:p>
      <w:pPr>
        <w:pStyle w:val="67"/>
        <w:spacing w:before="156" w:after="156"/>
        <w:rPr>
          <w:highlight w:val="none"/>
        </w:rPr>
      </w:pPr>
      <w:bookmarkStart w:id="78" w:name="_Toc207877301"/>
      <w:bookmarkStart w:id="79" w:name="_Toc208403402"/>
      <w:r>
        <w:rPr>
          <w:rFonts w:hint="eastAsia"/>
          <w:highlight w:val="none"/>
        </w:rPr>
        <w:t>责任保障</w:t>
      </w:r>
      <w:bookmarkEnd w:id="78"/>
      <w:bookmarkEnd w:id="79"/>
    </w:p>
    <w:p>
      <w:pPr>
        <w:pStyle w:val="166"/>
        <w:rPr>
          <w:highlight w:val="none"/>
        </w:rPr>
      </w:pPr>
      <w:r>
        <w:rPr>
          <w:rFonts w:hint="eastAsia"/>
          <w:highlight w:val="none"/>
        </w:rPr>
        <w:t>企业主要负责人是本企业安全生产第一责任人，应对安全生产工作全面负责，负有下列安全生产职责：</w:t>
      </w:r>
    </w:p>
    <w:p>
      <w:pPr>
        <w:pStyle w:val="176"/>
        <w:numPr>
          <w:ilvl w:val="0"/>
          <w:numId w:val="35"/>
        </w:numPr>
        <w:rPr>
          <w:highlight w:val="none"/>
        </w:rPr>
      </w:pPr>
      <w:r>
        <w:rPr>
          <w:rFonts w:hint="eastAsia"/>
          <w:highlight w:val="none"/>
        </w:rPr>
        <w:t>建立健全并落实本企业全员安全生产责任制，加强安全生产标准化建设；</w:t>
      </w:r>
    </w:p>
    <w:p>
      <w:pPr>
        <w:pStyle w:val="176"/>
        <w:numPr>
          <w:ilvl w:val="0"/>
          <w:numId w:val="35"/>
        </w:numPr>
        <w:rPr>
          <w:highlight w:val="none"/>
        </w:rPr>
      </w:pPr>
      <w:r>
        <w:rPr>
          <w:rFonts w:hint="eastAsia"/>
          <w:highlight w:val="none"/>
        </w:rPr>
        <w:t>组织制定并实施本企业安全生产规章制度和操作规程；</w:t>
      </w:r>
    </w:p>
    <w:p>
      <w:pPr>
        <w:pStyle w:val="176"/>
        <w:numPr>
          <w:ilvl w:val="0"/>
          <w:numId w:val="35"/>
        </w:numPr>
        <w:rPr>
          <w:highlight w:val="none"/>
        </w:rPr>
      </w:pPr>
      <w:r>
        <w:rPr>
          <w:rFonts w:hint="eastAsia"/>
          <w:highlight w:val="none"/>
        </w:rPr>
        <w:t>组织制定并实施本企业安全生产教育和培训计划；</w:t>
      </w:r>
    </w:p>
    <w:p>
      <w:pPr>
        <w:pStyle w:val="176"/>
        <w:numPr>
          <w:ilvl w:val="0"/>
          <w:numId w:val="35"/>
        </w:numPr>
        <w:rPr>
          <w:highlight w:val="none"/>
        </w:rPr>
      </w:pPr>
      <w:r>
        <w:rPr>
          <w:rFonts w:hint="eastAsia"/>
          <w:highlight w:val="none"/>
        </w:rPr>
        <w:t>保证本企业安全生产投入的有效实施；</w:t>
      </w:r>
    </w:p>
    <w:p>
      <w:pPr>
        <w:pStyle w:val="176"/>
        <w:numPr>
          <w:ilvl w:val="0"/>
          <w:numId w:val="35"/>
        </w:numPr>
        <w:rPr>
          <w:highlight w:val="none"/>
        </w:rPr>
      </w:pPr>
      <w:r>
        <w:rPr>
          <w:rFonts w:hint="eastAsia"/>
          <w:highlight w:val="none"/>
        </w:rPr>
        <w:t>组织建立并落实安全风险分级管控和隐患排查治理双重预防工作机制，督促、检查本企业的安全生产工作，及时消除生产安全事故隐患；</w:t>
      </w:r>
    </w:p>
    <w:p>
      <w:pPr>
        <w:pStyle w:val="176"/>
        <w:numPr>
          <w:ilvl w:val="0"/>
          <w:numId w:val="35"/>
        </w:numPr>
        <w:rPr>
          <w:highlight w:val="none"/>
        </w:rPr>
      </w:pPr>
      <w:r>
        <w:rPr>
          <w:rFonts w:hint="eastAsia"/>
          <w:highlight w:val="none"/>
        </w:rPr>
        <w:t>组织制定并实施本企业的生产安全事故应急救援预案；</w:t>
      </w:r>
    </w:p>
    <w:p>
      <w:pPr>
        <w:pStyle w:val="176"/>
        <w:numPr>
          <w:ilvl w:val="0"/>
          <w:numId w:val="35"/>
        </w:numPr>
        <w:rPr>
          <w:highlight w:val="none"/>
        </w:rPr>
      </w:pPr>
      <w:r>
        <w:rPr>
          <w:rFonts w:hint="eastAsia"/>
          <w:highlight w:val="none"/>
        </w:rPr>
        <w:t>及时、如实报告生产安全事故；</w:t>
      </w:r>
    </w:p>
    <w:p>
      <w:pPr>
        <w:pStyle w:val="176"/>
        <w:numPr>
          <w:ilvl w:val="0"/>
          <w:numId w:val="35"/>
        </w:numPr>
        <w:rPr>
          <w:highlight w:val="none"/>
        </w:rPr>
      </w:pPr>
      <w:r>
        <w:rPr>
          <w:rFonts w:hint="eastAsia"/>
          <w:highlight w:val="none"/>
        </w:rPr>
        <w:t>每季度至少研究一次安全生产工作；</w:t>
      </w:r>
    </w:p>
    <w:p>
      <w:pPr>
        <w:pStyle w:val="176"/>
        <w:numPr>
          <w:ilvl w:val="0"/>
          <w:numId w:val="35"/>
        </w:numPr>
        <w:rPr>
          <w:highlight w:val="none"/>
        </w:rPr>
      </w:pPr>
      <w:r>
        <w:rPr>
          <w:rFonts w:hint="eastAsia"/>
          <w:highlight w:val="none"/>
        </w:rPr>
        <w:t>每年向职工代表大会或者职工大会报告安全生产工作情况；依法不需要建立职工代表大会或者职工大会的小型或者微型企业等规模较小的生产经营单位，应当每年向从业人员通报安全生产工作情况。</w:t>
      </w:r>
    </w:p>
    <w:p>
      <w:pPr>
        <w:pStyle w:val="166"/>
        <w:rPr>
          <w:highlight w:val="none"/>
        </w:rPr>
      </w:pPr>
      <w:r>
        <w:rPr>
          <w:rFonts w:hint="eastAsia"/>
          <w:highlight w:val="none"/>
        </w:rPr>
        <w:t>企业</w:t>
      </w:r>
      <w:r>
        <w:rPr>
          <w:rFonts w:hint="eastAsia"/>
          <w:highlight w:val="none"/>
          <w:lang w:val="en-US" w:eastAsia="zh-CN"/>
        </w:rPr>
        <w:t>安全总监（</w:t>
      </w:r>
      <w:r>
        <w:rPr>
          <w:rFonts w:hint="eastAsia"/>
          <w:highlight w:val="none"/>
        </w:rPr>
        <w:t>分管安全生产工作的负责人</w:t>
      </w:r>
      <w:r>
        <w:rPr>
          <w:rFonts w:hint="eastAsia"/>
          <w:highlight w:val="none"/>
          <w:lang w:eastAsia="zh-CN"/>
        </w:rPr>
        <w:t>）</w:t>
      </w:r>
      <w:r>
        <w:rPr>
          <w:rFonts w:hint="eastAsia"/>
          <w:highlight w:val="none"/>
        </w:rPr>
        <w:t>协助主要负责人履行安全生产职责，其他分管负责人对分管业务范围内的安全生产工作负责。</w:t>
      </w:r>
    </w:p>
    <w:p>
      <w:pPr>
        <w:pStyle w:val="166"/>
        <w:rPr>
          <w:highlight w:val="none"/>
        </w:rPr>
      </w:pPr>
      <w:r>
        <w:rPr>
          <w:rFonts w:hint="eastAsia"/>
          <w:highlight w:val="none"/>
        </w:rPr>
        <w:t>企业应建立健全全员安全生产责任制，责任制至少应包括下列内容：</w:t>
      </w:r>
    </w:p>
    <w:p>
      <w:pPr>
        <w:pStyle w:val="176"/>
        <w:numPr>
          <w:ilvl w:val="0"/>
          <w:numId w:val="36"/>
        </w:numPr>
        <w:rPr>
          <w:highlight w:val="none"/>
        </w:rPr>
      </w:pPr>
      <w:r>
        <w:rPr>
          <w:rFonts w:hint="eastAsia"/>
          <w:highlight w:val="none"/>
        </w:rPr>
        <w:t>主要负责人、项目负责人、安全生产分管负责人、专职安全生产管理人员、各岗位从业人员的安全生产职责；</w:t>
      </w:r>
    </w:p>
    <w:p>
      <w:pPr>
        <w:pStyle w:val="176"/>
        <w:numPr>
          <w:ilvl w:val="0"/>
          <w:numId w:val="36"/>
        </w:numPr>
        <w:rPr>
          <w:highlight w:val="none"/>
        </w:rPr>
      </w:pPr>
      <w:r>
        <w:rPr>
          <w:rFonts w:hint="eastAsia"/>
          <w:highlight w:val="none"/>
        </w:rPr>
        <w:t>安全生产管理机构、各部门的安全生产职责；</w:t>
      </w:r>
    </w:p>
    <w:p>
      <w:pPr>
        <w:pStyle w:val="176"/>
        <w:numPr>
          <w:ilvl w:val="0"/>
          <w:numId w:val="36"/>
        </w:numPr>
        <w:rPr>
          <w:highlight w:val="yellow"/>
        </w:rPr>
      </w:pPr>
      <w:r>
        <w:rPr>
          <w:rFonts w:hint="eastAsia"/>
          <w:highlight w:val="none"/>
        </w:rPr>
        <w:t>安全生产责任考核及奖惩。</w:t>
      </w:r>
    </w:p>
    <w:p>
      <w:pPr>
        <w:pStyle w:val="166"/>
        <w:rPr>
          <w:strike w:val="0"/>
          <w:dstrike w:val="0"/>
          <w:highlight w:val="none"/>
        </w:rPr>
      </w:pPr>
      <w:r>
        <w:rPr>
          <w:rFonts w:hint="eastAsia"/>
          <w:highlight w:val="none"/>
        </w:rPr>
        <w:t>企业应对各级安全生产职责审核，适时更新。</w:t>
      </w:r>
    </w:p>
    <w:p>
      <w:pPr>
        <w:pStyle w:val="166"/>
        <w:rPr>
          <w:highlight w:val="none"/>
        </w:rPr>
      </w:pPr>
      <w:r>
        <w:rPr>
          <w:rFonts w:hint="eastAsia"/>
          <w:highlight w:val="none"/>
        </w:rPr>
        <w:t>企业应按年度考核全员安全生产职责的履行情况。</w:t>
      </w:r>
    </w:p>
    <w:p>
      <w:pPr>
        <w:pStyle w:val="67"/>
        <w:spacing w:before="156" w:after="156"/>
        <w:rPr>
          <w:highlight w:val="none"/>
        </w:rPr>
      </w:pPr>
      <w:bookmarkStart w:id="80" w:name="_Toc207877302"/>
      <w:bookmarkStart w:id="81" w:name="_Toc208403403"/>
      <w:r>
        <w:rPr>
          <w:rFonts w:hint="eastAsia"/>
          <w:highlight w:val="none"/>
        </w:rPr>
        <w:t>制度保障</w:t>
      </w:r>
      <w:bookmarkEnd w:id="80"/>
      <w:bookmarkEnd w:id="81"/>
    </w:p>
    <w:p>
      <w:pPr>
        <w:pStyle w:val="96"/>
        <w:spacing w:before="156" w:after="156"/>
        <w:rPr>
          <w:highlight w:val="none"/>
        </w:rPr>
      </w:pPr>
      <w:bookmarkStart w:id="82" w:name="_Toc207877303"/>
      <w:r>
        <w:rPr>
          <w:rFonts w:hint="eastAsia"/>
          <w:highlight w:val="none"/>
        </w:rPr>
        <w:t>安全生产规章制度</w:t>
      </w:r>
      <w:bookmarkEnd w:id="82"/>
    </w:p>
    <w:p>
      <w:pPr>
        <w:pStyle w:val="169"/>
        <w:rPr>
          <w:color w:val="auto"/>
          <w:highlight w:val="none"/>
        </w:rPr>
      </w:pPr>
      <w:r>
        <w:rPr>
          <w:rFonts w:hint="eastAsia"/>
          <w:strike w:val="0"/>
          <w:dstrike w:val="0"/>
          <w:color w:val="auto"/>
          <w:highlight w:val="none"/>
        </w:rPr>
        <w:t>企业应根据实际情况，建立、健全安全生产规章制度</w:t>
      </w:r>
      <w:r>
        <w:rPr>
          <w:rFonts w:hint="eastAsia"/>
          <w:strike w:val="0"/>
          <w:dstrike w:val="0"/>
          <w:color w:val="auto"/>
          <w:highlight w:val="none"/>
          <w:lang w:eastAsia="zh-CN"/>
        </w:rPr>
        <w:t>，</w:t>
      </w:r>
      <w:r>
        <w:rPr>
          <w:rFonts w:hint="eastAsia"/>
          <w:strike w:val="0"/>
          <w:dstrike w:val="0"/>
          <w:color w:val="auto"/>
          <w:highlight w:val="none"/>
        </w:rPr>
        <w:t>除满足规定组织实施的部门及职责分工，还应包括但不限于下列内容：</w:t>
      </w:r>
    </w:p>
    <w:p>
      <w:pPr>
        <w:pStyle w:val="176"/>
        <w:numPr>
          <w:ilvl w:val="0"/>
          <w:numId w:val="37"/>
        </w:numPr>
        <w:rPr>
          <w:highlight w:val="none"/>
        </w:rPr>
      </w:pPr>
      <w:r>
        <w:rPr>
          <w:rFonts w:hint="eastAsia"/>
          <w:highlight w:val="none"/>
        </w:rPr>
        <w:t>安全生产目标：明确制定、分解、实施、检查、考核等要求；</w:t>
      </w:r>
    </w:p>
    <w:p>
      <w:pPr>
        <w:pStyle w:val="176"/>
        <w:numPr>
          <w:ilvl w:val="0"/>
          <w:numId w:val="37"/>
        </w:numPr>
        <w:rPr>
          <w:strike w:val="0"/>
          <w:highlight w:val="none"/>
        </w:rPr>
      </w:pPr>
      <w:r>
        <w:rPr>
          <w:rFonts w:hint="eastAsia"/>
          <w:strike w:val="0"/>
          <w:dstrike w:val="0"/>
          <w:highlight w:val="none"/>
        </w:rPr>
        <w:t>安全生产奖励和惩罚</w:t>
      </w:r>
      <w:r>
        <w:rPr>
          <w:rFonts w:hint="eastAsia"/>
          <w:strike w:val="0"/>
          <w:highlight w:val="none"/>
        </w:rPr>
        <w:t>：明确考核方法、内容及奖惩档案等要求；</w:t>
      </w:r>
    </w:p>
    <w:p>
      <w:pPr>
        <w:pStyle w:val="176"/>
        <w:numPr>
          <w:ilvl w:val="0"/>
          <w:numId w:val="37"/>
        </w:numPr>
        <w:rPr>
          <w:strike w:val="0"/>
          <w:highlight w:val="none"/>
        </w:rPr>
      </w:pPr>
      <w:r>
        <w:rPr>
          <w:rFonts w:hint="eastAsia"/>
          <w:strike w:val="0"/>
          <w:dstrike w:val="0"/>
          <w:highlight w:val="none"/>
        </w:rPr>
        <w:t>安全投入保障</w:t>
      </w:r>
      <w:r>
        <w:rPr>
          <w:rFonts w:hint="eastAsia"/>
          <w:strike w:val="0"/>
          <w:highlight w:val="none"/>
        </w:rPr>
        <w:t>：明确经费提取标准、用途、使用状况审查及档案等要求；</w:t>
      </w:r>
    </w:p>
    <w:p>
      <w:pPr>
        <w:pStyle w:val="176"/>
        <w:numPr>
          <w:ilvl w:val="0"/>
          <w:numId w:val="37"/>
        </w:numPr>
        <w:rPr>
          <w:strike w:val="0"/>
          <w:highlight w:val="none"/>
        </w:rPr>
      </w:pPr>
      <w:r>
        <w:rPr>
          <w:rFonts w:hint="eastAsia"/>
          <w:strike w:val="0"/>
          <w:highlight w:val="none"/>
        </w:rPr>
        <w:t>安全技术：明确施工组织设计和安全技术措施的编制、审核、批准、备案及安全技术交底等要求；</w:t>
      </w:r>
    </w:p>
    <w:p>
      <w:pPr>
        <w:pStyle w:val="176"/>
        <w:numPr>
          <w:ilvl w:val="0"/>
          <w:numId w:val="37"/>
        </w:numPr>
        <w:rPr>
          <w:strike w:val="0"/>
          <w:highlight w:val="none"/>
        </w:rPr>
      </w:pPr>
      <w:r>
        <w:rPr>
          <w:rFonts w:hint="eastAsia"/>
          <w:strike w:val="0"/>
          <w:dstrike w:val="0"/>
          <w:highlight w:val="none"/>
        </w:rPr>
        <w:t>安全生产教育和培训</w:t>
      </w:r>
      <w:r>
        <w:rPr>
          <w:rFonts w:hint="eastAsia"/>
          <w:strike w:val="0"/>
          <w:highlight w:val="none"/>
        </w:rPr>
        <w:t>：明确培训目的、计划、形式、内容、学时及培训档案等要求；</w:t>
      </w:r>
    </w:p>
    <w:p>
      <w:pPr>
        <w:pStyle w:val="176"/>
        <w:numPr>
          <w:ilvl w:val="0"/>
          <w:numId w:val="37"/>
        </w:numPr>
        <w:rPr>
          <w:strike w:val="0"/>
          <w:highlight w:val="none"/>
        </w:rPr>
      </w:pPr>
      <w:r>
        <w:rPr>
          <w:rFonts w:hint="eastAsia"/>
          <w:strike w:val="0"/>
          <w:dstrike w:val="0"/>
          <w:highlight w:val="none"/>
        </w:rPr>
        <w:t>劳动防护用品配备和管理</w:t>
      </w:r>
      <w:r>
        <w:rPr>
          <w:rFonts w:hint="eastAsia"/>
          <w:strike w:val="0"/>
          <w:highlight w:val="none"/>
        </w:rPr>
        <w:t>：明确劳动保护用品选择、采购、发放、使用、维护、更换、报废及台账记录等要求；</w:t>
      </w:r>
    </w:p>
    <w:p>
      <w:pPr>
        <w:pStyle w:val="176"/>
        <w:numPr>
          <w:ilvl w:val="0"/>
          <w:numId w:val="37"/>
        </w:numPr>
        <w:rPr>
          <w:strike w:val="0"/>
          <w:highlight w:val="none"/>
        </w:rPr>
      </w:pPr>
      <w:r>
        <w:rPr>
          <w:rFonts w:hint="eastAsia"/>
          <w:strike w:val="0"/>
          <w:dstrike w:val="0"/>
          <w:highlight w:val="none"/>
        </w:rPr>
        <w:t>设备设施安全管理</w:t>
      </w:r>
      <w:r>
        <w:rPr>
          <w:rFonts w:hint="eastAsia"/>
          <w:strike w:val="0"/>
          <w:highlight w:val="none"/>
        </w:rPr>
        <w:t>：明确设备设施验收、检查检测、维护保养、报废及台账档案等要求；</w:t>
      </w:r>
    </w:p>
    <w:p>
      <w:pPr>
        <w:pStyle w:val="176"/>
        <w:numPr>
          <w:ilvl w:val="0"/>
          <w:numId w:val="37"/>
        </w:numPr>
        <w:rPr>
          <w:strike w:val="0"/>
          <w:highlight w:val="none"/>
        </w:rPr>
      </w:pPr>
      <w:r>
        <w:rPr>
          <w:rFonts w:hint="eastAsia"/>
          <w:strike w:val="0"/>
          <w:dstrike w:val="0"/>
          <w:highlight w:val="none"/>
        </w:rPr>
        <w:t>相关方（供应商和承包商）安全管理</w:t>
      </w:r>
      <w:r>
        <w:rPr>
          <w:rFonts w:hint="eastAsia"/>
          <w:strike w:val="0"/>
          <w:highlight w:val="none"/>
        </w:rPr>
        <w:t>：明确准入条件、监督指导、评价考核等要求；</w:t>
      </w:r>
    </w:p>
    <w:p>
      <w:pPr>
        <w:pStyle w:val="176"/>
        <w:numPr>
          <w:ilvl w:val="0"/>
          <w:numId w:val="37"/>
        </w:numPr>
        <w:rPr>
          <w:strike w:val="0"/>
          <w:highlight w:val="none"/>
        </w:rPr>
      </w:pPr>
      <w:r>
        <w:rPr>
          <w:rFonts w:hint="eastAsia"/>
          <w:strike w:val="0"/>
          <w:dstrike w:val="0"/>
          <w:highlight w:val="none"/>
        </w:rPr>
        <w:t>生产安全事故隐患排查治理</w:t>
      </w:r>
      <w:r>
        <w:rPr>
          <w:rFonts w:hint="eastAsia"/>
          <w:strike w:val="0"/>
          <w:highlight w:val="none"/>
        </w:rPr>
        <w:t>：明确排查范围、内容、方法和周期，事故隐患的排查、登记、报告、监控、治理、验收各环节过程管理及档案等要求；</w:t>
      </w:r>
    </w:p>
    <w:p>
      <w:pPr>
        <w:pStyle w:val="176"/>
        <w:numPr>
          <w:ilvl w:val="0"/>
          <w:numId w:val="37"/>
        </w:numPr>
        <w:rPr>
          <w:strike w:val="0"/>
          <w:highlight w:val="none"/>
        </w:rPr>
      </w:pPr>
      <w:r>
        <w:rPr>
          <w:rFonts w:hint="eastAsia"/>
          <w:strike w:val="0"/>
          <w:dstrike w:val="0"/>
          <w:highlight w:val="none"/>
        </w:rPr>
        <w:t>危险化学品</w:t>
      </w:r>
      <w:r>
        <w:rPr>
          <w:rFonts w:hint="eastAsia"/>
          <w:strike w:val="0"/>
          <w:dstrike w:val="0"/>
          <w:highlight w:val="none"/>
          <w:lang w:eastAsia="zh-CN"/>
        </w:rPr>
        <w:t>（</w:t>
      </w:r>
      <w:r>
        <w:rPr>
          <w:rFonts w:hint="eastAsia"/>
          <w:strike w:val="0"/>
          <w:dstrike w:val="0"/>
          <w:highlight w:val="none"/>
          <w:lang w:val="en-US" w:eastAsia="zh-CN"/>
        </w:rPr>
        <w:t>危险物品）</w:t>
      </w:r>
      <w:r>
        <w:rPr>
          <w:rFonts w:hint="eastAsia"/>
          <w:strike w:val="0"/>
          <w:dstrike w:val="0"/>
          <w:highlight w:val="none"/>
        </w:rPr>
        <w:t>安全管理</w:t>
      </w:r>
      <w:r>
        <w:rPr>
          <w:rFonts w:hint="eastAsia"/>
          <w:strike w:val="0"/>
          <w:highlight w:val="none"/>
        </w:rPr>
        <w:t>：明确购销、出入库登记、专用储存场所（专用仓库、专用储存室、气瓶间或专柜等）存储和使用现场管理、应急措施及记录等要求；</w:t>
      </w:r>
    </w:p>
    <w:p>
      <w:pPr>
        <w:pStyle w:val="176"/>
        <w:numPr>
          <w:ilvl w:val="0"/>
          <w:numId w:val="37"/>
        </w:numPr>
        <w:rPr>
          <w:strike w:val="0"/>
          <w:highlight w:val="none"/>
        </w:rPr>
      </w:pPr>
      <w:r>
        <w:rPr>
          <w:rFonts w:hint="eastAsia"/>
          <w:strike w:val="0"/>
          <w:highlight w:val="none"/>
        </w:rPr>
        <w:t>安全例会：明确会议频次、内容、注意事项等要求；</w:t>
      </w:r>
    </w:p>
    <w:p>
      <w:pPr>
        <w:pStyle w:val="176"/>
        <w:numPr>
          <w:ilvl w:val="0"/>
          <w:numId w:val="37"/>
        </w:numPr>
        <w:rPr>
          <w:strike w:val="0"/>
          <w:highlight w:val="none"/>
        </w:rPr>
      </w:pPr>
      <w:r>
        <w:rPr>
          <w:rFonts w:hint="eastAsia"/>
          <w:strike w:val="0"/>
          <w:dstrike w:val="0"/>
          <w:highlight w:val="none"/>
        </w:rPr>
        <w:t>具有较大危险因素的生产经营场所、设备和设施的安全管理</w:t>
      </w:r>
      <w:r>
        <w:rPr>
          <w:rFonts w:hint="eastAsia"/>
          <w:strike w:val="0"/>
          <w:highlight w:val="none"/>
        </w:rPr>
        <w:t>：规定责任部门及职责分工，明确危险源范围、防范措施及人员行为等要求；</w:t>
      </w:r>
    </w:p>
    <w:p>
      <w:pPr>
        <w:pStyle w:val="176"/>
        <w:numPr>
          <w:ilvl w:val="0"/>
          <w:numId w:val="37"/>
        </w:numPr>
        <w:rPr>
          <w:strike w:val="0"/>
          <w:highlight w:val="none"/>
        </w:rPr>
      </w:pPr>
      <w:r>
        <w:rPr>
          <w:rFonts w:hint="eastAsia"/>
          <w:strike w:val="0"/>
          <w:highlight w:val="none"/>
        </w:rPr>
        <w:t>文明施工：明确策划、实施等要求；</w:t>
      </w:r>
    </w:p>
    <w:p>
      <w:pPr>
        <w:pStyle w:val="176"/>
        <w:numPr>
          <w:ilvl w:val="0"/>
          <w:numId w:val="37"/>
        </w:numPr>
        <w:rPr>
          <w:strike w:val="0"/>
          <w:highlight w:val="none"/>
        </w:rPr>
      </w:pPr>
      <w:r>
        <w:rPr>
          <w:rFonts w:hint="eastAsia"/>
          <w:strike w:val="0"/>
          <w:highlight w:val="none"/>
        </w:rPr>
        <w:t>消防设施和器材管理：明确消防设施和器材配备、日常维护保养及档案等要求；</w:t>
      </w:r>
    </w:p>
    <w:p>
      <w:pPr>
        <w:pStyle w:val="176"/>
        <w:numPr>
          <w:ilvl w:val="0"/>
          <w:numId w:val="37"/>
        </w:numPr>
        <w:rPr>
          <w:strike w:val="0"/>
          <w:highlight w:val="none"/>
        </w:rPr>
      </w:pPr>
      <w:r>
        <w:rPr>
          <w:rFonts w:hint="eastAsia"/>
          <w:strike w:val="0"/>
          <w:highlight w:val="none"/>
        </w:rPr>
        <w:t>应急管理：明确救援队伍建设，应急预案编制、评审和演练，应急设施、装备、物资的配置和使用等要求；</w:t>
      </w:r>
    </w:p>
    <w:p>
      <w:pPr>
        <w:pStyle w:val="176"/>
        <w:numPr>
          <w:ilvl w:val="0"/>
          <w:numId w:val="37"/>
        </w:numPr>
        <w:rPr>
          <w:strike w:val="0"/>
          <w:highlight w:val="none"/>
        </w:rPr>
      </w:pPr>
      <w:r>
        <w:rPr>
          <w:rFonts w:hint="eastAsia"/>
          <w:strike w:val="0"/>
          <w:dstrike w:val="0"/>
          <w:highlight w:val="none"/>
        </w:rPr>
        <w:t>生产安全事件事故管理</w:t>
      </w:r>
      <w:r>
        <w:rPr>
          <w:rFonts w:hint="eastAsia"/>
          <w:strike w:val="0"/>
          <w:highlight w:val="none"/>
        </w:rPr>
        <w:t>：明确事件事故报告程序、时限、内容，调查处理流程及档案等要求；</w:t>
      </w:r>
    </w:p>
    <w:p>
      <w:pPr>
        <w:pStyle w:val="176"/>
        <w:numPr>
          <w:ilvl w:val="0"/>
          <w:numId w:val="37"/>
        </w:numPr>
        <w:rPr>
          <w:strike w:val="0"/>
          <w:highlight w:val="none"/>
        </w:rPr>
      </w:pPr>
      <w:r>
        <w:rPr>
          <w:rFonts w:hint="eastAsia"/>
          <w:strike w:val="0"/>
          <w:highlight w:val="none"/>
        </w:rPr>
        <w:t>安全生产档案：明确收集、整理、标识、保管、使用和处置等内容；</w:t>
      </w:r>
    </w:p>
    <w:p>
      <w:pPr>
        <w:pStyle w:val="176"/>
        <w:numPr>
          <w:ilvl w:val="0"/>
          <w:numId w:val="37"/>
        </w:numPr>
        <w:rPr>
          <w:strike w:val="0"/>
          <w:highlight w:val="none"/>
        </w:rPr>
      </w:pPr>
      <w:r>
        <w:rPr>
          <w:rFonts w:hint="eastAsia"/>
          <w:strike w:val="0"/>
          <w:dstrike w:val="0"/>
          <w:highlight w:val="none"/>
        </w:rPr>
        <w:t>特殊作业</w:t>
      </w:r>
      <w:r>
        <w:rPr>
          <w:rFonts w:hint="eastAsia"/>
          <w:strike w:val="0"/>
          <w:highlight w:val="none"/>
        </w:rPr>
        <w:t>（爆破、吊装、动火、有限空间、高处、临时用电、动土、断路、检维修、盲板抽堵等作业）管理：明确审批程序、防范措施及记录等要求；</w:t>
      </w:r>
    </w:p>
    <w:p>
      <w:pPr>
        <w:pStyle w:val="176"/>
        <w:numPr>
          <w:ilvl w:val="0"/>
          <w:numId w:val="37"/>
        </w:numPr>
        <w:rPr>
          <w:strike w:val="0"/>
          <w:highlight w:val="none"/>
        </w:rPr>
      </w:pPr>
      <w:r>
        <w:rPr>
          <w:rFonts w:hint="eastAsia"/>
          <w:strike w:val="0"/>
          <w:dstrike w:val="0"/>
          <w:highlight w:val="none"/>
        </w:rPr>
        <w:t>特种作业人员和特种设备操作人员管理</w:t>
      </w:r>
      <w:r>
        <w:rPr>
          <w:rFonts w:hint="eastAsia"/>
          <w:strike w:val="0"/>
          <w:highlight w:val="none"/>
        </w:rPr>
        <w:t>：明确培训、取证、复审、证书保管及档案等要求；</w:t>
      </w:r>
    </w:p>
    <w:p>
      <w:pPr>
        <w:pStyle w:val="176"/>
        <w:numPr>
          <w:ilvl w:val="0"/>
          <w:numId w:val="37"/>
        </w:numPr>
        <w:rPr>
          <w:strike w:val="0"/>
          <w:highlight w:val="none"/>
        </w:rPr>
      </w:pPr>
      <w:r>
        <w:rPr>
          <w:rFonts w:hint="eastAsia"/>
          <w:strike w:val="0"/>
          <w:dstrike w:val="0"/>
          <w:highlight w:val="none"/>
        </w:rPr>
        <w:t>安全生产检查</w:t>
      </w:r>
      <w:r>
        <w:rPr>
          <w:rFonts w:hint="eastAsia"/>
          <w:strike w:val="0"/>
          <w:highlight w:val="none"/>
        </w:rPr>
        <w:t>：明确检查类型、范围、内容、方法和周期，安全生产检查闭环管理及档案等要求；</w:t>
      </w:r>
    </w:p>
    <w:p>
      <w:pPr>
        <w:pStyle w:val="176"/>
        <w:numPr>
          <w:ilvl w:val="0"/>
          <w:numId w:val="37"/>
        </w:numPr>
        <w:rPr>
          <w:highlight w:val="none"/>
        </w:rPr>
      </w:pPr>
      <w:r>
        <w:rPr>
          <w:rFonts w:hint="eastAsia"/>
          <w:strike w:val="0"/>
          <w:dstrike w:val="0"/>
          <w:highlight w:val="none"/>
        </w:rPr>
        <w:t>安全风险分级管控</w:t>
      </w:r>
      <w:r>
        <w:rPr>
          <w:rFonts w:hint="eastAsia"/>
          <w:strike w:val="0"/>
          <w:highlight w:val="none"/>
        </w:rPr>
        <w:t>：明确</w:t>
      </w:r>
      <w:r>
        <w:rPr>
          <w:rFonts w:hint="eastAsia"/>
          <w:highlight w:val="none"/>
        </w:rPr>
        <w:t>风险辨识评估的范围、内容、方法和周期，分级管控的过程管理及档案，安全风险公告等要求；</w:t>
      </w:r>
    </w:p>
    <w:p>
      <w:pPr>
        <w:pStyle w:val="176"/>
        <w:numPr>
          <w:ilvl w:val="0"/>
          <w:numId w:val="37"/>
        </w:numPr>
        <w:rPr>
          <w:highlight w:val="none"/>
        </w:rPr>
      </w:pPr>
      <w:r>
        <w:rPr>
          <w:rFonts w:hint="eastAsia"/>
          <w:highlight w:val="none"/>
        </w:rPr>
        <w:t>安全设施和安全</w:t>
      </w:r>
      <w:r>
        <w:rPr>
          <w:rFonts w:hint="eastAsia"/>
          <w:highlight w:val="none"/>
          <w:lang w:val="en-US" w:eastAsia="zh-CN"/>
        </w:rPr>
        <w:t>警示</w:t>
      </w:r>
      <w:r>
        <w:rPr>
          <w:rFonts w:hint="eastAsia"/>
          <w:highlight w:val="none"/>
        </w:rPr>
        <w:t>标志：明确审批程序和记录等要求；</w:t>
      </w:r>
    </w:p>
    <w:p>
      <w:pPr>
        <w:pStyle w:val="176"/>
        <w:numPr>
          <w:ilvl w:val="0"/>
          <w:numId w:val="37"/>
        </w:numPr>
        <w:rPr>
          <w:highlight w:val="none"/>
        </w:rPr>
      </w:pPr>
      <w:r>
        <w:rPr>
          <w:rFonts w:hint="eastAsia"/>
          <w:highlight w:val="none"/>
        </w:rPr>
        <w:t>交通安全：明确道路、车辆、驾驶人员、运输等要求；</w:t>
      </w:r>
    </w:p>
    <w:p>
      <w:pPr>
        <w:pStyle w:val="176"/>
        <w:numPr>
          <w:ilvl w:val="0"/>
          <w:numId w:val="37"/>
        </w:numPr>
        <w:rPr>
          <w:highlight w:val="none"/>
        </w:rPr>
      </w:pPr>
      <w:r>
        <w:rPr>
          <w:rFonts w:hint="eastAsia"/>
          <w:highlight w:val="none"/>
        </w:rPr>
        <w:t>防洪度汛：明确度汛方案和预案、防汛物资、防汛值班、防汛预警、防汛应急等要求；</w:t>
      </w:r>
    </w:p>
    <w:p>
      <w:pPr>
        <w:pStyle w:val="176"/>
        <w:numPr>
          <w:ilvl w:val="0"/>
          <w:numId w:val="37"/>
        </w:numPr>
        <w:rPr>
          <w:highlight w:val="none"/>
        </w:rPr>
      </w:pPr>
      <w:r>
        <w:rPr>
          <w:rFonts w:hint="eastAsia"/>
          <w:highlight w:val="none"/>
        </w:rPr>
        <w:t>其他保障安全生产的规章制度。</w:t>
      </w:r>
    </w:p>
    <w:p>
      <w:pPr>
        <w:pStyle w:val="169"/>
        <w:rPr>
          <w:highlight w:val="none"/>
        </w:rPr>
      </w:pPr>
      <w:r>
        <w:rPr>
          <w:rFonts w:hint="eastAsia"/>
          <w:highlight w:val="none"/>
        </w:rPr>
        <w:t>安全生产规章制度应经批准实施，</w:t>
      </w:r>
      <w:r>
        <w:rPr>
          <w:rFonts w:hint="eastAsia"/>
          <w:color w:val="auto"/>
          <w:highlight w:val="none"/>
          <w:lang w:val="en-US" w:eastAsia="zh-CN"/>
        </w:rPr>
        <w:t>并印发</w:t>
      </w:r>
      <w:r>
        <w:rPr>
          <w:rFonts w:hint="eastAsia"/>
          <w:highlight w:val="none"/>
        </w:rPr>
        <w:t>至相关岗位的从业人员。</w:t>
      </w:r>
    </w:p>
    <w:p>
      <w:pPr>
        <w:pStyle w:val="169"/>
        <w:rPr>
          <w:color w:val="auto"/>
          <w:highlight w:val="none"/>
        </w:rPr>
      </w:pPr>
      <w:r>
        <w:rPr>
          <w:rFonts w:hint="eastAsia"/>
          <w:highlight w:val="none"/>
        </w:rPr>
        <w:t>安全生产规章制度应每年审核，适时更新，并保存记录。</w:t>
      </w:r>
    </w:p>
    <w:p>
      <w:pPr>
        <w:pStyle w:val="96"/>
        <w:spacing w:before="156" w:after="156"/>
        <w:rPr>
          <w:highlight w:val="none"/>
        </w:rPr>
      </w:pPr>
      <w:bookmarkStart w:id="83" w:name="_Toc207877304"/>
      <w:r>
        <w:rPr>
          <w:rFonts w:hint="eastAsia"/>
          <w:highlight w:val="none"/>
        </w:rPr>
        <w:t>安全操作规程</w:t>
      </w:r>
      <w:bookmarkEnd w:id="83"/>
    </w:p>
    <w:p>
      <w:pPr>
        <w:pStyle w:val="169"/>
        <w:rPr>
          <w:highlight w:val="none"/>
        </w:rPr>
      </w:pPr>
      <w:r>
        <w:rPr>
          <w:rFonts w:hint="eastAsia"/>
          <w:highlight w:val="none"/>
        </w:rPr>
        <w:t>企业应当依照法律、法规、规章和国家标准、行业标准，结合工艺流程、技术设备特点以及原辅料危险性等情况制定安全操作规程。</w:t>
      </w:r>
    </w:p>
    <w:p>
      <w:pPr>
        <w:pStyle w:val="169"/>
        <w:rPr>
          <w:highlight w:val="none"/>
        </w:rPr>
      </w:pPr>
      <w:r>
        <w:rPr>
          <w:rFonts w:hint="eastAsia"/>
          <w:highlight w:val="none"/>
        </w:rPr>
        <w:t>安全操作规程应当覆盖本企业生产经营活动的全过程。</w:t>
      </w:r>
    </w:p>
    <w:p>
      <w:pPr>
        <w:pStyle w:val="169"/>
        <w:rPr>
          <w:highlight w:val="none"/>
        </w:rPr>
      </w:pPr>
      <w:r>
        <w:rPr>
          <w:rFonts w:hint="eastAsia"/>
          <w:highlight w:val="none"/>
        </w:rPr>
        <w:t>安全操作规程应包括下列内容：</w:t>
      </w:r>
    </w:p>
    <w:p>
      <w:pPr>
        <w:pStyle w:val="176"/>
        <w:numPr>
          <w:ilvl w:val="0"/>
          <w:numId w:val="38"/>
        </w:numPr>
        <w:rPr>
          <w:highlight w:val="none"/>
        </w:rPr>
      </w:pPr>
      <w:r>
        <w:rPr>
          <w:rFonts w:hint="eastAsia"/>
          <w:highlight w:val="none"/>
        </w:rPr>
        <w:t>适用范围；</w:t>
      </w:r>
    </w:p>
    <w:p>
      <w:pPr>
        <w:pStyle w:val="176"/>
        <w:numPr>
          <w:ilvl w:val="0"/>
          <w:numId w:val="38"/>
        </w:numPr>
        <w:rPr>
          <w:highlight w:val="none"/>
        </w:rPr>
      </w:pPr>
      <w:r>
        <w:rPr>
          <w:rFonts w:hint="eastAsia"/>
          <w:highlight w:val="none"/>
        </w:rPr>
        <w:t>岗位存在的主要危险源及控制要求；</w:t>
      </w:r>
    </w:p>
    <w:p>
      <w:pPr>
        <w:pStyle w:val="176"/>
        <w:numPr>
          <w:ilvl w:val="0"/>
          <w:numId w:val="38"/>
        </w:numPr>
        <w:rPr>
          <w:highlight w:val="none"/>
        </w:rPr>
      </w:pPr>
      <w:r>
        <w:rPr>
          <w:rFonts w:hint="eastAsia"/>
          <w:highlight w:val="none"/>
        </w:rPr>
        <w:t>设备的安全防护装置及使用方法或作业程序；</w:t>
      </w:r>
    </w:p>
    <w:p>
      <w:pPr>
        <w:pStyle w:val="176"/>
        <w:numPr>
          <w:ilvl w:val="0"/>
          <w:numId w:val="38"/>
        </w:numPr>
        <w:rPr>
          <w:highlight w:val="green"/>
        </w:rPr>
      </w:pPr>
      <w:r>
        <w:rPr>
          <w:rFonts w:hint="eastAsia"/>
          <w:color w:val="auto"/>
          <w:highlight w:val="none"/>
          <w:lang w:val="en-US" w:eastAsia="zh-CN"/>
        </w:rPr>
        <w:t>个体</w:t>
      </w:r>
      <w:r>
        <w:rPr>
          <w:rFonts w:hint="eastAsia"/>
          <w:color w:val="auto"/>
          <w:highlight w:val="none"/>
        </w:rPr>
        <w:t>防护要求；</w:t>
      </w:r>
    </w:p>
    <w:p>
      <w:pPr>
        <w:pStyle w:val="176"/>
        <w:numPr>
          <w:ilvl w:val="0"/>
          <w:numId w:val="38"/>
        </w:numPr>
        <w:rPr>
          <w:highlight w:val="none"/>
        </w:rPr>
      </w:pPr>
      <w:r>
        <w:rPr>
          <w:rFonts w:hint="eastAsia"/>
          <w:highlight w:val="none"/>
        </w:rPr>
        <w:t>严禁事项；</w:t>
      </w:r>
    </w:p>
    <w:p>
      <w:pPr>
        <w:pStyle w:val="176"/>
        <w:numPr>
          <w:ilvl w:val="0"/>
          <w:numId w:val="38"/>
        </w:numPr>
        <w:rPr>
          <w:highlight w:val="none"/>
        </w:rPr>
      </w:pPr>
      <w:r>
        <w:rPr>
          <w:rFonts w:hint="eastAsia"/>
          <w:highlight w:val="none"/>
        </w:rPr>
        <w:t>紧急情况现场处置措施。</w:t>
      </w:r>
    </w:p>
    <w:p>
      <w:pPr>
        <w:pStyle w:val="169"/>
        <w:rPr>
          <w:highlight w:val="none"/>
        </w:rPr>
      </w:pPr>
      <w:r>
        <w:rPr>
          <w:rFonts w:hint="eastAsia"/>
          <w:highlight w:val="none"/>
        </w:rPr>
        <w:t>安全操作规程应经批准实施，</w:t>
      </w:r>
      <w:r>
        <w:rPr>
          <w:rFonts w:hint="eastAsia"/>
          <w:color w:val="auto"/>
          <w:highlight w:val="none"/>
          <w:lang w:val="en-US" w:eastAsia="zh-CN"/>
        </w:rPr>
        <w:t>并印发</w:t>
      </w:r>
      <w:r>
        <w:rPr>
          <w:rFonts w:hint="eastAsia"/>
          <w:highlight w:val="none"/>
        </w:rPr>
        <w:t>至相关岗位的从业人员。</w:t>
      </w:r>
    </w:p>
    <w:p>
      <w:pPr>
        <w:pStyle w:val="169"/>
        <w:rPr>
          <w:highlight w:val="none"/>
        </w:rPr>
      </w:pPr>
      <w:r>
        <w:rPr>
          <w:rFonts w:hint="eastAsia"/>
          <w:highlight w:val="none"/>
        </w:rPr>
        <w:t>工艺、设备发生变化后应及时修订或更新岗位安全操作规程，并保存相关记录。</w:t>
      </w:r>
    </w:p>
    <w:p>
      <w:pPr>
        <w:pStyle w:val="67"/>
        <w:spacing w:before="156" w:after="156"/>
        <w:rPr>
          <w:highlight w:val="none"/>
        </w:rPr>
      </w:pPr>
      <w:bookmarkStart w:id="84" w:name="_Toc207877305"/>
      <w:bookmarkStart w:id="85" w:name="_Toc208403404"/>
      <w:r>
        <w:rPr>
          <w:rFonts w:hint="eastAsia"/>
          <w:highlight w:val="none"/>
        </w:rPr>
        <w:t>资金保障</w:t>
      </w:r>
      <w:bookmarkEnd w:id="84"/>
      <w:bookmarkEnd w:id="85"/>
    </w:p>
    <w:p>
      <w:pPr>
        <w:pStyle w:val="166"/>
        <w:rPr>
          <w:highlight w:val="none"/>
        </w:rPr>
      </w:pPr>
      <w:r>
        <w:rPr>
          <w:rFonts w:hint="eastAsia"/>
          <w:highlight w:val="none"/>
        </w:rPr>
        <w:t>企业应加强安全生产费用管理，编制年度企业安全生产费用提取和使用计划，纳入企业财务预算，确保资金投入。</w:t>
      </w:r>
    </w:p>
    <w:p>
      <w:pPr>
        <w:pStyle w:val="166"/>
        <w:rPr>
          <w:highlight w:val="none"/>
        </w:rPr>
      </w:pPr>
      <w:r>
        <w:rPr>
          <w:rFonts w:hint="eastAsia"/>
          <w:highlight w:val="none"/>
        </w:rPr>
        <w:t>企业应严格执行安全生产费用使用计划，做到专款专用。</w:t>
      </w:r>
    </w:p>
    <w:p>
      <w:pPr>
        <w:pStyle w:val="166"/>
        <w:rPr>
          <w:highlight w:val="none"/>
        </w:rPr>
      </w:pPr>
      <w:r>
        <w:rPr>
          <w:rFonts w:hint="eastAsia"/>
          <w:highlight w:val="none"/>
        </w:rPr>
        <w:t>企业每年应对安全生产费用使用情况进行检查、总结和考核。</w:t>
      </w:r>
    </w:p>
    <w:p>
      <w:pPr>
        <w:pStyle w:val="166"/>
        <w:rPr>
          <w:highlight w:val="none"/>
        </w:rPr>
      </w:pPr>
      <w:r>
        <w:rPr>
          <w:rFonts w:hint="eastAsia"/>
          <w:highlight w:val="none"/>
        </w:rPr>
        <w:t>企业应按规定为从业人员投保工伤保险、为项目投保安全生产责任保险等相关保险。</w:t>
      </w:r>
    </w:p>
    <w:p>
      <w:pPr>
        <w:pStyle w:val="166"/>
        <w:rPr>
          <w:highlight w:val="none"/>
        </w:rPr>
      </w:pPr>
      <w:r>
        <w:rPr>
          <w:rFonts w:hint="eastAsia"/>
          <w:highlight w:val="none"/>
        </w:rPr>
        <w:t>项目部应在工程开工前编制安全生产费用使用计划，经监理单位审核，报项目法人同意后执行。</w:t>
      </w:r>
    </w:p>
    <w:p>
      <w:pPr>
        <w:pStyle w:val="166"/>
        <w:rPr>
          <w:highlight w:val="none"/>
        </w:rPr>
      </w:pPr>
      <w:r>
        <w:rPr>
          <w:rFonts w:hint="eastAsia"/>
          <w:highlight w:val="none"/>
        </w:rPr>
        <w:t>企业提取的安全</w:t>
      </w:r>
      <w:r>
        <w:rPr>
          <w:rFonts w:hint="eastAsia"/>
          <w:highlight w:val="none"/>
          <w:lang w:val="en-US" w:eastAsia="zh-CN"/>
        </w:rPr>
        <w:t>生产</w:t>
      </w:r>
      <w:r>
        <w:rPr>
          <w:rFonts w:hint="eastAsia"/>
          <w:highlight w:val="none"/>
        </w:rPr>
        <w:t>费用应专门核算，建立安全</w:t>
      </w:r>
      <w:r>
        <w:rPr>
          <w:rFonts w:hint="eastAsia"/>
          <w:highlight w:val="none"/>
          <w:lang w:val="en-US" w:eastAsia="zh-CN"/>
        </w:rPr>
        <w:t>生产</w:t>
      </w:r>
      <w:r>
        <w:rPr>
          <w:rFonts w:hint="eastAsia"/>
          <w:highlight w:val="none"/>
        </w:rPr>
        <w:t>费用</w:t>
      </w:r>
      <w:r>
        <w:rPr>
          <w:rFonts w:hint="eastAsia"/>
          <w:highlight w:val="none"/>
          <w:lang w:eastAsia="zh-CN"/>
        </w:rPr>
        <w:t>使用台账</w:t>
      </w:r>
      <w:r>
        <w:rPr>
          <w:rFonts w:hint="eastAsia"/>
          <w:highlight w:val="none"/>
        </w:rPr>
        <w:t>。</w:t>
      </w:r>
    </w:p>
    <w:p>
      <w:pPr>
        <w:pStyle w:val="166"/>
        <w:rPr>
          <w:highlight w:val="none"/>
        </w:rPr>
      </w:pPr>
      <w:r>
        <w:rPr>
          <w:rFonts w:hint="eastAsia"/>
          <w:highlight w:val="none"/>
        </w:rPr>
        <w:t>安全生产费用使用范围应符合</w:t>
      </w:r>
      <w:r>
        <w:rPr>
          <w:rFonts w:hint="eastAsia"/>
          <w:color w:val="auto"/>
          <w:highlight w:val="none"/>
          <w:lang w:val="en-US" w:eastAsia="zh-CN"/>
        </w:rPr>
        <w:t>下列</w:t>
      </w:r>
      <w:r>
        <w:rPr>
          <w:rFonts w:hint="eastAsia"/>
          <w:highlight w:val="none"/>
        </w:rPr>
        <w:t>要求</w:t>
      </w:r>
      <w:r>
        <w:rPr>
          <w:rFonts w:hint="eastAsia"/>
          <w:highlight w:val="none"/>
          <w:lang w:eastAsia="zh-CN"/>
        </w:rPr>
        <w:t>：</w:t>
      </w:r>
    </w:p>
    <w:p>
      <w:pPr>
        <w:pStyle w:val="176"/>
        <w:numPr>
          <w:ilvl w:val="0"/>
          <w:numId w:val="39"/>
        </w:numPr>
        <w:bidi w:val="0"/>
        <w:ind w:left="851" w:leftChars="0" w:hanging="426" w:firstLineChars="0"/>
        <w:rPr>
          <w:rFonts w:hint="eastAsia"/>
          <w:highlight w:val="none"/>
        </w:rPr>
      </w:pPr>
      <w:r>
        <w:rPr>
          <w:rFonts w:hint="eastAsia"/>
          <w:highlight w:val="none"/>
        </w:rPr>
        <w:t>完善、改造和维护安全防护设施设备支出（不含“三同时”要求初期投入的安全设施）；</w:t>
      </w:r>
    </w:p>
    <w:p>
      <w:pPr>
        <w:pStyle w:val="176"/>
        <w:numPr>
          <w:ilvl w:val="0"/>
          <w:numId w:val="39"/>
        </w:numPr>
        <w:bidi w:val="0"/>
        <w:ind w:left="851" w:leftChars="0" w:hanging="426" w:firstLineChars="0"/>
        <w:rPr>
          <w:rFonts w:hint="eastAsia"/>
          <w:highlight w:val="none"/>
        </w:rPr>
      </w:pPr>
      <w:r>
        <w:rPr>
          <w:rFonts w:hint="eastAsia"/>
          <w:highlight w:val="none"/>
        </w:rPr>
        <w:t>应急救援技术装备、设施配置及维护保养支出，事故逃生和紧急避难设施设备的配置和应急救援队伍建设、应急预案制修订与应急演练支出；</w:t>
      </w:r>
    </w:p>
    <w:p>
      <w:pPr>
        <w:pStyle w:val="176"/>
        <w:numPr>
          <w:ilvl w:val="0"/>
          <w:numId w:val="39"/>
        </w:numPr>
        <w:bidi w:val="0"/>
        <w:ind w:left="851" w:leftChars="0" w:hanging="426" w:firstLineChars="0"/>
        <w:rPr>
          <w:rFonts w:hint="eastAsia"/>
          <w:highlight w:val="none"/>
        </w:rPr>
      </w:pPr>
      <w:r>
        <w:rPr>
          <w:rFonts w:hint="eastAsia"/>
          <w:highlight w:val="none"/>
        </w:rPr>
        <w:t>开展施工现场重大危险源监测、评估、监控支出，安全风险分级管控和事故隐患排查整改支出，工程项目安全生产信息化建设、运维和网络安全支出；</w:t>
      </w:r>
    </w:p>
    <w:p>
      <w:pPr>
        <w:pStyle w:val="176"/>
        <w:numPr>
          <w:ilvl w:val="0"/>
          <w:numId w:val="39"/>
        </w:numPr>
        <w:bidi w:val="0"/>
        <w:ind w:left="851" w:leftChars="0" w:hanging="426" w:firstLineChars="0"/>
        <w:rPr>
          <w:rFonts w:hint="eastAsia"/>
          <w:highlight w:val="none"/>
        </w:rPr>
      </w:pPr>
      <w:r>
        <w:rPr>
          <w:rFonts w:hint="eastAsia"/>
          <w:highlight w:val="none"/>
        </w:rPr>
        <w:t>安全生产检查、评估评价（不含新建、改建、扩建项目安全评价）、咨询和标准化建设支出；</w:t>
      </w:r>
    </w:p>
    <w:p>
      <w:pPr>
        <w:pStyle w:val="176"/>
        <w:numPr>
          <w:ilvl w:val="0"/>
          <w:numId w:val="39"/>
        </w:numPr>
        <w:bidi w:val="0"/>
        <w:ind w:left="851" w:leftChars="0" w:hanging="426" w:firstLineChars="0"/>
        <w:rPr>
          <w:rFonts w:hint="eastAsia"/>
          <w:highlight w:val="none"/>
        </w:rPr>
      </w:pPr>
      <w:r>
        <w:rPr>
          <w:rFonts w:hint="eastAsia"/>
          <w:highlight w:val="none"/>
        </w:rPr>
        <w:t>配备和更新现场作业人员安全防护用品支出；</w:t>
      </w:r>
    </w:p>
    <w:p>
      <w:pPr>
        <w:pStyle w:val="176"/>
        <w:numPr>
          <w:ilvl w:val="0"/>
          <w:numId w:val="39"/>
        </w:numPr>
        <w:bidi w:val="0"/>
        <w:ind w:left="851" w:leftChars="0" w:hanging="426" w:firstLineChars="0"/>
        <w:rPr>
          <w:rFonts w:hint="eastAsia"/>
          <w:highlight w:val="none"/>
        </w:rPr>
      </w:pPr>
      <w:r>
        <w:rPr>
          <w:rFonts w:hint="eastAsia"/>
          <w:highlight w:val="none"/>
        </w:rPr>
        <w:t>安全生产宣传、教育、培训和从业人员发现并报告事故隐患的奖励支出；</w:t>
      </w:r>
    </w:p>
    <w:p>
      <w:pPr>
        <w:pStyle w:val="176"/>
        <w:numPr>
          <w:ilvl w:val="0"/>
          <w:numId w:val="39"/>
        </w:numPr>
        <w:bidi w:val="0"/>
        <w:ind w:left="851" w:leftChars="0" w:hanging="426" w:firstLineChars="0"/>
        <w:rPr>
          <w:rFonts w:hint="eastAsia"/>
          <w:highlight w:val="none"/>
        </w:rPr>
      </w:pPr>
      <w:r>
        <w:rPr>
          <w:rFonts w:hint="eastAsia"/>
          <w:highlight w:val="none"/>
        </w:rPr>
        <w:t>安全生产适用的新技术、新标准、新工艺、新装备的推广应用支出；</w:t>
      </w:r>
    </w:p>
    <w:p>
      <w:pPr>
        <w:pStyle w:val="176"/>
        <w:numPr>
          <w:ilvl w:val="0"/>
          <w:numId w:val="39"/>
        </w:numPr>
        <w:bidi w:val="0"/>
        <w:ind w:left="851" w:leftChars="0" w:hanging="426" w:firstLineChars="0"/>
        <w:rPr>
          <w:rFonts w:hint="eastAsia"/>
          <w:highlight w:val="none"/>
        </w:rPr>
      </w:pPr>
      <w:r>
        <w:rPr>
          <w:rFonts w:hint="eastAsia"/>
          <w:highlight w:val="none"/>
        </w:rPr>
        <w:t>安全设施及特种设备检测检验、检定校准支出；</w:t>
      </w:r>
    </w:p>
    <w:p>
      <w:pPr>
        <w:pStyle w:val="176"/>
        <w:numPr>
          <w:ilvl w:val="0"/>
          <w:numId w:val="39"/>
        </w:numPr>
        <w:bidi w:val="0"/>
        <w:ind w:left="851" w:leftChars="0" w:hanging="426" w:firstLineChars="0"/>
        <w:rPr>
          <w:rFonts w:hint="eastAsia"/>
          <w:highlight w:val="none"/>
        </w:rPr>
      </w:pPr>
      <w:r>
        <w:rPr>
          <w:rFonts w:hint="eastAsia"/>
          <w:highlight w:val="none"/>
        </w:rPr>
        <w:t>安全生产责任保险支出；</w:t>
      </w:r>
    </w:p>
    <w:p>
      <w:pPr>
        <w:pStyle w:val="176"/>
        <w:numPr>
          <w:ilvl w:val="0"/>
          <w:numId w:val="39"/>
        </w:numPr>
        <w:bidi w:val="0"/>
        <w:ind w:left="851" w:leftChars="0" w:hanging="426" w:firstLineChars="0"/>
        <w:rPr>
          <w:highlight w:val="none"/>
        </w:rPr>
      </w:pPr>
      <w:r>
        <w:rPr>
          <w:rFonts w:hint="eastAsia"/>
          <w:highlight w:val="none"/>
        </w:rPr>
        <w:t>与安全生产直接相关的其他支出。</w:t>
      </w:r>
    </w:p>
    <w:p>
      <w:pPr>
        <w:pStyle w:val="67"/>
        <w:bidi w:val="0"/>
        <w:rPr>
          <w:highlight w:val="none"/>
        </w:rPr>
      </w:pPr>
      <w:r>
        <w:rPr>
          <w:rFonts w:hint="eastAsia"/>
          <w:highlight w:val="none"/>
          <w:lang w:val="en-US" w:eastAsia="zh-CN"/>
        </w:rPr>
        <w:t>科技保障</w:t>
      </w:r>
    </w:p>
    <w:p>
      <w:pPr>
        <w:pStyle w:val="166"/>
        <w:bidi w:val="0"/>
        <w:rPr>
          <w:highlight w:val="none"/>
        </w:rPr>
      </w:pPr>
      <w:r>
        <w:rPr>
          <w:rFonts w:hint="eastAsia"/>
          <w:highlight w:val="none"/>
          <w:lang w:val="en-US" w:eastAsia="zh-CN"/>
        </w:rPr>
        <w:t>企业应根据自身实际情况，开展安全生产科学技术研究，推广应用先进技术准备，推进危险岗位无人值守或机器人作业，提高企业本质安全水平。</w:t>
      </w:r>
    </w:p>
    <w:p>
      <w:pPr>
        <w:pStyle w:val="166"/>
        <w:bidi w:val="0"/>
        <w:rPr>
          <w:strike w:val="0"/>
          <w:dstrike w:val="0"/>
          <w:highlight w:val="none"/>
        </w:rPr>
      </w:pPr>
      <w:r>
        <w:rPr>
          <w:rFonts w:hint="eastAsia"/>
          <w:highlight w:val="none"/>
          <w:lang w:val="en-US" w:eastAsia="zh-CN"/>
        </w:rPr>
        <w:t>企业宜实施安全生产信息化智能化建设，根据安全管理需求构建安全生产信息化智能化系统。</w:t>
      </w:r>
    </w:p>
    <w:p>
      <w:pPr>
        <w:pStyle w:val="166"/>
        <w:bidi w:val="0"/>
        <w:rPr>
          <w:highlight w:val="none"/>
        </w:rPr>
      </w:pPr>
      <w:r>
        <w:rPr>
          <w:rFonts w:hint="eastAsia"/>
          <w:highlight w:val="none"/>
        </w:rPr>
        <w:t>重大危险源宜</w:t>
      </w:r>
      <w:r>
        <w:rPr>
          <w:rFonts w:hint="eastAsia"/>
          <w:highlight w:val="none"/>
          <w:lang w:val="en-US" w:eastAsia="zh-CN"/>
        </w:rPr>
        <w:t>设置</w:t>
      </w:r>
      <w:r>
        <w:rPr>
          <w:rFonts w:hint="eastAsia"/>
          <w:highlight w:val="none"/>
        </w:rPr>
        <w:t>安全监控预警系统。</w:t>
      </w:r>
    </w:p>
    <w:p>
      <w:pPr>
        <w:pStyle w:val="107"/>
        <w:spacing w:before="156" w:after="156"/>
        <w:rPr>
          <w:highlight w:val="none"/>
        </w:rPr>
      </w:pPr>
      <w:bookmarkStart w:id="86" w:name="_Toc28125"/>
      <w:bookmarkStart w:id="87" w:name="_Toc207877308"/>
      <w:bookmarkStart w:id="88" w:name="_Toc208403405"/>
      <w:bookmarkStart w:id="89" w:name="_Toc22112"/>
      <w:r>
        <w:rPr>
          <w:rFonts w:hint="eastAsia"/>
          <w:highlight w:val="none"/>
        </w:rPr>
        <w:t>策划</w:t>
      </w:r>
      <w:bookmarkEnd w:id="86"/>
      <w:bookmarkEnd w:id="87"/>
      <w:bookmarkEnd w:id="88"/>
      <w:bookmarkEnd w:id="89"/>
    </w:p>
    <w:p>
      <w:pPr>
        <w:pStyle w:val="67"/>
        <w:spacing w:before="156" w:after="156"/>
        <w:rPr>
          <w:color w:val="auto"/>
          <w:highlight w:val="none"/>
        </w:rPr>
      </w:pPr>
      <w:bookmarkStart w:id="90" w:name="_Toc208403406"/>
      <w:bookmarkStart w:id="91" w:name="_Toc207877309"/>
      <w:r>
        <w:rPr>
          <w:rFonts w:hint="eastAsia"/>
          <w:color w:val="auto"/>
          <w:highlight w:val="none"/>
        </w:rPr>
        <w:t>理念</w:t>
      </w:r>
      <w:bookmarkEnd w:id="90"/>
      <w:bookmarkEnd w:id="91"/>
    </w:p>
    <w:p>
      <w:pPr>
        <w:pStyle w:val="166"/>
        <w:rPr>
          <w:strike/>
          <w:dstrike w:val="0"/>
          <w:highlight w:val="green"/>
        </w:rPr>
      </w:pPr>
      <w:r>
        <w:rPr>
          <w:rFonts w:hint="eastAsia"/>
          <w:color w:val="auto"/>
          <w:highlight w:val="none"/>
          <w:lang w:val="en-US" w:eastAsia="zh-CN"/>
        </w:rPr>
        <w:t>企业</w:t>
      </w:r>
      <w:r>
        <w:rPr>
          <w:rFonts w:hint="eastAsia"/>
          <w:highlight w:val="none"/>
        </w:rPr>
        <w:t>应根据安全生产政策、法律法规、标准规范和管理实践，总结凝练形成本企业安全理念，培育具有特色的安全文化。</w:t>
      </w:r>
    </w:p>
    <w:p>
      <w:pPr>
        <w:pStyle w:val="166"/>
        <w:rPr>
          <w:strike/>
          <w:dstrike w:val="0"/>
          <w:highlight w:val="yellow"/>
        </w:rPr>
      </w:pPr>
      <w:r>
        <w:rPr>
          <w:rFonts w:hint="eastAsia"/>
          <w:highlight w:val="none"/>
        </w:rPr>
        <w:t>通过多种形式和载体宣贯</w:t>
      </w:r>
      <w:r>
        <w:rPr>
          <w:rFonts w:hint="eastAsia"/>
          <w:strike w:val="0"/>
          <w:dstrike w:val="0"/>
          <w:color w:val="auto"/>
          <w:highlight w:val="none"/>
          <w:lang w:val="en-US" w:eastAsia="zh-CN"/>
        </w:rPr>
        <w:t>传播企业安全理念</w:t>
      </w:r>
      <w:r>
        <w:rPr>
          <w:rFonts w:hint="eastAsia"/>
          <w:highlight w:val="none"/>
        </w:rPr>
        <w:t>。</w:t>
      </w:r>
    </w:p>
    <w:p>
      <w:pPr>
        <w:pStyle w:val="67"/>
        <w:spacing w:before="156" w:after="156"/>
        <w:rPr>
          <w:highlight w:val="none"/>
        </w:rPr>
      </w:pPr>
      <w:bookmarkStart w:id="92" w:name="_Toc207877310"/>
      <w:bookmarkStart w:id="93" w:name="_Toc208403407"/>
      <w:r>
        <w:rPr>
          <w:rFonts w:hint="eastAsia"/>
          <w:highlight w:val="none"/>
          <w:lang w:val="en-US" w:eastAsia="zh-CN"/>
        </w:rPr>
        <w:t>安全生产</w:t>
      </w:r>
      <w:r>
        <w:rPr>
          <w:rFonts w:hint="eastAsia"/>
          <w:highlight w:val="none"/>
        </w:rPr>
        <w:t>目标</w:t>
      </w:r>
      <w:bookmarkEnd w:id="92"/>
      <w:bookmarkEnd w:id="93"/>
    </w:p>
    <w:p>
      <w:pPr>
        <w:pStyle w:val="166"/>
        <w:rPr>
          <w:highlight w:val="none"/>
        </w:rPr>
      </w:pPr>
      <w:r>
        <w:rPr>
          <w:rFonts w:hint="eastAsia"/>
          <w:highlight w:val="none"/>
        </w:rPr>
        <w:t>企业应结合实际情况，制定年度安全生产目标。安全生产目标内容包括但不限于：</w:t>
      </w:r>
    </w:p>
    <w:p>
      <w:pPr>
        <w:pStyle w:val="176"/>
        <w:numPr>
          <w:ilvl w:val="0"/>
          <w:numId w:val="40"/>
        </w:numPr>
        <w:rPr>
          <w:highlight w:val="none"/>
        </w:rPr>
      </w:pPr>
      <w:r>
        <w:rPr>
          <w:rFonts w:hint="eastAsia"/>
          <w:highlight w:val="none"/>
        </w:rPr>
        <w:t>生产安全事故控制目标；</w:t>
      </w:r>
    </w:p>
    <w:p>
      <w:pPr>
        <w:pStyle w:val="176"/>
        <w:numPr>
          <w:ilvl w:val="0"/>
          <w:numId w:val="40"/>
        </w:numPr>
        <w:rPr>
          <w:highlight w:val="none"/>
        </w:rPr>
      </w:pPr>
      <w:r>
        <w:rPr>
          <w:rFonts w:hint="eastAsia"/>
          <w:highlight w:val="none"/>
        </w:rPr>
        <w:t>安全生产投入目标；</w:t>
      </w:r>
    </w:p>
    <w:p>
      <w:pPr>
        <w:pStyle w:val="176"/>
        <w:numPr>
          <w:ilvl w:val="0"/>
          <w:numId w:val="40"/>
        </w:numPr>
        <w:rPr>
          <w:highlight w:val="none"/>
        </w:rPr>
      </w:pPr>
      <w:r>
        <w:rPr>
          <w:rFonts w:hint="eastAsia"/>
          <w:highlight w:val="none"/>
        </w:rPr>
        <w:t>安全生产教育培训目标；</w:t>
      </w:r>
    </w:p>
    <w:p>
      <w:pPr>
        <w:pStyle w:val="176"/>
        <w:numPr>
          <w:ilvl w:val="0"/>
          <w:numId w:val="40"/>
        </w:numPr>
        <w:rPr>
          <w:highlight w:val="none"/>
        </w:rPr>
      </w:pPr>
      <w:r>
        <w:rPr>
          <w:rFonts w:hint="eastAsia"/>
          <w:highlight w:val="none"/>
        </w:rPr>
        <w:t>安全生产事故隐患排查治理目标；</w:t>
      </w:r>
    </w:p>
    <w:p>
      <w:pPr>
        <w:pStyle w:val="176"/>
        <w:numPr>
          <w:ilvl w:val="0"/>
          <w:numId w:val="40"/>
        </w:numPr>
        <w:rPr>
          <w:highlight w:val="none"/>
        </w:rPr>
      </w:pPr>
      <w:r>
        <w:rPr>
          <w:rFonts w:hint="eastAsia"/>
          <w:highlight w:val="none"/>
        </w:rPr>
        <w:t>重大危险源监控目标；</w:t>
      </w:r>
    </w:p>
    <w:p>
      <w:pPr>
        <w:pStyle w:val="176"/>
        <w:numPr>
          <w:ilvl w:val="0"/>
          <w:numId w:val="40"/>
        </w:numPr>
        <w:rPr>
          <w:highlight w:val="none"/>
        </w:rPr>
      </w:pPr>
      <w:r>
        <w:rPr>
          <w:rFonts w:hint="eastAsia"/>
          <w:highlight w:val="none"/>
        </w:rPr>
        <w:t>应急管理目标；</w:t>
      </w:r>
    </w:p>
    <w:p>
      <w:pPr>
        <w:pStyle w:val="176"/>
        <w:numPr>
          <w:ilvl w:val="0"/>
          <w:numId w:val="40"/>
        </w:numPr>
        <w:rPr>
          <w:highlight w:val="none"/>
        </w:rPr>
      </w:pPr>
      <w:r>
        <w:rPr>
          <w:rFonts w:hint="eastAsia"/>
          <w:highlight w:val="none"/>
        </w:rPr>
        <w:t>文明施工管理目标；</w:t>
      </w:r>
    </w:p>
    <w:p>
      <w:pPr>
        <w:pStyle w:val="176"/>
        <w:numPr>
          <w:ilvl w:val="0"/>
          <w:numId w:val="40"/>
        </w:numPr>
        <w:rPr>
          <w:highlight w:val="none"/>
        </w:rPr>
      </w:pPr>
      <w:r>
        <w:rPr>
          <w:rFonts w:hint="eastAsia"/>
          <w:highlight w:val="none"/>
        </w:rPr>
        <w:t>人员、机械、设备、交通、消防、环境和职业健康等方面的安全管理控制指标等。</w:t>
      </w:r>
    </w:p>
    <w:p>
      <w:pPr>
        <w:pStyle w:val="166"/>
        <w:rPr>
          <w:highlight w:val="none"/>
        </w:rPr>
      </w:pPr>
      <w:r>
        <w:rPr>
          <w:rFonts w:hint="eastAsia"/>
          <w:highlight w:val="none"/>
        </w:rPr>
        <w:t>企业应明确完成安全生产目标的工作任务、责任分工、资源保障和时限要求。</w:t>
      </w:r>
    </w:p>
    <w:p>
      <w:pPr>
        <w:pStyle w:val="166"/>
        <w:rPr>
          <w:highlight w:val="none"/>
        </w:rPr>
      </w:pPr>
      <w:r>
        <w:rPr>
          <w:rFonts w:hint="eastAsia"/>
          <w:highlight w:val="none"/>
        </w:rPr>
        <w:t>企业应结合实际情况，对安全生产目标及工作任务完成情况进行跟踪、分析、考核与奖惩。</w:t>
      </w:r>
    </w:p>
    <w:p>
      <w:pPr>
        <w:pStyle w:val="107"/>
        <w:spacing w:before="156" w:after="156"/>
        <w:rPr>
          <w:highlight w:val="none"/>
        </w:rPr>
      </w:pPr>
      <w:bookmarkStart w:id="94" w:name="_Toc4871"/>
      <w:bookmarkStart w:id="95" w:name="_Toc208403409"/>
      <w:bookmarkStart w:id="96" w:name="_Toc207877314"/>
      <w:bookmarkStart w:id="97" w:name="_Toc2871"/>
      <w:r>
        <w:rPr>
          <w:rFonts w:hint="eastAsia"/>
          <w:highlight w:val="none"/>
        </w:rPr>
        <w:t>安全风险分级管控</w:t>
      </w:r>
      <w:bookmarkEnd w:id="94"/>
      <w:bookmarkEnd w:id="95"/>
      <w:bookmarkEnd w:id="96"/>
      <w:bookmarkEnd w:id="97"/>
    </w:p>
    <w:p>
      <w:pPr>
        <w:pStyle w:val="67"/>
        <w:spacing w:before="156" w:after="156"/>
        <w:rPr>
          <w:highlight w:val="none"/>
        </w:rPr>
      </w:pPr>
      <w:bookmarkStart w:id="98" w:name="_Toc208403410"/>
      <w:bookmarkStart w:id="99" w:name="_Toc207877315"/>
      <w:r>
        <w:rPr>
          <w:rFonts w:hint="eastAsia"/>
          <w:highlight w:val="none"/>
        </w:rPr>
        <w:t>一般要求</w:t>
      </w:r>
      <w:bookmarkEnd w:id="98"/>
      <w:bookmarkEnd w:id="99"/>
    </w:p>
    <w:p>
      <w:pPr>
        <w:pStyle w:val="166"/>
        <w:rPr>
          <w:highlight w:val="none"/>
        </w:rPr>
      </w:pPr>
      <w:r>
        <w:rPr>
          <w:rFonts w:hint="eastAsia"/>
          <w:highlight w:val="none"/>
        </w:rPr>
        <w:t>企业应落实安全生产风险管控措施及要求</w:t>
      </w:r>
      <w:r>
        <w:rPr>
          <w:rFonts w:hint="eastAsia"/>
          <w:highlight w:val="none"/>
          <w:lang w:eastAsia="zh-CN"/>
        </w:rPr>
        <w:t>，</w:t>
      </w:r>
      <w:r>
        <w:rPr>
          <w:rFonts w:hint="eastAsia"/>
          <w:highlight w:val="none"/>
        </w:rPr>
        <w:t>全面掌握本企业安全风险，定期统计、汇总</w:t>
      </w:r>
      <w:r>
        <w:rPr>
          <w:rFonts w:hint="eastAsia"/>
          <w:strike w:val="0"/>
          <w:dstrike w:val="0"/>
          <w:color w:val="auto"/>
          <w:highlight w:val="none"/>
          <w:lang w:val="en-US" w:eastAsia="zh-CN"/>
        </w:rPr>
        <w:t>各</w:t>
      </w:r>
      <w:r>
        <w:rPr>
          <w:rFonts w:hint="eastAsia"/>
          <w:highlight w:val="none"/>
        </w:rPr>
        <w:t>项目部危险源辨识及风险评价工作成果，按规定落实分级管控措施。</w:t>
      </w:r>
    </w:p>
    <w:p>
      <w:pPr>
        <w:pStyle w:val="166"/>
        <w:rPr>
          <w:highlight w:val="none"/>
        </w:rPr>
      </w:pPr>
      <w:r>
        <w:rPr>
          <w:rFonts w:hint="eastAsia"/>
          <w:highlight w:val="none"/>
        </w:rPr>
        <w:t>企业应将安全生产风险评估与管控纳入年度安全教育培训计划，开展分层次、有针对性的专题培训，使全体员工具备与其岗位职责相适应的安全生产风险评估与管控业务技能。</w:t>
      </w:r>
    </w:p>
    <w:p>
      <w:pPr>
        <w:pStyle w:val="166"/>
        <w:rPr>
          <w:highlight w:val="none"/>
        </w:rPr>
      </w:pPr>
      <w:r>
        <w:rPr>
          <w:rFonts w:hint="eastAsia"/>
          <w:highlight w:val="none"/>
        </w:rPr>
        <w:t>风险评价定为低风险的危险源应按一般风险进行管控。</w:t>
      </w:r>
    </w:p>
    <w:p>
      <w:pPr>
        <w:pStyle w:val="166"/>
        <w:keepNext w:val="0"/>
        <w:keepLines w:val="0"/>
        <w:pageBreakBefore w:val="0"/>
        <w:widowControl/>
        <w:kinsoku/>
        <w:wordWrap w:val="0"/>
        <w:overflowPunct/>
        <w:topLinePunct w:val="0"/>
        <w:autoSpaceDE/>
        <w:autoSpaceDN/>
        <w:bidi w:val="0"/>
        <w:adjustRightInd/>
        <w:snapToGrid/>
        <w:textAlignment w:val="auto"/>
        <w:rPr>
          <w:highlight w:val="none"/>
        </w:rPr>
      </w:pPr>
      <w:r>
        <w:rPr>
          <w:rFonts w:hint="eastAsia"/>
          <w:highlight w:val="none"/>
        </w:rPr>
        <w:t>重大危险源和风险等级为重大风险的一般危险源应建立专项档案，并应符合SL/T</w:t>
      </w:r>
      <w:r>
        <w:rPr>
          <w:rFonts w:hint="eastAsia"/>
          <w:highlight w:val="none"/>
          <w:lang w:val="en-US" w:eastAsia="zh-CN"/>
        </w:rPr>
        <w:t xml:space="preserve"> </w:t>
      </w:r>
      <w:r>
        <w:rPr>
          <w:rFonts w:hint="eastAsia"/>
          <w:highlight w:val="none"/>
        </w:rPr>
        <w:t>843的</w:t>
      </w:r>
      <w:r>
        <w:rPr>
          <w:rFonts w:hint="eastAsia"/>
          <w:highlight w:val="none"/>
          <w:lang w:val="en-US" w:eastAsia="zh-CN"/>
        </w:rPr>
        <w:t>规定</w:t>
      </w:r>
      <w:r>
        <w:rPr>
          <w:rFonts w:hint="eastAsia"/>
          <w:highlight w:val="none"/>
        </w:rPr>
        <w:t>。</w:t>
      </w:r>
    </w:p>
    <w:p>
      <w:pPr>
        <w:pStyle w:val="166"/>
        <w:rPr>
          <w:highlight w:val="none"/>
        </w:rPr>
      </w:pPr>
      <w:r>
        <w:rPr>
          <w:rFonts w:hint="eastAsia"/>
          <w:highlight w:val="none"/>
        </w:rPr>
        <w:t>重大危险源应进行定期检测、评估、监控，并制定应急预案，告知从业人员和相关人员在紧急情况下应当采取的应急措施。</w:t>
      </w:r>
    </w:p>
    <w:p>
      <w:pPr>
        <w:pStyle w:val="67"/>
        <w:spacing w:before="156" w:after="156"/>
        <w:rPr>
          <w:color w:val="auto"/>
          <w:highlight w:val="none"/>
        </w:rPr>
      </w:pPr>
      <w:bookmarkStart w:id="100" w:name="_Toc207877316"/>
      <w:bookmarkStart w:id="101" w:name="_Toc208403411"/>
      <w:r>
        <w:rPr>
          <w:rFonts w:hint="eastAsia"/>
          <w:highlight w:val="none"/>
        </w:rPr>
        <w:t>风险辨</w:t>
      </w:r>
      <w:r>
        <w:rPr>
          <w:rFonts w:hint="eastAsia"/>
          <w:color w:val="auto"/>
          <w:highlight w:val="none"/>
        </w:rPr>
        <w:t>识及评价</w:t>
      </w:r>
      <w:bookmarkEnd w:id="100"/>
      <w:bookmarkEnd w:id="101"/>
    </w:p>
    <w:p>
      <w:pPr>
        <w:pStyle w:val="166"/>
        <w:rPr>
          <w:highlight w:val="none"/>
        </w:rPr>
      </w:pPr>
      <w:r>
        <w:rPr>
          <w:rFonts w:hint="eastAsia"/>
          <w:highlight w:val="none"/>
        </w:rPr>
        <w:t>开工前，项目部应全面分析、全方位辨识本标段危险源，做到全面、系统、无遗漏，科学评价危险源的风险等级，建立危险源清单，包括危险源名称、位置、类别、级别、风险等级、事故诱因、可能导致的后果等主要内容。</w:t>
      </w:r>
    </w:p>
    <w:p>
      <w:pPr>
        <w:pStyle w:val="166"/>
        <w:keepNext w:val="0"/>
        <w:keepLines w:val="0"/>
        <w:pageBreakBefore w:val="0"/>
        <w:widowControl/>
        <w:kinsoku/>
        <w:wordWrap w:val="0"/>
        <w:overflowPunct/>
        <w:topLinePunct w:val="0"/>
        <w:autoSpaceDE/>
        <w:autoSpaceDN/>
        <w:bidi w:val="0"/>
        <w:adjustRightInd/>
        <w:snapToGrid/>
        <w:textAlignment w:val="auto"/>
        <w:rPr>
          <w:highlight w:val="none"/>
        </w:rPr>
      </w:pPr>
      <w:r>
        <w:rPr>
          <w:rFonts w:hint="eastAsia"/>
          <w:highlight w:val="none"/>
        </w:rPr>
        <w:t>危险源应按照施工作业类、机械设备类、设施场所类、作业环境类和其他类分类；重大危险源的判定应符合SL/T</w:t>
      </w:r>
      <w:r>
        <w:rPr>
          <w:rFonts w:hint="eastAsia"/>
          <w:highlight w:val="none"/>
          <w:lang w:val="en-US" w:eastAsia="zh-CN"/>
        </w:rPr>
        <w:t xml:space="preserve"> </w:t>
      </w:r>
      <w:r>
        <w:rPr>
          <w:rFonts w:hint="eastAsia"/>
          <w:highlight w:val="none"/>
        </w:rPr>
        <w:t>843的</w:t>
      </w:r>
      <w:r>
        <w:rPr>
          <w:rFonts w:hint="eastAsia"/>
          <w:highlight w:val="none"/>
          <w:lang w:val="en-US" w:eastAsia="zh-CN"/>
        </w:rPr>
        <w:t>规定</w:t>
      </w:r>
      <w:r>
        <w:rPr>
          <w:rFonts w:hint="eastAsia"/>
          <w:highlight w:val="none"/>
        </w:rPr>
        <w:t>。</w:t>
      </w:r>
    </w:p>
    <w:p>
      <w:pPr>
        <w:pStyle w:val="166"/>
        <w:rPr>
          <w:color w:val="auto"/>
          <w:highlight w:val="none"/>
        </w:rPr>
      </w:pPr>
      <w:r>
        <w:rPr>
          <w:rFonts w:hint="eastAsia"/>
          <w:color w:val="auto"/>
          <w:highlight w:val="none"/>
        </w:rPr>
        <w:t>施工期，项目部应对危险源实施动态管理，及时掌握危险源及风险状态和变化趋势，每季度至少组织开展一次危险源辨识及风险评价。</w:t>
      </w:r>
    </w:p>
    <w:p>
      <w:pPr>
        <w:pStyle w:val="166"/>
        <w:rPr>
          <w:color w:val="auto"/>
          <w:highlight w:val="none"/>
        </w:rPr>
      </w:pPr>
      <w:r>
        <w:rPr>
          <w:rFonts w:hint="eastAsia"/>
          <w:color w:val="auto"/>
          <w:highlight w:val="none"/>
          <w:lang w:val="en-US" w:eastAsia="zh-CN"/>
        </w:rPr>
        <w:t>依照风险评价结果，对照安全生产风险等级判定方法，确定危险源不同风险类型的风险等级。</w:t>
      </w:r>
    </w:p>
    <w:p>
      <w:pPr>
        <w:pStyle w:val="166"/>
        <w:rPr>
          <w:color w:val="auto"/>
          <w:highlight w:val="none"/>
        </w:rPr>
      </w:pPr>
      <w:r>
        <w:rPr>
          <w:rFonts w:hint="eastAsia"/>
          <w:color w:val="auto"/>
          <w:highlight w:val="none"/>
          <w:lang w:val="en-US" w:eastAsia="zh-CN"/>
        </w:rPr>
        <w:t>项目部应制定安全风险空间分布图，并采用红、橙、黄、蓝四种颜色分别标识重大风险、较大风险、一般风险、低风险。</w:t>
      </w:r>
    </w:p>
    <w:p>
      <w:pPr>
        <w:pStyle w:val="67"/>
        <w:spacing w:before="156" w:after="156"/>
        <w:rPr>
          <w:highlight w:val="none"/>
        </w:rPr>
      </w:pPr>
      <w:bookmarkStart w:id="102" w:name="_Toc207877317"/>
      <w:bookmarkStart w:id="103" w:name="_Toc208403412"/>
      <w:r>
        <w:rPr>
          <w:rFonts w:hint="eastAsia"/>
          <w:highlight w:val="none"/>
        </w:rPr>
        <w:t>风险管控</w:t>
      </w:r>
      <w:bookmarkEnd w:id="102"/>
      <w:bookmarkEnd w:id="103"/>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项目部应根据危险源辨识与风险评价结果，从工程技术、管理、教育培训、个体防护、应急处置等方面，制定风险管控措施，明确管控层级，编制危险源辨识与风险评价报告，报告内容应符合SL/T</w:t>
      </w:r>
      <w:r>
        <w:rPr>
          <w:rFonts w:hint="eastAsia"/>
          <w:color w:val="auto"/>
          <w:highlight w:val="none"/>
          <w:lang w:val="en-US" w:eastAsia="zh-CN"/>
        </w:rPr>
        <w:t xml:space="preserve"> </w:t>
      </w:r>
      <w:r>
        <w:rPr>
          <w:rFonts w:hint="eastAsia"/>
          <w:color w:val="auto"/>
          <w:highlight w:val="none"/>
        </w:rPr>
        <w:t>843的</w:t>
      </w:r>
      <w:r>
        <w:rPr>
          <w:rFonts w:hint="eastAsia"/>
          <w:color w:val="auto"/>
          <w:highlight w:val="none"/>
          <w:lang w:val="en-US" w:eastAsia="zh-CN"/>
        </w:rPr>
        <w:t>规定</w:t>
      </w:r>
      <w:r>
        <w:rPr>
          <w:rFonts w:hint="eastAsia"/>
          <w:color w:val="auto"/>
          <w:highlight w:val="none"/>
        </w:rPr>
        <w:t>。</w:t>
      </w:r>
    </w:p>
    <w:p>
      <w:pPr>
        <w:pStyle w:val="166"/>
        <w:rPr>
          <w:highlight w:val="none"/>
        </w:rPr>
      </w:pPr>
      <w:r>
        <w:rPr>
          <w:rFonts w:hint="eastAsia"/>
          <w:highlight w:val="none"/>
        </w:rPr>
        <w:t>项目部应动态调整并更新危险源及风险管控层级、管控措施，汇总编制管控措施清单。</w:t>
      </w:r>
    </w:p>
    <w:p>
      <w:pPr>
        <w:pStyle w:val="166"/>
        <w:rPr>
          <w:highlight w:val="none"/>
        </w:rPr>
      </w:pPr>
      <w:r>
        <w:rPr>
          <w:rFonts w:hint="eastAsia"/>
          <w:highlight w:val="none"/>
        </w:rPr>
        <w:t>危险源辨识与风险评价报告、管控措施清单应报送监理单位和项目法人。</w:t>
      </w:r>
    </w:p>
    <w:p>
      <w:pPr>
        <w:pStyle w:val="166"/>
        <w:rPr>
          <w:highlight w:val="none"/>
        </w:rPr>
      </w:pPr>
      <w:r>
        <w:rPr>
          <w:rFonts w:hint="eastAsia"/>
          <w:highlight w:val="none"/>
        </w:rPr>
        <w:t>项目部应将风险评估结果及应采取的管控措施告知从业人员，使其熟悉工作岗位和作业环境中存在的安全风险。</w:t>
      </w:r>
    </w:p>
    <w:p>
      <w:pPr>
        <w:pStyle w:val="166"/>
        <w:rPr>
          <w:highlight w:val="none"/>
        </w:rPr>
      </w:pPr>
      <w:r>
        <w:rPr>
          <w:rFonts w:hint="eastAsia"/>
          <w:highlight w:val="none"/>
        </w:rPr>
        <w:t>项目部应采取人工监测、自动监测等手段，加强对危险源的监测监控，结合隐患排查治理，做好监测设备设施的日常检查、运行维护和检测校验等，做到早预警、早处置。</w:t>
      </w:r>
    </w:p>
    <w:p>
      <w:pPr>
        <w:pStyle w:val="67"/>
        <w:spacing w:before="156" w:after="156"/>
        <w:rPr>
          <w:color w:val="auto"/>
          <w:highlight w:val="none"/>
        </w:rPr>
      </w:pPr>
      <w:bookmarkStart w:id="104" w:name="_Toc208403413"/>
      <w:bookmarkStart w:id="105" w:name="_Toc207877318"/>
      <w:r>
        <w:rPr>
          <w:rFonts w:hint="eastAsia"/>
          <w:color w:val="auto"/>
          <w:highlight w:val="none"/>
        </w:rPr>
        <w:t>风险告知</w:t>
      </w:r>
      <w:bookmarkEnd w:id="104"/>
      <w:bookmarkEnd w:id="105"/>
    </w:p>
    <w:p>
      <w:pPr>
        <w:pStyle w:val="166"/>
        <w:rPr>
          <w:highlight w:val="none"/>
        </w:rPr>
      </w:pPr>
      <w:r>
        <w:rPr>
          <w:rFonts w:hint="eastAsia"/>
          <w:highlight w:val="none"/>
        </w:rPr>
        <w:t>项目部应在重点区域的醒目位置设置安全风险公告栏，对管理范围内的重大风险进行告知，主要内容包括危险源名称、位置、类别、级别、风险等级、事故诱因、可能导致的后果、管控责任人及报告电话等内容。</w:t>
      </w:r>
    </w:p>
    <w:p>
      <w:pPr>
        <w:pStyle w:val="166"/>
        <w:rPr>
          <w:highlight w:val="none"/>
        </w:rPr>
      </w:pPr>
      <w:r>
        <w:rPr>
          <w:rFonts w:hint="eastAsia"/>
          <w:highlight w:val="none"/>
        </w:rPr>
        <w:t>项目部应在重大风险危险源所在场所的醒目位置设置重大风险警示牌，主要内容包括危险源名称、级别、风险等级、所在部位、事故诱因、可能导致的后果、管控措施、应急措施、管控责任人、报告电话等信息。</w:t>
      </w:r>
    </w:p>
    <w:p>
      <w:pPr>
        <w:pStyle w:val="166"/>
        <w:rPr>
          <w:highlight w:val="none"/>
        </w:rPr>
      </w:pPr>
      <w:r>
        <w:rPr>
          <w:rFonts w:hint="eastAsia"/>
          <w:highlight w:val="none"/>
        </w:rPr>
        <w:t>项目部应结合工程特点制作岗位风险告知卡，发放至作业人员。</w:t>
      </w:r>
    </w:p>
    <w:p>
      <w:pPr>
        <w:pStyle w:val="166"/>
        <w:rPr>
          <w:highlight w:val="none"/>
        </w:rPr>
      </w:pPr>
      <w:r>
        <w:rPr>
          <w:rFonts w:hint="eastAsia"/>
          <w:highlight w:val="none"/>
        </w:rPr>
        <w:t>项目部应在存在较大及以上风险危险源的工作场所和岗位设置安全警示标志。</w:t>
      </w:r>
    </w:p>
    <w:p>
      <w:pPr>
        <w:pStyle w:val="166"/>
        <w:rPr>
          <w:highlight w:val="none"/>
        </w:rPr>
      </w:pPr>
      <w:bookmarkStart w:id="106" w:name="OLE_LINK27"/>
      <w:bookmarkStart w:id="107" w:name="OLE_LINK28"/>
      <w:r>
        <w:rPr>
          <w:rFonts w:hint="eastAsia"/>
          <w:highlight w:val="none"/>
        </w:rPr>
        <w:t>项目部应对进入工作区域的外来人员进行风险告知，主要内容应包括风险基本情况及防范、应急措施等。</w:t>
      </w:r>
    </w:p>
    <w:p>
      <w:pPr>
        <w:pStyle w:val="67"/>
        <w:bidi w:val="0"/>
        <w:rPr>
          <w:color w:val="auto"/>
          <w:highlight w:val="none"/>
        </w:rPr>
      </w:pPr>
      <w:r>
        <w:rPr>
          <w:rFonts w:hint="eastAsia"/>
          <w:color w:val="auto"/>
          <w:highlight w:val="none"/>
          <w:lang w:val="en-US" w:eastAsia="zh-CN"/>
        </w:rPr>
        <w:t>风险更新</w:t>
      </w:r>
    </w:p>
    <w:p>
      <w:pPr>
        <w:pStyle w:val="58"/>
        <w:bidi w:val="0"/>
        <w:rPr>
          <w:rFonts w:hint="eastAsia"/>
          <w:color w:val="auto"/>
          <w:highlight w:val="none"/>
        </w:rPr>
      </w:pPr>
      <w:r>
        <w:rPr>
          <w:rFonts w:hint="eastAsia"/>
          <w:color w:val="auto"/>
          <w:highlight w:val="none"/>
        </w:rPr>
        <w:t>企业应建立安全生产风险动态更新机制，出现下列情形时应及时进行更新：</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相关安全生产管理规定修订或发布；</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水利生产经营单位的安全生产管理体系发生变化；</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施工条件、构 （建）筑物、金属结构、机电设备、设施场所、作业活动、周边环境、生产工艺等发生变化；设备使用年限、作业人员变化等导致安全生产风险条件发生变化；</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首次采用新工艺、新技术、新材料、新产品、新设备；</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首次生产、储存、使用及运输危险物品或者危险物品的生产、储存、使用及运输条件发生变化；</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发生生产安全事故或一个月内在其他单位或工程发生了由相同或相似危险源导致的生产安全事故；</w:t>
      </w:r>
    </w:p>
    <w:p>
      <w:pPr>
        <w:pStyle w:val="176"/>
        <w:numPr>
          <w:ilvl w:val="0"/>
          <w:numId w:val="41"/>
        </w:numPr>
        <w:bidi w:val="0"/>
        <w:ind w:left="851" w:leftChars="0" w:hanging="426" w:firstLineChars="0"/>
        <w:rPr>
          <w:rFonts w:hint="eastAsia"/>
          <w:color w:val="auto"/>
          <w:highlight w:val="none"/>
        </w:rPr>
      </w:pPr>
      <w:r>
        <w:rPr>
          <w:rFonts w:hint="eastAsia"/>
          <w:color w:val="auto"/>
          <w:highlight w:val="none"/>
        </w:rPr>
        <w:t>工程出现病险情况并经安全鉴定为病险工程；</w:t>
      </w:r>
    </w:p>
    <w:p>
      <w:pPr>
        <w:pStyle w:val="176"/>
        <w:numPr>
          <w:ilvl w:val="0"/>
          <w:numId w:val="41"/>
        </w:numPr>
        <w:bidi w:val="0"/>
        <w:ind w:left="851" w:leftChars="0" w:hanging="426" w:firstLineChars="0"/>
        <w:rPr>
          <w:color w:val="auto"/>
          <w:highlight w:val="none"/>
        </w:rPr>
      </w:pPr>
      <w:r>
        <w:rPr>
          <w:rFonts w:hint="eastAsia"/>
          <w:color w:val="auto"/>
          <w:highlight w:val="none"/>
        </w:rPr>
        <w:t>出现其他对危险源产生影响的情况。</w:t>
      </w:r>
    </w:p>
    <w:bookmarkEnd w:id="106"/>
    <w:bookmarkEnd w:id="107"/>
    <w:p>
      <w:pPr>
        <w:pStyle w:val="107"/>
        <w:spacing w:before="156" w:after="156"/>
        <w:rPr>
          <w:highlight w:val="none"/>
        </w:rPr>
      </w:pPr>
      <w:bookmarkStart w:id="108" w:name="_Toc208403414"/>
      <w:bookmarkStart w:id="109" w:name="_Toc15978"/>
      <w:bookmarkStart w:id="110" w:name="_Toc207877320"/>
      <w:bookmarkStart w:id="111" w:name="_Toc20523"/>
      <w:r>
        <w:rPr>
          <w:rFonts w:hint="eastAsia"/>
          <w:highlight w:val="none"/>
        </w:rPr>
        <w:t>隐患排查治理</w:t>
      </w:r>
      <w:bookmarkEnd w:id="108"/>
      <w:bookmarkEnd w:id="109"/>
      <w:bookmarkEnd w:id="110"/>
      <w:bookmarkEnd w:id="111"/>
    </w:p>
    <w:p>
      <w:pPr>
        <w:pStyle w:val="67"/>
        <w:spacing w:before="156" w:after="156"/>
        <w:rPr>
          <w:highlight w:val="none"/>
        </w:rPr>
      </w:pPr>
      <w:bookmarkStart w:id="112" w:name="_Toc207877321"/>
      <w:bookmarkStart w:id="113" w:name="_Toc208403415"/>
      <w:r>
        <w:rPr>
          <w:rFonts w:hint="eastAsia"/>
          <w:highlight w:val="none"/>
        </w:rPr>
        <w:t>一般要求</w:t>
      </w:r>
      <w:bookmarkEnd w:id="112"/>
      <w:bookmarkEnd w:id="113"/>
    </w:p>
    <w:p>
      <w:pPr>
        <w:pStyle w:val="166"/>
        <w:rPr>
          <w:highlight w:val="none"/>
        </w:rPr>
      </w:pPr>
      <w:r>
        <w:rPr>
          <w:rFonts w:hint="eastAsia"/>
          <w:highlight w:val="none"/>
        </w:rPr>
        <w:t>企业应依据有关法律法规、</w:t>
      </w:r>
      <w:r>
        <w:rPr>
          <w:rFonts w:hint="eastAsia"/>
          <w:highlight w:val="none"/>
          <w:lang w:val="en-US" w:eastAsia="zh-CN"/>
        </w:rPr>
        <w:t>规章及</w:t>
      </w:r>
      <w:r>
        <w:rPr>
          <w:rFonts w:hint="eastAsia"/>
          <w:highlight w:val="none"/>
        </w:rPr>
        <w:t>标准规范的要求，针对已确定的</w:t>
      </w:r>
      <w:r>
        <w:rPr>
          <w:rFonts w:hint="eastAsia"/>
          <w:highlight w:val="none"/>
          <w:lang w:val="en-US" w:eastAsia="zh-CN"/>
        </w:rPr>
        <w:t>危险</w:t>
      </w:r>
      <w:r>
        <w:rPr>
          <w:rFonts w:hint="eastAsia"/>
          <w:highlight w:val="none"/>
        </w:rPr>
        <w:t>源关键管控措施，编制事故隐患排查清单，并及时更新。事故隐患排查应覆盖其所有的作业场所、设备设施、人员活动和相关方服务等相关的生产经营活动。</w:t>
      </w:r>
    </w:p>
    <w:p>
      <w:pPr>
        <w:pStyle w:val="166"/>
        <w:rPr>
          <w:highlight w:val="none"/>
        </w:rPr>
      </w:pPr>
      <w:r>
        <w:rPr>
          <w:rFonts w:hint="eastAsia"/>
          <w:highlight w:val="none"/>
        </w:rPr>
        <w:t>项目负责人应组织学习、掌握重大事故隐患判定标准，将其纳入本项目安全生产教育培训计划并组织实施，将学习情况和学习效果作为安全生产检查和事故隐患排查治理的重点。</w:t>
      </w:r>
    </w:p>
    <w:p>
      <w:pPr>
        <w:pStyle w:val="166"/>
        <w:rPr>
          <w:highlight w:val="none"/>
        </w:rPr>
      </w:pPr>
      <w:r>
        <w:rPr>
          <w:rFonts w:hint="eastAsia"/>
          <w:color w:val="auto"/>
          <w:highlight w:val="none"/>
          <w:lang w:val="en-US" w:eastAsia="zh-CN"/>
        </w:rPr>
        <w:t>企业负责人、</w:t>
      </w:r>
      <w:r>
        <w:rPr>
          <w:rFonts w:hint="eastAsia"/>
          <w:color w:val="auto"/>
          <w:highlight w:val="none"/>
        </w:rPr>
        <w:t>项目</w:t>
      </w:r>
      <w:r>
        <w:rPr>
          <w:rFonts w:hint="eastAsia"/>
          <w:highlight w:val="none"/>
        </w:rPr>
        <w:t>负责人应每月至少一次对本项目重大事故隐患排查治理情况带队进行检查。</w:t>
      </w:r>
    </w:p>
    <w:p>
      <w:pPr>
        <w:pStyle w:val="166"/>
        <w:rPr>
          <w:highlight w:val="none"/>
        </w:rPr>
      </w:pPr>
      <w:r>
        <w:rPr>
          <w:rFonts w:hint="eastAsia"/>
          <w:highlight w:val="none"/>
        </w:rPr>
        <w:t>企业应建立事故隐患内部报告奖励机制，明确事故隐患报告内容、报告途径、奖励资金等，并实施奖励。</w:t>
      </w:r>
    </w:p>
    <w:p>
      <w:pPr>
        <w:pStyle w:val="67"/>
        <w:spacing w:before="156" w:after="156"/>
        <w:rPr>
          <w:highlight w:val="none"/>
        </w:rPr>
      </w:pPr>
      <w:bookmarkStart w:id="114" w:name="_Toc208403416"/>
      <w:bookmarkStart w:id="115" w:name="_Toc207877322"/>
      <w:r>
        <w:rPr>
          <w:rFonts w:hint="eastAsia"/>
          <w:highlight w:val="none"/>
        </w:rPr>
        <w:t>隐患排查</w:t>
      </w:r>
      <w:bookmarkEnd w:id="114"/>
      <w:bookmarkEnd w:id="115"/>
    </w:p>
    <w:p>
      <w:pPr>
        <w:pStyle w:val="166"/>
        <w:rPr>
          <w:highlight w:val="none"/>
        </w:rPr>
      </w:pPr>
      <w:r>
        <w:rPr>
          <w:rFonts w:hint="eastAsia"/>
          <w:highlight w:val="none"/>
        </w:rPr>
        <w:t>事故隐患排查方式主要包括定期综合检查、专项检查、季节性检查、节假日检查和日常检查等。采取定期综合检查、专项检查、季节性检查、节假日检查前应制定排查方案，明确排查的目的、人员、时限、范围、内容和方法等。</w:t>
      </w:r>
    </w:p>
    <w:p>
      <w:pPr>
        <w:pStyle w:val="166"/>
        <w:keepNext w:val="0"/>
        <w:keepLines w:val="0"/>
        <w:pageBreakBefore w:val="0"/>
        <w:widowControl/>
        <w:kinsoku/>
        <w:wordWrap w:val="0"/>
        <w:overflowPunct/>
        <w:topLinePunct w:val="0"/>
        <w:autoSpaceDE/>
        <w:autoSpaceDN/>
        <w:bidi w:val="0"/>
        <w:adjustRightInd/>
        <w:snapToGrid/>
        <w:textAlignment w:val="auto"/>
        <w:rPr>
          <w:highlight w:val="none"/>
        </w:rPr>
      </w:pPr>
      <w:r>
        <w:rPr>
          <w:rFonts w:hint="eastAsia"/>
          <w:highlight w:val="none"/>
        </w:rPr>
        <w:t>对排查出的事故隐患，组织单位应及时书面通知有关单位，定人、定时、定措施进行整改，</w:t>
      </w:r>
      <w:r>
        <w:rPr>
          <w:rFonts w:hint="eastAsia"/>
          <w:highlight w:val="none"/>
          <w:lang w:val="en-US" w:eastAsia="zh-CN"/>
        </w:rPr>
        <w:t>并</w:t>
      </w:r>
      <w:r>
        <w:rPr>
          <w:rFonts w:hint="eastAsia"/>
          <w:highlight w:val="none"/>
        </w:rPr>
        <w:t>建立事故隐患信息台账。</w:t>
      </w:r>
      <w:r>
        <w:rPr>
          <w:rFonts w:hint="eastAsia"/>
          <w:highlight w:val="none"/>
          <w:lang w:val="en-US" w:eastAsia="zh-CN"/>
        </w:rPr>
        <w:t>水利水电工程生产安全</w:t>
      </w:r>
      <w:r>
        <w:rPr>
          <w:rFonts w:hint="eastAsia"/>
          <w:highlight w:val="none"/>
        </w:rPr>
        <w:t>重大事故隐患判定应符合SL/T</w:t>
      </w:r>
      <w:r>
        <w:rPr>
          <w:rFonts w:hint="eastAsia"/>
          <w:highlight w:val="none"/>
          <w:lang w:val="en-US" w:eastAsia="zh-CN"/>
        </w:rPr>
        <w:t xml:space="preserve"> </w:t>
      </w:r>
      <w:r>
        <w:rPr>
          <w:rFonts w:hint="eastAsia"/>
          <w:highlight w:val="none"/>
        </w:rPr>
        <w:t>842的</w:t>
      </w:r>
      <w:r>
        <w:rPr>
          <w:rFonts w:hint="eastAsia"/>
          <w:highlight w:val="none"/>
          <w:lang w:val="en-US" w:eastAsia="zh-CN"/>
        </w:rPr>
        <w:t>规定</w:t>
      </w:r>
      <w:r>
        <w:rPr>
          <w:rFonts w:hint="eastAsia"/>
          <w:highlight w:val="none"/>
        </w:rPr>
        <w:t>。</w:t>
      </w:r>
    </w:p>
    <w:p>
      <w:pPr>
        <w:pStyle w:val="166"/>
        <w:rPr>
          <w:highlight w:val="none"/>
        </w:rPr>
      </w:pPr>
      <w:r>
        <w:rPr>
          <w:rFonts w:hint="eastAsia"/>
          <w:highlight w:val="none"/>
        </w:rPr>
        <w:t>企业应将相关方排查出的隐患统一纳入本企业隐患管理。</w:t>
      </w:r>
    </w:p>
    <w:p>
      <w:pPr>
        <w:pStyle w:val="67"/>
        <w:spacing w:before="156" w:after="156"/>
        <w:rPr>
          <w:highlight w:val="none"/>
        </w:rPr>
      </w:pPr>
      <w:bookmarkStart w:id="116" w:name="_Toc207877323"/>
      <w:bookmarkStart w:id="117" w:name="_Toc208403417"/>
      <w:r>
        <w:rPr>
          <w:rFonts w:hint="eastAsia"/>
          <w:highlight w:val="none"/>
        </w:rPr>
        <w:t>隐患治理</w:t>
      </w:r>
      <w:bookmarkEnd w:id="116"/>
      <w:bookmarkEnd w:id="117"/>
    </w:p>
    <w:p>
      <w:pPr>
        <w:pStyle w:val="166"/>
        <w:rPr>
          <w:strike/>
          <w:dstrike w:val="0"/>
          <w:highlight w:val="yellow"/>
        </w:rPr>
      </w:pPr>
      <w:r>
        <w:rPr>
          <w:rFonts w:hint="eastAsia"/>
          <w:highlight w:val="none"/>
        </w:rPr>
        <w:t>企业和项目部对发现的事故隐患，应当立即</w:t>
      </w:r>
      <w:r>
        <w:rPr>
          <w:rFonts w:hint="eastAsia"/>
          <w:strike w:val="0"/>
          <w:dstrike w:val="0"/>
          <w:color w:val="auto"/>
          <w:highlight w:val="none"/>
          <w:lang w:val="en-US" w:eastAsia="zh-CN"/>
        </w:rPr>
        <w:t>消</w:t>
      </w:r>
      <w:r>
        <w:rPr>
          <w:rFonts w:hint="eastAsia"/>
          <w:highlight w:val="none"/>
        </w:rPr>
        <w:t>除；无法立即</w:t>
      </w:r>
      <w:r>
        <w:rPr>
          <w:rFonts w:hint="eastAsia"/>
          <w:strike w:val="0"/>
          <w:dstrike w:val="0"/>
          <w:color w:val="auto"/>
          <w:highlight w:val="none"/>
          <w:lang w:val="en-US" w:eastAsia="zh-CN"/>
        </w:rPr>
        <w:t>消</w:t>
      </w:r>
      <w:r>
        <w:rPr>
          <w:rFonts w:hint="eastAsia"/>
          <w:highlight w:val="none"/>
        </w:rPr>
        <w:t>除的，应当按照事故隐患危害程度、影响范围、整改难度，制定治理方案，落实治理措施，消除事故隐患。</w:t>
      </w:r>
    </w:p>
    <w:p>
      <w:pPr>
        <w:pStyle w:val="166"/>
        <w:rPr>
          <w:highlight w:val="none"/>
        </w:rPr>
      </w:pPr>
      <w:r>
        <w:rPr>
          <w:rFonts w:hint="eastAsia"/>
          <w:highlight w:val="none"/>
        </w:rPr>
        <w:t>对重大事故隐患，项目部应组织编制重大事故隐患治理方案，经监理单位审核，报项目法人同意后实施</w:t>
      </w:r>
      <w:r>
        <w:rPr>
          <w:rFonts w:hint="eastAsia"/>
          <w:strike w:val="0"/>
          <w:dstrike w:val="0"/>
          <w:color w:val="auto"/>
          <w:highlight w:val="none"/>
          <w:lang w:eastAsia="zh-CN"/>
        </w:rPr>
        <w:t>。</w:t>
      </w:r>
      <w:r>
        <w:rPr>
          <w:rFonts w:hint="eastAsia"/>
          <w:highlight w:val="none"/>
        </w:rPr>
        <w:t>治理方案应包括重大事故隐患描述、治理的目标和任务、采取的方法和措施、经费和物资的落实、负责治理的机构和人员、治理的时限和要求、安全措施和应急预案等。</w:t>
      </w:r>
    </w:p>
    <w:p>
      <w:pPr>
        <w:pStyle w:val="166"/>
        <w:rPr>
          <w:strike/>
          <w:dstrike w:val="0"/>
          <w:highlight w:val="yellow"/>
        </w:rPr>
      </w:pPr>
      <w:r>
        <w:rPr>
          <w:rFonts w:hint="eastAsia"/>
          <w:highlight w:val="none"/>
        </w:rPr>
        <w:t>事故隐患整改到位前，应采取相应的安全防范措施</w:t>
      </w:r>
      <w:r>
        <w:rPr>
          <w:rFonts w:hint="eastAsia"/>
          <w:highlight w:val="none"/>
          <w:lang w:eastAsia="zh-CN"/>
        </w:rPr>
        <w:t>。</w:t>
      </w:r>
    </w:p>
    <w:p>
      <w:pPr>
        <w:pStyle w:val="166"/>
        <w:rPr>
          <w:highlight w:val="none"/>
        </w:rPr>
      </w:pPr>
      <w:r>
        <w:rPr>
          <w:rFonts w:hint="eastAsia"/>
          <w:highlight w:val="none"/>
        </w:rPr>
        <w:t>一般事故隐患治理完成后，对治理情况进行复查，并在隐患整改通知单上签署明确意见。</w:t>
      </w:r>
    </w:p>
    <w:p>
      <w:pPr>
        <w:pStyle w:val="166"/>
        <w:rPr>
          <w:highlight w:val="none"/>
        </w:rPr>
      </w:pPr>
      <w:r>
        <w:rPr>
          <w:rFonts w:hint="eastAsia"/>
          <w:highlight w:val="none"/>
        </w:rPr>
        <w:t>重大事故隐患治理完成后，对治理情况进行验证和效果评估，</w:t>
      </w:r>
      <w:r>
        <w:rPr>
          <w:rFonts w:hint="eastAsia"/>
          <w:highlight w:val="none"/>
          <w:lang w:val="en-US" w:eastAsia="zh-CN"/>
        </w:rPr>
        <w:t>并形成评估报告，</w:t>
      </w:r>
      <w:r>
        <w:rPr>
          <w:rFonts w:hint="eastAsia"/>
          <w:highlight w:val="none"/>
        </w:rPr>
        <w:t>经监理单位审核</w:t>
      </w:r>
      <w:r>
        <w:rPr>
          <w:rFonts w:hint="eastAsia"/>
          <w:strike w:val="0"/>
          <w:dstrike w:val="0"/>
          <w:color w:val="auto"/>
          <w:highlight w:val="none"/>
          <w:lang w:val="en-US" w:eastAsia="zh-CN"/>
        </w:rPr>
        <w:t>后</w:t>
      </w:r>
      <w:r>
        <w:rPr>
          <w:rFonts w:hint="eastAsia"/>
          <w:highlight w:val="none"/>
        </w:rPr>
        <w:t>上报项目法人。</w:t>
      </w:r>
    </w:p>
    <w:p>
      <w:pPr>
        <w:pStyle w:val="67"/>
        <w:spacing w:before="156" w:after="156"/>
        <w:rPr>
          <w:highlight w:val="none"/>
        </w:rPr>
      </w:pPr>
      <w:bookmarkStart w:id="118" w:name="_Toc207877324"/>
      <w:bookmarkStart w:id="119" w:name="_Toc208403418"/>
      <w:r>
        <w:rPr>
          <w:rFonts w:hint="eastAsia"/>
          <w:highlight w:val="none"/>
        </w:rPr>
        <w:t>隐患公示及过程管理</w:t>
      </w:r>
      <w:bookmarkEnd w:id="118"/>
      <w:bookmarkEnd w:id="119"/>
    </w:p>
    <w:p>
      <w:pPr>
        <w:pStyle w:val="166"/>
        <w:rPr>
          <w:highlight w:val="none"/>
        </w:rPr>
      </w:pPr>
      <w:r>
        <w:rPr>
          <w:rFonts w:hint="eastAsia"/>
          <w:highlight w:val="none"/>
        </w:rPr>
        <w:t>企业应按月、季、年对隐患排查治理情况进行统计分析，形成报告，向从业人员通报，并按照有关要求报送隐患排查治理情况。</w:t>
      </w:r>
    </w:p>
    <w:p>
      <w:pPr>
        <w:pStyle w:val="166"/>
        <w:rPr>
          <w:highlight w:val="none"/>
        </w:rPr>
      </w:pPr>
      <w:r>
        <w:rPr>
          <w:rFonts w:hint="eastAsia"/>
          <w:highlight w:val="none"/>
        </w:rPr>
        <w:t>重大事故隐患消除前，项目部应向作业人员公示事故隐患所在位置、危害程度、影响范围和应急措施等信息。</w:t>
      </w:r>
    </w:p>
    <w:p>
      <w:pPr>
        <w:pStyle w:val="166"/>
        <w:rPr>
          <w:highlight w:val="none"/>
        </w:rPr>
      </w:pPr>
      <w:r>
        <w:rPr>
          <w:rFonts w:hint="eastAsia"/>
          <w:highlight w:val="none"/>
        </w:rPr>
        <w:t>企业应按要求使用信息化系统，如实记录事故隐患的排查时间、所属类型、所在位置、责任部门和责任人、治理措施及整改情况等内容，并动态更新。</w:t>
      </w:r>
    </w:p>
    <w:p>
      <w:pPr>
        <w:pStyle w:val="107"/>
        <w:spacing w:before="156" w:after="156"/>
        <w:rPr>
          <w:highlight w:val="none"/>
        </w:rPr>
      </w:pPr>
      <w:bookmarkStart w:id="120" w:name="_Toc14057"/>
      <w:bookmarkStart w:id="121" w:name="_Toc12159"/>
      <w:bookmarkStart w:id="122" w:name="_Toc208403419"/>
      <w:bookmarkStart w:id="123" w:name="_Toc207877325"/>
      <w:r>
        <w:rPr>
          <w:rFonts w:hint="eastAsia"/>
          <w:highlight w:val="none"/>
        </w:rPr>
        <w:t>人员管理</w:t>
      </w:r>
      <w:bookmarkEnd w:id="120"/>
      <w:bookmarkEnd w:id="121"/>
      <w:bookmarkEnd w:id="122"/>
      <w:bookmarkEnd w:id="123"/>
    </w:p>
    <w:p>
      <w:pPr>
        <w:pStyle w:val="67"/>
        <w:spacing w:before="156" w:after="156"/>
        <w:rPr>
          <w:highlight w:val="none"/>
        </w:rPr>
      </w:pPr>
      <w:bookmarkStart w:id="124" w:name="_Toc208403420"/>
      <w:bookmarkStart w:id="125" w:name="_Toc207877326"/>
      <w:r>
        <w:rPr>
          <w:rFonts w:hint="eastAsia"/>
          <w:highlight w:val="none"/>
        </w:rPr>
        <w:t>人员准入</w:t>
      </w:r>
      <w:bookmarkEnd w:id="124"/>
      <w:bookmarkEnd w:id="125"/>
    </w:p>
    <w:p>
      <w:pPr>
        <w:pStyle w:val="166"/>
        <w:bidi w:val="0"/>
        <w:rPr>
          <w:highlight w:val="none"/>
        </w:rPr>
      </w:pPr>
      <w:r>
        <w:rPr>
          <w:rFonts w:hint="eastAsia"/>
          <w:highlight w:val="none"/>
        </w:rPr>
        <w:t>企业应结合岗位职责和安全生产要求，明确从业人员所需的专业、学历、职称、工作经历等要求。</w:t>
      </w:r>
    </w:p>
    <w:p>
      <w:pPr>
        <w:pStyle w:val="166"/>
        <w:bidi w:val="0"/>
        <w:rPr>
          <w:highlight w:val="none"/>
        </w:rPr>
      </w:pPr>
      <w:r>
        <w:rPr>
          <w:rFonts w:hint="eastAsia"/>
          <w:highlight w:val="none"/>
        </w:rPr>
        <w:t>企业主要负责人、项目负责人、专职安全生产管理人员</w:t>
      </w:r>
      <w:r>
        <w:rPr>
          <w:rFonts w:hint="eastAsia"/>
          <w:highlight w:val="none"/>
          <w:lang w:val="en-US" w:eastAsia="zh-CN"/>
        </w:rPr>
        <w:t>应取得安全生产考核合格证书。</w:t>
      </w:r>
    </w:p>
    <w:p>
      <w:pPr>
        <w:pStyle w:val="166"/>
        <w:bidi w:val="0"/>
        <w:rPr>
          <w:highlight w:val="none"/>
        </w:rPr>
      </w:pPr>
      <w:r>
        <w:rPr>
          <w:rFonts w:hint="eastAsia"/>
          <w:highlight w:val="none"/>
          <w:lang w:val="en-US" w:eastAsia="zh-CN"/>
        </w:rPr>
        <w:t>特种（设备）作业人员应按规定取得相应资格证书。</w:t>
      </w:r>
    </w:p>
    <w:p>
      <w:pPr>
        <w:pStyle w:val="166"/>
        <w:rPr>
          <w:highlight w:val="none"/>
        </w:rPr>
      </w:pPr>
      <w:r>
        <w:rPr>
          <w:rFonts w:hint="eastAsia"/>
          <w:highlight w:val="none"/>
        </w:rPr>
        <w:t>其他从业人员经相关培训合格后上岗。</w:t>
      </w:r>
    </w:p>
    <w:p>
      <w:pPr>
        <w:pStyle w:val="67"/>
        <w:spacing w:before="156" w:after="156"/>
        <w:rPr>
          <w:rFonts w:hint="default" w:eastAsia="宋体"/>
          <w:highlight w:val="none"/>
          <w:lang w:val="en-US" w:eastAsia="zh-CN"/>
        </w:rPr>
      </w:pPr>
      <w:bookmarkStart w:id="126" w:name="_Toc207877328"/>
      <w:bookmarkStart w:id="127" w:name="_Toc208403422"/>
      <w:r>
        <w:rPr>
          <w:rFonts w:hint="eastAsia"/>
          <w:strike w:val="0"/>
          <w:dstrike w:val="0"/>
          <w:highlight w:val="none"/>
        </w:rPr>
        <w:t>安全培训</w:t>
      </w:r>
      <w:bookmarkEnd w:id="126"/>
      <w:bookmarkEnd w:id="127"/>
    </w:p>
    <w:p>
      <w:pPr>
        <w:pStyle w:val="166"/>
        <w:rPr>
          <w:highlight w:val="none"/>
        </w:rPr>
      </w:pPr>
      <w:r>
        <w:rPr>
          <w:rFonts w:hint="eastAsia"/>
          <w:highlight w:val="none"/>
        </w:rPr>
        <w:t>企业应定期识别安全生产教育培训需求，制订安全培训计划，如实记载安全培训记录、建立台账和档案，并对安全培训效果进行评估。</w:t>
      </w:r>
    </w:p>
    <w:p>
      <w:pPr>
        <w:pStyle w:val="166"/>
        <w:rPr>
          <w:highlight w:val="none"/>
        </w:rPr>
      </w:pPr>
      <w:r>
        <w:rPr>
          <w:rFonts w:hint="eastAsia"/>
          <w:highlight w:val="none"/>
        </w:rPr>
        <w:t>安全生产培训学时应符合下列要求：</w:t>
      </w:r>
    </w:p>
    <w:p>
      <w:pPr>
        <w:pStyle w:val="176"/>
        <w:numPr>
          <w:ilvl w:val="0"/>
          <w:numId w:val="42"/>
        </w:numPr>
        <w:rPr>
          <w:highlight w:val="none"/>
        </w:rPr>
      </w:pPr>
      <w:r>
        <w:rPr>
          <w:rFonts w:hint="eastAsia"/>
          <w:highlight w:val="none"/>
        </w:rPr>
        <w:t>企业主要负责人</w:t>
      </w:r>
      <w:r>
        <w:rPr>
          <w:rFonts w:hint="eastAsia"/>
          <w:highlight w:val="none"/>
          <w:lang w:val="en-US" w:eastAsia="zh-CN"/>
        </w:rPr>
        <w:t>和项目专职安全生产管理人员，初次安全生产教育和培训时间应不少于32学时，每年再教育和培训时间应不少于12学时；</w:t>
      </w:r>
    </w:p>
    <w:p>
      <w:pPr>
        <w:pStyle w:val="176"/>
        <w:numPr>
          <w:ilvl w:val="0"/>
          <w:numId w:val="42"/>
        </w:numPr>
        <w:rPr>
          <w:highlight w:val="none"/>
        </w:rPr>
      </w:pPr>
      <w:r>
        <w:rPr>
          <w:rFonts w:hint="eastAsia"/>
          <w:highlight w:val="none"/>
        </w:rPr>
        <w:t>企业及其现场管理机构新进场工人安全生产教育和培训，上岗前接受公司级、项目级、班组级安全生产教育和培训，时间不少于32学时，每年再教育培训时间不少于20学时</w:t>
      </w:r>
      <w:r>
        <w:rPr>
          <w:rFonts w:hint="eastAsia"/>
          <w:highlight w:val="none"/>
          <w:lang w:eastAsia="zh-CN"/>
        </w:rPr>
        <w:t>；</w:t>
      </w:r>
    </w:p>
    <w:p>
      <w:pPr>
        <w:pStyle w:val="176"/>
        <w:numPr>
          <w:ilvl w:val="0"/>
          <w:numId w:val="42"/>
        </w:numPr>
        <w:rPr>
          <w:highlight w:val="none"/>
        </w:rPr>
      </w:pPr>
      <w:r>
        <w:rPr>
          <w:rFonts w:hint="eastAsia"/>
          <w:highlight w:val="none"/>
          <w:lang w:eastAsia="zh-CN"/>
        </w:rPr>
        <w:t>企业及其现场管理机构其他从业人员，上岗前接受安全生产教育和培训，时间不少于24学时，每年再教育培训时间不少于20学时。</w:t>
      </w:r>
    </w:p>
    <w:p>
      <w:pPr>
        <w:pStyle w:val="166"/>
        <w:rPr>
          <w:color w:val="auto"/>
          <w:highlight w:val="none"/>
        </w:rPr>
      </w:pPr>
      <w:r>
        <w:rPr>
          <w:rFonts w:hint="eastAsia"/>
          <w:color w:val="auto"/>
          <w:highlight w:val="none"/>
        </w:rPr>
        <w:t>特种</w:t>
      </w:r>
      <w:r>
        <w:rPr>
          <w:rFonts w:hint="eastAsia"/>
          <w:color w:val="auto"/>
          <w:highlight w:val="none"/>
          <w:lang w:eastAsia="zh-CN"/>
        </w:rPr>
        <w:t>（</w:t>
      </w:r>
      <w:r>
        <w:rPr>
          <w:rFonts w:hint="eastAsia"/>
          <w:color w:val="auto"/>
          <w:highlight w:val="none"/>
          <w:lang w:val="en-US" w:eastAsia="zh-CN"/>
        </w:rPr>
        <w:t>设备）</w:t>
      </w:r>
      <w:r>
        <w:rPr>
          <w:rFonts w:hint="eastAsia"/>
          <w:color w:val="auto"/>
          <w:highlight w:val="none"/>
        </w:rPr>
        <w:t>作业人员离岗3个月以上重新上岗的，应经实际操作考核合格</w:t>
      </w:r>
      <w:r>
        <w:rPr>
          <w:rFonts w:hint="eastAsia"/>
          <w:color w:val="auto"/>
          <w:highlight w:val="none"/>
          <w:lang w:eastAsia="zh-CN"/>
        </w:rPr>
        <w:t>。</w:t>
      </w:r>
    </w:p>
    <w:p>
      <w:pPr>
        <w:pStyle w:val="166"/>
        <w:rPr>
          <w:highlight w:val="none"/>
        </w:rPr>
      </w:pPr>
      <w:r>
        <w:rPr>
          <w:rFonts w:hint="eastAsia"/>
          <w:highlight w:val="none"/>
        </w:rPr>
        <w:t>企业采用新技术、新材料</w:t>
      </w:r>
      <w:r>
        <w:rPr>
          <w:rFonts w:hint="eastAsia"/>
          <w:highlight w:val="none"/>
          <w:lang w:eastAsia="zh-CN"/>
        </w:rPr>
        <w:t>、</w:t>
      </w:r>
      <w:r>
        <w:rPr>
          <w:rFonts w:hint="eastAsia"/>
          <w:highlight w:val="none"/>
        </w:rPr>
        <w:t>新工艺、</w:t>
      </w:r>
      <w:r>
        <w:rPr>
          <w:rFonts w:hint="eastAsia"/>
          <w:highlight w:val="none"/>
          <w:lang w:val="en-US" w:eastAsia="zh-CN"/>
        </w:rPr>
        <w:t>新产品和</w:t>
      </w:r>
      <w:r>
        <w:rPr>
          <w:rFonts w:hint="eastAsia"/>
          <w:highlight w:val="none"/>
        </w:rPr>
        <w:t>新设备时，应根据技术说明书、使用说明书、</w:t>
      </w:r>
      <w:r>
        <w:rPr>
          <w:rFonts w:hint="eastAsia"/>
          <w:highlight w:val="none"/>
          <w:lang w:val="en-US" w:eastAsia="zh-CN"/>
        </w:rPr>
        <w:t>安全操作规程</w:t>
      </w:r>
      <w:r>
        <w:rPr>
          <w:rFonts w:hint="eastAsia"/>
          <w:highlight w:val="none"/>
        </w:rPr>
        <w:t>等，对有关作业人员进行安全生产教育</w:t>
      </w:r>
      <w:r>
        <w:rPr>
          <w:rFonts w:hint="eastAsia"/>
          <w:highlight w:val="none"/>
          <w:lang w:val="en-US" w:eastAsia="zh-CN"/>
        </w:rPr>
        <w:t>和</w:t>
      </w:r>
      <w:r>
        <w:rPr>
          <w:rFonts w:hint="eastAsia"/>
          <w:highlight w:val="none"/>
        </w:rPr>
        <w:t>培训。</w:t>
      </w:r>
    </w:p>
    <w:p>
      <w:pPr>
        <w:pStyle w:val="166"/>
        <w:rPr>
          <w:highlight w:val="none"/>
        </w:rPr>
      </w:pPr>
      <w:r>
        <w:rPr>
          <w:rFonts w:hint="eastAsia"/>
          <w:highlight w:val="none"/>
        </w:rPr>
        <w:t>从业人员在本单位内调整工作岗位或离岗</w:t>
      </w:r>
      <w:r>
        <w:rPr>
          <w:rFonts w:hint="eastAsia"/>
          <w:highlight w:val="none"/>
          <w:lang w:val="en-US" w:eastAsia="zh-CN"/>
        </w:rPr>
        <w:t>一年</w:t>
      </w:r>
      <w:r>
        <w:rPr>
          <w:rFonts w:hint="eastAsia"/>
          <w:highlight w:val="none"/>
        </w:rPr>
        <w:t>以上重新上岗时，应重新接受公司、项目、班组的安全培训。</w:t>
      </w:r>
    </w:p>
    <w:p>
      <w:pPr>
        <w:pStyle w:val="166"/>
        <w:rPr>
          <w:highlight w:val="none"/>
        </w:rPr>
      </w:pPr>
      <w:r>
        <w:rPr>
          <w:rFonts w:hint="eastAsia"/>
          <w:highlight w:val="none"/>
        </w:rPr>
        <w:t>企业应对相关方作业人员（短期临时作业人员、实习学生、学习参观人员及其他外来人员）进行安全教育培训。</w:t>
      </w:r>
    </w:p>
    <w:p>
      <w:pPr>
        <w:pStyle w:val="166"/>
        <w:rPr>
          <w:highlight w:val="none"/>
        </w:rPr>
      </w:pPr>
      <w:r>
        <w:rPr>
          <w:rFonts w:hint="eastAsia"/>
          <w:highlight w:val="none"/>
        </w:rPr>
        <w:t>企业应及时对安全培训效果进行评估。</w:t>
      </w:r>
    </w:p>
    <w:p>
      <w:pPr>
        <w:pStyle w:val="67"/>
        <w:spacing w:before="156" w:after="156"/>
        <w:rPr>
          <w:color w:val="auto"/>
          <w:highlight w:val="none"/>
        </w:rPr>
      </w:pPr>
      <w:bookmarkStart w:id="128" w:name="_Toc207877329"/>
      <w:bookmarkStart w:id="129" w:name="_Toc208403423"/>
      <w:r>
        <w:rPr>
          <w:rFonts w:hint="eastAsia"/>
          <w:color w:val="auto"/>
          <w:highlight w:val="none"/>
        </w:rPr>
        <w:t>行为管控</w:t>
      </w:r>
      <w:bookmarkEnd w:id="128"/>
      <w:bookmarkEnd w:id="129"/>
    </w:p>
    <w:p>
      <w:pPr>
        <w:pStyle w:val="96"/>
        <w:spacing w:before="156" w:after="156"/>
        <w:rPr>
          <w:strike w:val="0"/>
          <w:dstrike w:val="0"/>
          <w:highlight w:val="none"/>
        </w:rPr>
      </w:pPr>
      <w:bookmarkStart w:id="130" w:name="_Toc207877330"/>
      <w:r>
        <w:rPr>
          <w:rFonts w:hint="eastAsia"/>
          <w:strike w:val="0"/>
          <w:dstrike w:val="0"/>
          <w:highlight w:val="none"/>
        </w:rPr>
        <w:t>行为规范</w:t>
      </w:r>
      <w:bookmarkEnd w:id="130"/>
    </w:p>
    <w:p>
      <w:pPr>
        <w:pStyle w:val="58"/>
        <w:ind w:firstLine="420"/>
        <w:rPr>
          <w:strike w:val="0"/>
          <w:dstrike w:val="0"/>
          <w:highlight w:val="none"/>
        </w:rPr>
      </w:pPr>
      <w:r>
        <w:rPr>
          <w:rFonts w:hint="eastAsia"/>
          <w:strike w:val="0"/>
          <w:dstrike w:val="0"/>
          <w:highlight w:val="none"/>
        </w:rPr>
        <w:t>企业应加强对从业人员作业行为的安全管理，明确作业步骤、作业内容、作业标准、安全风险管控措施等内容，指导从业人员规范作业。</w:t>
      </w:r>
    </w:p>
    <w:p>
      <w:pPr>
        <w:pStyle w:val="96"/>
        <w:spacing w:before="156" w:after="156"/>
        <w:rPr>
          <w:strike w:val="0"/>
          <w:dstrike w:val="0"/>
          <w:highlight w:val="none"/>
        </w:rPr>
      </w:pPr>
      <w:bookmarkStart w:id="131" w:name="_Toc207877332"/>
      <w:r>
        <w:rPr>
          <w:rFonts w:hint="eastAsia"/>
          <w:strike w:val="0"/>
          <w:dstrike w:val="0"/>
          <w:highlight w:val="none"/>
        </w:rPr>
        <w:t>安全行为激励</w:t>
      </w:r>
      <w:bookmarkEnd w:id="131"/>
    </w:p>
    <w:p>
      <w:pPr>
        <w:pStyle w:val="58"/>
        <w:ind w:firstLine="420"/>
        <w:rPr>
          <w:strike w:val="0"/>
          <w:dstrike w:val="0"/>
          <w:highlight w:val="none"/>
        </w:rPr>
      </w:pPr>
      <w:r>
        <w:rPr>
          <w:rFonts w:hint="eastAsia"/>
          <w:strike w:val="0"/>
          <w:dstrike w:val="0"/>
          <w:highlight w:val="none"/>
        </w:rPr>
        <w:t>企业对安全生产工作方面有良好表现的人员给予表彰奖励，树立榜样典型，引导从业人员养成良好的安全行为习惯。</w:t>
      </w:r>
    </w:p>
    <w:p>
      <w:pPr>
        <w:pStyle w:val="96"/>
        <w:spacing w:before="156" w:after="156"/>
        <w:rPr>
          <w:highlight w:val="none"/>
        </w:rPr>
      </w:pPr>
      <w:bookmarkStart w:id="132" w:name="_Toc207877333"/>
      <w:r>
        <w:rPr>
          <w:rFonts w:hint="eastAsia"/>
          <w:highlight w:val="none"/>
        </w:rPr>
        <w:t>不安全行为管控</w:t>
      </w:r>
      <w:bookmarkEnd w:id="132"/>
    </w:p>
    <w:p>
      <w:pPr>
        <w:pStyle w:val="169"/>
        <w:rPr>
          <w:highlight w:val="none"/>
        </w:rPr>
      </w:pPr>
      <w:r>
        <w:rPr>
          <w:rFonts w:hint="eastAsia"/>
          <w:highlight w:val="none"/>
        </w:rPr>
        <w:t>企业应明确不安全行为的分级分类、认定标准等内容，开展不安全行为监督，及时制止和纠正不安全行为，并进行教育、矫正。</w:t>
      </w:r>
    </w:p>
    <w:p>
      <w:pPr>
        <w:pStyle w:val="169"/>
        <w:rPr>
          <w:highlight w:val="none"/>
        </w:rPr>
      </w:pPr>
      <w:r>
        <w:rPr>
          <w:rFonts w:hint="eastAsia"/>
          <w:highlight w:val="none"/>
        </w:rPr>
        <w:t>企业应定期对不安全行为进行统计分析，查找原因，制定防范措施。</w:t>
      </w:r>
    </w:p>
    <w:p>
      <w:pPr>
        <w:pStyle w:val="107"/>
        <w:spacing w:before="156" w:after="156"/>
        <w:rPr>
          <w:highlight w:val="none"/>
        </w:rPr>
      </w:pPr>
      <w:bookmarkStart w:id="133" w:name="_Toc30434"/>
      <w:bookmarkStart w:id="134" w:name="_Toc208403424"/>
      <w:bookmarkStart w:id="135" w:name="_Toc480"/>
      <w:bookmarkStart w:id="136" w:name="_Toc207877334"/>
      <w:r>
        <w:rPr>
          <w:rFonts w:hint="eastAsia"/>
          <w:highlight w:val="none"/>
        </w:rPr>
        <w:t>现场管理</w:t>
      </w:r>
      <w:bookmarkEnd w:id="133"/>
      <w:bookmarkEnd w:id="134"/>
      <w:bookmarkEnd w:id="135"/>
      <w:bookmarkEnd w:id="136"/>
    </w:p>
    <w:p>
      <w:pPr>
        <w:pStyle w:val="67"/>
        <w:spacing w:before="156" w:after="156"/>
        <w:rPr>
          <w:highlight w:val="none"/>
        </w:rPr>
      </w:pPr>
      <w:bookmarkStart w:id="137" w:name="_Toc207877335"/>
      <w:bookmarkStart w:id="138" w:name="_Toc208403425"/>
      <w:r>
        <w:rPr>
          <w:rFonts w:hint="eastAsia"/>
          <w:highlight w:val="none"/>
        </w:rPr>
        <w:t>作业环境与条件</w:t>
      </w:r>
      <w:bookmarkEnd w:id="137"/>
      <w:bookmarkEnd w:id="138"/>
    </w:p>
    <w:p>
      <w:pPr>
        <w:pStyle w:val="96"/>
        <w:spacing w:before="156" w:after="156"/>
        <w:rPr>
          <w:highlight w:val="none"/>
        </w:rPr>
      </w:pPr>
      <w:bookmarkStart w:id="139" w:name="_Toc207877336"/>
      <w:r>
        <w:rPr>
          <w:rFonts w:hint="eastAsia"/>
          <w:highlight w:val="none"/>
        </w:rPr>
        <w:t>一般要求</w:t>
      </w:r>
      <w:bookmarkEnd w:id="139"/>
    </w:p>
    <w:p>
      <w:pPr>
        <w:pStyle w:val="169"/>
        <w:rPr>
          <w:highlight w:val="none"/>
        </w:rPr>
      </w:pPr>
      <w:r>
        <w:rPr>
          <w:rFonts w:hint="eastAsia"/>
          <w:highlight w:val="none"/>
        </w:rPr>
        <w:t>生活区、办公区和生产区应分区设置</w:t>
      </w:r>
      <w:r>
        <w:rPr>
          <w:rFonts w:hint="eastAsia"/>
          <w:highlight w:val="none"/>
          <w:lang w:eastAsia="zh-CN"/>
        </w:rPr>
        <w:t>，</w:t>
      </w:r>
      <w:r>
        <w:rPr>
          <w:rFonts w:hint="eastAsia"/>
          <w:highlight w:val="none"/>
        </w:rPr>
        <w:t>并</w:t>
      </w:r>
      <w:r>
        <w:rPr>
          <w:rFonts w:hint="eastAsia"/>
          <w:highlight w:val="none"/>
          <w:lang w:val="en-US" w:eastAsia="zh-CN"/>
        </w:rPr>
        <w:t>保持安全距离，</w:t>
      </w:r>
      <w:r>
        <w:rPr>
          <w:rFonts w:hint="eastAsia"/>
          <w:highlight w:val="none"/>
        </w:rPr>
        <w:t>采取相应的隔离措施。</w:t>
      </w:r>
    </w:p>
    <w:p>
      <w:pPr>
        <w:pStyle w:val="169"/>
        <w:rPr>
          <w:highlight w:val="none"/>
        </w:rPr>
      </w:pPr>
      <w:r>
        <w:rPr>
          <w:rFonts w:hint="eastAsia"/>
          <w:highlight w:val="none"/>
        </w:rPr>
        <w:t>生活区、办公区和生产区应布置在不受洪水、滑坡、坍塌及危石等</w:t>
      </w:r>
      <w:r>
        <w:rPr>
          <w:rFonts w:hint="eastAsia"/>
          <w:highlight w:val="none"/>
          <w:lang w:eastAsia="zh-CN"/>
        </w:rPr>
        <w:t>危险</w:t>
      </w:r>
      <w:r>
        <w:rPr>
          <w:rFonts w:hint="eastAsia"/>
          <w:highlight w:val="none"/>
        </w:rPr>
        <w:t>的区域，且基础坚固、稳定性好、周围排水畅通，临时用房应避开水源保护区、水库泄洪区、濒险水库下游地段、强风口和危房影响范围，且应避免有害气体、强噪声等对临时用房使用人员的影响。</w:t>
      </w:r>
    </w:p>
    <w:p>
      <w:pPr>
        <w:pStyle w:val="169"/>
        <w:rPr>
          <w:highlight w:val="none"/>
        </w:rPr>
      </w:pPr>
      <w:r>
        <w:rPr>
          <w:rFonts w:hint="eastAsia"/>
          <w:highlight w:val="none"/>
        </w:rPr>
        <w:t>临时设施不应占压原有的地下管线，不应布置在高压线下方。</w:t>
      </w:r>
    </w:p>
    <w:p>
      <w:pPr>
        <w:pStyle w:val="169"/>
        <w:rPr>
          <w:highlight w:val="none"/>
        </w:rPr>
      </w:pPr>
      <w:r>
        <w:rPr>
          <w:rFonts w:hint="eastAsia"/>
          <w:highlight w:val="none"/>
        </w:rPr>
        <w:t>电动运输车应设置集中充电区域，并做好遮雨措施和安全防火措施。</w:t>
      </w:r>
    </w:p>
    <w:p>
      <w:pPr>
        <w:pStyle w:val="96"/>
        <w:spacing w:before="156" w:after="156"/>
        <w:rPr>
          <w:highlight w:val="none"/>
        </w:rPr>
      </w:pPr>
      <w:bookmarkStart w:id="140" w:name="_Toc207877337"/>
      <w:r>
        <w:rPr>
          <w:rFonts w:hint="eastAsia"/>
          <w:highlight w:val="none"/>
        </w:rPr>
        <w:t>技术管理</w:t>
      </w:r>
      <w:bookmarkEnd w:id="140"/>
    </w:p>
    <w:p>
      <w:pPr>
        <w:pStyle w:val="169"/>
        <w:rPr>
          <w:highlight w:val="none"/>
        </w:rPr>
      </w:pPr>
      <w:r>
        <w:rPr>
          <w:rFonts w:hint="eastAsia"/>
          <w:highlight w:val="none"/>
        </w:rPr>
        <w:t>企业应设置或明确施工技术管理机构，配备施工技术人员。</w:t>
      </w:r>
    </w:p>
    <w:p>
      <w:pPr>
        <w:pStyle w:val="169"/>
        <w:keepNext w:val="0"/>
        <w:keepLines w:val="0"/>
        <w:pageBreakBefore w:val="0"/>
        <w:widowControl w:val="0"/>
        <w:kinsoku/>
        <w:wordWrap w:val="0"/>
        <w:overflowPunct/>
        <w:topLinePunct w:val="0"/>
        <w:autoSpaceDE/>
        <w:autoSpaceDN/>
        <w:bidi w:val="0"/>
        <w:adjustRightInd/>
        <w:snapToGrid/>
        <w:textAlignment w:val="auto"/>
        <w:rPr>
          <w:highlight w:val="none"/>
        </w:rPr>
      </w:pPr>
      <w:r>
        <w:rPr>
          <w:rFonts w:hint="eastAsia"/>
          <w:highlight w:val="none"/>
        </w:rPr>
        <w:t>企业应在施工前，对达到一定规模的危险性较大单项工程编制专项施工方案，对超过一定规模的危险性较大单项</w:t>
      </w:r>
      <w:r>
        <w:rPr>
          <w:rFonts w:hint="eastAsia"/>
          <w:color w:val="auto"/>
          <w:highlight w:val="none"/>
        </w:rPr>
        <w:t>工程的专项施工方案，组织专家论证。专项施工方案等技术文件</w:t>
      </w:r>
      <w:r>
        <w:rPr>
          <w:rFonts w:hint="eastAsia"/>
          <w:strike w:val="0"/>
          <w:dstrike w:val="0"/>
          <w:color w:val="auto"/>
          <w:highlight w:val="none"/>
          <w:lang w:val="en-US" w:eastAsia="zh-CN"/>
        </w:rPr>
        <w:t>的编制、</w:t>
      </w:r>
      <w:r>
        <w:rPr>
          <w:rFonts w:hint="eastAsia"/>
          <w:color w:val="auto"/>
          <w:highlight w:val="none"/>
        </w:rPr>
        <w:t>审批、备案、交底</w:t>
      </w:r>
      <w:r>
        <w:rPr>
          <w:rFonts w:hint="eastAsia"/>
          <w:strike w:val="0"/>
          <w:dstrike w:val="0"/>
          <w:color w:val="auto"/>
          <w:highlight w:val="none"/>
          <w:lang w:val="en-US" w:eastAsia="zh-CN"/>
        </w:rPr>
        <w:t>以及实施过程中的</w:t>
      </w:r>
      <w:r>
        <w:rPr>
          <w:rFonts w:hint="eastAsia"/>
          <w:highlight w:val="none"/>
        </w:rPr>
        <w:t>现场监护和检查指导应符合SL</w:t>
      </w:r>
      <w:r>
        <w:rPr>
          <w:rFonts w:hint="eastAsia"/>
          <w:highlight w:val="none"/>
          <w:lang w:val="en-US" w:eastAsia="zh-CN"/>
        </w:rPr>
        <w:t xml:space="preserve"> </w:t>
      </w:r>
      <w:r>
        <w:rPr>
          <w:rFonts w:hint="eastAsia"/>
          <w:highlight w:val="none"/>
        </w:rPr>
        <w:t>721的规定。</w:t>
      </w:r>
    </w:p>
    <w:p>
      <w:pPr>
        <w:pStyle w:val="169"/>
        <w:rPr>
          <w:highlight w:val="none"/>
        </w:rPr>
      </w:pPr>
      <w:r>
        <w:rPr>
          <w:rFonts w:hint="eastAsia"/>
          <w:highlight w:val="none"/>
        </w:rPr>
        <w:t>对有验收要求的危险性较大的</w:t>
      </w:r>
      <w:r>
        <w:rPr>
          <w:rFonts w:hint="eastAsia"/>
          <w:highlight w:val="none"/>
          <w:lang w:val="en-US" w:eastAsia="zh-CN"/>
        </w:rPr>
        <w:t>单项</w:t>
      </w:r>
      <w:r>
        <w:rPr>
          <w:rFonts w:hint="eastAsia"/>
          <w:highlight w:val="none"/>
        </w:rPr>
        <w:t>工程，项目部应组织或参加监理机构组织的验收，验收合格后方可进入下一道工序，验收资料应存档备查。</w:t>
      </w:r>
    </w:p>
    <w:p>
      <w:pPr>
        <w:pStyle w:val="96"/>
        <w:spacing w:before="156" w:after="156"/>
        <w:rPr>
          <w:highlight w:val="none"/>
        </w:rPr>
      </w:pPr>
      <w:bookmarkStart w:id="141" w:name="_Toc207877338"/>
      <w:r>
        <w:rPr>
          <w:rFonts w:hint="eastAsia"/>
          <w:highlight w:val="none"/>
        </w:rPr>
        <w:t>办公及生活设施</w:t>
      </w:r>
      <w:bookmarkEnd w:id="141"/>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临建用房</w:t>
      </w:r>
      <w:r>
        <w:rPr>
          <w:rFonts w:hint="eastAsia"/>
          <w:color w:val="auto"/>
          <w:highlight w:val="none"/>
          <w:lang w:val="en-US" w:eastAsia="zh-CN"/>
        </w:rPr>
        <w:t>应符合GB/T 50720、DB11/T 945.1、DB11/T 2274的规定。</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lang w:val="en-US" w:eastAsia="zh-CN"/>
        </w:rPr>
        <w:t>食堂除满</w:t>
      </w:r>
      <w:r>
        <w:rPr>
          <w:rFonts w:hint="eastAsia"/>
          <w:color w:val="auto"/>
          <w:highlight w:val="none"/>
          <w:lang w:eastAsia="zh-CN"/>
        </w:rPr>
        <w:t>足</w:t>
      </w:r>
      <w:r>
        <w:rPr>
          <w:rFonts w:hint="eastAsia"/>
          <w:color w:val="auto"/>
          <w:highlight w:val="none"/>
          <w:lang w:val="en-US" w:eastAsia="zh-CN"/>
        </w:rPr>
        <w:t>GB 50028、GB 55037、DB11/T 945.1，还应符合下列要求：</w:t>
      </w:r>
    </w:p>
    <w:p>
      <w:pPr>
        <w:pStyle w:val="176"/>
        <w:numPr>
          <w:ilvl w:val="0"/>
          <w:numId w:val="43"/>
        </w:numPr>
        <w:rPr>
          <w:color w:val="auto"/>
          <w:highlight w:val="none"/>
        </w:rPr>
      </w:pPr>
      <w:r>
        <w:rPr>
          <w:rFonts w:hint="eastAsia"/>
          <w:color w:val="auto"/>
          <w:highlight w:val="none"/>
        </w:rPr>
        <w:t>在醒目位置公示食堂从业人员健康证；</w:t>
      </w:r>
    </w:p>
    <w:p>
      <w:pPr>
        <w:pStyle w:val="176"/>
        <w:numPr>
          <w:ilvl w:val="0"/>
          <w:numId w:val="43"/>
        </w:numPr>
        <w:rPr>
          <w:color w:val="auto"/>
          <w:highlight w:val="none"/>
        </w:rPr>
      </w:pPr>
      <w:r>
        <w:rPr>
          <w:rFonts w:hint="eastAsia"/>
          <w:color w:val="auto"/>
          <w:highlight w:val="none"/>
        </w:rPr>
        <w:t>食堂宜使用电炊具，电源控制开关应单机单设；对于受烟尘、雾水等因素影响较大的控制开关应有防护装置；</w:t>
      </w:r>
    </w:p>
    <w:p>
      <w:pPr>
        <w:pStyle w:val="176"/>
        <w:numPr>
          <w:ilvl w:val="0"/>
          <w:numId w:val="43"/>
        </w:numPr>
        <w:rPr>
          <w:color w:val="auto"/>
          <w:highlight w:val="none"/>
        </w:rPr>
      </w:pPr>
      <w:r>
        <w:rPr>
          <w:rFonts w:hint="eastAsia"/>
          <w:color w:val="auto"/>
          <w:highlight w:val="none"/>
        </w:rPr>
        <w:t>可能对操作者造成伤害的炊事机械危险部位，应采取安全防护，且可靠、实用</w:t>
      </w:r>
      <w:r>
        <w:rPr>
          <w:rFonts w:hint="eastAsia"/>
          <w:color w:val="auto"/>
          <w:highlight w:val="none"/>
          <w:lang w:eastAsia="zh-CN"/>
        </w:rPr>
        <w:t>。</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lang w:val="en-US" w:eastAsia="zh-CN"/>
        </w:rPr>
        <w:t>宿舍除满</w:t>
      </w:r>
      <w:r>
        <w:rPr>
          <w:rFonts w:hint="eastAsia"/>
          <w:color w:val="auto"/>
          <w:highlight w:val="none"/>
          <w:lang w:eastAsia="zh-CN"/>
        </w:rPr>
        <w:t>足</w:t>
      </w:r>
      <w:r>
        <w:rPr>
          <w:rFonts w:hint="eastAsia"/>
          <w:color w:val="auto"/>
          <w:highlight w:val="none"/>
          <w:lang w:val="en-US" w:eastAsia="zh-CN"/>
        </w:rPr>
        <w:t>DB11/T 945.1、DB11/T 2274，还应符合下列要求：</w:t>
      </w:r>
    </w:p>
    <w:p>
      <w:pPr>
        <w:pStyle w:val="176"/>
        <w:numPr>
          <w:ilvl w:val="0"/>
          <w:numId w:val="44"/>
        </w:numPr>
        <w:rPr>
          <w:color w:val="auto"/>
          <w:highlight w:val="none"/>
        </w:rPr>
      </w:pPr>
      <w:r>
        <w:rPr>
          <w:rFonts w:hint="eastAsia"/>
          <w:color w:val="auto"/>
          <w:highlight w:val="none"/>
        </w:rPr>
        <w:t>企业不应在尚未竣工的建筑物内设置宿舍</w:t>
      </w:r>
      <w:r>
        <w:rPr>
          <w:rFonts w:hint="eastAsia"/>
          <w:color w:val="auto"/>
          <w:highlight w:val="none"/>
          <w:lang w:eastAsia="zh-CN"/>
        </w:rPr>
        <w:t>。</w:t>
      </w:r>
      <w:r>
        <w:rPr>
          <w:rFonts w:hint="eastAsia"/>
          <w:color w:val="auto"/>
          <w:highlight w:val="none"/>
        </w:rPr>
        <w:t>不应在仓库内设置宿舍及与库房运行、管理无直接关系的其他用房；</w:t>
      </w:r>
    </w:p>
    <w:p>
      <w:pPr>
        <w:pStyle w:val="176"/>
        <w:numPr>
          <w:ilvl w:val="0"/>
          <w:numId w:val="44"/>
        </w:numPr>
        <w:rPr>
          <w:color w:val="auto"/>
          <w:highlight w:val="none"/>
        </w:rPr>
      </w:pPr>
      <w:r>
        <w:rPr>
          <w:rFonts w:hint="eastAsia"/>
          <w:color w:val="auto"/>
          <w:highlight w:val="none"/>
        </w:rPr>
        <w:t>夏季应有防暑降温措施，冬季应有取暖措施，宜设置空调、电暖器或集中供暖，不应使用煤炉等明火设备取暖。</w:t>
      </w:r>
    </w:p>
    <w:p>
      <w:pPr>
        <w:pStyle w:val="96"/>
        <w:spacing w:before="156" w:after="156"/>
        <w:rPr>
          <w:highlight w:val="none"/>
        </w:rPr>
      </w:pPr>
      <w:bookmarkStart w:id="142" w:name="_Toc207877339"/>
      <w:r>
        <w:rPr>
          <w:rFonts w:hint="eastAsia"/>
          <w:highlight w:val="none"/>
        </w:rPr>
        <w:t>生产区布置</w:t>
      </w:r>
      <w:bookmarkEnd w:id="142"/>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施工现场实行封闭管理，在施工现场四周设置围挡。河道、管线等线性工程应在施工作业区、现场出入口以及人员密集和交通要道等处设置围挡。因特殊情况不能设置围挡的区域，应设置</w:t>
      </w:r>
      <w:r>
        <w:rPr>
          <w:rFonts w:hint="eastAsia"/>
          <w:color w:val="auto"/>
          <w:highlight w:val="none"/>
          <w:lang w:val="en-US" w:eastAsia="zh-CN"/>
        </w:rPr>
        <w:t>安全</w:t>
      </w:r>
      <w:r>
        <w:rPr>
          <w:rFonts w:hint="eastAsia"/>
          <w:color w:val="auto"/>
          <w:highlight w:val="none"/>
        </w:rPr>
        <w:t>警示标志、红色警示灯。围挡的设置应符合</w:t>
      </w:r>
      <w:r>
        <w:rPr>
          <w:rFonts w:hint="eastAsia"/>
          <w:color w:val="auto"/>
          <w:highlight w:val="none"/>
          <w:lang w:val="en-US" w:eastAsia="zh-CN"/>
        </w:rPr>
        <w:t>DB11/T 2274的规定。</w:t>
      </w:r>
    </w:p>
    <w:p>
      <w:pPr>
        <w:pStyle w:val="169"/>
        <w:rPr>
          <w:highlight w:val="none"/>
        </w:rPr>
      </w:pPr>
      <w:r>
        <w:rPr>
          <w:rFonts w:hint="eastAsia"/>
          <w:highlight w:val="none"/>
        </w:rPr>
        <w:t>施工现场应分区布置，总体布局应合理、规范、有序。</w:t>
      </w:r>
    </w:p>
    <w:p>
      <w:pPr>
        <w:pStyle w:val="169"/>
        <w:rPr>
          <w:highlight w:val="none"/>
        </w:rPr>
      </w:pPr>
      <w:r>
        <w:rPr>
          <w:rFonts w:hint="eastAsia"/>
          <w:highlight w:val="none"/>
        </w:rPr>
        <w:t>施工现场大型施工机械与车辆停放场的布置应与施工生产相适应，要求场地平整、排水畅通、基础稳固。</w:t>
      </w:r>
    </w:p>
    <w:p>
      <w:pPr>
        <w:pStyle w:val="169"/>
        <w:rPr>
          <w:highlight w:val="none"/>
        </w:rPr>
      </w:pPr>
      <w:r>
        <w:rPr>
          <w:rFonts w:hint="eastAsia"/>
          <w:highlight w:val="none"/>
        </w:rPr>
        <w:t>施工现场应根据作业人员分布状况修建公共厕所或设置移动式公共厕所。</w:t>
      </w:r>
    </w:p>
    <w:p>
      <w:pPr>
        <w:pStyle w:val="96"/>
        <w:spacing w:before="156" w:after="156"/>
        <w:rPr>
          <w:highlight w:val="none"/>
        </w:rPr>
      </w:pPr>
      <w:bookmarkStart w:id="143" w:name="_Toc207877340"/>
      <w:r>
        <w:rPr>
          <w:rFonts w:hint="eastAsia"/>
          <w:highlight w:val="none"/>
        </w:rPr>
        <w:t>施工供、排水</w:t>
      </w:r>
      <w:bookmarkEnd w:id="143"/>
    </w:p>
    <w:p>
      <w:pPr>
        <w:pStyle w:val="169"/>
        <w:rPr>
          <w:highlight w:val="none"/>
        </w:rPr>
      </w:pPr>
      <w:r>
        <w:rPr>
          <w:rFonts w:hint="eastAsia"/>
          <w:highlight w:val="none"/>
        </w:rPr>
        <w:t>施工现场供水设施应基础稳固、结构牢固，供水管线不漏水，阀门井及供水管道安全可靠并有防冻设施。</w:t>
      </w:r>
    </w:p>
    <w:p>
      <w:pPr>
        <w:pStyle w:val="169"/>
        <w:rPr>
          <w:highlight w:val="none"/>
        </w:rPr>
      </w:pPr>
      <w:r>
        <w:rPr>
          <w:rFonts w:hint="eastAsia"/>
          <w:highlight w:val="none"/>
        </w:rPr>
        <w:t>施工现场排水应符合以下要求</w:t>
      </w:r>
      <w:r>
        <w:rPr>
          <w:rFonts w:hint="eastAsia"/>
          <w:highlight w:val="none"/>
          <w:lang w:eastAsia="zh-CN"/>
        </w:rPr>
        <w:t>：</w:t>
      </w:r>
    </w:p>
    <w:p>
      <w:pPr>
        <w:pStyle w:val="176"/>
        <w:numPr>
          <w:ilvl w:val="0"/>
          <w:numId w:val="45"/>
        </w:numPr>
        <w:bidi w:val="0"/>
        <w:ind w:left="851" w:leftChars="0" w:hanging="426" w:firstLineChars="0"/>
        <w:rPr>
          <w:highlight w:val="none"/>
        </w:rPr>
      </w:pPr>
      <w:r>
        <w:rPr>
          <w:rFonts w:hint="eastAsia"/>
          <w:highlight w:val="none"/>
        </w:rPr>
        <w:t>排水系统应有足够的排水能力和备用能力；</w:t>
      </w:r>
    </w:p>
    <w:p>
      <w:pPr>
        <w:pStyle w:val="176"/>
        <w:numPr>
          <w:ilvl w:val="0"/>
          <w:numId w:val="45"/>
        </w:numPr>
        <w:bidi w:val="0"/>
        <w:ind w:left="851" w:leftChars="0" w:hanging="426" w:firstLineChars="0"/>
        <w:rPr>
          <w:highlight w:val="none"/>
        </w:rPr>
      </w:pPr>
      <w:r>
        <w:rPr>
          <w:rFonts w:hint="eastAsia"/>
          <w:highlight w:val="none"/>
        </w:rPr>
        <w:t>排水系统的设备应设独立的动力电源供电</w:t>
      </w:r>
      <w:r>
        <w:rPr>
          <w:rFonts w:hint="eastAsia"/>
          <w:highlight w:val="none"/>
          <w:lang w:eastAsia="zh-CN"/>
        </w:rPr>
        <w:t>；</w:t>
      </w:r>
    </w:p>
    <w:p>
      <w:pPr>
        <w:pStyle w:val="176"/>
        <w:numPr>
          <w:ilvl w:val="0"/>
          <w:numId w:val="45"/>
        </w:numPr>
        <w:bidi w:val="0"/>
        <w:ind w:left="851" w:leftChars="0" w:hanging="426" w:firstLineChars="0"/>
        <w:rPr>
          <w:highlight w:val="none"/>
        </w:rPr>
      </w:pPr>
      <w:r>
        <w:rPr>
          <w:rFonts w:hint="eastAsia"/>
          <w:highlight w:val="none"/>
        </w:rPr>
        <w:t>大流量排水管出口</w:t>
      </w:r>
      <w:r>
        <w:rPr>
          <w:rFonts w:hint="eastAsia"/>
          <w:highlight w:val="none"/>
          <w:lang w:eastAsia="zh-CN"/>
        </w:rPr>
        <w:t>（</w:t>
      </w:r>
      <w:r>
        <w:rPr>
          <w:rFonts w:hint="eastAsia"/>
          <w:highlight w:val="none"/>
        </w:rPr>
        <w:t>如基坑排水等</w:t>
      </w:r>
      <w:r>
        <w:rPr>
          <w:rFonts w:hint="eastAsia"/>
          <w:highlight w:val="none"/>
          <w:lang w:eastAsia="zh-CN"/>
        </w:rPr>
        <w:t>）</w:t>
      </w:r>
      <w:r>
        <w:rPr>
          <w:rFonts w:hint="eastAsia"/>
          <w:highlight w:val="none"/>
        </w:rPr>
        <w:t>的布设必须避开围堰坡脚及易受冲刷破坏的建筑物、岸坡等或设置可靠的防冲刷措施。</w:t>
      </w:r>
    </w:p>
    <w:p>
      <w:pPr>
        <w:pStyle w:val="169"/>
        <w:rPr>
          <w:color w:val="auto"/>
          <w:highlight w:val="none"/>
        </w:rPr>
      </w:pPr>
      <w:r>
        <w:rPr>
          <w:rFonts w:hint="eastAsia"/>
          <w:color w:val="auto"/>
          <w:highlight w:val="none"/>
        </w:rPr>
        <w:t>施工污水应经沉淀处理后，方可排入市政污水管网。</w:t>
      </w:r>
    </w:p>
    <w:p>
      <w:pPr>
        <w:pStyle w:val="96"/>
        <w:spacing w:before="156" w:after="156"/>
        <w:rPr>
          <w:highlight w:val="none"/>
        </w:rPr>
      </w:pPr>
      <w:bookmarkStart w:id="144" w:name="_Toc207877341"/>
      <w:r>
        <w:rPr>
          <w:rFonts w:hint="eastAsia"/>
          <w:highlight w:val="none"/>
        </w:rPr>
        <w:t>安全防护</w:t>
      </w:r>
      <w:bookmarkEnd w:id="144"/>
    </w:p>
    <w:p>
      <w:pPr>
        <w:pStyle w:val="169"/>
        <w:rPr>
          <w:highlight w:val="none"/>
        </w:rPr>
      </w:pPr>
      <w:r>
        <w:rPr>
          <w:rFonts w:hint="eastAsia"/>
          <w:highlight w:val="none"/>
        </w:rPr>
        <w:t>施工现场的栏杆、盖板等设施应齐全、牢固可靠。</w:t>
      </w:r>
    </w:p>
    <w:p>
      <w:pPr>
        <w:pStyle w:val="169"/>
        <w:rPr>
          <w:highlight w:val="none"/>
        </w:rPr>
      </w:pPr>
      <w:r>
        <w:rPr>
          <w:rFonts w:hint="eastAsia"/>
          <w:highlight w:val="none"/>
        </w:rPr>
        <w:t>临边洞口防护设施临时拆除前，应履行批准手续，并在作业结束后立即恢复。</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lang w:val="en-US" w:eastAsia="zh-CN"/>
        </w:rPr>
        <w:t>安全防护栏杆应符合SL 714的规定。</w:t>
      </w:r>
    </w:p>
    <w:p>
      <w:pPr>
        <w:pStyle w:val="169"/>
        <w:rPr>
          <w:highlight w:val="none"/>
        </w:rPr>
      </w:pPr>
      <w:r>
        <w:rPr>
          <w:rFonts w:hint="eastAsia"/>
          <w:highlight w:val="none"/>
        </w:rPr>
        <w:t>防护栏杆整体构造应经受任何方向的1kN的外力时不应发生明显变形或断裂，在有可能发生人群拥挤、车辆冲击或物件碰撞的处所，栏杆应专门设计。</w:t>
      </w:r>
    </w:p>
    <w:p>
      <w:pPr>
        <w:pStyle w:val="169"/>
        <w:rPr>
          <w:highlight w:val="none"/>
        </w:rPr>
      </w:pPr>
      <w:r>
        <w:rPr>
          <w:rFonts w:hint="eastAsia"/>
          <w:highlight w:val="none"/>
        </w:rPr>
        <w:t>排架、井架、施工电梯、大坝廊道、隧洞等出入口和上部有施工作业的通道，应设置防护棚。其长度应超过可能坠落范围，宽度不应小于通道的宽度。当可能坠落的高度超过24m时，应设双层防护棚。</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人与物有坠落危险的洞口，现场防护措施应符合</w:t>
      </w:r>
      <w:r>
        <w:rPr>
          <w:rFonts w:hint="eastAsia"/>
          <w:color w:val="auto"/>
          <w:highlight w:val="none"/>
          <w:lang w:val="en-US" w:eastAsia="zh-CN"/>
        </w:rPr>
        <w:t>DB11/T 2274的规定。</w:t>
      </w:r>
    </w:p>
    <w:p>
      <w:pPr>
        <w:pStyle w:val="169"/>
        <w:rPr>
          <w:highlight w:val="none"/>
        </w:rPr>
      </w:pPr>
      <w:r>
        <w:rPr>
          <w:rFonts w:hint="eastAsia"/>
          <w:highlight w:val="none"/>
        </w:rPr>
        <w:t>项目部应对安全防护设施进行验收并定期开展检查、维护，暴雨、台风、暴风雪等极端天气前后应对安全防护设施进行检查或重新验收。</w:t>
      </w:r>
    </w:p>
    <w:p>
      <w:pPr>
        <w:pStyle w:val="96"/>
        <w:spacing w:before="156" w:after="156"/>
        <w:rPr>
          <w:highlight w:val="none"/>
        </w:rPr>
      </w:pPr>
      <w:bookmarkStart w:id="145" w:name="_Toc207877342"/>
      <w:r>
        <w:rPr>
          <w:rFonts w:hint="eastAsia"/>
          <w:highlight w:val="none"/>
        </w:rPr>
        <w:t>交通安全</w:t>
      </w:r>
      <w:bookmarkEnd w:id="145"/>
    </w:p>
    <w:p>
      <w:pPr>
        <w:pStyle w:val="169"/>
        <w:rPr>
          <w:highlight w:val="none"/>
        </w:rPr>
      </w:pPr>
      <w:r>
        <w:rPr>
          <w:rFonts w:hint="eastAsia"/>
          <w:highlight w:val="none"/>
        </w:rPr>
        <w:t>施工过程中需占用社会道路且不断绝交通施工时，作业区与通行道路之间应设围挡或护栏等设施以及安全</w:t>
      </w:r>
      <w:r>
        <w:rPr>
          <w:rFonts w:hint="eastAsia"/>
          <w:highlight w:val="none"/>
          <w:lang w:val="en-US" w:eastAsia="zh-CN"/>
        </w:rPr>
        <w:t>警示</w:t>
      </w:r>
      <w:r>
        <w:rPr>
          <w:rFonts w:hint="eastAsia"/>
          <w:highlight w:val="none"/>
        </w:rPr>
        <w:t>标志、红色警示灯，并设专人疏导交通。</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施工现场道路</w:t>
      </w:r>
      <w:r>
        <w:rPr>
          <w:rFonts w:hint="eastAsia"/>
          <w:color w:val="auto"/>
          <w:highlight w:val="none"/>
          <w:lang w:val="en-US" w:eastAsia="zh-CN"/>
        </w:rPr>
        <w:t>除满足SL 398、SL 714，还应符合下列要求：</w:t>
      </w:r>
    </w:p>
    <w:p>
      <w:pPr>
        <w:pStyle w:val="176"/>
        <w:numPr>
          <w:ilvl w:val="0"/>
          <w:numId w:val="46"/>
        </w:numPr>
        <w:rPr>
          <w:highlight w:val="none"/>
        </w:rPr>
      </w:pPr>
      <w:r>
        <w:rPr>
          <w:rFonts w:hint="eastAsia"/>
          <w:highlight w:val="none"/>
        </w:rPr>
        <w:t>路基基础及边坡稳定，路面坚实、平整、畅通；</w:t>
      </w:r>
    </w:p>
    <w:p>
      <w:pPr>
        <w:pStyle w:val="176"/>
        <w:numPr>
          <w:ilvl w:val="0"/>
          <w:numId w:val="46"/>
        </w:numPr>
        <w:rPr>
          <w:highlight w:val="none"/>
        </w:rPr>
      </w:pPr>
      <w:r>
        <w:rPr>
          <w:rFonts w:hint="eastAsia"/>
          <w:highlight w:val="none"/>
        </w:rPr>
        <w:t>悬崖陡坡、路边或平台作业面临空边缘应设有防撞栏杆、安全墩、挡墙等安全防护设施。</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机动车车辆在施工区域行驶时，时速应</w:t>
      </w:r>
      <w:r>
        <w:rPr>
          <w:rFonts w:hint="eastAsia"/>
          <w:color w:val="auto"/>
          <w:highlight w:val="none"/>
          <w:lang w:val="en-US" w:eastAsia="zh-CN"/>
        </w:rPr>
        <w:t>符合SL 714的规定</w:t>
      </w:r>
      <w:r>
        <w:rPr>
          <w:rFonts w:hint="eastAsia"/>
          <w:color w:val="auto"/>
          <w:highlight w:val="none"/>
        </w:rPr>
        <w:t>。</w:t>
      </w:r>
    </w:p>
    <w:p>
      <w:pPr>
        <w:pStyle w:val="169"/>
        <w:rPr>
          <w:highlight w:val="none"/>
        </w:rPr>
      </w:pPr>
      <w:r>
        <w:rPr>
          <w:rFonts w:hint="eastAsia"/>
          <w:highlight w:val="none"/>
        </w:rPr>
        <w:t>车辆通过危险地段时，应先停车检查，确认可以通过后，由专人指挥前进。</w:t>
      </w:r>
    </w:p>
    <w:p>
      <w:pPr>
        <w:pStyle w:val="169"/>
        <w:rPr>
          <w:highlight w:val="none"/>
        </w:rPr>
      </w:pPr>
      <w:r>
        <w:rPr>
          <w:rFonts w:hint="eastAsia"/>
          <w:highlight w:val="none"/>
        </w:rPr>
        <w:t>自卸</w:t>
      </w:r>
      <w:r>
        <w:rPr>
          <w:rFonts w:hint="eastAsia"/>
          <w:color w:val="auto"/>
          <w:highlight w:val="none"/>
          <w:lang w:val="en-US" w:eastAsia="zh-CN"/>
        </w:rPr>
        <w:t>汽</w:t>
      </w:r>
      <w:r>
        <w:rPr>
          <w:rFonts w:hint="eastAsia"/>
          <w:highlight w:val="none"/>
        </w:rPr>
        <w:t>车车厢未降落复位，</w:t>
      </w:r>
      <w:r>
        <w:rPr>
          <w:rFonts w:hint="eastAsia"/>
          <w:highlight w:val="none"/>
          <w:lang w:val="en-US" w:eastAsia="zh-CN"/>
        </w:rPr>
        <w:t>不应</w:t>
      </w:r>
      <w:r>
        <w:rPr>
          <w:rFonts w:hint="eastAsia"/>
          <w:highlight w:val="none"/>
        </w:rPr>
        <w:t>行车。</w:t>
      </w:r>
    </w:p>
    <w:p>
      <w:pPr>
        <w:pStyle w:val="96"/>
        <w:spacing w:before="156" w:after="156"/>
        <w:rPr>
          <w:highlight w:val="none"/>
        </w:rPr>
      </w:pPr>
      <w:bookmarkStart w:id="146" w:name="_Toc207877343"/>
      <w:r>
        <w:rPr>
          <w:rFonts w:hint="eastAsia"/>
          <w:highlight w:val="none"/>
        </w:rPr>
        <w:t>消防安全</w:t>
      </w:r>
      <w:bookmarkEnd w:id="146"/>
    </w:p>
    <w:p>
      <w:pPr>
        <w:pStyle w:val="169"/>
        <w:rPr>
          <w:color w:val="auto"/>
          <w:highlight w:val="none"/>
        </w:rPr>
      </w:pPr>
      <w:r>
        <w:rPr>
          <w:rFonts w:hint="eastAsia"/>
          <w:color w:val="auto"/>
          <w:highlight w:val="none"/>
        </w:rPr>
        <w:t>企业应建立健全消防安全组织机构，落实消防安全责任制。</w:t>
      </w:r>
    </w:p>
    <w:p>
      <w:pPr>
        <w:pStyle w:val="169"/>
        <w:keepNext w:val="0"/>
        <w:keepLines w:val="0"/>
        <w:pageBreakBefore w:val="0"/>
        <w:widowControl w:val="0"/>
        <w:kinsoku/>
        <w:wordWrap w:val="0"/>
        <w:overflowPunct/>
        <w:topLinePunct w:val="0"/>
        <w:autoSpaceDE/>
        <w:autoSpaceDN/>
        <w:bidi w:val="0"/>
        <w:adjustRightInd/>
        <w:snapToGrid/>
        <w:textAlignment w:val="auto"/>
        <w:rPr>
          <w:highlight w:val="none"/>
        </w:rPr>
      </w:pPr>
      <w:r>
        <w:rPr>
          <w:rFonts w:hint="eastAsia"/>
          <w:highlight w:val="none"/>
        </w:rPr>
        <w:t>施工现场临时办公、生活、生产、物料存贮等功能区宜相对独立布置，易燃易爆危险品库房与在建工程的防火间距应</w:t>
      </w:r>
      <w:r>
        <w:rPr>
          <w:rFonts w:hint="eastAsia"/>
          <w:highlight w:val="none"/>
          <w:lang w:val="en-US" w:eastAsia="zh-CN"/>
        </w:rPr>
        <w:t>不</w:t>
      </w:r>
      <w:r>
        <w:rPr>
          <w:rFonts w:hint="eastAsia"/>
          <w:highlight w:val="none"/>
        </w:rPr>
        <w:t>小于15m，可燃材料堆场及其加工场、固定动火作业场与在建工程的防火间距应</w:t>
      </w:r>
      <w:r>
        <w:rPr>
          <w:rFonts w:hint="eastAsia"/>
          <w:highlight w:val="none"/>
          <w:lang w:val="en-US" w:eastAsia="zh-CN"/>
        </w:rPr>
        <w:t>不</w:t>
      </w:r>
      <w:r>
        <w:rPr>
          <w:rFonts w:hint="eastAsia"/>
          <w:highlight w:val="none"/>
        </w:rPr>
        <w:t>小于10m，其他临时用房、临时设施与在建工程的防火间距应</w:t>
      </w:r>
      <w:r>
        <w:rPr>
          <w:rFonts w:hint="eastAsia"/>
          <w:highlight w:val="none"/>
          <w:lang w:val="en-US" w:eastAsia="zh-CN"/>
        </w:rPr>
        <w:t>不</w:t>
      </w:r>
      <w:r>
        <w:rPr>
          <w:rFonts w:hint="eastAsia"/>
          <w:highlight w:val="none"/>
        </w:rPr>
        <w:t>小于6m。施工现场主要临时用房、临时设施的防火间距应符</w:t>
      </w:r>
      <w:r>
        <w:rPr>
          <w:rFonts w:hint="eastAsia"/>
          <w:color w:val="auto"/>
          <w:highlight w:val="none"/>
        </w:rPr>
        <w:t>合GB</w:t>
      </w:r>
      <w:r>
        <w:rPr>
          <w:rFonts w:hint="eastAsia"/>
          <w:color w:val="auto"/>
          <w:highlight w:val="none"/>
          <w:lang w:val="en-US" w:eastAsia="zh-CN"/>
        </w:rPr>
        <w:t xml:space="preserve">/T </w:t>
      </w:r>
      <w:r>
        <w:rPr>
          <w:rFonts w:hint="eastAsia"/>
          <w:highlight w:val="none"/>
        </w:rPr>
        <w:t>50720的</w:t>
      </w:r>
      <w:r>
        <w:rPr>
          <w:rFonts w:hint="eastAsia"/>
          <w:highlight w:val="none"/>
          <w:lang w:val="en-US" w:eastAsia="zh-CN"/>
        </w:rPr>
        <w:t>规定</w:t>
      </w:r>
      <w:r>
        <w:rPr>
          <w:rFonts w:hint="eastAsia"/>
          <w:highlight w:val="none"/>
        </w:rPr>
        <w:t>。</w:t>
      </w:r>
    </w:p>
    <w:p>
      <w:pPr>
        <w:pStyle w:val="169"/>
        <w:keepNext w:val="0"/>
        <w:keepLines w:val="0"/>
        <w:pageBreakBefore w:val="0"/>
        <w:widowControl w:val="0"/>
        <w:kinsoku/>
        <w:wordWrap w:val="0"/>
        <w:overflowPunct/>
        <w:topLinePunct w:val="0"/>
        <w:autoSpaceDE/>
        <w:autoSpaceDN/>
        <w:bidi w:val="0"/>
        <w:adjustRightInd/>
        <w:snapToGrid/>
        <w:textAlignment w:val="auto"/>
        <w:rPr>
          <w:highlight w:val="none"/>
        </w:rPr>
      </w:pPr>
      <w:r>
        <w:rPr>
          <w:rFonts w:hint="eastAsia"/>
          <w:highlight w:val="none"/>
        </w:rPr>
        <w:t>项目部应建立重点防火部位或场所档案；仓库、宿舍、加工场地及重要设备应配有足够的消防设施、器材，并建立台账；消防设施、器材应有防雨、防冻措施并定期检验、维修。灭火器的配置应符合</w:t>
      </w:r>
      <w:r>
        <w:rPr>
          <w:rFonts w:hint="eastAsia"/>
          <w:color w:val="auto"/>
          <w:highlight w:val="none"/>
        </w:rPr>
        <w:t>GB</w:t>
      </w:r>
      <w:r>
        <w:rPr>
          <w:rFonts w:hint="eastAsia"/>
          <w:color w:val="auto"/>
          <w:highlight w:val="none"/>
          <w:lang w:val="en-US" w:eastAsia="zh-CN"/>
        </w:rPr>
        <w:t xml:space="preserve">/T </w:t>
      </w:r>
      <w:r>
        <w:rPr>
          <w:rFonts w:hint="eastAsia"/>
          <w:highlight w:val="none"/>
        </w:rPr>
        <w:t>50720的</w:t>
      </w:r>
      <w:r>
        <w:rPr>
          <w:rFonts w:hint="eastAsia"/>
          <w:highlight w:val="none"/>
          <w:lang w:val="en-US" w:eastAsia="zh-CN"/>
        </w:rPr>
        <w:t>规定</w:t>
      </w:r>
      <w:r>
        <w:rPr>
          <w:rFonts w:hint="eastAsia"/>
          <w:highlight w:val="none"/>
        </w:rPr>
        <w:t>。</w:t>
      </w:r>
    </w:p>
    <w:p>
      <w:pPr>
        <w:pStyle w:val="169"/>
        <w:rPr>
          <w:highlight w:val="none"/>
        </w:rPr>
      </w:pPr>
      <w:r>
        <w:rPr>
          <w:rFonts w:hint="eastAsia"/>
          <w:highlight w:val="none"/>
        </w:rPr>
        <w:t>项目部应定期组织消防安全管理人员对施工现场的消防安全进行检查，定期组织开展灭火及应急疏散的演练。</w:t>
      </w:r>
    </w:p>
    <w:p>
      <w:pPr>
        <w:pStyle w:val="96"/>
        <w:spacing w:before="156" w:after="156"/>
        <w:rPr>
          <w:highlight w:val="none"/>
        </w:rPr>
      </w:pPr>
      <w:bookmarkStart w:id="147" w:name="_Toc207877344"/>
      <w:r>
        <w:rPr>
          <w:rFonts w:hint="eastAsia"/>
          <w:highlight w:val="none"/>
        </w:rPr>
        <w:t>物料存放</w:t>
      </w:r>
      <w:bookmarkEnd w:id="147"/>
    </w:p>
    <w:p>
      <w:pPr>
        <w:pStyle w:val="169"/>
        <w:rPr>
          <w:highlight w:val="none"/>
        </w:rPr>
      </w:pPr>
      <w:r>
        <w:rPr>
          <w:rFonts w:hint="eastAsia"/>
          <w:highlight w:val="none"/>
        </w:rPr>
        <w:t>施工现场应设置专门场地存放管材、水泥等材料，不同种类材料堆码整齐、排列有序，高度不宜超过1.5m。</w:t>
      </w:r>
    </w:p>
    <w:p>
      <w:pPr>
        <w:pStyle w:val="169"/>
        <w:rPr>
          <w:highlight w:val="none"/>
        </w:rPr>
      </w:pPr>
      <w:r>
        <w:rPr>
          <w:rFonts w:hint="eastAsia"/>
          <w:highlight w:val="none"/>
        </w:rPr>
        <w:t>物料存放区应在明显位置设置禁火</w:t>
      </w:r>
      <w:r>
        <w:rPr>
          <w:rFonts w:hint="eastAsia"/>
          <w:highlight w:val="none"/>
          <w:lang w:val="en-US" w:eastAsia="zh-CN"/>
        </w:rPr>
        <w:t>安全</w:t>
      </w:r>
      <w:r>
        <w:rPr>
          <w:rFonts w:hint="eastAsia"/>
          <w:highlight w:val="none"/>
        </w:rPr>
        <w:t>警示标志及安全防火规定标识。</w:t>
      </w:r>
    </w:p>
    <w:p>
      <w:pPr>
        <w:pStyle w:val="169"/>
        <w:rPr>
          <w:highlight w:val="none"/>
        </w:rPr>
      </w:pPr>
      <w:r>
        <w:rPr>
          <w:rFonts w:hint="eastAsia"/>
          <w:highlight w:val="none"/>
        </w:rPr>
        <w:t>设备、原材料、半成品、成品等应分类存放、标识清晰、稳固整齐，并保持通道畅通，通道宽度应</w:t>
      </w:r>
      <w:r>
        <w:rPr>
          <w:rFonts w:hint="eastAsia"/>
          <w:highlight w:val="none"/>
          <w:lang w:val="en-US" w:eastAsia="zh-CN"/>
        </w:rPr>
        <w:t>不</w:t>
      </w:r>
      <w:r>
        <w:rPr>
          <w:rFonts w:hint="eastAsia"/>
          <w:highlight w:val="none"/>
        </w:rPr>
        <w:t>小于1m。</w:t>
      </w:r>
    </w:p>
    <w:p>
      <w:pPr>
        <w:pStyle w:val="169"/>
        <w:rPr>
          <w:highlight w:val="none"/>
        </w:rPr>
      </w:pPr>
      <w:r>
        <w:rPr>
          <w:rFonts w:hint="eastAsia"/>
          <w:highlight w:val="none"/>
        </w:rPr>
        <w:t>废料应按类别设置独立堆放区，悬挂标识牌，不应混放。可回收废料单独堆放定期回收处理；不可回收废料及时清运至指定消纳场；危险废料应密封存放，专人管理，符合环保要求，由专业资质单位进行处理。</w:t>
      </w:r>
    </w:p>
    <w:p>
      <w:pPr>
        <w:pStyle w:val="96"/>
        <w:spacing w:before="156" w:after="156"/>
        <w:rPr>
          <w:highlight w:val="none"/>
        </w:rPr>
      </w:pPr>
      <w:bookmarkStart w:id="148" w:name="_Toc207877345"/>
      <w:r>
        <w:rPr>
          <w:rFonts w:hint="eastAsia"/>
          <w:highlight w:val="none"/>
        </w:rPr>
        <w:t>季节施工</w:t>
      </w:r>
      <w:bookmarkEnd w:id="148"/>
      <w:bookmarkStart w:id="223" w:name="_GoBack"/>
      <w:bookmarkEnd w:id="223"/>
    </w:p>
    <w:p>
      <w:pPr>
        <w:pStyle w:val="58"/>
        <w:bidi w:val="0"/>
        <w:rPr>
          <w:highlight w:val="none"/>
        </w:rPr>
      </w:pPr>
      <w:r>
        <w:rPr>
          <w:rFonts w:hint="eastAsia"/>
          <w:highlight w:val="none"/>
        </w:rPr>
        <w:t>高温季节露天作业应采取防暑降温措施，夏季施工应采取防暴雨、防雷击、防大风等措施；冬季施工应采取防冻、防滑、防火、防爆等措施。</w:t>
      </w:r>
    </w:p>
    <w:p>
      <w:pPr>
        <w:pStyle w:val="96"/>
        <w:spacing w:before="156" w:after="156"/>
        <w:rPr>
          <w:highlight w:val="none"/>
        </w:rPr>
      </w:pPr>
      <w:bookmarkStart w:id="149" w:name="_Toc207877346"/>
      <w:r>
        <w:rPr>
          <w:rFonts w:hint="eastAsia"/>
          <w:highlight w:val="none"/>
        </w:rPr>
        <w:t>防洪度汛</w:t>
      </w:r>
      <w:bookmarkEnd w:id="149"/>
    </w:p>
    <w:p>
      <w:pPr>
        <w:pStyle w:val="169"/>
        <w:rPr>
          <w:highlight w:val="none"/>
        </w:rPr>
      </w:pPr>
      <w:r>
        <w:rPr>
          <w:rFonts w:hint="eastAsia"/>
          <w:highlight w:val="none"/>
        </w:rPr>
        <w:t>在建设有度汛要求的水利工程时，应根据批准的度汛方案和超标准洪水应急预案，制定防汛度汛及抢险措施，</w:t>
      </w:r>
      <w:r>
        <w:rPr>
          <w:rFonts w:hint="eastAsia"/>
          <w:highlight w:val="none"/>
          <w:lang w:val="en-US" w:eastAsia="zh-CN"/>
        </w:rPr>
        <w:t>经监理单位审核后，</w:t>
      </w:r>
      <w:r>
        <w:rPr>
          <w:rFonts w:hint="eastAsia"/>
          <w:highlight w:val="none"/>
        </w:rPr>
        <w:t>报项目法人批准。</w:t>
      </w:r>
    </w:p>
    <w:p>
      <w:pPr>
        <w:pStyle w:val="169"/>
        <w:rPr>
          <w:highlight w:val="none"/>
        </w:rPr>
      </w:pPr>
      <w:r>
        <w:rPr>
          <w:rFonts w:hint="eastAsia"/>
          <w:highlight w:val="none"/>
        </w:rPr>
        <w:t>项目部应成立防汛抢险队伍，配置防汛物资，定期开展防汛应急抢险培训和演练。</w:t>
      </w:r>
    </w:p>
    <w:p>
      <w:pPr>
        <w:pStyle w:val="169"/>
        <w:rPr>
          <w:highlight w:val="none"/>
        </w:rPr>
      </w:pPr>
      <w:r>
        <w:rPr>
          <w:rFonts w:hint="eastAsia"/>
          <w:highlight w:val="none"/>
        </w:rPr>
        <w:t>项目部应落实防洪度汛值班制度，保证信息渠道畅通，开展防洪度汛专项检查。</w:t>
      </w:r>
    </w:p>
    <w:p>
      <w:pPr>
        <w:pStyle w:val="96"/>
        <w:spacing w:before="156" w:after="156"/>
        <w:rPr>
          <w:highlight w:val="none"/>
        </w:rPr>
      </w:pPr>
      <w:bookmarkStart w:id="150" w:name="_Toc207877347"/>
      <w:r>
        <w:rPr>
          <w:rFonts w:hint="eastAsia"/>
          <w:highlight w:val="none"/>
        </w:rPr>
        <w:t>劳动防护</w:t>
      </w:r>
      <w:bookmarkEnd w:id="150"/>
    </w:p>
    <w:p>
      <w:pPr>
        <w:pStyle w:val="169"/>
        <w:rPr>
          <w:highlight w:val="none"/>
        </w:rPr>
      </w:pPr>
      <w:r>
        <w:rPr>
          <w:rFonts w:hint="eastAsia"/>
          <w:highlight w:val="none"/>
        </w:rPr>
        <w:t>施工生产使用的安全防护用品如安全帽、安全带、安全网</w:t>
      </w:r>
      <w:r>
        <w:rPr>
          <w:rFonts w:hint="eastAsia"/>
          <w:highlight w:val="none"/>
          <w:lang w:eastAsia="zh-CN"/>
        </w:rPr>
        <w:t>、</w:t>
      </w:r>
      <w:r>
        <w:rPr>
          <w:rFonts w:hint="eastAsia"/>
          <w:highlight w:val="none"/>
          <w:lang w:val="en-US" w:eastAsia="zh-CN"/>
        </w:rPr>
        <w:t>安全鞋</w:t>
      </w:r>
      <w:r>
        <w:rPr>
          <w:rFonts w:hint="eastAsia"/>
          <w:highlight w:val="none"/>
        </w:rPr>
        <w:t>等，应符合国家规定的质量标准，具有厂家安全生产许可证、产品合格证和安全鉴定合格证。</w:t>
      </w:r>
    </w:p>
    <w:p>
      <w:pPr>
        <w:pStyle w:val="169"/>
        <w:rPr>
          <w:highlight w:val="none"/>
        </w:rPr>
      </w:pPr>
      <w:r>
        <w:rPr>
          <w:rFonts w:hint="eastAsia"/>
          <w:highlight w:val="none"/>
        </w:rPr>
        <w:t>安全防护用具应妥善保管，定期检验，破损或失效的劳动防护用品应及时更换。</w:t>
      </w:r>
    </w:p>
    <w:p>
      <w:pPr>
        <w:pStyle w:val="169"/>
        <w:rPr>
          <w:highlight w:val="none"/>
        </w:rPr>
      </w:pPr>
      <w:r>
        <w:rPr>
          <w:rFonts w:hint="eastAsia"/>
          <w:highlight w:val="none"/>
        </w:rPr>
        <w:t>劳动防护用品应正确使用，佩戴安全帽帽带应系紧；使用安全带时应高挂低用；高处临空作业人员使用的安全带应挂在牢固的物体上或可靠的安全绳上。</w:t>
      </w:r>
    </w:p>
    <w:p>
      <w:pPr>
        <w:pStyle w:val="169"/>
        <w:rPr>
          <w:highlight w:val="none"/>
        </w:rPr>
      </w:pPr>
      <w:r>
        <w:rPr>
          <w:rFonts w:hint="eastAsia"/>
          <w:highlight w:val="none"/>
        </w:rPr>
        <w:t>在有毒有害气体可能泄漏的作业场所，应配置必要的防毒护具，并应及时检查、维护、更换。</w:t>
      </w:r>
    </w:p>
    <w:p>
      <w:pPr>
        <w:pStyle w:val="169"/>
        <w:rPr>
          <w:highlight w:val="none"/>
        </w:rPr>
      </w:pPr>
      <w:r>
        <w:rPr>
          <w:rFonts w:hint="eastAsia"/>
          <w:highlight w:val="none"/>
        </w:rPr>
        <w:t>特种作业人员及特殊区域如接触粉尘、噪声等作业人员应根据工作条件佩戴适当的安全防护用品。</w:t>
      </w:r>
    </w:p>
    <w:p>
      <w:pPr>
        <w:pStyle w:val="96"/>
        <w:spacing w:before="156" w:after="156"/>
        <w:rPr>
          <w:highlight w:val="none"/>
        </w:rPr>
      </w:pPr>
      <w:bookmarkStart w:id="151" w:name="_Toc207877348"/>
      <w:r>
        <w:rPr>
          <w:rFonts w:hint="eastAsia"/>
          <w:highlight w:val="none"/>
        </w:rPr>
        <w:t>职业</w:t>
      </w:r>
      <w:bookmarkEnd w:id="151"/>
      <w:r>
        <w:rPr>
          <w:rFonts w:hint="eastAsia"/>
          <w:highlight w:val="none"/>
          <w:lang w:val="en-US" w:eastAsia="zh-CN"/>
        </w:rPr>
        <w:t>卫生</w:t>
      </w:r>
    </w:p>
    <w:p>
      <w:pPr>
        <w:pStyle w:val="169"/>
        <w:rPr>
          <w:highlight w:val="none"/>
        </w:rPr>
      </w:pPr>
      <w:r>
        <w:rPr>
          <w:rFonts w:hint="eastAsia"/>
          <w:highlight w:val="none"/>
        </w:rPr>
        <w:t>企业应按照有关法律、法规、规章、制度和标准的要求，为从业人员提供符合职业健康要求的工作环境和条件</w:t>
      </w:r>
      <w:r>
        <w:rPr>
          <w:rFonts w:hint="eastAsia"/>
          <w:highlight w:val="none"/>
          <w:lang w:eastAsia="zh-CN"/>
        </w:rPr>
        <w:t>，</w:t>
      </w:r>
      <w:r>
        <w:rPr>
          <w:rFonts w:hint="eastAsia"/>
          <w:highlight w:val="none"/>
        </w:rPr>
        <w:t>配备职业健康保护设施、工具和用品。</w:t>
      </w:r>
    </w:p>
    <w:p>
      <w:pPr>
        <w:pStyle w:val="169"/>
        <w:rPr>
          <w:color w:val="auto"/>
          <w:highlight w:val="none"/>
        </w:rPr>
      </w:pPr>
      <w:r>
        <w:rPr>
          <w:rFonts w:hint="eastAsia"/>
          <w:highlight w:val="none"/>
        </w:rPr>
        <w:t>企业与员工订立劳动合同时，应如实告知本单位从业人员作业过程中可能产生的职业危害及其后果、防护措施等，并对从业人员及相关方进行宣传教育，使其了解生产过程中的职业危害、预防</w:t>
      </w:r>
      <w:r>
        <w:rPr>
          <w:rFonts w:hint="eastAsia"/>
          <w:color w:val="auto"/>
          <w:highlight w:val="none"/>
        </w:rPr>
        <w:t>和应急处理措施，降低或消除危害后果。</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施工单位对存在职业危害的场所应加强管理</w:t>
      </w:r>
      <w:r>
        <w:rPr>
          <w:rFonts w:hint="eastAsia"/>
          <w:color w:val="auto"/>
          <w:highlight w:val="none"/>
          <w:lang w:eastAsia="zh-CN"/>
        </w:rPr>
        <w:t>，</w:t>
      </w:r>
      <w:r>
        <w:rPr>
          <w:rFonts w:hint="eastAsia"/>
          <w:color w:val="auto"/>
          <w:highlight w:val="none"/>
        </w:rPr>
        <w:t>并</w:t>
      </w:r>
      <w:r>
        <w:rPr>
          <w:rFonts w:hint="eastAsia"/>
          <w:color w:val="auto"/>
          <w:highlight w:val="none"/>
          <w:lang w:val="en-US" w:eastAsia="zh-CN"/>
        </w:rPr>
        <w:t>应符合SL 721的规定。</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color w:val="auto"/>
          <w:highlight w:val="none"/>
        </w:rPr>
        <w:t>企业应对从事危险作业的人员加强职业健康管理</w:t>
      </w:r>
      <w:r>
        <w:rPr>
          <w:rFonts w:hint="eastAsia"/>
          <w:color w:val="auto"/>
          <w:highlight w:val="none"/>
          <w:lang w:eastAsia="zh-CN"/>
        </w:rPr>
        <w:t>，</w:t>
      </w:r>
      <w:r>
        <w:rPr>
          <w:rFonts w:hint="eastAsia"/>
          <w:color w:val="auto"/>
          <w:highlight w:val="none"/>
        </w:rPr>
        <w:t>并</w:t>
      </w:r>
      <w:r>
        <w:rPr>
          <w:rFonts w:hint="eastAsia"/>
          <w:color w:val="auto"/>
          <w:highlight w:val="none"/>
          <w:lang w:val="en-US" w:eastAsia="zh-CN"/>
        </w:rPr>
        <w:t>应符合SL 721的规定。</w:t>
      </w:r>
    </w:p>
    <w:p>
      <w:pPr>
        <w:pStyle w:val="169"/>
        <w:rPr>
          <w:highlight w:val="none"/>
        </w:rPr>
      </w:pPr>
      <w:r>
        <w:rPr>
          <w:highlight w:val="none"/>
        </w:rPr>
        <w:t>企业应定期组织开展职业健康监督检查活动，并做好记录。</w:t>
      </w:r>
    </w:p>
    <w:p>
      <w:pPr>
        <w:pStyle w:val="169"/>
        <w:rPr>
          <w:highlight w:val="none"/>
        </w:rPr>
      </w:pPr>
      <w:r>
        <w:rPr>
          <w:rFonts w:hint="eastAsia"/>
          <w:highlight w:val="none"/>
        </w:rPr>
        <w:t>施工现场存在或发生职业危害的单位应及时、如实向项目主管部门、</w:t>
      </w:r>
      <w:r>
        <w:rPr>
          <w:rFonts w:hint="eastAsia"/>
          <w:highlight w:val="none"/>
          <w:lang w:val="en-US" w:eastAsia="zh-CN"/>
        </w:rPr>
        <w:t>职业卫生</w:t>
      </w:r>
      <w:r>
        <w:rPr>
          <w:rFonts w:hint="eastAsia"/>
          <w:highlight w:val="none"/>
        </w:rPr>
        <w:t>监督部门申报生产过程存在的职业危害因素。发生变化后应及时补报。</w:t>
      </w:r>
    </w:p>
    <w:p>
      <w:pPr>
        <w:pStyle w:val="96"/>
        <w:spacing w:before="156" w:after="156"/>
        <w:rPr>
          <w:highlight w:val="none"/>
        </w:rPr>
      </w:pPr>
      <w:bookmarkStart w:id="152" w:name="_Toc207877349"/>
      <w:r>
        <w:rPr>
          <w:rFonts w:hint="eastAsia"/>
          <w:highlight w:val="none"/>
          <w:lang w:val="en-US" w:eastAsia="zh-CN"/>
        </w:rPr>
        <w:t>安全</w:t>
      </w:r>
      <w:r>
        <w:rPr>
          <w:rFonts w:hint="eastAsia"/>
          <w:highlight w:val="none"/>
        </w:rPr>
        <w:t>警示标志</w:t>
      </w:r>
      <w:bookmarkEnd w:id="152"/>
    </w:p>
    <w:p>
      <w:pPr>
        <w:pStyle w:val="169"/>
        <w:rPr>
          <w:highlight w:val="none"/>
        </w:rPr>
      </w:pPr>
      <w:r>
        <w:rPr>
          <w:rFonts w:hint="eastAsia"/>
          <w:highlight w:val="none"/>
        </w:rPr>
        <w:t>项目部应在施工现场入口处、施工起重机械、临时用电设施、脚手架、出入通道口、楼梯口、电梯井口、孔洞口、桥梁口、隧道口、基坑边缘、爆破物及有害危险气体和液体存放处等存在较大危险因素的场所或者设备设施上，设置明显的安全警示标志。</w:t>
      </w:r>
    </w:p>
    <w:p>
      <w:pPr>
        <w:pStyle w:val="169"/>
        <w:rPr>
          <w:highlight w:val="none"/>
        </w:rPr>
      </w:pPr>
      <w:r>
        <w:rPr>
          <w:rFonts w:hint="eastAsia"/>
          <w:highlight w:val="none"/>
        </w:rPr>
        <w:t>安全警示标志配备</w:t>
      </w:r>
      <w:r>
        <w:rPr>
          <w:rFonts w:hint="eastAsia"/>
          <w:highlight w:val="none"/>
          <w:lang w:val="en-US" w:eastAsia="zh-CN"/>
        </w:rPr>
        <w:t>应</w:t>
      </w:r>
      <w:r>
        <w:rPr>
          <w:rFonts w:hint="eastAsia"/>
          <w:highlight w:val="none"/>
        </w:rPr>
        <w:t>与现场作业活动相适应。</w:t>
      </w:r>
    </w:p>
    <w:p>
      <w:pPr>
        <w:pStyle w:val="169"/>
        <w:rPr>
          <w:highlight w:val="none"/>
        </w:rPr>
      </w:pPr>
      <w:r>
        <w:rPr>
          <w:rFonts w:hint="eastAsia"/>
          <w:highlight w:val="none"/>
        </w:rPr>
        <w:t>多个安全</w:t>
      </w:r>
      <w:r>
        <w:rPr>
          <w:rFonts w:hint="eastAsia"/>
          <w:highlight w:val="none"/>
          <w:lang w:val="en-US" w:eastAsia="zh-CN"/>
        </w:rPr>
        <w:t>警示</w:t>
      </w:r>
      <w:r>
        <w:rPr>
          <w:rFonts w:hint="eastAsia"/>
          <w:highlight w:val="none"/>
        </w:rPr>
        <w:t>标志在同一部位设置时，应按警告、禁止、指令、提示类型的顺序，先左后右、先上后下排列。</w:t>
      </w:r>
    </w:p>
    <w:p>
      <w:pPr>
        <w:pStyle w:val="169"/>
        <w:rPr>
          <w:highlight w:val="none"/>
        </w:rPr>
      </w:pPr>
      <w:r>
        <w:rPr>
          <w:rFonts w:hint="eastAsia"/>
          <w:highlight w:val="none"/>
        </w:rPr>
        <w:t>悬挂式和附着式的标志牌应稳固</w:t>
      </w:r>
      <w:r>
        <w:rPr>
          <w:rFonts w:hint="eastAsia"/>
          <w:highlight w:val="none"/>
          <w:lang w:eastAsia="zh-CN"/>
        </w:rPr>
        <w:t>，</w:t>
      </w:r>
      <w:r>
        <w:rPr>
          <w:rFonts w:hint="eastAsia"/>
          <w:highlight w:val="none"/>
        </w:rPr>
        <w:t>柱式的标志牌和支架</w:t>
      </w:r>
      <w:r>
        <w:rPr>
          <w:rFonts w:hint="eastAsia"/>
          <w:highlight w:val="none"/>
          <w:lang w:eastAsia="zh-CN"/>
        </w:rPr>
        <w:t>应连接</w:t>
      </w:r>
      <w:r>
        <w:rPr>
          <w:rFonts w:hint="eastAsia"/>
          <w:highlight w:val="none"/>
        </w:rPr>
        <w:t>牢固。</w:t>
      </w:r>
    </w:p>
    <w:p>
      <w:pPr>
        <w:pStyle w:val="169"/>
        <w:rPr>
          <w:highlight w:val="none"/>
        </w:rPr>
      </w:pPr>
      <w:r>
        <w:rPr>
          <w:rFonts w:hint="eastAsia"/>
          <w:highlight w:val="none"/>
        </w:rPr>
        <w:t>安全</w:t>
      </w:r>
      <w:r>
        <w:rPr>
          <w:rFonts w:hint="eastAsia"/>
          <w:highlight w:val="none"/>
          <w:lang w:val="en-US" w:eastAsia="zh-CN"/>
        </w:rPr>
        <w:t>警示</w:t>
      </w:r>
      <w:r>
        <w:rPr>
          <w:rFonts w:hint="eastAsia"/>
          <w:highlight w:val="none"/>
        </w:rPr>
        <w:t>标志牌应至少每半年检查一次，在修整或更换安全</w:t>
      </w:r>
      <w:r>
        <w:rPr>
          <w:rFonts w:hint="eastAsia"/>
          <w:highlight w:val="none"/>
          <w:lang w:val="en-US" w:eastAsia="zh-CN"/>
        </w:rPr>
        <w:t>警示</w:t>
      </w:r>
      <w:r>
        <w:rPr>
          <w:rFonts w:hint="eastAsia"/>
          <w:highlight w:val="none"/>
        </w:rPr>
        <w:t>标志牌时应有临时标志替换。</w:t>
      </w:r>
    </w:p>
    <w:p>
      <w:pPr>
        <w:pStyle w:val="67"/>
        <w:spacing w:before="156" w:after="156"/>
        <w:rPr>
          <w:highlight w:val="none"/>
        </w:rPr>
      </w:pPr>
      <w:bookmarkStart w:id="153" w:name="_Toc207877350"/>
      <w:bookmarkStart w:id="154" w:name="_Toc208403426"/>
      <w:r>
        <w:rPr>
          <w:rFonts w:hint="eastAsia"/>
          <w:highlight w:val="none"/>
        </w:rPr>
        <w:t>设备设施</w:t>
      </w:r>
      <w:bookmarkEnd w:id="153"/>
      <w:bookmarkEnd w:id="154"/>
    </w:p>
    <w:p>
      <w:pPr>
        <w:pStyle w:val="96"/>
        <w:spacing w:before="156" w:after="156"/>
        <w:rPr>
          <w:highlight w:val="none"/>
        </w:rPr>
      </w:pPr>
      <w:bookmarkStart w:id="155" w:name="_Toc207877351"/>
      <w:r>
        <w:rPr>
          <w:rFonts w:hint="eastAsia"/>
          <w:highlight w:val="none"/>
        </w:rPr>
        <w:t>一般要求</w:t>
      </w:r>
      <w:bookmarkEnd w:id="155"/>
    </w:p>
    <w:p>
      <w:pPr>
        <w:pStyle w:val="169"/>
        <w:rPr>
          <w:highlight w:val="none"/>
        </w:rPr>
      </w:pPr>
      <w:r>
        <w:rPr>
          <w:rFonts w:hint="eastAsia"/>
          <w:highlight w:val="none"/>
        </w:rPr>
        <w:t>不应使用国家明令淘汰、禁止使用的危及生产安全的工艺、设备。</w:t>
      </w:r>
    </w:p>
    <w:p>
      <w:pPr>
        <w:pStyle w:val="169"/>
        <w:rPr>
          <w:highlight w:val="none"/>
        </w:rPr>
      </w:pPr>
      <w:r>
        <w:rPr>
          <w:rFonts w:hint="eastAsia"/>
          <w:highlight w:val="none"/>
        </w:rPr>
        <w:t>项目部应设置或明确设备管理机构，配备专门管理人员，明确管理职责，对施工设备设施的采购、进场、退场实行统一管理。</w:t>
      </w:r>
    </w:p>
    <w:p>
      <w:pPr>
        <w:pStyle w:val="169"/>
        <w:rPr>
          <w:highlight w:val="none"/>
        </w:rPr>
      </w:pPr>
      <w:r>
        <w:rPr>
          <w:highlight w:val="none"/>
        </w:rPr>
        <w:t>设备设施的适当位置或附近应悬挂安全操作规程。</w:t>
      </w:r>
    </w:p>
    <w:p>
      <w:pPr>
        <w:pStyle w:val="169"/>
        <w:rPr>
          <w:highlight w:val="none"/>
        </w:rPr>
      </w:pPr>
      <w:r>
        <w:rPr>
          <w:rFonts w:hint="eastAsia"/>
          <w:highlight w:val="none"/>
        </w:rPr>
        <w:t>设备操作人员，应了解所操作设备的基本构造、原理；熟悉其性能、规格、保养方法和安全操作规程，</w:t>
      </w:r>
      <w:r>
        <w:rPr>
          <w:rFonts w:hint="eastAsia"/>
          <w:highlight w:val="none"/>
          <w:lang w:val="en-US" w:eastAsia="zh-CN"/>
        </w:rPr>
        <w:t>培训后方可</w:t>
      </w:r>
      <w:r>
        <w:rPr>
          <w:rFonts w:hint="eastAsia"/>
          <w:highlight w:val="none"/>
        </w:rPr>
        <w:t>上岗。</w:t>
      </w:r>
    </w:p>
    <w:p>
      <w:pPr>
        <w:pStyle w:val="169"/>
        <w:rPr>
          <w:highlight w:val="none"/>
        </w:rPr>
      </w:pPr>
      <w:r>
        <w:rPr>
          <w:rFonts w:hint="eastAsia"/>
          <w:highlight w:val="none"/>
        </w:rPr>
        <w:t>施工设备不应超铭牌规定的技术要求运行，停机时应及时做好检查维修保养工作。</w:t>
      </w:r>
    </w:p>
    <w:p>
      <w:pPr>
        <w:pStyle w:val="169"/>
        <w:rPr>
          <w:highlight w:val="none"/>
        </w:rPr>
      </w:pPr>
      <w:r>
        <w:rPr>
          <w:rFonts w:hint="eastAsia"/>
          <w:highlight w:val="none"/>
        </w:rPr>
        <w:t>露天固定使用的中小型机械应设置具有防雨防晒、防物体打击功能的作业棚。</w:t>
      </w:r>
    </w:p>
    <w:p>
      <w:pPr>
        <w:pStyle w:val="169"/>
        <w:rPr>
          <w:highlight w:val="none"/>
        </w:rPr>
      </w:pPr>
      <w:r>
        <w:rPr>
          <w:rFonts w:hint="eastAsia"/>
          <w:highlight w:val="none"/>
        </w:rPr>
        <w:t>设备进场后，应向操作人员进行安全技术交底。</w:t>
      </w:r>
    </w:p>
    <w:p>
      <w:pPr>
        <w:pStyle w:val="169"/>
        <w:rPr>
          <w:highlight w:val="none"/>
        </w:rPr>
      </w:pPr>
      <w:r>
        <w:rPr>
          <w:rFonts w:hint="eastAsia"/>
          <w:highlight w:val="none"/>
        </w:rPr>
        <w:t>设备设施应符合有关法律、法规、制度和标准要求；投入使用前，应报监理单位验收。验收合格后，方可投入使用。</w:t>
      </w:r>
    </w:p>
    <w:p>
      <w:pPr>
        <w:pStyle w:val="169"/>
        <w:keepNext w:val="0"/>
        <w:keepLines w:val="0"/>
        <w:pageBreakBefore w:val="0"/>
        <w:widowControl w:val="0"/>
        <w:kinsoku/>
        <w:wordWrap w:val="0"/>
        <w:overflowPunct/>
        <w:topLinePunct w:val="0"/>
        <w:autoSpaceDE/>
        <w:autoSpaceDN/>
        <w:bidi w:val="0"/>
        <w:adjustRightInd/>
        <w:snapToGrid/>
        <w:textAlignment w:val="auto"/>
        <w:rPr>
          <w:highlight w:val="none"/>
        </w:rPr>
      </w:pPr>
      <w:r>
        <w:rPr>
          <w:rFonts w:hint="eastAsia"/>
          <w:highlight w:val="none"/>
        </w:rPr>
        <w:t>项目部应建立设备设施安全管理台账并及时更新，租赁设备或分包单位的设备应纳入设备设施安全管理范围，台账记录应符合SL</w:t>
      </w:r>
      <w:r>
        <w:rPr>
          <w:rFonts w:hint="eastAsia"/>
          <w:highlight w:val="none"/>
          <w:lang w:val="en-US" w:eastAsia="zh-CN"/>
        </w:rPr>
        <w:t xml:space="preserve"> </w:t>
      </w:r>
      <w:r>
        <w:rPr>
          <w:rFonts w:hint="eastAsia"/>
          <w:highlight w:val="none"/>
        </w:rPr>
        <w:t>721的</w:t>
      </w:r>
      <w:r>
        <w:rPr>
          <w:rFonts w:hint="eastAsia"/>
          <w:highlight w:val="none"/>
          <w:lang w:val="en-US" w:eastAsia="zh-CN"/>
        </w:rPr>
        <w:t>规定</w:t>
      </w:r>
      <w:r>
        <w:rPr>
          <w:rFonts w:hint="eastAsia"/>
          <w:highlight w:val="none"/>
        </w:rPr>
        <w:t>。</w:t>
      </w:r>
    </w:p>
    <w:p>
      <w:pPr>
        <w:pStyle w:val="169"/>
        <w:rPr>
          <w:highlight w:val="none"/>
        </w:rPr>
      </w:pPr>
      <w:r>
        <w:rPr>
          <w:rFonts w:hint="eastAsia"/>
          <w:highlight w:val="none"/>
        </w:rPr>
        <w:t>设备设施运行前应进行全面检查；运行过程中应定期对安全设施、器具进行维护、更换，每月应对主要设备设施安全状况进行一次全面检查；停用一个月以上的起重机械在重新使用前应进行全面检查。</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施工现场设备设施</w:t>
      </w:r>
      <w:r>
        <w:rPr>
          <w:rFonts w:hint="eastAsia"/>
          <w:color w:val="auto"/>
          <w:highlight w:val="none"/>
          <w:lang w:val="en-US" w:eastAsia="zh-CN"/>
        </w:rPr>
        <w:t>运行管理</w:t>
      </w:r>
      <w:r>
        <w:rPr>
          <w:rFonts w:hint="eastAsia"/>
          <w:color w:val="auto"/>
          <w:highlight w:val="none"/>
        </w:rPr>
        <w:t>应</w:t>
      </w:r>
      <w:r>
        <w:rPr>
          <w:rFonts w:hint="eastAsia"/>
          <w:color w:val="auto"/>
          <w:highlight w:val="none"/>
          <w:lang w:val="en-US" w:eastAsia="zh-CN"/>
        </w:rPr>
        <w:t>符合</w:t>
      </w:r>
      <w:r>
        <w:rPr>
          <w:rFonts w:hint="eastAsia"/>
          <w:color w:val="auto"/>
          <w:highlight w:val="none"/>
        </w:rPr>
        <w:t>SL</w:t>
      </w:r>
      <w:r>
        <w:rPr>
          <w:rFonts w:hint="eastAsia"/>
          <w:color w:val="auto"/>
          <w:highlight w:val="none"/>
          <w:lang w:val="en-US" w:eastAsia="zh-CN"/>
        </w:rPr>
        <w:t xml:space="preserve"> </w:t>
      </w:r>
      <w:r>
        <w:rPr>
          <w:rFonts w:hint="eastAsia"/>
          <w:color w:val="auto"/>
          <w:highlight w:val="none"/>
        </w:rPr>
        <w:t>721的</w:t>
      </w:r>
      <w:r>
        <w:rPr>
          <w:rFonts w:hint="eastAsia"/>
          <w:color w:val="auto"/>
          <w:highlight w:val="none"/>
          <w:lang w:val="en-US" w:eastAsia="zh-CN"/>
        </w:rPr>
        <w:t>规定。</w:t>
      </w:r>
    </w:p>
    <w:p>
      <w:pPr>
        <w:pStyle w:val="169"/>
        <w:rPr>
          <w:highlight w:val="none"/>
        </w:rPr>
      </w:pPr>
      <w:r>
        <w:rPr>
          <w:highlight w:val="none"/>
        </w:rPr>
        <w:t>同一作业区两台及以上起重设备运行时，存在碰撞可能的，应采取措施防止碰撞。</w:t>
      </w:r>
    </w:p>
    <w:p>
      <w:pPr>
        <w:pStyle w:val="169"/>
        <w:rPr>
          <w:highlight w:val="none"/>
        </w:rPr>
      </w:pPr>
      <w:r>
        <w:rPr>
          <w:rFonts w:hint="eastAsia"/>
          <w:highlight w:val="none"/>
        </w:rPr>
        <w:t>应编制设备设施维修保养计划或方案，对设备进行维修保养；维修结束后应组织验收；维修保养应记录规范。</w:t>
      </w:r>
    </w:p>
    <w:p>
      <w:pPr>
        <w:pStyle w:val="169"/>
        <w:rPr>
          <w:highlight w:val="none"/>
        </w:rPr>
      </w:pPr>
      <w:r>
        <w:rPr>
          <w:rFonts w:hint="eastAsia"/>
          <w:highlight w:val="none"/>
        </w:rPr>
        <w:t>设备存在严重安全隐患，无改造、维修价值，或者超过规定使用年限，应及时报废。</w:t>
      </w:r>
    </w:p>
    <w:p>
      <w:pPr>
        <w:pStyle w:val="96"/>
        <w:spacing w:before="156" w:after="156"/>
        <w:rPr>
          <w:highlight w:val="none"/>
        </w:rPr>
      </w:pPr>
      <w:bookmarkStart w:id="156" w:name="_Toc207877353"/>
      <w:r>
        <w:rPr>
          <w:rFonts w:hint="eastAsia"/>
          <w:highlight w:val="none"/>
        </w:rPr>
        <w:t>特种设备</w:t>
      </w:r>
      <w:bookmarkEnd w:id="156"/>
    </w:p>
    <w:p>
      <w:pPr>
        <w:pStyle w:val="169"/>
        <w:rPr>
          <w:color w:val="auto"/>
          <w:highlight w:val="none"/>
        </w:rPr>
      </w:pPr>
      <w:r>
        <w:rPr>
          <w:rFonts w:hint="eastAsia"/>
          <w:color w:val="auto"/>
          <w:highlight w:val="none"/>
          <w:lang w:val="en-US" w:eastAsia="zh-CN"/>
        </w:rPr>
        <w:t>特种设备使用单位应使用取得许可生产并经检验合格的特种设备，不应使用国家明令淘汰和已经报废的特种设备。</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rFonts w:hint="eastAsia"/>
          <w:color w:val="auto"/>
          <w:highlight w:val="none"/>
        </w:rPr>
        <w:t>特种设备验收时，除正常清点和检查外，还应</w:t>
      </w:r>
      <w:r>
        <w:rPr>
          <w:rFonts w:hint="eastAsia"/>
          <w:color w:val="auto"/>
          <w:highlight w:val="none"/>
          <w:lang w:val="en-US" w:eastAsia="zh-CN"/>
        </w:rPr>
        <w:t>符合SL 398的规定。</w:t>
      </w:r>
    </w:p>
    <w:p>
      <w:pPr>
        <w:pStyle w:val="169"/>
        <w:keepNext w:val="0"/>
        <w:keepLines w:val="0"/>
        <w:pageBreakBefore w:val="0"/>
        <w:widowControl w:val="0"/>
        <w:kinsoku/>
        <w:wordWrap w:val="0"/>
        <w:overflowPunct/>
        <w:topLinePunct w:val="0"/>
        <w:autoSpaceDE/>
        <w:autoSpaceDN/>
        <w:bidi w:val="0"/>
        <w:adjustRightInd/>
        <w:snapToGrid/>
        <w:textAlignment w:val="auto"/>
        <w:rPr>
          <w:color w:val="auto"/>
          <w:highlight w:val="none"/>
        </w:rPr>
      </w:pPr>
      <w:r>
        <w:rPr>
          <w:color w:val="auto"/>
          <w:highlight w:val="none"/>
        </w:rPr>
        <w:t>特种设备在安装时持有</w:t>
      </w:r>
      <w:r>
        <w:rPr>
          <w:rFonts w:hint="eastAsia"/>
          <w:color w:val="auto"/>
          <w:highlight w:val="none"/>
          <w:lang w:val="en-US" w:eastAsia="zh-CN"/>
        </w:rPr>
        <w:t>的</w:t>
      </w:r>
      <w:r>
        <w:rPr>
          <w:color w:val="auto"/>
          <w:highlight w:val="none"/>
        </w:rPr>
        <w:t>安全技术资料</w:t>
      </w:r>
      <w:r>
        <w:rPr>
          <w:rFonts w:hint="eastAsia"/>
          <w:color w:val="auto"/>
          <w:highlight w:val="none"/>
          <w:lang w:val="en-US" w:eastAsia="zh-CN"/>
        </w:rPr>
        <w:t>应符合SL 398的规定。</w:t>
      </w:r>
    </w:p>
    <w:p>
      <w:pPr>
        <w:pStyle w:val="169"/>
        <w:rPr>
          <w:color w:val="auto"/>
          <w:highlight w:val="none"/>
        </w:rPr>
      </w:pPr>
      <w:r>
        <w:rPr>
          <w:color w:val="auto"/>
          <w:highlight w:val="none"/>
        </w:rPr>
        <w:t>特种设备在安装、改造、维修前</w:t>
      </w:r>
      <w:r>
        <w:rPr>
          <w:rFonts w:hint="eastAsia"/>
          <w:color w:val="auto"/>
          <w:highlight w:val="none"/>
          <w:lang w:val="en-US" w:eastAsia="zh-CN"/>
        </w:rPr>
        <w:t>应按规定报备。</w:t>
      </w:r>
    </w:p>
    <w:p>
      <w:pPr>
        <w:pStyle w:val="169"/>
        <w:rPr>
          <w:color w:val="auto"/>
          <w:highlight w:val="none"/>
        </w:rPr>
      </w:pPr>
      <w:r>
        <w:rPr>
          <w:rFonts w:hint="eastAsia"/>
          <w:color w:val="auto"/>
          <w:highlight w:val="none"/>
        </w:rPr>
        <w:t>特种设备作业人员入场时应确认其证件的有效性，经监理单位审核确认，报项目法人备案。</w:t>
      </w:r>
    </w:p>
    <w:p>
      <w:pPr>
        <w:pStyle w:val="169"/>
        <w:rPr>
          <w:highlight w:val="none"/>
        </w:rPr>
      </w:pPr>
      <w:r>
        <w:rPr>
          <w:rFonts w:hint="eastAsia"/>
          <w:highlight w:val="none"/>
        </w:rPr>
        <w:t>企业应</w:t>
      </w:r>
      <w:r>
        <w:rPr>
          <w:rFonts w:hint="eastAsia"/>
          <w:highlight w:val="none"/>
          <w:lang w:val="en-US" w:eastAsia="zh-CN"/>
        </w:rPr>
        <w:t>按规定</w:t>
      </w:r>
      <w:r>
        <w:rPr>
          <w:rFonts w:hint="eastAsia"/>
          <w:highlight w:val="none"/>
        </w:rPr>
        <w:t>办理特种设备使用登记，并按规定的周期进行检验</w:t>
      </w:r>
      <w:r>
        <w:rPr>
          <w:rFonts w:hint="eastAsia"/>
          <w:highlight w:val="none"/>
          <w:lang w:eastAsia="zh-CN"/>
        </w:rPr>
        <w:t>，</w:t>
      </w:r>
      <w:r>
        <w:rPr>
          <w:rFonts w:hint="eastAsia"/>
          <w:highlight w:val="none"/>
        </w:rPr>
        <w:t>并应建立特种设备台账。</w:t>
      </w:r>
    </w:p>
    <w:p>
      <w:pPr>
        <w:pStyle w:val="169"/>
        <w:rPr>
          <w:strike w:val="0"/>
          <w:dstrike w:val="0"/>
          <w:highlight w:val="none"/>
        </w:rPr>
      </w:pPr>
      <w:r>
        <w:rPr>
          <w:rFonts w:hint="eastAsia"/>
          <w:highlight w:val="none"/>
          <w:lang w:val="en-US" w:eastAsia="zh-CN"/>
        </w:rPr>
        <w:t>项目部</w:t>
      </w:r>
      <w:r>
        <w:rPr>
          <w:rFonts w:hint="eastAsia"/>
          <w:highlight w:val="none"/>
        </w:rPr>
        <w:t>应根据施工生产实际，制定实施防倾翻、防坠落、防火、防爆、防泄漏的安全措施和事故应急救援预案，配备相应的应急装备和物资，定期进行应急演练。</w:t>
      </w:r>
      <w:bookmarkStart w:id="157" w:name="_Toc207877354"/>
      <w:bookmarkStart w:id="158" w:name="_Toc208403427"/>
    </w:p>
    <w:p>
      <w:pPr>
        <w:pStyle w:val="67"/>
        <w:spacing w:before="156" w:after="156"/>
        <w:rPr>
          <w:highlight w:val="none"/>
        </w:rPr>
      </w:pPr>
      <w:r>
        <w:rPr>
          <w:rFonts w:hint="eastAsia"/>
          <w:highlight w:val="none"/>
        </w:rPr>
        <w:t>作业规范</w:t>
      </w:r>
      <w:bookmarkEnd w:id="157"/>
      <w:bookmarkEnd w:id="158"/>
    </w:p>
    <w:p>
      <w:pPr>
        <w:pStyle w:val="166"/>
        <w:keepNext w:val="0"/>
        <w:keepLines w:val="0"/>
        <w:pageBreakBefore w:val="0"/>
        <w:widowControl/>
        <w:kinsoku/>
        <w:wordWrap w:val="0"/>
        <w:overflowPunct/>
        <w:topLinePunct w:val="0"/>
        <w:autoSpaceDE/>
        <w:autoSpaceDN/>
        <w:bidi w:val="0"/>
        <w:adjustRightInd/>
        <w:snapToGrid/>
        <w:textAlignment w:val="auto"/>
        <w:rPr>
          <w:highlight w:val="none"/>
        </w:rPr>
      </w:pPr>
      <w:r>
        <w:rPr>
          <w:rFonts w:hint="eastAsia"/>
          <w:highlight w:val="none"/>
        </w:rPr>
        <w:t>基坑作业现场</w:t>
      </w:r>
      <w:r>
        <w:rPr>
          <w:rFonts w:hint="eastAsia"/>
          <w:highlight w:val="none"/>
          <w:lang w:val="en-US" w:eastAsia="zh-CN"/>
        </w:rPr>
        <w:t>除满足DB11/T 945.1、DB11/T 2274，还应符合下列要求：</w:t>
      </w:r>
    </w:p>
    <w:p>
      <w:pPr>
        <w:pStyle w:val="176"/>
        <w:numPr>
          <w:ilvl w:val="0"/>
          <w:numId w:val="47"/>
        </w:numPr>
        <w:rPr>
          <w:color w:val="auto"/>
          <w:highlight w:val="none"/>
        </w:rPr>
      </w:pPr>
      <w:r>
        <w:rPr>
          <w:rFonts w:hint="eastAsia"/>
          <w:color w:val="auto"/>
          <w:highlight w:val="none"/>
        </w:rPr>
        <w:t>基坑周边应设置排水系统和设施，并设置挡水墙，排水应畅通；集水坑与基坑边缘距离应</w:t>
      </w:r>
      <w:r>
        <w:rPr>
          <w:rFonts w:hint="eastAsia"/>
          <w:color w:val="auto"/>
          <w:highlight w:val="none"/>
          <w:lang w:val="en-US" w:eastAsia="zh-CN"/>
        </w:rPr>
        <w:t>不</w:t>
      </w:r>
      <w:r>
        <w:rPr>
          <w:rFonts w:hint="eastAsia"/>
          <w:color w:val="auto"/>
          <w:highlight w:val="none"/>
        </w:rPr>
        <w:t>小于5m；</w:t>
      </w:r>
    </w:p>
    <w:p>
      <w:pPr>
        <w:pStyle w:val="176"/>
        <w:numPr>
          <w:ilvl w:val="0"/>
          <w:numId w:val="47"/>
        </w:numPr>
        <w:rPr>
          <w:color w:val="auto"/>
          <w:highlight w:val="none"/>
        </w:rPr>
      </w:pPr>
      <w:r>
        <w:rPr>
          <w:rFonts w:hint="eastAsia"/>
          <w:color w:val="auto"/>
          <w:highlight w:val="none"/>
        </w:rPr>
        <w:t>开挖过程中，应采取有效的截水、排水措施，防止地表水和地下水影响开挖作业和施工安全</w:t>
      </w:r>
      <w:r>
        <w:rPr>
          <w:rFonts w:hint="eastAsia"/>
          <w:color w:val="auto"/>
          <w:highlight w:val="none"/>
          <w:lang w:eastAsia="zh-CN"/>
        </w:rPr>
        <w:t>。</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边坡作业现场应符合</w:t>
      </w:r>
      <w:r>
        <w:rPr>
          <w:rFonts w:hint="eastAsia"/>
          <w:color w:val="auto"/>
          <w:highlight w:val="none"/>
          <w:lang w:val="en-US" w:eastAsia="zh-CN"/>
        </w:rPr>
        <w:t>SL 714、DB11/T 2274的规定。</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沟槽作业现场应符合</w:t>
      </w:r>
      <w:r>
        <w:rPr>
          <w:rFonts w:hint="eastAsia"/>
          <w:color w:val="auto"/>
          <w:highlight w:val="none"/>
          <w:lang w:val="en-US" w:eastAsia="zh-CN"/>
        </w:rPr>
        <w:t>GB 50268、DB11/T 2274的规定。</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洞室作业现场</w:t>
      </w:r>
      <w:r>
        <w:rPr>
          <w:rFonts w:hint="eastAsia"/>
          <w:color w:val="auto"/>
          <w:highlight w:val="none"/>
          <w:lang w:val="en-US" w:eastAsia="zh-CN"/>
        </w:rPr>
        <w:t>除满足SL 399，还应符合下列要求：</w:t>
      </w:r>
    </w:p>
    <w:p>
      <w:pPr>
        <w:pStyle w:val="176"/>
        <w:numPr>
          <w:ilvl w:val="0"/>
          <w:numId w:val="48"/>
        </w:numPr>
        <w:rPr>
          <w:highlight w:val="none"/>
        </w:rPr>
      </w:pPr>
      <w:r>
        <w:rPr>
          <w:rFonts w:hint="eastAsia"/>
          <w:highlight w:val="none"/>
        </w:rPr>
        <w:t>洞室作业应清除洞口边坡上的浮石、危石及倒悬石；及时清理洞脸，及时锁口；</w:t>
      </w:r>
    </w:p>
    <w:p>
      <w:pPr>
        <w:pStyle w:val="176"/>
        <w:numPr>
          <w:ilvl w:val="0"/>
          <w:numId w:val="48"/>
        </w:numPr>
        <w:rPr>
          <w:highlight w:val="none"/>
        </w:rPr>
      </w:pPr>
      <w:r>
        <w:rPr>
          <w:rFonts w:hint="eastAsia"/>
          <w:highlight w:val="none"/>
        </w:rPr>
        <w:t>洞口周围应设置截、排水系统，洞口边坡外侧应设置挡渣墙或积石槽，或在洞口设置防护网或防护棚，洞口以上边坡和两侧崖壁不完整时，应采用喷锚支护或混凝土永久支护等措施；</w:t>
      </w:r>
    </w:p>
    <w:p>
      <w:pPr>
        <w:pStyle w:val="176"/>
        <w:numPr>
          <w:ilvl w:val="0"/>
          <w:numId w:val="48"/>
        </w:numPr>
        <w:rPr>
          <w:highlight w:val="none"/>
        </w:rPr>
      </w:pPr>
      <w:r>
        <w:rPr>
          <w:rFonts w:hint="eastAsia"/>
          <w:highlight w:val="none"/>
        </w:rPr>
        <w:t>斜、竖井应及时进行锁口；井口应设高度不低于1.2m的防护围栏，围栏底部距地0.5m范围内应全封闭；井壁应设置人行爬梯；施工作业面与井口应有可靠的通信装置和信号装置；井深大于10m应设置通风排烟设施。</w:t>
      </w:r>
    </w:p>
    <w:p>
      <w:pPr>
        <w:pStyle w:val="166"/>
        <w:keepNext w:val="0"/>
        <w:keepLines w:val="0"/>
        <w:pageBreakBefore w:val="0"/>
        <w:widowControl/>
        <w:kinsoku/>
        <w:wordWrap w:val="0"/>
        <w:overflowPunct/>
        <w:topLinePunct w:val="0"/>
        <w:autoSpaceDE/>
        <w:autoSpaceDN/>
        <w:bidi w:val="0"/>
        <w:adjustRightInd/>
        <w:snapToGrid/>
        <w:textAlignment w:val="auto"/>
        <w:rPr>
          <w:rFonts w:hint="default"/>
          <w:color w:val="auto"/>
          <w:highlight w:val="none"/>
          <w:lang w:val="en-US"/>
        </w:rPr>
      </w:pPr>
      <w:r>
        <w:rPr>
          <w:rFonts w:hint="eastAsia"/>
          <w:color w:val="auto"/>
          <w:highlight w:val="none"/>
        </w:rPr>
        <w:t>脚手架工程</w:t>
      </w:r>
      <w:r>
        <w:rPr>
          <w:rFonts w:hint="eastAsia"/>
          <w:color w:val="auto"/>
          <w:highlight w:val="none"/>
          <w:lang w:val="en-US" w:eastAsia="zh-CN"/>
        </w:rPr>
        <w:t>应符合SL 398、GB 55023、SL 714、DB11/T 2274的规定。</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围堰工程现场应符合</w:t>
      </w:r>
      <w:r>
        <w:rPr>
          <w:rFonts w:hint="eastAsia"/>
          <w:color w:val="auto"/>
          <w:highlight w:val="none"/>
          <w:lang w:val="en-US" w:eastAsia="zh-CN"/>
        </w:rPr>
        <w:t>DB11/T 2274的规定。</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交叉作业应符合</w:t>
      </w:r>
      <w:r>
        <w:rPr>
          <w:rFonts w:hint="eastAsia"/>
          <w:color w:val="auto"/>
          <w:highlight w:val="none"/>
          <w:lang w:val="en-US" w:eastAsia="zh-CN"/>
        </w:rPr>
        <w:t>SL 714、DB11/T 2274的规定。</w:t>
      </w:r>
    </w:p>
    <w:p>
      <w:pPr>
        <w:pStyle w:val="67"/>
        <w:spacing w:before="156" w:after="156"/>
        <w:rPr>
          <w:highlight w:val="none"/>
        </w:rPr>
      </w:pPr>
      <w:bookmarkStart w:id="159" w:name="_Toc208403428"/>
      <w:bookmarkStart w:id="160" w:name="_Toc207877355"/>
      <w:r>
        <w:rPr>
          <w:rFonts w:hint="eastAsia"/>
          <w:highlight w:val="none"/>
        </w:rPr>
        <w:t>特殊作业</w:t>
      </w:r>
      <w:bookmarkEnd w:id="159"/>
      <w:bookmarkEnd w:id="160"/>
    </w:p>
    <w:p>
      <w:pPr>
        <w:pStyle w:val="166"/>
        <w:rPr>
          <w:highlight w:val="none"/>
        </w:rPr>
      </w:pPr>
      <w:r>
        <w:rPr>
          <w:rFonts w:hint="eastAsia"/>
          <w:highlight w:val="none"/>
        </w:rPr>
        <w:t>企业进行爆破、吊装、挖掘、悬吊、建设工程拆除等危险作业，以及在有限空间内作业、动火作业、高处作业、带电作业、临近高压输电线路作业，应当遵守下列规定：</w:t>
      </w:r>
    </w:p>
    <w:p>
      <w:pPr>
        <w:pStyle w:val="176"/>
        <w:numPr>
          <w:ilvl w:val="0"/>
          <w:numId w:val="49"/>
        </w:numPr>
        <w:rPr>
          <w:highlight w:val="none"/>
        </w:rPr>
      </w:pPr>
      <w:r>
        <w:rPr>
          <w:rFonts w:hint="eastAsia"/>
          <w:highlight w:val="none"/>
        </w:rPr>
        <w:t>制定作业方案，按照本企业内部批准权限审批；</w:t>
      </w:r>
    </w:p>
    <w:p>
      <w:pPr>
        <w:pStyle w:val="176"/>
        <w:numPr>
          <w:ilvl w:val="0"/>
          <w:numId w:val="49"/>
        </w:numPr>
        <w:rPr>
          <w:highlight w:val="none"/>
        </w:rPr>
      </w:pPr>
      <w:r>
        <w:rPr>
          <w:rFonts w:hint="eastAsia"/>
          <w:highlight w:val="none"/>
        </w:rPr>
        <w:t>落实安全交底，向作业人员详细说明作业内容、主要危险因素、作业安全要求和应急措施等内容；</w:t>
      </w:r>
    </w:p>
    <w:p>
      <w:pPr>
        <w:pStyle w:val="176"/>
        <w:numPr>
          <w:ilvl w:val="0"/>
          <w:numId w:val="49"/>
        </w:numPr>
        <w:rPr>
          <w:highlight w:val="none"/>
        </w:rPr>
      </w:pPr>
      <w:r>
        <w:rPr>
          <w:rFonts w:hint="eastAsia"/>
          <w:highlight w:val="none"/>
        </w:rPr>
        <w:t>安排专门人员进行现场管理，确认现场作业条件、作业人员上岗资格、身体状况符合安全作业要求，监督作业人员遵守操作规程，落实安全措施；</w:t>
      </w:r>
    </w:p>
    <w:p>
      <w:pPr>
        <w:pStyle w:val="176"/>
        <w:numPr>
          <w:ilvl w:val="0"/>
          <w:numId w:val="49"/>
        </w:numPr>
        <w:rPr>
          <w:highlight w:val="none"/>
        </w:rPr>
      </w:pPr>
      <w:r>
        <w:rPr>
          <w:rFonts w:hint="eastAsia"/>
          <w:highlight w:val="none"/>
        </w:rPr>
        <w:t>配备与现场作业活动相适应的劳动防护用品，以及相应的安全警示标志、安全防护设备、应急救援装备；</w:t>
      </w:r>
    </w:p>
    <w:p>
      <w:pPr>
        <w:pStyle w:val="176"/>
        <w:numPr>
          <w:ilvl w:val="0"/>
          <w:numId w:val="49"/>
        </w:numPr>
        <w:rPr>
          <w:highlight w:val="none"/>
        </w:rPr>
      </w:pPr>
      <w:r>
        <w:rPr>
          <w:rFonts w:hint="eastAsia"/>
          <w:highlight w:val="none"/>
        </w:rPr>
        <w:t>发现直接危及人身安全的紧急情况，立即采取应急措施，停止作业或者撤出作业人员。</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有限空间作业应符合</w:t>
      </w:r>
      <w:r>
        <w:rPr>
          <w:rFonts w:hint="eastAsia"/>
          <w:color w:val="auto"/>
          <w:highlight w:val="none"/>
          <w:lang w:val="en-US" w:eastAsia="zh-CN"/>
        </w:rPr>
        <w:t>GB 46768、DB11/T 2274的规定。</w:t>
      </w:r>
    </w:p>
    <w:p>
      <w:pPr>
        <w:pStyle w:val="166"/>
        <w:keepNext w:val="0"/>
        <w:keepLines w:val="0"/>
        <w:pageBreakBefore w:val="0"/>
        <w:widowControl/>
        <w:kinsoku/>
        <w:wordWrap w:val="0"/>
        <w:overflowPunct/>
        <w:topLinePunct w:val="0"/>
        <w:autoSpaceDE/>
        <w:autoSpaceDN/>
        <w:bidi w:val="0"/>
        <w:adjustRightInd/>
        <w:snapToGrid/>
        <w:textAlignment w:val="auto"/>
        <w:rPr>
          <w:color w:val="auto"/>
          <w:highlight w:val="none"/>
        </w:rPr>
      </w:pPr>
      <w:r>
        <w:rPr>
          <w:rFonts w:hint="eastAsia"/>
          <w:color w:val="auto"/>
          <w:highlight w:val="none"/>
        </w:rPr>
        <w:t>动火作业</w:t>
      </w:r>
      <w:r>
        <w:rPr>
          <w:rFonts w:hint="eastAsia"/>
          <w:color w:val="auto"/>
          <w:highlight w:val="none"/>
          <w:lang w:val="en-US" w:eastAsia="zh-CN"/>
        </w:rPr>
        <w:t>除满足GB/T 50720，还应符合下列要求：</w:t>
      </w:r>
    </w:p>
    <w:p>
      <w:pPr>
        <w:pStyle w:val="176"/>
        <w:numPr>
          <w:ilvl w:val="0"/>
          <w:numId w:val="50"/>
        </w:numPr>
        <w:rPr>
          <w:color w:val="auto"/>
          <w:highlight w:val="none"/>
        </w:rPr>
      </w:pPr>
      <w:r>
        <w:rPr>
          <w:rFonts w:hint="eastAsia"/>
          <w:color w:val="auto"/>
          <w:highlight w:val="none"/>
        </w:rPr>
        <w:t>应按规定报备动火作业；</w:t>
      </w:r>
    </w:p>
    <w:p>
      <w:pPr>
        <w:pStyle w:val="176"/>
        <w:numPr>
          <w:ilvl w:val="0"/>
          <w:numId w:val="50"/>
        </w:numPr>
        <w:rPr>
          <w:color w:val="auto"/>
          <w:highlight w:val="none"/>
        </w:rPr>
      </w:pPr>
      <w:r>
        <w:rPr>
          <w:rFonts w:hint="eastAsia"/>
          <w:color w:val="auto"/>
          <w:highlight w:val="none"/>
        </w:rPr>
        <w:t>对于焊接、切割作业产生的火花、熔渣应在作业点下方及周边设置不燃材料制作的接火装置</w:t>
      </w:r>
      <w:r>
        <w:rPr>
          <w:rFonts w:hint="eastAsia"/>
          <w:color w:val="auto"/>
          <w:highlight w:val="none"/>
          <w:lang w:eastAsia="zh-CN"/>
        </w:rPr>
        <w:t>；</w:t>
      </w:r>
    </w:p>
    <w:p>
      <w:pPr>
        <w:pStyle w:val="176"/>
        <w:numPr>
          <w:ilvl w:val="0"/>
          <w:numId w:val="50"/>
        </w:numPr>
        <w:rPr>
          <w:color w:val="auto"/>
          <w:highlight w:val="none"/>
        </w:rPr>
      </w:pPr>
      <w:r>
        <w:rPr>
          <w:rFonts w:hint="eastAsia"/>
          <w:color w:val="auto"/>
          <w:highlight w:val="none"/>
        </w:rPr>
        <w:t>执行动火作业“六必须”，即：必须清理周边可燃物和易燃易爆物质，动火作业区域与其他区域必须进行有效防火隔离；必须配备相应的消防器材，保障消防用水；必须保障疏散通道、安全出口、消防车通道畅通；必须在现场设置警戒线或者安全</w:t>
      </w:r>
      <w:r>
        <w:rPr>
          <w:rFonts w:hint="eastAsia"/>
          <w:color w:val="auto"/>
          <w:highlight w:val="none"/>
          <w:lang w:val="en-US" w:eastAsia="zh-CN"/>
        </w:rPr>
        <w:t>警示标志</w:t>
      </w:r>
      <w:r>
        <w:rPr>
          <w:rFonts w:hint="eastAsia"/>
          <w:color w:val="auto"/>
          <w:highlight w:val="none"/>
        </w:rPr>
        <w:t>；必须避免与具有火灾、爆炸风险的作业产生交叉；必须安排专门人员进行现场全过程监护。</w:t>
      </w:r>
    </w:p>
    <w:p>
      <w:pPr>
        <w:pStyle w:val="166"/>
        <w:rPr>
          <w:color w:val="auto"/>
          <w:highlight w:val="none"/>
        </w:rPr>
      </w:pPr>
      <w:r>
        <w:rPr>
          <w:rFonts w:hint="eastAsia"/>
          <w:color w:val="auto"/>
          <w:highlight w:val="none"/>
        </w:rPr>
        <w:t>起重吊装作业</w:t>
      </w:r>
      <w:r>
        <w:rPr>
          <w:rFonts w:hint="eastAsia"/>
          <w:color w:val="auto"/>
          <w:highlight w:val="none"/>
          <w:lang w:eastAsia="zh-CN"/>
        </w:rPr>
        <w:t>，</w:t>
      </w:r>
      <w:r>
        <w:rPr>
          <w:rFonts w:hint="eastAsia"/>
          <w:color w:val="auto"/>
          <w:highlight w:val="none"/>
        </w:rPr>
        <w:t>应符合</w:t>
      </w:r>
      <w:r>
        <w:rPr>
          <w:rFonts w:hint="eastAsia"/>
          <w:color w:val="auto"/>
          <w:highlight w:val="none"/>
          <w:lang w:val="en-US" w:eastAsia="zh-CN"/>
        </w:rPr>
        <w:t>下列要求：</w:t>
      </w:r>
    </w:p>
    <w:p>
      <w:pPr>
        <w:pStyle w:val="176"/>
        <w:numPr>
          <w:ilvl w:val="0"/>
          <w:numId w:val="51"/>
        </w:numPr>
        <w:rPr>
          <w:highlight w:val="none"/>
        </w:rPr>
      </w:pPr>
      <w:r>
        <w:rPr>
          <w:rFonts w:hint="eastAsia"/>
          <w:highlight w:val="none"/>
        </w:rPr>
        <w:t>作业前，应对起重机械、吊具、索具、安全装置等进行检查；</w:t>
      </w:r>
    </w:p>
    <w:p>
      <w:pPr>
        <w:pStyle w:val="176"/>
        <w:numPr>
          <w:ilvl w:val="0"/>
          <w:numId w:val="51"/>
        </w:numPr>
        <w:rPr>
          <w:highlight w:val="none"/>
        </w:rPr>
      </w:pPr>
      <w:r>
        <w:rPr>
          <w:rFonts w:hint="eastAsia"/>
          <w:highlight w:val="none"/>
        </w:rPr>
        <w:t>作业前应设置警戒隔离措施，吊装过程中吊物及起重臂移动区域下方不应有人员停留或通过；</w:t>
      </w:r>
    </w:p>
    <w:p>
      <w:pPr>
        <w:pStyle w:val="176"/>
        <w:numPr>
          <w:ilvl w:val="0"/>
          <w:numId w:val="51"/>
        </w:numPr>
        <w:rPr>
          <w:highlight w:val="none"/>
        </w:rPr>
      </w:pPr>
      <w:r>
        <w:rPr>
          <w:rFonts w:hint="eastAsia"/>
          <w:highlight w:val="none"/>
        </w:rPr>
        <w:t>起重吊装作业应设专人现场指挥。指挥人员应采用旗语、口哨、对讲机等有效联络措施，并确保通信畅通；</w:t>
      </w:r>
    </w:p>
    <w:p>
      <w:pPr>
        <w:pStyle w:val="176"/>
        <w:numPr>
          <w:ilvl w:val="0"/>
          <w:numId w:val="51"/>
        </w:numPr>
        <w:rPr>
          <w:highlight w:val="none"/>
        </w:rPr>
      </w:pPr>
      <w:r>
        <w:rPr>
          <w:rFonts w:hint="eastAsia"/>
          <w:highlight w:val="none"/>
        </w:rPr>
        <w:t>起吊前应进行试吊。试吊中应检查全部机具、锚点的受力情况，发现问题应立即将吊物放回地面，排除故障后重新试吊，确认正常后方可正式吊装；</w:t>
      </w:r>
    </w:p>
    <w:p>
      <w:pPr>
        <w:pStyle w:val="176"/>
        <w:numPr>
          <w:ilvl w:val="0"/>
          <w:numId w:val="51"/>
        </w:numPr>
        <w:rPr>
          <w:highlight w:val="none"/>
        </w:rPr>
      </w:pPr>
      <w:r>
        <w:rPr>
          <w:rFonts w:hint="eastAsia"/>
          <w:highlight w:val="none"/>
        </w:rPr>
        <w:t>两台起重机同时吊装一件重物时，重物的质量不应超过两机在各动臂的仰角下起升质量总和的75%。同时应注意负荷的分配，每台起重机分配的负荷不应超过该机允许载荷的80%，并使升降速度保持一致；</w:t>
      </w:r>
    </w:p>
    <w:p>
      <w:pPr>
        <w:pStyle w:val="176"/>
        <w:numPr>
          <w:ilvl w:val="0"/>
          <w:numId w:val="51"/>
        </w:numPr>
        <w:rPr>
          <w:highlight w:val="none"/>
        </w:rPr>
      </w:pPr>
      <w:r>
        <w:rPr>
          <w:rFonts w:hint="eastAsia"/>
          <w:highlight w:val="none"/>
          <w:lang w:val="en-US" w:eastAsia="zh-CN"/>
        </w:rPr>
        <w:t>不应</w:t>
      </w:r>
      <w:r>
        <w:rPr>
          <w:rFonts w:hint="eastAsia"/>
          <w:highlight w:val="none"/>
        </w:rPr>
        <w:t>将起吊重物长时间悬挂在空中。</w:t>
      </w:r>
    </w:p>
    <w:p>
      <w:pPr>
        <w:pStyle w:val="166"/>
        <w:rPr>
          <w:highlight w:val="none"/>
        </w:rPr>
      </w:pPr>
      <w:r>
        <w:rPr>
          <w:rFonts w:hint="eastAsia"/>
          <w:highlight w:val="none"/>
        </w:rPr>
        <w:t>高处作业，应符合以下要求：</w:t>
      </w:r>
    </w:p>
    <w:p>
      <w:pPr>
        <w:pStyle w:val="176"/>
        <w:numPr>
          <w:ilvl w:val="0"/>
          <w:numId w:val="52"/>
        </w:numPr>
        <w:rPr>
          <w:highlight w:val="none"/>
        </w:rPr>
      </w:pPr>
      <w:r>
        <w:rPr>
          <w:rFonts w:hint="eastAsia"/>
          <w:highlight w:val="none"/>
        </w:rPr>
        <w:t>施工作业现场所有可能坠落的物料，应及时拆除或采取固定措施。高处作业所用的物料应堆放平稳，不应妨碍通行和装卸；</w:t>
      </w:r>
    </w:p>
    <w:p>
      <w:pPr>
        <w:pStyle w:val="176"/>
        <w:numPr>
          <w:ilvl w:val="0"/>
          <w:numId w:val="52"/>
        </w:numPr>
        <w:rPr>
          <w:highlight w:val="none"/>
        </w:rPr>
      </w:pPr>
      <w:r>
        <w:rPr>
          <w:rFonts w:hint="eastAsia"/>
          <w:highlight w:val="none"/>
        </w:rPr>
        <w:t>工具应随手</w:t>
      </w:r>
      <w:r>
        <w:rPr>
          <w:rFonts w:hint="eastAsia"/>
          <w:highlight w:val="none"/>
          <w:lang w:eastAsia="zh-CN"/>
        </w:rPr>
        <w:t>放入</w:t>
      </w:r>
      <w:r>
        <w:rPr>
          <w:rFonts w:hint="eastAsia"/>
          <w:highlight w:val="none"/>
        </w:rPr>
        <w:t>工具袋，作业中的走道、通道板和登高用具，应随时清理干净，拆卸下的物料及余料和废料应及时清理运走，不</w:t>
      </w:r>
      <w:r>
        <w:rPr>
          <w:rFonts w:hint="eastAsia"/>
          <w:highlight w:val="none"/>
          <w:lang w:val="en-US" w:eastAsia="zh-CN"/>
        </w:rPr>
        <w:t>应</w:t>
      </w:r>
      <w:r>
        <w:rPr>
          <w:rFonts w:hint="eastAsia"/>
          <w:highlight w:val="none"/>
        </w:rPr>
        <w:t>随意放置或向下丢弃。传递物料时不</w:t>
      </w:r>
      <w:r>
        <w:rPr>
          <w:rFonts w:hint="eastAsia"/>
          <w:highlight w:val="none"/>
          <w:lang w:val="en-US" w:eastAsia="zh-CN"/>
        </w:rPr>
        <w:t>应</w:t>
      </w:r>
      <w:r>
        <w:rPr>
          <w:rFonts w:hint="eastAsia"/>
          <w:highlight w:val="none"/>
        </w:rPr>
        <w:t>抛掷；</w:t>
      </w:r>
    </w:p>
    <w:p>
      <w:pPr>
        <w:pStyle w:val="176"/>
        <w:numPr>
          <w:ilvl w:val="0"/>
          <w:numId w:val="52"/>
        </w:numPr>
        <w:rPr>
          <w:highlight w:val="none"/>
        </w:rPr>
      </w:pPr>
      <w:r>
        <w:rPr>
          <w:rFonts w:hint="eastAsia"/>
          <w:highlight w:val="none"/>
        </w:rPr>
        <w:t>高处作业拆卸下的物料、余料和废料应及时清理运走，不应随意放置或向下丢弃；</w:t>
      </w:r>
    </w:p>
    <w:p>
      <w:pPr>
        <w:pStyle w:val="176"/>
        <w:numPr>
          <w:ilvl w:val="0"/>
          <w:numId w:val="52"/>
        </w:numPr>
        <w:rPr>
          <w:highlight w:val="none"/>
        </w:rPr>
      </w:pPr>
      <w:r>
        <w:rPr>
          <w:rFonts w:hint="eastAsia"/>
          <w:highlight w:val="none"/>
        </w:rPr>
        <w:t>雨天、雪天高处作业，应采取可靠的防滑、防寒和防冻措施；遇有5级及以上大风或恶劣气候时，应停止露天高处作业。</w:t>
      </w:r>
    </w:p>
    <w:p>
      <w:pPr>
        <w:pStyle w:val="166"/>
        <w:keepNext w:val="0"/>
        <w:keepLines w:val="0"/>
        <w:pageBreakBefore w:val="0"/>
        <w:widowControl/>
        <w:kinsoku/>
        <w:wordWrap w:val="0"/>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涉水作业应符合DB11/T 2274的规定。</w:t>
      </w:r>
    </w:p>
    <w:p>
      <w:pPr>
        <w:pStyle w:val="166"/>
        <w:rPr>
          <w:highlight w:val="none"/>
        </w:rPr>
      </w:pPr>
      <w:r>
        <w:rPr>
          <w:rFonts w:hint="eastAsia"/>
          <w:highlight w:val="none"/>
        </w:rPr>
        <w:t>临近带电体作业，应符合以下要求：</w:t>
      </w:r>
    </w:p>
    <w:p>
      <w:pPr>
        <w:pStyle w:val="176"/>
        <w:numPr>
          <w:ilvl w:val="0"/>
          <w:numId w:val="53"/>
        </w:numPr>
        <w:rPr>
          <w:highlight w:val="none"/>
        </w:rPr>
      </w:pPr>
      <w:r>
        <w:rPr>
          <w:rFonts w:hint="eastAsia"/>
          <w:highlight w:val="none"/>
        </w:rPr>
        <w:t>作业前，应对作业现场周边环境、作业部位进行勘察，确认带电体及其电压等级，明确最小安全距离；</w:t>
      </w:r>
    </w:p>
    <w:p>
      <w:pPr>
        <w:pStyle w:val="176"/>
        <w:keepNext w:val="0"/>
        <w:keepLines w:val="0"/>
        <w:pageBreakBefore w:val="0"/>
        <w:widowControl/>
        <w:numPr>
          <w:ilvl w:val="0"/>
          <w:numId w:val="53"/>
        </w:numPr>
        <w:kinsoku/>
        <w:wordWrap w:val="0"/>
        <w:overflowPunct/>
        <w:topLinePunct w:val="0"/>
        <w:autoSpaceDE/>
        <w:autoSpaceDN/>
        <w:bidi w:val="0"/>
        <w:adjustRightInd/>
        <w:snapToGrid/>
        <w:ind w:left="850" w:hanging="425"/>
        <w:textAlignment w:val="auto"/>
        <w:rPr>
          <w:highlight w:val="none"/>
        </w:rPr>
      </w:pPr>
      <w:r>
        <w:rPr>
          <w:rFonts w:hint="eastAsia"/>
          <w:highlight w:val="none"/>
        </w:rPr>
        <w:t>作业时在建工程（含脚手架）、机动车道、作业机械和起重机械（含被吊物）与输电线路的安全距</w:t>
      </w:r>
      <w:r>
        <w:rPr>
          <w:rFonts w:hint="eastAsia"/>
          <w:color w:val="auto"/>
          <w:highlight w:val="none"/>
        </w:rPr>
        <w:t>离应符合SL</w:t>
      </w:r>
      <w:r>
        <w:rPr>
          <w:rFonts w:hint="eastAsia"/>
          <w:color w:val="auto"/>
          <w:highlight w:val="none"/>
          <w:lang w:val="en-US" w:eastAsia="zh-CN"/>
        </w:rPr>
        <w:t xml:space="preserve"> </w:t>
      </w:r>
      <w:r>
        <w:rPr>
          <w:rFonts w:hint="eastAsia"/>
          <w:color w:val="auto"/>
          <w:highlight w:val="none"/>
        </w:rPr>
        <w:t>398的</w:t>
      </w:r>
      <w:r>
        <w:rPr>
          <w:rFonts w:hint="eastAsia"/>
          <w:color w:val="auto"/>
          <w:highlight w:val="none"/>
          <w:lang w:val="en-US" w:eastAsia="zh-CN"/>
        </w:rPr>
        <w:t>规定</w:t>
      </w:r>
      <w:r>
        <w:rPr>
          <w:rFonts w:hint="eastAsia"/>
          <w:highlight w:val="none"/>
        </w:rPr>
        <w:t>；</w:t>
      </w:r>
    </w:p>
    <w:p>
      <w:pPr>
        <w:pStyle w:val="176"/>
        <w:numPr>
          <w:ilvl w:val="0"/>
          <w:numId w:val="53"/>
        </w:numPr>
        <w:rPr>
          <w:highlight w:val="none"/>
        </w:rPr>
      </w:pPr>
      <w:r>
        <w:rPr>
          <w:rFonts w:hint="eastAsia"/>
          <w:highlight w:val="none"/>
        </w:rPr>
        <w:t>作业时与带电体的安全距离不满足最小安全距离时，应采取防护措施，增设屏障、遮栏、围栏或保护网，并悬挂醒目的</w:t>
      </w:r>
      <w:r>
        <w:rPr>
          <w:rFonts w:hint="eastAsia"/>
          <w:highlight w:val="none"/>
          <w:lang w:val="en-US" w:eastAsia="zh-CN"/>
        </w:rPr>
        <w:t>安全</w:t>
      </w:r>
      <w:r>
        <w:rPr>
          <w:rFonts w:hint="eastAsia"/>
          <w:highlight w:val="none"/>
        </w:rPr>
        <w:t>警示标志；</w:t>
      </w:r>
    </w:p>
    <w:p>
      <w:pPr>
        <w:pStyle w:val="176"/>
        <w:numPr>
          <w:ilvl w:val="0"/>
          <w:numId w:val="53"/>
        </w:numPr>
        <w:rPr>
          <w:highlight w:val="none"/>
        </w:rPr>
      </w:pPr>
      <w:r>
        <w:rPr>
          <w:rFonts w:hint="eastAsia"/>
          <w:highlight w:val="none"/>
        </w:rPr>
        <w:t>当防护措施无法实现时，应向相关产权单位或管理部门申请，采取停电、迁移线路或更改工程位置后方可施工。</w:t>
      </w:r>
    </w:p>
    <w:p>
      <w:pPr>
        <w:pStyle w:val="166"/>
        <w:keepNext w:val="0"/>
        <w:keepLines w:val="0"/>
        <w:pageBreakBefore w:val="0"/>
        <w:widowControl/>
        <w:kinsoku/>
        <w:wordWrap w:val="0"/>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拆除作业应符合DB11/T 2274的规定。</w:t>
      </w:r>
    </w:p>
    <w:p>
      <w:pPr>
        <w:pStyle w:val="166"/>
        <w:rPr>
          <w:highlight w:val="none"/>
        </w:rPr>
      </w:pPr>
      <w:r>
        <w:rPr>
          <w:rFonts w:hint="eastAsia"/>
          <w:highlight w:val="none"/>
        </w:rPr>
        <w:t>爆破作业，应符合下列要求：</w:t>
      </w:r>
    </w:p>
    <w:p>
      <w:pPr>
        <w:pStyle w:val="176"/>
        <w:keepNext w:val="0"/>
        <w:keepLines w:val="0"/>
        <w:pageBreakBefore w:val="0"/>
        <w:widowControl/>
        <w:numPr>
          <w:ilvl w:val="0"/>
          <w:numId w:val="54"/>
        </w:numPr>
        <w:kinsoku/>
        <w:wordWrap w:val="0"/>
        <w:overflowPunct/>
        <w:topLinePunct w:val="0"/>
        <w:autoSpaceDE/>
        <w:autoSpaceDN/>
        <w:bidi w:val="0"/>
        <w:adjustRightInd/>
        <w:snapToGrid/>
        <w:ind w:left="850" w:hanging="425"/>
        <w:textAlignment w:val="auto"/>
        <w:rPr>
          <w:highlight w:val="none"/>
        </w:rPr>
      </w:pPr>
      <w:r>
        <w:rPr>
          <w:rFonts w:hint="eastAsia"/>
          <w:highlight w:val="none"/>
        </w:rPr>
        <w:t>爆破作业和爆破器材的采购、运输、贮存、加工和销毁应按照GB</w:t>
      </w:r>
      <w:r>
        <w:rPr>
          <w:rFonts w:hint="eastAsia"/>
          <w:highlight w:val="none"/>
          <w:lang w:val="en-US" w:eastAsia="zh-CN"/>
        </w:rPr>
        <w:t xml:space="preserve"> </w:t>
      </w:r>
      <w:r>
        <w:rPr>
          <w:rFonts w:hint="eastAsia"/>
          <w:highlight w:val="none"/>
        </w:rPr>
        <w:t>6722执行；</w:t>
      </w:r>
    </w:p>
    <w:p>
      <w:pPr>
        <w:pStyle w:val="176"/>
        <w:numPr>
          <w:ilvl w:val="0"/>
          <w:numId w:val="54"/>
        </w:numPr>
        <w:rPr>
          <w:highlight w:val="none"/>
        </w:rPr>
      </w:pPr>
      <w:r>
        <w:rPr>
          <w:rFonts w:hint="eastAsia"/>
          <w:highlight w:val="none"/>
        </w:rPr>
        <w:t>采用新的爆破器材和爆破技术应经过试验，并制定相应的安全规定；</w:t>
      </w:r>
    </w:p>
    <w:p>
      <w:pPr>
        <w:pStyle w:val="176"/>
        <w:numPr>
          <w:ilvl w:val="0"/>
          <w:numId w:val="54"/>
        </w:numPr>
        <w:rPr>
          <w:highlight w:val="none"/>
        </w:rPr>
      </w:pPr>
      <w:r>
        <w:rPr>
          <w:rFonts w:hint="eastAsia"/>
          <w:highlight w:val="none"/>
        </w:rPr>
        <w:t>从事爆破工作的单位，应建立严格的爆破器材领发、清退制度、工作人员的岗位责任制、培训制度以及重大爆破技术措施的审批制度；</w:t>
      </w:r>
    </w:p>
    <w:p>
      <w:pPr>
        <w:pStyle w:val="176"/>
        <w:numPr>
          <w:ilvl w:val="0"/>
          <w:numId w:val="54"/>
        </w:numPr>
        <w:rPr>
          <w:highlight w:val="none"/>
        </w:rPr>
      </w:pPr>
      <w:r>
        <w:rPr>
          <w:rFonts w:hint="eastAsia"/>
          <w:highlight w:val="none"/>
        </w:rPr>
        <w:t>爆破器材应储存于专用仓库内</w:t>
      </w:r>
      <w:r>
        <w:rPr>
          <w:rFonts w:hint="eastAsia"/>
          <w:highlight w:val="none"/>
          <w:lang w:eastAsia="zh-CN"/>
        </w:rPr>
        <w:t>；</w:t>
      </w:r>
    </w:p>
    <w:p>
      <w:pPr>
        <w:pStyle w:val="176"/>
        <w:numPr>
          <w:ilvl w:val="0"/>
          <w:numId w:val="54"/>
        </w:numPr>
        <w:rPr>
          <w:highlight w:val="none"/>
        </w:rPr>
      </w:pPr>
      <w:r>
        <w:rPr>
          <w:rFonts w:hint="eastAsia"/>
          <w:highlight w:val="none"/>
        </w:rPr>
        <w:t>工程施工爆破作业周围300m危险区域内不</w:t>
      </w:r>
      <w:r>
        <w:rPr>
          <w:rFonts w:hint="eastAsia"/>
          <w:highlight w:val="none"/>
          <w:lang w:val="en-US" w:eastAsia="zh-CN"/>
        </w:rPr>
        <w:t>应</w:t>
      </w:r>
      <w:r>
        <w:rPr>
          <w:rFonts w:hint="eastAsia"/>
          <w:highlight w:val="none"/>
        </w:rPr>
        <w:t>有非施工生产设施。对危险区域内的生产设施设备应采取有效的防护措施；</w:t>
      </w:r>
    </w:p>
    <w:p>
      <w:pPr>
        <w:pStyle w:val="176"/>
        <w:numPr>
          <w:ilvl w:val="0"/>
          <w:numId w:val="54"/>
        </w:numPr>
        <w:rPr>
          <w:highlight w:val="none"/>
        </w:rPr>
      </w:pPr>
      <w:r>
        <w:rPr>
          <w:rFonts w:hint="eastAsia"/>
          <w:highlight w:val="none"/>
        </w:rPr>
        <w:t>区域内设有有效的音响和视觉警示装置，使危险区内人员都能清楚地听到和看到警示信号；</w:t>
      </w:r>
    </w:p>
    <w:p>
      <w:pPr>
        <w:pStyle w:val="176"/>
        <w:numPr>
          <w:ilvl w:val="0"/>
          <w:numId w:val="54"/>
        </w:numPr>
        <w:rPr>
          <w:highlight w:val="none"/>
        </w:rPr>
      </w:pPr>
      <w:r>
        <w:rPr>
          <w:rFonts w:hint="eastAsia"/>
          <w:highlight w:val="none"/>
        </w:rPr>
        <w:t>爆破作业应由爆破负责人统一指挥、统一信号。</w:t>
      </w:r>
    </w:p>
    <w:p>
      <w:pPr>
        <w:pStyle w:val="67"/>
        <w:spacing w:before="156" w:after="156"/>
        <w:rPr>
          <w:highlight w:val="none"/>
        </w:rPr>
      </w:pPr>
      <w:bookmarkStart w:id="161" w:name="_Toc207877356"/>
      <w:bookmarkStart w:id="162" w:name="_Toc208403429"/>
      <w:r>
        <w:rPr>
          <w:rFonts w:hint="eastAsia"/>
          <w:highlight w:val="none"/>
        </w:rPr>
        <w:t>用电</w:t>
      </w:r>
      <w:bookmarkEnd w:id="161"/>
      <w:bookmarkEnd w:id="162"/>
    </w:p>
    <w:p>
      <w:pPr>
        <w:pStyle w:val="96"/>
        <w:spacing w:before="156" w:after="156"/>
        <w:rPr>
          <w:highlight w:val="none"/>
        </w:rPr>
      </w:pPr>
      <w:bookmarkStart w:id="163" w:name="_Toc207877357"/>
      <w:r>
        <w:rPr>
          <w:rFonts w:hint="eastAsia"/>
          <w:highlight w:val="none"/>
        </w:rPr>
        <w:t>一般要求</w:t>
      </w:r>
      <w:bookmarkEnd w:id="163"/>
    </w:p>
    <w:p>
      <w:pPr>
        <w:pStyle w:val="169"/>
        <w:rPr>
          <w:highlight w:val="none"/>
        </w:rPr>
      </w:pPr>
      <w:r>
        <w:rPr>
          <w:rFonts w:hint="eastAsia"/>
          <w:highlight w:val="none"/>
        </w:rPr>
        <w:t>施工现场临时用电设备在5台及以上或设备总容量在50</w:t>
      </w:r>
      <w:r>
        <w:rPr>
          <w:rFonts w:hint="eastAsia"/>
          <w:highlight w:val="none"/>
          <w:lang w:eastAsia="zh-CN"/>
        </w:rPr>
        <w:t>kW</w:t>
      </w:r>
      <w:r>
        <w:rPr>
          <w:rFonts w:hint="eastAsia"/>
          <w:highlight w:val="none"/>
        </w:rPr>
        <w:t>及以上者，应编制临时用电工程组织设计；临时用电工程组织设计编制及变更时，应履行“编制、审核、审批”程序；临时用电设备在5台以下或设备总容量在50</w:t>
      </w:r>
      <w:r>
        <w:rPr>
          <w:rFonts w:hint="eastAsia"/>
          <w:highlight w:val="none"/>
          <w:lang w:eastAsia="zh-CN"/>
        </w:rPr>
        <w:t>kW</w:t>
      </w:r>
      <w:r>
        <w:rPr>
          <w:rFonts w:hint="eastAsia"/>
          <w:highlight w:val="none"/>
        </w:rPr>
        <w:t>以下的，应制定安全用电和电气防火措施。</w:t>
      </w:r>
    </w:p>
    <w:p>
      <w:pPr>
        <w:pStyle w:val="169"/>
        <w:rPr>
          <w:highlight w:val="none"/>
        </w:rPr>
      </w:pPr>
      <w:r>
        <w:rPr>
          <w:rFonts w:hint="eastAsia"/>
          <w:highlight w:val="none"/>
        </w:rPr>
        <w:t>临时用电工程应定期复查接地电阻、绝缘电阻等，并进行剩余电流动作保护器的剩余电流动作参数测定。</w:t>
      </w:r>
    </w:p>
    <w:p>
      <w:pPr>
        <w:pStyle w:val="169"/>
        <w:keepNext w:val="0"/>
        <w:keepLines w:val="0"/>
        <w:pageBreakBefore w:val="0"/>
        <w:widowControl w:val="0"/>
        <w:kinsoku/>
        <w:wordWrap w:val="0"/>
        <w:overflowPunct/>
        <w:topLinePunct w:val="0"/>
        <w:autoSpaceDE/>
        <w:autoSpaceDN/>
        <w:bidi w:val="0"/>
        <w:adjustRightInd/>
        <w:snapToGrid/>
        <w:textAlignment w:val="auto"/>
        <w:rPr>
          <w:rFonts w:hint="eastAsia" w:ascii="宋体" w:hAnsi="Times New Roman" w:eastAsia="宋体" w:cs="Times New Roman"/>
          <w:color w:val="auto"/>
          <w:sz w:val="21"/>
          <w:szCs w:val="20"/>
          <w:highlight w:val="none"/>
          <w:lang w:val="en-US" w:eastAsia="zh-CN" w:bidi="ar-SA"/>
        </w:rPr>
      </w:pPr>
      <w:r>
        <w:rPr>
          <w:rFonts w:hint="eastAsia" w:ascii="宋体" w:hAnsi="Times New Roman" w:eastAsia="宋体" w:cs="Times New Roman"/>
          <w:color w:val="auto"/>
          <w:sz w:val="21"/>
          <w:szCs w:val="20"/>
          <w:highlight w:val="none"/>
          <w:lang w:val="en-US" w:eastAsia="zh-CN" w:bidi="ar-SA"/>
        </w:rPr>
        <w:t>施工现场临时用电工程应建立安全技术档案，档案应符合JGJ/T</w:t>
      </w:r>
      <w:r>
        <w:rPr>
          <w:rFonts w:hint="eastAsia" w:hAnsi="Times New Roman" w:cs="Times New Roman"/>
          <w:color w:val="auto"/>
          <w:sz w:val="21"/>
          <w:szCs w:val="20"/>
          <w:highlight w:val="none"/>
          <w:lang w:val="en-US" w:eastAsia="zh-CN" w:bidi="ar-SA"/>
        </w:rPr>
        <w:t xml:space="preserve"> </w:t>
      </w:r>
      <w:r>
        <w:rPr>
          <w:rFonts w:hint="eastAsia" w:ascii="宋体" w:hAnsi="Times New Roman" w:eastAsia="宋体" w:cs="Times New Roman"/>
          <w:color w:val="auto"/>
          <w:sz w:val="21"/>
          <w:szCs w:val="20"/>
          <w:highlight w:val="none"/>
          <w:lang w:val="en-US" w:eastAsia="zh-CN" w:bidi="ar-SA"/>
        </w:rPr>
        <w:t>46的规定。</w:t>
      </w:r>
    </w:p>
    <w:p>
      <w:pPr>
        <w:pStyle w:val="96"/>
        <w:spacing w:before="156" w:after="156"/>
        <w:rPr>
          <w:highlight w:val="none"/>
        </w:rPr>
      </w:pPr>
      <w:bookmarkStart w:id="164" w:name="_Toc207877358"/>
      <w:r>
        <w:rPr>
          <w:rFonts w:hint="eastAsia"/>
          <w:highlight w:val="none"/>
        </w:rPr>
        <w:t>用电设备设施</w:t>
      </w:r>
      <w:bookmarkEnd w:id="164"/>
    </w:p>
    <w:p>
      <w:pPr>
        <w:pStyle w:val="58"/>
        <w:keepNext w:val="0"/>
        <w:keepLines w:val="0"/>
        <w:pageBreakBefore w:val="0"/>
        <w:widowControl/>
        <w:kinsoku/>
        <w:wordWrap w:val="0"/>
        <w:overflowPunct/>
        <w:topLinePunct w:val="0"/>
        <w:autoSpaceDE/>
        <w:autoSpaceDN/>
        <w:bidi w:val="0"/>
        <w:adjustRightInd/>
        <w:snapToGrid/>
        <w:ind w:firstLine="420"/>
        <w:textAlignment w:val="auto"/>
        <w:rPr>
          <w:highlight w:val="none"/>
        </w:rPr>
      </w:pPr>
      <w:r>
        <w:rPr>
          <w:rFonts w:hint="eastAsia"/>
          <w:highlight w:val="none"/>
        </w:rPr>
        <w:t>现场用电设备设施配置应符合SL</w:t>
      </w:r>
      <w:r>
        <w:rPr>
          <w:rFonts w:hint="eastAsia"/>
          <w:highlight w:val="none"/>
          <w:lang w:val="en-US" w:eastAsia="zh-CN"/>
        </w:rPr>
        <w:t xml:space="preserve"> </w:t>
      </w:r>
      <w:r>
        <w:rPr>
          <w:rFonts w:hint="eastAsia"/>
          <w:highlight w:val="none"/>
        </w:rPr>
        <w:t>714的</w:t>
      </w:r>
      <w:r>
        <w:rPr>
          <w:rFonts w:hint="eastAsia"/>
          <w:highlight w:val="none"/>
          <w:lang w:val="en-US" w:eastAsia="zh-CN"/>
        </w:rPr>
        <w:t>规定</w:t>
      </w:r>
      <w:r>
        <w:rPr>
          <w:rFonts w:hint="eastAsia"/>
          <w:highlight w:val="none"/>
        </w:rPr>
        <w:t>。</w:t>
      </w:r>
    </w:p>
    <w:p>
      <w:pPr>
        <w:pStyle w:val="67"/>
        <w:spacing w:before="156" w:after="156"/>
        <w:rPr>
          <w:highlight w:val="none"/>
        </w:rPr>
      </w:pPr>
      <w:bookmarkStart w:id="165" w:name="_Toc207877359"/>
      <w:bookmarkStart w:id="166" w:name="_Toc208403430"/>
      <w:r>
        <w:rPr>
          <w:rFonts w:hint="eastAsia"/>
          <w:highlight w:val="none"/>
        </w:rPr>
        <w:t>危险化学品</w:t>
      </w:r>
      <w:bookmarkEnd w:id="165"/>
      <w:bookmarkEnd w:id="166"/>
      <w:r>
        <w:rPr>
          <w:rFonts w:hint="eastAsia"/>
          <w:highlight w:val="none"/>
          <w:lang w:eastAsia="zh-CN"/>
        </w:rPr>
        <w:t>（</w:t>
      </w:r>
      <w:r>
        <w:rPr>
          <w:rFonts w:hint="eastAsia"/>
          <w:highlight w:val="none"/>
          <w:lang w:val="en-US" w:eastAsia="zh-CN"/>
        </w:rPr>
        <w:t>危险物品）</w:t>
      </w:r>
    </w:p>
    <w:p>
      <w:pPr>
        <w:pStyle w:val="166"/>
        <w:rPr>
          <w:highlight w:val="none"/>
        </w:rPr>
      </w:pPr>
      <w:r>
        <w:rPr>
          <w:rFonts w:hint="eastAsia"/>
          <w:highlight w:val="none"/>
        </w:rPr>
        <w:t>企业应采购有危险化学品安全生产许可或经营许可资质单位的危险化学品，不应使用国家禁止使用的危险化学品。</w:t>
      </w:r>
    </w:p>
    <w:p>
      <w:pPr>
        <w:pStyle w:val="166"/>
        <w:rPr>
          <w:rFonts w:hint="eastAsia"/>
          <w:highlight w:val="none"/>
          <w:lang w:eastAsia="zh-CN"/>
        </w:rPr>
      </w:pPr>
      <w:r>
        <w:rPr>
          <w:rFonts w:hint="eastAsia"/>
          <w:highlight w:val="none"/>
          <w:lang w:val="en-US" w:eastAsia="zh-CN"/>
        </w:rPr>
        <w:t>危险化学品</w:t>
      </w:r>
      <w:r>
        <w:rPr>
          <w:rFonts w:hint="eastAsia"/>
          <w:highlight w:val="none"/>
          <w:lang w:eastAsia="zh-CN"/>
        </w:rPr>
        <w:t>应分类贮存在专门地点，不应与其他物品混合贮存。互相接触容易引起燃烧、</w:t>
      </w:r>
      <w:r>
        <w:rPr>
          <w:rFonts w:hint="eastAsia"/>
          <w:highlight w:val="none"/>
          <w:lang w:val="en-US" w:eastAsia="zh-CN"/>
        </w:rPr>
        <w:t>爆</w:t>
      </w:r>
    </w:p>
    <w:p>
      <w:pPr>
        <w:pStyle w:val="166"/>
        <w:numPr>
          <w:ilvl w:val="4"/>
          <w:numId w:val="0"/>
        </w:numPr>
        <w:ind w:leftChars="0"/>
        <w:rPr>
          <w:highlight w:val="none"/>
        </w:rPr>
      </w:pPr>
      <w:r>
        <w:rPr>
          <w:rFonts w:hint="eastAsia"/>
          <w:highlight w:val="none"/>
          <w:lang w:eastAsia="zh-CN"/>
        </w:rPr>
        <w:t>炸的物品及灭火方法不同的物品，应隔离存放。</w:t>
      </w:r>
    </w:p>
    <w:p>
      <w:pPr>
        <w:pStyle w:val="166"/>
        <w:rPr>
          <w:highlight w:val="none"/>
        </w:rPr>
      </w:pPr>
      <w:r>
        <w:rPr>
          <w:rFonts w:hint="eastAsia"/>
          <w:highlight w:val="none"/>
        </w:rPr>
        <w:t>氧气、乙炔、油品等</w:t>
      </w:r>
      <w:r>
        <w:rPr>
          <w:rFonts w:hint="eastAsia"/>
          <w:highlight w:val="none"/>
          <w:lang w:val="en-US" w:eastAsia="zh-CN"/>
        </w:rPr>
        <w:t>危险化学品储存间</w:t>
      </w:r>
      <w:r>
        <w:rPr>
          <w:rFonts w:hint="eastAsia"/>
          <w:highlight w:val="none"/>
        </w:rPr>
        <w:t>屋面采用轻型结构，并设置气窗及底窗，门、窗向外开启；有避雷及防静电接地设施，并选用防爆电器。</w:t>
      </w:r>
    </w:p>
    <w:p>
      <w:pPr>
        <w:pStyle w:val="166"/>
        <w:rPr>
          <w:highlight w:val="none"/>
        </w:rPr>
      </w:pPr>
      <w:r>
        <w:rPr>
          <w:rFonts w:hint="eastAsia"/>
          <w:highlight w:val="none"/>
        </w:rPr>
        <w:t>使用危险化学品的作业场所和岗位应设置明显的安全警示标志并配备消防器材。</w:t>
      </w:r>
    </w:p>
    <w:p>
      <w:pPr>
        <w:pStyle w:val="166"/>
        <w:rPr>
          <w:highlight w:val="none"/>
        </w:rPr>
      </w:pPr>
      <w:r>
        <w:rPr>
          <w:rFonts w:hint="eastAsia"/>
          <w:highlight w:val="none"/>
        </w:rPr>
        <w:t>储装氧气、乙炔等气体的罐瓶及其附件应合格、完好和有效。</w:t>
      </w:r>
      <w:r>
        <w:rPr>
          <w:rFonts w:hint="eastAsia"/>
          <w:highlight w:val="none"/>
          <w:lang w:eastAsia="zh-CN"/>
        </w:rPr>
        <w:t>不应</w:t>
      </w:r>
      <w:r>
        <w:rPr>
          <w:rFonts w:hint="eastAsia"/>
          <w:highlight w:val="none"/>
        </w:rPr>
        <w:t>使用减压器及其他附件缺损的氧气瓶，</w:t>
      </w:r>
      <w:r>
        <w:rPr>
          <w:rFonts w:hint="eastAsia"/>
          <w:highlight w:val="none"/>
          <w:lang w:eastAsia="zh-CN"/>
        </w:rPr>
        <w:t>不应</w:t>
      </w:r>
      <w:r>
        <w:rPr>
          <w:rFonts w:hint="eastAsia"/>
          <w:highlight w:val="none"/>
        </w:rPr>
        <w:t>使用乙炔专用减压器、回火防止器及其他附件缺损的乙炔瓶。</w:t>
      </w:r>
    </w:p>
    <w:p>
      <w:pPr>
        <w:pStyle w:val="166"/>
        <w:rPr>
          <w:highlight w:val="none"/>
        </w:rPr>
      </w:pPr>
      <w:r>
        <w:rPr>
          <w:rFonts w:hint="eastAsia"/>
          <w:highlight w:val="none"/>
        </w:rPr>
        <w:t>氧气瓶、乙炔瓶应放置在通风良好、干燥、不受日光暴晒和没有腐蚀介质的场所，不应靠近热源和电气设备存放、使用；使用过程中，乙炔瓶不应卧放，与氧气瓶的距离应不小于5m，二者与明火点间距应不小于10m。</w:t>
      </w:r>
    </w:p>
    <w:p>
      <w:pPr>
        <w:pStyle w:val="166"/>
        <w:rPr>
          <w:highlight w:val="none"/>
        </w:rPr>
      </w:pPr>
      <w:r>
        <w:rPr>
          <w:rFonts w:hint="eastAsia"/>
          <w:highlight w:val="none"/>
        </w:rPr>
        <w:t>宿舍、办公室、休息室内不应存放</w:t>
      </w:r>
      <w:r>
        <w:rPr>
          <w:rFonts w:hint="eastAsia"/>
          <w:highlight w:val="none"/>
          <w:lang w:val="en-US" w:eastAsia="zh-CN"/>
        </w:rPr>
        <w:t>危险化学品</w:t>
      </w:r>
      <w:r>
        <w:rPr>
          <w:rFonts w:hint="eastAsia"/>
          <w:highlight w:val="none"/>
        </w:rPr>
        <w:t>。</w:t>
      </w:r>
    </w:p>
    <w:p>
      <w:pPr>
        <w:pStyle w:val="67"/>
        <w:spacing w:before="156" w:after="156"/>
        <w:rPr>
          <w:highlight w:val="none"/>
        </w:rPr>
      </w:pPr>
      <w:bookmarkStart w:id="167" w:name="_Toc208403431"/>
      <w:bookmarkStart w:id="168" w:name="_Toc207877362"/>
      <w:r>
        <w:rPr>
          <w:rFonts w:hint="eastAsia"/>
          <w:highlight w:val="none"/>
        </w:rPr>
        <w:t>相关方管理</w:t>
      </w:r>
      <w:bookmarkEnd w:id="167"/>
      <w:bookmarkEnd w:id="168"/>
    </w:p>
    <w:p>
      <w:pPr>
        <w:pStyle w:val="166"/>
        <w:rPr>
          <w:highlight w:val="none"/>
        </w:rPr>
      </w:pPr>
      <w:r>
        <w:rPr>
          <w:rFonts w:hint="eastAsia"/>
          <w:highlight w:val="none"/>
        </w:rPr>
        <w:t>企业应对承包商、供应商</w:t>
      </w:r>
      <w:r>
        <w:rPr>
          <w:rFonts w:hint="eastAsia"/>
          <w:highlight w:val="none"/>
          <w:lang w:eastAsia="zh-CN"/>
        </w:rPr>
        <w:t>、</w:t>
      </w:r>
      <w:r>
        <w:rPr>
          <w:rFonts w:hint="eastAsia"/>
          <w:highlight w:val="none"/>
          <w:lang w:val="en-US" w:eastAsia="zh-CN"/>
        </w:rPr>
        <w:t>设备租赁商</w:t>
      </w:r>
      <w:r>
        <w:rPr>
          <w:rFonts w:hint="eastAsia"/>
          <w:highlight w:val="none"/>
        </w:rPr>
        <w:t>的选择、准入、续用进行规范管理，审查其资质、安全业绩、人员资格等，并建立合格承包商、供应商</w:t>
      </w:r>
      <w:r>
        <w:rPr>
          <w:rFonts w:hint="eastAsia"/>
          <w:highlight w:val="none"/>
          <w:lang w:eastAsia="zh-CN"/>
        </w:rPr>
        <w:t>、</w:t>
      </w:r>
      <w:r>
        <w:rPr>
          <w:rFonts w:hint="eastAsia"/>
          <w:highlight w:val="none"/>
          <w:lang w:val="en-US" w:eastAsia="zh-CN"/>
        </w:rPr>
        <w:t>设备租赁商</w:t>
      </w:r>
      <w:r>
        <w:rPr>
          <w:rFonts w:hint="eastAsia"/>
          <w:highlight w:val="none"/>
        </w:rPr>
        <w:t>名录和档案。</w:t>
      </w:r>
    </w:p>
    <w:p>
      <w:pPr>
        <w:pStyle w:val="166"/>
        <w:rPr>
          <w:highlight w:val="none"/>
        </w:rPr>
      </w:pPr>
      <w:r>
        <w:rPr>
          <w:rFonts w:hint="eastAsia"/>
          <w:highlight w:val="none"/>
        </w:rPr>
        <w:t>企业应定期对承包商、供应商</w:t>
      </w:r>
      <w:r>
        <w:rPr>
          <w:rFonts w:hint="eastAsia"/>
          <w:highlight w:val="none"/>
          <w:lang w:eastAsia="zh-CN"/>
        </w:rPr>
        <w:t>、</w:t>
      </w:r>
      <w:r>
        <w:rPr>
          <w:rFonts w:hint="eastAsia"/>
          <w:highlight w:val="none"/>
          <w:lang w:val="en-US" w:eastAsia="zh-CN"/>
        </w:rPr>
        <w:t>设备租赁商</w:t>
      </w:r>
      <w:r>
        <w:rPr>
          <w:rFonts w:hint="eastAsia"/>
          <w:highlight w:val="none"/>
        </w:rPr>
        <w:t>进行业绩评价，根据评价结果及时调整或者更换承包商</w:t>
      </w:r>
      <w:r>
        <w:rPr>
          <w:rFonts w:hint="eastAsia"/>
          <w:highlight w:val="none"/>
          <w:lang w:eastAsia="zh-CN"/>
        </w:rPr>
        <w:t>、</w:t>
      </w:r>
      <w:r>
        <w:rPr>
          <w:rFonts w:hint="eastAsia"/>
          <w:highlight w:val="none"/>
        </w:rPr>
        <w:t>供应商</w:t>
      </w:r>
      <w:r>
        <w:rPr>
          <w:rFonts w:hint="eastAsia"/>
          <w:highlight w:val="none"/>
          <w:lang w:val="en-US" w:eastAsia="zh-CN"/>
        </w:rPr>
        <w:t>和设备租赁商</w:t>
      </w:r>
      <w:r>
        <w:rPr>
          <w:rFonts w:hint="eastAsia"/>
          <w:highlight w:val="none"/>
        </w:rPr>
        <w:t>。</w:t>
      </w:r>
    </w:p>
    <w:p>
      <w:pPr>
        <w:pStyle w:val="166"/>
        <w:rPr>
          <w:highlight w:val="none"/>
        </w:rPr>
      </w:pPr>
      <w:r>
        <w:rPr>
          <w:rFonts w:hint="eastAsia"/>
          <w:highlight w:val="none"/>
        </w:rPr>
        <w:t>与承包商、供应商</w:t>
      </w:r>
      <w:r>
        <w:rPr>
          <w:rFonts w:hint="eastAsia"/>
          <w:highlight w:val="none"/>
          <w:lang w:eastAsia="zh-CN"/>
        </w:rPr>
        <w:t>、</w:t>
      </w:r>
      <w:r>
        <w:rPr>
          <w:rFonts w:hint="eastAsia"/>
          <w:highlight w:val="none"/>
          <w:lang w:val="en-US" w:eastAsia="zh-CN"/>
        </w:rPr>
        <w:t>设备租赁商</w:t>
      </w:r>
      <w:r>
        <w:rPr>
          <w:rFonts w:hint="eastAsia"/>
          <w:highlight w:val="none"/>
        </w:rPr>
        <w:t>签订的安全生产管理协议应包括下列内容：</w:t>
      </w:r>
    </w:p>
    <w:p>
      <w:pPr>
        <w:pStyle w:val="176"/>
        <w:numPr>
          <w:ilvl w:val="0"/>
          <w:numId w:val="55"/>
        </w:numPr>
        <w:rPr>
          <w:highlight w:val="none"/>
        </w:rPr>
      </w:pPr>
      <w:r>
        <w:rPr>
          <w:rFonts w:hint="eastAsia"/>
          <w:highlight w:val="none"/>
        </w:rPr>
        <w:t>双方安全生产职责、各自管理的区域范围；</w:t>
      </w:r>
    </w:p>
    <w:p>
      <w:pPr>
        <w:pStyle w:val="176"/>
        <w:numPr>
          <w:ilvl w:val="0"/>
          <w:numId w:val="55"/>
        </w:numPr>
        <w:rPr>
          <w:highlight w:val="none"/>
        </w:rPr>
      </w:pPr>
      <w:r>
        <w:rPr>
          <w:rFonts w:hint="eastAsia"/>
          <w:highlight w:val="none"/>
        </w:rPr>
        <w:t>作业场所、作业人员、设备设施的安全生产管理责任；</w:t>
      </w:r>
    </w:p>
    <w:p>
      <w:pPr>
        <w:pStyle w:val="176"/>
        <w:numPr>
          <w:ilvl w:val="0"/>
          <w:numId w:val="55"/>
        </w:numPr>
        <w:rPr>
          <w:highlight w:val="none"/>
        </w:rPr>
      </w:pPr>
      <w:r>
        <w:rPr>
          <w:rFonts w:hint="eastAsia"/>
          <w:highlight w:val="none"/>
        </w:rPr>
        <w:t>双方有关安全生产的权利和义务；</w:t>
      </w:r>
    </w:p>
    <w:p>
      <w:pPr>
        <w:pStyle w:val="176"/>
        <w:numPr>
          <w:ilvl w:val="0"/>
          <w:numId w:val="55"/>
        </w:numPr>
        <w:rPr>
          <w:highlight w:val="none"/>
        </w:rPr>
      </w:pPr>
      <w:r>
        <w:rPr>
          <w:rFonts w:hint="eastAsia"/>
          <w:highlight w:val="none"/>
        </w:rPr>
        <w:t>生产安全事故报告和应急救援责任。</w:t>
      </w:r>
    </w:p>
    <w:p>
      <w:pPr>
        <w:pStyle w:val="166"/>
        <w:rPr>
          <w:highlight w:val="none"/>
        </w:rPr>
      </w:pPr>
      <w:r>
        <w:rPr>
          <w:rFonts w:hint="eastAsia"/>
          <w:highlight w:val="none"/>
        </w:rPr>
        <w:t>企业应将被派遣劳动者纳入本企业从业人员</w:t>
      </w:r>
      <w:r>
        <w:rPr>
          <w:rFonts w:hint="eastAsia"/>
          <w:highlight w:val="none"/>
          <w:lang w:val="en-US" w:eastAsia="zh-CN"/>
        </w:rPr>
        <w:t>管理体系</w:t>
      </w:r>
      <w:r>
        <w:rPr>
          <w:rFonts w:hint="eastAsia"/>
          <w:highlight w:val="none"/>
        </w:rPr>
        <w:t>进行统一管理，对被派遣劳动者进行岗位安全操作规程和安全操作技能的教育和培训。</w:t>
      </w:r>
    </w:p>
    <w:p>
      <w:pPr>
        <w:pStyle w:val="166"/>
        <w:rPr>
          <w:highlight w:val="none"/>
        </w:rPr>
      </w:pPr>
      <w:r>
        <w:rPr>
          <w:rFonts w:hint="eastAsia"/>
          <w:highlight w:val="none"/>
        </w:rPr>
        <w:t>承包商应配备专职安全生产管理人员。</w:t>
      </w:r>
    </w:p>
    <w:p>
      <w:pPr>
        <w:pStyle w:val="107"/>
        <w:spacing w:before="156" w:after="156"/>
        <w:rPr>
          <w:highlight w:val="none"/>
        </w:rPr>
      </w:pPr>
      <w:bookmarkStart w:id="169" w:name="_Toc22107"/>
      <w:bookmarkStart w:id="170" w:name="_Toc207877363"/>
      <w:bookmarkStart w:id="171" w:name="_Toc24768"/>
      <w:bookmarkStart w:id="172" w:name="_Toc208403432"/>
      <w:r>
        <w:rPr>
          <w:rFonts w:hint="eastAsia"/>
          <w:highlight w:val="none"/>
        </w:rPr>
        <w:t>应急管理</w:t>
      </w:r>
      <w:bookmarkEnd w:id="169"/>
      <w:bookmarkEnd w:id="170"/>
      <w:bookmarkEnd w:id="171"/>
      <w:bookmarkEnd w:id="172"/>
    </w:p>
    <w:p>
      <w:pPr>
        <w:pStyle w:val="67"/>
        <w:spacing w:before="156" w:after="156"/>
        <w:rPr>
          <w:highlight w:val="none"/>
        </w:rPr>
      </w:pPr>
      <w:bookmarkStart w:id="173" w:name="_Toc207877364"/>
      <w:bookmarkStart w:id="174" w:name="_Toc208403433"/>
      <w:r>
        <w:rPr>
          <w:rFonts w:hint="eastAsia"/>
          <w:highlight w:val="none"/>
        </w:rPr>
        <w:t>应急准备</w:t>
      </w:r>
      <w:bookmarkEnd w:id="173"/>
      <w:bookmarkEnd w:id="174"/>
    </w:p>
    <w:p>
      <w:pPr>
        <w:pStyle w:val="96"/>
        <w:spacing w:before="156" w:after="156"/>
        <w:rPr>
          <w:highlight w:val="none"/>
        </w:rPr>
      </w:pPr>
      <w:bookmarkStart w:id="175" w:name="_Toc207877365"/>
      <w:r>
        <w:rPr>
          <w:rFonts w:hint="eastAsia"/>
          <w:highlight w:val="none"/>
        </w:rPr>
        <w:t>应急预案</w:t>
      </w:r>
      <w:bookmarkEnd w:id="175"/>
    </w:p>
    <w:p>
      <w:pPr>
        <w:pStyle w:val="169"/>
        <w:rPr>
          <w:highlight w:val="none"/>
        </w:rPr>
      </w:pPr>
      <w:r>
        <w:rPr>
          <w:rFonts w:hint="eastAsia"/>
          <w:highlight w:val="none"/>
        </w:rPr>
        <w:t>企业在编制应急预案前应进行事故风险评估和应急资源调查。</w:t>
      </w:r>
    </w:p>
    <w:p>
      <w:pPr>
        <w:pStyle w:val="169"/>
        <w:rPr>
          <w:highlight w:val="none"/>
        </w:rPr>
      </w:pPr>
      <w:r>
        <w:rPr>
          <w:rFonts w:hint="eastAsia"/>
          <w:highlight w:val="none"/>
        </w:rPr>
        <w:t>结合危险源辨识分析情况、可能发生的事故类型及后果，企业应确立本企业的应急预案体系，编制应急预案。</w:t>
      </w:r>
    </w:p>
    <w:p>
      <w:pPr>
        <w:pStyle w:val="169"/>
        <w:rPr>
          <w:highlight w:val="none"/>
        </w:rPr>
      </w:pPr>
      <w:r>
        <w:rPr>
          <w:rFonts w:hint="eastAsia"/>
          <w:highlight w:val="none"/>
        </w:rPr>
        <w:t>应急预案评审或论证后，</w:t>
      </w:r>
      <w:r>
        <w:rPr>
          <w:rFonts w:hint="eastAsia"/>
          <w:color w:val="auto"/>
          <w:highlight w:val="none"/>
        </w:rPr>
        <w:t>经企业批准实施，</w:t>
      </w:r>
      <w:r>
        <w:rPr>
          <w:rFonts w:hint="eastAsia"/>
          <w:color w:val="auto"/>
          <w:highlight w:val="none"/>
          <w:lang w:val="en-US" w:eastAsia="zh-CN"/>
        </w:rPr>
        <w:t>发放</w:t>
      </w:r>
      <w:r>
        <w:rPr>
          <w:rFonts w:hint="eastAsia"/>
          <w:color w:val="auto"/>
          <w:highlight w:val="none"/>
        </w:rPr>
        <w:t>。</w:t>
      </w:r>
    </w:p>
    <w:p>
      <w:pPr>
        <w:pStyle w:val="169"/>
        <w:rPr>
          <w:color w:val="auto"/>
          <w:highlight w:val="none"/>
        </w:rPr>
      </w:pPr>
      <w:r>
        <w:rPr>
          <w:rFonts w:hint="eastAsia"/>
          <w:color w:val="auto"/>
          <w:highlight w:val="none"/>
          <w:lang w:val="en-US" w:eastAsia="zh-CN"/>
        </w:rPr>
        <w:t>企业</w:t>
      </w:r>
      <w:r>
        <w:rPr>
          <w:rFonts w:hint="eastAsia"/>
          <w:color w:val="auto"/>
          <w:highlight w:val="none"/>
        </w:rPr>
        <w:t>应对应急预案进行定期评估，并对应急预案是否需要修订作出结论。</w:t>
      </w:r>
    </w:p>
    <w:p>
      <w:pPr>
        <w:pStyle w:val="96"/>
        <w:spacing w:before="156" w:after="156"/>
        <w:rPr>
          <w:highlight w:val="none"/>
        </w:rPr>
      </w:pPr>
      <w:bookmarkStart w:id="176" w:name="_Toc207877366"/>
      <w:r>
        <w:rPr>
          <w:rFonts w:hint="eastAsia"/>
          <w:highlight w:val="none"/>
        </w:rPr>
        <w:t>应急救援组织或人员</w:t>
      </w:r>
      <w:bookmarkEnd w:id="176"/>
    </w:p>
    <w:p>
      <w:pPr>
        <w:pStyle w:val="58"/>
        <w:ind w:firstLine="420"/>
        <w:rPr>
          <w:highlight w:val="none"/>
        </w:rPr>
      </w:pPr>
      <w:r>
        <w:rPr>
          <w:rFonts w:hint="eastAsia"/>
          <w:highlight w:val="none"/>
        </w:rPr>
        <w:t>企业应建立应急救援组织，生产经营规模较小的，可不建立应急救援组织，但应指定兼职的应急救援人员。</w:t>
      </w:r>
    </w:p>
    <w:p>
      <w:pPr>
        <w:pStyle w:val="96"/>
        <w:spacing w:before="156" w:after="156"/>
        <w:rPr>
          <w:highlight w:val="none"/>
        </w:rPr>
      </w:pPr>
      <w:bookmarkStart w:id="177" w:name="_Toc207877367"/>
      <w:r>
        <w:rPr>
          <w:rFonts w:hint="eastAsia"/>
          <w:highlight w:val="none"/>
        </w:rPr>
        <w:t>应急设施、装备、物资</w:t>
      </w:r>
      <w:bookmarkEnd w:id="177"/>
    </w:p>
    <w:p>
      <w:pPr>
        <w:pStyle w:val="169"/>
        <w:keepNext w:val="0"/>
        <w:keepLines w:val="0"/>
        <w:pageBreakBefore w:val="0"/>
        <w:widowControl w:val="0"/>
        <w:kinsoku/>
        <w:wordWrap w:val="0"/>
        <w:overflowPunct/>
        <w:topLinePunct w:val="0"/>
        <w:autoSpaceDE/>
        <w:autoSpaceDN/>
        <w:bidi w:val="0"/>
        <w:adjustRightInd/>
        <w:snapToGrid/>
        <w:textAlignment w:val="auto"/>
        <w:rPr>
          <w:highlight w:val="none"/>
        </w:rPr>
      </w:pPr>
      <w:r>
        <w:rPr>
          <w:rFonts w:hint="eastAsia"/>
          <w:highlight w:val="none"/>
        </w:rPr>
        <w:t>企业应急设施、装备、物资配备要求，应符合DB11/T</w:t>
      </w:r>
      <w:r>
        <w:rPr>
          <w:rFonts w:hint="eastAsia"/>
          <w:highlight w:val="none"/>
          <w:lang w:val="en-US" w:eastAsia="zh-CN"/>
        </w:rPr>
        <w:t xml:space="preserve"> </w:t>
      </w:r>
      <w:r>
        <w:rPr>
          <w:rFonts w:hint="eastAsia"/>
          <w:highlight w:val="none"/>
        </w:rPr>
        <w:t>1582的规定。</w:t>
      </w:r>
    </w:p>
    <w:p>
      <w:pPr>
        <w:pStyle w:val="169"/>
        <w:bidi w:val="0"/>
        <w:rPr>
          <w:highlight w:val="none"/>
        </w:rPr>
      </w:pPr>
      <w:r>
        <w:rPr>
          <w:rFonts w:hint="eastAsia"/>
          <w:highlight w:val="none"/>
        </w:rPr>
        <w:t>企业应根据实际需求，配备应急设施和装备，储备应急物资，指定专人负责管理，并建立使用状况台账，定期检测和维护。</w:t>
      </w:r>
    </w:p>
    <w:p>
      <w:pPr>
        <w:pStyle w:val="96"/>
        <w:spacing w:before="156" w:after="156"/>
        <w:rPr>
          <w:highlight w:val="none"/>
        </w:rPr>
      </w:pPr>
      <w:bookmarkStart w:id="178" w:name="_Toc207877368"/>
      <w:r>
        <w:rPr>
          <w:rFonts w:hint="eastAsia"/>
          <w:highlight w:val="none"/>
        </w:rPr>
        <w:t>应急演练</w:t>
      </w:r>
      <w:bookmarkEnd w:id="178"/>
    </w:p>
    <w:p>
      <w:pPr>
        <w:pStyle w:val="169"/>
        <w:rPr>
          <w:highlight w:val="none"/>
        </w:rPr>
      </w:pPr>
      <w:r>
        <w:rPr>
          <w:rFonts w:hint="eastAsia"/>
          <w:highlight w:val="none"/>
        </w:rPr>
        <w:t>企业每年至少组织1次综合应急预案演练或者专项应急预案演练，每半年至少组织1次现场处置方案演练，每三年应实现对本企业所有专项应急预案演练的全覆盖。</w:t>
      </w:r>
    </w:p>
    <w:p>
      <w:pPr>
        <w:pStyle w:val="169"/>
        <w:rPr>
          <w:highlight w:val="none"/>
        </w:rPr>
      </w:pPr>
      <w:r>
        <w:rPr>
          <w:rFonts w:hint="eastAsia"/>
          <w:highlight w:val="none"/>
        </w:rPr>
        <w:t>应急演练实施应符合以下内容：</w:t>
      </w:r>
    </w:p>
    <w:p>
      <w:pPr>
        <w:pStyle w:val="176"/>
        <w:numPr>
          <w:ilvl w:val="0"/>
          <w:numId w:val="56"/>
        </w:numPr>
        <w:bidi w:val="0"/>
        <w:ind w:left="851" w:leftChars="0" w:hanging="426" w:firstLineChars="0"/>
        <w:rPr>
          <w:highlight w:val="none"/>
        </w:rPr>
      </w:pPr>
      <w:r>
        <w:rPr>
          <w:rFonts w:hint="eastAsia"/>
          <w:highlight w:val="none"/>
        </w:rPr>
        <w:t>应急演练准备：确定演练目标与内容、成立演练组织机构、收集资料、制定演练工作方案、设计演练情景、明确演练任务、编制演练脚本、制定评估方案、确定演练保障措施等；</w:t>
      </w:r>
    </w:p>
    <w:p>
      <w:pPr>
        <w:pStyle w:val="176"/>
        <w:numPr>
          <w:ilvl w:val="0"/>
          <w:numId w:val="56"/>
        </w:numPr>
        <w:bidi w:val="0"/>
        <w:ind w:left="851" w:leftChars="0" w:hanging="426" w:firstLineChars="0"/>
        <w:rPr>
          <w:highlight w:val="none"/>
        </w:rPr>
      </w:pPr>
      <w:r>
        <w:rPr>
          <w:rFonts w:hint="eastAsia"/>
          <w:highlight w:val="none"/>
        </w:rPr>
        <w:t>应急演练执行：现场确认人员、物资、器材等到位情况，桌面推演或实战演练，演练记录，结束与终止。</w:t>
      </w:r>
    </w:p>
    <w:p>
      <w:pPr>
        <w:pStyle w:val="169"/>
        <w:keepNext w:val="0"/>
        <w:keepLines w:val="0"/>
        <w:pageBreakBefore w:val="0"/>
        <w:widowControl w:val="0"/>
        <w:kinsoku/>
        <w:wordWrap w:val="0"/>
        <w:overflowPunct/>
        <w:topLinePunct w:val="0"/>
        <w:autoSpaceDE/>
        <w:autoSpaceDN/>
        <w:bidi w:val="0"/>
        <w:adjustRightInd/>
        <w:snapToGrid/>
        <w:textAlignment w:val="auto"/>
        <w:rPr>
          <w:highlight w:val="none"/>
        </w:rPr>
      </w:pPr>
      <w:r>
        <w:rPr>
          <w:rFonts w:hint="eastAsia"/>
          <w:highlight w:val="none"/>
        </w:rPr>
        <w:t>企业应对应急预案演练效果进行评估，根据</w:t>
      </w:r>
      <w:r>
        <w:rPr>
          <w:rFonts w:hint="eastAsia"/>
          <w:highlight w:val="none"/>
          <w:lang w:val="en-US" w:eastAsia="zh-CN"/>
        </w:rPr>
        <w:t>DB11/T 1583</w:t>
      </w:r>
      <w:r>
        <w:rPr>
          <w:rFonts w:hint="eastAsia"/>
          <w:highlight w:val="none"/>
        </w:rPr>
        <w:t>的规定撰写演练评估报告，分析存在的问题，并对应急预案提出修订意见。</w:t>
      </w:r>
    </w:p>
    <w:p>
      <w:pPr>
        <w:pStyle w:val="67"/>
        <w:spacing w:before="156" w:after="156"/>
        <w:rPr>
          <w:highlight w:val="none"/>
        </w:rPr>
      </w:pPr>
      <w:bookmarkStart w:id="179" w:name="_Toc208403434"/>
      <w:bookmarkStart w:id="180" w:name="_Toc207877369"/>
      <w:r>
        <w:rPr>
          <w:rFonts w:hint="eastAsia"/>
          <w:highlight w:val="none"/>
        </w:rPr>
        <w:t>应急处置与救援</w:t>
      </w:r>
      <w:bookmarkEnd w:id="179"/>
      <w:bookmarkEnd w:id="180"/>
    </w:p>
    <w:p>
      <w:pPr>
        <w:pStyle w:val="166"/>
        <w:rPr>
          <w:highlight w:val="none"/>
        </w:rPr>
      </w:pPr>
      <w:r>
        <w:rPr>
          <w:rFonts w:hint="eastAsia"/>
          <w:highlight w:val="none"/>
        </w:rPr>
        <w:t>企业应在突发事件或事故发生后，根据应急预案立即启动应急响应程序，按规定报告事件事故情况，在确保安全的前提下进行处置与救援。</w:t>
      </w:r>
    </w:p>
    <w:p>
      <w:pPr>
        <w:pStyle w:val="166"/>
        <w:rPr>
          <w:highlight w:val="none"/>
        </w:rPr>
      </w:pPr>
      <w:r>
        <w:rPr>
          <w:rFonts w:hint="eastAsia"/>
          <w:highlight w:val="none"/>
        </w:rPr>
        <w:t>企业应在现场应急救援结束后，组织人员对现场进行检查确认，消除现场存在的不安全因素，并对应急救援情况进行总结评估。</w:t>
      </w:r>
    </w:p>
    <w:p>
      <w:pPr>
        <w:pStyle w:val="67"/>
        <w:spacing w:before="156" w:after="156"/>
        <w:rPr>
          <w:highlight w:val="none"/>
        </w:rPr>
      </w:pPr>
      <w:bookmarkStart w:id="181" w:name="_Toc208403435"/>
      <w:bookmarkStart w:id="182" w:name="_Toc207877370"/>
      <w:r>
        <w:rPr>
          <w:rFonts w:hint="eastAsia"/>
          <w:highlight w:val="none"/>
        </w:rPr>
        <w:t>应急恢复</w:t>
      </w:r>
      <w:bookmarkEnd w:id="181"/>
      <w:bookmarkEnd w:id="182"/>
    </w:p>
    <w:p>
      <w:pPr>
        <w:pStyle w:val="58"/>
        <w:ind w:firstLine="420"/>
        <w:rPr>
          <w:strike/>
          <w:dstrike w:val="0"/>
          <w:highlight w:val="red"/>
        </w:rPr>
      </w:pPr>
      <w:r>
        <w:rPr>
          <w:rFonts w:hint="eastAsia"/>
          <w:highlight w:val="none"/>
        </w:rPr>
        <w:t>企业应制定应急恢复方案，在确保安全的前提下修复损毁的设备设施、生产环境等，满足安全生产条件后，方可恢复生产秩序。</w:t>
      </w:r>
    </w:p>
    <w:p>
      <w:pPr>
        <w:pStyle w:val="106"/>
        <w:spacing w:before="312" w:after="312"/>
        <w:rPr>
          <w:color w:val="auto"/>
          <w:highlight w:val="none"/>
        </w:rPr>
      </w:pPr>
      <w:bookmarkStart w:id="183" w:name="_Toc24569"/>
      <w:bookmarkStart w:id="184" w:name="_Toc29508"/>
      <w:bookmarkStart w:id="185" w:name="_Toc208403442"/>
      <w:bookmarkStart w:id="186" w:name="_Toc29478"/>
      <w:bookmarkStart w:id="187" w:name="_Toc207877377"/>
      <w:r>
        <w:rPr>
          <w:rFonts w:hint="eastAsia"/>
          <w:color w:val="auto"/>
          <w:highlight w:val="none"/>
          <w:lang w:val="en-US" w:eastAsia="zh-CN"/>
        </w:rPr>
        <w:t>实施要求</w:t>
      </w:r>
      <w:bookmarkEnd w:id="183"/>
      <w:bookmarkEnd w:id="184"/>
    </w:p>
    <w:p>
      <w:pPr>
        <w:pStyle w:val="107"/>
        <w:spacing w:before="156" w:after="156"/>
        <w:rPr>
          <w:rFonts w:hint="eastAsia"/>
          <w:color w:val="auto"/>
          <w:highlight w:val="none"/>
          <w:lang w:val="en-US" w:eastAsia="zh-CN"/>
        </w:rPr>
      </w:pPr>
      <w:bookmarkStart w:id="188" w:name="_Toc30816"/>
      <w:bookmarkStart w:id="189" w:name="_Toc23249"/>
      <w:r>
        <w:rPr>
          <w:rFonts w:hint="eastAsia"/>
          <w:color w:val="auto"/>
          <w:highlight w:val="none"/>
          <w:lang w:val="en-US" w:eastAsia="zh-CN"/>
        </w:rPr>
        <w:t>建立</w:t>
      </w:r>
      <w:bookmarkEnd w:id="188"/>
      <w:bookmarkEnd w:id="189"/>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eastAsia="宋体" w:cs="Times New Roman"/>
          <w:color w:val="auto"/>
          <w:sz w:val="21"/>
          <w:highlight w:val="none"/>
          <w:lang w:val="en-US" w:eastAsia="zh-CN" w:bidi="ar-SA"/>
        </w:rPr>
        <w:t>企业</w:t>
      </w:r>
      <w:r>
        <w:rPr>
          <w:rFonts w:hint="eastAsia" w:ascii="宋体" w:hAnsi="Times New Roman" w:eastAsia="宋体" w:cs="Times New Roman"/>
          <w:color w:val="auto"/>
          <w:sz w:val="21"/>
          <w:highlight w:val="none"/>
          <w:lang w:val="en-US" w:eastAsia="zh-CN" w:bidi="ar-SA"/>
        </w:rPr>
        <w:t>应按照本文件规定的指标体系，结合自身行业属性、生产经营规模、安全风险等级等实际情况，自主建立并保持具有自身特色的安全生产标准化指标体系。</w:t>
      </w:r>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eastAsia="宋体" w:cs="Times New Roman"/>
          <w:color w:val="auto"/>
          <w:sz w:val="21"/>
          <w:highlight w:val="none"/>
          <w:lang w:val="en-US" w:eastAsia="zh-CN" w:bidi="ar-SA"/>
        </w:rPr>
        <w:t>企业</w:t>
      </w:r>
      <w:r>
        <w:rPr>
          <w:rFonts w:hint="eastAsia" w:ascii="宋体" w:hAnsi="Times New Roman" w:eastAsia="宋体" w:cs="Times New Roman"/>
          <w:color w:val="auto"/>
          <w:sz w:val="21"/>
          <w:highlight w:val="none"/>
          <w:lang w:val="en-US" w:eastAsia="zh-CN" w:bidi="ar-SA"/>
        </w:rPr>
        <w:t>应明确各部门、各岗位在安全生产标准化指标体系实施中的职责权限，并对体系中每项指标要求进行细化分解，明确对应的责任人、执行人。</w:t>
      </w:r>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eastAsia="宋体" w:cs="Times New Roman"/>
          <w:color w:val="auto"/>
          <w:sz w:val="21"/>
          <w:highlight w:val="none"/>
          <w:lang w:val="en-US" w:eastAsia="zh-CN" w:bidi="ar-SA"/>
        </w:rPr>
        <w:t>企业</w:t>
      </w:r>
      <w:r>
        <w:rPr>
          <w:rFonts w:hint="eastAsia" w:ascii="宋体" w:hAnsi="Times New Roman" w:eastAsia="宋体" w:cs="Times New Roman"/>
          <w:color w:val="auto"/>
          <w:sz w:val="21"/>
          <w:highlight w:val="none"/>
          <w:lang w:val="en-US" w:eastAsia="zh-CN" w:bidi="ar-SA"/>
        </w:rPr>
        <w:t>应建立与体系实施相配套的考核标准，将各部门、各岗位的体系实施情况与绩效考核挂钩，明确考核权重、评分标准和奖惩措施。</w:t>
      </w:r>
    </w:p>
    <w:p>
      <w:pPr>
        <w:pStyle w:val="107"/>
        <w:spacing w:before="156" w:after="156"/>
        <w:rPr>
          <w:rFonts w:hint="eastAsia"/>
          <w:color w:val="auto"/>
          <w:highlight w:val="none"/>
          <w:lang w:val="en-US" w:eastAsia="zh-CN"/>
        </w:rPr>
      </w:pPr>
      <w:bookmarkStart w:id="190" w:name="_Toc22671"/>
      <w:bookmarkStart w:id="191" w:name="_Toc28696"/>
      <w:r>
        <w:rPr>
          <w:rFonts w:hint="eastAsia"/>
          <w:color w:val="auto"/>
          <w:highlight w:val="none"/>
          <w:lang w:val="en-US" w:eastAsia="zh-CN"/>
        </w:rPr>
        <w:t>运行</w:t>
      </w:r>
      <w:bookmarkEnd w:id="190"/>
      <w:bookmarkEnd w:id="191"/>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eastAsia="宋体" w:cs="Times New Roman"/>
          <w:color w:val="auto"/>
          <w:sz w:val="21"/>
          <w:highlight w:val="none"/>
          <w:lang w:val="en-US" w:eastAsia="zh-CN" w:bidi="ar-SA"/>
        </w:rPr>
        <w:t>企业</w:t>
      </w:r>
      <w:r>
        <w:rPr>
          <w:rFonts w:hint="eastAsia" w:ascii="宋体" w:hAnsi="Times New Roman" w:eastAsia="宋体" w:cs="Times New Roman"/>
          <w:color w:val="auto"/>
          <w:sz w:val="21"/>
          <w:highlight w:val="none"/>
          <w:lang w:val="en-US" w:eastAsia="zh-CN" w:bidi="ar-SA"/>
        </w:rPr>
        <w:t>应引导全体从业人员认同、主动参与安全生产标准化指标体系的建设与实施工作，同时将体系建设贯穿于安全生产的全过程、各环节，实现体系对安全生产工作的全面覆盖和深度融合。</w:t>
      </w:r>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eastAsia="宋体" w:cs="Times New Roman"/>
          <w:color w:val="auto"/>
          <w:sz w:val="21"/>
          <w:highlight w:val="none"/>
          <w:lang w:val="en-US" w:eastAsia="zh-CN" w:bidi="ar-SA"/>
        </w:rPr>
        <w:t>企业</w:t>
      </w:r>
      <w:r>
        <w:rPr>
          <w:rFonts w:hint="eastAsia" w:ascii="宋体" w:hAnsi="Times New Roman" w:eastAsia="宋体" w:cs="Times New Roman"/>
          <w:color w:val="auto"/>
          <w:sz w:val="21"/>
          <w:highlight w:val="none"/>
          <w:lang w:val="en-US" w:eastAsia="zh-CN" w:bidi="ar-SA"/>
        </w:rPr>
        <w:t>应建立健全意见反馈机制，鼓励从业人员主动参与体系的改进完善，收集从业人员对指标体系、执行流程、管理方式的意见建议，对合理建议及时采纳并修改完善体系。</w:t>
      </w:r>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eastAsia="宋体" w:cs="Times New Roman"/>
          <w:color w:val="auto"/>
          <w:sz w:val="21"/>
          <w:highlight w:val="none"/>
          <w:lang w:val="en-US" w:eastAsia="zh-CN" w:bidi="ar-SA"/>
        </w:rPr>
        <w:t>企业</w:t>
      </w:r>
      <w:r>
        <w:rPr>
          <w:rFonts w:hint="eastAsia" w:ascii="宋体" w:hAnsi="Times New Roman" w:eastAsia="宋体" w:cs="Times New Roman"/>
          <w:color w:val="auto"/>
          <w:sz w:val="21"/>
          <w:highlight w:val="none"/>
          <w:lang w:val="en-US" w:eastAsia="zh-CN" w:bidi="ar-SA"/>
        </w:rPr>
        <w:t>宜每年至少开展1次体系实施成果共享活动，通报体系运行成效，展示各部门、各岗位的落实成果，分享先进经验和典型案例。</w:t>
      </w:r>
    </w:p>
    <w:p>
      <w:pPr>
        <w:pStyle w:val="107"/>
        <w:spacing w:before="156" w:after="156"/>
        <w:rPr>
          <w:rFonts w:hint="eastAsia"/>
          <w:color w:val="auto"/>
          <w:highlight w:val="none"/>
          <w:lang w:val="en-US" w:eastAsia="zh-CN"/>
        </w:rPr>
      </w:pPr>
      <w:bookmarkStart w:id="192" w:name="_Toc19733"/>
      <w:bookmarkStart w:id="193" w:name="_Toc25620"/>
      <w:r>
        <w:rPr>
          <w:rFonts w:hint="eastAsia"/>
          <w:color w:val="auto"/>
          <w:highlight w:val="none"/>
          <w:lang w:val="en-US" w:eastAsia="zh-CN"/>
        </w:rPr>
        <w:t>持续改进</w:t>
      </w:r>
      <w:bookmarkEnd w:id="192"/>
      <w:bookmarkEnd w:id="193"/>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主要负责人应每年至少组织一次对安全生产标准化管理体系的适宜性、充分性和有效性进行评审，当单位外部环境、内部的组织机构和业务性质发生重大变化时，应开展附加评审，评审完成后形成自评报告。</w:t>
      </w:r>
    </w:p>
    <w:p>
      <w:pPr>
        <w:pStyle w:val="67"/>
        <w:spacing w:before="156" w:after="156"/>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企业应根据评估、检查、自评、评审、事故调查等结果，进一步调整和完善安全生产标准化相关指标措施，实现企业安全管理绩效的持续改进</w:t>
      </w:r>
      <w:r>
        <w:rPr>
          <w:rFonts w:hint="eastAsia" w:ascii="宋体" w:eastAsia="宋体" w:cs="Times New Roman"/>
          <w:color w:val="auto"/>
          <w:sz w:val="21"/>
          <w:highlight w:val="none"/>
          <w:lang w:val="en-US" w:eastAsia="zh-CN" w:bidi="ar-SA"/>
        </w:rPr>
        <w:t>。</w:t>
      </w:r>
    </w:p>
    <w:bookmarkEnd w:id="185"/>
    <w:bookmarkEnd w:id="186"/>
    <w:bookmarkEnd w:id="187"/>
    <w:p>
      <w:pPr>
        <w:pStyle w:val="106"/>
        <w:spacing w:before="312" w:after="312"/>
        <w:rPr>
          <w:highlight w:val="red"/>
        </w:rPr>
        <w:sectPr>
          <w:headerReference r:id="rId21" w:type="default"/>
          <w:footerReference r:id="rId23" w:type="default"/>
          <w:headerReference r:id="rId22" w:type="even"/>
          <w:footerReference r:id="rId24" w:type="even"/>
          <w:pgSz w:w="11906" w:h="16838"/>
          <w:pgMar w:top="1928" w:right="1134" w:bottom="1134" w:left="1134" w:header="1418" w:footer="1134" w:gutter="284"/>
          <w:pgNumType w:start="1"/>
          <w:cols w:space="425" w:num="1"/>
          <w:formProt w:val="0"/>
          <w:docGrid w:type="lines" w:linePitch="312" w:charSpace="0"/>
        </w:sectPr>
      </w:pPr>
    </w:p>
    <w:bookmarkEnd w:id="26"/>
    <w:p>
      <w:pPr>
        <w:pStyle w:val="200"/>
        <w:numPr>
          <w:ilvl w:val="0"/>
          <w:numId w:val="0"/>
        </w:numPr>
        <w:jc w:val="both"/>
        <w:rPr>
          <w:vanish w:val="0"/>
          <w:highlight w:val="red"/>
        </w:rPr>
      </w:pPr>
      <w:bookmarkStart w:id="194" w:name="BookMark5"/>
    </w:p>
    <w:p>
      <w:pPr>
        <w:pStyle w:val="201"/>
        <w:rPr>
          <w:vanish w:val="0"/>
          <w:highlight w:val="red"/>
        </w:rPr>
      </w:pPr>
    </w:p>
    <w:bookmarkEnd w:id="194"/>
    <w:p>
      <w:pPr>
        <w:pStyle w:val="65"/>
        <w:spacing w:after="156"/>
        <w:rPr>
          <w:highlight w:val="none"/>
        </w:rPr>
      </w:pPr>
      <w:bookmarkStart w:id="195" w:name="_Toc207877468"/>
      <w:bookmarkStart w:id="196" w:name="_Toc404"/>
      <w:bookmarkStart w:id="197" w:name="_Toc208403522"/>
      <w:bookmarkStart w:id="198" w:name="_Toc15579"/>
      <w:bookmarkStart w:id="199" w:name="BookMark6"/>
      <w:r>
        <w:rPr>
          <w:rFonts w:hint="eastAsia"/>
          <w:spacing w:val="105"/>
          <w:highlight w:val="none"/>
        </w:rPr>
        <w:t>参考文</w:t>
      </w:r>
      <w:r>
        <w:rPr>
          <w:rFonts w:hint="eastAsia"/>
          <w:highlight w:val="none"/>
        </w:rPr>
        <w:t>献</w:t>
      </w:r>
      <w:bookmarkEnd w:id="195"/>
      <w:bookmarkEnd w:id="196"/>
      <w:bookmarkEnd w:id="197"/>
      <w:bookmarkEnd w:id="198"/>
    </w:p>
    <w:p>
      <w:pPr>
        <w:pStyle w:val="58"/>
        <w:numPr>
          <w:ilvl w:val="0"/>
          <w:numId w:val="57"/>
        </w:numPr>
        <w:ind w:left="0" w:leftChars="0" w:firstLine="420" w:firstLineChars="0"/>
        <w:rPr>
          <w:rFonts w:hint="eastAsia"/>
          <w:highlight w:val="none"/>
          <w:lang w:val="en-US" w:eastAsia="zh-CN"/>
        </w:rPr>
      </w:pPr>
      <w:bookmarkStart w:id="200" w:name="_CNKI78F1CE9B8D866D33723AC274EDE30344"/>
      <w:bookmarkStart w:id="201" w:name="_CNKIB218C9D509C7EC98FFB22A318F23E09A"/>
      <w:r>
        <w:rPr>
          <w:rFonts w:hint="eastAsia"/>
          <w:highlight w:val="none"/>
          <w:lang w:val="en-US" w:eastAsia="zh-CN"/>
        </w:rPr>
        <w:t>GB 2894-2025 安全色和安全标志</w:t>
      </w:r>
    </w:p>
    <w:bookmarkEnd w:id="200"/>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GB/T 33000-2025 大中型企业安全生产标准化管理体系要求</w:t>
      </w:r>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GB 45673-2025 危险化学品企业安全生产标准化通用规范</w:t>
      </w:r>
    </w:p>
    <w:p>
      <w:pPr>
        <w:pStyle w:val="58"/>
        <w:numPr>
          <w:ilvl w:val="0"/>
          <w:numId w:val="57"/>
        </w:numPr>
        <w:ind w:left="0" w:leftChars="0" w:firstLine="420" w:firstLineChars="0"/>
        <w:rPr>
          <w:rFonts w:hint="eastAsia"/>
          <w:highlight w:val="none"/>
          <w:lang w:val="en-US" w:eastAsia="zh-CN"/>
        </w:rPr>
      </w:pPr>
      <w:bookmarkStart w:id="202" w:name="_CNKI5E10AF62099995C4F078A56805DD2D39"/>
      <w:r>
        <w:rPr>
          <w:rFonts w:hint="eastAsia"/>
          <w:highlight w:val="none"/>
          <w:lang w:val="en-US" w:eastAsia="zh-CN"/>
        </w:rPr>
        <w:t>GB/T 50358-2017 建设项目工程总承包管理规范</w:t>
      </w:r>
    </w:p>
    <w:bookmarkEnd w:id="202"/>
    <w:p>
      <w:pPr>
        <w:pStyle w:val="58"/>
        <w:numPr>
          <w:ilvl w:val="0"/>
          <w:numId w:val="57"/>
        </w:numPr>
        <w:ind w:left="0" w:leftChars="0" w:firstLine="420" w:firstLineChars="0"/>
        <w:rPr>
          <w:rFonts w:hint="eastAsia"/>
          <w:highlight w:val="none"/>
          <w:lang w:val="en-US" w:eastAsia="zh-CN"/>
        </w:rPr>
      </w:pPr>
      <w:bookmarkStart w:id="203" w:name="_CNKI7111ACC68D5448B0352B148DAC7D30C1"/>
      <w:r>
        <w:rPr>
          <w:rFonts w:hint="eastAsia"/>
          <w:highlight w:val="none"/>
          <w:lang w:val="en-US" w:eastAsia="zh-CN"/>
        </w:rPr>
        <w:t>GB 55034-2022 建筑与市政施工现场安全卫生与职业健康通用规范</w:t>
      </w:r>
      <w:bookmarkEnd w:id="203"/>
    </w:p>
    <w:p>
      <w:pPr>
        <w:pStyle w:val="58"/>
        <w:numPr>
          <w:ilvl w:val="0"/>
          <w:numId w:val="57"/>
        </w:numPr>
        <w:ind w:left="0" w:leftChars="0" w:firstLine="420" w:firstLineChars="0"/>
        <w:rPr>
          <w:rFonts w:hint="eastAsia"/>
          <w:highlight w:val="none"/>
          <w:lang w:val="en-US" w:eastAsia="zh-CN"/>
        </w:rPr>
      </w:pPr>
      <w:bookmarkStart w:id="204" w:name="_CNKI95A1B0D9D2D6DA397B55C4F0842EC31B"/>
      <w:bookmarkStart w:id="205" w:name="_CNKIE4B858B402A36E2A79AD5427C6CCBA90"/>
      <w:r>
        <w:rPr>
          <w:rFonts w:hint="eastAsia"/>
          <w:highlight w:val="none"/>
          <w:lang w:val="en-US" w:eastAsia="zh-CN"/>
        </w:rPr>
        <w:t>SL/T 789-2019 水利安全生产标准化通用规范</w:t>
      </w:r>
    </w:p>
    <w:bookmarkEnd w:id="204"/>
    <w:bookmarkEnd w:id="205"/>
    <w:p>
      <w:pPr>
        <w:pStyle w:val="58"/>
        <w:numPr>
          <w:ilvl w:val="0"/>
          <w:numId w:val="57"/>
        </w:numPr>
        <w:ind w:left="0" w:leftChars="0" w:firstLine="420" w:firstLineChars="0"/>
        <w:rPr>
          <w:rFonts w:hint="eastAsia"/>
          <w:highlight w:val="none"/>
          <w:lang w:val="en-US" w:eastAsia="zh-CN"/>
        </w:rPr>
      </w:pPr>
      <w:bookmarkStart w:id="206" w:name="_CNKI5AC678C9DBFBF0EADB93E351CBA297DD"/>
      <w:bookmarkStart w:id="207" w:name="_CNKI42CC9DF1309A35EF83CBCF8A98A3BE38"/>
      <w:r>
        <w:rPr>
          <w:rFonts w:hint="eastAsia"/>
          <w:highlight w:val="none"/>
          <w:lang w:val="en-US" w:eastAsia="zh-CN"/>
        </w:rPr>
        <w:t>JGJ 33-2012 建筑机械使用安全技术规程</w:t>
      </w:r>
      <w:bookmarkEnd w:id="206"/>
      <w:bookmarkEnd w:id="207"/>
      <w:bookmarkStart w:id="208" w:name="_CNKI841B78FE15ABB25D28584C0282943DF8"/>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JGJ 130-2011 建筑施工扣件式钢管脚手架安全技术规范</w:t>
      </w:r>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JGJ/T 188-2009 施工现场临时建筑物技术规范</w:t>
      </w:r>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 xml:space="preserve">YJ/T 9009-2015 生产安全事故应急演练评估规范  </w:t>
      </w:r>
    </w:p>
    <w:bookmarkEnd w:id="208"/>
    <w:p>
      <w:pPr>
        <w:pStyle w:val="58"/>
        <w:numPr>
          <w:ilvl w:val="0"/>
          <w:numId w:val="57"/>
        </w:numPr>
        <w:ind w:left="0" w:leftChars="0" w:firstLine="420" w:firstLineChars="0"/>
        <w:rPr>
          <w:rFonts w:hint="eastAsia"/>
          <w:highlight w:val="none"/>
          <w:lang w:val="en-US" w:eastAsia="zh-CN"/>
        </w:rPr>
      </w:pPr>
      <w:bookmarkStart w:id="209" w:name="_CNKI550A5D87FAB81742F25CC7646FA9B9D0"/>
      <w:r>
        <w:rPr>
          <w:rFonts w:hint="eastAsia"/>
          <w:highlight w:val="none"/>
          <w:lang w:val="en-US" w:eastAsia="zh-CN"/>
        </w:rPr>
        <w:t>DB11/T 1579-2025 生产安全事故应急预案实施情况评估要求</w:t>
      </w:r>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DB11/T 1745-2020 建筑工程施工技术管理规程</w:t>
      </w:r>
    </w:p>
    <w:bookmarkEnd w:id="209"/>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DB11/T 2332-2024 危险化学品企业安全操作规程编制要求</w:t>
      </w:r>
      <w:bookmarkEnd w:id="201"/>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中华人民共和国消防法（中华人民共和国主席令第81号）</w:t>
      </w:r>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中华人民共和国安全生产法（中华人民共和国主席令第88号）</w:t>
      </w:r>
    </w:p>
    <w:p>
      <w:pPr>
        <w:pStyle w:val="58"/>
        <w:numPr>
          <w:ilvl w:val="0"/>
          <w:numId w:val="57"/>
        </w:numPr>
        <w:ind w:left="0" w:leftChars="0" w:firstLine="420" w:firstLineChars="0"/>
        <w:rPr>
          <w:rFonts w:hint="eastAsia"/>
          <w:highlight w:val="none"/>
          <w:lang w:val="en-US" w:eastAsia="zh-CN"/>
        </w:rPr>
      </w:pPr>
      <w:bookmarkStart w:id="210" w:name="_CNKI16A2270CC23DBE48CACF6BA1D04CC442"/>
      <w:r>
        <w:rPr>
          <w:rFonts w:hint="eastAsia"/>
          <w:highlight w:val="none"/>
          <w:lang w:val="en-US" w:eastAsia="zh-CN"/>
        </w:rPr>
        <w:t>建设工程安全生产管理条例</w:t>
      </w:r>
      <w:bookmarkEnd w:id="210"/>
      <w:r>
        <w:rPr>
          <w:rFonts w:hint="eastAsia"/>
          <w:highlight w:val="none"/>
          <w:lang w:val="en-US" w:eastAsia="zh-CN"/>
        </w:rPr>
        <w:t>（中华人民共和国国务院令第393号）</w:t>
      </w:r>
    </w:p>
    <w:p>
      <w:pPr>
        <w:pStyle w:val="58"/>
        <w:numPr>
          <w:ilvl w:val="0"/>
          <w:numId w:val="57"/>
        </w:numPr>
        <w:ind w:left="0" w:leftChars="0" w:firstLine="420" w:firstLineChars="0"/>
        <w:rPr>
          <w:rFonts w:hint="eastAsia"/>
          <w:highlight w:val="none"/>
          <w:lang w:val="en-US" w:eastAsia="zh-CN"/>
        </w:rPr>
      </w:pPr>
      <w:r>
        <w:rPr>
          <w:rFonts w:hint="eastAsia"/>
          <w:highlight w:val="none"/>
          <w:lang w:val="en-US" w:eastAsia="zh-CN"/>
        </w:rPr>
        <w:t>生产安全事故应急条例（中华人民共和国国务院令第708号）</w:t>
      </w:r>
    </w:p>
    <w:p>
      <w:pPr>
        <w:pStyle w:val="58"/>
        <w:numPr>
          <w:ilvl w:val="0"/>
          <w:numId w:val="57"/>
        </w:numPr>
        <w:ind w:left="0" w:leftChars="0" w:firstLine="420" w:firstLineChars="0"/>
        <w:rPr>
          <w:rFonts w:hint="eastAsia"/>
          <w:highlight w:val="none"/>
          <w:lang w:val="en-US" w:eastAsia="zh-CN"/>
        </w:rPr>
      </w:pPr>
      <w:bookmarkStart w:id="211" w:name="_CNKI627AAC9A8208657C376FE92F8E54DFE5"/>
      <w:r>
        <w:rPr>
          <w:rFonts w:hint="eastAsia"/>
          <w:highlight w:val="none"/>
          <w:lang w:val="en-US" w:eastAsia="zh-CN"/>
        </w:rPr>
        <w:t>生产安全事故应急预案管理办法（中华人民共和国应急管理部令第2号）</w:t>
      </w:r>
    </w:p>
    <w:bookmarkEnd w:id="211"/>
    <w:p>
      <w:pPr>
        <w:pStyle w:val="58"/>
        <w:numPr>
          <w:ilvl w:val="0"/>
          <w:numId w:val="57"/>
        </w:numPr>
        <w:ind w:left="0" w:leftChars="0" w:firstLine="420" w:firstLineChars="0"/>
        <w:rPr>
          <w:rFonts w:hint="eastAsia"/>
          <w:highlight w:val="none"/>
          <w:lang w:val="en-US" w:eastAsia="zh-CN"/>
        </w:rPr>
      </w:pPr>
      <w:bookmarkStart w:id="212" w:name="_CNKI216A34158C30CA44FC2A6DD7A61DE26A"/>
      <w:r>
        <w:rPr>
          <w:rFonts w:hint="eastAsia"/>
          <w:highlight w:val="none"/>
          <w:lang w:val="en-US" w:eastAsia="zh-CN"/>
        </w:rPr>
        <w:t>生产经营单位安全培训规定（国家安全生产监督管理总局令第3号）</w:t>
      </w:r>
    </w:p>
    <w:bookmarkEnd w:id="212"/>
    <w:p>
      <w:pPr>
        <w:pStyle w:val="58"/>
        <w:numPr>
          <w:ilvl w:val="0"/>
          <w:numId w:val="57"/>
        </w:numPr>
        <w:ind w:left="0" w:leftChars="0" w:firstLine="420" w:firstLineChars="0"/>
        <w:rPr>
          <w:rFonts w:hint="eastAsia"/>
          <w:highlight w:val="none"/>
          <w:lang w:val="en-US" w:eastAsia="zh-CN"/>
        </w:rPr>
      </w:pPr>
      <w:bookmarkStart w:id="213" w:name="_CNKI5DCE5A760C0D7F8456E56AD61FF1F9E5"/>
      <w:r>
        <w:rPr>
          <w:rFonts w:hint="eastAsia"/>
          <w:highlight w:val="none"/>
          <w:lang w:val="en-US" w:eastAsia="zh-CN"/>
        </w:rPr>
        <w:t>水利工程建设安全生产管理规定（中华人民共和国水利部令第26号）</w:t>
      </w:r>
      <w:bookmarkEnd w:id="213"/>
    </w:p>
    <w:p>
      <w:pPr>
        <w:pStyle w:val="58"/>
        <w:numPr>
          <w:ilvl w:val="0"/>
          <w:numId w:val="57"/>
        </w:numPr>
        <w:ind w:left="0" w:leftChars="0" w:firstLine="420" w:firstLineChars="0"/>
        <w:rPr>
          <w:rFonts w:hint="eastAsia"/>
          <w:highlight w:val="none"/>
          <w:lang w:val="en-US" w:eastAsia="zh-CN"/>
        </w:rPr>
      </w:pPr>
      <w:bookmarkStart w:id="214" w:name="_CNKI4820AFC6080927C34BF773CF459FB119"/>
      <w:r>
        <w:rPr>
          <w:rFonts w:hint="eastAsia"/>
          <w:highlight w:val="none"/>
          <w:lang w:val="en-US" w:eastAsia="zh-CN"/>
        </w:rPr>
        <w:t>建筑起重机械安全监督管理规定（中华人民共和国建设部令第166号）</w:t>
      </w:r>
      <w:bookmarkEnd w:id="214"/>
    </w:p>
    <w:p>
      <w:pPr>
        <w:pStyle w:val="58"/>
        <w:numPr>
          <w:ilvl w:val="0"/>
          <w:numId w:val="57"/>
        </w:numPr>
        <w:ind w:left="0" w:leftChars="0" w:firstLine="420" w:firstLineChars="0"/>
        <w:rPr>
          <w:rFonts w:hint="eastAsia"/>
          <w:highlight w:val="none"/>
          <w:lang w:val="en-US" w:eastAsia="zh-CN"/>
        </w:rPr>
      </w:pPr>
      <w:bookmarkStart w:id="215" w:name="_CNKIA43C935F3AD0D615598600FF229812E4"/>
      <w:r>
        <w:rPr>
          <w:rFonts w:hint="eastAsia"/>
          <w:highlight w:val="none"/>
          <w:lang w:val="en-US" w:eastAsia="zh-CN"/>
        </w:rPr>
        <w:t>企业安全生产费用提取和使用管理办法（财资〔2022〕136号）</w:t>
      </w:r>
      <w:bookmarkEnd w:id="215"/>
      <w:bookmarkStart w:id="216" w:name="_CNKI7DDB4A47352B9E2DAD22AF936B514794"/>
    </w:p>
    <w:bookmarkEnd w:id="216"/>
    <w:p>
      <w:pPr>
        <w:pStyle w:val="58"/>
        <w:numPr>
          <w:ilvl w:val="0"/>
          <w:numId w:val="57"/>
        </w:numPr>
        <w:ind w:left="0" w:leftChars="0" w:firstLine="420" w:firstLineChars="0"/>
        <w:rPr>
          <w:rFonts w:hint="eastAsia"/>
          <w:highlight w:val="none"/>
          <w:lang w:val="en-US" w:eastAsia="zh-CN"/>
        </w:rPr>
      </w:pPr>
      <w:bookmarkStart w:id="217" w:name="_CNKIB7D231E3725801D6AB36BFD8DF0E23DF"/>
      <w:r>
        <w:rPr>
          <w:rFonts w:hint="eastAsia"/>
          <w:highlight w:val="none"/>
          <w:lang w:val="en-US" w:eastAsia="zh-CN"/>
        </w:rPr>
        <w:t>北京市生产安全事故隐患排查治理办法（北京市人民政府令第266号）</w:t>
      </w:r>
    </w:p>
    <w:bookmarkEnd w:id="217"/>
    <w:p>
      <w:pPr>
        <w:pStyle w:val="58"/>
        <w:numPr>
          <w:ilvl w:val="0"/>
          <w:numId w:val="57"/>
        </w:numPr>
        <w:ind w:left="0" w:leftChars="0" w:firstLine="420" w:firstLineChars="0"/>
        <w:rPr>
          <w:rFonts w:hint="eastAsia"/>
          <w:highlight w:val="none"/>
          <w:lang w:val="en-US" w:eastAsia="zh-CN"/>
        </w:rPr>
      </w:pPr>
      <w:bookmarkStart w:id="218" w:name="_CNKIED4D638F4BF116725B3386DDCBE5F14A"/>
      <w:r>
        <w:rPr>
          <w:rFonts w:hint="eastAsia"/>
          <w:highlight w:val="none"/>
          <w:lang w:val="en-US" w:eastAsia="zh-CN"/>
        </w:rPr>
        <w:t>北京市生产经营单位安全生产主体责任规定</w:t>
      </w:r>
      <w:bookmarkEnd w:id="218"/>
      <w:bookmarkStart w:id="219" w:name="_CNKIA346768C5B4CC5B1073D795A69D4E8F2"/>
      <w:r>
        <w:rPr>
          <w:rFonts w:hint="eastAsia"/>
          <w:highlight w:val="none"/>
          <w:lang w:val="en-US" w:eastAsia="zh-CN"/>
        </w:rPr>
        <w:t>（北京市人民政府令第285号）</w:t>
      </w:r>
    </w:p>
    <w:bookmarkEnd w:id="219"/>
    <w:p>
      <w:pPr>
        <w:pStyle w:val="58"/>
        <w:numPr>
          <w:ilvl w:val="0"/>
          <w:numId w:val="57"/>
        </w:numPr>
        <w:ind w:left="0" w:leftChars="0" w:firstLine="420" w:firstLineChars="0"/>
        <w:rPr>
          <w:rFonts w:hint="eastAsia"/>
          <w:highlight w:val="none"/>
          <w:lang w:val="en-US" w:eastAsia="zh-CN"/>
        </w:rPr>
      </w:pPr>
      <w:bookmarkStart w:id="220" w:name="_CNKID443ABE74B274288D430700C32E3D05B"/>
      <w:r>
        <w:rPr>
          <w:rFonts w:hint="eastAsia"/>
          <w:highlight w:val="none"/>
          <w:lang w:val="en-US" w:eastAsia="zh-CN"/>
        </w:rPr>
        <w:t>北京市单位消防安全主体责任规定</w:t>
      </w:r>
      <w:bookmarkEnd w:id="220"/>
      <w:bookmarkStart w:id="221" w:name="_CNKI53318F5FA1E4426DC87F9072DD464625"/>
      <w:r>
        <w:rPr>
          <w:rFonts w:hint="eastAsia"/>
          <w:highlight w:val="none"/>
          <w:lang w:val="en-US" w:eastAsia="zh-CN"/>
        </w:rPr>
        <w:t>（北京市人民政府令第310号）</w:t>
      </w:r>
    </w:p>
    <w:bookmarkEnd w:id="199"/>
    <w:bookmarkEnd w:id="221"/>
    <w:p>
      <w:pPr>
        <w:pStyle w:val="58"/>
        <w:bidi w:val="0"/>
        <w:ind w:firstLine="0" w:firstLineChars="0"/>
        <w:jc w:val="center"/>
        <w:rPr>
          <w:rFonts w:hint="eastAsia"/>
          <w:highlight w:val="none"/>
          <w:lang w:val="en-US" w:eastAsia="zh-CN"/>
        </w:rPr>
      </w:pPr>
      <w:bookmarkStart w:id="222" w:name="BookMark8"/>
      <w:r>
        <w:rPr>
          <w:rFonts w:hint="eastAsia"/>
          <w:highlight w:val="none"/>
          <w:lang w:val="en-US" w:eastAsia="zh-CN"/>
        </w:rPr>
        <w:drawing>
          <wp:inline distT="0" distB="0" distL="114300" distR="114300">
            <wp:extent cx="1485900" cy="317500"/>
            <wp:effectExtent l="0" t="0" r="0" b="6350"/>
            <wp:docPr id="8" name="图片 8" descr="1"/>
            <wp:cNvGraphicFramePr/>
            <a:graphic xmlns:a="http://schemas.openxmlformats.org/drawingml/2006/main">
              <a:graphicData uri="http://schemas.openxmlformats.org/drawingml/2006/picture">
                <pic:pic xmlns:pic="http://schemas.openxmlformats.org/drawingml/2006/picture">
                  <pic:nvPicPr>
                    <pic:cNvPr id="8" name="图片 8" descr="1"/>
                    <pic:cNvPicPr/>
                  </pic:nvPicPr>
                  <pic:blipFill>
                    <a:blip r:embed="rId31"/>
                    <a:stretch>
                      <a:fillRect/>
                    </a:stretch>
                  </pic:blipFill>
                  <pic:spPr>
                    <a:xfrm>
                      <a:off x="0" y="0"/>
                      <a:ext cx="1485900" cy="317500"/>
                    </a:xfrm>
                    <a:prstGeom prst="rect">
                      <a:avLst/>
                    </a:prstGeom>
                  </pic:spPr>
                </pic:pic>
              </a:graphicData>
            </a:graphic>
          </wp:inline>
        </w:drawing>
      </w:r>
      <w:bookmarkEnd w:id="222"/>
    </w:p>
    <w:sectPr>
      <w:headerReference r:id="rId25" w:type="default"/>
      <w:footerReference r:id="rId27" w:type="default"/>
      <w:headerReference r:id="rId26" w:type="even"/>
      <w:footerReference r:id="rId28" w:type="even"/>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䡡湄楮札䍓ⵆ潮瑳">
    <w:panose1 w:val="02010609000101010101"/>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bidi w:val="0"/>
    </w:pPr>
    <w:r>
      <w:fldChar w:fldCharType="begin"/>
    </w:r>
    <w:r>
      <w:instrText xml:space="preserve">PAGE   \* MERGEFORMAT</w:instrText>
    </w:r>
    <w:r>
      <w:fldChar w:fldCharType="separate"/>
    </w:r>
    <w:r>
      <w:rPr>
        <w:lang w:val="zh-CN"/>
      </w:rPr>
      <w:t>III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bidi w:val="0"/>
    </w:pPr>
    <w:r>
      <w:fldChar w:fldCharType="begin"/>
    </w:r>
    <w:r>
      <w:instrText xml:space="preserve"> PAGE   \* MERGEFORMAT \* MERGEFORMAT </w:instrText>
    </w:r>
    <w:r>
      <w:fldChar w:fldCharType="separate"/>
    </w:r>
    <w: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bidi w:val="0"/>
    </w:pPr>
    <w:r>
      <w:fldChar w:fldCharType="begin"/>
    </w:r>
    <w:r>
      <w:instrText xml:space="preserve">PAGE   \* MERGEFORMAT</w:instrText>
    </w:r>
    <w:r>
      <w:fldChar w:fldCharType="separate"/>
    </w:r>
    <w:r>
      <w:rPr>
        <w:lang w:val="zh-CN"/>
      </w:rPr>
      <w:t>III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bidi w:val="0"/>
    </w:pPr>
    <w:r>
      <w:fldChar w:fldCharType="begin"/>
    </w:r>
    <w:r>
      <w:instrText xml:space="preserve"> PAGE   \* MERGEFORMAT \* MERGEFORMAT </w:instrText>
    </w:r>
    <w:r>
      <w:fldChar w:fldCharType="separate"/>
    </w:r>
    <w:r>
      <w:t>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bidi w:val="0"/>
    </w:pPr>
    <w:r>
      <w:fldChar w:fldCharType="begin"/>
    </w:r>
    <w:r>
      <w:instrText xml:space="preserve">PAGE   \* MERGEFORMAT</w:instrText>
    </w:r>
    <w:r>
      <w:fldChar w:fldCharType="separate"/>
    </w:r>
    <w:r>
      <w:rPr>
        <w:lang w:val="zh-CN"/>
      </w:rPr>
      <w:t>V</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bidi w:val="0"/>
    </w:pPr>
    <w:r>
      <w:fldChar w:fldCharType="begin"/>
    </w:r>
    <w:r>
      <w:instrText xml:space="preserve"> PAGE   \* MERGEFORMAT \* MERGEFORMAT </w:instrText>
    </w:r>
    <w:r>
      <w:fldChar w:fldCharType="separate"/>
    </w:r>
    <w:r>
      <w:t>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bidi w:val="0"/>
    </w:pPr>
    <w:r>
      <w:fldChar w:fldCharType="begin"/>
    </w:r>
    <w:r>
      <w:instrText xml:space="preserve">PAGE   \* MERGEFORMAT</w:instrText>
    </w:r>
    <w:r>
      <w:fldChar w:fldCharType="separate"/>
    </w:r>
    <w:r>
      <w:rPr>
        <w:lang w:val="zh-CN"/>
      </w:rPr>
      <w:t>21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bidi w:val="0"/>
    </w:pPr>
    <w:r>
      <w:fldChar w:fldCharType="begin"/>
    </w:r>
    <w:r>
      <w:instrText xml:space="preserve"> PAGE   \* MERGEFORMAT \* MERGEFORMAT </w:instrText>
    </w:r>
    <w:r>
      <w:fldChar w:fldCharType="separate"/>
    </w:r>
    <w:r>
      <w:t>2</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bidi w:val="0"/>
    </w:pPr>
    <w:r>
      <w:fldChar w:fldCharType="begin"/>
    </w:r>
    <w:r>
      <w:instrText xml:space="preserve">PAGE   \* MERGEFORMAT</w:instrText>
    </w:r>
    <w:r>
      <w:fldChar w:fldCharType="separate"/>
    </w:r>
    <w:r>
      <w:rPr>
        <w:lang w:val="zh-CN"/>
      </w:rPr>
      <w:t>99</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bidi w:val="0"/>
    </w:pPr>
    <w:r>
      <w:fldChar w:fldCharType="begin"/>
    </w:r>
    <w:r>
      <w:instrText xml:space="preserve"> PAGE   \* MERGEFORMAT \* MERGEFORMAT </w:instrText>
    </w:r>
    <w:r>
      <w:fldChar w:fldCharType="separate"/>
    </w:r>
    <w:r>
      <w:t>102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bidi w:val="0"/>
    </w:pPr>
    <w:r>
      <w:fldChar w:fldCharType="begin"/>
    </w:r>
    <w:r>
      <w:instrText xml:space="preserve"> STYLEREF  标准文件_文件编号  \* MERGEFORMAT </w:instrText>
    </w:r>
    <w:r>
      <w:fldChar w:fldCharType="separate"/>
    </w:r>
    <w:r>
      <w:t>DB11/T 1322.66—XXXX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bidi w:val="0"/>
    </w:pPr>
    <w:r>
      <w:fldChar w:fldCharType="begin"/>
    </w:r>
    <w:r>
      <w:instrText xml:space="preserve"> STYLEREF  标准文件_文件编号 \* MERGEFORMAT </w:instrText>
    </w:r>
    <w:r>
      <w:fldChar w:fldCharType="separate"/>
    </w:r>
    <w:r>
      <w:t>DB11/T 1322.66—XXXX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bidi w:val="0"/>
    </w:pPr>
    <w:r>
      <w:fldChar w:fldCharType="begin"/>
    </w:r>
    <w:r>
      <w:instrText xml:space="preserve"> STYLEREF  标准文件_文件编号  \* MERGEFORMAT </w:instrText>
    </w:r>
    <w:r>
      <w:fldChar w:fldCharType="separate"/>
    </w:r>
    <w:r>
      <w:t>DB11/T 1322.66—XXXX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bidi w:val="0"/>
    </w:pPr>
    <w:r>
      <w:fldChar w:fldCharType="begin"/>
    </w:r>
    <w:r>
      <w:instrText xml:space="preserve"> STYLEREF  标准文件_文件编号 \* MERGEFORMAT </w:instrText>
    </w:r>
    <w:r>
      <w:fldChar w:fldCharType="separate"/>
    </w:r>
    <w:r>
      <w:t>DB11/T 1322.66—XXXX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bidi w:val="0"/>
    </w:pPr>
    <w:r>
      <w:fldChar w:fldCharType="begin"/>
    </w:r>
    <w:r>
      <w:instrText xml:space="preserve"> STYLEREF  标准文件_文件编号  \* MERGEFORMAT </w:instrText>
    </w:r>
    <w:r>
      <w:fldChar w:fldCharType="separate"/>
    </w:r>
    <w:r>
      <w:t>DB11/T 1322.66—XXXX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bidi w:val="0"/>
    </w:pPr>
    <w:r>
      <w:fldChar w:fldCharType="begin"/>
    </w:r>
    <w:r>
      <w:instrText xml:space="preserve"> STYLEREF  标准文件_文件编号 \* MERGEFORMAT </w:instrText>
    </w:r>
    <w:r>
      <w:fldChar w:fldCharType="separate"/>
    </w:r>
    <w:r>
      <w:t>DB11/T 1322.66—XXXX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bidi w:val="0"/>
    </w:pPr>
    <w:r>
      <w:fldChar w:fldCharType="begin"/>
    </w:r>
    <w:r>
      <w:instrText xml:space="preserve"> STYLEREF  标准文件_文件编号  \* MERGEFORMAT </w:instrText>
    </w:r>
    <w:r>
      <w:fldChar w:fldCharType="separate"/>
    </w:r>
    <w:r>
      <w:t>DB11/T 1322.66—XXXX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bidi w:val="0"/>
    </w:pPr>
    <w:r>
      <w:fldChar w:fldCharType="begin"/>
    </w:r>
    <w:r>
      <w:instrText xml:space="preserve"> STYLEREF  标准文件_文件编号 \* MERGEFORMAT </w:instrText>
    </w:r>
    <w:r>
      <w:fldChar w:fldCharType="separate"/>
    </w:r>
    <w:r>
      <w:t>DB11/T 1322.66—XXXX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bidi w:val="0"/>
    </w:pPr>
    <w:r>
      <w:fldChar w:fldCharType="begin"/>
    </w:r>
    <w:r>
      <w:instrText xml:space="preserve"> STYLEREF  标准文件_文件编号  \* MERGEFORMAT </w:instrText>
    </w:r>
    <w:r>
      <w:fldChar w:fldCharType="separate"/>
    </w:r>
    <w:r>
      <w:t>DB11/T 1322.66—XXXX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bidi w:val="0"/>
    </w:pPr>
    <w:r>
      <w:fldChar w:fldCharType="begin"/>
    </w:r>
    <w:r>
      <w:instrText xml:space="preserve"> STYLEREF  标准文件_文件编号 \* MERGEFORMAT </w:instrText>
    </w:r>
    <w:r>
      <w:fldChar w:fldCharType="separate"/>
    </w:r>
    <w:r>
      <w:t>DB11/T 1322.66—XXXX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A67BB6"/>
    <w:multiLevelType w:val="multilevel"/>
    <w:tmpl w:val="C0A67BB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D5885118"/>
    <w:multiLevelType w:val="multilevel"/>
    <w:tmpl w:val="D588511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EA4C910B"/>
    <w:multiLevelType w:val="multilevel"/>
    <w:tmpl w:val="EA4C910B"/>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F2341455"/>
    <w:multiLevelType w:val="multilevel"/>
    <w:tmpl w:val="F234145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5">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7">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9">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1">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4">
    <w:nsid w:val="2221E6C2"/>
    <w:multiLevelType w:val="multilevel"/>
    <w:tmpl w:val="2221E6C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2907DC90"/>
    <w:multiLevelType w:val="singleLevel"/>
    <w:tmpl w:val="2907DC90"/>
    <w:lvl w:ilvl="0" w:tentative="0">
      <w:start w:val="1"/>
      <w:numFmt w:val="decimal"/>
      <w:suff w:val="space"/>
      <w:lvlText w:val="[%1]"/>
      <w:lvlJc w:val="left"/>
      <w:pPr>
        <w:ind w:left="0" w:firstLine="420"/>
      </w:pPr>
      <w:rPr>
        <w:rFonts w:hint="default"/>
        <w:sz w:val="21"/>
        <w:szCs w:val="21"/>
      </w:rPr>
    </w:lvl>
  </w:abstractNum>
  <w:abstractNum w:abstractNumId="16">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7">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8">
    <w:nsid w:val="44C50F90"/>
    <w:multiLevelType w:val="multilevel"/>
    <w:tmpl w:val="44C50F90"/>
    <w:lvl w:ilvl="0" w:tentative="0">
      <w:start w:val="1"/>
      <w:numFmt w:val="lowerLetter"/>
      <w:lvlText w:val="%1)"/>
      <w:lvlJc w:val="left"/>
      <w:pPr>
        <w:tabs>
          <w:tab w:val="left" w:pos="851"/>
        </w:tabs>
        <w:ind w:left="851" w:hanging="426"/>
      </w:pPr>
      <w:rPr>
        <w:rFonts w:hint="default" w:ascii="宋体" w:hAnsi="Times New Roman" w:eastAsia="宋体"/>
        <w:strike w:val="0"/>
        <w:dstrike w:val="0"/>
        <w:sz w:val="21"/>
        <w:highlight w:val="none"/>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0">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1">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2">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3">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5">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F76DA81"/>
    <w:multiLevelType w:val="multilevel"/>
    <w:tmpl w:val="5F76DA8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7">
    <w:nsid w:val="61B8B315"/>
    <w:multiLevelType w:val="multilevel"/>
    <w:tmpl w:val="61B8B31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8">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9">
    <w:nsid w:val="646260FA"/>
    <w:multiLevelType w:val="multilevel"/>
    <w:tmpl w:val="646260FA"/>
    <w:lvl w:ilvl="0" w:tentative="0">
      <w:start w:val="1"/>
      <w:numFmt w:val="decimal"/>
      <w:pStyle w:val="114"/>
      <w:suff w:val="nothing"/>
      <w:lvlText w:val="表%1　"/>
      <w:lvlJc w:val="left"/>
      <w:pPr>
        <w:ind w:left="6663" w:firstLine="0"/>
      </w:pPr>
    </w:lvl>
    <w:lvl w:ilvl="1" w:tentative="0">
      <w:start w:val="1"/>
      <w:numFmt w:val="decimal"/>
      <w:lvlText w:val="%1.%2"/>
      <w:lvlJc w:val="left"/>
      <w:pPr>
        <w:tabs>
          <w:tab w:val="left" w:pos="7655"/>
        </w:tabs>
        <w:ind w:left="7655" w:hanging="567"/>
      </w:pPr>
    </w:lvl>
    <w:lvl w:ilvl="2" w:tentative="0">
      <w:start w:val="1"/>
      <w:numFmt w:val="decimal"/>
      <w:lvlText w:val="%1.%2.%3"/>
      <w:lvlJc w:val="left"/>
      <w:pPr>
        <w:tabs>
          <w:tab w:val="left" w:pos="8080"/>
        </w:tabs>
        <w:ind w:left="8080" w:hanging="567"/>
      </w:pPr>
    </w:lvl>
    <w:lvl w:ilvl="3" w:tentative="0">
      <w:start w:val="1"/>
      <w:numFmt w:val="decimal"/>
      <w:lvlText w:val="%1.%2.%3.%4"/>
      <w:lvlJc w:val="left"/>
      <w:pPr>
        <w:tabs>
          <w:tab w:val="left" w:pos="8647"/>
        </w:tabs>
        <w:ind w:left="8647" w:hanging="708"/>
      </w:pPr>
    </w:lvl>
    <w:lvl w:ilvl="4" w:tentative="0">
      <w:start w:val="1"/>
      <w:numFmt w:val="decimal"/>
      <w:lvlText w:val="%1.%2.%3.%4.%5"/>
      <w:lvlJc w:val="left"/>
      <w:pPr>
        <w:tabs>
          <w:tab w:val="left" w:pos="9214"/>
        </w:tabs>
        <w:ind w:left="9214" w:hanging="850"/>
      </w:pPr>
    </w:lvl>
    <w:lvl w:ilvl="5" w:tentative="0">
      <w:start w:val="1"/>
      <w:numFmt w:val="decimal"/>
      <w:lvlText w:val="%1.%2.%3.%4.%5.%6"/>
      <w:lvlJc w:val="left"/>
      <w:pPr>
        <w:tabs>
          <w:tab w:val="left" w:pos="9923"/>
        </w:tabs>
        <w:ind w:left="9923" w:hanging="1134"/>
      </w:pPr>
    </w:lvl>
    <w:lvl w:ilvl="6" w:tentative="0">
      <w:start w:val="1"/>
      <w:numFmt w:val="decimal"/>
      <w:lvlText w:val="%1.%2.%3.%4.%5.%6.%7"/>
      <w:lvlJc w:val="left"/>
      <w:pPr>
        <w:tabs>
          <w:tab w:val="left" w:pos="10490"/>
        </w:tabs>
        <w:ind w:left="10490" w:hanging="1276"/>
      </w:pPr>
    </w:lvl>
    <w:lvl w:ilvl="7" w:tentative="0">
      <w:start w:val="1"/>
      <w:numFmt w:val="decimal"/>
      <w:lvlText w:val="%1.%2.%3.%4.%5.%6.%7.%8"/>
      <w:lvlJc w:val="left"/>
      <w:pPr>
        <w:tabs>
          <w:tab w:val="left" w:pos="11057"/>
        </w:tabs>
        <w:ind w:left="11057" w:hanging="1418"/>
      </w:pPr>
    </w:lvl>
    <w:lvl w:ilvl="8" w:tentative="0">
      <w:start w:val="1"/>
      <w:numFmt w:val="decimal"/>
      <w:lvlText w:val="%1.%2.%3.%4.%5.%6.%7.%8.%9"/>
      <w:lvlJc w:val="left"/>
      <w:pPr>
        <w:tabs>
          <w:tab w:val="left" w:pos="11765"/>
        </w:tabs>
        <w:ind w:left="11765" w:hanging="1700"/>
      </w:pPr>
    </w:lvl>
  </w:abstractNum>
  <w:abstractNum w:abstractNumId="30">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1">
    <w:nsid w:val="657D3FBC"/>
    <w:multiLevelType w:val="multilevel"/>
    <w:tmpl w:val="657D3FBC"/>
    <w:lvl w:ilvl="0" w:tentative="0">
      <w:start w:val="1"/>
      <w:numFmt w:val="upperLetter"/>
      <w:pStyle w:val="78"/>
      <w:suff w:val="nothing"/>
      <w:lvlText w:val="附录%1"/>
      <w:lvlJc w:val="left"/>
      <w:pPr>
        <w:ind w:left="7939"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2">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3">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7"/>
      <w:suff w:val="nothing"/>
      <w:lvlText w:val="%1%2.%3.%4　"/>
      <w:lvlJc w:val="left"/>
      <w:pPr>
        <w:ind w:left="0" w:firstLine="0"/>
      </w:pPr>
      <w:rPr>
        <w:rFonts w:hint="eastAsia" w:ascii="黑体" w:eastAsia="黑体"/>
        <w:b w:val="0"/>
        <w:i w:val="0"/>
        <w:sz w:val="21"/>
      </w:rPr>
    </w:lvl>
    <w:lvl w:ilvl="4" w:tentative="0">
      <w:start w:val="1"/>
      <w:numFmt w:val="decimal"/>
      <w:pStyle w:val="96"/>
      <w:suff w:val="nothing"/>
      <w:lvlText w:val="%1%2.%3.%4.%5　"/>
      <w:lvlJc w:val="left"/>
      <w:pPr>
        <w:ind w:left="851" w:firstLine="0"/>
      </w:pPr>
      <w:rPr>
        <w:rFonts w:hint="default" w:ascii="黑体" w:eastAsia="黑体"/>
        <w:b w:val="0"/>
        <w:i w:val="0"/>
        <w:strike w:val="0"/>
        <w:dstrike w:val="0"/>
        <w:sz w:val="21"/>
        <w:highlight w:val="none"/>
      </w:rPr>
    </w:lvl>
    <w:lvl w:ilvl="5" w:tentative="0">
      <w:start w:val="1"/>
      <w:numFmt w:val="decimal"/>
      <w:pStyle w:val="100"/>
      <w:suff w:val="nothing"/>
      <w:lvlText w:val="%1%2.%3.%4.%5.%6　"/>
      <w:lvlJc w:val="left"/>
      <w:pPr>
        <w:ind w:left="284" w:firstLine="0"/>
      </w:pPr>
      <w:rPr>
        <w:rFonts w:hint="eastAsia" w:ascii="黑体" w:eastAsia="黑体"/>
        <w:b w:val="0"/>
        <w:i w:val="0"/>
        <w:sz w:val="21"/>
      </w:rPr>
    </w:lvl>
    <w:lvl w:ilvl="6" w:tentative="0">
      <w:start w:val="1"/>
      <w:numFmt w:val="decimal"/>
      <w:pStyle w:val="10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6">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7">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8">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5"/>
  </w:num>
  <w:num w:numId="3">
    <w:abstractNumId w:val="9"/>
  </w:num>
  <w:num w:numId="4">
    <w:abstractNumId w:val="31"/>
  </w:num>
  <w:num w:numId="5">
    <w:abstractNumId w:val="24"/>
  </w:num>
  <w:num w:numId="6">
    <w:abstractNumId w:val="19"/>
  </w:num>
  <w:num w:numId="7">
    <w:abstractNumId w:val="12"/>
  </w:num>
  <w:num w:numId="8">
    <w:abstractNumId w:val="7"/>
  </w:num>
  <w:num w:numId="9">
    <w:abstractNumId w:val="13"/>
  </w:num>
  <w:num w:numId="10">
    <w:abstractNumId w:val="22"/>
  </w:num>
  <w:num w:numId="11">
    <w:abstractNumId w:val="33"/>
  </w:num>
  <w:num w:numId="12">
    <w:abstractNumId w:val="17"/>
  </w:num>
  <w:num w:numId="13">
    <w:abstractNumId w:val="2"/>
  </w:num>
  <w:num w:numId="14">
    <w:abstractNumId w:val="11"/>
  </w:num>
  <w:num w:numId="15">
    <w:abstractNumId w:val="25"/>
  </w:num>
  <w:num w:numId="16">
    <w:abstractNumId w:val="29"/>
  </w:num>
  <w:num w:numId="17">
    <w:abstractNumId w:val="23"/>
  </w:num>
  <w:num w:numId="18">
    <w:abstractNumId w:val="37"/>
  </w:num>
  <w:num w:numId="19">
    <w:abstractNumId w:val="21"/>
  </w:num>
  <w:num w:numId="20">
    <w:abstractNumId w:val="5"/>
  </w:num>
  <w:num w:numId="21">
    <w:abstractNumId w:val="16"/>
  </w:num>
  <w:num w:numId="22">
    <w:abstractNumId w:val="38"/>
  </w:num>
  <w:num w:numId="23">
    <w:abstractNumId w:val="28"/>
  </w:num>
  <w:num w:numId="24">
    <w:abstractNumId w:val="10"/>
  </w:num>
  <w:num w:numId="25">
    <w:abstractNumId w:val="34"/>
  </w:num>
  <w:num w:numId="26">
    <w:abstractNumId w:val="36"/>
  </w:num>
  <w:num w:numId="27">
    <w:abstractNumId w:val="6"/>
  </w:num>
  <w:num w:numId="28">
    <w:abstractNumId w:val="8"/>
  </w:num>
  <w:num w:numId="29">
    <w:abstractNumId w:val="20"/>
  </w:num>
  <w:num w:numId="30">
    <w:abstractNumId w:val="32"/>
  </w:num>
  <w:num w:numId="31">
    <w:abstractNumId w:val="30"/>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num>
  <w:num w:numId="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true"/>
  <w:bordersDoNotSurroundHeader w:val="false"/>
  <w:bordersDoNotSurroundFooter w:val="false"/>
  <w:hideSpellingErrors/>
  <w:documentProtection w:edit="forms"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0A"/>
    <w:rsid w:val="00000A94"/>
    <w:rsid w:val="00001139"/>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273CC"/>
    <w:rsid w:val="000303C3"/>
    <w:rsid w:val="000331D3"/>
    <w:rsid w:val="000332DE"/>
    <w:rsid w:val="000346A5"/>
    <w:rsid w:val="000359C3"/>
    <w:rsid w:val="00035A7D"/>
    <w:rsid w:val="000365ED"/>
    <w:rsid w:val="0004249A"/>
    <w:rsid w:val="00043282"/>
    <w:rsid w:val="00044286"/>
    <w:rsid w:val="00044EF2"/>
    <w:rsid w:val="00047F28"/>
    <w:rsid w:val="000503AA"/>
    <w:rsid w:val="000506A1"/>
    <w:rsid w:val="000515DD"/>
    <w:rsid w:val="00051853"/>
    <w:rsid w:val="0005265A"/>
    <w:rsid w:val="000539DD"/>
    <w:rsid w:val="00053BD3"/>
    <w:rsid w:val="00053CB0"/>
    <w:rsid w:val="000556ED"/>
    <w:rsid w:val="00055FE2"/>
    <w:rsid w:val="0005616F"/>
    <w:rsid w:val="00060C2E"/>
    <w:rsid w:val="00061033"/>
    <w:rsid w:val="000619E9"/>
    <w:rsid w:val="000622D4"/>
    <w:rsid w:val="0006357D"/>
    <w:rsid w:val="00067F1E"/>
    <w:rsid w:val="00071CC0"/>
    <w:rsid w:val="00073C8C"/>
    <w:rsid w:val="00077B64"/>
    <w:rsid w:val="00080A1C"/>
    <w:rsid w:val="00081380"/>
    <w:rsid w:val="00081C45"/>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6F"/>
    <w:rsid w:val="000C11DB"/>
    <w:rsid w:val="000C1492"/>
    <w:rsid w:val="000C2FBD"/>
    <w:rsid w:val="000C4B41"/>
    <w:rsid w:val="000C57D6"/>
    <w:rsid w:val="000C6362"/>
    <w:rsid w:val="000C7666"/>
    <w:rsid w:val="000D0A9C"/>
    <w:rsid w:val="000D1795"/>
    <w:rsid w:val="000D2A39"/>
    <w:rsid w:val="000D329A"/>
    <w:rsid w:val="000D4B9C"/>
    <w:rsid w:val="000D4EB6"/>
    <w:rsid w:val="000D753B"/>
    <w:rsid w:val="000E174D"/>
    <w:rsid w:val="000E4C9E"/>
    <w:rsid w:val="000E6FD7"/>
    <w:rsid w:val="000F06E1"/>
    <w:rsid w:val="000F0E3C"/>
    <w:rsid w:val="000F19D5"/>
    <w:rsid w:val="000F1A3A"/>
    <w:rsid w:val="000F2F54"/>
    <w:rsid w:val="000F4AEA"/>
    <w:rsid w:val="000F633F"/>
    <w:rsid w:val="000F67E9"/>
    <w:rsid w:val="000F7971"/>
    <w:rsid w:val="00104926"/>
    <w:rsid w:val="00110B7D"/>
    <w:rsid w:val="0011157B"/>
    <w:rsid w:val="001137B2"/>
    <w:rsid w:val="00113B1E"/>
    <w:rsid w:val="00116095"/>
    <w:rsid w:val="0011711C"/>
    <w:rsid w:val="0012059C"/>
    <w:rsid w:val="00124E4F"/>
    <w:rsid w:val="001260B7"/>
    <w:rsid w:val="001265CB"/>
    <w:rsid w:val="001321C6"/>
    <w:rsid w:val="001325C4"/>
    <w:rsid w:val="00133010"/>
    <w:rsid w:val="001338EE"/>
    <w:rsid w:val="00133AAE"/>
    <w:rsid w:val="001352D7"/>
    <w:rsid w:val="00135323"/>
    <w:rsid w:val="001356C4"/>
    <w:rsid w:val="00141114"/>
    <w:rsid w:val="00142969"/>
    <w:rsid w:val="001446C2"/>
    <w:rsid w:val="00144E1C"/>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7730F"/>
    <w:rsid w:val="001852C9"/>
    <w:rsid w:val="0018644D"/>
    <w:rsid w:val="00186575"/>
    <w:rsid w:val="00190087"/>
    <w:rsid w:val="001913C4"/>
    <w:rsid w:val="0019348F"/>
    <w:rsid w:val="00193A07"/>
    <w:rsid w:val="00194C32"/>
    <w:rsid w:val="00194C95"/>
    <w:rsid w:val="00195C34"/>
    <w:rsid w:val="00196EF5"/>
    <w:rsid w:val="001A1A53"/>
    <w:rsid w:val="001A234A"/>
    <w:rsid w:val="001A4315"/>
    <w:rsid w:val="001A4CF3"/>
    <w:rsid w:val="001B06E8"/>
    <w:rsid w:val="001B325B"/>
    <w:rsid w:val="001B5A59"/>
    <w:rsid w:val="001B71D0"/>
    <w:rsid w:val="001B71EE"/>
    <w:rsid w:val="001C04A8"/>
    <w:rsid w:val="001C2C03"/>
    <w:rsid w:val="001C42F7"/>
    <w:rsid w:val="001C49E5"/>
    <w:rsid w:val="001C680C"/>
    <w:rsid w:val="001C7FEA"/>
    <w:rsid w:val="001D01A6"/>
    <w:rsid w:val="001D0499"/>
    <w:rsid w:val="001D0BBE"/>
    <w:rsid w:val="001D0ED4"/>
    <w:rsid w:val="001D1FEF"/>
    <w:rsid w:val="001D212F"/>
    <w:rsid w:val="001D29D7"/>
    <w:rsid w:val="001D2DE7"/>
    <w:rsid w:val="001D411C"/>
    <w:rsid w:val="001D7D62"/>
    <w:rsid w:val="001E1B6A"/>
    <w:rsid w:val="001E2484"/>
    <w:rsid w:val="001E3CC4"/>
    <w:rsid w:val="001E4882"/>
    <w:rsid w:val="001E5AA7"/>
    <w:rsid w:val="001E73AB"/>
    <w:rsid w:val="001F092D"/>
    <w:rsid w:val="001F0935"/>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10EE"/>
    <w:rsid w:val="002142EA"/>
    <w:rsid w:val="002204BB"/>
    <w:rsid w:val="00221B79"/>
    <w:rsid w:val="00221C6B"/>
    <w:rsid w:val="002247BA"/>
    <w:rsid w:val="002253A1"/>
    <w:rsid w:val="00225CF8"/>
    <w:rsid w:val="0022605C"/>
    <w:rsid w:val="0022794E"/>
    <w:rsid w:val="00233D64"/>
    <w:rsid w:val="0023482A"/>
    <w:rsid w:val="002359CB"/>
    <w:rsid w:val="0023653B"/>
    <w:rsid w:val="00243540"/>
    <w:rsid w:val="0024497B"/>
    <w:rsid w:val="0024515B"/>
    <w:rsid w:val="00246021"/>
    <w:rsid w:val="0024666E"/>
    <w:rsid w:val="00247F52"/>
    <w:rsid w:val="00250B25"/>
    <w:rsid w:val="00250BBE"/>
    <w:rsid w:val="002515C2"/>
    <w:rsid w:val="0025194F"/>
    <w:rsid w:val="00253129"/>
    <w:rsid w:val="00256A9E"/>
    <w:rsid w:val="0026130D"/>
    <w:rsid w:val="0026148A"/>
    <w:rsid w:val="00262696"/>
    <w:rsid w:val="00263D25"/>
    <w:rsid w:val="002643C3"/>
    <w:rsid w:val="00264A0C"/>
    <w:rsid w:val="00266EEB"/>
    <w:rsid w:val="00267EF4"/>
    <w:rsid w:val="00270CB8"/>
    <w:rsid w:val="00272B08"/>
    <w:rsid w:val="002771AC"/>
    <w:rsid w:val="002811E1"/>
    <w:rsid w:val="00281BB8"/>
    <w:rsid w:val="00281E9E"/>
    <w:rsid w:val="00282405"/>
    <w:rsid w:val="00285170"/>
    <w:rsid w:val="00285361"/>
    <w:rsid w:val="00292D60"/>
    <w:rsid w:val="00293B30"/>
    <w:rsid w:val="00294D34"/>
    <w:rsid w:val="00294E3B"/>
    <w:rsid w:val="00296193"/>
    <w:rsid w:val="00296707"/>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6DD7"/>
    <w:rsid w:val="002C7EBB"/>
    <w:rsid w:val="002D06C1"/>
    <w:rsid w:val="002D2ED6"/>
    <w:rsid w:val="002D382B"/>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36E4"/>
    <w:rsid w:val="00323F34"/>
    <w:rsid w:val="00324D13"/>
    <w:rsid w:val="00324D2A"/>
    <w:rsid w:val="00324EDD"/>
    <w:rsid w:val="00331C56"/>
    <w:rsid w:val="003331E4"/>
    <w:rsid w:val="00336C64"/>
    <w:rsid w:val="00337162"/>
    <w:rsid w:val="0034194F"/>
    <w:rsid w:val="00344605"/>
    <w:rsid w:val="003474AA"/>
    <w:rsid w:val="00350D1D"/>
    <w:rsid w:val="00352C83"/>
    <w:rsid w:val="00357EFB"/>
    <w:rsid w:val="003615D2"/>
    <w:rsid w:val="0036429C"/>
    <w:rsid w:val="00364A53"/>
    <w:rsid w:val="003654CB"/>
    <w:rsid w:val="00365AA9"/>
    <w:rsid w:val="00365F86"/>
    <w:rsid w:val="00365F87"/>
    <w:rsid w:val="00366E89"/>
    <w:rsid w:val="003705F4"/>
    <w:rsid w:val="00370D58"/>
    <w:rsid w:val="00371316"/>
    <w:rsid w:val="00372277"/>
    <w:rsid w:val="00376713"/>
    <w:rsid w:val="00377F3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4911"/>
    <w:rsid w:val="00395700"/>
    <w:rsid w:val="003974EB"/>
    <w:rsid w:val="00397CC5"/>
    <w:rsid w:val="003A1582"/>
    <w:rsid w:val="003A2C20"/>
    <w:rsid w:val="003A4077"/>
    <w:rsid w:val="003B09AD"/>
    <w:rsid w:val="003B1956"/>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08B"/>
    <w:rsid w:val="003E1C53"/>
    <w:rsid w:val="003E2A69"/>
    <w:rsid w:val="003E2D49"/>
    <w:rsid w:val="003E2FD4"/>
    <w:rsid w:val="003E49F6"/>
    <w:rsid w:val="003E660F"/>
    <w:rsid w:val="003F0841"/>
    <w:rsid w:val="003F23D3"/>
    <w:rsid w:val="003F29E3"/>
    <w:rsid w:val="003F3F08"/>
    <w:rsid w:val="003F49F1"/>
    <w:rsid w:val="003F5E08"/>
    <w:rsid w:val="003F6272"/>
    <w:rsid w:val="00400E72"/>
    <w:rsid w:val="00401400"/>
    <w:rsid w:val="00401CDF"/>
    <w:rsid w:val="00404869"/>
    <w:rsid w:val="00405884"/>
    <w:rsid w:val="00407D39"/>
    <w:rsid w:val="0041477A"/>
    <w:rsid w:val="00415D78"/>
    <w:rsid w:val="004167A3"/>
    <w:rsid w:val="00432DAA"/>
    <w:rsid w:val="00434305"/>
    <w:rsid w:val="00435DF7"/>
    <w:rsid w:val="0044083F"/>
    <w:rsid w:val="00441AE7"/>
    <w:rsid w:val="00445574"/>
    <w:rsid w:val="004467FB"/>
    <w:rsid w:val="00452D6B"/>
    <w:rsid w:val="00453DBD"/>
    <w:rsid w:val="00454484"/>
    <w:rsid w:val="0045517B"/>
    <w:rsid w:val="00463B77"/>
    <w:rsid w:val="00463C7B"/>
    <w:rsid w:val="004644A6"/>
    <w:rsid w:val="004659BD"/>
    <w:rsid w:val="00465A5A"/>
    <w:rsid w:val="00470775"/>
    <w:rsid w:val="0047420A"/>
    <w:rsid w:val="004746B1"/>
    <w:rsid w:val="0047583F"/>
    <w:rsid w:val="00475DE8"/>
    <w:rsid w:val="00480228"/>
    <w:rsid w:val="00481567"/>
    <w:rsid w:val="00481C44"/>
    <w:rsid w:val="00484936"/>
    <w:rsid w:val="0048583C"/>
    <w:rsid w:val="00485C89"/>
    <w:rsid w:val="00486BE3"/>
    <w:rsid w:val="0048716A"/>
    <w:rsid w:val="004905E4"/>
    <w:rsid w:val="00490A89"/>
    <w:rsid w:val="00490AB4"/>
    <w:rsid w:val="00492F02"/>
    <w:rsid w:val="004939AE"/>
    <w:rsid w:val="004A08F8"/>
    <w:rsid w:val="004A12DF"/>
    <w:rsid w:val="004A1397"/>
    <w:rsid w:val="004A17E6"/>
    <w:rsid w:val="004A1BA8"/>
    <w:rsid w:val="004A4B57"/>
    <w:rsid w:val="004A63FA"/>
    <w:rsid w:val="004B0272"/>
    <w:rsid w:val="004B2701"/>
    <w:rsid w:val="004B2E1B"/>
    <w:rsid w:val="004B3AA8"/>
    <w:rsid w:val="004B3E93"/>
    <w:rsid w:val="004B6E24"/>
    <w:rsid w:val="004C1FBC"/>
    <w:rsid w:val="004C3F1D"/>
    <w:rsid w:val="004C458D"/>
    <w:rsid w:val="004C600A"/>
    <w:rsid w:val="004C7556"/>
    <w:rsid w:val="004C7E8B"/>
    <w:rsid w:val="004C7E9D"/>
    <w:rsid w:val="004C7F67"/>
    <w:rsid w:val="004D076D"/>
    <w:rsid w:val="004D0EF1"/>
    <w:rsid w:val="004D2253"/>
    <w:rsid w:val="004D4406"/>
    <w:rsid w:val="004D52E6"/>
    <w:rsid w:val="004D7C42"/>
    <w:rsid w:val="004E0465"/>
    <w:rsid w:val="004E127B"/>
    <w:rsid w:val="004E1C0A"/>
    <w:rsid w:val="004E2B06"/>
    <w:rsid w:val="004E30C5"/>
    <w:rsid w:val="004E43BF"/>
    <w:rsid w:val="004E4AA5"/>
    <w:rsid w:val="004E4AEE"/>
    <w:rsid w:val="004E59E3"/>
    <w:rsid w:val="004E67C0"/>
    <w:rsid w:val="004F011D"/>
    <w:rsid w:val="004F391A"/>
    <w:rsid w:val="004F3CFB"/>
    <w:rsid w:val="004F6456"/>
    <w:rsid w:val="004F696E"/>
    <w:rsid w:val="004F6C71"/>
    <w:rsid w:val="004F7C06"/>
    <w:rsid w:val="00501139"/>
    <w:rsid w:val="005022B3"/>
    <w:rsid w:val="0050363E"/>
    <w:rsid w:val="005039BC"/>
    <w:rsid w:val="005043BB"/>
    <w:rsid w:val="00504A3D"/>
    <w:rsid w:val="00505767"/>
    <w:rsid w:val="005067AC"/>
    <w:rsid w:val="005073F0"/>
    <w:rsid w:val="00510A7B"/>
    <w:rsid w:val="00512F6E"/>
    <w:rsid w:val="00513038"/>
    <w:rsid w:val="00514174"/>
    <w:rsid w:val="00516088"/>
    <w:rsid w:val="00516B0B"/>
    <w:rsid w:val="0051731F"/>
    <w:rsid w:val="00517353"/>
    <w:rsid w:val="0052204D"/>
    <w:rsid w:val="005220EC"/>
    <w:rsid w:val="00523F95"/>
    <w:rsid w:val="00524D65"/>
    <w:rsid w:val="00525B16"/>
    <w:rsid w:val="00525B22"/>
    <w:rsid w:val="005268AB"/>
    <w:rsid w:val="005339A5"/>
    <w:rsid w:val="00533D04"/>
    <w:rsid w:val="00534804"/>
    <w:rsid w:val="00534BDF"/>
    <w:rsid w:val="005354EA"/>
    <w:rsid w:val="0053585F"/>
    <w:rsid w:val="00535EC4"/>
    <w:rsid w:val="00535ED9"/>
    <w:rsid w:val="0053692B"/>
    <w:rsid w:val="00541853"/>
    <w:rsid w:val="00543060"/>
    <w:rsid w:val="00543BDA"/>
    <w:rsid w:val="005441CC"/>
    <w:rsid w:val="005479DA"/>
    <w:rsid w:val="00547BCC"/>
    <w:rsid w:val="0055013B"/>
    <w:rsid w:val="00551F6F"/>
    <w:rsid w:val="00555044"/>
    <w:rsid w:val="00561475"/>
    <w:rsid w:val="005623BB"/>
    <w:rsid w:val="0056487B"/>
    <w:rsid w:val="00564FB9"/>
    <w:rsid w:val="005714C6"/>
    <w:rsid w:val="00573D9E"/>
    <w:rsid w:val="005801E3"/>
    <w:rsid w:val="00581802"/>
    <w:rsid w:val="0058340C"/>
    <w:rsid w:val="005836A8"/>
    <w:rsid w:val="0058409C"/>
    <w:rsid w:val="00584262"/>
    <w:rsid w:val="00586630"/>
    <w:rsid w:val="00586650"/>
    <w:rsid w:val="00587ADD"/>
    <w:rsid w:val="005905D3"/>
    <w:rsid w:val="00591E27"/>
    <w:rsid w:val="00596160"/>
    <w:rsid w:val="005966E2"/>
    <w:rsid w:val="00597007"/>
    <w:rsid w:val="005A0966"/>
    <w:rsid w:val="005A11B7"/>
    <w:rsid w:val="005A1C13"/>
    <w:rsid w:val="005A260B"/>
    <w:rsid w:val="005A4576"/>
    <w:rsid w:val="005A4A1B"/>
    <w:rsid w:val="005A7830"/>
    <w:rsid w:val="005A7FCE"/>
    <w:rsid w:val="005B0F3F"/>
    <w:rsid w:val="005B22B4"/>
    <w:rsid w:val="005B4903"/>
    <w:rsid w:val="005B51CE"/>
    <w:rsid w:val="005B5885"/>
    <w:rsid w:val="005B5CD7"/>
    <w:rsid w:val="005B6CF6"/>
    <w:rsid w:val="005B7422"/>
    <w:rsid w:val="005C29B8"/>
    <w:rsid w:val="005C5F21"/>
    <w:rsid w:val="005C7156"/>
    <w:rsid w:val="005D0804"/>
    <w:rsid w:val="005D0C75"/>
    <w:rsid w:val="005D4171"/>
    <w:rsid w:val="005D6A95"/>
    <w:rsid w:val="005D6B2C"/>
    <w:rsid w:val="005D6D9C"/>
    <w:rsid w:val="005E2335"/>
    <w:rsid w:val="005E34CA"/>
    <w:rsid w:val="005E3C18"/>
    <w:rsid w:val="005E5106"/>
    <w:rsid w:val="005E6812"/>
    <w:rsid w:val="005E7881"/>
    <w:rsid w:val="005E78E0"/>
    <w:rsid w:val="005F0D9C"/>
    <w:rsid w:val="005F1CCC"/>
    <w:rsid w:val="005F284E"/>
    <w:rsid w:val="005F3E73"/>
    <w:rsid w:val="005F4712"/>
    <w:rsid w:val="006015CE"/>
    <w:rsid w:val="00604784"/>
    <w:rsid w:val="00606419"/>
    <w:rsid w:val="00607D29"/>
    <w:rsid w:val="00612952"/>
    <w:rsid w:val="00614CC1"/>
    <w:rsid w:val="00615A9D"/>
    <w:rsid w:val="00617387"/>
    <w:rsid w:val="006205D6"/>
    <w:rsid w:val="00621A18"/>
    <w:rsid w:val="00621C19"/>
    <w:rsid w:val="00623975"/>
    <w:rsid w:val="006252D8"/>
    <w:rsid w:val="006259BC"/>
    <w:rsid w:val="0062636B"/>
    <w:rsid w:val="00627E6B"/>
    <w:rsid w:val="00632182"/>
    <w:rsid w:val="00632AE0"/>
    <w:rsid w:val="00633C17"/>
    <w:rsid w:val="00634D9E"/>
    <w:rsid w:val="00635F11"/>
    <w:rsid w:val="00636E3E"/>
    <w:rsid w:val="006379F7"/>
    <w:rsid w:val="00637E4D"/>
    <w:rsid w:val="00640620"/>
    <w:rsid w:val="00641A1F"/>
    <w:rsid w:val="00645904"/>
    <w:rsid w:val="00645992"/>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2ADF"/>
    <w:rsid w:val="006840A6"/>
    <w:rsid w:val="006850CD"/>
    <w:rsid w:val="00685A45"/>
    <w:rsid w:val="00685AAB"/>
    <w:rsid w:val="00694A3F"/>
    <w:rsid w:val="00695D22"/>
    <w:rsid w:val="006A07AA"/>
    <w:rsid w:val="006A25E5"/>
    <w:rsid w:val="006A2B46"/>
    <w:rsid w:val="006A336D"/>
    <w:rsid w:val="006A37B9"/>
    <w:rsid w:val="006A3B5E"/>
    <w:rsid w:val="006B2672"/>
    <w:rsid w:val="006B54BF"/>
    <w:rsid w:val="006B5F44"/>
    <w:rsid w:val="006B5F90"/>
    <w:rsid w:val="006B62E4"/>
    <w:rsid w:val="006B7075"/>
    <w:rsid w:val="006B73A7"/>
    <w:rsid w:val="006C1BBA"/>
    <w:rsid w:val="006C2079"/>
    <w:rsid w:val="006C5A62"/>
    <w:rsid w:val="006C5D68"/>
    <w:rsid w:val="006C5E39"/>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06F3"/>
    <w:rsid w:val="00704387"/>
    <w:rsid w:val="00707669"/>
    <w:rsid w:val="00711CBA"/>
    <w:rsid w:val="00711FB5"/>
    <w:rsid w:val="00712A01"/>
    <w:rsid w:val="007135E7"/>
    <w:rsid w:val="00714F58"/>
    <w:rsid w:val="00720A07"/>
    <w:rsid w:val="00722FBF"/>
    <w:rsid w:val="00722FC2"/>
    <w:rsid w:val="00724879"/>
    <w:rsid w:val="00724E1B"/>
    <w:rsid w:val="00725949"/>
    <w:rsid w:val="00727014"/>
    <w:rsid w:val="00727FA2"/>
    <w:rsid w:val="007322D9"/>
    <w:rsid w:val="00732BC0"/>
    <w:rsid w:val="0073720F"/>
    <w:rsid w:val="00737796"/>
    <w:rsid w:val="0074165C"/>
    <w:rsid w:val="00742B8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3DB8"/>
    <w:rsid w:val="0076479D"/>
    <w:rsid w:val="00765C43"/>
    <w:rsid w:val="00765EFB"/>
    <w:rsid w:val="007671CA"/>
    <w:rsid w:val="00767C61"/>
    <w:rsid w:val="0077008A"/>
    <w:rsid w:val="00773C1F"/>
    <w:rsid w:val="00774DA4"/>
    <w:rsid w:val="007758AC"/>
    <w:rsid w:val="00776599"/>
    <w:rsid w:val="00780819"/>
    <w:rsid w:val="0078114B"/>
    <w:rsid w:val="00781DD2"/>
    <w:rsid w:val="00783ECF"/>
    <w:rsid w:val="0078413A"/>
    <w:rsid w:val="007959E8"/>
    <w:rsid w:val="00795E9C"/>
    <w:rsid w:val="007A0521"/>
    <w:rsid w:val="007A2E12"/>
    <w:rsid w:val="007A3406"/>
    <w:rsid w:val="007A3475"/>
    <w:rsid w:val="007A3D08"/>
    <w:rsid w:val="007A41C8"/>
    <w:rsid w:val="007A4C2E"/>
    <w:rsid w:val="007A54CE"/>
    <w:rsid w:val="007A6FD9"/>
    <w:rsid w:val="007A7FFA"/>
    <w:rsid w:val="007B04EB"/>
    <w:rsid w:val="007B0D4F"/>
    <w:rsid w:val="007B3375"/>
    <w:rsid w:val="007B5A3D"/>
    <w:rsid w:val="007B5B95"/>
    <w:rsid w:val="007B68EA"/>
    <w:rsid w:val="007B7453"/>
    <w:rsid w:val="007C1E8B"/>
    <w:rsid w:val="007C2D89"/>
    <w:rsid w:val="007C4593"/>
    <w:rsid w:val="007C5309"/>
    <w:rsid w:val="007C6069"/>
    <w:rsid w:val="007D061C"/>
    <w:rsid w:val="007D06C4"/>
    <w:rsid w:val="007D1352"/>
    <w:rsid w:val="007D2508"/>
    <w:rsid w:val="007D346A"/>
    <w:rsid w:val="007D6518"/>
    <w:rsid w:val="007D75D8"/>
    <w:rsid w:val="007D76BD"/>
    <w:rsid w:val="007E0BF1"/>
    <w:rsid w:val="007E4CA5"/>
    <w:rsid w:val="007F0ED8"/>
    <w:rsid w:val="007F0F63"/>
    <w:rsid w:val="007F75CE"/>
    <w:rsid w:val="008013A4"/>
    <w:rsid w:val="008027CE"/>
    <w:rsid w:val="00802F42"/>
    <w:rsid w:val="00804383"/>
    <w:rsid w:val="00804BB7"/>
    <w:rsid w:val="00804D41"/>
    <w:rsid w:val="0081000B"/>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89D"/>
    <w:rsid w:val="00840F84"/>
    <w:rsid w:val="00842A47"/>
    <w:rsid w:val="00843C13"/>
    <w:rsid w:val="008454F8"/>
    <w:rsid w:val="00845BBB"/>
    <w:rsid w:val="00846ECF"/>
    <w:rsid w:val="00847875"/>
    <w:rsid w:val="0085173A"/>
    <w:rsid w:val="00855BFE"/>
    <w:rsid w:val="00856316"/>
    <w:rsid w:val="00857177"/>
    <w:rsid w:val="008603CE"/>
    <w:rsid w:val="008620FC"/>
    <w:rsid w:val="008627A5"/>
    <w:rsid w:val="00863E05"/>
    <w:rsid w:val="00865ACA"/>
    <w:rsid w:val="00865D28"/>
    <w:rsid w:val="00865F85"/>
    <w:rsid w:val="00867C10"/>
    <w:rsid w:val="00870439"/>
    <w:rsid w:val="00870614"/>
    <w:rsid w:val="0087087B"/>
    <w:rsid w:val="00870DA1"/>
    <w:rsid w:val="00883159"/>
    <w:rsid w:val="00883F93"/>
    <w:rsid w:val="00884DB3"/>
    <w:rsid w:val="00885A9D"/>
    <w:rsid w:val="008861F5"/>
    <w:rsid w:val="008864F6"/>
    <w:rsid w:val="0089049D"/>
    <w:rsid w:val="008928C9"/>
    <w:rsid w:val="008930CB"/>
    <w:rsid w:val="008938DC"/>
    <w:rsid w:val="00893FD1"/>
    <w:rsid w:val="00894836"/>
    <w:rsid w:val="00895172"/>
    <w:rsid w:val="00895680"/>
    <w:rsid w:val="00896DFF"/>
    <w:rsid w:val="0089762C"/>
    <w:rsid w:val="008A1893"/>
    <w:rsid w:val="008A2738"/>
    <w:rsid w:val="008A3215"/>
    <w:rsid w:val="008A57E6"/>
    <w:rsid w:val="008A6F81"/>
    <w:rsid w:val="008A769A"/>
    <w:rsid w:val="008B0C9C"/>
    <w:rsid w:val="008B1170"/>
    <w:rsid w:val="008B166D"/>
    <w:rsid w:val="008B17F4"/>
    <w:rsid w:val="008B3615"/>
    <w:rsid w:val="008B4AC4"/>
    <w:rsid w:val="008B50C8"/>
    <w:rsid w:val="008B5281"/>
    <w:rsid w:val="008B7E05"/>
    <w:rsid w:val="008C1797"/>
    <w:rsid w:val="008C219C"/>
    <w:rsid w:val="008C475E"/>
    <w:rsid w:val="008C619A"/>
    <w:rsid w:val="008C671D"/>
    <w:rsid w:val="008D0CE8"/>
    <w:rsid w:val="008D2877"/>
    <w:rsid w:val="008D2D1D"/>
    <w:rsid w:val="008D453D"/>
    <w:rsid w:val="008D53AD"/>
    <w:rsid w:val="008D562B"/>
    <w:rsid w:val="008D5733"/>
    <w:rsid w:val="008D622B"/>
    <w:rsid w:val="008D666C"/>
    <w:rsid w:val="008D731A"/>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283A"/>
    <w:rsid w:val="009062E6"/>
    <w:rsid w:val="00911BE5"/>
    <w:rsid w:val="00913CA9"/>
    <w:rsid w:val="009145AE"/>
    <w:rsid w:val="009146CE"/>
    <w:rsid w:val="00914CA7"/>
    <w:rsid w:val="00915C3E"/>
    <w:rsid w:val="009161A8"/>
    <w:rsid w:val="009201C3"/>
    <w:rsid w:val="009245F5"/>
    <w:rsid w:val="009249EC"/>
    <w:rsid w:val="009273B3"/>
    <w:rsid w:val="009305B5"/>
    <w:rsid w:val="009343E1"/>
    <w:rsid w:val="009429D5"/>
    <w:rsid w:val="00942BF1"/>
    <w:rsid w:val="00945180"/>
    <w:rsid w:val="00945428"/>
    <w:rsid w:val="0094607B"/>
    <w:rsid w:val="0095102D"/>
    <w:rsid w:val="00953604"/>
    <w:rsid w:val="0095496B"/>
    <w:rsid w:val="00954A6E"/>
    <w:rsid w:val="009610DC"/>
    <w:rsid w:val="00961490"/>
    <w:rsid w:val="00962ED8"/>
    <w:rsid w:val="00962EEE"/>
    <w:rsid w:val="0096381A"/>
    <w:rsid w:val="00965E04"/>
    <w:rsid w:val="009674AD"/>
    <w:rsid w:val="00970CDC"/>
    <w:rsid w:val="00971A4D"/>
    <w:rsid w:val="00971E42"/>
    <w:rsid w:val="00977010"/>
    <w:rsid w:val="00977D02"/>
    <w:rsid w:val="009809BB"/>
    <w:rsid w:val="0098364B"/>
    <w:rsid w:val="00985E7C"/>
    <w:rsid w:val="009911AF"/>
    <w:rsid w:val="00991875"/>
    <w:rsid w:val="00991F92"/>
    <w:rsid w:val="00992985"/>
    <w:rsid w:val="00993889"/>
    <w:rsid w:val="0099551B"/>
    <w:rsid w:val="00995B0A"/>
    <w:rsid w:val="00996E93"/>
    <w:rsid w:val="00997BF1"/>
    <w:rsid w:val="009A089C"/>
    <w:rsid w:val="009A118E"/>
    <w:rsid w:val="009A21CD"/>
    <w:rsid w:val="009A278C"/>
    <w:rsid w:val="009A2BC2"/>
    <w:rsid w:val="009A42C1"/>
    <w:rsid w:val="009A4377"/>
    <w:rsid w:val="009A5429"/>
    <w:rsid w:val="009A6E02"/>
    <w:rsid w:val="009A72AD"/>
    <w:rsid w:val="009B09E0"/>
    <w:rsid w:val="009B0BC5"/>
    <w:rsid w:val="009B1247"/>
    <w:rsid w:val="009B46F9"/>
    <w:rsid w:val="009B6029"/>
    <w:rsid w:val="009B6971"/>
    <w:rsid w:val="009C27F1"/>
    <w:rsid w:val="009C3152"/>
    <w:rsid w:val="009C4CFA"/>
    <w:rsid w:val="009C5070"/>
    <w:rsid w:val="009C6C0D"/>
    <w:rsid w:val="009D0EA3"/>
    <w:rsid w:val="009D112C"/>
    <w:rsid w:val="009D47FA"/>
    <w:rsid w:val="009D4C5B"/>
    <w:rsid w:val="009D50D2"/>
    <w:rsid w:val="009D6BCA"/>
    <w:rsid w:val="009E0F62"/>
    <w:rsid w:val="009E4A58"/>
    <w:rsid w:val="009E5A2D"/>
    <w:rsid w:val="009E5AB2"/>
    <w:rsid w:val="009E6219"/>
    <w:rsid w:val="009F03B3"/>
    <w:rsid w:val="009F4620"/>
    <w:rsid w:val="00A0096C"/>
    <w:rsid w:val="00A010BF"/>
    <w:rsid w:val="00A01757"/>
    <w:rsid w:val="00A028C0"/>
    <w:rsid w:val="00A02BAE"/>
    <w:rsid w:val="00A06A6B"/>
    <w:rsid w:val="00A07E47"/>
    <w:rsid w:val="00A129D0"/>
    <w:rsid w:val="00A12C33"/>
    <w:rsid w:val="00A13060"/>
    <w:rsid w:val="00A138BA"/>
    <w:rsid w:val="00A14C8E"/>
    <w:rsid w:val="00A153D9"/>
    <w:rsid w:val="00A15F09"/>
    <w:rsid w:val="00A169B6"/>
    <w:rsid w:val="00A2271D"/>
    <w:rsid w:val="00A237D5"/>
    <w:rsid w:val="00A30EFC"/>
    <w:rsid w:val="00A31984"/>
    <w:rsid w:val="00A3285E"/>
    <w:rsid w:val="00A32D73"/>
    <w:rsid w:val="00A3367B"/>
    <w:rsid w:val="00A34F2C"/>
    <w:rsid w:val="00A3597D"/>
    <w:rsid w:val="00A36DD1"/>
    <w:rsid w:val="00A4006C"/>
    <w:rsid w:val="00A40091"/>
    <w:rsid w:val="00A4030F"/>
    <w:rsid w:val="00A41141"/>
    <w:rsid w:val="00A41C79"/>
    <w:rsid w:val="00A41CB5"/>
    <w:rsid w:val="00A42CDF"/>
    <w:rsid w:val="00A4452E"/>
    <w:rsid w:val="00A4472C"/>
    <w:rsid w:val="00A44E69"/>
    <w:rsid w:val="00A4661E"/>
    <w:rsid w:val="00A51446"/>
    <w:rsid w:val="00A55BD6"/>
    <w:rsid w:val="00A55D50"/>
    <w:rsid w:val="00A57142"/>
    <w:rsid w:val="00A635DC"/>
    <w:rsid w:val="00A648CD"/>
    <w:rsid w:val="00A6537A"/>
    <w:rsid w:val="00A66CA9"/>
    <w:rsid w:val="00A67866"/>
    <w:rsid w:val="00A70B07"/>
    <w:rsid w:val="00A723F8"/>
    <w:rsid w:val="00A77CCB"/>
    <w:rsid w:val="00A83D8D"/>
    <w:rsid w:val="00A8446B"/>
    <w:rsid w:val="00A8473F"/>
    <w:rsid w:val="00A862D6"/>
    <w:rsid w:val="00A8715E"/>
    <w:rsid w:val="00A9295B"/>
    <w:rsid w:val="00A92D83"/>
    <w:rsid w:val="00A93B09"/>
    <w:rsid w:val="00A94247"/>
    <w:rsid w:val="00A952D7"/>
    <w:rsid w:val="00A963F7"/>
    <w:rsid w:val="00A96AD8"/>
    <w:rsid w:val="00AA052C"/>
    <w:rsid w:val="00AA1E45"/>
    <w:rsid w:val="00AA4286"/>
    <w:rsid w:val="00AA456B"/>
    <w:rsid w:val="00AA57F5"/>
    <w:rsid w:val="00AA5DB0"/>
    <w:rsid w:val="00AA670E"/>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1C34"/>
    <w:rsid w:val="00AD21F3"/>
    <w:rsid w:val="00AD4126"/>
    <w:rsid w:val="00AD421C"/>
    <w:rsid w:val="00AD44FA"/>
    <w:rsid w:val="00AE070A"/>
    <w:rsid w:val="00AE101C"/>
    <w:rsid w:val="00AE37E5"/>
    <w:rsid w:val="00AE5EB4"/>
    <w:rsid w:val="00AE668C"/>
    <w:rsid w:val="00AE783A"/>
    <w:rsid w:val="00AF0B19"/>
    <w:rsid w:val="00AF0C18"/>
    <w:rsid w:val="00AF47C5"/>
    <w:rsid w:val="00AF5398"/>
    <w:rsid w:val="00B02F6A"/>
    <w:rsid w:val="00B045A2"/>
    <w:rsid w:val="00B049AF"/>
    <w:rsid w:val="00B07242"/>
    <w:rsid w:val="00B10534"/>
    <w:rsid w:val="00B113DB"/>
    <w:rsid w:val="00B11D8A"/>
    <w:rsid w:val="00B1279B"/>
    <w:rsid w:val="00B12981"/>
    <w:rsid w:val="00B147DD"/>
    <w:rsid w:val="00B156FD"/>
    <w:rsid w:val="00B21F61"/>
    <w:rsid w:val="00B261F1"/>
    <w:rsid w:val="00B265BC"/>
    <w:rsid w:val="00B26C24"/>
    <w:rsid w:val="00B31FB1"/>
    <w:rsid w:val="00B33952"/>
    <w:rsid w:val="00B33C5E"/>
    <w:rsid w:val="00B342F4"/>
    <w:rsid w:val="00B3435B"/>
    <w:rsid w:val="00B34369"/>
    <w:rsid w:val="00B34DC2"/>
    <w:rsid w:val="00B378E5"/>
    <w:rsid w:val="00B4346D"/>
    <w:rsid w:val="00B440F4"/>
    <w:rsid w:val="00B447A5"/>
    <w:rsid w:val="00B4654C"/>
    <w:rsid w:val="00B46AF0"/>
    <w:rsid w:val="00B47293"/>
    <w:rsid w:val="00B50E50"/>
    <w:rsid w:val="00B52120"/>
    <w:rsid w:val="00B54ABC"/>
    <w:rsid w:val="00B54DB2"/>
    <w:rsid w:val="00B54DDE"/>
    <w:rsid w:val="00B56FBE"/>
    <w:rsid w:val="00B57040"/>
    <w:rsid w:val="00B60ACF"/>
    <w:rsid w:val="00B62B58"/>
    <w:rsid w:val="00B65149"/>
    <w:rsid w:val="00B66567"/>
    <w:rsid w:val="00B66F52"/>
    <w:rsid w:val="00B66FE5"/>
    <w:rsid w:val="00B701B7"/>
    <w:rsid w:val="00B71F97"/>
    <w:rsid w:val="00B72880"/>
    <w:rsid w:val="00B758BF"/>
    <w:rsid w:val="00B77EC8"/>
    <w:rsid w:val="00B827A6"/>
    <w:rsid w:val="00B831CE"/>
    <w:rsid w:val="00B865D5"/>
    <w:rsid w:val="00B86677"/>
    <w:rsid w:val="00B87131"/>
    <w:rsid w:val="00B91017"/>
    <w:rsid w:val="00B939B1"/>
    <w:rsid w:val="00B96D40"/>
    <w:rsid w:val="00B97386"/>
    <w:rsid w:val="00BA263B"/>
    <w:rsid w:val="00BA42B2"/>
    <w:rsid w:val="00BA58D4"/>
    <w:rsid w:val="00BA58E1"/>
    <w:rsid w:val="00BA5B9E"/>
    <w:rsid w:val="00BA7C9A"/>
    <w:rsid w:val="00BB203B"/>
    <w:rsid w:val="00BB5AAC"/>
    <w:rsid w:val="00BB5F8F"/>
    <w:rsid w:val="00BB657A"/>
    <w:rsid w:val="00BC1A4E"/>
    <w:rsid w:val="00BC4790"/>
    <w:rsid w:val="00BC4A58"/>
    <w:rsid w:val="00BC5DC7"/>
    <w:rsid w:val="00BC6B8B"/>
    <w:rsid w:val="00BC73D8"/>
    <w:rsid w:val="00BC781B"/>
    <w:rsid w:val="00BD52D7"/>
    <w:rsid w:val="00BD5AD2"/>
    <w:rsid w:val="00BE22F3"/>
    <w:rsid w:val="00BE5B52"/>
    <w:rsid w:val="00BE7B8D"/>
    <w:rsid w:val="00BF0993"/>
    <w:rsid w:val="00BF10A9"/>
    <w:rsid w:val="00BF1703"/>
    <w:rsid w:val="00BF231C"/>
    <w:rsid w:val="00BF51E5"/>
    <w:rsid w:val="00BF52BD"/>
    <w:rsid w:val="00BF6D64"/>
    <w:rsid w:val="00BF71D6"/>
    <w:rsid w:val="00BF74A6"/>
    <w:rsid w:val="00C013AD"/>
    <w:rsid w:val="00C01E96"/>
    <w:rsid w:val="00C04904"/>
    <w:rsid w:val="00C056B3"/>
    <w:rsid w:val="00C06B64"/>
    <w:rsid w:val="00C103E5"/>
    <w:rsid w:val="00C13319"/>
    <w:rsid w:val="00C13EE9"/>
    <w:rsid w:val="00C21540"/>
    <w:rsid w:val="00C21906"/>
    <w:rsid w:val="00C21BFA"/>
    <w:rsid w:val="00C22148"/>
    <w:rsid w:val="00C24C8D"/>
    <w:rsid w:val="00C25A61"/>
    <w:rsid w:val="00C25FE2"/>
    <w:rsid w:val="00C2622F"/>
    <w:rsid w:val="00C26B53"/>
    <w:rsid w:val="00C279B2"/>
    <w:rsid w:val="00C32ADF"/>
    <w:rsid w:val="00C33E50"/>
    <w:rsid w:val="00C34C20"/>
    <w:rsid w:val="00C35A3E"/>
    <w:rsid w:val="00C36B5B"/>
    <w:rsid w:val="00C37114"/>
    <w:rsid w:val="00C42130"/>
    <w:rsid w:val="00C423A4"/>
    <w:rsid w:val="00C44BF5"/>
    <w:rsid w:val="00C521D6"/>
    <w:rsid w:val="00C55232"/>
    <w:rsid w:val="00C553A4"/>
    <w:rsid w:val="00C55A06"/>
    <w:rsid w:val="00C55D03"/>
    <w:rsid w:val="00C57126"/>
    <w:rsid w:val="00C601BC"/>
    <w:rsid w:val="00C6329F"/>
    <w:rsid w:val="00C63340"/>
    <w:rsid w:val="00C643F9"/>
    <w:rsid w:val="00C64E95"/>
    <w:rsid w:val="00C71372"/>
    <w:rsid w:val="00C72410"/>
    <w:rsid w:val="00C7287F"/>
    <w:rsid w:val="00C80982"/>
    <w:rsid w:val="00C80CB8"/>
    <w:rsid w:val="00C819F8"/>
    <w:rsid w:val="00C8248C"/>
    <w:rsid w:val="00C84E33"/>
    <w:rsid w:val="00C85478"/>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0D21"/>
    <w:rsid w:val="00CB1A42"/>
    <w:rsid w:val="00CB1B0C"/>
    <w:rsid w:val="00CB2C0B"/>
    <w:rsid w:val="00CB517D"/>
    <w:rsid w:val="00CB7B5C"/>
    <w:rsid w:val="00CC038D"/>
    <w:rsid w:val="00CC08DB"/>
    <w:rsid w:val="00CC25F3"/>
    <w:rsid w:val="00CC26B6"/>
    <w:rsid w:val="00CC39FF"/>
    <w:rsid w:val="00CC3C2F"/>
    <w:rsid w:val="00CC4AC8"/>
    <w:rsid w:val="00CC5233"/>
    <w:rsid w:val="00CC5DE6"/>
    <w:rsid w:val="00CC6E36"/>
    <w:rsid w:val="00CC6E4E"/>
    <w:rsid w:val="00CC6FE8"/>
    <w:rsid w:val="00CC7202"/>
    <w:rsid w:val="00CD2808"/>
    <w:rsid w:val="00CD28BF"/>
    <w:rsid w:val="00CD4092"/>
    <w:rsid w:val="00CD4A20"/>
    <w:rsid w:val="00CD50A1"/>
    <w:rsid w:val="00CD519E"/>
    <w:rsid w:val="00CD537D"/>
    <w:rsid w:val="00CD561D"/>
    <w:rsid w:val="00CE0C4F"/>
    <w:rsid w:val="00CE191C"/>
    <w:rsid w:val="00CE30EA"/>
    <w:rsid w:val="00CF048A"/>
    <w:rsid w:val="00CF155A"/>
    <w:rsid w:val="00CF2947"/>
    <w:rsid w:val="00CF5500"/>
    <w:rsid w:val="00CF686F"/>
    <w:rsid w:val="00CF6E60"/>
    <w:rsid w:val="00CF7BCA"/>
    <w:rsid w:val="00D008FD"/>
    <w:rsid w:val="00D03026"/>
    <w:rsid w:val="00D0321C"/>
    <w:rsid w:val="00D035EC"/>
    <w:rsid w:val="00D06AB1"/>
    <w:rsid w:val="00D072ED"/>
    <w:rsid w:val="00D07A16"/>
    <w:rsid w:val="00D1067E"/>
    <w:rsid w:val="00D10F50"/>
    <w:rsid w:val="00D11272"/>
    <w:rsid w:val="00D126F5"/>
    <w:rsid w:val="00D1489E"/>
    <w:rsid w:val="00D177FB"/>
    <w:rsid w:val="00D20737"/>
    <w:rsid w:val="00D20B4D"/>
    <w:rsid w:val="00D21E81"/>
    <w:rsid w:val="00D223DE"/>
    <w:rsid w:val="00D25E37"/>
    <w:rsid w:val="00D2661A"/>
    <w:rsid w:val="00D27582"/>
    <w:rsid w:val="00D27EC4"/>
    <w:rsid w:val="00D32719"/>
    <w:rsid w:val="00D33333"/>
    <w:rsid w:val="00D33457"/>
    <w:rsid w:val="00D352A2"/>
    <w:rsid w:val="00D3660F"/>
    <w:rsid w:val="00D36FBC"/>
    <w:rsid w:val="00D4162B"/>
    <w:rsid w:val="00D4514F"/>
    <w:rsid w:val="00D451E2"/>
    <w:rsid w:val="00D45E89"/>
    <w:rsid w:val="00D45E8D"/>
    <w:rsid w:val="00D466AE"/>
    <w:rsid w:val="00D4734F"/>
    <w:rsid w:val="00D51BF3"/>
    <w:rsid w:val="00D61D06"/>
    <w:rsid w:val="00D66846"/>
    <w:rsid w:val="00D675FB"/>
    <w:rsid w:val="00D71F25"/>
    <w:rsid w:val="00D72A9C"/>
    <w:rsid w:val="00D77031"/>
    <w:rsid w:val="00D84941"/>
    <w:rsid w:val="00D84DA8"/>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3C3B"/>
    <w:rsid w:val="00DA5191"/>
    <w:rsid w:val="00DA64F8"/>
    <w:rsid w:val="00DA6C15"/>
    <w:rsid w:val="00DB0258"/>
    <w:rsid w:val="00DB38EE"/>
    <w:rsid w:val="00DB498B"/>
    <w:rsid w:val="00DB66CA"/>
    <w:rsid w:val="00DB6A06"/>
    <w:rsid w:val="00DB6BCA"/>
    <w:rsid w:val="00DB73F7"/>
    <w:rsid w:val="00DC0321"/>
    <w:rsid w:val="00DC3067"/>
    <w:rsid w:val="00DC370B"/>
    <w:rsid w:val="00DC5B90"/>
    <w:rsid w:val="00DD006D"/>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238A"/>
    <w:rsid w:val="00DF44DE"/>
    <w:rsid w:val="00DF5F11"/>
    <w:rsid w:val="00E01138"/>
    <w:rsid w:val="00E02DFB"/>
    <w:rsid w:val="00E030F9"/>
    <w:rsid w:val="00E0311A"/>
    <w:rsid w:val="00E03138"/>
    <w:rsid w:val="00E03867"/>
    <w:rsid w:val="00E06404"/>
    <w:rsid w:val="00E065D2"/>
    <w:rsid w:val="00E11A85"/>
    <w:rsid w:val="00E12495"/>
    <w:rsid w:val="00E153F4"/>
    <w:rsid w:val="00E15CCD"/>
    <w:rsid w:val="00E1656B"/>
    <w:rsid w:val="00E202EF"/>
    <w:rsid w:val="00E210B5"/>
    <w:rsid w:val="00E23D99"/>
    <w:rsid w:val="00E2552F"/>
    <w:rsid w:val="00E263EB"/>
    <w:rsid w:val="00E3137A"/>
    <w:rsid w:val="00E32CCF"/>
    <w:rsid w:val="00E34A98"/>
    <w:rsid w:val="00E35D1E"/>
    <w:rsid w:val="00E364F9"/>
    <w:rsid w:val="00E365FA"/>
    <w:rsid w:val="00E36789"/>
    <w:rsid w:val="00E44A83"/>
    <w:rsid w:val="00E502C1"/>
    <w:rsid w:val="00E502DD"/>
    <w:rsid w:val="00E50D3A"/>
    <w:rsid w:val="00E51387"/>
    <w:rsid w:val="00E51E68"/>
    <w:rsid w:val="00E5292B"/>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0C"/>
    <w:rsid w:val="00E969D5"/>
    <w:rsid w:val="00EA58D1"/>
    <w:rsid w:val="00EA61BC"/>
    <w:rsid w:val="00EA681A"/>
    <w:rsid w:val="00EA735B"/>
    <w:rsid w:val="00EB17DE"/>
    <w:rsid w:val="00EB1E69"/>
    <w:rsid w:val="00EB2086"/>
    <w:rsid w:val="00EB5EDF"/>
    <w:rsid w:val="00EB60FE"/>
    <w:rsid w:val="00EB74DB"/>
    <w:rsid w:val="00EC04D0"/>
    <w:rsid w:val="00EC5359"/>
    <w:rsid w:val="00EC562A"/>
    <w:rsid w:val="00ED067A"/>
    <w:rsid w:val="00ED2B50"/>
    <w:rsid w:val="00ED3A33"/>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7FA"/>
    <w:rsid w:val="00F23083"/>
    <w:rsid w:val="00F25BB6"/>
    <w:rsid w:val="00F26B7E"/>
    <w:rsid w:val="00F27A3B"/>
    <w:rsid w:val="00F33817"/>
    <w:rsid w:val="00F35964"/>
    <w:rsid w:val="00F420D5"/>
    <w:rsid w:val="00F451EA"/>
    <w:rsid w:val="00F45447"/>
    <w:rsid w:val="00F456C6"/>
    <w:rsid w:val="00F4577B"/>
    <w:rsid w:val="00F46496"/>
    <w:rsid w:val="00F474D0"/>
    <w:rsid w:val="00F50179"/>
    <w:rsid w:val="00F515EE"/>
    <w:rsid w:val="00F51708"/>
    <w:rsid w:val="00F55553"/>
    <w:rsid w:val="00F56511"/>
    <w:rsid w:val="00F5668B"/>
    <w:rsid w:val="00F6194E"/>
    <w:rsid w:val="00F623AC"/>
    <w:rsid w:val="00F6412A"/>
    <w:rsid w:val="00F65893"/>
    <w:rsid w:val="00F66A4A"/>
    <w:rsid w:val="00F71E22"/>
    <w:rsid w:val="00F72142"/>
    <w:rsid w:val="00F72AE7"/>
    <w:rsid w:val="00F76805"/>
    <w:rsid w:val="00F81141"/>
    <w:rsid w:val="00F833BA"/>
    <w:rsid w:val="00F84349"/>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547"/>
    <w:rsid w:val="00FD59EB"/>
    <w:rsid w:val="00FD684B"/>
    <w:rsid w:val="00FD7299"/>
    <w:rsid w:val="00FE1FBE"/>
    <w:rsid w:val="00FE3901"/>
    <w:rsid w:val="00FE39D3"/>
    <w:rsid w:val="00FE4BCE"/>
    <w:rsid w:val="00FE54AE"/>
    <w:rsid w:val="00FE576A"/>
    <w:rsid w:val="00FE7E79"/>
    <w:rsid w:val="00FF2C51"/>
    <w:rsid w:val="00FF3E7D"/>
    <w:rsid w:val="00FF5B99"/>
    <w:rsid w:val="00FF730C"/>
    <w:rsid w:val="00FF73F4"/>
    <w:rsid w:val="00FF7CE4"/>
    <w:rsid w:val="00FF7E39"/>
    <w:rsid w:val="010158D6"/>
    <w:rsid w:val="0104646A"/>
    <w:rsid w:val="0108730E"/>
    <w:rsid w:val="010B22B0"/>
    <w:rsid w:val="0123584C"/>
    <w:rsid w:val="012A2737"/>
    <w:rsid w:val="012A4E2C"/>
    <w:rsid w:val="012B1219"/>
    <w:rsid w:val="012F41F1"/>
    <w:rsid w:val="0132783D"/>
    <w:rsid w:val="01374E54"/>
    <w:rsid w:val="013B2B96"/>
    <w:rsid w:val="01423F24"/>
    <w:rsid w:val="01483505"/>
    <w:rsid w:val="014C4DA3"/>
    <w:rsid w:val="01536131"/>
    <w:rsid w:val="015E0632"/>
    <w:rsid w:val="016D6AC7"/>
    <w:rsid w:val="01726CE2"/>
    <w:rsid w:val="01737729"/>
    <w:rsid w:val="017C6D0A"/>
    <w:rsid w:val="018502B5"/>
    <w:rsid w:val="01891B53"/>
    <w:rsid w:val="018F4373"/>
    <w:rsid w:val="01AA1AC9"/>
    <w:rsid w:val="01AC5842"/>
    <w:rsid w:val="01B12E58"/>
    <w:rsid w:val="01B666C0"/>
    <w:rsid w:val="01B879F4"/>
    <w:rsid w:val="01B97F5E"/>
    <w:rsid w:val="01BF5575"/>
    <w:rsid w:val="01D53405"/>
    <w:rsid w:val="01E31EE8"/>
    <w:rsid w:val="01EC2E82"/>
    <w:rsid w:val="01F62F61"/>
    <w:rsid w:val="01FF3BC3"/>
    <w:rsid w:val="02104022"/>
    <w:rsid w:val="02105DD0"/>
    <w:rsid w:val="02182ED7"/>
    <w:rsid w:val="02296E92"/>
    <w:rsid w:val="0236335D"/>
    <w:rsid w:val="025A529E"/>
    <w:rsid w:val="02614FC7"/>
    <w:rsid w:val="02656AD1"/>
    <w:rsid w:val="026659F0"/>
    <w:rsid w:val="027520D7"/>
    <w:rsid w:val="02765051"/>
    <w:rsid w:val="028B5457"/>
    <w:rsid w:val="02906F11"/>
    <w:rsid w:val="029A4B03"/>
    <w:rsid w:val="029F7154"/>
    <w:rsid w:val="02A00385"/>
    <w:rsid w:val="02AB3C57"/>
    <w:rsid w:val="02B31B7A"/>
    <w:rsid w:val="02C32E43"/>
    <w:rsid w:val="02CD3CC1"/>
    <w:rsid w:val="02D54924"/>
    <w:rsid w:val="02D768B7"/>
    <w:rsid w:val="02D90516"/>
    <w:rsid w:val="02F23728"/>
    <w:rsid w:val="030376E3"/>
    <w:rsid w:val="03114646"/>
    <w:rsid w:val="03125B78"/>
    <w:rsid w:val="031D7830"/>
    <w:rsid w:val="032D29B2"/>
    <w:rsid w:val="032E504D"/>
    <w:rsid w:val="033609A7"/>
    <w:rsid w:val="034F0987"/>
    <w:rsid w:val="035053EE"/>
    <w:rsid w:val="035807A9"/>
    <w:rsid w:val="03657A72"/>
    <w:rsid w:val="0374238F"/>
    <w:rsid w:val="037A0429"/>
    <w:rsid w:val="037B371D"/>
    <w:rsid w:val="03863E70"/>
    <w:rsid w:val="039E740C"/>
    <w:rsid w:val="03A404DC"/>
    <w:rsid w:val="03A66E23"/>
    <w:rsid w:val="03B31109"/>
    <w:rsid w:val="03B46C2F"/>
    <w:rsid w:val="03B60BF9"/>
    <w:rsid w:val="03B629A7"/>
    <w:rsid w:val="03BD77B4"/>
    <w:rsid w:val="03C527A5"/>
    <w:rsid w:val="03C76963"/>
    <w:rsid w:val="03CE5F43"/>
    <w:rsid w:val="03D031B4"/>
    <w:rsid w:val="03D1333D"/>
    <w:rsid w:val="03D1692B"/>
    <w:rsid w:val="03D33559"/>
    <w:rsid w:val="03DE56FE"/>
    <w:rsid w:val="03ED1504"/>
    <w:rsid w:val="03EE2141"/>
    <w:rsid w:val="03F35283"/>
    <w:rsid w:val="03FD4132"/>
    <w:rsid w:val="03FF434E"/>
    <w:rsid w:val="04001E75"/>
    <w:rsid w:val="04043713"/>
    <w:rsid w:val="04073203"/>
    <w:rsid w:val="04185410"/>
    <w:rsid w:val="04206073"/>
    <w:rsid w:val="043B4C5B"/>
    <w:rsid w:val="043D4E77"/>
    <w:rsid w:val="044414C9"/>
    <w:rsid w:val="044C6E68"/>
    <w:rsid w:val="04506958"/>
    <w:rsid w:val="045B52FD"/>
    <w:rsid w:val="045F4DED"/>
    <w:rsid w:val="04602168"/>
    <w:rsid w:val="04610B65"/>
    <w:rsid w:val="046B3792"/>
    <w:rsid w:val="046E3282"/>
    <w:rsid w:val="04715B28"/>
    <w:rsid w:val="04812FB5"/>
    <w:rsid w:val="04844854"/>
    <w:rsid w:val="048A4669"/>
    <w:rsid w:val="049531C8"/>
    <w:rsid w:val="049A4077"/>
    <w:rsid w:val="04A362D9"/>
    <w:rsid w:val="04B2316F"/>
    <w:rsid w:val="04CB2483"/>
    <w:rsid w:val="04D330E5"/>
    <w:rsid w:val="04D37589"/>
    <w:rsid w:val="04E11BD4"/>
    <w:rsid w:val="04E24E94"/>
    <w:rsid w:val="04E377CC"/>
    <w:rsid w:val="04ED08EF"/>
    <w:rsid w:val="04EE6171"/>
    <w:rsid w:val="04F33787"/>
    <w:rsid w:val="04FE4606"/>
    <w:rsid w:val="04FF074F"/>
    <w:rsid w:val="05015EA4"/>
    <w:rsid w:val="050A7854"/>
    <w:rsid w:val="050F05C1"/>
    <w:rsid w:val="051200B1"/>
    <w:rsid w:val="05241B93"/>
    <w:rsid w:val="052676B9"/>
    <w:rsid w:val="05281683"/>
    <w:rsid w:val="053313E6"/>
    <w:rsid w:val="054162A1"/>
    <w:rsid w:val="054364BD"/>
    <w:rsid w:val="05455959"/>
    <w:rsid w:val="05492C0D"/>
    <w:rsid w:val="054A15F9"/>
    <w:rsid w:val="05505BF3"/>
    <w:rsid w:val="05515CC6"/>
    <w:rsid w:val="05542478"/>
    <w:rsid w:val="05544226"/>
    <w:rsid w:val="056157CE"/>
    <w:rsid w:val="056D353A"/>
    <w:rsid w:val="057B5C57"/>
    <w:rsid w:val="057E12A3"/>
    <w:rsid w:val="058B33B5"/>
    <w:rsid w:val="058C3E4F"/>
    <w:rsid w:val="0599432F"/>
    <w:rsid w:val="05AB50DB"/>
    <w:rsid w:val="05B9677F"/>
    <w:rsid w:val="05BD626F"/>
    <w:rsid w:val="05BF18AF"/>
    <w:rsid w:val="05C014ED"/>
    <w:rsid w:val="05C3315A"/>
    <w:rsid w:val="05C776B3"/>
    <w:rsid w:val="05CD3FD8"/>
    <w:rsid w:val="05CF75D0"/>
    <w:rsid w:val="05DE61E6"/>
    <w:rsid w:val="05E725D1"/>
    <w:rsid w:val="05EF21A1"/>
    <w:rsid w:val="05F11FCC"/>
    <w:rsid w:val="05FB0B46"/>
    <w:rsid w:val="060905E2"/>
    <w:rsid w:val="06093262"/>
    <w:rsid w:val="061D286A"/>
    <w:rsid w:val="0624009C"/>
    <w:rsid w:val="06287461"/>
    <w:rsid w:val="06346988"/>
    <w:rsid w:val="063A5786"/>
    <w:rsid w:val="063B53E6"/>
    <w:rsid w:val="06426774"/>
    <w:rsid w:val="064321EB"/>
    <w:rsid w:val="064D3A6A"/>
    <w:rsid w:val="0650695B"/>
    <w:rsid w:val="065B7836"/>
    <w:rsid w:val="06622973"/>
    <w:rsid w:val="066A7A79"/>
    <w:rsid w:val="066B1C96"/>
    <w:rsid w:val="067F1777"/>
    <w:rsid w:val="06846D8D"/>
    <w:rsid w:val="06862B05"/>
    <w:rsid w:val="06930D7E"/>
    <w:rsid w:val="0696261C"/>
    <w:rsid w:val="069E3612"/>
    <w:rsid w:val="06A0349B"/>
    <w:rsid w:val="06A44D39"/>
    <w:rsid w:val="06A56DD9"/>
    <w:rsid w:val="06A572D0"/>
    <w:rsid w:val="06AB256C"/>
    <w:rsid w:val="06AB5701"/>
    <w:rsid w:val="06B37672"/>
    <w:rsid w:val="06B70F10"/>
    <w:rsid w:val="06BA455D"/>
    <w:rsid w:val="06C158EB"/>
    <w:rsid w:val="06C21663"/>
    <w:rsid w:val="06D9719B"/>
    <w:rsid w:val="06F2019A"/>
    <w:rsid w:val="06FC2BB3"/>
    <w:rsid w:val="070677A2"/>
    <w:rsid w:val="070B4DB8"/>
    <w:rsid w:val="070E6657"/>
    <w:rsid w:val="07124399"/>
    <w:rsid w:val="07215F6F"/>
    <w:rsid w:val="074310F8"/>
    <w:rsid w:val="07552D0E"/>
    <w:rsid w:val="075F6EB2"/>
    <w:rsid w:val="076170CE"/>
    <w:rsid w:val="0768220B"/>
    <w:rsid w:val="07707311"/>
    <w:rsid w:val="07727CB0"/>
    <w:rsid w:val="077741FC"/>
    <w:rsid w:val="07794418"/>
    <w:rsid w:val="07797BB1"/>
    <w:rsid w:val="077E558A"/>
    <w:rsid w:val="078067F1"/>
    <w:rsid w:val="078132CC"/>
    <w:rsid w:val="07862691"/>
    <w:rsid w:val="078C4951"/>
    <w:rsid w:val="078F4051"/>
    <w:rsid w:val="07A07BF6"/>
    <w:rsid w:val="07A5643B"/>
    <w:rsid w:val="07AB3B7E"/>
    <w:rsid w:val="07AD40C1"/>
    <w:rsid w:val="07B62F76"/>
    <w:rsid w:val="07B832B0"/>
    <w:rsid w:val="07BA233A"/>
    <w:rsid w:val="07C661A8"/>
    <w:rsid w:val="07D63618"/>
    <w:rsid w:val="07F52985"/>
    <w:rsid w:val="07FC0BA5"/>
    <w:rsid w:val="080D2DB2"/>
    <w:rsid w:val="08122176"/>
    <w:rsid w:val="081E4FBF"/>
    <w:rsid w:val="08202AE5"/>
    <w:rsid w:val="08206641"/>
    <w:rsid w:val="082E483B"/>
    <w:rsid w:val="083E2F6B"/>
    <w:rsid w:val="084367D4"/>
    <w:rsid w:val="08510EF1"/>
    <w:rsid w:val="085207C5"/>
    <w:rsid w:val="085530EF"/>
    <w:rsid w:val="08631551"/>
    <w:rsid w:val="086329D2"/>
    <w:rsid w:val="086A71DD"/>
    <w:rsid w:val="086C1887"/>
    <w:rsid w:val="0878647D"/>
    <w:rsid w:val="087C32C1"/>
    <w:rsid w:val="08862B80"/>
    <w:rsid w:val="08A52FEB"/>
    <w:rsid w:val="08A96526"/>
    <w:rsid w:val="08AB6853"/>
    <w:rsid w:val="08AC6127"/>
    <w:rsid w:val="08AE00F1"/>
    <w:rsid w:val="08BE3DCE"/>
    <w:rsid w:val="08BF22FE"/>
    <w:rsid w:val="08BF3892"/>
    <w:rsid w:val="08C6543B"/>
    <w:rsid w:val="08D32F4D"/>
    <w:rsid w:val="08D37B58"/>
    <w:rsid w:val="08D9256C"/>
    <w:rsid w:val="08E91129"/>
    <w:rsid w:val="08EB4EA1"/>
    <w:rsid w:val="08F31FA8"/>
    <w:rsid w:val="09002112"/>
    <w:rsid w:val="09095327"/>
    <w:rsid w:val="090B10A0"/>
    <w:rsid w:val="09150170"/>
    <w:rsid w:val="092030EF"/>
    <w:rsid w:val="092906CB"/>
    <w:rsid w:val="092E1232"/>
    <w:rsid w:val="09302C28"/>
    <w:rsid w:val="0946657C"/>
    <w:rsid w:val="09475CF1"/>
    <w:rsid w:val="095E6CA5"/>
    <w:rsid w:val="09613E28"/>
    <w:rsid w:val="097035F9"/>
    <w:rsid w:val="09835598"/>
    <w:rsid w:val="09896468"/>
    <w:rsid w:val="099235C4"/>
    <w:rsid w:val="09992B4F"/>
    <w:rsid w:val="099B68C7"/>
    <w:rsid w:val="099C43EE"/>
    <w:rsid w:val="09A936E6"/>
    <w:rsid w:val="09B63701"/>
    <w:rsid w:val="09BB0D18"/>
    <w:rsid w:val="09BC05EC"/>
    <w:rsid w:val="09BC683E"/>
    <w:rsid w:val="09C87915"/>
    <w:rsid w:val="09D678FF"/>
    <w:rsid w:val="09D9119E"/>
    <w:rsid w:val="09DB4F16"/>
    <w:rsid w:val="09F63AFE"/>
    <w:rsid w:val="09F74AE2"/>
    <w:rsid w:val="09FD196B"/>
    <w:rsid w:val="0A2148F3"/>
    <w:rsid w:val="0A2A37A7"/>
    <w:rsid w:val="0A2E773B"/>
    <w:rsid w:val="0A326B00"/>
    <w:rsid w:val="0A3C34DB"/>
    <w:rsid w:val="0A45040D"/>
    <w:rsid w:val="0A5C1B18"/>
    <w:rsid w:val="0A5C592B"/>
    <w:rsid w:val="0A60135C"/>
    <w:rsid w:val="0A6273E5"/>
    <w:rsid w:val="0A6C3DC0"/>
    <w:rsid w:val="0A7A4A29"/>
    <w:rsid w:val="0A8455AD"/>
    <w:rsid w:val="0A87732E"/>
    <w:rsid w:val="0A886CD4"/>
    <w:rsid w:val="0A892BC4"/>
    <w:rsid w:val="0A8E365F"/>
    <w:rsid w:val="0A9E5F43"/>
    <w:rsid w:val="0AA862BE"/>
    <w:rsid w:val="0AAA1E9F"/>
    <w:rsid w:val="0AB47515"/>
    <w:rsid w:val="0AB66FEF"/>
    <w:rsid w:val="0ABE04E4"/>
    <w:rsid w:val="0AD23916"/>
    <w:rsid w:val="0AD6014A"/>
    <w:rsid w:val="0ADF27E4"/>
    <w:rsid w:val="0AEA1189"/>
    <w:rsid w:val="0AEC6B04"/>
    <w:rsid w:val="0AED7922"/>
    <w:rsid w:val="0B136931"/>
    <w:rsid w:val="0B163D2C"/>
    <w:rsid w:val="0B226B74"/>
    <w:rsid w:val="0B250B22"/>
    <w:rsid w:val="0B286835"/>
    <w:rsid w:val="0B2C354F"/>
    <w:rsid w:val="0B2D79F3"/>
    <w:rsid w:val="0B3001AC"/>
    <w:rsid w:val="0B3B3792"/>
    <w:rsid w:val="0B4E34C6"/>
    <w:rsid w:val="0B4F77DD"/>
    <w:rsid w:val="0B534F80"/>
    <w:rsid w:val="0B61144B"/>
    <w:rsid w:val="0B6506CC"/>
    <w:rsid w:val="0B6E129B"/>
    <w:rsid w:val="0B6E5C7D"/>
    <w:rsid w:val="0B7050C1"/>
    <w:rsid w:val="0B837613"/>
    <w:rsid w:val="0B854953"/>
    <w:rsid w:val="0B865760"/>
    <w:rsid w:val="0B9510F4"/>
    <w:rsid w:val="0B9A670B"/>
    <w:rsid w:val="0BD04822"/>
    <w:rsid w:val="0BE1520A"/>
    <w:rsid w:val="0BF26547"/>
    <w:rsid w:val="0C006EB6"/>
    <w:rsid w:val="0C0B7609"/>
    <w:rsid w:val="0C160487"/>
    <w:rsid w:val="0C1A7BA7"/>
    <w:rsid w:val="0C2D757F"/>
    <w:rsid w:val="0C300B2E"/>
    <w:rsid w:val="0C314090"/>
    <w:rsid w:val="0C471334"/>
    <w:rsid w:val="0C6E071C"/>
    <w:rsid w:val="0C700313"/>
    <w:rsid w:val="0C7C448E"/>
    <w:rsid w:val="0C923886"/>
    <w:rsid w:val="0CC003F3"/>
    <w:rsid w:val="0CC72234"/>
    <w:rsid w:val="0CCC4FEA"/>
    <w:rsid w:val="0CD81BE1"/>
    <w:rsid w:val="0CDA7707"/>
    <w:rsid w:val="0CDB6FDB"/>
    <w:rsid w:val="0CDE5E28"/>
    <w:rsid w:val="0CE40585"/>
    <w:rsid w:val="0CEB0256"/>
    <w:rsid w:val="0CF23F1E"/>
    <w:rsid w:val="0CF4009D"/>
    <w:rsid w:val="0CFE2CC9"/>
    <w:rsid w:val="0D0A78C0"/>
    <w:rsid w:val="0D0C3638"/>
    <w:rsid w:val="0D0F7651"/>
    <w:rsid w:val="0D15095B"/>
    <w:rsid w:val="0D227363"/>
    <w:rsid w:val="0D3249B2"/>
    <w:rsid w:val="0D350DE1"/>
    <w:rsid w:val="0D3D5EE8"/>
    <w:rsid w:val="0D3F57BC"/>
    <w:rsid w:val="0D411534"/>
    <w:rsid w:val="0D466B4A"/>
    <w:rsid w:val="0D5F5E5E"/>
    <w:rsid w:val="0D605032"/>
    <w:rsid w:val="0D7E3D32"/>
    <w:rsid w:val="0D802EDC"/>
    <w:rsid w:val="0D8561D0"/>
    <w:rsid w:val="0D870F11"/>
    <w:rsid w:val="0D913B3D"/>
    <w:rsid w:val="0D932703"/>
    <w:rsid w:val="0DA306EE"/>
    <w:rsid w:val="0DB02216"/>
    <w:rsid w:val="0DB42637"/>
    <w:rsid w:val="0DBC6E0C"/>
    <w:rsid w:val="0DCE08EE"/>
    <w:rsid w:val="0DCE5703"/>
    <w:rsid w:val="0DDE3227"/>
    <w:rsid w:val="0DDF2139"/>
    <w:rsid w:val="0DE325EB"/>
    <w:rsid w:val="0DEB14A0"/>
    <w:rsid w:val="0DFE11D3"/>
    <w:rsid w:val="0DFE22CC"/>
    <w:rsid w:val="0E1B64AA"/>
    <w:rsid w:val="0E2055ED"/>
    <w:rsid w:val="0E266AC3"/>
    <w:rsid w:val="0E3C29EB"/>
    <w:rsid w:val="0E407A3D"/>
    <w:rsid w:val="0E460DCC"/>
    <w:rsid w:val="0E462B7A"/>
    <w:rsid w:val="0E5055E0"/>
    <w:rsid w:val="0E534CB5"/>
    <w:rsid w:val="0E544833"/>
    <w:rsid w:val="0E5E6115"/>
    <w:rsid w:val="0E6B6937"/>
    <w:rsid w:val="0E6F0323"/>
    <w:rsid w:val="0E72396F"/>
    <w:rsid w:val="0E743E81"/>
    <w:rsid w:val="0E7B4BD7"/>
    <w:rsid w:val="0E7C47EE"/>
    <w:rsid w:val="0E835B7C"/>
    <w:rsid w:val="0E875E54"/>
    <w:rsid w:val="0E910299"/>
    <w:rsid w:val="0EA77ABC"/>
    <w:rsid w:val="0EB126E9"/>
    <w:rsid w:val="0EB55FAD"/>
    <w:rsid w:val="0EB9159E"/>
    <w:rsid w:val="0EC00B7E"/>
    <w:rsid w:val="0EC266A4"/>
    <w:rsid w:val="0ED4462A"/>
    <w:rsid w:val="0ED7647B"/>
    <w:rsid w:val="0EDC2BF8"/>
    <w:rsid w:val="0EF83E74"/>
    <w:rsid w:val="0F0942D3"/>
    <w:rsid w:val="0F0E7B3C"/>
    <w:rsid w:val="0F1725C4"/>
    <w:rsid w:val="0F1862C4"/>
    <w:rsid w:val="0F296723"/>
    <w:rsid w:val="0F2A5FF8"/>
    <w:rsid w:val="0F2C7FC2"/>
    <w:rsid w:val="0F3341F4"/>
    <w:rsid w:val="0F3C1EB4"/>
    <w:rsid w:val="0F4B3FBB"/>
    <w:rsid w:val="0F57763E"/>
    <w:rsid w:val="0F68089E"/>
    <w:rsid w:val="0F79470C"/>
    <w:rsid w:val="0F824086"/>
    <w:rsid w:val="0F8350A8"/>
    <w:rsid w:val="0F87620A"/>
    <w:rsid w:val="0F9F6761"/>
    <w:rsid w:val="0FA967B3"/>
    <w:rsid w:val="0FAE6C29"/>
    <w:rsid w:val="0FC14D11"/>
    <w:rsid w:val="0FD77389"/>
    <w:rsid w:val="0FDE1CCB"/>
    <w:rsid w:val="0FF54858"/>
    <w:rsid w:val="10066A65"/>
    <w:rsid w:val="100B5E29"/>
    <w:rsid w:val="10101691"/>
    <w:rsid w:val="10115D29"/>
    <w:rsid w:val="10141507"/>
    <w:rsid w:val="10152804"/>
    <w:rsid w:val="101822F4"/>
    <w:rsid w:val="101942A4"/>
    <w:rsid w:val="102F5453"/>
    <w:rsid w:val="10305890"/>
    <w:rsid w:val="10482BD9"/>
    <w:rsid w:val="104B4477"/>
    <w:rsid w:val="104D6442"/>
    <w:rsid w:val="104E5D16"/>
    <w:rsid w:val="10532F3B"/>
    <w:rsid w:val="10593038"/>
    <w:rsid w:val="105E0EAB"/>
    <w:rsid w:val="1068327B"/>
    <w:rsid w:val="106A78D3"/>
    <w:rsid w:val="107C0AD5"/>
    <w:rsid w:val="10881B48"/>
    <w:rsid w:val="108A1444"/>
    <w:rsid w:val="10A73DA4"/>
    <w:rsid w:val="10AE65F9"/>
    <w:rsid w:val="10AF4A06"/>
    <w:rsid w:val="10D0497D"/>
    <w:rsid w:val="10D12BCF"/>
    <w:rsid w:val="10DB3A4D"/>
    <w:rsid w:val="10DE353E"/>
    <w:rsid w:val="10E2701F"/>
    <w:rsid w:val="10E741A0"/>
    <w:rsid w:val="10E8616A"/>
    <w:rsid w:val="10ED552F"/>
    <w:rsid w:val="10F22854"/>
    <w:rsid w:val="10FD1C16"/>
    <w:rsid w:val="11005262"/>
    <w:rsid w:val="110738E9"/>
    <w:rsid w:val="110805BA"/>
    <w:rsid w:val="11140D0D"/>
    <w:rsid w:val="11146F5F"/>
    <w:rsid w:val="111725AC"/>
    <w:rsid w:val="11186A50"/>
    <w:rsid w:val="112A0531"/>
    <w:rsid w:val="112D6D48"/>
    <w:rsid w:val="113356AD"/>
    <w:rsid w:val="11527674"/>
    <w:rsid w:val="115777AD"/>
    <w:rsid w:val="116C67E6"/>
    <w:rsid w:val="116E7A9C"/>
    <w:rsid w:val="117143B2"/>
    <w:rsid w:val="117874EE"/>
    <w:rsid w:val="118A5224"/>
    <w:rsid w:val="11965BC6"/>
    <w:rsid w:val="1198779A"/>
    <w:rsid w:val="11AE5AE4"/>
    <w:rsid w:val="11BD75F7"/>
    <w:rsid w:val="11CE710E"/>
    <w:rsid w:val="11E518A7"/>
    <w:rsid w:val="11F8062F"/>
    <w:rsid w:val="11F8418B"/>
    <w:rsid w:val="11F96CE6"/>
    <w:rsid w:val="1200218E"/>
    <w:rsid w:val="12154C55"/>
    <w:rsid w:val="122414A1"/>
    <w:rsid w:val="12280F14"/>
    <w:rsid w:val="12282CC2"/>
    <w:rsid w:val="122B630F"/>
    <w:rsid w:val="12307395"/>
    <w:rsid w:val="12380DD2"/>
    <w:rsid w:val="123A567C"/>
    <w:rsid w:val="12443874"/>
    <w:rsid w:val="12445843"/>
    <w:rsid w:val="12490E8B"/>
    <w:rsid w:val="12624476"/>
    <w:rsid w:val="12685E91"/>
    <w:rsid w:val="12745F08"/>
    <w:rsid w:val="12810624"/>
    <w:rsid w:val="12985F6F"/>
    <w:rsid w:val="129E3069"/>
    <w:rsid w:val="129F0AAB"/>
    <w:rsid w:val="12B26A30"/>
    <w:rsid w:val="12B427A8"/>
    <w:rsid w:val="12B97DBE"/>
    <w:rsid w:val="12BA02C8"/>
    <w:rsid w:val="12BA2926"/>
    <w:rsid w:val="12BB1692"/>
    <w:rsid w:val="12C16C73"/>
    <w:rsid w:val="12C624DB"/>
    <w:rsid w:val="12CA1FCB"/>
    <w:rsid w:val="12D31D92"/>
    <w:rsid w:val="12D4473A"/>
    <w:rsid w:val="12E0359D"/>
    <w:rsid w:val="12E806A4"/>
    <w:rsid w:val="12F44F2C"/>
    <w:rsid w:val="12FE0C9D"/>
    <w:rsid w:val="13053004"/>
    <w:rsid w:val="130D010A"/>
    <w:rsid w:val="131119A8"/>
    <w:rsid w:val="13207980"/>
    <w:rsid w:val="13207E3D"/>
    <w:rsid w:val="13214E77"/>
    <w:rsid w:val="132E1098"/>
    <w:rsid w:val="1336140F"/>
    <w:rsid w:val="13386F35"/>
    <w:rsid w:val="13394A5B"/>
    <w:rsid w:val="134E57BA"/>
    <w:rsid w:val="134F427F"/>
    <w:rsid w:val="1360023A"/>
    <w:rsid w:val="13616100"/>
    <w:rsid w:val="13620456"/>
    <w:rsid w:val="137B1518"/>
    <w:rsid w:val="13857A9D"/>
    <w:rsid w:val="13911DDA"/>
    <w:rsid w:val="139323BD"/>
    <w:rsid w:val="13980163"/>
    <w:rsid w:val="13B81E24"/>
    <w:rsid w:val="13BD2F03"/>
    <w:rsid w:val="13C20EF5"/>
    <w:rsid w:val="13D1738A"/>
    <w:rsid w:val="13D50C28"/>
    <w:rsid w:val="13DB5B12"/>
    <w:rsid w:val="13ED41C3"/>
    <w:rsid w:val="13F00C07"/>
    <w:rsid w:val="13F05194"/>
    <w:rsid w:val="13F37300"/>
    <w:rsid w:val="13F659BF"/>
    <w:rsid w:val="14014E3B"/>
    <w:rsid w:val="14173F06"/>
    <w:rsid w:val="141A663B"/>
    <w:rsid w:val="142C45C0"/>
    <w:rsid w:val="143C4803"/>
    <w:rsid w:val="143E4A1F"/>
    <w:rsid w:val="14444054"/>
    <w:rsid w:val="144C6E32"/>
    <w:rsid w:val="144F21BD"/>
    <w:rsid w:val="14517D16"/>
    <w:rsid w:val="1461070D"/>
    <w:rsid w:val="14661880"/>
    <w:rsid w:val="14705667"/>
    <w:rsid w:val="14757DAD"/>
    <w:rsid w:val="147C10A3"/>
    <w:rsid w:val="14801A85"/>
    <w:rsid w:val="14825131"/>
    <w:rsid w:val="148278C7"/>
    <w:rsid w:val="14890989"/>
    <w:rsid w:val="14891A12"/>
    <w:rsid w:val="148D1503"/>
    <w:rsid w:val="14902EE2"/>
    <w:rsid w:val="149F50E4"/>
    <w:rsid w:val="14A12650"/>
    <w:rsid w:val="14A405FA"/>
    <w:rsid w:val="14A40D29"/>
    <w:rsid w:val="14C447F8"/>
    <w:rsid w:val="14CA3957"/>
    <w:rsid w:val="14D42C8D"/>
    <w:rsid w:val="14D507B4"/>
    <w:rsid w:val="14DE1D5E"/>
    <w:rsid w:val="14E82BDD"/>
    <w:rsid w:val="14F15252"/>
    <w:rsid w:val="14F67CF1"/>
    <w:rsid w:val="15064E11"/>
    <w:rsid w:val="15086DDB"/>
    <w:rsid w:val="15115DD4"/>
    <w:rsid w:val="1514752E"/>
    <w:rsid w:val="151C4634"/>
    <w:rsid w:val="152754B3"/>
    <w:rsid w:val="153307C3"/>
    <w:rsid w:val="153B2D0D"/>
    <w:rsid w:val="153D4CD7"/>
    <w:rsid w:val="15406575"/>
    <w:rsid w:val="15453991"/>
    <w:rsid w:val="154A73F4"/>
    <w:rsid w:val="15505A49"/>
    <w:rsid w:val="15512530"/>
    <w:rsid w:val="1554671D"/>
    <w:rsid w:val="155F5C6F"/>
    <w:rsid w:val="156D6C3E"/>
    <w:rsid w:val="156F29B6"/>
    <w:rsid w:val="1573694A"/>
    <w:rsid w:val="1585042C"/>
    <w:rsid w:val="15895A1C"/>
    <w:rsid w:val="158A57A5"/>
    <w:rsid w:val="15963E4E"/>
    <w:rsid w:val="15981F0D"/>
    <w:rsid w:val="15986FFE"/>
    <w:rsid w:val="15A00DC2"/>
    <w:rsid w:val="15AB60E4"/>
    <w:rsid w:val="15AE3565"/>
    <w:rsid w:val="15B13177"/>
    <w:rsid w:val="15B4206B"/>
    <w:rsid w:val="15B90272"/>
    <w:rsid w:val="15C076B6"/>
    <w:rsid w:val="15CD0276"/>
    <w:rsid w:val="15D1541F"/>
    <w:rsid w:val="15D2700B"/>
    <w:rsid w:val="15D77522"/>
    <w:rsid w:val="15FF01DE"/>
    <w:rsid w:val="160475A2"/>
    <w:rsid w:val="1610324C"/>
    <w:rsid w:val="16147CFF"/>
    <w:rsid w:val="161A48F6"/>
    <w:rsid w:val="16366249"/>
    <w:rsid w:val="164107F7"/>
    <w:rsid w:val="16447814"/>
    <w:rsid w:val="166444E5"/>
    <w:rsid w:val="16695657"/>
    <w:rsid w:val="16810BF3"/>
    <w:rsid w:val="16893F4C"/>
    <w:rsid w:val="168B5B89"/>
    <w:rsid w:val="168E3310"/>
    <w:rsid w:val="168E50BE"/>
    <w:rsid w:val="169070D5"/>
    <w:rsid w:val="1695644C"/>
    <w:rsid w:val="169C77DB"/>
    <w:rsid w:val="169F1079"/>
    <w:rsid w:val="169F7602"/>
    <w:rsid w:val="16A17D2C"/>
    <w:rsid w:val="16A448E1"/>
    <w:rsid w:val="16A63835"/>
    <w:rsid w:val="16AD3F88"/>
    <w:rsid w:val="16AD7C3A"/>
    <w:rsid w:val="16BF1E6B"/>
    <w:rsid w:val="16D57191"/>
    <w:rsid w:val="16D60144"/>
    <w:rsid w:val="16DE1BA1"/>
    <w:rsid w:val="16EF2001"/>
    <w:rsid w:val="170610F8"/>
    <w:rsid w:val="170A1220"/>
    <w:rsid w:val="171E4694"/>
    <w:rsid w:val="17271CC4"/>
    <w:rsid w:val="172A32C5"/>
    <w:rsid w:val="173C2D6C"/>
    <w:rsid w:val="174A3043"/>
    <w:rsid w:val="174D6D27"/>
    <w:rsid w:val="177E15D6"/>
    <w:rsid w:val="17854713"/>
    <w:rsid w:val="178564C1"/>
    <w:rsid w:val="1787048B"/>
    <w:rsid w:val="17963BEE"/>
    <w:rsid w:val="179C00E9"/>
    <w:rsid w:val="179C380B"/>
    <w:rsid w:val="17A52D08"/>
    <w:rsid w:val="17A80401"/>
    <w:rsid w:val="17A810CB"/>
    <w:rsid w:val="17B86896"/>
    <w:rsid w:val="17B9616B"/>
    <w:rsid w:val="17C27715"/>
    <w:rsid w:val="17CA44AF"/>
    <w:rsid w:val="17E256C1"/>
    <w:rsid w:val="17EA27C8"/>
    <w:rsid w:val="17F2257E"/>
    <w:rsid w:val="18056545"/>
    <w:rsid w:val="180B23B7"/>
    <w:rsid w:val="181E2472"/>
    <w:rsid w:val="1834450D"/>
    <w:rsid w:val="18411ED9"/>
    <w:rsid w:val="18561C0B"/>
    <w:rsid w:val="185A5BA0"/>
    <w:rsid w:val="185D2F9A"/>
    <w:rsid w:val="185F4F64"/>
    <w:rsid w:val="185F6D12"/>
    <w:rsid w:val="18707171"/>
    <w:rsid w:val="18797CF6"/>
    <w:rsid w:val="18836AA3"/>
    <w:rsid w:val="18893D8F"/>
    <w:rsid w:val="188C1683"/>
    <w:rsid w:val="188D1AD1"/>
    <w:rsid w:val="188E5ACF"/>
    <w:rsid w:val="189270E7"/>
    <w:rsid w:val="189C1D14"/>
    <w:rsid w:val="189E6ABD"/>
    <w:rsid w:val="18AE37F5"/>
    <w:rsid w:val="18CB084B"/>
    <w:rsid w:val="18CB789E"/>
    <w:rsid w:val="18D70F9E"/>
    <w:rsid w:val="18DC4807"/>
    <w:rsid w:val="18DF06E4"/>
    <w:rsid w:val="18EB4A4A"/>
    <w:rsid w:val="18EE2DF4"/>
    <w:rsid w:val="18F13E8A"/>
    <w:rsid w:val="190D49C0"/>
    <w:rsid w:val="190F0738"/>
    <w:rsid w:val="19120228"/>
    <w:rsid w:val="191F46F3"/>
    <w:rsid w:val="1923044F"/>
    <w:rsid w:val="192D0BBE"/>
    <w:rsid w:val="19310338"/>
    <w:rsid w:val="193C4FA0"/>
    <w:rsid w:val="193C7053"/>
    <w:rsid w:val="19461C80"/>
    <w:rsid w:val="194674E2"/>
    <w:rsid w:val="194E1F50"/>
    <w:rsid w:val="194F322A"/>
    <w:rsid w:val="195C49A7"/>
    <w:rsid w:val="19670574"/>
    <w:rsid w:val="196C5B8A"/>
    <w:rsid w:val="19737DBE"/>
    <w:rsid w:val="19810F0A"/>
    <w:rsid w:val="199C5D44"/>
    <w:rsid w:val="199D3F96"/>
    <w:rsid w:val="19A35324"/>
    <w:rsid w:val="19AC5F87"/>
    <w:rsid w:val="19B337B9"/>
    <w:rsid w:val="19BD63CC"/>
    <w:rsid w:val="19DB2D10"/>
    <w:rsid w:val="19F636A6"/>
    <w:rsid w:val="19FA1758"/>
    <w:rsid w:val="1A0C4C78"/>
    <w:rsid w:val="1A1160EA"/>
    <w:rsid w:val="1A18065F"/>
    <w:rsid w:val="1A2226ED"/>
    <w:rsid w:val="1A240213"/>
    <w:rsid w:val="1A266884"/>
    <w:rsid w:val="1A3A084C"/>
    <w:rsid w:val="1A400DC5"/>
    <w:rsid w:val="1A497811"/>
    <w:rsid w:val="1A5B5BFF"/>
    <w:rsid w:val="1A5D740E"/>
    <w:rsid w:val="1A661FA5"/>
    <w:rsid w:val="1A6745A4"/>
    <w:rsid w:val="1A6A7BF0"/>
    <w:rsid w:val="1A857D44"/>
    <w:rsid w:val="1A8D2B4F"/>
    <w:rsid w:val="1A8E1B30"/>
    <w:rsid w:val="1AA41354"/>
    <w:rsid w:val="1AA475A6"/>
    <w:rsid w:val="1AAF7027"/>
    <w:rsid w:val="1AB07CF9"/>
    <w:rsid w:val="1AB1581F"/>
    <w:rsid w:val="1AC54F79"/>
    <w:rsid w:val="1AC90DBB"/>
    <w:rsid w:val="1AC9700C"/>
    <w:rsid w:val="1ADF238C"/>
    <w:rsid w:val="1AE14356"/>
    <w:rsid w:val="1AE24529"/>
    <w:rsid w:val="1AF52219"/>
    <w:rsid w:val="1AF851FC"/>
    <w:rsid w:val="1AFF658A"/>
    <w:rsid w:val="1B0A011E"/>
    <w:rsid w:val="1B124510"/>
    <w:rsid w:val="1B1464DA"/>
    <w:rsid w:val="1B281F85"/>
    <w:rsid w:val="1B351FAC"/>
    <w:rsid w:val="1B3A75C2"/>
    <w:rsid w:val="1B476371"/>
    <w:rsid w:val="1B486006"/>
    <w:rsid w:val="1B4D4BD5"/>
    <w:rsid w:val="1B505038"/>
    <w:rsid w:val="1B5278D9"/>
    <w:rsid w:val="1B55540D"/>
    <w:rsid w:val="1B6415FF"/>
    <w:rsid w:val="1B656D62"/>
    <w:rsid w:val="1B7862ED"/>
    <w:rsid w:val="1B7A1B16"/>
    <w:rsid w:val="1B7C407F"/>
    <w:rsid w:val="1B7D3E7D"/>
    <w:rsid w:val="1B8151F1"/>
    <w:rsid w:val="1B815474"/>
    <w:rsid w:val="1B965141"/>
    <w:rsid w:val="1BA57132"/>
    <w:rsid w:val="1BAF1D5E"/>
    <w:rsid w:val="1BAF6202"/>
    <w:rsid w:val="1BB32CA8"/>
    <w:rsid w:val="1BB37B8D"/>
    <w:rsid w:val="1BB630ED"/>
    <w:rsid w:val="1BB9670B"/>
    <w:rsid w:val="1BBE6BA7"/>
    <w:rsid w:val="1BC803BC"/>
    <w:rsid w:val="1BD94FE4"/>
    <w:rsid w:val="1BE42050"/>
    <w:rsid w:val="1BE95FD3"/>
    <w:rsid w:val="1BEC4D61"/>
    <w:rsid w:val="1BEF055C"/>
    <w:rsid w:val="1BF43C15"/>
    <w:rsid w:val="1BF956CF"/>
    <w:rsid w:val="1BFE5601"/>
    <w:rsid w:val="1BFF73B7"/>
    <w:rsid w:val="1C00080C"/>
    <w:rsid w:val="1C07254C"/>
    <w:rsid w:val="1C0B0B13"/>
    <w:rsid w:val="1C121246"/>
    <w:rsid w:val="1C164132"/>
    <w:rsid w:val="1C220723"/>
    <w:rsid w:val="1C230CA1"/>
    <w:rsid w:val="1C231486"/>
    <w:rsid w:val="1C2775DA"/>
    <w:rsid w:val="1C281B11"/>
    <w:rsid w:val="1C331B09"/>
    <w:rsid w:val="1C346708"/>
    <w:rsid w:val="1C4032FE"/>
    <w:rsid w:val="1C420E24"/>
    <w:rsid w:val="1C4306F9"/>
    <w:rsid w:val="1C493F61"/>
    <w:rsid w:val="1C5E411C"/>
    <w:rsid w:val="1C7A52BD"/>
    <w:rsid w:val="1C7D00AF"/>
    <w:rsid w:val="1C827295"/>
    <w:rsid w:val="1C856F63"/>
    <w:rsid w:val="1C961170"/>
    <w:rsid w:val="1C9F1DD3"/>
    <w:rsid w:val="1CA218C3"/>
    <w:rsid w:val="1CA44AD6"/>
    <w:rsid w:val="1CAA0778"/>
    <w:rsid w:val="1CAF7AC6"/>
    <w:rsid w:val="1CB117C2"/>
    <w:rsid w:val="1CBD66FD"/>
    <w:rsid w:val="1CC2317D"/>
    <w:rsid w:val="1CC63804"/>
    <w:rsid w:val="1CD04AD7"/>
    <w:rsid w:val="1CD51C99"/>
    <w:rsid w:val="1CD87093"/>
    <w:rsid w:val="1CE41EDC"/>
    <w:rsid w:val="1CF30371"/>
    <w:rsid w:val="1CF814E3"/>
    <w:rsid w:val="1D022362"/>
    <w:rsid w:val="1D085BCA"/>
    <w:rsid w:val="1D0E6DBD"/>
    <w:rsid w:val="1D1502E7"/>
    <w:rsid w:val="1D24052A"/>
    <w:rsid w:val="1D281406"/>
    <w:rsid w:val="1D2A3688"/>
    <w:rsid w:val="1D3161BC"/>
    <w:rsid w:val="1D3C5874"/>
    <w:rsid w:val="1D3E15EC"/>
    <w:rsid w:val="1D4330A6"/>
    <w:rsid w:val="1D440BCC"/>
    <w:rsid w:val="1D4A202D"/>
    <w:rsid w:val="1D57445C"/>
    <w:rsid w:val="1D65301C"/>
    <w:rsid w:val="1D682B0D"/>
    <w:rsid w:val="1D6D3C7F"/>
    <w:rsid w:val="1D790876"/>
    <w:rsid w:val="1D7A639C"/>
    <w:rsid w:val="1D843C7E"/>
    <w:rsid w:val="1D884F5D"/>
    <w:rsid w:val="1D970CFC"/>
    <w:rsid w:val="1D994A74"/>
    <w:rsid w:val="1D9F5E03"/>
    <w:rsid w:val="1DB45D52"/>
    <w:rsid w:val="1DB63BAA"/>
    <w:rsid w:val="1DB7139E"/>
    <w:rsid w:val="1DC256AB"/>
    <w:rsid w:val="1DCA7323"/>
    <w:rsid w:val="1DCF66E8"/>
    <w:rsid w:val="1DD43CFE"/>
    <w:rsid w:val="1DDB4F4E"/>
    <w:rsid w:val="1DE008F5"/>
    <w:rsid w:val="1DF0665E"/>
    <w:rsid w:val="1DF63C75"/>
    <w:rsid w:val="1E135A38"/>
    <w:rsid w:val="1E1C7453"/>
    <w:rsid w:val="1E28404A"/>
    <w:rsid w:val="1E2C0B70"/>
    <w:rsid w:val="1E340C41"/>
    <w:rsid w:val="1E3414A4"/>
    <w:rsid w:val="1E3536D1"/>
    <w:rsid w:val="1E380731"/>
    <w:rsid w:val="1E392382"/>
    <w:rsid w:val="1E3D5840"/>
    <w:rsid w:val="1E3E73CA"/>
    <w:rsid w:val="1E4100AD"/>
    <w:rsid w:val="1E4470D6"/>
    <w:rsid w:val="1E4744D0"/>
    <w:rsid w:val="1E5B61CE"/>
    <w:rsid w:val="1E5D3CF4"/>
    <w:rsid w:val="1E62755C"/>
    <w:rsid w:val="1E6471A5"/>
    <w:rsid w:val="1E674B72"/>
    <w:rsid w:val="1E6A6509"/>
    <w:rsid w:val="1E6D0ADF"/>
    <w:rsid w:val="1E733517"/>
    <w:rsid w:val="1E7726E6"/>
    <w:rsid w:val="1E8411D7"/>
    <w:rsid w:val="1E904780"/>
    <w:rsid w:val="1EA2204E"/>
    <w:rsid w:val="1EAB7E95"/>
    <w:rsid w:val="1EAE0148"/>
    <w:rsid w:val="1EB3600A"/>
    <w:rsid w:val="1EBF49AE"/>
    <w:rsid w:val="1ECB3353"/>
    <w:rsid w:val="1EF108E0"/>
    <w:rsid w:val="1EF9739E"/>
    <w:rsid w:val="1F02211F"/>
    <w:rsid w:val="1F0C54A8"/>
    <w:rsid w:val="1F122D30"/>
    <w:rsid w:val="1F1545CE"/>
    <w:rsid w:val="1F232B99"/>
    <w:rsid w:val="1F51312D"/>
    <w:rsid w:val="1F525822"/>
    <w:rsid w:val="1F553D69"/>
    <w:rsid w:val="1F646872"/>
    <w:rsid w:val="1F652E0D"/>
    <w:rsid w:val="1F660278"/>
    <w:rsid w:val="1F686DF4"/>
    <w:rsid w:val="1F713AC0"/>
    <w:rsid w:val="1F802125"/>
    <w:rsid w:val="1F827E2E"/>
    <w:rsid w:val="1F8308F5"/>
    <w:rsid w:val="1F8D0609"/>
    <w:rsid w:val="1F9660BC"/>
    <w:rsid w:val="1FA37E2C"/>
    <w:rsid w:val="1FAA6915"/>
    <w:rsid w:val="1FB060A5"/>
    <w:rsid w:val="1FBC02A7"/>
    <w:rsid w:val="1FC3227C"/>
    <w:rsid w:val="1FD20711"/>
    <w:rsid w:val="1FE12702"/>
    <w:rsid w:val="1FE33C5E"/>
    <w:rsid w:val="1FEB4C3E"/>
    <w:rsid w:val="1FED554B"/>
    <w:rsid w:val="1FF339FD"/>
    <w:rsid w:val="20036B1D"/>
    <w:rsid w:val="200F04DE"/>
    <w:rsid w:val="20172FB7"/>
    <w:rsid w:val="20185FBB"/>
    <w:rsid w:val="201D2128"/>
    <w:rsid w:val="20370574"/>
    <w:rsid w:val="203942EC"/>
    <w:rsid w:val="203B0065"/>
    <w:rsid w:val="204A02A8"/>
    <w:rsid w:val="204A07A7"/>
    <w:rsid w:val="20566C4C"/>
    <w:rsid w:val="20580C17"/>
    <w:rsid w:val="205E030D"/>
    <w:rsid w:val="206A094A"/>
    <w:rsid w:val="207812B9"/>
    <w:rsid w:val="2080016D"/>
    <w:rsid w:val="208B1279"/>
    <w:rsid w:val="208C08C0"/>
    <w:rsid w:val="208F16C3"/>
    <w:rsid w:val="20A15763"/>
    <w:rsid w:val="20A3117D"/>
    <w:rsid w:val="20A35C0A"/>
    <w:rsid w:val="20B9621B"/>
    <w:rsid w:val="20C84600"/>
    <w:rsid w:val="20CC33B3"/>
    <w:rsid w:val="20CE712B"/>
    <w:rsid w:val="20D02EA3"/>
    <w:rsid w:val="20D34741"/>
    <w:rsid w:val="20DE6C42"/>
    <w:rsid w:val="20F33380"/>
    <w:rsid w:val="20FC3C98"/>
    <w:rsid w:val="2100305C"/>
    <w:rsid w:val="21004E0A"/>
    <w:rsid w:val="210112AE"/>
    <w:rsid w:val="210812E2"/>
    <w:rsid w:val="21130FE1"/>
    <w:rsid w:val="2116462E"/>
    <w:rsid w:val="211D59BC"/>
    <w:rsid w:val="21283311"/>
    <w:rsid w:val="213351E0"/>
    <w:rsid w:val="213827F6"/>
    <w:rsid w:val="21465528"/>
    <w:rsid w:val="214747E7"/>
    <w:rsid w:val="214F7EDA"/>
    <w:rsid w:val="21582E98"/>
    <w:rsid w:val="215A09BE"/>
    <w:rsid w:val="216D06F2"/>
    <w:rsid w:val="217A696B"/>
    <w:rsid w:val="217B58C7"/>
    <w:rsid w:val="217D1886"/>
    <w:rsid w:val="217E28FF"/>
    <w:rsid w:val="217F69C5"/>
    <w:rsid w:val="21823E51"/>
    <w:rsid w:val="21884D0D"/>
    <w:rsid w:val="21902632"/>
    <w:rsid w:val="219043E0"/>
    <w:rsid w:val="21983295"/>
    <w:rsid w:val="21985D45"/>
    <w:rsid w:val="21A67760"/>
    <w:rsid w:val="21B06830"/>
    <w:rsid w:val="21B17E1E"/>
    <w:rsid w:val="21B300CF"/>
    <w:rsid w:val="21B34857"/>
    <w:rsid w:val="21B55BF5"/>
    <w:rsid w:val="21BC51D5"/>
    <w:rsid w:val="21C41193"/>
    <w:rsid w:val="21CD73E2"/>
    <w:rsid w:val="21D012F2"/>
    <w:rsid w:val="21D2742D"/>
    <w:rsid w:val="21DB35D8"/>
    <w:rsid w:val="21F52495"/>
    <w:rsid w:val="22027DCD"/>
    <w:rsid w:val="2217240B"/>
    <w:rsid w:val="22266C58"/>
    <w:rsid w:val="22291DDB"/>
    <w:rsid w:val="22370D00"/>
    <w:rsid w:val="2237112B"/>
    <w:rsid w:val="224A172C"/>
    <w:rsid w:val="224B1156"/>
    <w:rsid w:val="22525B39"/>
    <w:rsid w:val="22526472"/>
    <w:rsid w:val="22543660"/>
    <w:rsid w:val="22661F76"/>
    <w:rsid w:val="22673393"/>
    <w:rsid w:val="22796B9E"/>
    <w:rsid w:val="227E5224"/>
    <w:rsid w:val="22821F7B"/>
    <w:rsid w:val="229606CD"/>
    <w:rsid w:val="22991824"/>
    <w:rsid w:val="22A5175C"/>
    <w:rsid w:val="22A85BB1"/>
    <w:rsid w:val="22AA7723"/>
    <w:rsid w:val="22AF27BA"/>
    <w:rsid w:val="22B80CD5"/>
    <w:rsid w:val="22BD1205"/>
    <w:rsid w:val="22C612BA"/>
    <w:rsid w:val="22C91855"/>
    <w:rsid w:val="22CF2CE6"/>
    <w:rsid w:val="22D60519"/>
    <w:rsid w:val="22DD18A7"/>
    <w:rsid w:val="22DF561F"/>
    <w:rsid w:val="22E9024C"/>
    <w:rsid w:val="22EA5B1F"/>
    <w:rsid w:val="22EC1D5B"/>
    <w:rsid w:val="22EE5862"/>
    <w:rsid w:val="22F10EAE"/>
    <w:rsid w:val="23072593"/>
    <w:rsid w:val="232B2612"/>
    <w:rsid w:val="232D4266"/>
    <w:rsid w:val="23384D2F"/>
    <w:rsid w:val="233D22B4"/>
    <w:rsid w:val="23410ABE"/>
    <w:rsid w:val="234D33B5"/>
    <w:rsid w:val="2355768F"/>
    <w:rsid w:val="235E18FF"/>
    <w:rsid w:val="23797599"/>
    <w:rsid w:val="23830668"/>
    <w:rsid w:val="238362B9"/>
    <w:rsid w:val="238B4E5F"/>
    <w:rsid w:val="239006C7"/>
    <w:rsid w:val="23922691"/>
    <w:rsid w:val="239660EC"/>
    <w:rsid w:val="23982600"/>
    <w:rsid w:val="23A03014"/>
    <w:rsid w:val="23A22D26"/>
    <w:rsid w:val="23AE0B4E"/>
    <w:rsid w:val="23B343B6"/>
    <w:rsid w:val="23BC326A"/>
    <w:rsid w:val="23C40371"/>
    <w:rsid w:val="23CE4AAF"/>
    <w:rsid w:val="23D20CE0"/>
    <w:rsid w:val="23DC1B5F"/>
    <w:rsid w:val="23E91A35"/>
    <w:rsid w:val="23ED3F5B"/>
    <w:rsid w:val="23EE3640"/>
    <w:rsid w:val="23F0560A"/>
    <w:rsid w:val="23FC3FAF"/>
    <w:rsid w:val="240655DE"/>
    <w:rsid w:val="240864B0"/>
    <w:rsid w:val="24125580"/>
    <w:rsid w:val="24194B61"/>
    <w:rsid w:val="242552B4"/>
    <w:rsid w:val="2446347C"/>
    <w:rsid w:val="24544E0C"/>
    <w:rsid w:val="2489499D"/>
    <w:rsid w:val="248C6A02"/>
    <w:rsid w:val="249446C0"/>
    <w:rsid w:val="249C309C"/>
    <w:rsid w:val="24A2136B"/>
    <w:rsid w:val="24A33C6C"/>
    <w:rsid w:val="24AA3A0B"/>
    <w:rsid w:val="24AA57B9"/>
    <w:rsid w:val="24AE1F6D"/>
    <w:rsid w:val="24B30B11"/>
    <w:rsid w:val="24C17E52"/>
    <w:rsid w:val="24C87CBD"/>
    <w:rsid w:val="24CA5ED0"/>
    <w:rsid w:val="24D80578"/>
    <w:rsid w:val="24E94533"/>
    <w:rsid w:val="24EC7B7F"/>
    <w:rsid w:val="24F1163A"/>
    <w:rsid w:val="24FE77F3"/>
    <w:rsid w:val="25072C0B"/>
    <w:rsid w:val="250B1C22"/>
    <w:rsid w:val="251B3462"/>
    <w:rsid w:val="252B4B4C"/>
    <w:rsid w:val="25330E2E"/>
    <w:rsid w:val="2536529E"/>
    <w:rsid w:val="25382DC5"/>
    <w:rsid w:val="25401C79"/>
    <w:rsid w:val="254C4AC2"/>
    <w:rsid w:val="255A71DF"/>
    <w:rsid w:val="255D6CCF"/>
    <w:rsid w:val="2564005E"/>
    <w:rsid w:val="25657932"/>
    <w:rsid w:val="25717327"/>
    <w:rsid w:val="25745F06"/>
    <w:rsid w:val="258204E4"/>
    <w:rsid w:val="25874A9E"/>
    <w:rsid w:val="25AB4FC2"/>
    <w:rsid w:val="25BD02B3"/>
    <w:rsid w:val="25C26B32"/>
    <w:rsid w:val="25C66622"/>
    <w:rsid w:val="25D0124F"/>
    <w:rsid w:val="25DD69C0"/>
    <w:rsid w:val="25E20F78"/>
    <w:rsid w:val="25E92761"/>
    <w:rsid w:val="25FA62CC"/>
    <w:rsid w:val="26121868"/>
    <w:rsid w:val="2613702C"/>
    <w:rsid w:val="261847F8"/>
    <w:rsid w:val="261A071C"/>
    <w:rsid w:val="26204A8C"/>
    <w:rsid w:val="262B0B7B"/>
    <w:rsid w:val="262F241A"/>
    <w:rsid w:val="263917F9"/>
    <w:rsid w:val="263A7BAA"/>
    <w:rsid w:val="263C5ED3"/>
    <w:rsid w:val="26467763"/>
    <w:rsid w:val="266B0F78"/>
    <w:rsid w:val="2675302E"/>
    <w:rsid w:val="268A7650"/>
    <w:rsid w:val="26946721"/>
    <w:rsid w:val="26A30712"/>
    <w:rsid w:val="26BE379D"/>
    <w:rsid w:val="26C22C59"/>
    <w:rsid w:val="26D97AE9"/>
    <w:rsid w:val="26EA00EF"/>
    <w:rsid w:val="26F176CF"/>
    <w:rsid w:val="26F45411"/>
    <w:rsid w:val="270311B0"/>
    <w:rsid w:val="27074D51"/>
    <w:rsid w:val="27075144"/>
    <w:rsid w:val="270D0281"/>
    <w:rsid w:val="272C0707"/>
    <w:rsid w:val="272E1AD7"/>
    <w:rsid w:val="27315D1D"/>
    <w:rsid w:val="273571C2"/>
    <w:rsid w:val="27383645"/>
    <w:rsid w:val="274F0899"/>
    <w:rsid w:val="27595274"/>
    <w:rsid w:val="27601A9F"/>
    <w:rsid w:val="276A7481"/>
    <w:rsid w:val="27777B13"/>
    <w:rsid w:val="27777ECB"/>
    <w:rsid w:val="2780766D"/>
    <w:rsid w:val="27822A1D"/>
    <w:rsid w:val="278542BB"/>
    <w:rsid w:val="278C73F8"/>
    <w:rsid w:val="27A44741"/>
    <w:rsid w:val="27A75FE0"/>
    <w:rsid w:val="27AE1B22"/>
    <w:rsid w:val="27B46168"/>
    <w:rsid w:val="27B626C7"/>
    <w:rsid w:val="27BA5D13"/>
    <w:rsid w:val="27D112AE"/>
    <w:rsid w:val="27DB3EDB"/>
    <w:rsid w:val="27E45486"/>
    <w:rsid w:val="27EC0C1C"/>
    <w:rsid w:val="27F40B59"/>
    <w:rsid w:val="28017DE6"/>
    <w:rsid w:val="2802590C"/>
    <w:rsid w:val="28165840"/>
    <w:rsid w:val="282B49AC"/>
    <w:rsid w:val="28321D4D"/>
    <w:rsid w:val="28341F69"/>
    <w:rsid w:val="283770FF"/>
    <w:rsid w:val="28461C9C"/>
    <w:rsid w:val="284D302B"/>
    <w:rsid w:val="285F2D5E"/>
    <w:rsid w:val="28650375"/>
    <w:rsid w:val="286A598B"/>
    <w:rsid w:val="28862099"/>
    <w:rsid w:val="28870A2D"/>
    <w:rsid w:val="288E5979"/>
    <w:rsid w:val="289C18BC"/>
    <w:rsid w:val="289F5B02"/>
    <w:rsid w:val="28A013AD"/>
    <w:rsid w:val="28A10C81"/>
    <w:rsid w:val="28B135BA"/>
    <w:rsid w:val="28B5472C"/>
    <w:rsid w:val="28BB61E6"/>
    <w:rsid w:val="28BD003F"/>
    <w:rsid w:val="28D0778C"/>
    <w:rsid w:val="28DC615D"/>
    <w:rsid w:val="29051210"/>
    <w:rsid w:val="291F738B"/>
    <w:rsid w:val="29211DC2"/>
    <w:rsid w:val="292673D8"/>
    <w:rsid w:val="292F0982"/>
    <w:rsid w:val="29475CCC"/>
    <w:rsid w:val="294D2BB7"/>
    <w:rsid w:val="295312A9"/>
    <w:rsid w:val="295F55E0"/>
    <w:rsid w:val="29695641"/>
    <w:rsid w:val="296A62C1"/>
    <w:rsid w:val="2975638C"/>
    <w:rsid w:val="297939AC"/>
    <w:rsid w:val="297A286D"/>
    <w:rsid w:val="297B2C70"/>
    <w:rsid w:val="298E7457"/>
    <w:rsid w:val="29C70BBB"/>
    <w:rsid w:val="29C721E5"/>
    <w:rsid w:val="29CA4D51"/>
    <w:rsid w:val="29D3130E"/>
    <w:rsid w:val="29DA08EE"/>
    <w:rsid w:val="29E101B0"/>
    <w:rsid w:val="29E96D83"/>
    <w:rsid w:val="29EE7EF6"/>
    <w:rsid w:val="29F3375E"/>
    <w:rsid w:val="29FF376B"/>
    <w:rsid w:val="2A007C29"/>
    <w:rsid w:val="2A0942A8"/>
    <w:rsid w:val="2A0B1C77"/>
    <w:rsid w:val="2A0F7360"/>
    <w:rsid w:val="2A135C1B"/>
    <w:rsid w:val="2A1A0CEB"/>
    <w:rsid w:val="2A1A5F20"/>
    <w:rsid w:val="2A1B583C"/>
    <w:rsid w:val="2A1C0F07"/>
    <w:rsid w:val="2A1D4C7F"/>
    <w:rsid w:val="2A226172"/>
    <w:rsid w:val="2A3F0751"/>
    <w:rsid w:val="2A44220C"/>
    <w:rsid w:val="2A461AE0"/>
    <w:rsid w:val="2A484825"/>
    <w:rsid w:val="2A574ED3"/>
    <w:rsid w:val="2A691C72"/>
    <w:rsid w:val="2A720B27"/>
    <w:rsid w:val="2A8F792B"/>
    <w:rsid w:val="2A992557"/>
    <w:rsid w:val="2A9C7CB2"/>
    <w:rsid w:val="2A9F5694"/>
    <w:rsid w:val="2AA937EC"/>
    <w:rsid w:val="2AB01024"/>
    <w:rsid w:val="2AB07A76"/>
    <w:rsid w:val="2ABC4498"/>
    <w:rsid w:val="2ACE34E8"/>
    <w:rsid w:val="2AE00186"/>
    <w:rsid w:val="2AE61515"/>
    <w:rsid w:val="2AEA565A"/>
    <w:rsid w:val="2AF50EB8"/>
    <w:rsid w:val="2AF84B1D"/>
    <w:rsid w:val="2B20072F"/>
    <w:rsid w:val="2B2B691B"/>
    <w:rsid w:val="2B2D2CA0"/>
    <w:rsid w:val="2B325B22"/>
    <w:rsid w:val="2B3A73EF"/>
    <w:rsid w:val="2B3E6C5B"/>
    <w:rsid w:val="2B4D3342"/>
    <w:rsid w:val="2B5376F4"/>
    <w:rsid w:val="2B65068C"/>
    <w:rsid w:val="2B670055"/>
    <w:rsid w:val="2B7E52A9"/>
    <w:rsid w:val="2B8C5C18"/>
    <w:rsid w:val="2B94641F"/>
    <w:rsid w:val="2B990335"/>
    <w:rsid w:val="2B9E594C"/>
    <w:rsid w:val="2B9F552A"/>
    <w:rsid w:val="2BAF4584"/>
    <w:rsid w:val="2BB60EE7"/>
    <w:rsid w:val="2BC01D66"/>
    <w:rsid w:val="2BC36512"/>
    <w:rsid w:val="2BCE7FDF"/>
    <w:rsid w:val="2BD10B3A"/>
    <w:rsid w:val="2BDD546C"/>
    <w:rsid w:val="2BE041B6"/>
    <w:rsid w:val="2BE9306B"/>
    <w:rsid w:val="2BEA0B91"/>
    <w:rsid w:val="2BF832AE"/>
    <w:rsid w:val="2C1358B9"/>
    <w:rsid w:val="2C163734"/>
    <w:rsid w:val="2C1A0365"/>
    <w:rsid w:val="2C1B6F9C"/>
    <w:rsid w:val="2C2422F5"/>
    <w:rsid w:val="2C245E51"/>
    <w:rsid w:val="2C267E1B"/>
    <w:rsid w:val="2C2A0B96"/>
    <w:rsid w:val="2C315FBD"/>
    <w:rsid w:val="2C3562B0"/>
    <w:rsid w:val="2C4A3770"/>
    <w:rsid w:val="2C531D5E"/>
    <w:rsid w:val="2C5A7AC4"/>
    <w:rsid w:val="2C6D5A4A"/>
    <w:rsid w:val="2C866C92"/>
    <w:rsid w:val="2C8C39F6"/>
    <w:rsid w:val="2C8D215F"/>
    <w:rsid w:val="2C9C067B"/>
    <w:rsid w:val="2C9D01BD"/>
    <w:rsid w:val="2CAE5D87"/>
    <w:rsid w:val="2CBA0563"/>
    <w:rsid w:val="2CC413E2"/>
    <w:rsid w:val="2CCD473A"/>
    <w:rsid w:val="2CD51841"/>
    <w:rsid w:val="2CEF46B1"/>
    <w:rsid w:val="2CFC0B7C"/>
    <w:rsid w:val="2D064369"/>
    <w:rsid w:val="2D0D0FDB"/>
    <w:rsid w:val="2D104D7E"/>
    <w:rsid w:val="2D147C0E"/>
    <w:rsid w:val="2D164CD3"/>
    <w:rsid w:val="2D1F2FAB"/>
    <w:rsid w:val="2D1F6B19"/>
    <w:rsid w:val="2D2E0394"/>
    <w:rsid w:val="2D2F1CD3"/>
    <w:rsid w:val="2D452523"/>
    <w:rsid w:val="2D483DC1"/>
    <w:rsid w:val="2D4D13D7"/>
    <w:rsid w:val="2D5F7CB2"/>
    <w:rsid w:val="2D630BFB"/>
    <w:rsid w:val="2D672D4A"/>
    <w:rsid w:val="2D6918C7"/>
    <w:rsid w:val="2D6A1F89"/>
    <w:rsid w:val="2D6B3595"/>
    <w:rsid w:val="2D6C5D01"/>
    <w:rsid w:val="2D765922"/>
    <w:rsid w:val="2D7746A6"/>
    <w:rsid w:val="2D7E3C87"/>
    <w:rsid w:val="2D80355B"/>
    <w:rsid w:val="2D811081"/>
    <w:rsid w:val="2D865AD4"/>
    <w:rsid w:val="2D92328E"/>
    <w:rsid w:val="2DAA05D8"/>
    <w:rsid w:val="2DB120EA"/>
    <w:rsid w:val="2DB15AF7"/>
    <w:rsid w:val="2DB66F7C"/>
    <w:rsid w:val="2DB80F46"/>
    <w:rsid w:val="2DC23B73"/>
    <w:rsid w:val="2DC518B5"/>
    <w:rsid w:val="2DD02422"/>
    <w:rsid w:val="2DD35D80"/>
    <w:rsid w:val="2DD613CD"/>
    <w:rsid w:val="2DD6761F"/>
    <w:rsid w:val="2DE47691"/>
    <w:rsid w:val="2DE73DBF"/>
    <w:rsid w:val="2DF82212"/>
    <w:rsid w:val="2DFC40C8"/>
    <w:rsid w:val="2E011250"/>
    <w:rsid w:val="2E166456"/>
    <w:rsid w:val="2E180404"/>
    <w:rsid w:val="2E262354"/>
    <w:rsid w:val="2E26639C"/>
    <w:rsid w:val="2E301B2D"/>
    <w:rsid w:val="2E310CF9"/>
    <w:rsid w:val="2E34285D"/>
    <w:rsid w:val="2E3E3A4B"/>
    <w:rsid w:val="2E434249"/>
    <w:rsid w:val="2E450A4A"/>
    <w:rsid w:val="2E4E5407"/>
    <w:rsid w:val="2E5073D1"/>
    <w:rsid w:val="2E67471B"/>
    <w:rsid w:val="2E693FEF"/>
    <w:rsid w:val="2E776F13"/>
    <w:rsid w:val="2E7F3812"/>
    <w:rsid w:val="2E7F6685"/>
    <w:rsid w:val="2E975000"/>
    <w:rsid w:val="2EA25753"/>
    <w:rsid w:val="2EA855EA"/>
    <w:rsid w:val="2EA9088F"/>
    <w:rsid w:val="2EBD11F7"/>
    <w:rsid w:val="2EC27F5E"/>
    <w:rsid w:val="2EC658E5"/>
    <w:rsid w:val="2EC92CDF"/>
    <w:rsid w:val="2ECB2EFB"/>
    <w:rsid w:val="2ED55B28"/>
    <w:rsid w:val="2EDA6C9B"/>
    <w:rsid w:val="2EDD678B"/>
    <w:rsid w:val="2EE61AE3"/>
    <w:rsid w:val="2EF51D26"/>
    <w:rsid w:val="2F0957D2"/>
    <w:rsid w:val="2F0D52C2"/>
    <w:rsid w:val="2F10090E"/>
    <w:rsid w:val="2F126434"/>
    <w:rsid w:val="2F131223"/>
    <w:rsid w:val="2F300FB0"/>
    <w:rsid w:val="2F320885"/>
    <w:rsid w:val="2F5910E2"/>
    <w:rsid w:val="2F5E5B1E"/>
    <w:rsid w:val="2F5E78CC"/>
    <w:rsid w:val="2F6D7B0F"/>
    <w:rsid w:val="2F77098D"/>
    <w:rsid w:val="2F794705"/>
    <w:rsid w:val="2F795AC8"/>
    <w:rsid w:val="2F864569"/>
    <w:rsid w:val="2F866E22"/>
    <w:rsid w:val="2F906435"/>
    <w:rsid w:val="2F912229"/>
    <w:rsid w:val="2F9257C7"/>
    <w:rsid w:val="2F974B8C"/>
    <w:rsid w:val="2F9C21A2"/>
    <w:rsid w:val="2FA33530"/>
    <w:rsid w:val="2FB41BE1"/>
    <w:rsid w:val="2FB72DF3"/>
    <w:rsid w:val="2FBE480E"/>
    <w:rsid w:val="2FC17E5A"/>
    <w:rsid w:val="2FC516F9"/>
    <w:rsid w:val="2FCC0A00"/>
    <w:rsid w:val="2FCE5C87"/>
    <w:rsid w:val="2FE06533"/>
    <w:rsid w:val="2FF676D8"/>
    <w:rsid w:val="2FFD7EE2"/>
    <w:rsid w:val="2FFF10AF"/>
    <w:rsid w:val="30014DB4"/>
    <w:rsid w:val="30032221"/>
    <w:rsid w:val="3005243D"/>
    <w:rsid w:val="30075E17"/>
    <w:rsid w:val="30077F63"/>
    <w:rsid w:val="30151A67"/>
    <w:rsid w:val="301D7787"/>
    <w:rsid w:val="30281C88"/>
    <w:rsid w:val="30314FE0"/>
    <w:rsid w:val="303D23C9"/>
    <w:rsid w:val="30427C69"/>
    <w:rsid w:val="30463342"/>
    <w:rsid w:val="30470360"/>
    <w:rsid w:val="306C426A"/>
    <w:rsid w:val="306C7DC6"/>
    <w:rsid w:val="306E1D90"/>
    <w:rsid w:val="30760C45"/>
    <w:rsid w:val="30763BDD"/>
    <w:rsid w:val="3078676B"/>
    <w:rsid w:val="307F5D4C"/>
    <w:rsid w:val="308415B4"/>
    <w:rsid w:val="3096561A"/>
    <w:rsid w:val="309F1F4A"/>
    <w:rsid w:val="30A77050"/>
    <w:rsid w:val="30AE4CCA"/>
    <w:rsid w:val="30C9339C"/>
    <w:rsid w:val="30D06101"/>
    <w:rsid w:val="30D37E45"/>
    <w:rsid w:val="30F54260"/>
    <w:rsid w:val="310224D9"/>
    <w:rsid w:val="3109327F"/>
    <w:rsid w:val="31187057"/>
    <w:rsid w:val="31197F4E"/>
    <w:rsid w:val="311E5564"/>
    <w:rsid w:val="312047D1"/>
    <w:rsid w:val="313027FA"/>
    <w:rsid w:val="3135465C"/>
    <w:rsid w:val="313E3733"/>
    <w:rsid w:val="31440D1D"/>
    <w:rsid w:val="314A45AB"/>
    <w:rsid w:val="314F3970"/>
    <w:rsid w:val="31563F8A"/>
    <w:rsid w:val="3168639F"/>
    <w:rsid w:val="316A07AA"/>
    <w:rsid w:val="317038E6"/>
    <w:rsid w:val="317258B0"/>
    <w:rsid w:val="317A6513"/>
    <w:rsid w:val="317F1D7B"/>
    <w:rsid w:val="31807FCD"/>
    <w:rsid w:val="31945827"/>
    <w:rsid w:val="31964FAB"/>
    <w:rsid w:val="319C0B7F"/>
    <w:rsid w:val="31B0101F"/>
    <w:rsid w:val="31B63615"/>
    <w:rsid w:val="31C4274B"/>
    <w:rsid w:val="31C53936"/>
    <w:rsid w:val="31C837D6"/>
    <w:rsid w:val="31D65E3F"/>
    <w:rsid w:val="31E247E4"/>
    <w:rsid w:val="31E3230A"/>
    <w:rsid w:val="31EE33F5"/>
    <w:rsid w:val="31FC566E"/>
    <w:rsid w:val="320E382B"/>
    <w:rsid w:val="323A4620"/>
    <w:rsid w:val="32425002"/>
    <w:rsid w:val="32430E48"/>
    <w:rsid w:val="324A05DB"/>
    <w:rsid w:val="32511852"/>
    <w:rsid w:val="327D62BB"/>
    <w:rsid w:val="32883C32"/>
    <w:rsid w:val="328C4750"/>
    <w:rsid w:val="32933D30"/>
    <w:rsid w:val="329D695D"/>
    <w:rsid w:val="32A11E2D"/>
    <w:rsid w:val="32A47CEB"/>
    <w:rsid w:val="32B3504D"/>
    <w:rsid w:val="32C71C2C"/>
    <w:rsid w:val="32C97752"/>
    <w:rsid w:val="32CC2D9E"/>
    <w:rsid w:val="32DD31FD"/>
    <w:rsid w:val="32E76277"/>
    <w:rsid w:val="32EA39FB"/>
    <w:rsid w:val="32F04CDF"/>
    <w:rsid w:val="32F742BF"/>
    <w:rsid w:val="330469DC"/>
    <w:rsid w:val="330D3AE3"/>
    <w:rsid w:val="33150BE9"/>
    <w:rsid w:val="333A261A"/>
    <w:rsid w:val="333F7A14"/>
    <w:rsid w:val="334C0751"/>
    <w:rsid w:val="335A2AA0"/>
    <w:rsid w:val="335F1E64"/>
    <w:rsid w:val="337551E4"/>
    <w:rsid w:val="33844E91"/>
    <w:rsid w:val="3392223A"/>
    <w:rsid w:val="339628D2"/>
    <w:rsid w:val="33A2056E"/>
    <w:rsid w:val="33A37ABD"/>
    <w:rsid w:val="33B71CA0"/>
    <w:rsid w:val="33C30645"/>
    <w:rsid w:val="33D04B10"/>
    <w:rsid w:val="33D77C4D"/>
    <w:rsid w:val="33E222C5"/>
    <w:rsid w:val="340842AA"/>
    <w:rsid w:val="340A1DD0"/>
    <w:rsid w:val="340F4984"/>
    <w:rsid w:val="341713FC"/>
    <w:rsid w:val="342235BE"/>
    <w:rsid w:val="34232E92"/>
    <w:rsid w:val="342849CE"/>
    <w:rsid w:val="34362BC5"/>
    <w:rsid w:val="34425A0E"/>
    <w:rsid w:val="344E2D92"/>
    <w:rsid w:val="345B262C"/>
    <w:rsid w:val="34605E94"/>
    <w:rsid w:val="346516FC"/>
    <w:rsid w:val="34692F9B"/>
    <w:rsid w:val="346F4329"/>
    <w:rsid w:val="3482405C"/>
    <w:rsid w:val="348A4CBF"/>
    <w:rsid w:val="34943D90"/>
    <w:rsid w:val="349A13A6"/>
    <w:rsid w:val="34A02734"/>
    <w:rsid w:val="34AE4E51"/>
    <w:rsid w:val="34B32468"/>
    <w:rsid w:val="34C24459"/>
    <w:rsid w:val="34C5219B"/>
    <w:rsid w:val="34C93A39"/>
    <w:rsid w:val="34CC52D7"/>
    <w:rsid w:val="34F67A79"/>
    <w:rsid w:val="34FA3BF3"/>
    <w:rsid w:val="35044A71"/>
    <w:rsid w:val="350B5E00"/>
    <w:rsid w:val="35127301"/>
    <w:rsid w:val="35132F06"/>
    <w:rsid w:val="351F3659"/>
    <w:rsid w:val="352700AD"/>
    <w:rsid w:val="35422EF7"/>
    <w:rsid w:val="35486803"/>
    <w:rsid w:val="354E2190"/>
    <w:rsid w:val="35505F08"/>
    <w:rsid w:val="355164C2"/>
    <w:rsid w:val="35527ED3"/>
    <w:rsid w:val="355F5BD4"/>
    <w:rsid w:val="356419B4"/>
    <w:rsid w:val="356814A4"/>
    <w:rsid w:val="35741BE6"/>
    <w:rsid w:val="357F67EE"/>
    <w:rsid w:val="358B0CEF"/>
    <w:rsid w:val="3599165E"/>
    <w:rsid w:val="35C948C7"/>
    <w:rsid w:val="35E14DB3"/>
    <w:rsid w:val="35E23FDD"/>
    <w:rsid w:val="35EB1B2A"/>
    <w:rsid w:val="35EF74CF"/>
    <w:rsid w:val="35F20D6E"/>
    <w:rsid w:val="35F5085E"/>
    <w:rsid w:val="36037561"/>
    <w:rsid w:val="3628478F"/>
    <w:rsid w:val="36360B98"/>
    <w:rsid w:val="36432D8A"/>
    <w:rsid w:val="36454AF6"/>
    <w:rsid w:val="364F4412"/>
    <w:rsid w:val="36513CE6"/>
    <w:rsid w:val="36571359"/>
    <w:rsid w:val="36625BB4"/>
    <w:rsid w:val="36734105"/>
    <w:rsid w:val="368220F2"/>
    <w:rsid w:val="368A23CB"/>
    <w:rsid w:val="368C4D1E"/>
    <w:rsid w:val="368F480F"/>
    <w:rsid w:val="369709D0"/>
    <w:rsid w:val="369E4A52"/>
    <w:rsid w:val="36A0704D"/>
    <w:rsid w:val="36A101AE"/>
    <w:rsid w:val="36A858D0"/>
    <w:rsid w:val="36AB4BC9"/>
    <w:rsid w:val="36AC3746"/>
    <w:rsid w:val="36AE34E3"/>
    <w:rsid w:val="36AE738B"/>
    <w:rsid w:val="36B87535"/>
    <w:rsid w:val="36E25286"/>
    <w:rsid w:val="36E46398"/>
    <w:rsid w:val="36F54FB9"/>
    <w:rsid w:val="37003912"/>
    <w:rsid w:val="370055E2"/>
    <w:rsid w:val="3701378C"/>
    <w:rsid w:val="37021484"/>
    <w:rsid w:val="370451FC"/>
    <w:rsid w:val="370621EB"/>
    <w:rsid w:val="370C40B1"/>
    <w:rsid w:val="37182A56"/>
    <w:rsid w:val="371F2036"/>
    <w:rsid w:val="37274872"/>
    <w:rsid w:val="37321D6A"/>
    <w:rsid w:val="3744384B"/>
    <w:rsid w:val="374E46CA"/>
    <w:rsid w:val="37543502"/>
    <w:rsid w:val="3756532C"/>
    <w:rsid w:val="375B2943"/>
    <w:rsid w:val="3772660A"/>
    <w:rsid w:val="377657B0"/>
    <w:rsid w:val="37850CBA"/>
    <w:rsid w:val="3790083E"/>
    <w:rsid w:val="37906A90"/>
    <w:rsid w:val="37940D16"/>
    <w:rsid w:val="379C3687"/>
    <w:rsid w:val="37A20571"/>
    <w:rsid w:val="37A4253C"/>
    <w:rsid w:val="37AB5678"/>
    <w:rsid w:val="37AC319E"/>
    <w:rsid w:val="37B07132"/>
    <w:rsid w:val="37C67267"/>
    <w:rsid w:val="37CE281A"/>
    <w:rsid w:val="37D37A51"/>
    <w:rsid w:val="37E961A0"/>
    <w:rsid w:val="37F21C57"/>
    <w:rsid w:val="37F30965"/>
    <w:rsid w:val="37FA3987"/>
    <w:rsid w:val="38084878"/>
    <w:rsid w:val="380A4A95"/>
    <w:rsid w:val="381476C1"/>
    <w:rsid w:val="38151BEF"/>
    <w:rsid w:val="38176009"/>
    <w:rsid w:val="381E5E4A"/>
    <w:rsid w:val="38213B8C"/>
    <w:rsid w:val="3821593A"/>
    <w:rsid w:val="382F62A9"/>
    <w:rsid w:val="38337A8F"/>
    <w:rsid w:val="383D41FD"/>
    <w:rsid w:val="38451629"/>
    <w:rsid w:val="3845787B"/>
    <w:rsid w:val="38477E80"/>
    <w:rsid w:val="38521F98"/>
    <w:rsid w:val="385A62F6"/>
    <w:rsid w:val="386046B4"/>
    <w:rsid w:val="386A4CCF"/>
    <w:rsid w:val="386B4E07"/>
    <w:rsid w:val="38710670"/>
    <w:rsid w:val="38712827"/>
    <w:rsid w:val="38A81BB8"/>
    <w:rsid w:val="38AC4000"/>
    <w:rsid w:val="38B14F10"/>
    <w:rsid w:val="38C94357"/>
    <w:rsid w:val="38D94467"/>
    <w:rsid w:val="38F75608"/>
    <w:rsid w:val="390D02C7"/>
    <w:rsid w:val="391F631E"/>
    <w:rsid w:val="392E47B3"/>
    <w:rsid w:val="39331DC9"/>
    <w:rsid w:val="3934169D"/>
    <w:rsid w:val="39354F1D"/>
    <w:rsid w:val="39394F40"/>
    <w:rsid w:val="394A10E7"/>
    <w:rsid w:val="394B6AE2"/>
    <w:rsid w:val="39504729"/>
    <w:rsid w:val="395104A1"/>
    <w:rsid w:val="39537D75"/>
    <w:rsid w:val="395A55A8"/>
    <w:rsid w:val="396106E4"/>
    <w:rsid w:val="396726DB"/>
    <w:rsid w:val="396C0E37"/>
    <w:rsid w:val="39793A97"/>
    <w:rsid w:val="39830546"/>
    <w:rsid w:val="39846181"/>
    <w:rsid w:val="399A4F1A"/>
    <w:rsid w:val="399F120C"/>
    <w:rsid w:val="39AD02F7"/>
    <w:rsid w:val="39B0341A"/>
    <w:rsid w:val="39B50A30"/>
    <w:rsid w:val="39C26CA9"/>
    <w:rsid w:val="39CB3DB0"/>
    <w:rsid w:val="39D51CFD"/>
    <w:rsid w:val="39D8471E"/>
    <w:rsid w:val="39F01A68"/>
    <w:rsid w:val="39F257E0"/>
    <w:rsid w:val="39F63852"/>
    <w:rsid w:val="39FE4185"/>
    <w:rsid w:val="3A1514CF"/>
    <w:rsid w:val="3A190FBF"/>
    <w:rsid w:val="3A1F40FB"/>
    <w:rsid w:val="3A231E3E"/>
    <w:rsid w:val="3A370748"/>
    <w:rsid w:val="3A371E3F"/>
    <w:rsid w:val="3A464B75"/>
    <w:rsid w:val="3A48568A"/>
    <w:rsid w:val="3A4A60C7"/>
    <w:rsid w:val="3A575643"/>
    <w:rsid w:val="3A5C0EAC"/>
    <w:rsid w:val="3A5F45D1"/>
    <w:rsid w:val="3A6A3F6F"/>
    <w:rsid w:val="3A773F37"/>
    <w:rsid w:val="3A7C7131"/>
    <w:rsid w:val="3A7D6B2B"/>
    <w:rsid w:val="3A7E7074"/>
    <w:rsid w:val="3A813FD0"/>
    <w:rsid w:val="3A824436"/>
    <w:rsid w:val="3A891983"/>
    <w:rsid w:val="3A891C57"/>
    <w:rsid w:val="3A8C5C6A"/>
    <w:rsid w:val="3A8D72B7"/>
    <w:rsid w:val="3A971EE4"/>
    <w:rsid w:val="3A987C2E"/>
    <w:rsid w:val="3A9B5E78"/>
    <w:rsid w:val="3A9C399E"/>
    <w:rsid w:val="3AA2245B"/>
    <w:rsid w:val="3AAF36D1"/>
    <w:rsid w:val="3AC0143A"/>
    <w:rsid w:val="3AC56A51"/>
    <w:rsid w:val="3AC86541"/>
    <w:rsid w:val="3AD3431D"/>
    <w:rsid w:val="3AD8254E"/>
    <w:rsid w:val="3AD9278E"/>
    <w:rsid w:val="3ADA3AFC"/>
    <w:rsid w:val="3AE35129"/>
    <w:rsid w:val="3AEA733E"/>
    <w:rsid w:val="3AEC66D3"/>
    <w:rsid w:val="3AF31810"/>
    <w:rsid w:val="3AF92B9E"/>
    <w:rsid w:val="3B0A0908"/>
    <w:rsid w:val="3B1F2605"/>
    <w:rsid w:val="3B273268"/>
    <w:rsid w:val="3B273F0F"/>
    <w:rsid w:val="3B281512"/>
    <w:rsid w:val="3B2B683A"/>
    <w:rsid w:val="3B337FBE"/>
    <w:rsid w:val="3B3911ED"/>
    <w:rsid w:val="3B392F9B"/>
    <w:rsid w:val="3B440AE3"/>
    <w:rsid w:val="3B455DE4"/>
    <w:rsid w:val="3B572D45"/>
    <w:rsid w:val="3B585B17"/>
    <w:rsid w:val="3B787F67"/>
    <w:rsid w:val="3B7D557D"/>
    <w:rsid w:val="3B81506E"/>
    <w:rsid w:val="3B8E2C33"/>
    <w:rsid w:val="3B8E784F"/>
    <w:rsid w:val="3BB23479"/>
    <w:rsid w:val="3BBB7E52"/>
    <w:rsid w:val="3BD056AD"/>
    <w:rsid w:val="3BD31641"/>
    <w:rsid w:val="3BD641DA"/>
    <w:rsid w:val="3BDC04F6"/>
    <w:rsid w:val="3BE455FD"/>
    <w:rsid w:val="3BF05D4F"/>
    <w:rsid w:val="3BF375EE"/>
    <w:rsid w:val="3BF440AF"/>
    <w:rsid w:val="3BF621F9"/>
    <w:rsid w:val="3C101F4E"/>
    <w:rsid w:val="3C125CC6"/>
    <w:rsid w:val="3C131A3E"/>
    <w:rsid w:val="3C1812F9"/>
    <w:rsid w:val="3C1E41B5"/>
    <w:rsid w:val="3C1E436A"/>
    <w:rsid w:val="3C202033"/>
    <w:rsid w:val="3C2105FF"/>
    <w:rsid w:val="3C3534B5"/>
    <w:rsid w:val="3C3A6FCB"/>
    <w:rsid w:val="3C3D77CB"/>
    <w:rsid w:val="3C447E49"/>
    <w:rsid w:val="3C463D4C"/>
    <w:rsid w:val="3C5C1637"/>
    <w:rsid w:val="3C667DC0"/>
    <w:rsid w:val="3C7324DC"/>
    <w:rsid w:val="3C81109D"/>
    <w:rsid w:val="3C9148A4"/>
    <w:rsid w:val="3C926E07"/>
    <w:rsid w:val="3C971488"/>
    <w:rsid w:val="3CA3332A"/>
    <w:rsid w:val="3CA51F61"/>
    <w:rsid w:val="3CAB7EC8"/>
    <w:rsid w:val="3CB23005"/>
    <w:rsid w:val="3CB60D47"/>
    <w:rsid w:val="3CB70FF9"/>
    <w:rsid w:val="3CB9392B"/>
    <w:rsid w:val="3CBB635D"/>
    <w:rsid w:val="3CC2593E"/>
    <w:rsid w:val="3CC350C0"/>
    <w:rsid w:val="3CCD6091"/>
    <w:rsid w:val="3CCF3BB7"/>
    <w:rsid w:val="3CCF40AD"/>
    <w:rsid w:val="3CD72A6B"/>
    <w:rsid w:val="3CDB255C"/>
    <w:rsid w:val="3CDC5A84"/>
    <w:rsid w:val="3CE27D8E"/>
    <w:rsid w:val="3CE358B4"/>
    <w:rsid w:val="3D033860"/>
    <w:rsid w:val="3D0870C9"/>
    <w:rsid w:val="3D0C0967"/>
    <w:rsid w:val="3D0D727F"/>
    <w:rsid w:val="3D10193C"/>
    <w:rsid w:val="3D115F7D"/>
    <w:rsid w:val="3D145A6E"/>
    <w:rsid w:val="3D197528"/>
    <w:rsid w:val="3D1C447A"/>
    <w:rsid w:val="3D1E069A"/>
    <w:rsid w:val="3D1F79A1"/>
    <w:rsid w:val="3D2F0AF9"/>
    <w:rsid w:val="3D2F28A7"/>
    <w:rsid w:val="3D311355"/>
    <w:rsid w:val="3D363C36"/>
    <w:rsid w:val="3D597924"/>
    <w:rsid w:val="3D606F05"/>
    <w:rsid w:val="3D681BCB"/>
    <w:rsid w:val="3D7D3613"/>
    <w:rsid w:val="3D804EB1"/>
    <w:rsid w:val="3D851D0D"/>
    <w:rsid w:val="3D915310"/>
    <w:rsid w:val="3D916A12"/>
    <w:rsid w:val="3DA4074B"/>
    <w:rsid w:val="3DA45043"/>
    <w:rsid w:val="3DA64A3C"/>
    <w:rsid w:val="3DAC214A"/>
    <w:rsid w:val="3DB32620"/>
    <w:rsid w:val="3DBA03C3"/>
    <w:rsid w:val="3DC41242"/>
    <w:rsid w:val="3DC93D93"/>
    <w:rsid w:val="3DCE0312"/>
    <w:rsid w:val="3DD07BE6"/>
    <w:rsid w:val="3DD516A1"/>
    <w:rsid w:val="3DDC47DD"/>
    <w:rsid w:val="3DDE328E"/>
    <w:rsid w:val="3DED1091"/>
    <w:rsid w:val="3DF00289"/>
    <w:rsid w:val="3DF2420A"/>
    <w:rsid w:val="3DFF671E"/>
    <w:rsid w:val="3E09134A"/>
    <w:rsid w:val="3E111FAD"/>
    <w:rsid w:val="3E2B12C1"/>
    <w:rsid w:val="3E35213F"/>
    <w:rsid w:val="3E540971"/>
    <w:rsid w:val="3E5720B6"/>
    <w:rsid w:val="3E5C591E"/>
    <w:rsid w:val="3E5E1696"/>
    <w:rsid w:val="3E6F35DF"/>
    <w:rsid w:val="3E7168DF"/>
    <w:rsid w:val="3E7A3FF6"/>
    <w:rsid w:val="3E7E5894"/>
    <w:rsid w:val="3E80785E"/>
    <w:rsid w:val="3E916B18"/>
    <w:rsid w:val="3E9B002B"/>
    <w:rsid w:val="3E9C3F6D"/>
    <w:rsid w:val="3EA13331"/>
    <w:rsid w:val="3EA51073"/>
    <w:rsid w:val="3EC3774B"/>
    <w:rsid w:val="3EC60FE9"/>
    <w:rsid w:val="3EC62D97"/>
    <w:rsid w:val="3ED23E32"/>
    <w:rsid w:val="3EDA6843"/>
    <w:rsid w:val="3EE6343A"/>
    <w:rsid w:val="3EED6576"/>
    <w:rsid w:val="3EF142B8"/>
    <w:rsid w:val="3EF20030"/>
    <w:rsid w:val="3EF43DA9"/>
    <w:rsid w:val="3F067638"/>
    <w:rsid w:val="3F073ADC"/>
    <w:rsid w:val="3F197770"/>
    <w:rsid w:val="3F1B7587"/>
    <w:rsid w:val="3F1C3DCB"/>
    <w:rsid w:val="3F1D4FBC"/>
    <w:rsid w:val="3F32042D"/>
    <w:rsid w:val="3F487C50"/>
    <w:rsid w:val="3F573360"/>
    <w:rsid w:val="3F5B3839"/>
    <w:rsid w:val="3F5E4774"/>
    <w:rsid w:val="3F622A13"/>
    <w:rsid w:val="3F6902F3"/>
    <w:rsid w:val="3F6A60B0"/>
    <w:rsid w:val="3F843560"/>
    <w:rsid w:val="3F874C1D"/>
    <w:rsid w:val="3F9A74E0"/>
    <w:rsid w:val="3F9F1F66"/>
    <w:rsid w:val="3FAF1A7E"/>
    <w:rsid w:val="3FB83028"/>
    <w:rsid w:val="3FBA19D1"/>
    <w:rsid w:val="3FD55947"/>
    <w:rsid w:val="3FFA53EF"/>
    <w:rsid w:val="40095632"/>
    <w:rsid w:val="400C5122"/>
    <w:rsid w:val="4010076E"/>
    <w:rsid w:val="402266F3"/>
    <w:rsid w:val="40384169"/>
    <w:rsid w:val="404B5C4A"/>
    <w:rsid w:val="404C551E"/>
    <w:rsid w:val="4056752A"/>
    <w:rsid w:val="405D772B"/>
    <w:rsid w:val="4065146E"/>
    <w:rsid w:val="40672358"/>
    <w:rsid w:val="406E7B8B"/>
    <w:rsid w:val="408649AB"/>
    <w:rsid w:val="40864ED4"/>
    <w:rsid w:val="408B3C0A"/>
    <w:rsid w:val="408B6047"/>
    <w:rsid w:val="40A4535A"/>
    <w:rsid w:val="40AB43DF"/>
    <w:rsid w:val="40B42554"/>
    <w:rsid w:val="40C477AB"/>
    <w:rsid w:val="40C63DA1"/>
    <w:rsid w:val="40C81AA1"/>
    <w:rsid w:val="40C90EAA"/>
    <w:rsid w:val="40CE4185"/>
    <w:rsid w:val="40D72FB1"/>
    <w:rsid w:val="40D82725"/>
    <w:rsid w:val="40E124A7"/>
    <w:rsid w:val="40E67721"/>
    <w:rsid w:val="40EB2F89"/>
    <w:rsid w:val="41055DF9"/>
    <w:rsid w:val="41126010"/>
    <w:rsid w:val="411617D6"/>
    <w:rsid w:val="412546ED"/>
    <w:rsid w:val="41263DF8"/>
    <w:rsid w:val="41285F8B"/>
    <w:rsid w:val="414508EB"/>
    <w:rsid w:val="414A4154"/>
    <w:rsid w:val="414A7CB0"/>
    <w:rsid w:val="415154E2"/>
    <w:rsid w:val="415442A5"/>
    <w:rsid w:val="41852113"/>
    <w:rsid w:val="41874A60"/>
    <w:rsid w:val="418807D8"/>
    <w:rsid w:val="419E624E"/>
    <w:rsid w:val="41A43864"/>
    <w:rsid w:val="41B65345"/>
    <w:rsid w:val="41B8730F"/>
    <w:rsid w:val="41C55588"/>
    <w:rsid w:val="41CE268F"/>
    <w:rsid w:val="41DE379E"/>
    <w:rsid w:val="41E915B7"/>
    <w:rsid w:val="41E9396D"/>
    <w:rsid w:val="41EC520B"/>
    <w:rsid w:val="41EC6CB1"/>
    <w:rsid w:val="41EE0F83"/>
    <w:rsid w:val="41F03971"/>
    <w:rsid w:val="41F336CB"/>
    <w:rsid w:val="41F4168E"/>
    <w:rsid w:val="41F67E38"/>
    <w:rsid w:val="41FF2584"/>
    <w:rsid w:val="42002A64"/>
    <w:rsid w:val="420267DC"/>
    <w:rsid w:val="42072045"/>
    <w:rsid w:val="420B38E3"/>
    <w:rsid w:val="420C765B"/>
    <w:rsid w:val="420E7D4A"/>
    <w:rsid w:val="42201C89"/>
    <w:rsid w:val="423050F8"/>
    <w:rsid w:val="42334BE8"/>
    <w:rsid w:val="42351C2E"/>
    <w:rsid w:val="4243599A"/>
    <w:rsid w:val="42467C66"/>
    <w:rsid w:val="4251797B"/>
    <w:rsid w:val="42686D32"/>
    <w:rsid w:val="42703746"/>
    <w:rsid w:val="427A5E84"/>
    <w:rsid w:val="4283791D"/>
    <w:rsid w:val="428A020E"/>
    <w:rsid w:val="42937435"/>
    <w:rsid w:val="429A07C3"/>
    <w:rsid w:val="429C09DF"/>
    <w:rsid w:val="42AB0C22"/>
    <w:rsid w:val="42BE08FA"/>
    <w:rsid w:val="42C13FA2"/>
    <w:rsid w:val="42CB6BCE"/>
    <w:rsid w:val="42CE6929"/>
    <w:rsid w:val="42DF6B1E"/>
    <w:rsid w:val="42E96DC2"/>
    <w:rsid w:val="42EB101F"/>
    <w:rsid w:val="42F04887"/>
    <w:rsid w:val="42F56341"/>
    <w:rsid w:val="43010842"/>
    <w:rsid w:val="430A1DED"/>
    <w:rsid w:val="432D1637"/>
    <w:rsid w:val="43497102"/>
    <w:rsid w:val="435F7B79"/>
    <w:rsid w:val="43601A0D"/>
    <w:rsid w:val="43672D9B"/>
    <w:rsid w:val="436C03B1"/>
    <w:rsid w:val="436C6603"/>
    <w:rsid w:val="43731905"/>
    <w:rsid w:val="437B23A2"/>
    <w:rsid w:val="43947908"/>
    <w:rsid w:val="43AD0EE4"/>
    <w:rsid w:val="43AF64F0"/>
    <w:rsid w:val="43C24475"/>
    <w:rsid w:val="43C875B2"/>
    <w:rsid w:val="43CC0E50"/>
    <w:rsid w:val="43CF26EE"/>
    <w:rsid w:val="43D9531B"/>
    <w:rsid w:val="43DE42AE"/>
    <w:rsid w:val="43E20674"/>
    <w:rsid w:val="43E85D96"/>
    <w:rsid w:val="43E9611A"/>
    <w:rsid w:val="43EB4968"/>
    <w:rsid w:val="43ED0DC6"/>
    <w:rsid w:val="43F646D3"/>
    <w:rsid w:val="44087D70"/>
    <w:rsid w:val="441D5B50"/>
    <w:rsid w:val="44242A3A"/>
    <w:rsid w:val="442C5D93"/>
    <w:rsid w:val="443A0618"/>
    <w:rsid w:val="443D67CC"/>
    <w:rsid w:val="443F5AC6"/>
    <w:rsid w:val="444529B0"/>
    <w:rsid w:val="44495E16"/>
    <w:rsid w:val="445D2BF8"/>
    <w:rsid w:val="446077EA"/>
    <w:rsid w:val="446A2417"/>
    <w:rsid w:val="446C5429"/>
    <w:rsid w:val="44753296"/>
    <w:rsid w:val="447F4114"/>
    <w:rsid w:val="448B4867"/>
    <w:rsid w:val="448E4357"/>
    <w:rsid w:val="44957494"/>
    <w:rsid w:val="44986F84"/>
    <w:rsid w:val="44AD0C81"/>
    <w:rsid w:val="44BA339E"/>
    <w:rsid w:val="44C47D79"/>
    <w:rsid w:val="44D53D34"/>
    <w:rsid w:val="44DE52DF"/>
    <w:rsid w:val="44EF6BA2"/>
    <w:rsid w:val="44F97EFB"/>
    <w:rsid w:val="45014B29"/>
    <w:rsid w:val="4517434D"/>
    <w:rsid w:val="45181E73"/>
    <w:rsid w:val="451F7B21"/>
    <w:rsid w:val="452B0ED5"/>
    <w:rsid w:val="452D591E"/>
    <w:rsid w:val="45321187"/>
    <w:rsid w:val="453F470E"/>
    <w:rsid w:val="45455877"/>
    <w:rsid w:val="45486BFC"/>
    <w:rsid w:val="45494171"/>
    <w:rsid w:val="4554734F"/>
    <w:rsid w:val="455E500D"/>
    <w:rsid w:val="45726E6D"/>
    <w:rsid w:val="457F1EF2"/>
    <w:rsid w:val="458241E7"/>
    <w:rsid w:val="4588524B"/>
    <w:rsid w:val="459935B0"/>
    <w:rsid w:val="45A258DE"/>
    <w:rsid w:val="45AB2CE7"/>
    <w:rsid w:val="45B82804"/>
    <w:rsid w:val="45CE4287"/>
    <w:rsid w:val="45D65FB6"/>
    <w:rsid w:val="45E16709"/>
    <w:rsid w:val="45E5269D"/>
    <w:rsid w:val="45E745BD"/>
    <w:rsid w:val="45EA1A61"/>
    <w:rsid w:val="45F823D0"/>
    <w:rsid w:val="45FB34D6"/>
    <w:rsid w:val="46082797"/>
    <w:rsid w:val="46132D66"/>
    <w:rsid w:val="46195EA3"/>
    <w:rsid w:val="461D5993"/>
    <w:rsid w:val="46366582"/>
    <w:rsid w:val="463B406B"/>
    <w:rsid w:val="463C0ED7"/>
    <w:rsid w:val="463F1DAD"/>
    <w:rsid w:val="46511A49"/>
    <w:rsid w:val="46511AE0"/>
    <w:rsid w:val="46556EB0"/>
    <w:rsid w:val="46645519"/>
    <w:rsid w:val="467001B9"/>
    <w:rsid w:val="46712183"/>
    <w:rsid w:val="46713F31"/>
    <w:rsid w:val="467610D5"/>
    <w:rsid w:val="467A1AED"/>
    <w:rsid w:val="467F03FC"/>
    <w:rsid w:val="46843C64"/>
    <w:rsid w:val="46845A12"/>
    <w:rsid w:val="468477C0"/>
    <w:rsid w:val="46873754"/>
    <w:rsid w:val="46902609"/>
    <w:rsid w:val="46902E7B"/>
    <w:rsid w:val="469262EB"/>
    <w:rsid w:val="4696345C"/>
    <w:rsid w:val="46B13C8E"/>
    <w:rsid w:val="46B856BC"/>
    <w:rsid w:val="46BC0A08"/>
    <w:rsid w:val="46C027C2"/>
    <w:rsid w:val="46C44060"/>
    <w:rsid w:val="46CA3287"/>
    <w:rsid w:val="46CB0DF0"/>
    <w:rsid w:val="46CE7995"/>
    <w:rsid w:val="46DC54FB"/>
    <w:rsid w:val="46EE732F"/>
    <w:rsid w:val="46F10BCE"/>
    <w:rsid w:val="46F26E20"/>
    <w:rsid w:val="46FE1EDD"/>
    <w:rsid w:val="470D3C59"/>
    <w:rsid w:val="47131BE7"/>
    <w:rsid w:val="471A5C34"/>
    <w:rsid w:val="472B0B07"/>
    <w:rsid w:val="472D60AA"/>
    <w:rsid w:val="474B6530"/>
    <w:rsid w:val="474E2C0B"/>
    <w:rsid w:val="4760218C"/>
    <w:rsid w:val="47606452"/>
    <w:rsid w:val="4765510B"/>
    <w:rsid w:val="47665118"/>
    <w:rsid w:val="47744AC9"/>
    <w:rsid w:val="477517FF"/>
    <w:rsid w:val="47761DE7"/>
    <w:rsid w:val="47793E7F"/>
    <w:rsid w:val="477C493B"/>
    <w:rsid w:val="477CAA4C"/>
    <w:rsid w:val="47963669"/>
    <w:rsid w:val="47AB6FCE"/>
    <w:rsid w:val="47B92282"/>
    <w:rsid w:val="47BD6A22"/>
    <w:rsid w:val="47C071A5"/>
    <w:rsid w:val="47CB141F"/>
    <w:rsid w:val="47CE3F4F"/>
    <w:rsid w:val="47D44777"/>
    <w:rsid w:val="47D60C8B"/>
    <w:rsid w:val="47E10C42"/>
    <w:rsid w:val="47E81FD1"/>
    <w:rsid w:val="47F92430"/>
    <w:rsid w:val="481013F2"/>
    <w:rsid w:val="481B63B6"/>
    <w:rsid w:val="4826706B"/>
    <w:rsid w:val="48290E80"/>
    <w:rsid w:val="482E20D9"/>
    <w:rsid w:val="48313978"/>
    <w:rsid w:val="48362D3C"/>
    <w:rsid w:val="48403A5C"/>
    <w:rsid w:val="48416092"/>
    <w:rsid w:val="484C07B1"/>
    <w:rsid w:val="48537359"/>
    <w:rsid w:val="485B6C46"/>
    <w:rsid w:val="48643D4D"/>
    <w:rsid w:val="486C0E54"/>
    <w:rsid w:val="486D24D6"/>
    <w:rsid w:val="486F44A0"/>
    <w:rsid w:val="48734682"/>
    <w:rsid w:val="487F2935"/>
    <w:rsid w:val="488457D0"/>
    <w:rsid w:val="488A5E43"/>
    <w:rsid w:val="488E2B78"/>
    <w:rsid w:val="489B7043"/>
    <w:rsid w:val="48A6207B"/>
    <w:rsid w:val="48B00D40"/>
    <w:rsid w:val="48C22822"/>
    <w:rsid w:val="48C878C6"/>
    <w:rsid w:val="48CE7418"/>
    <w:rsid w:val="48D04F3E"/>
    <w:rsid w:val="48D569F9"/>
    <w:rsid w:val="48DF402C"/>
    <w:rsid w:val="48E42798"/>
    <w:rsid w:val="48E8335D"/>
    <w:rsid w:val="48E91EBC"/>
    <w:rsid w:val="48F6071D"/>
    <w:rsid w:val="49044BE8"/>
    <w:rsid w:val="49064E04"/>
    <w:rsid w:val="490E1F0B"/>
    <w:rsid w:val="4913307D"/>
    <w:rsid w:val="49197859"/>
    <w:rsid w:val="491A08B0"/>
    <w:rsid w:val="49311755"/>
    <w:rsid w:val="4943606A"/>
    <w:rsid w:val="494D658F"/>
    <w:rsid w:val="496B2165"/>
    <w:rsid w:val="4979247F"/>
    <w:rsid w:val="497E2BEC"/>
    <w:rsid w:val="49861AA1"/>
    <w:rsid w:val="498C2479"/>
    <w:rsid w:val="49935F6C"/>
    <w:rsid w:val="499E6DEB"/>
    <w:rsid w:val="49A308A5"/>
    <w:rsid w:val="49AB775A"/>
    <w:rsid w:val="49AE60A8"/>
    <w:rsid w:val="49AF43A5"/>
    <w:rsid w:val="49B74350"/>
    <w:rsid w:val="49BA799D"/>
    <w:rsid w:val="49BF133E"/>
    <w:rsid w:val="49C27C4A"/>
    <w:rsid w:val="49C5081B"/>
    <w:rsid w:val="49CA5E32"/>
    <w:rsid w:val="49D825F6"/>
    <w:rsid w:val="49D83174"/>
    <w:rsid w:val="49ED1B20"/>
    <w:rsid w:val="49FA46A4"/>
    <w:rsid w:val="4A031344"/>
    <w:rsid w:val="4A065EBE"/>
    <w:rsid w:val="4A06662F"/>
    <w:rsid w:val="4A1E1CDA"/>
    <w:rsid w:val="4A2512BA"/>
    <w:rsid w:val="4A3B6D2F"/>
    <w:rsid w:val="4A3E412A"/>
    <w:rsid w:val="4A431F7F"/>
    <w:rsid w:val="4A521B96"/>
    <w:rsid w:val="4A546BEF"/>
    <w:rsid w:val="4A5E2A1E"/>
    <w:rsid w:val="4A5E657A"/>
    <w:rsid w:val="4A5E7F8F"/>
    <w:rsid w:val="4A630034"/>
    <w:rsid w:val="4A6A4F1F"/>
    <w:rsid w:val="4A6C00B9"/>
    <w:rsid w:val="4A70460F"/>
    <w:rsid w:val="4A7F4E6E"/>
    <w:rsid w:val="4A857FAB"/>
    <w:rsid w:val="4A8A736F"/>
    <w:rsid w:val="4A9326C8"/>
    <w:rsid w:val="4A9D52F4"/>
    <w:rsid w:val="4AB670D1"/>
    <w:rsid w:val="4AC42881"/>
    <w:rsid w:val="4AC76815"/>
    <w:rsid w:val="4AD056CA"/>
    <w:rsid w:val="4ADF3B5F"/>
    <w:rsid w:val="4AE271AB"/>
    <w:rsid w:val="4AE92864"/>
    <w:rsid w:val="4AF40C8C"/>
    <w:rsid w:val="4B0300BA"/>
    <w:rsid w:val="4B032D3D"/>
    <w:rsid w:val="4B09298A"/>
    <w:rsid w:val="4B18128E"/>
    <w:rsid w:val="4B2C5595"/>
    <w:rsid w:val="4B3C4B0D"/>
    <w:rsid w:val="4B3F0159"/>
    <w:rsid w:val="4B4439C2"/>
    <w:rsid w:val="4B4F4EE1"/>
    <w:rsid w:val="4B5D6832"/>
    <w:rsid w:val="4B72052F"/>
    <w:rsid w:val="4B920BD1"/>
    <w:rsid w:val="4B9743E4"/>
    <w:rsid w:val="4B9A5CD8"/>
    <w:rsid w:val="4B9B709A"/>
    <w:rsid w:val="4BA076A2"/>
    <w:rsid w:val="4BA15E9C"/>
    <w:rsid w:val="4BAB2B88"/>
    <w:rsid w:val="4BAD5A0B"/>
    <w:rsid w:val="4BAD77B9"/>
    <w:rsid w:val="4BB26B7D"/>
    <w:rsid w:val="4BB328F5"/>
    <w:rsid w:val="4BB548C0"/>
    <w:rsid w:val="4BC21FA1"/>
    <w:rsid w:val="4BC414AD"/>
    <w:rsid w:val="4BD25472"/>
    <w:rsid w:val="4BD444F6"/>
    <w:rsid w:val="4BF076A6"/>
    <w:rsid w:val="4BF21670"/>
    <w:rsid w:val="4BF61160"/>
    <w:rsid w:val="4BF74ED8"/>
    <w:rsid w:val="4BFE0015"/>
    <w:rsid w:val="4C080E93"/>
    <w:rsid w:val="4C0833E5"/>
    <w:rsid w:val="4C0B44E0"/>
    <w:rsid w:val="4C174808"/>
    <w:rsid w:val="4C1D1236"/>
    <w:rsid w:val="4C1E06B7"/>
    <w:rsid w:val="4C1E7CDB"/>
    <w:rsid w:val="4C325F10"/>
    <w:rsid w:val="4C431ECB"/>
    <w:rsid w:val="4C433C79"/>
    <w:rsid w:val="4C4A5008"/>
    <w:rsid w:val="4C5440D8"/>
    <w:rsid w:val="4C5916EF"/>
    <w:rsid w:val="4C683867"/>
    <w:rsid w:val="4C714C8A"/>
    <w:rsid w:val="4C742085"/>
    <w:rsid w:val="4C7B3413"/>
    <w:rsid w:val="4C854292"/>
    <w:rsid w:val="4C87000A"/>
    <w:rsid w:val="4C8C5620"/>
    <w:rsid w:val="4C9E5354"/>
    <w:rsid w:val="4CCE2E6D"/>
    <w:rsid w:val="4CD212A1"/>
    <w:rsid w:val="4CD6689C"/>
    <w:rsid w:val="4CF24CCA"/>
    <w:rsid w:val="4CF257EA"/>
    <w:rsid w:val="4CF65190"/>
    <w:rsid w:val="4D043409"/>
    <w:rsid w:val="4D0478AD"/>
    <w:rsid w:val="4D0B0B1A"/>
    <w:rsid w:val="4D0B6BE6"/>
    <w:rsid w:val="4D113D78"/>
    <w:rsid w:val="4D147929"/>
    <w:rsid w:val="4D317F76"/>
    <w:rsid w:val="4D321DAA"/>
    <w:rsid w:val="4D453A21"/>
    <w:rsid w:val="4D4759EB"/>
    <w:rsid w:val="4D5F2D35"/>
    <w:rsid w:val="4D63672B"/>
    <w:rsid w:val="4D6D5452"/>
    <w:rsid w:val="4D75367F"/>
    <w:rsid w:val="4D847F8A"/>
    <w:rsid w:val="4D87403A"/>
    <w:rsid w:val="4D8E1BF9"/>
    <w:rsid w:val="4D924EB8"/>
    <w:rsid w:val="4D9C1893"/>
    <w:rsid w:val="4DA16EA9"/>
    <w:rsid w:val="4DA67CFD"/>
    <w:rsid w:val="4DAB7D28"/>
    <w:rsid w:val="4DAD19F9"/>
    <w:rsid w:val="4DB50BA7"/>
    <w:rsid w:val="4DC4703C"/>
    <w:rsid w:val="4DC64B62"/>
    <w:rsid w:val="4DCB03CA"/>
    <w:rsid w:val="4DE32AF3"/>
    <w:rsid w:val="4DE84AD8"/>
    <w:rsid w:val="4DF551E8"/>
    <w:rsid w:val="4DFF0074"/>
    <w:rsid w:val="4E04568A"/>
    <w:rsid w:val="4E070B9A"/>
    <w:rsid w:val="4E0B4C6B"/>
    <w:rsid w:val="4E1A7C42"/>
    <w:rsid w:val="4E37780E"/>
    <w:rsid w:val="4E3A10AC"/>
    <w:rsid w:val="4E537616"/>
    <w:rsid w:val="4E5E7C38"/>
    <w:rsid w:val="4E612ADD"/>
    <w:rsid w:val="4E630603"/>
    <w:rsid w:val="4E880069"/>
    <w:rsid w:val="4E883AF0"/>
    <w:rsid w:val="4E920EE8"/>
    <w:rsid w:val="4EA42DF5"/>
    <w:rsid w:val="4EA76741"/>
    <w:rsid w:val="4EAA7FE0"/>
    <w:rsid w:val="4EAC1FAA"/>
    <w:rsid w:val="4EAC3D58"/>
    <w:rsid w:val="4EC15329"/>
    <w:rsid w:val="4EE2777A"/>
    <w:rsid w:val="4EE80B08"/>
    <w:rsid w:val="4EF43951"/>
    <w:rsid w:val="4F0516BA"/>
    <w:rsid w:val="4F1F277C"/>
    <w:rsid w:val="4F2204BE"/>
    <w:rsid w:val="4F304989"/>
    <w:rsid w:val="4F364100"/>
    <w:rsid w:val="4F377967"/>
    <w:rsid w:val="4F3D70A6"/>
    <w:rsid w:val="4F414636"/>
    <w:rsid w:val="4F4641AC"/>
    <w:rsid w:val="4F524742"/>
    <w:rsid w:val="4F53618A"/>
    <w:rsid w:val="4F630850"/>
    <w:rsid w:val="4F764366"/>
    <w:rsid w:val="4F8151E4"/>
    <w:rsid w:val="4F870321"/>
    <w:rsid w:val="4F90367A"/>
    <w:rsid w:val="4F997B99"/>
    <w:rsid w:val="4F9C7D11"/>
    <w:rsid w:val="4FA2515B"/>
    <w:rsid w:val="4FC41575"/>
    <w:rsid w:val="4FD6191A"/>
    <w:rsid w:val="4FD73056"/>
    <w:rsid w:val="4FED287A"/>
    <w:rsid w:val="4FF6605D"/>
    <w:rsid w:val="4FF84CC2"/>
    <w:rsid w:val="4FFD3D1D"/>
    <w:rsid w:val="50033E4B"/>
    <w:rsid w:val="5005500B"/>
    <w:rsid w:val="500E459E"/>
    <w:rsid w:val="500F0A42"/>
    <w:rsid w:val="50151DD1"/>
    <w:rsid w:val="501A1195"/>
    <w:rsid w:val="50212872"/>
    <w:rsid w:val="502E5F42"/>
    <w:rsid w:val="502F2E92"/>
    <w:rsid w:val="503F0BFC"/>
    <w:rsid w:val="50593A6B"/>
    <w:rsid w:val="505A5A36"/>
    <w:rsid w:val="50707007"/>
    <w:rsid w:val="50A37B4F"/>
    <w:rsid w:val="50A82954"/>
    <w:rsid w:val="50A849F3"/>
    <w:rsid w:val="50B05655"/>
    <w:rsid w:val="50BE7671"/>
    <w:rsid w:val="50C07F8E"/>
    <w:rsid w:val="50D82199"/>
    <w:rsid w:val="50D91050"/>
    <w:rsid w:val="50D94BAC"/>
    <w:rsid w:val="50F814D6"/>
    <w:rsid w:val="51071719"/>
    <w:rsid w:val="5107796B"/>
    <w:rsid w:val="510F6820"/>
    <w:rsid w:val="51254295"/>
    <w:rsid w:val="51255F55"/>
    <w:rsid w:val="51275918"/>
    <w:rsid w:val="512E314A"/>
    <w:rsid w:val="51314571"/>
    <w:rsid w:val="51315548"/>
    <w:rsid w:val="51414027"/>
    <w:rsid w:val="514929B1"/>
    <w:rsid w:val="515B3813"/>
    <w:rsid w:val="515F4D2C"/>
    <w:rsid w:val="516052CE"/>
    <w:rsid w:val="51646B6C"/>
    <w:rsid w:val="5167040A"/>
    <w:rsid w:val="516E1CD3"/>
    <w:rsid w:val="516F72BF"/>
    <w:rsid w:val="51711B69"/>
    <w:rsid w:val="51736DAF"/>
    <w:rsid w:val="517D19DC"/>
    <w:rsid w:val="51844B18"/>
    <w:rsid w:val="51864D34"/>
    <w:rsid w:val="5187285A"/>
    <w:rsid w:val="518A70AE"/>
    <w:rsid w:val="519A07DF"/>
    <w:rsid w:val="519C236E"/>
    <w:rsid w:val="51A059CA"/>
    <w:rsid w:val="51A227FA"/>
    <w:rsid w:val="51B01DB1"/>
    <w:rsid w:val="51B60421"/>
    <w:rsid w:val="51B8633F"/>
    <w:rsid w:val="51BC69A8"/>
    <w:rsid w:val="51CE2237"/>
    <w:rsid w:val="51E23F34"/>
    <w:rsid w:val="51EE6435"/>
    <w:rsid w:val="51F2387E"/>
    <w:rsid w:val="51F96356"/>
    <w:rsid w:val="52064A5C"/>
    <w:rsid w:val="52065E75"/>
    <w:rsid w:val="52077FA0"/>
    <w:rsid w:val="52097713"/>
    <w:rsid w:val="520C2D5F"/>
    <w:rsid w:val="521A6D80"/>
    <w:rsid w:val="521D477A"/>
    <w:rsid w:val="5224454D"/>
    <w:rsid w:val="523E560F"/>
    <w:rsid w:val="523E73BD"/>
    <w:rsid w:val="523F3135"/>
    <w:rsid w:val="525941F7"/>
    <w:rsid w:val="52635035"/>
    <w:rsid w:val="52666914"/>
    <w:rsid w:val="526861E8"/>
    <w:rsid w:val="526D1A50"/>
    <w:rsid w:val="52756B57"/>
    <w:rsid w:val="5281374D"/>
    <w:rsid w:val="52950FA7"/>
    <w:rsid w:val="529E3882"/>
    <w:rsid w:val="52B96A43"/>
    <w:rsid w:val="52DD039C"/>
    <w:rsid w:val="52F12681"/>
    <w:rsid w:val="52FB705C"/>
    <w:rsid w:val="53075C2D"/>
    <w:rsid w:val="53106B69"/>
    <w:rsid w:val="5314246F"/>
    <w:rsid w:val="53191BD8"/>
    <w:rsid w:val="531E2D4A"/>
    <w:rsid w:val="53283BC9"/>
    <w:rsid w:val="532D11DF"/>
    <w:rsid w:val="532E1C4F"/>
    <w:rsid w:val="532F27EE"/>
    <w:rsid w:val="53320D06"/>
    <w:rsid w:val="533662E6"/>
    <w:rsid w:val="533B7DA0"/>
    <w:rsid w:val="533C3C1D"/>
    <w:rsid w:val="534112A6"/>
    <w:rsid w:val="53422EDD"/>
    <w:rsid w:val="53493E30"/>
    <w:rsid w:val="534A6576"/>
    <w:rsid w:val="53530F4E"/>
    <w:rsid w:val="535D3873"/>
    <w:rsid w:val="53682217"/>
    <w:rsid w:val="536966BB"/>
    <w:rsid w:val="538F10DC"/>
    <w:rsid w:val="53917AA7"/>
    <w:rsid w:val="53937294"/>
    <w:rsid w:val="53982AFD"/>
    <w:rsid w:val="53990737"/>
    <w:rsid w:val="53A95FD1"/>
    <w:rsid w:val="53B316E5"/>
    <w:rsid w:val="53B65679"/>
    <w:rsid w:val="53BA4B04"/>
    <w:rsid w:val="53DB6E8D"/>
    <w:rsid w:val="53F11286"/>
    <w:rsid w:val="53FF492A"/>
    <w:rsid w:val="5402266C"/>
    <w:rsid w:val="540C50A3"/>
    <w:rsid w:val="54136627"/>
    <w:rsid w:val="541908D8"/>
    <w:rsid w:val="542645AC"/>
    <w:rsid w:val="54297BF9"/>
    <w:rsid w:val="542B1BC3"/>
    <w:rsid w:val="5436724D"/>
    <w:rsid w:val="54372316"/>
    <w:rsid w:val="543F11CA"/>
    <w:rsid w:val="544113E6"/>
    <w:rsid w:val="544B5DC1"/>
    <w:rsid w:val="54506176"/>
    <w:rsid w:val="546724CF"/>
    <w:rsid w:val="54686973"/>
    <w:rsid w:val="546926EB"/>
    <w:rsid w:val="546B5E83"/>
    <w:rsid w:val="54714509"/>
    <w:rsid w:val="54813591"/>
    <w:rsid w:val="54891BE5"/>
    <w:rsid w:val="54977258"/>
    <w:rsid w:val="549858E2"/>
    <w:rsid w:val="54B05D00"/>
    <w:rsid w:val="54C77B24"/>
    <w:rsid w:val="54D73AF9"/>
    <w:rsid w:val="54DE6C35"/>
    <w:rsid w:val="54E83610"/>
    <w:rsid w:val="54ED6E78"/>
    <w:rsid w:val="54F14BBA"/>
    <w:rsid w:val="54F71AA5"/>
    <w:rsid w:val="54F75F49"/>
    <w:rsid w:val="55061CE8"/>
    <w:rsid w:val="55081F04"/>
    <w:rsid w:val="550C37A2"/>
    <w:rsid w:val="550D5F4F"/>
    <w:rsid w:val="5516017D"/>
    <w:rsid w:val="55216B22"/>
    <w:rsid w:val="552C2EC0"/>
    <w:rsid w:val="552C5BF2"/>
    <w:rsid w:val="553D3F87"/>
    <w:rsid w:val="554F368F"/>
    <w:rsid w:val="55517407"/>
    <w:rsid w:val="556233C2"/>
    <w:rsid w:val="556B363C"/>
    <w:rsid w:val="55780E38"/>
    <w:rsid w:val="55AF05D2"/>
    <w:rsid w:val="55BB6615"/>
    <w:rsid w:val="55BF6A67"/>
    <w:rsid w:val="55C20305"/>
    <w:rsid w:val="55C64B14"/>
    <w:rsid w:val="55C71477"/>
    <w:rsid w:val="55C951EF"/>
    <w:rsid w:val="55F304BE"/>
    <w:rsid w:val="56002BDB"/>
    <w:rsid w:val="56004989"/>
    <w:rsid w:val="56114DE8"/>
    <w:rsid w:val="56260894"/>
    <w:rsid w:val="562E7748"/>
    <w:rsid w:val="56356D29"/>
    <w:rsid w:val="563822B3"/>
    <w:rsid w:val="56551179"/>
    <w:rsid w:val="565D1FD4"/>
    <w:rsid w:val="566556CB"/>
    <w:rsid w:val="56755377"/>
    <w:rsid w:val="567A72D5"/>
    <w:rsid w:val="567E247E"/>
    <w:rsid w:val="567F72A3"/>
    <w:rsid w:val="56856D59"/>
    <w:rsid w:val="56890E23"/>
    <w:rsid w:val="568A7075"/>
    <w:rsid w:val="56933A4F"/>
    <w:rsid w:val="56A31EE4"/>
    <w:rsid w:val="56B22127"/>
    <w:rsid w:val="56BF4844"/>
    <w:rsid w:val="56C269F2"/>
    <w:rsid w:val="56CD4670"/>
    <w:rsid w:val="56DC53F6"/>
    <w:rsid w:val="56E65920"/>
    <w:rsid w:val="56EF0FBC"/>
    <w:rsid w:val="56F02C50"/>
    <w:rsid w:val="56FE536D"/>
    <w:rsid w:val="57081D47"/>
    <w:rsid w:val="571039C5"/>
    <w:rsid w:val="5717642E"/>
    <w:rsid w:val="5718294A"/>
    <w:rsid w:val="572D7A00"/>
    <w:rsid w:val="57347DAF"/>
    <w:rsid w:val="573967DC"/>
    <w:rsid w:val="573C40E7"/>
    <w:rsid w:val="57415259"/>
    <w:rsid w:val="57504512"/>
    <w:rsid w:val="57521214"/>
    <w:rsid w:val="57527466"/>
    <w:rsid w:val="57650F48"/>
    <w:rsid w:val="57655010"/>
    <w:rsid w:val="577365E1"/>
    <w:rsid w:val="578C0FB5"/>
    <w:rsid w:val="57960C7F"/>
    <w:rsid w:val="57A203EE"/>
    <w:rsid w:val="57AB3B5A"/>
    <w:rsid w:val="57B35D3A"/>
    <w:rsid w:val="57BA0B3F"/>
    <w:rsid w:val="57C00874"/>
    <w:rsid w:val="57C02622"/>
    <w:rsid w:val="57C97313"/>
    <w:rsid w:val="57CA524F"/>
    <w:rsid w:val="57D0303B"/>
    <w:rsid w:val="57D61DA2"/>
    <w:rsid w:val="57D85203"/>
    <w:rsid w:val="57DD31D4"/>
    <w:rsid w:val="57E36310"/>
    <w:rsid w:val="57E91B79"/>
    <w:rsid w:val="57F347A6"/>
    <w:rsid w:val="57F624E8"/>
    <w:rsid w:val="58043F9E"/>
    <w:rsid w:val="580967CF"/>
    <w:rsid w:val="580C3AB9"/>
    <w:rsid w:val="580D08D9"/>
    <w:rsid w:val="5814296E"/>
    <w:rsid w:val="582C5F09"/>
    <w:rsid w:val="5837673D"/>
    <w:rsid w:val="58475F55"/>
    <w:rsid w:val="58523BC2"/>
    <w:rsid w:val="585D4315"/>
    <w:rsid w:val="585E71DD"/>
    <w:rsid w:val="58643F38"/>
    <w:rsid w:val="58653850"/>
    <w:rsid w:val="58782EFD"/>
    <w:rsid w:val="58816255"/>
    <w:rsid w:val="5889335C"/>
    <w:rsid w:val="5895714E"/>
    <w:rsid w:val="589705C2"/>
    <w:rsid w:val="58AD704A"/>
    <w:rsid w:val="58B10C67"/>
    <w:rsid w:val="58BF28DA"/>
    <w:rsid w:val="58C25983"/>
    <w:rsid w:val="58C3061C"/>
    <w:rsid w:val="58D2085F"/>
    <w:rsid w:val="58DD79E4"/>
    <w:rsid w:val="58E10BDE"/>
    <w:rsid w:val="58E81E30"/>
    <w:rsid w:val="58F307D5"/>
    <w:rsid w:val="58FB7E18"/>
    <w:rsid w:val="59194C8F"/>
    <w:rsid w:val="59201FD4"/>
    <w:rsid w:val="5939268C"/>
    <w:rsid w:val="59465FF6"/>
    <w:rsid w:val="594700E3"/>
    <w:rsid w:val="59592D2E"/>
    <w:rsid w:val="5961765F"/>
    <w:rsid w:val="5963595B"/>
    <w:rsid w:val="59686D10"/>
    <w:rsid w:val="597A4A53"/>
    <w:rsid w:val="597C07CB"/>
    <w:rsid w:val="598558D1"/>
    <w:rsid w:val="598D29D8"/>
    <w:rsid w:val="59965D30"/>
    <w:rsid w:val="59A044B9"/>
    <w:rsid w:val="59A543FA"/>
    <w:rsid w:val="59B10D18"/>
    <w:rsid w:val="59CA67B9"/>
    <w:rsid w:val="59CF1242"/>
    <w:rsid w:val="59DD74BB"/>
    <w:rsid w:val="59DE4FE1"/>
    <w:rsid w:val="59E85675"/>
    <w:rsid w:val="59F12F67"/>
    <w:rsid w:val="59F6057D"/>
    <w:rsid w:val="5A010FCF"/>
    <w:rsid w:val="5A09562C"/>
    <w:rsid w:val="5A166E71"/>
    <w:rsid w:val="5A236E98"/>
    <w:rsid w:val="5A24333C"/>
    <w:rsid w:val="5A2C1221"/>
    <w:rsid w:val="5A2E40A6"/>
    <w:rsid w:val="5A2F1CE1"/>
    <w:rsid w:val="5A3066AB"/>
    <w:rsid w:val="5A405C9C"/>
    <w:rsid w:val="5A4C2893"/>
    <w:rsid w:val="5A5A6D5E"/>
    <w:rsid w:val="5A6951F3"/>
    <w:rsid w:val="5A6C60F1"/>
    <w:rsid w:val="5AA4447D"/>
    <w:rsid w:val="5AA91A93"/>
    <w:rsid w:val="5AB0697E"/>
    <w:rsid w:val="5ABF3065"/>
    <w:rsid w:val="5AC466B3"/>
    <w:rsid w:val="5AC74C4F"/>
    <w:rsid w:val="5ADA1C4D"/>
    <w:rsid w:val="5ADA39FB"/>
    <w:rsid w:val="5AED1980"/>
    <w:rsid w:val="5B070568"/>
    <w:rsid w:val="5B0839A6"/>
    <w:rsid w:val="5B085152"/>
    <w:rsid w:val="5B1E7030"/>
    <w:rsid w:val="5B2D1660"/>
    <w:rsid w:val="5B2D4472"/>
    <w:rsid w:val="5B37709F"/>
    <w:rsid w:val="5B4A5024"/>
    <w:rsid w:val="5B4C378D"/>
    <w:rsid w:val="5B500161"/>
    <w:rsid w:val="5B5A5D02"/>
    <w:rsid w:val="5B7976B8"/>
    <w:rsid w:val="5B8B7214"/>
    <w:rsid w:val="5B9D2D2E"/>
    <w:rsid w:val="5BB756DE"/>
    <w:rsid w:val="5BC30933"/>
    <w:rsid w:val="5BD82630"/>
    <w:rsid w:val="5BDE3C50"/>
    <w:rsid w:val="5BDF79BF"/>
    <w:rsid w:val="5BE07CF7"/>
    <w:rsid w:val="5BEF5DAA"/>
    <w:rsid w:val="5BF73AB3"/>
    <w:rsid w:val="5C082390"/>
    <w:rsid w:val="5C0D1BAE"/>
    <w:rsid w:val="5C0F3B78"/>
    <w:rsid w:val="5C1167CC"/>
    <w:rsid w:val="5C3830CF"/>
    <w:rsid w:val="5C3E7830"/>
    <w:rsid w:val="5C4750C0"/>
    <w:rsid w:val="5C4E67D2"/>
    <w:rsid w:val="5C4F0418"/>
    <w:rsid w:val="5C563555"/>
    <w:rsid w:val="5C671E3C"/>
    <w:rsid w:val="5C6A46A5"/>
    <w:rsid w:val="5C6A5252"/>
    <w:rsid w:val="5C7341BE"/>
    <w:rsid w:val="5C784078"/>
    <w:rsid w:val="5C78796F"/>
    <w:rsid w:val="5C7A5495"/>
    <w:rsid w:val="5C827010"/>
    <w:rsid w:val="5C846314"/>
    <w:rsid w:val="5C871960"/>
    <w:rsid w:val="5C885D49"/>
    <w:rsid w:val="5C9D16DC"/>
    <w:rsid w:val="5CA144AE"/>
    <w:rsid w:val="5CA50038"/>
    <w:rsid w:val="5CA75FE5"/>
    <w:rsid w:val="5CB169DD"/>
    <w:rsid w:val="5CBF3CB8"/>
    <w:rsid w:val="5CC92151"/>
    <w:rsid w:val="5CCE3A33"/>
    <w:rsid w:val="5CCE758F"/>
    <w:rsid w:val="5CD728E8"/>
    <w:rsid w:val="5CE768A3"/>
    <w:rsid w:val="5CEE378D"/>
    <w:rsid w:val="5CF53982"/>
    <w:rsid w:val="5CF93AE0"/>
    <w:rsid w:val="5D003BC4"/>
    <w:rsid w:val="5D034CF6"/>
    <w:rsid w:val="5D066D29"/>
    <w:rsid w:val="5D0B433F"/>
    <w:rsid w:val="5D0F6CD8"/>
    <w:rsid w:val="5D1A4938"/>
    <w:rsid w:val="5D2371F4"/>
    <w:rsid w:val="5D3E2967"/>
    <w:rsid w:val="5D446283"/>
    <w:rsid w:val="5D521F6E"/>
    <w:rsid w:val="5D526412"/>
    <w:rsid w:val="5D5901DB"/>
    <w:rsid w:val="5D635F29"/>
    <w:rsid w:val="5D655F3A"/>
    <w:rsid w:val="5D7874FB"/>
    <w:rsid w:val="5D79399F"/>
    <w:rsid w:val="5D924A61"/>
    <w:rsid w:val="5D99089C"/>
    <w:rsid w:val="5D9B70D9"/>
    <w:rsid w:val="5D9E1657"/>
    <w:rsid w:val="5DA44563"/>
    <w:rsid w:val="5DAA43BA"/>
    <w:rsid w:val="5DC75EE8"/>
    <w:rsid w:val="5DEA03F9"/>
    <w:rsid w:val="5DEC1935"/>
    <w:rsid w:val="5DF23751"/>
    <w:rsid w:val="5DF66859"/>
    <w:rsid w:val="5DF9063C"/>
    <w:rsid w:val="5DFC1EDA"/>
    <w:rsid w:val="5DFF4AE3"/>
    <w:rsid w:val="5E056FE1"/>
    <w:rsid w:val="5E196F30"/>
    <w:rsid w:val="5E1E0F9C"/>
    <w:rsid w:val="5E244001"/>
    <w:rsid w:val="5E280F21"/>
    <w:rsid w:val="5E40270F"/>
    <w:rsid w:val="5E4428C3"/>
    <w:rsid w:val="5E4F64AE"/>
    <w:rsid w:val="5E547F68"/>
    <w:rsid w:val="5E565A8E"/>
    <w:rsid w:val="5E5B60A0"/>
    <w:rsid w:val="5E5D6E1D"/>
    <w:rsid w:val="5E6301AB"/>
    <w:rsid w:val="5E7128C8"/>
    <w:rsid w:val="5E8D14AD"/>
    <w:rsid w:val="5E8E347A"/>
    <w:rsid w:val="5E9D4C47"/>
    <w:rsid w:val="5EA762EA"/>
    <w:rsid w:val="5EB34C8F"/>
    <w:rsid w:val="5EC0115A"/>
    <w:rsid w:val="5EC37ED9"/>
    <w:rsid w:val="5EC67068"/>
    <w:rsid w:val="5EDA046D"/>
    <w:rsid w:val="5EDC2437"/>
    <w:rsid w:val="5EEC63F2"/>
    <w:rsid w:val="5EF07C91"/>
    <w:rsid w:val="5EF17565"/>
    <w:rsid w:val="5EFA6DED"/>
    <w:rsid w:val="5F0454EA"/>
    <w:rsid w:val="5F175565"/>
    <w:rsid w:val="5F1D429B"/>
    <w:rsid w:val="5F2142EE"/>
    <w:rsid w:val="5F2416E8"/>
    <w:rsid w:val="5F2E07B9"/>
    <w:rsid w:val="5F2E2567"/>
    <w:rsid w:val="5F385194"/>
    <w:rsid w:val="5F3D0F4D"/>
    <w:rsid w:val="5F4A6690"/>
    <w:rsid w:val="5F4B2C19"/>
    <w:rsid w:val="5F4E49B7"/>
    <w:rsid w:val="5F5244A8"/>
    <w:rsid w:val="5F54581B"/>
    <w:rsid w:val="5F5C727F"/>
    <w:rsid w:val="5F6146EB"/>
    <w:rsid w:val="5F6C22B5"/>
    <w:rsid w:val="5F750250"/>
    <w:rsid w:val="5F773F0E"/>
    <w:rsid w:val="5F812FDF"/>
    <w:rsid w:val="5F837177"/>
    <w:rsid w:val="5F8B79B9"/>
    <w:rsid w:val="5F8F74AA"/>
    <w:rsid w:val="5F990328"/>
    <w:rsid w:val="5FA56CCD"/>
    <w:rsid w:val="5FAF18FA"/>
    <w:rsid w:val="5FBF1411"/>
    <w:rsid w:val="5FC627A0"/>
    <w:rsid w:val="5FCF5AF8"/>
    <w:rsid w:val="5FD05F75"/>
    <w:rsid w:val="5FD4310E"/>
    <w:rsid w:val="5FDE26B4"/>
    <w:rsid w:val="5FDE3F8D"/>
    <w:rsid w:val="5FE5531C"/>
    <w:rsid w:val="5FE86BBA"/>
    <w:rsid w:val="5FED2422"/>
    <w:rsid w:val="5FEF1CF6"/>
    <w:rsid w:val="60003F04"/>
    <w:rsid w:val="60025A20"/>
    <w:rsid w:val="600B28A8"/>
    <w:rsid w:val="600C0AFA"/>
    <w:rsid w:val="6022031E"/>
    <w:rsid w:val="60235E44"/>
    <w:rsid w:val="602C1CC8"/>
    <w:rsid w:val="602F47E9"/>
    <w:rsid w:val="603A7898"/>
    <w:rsid w:val="603E4A2C"/>
    <w:rsid w:val="604007A4"/>
    <w:rsid w:val="604858AA"/>
    <w:rsid w:val="604F6C39"/>
    <w:rsid w:val="605424A1"/>
    <w:rsid w:val="60545FFD"/>
    <w:rsid w:val="605E0C2A"/>
    <w:rsid w:val="605E50CE"/>
    <w:rsid w:val="60684BFB"/>
    <w:rsid w:val="607448F1"/>
    <w:rsid w:val="607664CF"/>
    <w:rsid w:val="60953335"/>
    <w:rsid w:val="60A01243"/>
    <w:rsid w:val="60A237B9"/>
    <w:rsid w:val="60A800F7"/>
    <w:rsid w:val="60B47835"/>
    <w:rsid w:val="60BB42CE"/>
    <w:rsid w:val="60C211B9"/>
    <w:rsid w:val="60C969EB"/>
    <w:rsid w:val="60CA4511"/>
    <w:rsid w:val="60CE7B5E"/>
    <w:rsid w:val="60D21242"/>
    <w:rsid w:val="60DB227B"/>
    <w:rsid w:val="60F021CA"/>
    <w:rsid w:val="60F33A68"/>
    <w:rsid w:val="61003169"/>
    <w:rsid w:val="610362D4"/>
    <w:rsid w:val="610D03E6"/>
    <w:rsid w:val="61191BC8"/>
    <w:rsid w:val="61306A6A"/>
    <w:rsid w:val="61311789"/>
    <w:rsid w:val="613A1697"/>
    <w:rsid w:val="613F280A"/>
    <w:rsid w:val="614E6EF1"/>
    <w:rsid w:val="615C160D"/>
    <w:rsid w:val="61700C15"/>
    <w:rsid w:val="61707966"/>
    <w:rsid w:val="617A5F38"/>
    <w:rsid w:val="617F44E3"/>
    <w:rsid w:val="61805C84"/>
    <w:rsid w:val="61893075"/>
    <w:rsid w:val="618D5292"/>
    <w:rsid w:val="61A42FB4"/>
    <w:rsid w:val="61B21186"/>
    <w:rsid w:val="61B34FA6"/>
    <w:rsid w:val="61B431F8"/>
    <w:rsid w:val="61BD7BD2"/>
    <w:rsid w:val="61CB0541"/>
    <w:rsid w:val="61D4389A"/>
    <w:rsid w:val="61E17D65"/>
    <w:rsid w:val="61E6537B"/>
    <w:rsid w:val="61F07FA8"/>
    <w:rsid w:val="61F21F72"/>
    <w:rsid w:val="61F41846"/>
    <w:rsid w:val="61F65F87"/>
    <w:rsid w:val="61F730E4"/>
    <w:rsid w:val="62036F89"/>
    <w:rsid w:val="621243C2"/>
    <w:rsid w:val="622F6D22"/>
    <w:rsid w:val="62315E81"/>
    <w:rsid w:val="623E0D13"/>
    <w:rsid w:val="62586279"/>
    <w:rsid w:val="625D388F"/>
    <w:rsid w:val="62652744"/>
    <w:rsid w:val="626A3938"/>
    <w:rsid w:val="626A7D5A"/>
    <w:rsid w:val="627209BD"/>
    <w:rsid w:val="62744735"/>
    <w:rsid w:val="62746EB4"/>
    <w:rsid w:val="62761A6C"/>
    <w:rsid w:val="627C4E7C"/>
    <w:rsid w:val="628801E0"/>
    <w:rsid w:val="629C0E56"/>
    <w:rsid w:val="62A56FE4"/>
    <w:rsid w:val="62AA63A9"/>
    <w:rsid w:val="62AC2121"/>
    <w:rsid w:val="62AD43EE"/>
    <w:rsid w:val="62B15989"/>
    <w:rsid w:val="62B17737"/>
    <w:rsid w:val="62BC4273"/>
    <w:rsid w:val="62C03E1E"/>
    <w:rsid w:val="62E66E0D"/>
    <w:rsid w:val="62F13FD7"/>
    <w:rsid w:val="62FB2F72"/>
    <w:rsid w:val="62FB4E56"/>
    <w:rsid w:val="630024DF"/>
    <w:rsid w:val="6300421A"/>
    <w:rsid w:val="63021D41"/>
    <w:rsid w:val="630A5099"/>
    <w:rsid w:val="63100901"/>
    <w:rsid w:val="632411E5"/>
    <w:rsid w:val="63293771"/>
    <w:rsid w:val="63323318"/>
    <w:rsid w:val="63343EC4"/>
    <w:rsid w:val="633B34A5"/>
    <w:rsid w:val="633F4D43"/>
    <w:rsid w:val="63442359"/>
    <w:rsid w:val="634A5C65"/>
    <w:rsid w:val="635F53E5"/>
    <w:rsid w:val="636447A9"/>
    <w:rsid w:val="636C7B02"/>
    <w:rsid w:val="637349EC"/>
    <w:rsid w:val="637A5D7B"/>
    <w:rsid w:val="638628C1"/>
    <w:rsid w:val="638B451E"/>
    <w:rsid w:val="6393508F"/>
    <w:rsid w:val="63A63014"/>
    <w:rsid w:val="63AB2D6C"/>
    <w:rsid w:val="63AB4186"/>
    <w:rsid w:val="63AC7EFE"/>
    <w:rsid w:val="63B35731"/>
    <w:rsid w:val="63B514A9"/>
    <w:rsid w:val="63BC6393"/>
    <w:rsid w:val="63BD1AE0"/>
    <w:rsid w:val="63CB3506"/>
    <w:rsid w:val="63DD630A"/>
    <w:rsid w:val="63ED0C43"/>
    <w:rsid w:val="63F21DB5"/>
    <w:rsid w:val="63F518A5"/>
    <w:rsid w:val="63FC2C34"/>
    <w:rsid w:val="6401024A"/>
    <w:rsid w:val="640D6BEF"/>
    <w:rsid w:val="6410048D"/>
    <w:rsid w:val="64267CB1"/>
    <w:rsid w:val="6428796E"/>
    <w:rsid w:val="6429154F"/>
    <w:rsid w:val="642B5FAF"/>
    <w:rsid w:val="644D7933"/>
    <w:rsid w:val="646A2293"/>
    <w:rsid w:val="647C1FC7"/>
    <w:rsid w:val="6497295D"/>
    <w:rsid w:val="649D4417"/>
    <w:rsid w:val="64B11C70"/>
    <w:rsid w:val="64B96D77"/>
    <w:rsid w:val="64BF74AD"/>
    <w:rsid w:val="64CC6AAA"/>
    <w:rsid w:val="64D15E6F"/>
    <w:rsid w:val="64F16511"/>
    <w:rsid w:val="64F34037"/>
    <w:rsid w:val="64F46001"/>
    <w:rsid w:val="64FA7551"/>
    <w:rsid w:val="65156AE4"/>
    <w:rsid w:val="6516599A"/>
    <w:rsid w:val="65167D25"/>
    <w:rsid w:val="651B358E"/>
    <w:rsid w:val="651B533C"/>
    <w:rsid w:val="65314B5F"/>
    <w:rsid w:val="6535464F"/>
    <w:rsid w:val="65387C9C"/>
    <w:rsid w:val="653F54CE"/>
    <w:rsid w:val="65474383"/>
    <w:rsid w:val="654E33A1"/>
    <w:rsid w:val="65586590"/>
    <w:rsid w:val="655C6080"/>
    <w:rsid w:val="655F16CC"/>
    <w:rsid w:val="65622F6B"/>
    <w:rsid w:val="65644F35"/>
    <w:rsid w:val="656C203B"/>
    <w:rsid w:val="656D441E"/>
    <w:rsid w:val="656F5179"/>
    <w:rsid w:val="65715970"/>
    <w:rsid w:val="65750EF0"/>
    <w:rsid w:val="657A0A1E"/>
    <w:rsid w:val="65864EAB"/>
    <w:rsid w:val="658904F7"/>
    <w:rsid w:val="65AA672E"/>
    <w:rsid w:val="65AF7D19"/>
    <w:rsid w:val="65B31A18"/>
    <w:rsid w:val="65BF1961"/>
    <w:rsid w:val="65C72F51"/>
    <w:rsid w:val="65C94D98"/>
    <w:rsid w:val="65CA2560"/>
    <w:rsid w:val="65DF6900"/>
    <w:rsid w:val="65E971E8"/>
    <w:rsid w:val="65F55B8D"/>
    <w:rsid w:val="65F77B57"/>
    <w:rsid w:val="660B715E"/>
    <w:rsid w:val="66115987"/>
    <w:rsid w:val="663C145B"/>
    <w:rsid w:val="664D3C1B"/>
    <w:rsid w:val="664E34EF"/>
    <w:rsid w:val="664F1741"/>
    <w:rsid w:val="66517729"/>
    <w:rsid w:val="666920D7"/>
    <w:rsid w:val="666F593F"/>
    <w:rsid w:val="667016B7"/>
    <w:rsid w:val="667C357A"/>
    <w:rsid w:val="668B1372"/>
    <w:rsid w:val="668B426D"/>
    <w:rsid w:val="66934D57"/>
    <w:rsid w:val="66A00B1A"/>
    <w:rsid w:val="66B67D3F"/>
    <w:rsid w:val="66D20E22"/>
    <w:rsid w:val="66DE0D17"/>
    <w:rsid w:val="66DE21B5"/>
    <w:rsid w:val="66E3632D"/>
    <w:rsid w:val="66EF082E"/>
    <w:rsid w:val="67070F51"/>
    <w:rsid w:val="670771EC"/>
    <w:rsid w:val="670B7AEA"/>
    <w:rsid w:val="67185FD7"/>
    <w:rsid w:val="671958AB"/>
    <w:rsid w:val="671D539B"/>
    <w:rsid w:val="675E48FC"/>
    <w:rsid w:val="67613F08"/>
    <w:rsid w:val="676E209B"/>
    <w:rsid w:val="6773320D"/>
    <w:rsid w:val="677839C8"/>
    <w:rsid w:val="6780592A"/>
    <w:rsid w:val="678216A2"/>
    <w:rsid w:val="67957627"/>
    <w:rsid w:val="679D64DC"/>
    <w:rsid w:val="67A231A9"/>
    <w:rsid w:val="67A930D3"/>
    <w:rsid w:val="67AA29A7"/>
    <w:rsid w:val="67AB5F89"/>
    <w:rsid w:val="67AE06E9"/>
    <w:rsid w:val="67C019F6"/>
    <w:rsid w:val="67D0789E"/>
    <w:rsid w:val="67D65F78"/>
    <w:rsid w:val="67D918D5"/>
    <w:rsid w:val="67DB0DB2"/>
    <w:rsid w:val="67DB7004"/>
    <w:rsid w:val="67E660D5"/>
    <w:rsid w:val="67E87502"/>
    <w:rsid w:val="67EC0073"/>
    <w:rsid w:val="67F0485E"/>
    <w:rsid w:val="67F1786D"/>
    <w:rsid w:val="67FB08EB"/>
    <w:rsid w:val="67FC525D"/>
    <w:rsid w:val="68091DC3"/>
    <w:rsid w:val="6818192D"/>
    <w:rsid w:val="68190914"/>
    <w:rsid w:val="682412FA"/>
    <w:rsid w:val="682B7F8C"/>
    <w:rsid w:val="682D5AB2"/>
    <w:rsid w:val="683F3A37"/>
    <w:rsid w:val="68466B73"/>
    <w:rsid w:val="6864265D"/>
    <w:rsid w:val="68692862"/>
    <w:rsid w:val="687C07E7"/>
    <w:rsid w:val="687F4940"/>
    <w:rsid w:val="68896A60"/>
    <w:rsid w:val="688A4CB2"/>
    <w:rsid w:val="688F051A"/>
    <w:rsid w:val="68953657"/>
    <w:rsid w:val="689F6284"/>
    <w:rsid w:val="68AA0EB0"/>
    <w:rsid w:val="68AD6960"/>
    <w:rsid w:val="68BC5088"/>
    <w:rsid w:val="68C606AA"/>
    <w:rsid w:val="68D423D1"/>
    <w:rsid w:val="68EA5751"/>
    <w:rsid w:val="68EF0FB9"/>
    <w:rsid w:val="68F6059A"/>
    <w:rsid w:val="68F9273B"/>
    <w:rsid w:val="69000A2F"/>
    <w:rsid w:val="690C1B6B"/>
    <w:rsid w:val="6912299F"/>
    <w:rsid w:val="69140A20"/>
    <w:rsid w:val="69225065"/>
    <w:rsid w:val="693D1D24"/>
    <w:rsid w:val="693D7F76"/>
    <w:rsid w:val="694110E9"/>
    <w:rsid w:val="69442C7A"/>
    <w:rsid w:val="694E3F32"/>
    <w:rsid w:val="695157D0"/>
    <w:rsid w:val="695E1C9B"/>
    <w:rsid w:val="695E64EB"/>
    <w:rsid w:val="697138A5"/>
    <w:rsid w:val="69715E72"/>
    <w:rsid w:val="69716A8A"/>
    <w:rsid w:val="69774840"/>
    <w:rsid w:val="69877444"/>
    <w:rsid w:val="698F62F8"/>
    <w:rsid w:val="69912070"/>
    <w:rsid w:val="6999742B"/>
    <w:rsid w:val="69AB1384"/>
    <w:rsid w:val="69C441F4"/>
    <w:rsid w:val="69C85C24"/>
    <w:rsid w:val="69D1246D"/>
    <w:rsid w:val="69E03031"/>
    <w:rsid w:val="69E93C5A"/>
    <w:rsid w:val="69EA352F"/>
    <w:rsid w:val="69ED6F02"/>
    <w:rsid w:val="6A004BAE"/>
    <w:rsid w:val="6A024D1C"/>
    <w:rsid w:val="6A040401"/>
    <w:rsid w:val="6A0960AB"/>
    <w:rsid w:val="6A097E59"/>
    <w:rsid w:val="6A0E1913"/>
    <w:rsid w:val="6A14250A"/>
    <w:rsid w:val="6A244298"/>
    <w:rsid w:val="6A251A34"/>
    <w:rsid w:val="6A331379"/>
    <w:rsid w:val="6A3A44B6"/>
    <w:rsid w:val="6A3C6708"/>
    <w:rsid w:val="6A4415E9"/>
    <w:rsid w:val="6A4E7F61"/>
    <w:rsid w:val="6A532EAC"/>
    <w:rsid w:val="6A5512F0"/>
    <w:rsid w:val="6A5A6906"/>
    <w:rsid w:val="6A5C0D00"/>
    <w:rsid w:val="6A6E4160"/>
    <w:rsid w:val="6A841BD5"/>
    <w:rsid w:val="6A8674D8"/>
    <w:rsid w:val="6A8D5819"/>
    <w:rsid w:val="6A902328"/>
    <w:rsid w:val="6A9A681C"/>
    <w:rsid w:val="6A9F07BD"/>
    <w:rsid w:val="6AAA163C"/>
    <w:rsid w:val="6AB57FE0"/>
    <w:rsid w:val="6AC36622"/>
    <w:rsid w:val="6AD246EE"/>
    <w:rsid w:val="6AD93CCF"/>
    <w:rsid w:val="6AE508C6"/>
    <w:rsid w:val="6AE663EC"/>
    <w:rsid w:val="6AF723A7"/>
    <w:rsid w:val="6AFB1E97"/>
    <w:rsid w:val="6AFF6C3F"/>
    <w:rsid w:val="6B032AFA"/>
    <w:rsid w:val="6B064398"/>
    <w:rsid w:val="6B126460"/>
    <w:rsid w:val="6B2C1649"/>
    <w:rsid w:val="6B480E55"/>
    <w:rsid w:val="6B4D1FC7"/>
    <w:rsid w:val="6B557947"/>
    <w:rsid w:val="6B623CC4"/>
    <w:rsid w:val="6B715CB5"/>
    <w:rsid w:val="6B785296"/>
    <w:rsid w:val="6B7C6984"/>
    <w:rsid w:val="6B864454"/>
    <w:rsid w:val="6BA626B8"/>
    <w:rsid w:val="6BB362CE"/>
    <w:rsid w:val="6BBB6CED"/>
    <w:rsid w:val="6BCC55E2"/>
    <w:rsid w:val="6BD85D34"/>
    <w:rsid w:val="6BDD77EF"/>
    <w:rsid w:val="6BE75F78"/>
    <w:rsid w:val="6BED31AE"/>
    <w:rsid w:val="6BF055A6"/>
    <w:rsid w:val="6BF07522"/>
    <w:rsid w:val="6C117498"/>
    <w:rsid w:val="6C1C5E12"/>
    <w:rsid w:val="6C2B055A"/>
    <w:rsid w:val="6C3513D9"/>
    <w:rsid w:val="6C3604E3"/>
    <w:rsid w:val="6C376EFF"/>
    <w:rsid w:val="6C3D3038"/>
    <w:rsid w:val="6C494942"/>
    <w:rsid w:val="6C4C04D0"/>
    <w:rsid w:val="6C5D623A"/>
    <w:rsid w:val="6C64581A"/>
    <w:rsid w:val="6C6A0E20"/>
    <w:rsid w:val="6C6A310A"/>
    <w:rsid w:val="6C7517D5"/>
    <w:rsid w:val="6C8E4551"/>
    <w:rsid w:val="6C9C3227"/>
    <w:rsid w:val="6C9E6F7E"/>
    <w:rsid w:val="6CA81BAB"/>
    <w:rsid w:val="6CAD5413"/>
    <w:rsid w:val="6CB0280D"/>
    <w:rsid w:val="6CCA1DA6"/>
    <w:rsid w:val="6CCA7D73"/>
    <w:rsid w:val="6CCE130E"/>
    <w:rsid w:val="6CDD7220"/>
    <w:rsid w:val="6CDE42D3"/>
    <w:rsid w:val="6CE150BD"/>
    <w:rsid w:val="6CE626D3"/>
    <w:rsid w:val="6CED1CB3"/>
    <w:rsid w:val="6CF22E26"/>
    <w:rsid w:val="6CFC0D94"/>
    <w:rsid w:val="6D0974F8"/>
    <w:rsid w:val="6D0D5EB2"/>
    <w:rsid w:val="6D0E5786"/>
    <w:rsid w:val="6D287521"/>
    <w:rsid w:val="6D34343E"/>
    <w:rsid w:val="6D373845"/>
    <w:rsid w:val="6D4573FA"/>
    <w:rsid w:val="6D4C69DA"/>
    <w:rsid w:val="6D4F0278"/>
    <w:rsid w:val="6D571889"/>
    <w:rsid w:val="6D5A1F06"/>
    <w:rsid w:val="6D664E99"/>
    <w:rsid w:val="6D667AD2"/>
    <w:rsid w:val="6D673814"/>
    <w:rsid w:val="6D6A50B2"/>
    <w:rsid w:val="6D6D6869"/>
    <w:rsid w:val="6D7D3037"/>
    <w:rsid w:val="6D800432"/>
    <w:rsid w:val="6D824D5E"/>
    <w:rsid w:val="6DC01176"/>
    <w:rsid w:val="6DD24A05"/>
    <w:rsid w:val="6DD427A1"/>
    <w:rsid w:val="6DDD7632"/>
    <w:rsid w:val="6DDE15FC"/>
    <w:rsid w:val="6DE07122"/>
    <w:rsid w:val="6DE45B61"/>
    <w:rsid w:val="6DE63A03"/>
    <w:rsid w:val="6DE6435A"/>
    <w:rsid w:val="6DEF55B7"/>
    <w:rsid w:val="6DFB21AE"/>
    <w:rsid w:val="6E1D16A7"/>
    <w:rsid w:val="6E2977D2"/>
    <w:rsid w:val="6E2F3C06"/>
    <w:rsid w:val="6E4969E0"/>
    <w:rsid w:val="6E712470"/>
    <w:rsid w:val="6E843F52"/>
    <w:rsid w:val="6E906D9A"/>
    <w:rsid w:val="6E9C573F"/>
    <w:rsid w:val="6EA45A91"/>
    <w:rsid w:val="6EA6211A"/>
    <w:rsid w:val="6EAE0CA0"/>
    <w:rsid w:val="6EB16425"/>
    <w:rsid w:val="6EB83BFB"/>
    <w:rsid w:val="6EC16F54"/>
    <w:rsid w:val="6EC407F2"/>
    <w:rsid w:val="6ECB7DD2"/>
    <w:rsid w:val="6ED529FF"/>
    <w:rsid w:val="6ED651FE"/>
    <w:rsid w:val="6EDA6F7E"/>
    <w:rsid w:val="6EE3511C"/>
    <w:rsid w:val="6EE40E94"/>
    <w:rsid w:val="6EE42C42"/>
    <w:rsid w:val="6EE90507"/>
    <w:rsid w:val="6F1F1ECC"/>
    <w:rsid w:val="6F2C3427"/>
    <w:rsid w:val="6F300450"/>
    <w:rsid w:val="6F3843F0"/>
    <w:rsid w:val="6F411E43"/>
    <w:rsid w:val="6F4831D1"/>
    <w:rsid w:val="6F484F7F"/>
    <w:rsid w:val="6F54601A"/>
    <w:rsid w:val="6F547DC8"/>
    <w:rsid w:val="6F561553"/>
    <w:rsid w:val="6F6D284B"/>
    <w:rsid w:val="6F79782E"/>
    <w:rsid w:val="6F946416"/>
    <w:rsid w:val="6F955444"/>
    <w:rsid w:val="6F963F3C"/>
    <w:rsid w:val="6FA36659"/>
    <w:rsid w:val="6FAD1286"/>
    <w:rsid w:val="6FAD74D8"/>
    <w:rsid w:val="6FBA62FD"/>
    <w:rsid w:val="6FC3739D"/>
    <w:rsid w:val="6FCC795E"/>
    <w:rsid w:val="6FD64C81"/>
    <w:rsid w:val="6FDA39A3"/>
    <w:rsid w:val="6FE85134"/>
    <w:rsid w:val="6FEA24DA"/>
    <w:rsid w:val="6FEF1509"/>
    <w:rsid w:val="6FF173C5"/>
    <w:rsid w:val="6FF2313D"/>
    <w:rsid w:val="6FF55EFA"/>
    <w:rsid w:val="6FF9096F"/>
    <w:rsid w:val="6FFD4A92"/>
    <w:rsid w:val="701632CF"/>
    <w:rsid w:val="7017734C"/>
    <w:rsid w:val="70194B6E"/>
    <w:rsid w:val="701E2184"/>
    <w:rsid w:val="70273199"/>
    <w:rsid w:val="7027728A"/>
    <w:rsid w:val="70384FF4"/>
    <w:rsid w:val="703A3875"/>
    <w:rsid w:val="703A5210"/>
    <w:rsid w:val="70425E72"/>
    <w:rsid w:val="704B11CB"/>
    <w:rsid w:val="70512559"/>
    <w:rsid w:val="70567B70"/>
    <w:rsid w:val="705F07D2"/>
    <w:rsid w:val="705F4C76"/>
    <w:rsid w:val="7073427E"/>
    <w:rsid w:val="707A385E"/>
    <w:rsid w:val="707A6030"/>
    <w:rsid w:val="70926DFA"/>
    <w:rsid w:val="70950698"/>
    <w:rsid w:val="70950C1F"/>
    <w:rsid w:val="709541F4"/>
    <w:rsid w:val="70A1528F"/>
    <w:rsid w:val="70A66401"/>
    <w:rsid w:val="70AB1C6A"/>
    <w:rsid w:val="70AC56AD"/>
    <w:rsid w:val="70B825D8"/>
    <w:rsid w:val="70BB79D3"/>
    <w:rsid w:val="70C40F7D"/>
    <w:rsid w:val="70C42D2B"/>
    <w:rsid w:val="70CB5E68"/>
    <w:rsid w:val="70D016D0"/>
    <w:rsid w:val="70D6480D"/>
    <w:rsid w:val="70E872EC"/>
    <w:rsid w:val="70F5073C"/>
    <w:rsid w:val="710364D6"/>
    <w:rsid w:val="71096990"/>
    <w:rsid w:val="711D41EA"/>
    <w:rsid w:val="713F23B2"/>
    <w:rsid w:val="7141437C"/>
    <w:rsid w:val="71443B44"/>
    <w:rsid w:val="71494FDF"/>
    <w:rsid w:val="71502BC1"/>
    <w:rsid w:val="71681909"/>
    <w:rsid w:val="71751495"/>
    <w:rsid w:val="717958C4"/>
    <w:rsid w:val="71871A01"/>
    <w:rsid w:val="718844D0"/>
    <w:rsid w:val="719E17CE"/>
    <w:rsid w:val="71A3306E"/>
    <w:rsid w:val="71A55F82"/>
    <w:rsid w:val="71B0505E"/>
    <w:rsid w:val="71B7463E"/>
    <w:rsid w:val="71BB2380"/>
    <w:rsid w:val="71C12F3C"/>
    <w:rsid w:val="71E52F59"/>
    <w:rsid w:val="71F87130"/>
    <w:rsid w:val="72077373"/>
    <w:rsid w:val="72121874"/>
    <w:rsid w:val="723920F5"/>
    <w:rsid w:val="7242215A"/>
    <w:rsid w:val="72435ED2"/>
    <w:rsid w:val="724D1118"/>
    <w:rsid w:val="724F4877"/>
    <w:rsid w:val="726241D7"/>
    <w:rsid w:val="726522EC"/>
    <w:rsid w:val="726B5B54"/>
    <w:rsid w:val="72715DBD"/>
    <w:rsid w:val="72A252EE"/>
    <w:rsid w:val="72A30D51"/>
    <w:rsid w:val="72A921D9"/>
    <w:rsid w:val="72AF55B7"/>
    <w:rsid w:val="72BA6194"/>
    <w:rsid w:val="72BF37AA"/>
    <w:rsid w:val="72C139C6"/>
    <w:rsid w:val="72D84923"/>
    <w:rsid w:val="72DA160D"/>
    <w:rsid w:val="72DD4D4D"/>
    <w:rsid w:val="72DD6326"/>
    <w:rsid w:val="72DE1DCD"/>
    <w:rsid w:val="72E50822"/>
    <w:rsid w:val="72FF44EF"/>
    <w:rsid w:val="73005B71"/>
    <w:rsid w:val="730438B3"/>
    <w:rsid w:val="73100325"/>
    <w:rsid w:val="733073FE"/>
    <w:rsid w:val="73375A36"/>
    <w:rsid w:val="734B14E2"/>
    <w:rsid w:val="734B7734"/>
    <w:rsid w:val="73532145"/>
    <w:rsid w:val="7355410F"/>
    <w:rsid w:val="736425A4"/>
    <w:rsid w:val="7366631C"/>
    <w:rsid w:val="73697BBA"/>
    <w:rsid w:val="736C3B18"/>
    <w:rsid w:val="736E51D0"/>
    <w:rsid w:val="737B5F85"/>
    <w:rsid w:val="738F5872"/>
    <w:rsid w:val="73985449"/>
    <w:rsid w:val="73A40BF2"/>
    <w:rsid w:val="73A664A3"/>
    <w:rsid w:val="73AE5822"/>
    <w:rsid w:val="73B40A19"/>
    <w:rsid w:val="73C117A4"/>
    <w:rsid w:val="73C2417B"/>
    <w:rsid w:val="73C3376E"/>
    <w:rsid w:val="73DB376D"/>
    <w:rsid w:val="73DC65DE"/>
    <w:rsid w:val="73E159A2"/>
    <w:rsid w:val="73E32D82"/>
    <w:rsid w:val="73E57241"/>
    <w:rsid w:val="73E831D5"/>
    <w:rsid w:val="73E84F83"/>
    <w:rsid w:val="73F73418"/>
    <w:rsid w:val="73F76F74"/>
    <w:rsid w:val="740A53C7"/>
    <w:rsid w:val="7416389E"/>
    <w:rsid w:val="741714DC"/>
    <w:rsid w:val="741C4C2C"/>
    <w:rsid w:val="743273F9"/>
    <w:rsid w:val="7442383C"/>
    <w:rsid w:val="744C0614"/>
    <w:rsid w:val="745B5755"/>
    <w:rsid w:val="74626AE3"/>
    <w:rsid w:val="7467234B"/>
    <w:rsid w:val="746E72F3"/>
    <w:rsid w:val="746F7452"/>
    <w:rsid w:val="7472484C"/>
    <w:rsid w:val="74732A9E"/>
    <w:rsid w:val="748D4E45"/>
    <w:rsid w:val="74A215D5"/>
    <w:rsid w:val="74A23383"/>
    <w:rsid w:val="74AB5AB2"/>
    <w:rsid w:val="74B65081"/>
    <w:rsid w:val="74B80DF9"/>
    <w:rsid w:val="74BD01BD"/>
    <w:rsid w:val="74C13EA0"/>
    <w:rsid w:val="74C66EA0"/>
    <w:rsid w:val="74D13C69"/>
    <w:rsid w:val="74D47A9C"/>
    <w:rsid w:val="74DA0B96"/>
    <w:rsid w:val="74DD43BC"/>
    <w:rsid w:val="74E476E3"/>
    <w:rsid w:val="74EB4D2A"/>
    <w:rsid w:val="74F00593"/>
    <w:rsid w:val="74F76F92"/>
    <w:rsid w:val="74FB2A94"/>
    <w:rsid w:val="74FC6F38"/>
    <w:rsid w:val="751B4A79"/>
    <w:rsid w:val="751C3136"/>
    <w:rsid w:val="75263FB5"/>
    <w:rsid w:val="75412B9C"/>
    <w:rsid w:val="7543158E"/>
    <w:rsid w:val="75475CD9"/>
    <w:rsid w:val="754B3A1B"/>
    <w:rsid w:val="754E6641"/>
    <w:rsid w:val="754E7067"/>
    <w:rsid w:val="755C3532"/>
    <w:rsid w:val="75614FED"/>
    <w:rsid w:val="75657654"/>
    <w:rsid w:val="7572311C"/>
    <w:rsid w:val="75847EB1"/>
    <w:rsid w:val="758D7B90"/>
    <w:rsid w:val="75915985"/>
    <w:rsid w:val="75976C60"/>
    <w:rsid w:val="759C71DD"/>
    <w:rsid w:val="75A5137D"/>
    <w:rsid w:val="75B0787C"/>
    <w:rsid w:val="75BB63EA"/>
    <w:rsid w:val="75D43A11"/>
    <w:rsid w:val="75D4756D"/>
    <w:rsid w:val="75F351D0"/>
    <w:rsid w:val="75F47FF3"/>
    <w:rsid w:val="75FF0122"/>
    <w:rsid w:val="76085468"/>
    <w:rsid w:val="760F2C9B"/>
    <w:rsid w:val="760F4A49"/>
    <w:rsid w:val="761107C1"/>
    <w:rsid w:val="761402B1"/>
    <w:rsid w:val="76143E0D"/>
    <w:rsid w:val="76240100"/>
    <w:rsid w:val="76284331"/>
    <w:rsid w:val="763C0A95"/>
    <w:rsid w:val="764B65FF"/>
    <w:rsid w:val="76562678"/>
    <w:rsid w:val="765E09BE"/>
    <w:rsid w:val="76622E80"/>
    <w:rsid w:val="7662726E"/>
    <w:rsid w:val="766C1E9B"/>
    <w:rsid w:val="766C71AB"/>
    <w:rsid w:val="7682346D"/>
    <w:rsid w:val="76AC2641"/>
    <w:rsid w:val="76AF3B36"/>
    <w:rsid w:val="76B178AE"/>
    <w:rsid w:val="76BD44A5"/>
    <w:rsid w:val="76BF646F"/>
    <w:rsid w:val="76CB03BC"/>
    <w:rsid w:val="76CC293A"/>
    <w:rsid w:val="76D87530"/>
    <w:rsid w:val="76E9529A"/>
    <w:rsid w:val="76F209FC"/>
    <w:rsid w:val="76F53C3E"/>
    <w:rsid w:val="770C71DA"/>
    <w:rsid w:val="770F3446"/>
    <w:rsid w:val="7711659E"/>
    <w:rsid w:val="771F52F7"/>
    <w:rsid w:val="772A140E"/>
    <w:rsid w:val="77356731"/>
    <w:rsid w:val="773B361B"/>
    <w:rsid w:val="77420E4E"/>
    <w:rsid w:val="7749397A"/>
    <w:rsid w:val="774D3A7A"/>
    <w:rsid w:val="77536AE8"/>
    <w:rsid w:val="77550B81"/>
    <w:rsid w:val="775F730A"/>
    <w:rsid w:val="7771323A"/>
    <w:rsid w:val="77753BCB"/>
    <w:rsid w:val="777A2396"/>
    <w:rsid w:val="77824375"/>
    <w:rsid w:val="77843214"/>
    <w:rsid w:val="778B6D26"/>
    <w:rsid w:val="77972F48"/>
    <w:rsid w:val="779C05CF"/>
    <w:rsid w:val="779F3BAA"/>
    <w:rsid w:val="77A2369A"/>
    <w:rsid w:val="77A64F39"/>
    <w:rsid w:val="77AD62C7"/>
    <w:rsid w:val="77B37656"/>
    <w:rsid w:val="77C558F3"/>
    <w:rsid w:val="77C701C7"/>
    <w:rsid w:val="77CA24A3"/>
    <w:rsid w:val="77D31AA6"/>
    <w:rsid w:val="77E12415"/>
    <w:rsid w:val="77E375D8"/>
    <w:rsid w:val="77E522C1"/>
    <w:rsid w:val="77F75794"/>
    <w:rsid w:val="77FA34D6"/>
    <w:rsid w:val="7803238B"/>
    <w:rsid w:val="782E0677"/>
    <w:rsid w:val="782F4F2E"/>
    <w:rsid w:val="78362761"/>
    <w:rsid w:val="783764D9"/>
    <w:rsid w:val="783A38D3"/>
    <w:rsid w:val="784A1D68"/>
    <w:rsid w:val="78540E39"/>
    <w:rsid w:val="785C2FA5"/>
    <w:rsid w:val="78623556"/>
    <w:rsid w:val="78676109"/>
    <w:rsid w:val="786F0E55"/>
    <w:rsid w:val="787E5EB6"/>
    <w:rsid w:val="788039DC"/>
    <w:rsid w:val="788F1E71"/>
    <w:rsid w:val="788F3C1F"/>
    <w:rsid w:val="789D458E"/>
    <w:rsid w:val="78A00516"/>
    <w:rsid w:val="78A7540C"/>
    <w:rsid w:val="78B11DE7"/>
    <w:rsid w:val="78C23FF4"/>
    <w:rsid w:val="78C31B1A"/>
    <w:rsid w:val="78CD2F4A"/>
    <w:rsid w:val="78D43D28"/>
    <w:rsid w:val="78E71CAD"/>
    <w:rsid w:val="78E90945"/>
    <w:rsid w:val="78E931CA"/>
    <w:rsid w:val="78FB5DA5"/>
    <w:rsid w:val="79146E1D"/>
    <w:rsid w:val="792C6CB9"/>
    <w:rsid w:val="79440EAD"/>
    <w:rsid w:val="795F1BBD"/>
    <w:rsid w:val="796E1A86"/>
    <w:rsid w:val="79780B57"/>
    <w:rsid w:val="797A0365"/>
    <w:rsid w:val="797C0647"/>
    <w:rsid w:val="797F5041"/>
    <w:rsid w:val="79891F8A"/>
    <w:rsid w:val="799532D3"/>
    <w:rsid w:val="79A61220"/>
    <w:rsid w:val="79AB2CDA"/>
    <w:rsid w:val="79B0209F"/>
    <w:rsid w:val="79BC4EE7"/>
    <w:rsid w:val="79BF22E2"/>
    <w:rsid w:val="79CC5832"/>
    <w:rsid w:val="79D33E18"/>
    <w:rsid w:val="79D33FDF"/>
    <w:rsid w:val="79D34101"/>
    <w:rsid w:val="79E61F64"/>
    <w:rsid w:val="79FC3536"/>
    <w:rsid w:val="79FE105C"/>
    <w:rsid w:val="7A037E18"/>
    <w:rsid w:val="7A0D129F"/>
    <w:rsid w:val="7A1268B5"/>
    <w:rsid w:val="7A1E34AC"/>
    <w:rsid w:val="7A232871"/>
    <w:rsid w:val="7A241BF8"/>
    <w:rsid w:val="7A2F56B9"/>
    <w:rsid w:val="7A3941D4"/>
    <w:rsid w:val="7A3B4F97"/>
    <w:rsid w:val="7A3C70A6"/>
    <w:rsid w:val="7A4128EC"/>
    <w:rsid w:val="7A4656A2"/>
    <w:rsid w:val="7A477C7F"/>
    <w:rsid w:val="7A492A90"/>
    <w:rsid w:val="7A4A5E35"/>
    <w:rsid w:val="7A5275FA"/>
    <w:rsid w:val="7A5527C7"/>
    <w:rsid w:val="7A5944E4"/>
    <w:rsid w:val="7A6F7FF4"/>
    <w:rsid w:val="7A770E0E"/>
    <w:rsid w:val="7A7E6332"/>
    <w:rsid w:val="7A802DAC"/>
    <w:rsid w:val="7A9A4690"/>
    <w:rsid w:val="7A9E639B"/>
    <w:rsid w:val="7AAC6D0A"/>
    <w:rsid w:val="7AB45BBF"/>
    <w:rsid w:val="7AC8166A"/>
    <w:rsid w:val="7ACC0CD4"/>
    <w:rsid w:val="7AD226F3"/>
    <w:rsid w:val="7ADE49EA"/>
    <w:rsid w:val="7AF45096"/>
    <w:rsid w:val="7B024B7C"/>
    <w:rsid w:val="7B072192"/>
    <w:rsid w:val="7B1242D4"/>
    <w:rsid w:val="7B1C3B93"/>
    <w:rsid w:val="7B2E771F"/>
    <w:rsid w:val="7B3311D9"/>
    <w:rsid w:val="7B3B008E"/>
    <w:rsid w:val="7B3B010C"/>
    <w:rsid w:val="7B4056A4"/>
    <w:rsid w:val="7B476A33"/>
    <w:rsid w:val="7B5B0730"/>
    <w:rsid w:val="7B5B603A"/>
    <w:rsid w:val="7B5D0004"/>
    <w:rsid w:val="7B5F3D7C"/>
    <w:rsid w:val="7B6408D0"/>
    <w:rsid w:val="7B6539E9"/>
    <w:rsid w:val="7B656EB9"/>
    <w:rsid w:val="7B687984"/>
    <w:rsid w:val="7B720293"/>
    <w:rsid w:val="7B725F0E"/>
    <w:rsid w:val="7B810197"/>
    <w:rsid w:val="7B8C2698"/>
    <w:rsid w:val="7B95573E"/>
    <w:rsid w:val="7BA3037E"/>
    <w:rsid w:val="7BAF65D5"/>
    <w:rsid w:val="7BB32DA6"/>
    <w:rsid w:val="7BB544F2"/>
    <w:rsid w:val="7BBA7B82"/>
    <w:rsid w:val="7BC1532A"/>
    <w:rsid w:val="7BC63DFB"/>
    <w:rsid w:val="7BCD518A"/>
    <w:rsid w:val="7BD060AF"/>
    <w:rsid w:val="7BD55DED"/>
    <w:rsid w:val="7BD77DB7"/>
    <w:rsid w:val="7BE530CE"/>
    <w:rsid w:val="7BE61DA8"/>
    <w:rsid w:val="7C0466D2"/>
    <w:rsid w:val="7C093CE8"/>
    <w:rsid w:val="7C0A5428"/>
    <w:rsid w:val="7C0D37D8"/>
    <w:rsid w:val="7C170BF7"/>
    <w:rsid w:val="7C232FFC"/>
    <w:rsid w:val="7C327425"/>
    <w:rsid w:val="7C480CB4"/>
    <w:rsid w:val="7C4A6B3F"/>
    <w:rsid w:val="7C4B4301"/>
    <w:rsid w:val="7C4F582A"/>
    <w:rsid w:val="7C5D2A48"/>
    <w:rsid w:val="7C605FFE"/>
    <w:rsid w:val="7C6158D2"/>
    <w:rsid w:val="7C6453C2"/>
    <w:rsid w:val="7C8C01AA"/>
    <w:rsid w:val="7C920181"/>
    <w:rsid w:val="7C9B7036"/>
    <w:rsid w:val="7C9E7B4B"/>
    <w:rsid w:val="7CA01288"/>
    <w:rsid w:val="7CA35EEB"/>
    <w:rsid w:val="7CA4645E"/>
    <w:rsid w:val="7CA852AF"/>
    <w:rsid w:val="7CAB2FF1"/>
    <w:rsid w:val="7CB50DE1"/>
    <w:rsid w:val="7CC46AF4"/>
    <w:rsid w:val="7CC90AFD"/>
    <w:rsid w:val="7CD04806"/>
    <w:rsid w:val="7CD51E1C"/>
    <w:rsid w:val="7CE02C9B"/>
    <w:rsid w:val="7CE309DD"/>
    <w:rsid w:val="7CE32B26"/>
    <w:rsid w:val="7CED53B8"/>
    <w:rsid w:val="7CF07389"/>
    <w:rsid w:val="7CF44998"/>
    <w:rsid w:val="7CFD384D"/>
    <w:rsid w:val="7D007C35"/>
    <w:rsid w:val="7D0C1CE2"/>
    <w:rsid w:val="7D0C7F34"/>
    <w:rsid w:val="7D172435"/>
    <w:rsid w:val="7D292894"/>
    <w:rsid w:val="7D2E7EAA"/>
    <w:rsid w:val="7D3A0587"/>
    <w:rsid w:val="7D3D00ED"/>
    <w:rsid w:val="7D494CE4"/>
    <w:rsid w:val="7D6116ED"/>
    <w:rsid w:val="7D625DA6"/>
    <w:rsid w:val="7D690E15"/>
    <w:rsid w:val="7D692C90"/>
    <w:rsid w:val="7D6B2EAC"/>
    <w:rsid w:val="7D821FA4"/>
    <w:rsid w:val="7D831878"/>
    <w:rsid w:val="7D891584"/>
    <w:rsid w:val="7D8D1CC8"/>
    <w:rsid w:val="7D9046C1"/>
    <w:rsid w:val="7DA0242A"/>
    <w:rsid w:val="7DB5158B"/>
    <w:rsid w:val="7DB54CF6"/>
    <w:rsid w:val="7DBB1012"/>
    <w:rsid w:val="7DC12ACC"/>
    <w:rsid w:val="7DC91981"/>
    <w:rsid w:val="7DD722F0"/>
    <w:rsid w:val="7DDC134B"/>
    <w:rsid w:val="7DE47DC2"/>
    <w:rsid w:val="7DE7321B"/>
    <w:rsid w:val="7DEA6806"/>
    <w:rsid w:val="7E0429B9"/>
    <w:rsid w:val="7E0D0160"/>
    <w:rsid w:val="7E0D0EDC"/>
    <w:rsid w:val="7E156974"/>
    <w:rsid w:val="7E1626EC"/>
    <w:rsid w:val="7E1C5F55"/>
    <w:rsid w:val="7E254463"/>
    <w:rsid w:val="7E2B00CE"/>
    <w:rsid w:val="7E2C7CF9"/>
    <w:rsid w:val="7E325778"/>
    <w:rsid w:val="7E33504C"/>
    <w:rsid w:val="7E372D8F"/>
    <w:rsid w:val="7E3D3B97"/>
    <w:rsid w:val="7E467CE8"/>
    <w:rsid w:val="7E6A30DE"/>
    <w:rsid w:val="7E6B3330"/>
    <w:rsid w:val="7E8B6C36"/>
    <w:rsid w:val="7E905F9E"/>
    <w:rsid w:val="7E9E2E0E"/>
    <w:rsid w:val="7EA22D23"/>
    <w:rsid w:val="7EA30424"/>
    <w:rsid w:val="7EC86E2C"/>
    <w:rsid w:val="7ED24865"/>
    <w:rsid w:val="7EE03426"/>
    <w:rsid w:val="7EE10F4C"/>
    <w:rsid w:val="7EE12CFA"/>
    <w:rsid w:val="7EE665ED"/>
    <w:rsid w:val="7EEDBB0F"/>
    <w:rsid w:val="7EF54D09"/>
    <w:rsid w:val="7EFF7750"/>
    <w:rsid w:val="7F0A3FFF"/>
    <w:rsid w:val="7F0B39A9"/>
    <w:rsid w:val="7F0D421A"/>
    <w:rsid w:val="7F0F63BC"/>
    <w:rsid w:val="7F1429AC"/>
    <w:rsid w:val="7F1906E6"/>
    <w:rsid w:val="7F194796"/>
    <w:rsid w:val="7F1D01D6"/>
    <w:rsid w:val="7F2C5AB1"/>
    <w:rsid w:val="7F3472CE"/>
    <w:rsid w:val="7F410946"/>
    <w:rsid w:val="7F4C279C"/>
    <w:rsid w:val="7F5434CC"/>
    <w:rsid w:val="7F6851CA"/>
    <w:rsid w:val="7F686F78"/>
    <w:rsid w:val="7F7325F8"/>
    <w:rsid w:val="7F7678E7"/>
    <w:rsid w:val="7F7E59EA"/>
    <w:rsid w:val="7F7F3068"/>
    <w:rsid w:val="7F7F7749"/>
    <w:rsid w:val="7F802513"/>
    <w:rsid w:val="7F833DB1"/>
    <w:rsid w:val="7FAE0E2E"/>
    <w:rsid w:val="7FB84310"/>
    <w:rsid w:val="7FEC7BA9"/>
    <w:rsid w:val="7FEE3921"/>
    <w:rsid w:val="7FF01072"/>
    <w:rsid w:val="7FF54CAF"/>
    <w:rsid w:val="8D7E47E3"/>
    <w:rsid w:val="A66A58CC"/>
    <w:rsid w:val="B7DD42AF"/>
    <w:rsid w:val="BBAFEA57"/>
    <w:rsid w:val="BEFFEBCF"/>
    <w:rsid w:val="CFDF7173"/>
    <w:rsid w:val="EDFCF145"/>
    <w:rsid w:val="F4AC9F15"/>
    <w:rsid w:val="FFDFC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8"/>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toc 8"/>
    <w:basedOn w:val="1"/>
    <w:next w:val="1"/>
    <w:unhideWhenUsed/>
    <w:qFormat/>
    <w:uiPriority w:val="39"/>
    <w:pPr>
      <w:adjustRightInd/>
      <w:spacing w:line="240" w:lineRule="auto"/>
      <w:ind w:left="2940" w:leftChars="1400"/>
    </w:pPr>
    <w:rPr>
      <w:rFonts w:asciiTheme="minorHAnsi" w:hAnsiTheme="minorHAnsi" w:eastAsiaTheme="minorEastAsia" w:cstheme="minorBidi"/>
      <w:szCs w:val="22"/>
    </w:rPr>
  </w:style>
  <w:style w:type="paragraph" w:styleId="17">
    <w:name w:val="Balloon Text"/>
    <w:basedOn w:val="1"/>
    <w:link w:val="47"/>
    <w:semiHidden/>
    <w:unhideWhenUsed/>
    <w:qFormat/>
    <w:uiPriority w:val="99"/>
    <w:rPr>
      <w:sz w:val="18"/>
      <w:szCs w:val="18"/>
    </w:rPr>
  </w:style>
  <w:style w:type="paragraph" w:styleId="18">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5"/>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oc 9"/>
    <w:basedOn w:val="1"/>
    <w:next w:val="1"/>
    <w:unhideWhenUsed/>
    <w:qFormat/>
    <w:uiPriority w:val="39"/>
    <w:pPr>
      <w:adjustRightInd/>
      <w:spacing w:line="240" w:lineRule="auto"/>
      <w:ind w:left="3360" w:leftChars="1600"/>
    </w:pPr>
    <w:rPr>
      <w:rFonts w:asciiTheme="minorHAnsi" w:hAnsiTheme="minorHAnsi" w:eastAsiaTheme="minorEastAsia" w:cstheme="minorBidi"/>
      <w:szCs w:val="22"/>
    </w:rPr>
  </w:style>
  <w:style w:type="paragraph" w:styleId="27">
    <w:name w:val="Title"/>
    <w:basedOn w:val="1"/>
    <w:link w:val="50"/>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Char"/>
    <w:link w:val="2"/>
    <w:qFormat/>
    <w:uiPriority w:val="0"/>
    <w:rPr>
      <w:b/>
      <w:bCs/>
      <w:kern w:val="44"/>
      <w:sz w:val="44"/>
      <w:szCs w:val="44"/>
    </w:rPr>
  </w:style>
  <w:style w:type="character" w:customStyle="1" w:styleId="37">
    <w:name w:val="标题 2 Char"/>
    <w:link w:val="3"/>
    <w:qFormat/>
    <w:uiPriority w:val="0"/>
    <w:rPr>
      <w:rFonts w:ascii="Arial" w:hAnsi="Arial" w:eastAsia="黑体"/>
      <w:b/>
      <w:bCs/>
      <w:kern w:val="2"/>
      <w:sz w:val="32"/>
      <w:szCs w:val="32"/>
    </w:rPr>
  </w:style>
  <w:style w:type="character" w:customStyle="1" w:styleId="38">
    <w:name w:val="标题 3 Char"/>
    <w:link w:val="4"/>
    <w:qFormat/>
    <w:uiPriority w:val="0"/>
    <w:rPr>
      <w:b/>
      <w:bCs/>
      <w:kern w:val="2"/>
      <w:sz w:val="32"/>
      <w:szCs w:val="32"/>
    </w:rPr>
  </w:style>
  <w:style w:type="character" w:customStyle="1" w:styleId="39">
    <w:name w:val="标题 4 Char"/>
    <w:link w:val="5"/>
    <w:qFormat/>
    <w:uiPriority w:val="0"/>
    <w:rPr>
      <w:rFonts w:ascii="Arial" w:hAnsi="Arial" w:eastAsia="黑体"/>
      <w:b/>
      <w:bCs/>
      <w:kern w:val="2"/>
      <w:sz w:val="28"/>
      <w:szCs w:val="28"/>
    </w:rPr>
  </w:style>
  <w:style w:type="character" w:customStyle="1" w:styleId="40">
    <w:name w:val="标题 5 Char"/>
    <w:link w:val="6"/>
    <w:qFormat/>
    <w:uiPriority w:val="0"/>
    <w:rPr>
      <w:b/>
      <w:bCs/>
      <w:kern w:val="2"/>
      <w:sz w:val="28"/>
      <w:szCs w:val="28"/>
    </w:rPr>
  </w:style>
  <w:style w:type="character" w:customStyle="1" w:styleId="41">
    <w:name w:val="标题 6 Char"/>
    <w:link w:val="7"/>
    <w:qFormat/>
    <w:uiPriority w:val="0"/>
    <w:rPr>
      <w:rFonts w:ascii="Arial" w:hAnsi="Arial" w:eastAsia="黑体"/>
      <w:b/>
      <w:bCs/>
      <w:kern w:val="2"/>
      <w:sz w:val="24"/>
      <w:szCs w:val="24"/>
    </w:rPr>
  </w:style>
  <w:style w:type="character" w:customStyle="1" w:styleId="42">
    <w:name w:val="标题 7 Char"/>
    <w:link w:val="8"/>
    <w:qFormat/>
    <w:uiPriority w:val="0"/>
    <w:rPr>
      <w:b/>
      <w:bCs/>
      <w:kern w:val="2"/>
      <w:sz w:val="24"/>
      <w:szCs w:val="24"/>
    </w:rPr>
  </w:style>
  <w:style w:type="character" w:customStyle="1" w:styleId="43">
    <w:name w:val="标题 8 Char"/>
    <w:link w:val="9"/>
    <w:qFormat/>
    <w:uiPriority w:val="0"/>
    <w:rPr>
      <w:rFonts w:ascii="Arial" w:hAnsi="Arial" w:eastAsia="黑体"/>
      <w:kern w:val="2"/>
      <w:sz w:val="24"/>
      <w:szCs w:val="24"/>
    </w:rPr>
  </w:style>
  <w:style w:type="character" w:customStyle="1" w:styleId="44">
    <w:name w:val="标题 9 Char"/>
    <w:link w:val="10"/>
    <w:qFormat/>
    <w:uiPriority w:val="0"/>
    <w:rPr>
      <w:rFonts w:ascii="Arial" w:hAnsi="Arial" w:eastAsia="黑体"/>
      <w:kern w:val="2"/>
      <w:sz w:val="21"/>
      <w:szCs w:val="21"/>
    </w:rPr>
  </w:style>
  <w:style w:type="character" w:customStyle="1" w:styleId="45">
    <w:name w:val="页眉 Char"/>
    <w:link w:val="19"/>
    <w:qFormat/>
    <w:uiPriority w:val="99"/>
    <w:rPr>
      <w:kern w:val="2"/>
      <w:sz w:val="18"/>
      <w:szCs w:val="18"/>
    </w:rPr>
  </w:style>
  <w:style w:type="character" w:customStyle="1" w:styleId="46">
    <w:name w:val="页脚 Char"/>
    <w:link w:val="18"/>
    <w:qFormat/>
    <w:uiPriority w:val="99"/>
    <w:rPr>
      <w:rFonts w:ascii="宋体"/>
      <w:kern w:val="2"/>
      <w:sz w:val="18"/>
      <w:szCs w:val="18"/>
    </w:rPr>
  </w:style>
  <w:style w:type="character" w:customStyle="1" w:styleId="47">
    <w:name w:val="批注框文本 Char"/>
    <w:link w:val="17"/>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Char"/>
    <w:link w:val="48"/>
    <w:qFormat/>
    <w:uiPriority w:val="29"/>
    <w:rPr>
      <w:i/>
      <w:iCs/>
      <w:color w:val="000000"/>
      <w:kern w:val="2"/>
      <w:sz w:val="21"/>
      <w:szCs w:val="21"/>
    </w:rPr>
  </w:style>
  <w:style w:type="character" w:customStyle="1" w:styleId="50">
    <w:name w:val="标题 Char"/>
    <w:link w:val="27"/>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Char"/>
    <w:link w:val="13"/>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ind w:left="0"/>
      <w:outlineLvl w:val="3"/>
    </w:pPr>
  </w:style>
  <w:style w:type="character" w:customStyle="1" w:styleId="97">
    <w:name w:val="不明显参考1"/>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50" w:beforeLines="50" w:after="50" w:afterLines="50"/>
      <w:ind w:left="0"/>
      <w:jc w:val="both"/>
      <w:outlineLvl w:val="4"/>
    </w:pPr>
    <w:rPr>
      <w:rFonts w:ascii="黑体" w:hAnsi="Times New Roman" w:eastAsia="黑体" w:cs="Times New Roman"/>
      <w:sz w:val="21"/>
      <w:lang w:val="en-US" w:eastAsia="zh-CN" w:bidi="ar-SA"/>
    </w:rPr>
  </w:style>
  <w:style w:type="character" w:customStyle="1" w:styleId="101">
    <w:name w:val="脚注文本 Char"/>
    <w:link w:val="22"/>
    <w:semiHidden/>
    <w:qFormat/>
    <w:uiPriority w:val="0"/>
    <w:rPr>
      <w:rFonts w:ascii="宋体"/>
      <w:kern w:val="2"/>
      <w:sz w:val="18"/>
      <w:szCs w:val="18"/>
    </w:rPr>
  </w:style>
  <w:style w:type="paragraph" w:customStyle="1" w:styleId="102">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50" w:beforeLines="50" w:after="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semiHidden/>
    <w:qFormat/>
    <w:uiPriority w:val="0"/>
    <w:pPr>
      <w:adjustRightInd/>
      <w:spacing w:line="240" w:lineRule="auto"/>
      <w:jc w:val="left"/>
    </w:pPr>
    <w:rPr>
      <w:bCs/>
      <w:iCs/>
    </w:rPr>
  </w:style>
  <w:style w:type="paragraph" w:customStyle="1" w:styleId="145">
    <w:name w:val="目录 31"/>
    <w:basedOn w:val="1"/>
    <w:next w:val="1"/>
    <w:semiHidden/>
    <w:qFormat/>
    <w:uiPriority w:val="0"/>
    <w:pPr>
      <w:spacing w:line="240" w:lineRule="auto"/>
    </w:pPr>
    <w:rPr>
      <w:rFonts w:ascii="宋体" w:hAnsi="宋体"/>
      <w:iCs/>
    </w:rPr>
  </w:style>
  <w:style w:type="paragraph" w:customStyle="1" w:styleId="146">
    <w:name w:val="目录 41"/>
    <w:basedOn w:val="1"/>
    <w:next w:val="1"/>
    <w:semiHidden/>
    <w:qFormat/>
    <w:uiPriority w:val="0"/>
    <w:pPr>
      <w:adjustRightInd/>
      <w:spacing w:line="240" w:lineRule="auto"/>
      <w:jc w:val="left"/>
    </w:pPr>
  </w:style>
  <w:style w:type="paragraph" w:customStyle="1" w:styleId="147">
    <w:name w:val="目录 51"/>
    <w:basedOn w:val="1"/>
    <w:next w:val="1"/>
    <w:semiHidden/>
    <w:qFormat/>
    <w:uiPriority w:val="0"/>
    <w:pPr>
      <w:spacing w:line="240" w:lineRule="auto"/>
    </w:pPr>
    <w:rPr>
      <w:rFonts w:ascii="宋体" w:hAnsi="宋体"/>
    </w:rPr>
  </w:style>
  <w:style w:type="paragraph" w:customStyle="1" w:styleId="148">
    <w:name w:val="目录 61"/>
    <w:basedOn w:val="1"/>
    <w:next w:val="1"/>
    <w:semiHidden/>
    <w:qFormat/>
    <w:uiPriority w:val="0"/>
    <w:pPr>
      <w:adjustRightInd/>
      <w:spacing w:line="240" w:lineRule="auto"/>
      <w:jc w:val="left"/>
    </w:pPr>
  </w:style>
  <w:style w:type="paragraph" w:customStyle="1" w:styleId="149">
    <w:name w:val="目录 71"/>
    <w:basedOn w:val="148"/>
    <w:semiHidden/>
    <w:qFormat/>
    <w:uiPriority w:val="0"/>
    <w:pPr>
      <w:ind w:left="1260"/>
    </w:pPr>
  </w:style>
  <w:style w:type="paragraph" w:customStyle="1" w:styleId="150">
    <w:name w:val="目录 81"/>
    <w:basedOn w:val="149"/>
    <w:semiHidden/>
    <w:qFormat/>
    <w:uiPriority w:val="0"/>
    <w:pPr>
      <w:ind w:left="1470"/>
    </w:pPr>
  </w:style>
  <w:style w:type="paragraph" w:customStyle="1" w:styleId="151">
    <w:name w:val="目录 91"/>
    <w:basedOn w:val="150"/>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105"/>
    <w:qFormat/>
    <w:uiPriority w:val="0"/>
    <w:pPr>
      <w:spacing w:before="0" w:beforeLines="0" w:after="0" w:afterLines="0"/>
      <w:outlineLvl w:val="9"/>
    </w:pPr>
    <w:rPr>
      <w:rFonts w:ascii="宋体" w:eastAsia="宋体"/>
    </w:rPr>
  </w:style>
  <w:style w:type="paragraph" w:customStyle="1" w:styleId="166">
    <w:name w:val="标准文件_三级无标题"/>
    <w:basedOn w:val="96"/>
    <w:qFormat/>
    <w:uiPriority w:val="0"/>
    <w:pPr>
      <w:spacing w:before="0" w:beforeLines="0" w:after="0" w:afterLines="0"/>
      <w:outlineLvl w:val="9"/>
    </w:pPr>
    <w:rPr>
      <w:rFonts w:ascii="宋体" w:eastAsia="宋体"/>
    </w:rPr>
  </w:style>
  <w:style w:type="paragraph" w:customStyle="1" w:styleId="167">
    <w:name w:val="标准文件_二级无标题"/>
    <w:basedOn w:val="67"/>
    <w:qFormat/>
    <w:uiPriority w:val="0"/>
    <w:pPr>
      <w:spacing w:before="0" w:beforeLines="0" w:after="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30"/>
    <w:semiHidden/>
    <w:qFormat/>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30"/>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vAnchor="page" w:hAnchor="page" w:x="1419" w:y="14097"/>
    </w:pPr>
  </w:style>
  <w:style w:type="paragraph" w:customStyle="1" w:styleId="196">
    <w:name w:val="其他实施日期"/>
    <w:basedOn w:val="156"/>
    <w:qFormat/>
    <w:uiPriority w:val="0"/>
    <w:pPr>
      <w:framePr w:w="3997" w:h="471" w:hRule="exact" w:vSpace="181"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5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5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58"/>
    <w:qFormat/>
    <w:uiPriority w:val="0"/>
    <w:pPr>
      <w:spacing w:before="0" w:beforeLines="0" w:after="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30"/>
    <w:qFormat/>
    <w:uiPriority w:val="0"/>
    <w:rPr>
      <w:rFonts w:ascii="黑体" w:eastAsia="黑体"/>
      <w:spacing w:val="85"/>
      <w:w w:val="100"/>
      <w:position w:val="3"/>
      <w:sz w:val="28"/>
      <w:szCs w:val="28"/>
    </w:rPr>
  </w:style>
  <w:style w:type="paragraph" w:customStyle="1" w:styleId="232">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33">
    <w:name w:val="正文2"/>
    <w:qFormat/>
    <w:uiPriority w:val="0"/>
    <w:pPr>
      <w:jc w:val="both"/>
    </w:pPr>
    <w:rPr>
      <w:rFonts w:ascii="Times New Roman" w:hAnsi="Times New Roman" w:eastAsia="宋体" w:cs="Times New Roman"/>
      <w:kern w:val="2"/>
      <w:sz w:val="21"/>
      <w:szCs w:val="21"/>
      <w:lang w:val="en-US" w:eastAsia="zh-CN" w:bidi="ar-SA"/>
    </w:rPr>
  </w:style>
  <w:style w:type="paragraph" w:styleId="234">
    <w:name w:val="List Paragraph"/>
    <w:basedOn w:val="1"/>
    <w:qFormat/>
    <w:uiPriority w:val="34"/>
    <w:pPr>
      <w:ind w:firstLine="420" w:firstLineChars="200"/>
    </w:pPr>
  </w:style>
  <w:style w:type="paragraph" w:customStyle="1" w:styleId="235">
    <w:name w:val="标准文件_表格_表头"/>
    <w:basedOn w:val="1"/>
    <w:qFormat/>
    <w:uiPriority w:val="0"/>
    <w:pPr>
      <w:widowControl/>
      <w:autoSpaceDE w:val="0"/>
      <w:autoSpaceDN w:val="0"/>
      <w:adjustRightInd/>
      <w:snapToGrid w:val="0"/>
      <w:spacing w:line="240" w:lineRule="auto"/>
      <w:jc w:val="center"/>
    </w:pPr>
    <w:rPr>
      <w:rFonts w:ascii="宋体" w:hAnsi="宋体"/>
      <w:sz w:val="18"/>
    </w:rPr>
  </w:style>
  <w:style w:type="paragraph" w:customStyle="1" w:styleId="236">
    <w:name w:val="标准文件_表格_居中内容"/>
    <w:basedOn w:val="1"/>
    <w:qFormat/>
    <w:uiPriority w:val="0"/>
    <w:pPr>
      <w:widowControl/>
      <w:autoSpaceDE w:val="0"/>
      <w:autoSpaceDN w:val="0"/>
      <w:adjustRightInd/>
      <w:spacing w:line="240" w:lineRule="auto"/>
      <w:jc w:val="center"/>
    </w:pPr>
    <w:rPr>
      <w:rFonts w:ascii="宋体" w:hAnsi="宋体"/>
      <w:sz w:val="18"/>
    </w:rPr>
  </w:style>
  <w:style w:type="paragraph" w:customStyle="1" w:styleId="237">
    <w:name w:val="标准文件_表格_左对齐内容"/>
    <w:basedOn w:val="1"/>
    <w:qFormat/>
    <w:uiPriority w:val="0"/>
    <w:pPr>
      <w:widowControl/>
      <w:autoSpaceDE w:val="0"/>
      <w:autoSpaceDN w:val="0"/>
      <w:adjustRightInd/>
      <w:snapToGrid w:val="0"/>
      <w:spacing w:line="280" w:lineRule="exact"/>
      <w:ind w:left="42" w:leftChars="20"/>
    </w:pPr>
    <w:rPr>
      <w:rFonts w:hint="eastAsia" w:ascii="宋体" w:hAnsi="宋体"/>
      <w:sz w:val="18"/>
    </w:rPr>
  </w:style>
  <w:style w:type="paragraph" w:customStyle="1" w:styleId="238">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glossaryDocument" Target="glossary/document.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jpeg"/><Relationship Id="rId30" Type="http://schemas.openxmlformats.org/officeDocument/2006/relationships/image" Target="media/image1.tiff"/><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12.xml"/><Relationship Id="rId27" Type="http://schemas.openxmlformats.org/officeDocument/2006/relationships/footer" Target="footer11.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5154B8C170A436DA546265414E75DEC"/>
        <w:style w:val=""/>
        <w:category>
          <w:name w:val="常规"/>
          <w:gallery w:val="placeholder"/>
        </w:category>
        <w:types>
          <w:type w:val="bbPlcHdr"/>
        </w:types>
        <w:behaviors>
          <w:behavior w:val="content"/>
        </w:behaviors>
        <w:description w:val=""/>
        <w:guid w:val="{FAB07073-28BF-41C6-9873-E3F7954AC0A0}"/>
      </w:docPartPr>
      <w:docPartBody>
        <w:p>
          <w:pPr>
            <w:pStyle w:val="5"/>
          </w:pPr>
          <w:r>
            <w:rPr>
              <w:rStyle w:val="4"/>
              <w:rFonts w:hint="eastAsia"/>
            </w:rPr>
            <w:t>单击或点击此处输入文字。</w:t>
          </w:r>
        </w:p>
      </w:docPartBody>
    </w:docPart>
    <w:docPart>
      <w:docPartPr>
        <w:name w:val="127B604BADC04448AC527C985A6E8E61"/>
        <w:style w:val=""/>
        <w:category>
          <w:name w:val="常规"/>
          <w:gallery w:val="placeholder"/>
        </w:category>
        <w:types>
          <w:type w:val="bbPlcHdr"/>
        </w:types>
        <w:behaviors>
          <w:behavior w:val="content"/>
        </w:behaviors>
        <w:description w:val=""/>
        <w:guid w:val="{D3E900B2-8259-402B-823D-DFF2150D3375}"/>
      </w:docPartPr>
      <w:docPartBody>
        <w:p>
          <w:pPr>
            <w:pStyle w:val="6"/>
          </w:pPr>
          <w:r>
            <w:rPr>
              <w:rStyle w:val="4"/>
              <w:rFonts w:hint="eastAsia"/>
            </w:rPr>
            <w:t>选择一项。</w:t>
          </w:r>
        </w:p>
      </w:docPartBody>
    </w:docPart>
    <w:docPart>
      <w:docPartPr>
        <w:name w:val="A9AB82EA453F42109F4937745D40E8A4"/>
        <w:style w:val=""/>
        <w:category>
          <w:name w:val="常规"/>
          <w:gallery w:val="placeholder"/>
        </w:category>
        <w:types>
          <w:type w:val="bbPlcHdr"/>
        </w:types>
        <w:behaviors>
          <w:behavior w:val="content"/>
        </w:behaviors>
        <w:description w:val=""/>
        <w:guid w:val="{E6C2B643-8C0B-4B71-994E-EE652B8468C9}"/>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true"/>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75D"/>
    <w:rsid w:val="000906ED"/>
    <w:rsid w:val="00186B63"/>
    <w:rsid w:val="00250ED5"/>
    <w:rsid w:val="00432ED3"/>
    <w:rsid w:val="005420C5"/>
    <w:rsid w:val="005859BD"/>
    <w:rsid w:val="008B2315"/>
    <w:rsid w:val="00A2337C"/>
    <w:rsid w:val="00B37641"/>
    <w:rsid w:val="00BA6A5F"/>
    <w:rsid w:val="00BF35D2"/>
    <w:rsid w:val="00BF7007"/>
    <w:rsid w:val="00CE144B"/>
    <w:rsid w:val="00D57CE1"/>
    <w:rsid w:val="00DD0F80"/>
    <w:rsid w:val="00F2075D"/>
    <w:rsid w:val="00FC4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5154B8C170A436DA546265414E75DE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127B604BADC04448AC527C985A6E8E6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9AB82EA453F42109F4937745D40E8A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24</Pages>
  <Words>17114</Words>
  <Characters>17946</Characters>
  <Lines>1</Lines>
  <Paragraphs>1</Paragraphs>
  <TotalTime>6</TotalTime>
  <ScaleCrop>false</ScaleCrop>
  <LinksUpToDate>false</LinksUpToDate>
  <CharactersWithSpaces>18188</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2025-09-11T02:24:00Z</dcterms:created>
  <dc:creator>28863058</dc:creator>
  <dc:description>&lt;config cover="true" show_menu="true" version="1.0.0" doctype="SDKXY"&gt;_x000d_
&lt;/config&gt;</dc:description>
  <cp:lastModifiedBy>马翔宇</cp:lastModifiedBy>
  <cp:lastPrinted>2025-09-30T08:56:00Z</cp:lastPrinted>
  <dcterms:modified xsi:type="dcterms:W3CDTF">2026-08-06T15:39:14Z</dcterms:modified>
  <dc:title>地方标准</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eyJoZGlkIjoiNWI3NDE1ODQ2ZjNlNGY4OGExYzM1OGZmMjM4ZGY4N2UiLCJ1c2VySWQiOiIxNzk5MTYxMyJ9</vt:lpwstr>
  </property>
  <property fmtid="{D5CDD505-2E9C-101B-9397-08002B2CF9AE}" pid="16" name="KSOProductBuildVer">
    <vt:lpwstr>2052-11.8.2.10505</vt:lpwstr>
  </property>
  <property fmtid="{D5CDD505-2E9C-101B-9397-08002B2CF9AE}" pid="17" name="ICV">
    <vt:lpwstr>3088C116402845B6A2D71F5EF41B4BFF_13</vt:lpwstr>
  </property>
</Properties>
</file>