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9"/>
        <w:tblW w:w="9136" w:type="dxa"/>
        <w:jc w:val="center"/>
        <w:tblLayout w:type="autofit"/>
        <w:tblCellMar>
          <w:top w:w="0" w:type="dxa"/>
          <w:left w:w="108" w:type="dxa"/>
          <w:bottom w:w="0" w:type="dxa"/>
          <w:right w:w="108" w:type="dxa"/>
        </w:tblCellMar>
      </w:tblPr>
      <w:tblGrid>
        <w:gridCol w:w="9136"/>
      </w:tblGrid>
      <w:tr w14:paraId="216A5E5C">
        <w:tblPrEx>
          <w:tblCellMar>
            <w:top w:w="0" w:type="dxa"/>
            <w:left w:w="108" w:type="dxa"/>
            <w:bottom w:w="0" w:type="dxa"/>
            <w:right w:w="108" w:type="dxa"/>
          </w:tblCellMar>
        </w:tblPrEx>
        <w:trPr>
          <w:jc w:val="center"/>
        </w:trPr>
        <w:tc>
          <w:tcPr>
            <w:tcW w:w="9136" w:type="dxa"/>
          </w:tcPr>
          <w:p w14:paraId="1EDD0DE2">
            <w:pPr>
              <w:wordWrap w:val="0"/>
              <w:ind w:right="300" w:firstLine="1200"/>
              <w:jc w:val="right"/>
              <w:rPr>
                <w:sz w:val="52"/>
              </w:rPr>
            </w:pPr>
            <w:bookmarkStart w:id="0" w:name="_Toc408240461"/>
            <w:bookmarkStart w:id="1" w:name="_Toc413940447"/>
            <w:bookmarkStart w:id="2" w:name="_Toc427324168"/>
            <w:bookmarkStart w:id="3" w:name="_Toc425428072"/>
            <w:bookmarkStart w:id="4" w:name="_Toc408836996"/>
            <w:bookmarkStart w:id="5" w:name="_Toc419288497"/>
            <w:bookmarkStart w:id="6" w:name="_Toc425427792"/>
            <w:bookmarkStart w:id="7" w:name="_Toc427323772"/>
            <w:bookmarkStart w:id="8" w:name="_Toc421291507"/>
            <w:bookmarkStart w:id="9" w:name="_Toc425344236"/>
            <w:bookmarkStart w:id="10" w:name="_Toc425427935"/>
            <w:bookmarkStart w:id="11" w:name="_Toc495998699"/>
            <w:bookmarkStart w:id="12" w:name="_Toc413934928"/>
            <w:bookmarkStart w:id="13" w:name="_Toc425446197"/>
            <w:bookmarkStart w:id="14" w:name="_Toc414356808"/>
            <w:bookmarkStart w:id="15" w:name="_Toc357929295"/>
            <w:bookmarkStart w:id="16" w:name="_Toc384732042"/>
            <w:bookmarkStart w:id="17" w:name="_Toc425447309"/>
            <w:bookmarkStart w:id="18" w:name="_Toc422990146"/>
            <w:bookmarkStart w:id="19" w:name="_Toc381994861"/>
            <w:bookmarkStart w:id="20" w:name="_Toc422931108"/>
            <w:bookmarkStart w:id="1284" w:name="_GoBack"/>
            <w:bookmarkEnd w:id="1284"/>
            <w:r>
              <w:rPr>
                <w:rFonts w:hint="eastAsia" w:ascii="Times" w:hAnsi="Times" w:eastAsia="方正大标宋简体"/>
                <w:kern w:val="0"/>
                <w:position w:val="4"/>
                <w:sz w:val="60"/>
              </w:rPr>
              <w:t xml:space="preserve">北京市地方标准  </w:t>
            </w:r>
            <w:r>
              <w:rPr>
                <w:rFonts w:hint="eastAsia" w:ascii="Times" w:hAnsi="Times"/>
                <w:position w:val="-2"/>
              </w:rPr>
              <w:drawing>
                <wp:inline distT="0" distB="0" distL="0" distR="0">
                  <wp:extent cx="1388745" cy="711200"/>
                  <wp:effectExtent l="19050" t="0" r="1905" b="0"/>
                  <wp:docPr id="6" name="图片 1" descr="T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TB"/>
                          <pic:cNvPicPr>
                            <a:picLocks noChangeAspect="1" noChangeArrowheads="1"/>
                          </pic:cNvPicPr>
                        </pic:nvPicPr>
                        <pic:blipFill>
                          <a:blip r:embed="rId16" cstate="print"/>
                          <a:srcRect/>
                          <a:stretch>
                            <a:fillRect/>
                          </a:stretch>
                        </pic:blipFill>
                        <pic:spPr>
                          <a:xfrm>
                            <a:off x="0" y="0"/>
                            <a:ext cx="1388745" cy="711200"/>
                          </a:xfrm>
                          <a:prstGeom prst="rect">
                            <a:avLst/>
                          </a:prstGeom>
                          <a:noFill/>
                          <a:ln w="9525">
                            <a:noFill/>
                            <a:miter lim="800000"/>
                            <a:headEnd/>
                            <a:tailEnd/>
                          </a:ln>
                        </pic:spPr>
                      </pic:pic>
                    </a:graphicData>
                  </a:graphic>
                </wp:inline>
              </w:drawing>
            </w:r>
          </w:p>
        </w:tc>
      </w:tr>
      <w:tr w14:paraId="4994AF52">
        <w:tblPrEx>
          <w:tblCellMar>
            <w:top w:w="0" w:type="dxa"/>
            <w:left w:w="108" w:type="dxa"/>
            <w:bottom w:w="0" w:type="dxa"/>
            <w:right w:w="108" w:type="dxa"/>
          </w:tblCellMar>
        </w:tblPrEx>
        <w:trPr>
          <w:trHeight w:val="979" w:hRule="atLeast"/>
          <w:jc w:val="center"/>
        </w:trPr>
        <w:tc>
          <w:tcPr>
            <w:tcW w:w="9136" w:type="dxa"/>
            <w:tcBorders>
              <w:bottom w:val="single" w:color="auto" w:sz="8" w:space="0"/>
            </w:tcBorders>
          </w:tcPr>
          <w:p w14:paraId="08B2BF4D">
            <w:pPr>
              <w:spacing w:line="240" w:lineRule="exact"/>
              <w:ind w:right="600" w:rightChars="250" w:firstLine="480"/>
            </w:pPr>
          </w:p>
          <w:p w14:paraId="4C619236">
            <w:pPr>
              <w:spacing w:line="240" w:lineRule="exact"/>
              <w:ind w:right="600" w:rightChars="250" w:firstLine="480"/>
            </w:pPr>
          </w:p>
          <w:p w14:paraId="56330605">
            <w:pPr>
              <w:tabs>
                <w:tab w:val="left" w:pos="6720"/>
              </w:tabs>
              <w:spacing w:line="260" w:lineRule="exact"/>
              <w:ind w:left="4555" w:leftChars="1898" w:right="600" w:rightChars="250" w:firstLine="3" w:firstLineChars="0"/>
              <w:jc w:val="left"/>
              <w:rPr>
                <w:rFonts w:ascii="Arial" w:hAnsi="Arial" w:eastAsia="黑体" w:cs="Arial"/>
                <w:sz w:val="28"/>
              </w:rPr>
            </w:pPr>
            <w:r>
              <w:rPr>
                <w:rFonts w:hint="eastAsia" w:eastAsia="黑体"/>
                <w:sz w:val="28"/>
              </w:rPr>
              <w:t>编</w:t>
            </w:r>
            <w:r>
              <w:rPr>
                <w:rFonts w:hint="eastAsia" w:eastAsia="黑体"/>
                <w:sz w:val="28"/>
                <w:lang w:val="en-US" w:eastAsia="zh-CN"/>
              </w:rPr>
              <w:t xml:space="preserve">  </w:t>
            </w:r>
            <w:r>
              <w:rPr>
                <w:rFonts w:hint="eastAsia" w:eastAsia="黑体"/>
                <w:sz w:val="28"/>
              </w:rPr>
              <w:t>号：</w:t>
            </w:r>
            <w:r>
              <w:rPr>
                <w:rFonts w:hint="eastAsia" w:eastAsia="黑体"/>
                <w:b/>
                <w:bCs/>
                <w:sz w:val="28"/>
              </w:rPr>
              <w:t>DB11</w:t>
            </w:r>
            <w:r>
              <w:rPr>
                <w:rFonts w:hint="eastAsia" w:ascii="Arial" w:hAnsi="Arial" w:eastAsia="黑体" w:cs="Arial"/>
                <w:sz w:val="28"/>
              </w:rPr>
              <w:t>/</w:t>
            </w:r>
            <w:r>
              <w:rPr>
                <w:rFonts w:hint="eastAsia" w:eastAsia="黑体"/>
                <w:b/>
                <w:bCs/>
                <w:sz w:val="28"/>
              </w:rPr>
              <w:t>1740</w:t>
            </w:r>
            <w:r>
              <w:rPr>
                <w:rFonts w:hint="eastAsia" w:ascii="Arial" w:hAnsi="Arial" w:eastAsia="黑体" w:cs="Arial"/>
                <w:sz w:val="28"/>
              </w:rPr>
              <w:t>—202x</w:t>
            </w:r>
          </w:p>
          <w:p w14:paraId="7E7AD6F0">
            <w:pPr>
              <w:ind w:left="4555" w:leftChars="1898" w:right="600" w:rightChars="250" w:firstLine="3" w:firstLineChars="0"/>
              <w:jc w:val="left"/>
              <w:rPr>
                <w:rFonts w:ascii="Arial" w:hAnsi="Arial" w:eastAsia="黑体" w:cs="Arial"/>
                <w:sz w:val="28"/>
              </w:rPr>
            </w:pPr>
            <w:r>
              <w:rPr>
                <w:rFonts w:hint="eastAsia" w:eastAsia="黑体"/>
                <w:sz w:val="28"/>
              </w:rPr>
              <w:t>备案号：</w:t>
            </w:r>
            <w:r>
              <w:rPr>
                <w:rFonts w:eastAsia="黑体"/>
                <w:b/>
                <w:bCs/>
                <w:sz w:val="28"/>
              </w:rPr>
              <w:t>J</w:t>
            </w:r>
            <w:r>
              <w:rPr>
                <w:rFonts w:hint="eastAsia" w:ascii="Arial" w:hAnsi="Arial" w:eastAsia="黑体" w:cs="Arial"/>
                <w:sz w:val="28"/>
              </w:rPr>
              <w:t>xxxxxxx—202x</w:t>
            </w:r>
          </w:p>
        </w:tc>
      </w:tr>
      <w:tr w14:paraId="769E59E8">
        <w:tblPrEx>
          <w:tblCellMar>
            <w:top w:w="0" w:type="dxa"/>
            <w:left w:w="108" w:type="dxa"/>
            <w:bottom w:w="0" w:type="dxa"/>
            <w:right w:w="108" w:type="dxa"/>
          </w:tblCellMar>
        </w:tblPrEx>
        <w:trPr>
          <w:jc w:val="center"/>
        </w:trPr>
        <w:tc>
          <w:tcPr>
            <w:tcW w:w="9136" w:type="dxa"/>
            <w:tcBorders>
              <w:top w:val="single" w:color="auto" w:sz="8" w:space="0"/>
            </w:tcBorders>
          </w:tcPr>
          <w:p w14:paraId="6816B9A0">
            <w:pPr>
              <w:spacing w:before="530" w:beforeLines="170" w:after="156" w:afterLines="50" w:line="240" w:lineRule="auto"/>
              <w:ind w:firstLine="480"/>
            </w:pPr>
          </w:p>
          <w:p w14:paraId="4ADC0AFD">
            <w:pPr>
              <w:snapToGrid w:val="0"/>
              <w:spacing w:after="156" w:afterLines="50" w:line="240" w:lineRule="auto"/>
              <w:ind w:firstLine="1040"/>
              <w:jc w:val="center"/>
              <w:rPr>
                <w:rFonts w:eastAsia="黑体"/>
                <w:sz w:val="52"/>
              </w:rPr>
            </w:pPr>
            <w:r>
              <w:rPr>
                <w:rFonts w:hint="eastAsia" w:eastAsia="黑体"/>
                <w:sz w:val="52"/>
              </w:rPr>
              <w:t>住宅设计标准</w:t>
            </w:r>
          </w:p>
        </w:tc>
      </w:tr>
      <w:tr w14:paraId="3350B426">
        <w:tblPrEx>
          <w:tblCellMar>
            <w:top w:w="0" w:type="dxa"/>
            <w:left w:w="108" w:type="dxa"/>
            <w:bottom w:w="0" w:type="dxa"/>
            <w:right w:w="108" w:type="dxa"/>
          </w:tblCellMar>
        </w:tblPrEx>
        <w:trPr>
          <w:jc w:val="center"/>
        </w:trPr>
        <w:tc>
          <w:tcPr>
            <w:tcW w:w="9136" w:type="dxa"/>
            <w:tcMar>
              <w:left w:w="0" w:type="dxa"/>
              <w:right w:w="0" w:type="dxa"/>
            </w:tcMar>
          </w:tcPr>
          <w:p w14:paraId="33EC1CDB">
            <w:pPr>
              <w:pStyle w:val="5"/>
              <w:numPr>
                <w:ilvl w:val="0"/>
                <w:numId w:val="0"/>
              </w:numPr>
              <w:spacing w:before="93" w:after="93" w:line="240" w:lineRule="auto"/>
              <w:ind w:right="-197"/>
              <w:jc w:val="center"/>
              <w:rPr>
                <w:sz w:val="28"/>
              </w:rPr>
            </w:pPr>
            <w:r>
              <w:rPr>
                <w:rFonts w:hint="eastAsia"/>
                <w:sz w:val="28"/>
              </w:rPr>
              <w:t xml:space="preserve">     </w:t>
            </w:r>
            <w:r>
              <w:rPr>
                <w:rFonts w:hint="eastAsia"/>
                <w:sz w:val="28"/>
                <w:lang w:val="en-US" w:eastAsia="zh-CN"/>
              </w:rPr>
              <w:t>Design</w:t>
            </w:r>
            <w:r>
              <w:rPr>
                <w:rFonts w:hint="eastAsia"/>
                <w:sz w:val="28"/>
              </w:rPr>
              <w:t xml:space="preserve"> </w:t>
            </w:r>
            <w:r>
              <w:rPr>
                <w:rFonts w:hint="eastAsia"/>
                <w:sz w:val="28"/>
                <w:lang w:val="en-US" w:eastAsia="zh-CN"/>
              </w:rPr>
              <w:t>Standard</w:t>
            </w:r>
            <w:r>
              <w:rPr>
                <w:rFonts w:hint="eastAsia"/>
                <w:sz w:val="28"/>
              </w:rPr>
              <w:t xml:space="preserve"> for residential buildings</w:t>
            </w:r>
          </w:p>
          <w:p w14:paraId="041BD5E7">
            <w:pPr>
              <w:snapToGrid w:val="0"/>
              <w:spacing w:line="240" w:lineRule="auto"/>
              <w:ind w:firstLine="560"/>
              <w:jc w:val="center"/>
              <w:rPr>
                <w:rFonts w:ascii="Cambria" w:hAnsi="Cambria"/>
                <w:bCs/>
                <w:sz w:val="28"/>
                <w:szCs w:val="28"/>
              </w:rPr>
            </w:pPr>
          </w:p>
          <w:p w14:paraId="3AE9B850">
            <w:pPr>
              <w:spacing w:line="240" w:lineRule="auto"/>
              <w:ind w:firstLine="562"/>
              <w:jc w:val="center"/>
              <w:rPr>
                <w:rFonts w:ascii="Cambria" w:hAnsi="Cambria"/>
                <w:b/>
                <w:bCs/>
                <w:sz w:val="28"/>
                <w:szCs w:val="28"/>
              </w:rPr>
            </w:pPr>
            <w:r>
              <w:rPr>
                <w:rFonts w:hint="eastAsia" w:ascii="黑体" w:hAnsi="黑体" w:eastAsia="黑体" w:cs="黑体"/>
                <w:b/>
                <w:bCs/>
                <w:sz w:val="32"/>
                <w:szCs w:val="32"/>
              </w:rPr>
              <w:t>（征求意见稿）</w:t>
            </w:r>
          </w:p>
        </w:tc>
      </w:tr>
      <w:tr w14:paraId="4A923719">
        <w:tblPrEx>
          <w:tblCellMar>
            <w:top w:w="0" w:type="dxa"/>
            <w:left w:w="108" w:type="dxa"/>
            <w:bottom w:w="0" w:type="dxa"/>
            <w:right w:w="108" w:type="dxa"/>
          </w:tblCellMar>
        </w:tblPrEx>
        <w:trPr>
          <w:jc w:val="center"/>
        </w:trPr>
        <w:tc>
          <w:tcPr>
            <w:tcW w:w="9136" w:type="dxa"/>
          </w:tcPr>
          <w:p w14:paraId="3A1BDC8A">
            <w:pPr>
              <w:ind w:firstLine="480"/>
            </w:pPr>
          </w:p>
          <w:p w14:paraId="59E85F97">
            <w:pPr>
              <w:ind w:firstLine="480"/>
            </w:pPr>
          </w:p>
          <w:p w14:paraId="42A80C4E">
            <w:pPr>
              <w:ind w:firstLine="480"/>
            </w:pPr>
          </w:p>
          <w:p w14:paraId="43ECEE1E">
            <w:pPr>
              <w:ind w:firstLine="480"/>
            </w:pPr>
          </w:p>
          <w:p w14:paraId="7377D04F">
            <w:pPr>
              <w:ind w:firstLine="480"/>
            </w:pPr>
          </w:p>
          <w:p w14:paraId="567F579D">
            <w:pPr>
              <w:ind w:firstLine="480"/>
            </w:pPr>
          </w:p>
          <w:p w14:paraId="6E51180B">
            <w:pPr>
              <w:ind w:firstLine="480"/>
            </w:pPr>
          </w:p>
          <w:p w14:paraId="3814616C">
            <w:pPr>
              <w:ind w:firstLine="480"/>
            </w:pPr>
          </w:p>
          <w:p w14:paraId="00EA36CB">
            <w:pPr>
              <w:ind w:firstLine="480"/>
            </w:pPr>
          </w:p>
          <w:p w14:paraId="3444B2F5">
            <w:pPr>
              <w:ind w:firstLine="480"/>
            </w:pPr>
          </w:p>
        </w:tc>
      </w:tr>
      <w:tr w14:paraId="6F36C60B">
        <w:tblPrEx>
          <w:tblCellMar>
            <w:top w:w="0" w:type="dxa"/>
            <w:left w:w="108" w:type="dxa"/>
            <w:bottom w:w="0" w:type="dxa"/>
            <w:right w:w="108" w:type="dxa"/>
          </w:tblCellMar>
        </w:tblPrEx>
        <w:trPr>
          <w:jc w:val="center"/>
        </w:trPr>
        <w:tc>
          <w:tcPr>
            <w:tcW w:w="9136" w:type="dxa"/>
            <w:tcBorders>
              <w:bottom w:val="single" w:color="auto" w:sz="8" w:space="0"/>
            </w:tcBorders>
            <w:tcMar>
              <w:left w:w="0" w:type="dxa"/>
              <w:right w:w="0" w:type="dxa"/>
            </w:tcMar>
          </w:tcPr>
          <w:p w14:paraId="6658941B">
            <w:pPr>
              <w:snapToGrid w:val="0"/>
              <w:ind w:right="-48" w:rightChars="-20" w:firstLine="0" w:firstLineChars="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 xml:space="preserve">202x-00-00发布              </w:t>
            </w:r>
            <w:r>
              <w:rPr>
                <w:rFonts w:hint="eastAsia" w:ascii="方正黑体_GBK" w:hAnsi="方正黑体_GBK" w:eastAsia="方正黑体_GBK" w:cs="方正黑体_GBK"/>
                <w:sz w:val="32"/>
                <w:szCs w:val="32"/>
                <w:lang w:val="en-US" w:eastAsia="zh-CN"/>
              </w:rPr>
              <w:t xml:space="preserve"> </w:t>
            </w:r>
            <w:r>
              <w:rPr>
                <w:rFonts w:hint="eastAsia" w:ascii="方正黑体_GBK" w:hAnsi="方正黑体_GBK" w:eastAsia="方正黑体_GBK" w:cs="方正黑体_GBK"/>
                <w:sz w:val="32"/>
                <w:szCs w:val="32"/>
              </w:rPr>
              <w:t xml:space="preserve">           202x-01-01实施</w:t>
            </w:r>
          </w:p>
        </w:tc>
      </w:tr>
      <w:tr w14:paraId="1FE27B5B">
        <w:tblPrEx>
          <w:tblCellMar>
            <w:top w:w="0" w:type="dxa"/>
            <w:left w:w="108" w:type="dxa"/>
            <w:bottom w:w="0" w:type="dxa"/>
            <w:right w:w="108" w:type="dxa"/>
          </w:tblCellMar>
        </w:tblPrEx>
        <w:trPr>
          <w:trHeight w:val="98" w:hRule="atLeast"/>
          <w:jc w:val="center"/>
        </w:trPr>
        <w:tc>
          <w:tcPr>
            <w:tcW w:w="9136" w:type="dxa"/>
            <w:tcBorders>
              <w:top w:val="single" w:color="auto" w:sz="8" w:space="0"/>
            </w:tcBorders>
            <w:tcMar>
              <w:left w:w="0" w:type="dxa"/>
              <w:right w:w="0" w:type="dxa"/>
            </w:tcMar>
          </w:tcPr>
          <w:tbl>
            <w:tblPr>
              <w:tblStyle w:val="30"/>
              <w:tblpPr w:leftFromText="180" w:rightFromText="180" w:vertAnchor="text" w:horzAnchor="margin" w:tblpXSpec="center" w:tblpY="416"/>
              <w:tblOverlap w:val="never"/>
              <w:tblW w:w="774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1"/>
              <w:gridCol w:w="2780"/>
            </w:tblGrid>
            <w:tr w14:paraId="3497D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61" w:type="dxa"/>
                </w:tcPr>
                <w:p w14:paraId="235885F7">
                  <w:pPr>
                    <w:tabs>
                      <w:tab w:val="left" w:pos="1211"/>
                    </w:tabs>
                    <w:spacing w:line="440" w:lineRule="exact"/>
                    <w:ind w:firstLine="0" w:firstLineChars="0"/>
                    <w:jc w:val="distribute"/>
                    <w:rPr>
                      <w:rFonts w:hint="eastAsia" w:ascii="方正黑体_GBK" w:hAnsi="方正黑体_GBK" w:eastAsia="方正黑体_GBK" w:cs="方正黑体_GBK"/>
                      <w:kern w:val="0"/>
                      <w:sz w:val="36"/>
                      <w:szCs w:val="36"/>
                    </w:rPr>
                  </w:pPr>
                  <w:r>
                    <w:rPr>
                      <w:rFonts w:hint="eastAsia" w:ascii="方正黑体_GBK" w:hAnsi="方正黑体_GBK" w:eastAsia="方正黑体_GBK" w:cs="方正黑体_GBK"/>
                      <w:kern w:val="0"/>
                      <w:sz w:val="36"/>
                      <w:szCs w:val="36"/>
                    </w:rPr>
                    <w:t>北京市规划和自然资源委员会</w:t>
                  </w:r>
                </w:p>
              </w:tc>
              <w:tc>
                <w:tcPr>
                  <w:tcW w:w="2780" w:type="dxa"/>
                  <w:vMerge w:val="restart"/>
                  <w:vAlign w:val="center"/>
                </w:tcPr>
                <w:p w14:paraId="161812D9">
                  <w:pPr>
                    <w:tabs>
                      <w:tab w:val="left" w:pos="1211"/>
                    </w:tabs>
                    <w:spacing w:line="440" w:lineRule="exact"/>
                    <w:ind w:firstLine="0" w:firstLineChars="0"/>
                    <w:jc w:val="center"/>
                    <w:rPr>
                      <w:rFonts w:hint="eastAsia" w:ascii="方正黑体_GBK" w:hAnsi="方正黑体_GBK" w:eastAsia="方正黑体_GBK" w:cs="方正黑体_GBK"/>
                      <w:kern w:val="0"/>
                      <w:sz w:val="36"/>
                      <w:szCs w:val="36"/>
                    </w:rPr>
                  </w:pPr>
                  <w:r>
                    <w:rPr>
                      <w:rFonts w:hint="eastAsia" w:ascii="方正黑体_GBK" w:hAnsi="方正黑体_GBK" w:eastAsia="方正黑体_GBK" w:cs="方正黑体_GBK"/>
                      <w:sz w:val="36"/>
                      <w:szCs w:val="36"/>
                    </w:rPr>
                    <w:t>联合发布</w:t>
                  </w:r>
                </w:p>
              </w:tc>
            </w:tr>
            <w:tr w14:paraId="1B97C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61" w:type="dxa"/>
                </w:tcPr>
                <w:p w14:paraId="405BDBF6">
                  <w:pPr>
                    <w:tabs>
                      <w:tab w:val="left" w:pos="1211"/>
                    </w:tabs>
                    <w:spacing w:line="440" w:lineRule="exact"/>
                    <w:ind w:firstLine="0" w:firstLineChars="0"/>
                    <w:jc w:val="distribute"/>
                    <w:rPr>
                      <w:rFonts w:hint="eastAsia" w:ascii="方正黑体_GBK" w:hAnsi="方正黑体_GBK" w:eastAsia="方正黑体_GBK" w:cs="方正黑体_GBK"/>
                      <w:kern w:val="0"/>
                      <w:sz w:val="36"/>
                      <w:szCs w:val="36"/>
                    </w:rPr>
                  </w:pPr>
                  <w:r>
                    <w:rPr>
                      <w:rFonts w:hint="eastAsia" w:ascii="方正黑体_GBK" w:hAnsi="方正黑体_GBK" w:eastAsia="方正黑体_GBK" w:cs="方正黑体_GBK"/>
                      <w:kern w:val="0"/>
                      <w:sz w:val="36"/>
                      <w:szCs w:val="36"/>
                    </w:rPr>
                    <w:t>北京市市场监督管理局</w:t>
                  </w:r>
                </w:p>
              </w:tc>
              <w:tc>
                <w:tcPr>
                  <w:tcW w:w="2780" w:type="dxa"/>
                  <w:vMerge w:val="continue"/>
                </w:tcPr>
                <w:p w14:paraId="1F12496E">
                  <w:pPr>
                    <w:tabs>
                      <w:tab w:val="left" w:pos="1211"/>
                    </w:tabs>
                    <w:spacing w:line="440" w:lineRule="exact"/>
                    <w:ind w:firstLine="0" w:firstLineChars="0"/>
                    <w:jc w:val="right"/>
                    <w:rPr>
                      <w:rFonts w:hint="eastAsia" w:ascii="方正黑体_GBK" w:hAnsi="方正黑体_GBK" w:eastAsia="方正黑体_GBK" w:cs="方正黑体_GBK"/>
                      <w:kern w:val="0"/>
                      <w:sz w:val="36"/>
                      <w:szCs w:val="36"/>
                    </w:rPr>
                  </w:pPr>
                </w:p>
              </w:tc>
            </w:tr>
          </w:tbl>
          <w:p w14:paraId="296196CA">
            <w:pPr>
              <w:snapToGrid w:val="0"/>
              <w:spacing w:line="140" w:lineRule="exact"/>
              <w:ind w:firstLine="560"/>
              <w:jc w:val="center"/>
              <w:rPr>
                <w:rFonts w:hint="eastAsia" w:ascii="方正黑体_GBK" w:hAnsi="方正黑体_GBK" w:eastAsia="方正黑体_GBK" w:cs="方正黑体_GBK"/>
                <w:sz w:val="28"/>
              </w:rPr>
            </w:pPr>
          </w:p>
        </w:tc>
      </w:t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tbl>
    <w:p w14:paraId="0D3CF713">
      <w:pPr>
        <w:spacing w:line="480" w:lineRule="auto"/>
        <w:ind w:firstLine="0" w:firstLineChars="0"/>
        <w:jc w:val="center"/>
        <w:rPr>
          <w:rFonts w:hint="eastAsia"/>
          <w:b/>
          <w:bCs/>
          <w:kern w:val="44"/>
          <w:sz w:val="36"/>
          <w:szCs w:val="44"/>
        </w:rPr>
        <w:sectPr>
          <w:headerReference r:id="rId7" w:type="first"/>
          <w:footerReference r:id="rId10" w:type="first"/>
          <w:headerReference r:id="rId5" w:type="default"/>
          <w:footerReference r:id="rId8" w:type="default"/>
          <w:headerReference r:id="rId6" w:type="even"/>
          <w:footerReference r:id="rId9" w:type="even"/>
          <w:pgSz w:w="11906" w:h="16838"/>
          <w:pgMar w:top="1276" w:right="1800" w:bottom="1276" w:left="1800" w:header="851" w:footer="992" w:gutter="0"/>
          <w:pgNumType w:start="1"/>
          <w:cols w:space="720" w:num="1"/>
          <w:docGrid w:type="lines" w:linePitch="312" w:charSpace="0"/>
        </w:sectPr>
      </w:pPr>
    </w:p>
    <w:p w14:paraId="15FB8BC4">
      <w:pPr>
        <w:keepNext w:val="0"/>
        <w:keepLines w:val="0"/>
        <w:widowControl/>
        <w:suppressLineNumbers w:val="0"/>
        <w:jc w:val="center"/>
        <w:rPr>
          <w:rFonts w:ascii="黑体" w:hAnsi="宋体" w:eastAsia="黑体" w:cs="黑体"/>
          <w:color w:val="000000"/>
          <w:kern w:val="0"/>
          <w:sz w:val="31"/>
          <w:szCs w:val="31"/>
          <w:lang w:val="en-US" w:eastAsia="zh-CN" w:bidi="ar"/>
        </w:rPr>
      </w:pPr>
    </w:p>
    <w:p w14:paraId="5662F4B8">
      <w:pPr>
        <w:keepNext w:val="0"/>
        <w:keepLines w:val="0"/>
        <w:widowControl/>
        <w:suppressLineNumbers w:val="0"/>
        <w:ind w:firstLine="0" w:firstLineChars="0"/>
        <w:jc w:val="center"/>
      </w:pPr>
      <w:r>
        <w:rPr>
          <w:rFonts w:ascii="黑体" w:hAnsi="宋体" w:eastAsia="黑体" w:cs="黑体"/>
          <w:color w:val="000000"/>
          <w:kern w:val="0"/>
          <w:sz w:val="31"/>
          <w:szCs w:val="31"/>
          <w:lang w:val="en-US" w:eastAsia="zh-CN" w:bidi="ar"/>
        </w:rPr>
        <w:t>北</w:t>
      </w:r>
      <w:r>
        <w:rPr>
          <w:rFonts w:hint="eastAsia" w:ascii="黑体" w:hAnsi="宋体" w:eastAsia="黑体" w:cs="黑体"/>
          <w:color w:val="000000"/>
          <w:kern w:val="0"/>
          <w:sz w:val="31"/>
          <w:szCs w:val="31"/>
          <w:lang w:val="en-US" w:eastAsia="zh-CN" w:bidi="ar"/>
        </w:rPr>
        <w:t xml:space="preserve"> </w:t>
      </w:r>
      <w:r>
        <w:rPr>
          <w:rFonts w:ascii="黑体" w:hAnsi="宋体" w:eastAsia="黑体" w:cs="黑体"/>
          <w:color w:val="000000"/>
          <w:kern w:val="0"/>
          <w:sz w:val="31"/>
          <w:szCs w:val="31"/>
          <w:lang w:val="en-US" w:eastAsia="zh-CN" w:bidi="ar"/>
        </w:rPr>
        <w:t>京</w:t>
      </w:r>
      <w:r>
        <w:rPr>
          <w:rFonts w:hint="eastAsia" w:ascii="黑体" w:hAnsi="宋体" w:eastAsia="黑体" w:cs="黑体"/>
          <w:color w:val="000000"/>
          <w:kern w:val="0"/>
          <w:sz w:val="31"/>
          <w:szCs w:val="31"/>
          <w:lang w:val="en-US" w:eastAsia="zh-CN" w:bidi="ar"/>
        </w:rPr>
        <w:t xml:space="preserve"> </w:t>
      </w:r>
      <w:r>
        <w:rPr>
          <w:rFonts w:ascii="黑体" w:hAnsi="宋体" w:eastAsia="黑体" w:cs="黑体"/>
          <w:color w:val="000000"/>
          <w:kern w:val="0"/>
          <w:sz w:val="31"/>
          <w:szCs w:val="31"/>
          <w:lang w:val="en-US" w:eastAsia="zh-CN" w:bidi="ar"/>
        </w:rPr>
        <w:t>市</w:t>
      </w:r>
      <w:r>
        <w:rPr>
          <w:rFonts w:hint="eastAsia" w:ascii="黑体" w:hAnsi="宋体" w:eastAsia="黑体" w:cs="黑体"/>
          <w:color w:val="000000"/>
          <w:kern w:val="0"/>
          <w:sz w:val="31"/>
          <w:szCs w:val="31"/>
          <w:lang w:val="en-US" w:eastAsia="zh-CN" w:bidi="ar"/>
        </w:rPr>
        <w:t xml:space="preserve"> </w:t>
      </w:r>
      <w:r>
        <w:rPr>
          <w:rFonts w:ascii="黑体" w:hAnsi="宋体" w:eastAsia="黑体" w:cs="黑体"/>
          <w:color w:val="000000"/>
          <w:kern w:val="0"/>
          <w:sz w:val="31"/>
          <w:szCs w:val="31"/>
          <w:lang w:val="en-US" w:eastAsia="zh-CN" w:bidi="ar"/>
        </w:rPr>
        <w:t>地</w:t>
      </w:r>
      <w:r>
        <w:rPr>
          <w:rFonts w:hint="eastAsia" w:ascii="黑体" w:hAnsi="宋体" w:eastAsia="黑体" w:cs="黑体"/>
          <w:color w:val="000000"/>
          <w:kern w:val="0"/>
          <w:sz w:val="31"/>
          <w:szCs w:val="31"/>
          <w:lang w:val="en-US" w:eastAsia="zh-CN" w:bidi="ar"/>
        </w:rPr>
        <w:t xml:space="preserve"> </w:t>
      </w:r>
      <w:r>
        <w:rPr>
          <w:rFonts w:ascii="黑体" w:hAnsi="宋体" w:eastAsia="黑体" w:cs="黑体"/>
          <w:color w:val="000000"/>
          <w:kern w:val="0"/>
          <w:sz w:val="31"/>
          <w:szCs w:val="31"/>
          <w:lang w:val="en-US" w:eastAsia="zh-CN" w:bidi="ar"/>
        </w:rPr>
        <w:t>方</w:t>
      </w:r>
      <w:r>
        <w:rPr>
          <w:rFonts w:hint="eastAsia" w:ascii="黑体" w:hAnsi="宋体" w:eastAsia="黑体" w:cs="黑体"/>
          <w:color w:val="000000"/>
          <w:kern w:val="0"/>
          <w:sz w:val="31"/>
          <w:szCs w:val="31"/>
          <w:lang w:val="en-US" w:eastAsia="zh-CN" w:bidi="ar"/>
        </w:rPr>
        <w:t xml:space="preserve"> </w:t>
      </w:r>
      <w:r>
        <w:rPr>
          <w:rFonts w:ascii="黑体" w:hAnsi="宋体" w:eastAsia="黑体" w:cs="黑体"/>
          <w:color w:val="000000"/>
          <w:kern w:val="0"/>
          <w:sz w:val="31"/>
          <w:szCs w:val="31"/>
          <w:lang w:val="en-US" w:eastAsia="zh-CN" w:bidi="ar"/>
        </w:rPr>
        <w:t>标</w:t>
      </w:r>
      <w:r>
        <w:rPr>
          <w:rFonts w:hint="eastAsia" w:ascii="黑体" w:hAnsi="宋体" w:eastAsia="黑体" w:cs="黑体"/>
          <w:color w:val="000000"/>
          <w:kern w:val="0"/>
          <w:sz w:val="31"/>
          <w:szCs w:val="31"/>
          <w:lang w:val="en-US" w:eastAsia="zh-CN" w:bidi="ar"/>
        </w:rPr>
        <w:t xml:space="preserve"> </w:t>
      </w:r>
      <w:r>
        <w:rPr>
          <w:rFonts w:ascii="黑体" w:hAnsi="宋体" w:eastAsia="黑体" w:cs="黑体"/>
          <w:color w:val="000000"/>
          <w:kern w:val="0"/>
          <w:sz w:val="31"/>
          <w:szCs w:val="31"/>
          <w:lang w:val="en-US" w:eastAsia="zh-CN" w:bidi="ar"/>
        </w:rPr>
        <w:t>准</w:t>
      </w:r>
    </w:p>
    <w:p w14:paraId="251F4AFF">
      <w:pPr>
        <w:spacing w:line="480" w:lineRule="auto"/>
        <w:ind w:firstLine="0" w:firstLineChars="0"/>
        <w:jc w:val="center"/>
        <w:rPr>
          <w:rFonts w:hint="eastAsia"/>
          <w:b/>
          <w:bCs/>
          <w:kern w:val="44"/>
          <w:sz w:val="36"/>
          <w:szCs w:val="44"/>
        </w:rPr>
      </w:pPr>
    </w:p>
    <w:p w14:paraId="58946BC5">
      <w:pPr>
        <w:spacing w:line="480" w:lineRule="auto"/>
        <w:ind w:firstLine="0" w:firstLineChars="0"/>
        <w:jc w:val="center"/>
        <w:rPr>
          <w:rFonts w:hint="eastAsia"/>
          <w:b/>
          <w:bCs/>
          <w:kern w:val="44"/>
          <w:sz w:val="36"/>
          <w:szCs w:val="44"/>
        </w:rPr>
      </w:pPr>
    </w:p>
    <w:p w14:paraId="28CD3648">
      <w:pPr>
        <w:widowControl/>
        <w:adjustRightInd/>
        <w:spacing w:line="240" w:lineRule="auto"/>
        <w:ind w:firstLine="0" w:firstLineChars="0"/>
        <w:jc w:val="center"/>
        <w:rPr>
          <w:rFonts w:hint="eastAsia" w:ascii="黑体" w:hAnsi="黑体" w:eastAsia="黑体" w:cs="黑体"/>
          <w:b/>
          <w:bCs/>
          <w:kern w:val="44"/>
          <w:sz w:val="44"/>
          <w:szCs w:val="44"/>
          <w:lang w:val="en-US" w:eastAsia="zh-CN"/>
        </w:rPr>
      </w:pPr>
      <w:r>
        <w:rPr>
          <w:rFonts w:hint="eastAsia" w:ascii="黑体" w:hAnsi="黑体" w:eastAsia="黑体" w:cs="黑体"/>
          <w:b/>
          <w:bCs/>
          <w:kern w:val="44"/>
          <w:sz w:val="44"/>
          <w:szCs w:val="44"/>
          <w:lang w:val="en-US" w:eastAsia="zh-CN"/>
        </w:rPr>
        <w:t>住宅设计标准</w:t>
      </w:r>
    </w:p>
    <w:p w14:paraId="35029B90">
      <w:pPr>
        <w:spacing w:line="480" w:lineRule="auto"/>
        <w:ind w:firstLine="0" w:firstLineChars="0"/>
        <w:jc w:val="center"/>
        <w:rPr>
          <w:rFonts w:hint="eastAsia"/>
          <w:sz w:val="28"/>
        </w:rPr>
      </w:pPr>
      <w:r>
        <w:rPr>
          <w:rFonts w:hint="eastAsia"/>
          <w:sz w:val="28"/>
          <w:lang w:val="en-US" w:eastAsia="zh-CN"/>
        </w:rPr>
        <w:t>Design</w:t>
      </w:r>
      <w:r>
        <w:rPr>
          <w:rFonts w:hint="eastAsia"/>
          <w:sz w:val="28"/>
        </w:rPr>
        <w:t xml:space="preserve"> </w:t>
      </w:r>
      <w:r>
        <w:rPr>
          <w:rFonts w:hint="eastAsia"/>
          <w:sz w:val="28"/>
          <w:lang w:val="en-US" w:eastAsia="zh-CN"/>
        </w:rPr>
        <w:t>Standard</w:t>
      </w:r>
      <w:r>
        <w:rPr>
          <w:rFonts w:hint="eastAsia"/>
          <w:sz w:val="28"/>
        </w:rPr>
        <w:t xml:space="preserve"> for residential buildings</w:t>
      </w:r>
    </w:p>
    <w:p w14:paraId="50367A5B">
      <w:pPr>
        <w:spacing w:line="480" w:lineRule="auto"/>
        <w:ind w:firstLine="0" w:firstLineChars="0"/>
        <w:jc w:val="center"/>
        <w:rPr>
          <w:rFonts w:hint="eastAsia"/>
          <w:sz w:val="28"/>
          <w:lang w:val="en-US" w:eastAsia="zh-CN"/>
        </w:rPr>
      </w:pPr>
      <w:r>
        <w:rPr>
          <w:rFonts w:hint="eastAsia"/>
          <w:sz w:val="28"/>
          <w:lang w:val="en-US" w:eastAsia="zh-CN"/>
        </w:rPr>
        <w:t>DB11/ 1740——202X</w:t>
      </w:r>
    </w:p>
    <w:p w14:paraId="2CFFF23B">
      <w:pPr>
        <w:spacing w:line="480" w:lineRule="auto"/>
        <w:ind w:firstLine="0" w:firstLineChars="0"/>
        <w:jc w:val="center"/>
        <w:rPr>
          <w:rFonts w:hint="eastAsia"/>
          <w:sz w:val="28"/>
          <w:lang w:val="en-US" w:eastAsia="zh-CN"/>
        </w:rPr>
      </w:pPr>
    </w:p>
    <w:p w14:paraId="61077B1B">
      <w:pPr>
        <w:spacing w:line="480" w:lineRule="auto"/>
        <w:ind w:firstLine="0" w:firstLineChars="0"/>
        <w:jc w:val="center"/>
        <w:rPr>
          <w:rFonts w:hint="eastAsia"/>
          <w:sz w:val="28"/>
          <w:lang w:val="en-US" w:eastAsia="zh-CN"/>
        </w:rPr>
      </w:pPr>
    </w:p>
    <w:p w14:paraId="06C3EDDA">
      <w:pPr>
        <w:spacing w:line="480" w:lineRule="auto"/>
        <w:ind w:firstLine="0" w:firstLineChars="0"/>
        <w:jc w:val="center"/>
        <w:rPr>
          <w:rFonts w:hint="eastAsia"/>
          <w:sz w:val="28"/>
          <w:lang w:val="en-US" w:eastAsia="zh-CN"/>
        </w:rPr>
      </w:pPr>
    </w:p>
    <w:p w14:paraId="42F1FDBC">
      <w:pPr>
        <w:spacing w:line="480" w:lineRule="auto"/>
        <w:ind w:firstLine="0" w:firstLineChars="0"/>
        <w:jc w:val="center"/>
        <w:rPr>
          <w:rFonts w:hint="eastAsia"/>
          <w:sz w:val="28"/>
          <w:lang w:val="en-US" w:eastAsia="zh-CN"/>
        </w:rPr>
      </w:pPr>
      <w:r>
        <w:rPr>
          <w:rFonts w:hint="eastAsia"/>
          <w:sz w:val="28"/>
          <w:lang w:val="en-US" w:eastAsia="zh-CN"/>
        </w:rPr>
        <w:t>主编单位：北京市建筑设计研究院股份有限公司</w:t>
      </w:r>
    </w:p>
    <w:p w14:paraId="79868F88">
      <w:pPr>
        <w:spacing w:line="480" w:lineRule="auto"/>
        <w:ind w:firstLine="1198" w:firstLineChars="428"/>
        <w:jc w:val="both"/>
        <w:rPr>
          <w:rFonts w:hint="eastAsia"/>
          <w:sz w:val="28"/>
          <w:lang w:val="en-US" w:eastAsia="zh-CN"/>
        </w:rPr>
      </w:pPr>
      <w:r>
        <w:rPr>
          <w:rFonts w:hint="eastAsia"/>
          <w:sz w:val="28"/>
          <w:lang w:val="en-US" w:eastAsia="zh-CN"/>
        </w:rPr>
        <w:t>批准部门：北京市规划和自然资源委员会</w:t>
      </w:r>
    </w:p>
    <w:p w14:paraId="394C9004">
      <w:pPr>
        <w:spacing w:line="480" w:lineRule="auto"/>
        <w:ind w:firstLine="2637" w:firstLineChars="942"/>
        <w:jc w:val="both"/>
        <w:rPr>
          <w:rFonts w:hint="eastAsia"/>
          <w:sz w:val="28"/>
          <w:lang w:val="en-US" w:eastAsia="zh-CN"/>
        </w:rPr>
      </w:pPr>
      <w:r>
        <w:rPr>
          <w:rFonts w:hint="eastAsia"/>
          <w:sz w:val="28"/>
          <w:lang w:val="en-US" w:eastAsia="zh-CN"/>
        </w:rPr>
        <w:t>北京市市场监督管理局</w:t>
      </w:r>
    </w:p>
    <w:p w14:paraId="47066DC5">
      <w:pPr>
        <w:spacing w:line="480" w:lineRule="auto"/>
        <w:ind w:firstLine="1198" w:firstLineChars="428"/>
        <w:jc w:val="both"/>
        <w:rPr>
          <w:rFonts w:hint="eastAsia"/>
          <w:sz w:val="28"/>
          <w:lang w:val="en-US" w:eastAsia="zh-CN"/>
        </w:rPr>
      </w:pPr>
      <w:r>
        <w:rPr>
          <w:rFonts w:hint="eastAsia"/>
          <w:sz w:val="28"/>
          <w:lang w:val="en-US" w:eastAsia="zh-CN"/>
        </w:rPr>
        <w:t>实施日期：202x年xx月xx日</w:t>
      </w:r>
    </w:p>
    <w:p w14:paraId="7669FB1B">
      <w:pPr>
        <w:spacing w:line="480" w:lineRule="auto"/>
        <w:ind w:firstLine="0" w:firstLineChars="0"/>
        <w:jc w:val="center"/>
        <w:rPr>
          <w:rFonts w:hint="eastAsia"/>
          <w:sz w:val="28"/>
          <w:lang w:val="en-US" w:eastAsia="zh-CN"/>
        </w:rPr>
      </w:pPr>
    </w:p>
    <w:p w14:paraId="31DF8CA1">
      <w:pPr>
        <w:spacing w:line="480" w:lineRule="auto"/>
        <w:ind w:firstLine="0" w:firstLineChars="0"/>
        <w:jc w:val="center"/>
        <w:rPr>
          <w:rFonts w:hint="eastAsia"/>
          <w:sz w:val="28"/>
          <w:lang w:val="en-US" w:eastAsia="zh-CN"/>
        </w:rPr>
      </w:pPr>
    </w:p>
    <w:p w14:paraId="5AC5A04F">
      <w:pPr>
        <w:spacing w:line="480" w:lineRule="auto"/>
        <w:ind w:firstLine="0" w:firstLineChars="0"/>
        <w:jc w:val="center"/>
        <w:rPr>
          <w:rFonts w:hint="eastAsia"/>
          <w:sz w:val="28"/>
          <w:lang w:val="en-US" w:eastAsia="zh-CN"/>
        </w:rPr>
      </w:pPr>
    </w:p>
    <w:p w14:paraId="6E741F13">
      <w:pPr>
        <w:spacing w:line="480" w:lineRule="auto"/>
        <w:ind w:firstLine="0" w:firstLineChars="0"/>
        <w:jc w:val="center"/>
        <w:rPr>
          <w:rFonts w:hint="eastAsia"/>
          <w:sz w:val="28"/>
          <w:lang w:val="en-US" w:eastAsia="zh-CN"/>
        </w:rPr>
      </w:pPr>
    </w:p>
    <w:p w14:paraId="5EE9C33E">
      <w:pPr>
        <w:spacing w:line="480" w:lineRule="auto"/>
        <w:ind w:firstLine="0" w:firstLineChars="0"/>
        <w:jc w:val="center"/>
        <w:rPr>
          <w:rFonts w:hint="eastAsia"/>
          <w:sz w:val="28"/>
          <w:lang w:val="en-US" w:eastAsia="zh-CN"/>
        </w:rPr>
      </w:pPr>
    </w:p>
    <w:p w14:paraId="61B11060">
      <w:pPr>
        <w:spacing w:line="480" w:lineRule="auto"/>
        <w:ind w:firstLine="0" w:firstLineChars="0"/>
        <w:jc w:val="center"/>
        <w:rPr>
          <w:rFonts w:hint="eastAsia"/>
          <w:sz w:val="28"/>
          <w:lang w:val="en-US" w:eastAsia="zh-CN"/>
        </w:rPr>
      </w:pPr>
    </w:p>
    <w:p w14:paraId="0DE15254">
      <w:pPr>
        <w:spacing w:line="480" w:lineRule="auto"/>
        <w:ind w:firstLine="0" w:firstLineChars="0"/>
        <w:jc w:val="center"/>
        <w:rPr>
          <w:rFonts w:hint="eastAsia"/>
          <w:sz w:val="28"/>
          <w:lang w:val="en-US" w:eastAsia="zh-CN"/>
        </w:rPr>
      </w:pPr>
      <w:r>
        <w:rPr>
          <w:rFonts w:hint="eastAsia"/>
          <w:sz w:val="28"/>
          <w:lang w:val="en-US" w:eastAsia="zh-CN"/>
        </w:rPr>
        <w:t>202x   北京</w:t>
      </w:r>
    </w:p>
    <w:p w14:paraId="60A17B90">
      <w:pPr>
        <w:spacing w:line="480" w:lineRule="auto"/>
        <w:ind w:firstLine="0" w:firstLineChars="0"/>
        <w:jc w:val="both"/>
        <w:rPr>
          <w:rFonts w:hint="default"/>
          <w:sz w:val="28"/>
          <w:lang w:val="en-US" w:eastAsia="zh-CN"/>
        </w:rPr>
        <w:sectPr>
          <w:pgSz w:w="11906" w:h="16838"/>
          <w:pgMar w:top="1276" w:right="1800" w:bottom="1276" w:left="1800" w:header="851" w:footer="992" w:gutter="0"/>
          <w:pgNumType w:start="1"/>
          <w:cols w:space="720" w:num="1"/>
          <w:docGrid w:type="lines" w:linePitch="312" w:charSpace="0"/>
        </w:sectPr>
      </w:pPr>
    </w:p>
    <w:p w14:paraId="4EA31FD5">
      <w:pPr>
        <w:spacing w:line="480" w:lineRule="auto"/>
        <w:ind w:firstLine="0" w:firstLineChars="0"/>
        <w:jc w:val="center"/>
        <w:rPr>
          <w:b/>
          <w:bCs/>
          <w:kern w:val="44"/>
          <w:sz w:val="36"/>
          <w:szCs w:val="44"/>
        </w:rPr>
      </w:pPr>
      <w:r>
        <w:rPr>
          <w:rFonts w:hint="eastAsia"/>
          <w:b/>
          <w:bCs/>
          <w:kern w:val="44"/>
          <w:sz w:val="36"/>
          <w:szCs w:val="44"/>
        </w:rPr>
        <w:t>前</w:t>
      </w:r>
      <w:r>
        <w:rPr>
          <w:rFonts w:hint="eastAsia" w:eastAsia="黑体"/>
          <w:sz w:val="36"/>
          <w:szCs w:val="36"/>
        </w:rPr>
        <w:t xml:space="preserve">  </w:t>
      </w:r>
      <w:r>
        <w:rPr>
          <w:rFonts w:hint="eastAsia"/>
          <w:b/>
          <w:bCs/>
          <w:kern w:val="44"/>
          <w:sz w:val="36"/>
          <w:szCs w:val="44"/>
        </w:rPr>
        <w:t>言</w:t>
      </w:r>
      <w:bookmarkStart w:id="21" w:name="_Toc413940448"/>
      <w:bookmarkStart w:id="22" w:name="_Toc413934929"/>
      <w:bookmarkStart w:id="23" w:name="_Toc403986574"/>
      <w:bookmarkStart w:id="24" w:name="_Toc408836997"/>
      <w:bookmarkStart w:id="25" w:name="_Toc408240462"/>
    </w:p>
    <w:p w14:paraId="63091D0C">
      <w:pPr>
        <w:spacing w:line="480" w:lineRule="auto"/>
        <w:ind w:firstLine="480" w:firstLineChars="0"/>
        <w:jc w:val="center"/>
      </w:pPr>
    </w:p>
    <w:p w14:paraId="6FAC3A0F">
      <w:pPr>
        <w:ind w:firstLine="480"/>
      </w:pPr>
      <w:r>
        <w:rPr>
          <w:rFonts w:hint="eastAsia"/>
        </w:rPr>
        <w:t>为贯彻落实党的二十大精神，推动《北京城市总体规划（2016年</w:t>
      </w:r>
      <w:r>
        <w:rPr>
          <w:rFonts w:hint="eastAsia"/>
          <w:lang w:eastAsia="zh-CN"/>
        </w:rPr>
        <w:t>—</w:t>
      </w:r>
      <w:r>
        <w:rPr>
          <w:rFonts w:hint="eastAsia"/>
        </w:rPr>
        <w:t>2035年）》高质量实施，本标准按照北京市市场监督管理局关于印发《2025年北京市地方标准修订项目计划（第三批）》的通知（京市监函</w:t>
      </w:r>
      <w:r>
        <w:rPr>
          <w:rFonts w:hint="eastAsia"/>
          <w:lang w:eastAsia="zh-CN"/>
        </w:rPr>
        <w:t>〔2025〕85号）</w:t>
      </w:r>
      <w:r>
        <w:rPr>
          <w:rFonts w:hint="eastAsia"/>
        </w:rPr>
        <w:t>的要求，编制组在广泛调查研究、认真总结实践经验、吸取科研成果以及广泛征求意见的基础上，完成本标准的修编工作。</w:t>
      </w:r>
    </w:p>
    <w:p w14:paraId="3D3C5673">
      <w:pPr>
        <w:ind w:firstLine="480"/>
      </w:pPr>
      <w:r>
        <w:rPr>
          <w:rFonts w:hint="eastAsia"/>
        </w:rPr>
        <w:t>本标准共分</w:t>
      </w:r>
      <w:r>
        <w:t>12</w:t>
      </w:r>
      <w:r>
        <w:rPr>
          <w:rFonts w:hint="eastAsia"/>
        </w:rPr>
        <w:t>章，主要内容包括：1. 总则；2. 术语；3. 基本规定；4. 技术经济指标；5. 套内空间；6. 公共空间；7. 住宅设施；8. 室内环境；9. 建筑结构；10. 建筑设备；11. 建筑电气与智能化；12. 管线综合设计。</w:t>
      </w:r>
    </w:p>
    <w:p w14:paraId="4ECD3D23">
      <w:pPr>
        <w:ind w:firstLine="480"/>
      </w:pPr>
      <w:r>
        <w:rPr>
          <w:rFonts w:hint="eastAsia"/>
        </w:rPr>
        <w:t>本标准修订的主要技术内容包括：</w:t>
      </w:r>
    </w:p>
    <w:p w14:paraId="32AF4CDF">
      <w:pPr>
        <w:numPr>
          <w:ilvl w:val="0"/>
          <w:numId w:val="6"/>
        </w:numPr>
        <w:ind w:firstLine="480"/>
      </w:pPr>
      <w:r>
        <w:rPr>
          <w:rFonts w:hint="eastAsia"/>
        </w:rPr>
        <w:t>调整了本标准适用的范围，修改并完善了标准的术语定义。</w:t>
      </w:r>
    </w:p>
    <w:p w14:paraId="0A24C2BC">
      <w:pPr>
        <w:numPr>
          <w:ilvl w:val="0"/>
          <w:numId w:val="6"/>
        </w:numPr>
        <w:ind w:firstLine="480"/>
      </w:pPr>
      <w:r>
        <w:rPr>
          <w:rFonts w:hint="eastAsia"/>
        </w:rPr>
        <w:t>删除了原规范第6章“安全疏散”章节，删除了原规范中与国标《建筑设计防火规范</w:t>
      </w:r>
      <w:r>
        <w:rPr>
          <w:rFonts w:hint="eastAsia"/>
          <w:lang w:eastAsia="zh-CN"/>
        </w:rPr>
        <w:t>》《</w:t>
      </w:r>
      <w:r>
        <w:rPr>
          <w:rFonts w:hint="eastAsia"/>
        </w:rPr>
        <w:t>建筑防火通用规范》一致的相关消防内容。</w:t>
      </w:r>
    </w:p>
    <w:p w14:paraId="3F4F50DB">
      <w:pPr>
        <w:numPr>
          <w:ilvl w:val="0"/>
          <w:numId w:val="6"/>
        </w:numPr>
        <w:ind w:firstLine="480"/>
      </w:pPr>
      <w:r>
        <w:rPr>
          <w:rFonts w:hint="eastAsia"/>
        </w:rPr>
        <w:t>提升了住宅层高标准，以及相应的卧室、起居室（厅）、厨房、卫生间室内净高尺寸。</w:t>
      </w:r>
    </w:p>
    <w:p w14:paraId="60DDC1FD">
      <w:pPr>
        <w:numPr>
          <w:ilvl w:val="0"/>
          <w:numId w:val="6"/>
        </w:numPr>
        <w:ind w:firstLine="480"/>
      </w:pPr>
      <w:r>
        <w:rPr>
          <w:rFonts w:hint="eastAsia"/>
        </w:rPr>
        <w:t>细化了住宅凹口相关尺寸指标。</w:t>
      </w:r>
    </w:p>
    <w:p w14:paraId="3667FE59">
      <w:pPr>
        <w:numPr>
          <w:ilvl w:val="0"/>
          <w:numId w:val="6"/>
        </w:numPr>
        <w:ind w:firstLine="480"/>
      </w:pPr>
      <w:r>
        <w:rPr>
          <w:rFonts w:hint="eastAsia"/>
        </w:rPr>
        <w:t>增加了住宅户门及户内门洞高度。</w:t>
      </w:r>
    </w:p>
    <w:p w14:paraId="4E956456">
      <w:pPr>
        <w:numPr>
          <w:ilvl w:val="0"/>
          <w:numId w:val="6"/>
        </w:numPr>
        <w:ind w:firstLine="480"/>
      </w:pPr>
      <w:r>
        <w:rPr>
          <w:rFonts w:hint="eastAsia"/>
        </w:rPr>
        <w:t>细化了住宅飘窗上开窗设置护栏栏杆的标准。</w:t>
      </w:r>
    </w:p>
    <w:p w14:paraId="5437266F">
      <w:pPr>
        <w:numPr>
          <w:ilvl w:val="0"/>
          <w:numId w:val="6"/>
        </w:numPr>
        <w:ind w:firstLine="480"/>
      </w:pPr>
      <w:r>
        <w:rPr>
          <w:rFonts w:hint="eastAsia"/>
        </w:rPr>
        <w:t>提升了住宅单元门单扇通行宽度尺寸。</w:t>
      </w:r>
    </w:p>
    <w:p w14:paraId="62CA5F71">
      <w:pPr>
        <w:numPr>
          <w:ilvl w:val="0"/>
          <w:numId w:val="6"/>
        </w:numPr>
        <w:ind w:firstLine="480"/>
      </w:pPr>
      <w:r>
        <w:rPr>
          <w:rFonts w:hint="eastAsia"/>
        </w:rPr>
        <w:t>补充了住宅卫生间地面材料防滑地面静摩擦系数（COF）不应小于0.6。</w:t>
      </w:r>
    </w:p>
    <w:p w14:paraId="08BC5A34">
      <w:pPr>
        <w:numPr>
          <w:ilvl w:val="0"/>
          <w:numId w:val="6"/>
        </w:numPr>
        <w:ind w:firstLine="480"/>
      </w:pPr>
      <w:r>
        <w:rPr>
          <w:rFonts w:hint="eastAsia"/>
        </w:rPr>
        <w:t>明确住宅套型内设有两个及以上卧室且仅设置一个卫生间时，洗面器与便器应分别布置在不同空间。</w:t>
      </w:r>
    </w:p>
    <w:p w14:paraId="3CDD42CD">
      <w:pPr>
        <w:numPr>
          <w:ilvl w:val="0"/>
          <w:numId w:val="6"/>
        </w:numPr>
        <w:ind w:firstLine="480"/>
      </w:pPr>
      <w:r>
        <w:rPr>
          <w:rFonts w:hint="eastAsia"/>
        </w:rPr>
        <w:t>提高了住宅阳台栏板或栏杆净高尺寸。</w:t>
      </w:r>
    </w:p>
    <w:p w14:paraId="0F587802">
      <w:pPr>
        <w:numPr>
          <w:ilvl w:val="0"/>
          <w:numId w:val="6"/>
        </w:numPr>
        <w:ind w:firstLine="480"/>
      </w:pPr>
      <w:r>
        <w:rPr>
          <w:rFonts w:hint="eastAsia"/>
        </w:rPr>
        <w:t>补充了住宅可容纳担架电梯采用深轿厢时的轿厢尺寸。</w:t>
      </w:r>
    </w:p>
    <w:p w14:paraId="5000ADC8">
      <w:pPr>
        <w:numPr>
          <w:ilvl w:val="0"/>
          <w:numId w:val="6"/>
        </w:numPr>
        <w:ind w:firstLine="480"/>
      </w:pPr>
      <w:r>
        <w:rPr>
          <w:rFonts w:hint="eastAsia"/>
        </w:rPr>
        <w:t>明确了住宅电梯候梯厅尺寸的有效范围。</w:t>
      </w:r>
    </w:p>
    <w:p w14:paraId="4517AF51">
      <w:pPr>
        <w:numPr>
          <w:ilvl w:val="0"/>
          <w:numId w:val="6"/>
        </w:numPr>
        <w:ind w:firstLine="480"/>
      </w:pPr>
      <w:r>
        <w:rPr>
          <w:rFonts w:hint="eastAsia"/>
        </w:rPr>
        <w:t>新增了新建住区配置智能快件箱的相关要求。</w:t>
      </w:r>
    </w:p>
    <w:p w14:paraId="38AD9237">
      <w:pPr>
        <w:numPr>
          <w:ilvl w:val="0"/>
          <w:numId w:val="6"/>
        </w:numPr>
        <w:ind w:firstLine="480"/>
      </w:pPr>
      <w:r>
        <w:rPr>
          <w:rFonts w:hint="eastAsia"/>
        </w:rPr>
        <w:t>明确了住宅空调室外机设置位置、空调仓百叶和通风具体要求。</w:t>
      </w:r>
    </w:p>
    <w:p w14:paraId="75CF0F02">
      <w:pPr>
        <w:numPr>
          <w:ilvl w:val="0"/>
          <w:numId w:val="6"/>
        </w:numPr>
        <w:ind w:firstLine="480"/>
      </w:pPr>
      <w:r>
        <w:rPr>
          <w:rFonts w:hint="eastAsia"/>
        </w:rPr>
        <w:t>提高了住宅分户墙、分户楼板的空气声隔声性能指标。</w:t>
      </w:r>
    </w:p>
    <w:p w14:paraId="237FC76C">
      <w:pPr>
        <w:numPr>
          <w:ilvl w:val="0"/>
          <w:numId w:val="6"/>
        </w:numPr>
        <w:ind w:firstLine="480"/>
      </w:pPr>
      <w:r>
        <w:rPr>
          <w:rFonts w:hint="eastAsia"/>
        </w:rPr>
        <w:t>调整了住宅卧室、起居室（厅）的分户楼板的计权规范化撞击声压级数值要求。</w:t>
      </w:r>
    </w:p>
    <w:p w14:paraId="78125246">
      <w:pPr>
        <w:numPr>
          <w:ilvl w:val="0"/>
          <w:numId w:val="6"/>
        </w:numPr>
        <w:ind w:firstLine="480"/>
      </w:pPr>
      <w:r>
        <w:rPr>
          <w:rFonts w:hint="eastAsia"/>
        </w:rPr>
        <w:t>补充了住宅外墙、外门窗的空气声隔声性能规定。</w:t>
      </w:r>
    </w:p>
    <w:p w14:paraId="71EB31AD">
      <w:pPr>
        <w:numPr>
          <w:ilvl w:val="0"/>
          <w:numId w:val="6"/>
        </w:numPr>
        <w:ind w:firstLine="480"/>
      </w:pPr>
      <w:r>
        <w:rPr>
          <w:rFonts w:hint="eastAsia"/>
        </w:rPr>
        <w:t>新增了与卧室相邻卫生间内排水管的隔声设置要求条款。</w:t>
      </w:r>
    </w:p>
    <w:p w14:paraId="66DDA990">
      <w:pPr>
        <w:numPr>
          <w:ilvl w:val="0"/>
          <w:numId w:val="6"/>
        </w:numPr>
        <w:ind w:firstLine="480"/>
      </w:pPr>
      <w:r>
        <w:rPr>
          <w:rFonts w:hint="eastAsia"/>
        </w:rPr>
        <w:t>新增了住宅内</w:t>
      </w:r>
      <w:r>
        <w:rPr>
          <w:rFonts w:hint="eastAsia"/>
          <w:lang w:eastAsia="zh-CN"/>
        </w:rPr>
        <w:t>坐便器</w:t>
      </w:r>
      <w:r>
        <w:rPr>
          <w:rFonts w:hint="eastAsia"/>
        </w:rPr>
        <w:t>具的选型隔声要求条款。</w:t>
      </w:r>
    </w:p>
    <w:p w14:paraId="60BEF2EB">
      <w:pPr>
        <w:numPr>
          <w:ilvl w:val="0"/>
          <w:numId w:val="6"/>
        </w:numPr>
        <w:ind w:firstLine="480"/>
      </w:pPr>
      <w:r>
        <w:rPr>
          <w:rFonts w:hint="eastAsia"/>
        </w:rPr>
        <w:t>调整了住宅室内空气污染物的活度和浓度的规定。</w:t>
      </w:r>
    </w:p>
    <w:p w14:paraId="187A1A02">
      <w:pPr>
        <w:numPr>
          <w:ilvl w:val="0"/>
          <w:numId w:val="6"/>
        </w:numPr>
        <w:ind w:firstLine="480"/>
      </w:pPr>
      <w:r>
        <w:rPr>
          <w:rFonts w:hint="eastAsia"/>
        </w:rPr>
        <w:t>调整了钢筋混凝土住宅的最大适用高度数值。</w:t>
      </w:r>
    </w:p>
    <w:p w14:paraId="1F448323">
      <w:pPr>
        <w:numPr>
          <w:ilvl w:val="0"/>
          <w:numId w:val="6"/>
        </w:numPr>
        <w:ind w:firstLine="480"/>
      </w:pPr>
      <w:r>
        <w:rPr>
          <w:rFonts w:hint="eastAsia"/>
        </w:rPr>
        <w:t>明确了住宅钢筋混凝土屋面板和楼板的构造配筋要求。</w:t>
      </w:r>
    </w:p>
    <w:p w14:paraId="2267A956">
      <w:pPr>
        <w:numPr>
          <w:ilvl w:val="0"/>
          <w:numId w:val="6"/>
        </w:numPr>
        <w:ind w:firstLine="480"/>
      </w:pPr>
      <w:r>
        <w:rPr>
          <w:rFonts w:hint="eastAsia"/>
        </w:rPr>
        <w:t>提升了住宅钢筋混凝土现浇楼板的设计厚度。</w:t>
      </w:r>
    </w:p>
    <w:p w14:paraId="7DD816FD">
      <w:pPr>
        <w:numPr>
          <w:ilvl w:val="0"/>
          <w:numId w:val="6"/>
        </w:numPr>
        <w:ind w:firstLine="480"/>
      </w:pPr>
      <w:r>
        <w:rPr>
          <w:rFonts w:hint="eastAsia"/>
        </w:rPr>
        <w:t>新增了住宅户内设置采用智能水表相关要求的条款。</w:t>
      </w:r>
    </w:p>
    <w:p w14:paraId="65F6E470">
      <w:pPr>
        <w:numPr>
          <w:ilvl w:val="0"/>
          <w:numId w:val="6"/>
        </w:numPr>
        <w:ind w:firstLine="480"/>
      </w:pPr>
      <w:r>
        <w:rPr>
          <w:rFonts w:hint="eastAsia"/>
        </w:rPr>
        <w:t>提升了住宅集中生活热水系统水加热设备出水温度要求。</w:t>
      </w:r>
    </w:p>
    <w:p w14:paraId="4BA698B2">
      <w:pPr>
        <w:numPr>
          <w:ilvl w:val="0"/>
          <w:numId w:val="6"/>
        </w:numPr>
        <w:ind w:firstLine="480"/>
      </w:pPr>
      <w:r>
        <w:rPr>
          <w:rFonts w:hint="eastAsia"/>
        </w:rPr>
        <w:t>新增了住宅室内宜采用污、废分流体系做法的条款。</w:t>
      </w:r>
    </w:p>
    <w:p w14:paraId="513CAFBE">
      <w:pPr>
        <w:numPr>
          <w:ilvl w:val="0"/>
          <w:numId w:val="6"/>
        </w:numPr>
        <w:ind w:firstLine="480"/>
      </w:pPr>
      <w:r>
        <w:rPr>
          <w:rFonts w:hint="eastAsia"/>
        </w:rPr>
        <w:t>新增了住宅排水立管上连接排水横支管的楼层应设置检查口的条款。</w:t>
      </w:r>
    </w:p>
    <w:p w14:paraId="202EE604">
      <w:pPr>
        <w:numPr>
          <w:ilvl w:val="0"/>
          <w:numId w:val="6"/>
        </w:numPr>
        <w:ind w:firstLine="480"/>
      </w:pPr>
      <w:r>
        <w:rPr>
          <w:rFonts w:hint="eastAsia"/>
        </w:rPr>
        <w:t>新增了对住宅内生活饮用水箱设置的各项要求。</w:t>
      </w:r>
    </w:p>
    <w:p w14:paraId="423AE0B3">
      <w:pPr>
        <w:numPr>
          <w:ilvl w:val="0"/>
          <w:numId w:val="6"/>
        </w:numPr>
        <w:ind w:firstLine="480"/>
      </w:pPr>
      <w:r>
        <w:rPr>
          <w:rFonts w:hint="eastAsia"/>
        </w:rPr>
        <w:t>新增了地漏设置技术细节的要求条款。</w:t>
      </w:r>
    </w:p>
    <w:p w14:paraId="67CB042C">
      <w:pPr>
        <w:numPr>
          <w:ilvl w:val="0"/>
          <w:numId w:val="6"/>
        </w:numPr>
        <w:ind w:firstLine="480"/>
      </w:pPr>
      <w:r>
        <w:rPr>
          <w:rFonts w:hint="eastAsia"/>
        </w:rPr>
        <w:t>新增了对住宅排水立管不应在户内设置乙字弯消能设施的条款。</w:t>
      </w:r>
    </w:p>
    <w:p w14:paraId="726C0152">
      <w:pPr>
        <w:numPr>
          <w:ilvl w:val="0"/>
          <w:numId w:val="6"/>
        </w:numPr>
        <w:ind w:firstLine="480"/>
      </w:pPr>
      <w:r>
        <w:rPr>
          <w:rFonts w:hint="eastAsia"/>
        </w:rPr>
        <w:t>新增了对住宅供暖系统防止冻结和采取热补偿措施的要求。</w:t>
      </w:r>
    </w:p>
    <w:p w14:paraId="347B91DD">
      <w:pPr>
        <w:numPr>
          <w:ilvl w:val="0"/>
          <w:numId w:val="6"/>
        </w:numPr>
        <w:ind w:firstLine="480"/>
      </w:pPr>
      <w:r>
        <w:rPr>
          <w:rFonts w:hint="eastAsia"/>
        </w:rPr>
        <w:t>新增了对住宅室内空调送、回风口考虑气流组织和设置方向要求的条款。</w:t>
      </w:r>
    </w:p>
    <w:p w14:paraId="0397947E">
      <w:pPr>
        <w:numPr>
          <w:ilvl w:val="0"/>
          <w:numId w:val="6"/>
        </w:numPr>
        <w:ind w:firstLine="480"/>
      </w:pPr>
      <w:r>
        <w:rPr>
          <w:rFonts w:hint="eastAsia"/>
        </w:rPr>
        <w:t>增加了对住宅户式燃气炉排烟口的设置要求。</w:t>
      </w:r>
    </w:p>
    <w:p w14:paraId="69286B01">
      <w:pPr>
        <w:numPr>
          <w:ilvl w:val="0"/>
          <w:numId w:val="6"/>
        </w:numPr>
        <w:ind w:firstLine="480"/>
      </w:pPr>
      <w:r>
        <w:rPr>
          <w:rFonts w:hint="eastAsia"/>
        </w:rPr>
        <w:t>新增了对住宅地下室或住宅与其他功能合建的建筑内设有供暖系统时，要求住宅供暖水系统应与其他供暖水系统分开设置的规定条款。</w:t>
      </w:r>
    </w:p>
    <w:p w14:paraId="4E9DFF45">
      <w:pPr>
        <w:numPr>
          <w:ilvl w:val="0"/>
          <w:numId w:val="6"/>
        </w:numPr>
        <w:ind w:firstLine="480"/>
      </w:pPr>
      <w:r>
        <w:rPr>
          <w:rFonts w:hint="eastAsia"/>
        </w:rPr>
        <w:t>新增了住宅内燃气管道及附件的设置相关规定的条款。</w:t>
      </w:r>
    </w:p>
    <w:p w14:paraId="1E56E837">
      <w:pPr>
        <w:numPr>
          <w:ilvl w:val="0"/>
          <w:numId w:val="6"/>
        </w:numPr>
        <w:ind w:firstLine="480"/>
      </w:pPr>
      <w:r>
        <w:rPr>
          <w:rFonts w:hint="eastAsia"/>
        </w:rPr>
        <w:t>新增了对住宅厨房排油烟补风系统设置及相关要求的规定条款。</w:t>
      </w:r>
    </w:p>
    <w:p w14:paraId="071739E9">
      <w:pPr>
        <w:numPr>
          <w:ilvl w:val="0"/>
          <w:numId w:val="6"/>
        </w:numPr>
        <w:ind w:firstLine="480"/>
      </w:pPr>
      <w:r>
        <w:rPr>
          <w:rFonts w:hint="eastAsia"/>
        </w:rPr>
        <w:t>新增了住宅建筑火灾自动报警系统的设置相关规定条款。</w:t>
      </w:r>
    </w:p>
    <w:p w14:paraId="21154E67">
      <w:pPr>
        <w:numPr>
          <w:ilvl w:val="0"/>
          <w:numId w:val="6"/>
        </w:numPr>
        <w:ind w:firstLine="480"/>
      </w:pPr>
      <w:r>
        <w:rPr>
          <w:rFonts w:hint="eastAsia"/>
        </w:rPr>
        <w:t>新增了住宅供配电系统设计规定的相应条款。</w:t>
      </w:r>
    </w:p>
    <w:p w14:paraId="496D8615">
      <w:pPr>
        <w:numPr>
          <w:ilvl w:val="0"/>
          <w:numId w:val="6"/>
        </w:numPr>
        <w:ind w:firstLine="480"/>
      </w:pPr>
      <w:r>
        <w:rPr>
          <w:rFonts w:hint="eastAsia"/>
        </w:rPr>
        <w:t>新增了住宅建筑应设置</w:t>
      </w:r>
      <w:r>
        <w:rPr>
          <w:rFonts w:hint="eastAsia"/>
          <w:lang w:eastAsia="zh-CN"/>
        </w:rPr>
        <w:t>有线电视</w:t>
      </w:r>
      <w:r>
        <w:rPr>
          <w:rFonts w:hint="eastAsia"/>
        </w:rPr>
        <w:t>系统的规定条款。</w:t>
      </w:r>
    </w:p>
    <w:p w14:paraId="09BDA41B">
      <w:pPr>
        <w:numPr>
          <w:ilvl w:val="0"/>
          <w:numId w:val="6"/>
        </w:numPr>
        <w:ind w:firstLine="480"/>
      </w:pPr>
      <w:r>
        <w:rPr>
          <w:rFonts w:hint="eastAsia"/>
        </w:rPr>
        <w:t>新增了公共移动通信信号应能覆盖至住宅建筑的公共空间和电梯轿厢的规定条款。</w:t>
      </w:r>
    </w:p>
    <w:p w14:paraId="4B4D566E">
      <w:pPr>
        <w:numPr>
          <w:ilvl w:val="0"/>
          <w:numId w:val="6"/>
        </w:numPr>
        <w:ind w:firstLine="480"/>
      </w:pPr>
      <w:r>
        <w:rPr>
          <w:rFonts w:hint="eastAsia"/>
        </w:rPr>
        <w:t>新增了对住宅建筑的电梯内加装智能识别阻车系统的要求条款</w:t>
      </w:r>
    </w:p>
    <w:p w14:paraId="70F9A3C2">
      <w:pPr>
        <w:numPr>
          <w:ilvl w:val="0"/>
          <w:numId w:val="6"/>
        </w:numPr>
        <w:ind w:firstLine="480"/>
      </w:pPr>
      <w:r>
        <w:rPr>
          <w:rFonts w:hint="eastAsia"/>
        </w:rPr>
        <w:t>新增了对住宅建筑设置智能化系统、智能家居系统的相关要求条款。</w:t>
      </w:r>
    </w:p>
    <w:p w14:paraId="340C3599">
      <w:pPr>
        <w:numPr>
          <w:ilvl w:val="0"/>
          <w:numId w:val="6"/>
        </w:numPr>
        <w:ind w:firstLine="480"/>
      </w:pPr>
      <w:r>
        <w:rPr>
          <w:rFonts w:hint="eastAsia"/>
        </w:rPr>
        <w:t>新增了对居住区智能化的相关规定条款。</w:t>
      </w:r>
    </w:p>
    <w:p w14:paraId="53710C9E">
      <w:pPr>
        <w:numPr>
          <w:ilvl w:val="0"/>
          <w:numId w:val="6"/>
        </w:numPr>
        <w:ind w:firstLine="480"/>
      </w:pPr>
      <w:r>
        <w:rPr>
          <w:rFonts w:hint="eastAsia"/>
        </w:rPr>
        <w:t>新增了对住宅内家居配电箱设置的相关尺寸规定条款。</w:t>
      </w:r>
    </w:p>
    <w:p w14:paraId="32FDE1AA">
      <w:pPr>
        <w:numPr>
          <w:ilvl w:val="0"/>
          <w:numId w:val="6"/>
        </w:numPr>
        <w:ind w:firstLine="480"/>
      </w:pPr>
      <w:r>
        <w:rPr>
          <w:rFonts w:hint="eastAsia"/>
        </w:rPr>
        <w:t>补充了住宅建筑外信息管道人（手）孔及落地交接箱的设置要求。</w:t>
      </w:r>
    </w:p>
    <w:p w14:paraId="50C70F8C">
      <w:pPr>
        <w:numPr>
          <w:ilvl w:val="255"/>
          <w:numId w:val="0"/>
        </w:numPr>
      </w:pPr>
    </w:p>
    <w:p w14:paraId="7FAC5110">
      <w:pPr>
        <w:ind w:firstLine="480"/>
      </w:pPr>
      <w:r>
        <w:rPr>
          <w:rFonts w:hint="eastAsia"/>
        </w:rPr>
        <w:t>本标准由北京市规划和自然资源委员会归口管理，北京市规划和自然资源标准化中心负责日常管理，北京市建筑设计研究院有限公司负责具体技术内容的解释。（地址：北京市西城区南</w:t>
      </w:r>
      <w:r>
        <w:rPr>
          <w:rFonts w:hint="eastAsia" w:asciiTheme="minorEastAsia" w:hAnsiTheme="minorEastAsia" w:eastAsiaTheme="minorEastAsia"/>
        </w:rPr>
        <w:t>礼士路62号；</w:t>
      </w:r>
      <w:r>
        <w:rPr>
          <w:rFonts w:hint="eastAsia"/>
        </w:rPr>
        <w:t>邮政编码：</w:t>
      </w:r>
      <w:r>
        <w:rPr>
          <w:rFonts w:hint="eastAsia" w:asciiTheme="minorEastAsia" w:hAnsiTheme="minorEastAsia" w:eastAsiaTheme="minorEastAsia"/>
        </w:rPr>
        <w:t>100045；</w:t>
      </w:r>
      <w:r>
        <w:rPr>
          <w:rFonts w:hint="eastAsia"/>
        </w:rPr>
        <w:t>电子邮箱：</w:t>
      </w:r>
      <w:r>
        <w:rPr>
          <w:rFonts w:asciiTheme="minorEastAsia" w:hAnsiTheme="minorEastAsia" w:eastAsiaTheme="minorEastAsia"/>
        </w:rPr>
        <w:t>BIAD_</w:t>
      </w:r>
      <w:r>
        <w:rPr>
          <w:rFonts w:hint="eastAsia" w:asciiTheme="minorEastAsia" w:hAnsiTheme="minorEastAsia" w:eastAsiaTheme="minorEastAsia"/>
        </w:rPr>
        <w:t>ZZGF</w:t>
      </w:r>
      <w:r>
        <w:rPr>
          <w:rFonts w:asciiTheme="minorEastAsia" w:hAnsiTheme="minorEastAsia" w:eastAsiaTheme="minorEastAsia"/>
        </w:rPr>
        <w:t>201</w:t>
      </w:r>
      <w:r>
        <w:rPr>
          <w:rFonts w:hint="eastAsia" w:asciiTheme="minorEastAsia" w:hAnsiTheme="minorEastAsia" w:eastAsiaTheme="minorEastAsia"/>
        </w:rPr>
        <w:t>5</w:t>
      </w:r>
      <w:r>
        <w:rPr>
          <w:rFonts w:asciiTheme="minorEastAsia" w:hAnsiTheme="minorEastAsia" w:eastAsiaTheme="minorEastAsia"/>
        </w:rPr>
        <w:t>@</w:t>
      </w:r>
      <w:r>
        <w:rPr>
          <w:rFonts w:hint="eastAsia" w:asciiTheme="minorEastAsia" w:hAnsiTheme="minorEastAsia" w:eastAsiaTheme="minorEastAsia"/>
        </w:rPr>
        <w:t>163</w:t>
      </w:r>
      <w:r>
        <w:rPr>
          <w:rFonts w:asciiTheme="minorEastAsia" w:hAnsiTheme="minorEastAsia" w:eastAsiaTheme="minorEastAsia"/>
        </w:rPr>
        <w:t>.com</w:t>
      </w:r>
      <w:r>
        <w:rPr>
          <w:rFonts w:hint="eastAsia"/>
        </w:rPr>
        <w:t>）。</w:t>
      </w:r>
    </w:p>
    <w:p w14:paraId="10AEBF89">
      <w:pPr>
        <w:ind w:firstLine="480"/>
      </w:pPr>
      <w:r>
        <w:rPr>
          <w:rFonts w:hint="eastAsia"/>
        </w:rPr>
        <w:t>本标准执行过程中如有意见和建议，请寄送至北京市规划和自然资源标准化中心办公室，以供今后修订时参考。（电</w:t>
      </w:r>
      <w:r>
        <w:rPr>
          <w:rFonts w:hint="eastAsia" w:asciiTheme="minorEastAsia" w:hAnsiTheme="minorEastAsia" w:eastAsiaTheme="minorEastAsia"/>
        </w:rPr>
        <w:t>话：55595000，信箱：</w:t>
      </w:r>
      <w:r>
        <w:fldChar w:fldCharType="begin"/>
      </w:r>
      <w:r>
        <w:instrText xml:space="preserve"> HYPERLINK "mailto:bjbb3000@163.com" </w:instrText>
      </w:r>
      <w:r>
        <w:fldChar w:fldCharType="separate"/>
      </w:r>
      <w:r>
        <w:rPr>
          <w:rFonts w:asciiTheme="minorEastAsia" w:hAnsiTheme="minorEastAsia" w:eastAsiaTheme="minorEastAsia"/>
        </w:rPr>
        <w:t>bjbb3000@</w:t>
      </w:r>
      <w:r>
        <w:rPr>
          <w:rFonts w:hint="eastAsia" w:asciiTheme="minorEastAsia" w:hAnsiTheme="minorEastAsia" w:eastAsiaTheme="minorEastAsia"/>
        </w:rPr>
        <w:t>163</w:t>
      </w:r>
      <w:r>
        <w:rPr>
          <w:rFonts w:asciiTheme="minorEastAsia" w:hAnsiTheme="minorEastAsia" w:eastAsiaTheme="minorEastAsia"/>
        </w:rPr>
        <w:t>.com</w:t>
      </w:r>
      <w:r>
        <w:rPr>
          <w:rFonts w:asciiTheme="minorEastAsia" w:hAnsiTheme="minorEastAsia" w:eastAsiaTheme="minorEastAsia"/>
        </w:rPr>
        <w:fldChar w:fldCharType="end"/>
      </w:r>
      <w:r>
        <w:rPr>
          <w:rFonts w:hint="eastAsia"/>
        </w:rPr>
        <w:t>）</w:t>
      </w:r>
    </w:p>
    <w:p w14:paraId="1AF6B3D4">
      <w:pPr>
        <w:ind w:firstLine="480"/>
      </w:pPr>
    </w:p>
    <w:p w14:paraId="055D8351">
      <w:pPr>
        <w:ind w:firstLine="480"/>
      </w:pPr>
      <w:r>
        <w:rPr>
          <w:rFonts w:hint="eastAsia" w:ascii="黑体" w:eastAsia="黑体" w:hAnsiTheme="minorEastAsia"/>
        </w:rPr>
        <w:t>本 规 范 主 编 单 位：</w:t>
      </w:r>
      <w:r>
        <w:rPr>
          <w:rFonts w:hint="eastAsia"/>
        </w:rPr>
        <w:t>北京市建筑设计研究院股份有限公司</w:t>
      </w:r>
    </w:p>
    <w:p w14:paraId="6F836FD9">
      <w:pPr>
        <w:ind w:firstLine="480"/>
      </w:pPr>
      <w:r>
        <w:rPr>
          <w:rFonts w:hint="eastAsia" w:ascii="黑体" w:eastAsia="黑体" w:hAnsiTheme="minorEastAsia"/>
        </w:rPr>
        <w:t>本 规 范 参 编 单 位：</w:t>
      </w:r>
      <w:r>
        <w:rPr>
          <w:rFonts w:hint="eastAsia"/>
        </w:rPr>
        <w:t>北京市消防救援总队</w:t>
      </w:r>
    </w:p>
    <w:p w14:paraId="2066C53B">
      <w:pPr>
        <w:ind w:firstLine="3120" w:firstLineChars="1300"/>
      </w:pPr>
      <w:r>
        <w:rPr>
          <w:rFonts w:hint="eastAsia"/>
        </w:rPr>
        <w:t>北京市煤气热力工程设计院有限公司</w:t>
      </w:r>
    </w:p>
    <w:p w14:paraId="21A92368">
      <w:pPr>
        <w:ind w:firstLine="3120" w:firstLineChars="1300"/>
      </w:pPr>
      <w:r>
        <w:rPr>
          <w:rFonts w:hint="eastAsia"/>
        </w:rPr>
        <w:t>北京电信规划设计院有限公司</w:t>
      </w:r>
    </w:p>
    <w:p w14:paraId="70BFFE62">
      <w:pPr>
        <w:ind w:firstLine="3120" w:firstLineChars="1300"/>
      </w:pPr>
      <w:r>
        <w:rPr>
          <w:rFonts w:hint="eastAsia"/>
        </w:rPr>
        <w:t>中国建筑设计研究院有限公司</w:t>
      </w:r>
    </w:p>
    <w:p w14:paraId="108ED8E3">
      <w:pPr>
        <w:ind w:firstLine="3120" w:firstLineChars="1300"/>
      </w:pPr>
      <w:r>
        <w:rPr>
          <w:rFonts w:hint="eastAsia"/>
        </w:rPr>
        <w:t>中国建筑科学研究院有限公司</w:t>
      </w:r>
    </w:p>
    <w:p w14:paraId="53232380">
      <w:pPr>
        <w:ind w:firstLine="3120" w:firstLineChars="1300"/>
      </w:pPr>
      <w:r>
        <w:rPr>
          <w:rFonts w:hint="eastAsia"/>
        </w:rPr>
        <w:t>北京市住宅建筑设计研究院有限公司</w:t>
      </w:r>
    </w:p>
    <w:p w14:paraId="0615D7B2">
      <w:pPr>
        <w:ind w:firstLine="3120" w:firstLineChars="1300"/>
      </w:pPr>
      <w:r>
        <w:rPr>
          <w:rFonts w:hint="eastAsia"/>
        </w:rPr>
        <w:t>北京歌华有线电视网络股份有限公司</w:t>
      </w:r>
    </w:p>
    <w:p w14:paraId="0F007440">
      <w:pPr>
        <w:ind w:firstLine="3120" w:firstLineChars="1300"/>
        <w:rPr>
          <w:rFonts w:hint="eastAsia"/>
        </w:rPr>
        <w:sectPr>
          <w:footerReference r:id="rId11" w:type="default"/>
          <w:footerReference r:id="rId12" w:type="even"/>
          <w:pgSz w:w="11906" w:h="16838"/>
          <w:pgMar w:top="1276" w:right="1800" w:bottom="1276" w:left="1800" w:header="851" w:footer="992" w:gutter="0"/>
          <w:pgNumType w:start="1"/>
          <w:cols w:space="720" w:num="1"/>
          <w:docGrid w:type="lines" w:linePitch="312" w:charSpace="0"/>
        </w:sectPr>
      </w:pPr>
      <w:r>
        <w:rPr>
          <w:rFonts w:hint="eastAsia"/>
        </w:rPr>
        <w:t>国网北京市电力公司</w:t>
      </w:r>
    </w:p>
    <w:p w14:paraId="475D77ED">
      <w:pPr>
        <w:pStyle w:val="21"/>
        <w:jc w:val="center"/>
        <w:rPr>
          <w:rFonts w:eastAsia="宋体" w:asciiTheme="majorHAnsi" w:hAnsiTheme="majorHAnsi" w:cstheme="majorBidi"/>
          <w:b w:val="0"/>
          <w:bCs w:val="0"/>
          <w:kern w:val="28"/>
          <w:sz w:val="32"/>
          <w:szCs w:val="32"/>
          <w:lang w:val="en-US" w:eastAsia="zh-CN" w:bidi="ar-SA"/>
        </w:rPr>
      </w:pPr>
      <w:bookmarkStart w:id="26" w:name="_Toc419288498"/>
      <w:bookmarkStart w:id="27" w:name="_Toc414356809"/>
      <w:bookmarkStart w:id="28" w:name="_Toc3302"/>
      <w:bookmarkStart w:id="29" w:name="_Toc425428073"/>
      <w:bookmarkStart w:id="30" w:name="_Toc14072"/>
      <w:bookmarkStart w:id="31" w:name="_Toc425427936"/>
      <w:bookmarkStart w:id="32" w:name="_Toc425344237"/>
      <w:bookmarkStart w:id="33" w:name="_Toc422931109"/>
      <w:bookmarkStart w:id="34" w:name="_Toc422990147"/>
      <w:bookmarkStart w:id="35" w:name="_Toc26816828"/>
      <w:bookmarkStart w:id="36" w:name="_Toc10811"/>
      <w:bookmarkStart w:id="37" w:name="_Toc427324169"/>
      <w:bookmarkStart w:id="38" w:name="_Toc5223"/>
      <w:bookmarkStart w:id="39" w:name="_Toc425427793"/>
      <w:bookmarkStart w:id="40" w:name="_Toc27468"/>
      <w:bookmarkStart w:id="41" w:name="_Toc11112"/>
      <w:bookmarkStart w:id="42" w:name="_Toc425447310"/>
      <w:bookmarkStart w:id="43" w:name="_Toc6504"/>
      <w:bookmarkStart w:id="44" w:name="_Toc1766"/>
      <w:bookmarkStart w:id="45" w:name="_Toc427323773"/>
      <w:bookmarkStart w:id="46" w:name="_Toc421291508"/>
      <w:bookmarkStart w:id="47" w:name="_Toc30104"/>
      <w:bookmarkStart w:id="48" w:name="_Toc425446198"/>
      <w:bookmarkStart w:id="49" w:name="_Toc9671"/>
      <w:bookmarkStart w:id="50" w:name="_Toc5463"/>
      <w:bookmarkStart w:id="51" w:name="_Toc26817438"/>
      <w:bookmarkStart w:id="52" w:name="_Toc495998700"/>
      <w:bookmarkStart w:id="53" w:name="_Toc553"/>
      <w:r>
        <w:rPr>
          <w:rFonts w:hint="eastAsia"/>
          <w:bCs w:val="0"/>
          <w:kern w:val="2"/>
        </w:rPr>
        <w:t>目</w:t>
      </w:r>
      <w:bookmarkEnd w:id="21"/>
      <w:bookmarkEnd w:id="22"/>
      <w:bookmarkEnd w:id="23"/>
      <w:bookmarkEnd w:id="24"/>
      <w:bookmarkEnd w:id="25"/>
      <w:bookmarkEnd w:id="26"/>
      <w:bookmarkEnd w:id="27"/>
      <w:r>
        <w:rPr>
          <w:rFonts w:hint="eastAsia" w:eastAsia="黑体"/>
          <w:sz w:val="36"/>
          <w:szCs w:val="36"/>
        </w:rPr>
        <w:t xml:space="preserve">  </w:t>
      </w:r>
      <w:r>
        <w:rPr>
          <w:rFonts w:hint="eastAsia"/>
          <w:bCs w:val="0"/>
          <w:kern w:val="2"/>
        </w:rPr>
        <w:t>次</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rPr>
          <w:rFonts w:ascii="宋体" w:hAnsi="宋体"/>
          <w:b w:val="0"/>
          <w:kern w:val="44"/>
          <w:szCs w:val="44"/>
        </w:rPr>
        <w:fldChar w:fldCharType="begin"/>
      </w:r>
      <w:r>
        <w:rPr>
          <w:rFonts w:hint="eastAsia" w:ascii="宋体" w:hAnsi="宋体"/>
          <w:b w:val="0"/>
        </w:rPr>
        <w:instrText xml:space="preserve">TOC \o "1-2" \h \z \u</w:instrText>
      </w:r>
      <w:r>
        <w:rPr>
          <w:rFonts w:ascii="宋体" w:hAnsi="宋体"/>
          <w:b w:val="0"/>
          <w:kern w:val="44"/>
          <w:szCs w:val="44"/>
        </w:rPr>
        <w:fldChar w:fldCharType="separate"/>
      </w:r>
    </w:p>
    <w:p w14:paraId="4A4A382E">
      <w:pPr>
        <w:pStyle w:val="19"/>
        <w:keepNext w:val="0"/>
        <w:keepLines w:val="0"/>
        <w:pageBreakBefore w:val="0"/>
        <w:widowControl w:val="0"/>
        <w:tabs>
          <w:tab w:val="right" w:leader="dot" w:pos="8306"/>
        </w:tabs>
        <w:kinsoku/>
        <w:wordWrap/>
        <w:overflowPunct/>
        <w:topLinePunct w:val="0"/>
        <w:autoSpaceDE/>
        <w:autoSpaceDN/>
        <w:bidi w:val="0"/>
        <w:adjustRightInd w:val="0"/>
        <w:snapToGrid/>
        <w:ind w:left="0" w:leftChars="0" w:firstLine="0" w:firstLineChars="0"/>
        <w:jc w:val="both"/>
        <w:textAlignment w:val="auto"/>
      </w:pPr>
      <w:r>
        <w:rPr>
          <w:bCs w:val="0"/>
        </w:rPr>
        <w:fldChar w:fldCharType="begin"/>
      </w:r>
      <w:r>
        <w:rPr>
          <w:bCs w:val="0"/>
        </w:rPr>
        <w:instrText xml:space="preserve"> HYPERLINK \l _Toc27477 </w:instrText>
      </w:r>
      <w:r>
        <w:rPr>
          <w:bCs w:val="0"/>
        </w:rPr>
        <w:fldChar w:fldCharType="separate"/>
      </w:r>
      <w:r>
        <w:rPr>
          <w:rFonts w:hint="default" w:ascii="黑体" w:hAnsi="黑体" w:eastAsia="黑体" w:cs="黑体"/>
        </w:rPr>
        <w:t xml:space="preserve">1 </w:t>
      </w:r>
      <w:r>
        <w:rPr>
          <w:rFonts w:hint="eastAsia" w:ascii="黑体" w:hAnsi="黑体" w:eastAsia="黑体" w:cs="黑体"/>
        </w:rPr>
        <w:t>总则</w:t>
      </w:r>
      <w:r>
        <w:tab/>
      </w:r>
      <w:r>
        <w:fldChar w:fldCharType="begin"/>
      </w:r>
      <w:r>
        <w:instrText xml:space="preserve"> PAGEREF _Toc27477 \h </w:instrText>
      </w:r>
      <w:r>
        <w:fldChar w:fldCharType="separate"/>
      </w:r>
      <w:r>
        <w:t>1</w:t>
      </w:r>
      <w:r>
        <w:fldChar w:fldCharType="end"/>
      </w:r>
      <w:r>
        <w:rPr>
          <w:bCs w:val="0"/>
        </w:rPr>
        <w:fldChar w:fldCharType="end"/>
      </w:r>
    </w:p>
    <w:p w14:paraId="1AD05E1C">
      <w:pPr>
        <w:pStyle w:val="19"/>
        <w:keepNext w:val="0"/>
        <w:keepLines w:val="0"/>
        <w:pageBreakBefore w:val="0"/>
        <w:widowControl w:val="0"/>
        <w:tabs>
          <w:tab w:val="right" w:leader="dot" w:pos="8306"/>
        </w:tabs>
        <w:kinsoku/>
        <w:wordWrap/>
        <w:overflowPunct/>
        <w:topLinePunct w:val="0"/>
        <w:autoSpaceDE/>
        <w:autoSpaceDN/>
        <w:bidi w:val="0"/>
        <w:adjustRightInd w:val="0"/>
        <w:snapToGrid/>
        <w:ind w:firstLine="0" w:firstLineChars="0"/>
        <w:jc w:val="both"/>
        <w:textAlignment w:val="auto"/>
      </w:pPr>
      <w:r>
        <w:rPr>
          <w:bCs w:val="0"/>
        </w:rPr>
        <w:fldChar w:fldCharType="begin"/>
      </w:r>
      <w:r>
        <w:rPr>
          <w:bCs w:val="0"/>
        </w:rPr>
        <w:instrText xml:space="preserve"> HYPERLINK \l _Toc26097 </w:instrText>
      </w:r>
      <w:r>
        <w:rPr>
          <w:bCs w:val="0"/>
        </w:rPr>
        <w:fldChar w:fldCharType="separate"/>
      </w:r>
      <w:r>
        <w:rPr>
          <w:rFonts w:hint="default" w:ascii="黑体" w:hAnsi="黑体" w:eastAsia="黑体" w:cs="黑体"/>
        </w:rPr>
        <w:t xml:space="preserve">2 </w:t>
      </w:r>
      <w:r>
        <w:rPr>
          <w:rFonts w:hint="eastAsia" w:ascii="黑体" w:hAnsi="黑体" w:eastAsia="黑体" w:cs="黑体"/>
        </w:rPr>
        <w:t>术语</w:t>
      </w:r>
      <w:r>
        <w:tab/>
      </w:r>
      <w:r>
        <w:fldChar w:fldCharType="begin"/>
      </w:r>
      <w:r>
        <w:instrText xml:space="preserve"> PAGEREF _Toc26097 \h </w:instrText>
      </w:r>
      <w:r>
        <w:fldChar w:fldCharType="separate"/>
      </w:r>
      <w:r>
        <w:t>2</w:t>
      </w:r>
      <w:r>
        <w:fldChar w:fldCharType="end"/>
      </w:r>
      <w:r>
        <w:rPr>
          <w:bCs w:val="0"/>
        </w:rPr>
        <w:fldChar w:fldCharType="end"/>
      </w:r>
    </w:p>
    <w:p w14:paraId="004A1383">
      <w:pPr>
        <w:pStyle w:val="19"/>
        <w:keepNext w:val="0"/>
        <w:keepLines w:val="0"/>
        <w:pageBreakBefore w:val="0"/>
        <w:widowControl w:val="0"/>
        <w:tabs>
          <w:tab w:val="right" w:leader="dot" w:pos="8306"/>
        </w:tabs>
        <w:kinsoku/>
        <w:wordWrap/>
        <w:overflowPunct/>
        <w:topLinePunct w:val="0"/>
        <w:autoSpaceDE/>
        <w:autoSpaceDN/>
        <w:bidi w:val="0"/>
        <w:adjustRightInd w:val="0"/>
        <w:snapToGrid/>
        <w:ind w:firstLine="0" w:firstLineChars="0"/>
        <w:jc w:val="both"/>
        <w:textAlignment w:val="auto"/>
      </w:pPr>
      <w:r>
        <w:rPr>
          <w:bCs w:val="0"/>
        </w:rPr>
        <w:fldChar w:fldCharType="begin"/>
      </w:r>
      <w:r>
        <w:rPr>
          <w:bCs w:val="0"/>
        </w:rPr>
        <w:instrText xml:space="preserve"> HYPERLINK \l _Toc17574 </w:instrText>
      </w:r>
      <w:r>
        <w:rPr>
          <w:bCs w:val="0"/>
        </w:rPr>
        <w:fldChar w:fldCharType="separate"/>
      </w:r>
      <w:r>
        <w:rPr>
          <w:rFonts w:hint="default" w:ascii="黑体" w:hAnsi="黑体" w:eastAsia="黑体" w:cs="黑体"/>
        </w:rPr>
        <w:t xml:space="preserve">3 </w:t>
      </w:r>
      <w:r>
        <w:rPr>
          <w:rFonts w:hint="eastAsia" w:ascii="黑体" w:hAnsi="黑体" w:eastAsia="黑体" w:cs="黑体"/>
        </w:rPr>
        <w:t>基本规定</w:t>
      </w:r>
      <w:r>
        <w:tab/>
      </w:r>
      <w:r>
        <w:fldChar w:fldCharType="begin"/>
      </w:r>
      <w:r>
        <w:instrText xml:space="preserve"> PAGEREF _Toc17574 \h </w:instrText>
      </w:r>
      <w:r>
        <w:fldChar w:fldCharType="separate"/>
      </w:r>
      <w:r>
        <w:t>4</w:t>
      </w:r>
      <w:r>
        <w:fldChar w:fldCharType="end"/>
      </w:r>
      <w:r>
        <w:rPr>
          <w:bCs w:val="0"/>
        </w:rPr>
        <w:fldChar w:fldCharType="end"/>
      </w:r>
    </w:p>
    <w:p w14:paraId="54397B18">
      <w:pPr>
        <w:pStyle w:val="19"/>
        <w:keepNext w:val="0"/>
        <w:keepLines w:val="0"/>
        <w:pageBreakBefore w:val="0"/>
        <w:widowControl w:val="0"/>
        <w:tabs>
          <w:tab w:val="right" w:leader="dot" w:pos="8306"/>
        </w:tabs>
        <w:kinsoku/>
        <w:wordWrap/>
        <w:overflowPunct/>
        <w:topLinePunct w:val="0"/>
        <w:autoSpaceDE/>
        <w:autoSpaceDN/>
        <w:bidi w:val="0"/>
        <w:adjustRightInd w:val="0"/>
        <w:snapToGrid/>
        <w:ind w:firstLine="0" w:firstLineChars="0"/>
        <w:jc w:val="both"/>
        <w:textAlignment w:val="auto"/>
      </w:pPr>
      <w:r>
        <w:rPr>
          <w:bCs w:val="0"/>
        </w:rPr>
        <w:fldChar w:fldCharType="begin"/>
      </w:r>
      <w:r>
        <w:rPr>
          <w:bCs w:val="0"/>
        </w:rPr>
        <w:instrText xml:space="preserve"> HYPERLINK \l _Toc27162 </w:instrText>
      </w:r>
      <w:r>
        <w:rPr>
          <w:bCs w:val="0"/>
        </w:rPr>
        <w:fldChar w:fldCharType="separate"/>
      </w:r>
      <w:r>
        <w:rPr>
          <w:rFonts w:hint="default" w:ascii="黑体" w:hAnsi="黑体" w:eastAsia="黑体" w:cs="黑体"/>
        </w:rPr>
        <w:t xml:space="preserve">4 </w:t>
      </w:r>
      <w:r>
        <w:rPr>
          <w:rFonts w:hint="eastAsia" w:ascii="黑体" w:hAnsi="黑体" w:eastAsia="黑体" w:cs="黑体"/>
        </w:rPr>
        <w:t>技术经济指标</w:t>
      </w:r>
      <w:r>
        <w:tab/>
      </w:r>
      <w:r>
        <w:fldChar w:fldCharType="begin"/>
      </w:r>
      <w:r>
        <w:instrText xml:space="preserve"> PAGEREF _Toc27162 \h </w:instrText>
      </w:r>
      <w:r>
        <w:fldChar w:fldCharType="separate"/>
      </w:r>
      <w:r>
        <w:t>5</w:t>
      </w:r>
      <w:r>
        <w:fldChar w:fldCharType="end"/>
      </w:r>
      <w:r>
        <w:rPr>
          <w:bCs w:val="0"/>
        </w:rPr>
        <w:fldChar w:fldCharType="end"/>
      </w:r>
    </w:p>
    <w:p w14:paraId="007C142F">
      <w:pPr>
        <w:pStyle w:val="19"/>
        <w:keepNext w:val="0"/>
        <w:keepLines w:val="0"/>
        <w:pageBreakBefore w:val="0"/>
        <w:widowControl w:val="0"/>
        <w:tabs>
          <w:tab w:val="right" w:leader="dot" w:pos="8306"/>
        </w:tabs>
        <w:kinsoku/>
        <w:wordWrap/>
        <w:overflowPunct/>
        <w:topLinePunct w:val="0"/>
        <w:autoSpaceDE/>
        <w:autoSpaceDN/>
        <w:bidi w:val="0"/>
        <w:adjustRightInd w:val="0"/>
        <w:snapToGrid/>
        <w:ind w:firstLine="0" w:firstLineChars="0"/>
        <w:jc w:val="both"/>
        <w:textAlignment w:val="auto"/>
      </w:pPr>
      <w:r>
        <w:rPr>
          <w:bCs w:val="0"/>
        </w:rPr>
        <w:fldChar w:fldCharType="begin"/>
      </w:r>
      <w:r>
        <w:rPr>
          <w:bCs w:val="0"/>
        </w:rPr>
        <w:instrText xml:space="preserve"> HYPERLINK \l _Toc28021 </w:instrText>
      </w:r>
      <w:r>
        <w:rPr>
          <w:bCs w:val="0"/>
        </w:rPr>
        <w:fldChar w:fldCharType="separate"/>
      </w:r>
      <w:r>
        <w:rPr>
          <w:rFonts w:hint="default" w:ascii="黑体" w:hAnsi="黑体" w:eastAsia="黑体" w:cs="黑体"/>
        </w:rPr>
        <w:t xml:space="preserve">5 </w:t>
      </w:r>
      <w:r>
        <w:rPr>
          <w:rFonts w:hint="eastAsia" w:ascii="黑体" w:hAnsi="黑体" w:eastAsia="黑体" w:cs="黑体"/>
        </w:rPr>
        <w:t>套内空间</w:t>
      </w:r>
      <w:r>
        <w:tab/>
      </w:r>
      <w:r>
        <w:fldChar w:fldCharType="begin"/>
      </w:r>
      <w:r>
        <w:instrText xml:space="preserve"> PAGEREF _Toc28021 \h </w:instrText>
      </w:r>
      <w:r>
        <w:fldChar w:fldCharType="separate"/>
      </w:r>
      <w:r>
        <w:t>7</w:t>
      </w:r>
      <w:r>
        <w:fldChar w:fldCharType="end"/>
      </w:r>
      <w:r>
        <w:rPr>
          <w:bCs w:val="0"/>
        </w:rPr>
        <w:fldChar w:fldCharType="end"/>
      </w:r>
    </w:p>
    <w:p w14:paraId="412709C4">
      <w:pPr>
        <w:pStyle w:val="24"/>
        <w:keepNext w:val="0"/>
        <w:keepLines w:val="0"/>
        <w:pageBreakBefore w:val="0"/>
        <w:widowControl w:val="0"/>
        <w:tabs>
          <w:tab w:val="right" w:leader="dot" w:pos="8306"/>
        </w:tabs>
        <w:kinsoku/>
        <w:wordWrap/>
        <w:overflowPunct/>
        <w:topLinePunct w:val="0"/>
        <w:autoSpaceDE/>
        <w:autoSpaceDN/>
        <w:bidi w:val="0"/>
        <w:adjustRightInd w:val="0"/>
        <w:snapToGrid/>
        <w:ind w:firstLine="0" w:firstLineChars="0"/>
        <w:jc w:val="both"/>
        <w:textAlignment w:val="auto"/>
      </w:pPr>
      <w:r>
        <w:rPr>
          <w:bCs w:val="0"/>
        </w:rPr>
        <w:fldChar w:fldCharType="begin"/>
      </w:r>
      <w:r>
        <w:rPr>
          <w:bCs w:val="0"/>
        </w:rPr>
        <w:instrText xml:space="preserve"> HYPERLINK \l _Toc7923 </w:instrText>
      </w:r>
      <w:r>
        <w:rPr>
          <w:bCs w:val="0"/>
        </w:rPr>
        <w:fldChar w:fldCharType="separate"/>
      </w:r>
      <w:r>
        <w:rPr>
          <w:rFonts w:hint="default"/>
        </w:rPr>
        <w:t xml:space="preserve">5.1 </w:t>
      </w:r>
      <w:r>
        <w:rPr>
          <w:rFonts w:hint="eastAsia"/>
        </w:rPr>
        <w:t>套型</w:t>
      </w:r>
      <w:r>
        <w:tab/>
      </w:r>
      <w:r>
        <w:fldChar w:fldCharType="begin"/>
      </w:r>
      <w:r>
        <w:instrText xml:space="preserve"> PAGEREF _Toc7923 \h </w:instrText>
      </w:r>
      <w:r>
        <w:fldChar w:fldCharType="separate"/>
      </w:r>
      <w:r>
        <w:t>7</w:t>
      </w:r>
      <w:r>
        <w:fldChar w:fldCharType="end"/>
      </w:r>
      <w:r>
        <w:rPr>
          <w:bCs w:val="0"/>
        </w:rPr>
        <w:fldChar w:fldCharType="end"/>
      </w:r>
    </w:p>
    <w:p w14:paraId="13FF4FE2">
      <w:pPr>
        <w:pStyle w:val="24"/>
        <w:keepNext w:val="0"/>
        <w:keepLines w:val="0"/>
        <w:pageBreakBefore w:val="0"/>
        <w:widowControl w:val="0"/>
        <w:tabs>
          <w:tab w:val="right" w:leader="dot" w:pos="8306"/>
        </w:tabs>
        <w:kinsoku/>
        <w:wordWrap/>
        <w:overflowPunct/>
        <w:topLinePunct w:val="0"/>
        <w:autoSpaceDE/>
        <w:autoSpaceDN/>
        <w:bidi w:val="0"/>
        <w:adjustRightInd w:val="0"/>
        <w:snapToGrid/>
        <w:ind w:firstLine="0" w:firstLineChars="0"/>
        <w:jc w:val="both"/>
        <w:textAlignment w:val="auto"/>
      </w:pPr>
      <w:r>
        <w:rPr>
          <w:bCs w:val="0"/>
        </w:rPr>
        <w:fldChar w:fldCharType="begin"/>
      </w:r>
      <w:r>
        <w:rPr>
          <w:bCs w:val="0"/>
        </w:rPr>
        <w:instrText xml:space="preserve"> HYPERLINK \l _Toc21438 </w:instrText>
      </w:r>
      <w:r>
        <w:rPr>
          <w:bCs w:val="0"/>
        </w:rPr>
        <w:fldChar w:fldCharType="separate"/>
      </w:r>
      <w:r>
        <w:rPr>
          <w:rFonts w:hint="default"/>
        </w:rPr>
        <w:t xml:space="preserve">5.2 </w:t>
      </w:r>
      <w:r>
        <w:rPr>
          <w:rFonts w:hint="eastAsia"/>
        </w:rPr>
        <w:t>卧室</w:t>
      </w:r>
      <w:r>
        <w:tab/>
      </w:r>
      <w:r>
        <w:fldChar w:fldCharType="begin"/>
      </w:r>
      <w:r>
        <w:instrText xml:space="preserve"> PAGEREF _Toc21438 \h </w:instrText>
      </w:r>
      <w:r>
        <w:fldChar w:fldCharType="separate"/>
      </w:r>
      <w:r>
        <w:t>7</w:t>
      </w:r>
      <w:r>
        <w:fldChar w:fldCharType="end"/>
      </w:r>
      <w:r>
        <w:rPr>
          <w:bCs w:val="0"/>
        </w:rPr>
        <w:fldChar w:fldCharType="end"/>
      </w:r>
    </w:p>
    <w:p w14:paraId="3954B8C7">
      <w:pPr>
        <w:pStyle w:val="24"/>
        <w:keepNext w:val="0"/>
        <w:keepLines w:val="0"/>
        <w:pageBreakBefore w:val="0"/>
        <w:widowControl w:val="0"/>
        <w:tabs>
          <w:tab w:val="right" w:leader="dot" w:pos="8306"/>
        </w:tabs>
        <w:kinsoku/>
        <w:wordWrap/>
        <w:overflowPunct/>
        <w:topLinePunct w:val="0"/>
        <w:autoSpaceDE/>
        <w:autoSpaceDN/>
        <w:bidi w:val="0"/>
        <w:adjustRightInd w:val="0"/>
        <w:snapToGrid/>
        <w:ind w:firstLine="0" w:firstLineChars="0"/>
        <w:jc w:val="both"/>
        <w:textAlignment w:val="auto"/>
      </w:pPr>
      <w:r>
        <w:rPr>
          <w:bCs w:val="0"/>
        </w:rPr>
        <w:fldChar w:fldCharType="begin"/>
      </w:r>
      <w:r>
        <w:rPr>
          <w:bCs w:val="0"/>
        </w:rPr>
        <w:instrText xml:space="preserve"> HYPERLINK \l _Toc9661 </w:instrText>
      </w:r>
      <w:r>
        <w:rPr>
          <w:bCs w:val="0"/>
        </w:rPr>
        <w:fldChar w:fldCharType="separate"/>
      </w:r>
      <w:r>
        <w:rPr>
          <w:rFonts w:hint="default"/>
        </w:rPr>
        <w:t xml:space="preserve">5.3 </w:t>
      </w:r>
      <w:r>
        <w:rPr>
          <w:rFonts w:hint="eastAsia"/>
        </w:rPr>
        <w:t>起居室（厅）、餐厅</w:t>
      </w:r>
      <w:r>
        <w:tab/>
      </w:r>
      <w:r>
        <w:fldChar w:fldCharType="begin"/>
      </w:r>
      <w:r>
        <w:instrText xml:space="preserve"> PAGEREF _Toc9661 \h </w:instrText>
      </w:r>
      <w:r>
        <w:fldChar w:fldCharType="separate"/>
      </w:r>
      <w:r>
        <w:t>7</w:t>
      </w:r>
      <w:r>
        <w:fldChar w:fldCharType="end"/>
      </w:r>
      <w:r>
        <w:rPr>
          <w:bCs w:val="0"/>
        </w:rPr>
        <w:fldChar w:fldCharType="end"/>
      </w:r>
    </w:p>
    <w:p w14:paraId="529A62AB">
      <w:pPr>
        <w:pStyle w:val="24"/>
        <w:keepNext w:val="0"/>
        <w:keepLines w:val="0"/>
        <w:pageBreakBefore w:val="0"/>
        <w:widowControl w:val="0"/>
        <w:tabs>
          <w:tab w:val="right" w:leader="dot" w:pos="8306"/>
        </w:tabs>
        <w:kinsoku/>
        <w:wordWrap/>
        <w:overflowPunct/>
        <w:topLinePunct w:val="0"/>
        <w:autoSpaceDE/>
        <w:autoSpaceDN/>
        <w:bidi w:val="0"/>
        <w:adjustRightInd w:val="0"/>
        <w:snapToGrid/>
        <w:ind w:firstLine="0" w:firstLineChars="0"/>
        <w:jc w:val="both"/>
        <w:textAlignment w:val="auto"/>
      </w:pPr>
      <w:r>
        <w:rPr>
          <w:bCs w:val="0"/>
        </w:rPr>
        <w:fldChar w:fldCharType="begin"/>
      </w:r>
      <w:r>
        <w:rPr>
          <w:bCs w:val="0"/>
        </w:rPr>
        <w:instrText xml:space="preserve"> HYPERLINK \l _Toc14863 </w:instrText>
      </w:r>
      <w:r>
        <w:rPr>
          <w:bCs w:val="0"/>
        </w:rPr>
        <w:fldChar w:fldCharType="separate"/>
      </w:r>
      <w:r>
        <w:rPr>
          <w:rFonts w:hint="default" w:hAnsi="Cambria"/>
          <w:lang w:val="zh-CN"/>
        </w:rPr>
        <w:t xml:space="preserve">5.4 </w:t>
      </w:r>
      <w:r>
        <w:rPr>
          <w:rFonts w:hint="eastAsia"/>
        </w:rPr>
        <w:t>厨房</w:t>
      </w:r>
      <w:r>
        <w:tab/>
      </w:r>
      <w:r>
        <w:fldChar w:fldCharType="begin"/>
      </w:r>
      <w:r>
        <w:instrText xml:space="preserve"> PAGEREF _Toc14863 \h </w:instrText>
      </w:r>
      <w:r>
        <w:fldChar w:fldCharType="separate"/>
      </w:r>
      <w:r>
        <w:t>8</w:t>
      </w:r>
      <w:r>
        <w:fldChar w:fldCharType="end"/>
      </w:r>
      <w:r>
        <w:rPr>
          <w:bCs w:val="0"/>
        </w:rPr>
        <w:fldChar w:fldCharType="end"/>
      </w:r>
    </w:p>
    <w:p w14:paraId="0FAC8F38">
      <w:pPr>
        <w:pStyle w:val="24"/>
        <w:keepNext w:val="0"/>
        <w:keepLines w:val="0"/>
        <w:pageBreakBefore w:val="0"/>
        <w:widowControl w:val="0"/>
        <w:tabs>
          <w:tab w:val="right" w:leader="dot" w:pos="8306"/>
        </w:tabs>
        <w:kinsoku/>
        <w:wordWrap/>
        <w:overflowPunct/>
        <w:topLinePunct w:val="0"/>
        <w:autoSpaceDE/>
        <w:autoSpaceDN/>
        <w:bidi w:val="0"/>
        <w:adjustRightInd w:val="0"/>
        <w:snapToGrid/>
        <w:ind w:firstLine="0" w:firstLineChars="0"/>
        <w:jc w:val="both"/>
        <w:textAlignment w:val="auto"/>
      </w:pPr>
      <w:r>
        <w:rPr>
          <w:bCs w:val="0"/>
        </w:rPr>
        <w:fldChar w:fldCharType="begin"/>
      </w:r>
      <w:r>
        <w:rPr>
          <w:bCs w:val="0"/>
        </w:rPr>
        <w:instrText xml:space="preserve"> HYPERLINK \l _Toc3033 </w:instrText>
      </w:r>
      <w:r>
        <w:rPr>
          <w:bCs w:val="0"/>
        </w:rPr>
        <w:fldChar w:fldCharType="separate"/>
      </w:r>
      <w:r>
        <w:rPr>
          <w:rFonts w:hint="default" w:hAnsi="Cambria"/>
          <w:lang w:val="zh-CN"/>
        </w:rPr>
        <w:t xml:space="preserve">5.5 </w:t>
      </w:r>
      <w:r>
        <w:rPr>
          <w:rFonts w:hint="eastAsia"/>
        </w:rPr>
        <w:t>卫生间</w:t>
      </w:r>
      <w:r>
        <w:tab/>
      </w:r>
      <w:r>
        <w:fldChar w:fldCharType="begin"/>
      </w:r>
      <w:r>
        <w:instrText xml:space="preserve"> PAGEREF _Toc3033 \h </w:instrText>
      </w:r>
      <w:r>
        <w:fldChar w:fldCharType="separate"/>
      </w:r>
      <w:r>
        <w:t>8</w:t>
      </w:r>
      <w:r>
        <w:fldChar w:fldCharType="end"/>
      </w:r>
      <w:r>
        <w:rPr>
          <w:bCs w:val="0"/>
        </w:rPr>
        <w:fldChar w:fldCharType="end"/>
      </w:r>
    </w:p>
    <w:p w14:paraId="736BF986">
      <w:pPr>
        <w:pStyle w:val="24"/>
        <w:keepNext w:val="0"/>
        <w:keepLines w:val="0"/>
        <w:pageBreakBefore w:val="0"/>
        <w:widowControl w:val="0"/>
        <w:tabs>
          <w:tab w:val="right" w:leader="dot" w:pos="8306"/>
        </w:tabs>
        <w:kinsoku/>
        <w:wordWrap/>
        <w:overflowPunct/>
        <w:topLinePunct w:val="0"/>
        <w:autoSpaceDE/>
        <w:autoSpaceDN/>
        <w:bidi w:val="0"/>
        <w:adjustRightInd w:val="0"/>
        <w:snapToGrid/>
        <w:ind w:firstLine="0" w:firstLineChars="0"/>
        <w:jc w:val="both"/>
        <w:textAlignment w:val="auto"/>
      </w:pPr>
      <w:r>
        <w:rPr>
          <w:bCs w:val="0"/>
        </w:rPr>
        <w:fldChar w:fldCharType="begin"/>
      </w:r>
      <w:r>
        <w:rPr>
          <w:bCs w:val="0"/>
        </w:rPr>
        <w:instrText xml:space="preserve"> HYPERLINK \l _Toc8489 </w:instrText>
      </w:r>
      <w:r>
        <w:rPr>
          <w:bCs w:val="0"/>
        </w:rPr>
        <w:fldChar w:fldCharType="separate"/>
      </w:r>
      <w:r>
        <w:rPr>
          <w:rFonts w:hint="default"/>
        </w:rPr>
        <w:t xml:space="preserve">5.6 </w:t>
      </w:r>
      <w:r>
        <w:rPr>
          <w:rFonts w:hint="eastAsia"/>
        </w:rPr>
        <w:t>贮藏</w:t>
      </w:r>
      <w:r>
        <w:rPr>
          <w:rFonts w:hint="eastAsia"/>
          <w:lang w:val="en-US" w:eastAsia="zh-CN"/>
        </w:rPr>
        <w:t>空间</w:t>
      </w:r>
      <w:r>
        <w:rPr>
          <w:rFonts w:hint="eastAsia"/>
        </w:rPr>
        <w:t>、走道及套内楼梯</w:t>
      </w:r>
      <w:r>
        <w:tab/>
      </w:r>
      <w:r>
        <w:fldChar w:fldCharType="begin"/>
      </w:r>
      <w:r>
        <w:instrText xml:space="preserve"> PAGEREF _Toc8489 \h </w:instrText>
      </w:r>
      <w:r>
        <w:fldChar w:fldCharType="separate"/>
      </w:r>
      <w:r>
        <w:t>9</w:t>
      </w:r>
      <w:r>
        <w:fldChar w:fldCharType="end"/>
      </w:r>
      <w:r>
        <w:rPr>
          <w:bCs w:val="0"/>
        </w:rPr>
        <w:fldChar w:fldCharType="end"/>
      </w:r>
    </w:p>
    <w:p w14:paraId="5FCA2FBD">
      <w:pPr>
        <w:pStyle w:val="24"/>
        <w:keepNext w:val="0"/>
        <w:keepLines w:val="0"/>
        <w:pageBreakBefore w:val="0"/>
        <w:widowControl w:val="0"/>
        <w:tabs>
          <w:tab w:val="right" w:leader="dot" w:pos="8306"/>
        </w:tabs>
        <w:kinsoku/>
        <w:wordWrap/>
        <w:overflowPunct/>
        <w:topLinePunct w:val="0"/>
        <w:autoSpaceDE/>
        <w:autoSpaceDN/>
        <w:bidi w:val="0"/>
        <w:adjustRightInd w:val="0"/>
        <w:snapToGrid/>
        <w:ind w:firstLine="0" w:firstLineChars="0"/>
        <w:jc w:val="both"/>
        <w:textAlignment w:val="auto"/>
      </w:pPr>
      <w:r>
        <w:rPr>
          <w:bCs w:val="0"/>
        </w:rPr>
        <w:fldChar w:fldCharType="begin"/>
      </w:r>
      <w:r>
        <w:rPr>
          <w:bCs w:val="0"/>
        </w:rPr>
        <w:instrText xml:space="preserve"> HYPERLINK \l _Toc23651 </w:instrText>
      </w:r>
      <w:r>
        <w:rPr>
          <w:bCs w:val="0"/>
        </w:rPr>
        <w:fldChar w:fldCharType="separate"/>
      </w:r>
      <w:r>
        <w:rPr>
          <w:rFonts w:hint="default"/>
        </w:rPr>
        <w:t xml:space="preserve">5.7 </w:t>
      </w:r>
      <w:r>
        <w:rPr>
          <w:rFonts w:hint="eastAsia"/>
        </w:rPr>
        <w:t>阳台、凹口</w:t>
      </w:r>
      <w:r>
        <w:tab/>
      </w:r>
      <w:r>
        <w:fldChar w:fldCharType="begin"/>
      </w:r>
      <w:r>
        <w:instrText xml:space="preserve"> PAGEREF _Toc23651 \h </w:instrText>
      </w:r>
      <w:r>
        <w:fldChar w:fldCharType="separate"/>
      </w:r>
      <w:r>
        <w:t>9</w:t>
      </w:r>
      <w:r>
        <w:fldChar w:fldCharType="end"/>
      </w:r>
      <w:r>
        <w:rPr>
          <w:bCs w:val="0"/>
        </w:rPr>
        <w:fldChar w:fldCharType="end"/>
      </w:r>
    </w:p>
    <w:p w14:paraId="3CCC3597">
      <w:pPr>
        <w:pStyle w:val="24"/>
        <w:keepNext w:val="0"/>
        <w:keepLines w:val="0"/>
        <w:pageBreakBefore w:val="0"/>
        <w:widowControl w:val="0"/>
        <w:tabs>
          <w:tab w:val="right" w:leader="dot" w:pos="8306"/>
        </w:tabs>
        <w:kinsoku/>
        <w:wordWrap/>
        <w:overflowPunct/>
        <w:topLinePunct w:val="0"/>
        <w:autoSpaceDE/>
        <w:autoSpaceDN/>
        <w:bidi w:val="0"/>
        <w:adjustRightInd w:val="0"/>
        <w:snapToGrid/>
        <w:ind w:firstLine="0" w:firstLineChars="0"/>
        <w:jc w:val="both"/>
        <w:textAlignment w:val="auto"/>
      </w:pPr>
      <w:r>
        <w:rPr>
          <w:bCs w:val="0"/>
        </w:rPr>
        <w:fldChar w:fldCharType="begin"/>
      </w:r>
      <w:r>
        <w:rPr>
          <w:bCs w:val="0"/>
        </w:rPr>
        <w:instrText xml:space="preserve"> HYPERLINK \l _Toc10154 </w:instrText>
      </w:r>
      <w:r>
        <w:rPr>
          <w:bCs w:val="0"/>
        </w:rPr>
        <w:fldChar w:fldCharType="separate"/>
      </w:r>
      <w:r>
        <w:rPr>
          <w:rFonts w:hint="default"/>
        </w:rPr>
        <w:t xml:space="preserve">5.8 </w:t>
      </w:r>
      <w:r>
        <w:rPr>
          <w:rFonts w:hint="eastAsia"/>
        </w:rPr>
        <w:t>层高、室内净高</w:t>
      </w:r>
      <w:r>
        <w:tab/>
      </w:r>
      <w:r>
        <w:fldChar w:fldCharType="begin"/>
      </w:r>
      <w:r>
        <w:instrText xml:space="preserve"> PAGEREF _Toc10154 \h </w:instrText>
      </w:r>
      <w:r>
        <w:fldChar w:fldCharType="separate"/>
      </w:r>
      <w:r>
        <w:t>10</w:t>
      </w:r>
      <w:r>
        <w:fldChar w:fldCharType="end"/>
      </w:r>
      <w:r>
        <w:rPr>
          <w:bCs w:val="0"/>
        </w:rPr>
        <w:fldChar w:fldCharType="end"/>
      </w:r>
    </w:p>
    <w:p w14:paraId="419FD9BB">
      <w:pPr>
        <w:pStyle w:val="19"/>
        <w:keepNext w:val="0"/>
        <w:keepLines w:val="0"/>
        <w:pageBreakBefore w:val="0"/>
        <w:widowControl w:val="0"/>
        <w:tabs>
          <w:tab w:val="right" w:leader="dot" w:pos="8306"/>
        </w:tabs>
        <w:kinsoku/>
        <w:wordWrap/>
        <w:overflowPunct/>
        <w:topLinePunct w:val="0"/>
        <w:autoSpaceDE/>
        <w:autoSpaceDN/>
        <w:bidi w:val="0"/>
        <w:adjustRightInd w:val="0"/>
        <w:snapToGrid/>
        <w:ind w:firstLine="0" w:firstLineChars="0"/>
        <w:jc w:val="both"/>
        <w:textAlignment w:val="auto"/>
      </w:pPr>
      <w:r>
        <w:rPr>
          <w:bCs w:val="0"/>
        </w:rPr>
        <w:fldChar w:fldCharType="begin"/>
      </w:r>
      <w:r>
        <w:rPr>
          <w:bCs w:val="0"/>
        </w:rPr>
        <w:instrText xml:space="preserve"> HYPERLINK \l _Toc17316 </w:instrText>
      </w:r>
      <w:r>
        <w:rPr>
          <w:bCs w:val="0"/>
        </w:rPr>
        <w:fldChar w:fldCharType="separate"/>
      </w:r>
      <w:r>
        <w:rPr>
          <w:rFonts w:hint="default" w:ascii="黑体" w:hAnsi="黑体" w:eastAsia="黑体" w:cs="黑体"/>
        </w:rPr>
        <w:t xml:space="preserve">6 </w:t>
      </w:r>
      <w:r>
        <w:rPr>
          <w:rFonts w:hint="eastAsia" w:ascii="黑体" w:hAnsi="黑体" w:eastAsia="黑体" w:cs="黑体"/>
        </w:rPr>
        <w:t>公共空间</w:t>
      </w:r>
      <w:r>
        <w:tab/>
      </w:r>
      <w:r>
        <w:fldChar w:fldCharType="begin"/>
      </w:r>
      <w:r>
        <w:instrText xml:space="preserve"> PAGEREF _Toc17316 \h </w:instrText>
      </w:r>
      <w:r>
        <w:fldChar w:fldCharType="separate"/>
      </w:r>
      <w:r>
        <w:t>11</w:t>
      </w:r>
      <w:r>
        <w:fldChar w:fldCharType="end"/>
      </w:r>
      <w:r>
        <w:rPr>
          <w:bCs w:val="0"/>
        </w:rPr>
        <w:fldChar w:fldCharType="end"/>
      </w:r>
    </w:p>
    <w:p w14:paraId="455CAE78">
      <w:pPr>
        <w:pStyle w:val="24"/>
        <w:keepNext w:val="0"/>
        <w:keepLines w:val="0"/>
        <w:pageBreakBefore w:val="0"/>
        <w:widowControl w:val="0"/>
        <w:tabs>
          <w:tab w:val="right" w:leader="dot" w:pos="8306"/>
        </w:tabs>
        <w:kinsoku/>
        <w:wordWrap/>
        <w:overflowPunct/>
        <w:topLinePunct w:val="0"/>
        <w:autoSpaceDE/>
        <w:autoSpaceDN/>
        <w:bidi w:val="0"/>
        <w:adjustRightInd w:val="0"/>
        <w:snapToGrid/>
        <w:ind w:firstLine="0" w:firstLineChars="0"/>
        <w:jc w:val="both"/>
        <w:textAlignment w:val="auto"/>
      </w:pPr>
      <w:r>
        <w:rPr>
          <w:bCs w:val="0"/>
        </w:rPr>
        <w:fldChar w:fldCharType="begin"/>
      </w:r>
      <w:r>
        <w:rPr>
          <w:bCs w:val="0"/>
        </w:rPr>
        <w:instrText xml:space="preserve"> HYPERLINK \l _Toc22583 </w:instrText>
      </w:r>
      <w:r>
        <w:rPr>
          <w:bCs w:val="0"/>
        </w:rPr>
        <w:fldChar w:fldCharType="separate"/>
      </w:r>
      <w:r>
        <w:rPr>
          <w:rFonts w:hint="default"/>
        </w:rPr>
        <w:t xml:space="preserve">6.1 </w:t>
      </w:r>
      <w:r>
        <w:rPr>
          <w:rFonts w:hint="eastAsia"/>
        </w:rPr>
        <w:t>出入口、走廊及联系廊</w:t>
      </w:r>
      <w:r>
        <w:tab/>
      </w:r>
      <w:r>
        <w:fldChar w:fldCharType="begin"/>
      </w:r>
      <w:r>
        <w:instrText xml:space="preserve"> PAGEREF _Toc22583 \h </w:instrText>
      </w:r>
      <w:r>
        <w:fldChar w:fldCharType="separate"/>
      </w:r>
      <w:r>
        <w:t>11</w:t>
      </w:r>
      <w:r>
        <w:fldChar w:fldCharType="end"/>
      </w:r>
      <w:r>
        <w:rPr>
          <w:bCs w:val="0"/>
        </w:rPr>
        <w:fldChar w:fldCharType="end"/>
      </w:r>
    </w:p>
    <w:p w14:paraId="397094BC">
      <w:pPr>
        <w:pStyle w:val="24"/>
        <w:keepNext w:val="0"/>
        <w:keepLines w:val="0"/>
        <w:pageBreakBefore w:val="0"/>
        <w:widowControl w:val="0"/>
        <w:tabs>
          <w:tab w:val="right" w:leader="dot" w:pos="8306"/>
        </w:tabs>
        <w:kinsoku/>
        <w:wordWrap/>
        <w:overflowPunct/>
        <w:topLinePunct w:val="0"/>
        <w:autoSpaceDE/>
        <w:autoSpaceDN/>
        <w:bidi w:val="0"/>
        <w:adjustRightInd w:val="0"/>
        <w:snapToGrid/>
        <w:ind w:firstLine="0" w:firstLineChars="0"/>
        <w:jc w:val="both"/>
        <w:textAlignment w:val="auto"/>
      </w:pPr>
      <w:r>
        <w:rPr>
          <w:bCs w:val="0"/>
        </w:rPr>
        <w:fldChar w:fldCharType="begin"/>
      </w:r>
      <w:r>
        <w:rPr>
          <w:bCs w:val="0"/>
        </w:rPr>
        <w:instrText xml:space="preserve"> HYPERLINK \l _Toc31530 </w:instrText>
      </w:r>
      <w:r>
        <w:rPr>
          <w:bCs w:val="0"/>
        </w:rPr>
        <w:fldChar w:fldCharType="separate"/>
      </w:r>
      <w:r>
        <w:rPr>
          <w:rFonts w:hint="default" w:hAnsi="Cambria"/>
        </w:rPr>
        <w:t xml:space="preserve">6.2 </w:t>
      </w:r>
      <w:r>
        <w:rPr>
          <w:rFonts w:hint="eastAsia" w:hAnsi="Cambria"/>
        </w:rPr>
        <w:t>楼梯间</w:t>
      </w:r>
      <w:r>
        <w:tab/>
      </w:r>
      <w:r>
        <w:fldChar w:fldCharType="begin"/>
      </w:r>
      <w:r>
        <w:instrText xml:space="preserve"> PAGEREF _Toc31530 \h </w:instrText>
      </w:r>
      <w:r>
        <w:fldChar w:fldCharType="separate"/>
      </w:r>
      <w:r>
        <w:t>12</w:t>
      </w:r>
      <w:r>
        <w:fldChar w:fldCharType="end"/>
      </w:r>
      <w:r>
        <w:rPr>
          <w:bCs w:val="0"/>
        </w:rPr>
        <w:fldChar w:fldCharType="end"/>
      </w:r>
    </w:p>
    <w:p w14:paraId="2738F37C">
      <w:pPr>
        <w:pStyle w:val="24"/>
        <w:keepNext w:val="0"/>
        <w:keepLines w:val="0"/>
        <w:pageBreakBefore w:val="0"/>
        <w:widowControl w:val="0"/>
        <w:tabs>
          <w:tab w:val="right" w:leader="dot" w:pos="8306"/>
        </w:tabs>
        <w:kinsoku/>
        <w:wordWrap/>
        <w:overflowPunct/>
        <w:topLinePunct w:val="0"/>
        <w:autoSpaceDE/>
        <w:autoSpaceDN/>
        <w:bidi w:val="0"/>
        <w:adjustRightInd w:val="0"/>
        <w:snapToGrid/>
        <w:ind w:firstLine="0" w:firstLineChars="0"/>
        <w:jc w:val="both"/>
        <w:textAlignment w:val="auto"/>
      </w:pPr>
      <w:r>
        <w:rPr>
          <w:bCs w:val="0"/>
        </w:rPr>
        <w:fldChar w:fldCharType="begin"/>
      </w:r>
      <w:r>
        <w:rPr>
          <w:bCs w:val="0"/>
        </w:rPr>
        <w:instrText xml:space="preserve"> HYPERLINK \l _Toc25018 </w:instrText>
      </w:r>
      <w:r>
        <w:rPr>
          <w:bCs w:val="0"/>
        </w:rPr>
        <w:fldChar w:fldCharType="separate"/>
      </w:r>
      <w:r>
        <w:rPr>
          <w:rFonts w:hint="default"/>
        </w:rPr>
        <w:t xml:space="preserve">6.3 </w:t>
      </w:r>
      <w:r>
        <w:rPr>
          <w:rFonts w:hint="eastAsia"/>
        </w:rPr>
        <w:t>电梯及电梯间</w:t>
      </w:r>
      <w:r>
        <w:tab/>
      </w:r>
      <w:r>
        <w:fldChar w:fldCharType="begin"/>
      </w:r>
      <w:r>
        <w:instrText xml:space="preserve"> PAGEREF _Toc25018 \h </w:instrText>
      </w:r>
      <w:r>
        <w:fldChar w:fldCharType="separate"/>
      </w:r>
      <w:r>
        <w:t>12</w:t>
      </w:r>
      <w:r>
        <w:fldChar w:fldCharType="end"/>
      </w:r>
      <w:r>
        <w:rPr>
          <w:bCs w:val="0"/>
        </w:rPr>
        <w:fldChar w:fldCharType="end"/>
      </w:r>
    </w:p>
    <w:p w14:paraId="7EF18E18">
      <w:pPr>
        <w:pStyle w:val="24"/>
        <w:keepNext w:val="0"/>
        <w:keepLines w:val="0"/>
        <w:pageBreakBefore w:val="0"/>
        <w:widowControl w:val="0"/>
        <w:tabs>
          <w:tab w:val="right" w:leader="dot" w:pos="8306"/>
        </w:tabs>
        <w:kinsoku/>
        <w:wordWrap/>
        <w:overflowPunct/>
        <w:topLinePunct w:val="0"/>
        <w:autoSpaceDE/>
        <w:autoSpaceDN/>
        <w:bidi w:val="0"/>
        <w:adjustRightInd w:val="0"/>
        <w:snapToGrid/>
        <w:ind w:firstLine="0" w:firstLineChars="0"/>
        <w:jc w:val="both"/>
        <w:textAlignment w:val="auto"/>
      </w:pPr>
      <w:r>
        <w:rPr>
          <w:bCs w:val="0"/>
        </w:rPr>
        <w:fldChar w:fldCharType="begin"/>
      </w:r>
      <w:r>
        <w:rPr>
          <w:bCs w:val="0"/>
        </w:rPr>
        <w:instrText xml:space="preserve"> HYPERLINK \l _Toc11141 </w:instrText>
      </w:r>
      <w:r>
        <w:rPr>
          <w:bCs w:val="0"/>
        </w:rPr>
        <w:fldChar w:fldCharType="separate"/>
      </w:r>
      <w:r>
        <w:rPr>
          <w:rFonts w:hint="default"/>
        </w:rPr>
        <w:t xml:space="preserve">6.4 </w:t>
      </w:r>
      <w:r>
        <w:rPr>
          <w:rFonts w:hint="eastAsia"/>
        </w:rPr>
        <w:t>附建公共用房</w:t>
      </w:r>
      <w:r>
        <w:tab/>
      </w:r>
      <w:r>
        <w:fldChar w:fldCharType="begin"/>
      </w:r>
      <w:r>
        <w:instrText xml:space="preserve"> PAGEREF _Toc11141 \h </w:instrText>
      </w:r>
      <w:r>
        <w:fldChar w:fldCharType="separate"/>
      </w:r>
      <w:r>
        <w:t>13</w:t>
      </w:r>
      <w:r>
        <w:fldChar w:fldCharType="end"/>
      </w:r>
      <w:r>
        <w:rPr>
          <w:bCs w:val="0"/>
        </w:rPr>
        <w:fldChar w:fldCharType="end"/>
      </w:r>
    </w:p>
    <w:p w14:paraId="44316E1E">
      <w:pPr>
        <w:pStyle w:val="24"/>
        <w:keepNext w:val="0"/>
        <w:keepLines w:val="0"/>
        <w:pageBreakBefore w:val="0"/>
        <w:widowControl w:val="0"/>
        <w:tabs>
          <w:tab w:val="right" w:leader="dot" w:pos="8306"/>
        </w:tabs>
        <w:kinsoku/>
        <w:wordWrap/>
        <w:overflowPunct/>
        <w:topLinePunct w:val="0"/>
        <w:autoSpaceDE/>
        <w:autoSpaceDN/>
        <w:bidi w:val="0"/>
        <w:adjustRightInd w:val="0"/>
        <w:snapToGrid/>
        <w:ind w:firstLine="0" w:firstLineChars="0"/>
        <w:jc w:val="both"/>
        <w:textAlignment w:val="auto"/>
      </w:pPr>
      <w:r>
        <w:rPr>
          <w:bCs w:val="0"/>
        </w:rPr>
        <w:fldChar w:fldCharType="begin"/>
      </w:r>
      <w:r>
        <w:rPr>
          <w:bCs w:val="0"/>
        </w:rPr>
        <w:instrText xml:space="preserve"> HYPERLINK \l _Toc21156 </w:instrText>
      </w:r>
      <w:r>
        <w:rPr>
          <w:bCs w:val="0"/>
        </w:rPr>
        <w:fldChar w:fldCharType="separate"/>
      </w:r>
      <w:r>
        <w:rPr>
          <w:rFonts w:hint="default"/>
        </w:rPr>
        <w:t xml:space="preserve">6.5 </w:t>
      </w:r>
      <w:r>
        <w:rPr>
          <w:rFonts w:hint="eastAsia"/>
        </w:rPr>
        <w:t>地下室、半地下室</w:t>
      </w:r>
      <w:r>
        <w:tab/>
      </w:r>
      <w:r>
        <w:fldChar w:fldCharType="begin"/>
      </w:r>
      <w:r>
        <w:instrText xml:space="preserve"> PAGEREF _Toc21156 \h </w:instrText>
      </w:r>
      <w:r>
        <w:fldChar w:fldCharType="separate"/>
      </w:r>
      <w:r>
        <w:t>13</w:t>
      </w:r>
      <w:r>
        <w:fldChar w:fldCharType="end"/>
      </w:r>
      <w:r>
        <w:rPr>
          <w:bCs w:val="0"/>
        </w:rPr>
        <w:fldChar w:fldCharType="end"/>
      </w:r>
    </w:p>
    <w:p w14:paraId="278D40C5">
      <w:pPr>
        <w:pStyle w:val="19"/>
        <w:keepNext w:val="0"/>
        <w:keepLines w:val="0"/>
        <w:pageBreakBefore w:val="0"/>
        <w:widowControl w:val="0"/>
        <w:tabs>
          <w:tab w:val="right" w:leader="dot" w:pos="8306"/>
        </w:tabs>
        <w:kinsoku/>
        <w:wordWrap/>
        <w:overflowPunct/>
        <w:topLinePunct w:val="0"/>
        <w:autoSpaceDE/>
        <w:autoSpaceDN/>
        <w:bidi w:val="0"/>
        <w:adjustRightInd w:val="0"/>
        <w:snapToGrid/>
        <w:ind w:firstLine="0" w:firstLineChars="0"/>
        <w:jc w:val="both"/>
        <w:textAlignment w:val="auto"/>
      </w:pPr>
      <w:r>
        <w:rPr>
          <w:bCs w:val="0"/>
        </w:rPr>
        <w:fldChar w:fldCharType="begin"/>
      </w:r>
      <w:r>
        <w:rPr>
          <w:bCs w:val="0"/>
        </w:rPr>
        <w:instrText xml:space="preserve"> HYPERLINK \l _Toc6389 </w:instrText>
      </w:r>
      <w:r>
        <w:rPr>
          <w:bCs w:val="0"/>
        </w:rPr>
        <w:fldChar w:fldCharType="separate"/>
      </w:r>
      <w:r>
        <w:rPr>
          <w:rFonts w:hint="default"/>
        </w:rPr>
        <w:t xml:space="preserve">7 </w:t>
      </w:r>
      <w:r>
        <w:rPr>
          <w:rFonts w:hint="eastAsia"/>
        </w:rPr>
        <w:t>住宅设施</w:t>
      </w:r>
      <w:r>
        <w:tab/>
      </w:r>
      <w:r>
        <w:fldChar w:fldCharType="begin"/>
      </w:r>
      <w:r>
        <w:instrText xml:space="preserve"> PAGEREF _Toc6389 \h </w:instrText>
      </w:r>
      <w:r>
        <w:fldChar w:fldCharType="separate"/>
      </w:r>
      <w:r>
        <w:t>15</w:t>
      </w:r>
      <w:r>
        <w:fldChar w:fldCharType="end"/>
      </w:r>
      <w:r>
        <w:rPr>
          <w:bCs w:val="0"/>
        </w:rPr>
        <w:fldChar w:fldCharType="end"/>
      </w:r>
    </w:p>
    <w:p w14:paraId="453A6DE1">
      <w:pPr>
        <w:pStyle w:val="24"/>
        <w:keepNext w:val="0"/>
        <w:keepLines w:val="0"/>
        <w:pageBreakBefore w:val="0"/>
        <w:widowControl w:val="0"/>
        <w:tabs>
          <w:tab w:val="right" w:leader="dot" w:pos="8306"/>
        </w:tabs>
        <w:kinsoku/>
        <w:wordWrap/>
        <w:overflowPunct/>
        <w:topLinePunct w:val="0"/>
        <w:autoSpaceDE/>
        <w:autoSpaceDN/>
        <w:bidi w:val="0"/>
        <w:adjustRightInd w:val="0"/>
        <w:snapToGrid/>
        <w:ind w:firstLine="0" w:firstLineChars="0"/>
        <w:jc w:val="both"/>
        <w:textAlignment w:val="auto"/>
      </w:pPr>
      <w:r>
        <w:rPr>
          <w:bCs w:val="0"/>
        </w:rPr>
        <w:fldChar w:fldCharType="begin"/>
      </w:r>
      <w:r>
        <w:rPr>
          <w:bCs w:val="0"/>
        </w:rPr>
        <w:instrText xml:space="preserve"> HYPERLINK \l _Toc30566 </w:instrText>
      </w:r>
      <w:r>
        <w:rPr>
          <w:bCs w:val="0"/>
        </w:rPr>
        <w:fldChar w:fldCharType="separate"/>
      </w:r>
      <w:r>
        <w:rPr>
          <w:rFonts w:hint="default"/>
        </w:rPr>
        <w:t xml:space="preserve">7.1 </w:t>
      </w:r>
      <w:r>
        <w:rPr>
          <w:rFonts w:hint="eastAsia"/>
        </w:rPr>
        <w:t>门窗</w:t>
      </w:r>
      <w:r>
        <w:tab/>
      </w:r>
      <w:r>
        <w:fldChar w:fldCharType="begin"/>
      </w:r>
      <w:r>
        <w:instrText xml:space="preserve"> PAGEREF _Toc30566 \h </w:instrText>
      </w:r>
      <w:r>
        <w:fldChar w:fldCharType="separate"/>
      </w:r>
      <w:r>
        <w:t>15</w:t>
      </w:r>
      <w:r>
        <w:fldChar w:fldCharType="end"/>
      </w:r>
      <w:r>
        <w:rPr>
          <w:bCs w:val="0"/>
        </w:rPr>
        <w:fldChar w:fldCharType="end"/>
      </w:r>
    </w:p>
    <w:p w14:paraId="6EAD806B">
      <w:pPr>
        <w:pStyle w:val="24"/>
        <w:keepNext w:val="0"/>
        <w:keepLines w:val="0"/>
        <w:pageBreakBefore w:val="0"/>
        <w:widowControl w:val="0"/>
        <w:tabs>
          <w:tab w:val="right" w:leader="dot" w:pos="8306"/>
        </w:tabs>
        <w:kinsoku/>
        <w:wordWrap/>
        <w:overflowPunct/>
        <w:topLinePunct w:val="0"/>
        <w:autoSpaceDE/>
        <w:autoSpaceDN/>
        <w:bidi w:val="0"/>
        <w:adjustRightInd w:val="0"/>
        <w:snapToGrid/>
        <w:ind w:firstLine="0" w:firstLineChars="0"/>
        <w:jc w:val="both"/>
        <w:textAlignment w:val="auto"/>
      </w:pPr>
      <w:r>
        <w:rPr>
          <w:bCs w:val="0"/>
        </w:rPr>
        <w:fldChar w:fldCharType="begin"/>
      </w:r>
      <w:r>
        <w:rPr>
          <w:bCs w:val="0"/>
        </w:rPr>
        <w:instrText xml:space="preserve"> HYPERLINK \l _Toc23189 </w:instrText>
      </w:r>
      <w:r>
        <w:rPr>
          <w:bCs w:val="0"/>
        </w:rPr>
        <w:fldChar w:fldCharType="separate"/>
      </w:r>
      <w:r>
        <w:rPr>
          <w:rFonts w:hint="default"/>
        </w:rPr>
        <w:t xml:space="preserve">7.2 </w:t>
      </w:r>
      <w:r>
        <w:rPr>
          <w:rFonts w:hint="eastAsia"/>
        </w:rPr>
        <w:t>信报、快件设施</w:t>
      </w:r>
      <w:r>
        <w:tab/>
      </w:r>
      <w:r>
        <w:fldChar w:fldCharType="begin"/>
      </w:r>
      <w:r>
        <w:instrText xml:space="preserve"> PAGEREF _Toc23189 \h </w:instrText>
      </w:r>
      <w:r>
        <w:fldChar w:fldCharType="separate"/>
      </w:r>
      <w:r>
        <w:t>16</w:t>
      </w:r>
      <w:r>
        <w:fldChar w:fldCharType="end"/>
      </w:r>
      <w:r>
        <w:rPr>
          <w:bCs w:val="0"/>
        </w:rPr>
        <w:fldChar w:fldCharType="end"/>
      </w:r>
    </w:p>
    <w:p w14:paraId="1B378D39">
      <w:pPr>
        <w:pStyle w:val="24"/>
        <w:keepNext w:val="0"/>
        <w:keepLines w:val="0"/>
        <w:pageBreakBefore w:val="0"/>
        <w:widowControl w:val="0"/>
        <w:tabs>
          <w:tab w:val="right" w:leader="dot" w:pos="8306"/>
        </w:tabs>
        <w:kinsoku/>
        <w:wordWrap/>
        <w:overflowPunct/>
        <w:topLinePunct w:val="0"/>
        <w:autoSpaceDE/>
        <w:autoSpaceDN/>
        <w:bidi w:val="0"/>
        <w:adjustRightInd w:val="0"/>
        <w:snapToGrid/>
        <w:ind w:firstLine="0" w:firstLineChars="0"/>
        <w:jc w:val="both"/>
        <w:textAlignment w:val="auto"/>
      </w:pPr>
      <w:r>
        <w:rPr>
          <w:bCs w:val="0"/>
        </w:rPr>
        <w:fldChar w:fldCharType="begin"/>
      </w:r>
      <w:r>
        <w:rPr>
          <w:bCs w:val="0"/>
        </w:rPr>
        <w:instrText xml:space="preserve"> HYPERLINK \l _Toc15733 </w:instrText>
      </w:r>
      <w:r>
        <w:rPr>
          <w:bCs w:val="0"/>
        </w:rPr>
        <w:fldChar w:fldCharType="separate"/>
      </w:r>
      <w:r>
        <w:rPr>
          <w:rFonts w:hint="default"/>
        </w:rPr>
        <w:t xml:space="preserve">7.3 </w:t>
      </w:r>
      <w:r>
        <w:rPr>
          <w:rFonts w:hint="eastAsia"/>
        </w:rPr>
        <w:t>空调室外搁板</w:t>
      </w:r>
      <w:r>
        <w:tab/>
      </w:r>
      <w:r>
        <w:fldChar w:fldCharType="begin"/>
      </w:r>
      <w:r>
        <w:instrText xml:space="preserve"> PAGEREF _Toc15733 \h </w:instrText>
      </w:r>
      <w:r>
        <w:fldChar w:fldCharType="separate"/>
      </w:r>
      <w:r>
        <w:t>16</w:t>
      </w:r>
      <w:r>
        <w:fldChar w:fldCharType="end"/>
      </w:r>
      <w:r>
        <w:rPr>
          <w:bCs w:val="0"/>
        </w:rPr>
        <w:fldChar w:fldCharType="end"/>
      </w:r>
    </w:p>
    <w:p w14:paraId="4D130556">
      <w:pPr>
        <w:pStyle w:val="24"/>
        <w:keepNext w:val="0"/>
        <w:keepLines w:val="0"/>
        <w:pageBreakBefore w:val="0"/>
        <w:widowControl w:val="0"/>
        <w:tabs>
          <w:tab w:val="right" w:leader="dot" w:pos="8306"/>
        </w:tabs>
        <w:kinsoku/>
        <w:wordWrap/>
        <w:overflowPunct/>
        <w:topLinePunct w:val="0"/>
        <w:autoSpaceDE/>
        <w:autoSpaceDN/>
        <w:bidi w:val="0"/>
        <w:adjustRightInd w:val="0"/>
        <w:snapToGrid/>
        <w:ind w:firstLine="0" w:firstLineChars="0"/>
        <w:jc w:val="both"/>
        <w:textAlignment w:val="auto"/>
      </w:pPr>
      <w:r>
        <w:rPr>
          <w:bCs w:val="0"/>
        </w:rPr>
        <w:fldChar w:fldCharType="begin"/>
      </w:r>
      <w:r>
        <w:rPr>
          <w:bCs w:val="0"/>
        </w:rPr>
        <w:instrText xml:space="preserve"> HYPERLINK \l _Toc6080 </w:instrText>
      </w:r>
      <w:r>
        <w:rPr>
          <w:bCs w:val="0"/>
        </w:rPr>
        <w:fldChar w:fldCharType="separate"/>
      </w:r>
      <w:r>
        <w:rPr>
          <w:rFonts w:hint="default"/>
        </w:rPr>
        <w:t xml:space="preserve">7.4 </w:t>
      </w:r>
      <w:r>
        <w:rPr>
          <w:rFonts w:hint="eastAsia"/>
        </w:rPr>
        <w:t>共用排气道与管道井</w:t>
      </w:r>
      <w:r>
        <w:tab/>
      </w:r>
      <w:r>
        <w:fldChar w:fldCharType="begin"/>
      </w:r>
      <w:r>
        <w:instrText xml:space="preserve"> PAGEREF _Toc6080 \h </w:instrText>
      </w:r>
      <w:r>
        <w:fldChar w:fldCharType="separate"/>
      </w:r>
      <w:r>
        <w:t>17</w:t>
      </w:r>
      <w:r>
        <w:fldChar w:fldCharType="end"/>
      </w:r>
      <w:r>
        <w:rPr>
          <w:bCs w:val="0"/>
        </w:rPr>
        <w:fldChar w:fldCharType="end"/>
      </w:r>
    </w:p>
    <w:p w14:paraId="55ACB4E7">
      <w:pPr>
        <w:pStyle w:val="24"/>
        <w:keepNext w:val="0"/>
        <w:keepLines w:val="0"/>
        <w:pageBreakBefore w:val="0"/>
        <w:widowControl w:val="0"/>
        <w:tabs>
          <w:tab w:val="right" w:leader="dot" w:pos="8306"/>
        </w:tabs>
        <w:kinsoku/>
        <w:wordWrap/>
        <w:overflowPunct/>
        <w:topLinePunct w:val="0"/>
        <w:autoSpaceDE/>
        <w:autoSpaceDN/>
        <w:bidi w:val="0"/>
        <w:adjustRightInd w:val="0"/>
        <w:snapToGrid/>
        <w:ind w:firstLine="0" w:firstLineChars="0"/>
        <w:jc w:val="both"/>
        <w:textAlignment w:val="auto"/>
      </w:pPr>
      <w:r>
        <w:rPr>
          <w:bCs w:val="0"/>
        </w:rPr>
        <w:fldChar w:fldCharType="begin"/>
      </w:r>
      <w:r>
        <w:rPr>
          <w:bCs w:val="0"/>
        </w:rPr>
        <w:instrText xml:space="preserve"> HYPERLINK \l _Toc18318 </w:instrText>
      </w:r>
      <w:r>
        <w:rPr>
          <w:bCs w:val="0"/>
        </w:rPr>
        <w:fldChar w:fldCharType="separate"/>
      </w:r>
      <w:r>
        <w:rPr>
          <w:rFonts w:hint="default"/>
        </w:rPr>
        <w:t xml:space="preserve">7.5 </w:t>
      </w:r>
      <w:r>
        <w:rPr>
          <w:rFonts w:hint="eastAsia"/>
        </w:rPr>
        <w:t>防火构造</w:t>
      </w:r>
      <w:r>
        <w:tab/>
      </w:r>
      <w:r>
        <w:fldChar w:fldCharType="begin"/>
      </w:r>
      <w:r>
        <w:instrText xml:space="preserve"> PAGEREF _Toc18318 \h </w:instrText>
      </w:r>
      <w:r>
        <w:fldChar w:fldCharType="separate"/>
      </w:r>
      <w:r>
        <w:t>17</w:t>
      </w:r>
      <w:r>
        <w:fldChar w:fldCharType="end"/>
      </w:r>
      <w:r>
        <w:rPr>
          <w:bCs w:val="0"/>
        </w:rPr>
        <w:fldChar w:fldCharType="end"/>
      </w:r>
    </w:p>
    <w:p w14:paraId="1FE00B91">
      <w:pPr>
        <w:pStyle w:val="19"/>
        <w:keepNext w:val="0"/>
        <w:keepLines w:val="0"/>
        <w:pageBreakBefore w:val="0"/>
        <w:widowControl w:val="0"/>
        <w:tabs>
          <w:tab w:val="right" w:leader="dot" w:pos="8306"/>
        </w:tabs>
        <w:kinsoku/>
        <w:wordWrap/>
        <w:overflowPunct/>
        <w:topLinePunct w:val="0"/>
        <w:autoSpaceDE/>
        <w:autoSpaceDN/>
        <w:bidi w:val="0"/>
        <w:adjustRightInd w:val="0"/>
        <w:snapToGrid/>
        <w:ind w:firstLine="0" w:firstLineChars="0"/>
        <w:jc w:val="both"/>
        <w:textAlignment w:val="auto"/>
      </w:pPr>
      <w:r>
        <w:rPr>
          <w:bCs w:val="0"/>
        </w:rPr>
        <w:fldChar w:fldCharType="begin"/>
      </w:r>
      <w:r>
        <w:rPr>
          <w:bCs w:val="0"/>
        </w:rPr>
        <w:instrText xml:space="preserve"> HYPERLINK \l _Toc26054 </w:instrText>
      </w:r>
      <w:r>
        <w:rPr>
          <w:bCs w:val="0"/>
        </w:rPr>
        <w:fldChar w:fldCharType="separate"/>
      </w:r>
      <w:r>
        <w:rPr>
          <w:rFonts w:hint="default" w:ascii="黑体" w:hAnsi="黑体" w:eastAsia="黑体" w:cs="黑体"/>
        </w:rPr>
        <w:t xml:space="preserve">8 </w:t>
      </w:r>
      <w:r>
        <w:rPr>
          <w:rFonts w:hint="eastAsia" w:ascii="黑体" w:hAnsi="黑体" w:eastAsia="黑体" w:cs="黑体"/>
        </w:rPr>
        <w:t>室内环境</w:t>
      </w:r>
      <w:r>
        <w:tab/>
      </w:r>
      <w:r>
        <w:fldChar w:fldCharType="begin"/>
      </w:r>
      <w:r>
        <w:instrText xml:space="preserve"> PAGEREF _Toc26054 \h </w:instrText>
      </w:r>
      <w:r>
        <w:fldChar w:fldCharType="separate"/>
      </w:r>
      <w:r>
        <w:t>19</w:t>
      </w:r>
      <w:r>
        <w:fldChar w:fldCharType="end"/>
      </w:r>
      <w:r>
        <w:rPr>
          <w:bCs w:val="0"/>
        </w:rPr>
        <w:fldChar w:fldCharType="end"/>
      </w:r>
    </w:p>
    <w:p w14:paraId="6279CBEA">
      <w:pPr>
        <w:pStyle w:val="24"/>
        <w:keepNext w:val="0"/>
        <w:keepLines w:val="0"/>
        <w:pageBreakBefore w:val="0"/>
        <w:widowControl w:val="0"/>
        <w:tabs>
          <w:tab w:val="right" w:leader="dot" w:pos="8306"/>
        </w:tabs>
        <w:kinsoku/>
        <w:wordWrap/>
        <w:overflowPunct/>
        <w:topLinePunct w:val="0"/>
        <w:autoSpaceDE/>
        <w:autoSpaceDN/>
        <w:bidi w:val="0"/>
        <w:adjustRightInd w:val="0"/>
        <w:snapToGrid/>
        <w:ind w:firstLine="0" w:firstLineChars="0"/>
        <w:jc w:val="both"/>
        <w:textAlignment w:val="auto"/>
      </w:pPr>
      <w:r>
        <w:rPr>
          <w:bCs w:val="0"/>
        </w:rPr>
        <w:fldChar w:fldCharType="begin"/>
      </w:r>
      <w:r>
        <w:rPr>
          <w:bCs w:val="0"/>
        </w:rPr>
        <w:instrText xml:space="preserve"> HYPERLINK \l _Toc1315 </w:instrText>
      </w:r>
      <w:r>
        <w:rPr>
          <w:bCs w:val="0"/>
        </w:rPr>
        <w:fldChar w:fldCharType="separate"/>
      </w:r>
      <w:r>
        <w:rPr>
          <w:rFonts w:hint="default"/>
        </w:rPr>
        <w:t xml:space="preserve">8.1 </w:t>
      </w:r>
      <w:r>
        <w:rPr>
          <w:rFonts w:hint="eastAsia"/>
        </w:rPr>
        <w:t>日照</w:t>
      </w:r>
      <w:r>
        <w:tab/>
      </w:r>
      <w:r>
        <w:fldChar w:fldCharType="begin"/>
      </w:r>
      <w:r>
        <w:instrText xml:space="preserve"> PAGEREF _Toc1315 \h </w:instrText>
      </w:r>
      <w:r>
        <w:fldChar w:fldCharType="separate"/>
      </w:r>
      <w:r>
        <w:t>19</w:t>
      </w:r>
      <w:r>
        <w:fldChar w:fldCharType="end"/>
      </w:r>
      <w:r>
        <w:rPr>
          <w:bCs w:val="0"/>
        </w:rPr>
        <w:fldChar w:fldCharType="end"/>
      </w:r>
    </w:p>
    <w:p w14:paraId="1054826B">
      <w:pPr>
        <w:pStyle w:val="24"/>
        <w:keepNext w:val="0"/>
        <w:keepLines w:val="0"/>
        <w:pageBreakBefore w:val="0"/>
        <w:widowControl w:val="0"/>
        <w:tabs>
          <w:tab w:val="right" w:leader="dot" w:pos="8306"/>
        </w:tabs>
        <w:kinsoku/>
        <w:wordWrap/>
        <w:overflowPunct/>
        <w:topLinePunct w:val="0"/>
        <w:autoSpaceDE/>
        <w:autoSpaceDN/>
        <w:bidi w:val="0"/>
        <w:adjustRightInd w:val="0"/>
        <w:snapToGrid/>
        <w:ind w:firstLine="0" w:firstLineChars="0"/>
        <w:jc w:val="both"/>
        <w:textAlignment w:val="auto"/>
      </w:pPr>
      <w:r>
        <w:rPr>
          <w:bCs w:val="0"/>
        </w:rPr>
        <w:fldChar w:fldCharType="begin"/>
      </w:r>
      <w:r>
        <w:rPr>
          <w:bCs w:val="0"/>
        </w:rPr>
        <w:instrText xml:space="preserve"> HYPERLINK \l _Toc28720 </w:instrText>
      </w:r>
      <w:r>
        <w:rPr>
          <w:bCs w:val="0"/>
        </w:rPr>
        <w:fldChar w:fldCharType="separate"/>
      </w:r>
      <w:r>
        <w:rPr>
          <w:rFonts w:hint="default"/>
        </w:rPr>
        <w:t xml:space="preserve">8.2 </w:t>
      </w:r>
      <w:r>
        <w:rPr>
          <w:rFonts w:hint="eastAsia"/>
        </w:rPr>
        <w:t>采光</w:t>
      </w:r>
      <w:r>
        <w:tab/>
      </w:r>
      <w:r>
        <w:fldChar w:fldCharType="begin"/>
      </w:r>
      <w:r>
        <w:instrText xml:space="preserve"> PAGEREF _Toc28720 \h </w:instrText>
      </w:r>
      <w:r>
        <w:fldChar w:fldCharType="separate"/>
      </w:r>
      <w:r>
        <w:t>19</w:t>
      </w:r>
      <w:r>
        <w:fldChar w:fldCharType="end"/>
      </w:r>
      <w:r>
        <w:rPr>
          <w:bCs w:val="0"/>
        </w:rPr>
        <w:fldChar w:fldCharType="end"/>
      </w:r>
    </w:p>
    <w:p w14:paraId="4DD274CF">
      <w:pPr>
        <w:pStyle w:val="24"/>
        <w:keepNext w:val="0"/>
        <w:keepLines w:val="0"/>
        <w:pageBreakBefore w:val="0"/>
        <w:widowControl w:val="0"/>
        <w:tabs>
          <w:tab w:val="right" w:leader="dot" w:pos="8306"/>
        </w:tabs>
        <w:kinsoku/>
        <w:wordWrap/>
        <w:overflowPunct/>
        <w:topLinePunct w:val="0"/>
        <w:autoSpaceDE/>
        <w:autoSpaceDN/>
        <w:bidi w:val="0"/>
        <w:adjustRightInd w:val="0"/>
        <w:snapToGrid/>
        <w:ind w:firstLine="0" w:firstLineChars="0"/>
        <w:jc w:val="both"/>
        <w:textAlignment w:val="auto"/>
      </w:pPr>
      <w:r>
        <w:rPr>
          <w:bCs w:val="0"/>
        </w:rPr>
        <w:fldChar w:fldCharType="begin"/>
      </w:r>
      <w:r>
        <w:rPr>
          <w:bCs w:val="0"/>
        </w:rPr>
        <w:instrText xml:space="preserve"> HYPERLINK \l _Toc28173 </w:instrText>
      </w:r>
      <w:r>
        <w:rPr>
          <w:bCs w:val="0"/>
        </w:rPr>
        <w:fldChar w:fldCharType="separate"/>
      </w:r>
      <w:r>
        <w:rPr>
          <w:rFonts w:hint="default"/>
        </w:rPr>
        <w:t xml:space="preserve">8.3 </w:t>
      </w:r>
      <w:r>
        <w:rPr>
          <w:rFonts w:hint="eastAsia"/>
        </w:rPr>
        <w:t>通风</w:t>
      </w:r>
      <w:r>
        <w:tab/>
      </w:r>
      <w:r>
        <w:fldChar w:fldCharType="begin"/>
      </w:r>
      <w:r>
        <w:instrText xml:space="preserve"> PAGEREF _Toc28173 \h </w:instrText>
      </w:r>
      <w:r>
        <w:fldChar w:fldCharType="separate"/>
      </w:r>
      <w:r>
        <w:t>19</w:t>
      </w:r>
      <w:r>
        <w:fldChar w:fldCharType="end"/>
      </w:r>
      <w:r>
        <w:rPr>
          <w:bCs w:val="0"/>
        </w:rPr>
        <w:fldChar w:fldCharType="end"/>
      </w:r>
    </w:p>
    <w:p w14:paraId="78CB2407">
      <w:pPr>
        <w:pStyle w:val="24"/>
        <w:keepNext w:val="0"/>
        <w:keepLines w:val="0"/>
        <w:pageBreakBefore w:val="0"/>
        <w:widowControl w:val="0"/>
        <w:tabs>
          <w:tab w:val="right" w:leader="dot" w:pos="8306"/>
        </w:tabs>
        <w:kinsoku/>
        <w:wordWrap/>
        <w:overflowPunct/>
        <w:topLinePunct w:val="0"/>
        <w:autoSpaceDE/>
        <w:autoSpaceDN/>
        <w:bidi w:val="0"/>
        <w:adjustRightInd w:val="0"/>
        <w:snapToGrid/>
        <w:ind w:firstLine="0" w:firstLineChars="0"/>
        <w:jc w:val="both"/>
        <w:textAlignment w:val="auto"/>
      </w:pPr>
      <w:r>
        <w:rPr>
          <w:bCs w:val="0"/>
        </w:rPr>
        <w:fldChar w:fldCharType="begin"/>
      </w:r>
      <w:r>
        <w:rPr>
          <w:bCs w:val="0"/>
        </w:rPr>
        <w:instrText xml:space="preserve"> HYPERLINK \l _Toc10265 </w:instrText>
      </w:r>
      <w:r>
        <w:rPr>
          <w:bCs w:val="0"/>
        </w:rPr>
        <w:fldChar w:fldCharType="separate"/>
      </w:r>
      <w:r>
        <w:rPr>
          <w:rFonts w:hint="default"/>
        </w:rPr>
        <w:t xml:space="preserve">8.4 </w:t>
      </w:r>
      <w:r>
        <w:rPr>
          <w:rFonts w:hint="eastAsia"/>
        </w:rPr>
        <w:t>隔声与降噪</w:t>
      </w:r>
      <w:r>
        <w:tab/>
      </w:r>
      <w:r>
        <w:fldChar w:fldCharType="begin"/>
      </w:r>
      <w:r>
        <w:instrText xml:space="preserve"> PAGEREF _Toc10265 \h </w:instrText>
      </w:r>
      <w:r>
        <w:fldChar w:fldCharType="separate"/>
      </w:r>
      <w:r>
        <w:t>20</w:t>
      </w:r>
      <w:r>
        <w:fldChar w:fldCharType="end"/>
      </w:r>
      <w:r>
        <w:rPr>
          <w:bCs w:val="0"/>
        </w:rPr>
        <w:fldChar w:fldCharType="end"/>
      </w:r>
    </w:p>
    <w:p w14:paraId="1AA62116">
      <w:pPr>
        <w:pStyle w:val="24"/>
        <w:keepNext w:val="0"/>
        <w:keepLines w:val="0"/>
        <w:pageBreakBefore w:val="0"/>
        <w:widowControl w:val="0"/>
        <w:tabs>
          <w:tab w:val="right" w:leader="dot" w:pos="8306"/>
        </w:tabs>
        <w:kinsoku/>
        <w:wordWrap/>
        <w:overflowPunct/>
        <w:topLinePunct w:val="0"/>
        <w:autoSpaceDE/>
        <w:autoSpaceDN/>
        <w:bidi w:val="0"/>
        <w:adjustRightInd w:val="0"/>
        <w:snapToGrid/>
        <w:ind w:firstLine="0" w:firstLineChars="0"/>
        <w:jc w:val="both"/>
        <w:textAlignment w:val="auto"/>
      </w:pPr>
      <w:r>
        <w:rPr>
          <w:bCs w:val="0"/>
        </w:rPr>
        <w:fldChar w:fldCharType="begin"/>
      </w:r>
      <w:r>
        <w:rPr>
          <w:bCs w:val="0"/>
        </w:rPr>
        <w:instrText xml:space="preserve"> HYPERLINK \l _Toc19707 </w:instrText>
      </w:r>
      <w:r>
        <w:rPr>
          <w:bCs w:val="0"/>
        </w:rPr>
        <w:fldChar w:fldCharType="separate"/>
      </w:r>
      <w:r>
        <w:rPr>
          <w:rFonts w:hint="default"/>
        </w:rPr>
        <w:t xml:space="preserve">8.5 </w:t>
      </w:r>
      <w:r>
        <w:rPr>
          <w:rFonts w:hint="eastAsia"/>
        </w:rPr>
        <w:t>保温与隔热</w:t>
      </w:r>
      <w:r>
        <w:tab/>
      </w:r>
      <w:r>
        <w:fldChar w:fldCharType="begin"/>
      </w:r>
      <w:r>
        <w:instrText xml:space="preserve"> PAGEREF _Toc19707 \h </w:instrText>
      </w:r>
      <w:r>
        <w:fldChar w:fldCharType="separate"/>
      </w:r>
      <w:r>
        <w:t>21</w:t>
      </w:r>
      <w:r>
        <w:fldChar w:fldCharType="end"/>
      </w:r>
      <w:r>
        <w:rPr>
          <w:bCs w:val="0"/>
        </w:rPr>
        <w:fldChar w:fldCharType="end"/>
      </w:r>
    </w:p>
    <w:p w14:paraId="6DDB3759">
      <w:pPr>
        <w:pStyle w:val="24"/>
        <w:keepNext w:val="0"/>
        <w:keepLines w:val="0"/>
        <w:pageBreakBefore w:val="0"/>
        <w:widowControl w:val="0"/>
        <w:tabs>
          <w:tab w:val="right" w:leader="dot" w:pos="8306"/>
        </w:tabs>
        <w:kinsoku/>
        <w:wordWrap/>
        <w:overflowPunct/>
        <w:topLinePunct w:val="0"/>
        <w:autoSpaceDE/>
        <w:autoSpaceDN/>
        <w:bidi w:val="0"/>
        <w:adjustRightInd w:val="0"/>
        <w:snapToGrid/>
        <w:ind w:firstLine="0" w:firstLineChars="0"/>
        <w:jc w:val="both"/>
        <w:textAlignment w:val="auto"/>
      </w:pPr>
      <w:r>
        <w:rPr>
          <w:bCs w:val="0"/>
        </w:rPr>
        <w:fldChar w:fldCharType="begin"/>
      </w:r>
      <w:r>
        <w:rPr>
          <w:bCs w:val="0"/>
        </w:rPr>
        <w:instrText xml:space="preserve"> HYPERLINK \l _Toc23406 </w:instrText>
      </w:r>
      <w:r>
        <w:rPr>
          <w:bCs w:val="0"/>
        </w:rPr>
        <w:fldChar w:fldCharType="separate"/>
      </w:r>
      <w:r>
        <w:rPr>
          <w:rFonts w:hint="default"/>
        </w:rPr>
        <w:t xml:space="preserve">8.6 </w:t>
      </w:r>
      <w:r>
        <w:rPr>
          <w:rFonts w:hint="eastAsia"/>
        </w:rPr>
        <w:t>室内空气质量</w:t>
      </w:r>
      <w:r>
        <w:tab/>
      </w:r>
      <w:r>
        <w:fldChar w:fldCharType="begin"/>
      </w:r>
      <w:r>
        <w:instrText xml:space="preserve"> PAGEREF _Toc23406 \h </w:instrText>
      </w:r>
      <w:r>
        <w:fldChar w:fldCharType="separate"/>
      </w:r>
      <w:r>
        <w:t>21</w:t>
      </w:r>
      <w:r>
        <w:fldChar w:fldCharType="end"/>
      </w:r>
      <w:r>
        <w:rPr>
          <w:bCs w:val="0"/>
        </w:rPr>
        <w:fldChar w:fldCharType="end"/>
      </w:r>
    </w:p>
    <w:p w14:paraId="25D03292">
      <w:pPr>
        <w:pStyle w:val="19"/>
        <w:keepNext w:val="0"/>
        <w:keepLines w:val="0"/>
        <w:pageBreakBefore w:val="0"/>
        <w:widowControl w:val="0"/>
        <w:tabs>
          <w:tab w:val="right" w:leader="dot" w:pos="8306"/>
        </w:tabs>
        <w:kinsoku/>
        <w:wordWrap/>
        <w:overflowPunct/>
        <w:topLinePunct w:val="0"/>
        <w:autoSpaceDE/>
        <w:autoSpaceDN/>
        <w:bidi w:val="0"/>
        <w:adjustRightInd w:val="0"/>
        <w:snapToGrid/>
        <w:ind w:firstLine="0" w:firstLineChars="0"/>
        <w:jc w:val="both"/>
        <w:textAlignment w:val="auto"/>
      </w:pPr>
      <w:r>
        <w:rPr>
          <w:bCs w:val="0"/>
        </w:rPr>
        <w:fldChar w:fldCharType="begin"/>
      </w:r>
      <w:r>
        <w:rPr>
          <w:bCs w:val="0"/>
        </w:rPr>
        <w:instrText xml:space="preserve"> HYPERLINK \l _Toc5691 </w:instrText>
      </w:r>
      <w:r>
        <w:rPr>
          <w:bCs w:val="0"/>
        </w:rPr>
        <w:fldChar w:fldCharType="separate"/>
      </w:r>
      <w:r>
        <w:rPr>
          <w:rFonts w:hint="default" w:ascii="黑体" w:hAnsi="黑体" w:eastAsia="黑体" w:cs="黑体"/>
        </w:rPr>
        <w:t xml:space="preserve">9 </w:t>
      </w:r>
      <w:r>
        <w:rPr>
          <w:rFonts w:hint="eastAsia" w:ascii="黑体" w:hAnsi="黑体" w:eastAsia="黑体" w:cs="黑体"/>
        </w:rPr>
        <w:t>建筑结构</w:t>
      </w:r>
      <w:r>
        <w:tab/>
      </w:r>
      <w:r>
        <w:fldChar w:fldCharType="begin"/>
      </w:r>
      <w:r>
        <w:instrText xml:space="preserve"> PAGEREF _Toc5691 \h </w:instrText>
      </w:r>
      <w:r>
        <w:fldChar w:fldCharType="separate"/>
      </w:r>
      <w:r>
        <w:t>23</w:t>
      </w:r>
      <w:r>
        <w:fldChar w:fldCharType="end"/>
      </w:r>
      <w:r>
        <w:rPr>
          <w:bCs w:val="0"/>
        </w:rPr>
        <w:fldChar w:fldCharType="end"/>
      </w:r>
    </w:p>
    <w:p w14:paraId="6BCCB832">
      <w:pPr>
        <w:pStyle w:val="24"/>
        <w:keepNext w:val="0"/>
        <w:keepLines w:val="0"/>
        <w:pageBreakBefore w:val="0"/>
        <w:widowControl w:val="0"/>
        <w:tabs>
          <w:tab w:val="right" w:leader="dot" w:pos="8306"/>
        </w:tabs>
        <w:kinsoku/>
        <w:wordWrap/>
        <w:overflowPunct/>
        <w:topLinePunct w:val="0"/>
        <w:autoSpaceDE/>
        <w:autoSpaceDN/>
        <w:bidi w:val="0"/>
        <w:adjustRightInd w:val="0"/>
        <w:snapToGrid/>
        <w:ind w:firstLine="0" w:firstLineChars="0"/>
        <w:jc w:val="both"/>
        <w:textAlignment w:val="auto"/>
      </w:pPr>
      <w:r>
        <w:rPr>
          <w:bCs w:val="0"/>
        </w:rPr>
        <w:fldChar w:fldCharType="begin"/>
      </w:r>
      <w:r>
        <w:rPr>
          <w:bCs w:val="0"/>
        </w:rPr>
        <w:instrText xml:space="preserve"> HYPERLINK \l _Toc23314 </w:instrText>
      </w:r>
      <w:r>
        <w:rPr>
          <w:bCs w:val="0"/>
        </w:rPr>
        <w:fldChar w:fldCharType="separate"/>
      </w:r>
      <w:r>
        <w:rPr>
          <w:rFonts w:hint="default"/>
        </w:rPr>
        <w:t xml:space="preserve">9.1 </w:t>
      </w:r>
      <w:r>
        <w:rPr>
          <w:rFonts w:hint="eastAsia"/>
        </w:rPr>
        <w:t>一般规定</w:t>
      </w:r>
      <w:r>
        <w:tab/>
      </w:r>
      <w:r>
        <w:fldChar w:fldCharType="begin"/>
      </w:r>
      <w:r>
        <w:instrText xml:space="preserve"> PAGEREF _Toc23314 \h </w:instrText>
      </w:r>
      <w:r>
        <w:fldChar w:fldCharType="separate"/>
      </w:r>
      <w:r>
        <w:t>23</w:t>
      </w:r>
      <w:r>
        <w:fldChar w:fldCharType="end"/>
      </w:r>
      <w:r>
        <w:rPr>
          <w:bCs w:val="0"/>
        </w:rPr>
        <w:fldChar w:fldCharType="end"/>
      </w:r>
    </w:p>
    <w:p w14:paraId="03494184">
      <w:pPr>
        <w:pStyle w:val="24"/>
        <w:keepNext w:val="0"/>
        <w:keepLines w:val="0"/>
        <w:pageBreakBefore w:val="0"/>
        <w:widowControl w:val="0"/>
        <w:tabs>
          <w:tab w:val="right" w:leader="dot" w:pos="8306"/>
        </w:tabs>
        <w:kinsoku/>
        <w:wordWrap/>
        <w:overflowPunct/>
        <w:topLinePunct w:val="0"/>
        <w:autoSpaceDE/>
        <w:autoSpaceDN/>
        <w:bidi w:val="0"/>
        <w:adjustRightInd w:val="0"/>
        <w:snapToGrid/>
        <w:ind w:firstLine="0" w:firstLineChars="0"/>
        <w:jc w:val="both"/>
        <w:textAlignment w:val="auto"/>
      </w:pPr>
      <w:r>
        <w:rPr>
          <w:bCs w:val="0"/>
        </w:rPr>
        <w:fldChar w:fldCharType="begin"/>
      </w:r>
      <w:r>
        <w:rPr>
          <w:bCs w:val="0"/>
        </w:rPr>
        <w:instrText xml:space="preserve"> HYPERLINK \l _Toc30149 </w:instrText>
      </w:r>
      <w:r>
        <w:rPr>
          <w:bCs w:val="0"/>
        </w:rPr>
        <w:fldChar w:fldCharType="separate"/>
      </w:r>
      <w:r>
        <w:rPr>
          <w:rFonts w:hint="default"/>
        </w:rPr>
        <w:t xml:space="preserve">9.2 </w:t>
      </w:r>
      <w:r>
        <w:rPr>
          <w:rFonts w:hint="eastAsia"/>
        </w:rPr>
        <w:t>住宅结构体系</w:t>
      </w:r>
      <w:r>
        <w:tab/>
      </w:r>
      <w:r>
        <w:fldChar w:fldCharType="begin"/>
      </w:r>
      <w:r>
        <w:instrText xml:space="preserve"> PAGEREF _Toc30149 \h </w:instrText>
      </w:r>
      <w:r>
        <w:fldChar w:fldCharType="separate"/>
      </w:r>
      <w:r>
        <w:t>23</w:t>
      </w:r>
      <w:r>
        <w:fldChar w:fldCharType="end"/>
      </w:r>
      <w:r>
        <w:rPr>
          <w:bCs w:val="0"/>
        </w:rPr>
        <w:fldChar w:fldCharType="end"/>
      </w:r>
    </w:p>
    <w:p w14:paraId="7FDCE35E">
      <w:pPr>
        <w:pStyle w:val="24"/>
        <w:keepNext w:val="0"/>
        <w:keepLines w:val="0"/>
        <w:pageBreakBefore w:val="0"/>
        <w:widowControl w:val="0"/>
        <w:tabs>
          <w:tab w:val="right" w:leader="dot" w:pos="8306"/>
        </w:tabs>
        <w:kinsoku/>
        <w:wordWrap/>
        <w:overflowPunct/>
        <w:topLinePunct w:val="0"/>
        <w:autoSpaceDE/>
        <w:autoSpaceDN/>
        <w:bidi w:val="0"/>
        <w:adjustRightInd w:val="0"/>
        <w:snapToGrid/>
        <w:ind w:firstLine="0" w:firstLineChars="0"/>
        <w:jc w:val="both"/>
        <w:textAlignment w:val="auto"/>
      </w:pPr>
      <w:r>
        <w:rPr>
          <w:bCs w:val="0"/>
        </w:rPr>
        <w:fldChar w:fldCharType="begin"/>
      </w:r>
      <w:r>
        <w:rPr>
          <w:bCs w:val="0"/>
        </w:rPr>
        <w:instrText xml:space="preserve"> HYPERLINK \l _Toc20278 </w:instrText>
      </w:r>
      <w:r>
        <w:rPr>
          <w:bCs w:val="0"/>
        </w:rPr>
        <w:fldChar w:fldCharType="separate"/>
      </w:r>
      <w:r>
        <w:rPr>
          <w:rFonts w:hint="default"/>
        </w:rPr>
        <w:t xml:space="preserve">9.3 </w:t>
      </w:r>
      <w:r>
        <w:rPr>
          <w:rFonts w:hint="eastAsia"/>
        </w:rPr>
        <w:t>结构计算</w:t>
      </w:r>
      <w:r>
        <w:tab/>
      </w:r>
      <w:r>
        <w:fldChar w:fldCharType="begin"/>
      </w:r>
      <w:r>
        <w:instrText xml:space="preserve"> PAGEREF _Toc20278 \h </w:instrText>
      </w:r>
      <w:r>
        <w:fldChar w:fldCharType="separate"/>
      </w:r>
      <w:r>
        <w:t>27</w:t>
      </w:r>
      <w:r>
        <w:fldChar w:fldCharType="end"/>
      </w:r>
      <w:r>
        <w:rPr>
          <w:bCs w:val="0"/>
        </w:rPr>
        <w:fldChar w:fldCharType="end"/>
      </w:r>
    </w:p>
    <w:p w14:paraId="615C4BC9">
      <w:pPr>
        <w:pStyle w:val="24"/>
        <w:keepNext w:val="0"/>
        <w:keepLines w:val="0"/>
        <w:pageBreakBefore w:val="0"/>
        <w:widowControl w:val="0"/>
        <w:tabs>
          <w:tab w:val="right" w:leader="dot" w:pos="8306"/>
        </w:tabs>
        <w:kinsoku/>
        <w:wordWrap/>
        <w:overflowPunct/>
        <w:topLinePunct w:val="0"/>
        <w:autoSpaceDE/>
        <w:autoSpaceDN/>
        <w:bidi w:val="0"/>
        <w:adjustRightInd w:val="0"/>
        <w:snapToGrid/>
        <w:ind w:firstLine="0" w:firstLineChars="0"/>
        <w:jc w:val="both"/>
        <w:textAlignment w:val="auto"/>
      </w:pPr>
      <w:r>
        <w:rPr>
          <w:bCs w:val="0"/>
        </w:rPr>
        <w:fldChar w:fldCharType="begin"/>
      </w:r>
      <w:r>
        <w:rPr>
          <w:bCs w:val="0"/>
        </w:rPr>
        <w:instrText xml:space="preserve"> HYPERLINK \l _Toc22198 </w:instrText>
      </w:r>
      <w:r>
        <w:rPr>
          <w:bCs w:val="0"/>
        </w:rPr>
        <w:fldChar w:fldCharType="separate"/>
      </w:r>
      <w:r>
        <w:rPr>
          <w:rFonts w:hint="default"/>
        </w:rPr>
        <w:t xml:space="preserve">9.4 </w:t>
      </w:r>
      <w:r>
        <w:rPr>
          <w:rFonts w:hint="eastAsia"/>
        </w:rPr>
        <w:t>地基基础设计</w:t>
      </w:r>
      <w:r>
        <w:tab/>
      </w:r>
      <w:r>
        <w:fldChar w:fldCharType="begin"/>
      </w:r>
      <w:r>
        <w:instrText xml:space="preserve"> PAGEREF _Toc22198 \h </w:instrText>
      </w:r>
      <w:r>
        <w:fldChar w:fldCharType="separate"/>
      </w:r>
      <w:r>
        <w:t>29</w:t>
      </w:r>
      <w:r>
        <w:fldChar w:fldCharType="end"/>
      </w:r>
      <w:r>
        <w:rPr>
          <w:bCs w:val="0"/>
        </w:rPr>
        <w:fldChar w:fldCharType="end"/>
      </w:r>
    </w:p>
    <w:p w14:paraId="16EA39F5">
      <w:pPr>
        <w:pStyle w:val="24"/>
        <w:keepNext w:val="0"/>
        <w:keepLines w:val="0"/>
        <w:pageBreakBefore w:val="0"/>
        <w:widowControl w:val="0"/>
        <w:tabs>
          <w:tab w:val="right" w:leader="dot" w:pos="8306"/>
        </w:tabs>
        <w:kinsoku/>
        <w:wordWrap/>
        <w:overflowPunct/>
        <w:topLinePunct w:val="0"/>
        <w:autoSpaceDE/>
        <w:autoSpaceDN/>
        <w:bidi w:val="0"/>
        <w:adjustRightInd w:val="0"/>
        <w:snapToGrid/>
        <w:ind w:firstLine="0" w:firstLineChars="0"/>
        <w:jc w:val="both"/>
        <w:textAlignment w:val="auto"/>
      </w:pPr>
      <w:r>
        <w:rPr>
          <w:bCs w:val="0"/>
        </w:rPr>
        <w:fldChar w:fldCharType="begin"/>
      </w:r>
      <w:r>
        <w:rPr>
          <w:bCs w:val="0"/>
        </w:rPr>
        <w:instrText xml:space="preserve"> HYPERLINK \l _Toc4970 </w:instrText>
      </w:r>
      <w:r>
        <w:rPr>
          <w:bCs w:val="0"/>
        </w:rPr>
        <w:fldChar w:fldCharType="separate"/>
      </w:r>
      <w:r>
        <w:rPr>
          <w:rFonts w:hint="default"/>
        </w:rPr>
        <w:t xml:space="preserve">9.5 </w:t>
      </w:r>
      <w:r>
        <w:rPr>
          <w:rFonts w:hint="eastAsia"/>
        </w:rPr>
        <w:t>楼（屋）盖、阳台、雨篷、空调板等悬挑构件</w:t>
      </w:r>
      <w:r>
        <w:tab/>
      </w:r>
      <w:r>
        <w:fldChar w:fldCharType="begin"/>
      </w:r>
      <w:r>
        <w:instrText xml:space="preserve"> PAGEREF _Toc4970 \h </w:instrText>
      </w:r>
      <w:r>
        <w:fldChar w:fldCharType="separate"/>
      </w:r>
      <w:r>
        <w:t>29</w:t>
      </w:r>
      <w:r>
        <w:fldChar w:fldCharType="end"/>
      </w:r>
      <w:r>
        <w:rPr>
          <w:bCs w:val="0"/>
        </w:rPr>
        <w:fldChar w:fldCharType="end"/>
      </w:r>
    </w:p>
    <w:p w14:paraId="24172E01">
      <w:pPr>
        <w:pStyle w:val="24"/>
        <w:keepNext w:val="0"/>
        <w:keepLines w:val="0"/>
        <w:pageBreakBefore w:val="0"/>
        <w:widowControl w:val="0"/>
        <w:tabs>
          <w:tab w:val="right" w:leader="dot" w:pos="8306"/>
        </w:tabs>
        <w:kinsoku/>
        <w:wordWrap/>
        <w:overflowPunct/>
        <w:topLinePunct w:val="0"/>
        <w:autoSpaceDE/>
        <w:autoSpaceDN/>
        <w:bidi w:val="0"/>
        <w:adjustRightInd w:val="0"/>
        <w:snapToGrid/>
        <w:ind w:firstLine="0" w:firstLineChars="0"/>
        <w:jc w:val="both"/>
        <w:textAlignment w:val="auto"/>
      </w:pPr>
      <w:r>
        <w:rPr>
          <w:bCs w:val="0"/>
        </w:rPr>
        <w:fldChar w:fldCharType="begin"/>
      </w:r>
      <w:r>
        <w:rPr>
          <w:bCs w:val="0"/>
        </w:rPr>
        <w:instrText xml:space="preserve"> HYPERLINK \l _Toc30628 </w:instrText>
      </w:r>
      <w:r>
        <w:rPr>
          <w:bCs w:val="0"/>
        </w:rPr>
        <w:fldChar w:fldCharType="separate"/>
      </w:r>
      <w:r>
        <w:rPr>
          <w:rFonts w:hint="default"/>
        </w:rPr>
        <w:t xml:space="preserve">9.6 </w:t>
      </w:r>
      <w:r>
        <w:rPr>
          <w:rFonts w:hint="eastAsia"/>
        </w:rPr>
        <w:t>住宅结构的其他构造规定</w:t>
      </w:r>
      <w:r>
        <w:tab/>
      </w:r>
      <w:r>
        <w:fldChar w:fldCharType="begin"/>
      </w:r>
      <w:r>
        <w:instrText xml:space="preserve"> PAGEREF _Toc30628 \h </w:instrText>
      </w:r>
      <w:r>
        <w:fldChar w:fldCharType="separate"/>
      </w:r>
      <w:r>
        <w:t>30</w:t>
      </w:r>
      <w:r>
        <w:fldChar w:fldCharType="end"/>
      </w:r>
      <w:r>
        <w:rPr>
          <w:bCs w:val="0"/>
        </w:rPr>
        <w:fldChar w:fldCharType="end"/>
      </w:r>
    </w:p>
    <w:p w14:paraId="333764CF">
      <w:pPr>
        <w:pStyle w:val="19"/>
        <w:keepNext w:val="0"/>
        <w:keepLines w:val="0"/>
        <w:pageBreakBefore w:val="0"/>
        <w:widowControl w:val="0"/>
        <w:tabs>
          <w:tab w:val="right" w:leader="dot" w:pos="8306"/>
        </w:tabs>
        <w:kinsoku/>
        <w:wordWrap/>
        <w:overflowPunct/>
        <w:topLinePunct w:val="0"/>
        <w:autoSpaceDE/>
        <w:autoSpaceDN/>
        <w:bidi w:val="0"/>
        <w:adjustRightInd w:val="0"/>
        <w:snapToGrid/>
        <w:ind w:firstLine="0" w:firstLineChars="0"/>
        <w:jc w:val="both"/>
        <w:textAlignment w:val="auto"/>
      </w:pPr>
      <w:r>
        <w:rPr>
          <w:bCs w:val="0"/>
        </w:rPr>
        <w:fldChar w:fldCharType="begin"/>
      </w:r>
      <w:r>
        <w:rPr>
          <w:bCs w:val="0"/>
        </w:rPr>
        <w:instrText xml:space="preserve"> HYPERLINK \l _Toc43 </w:instrText>
      </w:r>
      <w:r>
        <w:rPr>
          <w:bCs w:val="0"/>
        </w:rPr>
        <w:fldChar w:fldCharType="separate"/>
      </w:r>
      <w:r>
        <w:rPr>
          <w:rFonts w:hint="default" w:ascii="黑体" w:hAnsi="黑体" w:eastAsia="黑体" w:cs="黑体"/>
        </w:rPr>
        <w:t xml:space="preserve">10 </w:t>
      </w:r>
      <w:r>
        <w:rPr>
          <w:rFonts w:hint="eastAsia" w:ascii="黑体" w:hAnsi="黑体" w:eastAsia="黑体" w:cs="黑体"/>
        </w:rPr>
        <w:t>建筑设备</w:t>
      </w:r>
      <w:r>
        <w:tab/>
      </w:r>
      <w:r>
        <w:fldChar w:fldCharType="begin"/>
      </w:r>
      <w:r>
        <w:instrText xml:space="preserve"> PAGEREF _Toc43 \h </w:instrText>
      </w:r>
      <w:r>
        <w:fldChar w:fldCharType="separate"/>
      </w:r>
      <w:r>
        <w:t>32</w:t>
      </w:r>
      <w:r>
        <w:fldChar w:fldCharType="end"/>
      </w:r>
      <w:r>
        <w:rPr>
          <w:bCs w:val="0"/>
        </w:rPr>
        <w:fldChar w:fldCharType="end"/>
      </w:r>
    </w:p>
    <w:p w14:paraId="748CAE74">
      <w:pPr>
        <w:pStyle w:val="24"/>
        <w:keepNext w:val="0"/>
        <w:keepLines w:val="0"/>
        <w:pageBreakBefore w:val="0"/>
        <w:widowControl w:val="0"/>
        <w:tabs>
          <w:tab w:val="right" w:leader="dot" w:pos="8306"/>
        </w:tabs>
        <w:kinsoku/>
        <w:wordWrap/>
        <w:overflowPunct/>
        <w:topLinePunct w:val="0"/>
        <w:autoSpaceDE/>
        <w:autoSpaceDN/>
        <w:bidi w:val="0"/>
        <w:adjustRightInd w:val="0"/>
        <w:snapToGrid/>
        <w:ind w:firstLine="0" w:firstLineChars="0"/>
        <w:jc w:val="both"/>
        <w:textAlignment w:val="auto"/>
      </w:pPr>
      <w:r>
        <w:rPr>
          <w:bCs w:val="0"/>
        </w:rPr>
        <w:fldChar w:fldCharType="begin"/>
      </w:r>
      <w:r>
        <w:rPr>
          <w:bCs w:val="0"/>
        </w:rPr>
        <w:instrText xml:space="preserve"> HYPERLINK \l _Toc31331 </w:instrText>
      </w:r>
      <w:r>
        <w:rPr>
          <w:bCs w:val="0"/>
        </w:rPr>
        <w:fldChar w:fldCharType="separate"/>
      </w:r>
      <w:r>
        <w:rPr>
          <w:rFonts w:hint="default"/>
        </w:rPr>
        <w:t xml:space="preserve">10.1 </w:t>
      </w:r>
      <w:r>
        <w:rPr>
          <w:rFonts w:hint="eastAsia"/>
        </w:rPr>
        <w:t>一般规定</w:t>
      </w:r>
      <w:r>
        <w:tab/>
      </w:r>
      <w:r>
        <w:fldChar w:fldCharType="begin"/>
      </w:r>
      <w:r>
        <w:instrText xml:space="preserve"> PAGEREF _Toc31331 \h </w:instrText>
      </w:r>
      <w:r>
        <w:fldChar w:fldCharType="separate"/>
      </w:r>
      <w:r>
        <w:t>32</w:t>
      </w:r>
      <w:r>
        <w:fldChar w:fldCharType="end"/>
      </w:r>
      <w:r>
        <w:rPr>
          <w:bCs w:val="0"/>
        </w:rPr>
        <w:fldChar w:fldCharType="end"/>
      </w:r>
    </w:p>
    <w:p w14:paraId="26058DCF">
      <w:pPr>
        <w:pStyle w:val="24"/>
        <w:keepNext w:val="0"/>
        <w:keepLines w:val="0"/>
        <w:pageBreakBefore w:val="0"/>
        <w:widowControl w:val="0"/>
        <w:tabs>
          <w:tab w:val="right" w:leader="dot" w:pos="8306"/>
        </w:tabs>
        <w:kinsoku/>
        <w:wordWrap/>
        <w:overflowPunct/>
        <w:topLinePunct w:val="0"/>
        <w:autoSpaceDE/>
        <w:autoSpaceDN/>
        <w:bidi w:val="0"/>
        <w:adjustRightInd w:val="0"/>
        <w:snapToGrid/>
        <w:ind w:firstLine="0" w:firstLineChars="0"/>
        <w:jc w:val="both"/>
        <w:textAlignment w:val="auto"/>
      </w:pPr>
      <w:r>
        <w:rPr>
          <w:bCs w:val="0"/>
        </w:rPr>
        <w:fldChar w:fldCharType="begin"/>
      </w:r>
      <w:r>
        <w:rPr>
          <w:bCs w:val="0"/>
        </w:rPr>
        <w:instrText xml:space="preserve"> HYPERLINK \l _Toc30211 </w:instrText>
      </w:r>
      <w:r>
        <w:rPr>
          <w:bCs w:val="0"/>
        </w:rPr>
        <w:fldChar w:fldCharType="separate"/>
      </w:r>
      <w:r>
        <w:rPr>
          <w:rFonts w:hint="default"/>
        </w:rPr>
        <w:t xml:space="preserve">10.2 </w:t>
      </w:r>
      <w:r>
        <w:rPr>
          <w:rFonts w:hint="eastAsia"/>
        </w:rPr>
        <w:t>给水排水</w:t>
      </w:r>
      <w:r>
        <w:tab/>
      </w:r>
      <w:r>
        <w:fldChar w:fldCharType="begin"/>
      </w:r>
      <w:r>
        <w:instrText xml:space="preserve"> PAGEREF _Toc30211 \h </w:instrText>
      </w:r>
      <w:r>
        <w:fldChar w:fldCharType="separate"/>
      </w:r>
      <w:r>
        <w:t>32</w:t>
      </w:r>
      <w:r>
        <w:fldChar w:fldCharType="end"/>
      </w:r>
      <w:r>
        <w:rPr>
          <w:bCs w:val="0"/>
        </w:rPr>
        <w:fldChar w:fldCharType="end"/>
      </w:r>
    </w:p>
    <w:p w14:paraId="0AE523E6">
      <w:pPr>
        <w:pStyle w:val="24"/>
        <w:keepNext w:val="0"/>
        <w:keepLines w:val="0"/>
        <w:pageBreakBefore w:val="0"/>
        <w:widowControl w:val="0"/>
        <w:tabs>
          <w:tab w:val="right" w:leader="dot" w:pos="8306"/>
        </w:tabs>
        <w:kinsoku/>
        <w:wordWrap/>
        <w:overflowPunct/>
        <w:topLinePunct w:val="0"/>
        <w:autoSpaceDE/>
        <w:autoSpaceDN/>
        <w:bidi w:val="0"/>
        <w:adjustRightInd w:val="0"/>
        <w:snapToGrid/>
        <w:ind w:firstLine="0" w:firstLineChars="0"/>
        <w:jc w:val="both"/>
        <w:textAlignment w:val="auto"/>
      </w:pPr>
      <w:r>
        <w:rPr>
          <w:bCs w:val="0"/>
        </w:rPr>
        <w:fldChar w:fldCharType="begin"/>
      </w:r>
      <w:r>
        <w:rPr>
          <w:bCs w:val="0"/>
        </w:rPr>
        <w:instrText xml:space="preserve"> HYPERLINK \l _Toc4925 </w:instrText>
      </w:r>
      <w:r>
        <w:rPr>
          <w:bCs w:val="0"/>
        </w:rPr>
        <w:fldChar w:fldCharType="separate"/>
      </w:r>
      <w:r>
        <w:rPr>
          <w:rFonts w:hint="default"/>
        </w:rPr>
        <w:t xml:space="preserve">10.3 </w:t>
      </w:r>
      <w:r>
        <w:rPr>
          <w:rFonts w:hint="eastAsia"/>
        </w:rPr>
        <w:t>供暖</w:t>
      </w:r>
      <w:r>
        <w:tab/>
      </w:r>
      <w:r>
        <w:fldChar w:fldCharType="begin"/>
      </w:r>
      <w:r>
        <w:instrText xml:space="preserve"> PAGEREF _Toc4925 \h </w:instrText>
      </w:r>
      <w:r>
        <w:fldChar w:fldCharType="separate"/>
      </w:r>
      <w:r>
        <w:t>35</w:t>
      </w:r>
      <w:r>
        <w:fldChar w:fldCharType="end"/>
      </w:r>
      <w:r>
        <w:rPr>
          <w:bCs w:val="0"/>
        </w:rPr>
        <w:fldChar w:fldCharType="end"/>
      </w:r>
    </w:p>
    <w:p w14:paraId="664ACD57">
      <w:pPr>
        <w:pStyle w:val="24"/>
        <w:keepNext w:val="0"/>
        <w:keepLines w:val="0"/>
        <w:pageBreakBefore w:val="0"/>
        <w:widowControl w:val="0"/>
        <w:tabs>
          <w:tab w:val="right" w:leader="dot" w:pos="8306"/>
        </w:tabs>
        <w:kinsoku/>
        <w:wordWrap/>
        <w:overflowPunct/>
        <w:topLinePunct w:val="0"/>
        <w:autoSpaceDE/>
        <w:autoSpaceDN/>
        <w:bidi w:val="0"/>
        <w:adjustRightInd w:val="0"/>
        <w:snapToGrid/>
        <w:ind w:firstLine="0" w:firstLineChars="0"/>
        <w:jc w:val="both"/>
        <w:textAlignment w:val="auto"/>
      </w:pPr>
      <w:r>
        <w:rPr>
          <w:bCs w:val="0"/>
        </w:rPr>
        <w:fldChar w:fldCharType="begin"/>
      </w:r>
      <w:r>
        <w:rPr>
          <w:bCs w:val="0"/>
        </w:rPr>
        <w:instrText xml:space="preserve"> HYPERLINK \l _Toc24174 </w:instrText>
      </w:r>
      <w:r>
        <w:rPr>
          <w:bCs w:val="0"/>
        </w:rPr>
        <w:fldChar w:fldCharType="separate"/>
      </w:r>
      <w:r>
        <w:rPr>
          <w:rFonts w:hint="default"/>
        </w:rPr>
        <w:t xml:space="preserve">10.4 </w:t>
      </w:r>
      <w:r>
        <w:rPr>
          <w:rFonts w:hint="eastAsia"/>
        </w:rPr>
        <w:t>燃气</w:t>
      </w:r>
      <w:r>
        <w:tab/>
      </w:r>
      <w:r>
        <w:fldChar w:fldCharType="begin"/>
      </w:r>
      <w:r>
        <w:instrText xml:space="preserve"> PAGEREF _Toc24174 \h </w:instrText>
      </w:r>
      <w:r>
        <w:fldChar w:fldCharType="separate"/>
      </w:r>
      <w:r>
        <w:t>37</w:t>
      </w:r>
      <w:r>
        <w:fldChar w:fldCharType="end"/>
      </w:r>
      <w:r>
        <w:rPr>
          <w:bCs w:val="0"/>
        </w:rPr>
        <w:fldChar w:fldCharType="end"/>
      </w:r>
    </w:p>
    <w:p w14:paraId="643B4486">
      <w:pPr>
        <w:pStyle w:val="24"/>
        <w:keepNext w:val="0"/>
        <w:keepLines w:val="0"/>
        <w:pageBreakBefore w:val="0"/>
        <w:widowControl w:val="0"/>
        <w:tabs>
          <w:tab w:val="right" w:leader="dot" w:pos="8306"/>
        </w:tabs>
        <w:kinsoku/>
        <w:wordWrap/>
        <w:overflowPunct/>
        <w:topLinePunct w:val="0"/>
        <w:autoSpaceDE/>
        <w:autoSpaceDN/>
        <w:bidi w:val="0"/>
        <w:adjustRightInd w:val="0"/>
        <w:snapToGrid/>
        <w:ind w:firstLine="0" w:firstLineChars="0"/>
        <w:jc w:val="both"/>
        <w:textAlignment w:val="auto"/>
      </w:pPr>
      <w:r>
        <w:rPr>
          <w:bCs w:val="0"/>
        </w:rPr>
        <w:fldChar w:fldCharType="begin"/>
      </w:r>
      <w:r>
        <w:rPr>
          <w:bCs w:val="0"/>
        </w:rPr>
        <w:instrText xml:space="preserve"> HYPERLINK \l _Toc23215 </w:instrText>
      </w:r>
      <w:r>
        <w:rPr>
          <w:bCs w:val="0"/>
        </w:rPr>
        <w:fldChar w:fldCharType="separate"/>
      </w:r>
      <w:r>
        <w:rPr>
          <w:rFonts w:hint="default"/>
        </w:rPr>
        <w:t xml:space="preserve">10.5 </w:t>
      </w:r>
      <w:r>
        <w:rPr>
          <w:rFonts w:hint="eastAsia"/>
        </w:rPr>
        <w:t>通风</w:t>
      </w:r>
      <w:r>
        <w:tab/>
      </w:r>
      <w:r>
        <w:fldChar w:fldCharType="begin"/>
      </w:r>
      <w:r>
        <w:instrText xml:space="preserve"> PAGEREF _Toc23215 \h </w:instrText>
      </w:r>
      <w:r>
        <w:fldChar w:fldCharType="separate"/>
      </w:r>
      <w:r>
        <w:t>38</w:t>
      </w:r>
      <w:r>
        <w:fldChar w:fldCharType="end"/>
      </w:r>
      <w:r>
        <w:rPr>
          <w:bCs w:val="0"/>
        </w:rPr>
        <w:fldChar w:fldCharType="end"/>
      </w:r>
    </w:p>
    <w:p w14:paraId="327824A1">
      <w:pPr>
        <w:pStyle w:val="24"/>
        <w:keepNext w:val="0"/>
        <w:keepLines w:val="0"/>
        <w:pageBreakBefore w:val="0"/>
        <w:widowControl w:val="0"/>
        <w:tabs>
          <w:tab w:val="right" w:leader="dot" w:pos="8306"/>
        </w:tabs>
        <w:kinsoku/>
        <w:wordWrap/>
        <w:overflowPunct/>
        <w:topLinePunct w:val="0"/>
        <w:autoSpaceDE/>
        <w:autoSpaceDN/>
        <w:bidi w:val="0"/>
        <w:adjustRightInd w:val="0"/>
        <w:snapToGrid/>
        <w:ind w:firstLine="0" w:firstLineChars="0"/>
        <w:jc w:val="both"/>
        <w:textAlignment w:val="auto"/>
      </w:pPr>
      <w:r>
        <w:rPr>
          <w:bCs w:val="0"/>
        </w:rPr>
        <w:fldChar w:fldCharType="begin"/>
      </w:r>
      <w:r>
        <w:rPr>
          <w:bCs w:val="0"/>
        </w:rPr>
        <w:instrText xml:space="preserve"> HYPERLINK \l _Toc14625 </w:instrText>
      </w:r>
      <w:r>
        <w:rPr>
          <w:bCs w:val="0"/>
        </w:rPr>
        <w:fldChar w:fldCharType="separate"/>
      </w:r>
      <w:r>
        <w:rPr>
          <w:rFonts w:hint="default"/>
        </w:rPr>
        <w:t xml:space="preserve">10.6 </w:t>
      </w:r>
      <w:r>
        <w:rPr>
          <w:rFonts w:hint="eastAsia"/>
        </w:rPr>
        <w:t>空调</w:t>
      </w:r>
      <w:r>
        <w:tab/>
      </w:r>
      <w:r>
        <w:fldChar w:fldCharType="begin"/>
      </w:r>
      <w:r>
        <w:instrText xml:space="preserve"> PAGEREF _Toc14625 \h </w:instrText>
      </w:r>
      <w:r>
        <w:fldChar w:fldCharType="separate"/>
      </w:r>
      <w:r>
        <w:t>39</w:t>
      </w:r>
      <w:r>
        <w:fldChar w:fldCharType="end"/>
      </w:r>
      <w:r>
        <w:rPr>
          <w:bCs w:val="0"/>
        </w:rPr>
        <w:fldChar w:fldCharType="end"/>
      </w:r>
    </w:p>
    <w:p w14:paraId="294040EA">
      <w:pPr>
        <w:pStyle w:val="19"/>
        <w:keepNext w:val="0"/>
        <w:keepLines w:val="0"/>
        <w:pageBreakBefore w:val="0"/>
        <w:widowControl w:val="0"/>
        <w:tabs>
          <w:tab w:val="right" w:leader="dot" w:pos="8306"/>
        </w:tabs>
        <w:kinsoku/>
        <w:wordWrap/>
        <w:overflowPunct/>
        <w:topLinePunct w:val="0"/>
        <w:autoSpaceDE/>
        <w:autoSpaceDN/>
        <w:bidi w:val="0"/>
        <w:adjustRightInd w:val="0"/>
        <w:snapToGrid/>
        <w:ind w:firstLine="0" w:firstLineChars="0"/>
        <w:jc w:val="both"/>
        <w:textAlignment w:val="auto"/>
      </w:pPr>
      <w:r>
        <w:rPr>
          <w:bCs w:val="0"/>
        </w:rPr>
        <w:fldChar w:fldCharType="begin"/>
      </w:r>
      <w:r>
        <w:rPr>
          <w:bCs w:val="0"/>
        </w:rPr>
        <w:instrText xml:space="preserve"> HYPERLINK \l _Toc7707 </w:instrText>
      </w:r>
      <w:r>
        <w:rPr>
          <w:bCs w:val="0"/>
        </w:rPr>
        <w:fldChar w:fldCharType="separate"/>
      </w:r>
      <w:r>
        <w:rPr>
          <w:rFonts w:hint="default"/>
        </w:rPr>
        <w:t xml:space="preserve">11 </w:t>
      </w:r>
      <w:r>
        <w:rPr>
          <w:rFonts w:hint="eastAsia"/>
        </w:rPr>
        <w:t>建筑电气与智能化</w:t>
      </w:r>
      <w:r>
        <w:tab/>
      </w:r>
      <w:r>
        <w:fldChar w:fldCharType="begin"/>
      </w:r>
      <w:r>
        <w:instrText xml:space="preserve"> PAGEREF _Toc7707 \h </w:instrText>
      </w:r>
      <w:r>
        <w:fldChar w:fldCharType="separate"/>
      </w:r>
      <w:r>
        <w:t>41</w:t>
      </w:r>
      <w:r>
        <w:fldChar w:fldCharType="end"/>
      </w:r>
      <w:r>
        <w:rPr>
          <w:bCs w:val="0"/>
        </w:rPr>
        <w:fldChar w:fldCharType="end"/>
      </w:r>
    </w:p>
    <w:p w14:paraId="2BFC738A">
      <w:pPr>
        <w:pStyle w:val="24"/>
        <w:keepNext w:val="0"/>
        <w:keepLines w:val="0"/>
        <w:pageBreakBefore w:val="0"/>
        <w:widowControl w:val="0"/>
        <w:tabs>
          <w:tab w:val="right" w:leader="dot" w:pos="8306"/>
        </w:tabs>
        <w:kinsoku/>
        <w:wordWrap/>
        <w:overflowPunct/>
        <w:topLinePunct w:val="0"/>
        <w:autoSpaceDE/>
        <w:autoSpaceDN/>
        <w:bidi w:val="0"/>
        <w:adjustRightInd w:val="0"/>
        <w:snapToGrid/>
        <w:ind w:firstLine="0" w:firstLineChars="0"/>
        <w:jc w:val="both"/>
        <w:textAlignment w:val="auto"/>
      </w:pPr>
      <w:r>
        <w:rPr>
          <w:bCs w:val="0"/>
        </w:rPr>
        <w:fldChar w:fldCharType="begin"/>
      </w:r>
      <w:r>
        <w:rPr>
          <w:bCs w:val="0"/>
        </w:rPr>
        <w:instrText xml:space="preserve"> HYPERLINK \l _Toc16494 </w:instrText>
      </w:r>
      <w:r>
        <w:rPr>
          <w:bCs w:val="0"/>
        </w:rPr>
        <w:fldChar w:fldCharType="separate"/>
      </w:r>
      <w:r>
        <w:rPr>
          <w:rFonts w:hint="default"/>
          <w:kern w:val="44"/>
        </w:rPr>
        <w:t xml:space="preserve">11.1 </w:t>
      </w:r>
      <w:r>
        <w:rPr>
          <w:rFonts w:hint="eastAsia" w:ascii="Times New Roman" w:hAnsi="Times New Roman"/>
        </w:rPr>
        <w:t>一般</w:t>
      </w:r>
      <w:r>
        <w:rPr>
          <w:rFonts w:hint="eastAsia"/>
          <w:kern w:val="44"/>
        </w:rPr>
        <w:t>规定</w:t>
      </w:r>
      <w:r>
        <w:tab/>
      </w:r>
      <w:r>
        <w:fldChar w:fldCharType="begin"/>
      </w:r>
      <w:r>
        <w:instrText xml:space="preserve"> PAGEREF _Toc16494 \h </w:instrText>
      </w:r>
      <w:r>
        <w:fldChar w:fldCharType="separate"/>
      </w:r>
      <w:r>
        <w:t>41</w:t>
      </w:r>
      <w:r>
        <w:fldChar w:fldCharType="end"/>
      </w:r>
      <w:r>
        <w:rPr>
          <w:bCs w:val="0"/>
        </w:rPr>
        <w:fldChar w:fldCharType="end"/>
      </w:r>
    </w:p>
    <w:p w14:paraId="0E8F5BAD">
      <w:pPr>
        <w:pStyle w:val="24"/>
        <w:keepNext w:val="0"/>
        <w:keepLines w:val="0"/>
        <w:pageBreakBefore w:val="0"/>
        <w:widowControl w:val="0"/>
        <w:tabs>
          <w:tab w:val="right" w:leader="dot" w:pos="8306"/>
        </w:tabs>
        <w:kinsoku/>
        <w:wordWrap/>
        <w:overflowPunct/>
        <w:topLinePunct w:val="0"/>
        <w:autoSpaceDE/>
        <w:autoSpaceDN/>
        <w:bidi w:val="0"/>
        <w:adjustRightInd w:val="0"/>
        <w:snapToGrid/>
        <w:ind w:firstLine="0" w:firstLineChars="0"/>
        <w:jc w:val="both"/>
        <w:textAlignment w:val="auto"/>
      </w:pPr>
      <w:r>
        <w:rPr>
          <w:bCs w:val="0"/>
        </w:rPr>
        <w:fldChar w:fldCharType="begin"/>
      </w:r>
      <w:r>
        <w:rPr>
          <w:bCs w:val="0"/>
        </w:rPr>
        <w:instrText xml:space="preserve"> HYPERLINK \l _Toc12059 </w:instrText>
      </w:r>
      <w:r>
        <w:rPr>
          <w:bCs w:val="0"/>
        </w:rPr>
        <w:fldChar w:fldCharType="separate"/>
      </w:r>
      <w:r>
        <w:rPr>
          <w:rFonts w:hint="default"/>
          <w:kern w:val="44"/>
        </w:rPr>
        <w:t xml:space="preserve">11.2 </w:t>
      </w:r>
      <w:r>
        <w:rPr>
          <w:rFonts w:hint="eastAsia"/>
          <w:kern w:val="44"/>
        </w:rPr>
        <w:t>供配电设计</w:t>
      </w:r>
      <w:r>
        <w:tab/>
      </w:r>
      <w:r>
        <w:fldChar w:fldCharType="begin"/>
      </w:r>
      <w:r>
        <w:instrText xml:space="preserve"> PAGEREF _Toc12059 \h </w:instrText>
      </w:r>
      <w:r>
        <w:fldChar w:fldCharType="separate"/>
      </w:r>
      <w:r>
        <w:t>41</w:t>
      </w:r>
      <w:r>
        <w:fldChar w:fldCharType="end"/>
      </w:r>
      <w:r>
        <w:rPr>
          <w:bCs w:val="0"/>
        </w:rPr>
        <w:fldChar w:fldCharType="end"/>
      </w:r>
    </w:p>
    <w:p w14:paraId="5A5A59E5">
      <w:pPr>
        <w:pStyle w:val="24"/>
        <w:keepNext w:val="0"/>
        <w:keepLines w:val="0"/>
        <w:pageBreakBefore w:val="0"/>
        <w:widowControl w:val="0"/>
        <w:tabs>
          <w:tab w:val="right" w:leader="dot" w:pos="8306"/>
        </w:tabs>
        <w:kinsoku/>
        <w:wordWrap/>
        <w:overflowPunct/>
        <w:topLinePunct w:val="0"/>
        <w:autoSpaceDE/>
        <w:autoSpaceDN/>
        <w:bidi w:val="0"/>
        <w:adjustRightInd w:val="0"/>
        <w:snapToGrid/>
        <w:ind w:firstLine="0" w:firstLineChars="0"/>
        <w:jc w:val="both"/>
        <w:textAlignment w:val="auto"/>
      </w:pPr>
      <w:r>
        <w:rPr>
          <w:bCs w:val="0"/>
        </w:rPr>
        <w:fldChar w:fldCharType="begin"/>
      </w:r>
      <w:r>
        <w:rPr>
          <w:bCs w:val="0"/>
        </w:rPr>
        <w:instrText xml:space="preserve"> HYPERLINK \l _Toc17878 </w:instrText>
      </w:r>
      <w:r>
        <w:rPr>
          <w:bCs w:val="0"/>
        </w:rPr>
        <w:fldChar w:fldCharType="separate"/>
      </w:r>
      <w:r>
        <w:rPr>
          <w:rFonts w:hint="default"/>
          <w:kern w:val="44"/>
        </w:rPr>
        <w:t xml:space="preserve">11.3 </w:t>
      </w:r>
      <w:r>
        <w:rPr>
          <w:rFonts w:hint="eastAsia"/>
          <w:kern w:val="44"/>
        </w:rPr>
        <w:t>照明设施</w:t>
      </w:r>
      <w:r>
        <w:tab/>
      </w:r>
      <w:r>
        <w:fldChar w:fldCharType="begin"/>
      </w:r>
      <w:r>
        <w:instrText xml:space="preserve"> PAGEREF _Toc17878 \h </w:instrText>
      </w:r>
      <w:r>
        <w:fldChar w:fldCharType="separate"/>
      </w:r>
      <w:r>
        <w:t>43</w:t>
      </w:r>
      <w:r>
        <w:fldChar w:fldCharType="end"/>
      </w:r>
      <w:r>
        <w:rPr>
          <w:bCs w:val="0"/>
        </w:rPr>
        <w:fldChar w:fldCharType="end"/>
      </w:r>
    </w:p>
    <w:p w14:paraId="212D3F31">
      <w:pPr>
        <w:pStyle w:val="24"/>
        <w:keepNext w:val="0"/>
        <w:keepLines w:val="0"/>
        <w:pageBreakBefore w:val="0"/>
        <w:widowControl w:val="0"/>
        <w:tabs>
          <w:tab w:val="right" w:leader="dot" w:pos="8306"/>
        </w:tabs>
        <w:kinsoku/>
        <w:wordWrap/>
        <w:overflowPunct/>
        <w:topLinePunct w:val="0"/>
        <w:autoSpaceDE/>
        <w:autoSpaceDN/>
        <w:bidi w:val="0"/>
        <w:adjustRightInd w:val="0"/>
        <w:snapToGrid/>
        <w:ind w:firstLine="0" w:firstLineChars="0"/>
        <w:jc w:val="both"/>
        <w:textAlignment w:val="auto"/>
      </w:pPr>
      <w:r>
        <w:rPr>
          <w:bCs w:val="0"/>
        </w:rPr>
        <w:fldChar w:fldCharType="begin"/>
      </w:r>
      <w:r>
        <w:rPr>
          <w:bCs w:val="0"/>
        </w:rPr>
        <w:instrText xml:space="preserve"> HYPERLINK \l _Toc28242 </w:instrText>
      </w:r>
      <w:r>
        <w:rPr>
          <w:bCs w:val="0"/>
        </w:rPr>
        <w:fldChar w:fldCharType="separate"/>
      </w:r>
      <w:r>
        <w:rPr>
          <w:rFonts w:hint="default"/>
          <w:kern w:val="44"/>
        </w:rPr>
        <w:t xml:space="preserve">11.4 </w:t>
      </w:r>
      <w:r>
        <w:rPr>
          <w:rFonts w:hint="eastAsia"/>
          <w:kern w:val="44"/>
        </w:rPr>
        <w:t>防雷接地</w:t>
      </w:r>
      <w:r>
        <w:tab/>
      </w:r>
      <w:r>
        <w:fldChar w:fldCharType="begin"/>
      </w:r>
      <w:r>
        <w:instrText xml:space="preserve"> PAGEREF _Toc28242 \h </w:instrText>
      </w:r>
      <w:r>
        <w:fldChar w:fldCharType="separate"/>
      </w:r>
      <w:r>
        <w:t>45</w:t>
      </w:r>
      <w:r>
        <w:fldChar w:fldCharType="end"/>
      </w:r>
      <w:r>
        <w:rPr>
          <w:bCs w:val="0"/>
        </w:rPr>
        <w:fldChar w:fldCharType="end"/>
      </w:r>
    </w:p>
    <w:p w14:paraId="241A699B">
      <w:pPr>
        <w:pStyle w:val="24"/>
        <w:keepNext w:val="0"/>
        <w:keepLines w:val="0"/>
        <w:pageBreakBefore w:val="0"/>
        <w:widowControl w:val="0"/>
        <w:tabs>
          <w:tab w:val="right" w:leader="dot" w:pos="8306"/>
        </w:tabs>
        <w:kinsoku/>
        <w:wordWrap/>
        <w:overflowPunct/>
        <w:topLinePunct w:val="0"/>
        <w:autoSpaceDE/>
        <w:autoSpaceDN/>
        <w:bidi w:val="0"/>
        <w:adjustRightInd w:val="0"/>
        <w:snapToGrid/>
        <w:ind w:firstLine="0" w:firstLineChars="0"/>
        <w:jc w:val="both"/>
        <w:textAlignment w:val="auto"/>
      </w:pPr>
      <w:r>
        <w:rPr>
          <w:bCs w:val="0"/>
        </w:rPr>
        <w:fldChar w:fldCharType="begin"/>
      </w:r>
      <w:r>
        <w:rPr>
          <w:bCs w:val="0"/>
        </w:rPr>
        <w:instrText xml:space="preserve"> HYPERLINK \l _Toc12290 </w:instrText>
      </w:r>
      <w:r>
        <w:rPr>
          <w:bCs w:val="0"/>
        </w:rPr>
        <w:fldChar w:fldCharType="separate"/>
      </w:r>
      <w:r>
        <w:rPr>
          <w:rFonts w:hint="default"/>
          <w:kern w:val="44"/>
        </w:rPr>
        <w:t xml:space="preserve">11.5 </w:t>
      </w:r>
      <w:r>
        <w:rPr>
          <w:rFonts w:hint="eastAsia"/>
          <w:kern w:val="44"/>
        </w:rPr>
        <w:t>信息基础设施系统</w:t>
      </w:r>
      <w:r>
        <w:tab/>
      </w:r>
      <w:r>
        <w:fldChar w:fldCharType="begin"/>
      </w:r>
      <w:r>
        <w:instrText xml:space="preserve"> PAGEREF _Toc12290 \h </w:instrText>
      </w:r>
      <w:r>
        <w:fldChar w:fldCharType="separate"/>
      </w:r>
      <w:r>
        <w:t>45</w:t>
      </w:r>
      <w:r>
        <w:fldChar w:fldCharType="end"/>
      </w:r>
      <w:r>
        <w:rPr>
          <w:bCs w:val="0"/>
        </w:rPr>
        <w:fldChar w:fldCharType="end"/>
      </w:r>
    </w:p>
    <w:p w14:paraId="1A3A77A0">
      <w:pPr>
        <w:pStyle w:val="24"/>
        <w:keepNext w:val="0"/>
        <w:keepLines w:val="0"/>
        <w:pageBreakBefore w:val="0"/>
        <w:widowControl w:val="0"/>
        <w:tabs>
          <w:tab w:val="right" w:leader="dot" w:pos="8306"/>
        </w:tabs>
        <w:kinsoku/>
        <w:wordWrap/>
        <w:overflowPunct/>
        <w:topLinePunct w:val="0"/>
        <w:autoSpaceDE/>
        <w:autoSpaceDN/>
        <w:bidi w:val="0"/>
        <w:adjustRightInd w:val="0"/>
        <w:snapToGrid/>
        <w:ind w:firstLine="0" w:firstLineChars="0"/>
        <w:jc w:val="both"/>
        <w:textAlignment w:val="auto"/>
      </w:pPr>
      <w:r>
        <w:rPr>
          <w:bCs w:val="0"/>
        </w:rPr>
        <w:fldChar w:fldCharType="begin"/>
      </w:r>
      <w:r>
        <w:rPr>
          <w:bCs w:val="0"/>
        </w:rPr>
        <w:instrText xml:space="preserve"> HYPERLINK \l _Toc30199 </w:instrText>
      </w:r>
      <w:r>
        <w:rPr>
          <w:bCs w:val="0"/>
        </w:rPr>
        <w:fldChar w:fldCharType="separate"/>
      </w:r>
      <w:r>
        <w:rPr>
          <w:rFonts w:hint="default"/>
          <w:kern w:val="44"/>
        </w:rPr>
        <w:t xml:space="preserve">11.6 </w:t>
      </w:r>
      <w:r>
        <w:rPr>
          <w:rFonts w:hint="eastAsia"/>
          <w:kern w:val="44"/>
        </w:rPr>
        <w:t>公共安全系统</w:t>
      </w:r>
      <w:r>
        <w:tab/>
      </w:r>
      <w:r>
        <w:fldChar w:fldCharType="begin"/>
      </w:r>
      <w:r>
        <w:instrText xml:space="preserve"> PAGEREF _Toc30199 \h </w:instrText>
      </w:r>
      <w:r>
        <w:fldChar w:fldCharType="separate"/>
      </w:r>
      <w:r>
        <w:t>50</w:t>
      </w:r>
      <w:r>
        <w:fldChar w:fldCharType="end"/>
      </w:r>
      <w:r>
        <w:rPr>
          <w:bCs w:val="0"/>
        </w:rPr>
        <w:fldChar w:fldCharType="end"/>
      </w:r>
    </w:p>
    <w:p w14:paraId="2ADED8ED">
      <w:pPr>
        <w:pStyle w:val="24"/>
        <w:keepNext w:val="0"/>
        <w:keepLines w:val="0"/>
        <w:pageBreakBefore w:val="0"/>
        <w:widowControl w:val="0"/>
        <w:tabs>
          <w:tab w:val="right" w:leader="dot" w:pos="8306"/>
        </w:tabs>
        <w:kinsoku/>
        <w:wordWrap/>
        <w:overflowPunct/>
        <w:topLinePunct w:val="0"/>
        <w:autoSpaceDE/>
        <w:autoSpaceDN/>
        <w:bidi w:val="0"/>
        <w:adjustRightInd w:val="0"/>
        <w:snapToGrid/>
        <w:ind w:firstLine="0" w:firstLineChars="0"/>
        <w:jc w:val="both"/>
        <w:textAlignment w:val="auto"/>
      </w:pPr>
      <w:r>
        <w:rPr>
          <w:bCs w:val="0"/>
        </w:rPr>
        <w:fldChar w:fldCharType="begin"/>
      </w:r>
      <w:r>
        <w:rPr>
          <w:bCs w:val="0"/>
        </w:rPr>
        <w:instrText xml:space="preserve"> HYPERLINK \l _Toc3518 </w:instrText>
      </w:r>
      <w:r>
        <w:rPr>
          <w:bCs w:val="0"/>
        </w:rPr>
        <w:fldChar w:fldCharType="separate"/>
      </w:r>
      <w:r>
        <w:rPr>
          <w:rFonts w:hint="default"/>
          <w:kern w:val="44"/>
        </w:rPr>
        <w:t xml:space="preserve">11.7 </w:t>
      </w:r>
      <w:r>
        <w:rPr>
          <w:rFonts w:hint="eastAsia"/>
          <w:kern w:val="44"/>
        </w:rPr>
        <w:t>住宅智能化管理系统</w:t>
      </w:r>
      <w:r>
        <w:tab/>
      </w:r>
      <w:r>
        <w:fldChar w:fldCharType="begin"/>
      </w:r>
      <w:r>
        <w:instrText xml:space="preserve"> PAGEREF _Toc3518 \h </w:instrText>
      </w:r>
      <w:r>
        <w:fldChar w:fldCharType="separate"/>
      </w:r>
      <w:r>
        <w:t>52</w:t>
      </w:r>
      <w:r>
        <w:fldChar w:fldCharType="end"/>
      </w:r>
      <w:r>
        <w:rPr>
          <w:bCs w:val="0"/>
        </w:rPr>
        <w:fldChar w:fldCharType="end"/>
      </w:r>
    </w:p>
    <w:p w14:paraId="2F97653D">
      <w:pPr>
        <w:pStyle w:val="24"/>
        <w:keepNext w:val="0"/>
        <w:keepLines w:val="0"/>
        <w:pageBreakBefore w:val="0"/>
        <w:widowControl w:val="0"/>
        <w:tabs>
          <w:tab w:val="right" w:leader="dot" w:pos="8306"/>
        </w:tabs>
        <w:kinsoku/>
        <w:wordWrap/>
        <w:overflowPunct/>
        <w:topLinePunct w:val="0"/>
        <w:autoSpaceDE/>
        <w:autoSpaceDN/>
        <w:bidi w:val="0"/>
        <w:adjustRightInd w:val="0"/>
        <w:snapToGrid/>
        <w:ind w:firstLine="0" w:firstLineChars="0"/>
        <w:jc w:val="both"/>
        <w:textAlignment w:val="auto"/>
      </w:pPr>
      <w:r>
        <w:rPr>
          <w:bCs w:val="0"/>
        </w:rPr>
        <w:fldChar w:fldCharType="begin"/>
      </w:r>
      <w:r>
        <w:rPr>
          <w:bCs w:val="0"/>
        </w:rPr>
        <w:instrText xml:space="preserve"> HYPERLINK \l _Toc3509 </w:instrText>
      </w:r>
      <w:r>
        <w:rPr>
          <w:bCs w:val="0"/>
        </w:rPr>
        <w:fldChar w:fldCharType="separate"/>
      </w:r>
      <w:r>
        <w:rPr>
          <w:rFonts w:hint="default"/>
          <w:kern w:val="44"/>
        </w:rPr>
        <w:t xml:space="preserve">11.8 </w:t>
      </w:r>
      <w:r>
        <w:rPr>
          <w:rFonts w:hint="eastAsia"/>
          <w:kern w:val="44"/>
        </w:rPr>
        <w:t>电气节能设计</w:t>
      </w:r>
      <w:r>
        <w:tab/>
      </w:r>
      <w:r>
        <w:fldChar w:fldCharType="begin"/>
      </w:r>
      <w:r>
        <w:instrText xml:space="preserve"> PAGEREF _Toc3509 \h </w:instrText>
      </w:r>
      <w:r>
        <w:fldChar w:fldCharType="separate"/>
      </w:r>
      <w:r>
        <w:t>53</w:t>
      </w:r>
      <w:r>
        <w:fldChar w:fldCharType="end"/>
      </w:r>
      <w:r>
        <w:rPr>
          <w:bCs w:val="0"/>
        </w:rPr>
        <w:fldChar w:fldCharType="end"/>
      </w:r>
    </w:p>
    <w:p w14:paraId="7CA276A8">
      <w:pPr>
        <w:pStyle w:val="19"/>
        <w:keepNext w:val="0"/>
        <w:keepLines w:val="0"/>
        <w:pageBreakBefore w:val="0"/>
        <w:widowControl w:val="0"/>
        <w:tabs>
          <w:tab w:val="right" w:leader="dot" w:pos="8306"/>
        </w:tabs>
        <w:kinsoku/>
        <w:wordWrap/>
        <w:overflowPunct/>
        <w:topLinePunct w:val="0"/>
        <w:autoSpaceDE/>
        <w:autoSpaceDN/>
        <w:bidi w:val="0"/>
        <w:adjustRightInd w:val="0"/>
        <w:snapToGrid/>
        <w:ind w:firstLine="0" w:firstLineChars="0"/>
        <w:jc w:val="both"/>
        <w:textAlignment w:val="auto"/>
      </w:pPr>
      <w:r>
        <w:rPr>
          <w:bCs w:val="0"/>
        </w:rPr>
        <w:fldChar w:fldCharType="begin"/>
      </w:r>
      <w:r>
        <w:rPr>
          <w:bCs w:val="0"/>
        </w:rPr>
        <w:instrText xml:space="preserve"> HYPERLINK \l _Toc23149 </w:instrText>
      </w:r>
      <w:r>
        <w:rPr>
          <w:bCs w:val="0"/>
        </w:rPr>
        <w:fldChar w:fldCharType="separate"/>
      </w:r>
      <w:r>
        <w:rPr>
          <w:rFonts w:hint="default"/>
        </w:rPr>
        <w:t xml:space="preserve">12 </w:t>
      </w:r>
      <w:r>
        <w:rPr>
          <w:rFonts w:hint="eastAsia"/>
        </w:rPr>
        <w:t>管线综合设计</w:t>
      </w:r>
      <w:r>
        <w:tab/>
      </w:r>
      <w:r>
        <w:fldChar w:fldCharType="begin"/>
      </w:r>
      <w:r>
        <w:instrText xml:space="preserve"> PAGEREF _Toc23149 \h </w:instrText>
      </w:r>
      <w:r>
        <w:fldChar w:fldCharType="separate"/>
      </w:r>
      <w:r>
        <w:t>55</w:t>
      </w:r>
      <w:r>
        <w:fldChar w:fldCharType="end"/>
      </w:r>
      <w:r>
        <w:rPr>
          <w:bCs w:val="0"/>
        </w:rPr>
        <w:fldChar w:fldCharType="end"/>
      </w:r>
    </w:p>
    <w:p w14:paraId="08556A2F">
      <w:pPr>
        <w:pStyle w:val="24"/>
        <w:keepNext w:val="0"/>
        <w:keepLines w:val="0"/>
        <w:pageBreakBefore w:val="0"/>
        <w:widowControl w:val="0"/>
        <w:tabs>
          <w:tab w:val="right" w:leader="dot" w:pos="8306"/>
        </w:tabs>
        <w:kinsoku/>
        <w:wordWrap/>
        <w:overflowPunct/>
        <w:topLinePunct w:val="0"/>
        <w:autoSpaceDE/>
        <w:autoSpaceDN/>
        <w:bidi w:val="0"/>
        <w:adjustRightInd w:val="0"/>
        <w:snapToGrid/>
        <w:ind w:left="0" w:leftChars="0" w:firstLine="0" w:firstLineChars="0"/>
        <w:jc w:val="both"/>
        <w:textAlignment w:val="auto"/>
      </w:pPr>
      <w:r>
        <w:rPr>
          <w:bCs w:val="0"/>
        </w:rPr>
        <w:fldChar w:fldCharType="begin"/>
      </w:r>
      <w:r>
        <w:rPr>
          <w:bCs w:val="0"/>
        </w:rPr>
        <w:instrText xml:space="preserve"> HYPERLINK \l _Toc26861 </w:instrText>
      </w:r>
      <w:r>
        <w:rPr>
          <w:bCs w:val="0"/>
        </w:rPr>
        <w:fldChar w:fldCharType="separate"/>
      </w:r>
      <w:r>
        <w:rPr>
          <w:rFonts w:hint="eastAsia"/>
        </w:rPr>
        <w:t>引用标准及文件名录</w:t>
      </w:r>
      <w:r>
        <w:tab/>
      </w:r>
      <w:r>
        <w:fldChar w:fldCharType="begin"/>
      </w:r>
      <w:r>
        <w:instrText xml:space="preserve"> PAGEREF _Toc26861 \h </w:instrText>
      </w:r>
      <w:r>
        <w:fldChar w:fldCharType="separate"/>
      </w:r>
      <w:r>
        <w:t>58</w:t>
      </w:r>
      <w:r>
        <w:fldChar w:fldCharType="end"/>
      </w:r>
      <w:r>
        <w:rPr>
          <w:bCs w:val="0"/>
        </w:rPr>
        <w:fldChar w:fldCharType="end"/>
      </w:r>
    </w:p>
    <w:p w14:paraId="6608A5B1">
      <w:pPr>
        <w:pStyle w:val="21"/>
        <w:jc w:val="center"/>
        <w:rPr>
          <w:kern w:val="2"/>
        </w:rPr>
      </w:pPr>
      <w:r>
        <w:rPr>
          <w:b w:val="0"/>
          <w:bCs w:val="0"/>
        </w:rPr>
        <w:fldChar w:fldCharType="end"/>
      </w:r>
      <w:bookmarkStart w:id="54" w:name="_Toc414356810"/>
      <w:bookmarkStart w:id="55" w:name="_Toc422931110"/>
      <w:bookmarkStart w:id="56" w:name="_Toc30403"/>
      <w:bookmarkStart w:id="57" w:name="_Toc357929296"/>
      <w:bookmarkStart w:id="58" w:name="_Toc422990148"/>
      <w:bookmarkStart w:id="59" w:name="_Toc427324170"/>
      <w:bookmarkStart w:id="60" w:name="_Toc9716"/>
      <w:bookmarkStart w:id="61" w:name="_Toc13291"/>
      <w:bookmarkStart w:id="62" w:name="_Toc8610"/>
      <w:bookmarkStart w:id="63" w:name="_Toc413934930"/>
      <w:bookmarkStart w:id="64" w:name="_Toc211"/>
      <w:bookmarkStart w:id="65" w:name="_Toc31500"/>
      <w:bookmarkStart w:id="66" w:name="_Toc381994862"/>
      <w:bookmarkStart w:id="67" w:name="_Toc408836998"/>
      <w:bookmarkStart w:id="68" w:name="_Toc413940449"/>
      <w:bookmarkStart w:id="69" w:name="_Toc384732043"/>
      <w:bookmarkStart w:id="70" w:name="_Toc12671"/>
      <w:bookmarkStart w:id="71" w:name="_Toc425447311"/>
      <w:bookmarkStart w:id="72" w:name="_Toc408240463"/>
      <w:bookmarkStart w:id="73" w:name="_Toc425428074"/>
      <w:bookmarkStart w:id="74" w:name="_Toc21828"/>
      <w:bookmarkStart w:id="75" w:name="_Toc27455"/>
      <w:bookmarkStart w:id="76" w:name="_Toc495998701"/>
      <w:bookmarkStart w:id="77" w:name="_Toc337994105"/>
      <w:bookmarkStart w:id="78" w:name="_Toc425427937"/>
      <w:bookmarkStart w:id="79" w:name="_Toc421291509"/>
      <w:bookmarkStart w:id="80" w:name="_Toc425427794"/>
      <w:bookmarkStart w:id="81" w:name="_Toc427323774"/>
      <w:bookmarkStart w:id="82" w:name="_Toc425344238"/>
      <w:bookmarkStart w:id="83" w:name="_Toc419288499"/>
      <w:bookmarkStart w:id="84" w:name="_Toc15029"/>
      <w:bookmarkStart w:id="85" w:name="_Toc26816829"/>
      <w:bookmarkStart w:id="86" w:name="_Toc425446199"/>
      <w:bookmarkStart w:id="87" w:name="_Toc26817439"/>
      <w:bookmarkStart w:id="88" w:name="_Toc25873"/>
      <w:bookmarkStart w:id="89" w:name="_Toc24997"/>
      <w:r>
        <w:rPr>
          <w:kern w:val="2"/>
        </w:rPr>
        <w:t>CONTENTS</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74C977CD">
      <w:pPr>
        <w:tabs>
          <w:tab w:val="right" w:leader="dot" w:pos="9256"/>
        </w:tabs>
        <w:ind w:firstLine="0" w:firstLineChars="0"/>
      </w:pPr>
      <w:bookmarkStart w:id="90" w:name="_Toc414356811"/>
      <w:r>
        <w:t>1  General Provisions</w:t>
      </w:r>
      <w:r>
        <w:tab/>
      </w:r>
      <w:r>
        <w:t>1</w:t>
      </w:r>
    </w:p>
    <w:p w14:paraId="7005E104">
      <w:pPr>
        <w:tabs>
          <w:tab w:val="right" w:leader="dot" w:pos="9256"/>
        </w:tabs>
        <w:ind w:firstLine="0" w:firstLineChars="0"/>
      </w:pPr>
      <w:r>
        <w:t>2  Terms</w:t>
      </w:r>
      <w:r>
        <w:tab/>
      </w:r>
      <w:r>
        <w:t>2</w:t>
      </w:r>
    </w:p>
    <w:p w14:paraId="2C9645DF">
      <w:pPr>
        <w:tabs>
          <w:tab w:val="right" w:leader="dot" w:pos="9256"/>
        </w:tabs>
        <w:ind w:firstLine="0" w:firstLineChars="0"/>
      </w:pPr>
      <w:r>
        <w:t xml:space="preserve">3  Basic </w:t>
      </w:r>
      <w:r>
        <w:rPr>
          <w:rFonts w:hint="eastAsia"/>
          <w:lang w:eastAsia="zh-CN"/>
        </w:rPr>
        <w:t>Requirement</w:t>
      </w:r>
      <w:r>
        <w:tab/>
      </w:r>
      <w:r>
        <w:t>4</w:t>
      </w:r>
    </w:p>
    <w:p w14:paraId="1C0359C0">
      <w:pPr>
        <w:tabs>
          <w:tab w:val="right" w:leader="dot" w:pos="9256"/>
        </w:tabs>
        <w:ind w:firstLine="0" w:firstLineChars="0"/>
      </w:pPr>
      <w:r>
        <w:t>4  Calculation of Technical and Economic Indicators</w:t>
      </w:r>
      <w:r>
        <w:tab/>
      </w:r>
      <w:r>
        <w:t>5</w:t>
      </w:r>
    </w:p>
    <w:p w14:paraId="4796D724">
      <w:pPr>
        <w:tabs>
          <w:tab w:val="right" w:leader="dot" w:pos="9256"/>
        </w:tabs>
        <w:ind w:firstLine="0" w:firstLineChars="0"/>
      </w:pPr>
      <w:r>
        <w:t>5  Spaces Within the Dwelling Unit</w:t>
      </w:r>
      <w:r>
        <w:tab/>
      </w:r>
      <w:r>
        <w:t>7</w:t>
      </w:r>
    </w:p>
    <w:p w14:paraId="00C8695B">
      <w:pPr>
        <w:tabs>
          <w:tab w:val="right" w:leader="dot" w:pos="9256"/>
        </w:tabs>
        <w:ind w:firstLine="210" w:firstLineChars="100"/>
      </w:pPr>
      <w:r>
        <w:rPr>
          <w:sz w:val="21"/>
          <w:szCs w:val="21"/>
        </w:rPr>
        <w:t>5.1  Dwelling Unit</w:t>
      </w:r>
      <w:r>
        <w:tab/>
      </w:r>
      <w:r>
        <w:t>7</w:t>
      </w:r>
    </w:p>
    <w:p w14:paraId="237E8367">
      <w:pPr>
        <w:tabs>
          <w:tab w:val="right" w:leader="dot" w:pos="9256"/>
        </w:tabs>
        <w:ind w:firstLine="210" w:firstLineChars="100"/>
      </w:pPr>
      <w:r>
        <w:rPr>
          <w:sz w:val="21"/>
          <w:szCs w:val="21"/>
        </w:rPr>
        <w:t>5.2  Bed Room</w:t>
      </w:r>
      <w:r>
        <w:tab/>
      </w:r>
      <w:r>
        <w:t>7</w:t>
      </w:r>
    </w:p>
    <w:p w14:paraId="4783DADD">
      <w:pPr>
        <w:tabs>
          <w:tab w:val="right" w:leader="dot" w:pos="9256"/>
        </w:tabs>
        <w:ind w:firstLine="210" w:firstLineChars="100"/>
      </w:pPr>
      <w:r>
        <w:rPr>
          <w:sz w:val="21"/>
          <w:szCs w:val="21"/>
        </w:rPr>
        <w:t xml:space="preserve">5.3  Living </w:t>
      </w:r>
      <w:r>
        <w:rPr>
          <w:rFonts w:hint="eastAsia"/>
          <w:sz w:val="21"/>
          <w:szCs w:val="21"/>
          <w:lang w:eastAsia="zh-CN"/>
        </w:rPr>
        <w:t>Room (Hall) and Dining</w:t>
      </w:r>
      <w:r>
        <w:rPr>
          <w:sz w:val="21"/>
          <w:szCs w:val="21"/>
        </w:rPr>
        <w:t xml:space="preserve"> Room</w:t>
      </w:r>
      <w:r>
        <w:tab/>
      </w:r>
      <w:r>
        <w:t>7</w:t>
      </w:r>
    </w:p>
    <w:p w14:paraId="28702A77">
      <w:pPr>
        <w:tabs>
          <w:tab w:val="right" w:leader="dot" w:pos="9256"/>
        </w:tabs>
        <w:ind w:firstLine="210" w:firstLineChars="100"/>
      </w:pPr>
      <w:r>
        <w:rPr>
          <w:sz w:val="21"/>
          <w:szCs w:val="21"/>
        </w:rPr>
        <w:t>5.4  Kitchen</w:t>
      </w:r>
      <w:r>
        <w:tab/>
      </w:r>
      <w:r>
        <w:t>8</w:t>
      </w:r>
    </w:p>
    <w:p w14:paraId="7219CEAD">
      <w:pPr>
        <w:tabs>
          <w:tab w:val="right" w:leader="dot" w:pos="9256"/>
        </w:tabs>
        <w:ind w:firstLine="210" w:firstLineChars="100"/>
      </w:pPr>
      <w:r>
        <w:rPr>
          <w:sz w:val="21"/>
          <w:szCs w:val="21"/>
        </w:rPr>
        <w:t>5.5  Toilet</w:t>
      </w:r>
      <w:r>
        <w:tab/>
      </w:r>
      <w:r>
        <w:t>8</w:t>
      </w:r>
    </w:p>
    <w:p w14:paraId="631AAC92">
      <w:pPr>
        <w:tabs>
          <w:tab w:val="right" w:leader="dot" w:pos="9256"/>
        </w:tabs>
        <w:ind w:firstLine="210" w:firstLineChars="100"/>
      </w:pPr>
      <w:r>
        <w:rPr>
          <w:sz w:val="21"/>
          <w:szCs w:val="21"/>
        </w:rPr>
        <w:t>5.6  Store Space</w:t>
      </w:r>
      <w:r>
        <w:rPr>
          <w:rFonts w:hint="eastAsia"/>
          <w:sz w:val="21"/>
          <w:szCs w:val="21"/>
          <w:lang w:eastAsia="zh-CN"/>
        </w:rPr>
        <w:t xml:space="preserve">, </w:t>
      </w:r>
      <w:r>
        <w:rPr>
          <w:rFonts w:hint="eastAsia"/>
          <w:sz w:val="21"/>
          <w:szCs w:val="21"/>
        </w:rPr>
        <w:t>C</w:t>
      </w:r>
      <w:r>
        <w:rPr>
          <w:sz w:val="21"/>
          <w:szCs w:val="21"/>
        </w:rPr>
        <w:t>orridor and Interior Stairs</w:t>
      </w:r>
      <w:r>
        <w:tab/>
      </w:r>
      <w:r>
        <w:t>9</w:t>
      </w:r>
    </w:p>
    <w:p w14:paraId="115B4245">
      <w:pPr>
        <w:tabs>
          <w:tab w:val="right" w:leader="dot" w:pos="9256"/>
        </w:tabs>
        <w:ind w:firstLine="210" w:firstLineChars="100"/>
      </w:pPr>
      <w:r>
        <w:rPr>
          <w:sz w:val="21"/>
          <w:szCs w:val="21"/>
        </w:rPr>
        <w:t>5.7  Balcony</w:t>
      </w:r>
      <w:r>
        <w:rPr>
          <w:rFonts w:hint="eastAsia"/>
          <w:sz w:val="21"/>
          <w:szCs w:val="21"/>
          <w:lang w:eastAsia="zh-CN"/>
        </w:rPr>
        <w:t xml:space="preserve">, </w:t>
      </w:r>
      <w:r>
        <w:rPr>
          <w:sz w:val="21"/>
          <w:szCs w:val="21"/>
        </w:rPr>
        <w:t>Notch</w:t>
      </w:r>
      <w:r>
        <w:tab/>
      </w:r>
      <w:r>
        <w:t>9</w:t>
      </w:r>
    </w:p>
    <w:p w14:paraId="750A13C0">
      <w:pPr>
        <w:tabs>
          <w:tab w:val="right" w:leader="dot" w:pos="9256"/>
        </w:tabs>
        <w:ind w:firstLine="210" w:firstLineChars="100"/>
      </w:pPr>
      <w:r>
        <w:rPr>
          <w:sz w:val="21"/>
          <w:szCs w:val="21"/>
        </w:rPr>
        <w:t>5.8  Storey Height and Interior Net Storey Height</w:t>
      </w:r>
      <w:r>
        <w:tab/>
      </w:r>
      <w:r>
        <w:t>10</w:t>
      </w:r>
    </w:p>
    <w:p w14:paraId="1EA49FEB">
      <w:pPr>
        <w:tabs>
          <w:tab w:val="right" w:leader="dot" w:pos="9256"/>
        </w:tabs>
        <w:ind w:firstLine="0" w:firstLineChars="0"/>
      </w:pPr>
      <w:r>
        <w:t>6  Common Spaces</w:t>
      </w:r>
      <w:r>
        <w:tab/>
      </w:r>
      <w:r>
        <w:t>11</w:t>
      </w:r>
    </w:p>
    <w:p w14:paraId="2C97B4E4">
      <w:pPr>
        <w:tabs>
          <w:tab w:val="right" w:leader="dot" w:pos="9256"/>
        </w:tabs>
        <w:ind w:firstLine="210" w:firstLineChars="100"/>
      </w:pPr>
      <w:r>
        <w:rPr>
          <w:sz w:val="21"/>
          <w:szCs w:val="21"/>
        </w:rPr>
        <w:t>6.1  Entrance</w:t>
      </w:r>
      <w:r>
        <w:rPr>
          <w:rFonts w:hint="eastAsia"/>
          <w:sz w:val="21"/>
          <w:szCs w:val="21"/>
          <w:lang w:eastAsia="zh-CN"/>
        </w:rPr>
        <w:t xml:space="preserve">, </w:t>
      </w:r>
      <w:r>
        <w:rPr>
          <w:sz w:val="21"/>
          <w:szCs w:val="21"/>
        </w:rPr>
        <w:t xml:space="preserve">Passage and Contact </w:t>
      </w:r>
      <w:r>
        <w:rPr>
          <w:rFonts w:hint="eastAsia"/>
          <w:sz w:val="21"/>
          <w:szCs w:val="21"/>
        </w:rPr>
        <w:t>C</w:t>
      </w:r>
      <w:r>
        <w:rPr>
          <w:sz w:val="21"/>
          <w:szCs w:val="21"/>
        </w:rPr>
        <w:t>orridor</w:t>
      </w:r>
      <w:r>
        <w:tab/>
      </w:r>
      <w:r>
        <w:t>11</w:t>
      </w:r>
    </w:p>
    <w:p w14:paraId="53036359">
      <w:pPr>
        <w:tabs>
          <w:tab w:val="right" w:leader="dot" w:pos="9256"/>
        </w:tabs>
        <w:ind w:firstLine="210" w:firstLineChars="100"/>
      </w:pPr>
      <w:r>
        <w:rPr>
          <w:sz w:val="21"/>
          <w:szCs w:val="21"/>
        </w:rPr>
        <w:t>6.2  Staircase</w:t>
      </w:r>
      <w:r>
        <w:tab/>
      </w:r>
      <w:r>
        <w:t>12</w:t>
      </w:r>
    </w:p>
    <w:p w14:paraId="440722FA">
      <w:pPr>
        <w:tabs>
          <w:tab w:val="right" w:leader="dot" w:pos="9256"/>
        </w:tabs>
        <w:ind w:firstLine="210" w:firstLineChars="100"/>
      </w:pPr>
      <w:r>
        <w:rPr>
          <w:sz w:val="21"/>
          <w:szCs w:val="21"/>
        </w:rPr>
        <w:t>6.3  Elevator and Elevator Lobby</w:t>
      </w:r>
      <w:r>
        <w:tab/>
      </w:r>
      <w:r>
        <w:t>12</w:t>
      </w:r>
    </w:p>
    <w:p w14:paraId="60D59BE6">
      <w:pPr>
        <w:tabs>
          <w:tab w:val="right" w:leader="dot" w:pos="9256"/>
        </w:tabs>
        <w:ind w:firstLine="210" w:firstLineChars="100"/>
      </w:pPr>
      <w:r>
        <w:rPr>
          <w:sz w:val="21"/>
          <w:szCs w:val="21"/>
        </w:rPr>
        <w:t>6.4  Accessorial Public Rooms</w:t>
      </w:r>
      <w:r>
        <w:tab/>
      </w:r>
      <w:r>
        <w:t>13</w:t>
      </w:r>
    </w:p>
    <w:p w14:paraId="7DCAA08A">
      <w:pPr>
        <w:tabs>
          <w:tab w:val="right" w:leader="dot" w:pos="9256"/>
        </w:tabs>
        <w:ind w:firstLine="210" w:firstLineChars="100"/>
      </w:pPr>
      <w:r>
        <w:rPr>
          <w:sz w:val="21"/>
          <w:szCs w:val="21"/>
        </w:rPr>
        <w:t>6.5  Basement and Semi-basement</w:t>
      </w:r>
      <w:r>
        <w:tab/>
      </w:r>
      <w:r>
        <w:t>13</w:t>
      </w:r>
    </w:p>
    <w:p w14:paraId="617DD41A">
      <w:pPr>
        <w:tabs>
          <w:tab w:val="right" w:leader="dot" w:pos="9256"/>
        </w:tabs>
        <w:ind w:firstLine="0" w:firstLineChars="0"/>
      </w:pPr>
      <w:r>
        <w:t xml:space="preserve">7  Residential Facilities </w:t>
      </w:r>
      <w:r>
        <w:tab/>
      </w:r>
      <w:r>
        <w:t>15</w:t>
      </w:r>
    </w:p>
    <w:p w14:paraId="333EE0F5">
      <w:pPr>
        <w:tabs>
          <w:tab w:val="right" w:leader="dot" w:pos="9256"/>
        </w:tabs>
        <w:ind w:firstLine="210" w:firstLineChars="100"/>
      </w:pPr>
      <w:r>
        <w:rPr>
          <w:sz w:val="21"/>
          <w:szCs w:val="21"/>
        </w:rPr>
        <w:t>7.1  Doors and Windows</w:t>
      </w:r>
      <w:r>
        <w:tab/>
      </w:r>
      <w:r>
        <w:t>15</w:t>
      </w:r>
    </w:p>
    <w:p w14:paraId="0E48E5FB">
      <w:pPr>
        <w:tabs>
          <w:tab w:val="right" w:leader="dot" w:pos="9256"/>
        </w:tabs>
        <w:ind w:firstLine="210" w:firstLineChars="100"/>
      </w:pPr>
      <w:r>
        <w:rPr>
          <w:sz w:val="21"/>
          <w:szCs w:val="21"/>
        </w:rPr>
        <w:t>7.2  Post Box and</w:t>
      </w:r>
      <w:r>
        <w:rPr>
          <w:rFonts w:hint="eastAsia"/>
          <w:sz w:val="21"/>
          <w:szCs w:val="21"/>
        </w:rPr>
        <w:t xml:space="preserve"> Express Facilities</w:t>
      </w:r>
      <w:r>
        <w:tab/>
      </w:r>
      <w:r>
        <w:t>16</w:t>
      </w:r>
    </w:p>
    <w:p w14:paraId="1DAB92E5">
      <w:pPr>
        <w:tabs>
          <w:tab w:val="right" w:leader="dot" w:pos="9256"/>
        </w:tabs>
        <w:ind w:firstLine="210" w:firstLineChars="100"/>
      </w:pPr>
      <w:r>
        <w:rPr>
          <w:sz w:val="21"/>
          <w:szCs w:val="21"/>
        </w:rPr>
        <w:t>7.3  Air Conditioned Outdoor Shelf</w:t>
      </w:r>
      <w:r>
        <w:tab/>
      </w:r>
      <w:r>
        <w:t>16</w:t>
      </w:r>
    </w:p>
    <w:p w14:paraId="5A2F2452">
      <w:pPr>
        <w:tabs>
          <w:tab w:val="right" w:leader="dot" w:pos="9256"/>
        </w:tabs>
        <w:ind w:firstLine="210" w:firstLineChars="100"/>
      </w:pPr>
      <w:r>
        <w:rPr>
          <w:sz w:val="21"/>
          <w:szCs w:val="21"/>
        </w:rPr>
        <w:t xml:space="preserve">7.4  Common </w:t>
      </w:r>
      <w:r>
        <w:rPr>
          <w:rFonts w:hint="eastAsia"/>
          <w:sz w:val="21"/>
          <w:szCs w:val="21"/>
        </w:rPr>
        <w:t>Exhaust Ducts and</w:t>
      </w:r>
      <w:r>
        <w:rPr>
          <w:sz w:val="21"/>
          <w:szCs w:val="21"/>
        </w:rPr>
        <w:t xml:space="preserve"> Pipe Shaft</w:t>
      </w:r>
      <w:r>
        <w:tab/>
      </w:r>
      <w:r>
        <w:t>17</w:t>
      </w:r>
    </w:p>
    <w:p w14:paraId="5D91426B">
      <w:pPr>
        <w:tabs>
          <w:tab w:val="right" w:leader="dot" w:pos="9256"/>
        </w:tabs>
        <w:ind w:firstLine="210" w:firstLineChars="100"/>
      </w:pPr>
      <w:r>
        <w:rPr>
          <w:sz w:val="21"/>
          <w:szCs w:val="21"/>
        </w:rPr>
        <w:t>7.5  Fire Protection Construction</w:t>
      </w:r>
      <w:r>
        <w:tab/>
      </w:r>
      <w:r>
        <w:t>17</w:t>
      </w:r>
    </w:p>
    <w:p w14:paraId="28ADDA8A">
      <w:pPr>
        <w:tabs>
          <w:tab w:val="right" w:leader="dot" w:pos="9256"/>
        </w:tabs>
        <w:ind w:firstLine="0" w:firstLineChars="0"/>
      </w:pPr>
      <w:r>
        <w:t>8  Interior Environment</w:t>
      </w:r>
      <w:r>
        <w:tab/>
      </w:r>
      <w:r>
        <w:t>19</w:t>
      </w:r>
      <w:r>
        <w:rPr>
          <w:rFonts w:hint="eastAsia"/>
        </w:rPr>
        <w:t xml:space="preserve"> </w:t>
      </w:r>
    </w:p>
    <w:p w14:paraId="30A5A78A">
      <w:pPr>
        <w:tabs>
          <w:tab w:val="right" w:leader="dot" w:pos="9256"/>
        </w:tabs>
        <w:ind w:firstLine="210" w:firstLineChars="100"/>
      </w:pPr>
      <w:r>
        <w:rPr>
          <w:sz w:val="21"/>
          <w:szCs w:val="21"/>
        </w:rPr>
        <w:t>8.1  Sunlight</w:t>
      </w:r>
      <w:r>
        <w:tab/>
      </w:r>
      <w:r>
        <w:t>19</w:t>
      </w:r>
    </w:p>
    <w:p w14:paraId="5E1936F1">
      <w:pPr>
        <w:tabs>
          <w:tab w:val="right" w:leader="dot" w:pos="9256"/>
        </w:tabs>
        <w:ind w:firstLine="210" w:firstLineChars="100"/>
      </w:pPr>
      <w:r>
        <w:rPr>
          <w:sz w:val="21"/>
          <w:szCs w:val="21"/>
        </w:rPr>
        <w:t xml:space="preserve">8.2  </w:t>
      </w:r>
      <w:r>
        <w:rPr>
          <w:rFonts w:hint="eastAsia"/>
          <w:sz w:val="21"/>
          <w:szCs w:val="21"/>
        </w:rPr>
        <w:t>Day</w:t>
      </w:r>
      <w:r>
        <w:rPr>
          <w:sz w:val="21"/>
          <w:szCs w:val="21"/>
        </w:rPr>
        <w:t>Lighting</w:t>
      </w:r>
      <w:r>
        <w:tab/>
      </w:r>
      <w:r>
        <w:t>19</w:t>
      </w:r>
    </w:p>
    <w:p w14:paraId="085DA547">
      <w:pPr>
        <w:tabs>
          <w:tab w:val="right" w:leader="dot" w:pos="9256"/>
        </w:tabs>
        <w:ind w:firstLine="210" w:firstLineChars="100"/>
      </w:pPr>
      <w:r>
        <w:rPr>
          <w:sz w:val="21"/>
          <w:szCs w:val="21"/>
        </w:rPr>
        <w:t>8.3  Ventilation</w:t>
      </w:r>
      <w:r>
        <w:tab/>
      </w:r>
      <w:r>
        <w:t>19</w:t>
      </w:r>
    </w:p>
    <w:p w14:paraId="0B9A5396">
      <w:pPr>
        <w:tabs>
          <w:tab w:val="right" w:leader="dot" w:pos="9256"/>
        </w:tabs>
        <w:ind w:firstLine="210" w:firstLineChars="100"/>
      </w:pPr>
      <w:r>
        <w:rPr>
          <w:sz w:val="21"/>
          <w:szCs w:val="21"/>
        </w:rPr>
        <w:t>8.4  Sound Insulation and Noise Reduction</w:t>
      </w:r>
      <w:r>
        <w:tab/>
      </w:r>
      <w:r>
        <w:t>20</w:t>
      </w:r>
    </w:p>
    <w:p w14:paraId="3A855D36">
      <w:pPr>
        <w:tabs>
          <w:tab w:val="right" w:leader="dot" w:pos="9256"/>
        </w:tabs>
        <w:ind w:firstLine="210" w:firstLineChars="100"/>
      </w:pPr>
      <w:r>
        <w:rPr>
          <w:sz w:val="21"/>
          <w:szCs w:val="21"/>
        </w:rPr>
        <w:t>8.5  Heat Prese</w:t>
      </w:r>
      <w:r>
        <w:rPr>
          <w:rFonts w:hint="eastAsia"/>
          <w:sz w:val="21"/>
          <w:szCs w:val="21"/>
        </w:rPr>
        <w:t>r</w:t>
      </w:r>
      <w:r>
        <w:rPr>
          <w:sz w:val="21"/>
          <w:szCs w:val="21"/>
        </w:rPr>
        <w:t>v</w:t>
      </w:r>
      <w:r>
        <w:rPr>
          <w:rFonts w:hint="eastAsia"/>
          <w:sz w:val="21"/>
          <w:szCs w:val="21"/>
        </w:rPr>
        <w:t>a</w:t>
      </w:r>
      <w:r>
        <w:rPr>
          <w:sz w:val="21"/>
          <w:szCs w:val="21"/>
        </w:rPr>
        <w:t>tionand Insulation</w:t>
      </w:r>
      <w:r>
        <w:tab/>
      </w:r>
      <w:r>
        <w:t>21</w:t>
      </w:r>
    </w:p>
    <w:p w14:paraId="2955B18B">
      <w:pPr>
        <w:tabs>
          <w:tab w:val="right" w:leader="dot" w:pos="9256"/>
        </w:tabs>
        <w:ind w:firstLine="210" w:firstLineChars="100"/>
      </w:pPr>
      <w:r>
        <w:rPr>
          <w:sz w:val="21"/>
          <w:szCs w:val="21"/>
        </w:rPr>
        <w:t>8.6  Interior Air Quality</w:t>
      </w:r>
      <w:r>
        <w:tab/>
      </w:r>
      <w:r>
        <w:t>21</w:t>
      </w:r>
    </w:p>
    <w:p w14:paraId="5788DB90">
      <w:pPr>
        <w:tabs>
          <w:tab w:val="right" w:leader="dot" w:pos="9256"/>
        </w:tabs>
        <w:ind w:firstLine="0" w:firstLineChars="0"/>
      </w:pPr>
      <w:r>
        <w:t>9   Building Construction</w:t>
      </w:r>
      <w:r>
        <w:tab/>
      </w:r>
      <w:r>
        <w:t>23</w:t>
      </w:r>
    </w:p>
    <w:p w14:paraId="385C1AC0">
      <w:pPr>
        <w:tabs>
          <w:tab w:val="right" w:leader="dot" w:pos="9256"/>
        </w:tabs>
        <w:ind w:firstLine="210" w:firstLineChars="100"/>
      </w:pPr>
      <w:r>
        <w:rPr>
          <w:sz w:val="21"/>
          <w:szCs w:val="21"/>
        </w:rPr>
        <w:t>9.1  General Requirement</w:t>
      </w:r>
      <w:r>
        <w:tab/>
      </w:r>
      <w:r>
        <w:t>23</w:t>
      </w:r>
    </w:p>
    <w:p w14:paraId="407AFFC2">
      <w:pPr>
        <w:tabs>
          <w:tab w:val="right" w:leader="dot" w:pos="9256"/>
        </w:tabs>
        <w:ind w:firstLine="210" w:firstLineChars="100"/>
      </w:pPr>
      <w:r>
        <w:rPr>
          <w:sz w:val="21"/>
          <w:szCs w:val="21"/>
        </w:rPr>
        <w:t>9.2  Residential Construction System</w:t>
      </w:r>
      <w:r>
        <w:tab/>
      </w:r>
      <w:r>
        <w:t>23</w:t>
      </w:r>
    </w:p>
    <w:p w14:paraId="49B27E4E">
      <w:pPr>
        <w:tabs>
          <w:tab w:val="right" w:leader="dot" w:pos="9256"/>
        </w:tabs>
        <w:ind w:firstLine="210" w:firstLineChars="100"/>
      </w:pPr>
      <w:r>
        <w:rPr>
          <w:sz w:val="21"/>
          <w:szCs w:val="21"/>
        </w:rPr>
        <w:t>9.3  Construction Calculation</w:t>
      </w:r>
      <w:r>
        <w:tab/>
      </w:r>
      <w:r>
        <w:t>27</w:t>
      </w:r>
    </w:p>
    <w:p w14:paraId="5FA46574">
      <w:pPr>
        <w:tabs>
          <w:tab w:val="right" w:leader="dot" w:pos="9256"/>
        </w:tabs>
        <w:ind w:firstLine="210" w:firstLineChars="100"/>
      </w:pPr>
      <w:r>
        <w:rPr>
          <w:sz w:val="21"/>
          <w:szCs w:val="21"/>
        </w:rPr>
        <w:t>9.4  Foundation Design</w:t>
      </w:r>
      <w:r>
        <w:tab/>
      </w:r>
      <w:r>
        <w:t>28</w:t>
      </w:r>
    </w:p>
    <w:p w14:paraId="40D4FB4B">
      <w:pPr>
        <w:tabs>
          <w:tab w:val="right" w:leader="dot" w:pos="9256"/>
        </w:tabs>
        <w:ind w:firstLine="210" w:firstLineChars="100"/>
      </w:pPr>
      <w:r>
        <w:rPr>
          <w:sz w:val="21"/>
          <w:szCs w:val="21"/>
        </w:rPr>
        <w:t xml:space="preserve">9.5 </w:t>
      </w:r>
      <w:r>
        <w:rPr>
          <w:rFonts w:hint="eastAsia"/>
          <w:sz w:val="21"/>
          <w:szCs w:val="21"/>
          <w:lang w:eastAsia="zh-CN"/>
        </w:rPr>
        <w:t>Floors (Roofs),</w:t>
      </w:r>
      <w:r>
        <w:rPr>
          <w:sz w:val="21"/>
          <w:szCs w:val="21"/>
        </w:rPr>
        <w:t xml:space="preserve"> Balcony, Canopy, etc. cantilever construction</w:t>
      </w:r>
      <w:r>
        <w:tab/>
      </w:r>
      <w:r>
        <w:t>29</w:t>
      </w:r>
    </w:p>
    <w:p w14:paraId="45B93227">
      <w:pPr>
        <w:tabs>
          <w:tab w:val="right" w:leader="dot" w:pos="9256"/>
        </w:tabs>
        <w:ind w:firstLine="210" w:firstLineChars="100"/>
      </w:pPr>
      <w:r>
        <w:rPr>
          <w:sz w:val="21"/>
          <w:szCs w:val="21"/>
        </w:rPr>
        <w:t>9.6  Other Structural Measures of Residential Structure</w:t>
      </w:r>
      <w:r>
        <w:tab/>
      </w:r>
      <w:r>
        <w:t>30</w:t>
      </w:r>
    </w:p>
    <w:p w14:paraId="6CC5EE10">
      <w:pPr>
        <w:tabs>
          <w:tab w:val="right" w:leader="dot" w:pos="9256"/>
        </w:tabs>
        <w:ind w:firstLine="0" w:firstLineChars="0"/>
      </w:pPr>
      <w:r>
        <w:t>10  Building Equipment</w:t>
      </w:r>
      <w:r>
        <w:tab/>
      </w:r>
      <w:r>
        <w:t>32</w:t>
      </w:r>
    </w:p>
    <w:p w14:paraId="004ACB3C">
      <w:pPr>
        <w:tabs>
          <w:tab w:val="right" w:leader="dot" w:pos="9256"/>
        </w:tabs>
        <w:ind w:firstLine="210" w:firstLineChars="100"/>
      </w:pPr>
      <w:r>
        <w:rPr>
          <w:sz w:val="21"/>
          <w:szCs w:val="21"/>
        </w:rPr>
        <w:t>10.1  General Requirement</w:t>
      </w:r>
      <w:r>
        <w:tab/>
      </w:r>
      <w:r>
        <w:t>32</w:t>
      </w:r>
    </w:p>
    <w:p w14:paraId="5063742B">
      <w:pPr>
        <w:tabs>
          <w:tab w:val="right" w:leader="dot" w:pos="9256"/>
        </w:tabs>
        <w:ind w:firstLine="210" w:firstLineChars="100"/>
      </w:pPr>
      <w:r>
        <w:rPr>
          <w:sz w:val="21"/>
          <w:szCs w:val="21"/>
        </w:rPr>
        <w:t>10.2  Water Supply and Sewerage</w:t>
      </w:r>
      <w:r>
        <w:tab/>
      </w:r>
      <w:r>
        <w:t>32</w:t>
      </w:r>
    </w:p>
    <w:p w14:paraId="126C7862">
      <w:pPr>
        <w:tabs>
          <w:tab w:val="right" w:leader="dot" w:pos="9256"/>
        </w:tabs>
        <w:ind w:firstLine="210" w:firstLineChars="100"/>
      </w:pPr>
      <w:r>
        <w:rPr>
          <w:sz w:val="21"/>
          <w:szCs w:val="21"/>
        </w:rPr>
        <w:t>10.3  Heating</w:t>
      </w:r>
      <w:r>
        <w:tab/>
      </w:r>
      <w:r>
        <w:t>35</w:t>
      </w:r>
    </w:p>
    <w:p w14:paraId="6652F289">
      <w:pPr>
        <w:tabs>
          <w:tab w:val="right" w:leader="dot" w:pos="9256"/>
        </w:tabs>
        <w:ind w:firstLine="210" w:firstLineChars="100"/>
      </w:pPr>
      <w:r>
        <w:rPr>
          <w:sz w:val="21"/>
          <w:szCs w:val="21"/>
        </w:rPr>
        <w:t>10.4  Gas</w:t>
      </w:r>
      <w:r>
        <w:tab/>
      </w:r>
      <w:r>
        <w:t>37</w:t>
      </w:r>
    </w:p>
    <w:p w14:paraId="172F4EAF">
      <w:pPr>
        <w:tabs>
          <w:tab w:val="right" w:leader="dot" w:pos="9256"/>
        </w:tabs>
        <w:ind w:firstLine="210" w:firstLineChars="100"/>
      </w:pPr>
      <w:r>
        <w:rPr>
          <w:sz w:val="21"/>
          <w:szCs w:val="21"/>
        </w:rPr>
        <w:t>10.5  Ventilation</w:t>
      </w:r>
      <w:r>
        <w:tab/>
      </w:r>
      <w:r>
        <w:t>38</w:t>
      </w:r>
    </w:p>
    <w:p w14:paraId="0CEA4C0B">
      <w:pPr>
        <w:tabs>
          <w:tab w:val="right" w:leader="dot" w:pos="9256"/>
        </w:tabs>
        <w:ind w:firstLine="210" w:firstLineChars="100"/>
      </w:pPr>
      <w:r>
        <w:rPr>
          <w:sz w:val="21"/>
          <w:szCs w:val="21"/>
        </w:rPr>
        <w:t>10.6  Air Conditioning</w:t>
      </w:r>
      <w:r>
        <w:tab/>
      </w:r>
      <w:r>
        <w:t>39</w:t>
      </w:r>
    </w:p>
    <w:p w14:paraId="13740BE1">
      <w:pPr>
        <w:tabs>
          <w:tab w:val="right" w:leader="dot" w:pos="9256"/>
        </w:tabs>
        <w:ind w:firstLine="0" w:firstLineChars="0"/>
      </w:pPr>
      <w:r>
        <w:t xml:space="preserve">11  Building Electricity </w:t>
      </w:r>
      <w:r>
        <w:rPr>
          <w:rFonts w:hint="eastAsia"/>
        </w:rPr>
        <w:t>and Intelligentization</w:t>
      </w:r>
      <w:r>
        <w:tab/>
      </w:r>
      <w:r>
        <w:t>41</w:t>
      </w:r>
    </w:p>
    <w:p w14:paraId="65F86DF5">
      <w:pPr>
        <w:tabs>
          <w:tab w:val="right" w:leader="dot" w:pos="9256"/>
        </w:tabs>
        <w:ind w:firstLine="210" w:firstLineChars="100"/>
      </w:pPr>
      <w:r>
        <w:rPr>
          <w:sz w:val="21"/>
          <w:szCs w:val="21"/>
        </w:rPr>
        <w:t>11.1  General Requirement</w:t>
      </w:r>
      <w:r>
        <w:tab/>
      </w:r>
      <w:r>
        <w:t>41</w:t>
      </w:r>
    </w:p>
    <w:p w14:paraId="069F4B31">
      <w:pPr>
        <w:tabs>
          <w:tab w:val="right" w:leader="dot" w:pos="9256"/>
        </w:tabs>
        <w:ind w:firstLine="210" w:firstLineChars="100"/>
      </w:pPr>
      <w:r>
        <w:rPr>
          <w:sz w:val="21"/>
          <w:szCs w:val="21"/>
        </w:rPr>
        <w:t>11.2  Power Distribution Design</w:t>
      </w:r>
      <w:r>
        <w:tab/>
      </w:r>
      <w:r>
        <w:t>41</w:t>
      </w:r>
    </w:p>
    <w:p w14:paraId="28143B98">
      <w:pPr>
        <w:tabs>
          <w:tab w:val="right" w:leader="dot" w:pos="9256"/>
        </w:tabs>
        <w:ind w:firstLine="210" w:firstLineChars="100"/>
      </w:pPr>
      <w:r>
        <w:rPr>
          <w:sz w:val="21"/>
          <w:szCs w:val="21"/>
        </w:rPr>
        <w:t>11.3  Lighting Facilities</w:t>
      </w:r>
      <w:r>
        <w:tab/>
      </w:r>
      <w:r>
        <w:t>43</w:t>
      </w:r>
    </w:p>
    <w:p w14:paraId="2B3EF0D0">
      <w:pPr>
        <w:tabs>
          <w:tab w:val="right" w:leader="dot" w:pos="9256"/>
        </w:tabs>
        <w:ind w:firstLine="210" w:firstLineChars="100"/>
      </w:pPr>
      <w:r>
        <w:rPr>
          <w:sz w:val="21"/>
          <w:szCs w:val="21"/>
        </w:rPr>
        <w:t>11.4  Lightning Protection</w:t>
      </w:r>
      <w:r>
        <w:tab/>
      </w:r>
      <w:r>
        <w:t>45</w:t>
      </w:r>
    </w:p>
    <w:p w14:paraId="28A9370D">
      <w:pPr>
        <w:tabs>
          <w:tab w:val="right" w:leader="dot" w:pos="9256"/>
        </w:tabs>
        <w:ind w:firstLine="210" w:firstLineChars="100"/>
      </w:pPr>
      <w:r>
        <w:rPr>
          <w:sz w:val="21"/>
          <w:szCs w:val="21"/>
        </w:rPr>
        <w:t>11.5  Information Foundation Facilities System</w:t>
      </w:r>
      <w:r>
        <w:tab/>
      </w:r>
      <w:r>
        <w:t>45</w:t>
      </w:r>
    </w:p>
    <w:p w14:paraId="7EB1BF3E">
      <w:pPr>
        <w:tabs>
          <w:tab w:val="right" w:leader="dot" w:pos="9256"/>
        </w:tabs>
        <w:ind w:firstLine="210" w:firstLineChars="100"/>
      </w:pPr>
      <w:r>
        <w:rPr>
          <w:sz w:val="21"/>
          <w:szCs w:val="21"/>
        </w:rPr>
        <w:t>11.6  Public Security System</w:t>
      </w:r>
      <w:r>
        <w:tab/>
      </w:r>
      <w:r>
        <w:t>50</w:t>
      </w:r>
    </w:p>
    <w:p w14:paraId="04029F58">
      <w:pPr>
        <w:tabs>
          <w:tab w:val="right" w:leader="dot" w:pos="9256"/>
        </w:tabs>
        <w:ind w:firstLine="210" w:firstLineChars="100"/>
      </w:pPr>
      <w:r>
        <w:rPr>
          <w:sz w:val="21"/>
          <w:szCs w:val="21"/>
        </w:rPr>
        <w:t xml:space="preserve">11.7  </w:t>
      </w:r>
      <w:r>
        <w:rPr>
          <w:rFonts w:hint="eastAsia"/>
          <w:sz w:val="21"/>
          <w:szCs w:val="21"/>
        </w:rPr>
        <w:t>Residential Intelligent System</w:t>
      </w:r>
      <w:r>
        <w:tab/>
      </w:r>
      <w:r>
        <w:t>52</w:t>
      </w:r>
    </w:p>
    <w:p w14:paraId="73A7A325">
      <w:pPr>
        <w:tabs>
          <w:tab w:val="right" w:leader="dot" w:pos="9256"/>
        </w:tabs>
        <w:ind w:firstLine="210" w:firstLineChars="100"/>
      </w:pPr>
      <w:r>
        <w:rPr>
          <w:sz w:val="21"/>
          <w:szCs w:val="21"/>
        </w:rPr>
        <w:t xml:space="preserve">11.8  Electricity Conservation Design </w:t>
      </w:r>
      <w:r>
        <w:tab/>
      </w:r>
      <w:r>
        <w:t>53</w:t>
      </w:r>
    </w:p>
    <w:p w14:paraId="012ABAC8">
      <w:pPr>
        <w:tabs>
          <w:tab w:val="right" w:leader="dot" w:pos="9256"/>
        </w:tabs>
        <w:ind w:firstLine="0" w:firstLineChars="0"/>
      </w:pPr>
      <w:r>
        <w:t>12  Pipeline Combination Design</w:t>
      </w:r>
      <w:r>
        <w:tab/>
      </w:r>
      <w:r>
        <w:t>55</w:t>
      </w:r>
    </w:p>
    <w:p w14:paraId="5F4C3357">
      <w:pPr>
        <w:tabs>
          <w:tab w:val="right" w:leader="dot" w:pos="9256"/>
        </w:tabs>
        <w:ind w:firstLine="0" w:firstLineChars="0"/>
        <w:sectPr>
          <w:footerReference r:id="rId13" w:type="default"/>
          <w:footerReference r:id="rId14" w:type="even"/>
          <w:pgSz w:w="11906" w:h="16838"/>
          <w:pgMar w:top="1276" w:right="1800" w:bottom="1276" w:left="1800" w:header="851" w:footer="992" w:gutter="0"/>
          <w:pgNumType w:start="1"/>
          <w:cols w:space="720" w:num="1"/>
          <w:docGrid w:type="lines" w:linePitch="312" w:charSpace="0"/>
        </w:sectPr>
      </w:pPr>
      <w:r>
        <w:rPr>
          <w:rFonts w:hint="eastAsia"/>
        </w:rPr>
        <w:t>Explanation of Wording in This Code</w:t>
      </w:r>
      <w:r>
        <w:tab/>
      </w:r>
      <w:r>
        <w:t>58</w:t>
      </w:r>
    </w:p>
    <w:p w14:paraId="3805B148">
      <w:pPr>
        <w:pStyle w:val="2"/>
        <w:numPr>
          <w:ilvl w:val="0"/>
          <w:numId w:val="7"/>
        </w:numPr>
        <w:rPr>
          <w:rFonts w:ascii="黑体" w:hAnsi="黑体" w:eastAsia="黑体" w:cs="黑体"/>
        </w:rPr>
      </w:pPr>
      <w:bookmarkStart w:id="91" w:name="_Toc24668"/>
      <w:bookmarkStart w:id="92" w:name="_Toc422931111"/>
      <w:bookmarkStart w:id="93" w:name="_Toc15462"/>
      <w:bookmarkStart w:id="94" w:name="_Toc18523"/>
      <w:bookmarkStart w:id="95" w:name="_Toc27477"/>
      <w:bookmarkStart w:id="96" w:name="_Toc425428075"/>
      <w:bookmarkStart w:id="97" w:name="_Toc8313"/>
      <w:bookmarkStart w:id="98" w:name="_Toc6836"/>
      <w:bookmarkStart w:id="99" w:name="_Toc7449"/>
      <w:bookmarkStart w:id="100" w:name="_Toc7808"/>
      <w:bookmarkStart w:id="101" w:name="_Toc17686"/>
      <w:bookmarkStart w:id="102" w:name="_Toc422990149"/>
      <w:bookmarkStart w:id="103" w:name="_Toc23272"/>
      <w:bookmarkStart w:id="104" w:name="_Toc425447312"/>
      <w:bookmarkStart w:id="105" w:name="_Toc427324171"/>
      <w:r>
        <w:rPr>
          <w:rFonts w:hint="eastAsia" w:ascii="黑体" w:hAnsi="黑体" w:eastAsia="黑体" w:cs="黑体"/>
        </w:rPr>
        <w:t>总</w:t>
      </w:r>
      <w:r>
        <w:rPr>
          <w:rFonts w:hint="eastAsia" w:eastAsia="黑体"/>
          <w:sz w:val="36"/>
          <w:szCs w:val="36"/>
        </w:rPr>
        <w:t xml:space="preserve">  </w:t>
      </w:r>
      <w:r>
        <w:rPr>
          <w:rFonts w:hint="eastAsia" w:ascii="黑体" w:hAnsi="黑体" w:eastAsia="黑体" w:cs="黑体"/>
        </w:rPr>
        <w:t>则</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14:paraId="4D6EDAAB">
      <w:pPr>
        <w:pStyle w:val="4"/>
        <w:numPr>
          <w:ilvl w:val="2"/>
          <w:numId w:val="8"/>
        </w:numPr>
        <w:kinsoku/>
        <w:ind w:left="0" w:firstLine="0" w:firstLineChars="0"/>
      </w:pPr>
      <w:r>
        <w:rPr>
          <w:rFonts w:hint="eastAsia"/>
        </w:rPr>
        <w:t>为适应北京市经济发展的需要，</w:t>
      </w:r>
      <w:r>
        <w:rPr>
          <w:rFonts w:hint="eastAsia"/>
          <w:lang w:val="en-US"/>
        </w:rPr>
        <w:t>促进住宅建设高质量发展</w:t>
      </w:r>
      <w:r>
        <w:rPr>
          <w:rFonts w:hint="eastAsia"/>
        </w:rPr>
        <w:t>，满足</w:t>
      </w:r>
      <w:r>
        <w:rPr>
          <w:rFonts w:hint="eastAsia"/>
          <w:lang w:val="en-US" w:eastAsia="zh-CN"/>
        </w:rPr>
        <w:t>城镇</w:t>
      </w:r>
      <w:r>
        <w:rPr>
          <w:rFonts w:hint="eastAsia"/>
        </w:rPr>
        <w:t>居民对居住品质、居住功能、居住环境和居住安全等多方面的</w:t>
      </w:r>
      <w:r>
        <w:rPr>
          <w:rFonts w:hint="eastAsia"/>
          <w:lang w:val="en-US"/>
        </w:rPr>
        <w:t>需</w:t>
      </w:r>
      <w:r>
        <w:rPr>
          <w:rFonts w:hint="eastAsia"/>
        </w:rPr>
        <w:t>求，</w:t>
      </w:r>
      <w:r>
        <w:rPr>
          <w:rFonts w:hint="eastAsia"/>
          <w:lang w:val="en-US"/>
        </w:rPr>
        <w:t>结合</w:t>
      </w:r>
      <w:r>
        <w:rPr>
          <w:rFonts w:hint="eastAsia"/>
        </w:rPr>
        <w:t>北京市的地方特点，制定本</w:t>
      </w:r>
      <w:r>
        <w:rPr>
          <w:rFonts w:hint="eastAsia"/>
          <w:lang w:val="en-US"/>
        </w:rPr>
        <w:t>标准</w:t>
      </w:r>
      <w:r>
        <w:rPr>
          <w:rFonts w:hint="eastAsia"/>
        </w:rPr>
        <w:t>。</w:t>
      </w:r>
    </w:p>
    <w:p w14:paraId="30C79ED9">
      <w:pPr>
        <w:pStyle w:val="4"/>
        <w:numPr>
          <w:ilvl w:val="2"/>
          <w:numId w:val="8"/>
        </w:numPr>
        <w:kinsoku/>
        <w:ind w:left="0" w:hanging="8" w:firstLineChars="0"/>
      </w:pPr>
      <w:r>
        <w:rPr>
          <w:rFonts w:hint="eastAsia"/>
        </w:rPr>
        <w:t>本</w:t>
      </w:r>
      <w:r>
        <w:rPr>
          <w:rFonts w:hint="eastAsia"/>
          <w:lang w:val="en-US"/>
        </w:rPr>
        <w:t>标准</w:t>
      </w:r>
      <w:r>
        <w:rPr>
          <w:rFonts w:hint="eastAsia"/>
        </w:rPr>
        <w:t>适用于北京市城镇新建住宅的设计，</w:t>
      </w:r>
      <w:r>
        <w:rPr>
          <w:rFonts w:hint="eastAsia"/>
          <w:lang w:val="en-US"/>
        </w:rPr>
        <w:t>改建、扩建城镇住宅的设计在技术条件相同时也可适用。</w:t>
      </w:r>
    </w:p>
    <w:p w14:paraId="7525C4AB">
      <w:pPr>
        <w:pStyle w:val="4"/>
        <w:numPr>
          <w:ilvl w:val="2"/>
          <w:numId w:val="8"/>
        </w:numPr>
        <w:kinsoku/>
        <w:ind w:left="0" w:firstLine="0" w:firstLineChars="0"/>
      </w:pPr>
      <w:r>
        <w:rPr>
          <w:rFonts w:hint="eastAsia"/>
        </w:rPr>
        <w:t>住宅设计</w:t>
      </w:r>
      <w:r>
        <w:rPr>
          <w:rFonts w:hint="eastAsia"/>
          <w:lang w:val="en-US"/>
        </w:rPr>
        <w:t>应</w:t>
      </w:r>
      <w:r>
        <w:rPr>
          <w:rFonts w:hint="eastAsia"/>
        </w:rPr>
        <w:t>严格执行国家和北京市的有关方针、政策和法规，</w:t>
      </w:r>
      <w:r>
        <w:rPr>
          <w:rFonts w:hint="eastAsia"/>
          <w:lang w:val="en-US"/>
        </w:rPr>
        <w:t>以安全、舒适、绿色、智慧为目标，遵循以人为本、美观实用、品质宜居、健康环保、智慧便利的原则，</w:t>
      </w:r>
      <w:r>
        <w:rPr>
          <w:rFonts w:hint="eastAsia"/>
        </w:rPr>
        <w:t>实现住宅建设可持续</w:t>
      </w:r>
      <w:r>
        <w:rPr>
          <w:rFonts w:hint="eastAsia"/>
          <w:lang w:val="en-US"/>
        </w:rPr>
        <w:t>高品质</w:t>
      </w:r>
      <w:r>
        <w:rPr>
          <w:rFonts w:hint="eastAsia"/>
        </w:rPr>
        <w:t>发展。</w:t>
      </w:r>
    </w:p>
    <w:p w14:paraId="44F6CC28">
      <w:pPr>
        <w:pStyle w:val="4"/>
        <w:numPr>
          <w:ilvl w:val="2"/>
          <w:numId w:val="8"/>
        </w:numPr>
        <w:kinsoku/>
        <w:ind w:left="9" w:hanging="9" w:firstLineChars="0"/>
        <w:rPr>
          <w:rFonts w:hint="eastAsia"/>
          <w:lang w:val="en-US"/>
        </w:rPr>
      </w:pPr>
      <w:r>
        <w:rPr>
          <w:rFonts w:hint="eastAsia"/>
          <w:lang w:val="en-US"/>
        </w:rPr>
        <w:t>住宅设计除应执行本标准外，尚应符合国家和北京市现行有关规范和标准的规定。</w:t>
      </w:r>
    </w:p>
    <w:p w14:paraId="4B02F412">
      <w:pPr>
        <w:pStyle w:val="4"/>
        <w:widowControl/>
        <w:numPr>
          <w:ilvl w:val="2"/>
          <w:numId w:val="9"/>
        </w:numPr>
        <w:ind w:firstLine="480"/>
      </w:pPr>
      <w:bookmarkStart w:id="106" w:name="OLE_LINK10"/>
      <w:bookmarkStart w:id="107" w:name="OLE_LINK5"/>
      <w:r>
        <w:br w:type="page"/>
      </w:r>
    </w:p>
    <w:p w14:paraId="4B5A32B3">
      <w:pPr>
        <w:pStyle w:val="2"/>
        <w:numPr>
          <w:ilvl w:val="0"/>
          <w:numId w:val="7"/>
        </w:numPr>
        <w:rPr>
          <w:rFonts w:ascii="黑体" w:hAnsi="黑体" w:eastAsia="黑体" w:cs="黑体"/>
        </w:rPr>
      </w:pPr>
      <w:bookmarkStart w:id="108" w:name="_Toc13042"/>
      <w:bookmarkStart w:id="109" w:name="_Toc427324172"/>
      <w:bookmarkStart w:id="110" w:name="_Toc21789"/>
      <w:bookmarkStart w:id="111" w:name="_Toc25499"/>
      <w:bookmarkStart w:id="112" w:name="_Toc27030"/>
      <w:bookmarkStart w:id="113" w:name="_Toc414356812"/>
      <w:bookmarkStart w:id="114" w:name="_Toc422931112"/>
      <w:bookmarkStart w:id="115" w:name="_Toc425428076"/>
      <w:bookmarkStart w:id="116" w:name="_Toc425447313"/>
      <w:bookmarkStart w:id="117" w:name="_Toc24741"/>
      <w:bookmarkStart w:id="118" w:name="_Toc13471"/>
      <w:bookmarkStart w:id="119" w:name="_Toc25595"/>
      <w:bookmarkStart w:id="120" w:name="_Toc27423"/>
      <w:bookmarkStart w:id="121" w:name="_Toc26097"/>
      <w:bookmarkStart w:id="122" w:name="_Toc22537"/>
      <w:bookmarkStart w:id="123" w:name="_Toc422990150"/>
      <w:r>
        <w:rPr>
          <w:rFonts w:hint="eastAsia" w:ascii="黑体" w:hAnsi="黑体" w:eastAsia="黑体" w:cs="黑体"/>
        </w:rPr>
        <w:t>术</w:t>
      </w:r>
      <w:r>
        <w:rPr>
          <w:rFonts w:hint="eastAsia" w:eastAsia="黑体"/>
          <w:sz w:val="36"/>
          <w:szCs w:val="36"/>
        </w:rPr>
        <w:t xml:space="preserve">  </w:t>
      </w:r>
      <w:r>
        <w:rPr>
          <w:rFonts w:hint="eastAsia" w:ascii="黑体" w:hAnsi="黑体" w:eastAsia="黑体" w:cs="黑体"/>
        </w:rPr>
        <w:t>语</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14:paraId="5E57E6E6">
      <w:pPr>
        <w:pStyle w:val="4"/>
        <w:numPr>
          <w:ilvl w:val="2"/>
          <w:numId w:val="7"/>
        </w:numPr>
        <w:ind w:firstLine="0" w:firstLineChars="0"/>
      </w:pPr>
      <w:r>
        <w:rPr>
          <w:rFonts w:hint="eastAsia"/>
        </w:rPr>
        <w:t>住宅</w:t>
      </w:r>
      <w:r>
        <w:t xml:space="preserve">  residential building</w:t>
      </w:r>
    </w:p>
    <w:p w14:paraId="6D41F8A4">
      <w:pPr>
        <w:ind w:firstLine="480" w:firstLineChars="200"/>
      </w:pPr>
      <w:r>
        <w:rPr>
          <w:rFonts w:hint="eastAsia"/>
        </w:rPr>
        <w:t>成套</w:t>
      </w:r>
      <w:r>
        <w:t>设置居住功能和生活设施</w:t>
      </w:r>
      <w:r>
        <w:rPr>
          <w:rFonts w:hint="eastAsia"/>
        </w:rPr>
        <w:t>，</w:t>
      </w:r>
      <w:r>
        <w:t>供家庭居住使用的建筑</w:t>
      </w:r>
      <w:r>
        <w:rPr>
          <w:rFonts w:hint="eastAsia"/>
        </w:rPr>
        <w:t>。</w:t>
      </w:r>
    </w:p>
    <w:p w14:paraId="16ECABC9">
      <w:pPr>
        <w:pStyle w:val="4"/>
        <w:numPr>
          <w:ilvl w:val="2"/>
          <w:numId w:val="7"/>
        </w:numPr>
        <w:ind w:firstLine="0" w:firstLineChars="0"/>
      </w:pPr>
      <w:r>
        <w:rPr>
          <w:rFonts w:hint="eastAsia"/>
        </w:rPr>
        <w:t>套型</w:t>
      </w:r>
      <w:r>
        <w:t xml:space="preserve">  dwelling unit</w:t>
      </w:r>
    </w:p>
    <w:p w14:paraId="1086E968">
      <w:pPr>
        <w:ind w:firstLine="480" w:firstLineChars="200"/>
      </w:pPr>
      <w:r>
        <w:rPr>
          <w:rFonts w:hint="eastAsia"/>
        </w:rPr>
        <w:t>由居住空间和厨房、卫生间等共同组成的基本住宅单</w:t>
      </w:r>
      <w:r>
        <w:rPr>
          <w:rFonts w:hint="eastAsia"/>
          <w:lang w:val="en-US" w:eastAsia="zh-CN"/>
        </w:rPr>
        <w:t>位</w:t>
      </w:r>
      <w:r>
        <w:rPr>
          <w:rFonts w:hint="eastAsia"/>
        </w:rPr>
        <w:t>。</w:t>
      </w:r>
    </w:p>
    <w:bookmarkEnd w:id="106"/>
    <w:bookmarkEnd w:id="107"/>
    <w:p w14:paraId="22B4F4C7">
      <w:pPr>
        <w:pStyle w:val="4"/>
        <w:numPr>
          <w:ilvl w:val="2"/>
          <w:numId w:val="7"/>
        </w:numPr>
        <w:ind w:firstLine="0" w:firstLineChars="0"/>
      </w:pPr>
      <w:r>
        <w:rPr>
          <w:rFonts w:hint="eastAsia"/>
          <w:lang w:val="en-US"/>
        </w:rPr>
        <w:t>居住空间  living space</w:t>
      </w:r>
    </w:p>
    <w:p w14:paraId="131F4066">
      <w:pPr>
        <w:ind w:firstLine="480" w:firstLineChars="200"/>
      </w:pPr>
      <w:r>
        <w:rPr>
          <w:rFonts w:hint="eastAsia"/>
        </w:rPr>
        <w:t>卧室、起居室（厅）的统称</w:t>
      </w:r>
    </w:p>
    <w:p w14:paraId="30F6552F">
      <w:pPr>
        <w:pStyle w:val="4"/>
        <w:numPr>
          <w:ilvl w:val="2"/>
          <w:numId w:val="7"/>
        </w:numPr>
        <w:ind w:firstLine="0" w:firstLineChars="0"/>
        <w:rPr>
          <w:rFonts w:hint="eastAsia"/>
          <w:lang w:val="en-US"/>
        </w:rPr>
      </w:pPr>
      <w:r>
        <w:rPr>
          <w:rFonts w:hint="eastAsia"/>
          <w:lang w:val="en-US"/>
        </w:rPr>
        <w:t>阳台  balcony</w:t>
      </w:r>
    </w:p>
    <w:p w14:paraId="752EB487">
      <w:pPr>
        <w:ind w:firstLine="480" w:firstLineChars="200"/>
      </w:pPr>
      <w:r>
        <w:rPr>
          <w:rFonts w:hint="eastAsia"/>
        </w:rPr>
        <w:t>附设于建筑物外墙，可供人活动的室外空间，设有安全防护措施。</w:t>
      </w:r>
    </w:p>
    <w:p w14:paraId="1BD091B0">
      <w:pPr>
        <w:pStyle w:val="4"/>
        <w:numPr>
          <w:ilvl w:val="2"/>
          <w:numId w:val="7"/>
        </w:numPr>
        <w:ind w:firstLine="0" w:firstLineChars="0"/>
        <w:rPr>
          <w:rFonts w:hint="eastAsia"/>
          <w:lang w:val="en-US"/>
        </w:rPr>
      </w:pPr>
      <w:r>
        <w:rPr>
          <w:rFonts w:hint="eastAsia"/>
          <w:lang w:val="en-US"/>
        </w:rPr>
        <w:t>贮藏室  storage room</w:t>
      </w:r>
    </w:p>
    <w:p w14:paraId="2B71BD1E">
      <w:pPr>
        <w:ind w:firstLine="480" w:firstLineChars="200"/>
      </w:pPr>
      <w:r>
        <w:rPr>
          <w:rFonts w:hint="eastAsia"/>
        </w:rPr>
        <w:t>住宅套内用于贮藏并可以进入的空间。</w:t>
      </w:r>
    </w:p>
    <w:p w14:paraId="4570F9DF">
      <w:pPr>
        <w:pStyle w:val="4"/>
        <w:numPr>
          <w:ilvl w:val="2"/>
          <w:numId w:val="7"/>
        </w:numPr>
        <w:ind w:firstLine="0" w:firstLineChars="0"/>
        <w:rPr>
          <w:rFonts w:hint="eastAsia"/>
          <w:lang w:val="en-US"/>
        </w:rPr>
      </w:pPr>
      <w:r>
        <w:rPr>
          <w:rFonts w:hint="eastAsia"/>
          <w:lang w:val="en-US"/>
        </w:rPr>
        <w:t>全装修  fitted out residential building</w:t>
      </w:r>
    </w:p>
    <w:p w14:paraId="1A2EAEEA">
      <w:pPr>
        <w:ind w:firstLine="480" w:firstLineChars="200"/>
      </w:pPr>
      <w:r>
        <w:rPr>
          <w:rFonts w:hint="eastAsia"/>
        </w:rPr>
        <w:t>在交付前</w:t>
      </w:r>
      <w:r>
        <w:t>，住宅建筑内部墙面、顶面、地面全部铺贴、粉刷完成，门窗、设备管线、开关插座及厨房、卫生间固定设施安装到位</w:t>
      </w:r>
      <w:r>
        <w:rPr>
          <w:rFonts w:hint="eastAsia"/>
        </w:rPr>
        <w:t>；</w:t>
      </w:r>
      <w:r>
        <w:t>公共区域</w:t>
      </w:r>
      <w:r>
        <w:rPr>
          <w:rFonts w:hint="eastAsia"/>
        </w:rPr>
        <w:t>的</w:t>
      </w:r>
      <w:r>
        <w:t>固定面全部铺贴</w:t>
      </w:r>
      <w:r>
        <w:rPr>
          <w:rFonts w:hint="eastAsia"/>
        </w:rPr>
        <w:t>、</w:t>
      </w:r>
      <w:r>
        <w:t>粉刷完成，水、暖、</w:t>
      </w:r>
      <w:r>
        <w:rPr>
          <w:rFonts w:hint="eastAsia"/>
        </w:rPr>
        <w:t>电</w:t>
      </w:r>
      <w:r>
        <w:t>、通风等基本设备全部安装到位。</w:t>
      </w:r>
    </w:p>
    <w:p w14:paraId="0BF904C1">
      <w:pPr>
        <w:pStyle w:val="4"/>
        <w:numPr>
          <w:ilvl w:val="2"/>
          <w:numId w:val="7"/>
        </w:numPr>
        <w:ind w:firstLine="0" w:firstLineChars="0"/>
        <w:rPr>
          <w:lang w:val="en-US"/>
        </w:rPr>
      </w:pPr>
      <w:r>
        <w:rPr>
          <w:rFonts w:hint="eastAsia"/>
          <w:lang w:val="en-US"/>
        </w:rPr>
        <w:t>智能快件箱</w:t>
      </w:r>
      <w:r>
        <w:rPr>
          <w:lang w:val="en-US"/>
        </w:rPr>
        <w:t xml:space="preserve">  </w:t>
      </w:r>
      <w:r>
        <w:rPr>
          <w:rFonts w:hint="eastAsia"/>
          <w:lang w:val="en-US"/>
        </w:rPr>
        <w:t>Intelligent express box</w:t>
      </w:r>
    </w:p>
    <w:p w14:paraId="6B380700">
      <w:pPr>
        <w:ind w:firstLine="480" w:firstLineChars="200"/>
      </w:pPr>
      <w:r>
        <w:rPr>
          <w:rFonts w:hint="eastAsia"/>
        </w:rPr>
        <w:t>又名智能快递柜、自提柜、智能邮箱等，设立在公共场所，可供投递和提取快件的自助服务设备。</w:t>
      </w:r>
    </w:p>
    <w:p w14:paraId="5F716F41">
      <w:pPr>
        <w:pStyle w:val="4"/>
        <w:numPr>
          <w:ilvl w:val="2"/>
          <w:numId w:val="7"/>
        </w:numPr>
        <w:ind w:firstLine="0" w:firstLineChars="0"/>
        <w:rPr>
          <w:rFonts w:hint="eastAsia"/>
          <w:lang w:val="en-US"/>
        </w:rPr>
      </w:pPr>
      <w:r>
        <w:rPr>
          <w:rFonts w:hint="eastAsia"/>
          <w:lang w:val="en-US"/>
        </w:rPr>
        <w:t>智能家居系统  intelligent home furnishing system</w:t>
      </w:r>
    </w:p>
    <w:p w14:paraId="1DC5EBF4">
      <w:pPr>
        <w:ind w:firstLine="424" w:firstLineChars="177"/>
      </w:pPr>
      <w:r>
        <w:rPr>
          <w:rFonts w:hint="eastAsia"/>
        </w:rPr>
        <w:t>以住宅为平台，利用综合布线技术、网络通信技术、安全防范技术、自动控制技术、音视频技术将家居生活有关的设施集成，构建高效的住宅设施与家庭日程事务的管理系统。包括家庭网络、家庭安防、家电智能控制、能源智能计量、节约低碳</w:t>
      </w:r>
      <w:r>
        <w:t xml:space="preserve"> </w:t>
      </w:r>
      <w:r>
        <w:rPr>
          <w:rFonts w:hint="eastAsia"/>
        </w:rPr>
        <w:t>、远程教育、远程医疗等信息应用系统 。</w:t>
      </w:r>
    </w:p>
    <w:p w14:paraId="4CF9B33A">
      <w:pPr>
        <w:pStyle w:val="4"/>
        <w:numPr>
          <w:ilvl w:val="2"/>
          <w:numId w:val="7"/>
        </w:numPr>
        <w:ind w:firstLine="0" w:firstLineChars="0"/>
        <w:rPr>
          <w:rFonts w:hint="eastAsia"/>
          <w:lang w:val="en-US"/>
        </w:rPr>
      </w:pPr>
      <w:r>
        <w:rPr>
          <w:rFonts w:hint="eastAsia"/>
          <w:lang w:val="en-US"/>
        </w:rPr>
        <w:t>紧急呼叫装置  emergency call system</w:t>
      </w:r>
    </w:p>
    <w:p w14:paraId="225D8BC4">
      <w:pPr>
        <w:ind w:firstLine="424" w:firstLineChars="177"/>
      </w:pPr>
      <w:r>
        <w:rPr>
          <w:rFonts w:hint="eastAsia"/>
        </w:rPr>
        <w:t>安装于家庭中的用于发生危险情况时对外发出求救及报警信号的电气装置。</w:t>
      </w:r>
    </w:p>
    <w:p w14:paraId="79C7B3EB">
      <w:pPr>
        <w:pStyle w:val="4"/>
        <w:numPr>
          <w:ilvl w:val="2"/>
          <w:numId w:val="7"/>
        </w:numPr>
        <w:ind w:firstLine="0" w:firstLineChars="0"/>
        <w:rPr>
          <w:rFonts w:hint="eastAsia"/>
          <w:lang w:val="en-US"/>
        </w:rPr>
      </w:pPr>
      <w:r>
        <w:rPr>
          <w:rFonts w:hint="eastAsia"/>
          <w:lang w:val="en-US"/>
        </w:rPr>
        <w:t>信息管道  information pipeline</w:t>
      </w:r>
    </w:p>
    <w:p w14:paraId="7D4E36C7">
      <w:pPr>
        <w:ind w:firstLine="424" w:firstLineChars="177"/>
      </w:pPr>
      <w:r>
        <w:rPr>
          <w:rFonts w:hint="eastAsia"/>
        </w:rPr>
        <w:t>用于敷设通信及广播电视线缆的一种通道，由管道、人（手）孔和建筑物引入管等组成。</w:t>
      </w:r>
    </w:p>
    <w:p w14:paraId="3C986C99">
      <w:pPr>
        <w:pStyle w:val="4"/>
        <w:numPr>
          <w:ilvl w:val="2"/>
          <w:numId w:val="7"/>
        </w:numPr>
        <w:ind w:firstLine="0" w:firstLineChars="0"/>
        <w:rPr>
          <w:rFonts w:hint="eastAsia"/>
          <w:lang w:val="en-US"/>
        </w:rPr>
      </w:pPr>
      <w:r>
        <w:rPr>
          <w:rFonts w:hint="eastAsia"/>
          <w:lang w:val="en-US"/>
        </w:rPr>
        <w:t>楼道综合配线箱  corridor wire distribution cabinet</w:t>
      </w:r>
    </w:p>
    <w:p w14:paraId="3E8B109C">
      <w:pPr>
        <w:ind w:firstLine="424" w:firstLineChars="177"/>
      </w:pPr>
      <w:r>
        <w:rPr>
          <w:rFonts w:hint="eastAsia"/>
        </w:rPr>
        <w:t>建筑物内用于线缆分线的箱体，配线箱为线缆分线设备。</w:t>
      </w:r>
    </w:p>
    <w:p w14:paraId="78090124">
      <w:pPr>
        <w:pStyle w:val="4"/>
        <w:numPr>
          <w:ilvl w:val="2"/>
          <w:numId w:val="7"/>
        </w:numPr>
        <w:ind w:firstLine="0" w:firstLineChars="0"/>
        <w:rPr>
          <w:rFonts w:hint="eastAsia"/>
          <w:lang w:val="en-US"/>
        </w:rPr>
      </w:pPr>
      <w:r>
        <w:rPr>
          <w:rFonts w:hint="eastAsia"/>
          <w:lang w:val="en-US"/>
        </w:rPr>
        <w:t>有线广播电视放大箱  CATV amplifier cabinet</w:t>
      </w:r>
    </w:p>
    <w:p w14:paraId="0C7DC56E">
      <w:pPr>
        <w:ind w:firstLine="424" w:firstLineChars="177"/>
      </w:pPr>
      <w:r>
        <w:rPr>
          <w:rFonts w:hint="eastAsia"/>
        </w:rPr>
        <w:t>用于安装信号放大器、分支器、分配器的箱体。</w:t>
      </w:r>
    </w:p>
    <w:p w14:paraId="500BD078">
      <w:pPr>
        <w:pStyle w:val="4"/>
        <w:numPr>
          <w:ilvl w:val="2"/>
          <w:numId w:val="7"/>
        </w:numPr>
        <w:ind w:firstLine="0" w:firstLineChars="0"/>
        <w:rPr>
          <w:rFonts w:hint="eastAsia"/>
          <w:lang w:val="en-US"/>
        </w:rPr>
      </w:pPr>
      <w:r>
        <w:rPr>
          <w:rFonts w:hint="eastAsia"/>
          <w:lang w:val="en-US"/>
        </w:rPr>
        <w:t>家居配线箱</w:t>
      </w:r>
      <w:r>
        <w:rPr>
          <w:lang w:val="en-US"/>
        </w:rPr>
        <w:t xml:space="preserve"> h</w:t>
      </w:r>
      <w:r>
        <w:rPr>
          <w:rFonts w:hint="eastAsia"/>
          <w:lang w:val="en-US"/>
        </w:rPr>
        <w:t xml:space="preserve">ome </w:t>
      </w:r>
      <w:r>
        <w:rPr>
          <w:lang w:val="en-US"/>
        </w:rPr>
        <w:t>d</w:t>
      </w:r>
      <w:r>
        <w:rPr>
          <w:rFonts w:hint="eastAsia"/>
          <w:lang w:val="en-US"/>
        </w:rPr>
        <w:t xml:space="preserve">istribution </w:t>
      </w:r>
      <w:r>
        <w:rPr>
          <w:lang w:val="en-US"/>
        </w:rPr>
        <w:t>b</w:t>
      </w:r>
      <w:r>
        <w:rPr>
          <w:rFonts w:hint="eastAsia"/>
          <w:lang w:val="en-US"/>
        </w:rPr>
        <w:t>ox</w:t>
      </w:r>
    </w:p>
    <w:p w14:paraId="70497EAE">
      <w:pPr>
        <w:ind w:firstLine="424" w:firstLineChars="177"/>
      </w:pPr>
      <w:r>
        <w:rPr>
          <w:rFonts w:hint="eastAsia"/>
        </w:rPr>
        <w:t>用于安装各种配线模块、家庭网关、家庭交换机、计算机网络集线器或以太交换机及家庭智能化系统模块、有线广播电视用家庭网关等户内设备及设施的箱体。</w:t>
      </w:r>
    </w:p>
    <w:p w14:paraId="4E8DD96A">
      <w:pPr>
        <w:pStyle w:val="4"/>
        <w:numPr>
          <w:ilvl w:val="2"/>
          <w:numId w:val="7"/>
        </w:numPr>
        <w:ind w:firstLine="0" w:firstLineChars="0"/>
        <w:rPr>
          <w:rFonts w:hint="eastAsia"/>
          <w:lang w:val="en-US"/>
        </w:rPr>
      </w:pPr>
      <w:r>
        <w:rPr>
          <w:rFonts w:hint="eastAsia"/>
          <w:lang w:val="en-US"/>
        </w:rPr>
        <w:t>出线盒  outlet box</w:t>
      </w:r>
    </w:p>
    <w:p w14:paraId="32DA8941">
      <w:pPr>
        <w:ind w:firstLine="424" w:firstLineChars="177"/>
      </w:pPr>
      <w:r>
        <w:rPr>
          <w:rFonts w:hint="eastAsia"/>
        </w:rPr>
        <w:t>用户线缆的终接部位，出线盒可安装面板和信息模块。</w:t>
      </w:r>
    </w:p>
    <w:p w14:paraId="04D062FA">
      <w:pPr>
        <w:pStyle w:val="4"/>
        <w:numPr>
          <w:ilvl w:val="2"/>
          <w:numId w:val="7"/>
        </w:numPr>
        <w:ind w:firstLine="0" w:firstLineChars="0"/>
        <w:rPr>
          <w:rFonts w:hint="eastAsia"/>
          <w:lang w:val="en-US"/>
        </w:rPr>
      </w:pPr>
      <w:r>
        <w:rPr>
          <w:rFonts w:hint="eastAsia"/>
          <w:lang w:val="en-US"/>
        </w:rPr>
        <w:t>有线广播电视终端盒  CATV terminal outlet</w:t>
      </w:r>
    </w:p>
    <w:p w14:paraId="4971B490">
      <w:pPr>
        <w:ind w:firstLine="424" w:firstLineChars="177"/>
      </w:pPr>
      <w:r>
        <w:rPr>
          <w:rFonts w:hint="eastAsia"/>
        </w:rPr>
        <w:t>有线广播电视终端盒是指用户电器（如电视机、收音机等）与有线广播电视系统连接的设备盒。</w:t>
      </w:r>
    </w:p>
    <w:p w14:paraId="2A28C471">
      <w:pPr>
        <w:pStyle w:val="4"/>
        <w:numPr>
          <w:ilvl w:val="2"/>
          <w:numId w:val="7"/>
        </w:numPr>
        <w:ind w:firstLine="0" w:firstLineChars="0"/>
        <w:rPr>
          <w:rFonts w:hint="eastAsia"/>
          <w:lang w:val="en-US"/>
        </w:rPr>
      </w:pPr>
      <w:r>
        <w:rPr>
          <w:rFonts w:hint="eastAsia"/>
          <w:lang w:val="en-US"/>
        </w:rPr>
        <w:t>电梯智能识别阻车系统</w:t>
      </w:r>
      <w:r>
        <w:rPr>
          <w:lang w:val="en-US"/>
        </w:rPr>
        <w:t xml:space="preserve">  elevator intelligent recognition and blocking system</w:t>
      </w:r>
    </w:p>
    <w:p w14:paraId="7904EB81">
      <w:pPr>
        <w:ind w:firstLine="424" w:firstLineChars="177"/>
      </w:pPr>
      <w:r>
        <w:rPr>
          <w:rFonts w:hint="eastAsia"/>
        </w:rPr>
        <w:t>是指利用图像识别、重量传感或其他先进感知技术，自动识别进入电梯轿厢的物体是否为电动自行车（含电动自行车蓄电池），并在识别确认后，通过声光报警、语音警示、保持电梯门常开或暂停运行等方式进行实时劝阻与干预，有效阻止电动自行车通过电梯进入楼层区域的专用智能化安全防控系统。系统应具备识别准确率高、响应迅速、运行稳定可靠的特点。</w:t>
      </w:r>
    </w:p>
    <w:p w14:paraId="4CCBA681">
      <w:pPr>
        <w:pStyle w:val="4"/>
        <w:numPr>
          <w:ilvl w:val="2"/>
          <w:numId w:val="7"/>
        </w:numPr>
        <w:ind w:firstLine="0" w:firstLineChars="0"/>
        <w:rPr>
          <w:rFonts w:hint="eastAsia"/>
          <w:lang w:val="en-US"/>
        </w:rPr>
      </w:pPr>
      <w:r>
        <w:rPr>
          <w:rFonts w:hint="eastAsia"/>
          <w:lang w:val="en-US"/>
        </w:rPr>
        <w:t>安全等级  safety class</w:t>
      </w:r>
    </w:p>
    <w:p w14:paraId="3BBF7968">
      <w:pPr>
        <w:ind w:firstLine="424" w:firstLineChars="177"/>
      </w:pPr>
      <w:r>
        <w:rPr>
          <w:rFonts w:hint="eastAsia"/>
        </w:rPr>
        <w:t>根据破坏后果的严重程度划分的结构或结构构件的等级。</w:t>
      </w:r>
    </w:p>
    <w:p w14:paraId="3BA15CC1">
      <w:pPr>
        <w:pStyle w:val="4"/>
        <w:numPr>
          <w:ilvl w:val="2"/>
          <w:numId w:val="7"/>
        </w:numPr>
        <w:ind w:firstLine="0" w:firstLineChars="0"/>
        <w:rPr>
          <w:rFonts w:hint="eastAsia"/>
          <w:lang w:val="en-US"/>
        </w:rPr>
      </w:pPr>
      <w:r>
        <w:rPr>
          <w:rFonts w:hint="eastAsia"/>
          <w:lang w:val="en-US"/>
        </w:rPr>
        <w:t>耐久性  durability</w:t>
      </w:r>
    </w:p>
    <w:p w14:paraId="38702703">
      <w:pPr>
        <w:ind w:firstLine="424" w:firstLineChars="177"/>
      </w:pPr>
      <w:r>
        <w:rPr>
          <w:rFonts w:hint="eastAsia"/>
        </w:rPr>
        <w:t>是材料抵抗自身和自然环境双重因素长期破坏作用的能力。</w:t>
      </w:r>
    </w:p>
    <w:p w14:paraId="41958232">
      <w:pPr>
        <w:pStyle w:val="2"/>
        <w:numPr>
          <w:ilvl w:val="0"/>
          <w:numId w:val="7"/>
        </w:numPr>
        <w:rPr>
          <w:rFonts w:ascii="黑体" w:hAnsi="黑体" w:eastAsia="黑体" w:cs="黑体"/>
        </w:rPr>
      </w:pPr>
      <w:bookmarkStart w:id="124" w:name="_Toc427324173"/>
      <w:bookmarkStart w:id="125" w:name="_Toc422990151"/>
      <w:bookmarkStart w:id="126" w:name="_Toc414356813"/>
      <w:bookmarkStart w:id="127" w:name="_Toc13262"/>
      <w:bookmarkStart w:id="128" w:name="_Toc18272"/>
      <w:bookmarkStart w:id="129" w:name="_Toc31978"/>
      <w:bookmarkStart w:id="130" w:name="_Toc9885"/>
      <w:bookmarkStart w:id="131" w:name="_Toc19668"/>
      <w:bookmarkStart w:id="132" w:name="_Toc15661"/>
      <w:bookmarkStart w:id="133" w:name="_Toc425447314"/>
      <w:bookmarkStart w:id="134" w:name="_Toc422931113"/>
      <w:bookmarkStart w:id="135" w:name="_Toc31002"/>
      <w:bookmarkStart w:id="136" w:name="_Toc12523"/>
      <w:bookmarkStart w:id="137" w:name="_Toc28676"/>
      <w:bookmarkStart w:id="138" w:name="_Toc17574"/>
      <w:bookmarkStart w:id="139" w:name="_Toc425428077"/>
      <w:r>
        <w:rPr>
          <w:rFonts w:hint="eastAsia" w:ascii="黑体" w:hAnsi="黑体" w:eastAsia="黑体" w:cs="黑体"/>
        </w:rPr>
        <w:t>基本规定</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14:paraId="1FB0856B">
      <w:pPr>
        <w:pStyle w:val="4"/>
        <w:numPr>
          <w:ilvl w:val="2"/>
          <w:numId w:val="7"/>
        </w:numPr>
        <w:ind w:firstLine="0" w:firstLineChars="0"/>
      </w:pPr>
      <w:r>
        <w:rPr>
          <w:rFonts w:hint="eastAsia"/>
        </w:rPr>
        <w:t>住宅设计应符合北京市</w:t>
      </w:r>
      <w:r>
        <w:rPr>
          <w:rFonts w:hint="eastAsia"/>
          <w:lang w:val="en-US" w:eastAsia="zh-CN"/>
        </w:rPr>
        <w:t>国土空间规划的</w:t>
      </w:r>
      <w:r>
        <w:rPr>
          <w:rFonts w:hint="eastAsia"/>
        </w:rPr>
        <w:t>要求，并应经济、合理、有效地利用土地和空间。</w:t>
      </w:r>
    </w:p>
    <w:p w14:paraId="51FB17C3">
      <w:pPr>
        <w:pStyle w:val="4"/>
        <w:numPr>
          <w:ilvl w:val="2"/>
          <w:numId w:val="7"/>
        </w:numPr>
        <w:ind w:firstLine="0" w:firstLineChars="0"/>
      </w:pPr>
      <w:r>
        <w:t>住宅设计应</w:t>
      </w:r>
      <w:r>
        <w:rPr>
          <w:rFonts w:hint="eastAsia"/>
          <w:lang w:val="en-US"/>
        </w:rPr>
        <w:t>以人为本，除应</w:t>
      </w:r>
      <w:r>
        <w:t>满足</w:t>
      </w:r>
      <w:r>
        <w:rPr>
          <w:rFonts w:hint="eastAsia"/>
          <w:lang w:val="en-US"/>
        </w:rPr>
        <w:t>一般居住使用要求外，尚应满足无障碍和适老化的相关要求。</w:t>
      </w:r>
    </w:p>
    <w:p w14:paraId="28CB6F08">
      <w:pPr>
        <w:pStyle w:val="4"/>
        <w:numPr>
          <w:ilvl w:val="2"/>
          <w:numId w:val="7"/>
        </w:numPr>
        <w:ind w:firstLine="0" w:firstLineChars="0"/>
      </w:pPr>
      <w:r>
        <w:rPr>
          <w:rFonts w:hint="eastAsia"/>
        </w:rPr>
        <w:t>住宅设计应</w:t>
      </w:r>
      <w:r>
        <w:rPr>
          <w:rFonts w:hint="default"/>
          <w:lang w:val="en-US"/>
        </w:rPr>
        <w:t>满足居住者所需的日照、天然采光、通风、隔声、防水、防潮、保温、隔热及空气质量等性能要求。</w:t>
      </w:r>
    </w:p>
    <w:p w14:paraId="1F6F3B8F">
      <w:pPr>
        <w:pStyle w:val="4"/>
        <w:numPr>
          <w:ilvl w:val="2"/>
          <w:numId w:val="7"/>
        </w:numPr>
        <w:ind w:firstLine="0" w:firstLineChars="0"/>
      </w:pPr>
      <w:r>
        <w:rPr>
          <w:rFonts w:hint="eastAsia"/>
        </w:rPr>
        <w:t>住宅设计应</w:t>
      </w:r>
      <w:r>
        <w:t>与周围环境相协调，并应</w:t>
      </w:r>
      <w:r>
        <w:rPr>
          <w:rFonts w:hint="eastAsia"/>
        </w:rPr>
        <w:t>营造便捷、健康、舒适的生活空间</w:t>
      </w:r>
      <w:r>
        <w:t>。</w:t>
      </w:r>
    </w:p>
    <w:p w14:paraId="094C9287">
      <w:pPr>
        <w:pStyle w:val="4"/>
        <w:numPr>
          <w:ilvl w:val="2"/>
          <w:numId w:val="7"/>
        </w:numPr>
        <w:ind w:firstLine="0" w:firstLineChars="0"/>
      </w:pPr>
      <w:r>
        <w:rPr>
          <w:rFonts w:hint="eastAsia"/>
          <w:lang w:val="en-US"/>
        </w:rPr>
        <w:t>住宅设计应满足安全、适用、耐久的要求，</w:t>
      </w:r>
      <w:r>
        <w:rPr>
          <w:rFonts w:hint="eastAsia"/>
        </w:rPr>
        <w:t>应体现绿色、节能、生态、环保等理念。</w:t>
      </w:r>
    </w:p>
    <w:p w14:paraId="599DF3A6">
      <w:pPr>
        <w:pStyle w:val="4"/>
        <w:numPr>
          <w:ilvl w:val="2"/>
          <w:numId w:val="7"/>
        </w:numPr>
        <w:ind w:firstLine="0" w:firstLineChars="0"/>
        <w:rPr>
          <w:rFonts w:hint="eastAsia"/>
          <w:lang w:val="en-US"/>
        </w:rPr>
      </w:pPr>
      <w:r>
        <w:rPr>
          <w:rFonts w:hint="eastAsia"/>
          <w:lang w:val="en-US"/>
        </w:rPr>
        <w:t>住宅设计应推行标准化、模数化及多样化，推广住宅产业现代化，提高住宅在全生命周期内的品质。</w:t>
      </w:r>
    </w:p>
    <w:p w14:paraId="1B990066">
      <w:pPr>
        <w:pStyle w:val="4"/>
        <w:numPr>
          <w:ilvl w:val="2"/>
          <w:numId w:val="7"/>
        </w:numPr>
        <w:ind w:firstLine="0" w:firstLineChars="0"/>
        <w:rPr>
          <w:rFonts w:hint="eastAsia"/>
          <w:lang w:val="en-US"/>
        </w:rPr>
      </w:pPr>
      <w:r>
        <w:rPr>
          <w:rFonts w:hint="eastAsia"/>
          <w:lang w:val="en-US"/>
        </w:rPr>
        <w:t>住宅设计应满足设备系统功能有效、运行安全、维修方便等基本要求，并应为相关设备预留合理的安装位置。</w:t>
      </w:r>
    </w:p>
    <w:p w14:paraId="57B0FB68">
      <w:pPr>
        <w:pStyle w:val="4"/>
        <w:numPr>
          <w:ilvl w:val="2"/>
          <w:numId w:val="7"/>
        </w:numPr>
        <w:ind w:firstLine="0" w:firstLineChars="0"/>
        <w:rPr>
          <w:rFonts w:hint="eastAsia"/>
          <w:lang w:val="en-US"/>
        </w:rPr>
      </w:pPr>
      <w:r>
        <w:rPr>
          <w:rFonts w:hint="eastAsia"/>
          <w:lang w:val="en-US"/>
        </w:rPr>
        <w:t>新建住宅应实施全装修，提高住宅产品的完成度。建筑设计与装修设计应同步进行并一体化实施。</w:t>
      </w:r>
    </w:p>
    <w:p w14:paraId="3BA9A105">
      <w:pPr>
        <w:pStyle w:val="2"/>
        <w:numPr>
          <w:ilvl w:val="0"/>
          <w:numId w:val="7"/>
        </w:numPr>
        <w:rPr>
          <w:rFonts w:ascii="黑体" w:hAnsi="黑体" w:eastAsia="黑体" w:cs="黑体"/>
        </w:rPr>
      </w:pPr>
      <w:bookmarkStart w:id="140" w:name="_Toc425428078"/>
      <w:bookmarkStart w:id="141" w:name="_Toc425447315"/>
      <w:bookmarkStart w:id="142" w:name="_Toc23458"/>
      <w:bookmarkStart w:id="143" w:name="_Toc11766"/>
      <w:bookmarkStart w:id="144" w:name="_Toc21876"/>
      <w:bookmarkStart w:id="145" w:name="_Toc427324174"/>
      <w:bookmarkStart w:id="146" w:name="_Toc8639"/>
      <w:bookmarkStart w:id="147" w:name="_Toc6445"/>
      <w:bookmarkStart w:id="148" w:name="_Toc22254"/>
      <w:bookmarkStart w:id="149" w:name="_Toc414356814"/>
      <w:bookmarkStart w:id="150" w:name="_Toc422931114"/>
      <w:bookmarkStart w:id="151" w:name="_Toc27162"/>
      <w:bookmarkStart w:id="152" w:name="_Toc3203"/>
      <w:bookmarkStart w:id="153" w:name="_Toc22315"/>
      <w:bookmarkStart w:id="154" w:name="_Toc422990152"/>
      <w:bookmarkStart w:id="155" w:name="_Toc15888"/>
      <w:r>
        <w:rPr>
          <w:rFonts w:hint="eastAsia" w:ascii="黑体" w:hAnsi="黑体" w:eastAsia="黑体" w:cs="黑体"/>
        </w:rPr>
        <w:t>技术经济指标</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14:paraId="7593074B">
      <w:pPr>
        <w:pStyle w:val="4"/>
        <w:numPr>
          <w:ilvl w:val="2"/>
          <w:numId w:val="7"/>
        </w:numPr>
        <w:ind w:firstLine="0" w:firstLineChars="0"/>
        <w:rPr>
          <w:rFonts w:cs="宋体"/>
          <w:bCs w:val="0"/>
          <w:iCs/>
          <w:lang w:val="en-US"/>
        </w:rPr>
      </w:pPr>
      <w:r>
        <w:rPr>
          <w:rFonts w:hint="eastAsia" w:cs="宋体"/>
          <w:bCs w:val="0"/>
          <w:iCs/>
          <w:lang w:val="en-US"/>
        </w:rPr>
        <w:t>住宅设计应计算下列技术经济指标：</w:t>
      </w:r>
    </w:p>
    <w:p w14:paraId="248BB738">
      <w:pPr>
        <w:ind w:firstLine="482"/>
      </w:pPr>
      <w:r>
        <w:rPr>
          <w:b/>
        </w:rPr>
        <w:t>1</w:t>
      </w:r>
      <w:r>
        <w:t xml:space="preserve">  </w:t>
      </w:r>
      <w:r>
        <w:rPr>
          <w:rFonts w:hint="eastAsia"/>
        </w:rPr>
        <w:t>各功能空间使用面积（</w:t>
      </w:r>
      <w:r>
        <w:rPr>
          <w:rFonts w:ascii="Times New Roman" w:hAnsi="Times New Roman"/>
        </w:rPr>
        <w:t>m</w:t>
      </w:r>
      <w:r>
        <w:rPr>
          <w:rFonts w:ascii="Times New Roman" w:hAnsi="Times New Roman"/>
          <w:vertAlign w:val="superscript"/>
        </w:rPr>
        <w:t>2</w:t>
      </w:r>
      <w:r>
        <w:rPr>
          <w:rFonts w:hint="eastAsia"/>
        </w:rPr>
        <w:t>）；</w:t>
      </w:r>
    </w:p>
    <w:p w14:paraId="1F009345">
      <w:pPr>
        <w:ind w:firstLine="482"/>
      </w:pPr>
      <w:r>
        <w:rPr>
          <w:b/>
        </w:rPr>
        <w:t>2</w:t>
      </w:r>
      <w:r>
        <w:t xml:space="preserve">  </w:t>
      </w:r>
      <w:r>
        <w:rPr>
          <w:rFonts w:hint="eastAsia"/>
        </w:rPr>
        <w:t>套内使用面积（</w:t>
      </w:r>
      <w:r>
        <w:rPr>
          <w:rFonts w:ascii="Times New Roman" w:hAnsi="Times New Roman"/>
        </w:rPr>
        <w:t>m</w:t>
      </w:r>
      <w:r>
        <w:rPr>
          <w:rFonts w:ascii="Times New Roman" w:hAnsi="Times New Roman"/>
          <w:vertAlign w:val="superscript"/>
        </w:rPr>
        <w:t>2</w:t>
      </w:r>
      <w:r>
        <w:rPr>
          <w:rFonts w:ascii="Times New Roman" w:hAnsi="Times New Roman"/>
        </w:rPr>
        <w:t>/</w:t>
      </w:r>
      <w:r>
        <w:rPr>
          <w:rFonts w:hint="eastAsia" w:ascii="Times New Roman" w:hAnsi="Times New Roman"/>
        </w:rPr>
        <w:t>套</w:t>
      </w:r>
      <w:r>
        <w:rPr>
          <w:rFonts w:hint="eastAsia"/>
        </w:rPr>
        <w:t>）；</w:t>
      </w:r>
    </w:p>
    <w:p w14:paraId="741E932F">
      <w:pPr>
        <w:ind w:firstLine="482"/>
      </w:pPr>
      <w:r>
        <w:rPr>
          <w:b/>
        </w:rPr>
        <w:t>3</w:t>
      </w:r>
      <w:r>
        <w:t xml:space="preserve">  </w:t>
      </w:r>
      <w:r>
        <w:rPr>
          <w:rFonts w:hint="eastAsia"/>
        </w:rPr>
        <w:t>套型阳台面积（</w:t>
      </w:r>
      <w:r>
        <w:rPr>
          <w:rFonts w:ascii="Times New Roman" w:hAnsi="Times New Roman"/>
        </w:rPr>
        <w:t>m</w:t>
      </w:r>
      <w:r>
        <w:rPr>
          <w:rFonts w:ascii="Times New Roman" w:hAnsi="Times New Roman"/>
          <w:vertAlign w:val="superscript"/>
        </w:rPr>
        <w:t>2</w:t>
      </w:r>
      <w:r>
        <w:rPr>
          <w:rFonts w:ascii="Times New Roman" w:hAnsi="Times New Roman"/>
        </w:rPr>
        <w:t>/</w:t>
      </w:r>
      <w:r>
        <w:rPr>
          <w:rFonts w:hint="eastAsia" w:ascii="Times New Roman" w:hAnsi="Times New Roman"/>
        </w:rPr>
        <w:t>套</w:t>
      </w:r>
      <w:r>
        <w:rPr>
          <w:rFonts w:hint="eastAsia"/>
        </w:rPr>
        <w:t>）；</w:t>
      </w:r>
    </w:p>
    <w:p w14:paraId="5401591A">
      <w:pPr>
        <w:tabs>
          <w:tab w:val="center" w:pos="4153"/>
        </w:tabs>
        <w:ind w:firstLine="482"/>
      </w:pPr>
      <w:r>
        <w:rPr>
          <w:b/>
        </w:rPr>
        <w:t>4</w:t>
      </w:r>
      <w:r>
        <w:rPr>
          <w:rFonts w:hint="eastAsia"/>
        </w:rPr>
        <w:t xml:space="preserve">  套型总建筑面积（</w:t>
      </w:r>
      <w:r>
        <w:rPr>
          <w:rFonts w:ascii="Times New Roman" w:hAnsi="Times New Roman"/>
        </w:rPr>
        <w:t>m</w:t>
      </w:r>
      <w:r>
        <w:rPr>
          <w:rFonts w:ascii="Times New Roman" w:hAnsi="Times New Roman"/>
          <w:vertAlign w:val="superscript"/>
        </w:rPr>
        <w:t>2</w:t>
      </w:r>
      <w:r>
        <w:rPr>
          <w:rFonts w:ascii="Times New Roman" w:hAnsi="Times New Roman"/>
        </w:rPr>
        <w:t>/</w:t>
      </w:r>
      <w:r>
        <w:rPr>
          <w:rFonts w:hint="eastAsia" w:ascii="Times New Roman" w:hAnsi="Times New Roman"/>
        </w:rPr>
        <w:t>套</w:t>
      </w:r>
      <w:r>
        <w:rPr>
          <w:rFonts w:hint="eastAsia"/>
        </w:rPr>
        <w:t>）；</w:t>
      </w:r>
    </w:p>
    <w:p w14:paraId="52C40AFE">
      <w:pPr>
        <w:ind w:firstLine="482"/>
      </w:pPr>
      <w:r>
        <w:rPr>
          <w:b/>
        </w:rPr>
        <w:t>5</w:t>
      </w:r>
      <w:r>
        <w:rPr>
          <w:rFonts w:hint="eastAsia"/>
        </w:rPr>
        <w:t xml:space="preserve">  住宅楼总建筑面积（</w:t>
      </w:r>
      <w:r>
        <w:rPr>
          <w:rFonts w:ascii="Times New Roman" w:hAnsi="Times New Roman"/>
        </w:rPr>
        <w:t>m</w:t>
      </w:r>
      <w:r>
        <w:rPr>
          <w:rFonts w:ascii="Times New Roman" w:hAnsi="Times New Roman"/>
          <w:vertAlign w:val="superscript"/>
        </w:rPr>
        <w:t>2</w:t>
      </w:r>
      <w:r>
        <w:rPr>
          <w:rFonts w:hint="eastAsia"/>
        </w:rPr>
        <w:t>）。</w:t>
      </w:r>
    </w:p>
    <w:p w14:paraId="45E6963A">
      <w:pPr>
        <w:pStyle w:val="4"/>
        <w:numPr>
          <w:ilvl w:val="2"/>
          <w:numId w:val="7"/>
        </w:numPr>
        <w:ind w:firstLine="0" w:firstLineChars="0"/>
        <w:rPr>
          <w:rFonts w:cs="宋体"/>
          <w:bCs w:val="0"/>
          <w:iCs/>
          <w:lang w:val="en-US"/>
        </w:rPr>
      </w:pPr>
      <w:r>
        <w:rPr>
          <w:rFonts w:hint="eastAsia" w:cs="宋体"/>
          <w:bCs w:val="0"/>
          <w:iCs/>
          <w:lang w:val="en-US"/>
        </w:rPr>
        <w:t>住宅的技术经济指标计算，应符合下列规定：</w:t>
      </w:r>
    </w:p>
    <w:p w14:paraId="3A1E14C0">
      <w:pPr>
        <w:ind w:firstLine="482"/>
      </w:pPr>
      <w:r>
        <w:rPr>
          <w:b/>
        </w:rPr>
        <w:t>1</w:t>
      </w:r>
      <w:r>
        <w:t xml:space="preserve">  </w:t>
      </w:r>
      <w:r>
        <w:rPr>
          <w:rFonts w:hint="eastAsia"/>
        </w:rPr>
        <w:t>各功能空间使用面积应等于各功能空间墙体内表面所围合的水平投影面积；</w:t>
      </w:r>
    </w:p>
    <w:p w14:paraId="2F0ECFE2">
      <w:pPr>
        <w:ind w:firstLine="482"/>
      </w:pPr>
      <w:r>
        <w:rPr>
          <w:b/>
        </w:rPr>
        <w:t>2</w:t>
      </w:r>
      <w:r>
        <w:t xml:space="preserve">  </w:t>
      </w:r>
      <w:r>
        <w:rPr>
          <w:rFonts w:hint="eastAsia"/>
        </w:rPr>
        <w:t>套内使用面积应等于套内各功能空间使用面积之和；</w:t>
      </w:r>
    </w:p>
    <w:p w14:paraId="6649EB8A">
      <w:pPr>
        <w:ind w:firstLine="482"/>
        <w:rPr>
          <w:b/>
        </w:rPr>
      </w:pPr>
      <w:r>
        <w:rPr>
          <w:b/>
        </w:rPr>
        <w:t>3</w:t>
      </w:r>
      <w:r>
        <w:t xml:space="preserve">  </w:t>
      </w:r>
      <w:r>
        <w:rPr>
          <w:rFonts w:hint="eastAsia"/>
        </w:rPr>
        <w:t>套型阳台面积等于套内各阳台的面积之和；阳台面积应按围护设施外表面所围空间其结构底板水平投影面积的</w:t>
      </w:r>
      <w:r>
        <w:t>1/2</w:t>
      </w:r>
      <w:r>
        <w:rPr>
          <w:rFonts w:hint="eastAsia"/>
        </w:rPr>
        <w:t>计算；当阳台封闭时，应按其外围护结构外表面所围空间的水平投影面积计算；</w:t>
      </w:r>
    </w:p>
    <w:p w14:paraId="3CDDF030">
      <w:pPr>
        <w:ind w:firstLine="482"/>
      </w:pPr>
      <w:r>
        <w:rPr>
          <w:b/>
        </w:rPr>
        <w:t>4</w:t>
      </w:r>
      <w:r>
        <w:t xml:space="preserve">  </w:t>
      </w:r>
      <w:r>
        <w:rPr>
          <w:rFonts w:hint="eastAsia"/>
        </w:rPr>
        <w:t>套型总建筑面积应等于套内使用面积、相应的建筑面积和套型阳台面积之和；</w:t>
      </w:r>
    </w:p>
    <w:p w14:paraId="29544039">
      <w:pPr>
        <w:ind w:firstLine="482"/>
      </w:pPr>
      <w:r>
        <w:rPr>
          <w:b/>
        </w:rPr>
        <w:t>5</w:t>
      </w:r>
      <w:r>
        <w:t xml:space="preserve">  </w:t>
      </w:r>
      <w:r>
        <w:rPr>
          <w:rFonts w:hint="eastAsia"/>
        </w:rPr>
        <w:t>住宅楼总建筑面积应等于全楼各套型总建筑面积之和。</w:t>
      </w:r>
    </w:p>
    <w:p w14:paraId="20309BEE">
      <w:pPr>
        <w:pStyle w:val="4"/>
        <w:numPr>
          <w:ilvl w:val="2"/>
          <w:numId w:val="7"/>
        </w:numPr>
        <w:ind w:firstLine="0" w:firstLineChars="0"/>
        <w:rPr>
          <w:rFonts w:cs="宋体"/>
          <w:bCs w:val="0"/>
          <w:iCs/>
          <w:lang w:val="en-US"/>
        </w:rPr>
      </w:pPr>
      <w:r>
        <w:rPr>
          <w:rFonts w:hint="eastAsia" w:cs="宋体"/>
          <w:bCs w:val="0"/>
          <w:iCs/>
          <w:lang w:val="en-US"/>
        </w:rPr>
        <w:t>套内使用面积计算，应符合下列规定：</w:t>
      </w:r>
    </w:p>
    <w:p w14:paraId="03DACF68">
      <w:pPr>
        <w:ind w:firstLine="482"/>
      </w:pPr>
      <w:r>
        <w:rPr>
          <w:b/>
        </w:rPr>
        <w:t>1</w:t>
      </w:r>
      <w:r>
        <w:t xml:space="preserve">  </w:t>
      </w:r>
      <w:r>
        <w:rPr>
          <w:rFonts w:hint="eastAsia"/>
        </w:rPr>
        <w:t>套内使用面积应包括卧室、起居室（厅）、餐厅、厨房、卫生间、过厅、走道、贮藏室等使用面积的总和；</w:t>
      </w:r>
    </w:p>
    <w:p w14:paraId="7C53895E">
      <w:pPr>
        <w:ind w:firstLine="482"/>
      </w:pPr>
      <w:r>
        <w:rPr>
          <w:b/>
        </w:rPr>
        <w:t>2</w:t>
      </w:r>
      <w:r>
        <w:t xml:space="preserve">  </w:t>
      </w:r>
      <w:r>
        <w:rPr>
          <w:rFonts w:hint="eastAsia"/>
        </w:rPr>
        <w:t>跃层住宅中的套内楼梯应按自然层数的使用面积总和计入套内使用面积；</w:t>
      </w:r>
    </w:p>
    <w:p w14:paraId="2BC9CB05">
      <w:pPr>
        <w:ind w:firstLine="482"/>
      </w:pPr>
      <w:r>
        <w:rPr>
          <w:b/>
        </w:rPr>
        <w:t>3</w:t>
      </w:r>
      <w:r>
        <w:t xml:space="preserve">  </w:t>
      </w:r>
      <w:r>
        <w:rPr>
          <w:rFonts w:hint="eastAsia"/>
        </w:rPr>
        <w:t>烟囱、通风道、管井等均不应计入套内使用面积；</w:t>
      </w:r>
    </w:p>
    <w:p w14:paraId="777E39A2">
      <w:pPr>
        <w:ind w:firstLine="482"/>
      </w:pPr>
      <w:r>
        <w:rPr>
          <w:b/>
        </w:rPr>
        <w:t>4</w:t>
      </w:r>
      <w:r>
        <w:t xml:space="preserve">  </w:t>
      </w:r>
      <w:r>
        <w:rPr>
          <w:rFonts w:hint="eastAsia"/>
        </w:rPr>
        <w:t>套内使用面积应按结构墙体表面尺寸计算；有复合保温层时，应按复合保温层表面尺寸计算；</w:t>
      </w:r>
    </w:p>
    <w:p w14:paraId="4075EC3F">
      <w:pPr>
        <w:ind w:firstLine="482"/>
      </w:pPr>
      <w:r>
        <w:rPr>
          <w:b/>
        </w:rPr>
        <w:t>5</w:t>
      </w:r>
      <w:r>
        <w:t xml:space="preserve">  </w:t>
      </w:r>
      <w:r>
        <w:rPr>
          <w:rFonts w:hint="eastAsia"/>
        </w:rPr>
        <w:t>利用坡屋顶内的空间时，屋面结构板顶高度小于</w:t>
      </w:r>
      <w:r>
        <w:t>2.20m</w:t>
      </w:r>
      <w:r>
        <w:rPr>
          <w:rFonts w:hint="eastAsia"/>
        </w:rPr>
        <w:t>的建筑空间不计算</w:t>
      </w:r>
      <w:r>
        <w:rPr>
          <w:rFonts w:hint="eastAsia"/>
          <w:lang w:val="en-US" w:eastAsia="zh-CN"/>
        </w:rPr>
        <w:t>使用</w:t>
      </w:r>
      <w:r>
        <w:rPr>
          <w:rFonts w:hint="eastAsia"/>
        </w:rPr>
        <w:t>面积；坡屋顶无结构顶层楼板，不能利用坡屋顶空间时不应计算其使用面积；</w:t>
      </w:r>
    </w:p>
    <w:p w14:paraId="06F4F20D">
      <w:pPr>
        <w:ind w:firstLine="482"/>
      </w:pPr>
      <w:r>
        <w:rPr>
          <w:b/>
        </w:rPr>
        <w:t>6</w:t>
      </w:r>
      <w:r>
        <w:t xml:space="preserve">  </w:t>
      </w:r>
      <w:r>
        <w:rPr>
          <w:rFonts w:hint="eastAsia"/>
        </w:rPr>
        <w:t>坡屋顶内的使用面积应列入套内使用面积中。</w:t>
      </w:r>
    </w:p>
    <w:p w14:paraId="7DF682EF">
      <w:pPr>
        <w:pStyle w:val="4"/>
        <w:numPr>
          <w:ilvl w:val="2"/>
          <w:numId w:val="7"/>
        </w:numPr>
        <w:ind w:firstLine="0" w:firstLineChars="0"/>
        <w:rPr>
          <w:rFonts w:cs="宋体"/>
          <w:bCs w:val="0"/>
          <w:iCs/>
          <w:lang w:val="en-US"/>
        </w:rPr>
      </w:pPr>
      <w:bookmarkStart w:id="156" w:name="OLE_LINK7"/>
      <w:bookmarkStart w:id="157" w:name="OLE_LINK4"/>
      <w:r>
        <w:rPr>
          <w:rFonts w:hint="eastAsia" w:cs="宋体"/>
          <w:bCs w:val="0"/>
          <w:iCs/>
          <w:lang w:val="en-US"/>
        </w:rPr>
        <w:t>套</w:t>
      </w:r>
      <w:bookmarkStart w:id="158" w:name="OLE_LINK2"/>
      <w:bookmarkStart w:id="159" w:name="OLE_LINK3"/>
      <w:r>
        <w:rPr>
          <w:rFonts w:hint="eastAsia" w:cs="宋体"/>
          <w:bCs w:val="0"/>
          <w:iCs/>
          <w:lang w:val="en-US"/>
        </w:rPr>
        <w:t>型总建筑面积计</w:t>
      </w:r>
      <w:bookmarkEnd w:id="158"/>
      <w:bookmarkEnd w:id="159"/>
      <w:r>
        <w:rPr>
          <w:rFonts w:hint="eastAsia" w:cs="宋体"/>
          <w:bCs w:val="0"/>
          <w:iCs/>
          <w:lang w:val="en-US"/>
        </w:rPr>
        <w:t>算，应符合下列规定：</w:t>
      </w:r>
    </w:p>
    <w:p w14:paraId="7509FD16">
      <w:pPr>
        <w:ind w:firstLine="482"/>
      </w:pPr>
      <w:r>
        <w:rPr>
          <w:b/>
        </w:rPr>
        <w:t>1</w:t>
      </w:r>
      <w:r>
        <w:t xml:space="preserve">  </w:t>
      </w:r>
      <w:r>
        <w:rPr>
          <w:rFonts w:hint="eastAsia"/>
        </w:rPr>
        <w:t>应按全楼各层</w:t>
      </w:r>
      <w:r>
        <w:rPr>
          <w:rFonts w:hint="eastAsia"/>
          <w:lang w:val="en-US" w:eastAsia="zh-CN"/>
        </w:rPr>
        <w:t>楼（地）面处</w:t>
      </w:r>
      <w:r>
        <w:rPr>
          <w:rFonts w:hint="eastAsia"/>
        </w:rPr>
        <w:t>外</w:t>
      </w:r>
      <w:r>
        <w:rPr>
          <w:rFonts w:hint="eastAsia"/>
          <w:lang w:val="en-US" w:eastAsia="zh-CN"/>
        </w:rPr>
        <w:t>围护</w:t>
      </w:r>
      <w:r>
        <w:rPr>
          <w:rFonts w:hint="eastAsia"/>
        </w:rPr>
        <w:t>结构外表面所围</w:t>
      </w:r>
      <w:r>
        <w:rPr>
          <w:rFonts w:hint="eastAsia"/>
          <w:lang w:val="en-US" w:eastAsia="zh-CN"/>
        </w:rPr>
        <w:t>空间</w:t>
      </w:r>
      <w:r>
        <w:rPr>
          <w:rFonts w:hint="eastAsia"/>
        </w:rPr>
        <w:t>的水平投影面积之和求出住宅楼建筑面积；</w:t>
      </w:r>
    </w:p>
    <w:p w14:paraId="1B3F3559">
      <w:pPr>
        <w:ind w:firstLine="482"/>
      </w:pPr>
      <w:r>
        <w:rPr>
          <w:b/>
        </w:rPr>
        <w:t>2</w:t>
      </w:r>
      <w:r>
        <w:t xml:space="preserve">  </w:t>
      </w:r>
      <w:r>
        <w:rPr>
          <w:rFonts w:hint="eastAsia"/>
        </w:rPr>
        <w:t>应以全楼总套内使用面积除以住宅楼建筑面积得出计算比值；</w:t>
      </w:r>
    </w:p>
    <w:p w14:paraId="62EE50A6">
      <w:pPr>
        <w:ind w:firstLine="482"/>
      </w:pPr>
      <w:r>
        <w:rPr>
          <w:b/>
        </w:rPr>
        <w:t>3</w:t>
      </w:r>
      <w:r>
        <w:t xml:space="preserve">  </w:t>
      </w:r>
      <w:r>
        <w:rPr>
          <w:rFonts w:hint="eastAsia"/>
        </w:rPr>
        <w:t>套型总建筑面积应等于套内使用面积除以计算比值所得面积，加上套型阳台面积。</w:t>
      </w:r>
    </w:p>
    <w:bookmarkEnd w:id="156"/>
    <w:bookmarkEnd w:id="157"/>
    <w:p w14:paraId="6B98EEC8">
      <w:pPr>
        <w:pStyle w:val="4"/>
        <w:numPr>
          <w:ilvl w:val="2"/>
          <w:numId w:val="7"/>
        </w:numPr>
        <w:ind w:firstLine="0" w:firstLineChars="0"/>
        <w:rPr>
          <w:rFonts w:cs="宋体"/>
          <w:bCs w:val="0"/>
          <w:iCs/>
        </w:rPr>
      </w:pPr>
      <w:r>
        <w:rPr>
          <w:rFonts w:hint="eastAsia" w:cs="宋体"/>
          <w:bCs w:val="0"/>
          <w:iCs/>
          <w:lang w:val="en-US"/>
        </w:rPr>
        <w:t>住宅楼的层数计算应符合下列规定：</w:t>
      </w:r>
    </w:p>
    <w:p w14:paraId="650D5FDF">
      <w:pPr>
        <w:ind w:firstLine="482"/>
        <w:rPr>
          <w:b/>
        </w:rPr>
      </w:pPr>
      <w:r>
        <w:rPr>
          <w:b/>
        </w:rPr>
        <w:t xml:space="preserve">1  </w:t>
      </w:r>
      <w:r>
        <w:rPr>
          <w:rFonts w:hint="eastAsia"/>
        </w:rPr>
        <w:t>住宅楼的层数应按自然层数计；</w:t>
      </w:r>
    </w:p>
    <w:p w14:paraId="4D23D989">
      <w:pPr>
        <w:ind w:firstLine="482"/>
        <w:rPr>
          <w:b/>
        </w:rPr>
      </w:pPr>
      <w:r>
        <w:rPr>
          <w:b/>
        </w:rPr>
        <w:t xml:space="preserve">2  </w:t>
      </w:r>
      <w:r>
        <w:rPr>
          <w:rFonts w:hint="eastAsia"/>
          <w:b w:val="0"/>
          <w:bCs/>
          <w:lang w:val="en-US" w:eastAsia="zh-CN"/>
        </w:rPr>
        <w:t>结构</w:t>
      </w:r>
      <w:r>
        <w:rPr>
          <w:rFonts w:hint="eastAsia"/>
        </w:rPr>
        <w:t>层高</w:t>
      </w:r>
      <w:r>
        <w:rPr>
          <w:rFonts w:hint="eastAsia"/>
          <w:lang w:val="en-US" w:eastAsia="zh-CN"/>
        </w:rPr>
        <w:t>或斜面结构板顶高度小</w:t>
      </w:r>
      <w:r>
        <w:rPr>
          <w:rFonts w:hint="eastAsia"/>
        </w:rPr>
        <w:t>于</w:t>
      </w:r>
      <w:r>
        <w:t>2.2</w:t>
      </w:r>
      <w:r>
        <w:rPr>
          <w:rFonts w:hint="eastAsia"/>
          <w:lang w:val="en-US" w:eastAsia="zh-CN"/>
        </w:rPr>
        <w:t>0</w:t>
      </w:r>
      <w:r>
        <w:t>m</w:t>
      </w:r>
      <w:r>
        <w:rPr>
          <w:rFonts w:hint="eastAsia"/>
        </w:rPr>
        <w:t>的</w:t>
      </w:r>
      <w:r>
        <w:rPr>
          <w:rFonts w:hint="eastAsia"/>
          <w:lang w:val="en-US" w:eastAsia="zh-CN"/>
        </w:rPr>
        <w:t>建筑空间</w:t>
      </w:r>
      <w:r>
        <w:rPr>
          <w:rFonts w:hint="eastAsia"/>
        </w:rPr>
        <w:t>不应计入自然层数；</w:t>
      </w:r>
    </w:p>
    <w:p w14:paraId="735D2958">
      <w:pPr>
        <w:ind w:firstLine="482"/>
      </w:pPr>
      <w:r>
        <w:rPr>
          <w:b/>
        </w:rPr>
        <w:t xml:space="preserve">3  </w:t>
      </w:r>
      <w:r>
        <w:rPr>
          <w:rFonts w:hint="eastAsia"/>
        </w:rPr>
        <w:t>高出室外设计地面不大于</w:t>
      </w:r>
      <w:r>
        <w:t>1.50m</w:t>
      </w:r>
      <w:r>
        <w:rPr>
          <w:rFonts w:hint="eastAsia"/>
        </w:rPr>
        <w:t>的地下室、半地下室不应计入地上自然层数。</w:t>
      </w:r>
    </w:p>
    <w:p w14:paraId="5808073C">
      <w:pPr>
        <w:pStyle w:val="2"/>
        <w:numPr>
          <w:ilvl w:val="0"/>
          <w:numId w:val="7"/>
        </w:numPr>
        <w:rPr>
          <w:rFonts w:ascii="黑体" w:hAnsi="黑体" w:eastAsia="黑体" w:cs="黑体"/>
        </w:rPr>
      </w:pPr>
      <w:bookmarkStart w:id="160" w:name="_Toc425447316"/>
      <w:bookmarkStart w:id="161" w:name="_Toc422990153"/>
      <w:bookmarkStart w:id="162" w:name="_Toc9722"/>
      <w:bookmarkStart w:id="163" w:name="_Toc16739"/>
      <w:bookmarkStart w:id="164" w:name="_Toc28297"/>
      <w:bookmarkStart w:id="165" w:name="_Toc28021"/>
      <w:bookmarkStart w:id="166" w:name="_Toc425428079"/>
      <w:bookmarkStart w:id="167" w:name="_Toc427324175"/>
      <w:bookmarkStart w:id="168" w:name="_Toc8830"/>
      <w:bookmarkStart w:id="169" w:name="_Toc413943677"/>
      <w:bookmarkStart w:id="170" w:name="_Toc30038"/>
      <w:bookmarkStart w:id="171" w:name="_Toc29770"/>
      <w:bookmarkStart w:id="172" w:name="_Toc5192"/>
      <w:bookmarkStart w:id="173" w:name="_Toc11833"/>
      <w:bookmarkStart w:id="174" w:name="_Toc26012"/>
      <w:bookmarkStart w:id="175" w:name="_Toc422931115"/>
      <w:bookmarkStart w:id="176" w:name="_Toc414356828"/>
      <w:r>
        <w:rPr>
          <w:rFonts w:hint="eastAsia" w:ascii="黑体" w:hAnsi="黑体" w:eastAsia="黑体" w:cs="黑体"/>
        </w:rPr>
        <w:t>套内空间</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14:paraId="470A62C9">
      <w:pPr>
        <w:pStyle w:val="3"/>
        <w:numPr>
          <w:ilvl w:val="1"/>
          <w:numId w:val="10"/>
        </w:numPr>
        <w:tabs>
          <w:tab w:val="clear" w:pos="0"/>
        </w:tabs>
      </w:pPr>
      <w:bookmarkStart w:id="177" w:name="_Toc419286247"/>
      <w:bookmarkEnd w:id="177"/>
      <w:bookmarkStart w:id="178" w:name="_Toc422931116"/>
      <w:bookmarkEnd w:id="178"/>
      <w:bookmarkStart w:id="179" w:name="_Toc415068734"/>
      <w:bookmarkEnd w:id="179"/>
      <w:bookmarkStart w:id="180" w:name="_Toc401738207"/>
      <w:bookmarkEnd w:id="180"/>
      <w:bookmarkStart w:id="181" w:name="_Toc425428080"/>
      <w:bookmarkEnd w:id="181"/>
      <w:bookmarkStart w:id="182" w:name="_Toc419277650"/>
      <w:bookmarkEnd w:id="182"/>
      <w:bookmarkStart w:id="183" w:name="_Toc403029374"/>
      <w:bookmarkEnd w:id="183"/>
      <w:bookmarkStart w:id="184" w:name="_Toc425447317"/>
      <w:bookmarkEnd w:id="184"/>
      <w:bookmarkStart w:id="185" w:name="_Toc408837006"/>
      <w:bookmarkEnd w:id="185"/>
      <w:bookmarkStart w:id="186" w:name="_Toc415850757"/>
      <w:bookmarkEnd w:id="186"/>
      <w:bookmarkStart w:id="187" w:name="_Toc419286158"/>
      <w:bookmarkEnd w:id="187"/>
      <w:bookmarkStart w:id="188" w:name="_Toc419277352"/>
      <w:bookmarkEnd w:id="188"/>
      <w:bookmarkStart w:id="189" w:name="_Toc408240469"/>
      <w:bookmarkEnd w:id="189"/>
      <w:bookmarkStart w:id="190" w:name="_Toc419277845"/>
      <w:bookmarkEnd w:id="190"/>
      <w:bookmarkStart w:id="191" w:name="_Toc419277757"/>
      <w:bookmarkEnd w:id="191"/>
      <w:bookmarkStart w:id="192" w:name="_Toc26816835"/>
      <w:bookmarkEnd w:id="192"/>
      <w:bookmarkStart w:id="193" w:name="_Toc415820716"/>
      <w:bookmarkEnd w:id="193"/>
      <w:bookmarkStart w:id="194" w:name="_Toc420575783"/>
      <w:bookmarkEnd w:id="194"/>
      <w:bookmarkStart w:id="195" w:name="_Toc26817445"/>
      <w:bookmarkEnd w:id="195"/>
      <w:bookmarkStart w:id="196" w:name="_Toc421291515"/>
      <w:bookmarkEnd w:id="196"/>
      <w:bookmarkStart w:id="197" w:name="_Toc413934936"/>
      <w:bookmarkEnd w:id="197"/>
      <w:bookmarkStart w:id="198" w:name="_Toc401592943"/>
      <w:bookmarkEnd w:id="198"/>
      <w:bookmarkStart w:id="199" w:name="_Toc419277553"/>
      <w:bookmarkEnd w:id="199"/>
      <w:bookmarkStart w:id="200" w:name="_Toc425427943"/>
      <w:bookmarkEnd w:id="200"/>
      <w:bookmarkStart w:id="201" w:name="_Toc422990154"/>
      <w:bookmarkEnd w:id="201"/>
      <w:bookmarkStart w:id="202" w:name="_Toc427324176"/>
      <w:bookmarkEnd w:id="202"/>
      <w:bookmarkStart w:id="203" w:name="_Toc413943678"/>
      <w:bookmarkEnd w:id="203"/>
      <w:bookmarkStart w:id="204" w:name="_Toc425344244"/>
      <w:bookmarkEnd w:id="204"/>
      <w:bookmarkStart w:id="205" w:name="_Toc425427800"/>
      <w:bookmarkEnd w:id="205"/>
      <w:bookmarkStart w:id="206" w:name="_Toc414522113"/>
      <w:bookmarkEnd w:id="206"/>
      <w:bookmarkStart w:id="207" w:name="_Toc419288505"/>
      <w:bookmarkEnd w:id="207"/>
      <w:bookmarkStart w:id="208" w:name="_Toc425446205"/>
      <w:bookmarkEnd w:id="208"/>
      <w:bookmarkStart w:id="209" w:name="_Toc495998707"/>
      <w:bookmarkEnd w:id="209"/>
      <w:bookmarkStart w:id="210" w:name="_Toc403986580"/>
      <w:bookmarkEnd w:id="210"/>
      <w:bookmarkStart w:id="211" w:name="_Toc414955527"/>
      <w:bookmarkEnd w:id="211"/>
      <w:bookmarkStart w:id="212" w:name="_Toc414551393"/>
      <w:bookmarkEnd w:id="212"/>
      <w:bookmarkStart w:id="213" w:name="_Toc413940455"/>
      <w:bookmarkEnd w:id="213"/>
      <w:bookmarkStart w:id="214" w:name="_Toc419277453"/>
      <w:bookmarkEnd w:id="214"/>
      <w:bookmarkStart w:id="215" w:name="_Toc414551232"/>
      <w:bookmarkEnd w:id="215"/>
      <w:bookmarkStart w:id="216" w:name="_Toc414955450"/>
      <w:bookmarkEnd w:id="216"/>
      <w:bookmarkStart w:id="217" w:name="_Toc427323780"/>
      <w:bookmarkEnd w:id="217"/>
      <w:bookmarkStart w:id="218" w:name="_Toc415214003"/>
      <w:bookmarkEnd w:id="218"/>
      <w:bookmarkStart w:id="219" w:name="_Toc27621"/>
      <w:bookmarkStart w:id="220" w:name="_Toc19790"/>
      <w:bookmarkStart w:id="221" w:name="_Toc6535"/>
      <w:bookmarkStart w:id="222" w:name="_Toc7923"/>
      <w:bookmarkStart w:id="223" w:name="_Toc3571"/>
      <w:bookmarkStart w:id="224" w:name="_Toc30021"/>
      <w:bookmarkStart w:id="225" w:name="_Toc425428085"/>
      <w:bookmarkStart w:id="226" w:name="_Toc9787"/>
      <w:bookmarkStart w:id="227" w:name="_Toc422931121"/>
      <w:bookmarkStart w:id="228" w:name="_Toc427324181"/>
      <w:bookmarkStart w:id="229" w:name="_Toc20059"/>
      <w:bookmarkStart w:id="230" w:name="_Toc425447322"/>
      <w:bookmarkStart w:id="231" w:name="_Toc413940459"/>
      <w:bookmarkStart w:id="232" w:name="_Toc422990159"/>
      <w:bookmarkStart w:id="233" w:name="_Toc12858"/>
      <w:bookmarkStart w:id="234" w:name="_Toc413943682"/>
      <w:bookmarkStart w:id="235" w:name="_Toc32596"/>
      <w:r>
        <w:rPr>
          <w:rFonts w:hint="eastAsia"/>
        </w:rPr>
        <w:t>套</w:t>
      </w:r>
      <w:r>
        <w:rPr>
          <w:rFonts w:hint="eastAsia" w:eastAsia="黑体"/>
          <w:sz w:val="36"/>
          <w:szCs w:val="36"/>
        </w:rPr>
        <w:t xml:space="preserve">  </w:t>
      </w:r>
      <w:r>
        <w:rPr>
          <w:rFonts w:hint="eastAsia"/>
        </w:rPr>
        <w:t>型</w:t>
      </w:r>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p>
    <w:p w14:paraId="747C98A0">
      <w:pPr>
        <w:pStyle w:val="4"/>
        <w:numPr>
          <w:ilvl w:val="2"/>
          <w:numId w:val="11"/>
        </w:numPr>
        <w:tabs>
          <w:tab w:val="clear" w:pos="0"/>
        </w:tabs>
        <w:ind w:firstLine="0" w:firstLineChars="0"/>
        <w:rPr>
          <w:rFonts w:cs="宋体"/>
          <w:bCs w:val="0"/>
          <w:iCs/>
        </w:rPr>
      </w:pPr>
      <w:bookmarkStart w:id="236" w:name="_Toc413943685"/>
      <w:bookmarkStart w:id="237" w:name="_Toc413940462"/>
      <w:r>
        <w:rPr>
          <w:rFonts w:hint="eastAsia" w:cs="宋体"/>
          <w:bCs w:val="0"/>
          <w:iCs/>
        </w:rPr>
        <w:t>住宅应按套型设计，每套住宅应设卧室、起居室（厅）、厨房和卫生间等基本功能空间。</w:t>
      </w:r>
    </w:p>
    <w:p w14:paraId="6AF829A2">
      <w:pPr>
        <w:pStyle w:val="4"/>
        <w:numPr>
          <w:ilvl w:val="2"/>
          <w:numId w:val="11"/>
        </w:numPr>
        <w:tabs>
          <w:tab w:val="clear" w:pos="0"/>
        </w:tabs>
        <w:ind w:firstLine="0" w:firstLineChars="0"/>
        <w:rPr>
          <w:rFonts w:cs="宋体"/>
          <w:bCs w:val="0"/>
          <w:iCs/>
        </w:rPr>
      </w:pPr>
      <w:r>
        <w:rPr>
          <w:rFonts w:hint="eastAsia" w:cs="宋体"/>
          <w:bCs w:val="0"/>
          <w:iCs/>
        </w:rPr>
        <w:t>套型的使用面积应符合下列规定：</w:t>
      </w:r>
    </w:p>
    <w:p w14:paraId="4D622144">
      <w:pPr>
        <w:ind w:left="6" w:firstLine="482"/>
        <w:jc w:val="both"/>
      </w:pPr>
      <w:r>
        <w:rPr>
          <w:b/>
        </w:rPr>
        <w:t>1</w:t>
      </w:r>
      <w:r>
        <w:t xml:space="preserve">  </w:t>
      </w:r>
      <w:r>
        <w:rPr>
          <w:rFonts w:hint="eastAsia"/>
        </w:rPr>
        <w:t>由卧室、起居室（厅）、厨房和卫生间组成的套型，其使用面积不应小于</w:t>
      </w:r>
      <w:r>
        <w:t>32m</w:t>
      </w:r>
      <w:r>
        <w:rPr>
          <w:vertAlign w:val="superscript"/>
        </w:rPr>
        <w:t>2</w:t>
      </w:r>
      <w:r>
        <w:rPr>
          <w:rFonts w:hint="eastAsia"/>
        </w:rPr>
        <w:t>；</w:t>
      </w:r>
    </w:p>
    <w:p w14:paraId="48A2F975">
      <w:pPr>
        <w:ind w:left="6" w:firstLine="480"/>
        <w:jc w:val="both"/>
      </w:pPr>
      <w:r>
        <w:rPr>
          <w:rFonts w:hint="eastAsia"/>
        </w:rPr>
        <w:t>2</w:t>
      </w:r>
      <w:r>
        <w:t xml:space="preserve">  </w:t>
      </w:r>
      <w:r>
        <w:rPr>
          <w:rFonts w:hint="eastAsia"/>
        </w:rPr>
        <w:t>由兼起居的卧室、厨房和卫生间等组成的最小套型，其使用面积不应小于</w:t>
      </w:r>
      <w:r>
        <w:t>24m</w:t>
      </w:r>
      <w:r>
        <w:rPr>
          <w:rFonts w:hint="eastAsia"/>
          <w:vertAlign w:val="superscript"/>
        </w:rPr>
        <w:t>2</w:t>
      </w:r>
      <w:r>
        <w:rPr>
          <w:rFonts w:hint="eastAsia"/>
        </w:rPr>
        <w:t>。</w:t>
      </w:r>
    </w:p>
    <w:p w14:paraId="2F48C97C">
      <w:pPr>
        <w:pStyle w:val="4"/>
        <w:numPr>
          <w:ilvl w:val="2"/>
          <w:numId w:val="11"/>
        </w:numPr>
        <w:tabs>
          <w:tab w:val="clear" w:pos="0"/>
        </w:tabs>
        <w:ind w:firstLine="0" w:firstLineChars="0"/>
        <w:rPr>
          <w:rFonts w:cs="宋体"/>
          <w:bCs w:val="0"/>
          <w:iCs/>
        </w:rPr>
      </w:pPr>
      <w:r>
        <w:rPr>
          <w:rFonts w:hint="eastAsia" w:cs="宋体"/>
          <w:bCs w:val="0"/>
          <w:iCs/>
        </w:rPr>
        <w:t>套型出入口宜</w:t>
      </w:r>
      <w:r>
        <w:rPr>
          <w:rFonts w:hint="eastAsia" w:cs="宋体"/>
          <w:bCs w:val="0"/>
          <w:iCs/>
          <w:lang w:val="en-US"/>
        </w:rPr>
        <w:t>设置</w:t>
      </w:r>
      <w:r>
        <w:rPr>
          <w:rFonts w:hint="eastAsia" w:cs="宋体"/>
          <w:bCs w:val="0"/>
          <w:iCs/>
        </w:rPr>
        <w:t>过渡空间。</w:t>
      </w:r>
    </w:p>
    <w:p w14:paraId="16665492">
      <w:pPr>
        <w:pStyle w:val="4"/>
        <w:numPr>
          <w:ilvl w:val="2"/>
          <w:numId w:val="11"/>
        </w:numPr>
        <w:tabs>
          <w:tab w:val="clear" w:pos="0"/>
        </w:tabs>
        <w:ind w:firstLine="0" w:firstLineChars="0"/>
        <w:rPr>
          <w:rFonts w:cs="宋体"/>
          <w:bCs w:val="0"/>
          <w:iCs/>
        </w:rPr>
      </w:pPr>
      <w:r>
        <w:rPr>
          <w:rFonts w:hint="eastAsia" w:cs="宋体"/>
          <w:bCs w:val="0"/>
          <w:iCs/>
        </w:rPr>
        <w:t>套型设计宜设置晾晒空间。</w:t>
      </w:r>
    </w:p>
    <w:p w14:paraId="6EC71331">
      <w:pPr>
        <w:pStyle w:val="3"/>
        <w:numPr>
          <w:ilvl w:val="1"/>
          <w:numId w:val="11"/>
        </w:numPr>
      </w:pPr>
      <w:bookmarkStart w:id="238" w:name="_Toc413940460"/>
      <w:bookmarkStart w:id="239" w:name="_Toc21438"/>
      <w:bookmarkStart w:id="240" w:name="_Toc21490"/>
      <w:bookmarkStart w:id="241" w:name="_Toc31027"/>
      <w:bookmarkStart w:id="242" w:name="_Toc7961"/>
      <w:bookmarkStart w:id="243" w:name="_Toc427324182"/>
      <w:bookmarkStart w:id="244" w:name="_Toc422931122"/>
      <w:bookmarkStart w:id="245" w:name="_Toc413943683"/>
      <w:bookmarkStart w:id="246" w:name="_Toc19725"/>
      <w:bookmarkStart w:id="247" w:name="_Toc422990160"/>
      <w:bookmarkStart w:id="248" w:name="_Toc425428086"/>
      <w:bookmarkStart w:id="249" w:name="_Toc20937"/>
      <w:bookmarkStart w:id="250" w:name="_Toc13817"/>
      <w:bookmarkStart w:id="251" w:name="_Toc21803"/>
      <w:bookmarkStart w:id="252" w:name="_Toc24821"/>
      <w:bookmarkStart w:id="253" w:name="_Toc425447323"/>
      <w:bookmarkStart w:id="254" w:name="_Toc6198"/>
      <w:r>
        <w:rPr>
          <w:rFonts w:hint="eastAsia"/>
        </w:rPr>
        <w:t>卧</w:t>
      </w:r>
      <w:r>
        <w:rPr>
          <w:rFonts w:hint="eastAsia" w:eastAsia="黑体"/>
          <w:sz w:val="36"/>
          <w:szCs w:val="36"/>
        </w:rPr>
        <w:t xml:space="preserve">  </w:t>
      </w:r>
      <w:r>
        <w:rPr>
          <w:rFonts w:hint="eastAsia"/>
        </w:rPr>
        <w:t>室</w:t>
      </w:r>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p>
    <w:p w14:paraId="66383ACE">
      <w:pPr>
        <w:pStyle w:val="4"/>
        <w:numPr>
          <w:ilvl w:val="2"/>
          <w:numId w:val="11"/>
        </w:numPr>
        <w:tabs>
          <w:tab w:val="clear" w:pos="0"/>
        </w:tabs>
        <w:ind w:firstLine="0" w:firstLineChars="0"/>
        <w:rPr>
          <w:rFonts w:cs="宋体"/>
          <w:bCs w:val="0"/>
          <w:iCs/>
        </w:rPr>
      </w:pPr>
      <w:bookmarkStart w:id="255" w:name="_Toc413940461"/>
      <w:bookmarkStart w:id="256" w:name="_Toc413943684"/>
      <w:r>
        <w:rPr>
          <w:rFonts w:hint="eastAsia" w:cs="宋体"/>
          <w:bCs w:val="0"/>
          <w:iCs/>
        </w:rPr>
        <w:t>卧室的使用面积应符合下列规定：</w:t>
      </w:r>
    </w:p>
    <w:p w14:paraId="1634E25B">
      <w:pPr>
        <w:ind w:left="185" w:leftChars="77" w:firstLine="482"/>
      </w:pPr>
      <w:r>
        <w:rPr>
          <w:b/>
        </w:rPr>
        <w:t>1</w:t>
      </w:r>
      <w:r>
        <w:t xml:space="preserve">  </w:t>
      </w:r>
      <w:r>
        <w:rPr>
          <w:rFonts w:hint="eastAsia"/>
        </w:rPr>
        <w:t>双人卧室不小于</w:t>
      </w:r>
      <w:r>
        <w:t>10</w:t>
      </w:r>
      <w:r>
        <w:rPr>
          <w:rFonts w:ascii="Times New Roman" w:hAnsi="Times New Roman"/>
        </w:rPr>
        <w:t>m</w:t>
      </w:r>
      <w:r>
        <w:rPr>
          <w:rFonts w:ascii="Times New Roman" w:hAnsi="Times New Roman"/>
          <w:vertAlign w:val="superscript"/>
        </w:rPr>
        <w:t>2</w:t>
      </w:r>
      <w:r>
        <w:rPr>
          <w:rFonts w:hint="eastAsia"/>
        </w:rPr>
        <w:t>；</w:t>
      </w:r>
    </w:p>
    <w:p w14:paraId="05DC77A8">
      <w:pPr>
        <w:ind w:left="185" w:leftChars="77" w:firstLine="482"/>
      </w:pPr>
      <w:r>
        <w:rPr>
          <w:b/>
        </w:rPr>
        <w:t>2</w:t>
      </w:r>
      <w:r>
        <w:t xml:space="preserve">  </w:t>
      </w:r>
      <w:r>
        <w:rPr>
          <w:rFonts w:hint="eastAsia"/>
        </w:rPr>
        <w:t>单人卧室不小于</w:t>
      </w:r>
      <w:r>
        <w:t>6m</w:t>
      </w:r>
      <w:r>
        <w:rPr>
          <w:rFonts w:ascii="Times New Roman" w:hAnsi="Times New Roman"/>
          <w:vertAlign w:val="superscript"/>
        </w:rPr>
        <w:t>2</w:t>
      </w:r>
      <w:r>
        <w:rPr>
          <w:rFonts w:hint="eastAsia"/>
        </w:rPr>
        <w:t>；</w:t>
      </w:r>
    </w:p>
    <w:p w14:paraId="75E71D27">
      <w:pPr>
        <w:ind w:left="185" w:leftChars="77" w:firstLine="482"/>
      </w:pPr>
      <w:r>
        <w:rPr>
          <w:b/>
        </w:rPr>
        <w:t>3</w:t>
      </w:r>
      <w:r>
        <w:t xml:space="preserve">  </w:t>
      </w:r>
      <w:r>
        <w:rPr>
          <w:rFonts w:hint="eastAsia"/>
        </w:rPr>
        <w:t>兼起居的卧室不小于</w:t>
      </w:r>
      <w:r>
        <w:t>13</w:t>
      </w:r>
      <w:r>
        <w:rPr>
          <w:rFonts w:ascii="Times New Roman" w:hAnsi="Times New Roman"/>
        </w:rPr>
        <w:t>m</w:t>
      </w:r>
      <w:r>
        <w:rPr>
          <w:rFonts w:ascii="Times New Roman" w:hAnsi="Times New Roman"/>
          <w:vertAlign w:val="superscript"/>
        </w:rPr>
        <w:t>2</w:t>
      </w:r>
      <w:r>
        <w:rPr>
          <w:rFonts w:hint="eastAsia"/>
        </w:rPr>
        <w:t>。</w:t>
      </w:r>
    </w:p>
    <w:p w14:paraId="3E56590E">
      <w:pPr>
        <w:pStyle w:val="4"/>
        <w:numPr>
          <w:ilvl w:val="2"/>
          <w:numId w:val="11"/>
        </w:numPr>
        <w:tabs>
          <w:tab w:val="clear" w:pos="0"/>
        </w:tabs>
        <w:ind w:firstLine="0" w:firstLineChars="0"/>
        <w:rPr>
          <w:rFonts w:cs="宋体"/>
          <w:bCs w:val="0"/>
          <w:iCs/>
        </w:rPr>
      </w:pPr>
      <w:r>
        <w:rPr>
          <w:rFonts w:hint="eastAsia" w:cs="宋体"/>
          <w:bCs w:val="0"/>
          <w:iCs/>
        </w:rPr>
        <w:t>双人卧室的短边净宽不宜小于2.80m</w:t>
      </w:r>
      <w:r>
        <w:rPr>
          <w:rFonts w:hint="eastAsia" w:cs="宋体"/>
          <w:bCs w:val="0"/>
          <w:iCs/>
          <w:lang w:eastAsia="zh-CN"/>
        </w:rPr>
        <w:t>；</w:t>
      </w:r>
      <w:r>
        <w:rPr>
          <w:rFonts w:hint="eastAsia" w:cs="宋体"/>
          <w:bCs w:val="0"/>
          <w:iCs/>
        </w:rPr>
        <w:t>单人卧室的短边净宽不宜小于2.20m。</w:t>
      </w:r>
    </w:p>
    <w:p w14:paraId="11A3398B">
      <w:pPr>
        <w:pStyle w:val="3"/>
        <w:numPr>
          <w:ilvl w:val="1"/>
          <w:numId w:val="11"/>
        </w:numPr>
      </w:pPr>
      <w:bookmarkStart w:id="257" w:name="_Toc26664"/>
      <w:bookmarkStart w:id="258" w:name="_Toc422990161"/>
      <w:bookmarkStart w:id="259" w:name="_Toc29710"/>
      <w:bookmarkStart w:id="260" w:name="_Toc7426"/>
      <w:bookmarkStart w:id="261" w:name="_Toc25000"/>
      <w:bookmarkStart w:id="262" w:name="_Toc25445"/>
      <w:bookmarkStart w:id="263" w:name="_Toc422931123"/>
      <w:bookmarkStart w:id="264" w:name="_Toc9661"/>
      <w:bookmarkStart w:id="265" w:name="_Toc2929"/>
      <w:bookmarkStart w:id="266" w:name="_Toc17272"/>
      <w:bookmarkStart w:id="267" w:name="_Toc18638"/>
      <w:bookmarkStart w:id="268" w:name="_Toc425428087"/>
      <w:bookmarkStart w:id="269" w:name="_Toc16242"/>
      <w:bookmarkStart w:id="270" w:name="_Toc427324183"/>
      <w:bookmarkStart w:id="271" w:name="_Toc425447324"/>
      <w:r>
        <w:rPr>
          <w:rFonts w:hint="eastAsia"/>
        </w:rPr>
        <w:t>起居室（厅）、餐厅</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14:paraId="3DE3399A">
      <w:pPr>
        <w:pStyle w:val="4"/>
        <w:numPr>
          <w:ilvl w:val="2"/>
          <w:numId w:val="11"/>
        </w:numPr>
        <w:tabs>
          <w:tab w:val="clear" w:pos="0"/>
        </w:tabs>
        <w:ind w:firstLine="0" w:firstLineChars="0"/>
        <w:rPr>
          <w:rFonts w:cs="宋体"/>
          <w:bCs w:val="0"/>
          <w:iCs/>
        </w:rPr>
      </w:pPr>
      <w:r>
        <w:rPr>
          <w:rFonts w:hint="eastAsia" w:cs="宋体"/>
          <w:bCs w:val="0"/>
          <w:iCs/>
        </w:rPr>
        <w:t>起居室（厅）的使用面积不应小于11m</w:t>
      </w:r>
      <w:r>
        <w:rPr>
          <w:rFonts w:hint="eastAsia" w:cs="宋体"/>
          <w:bCs w:val="0"/>
          <w:iCs/>
          <w:vertAlign w:val="superscript"/>
        </w:rPr>
        <w:t>2</w:t>
      </w:r>
      <w:r>
        <w:rPr>
          <w:rFonts w:hint="eastAsia" w:cs="宋体"/>
          <w:bCs w:val="0"/>
          <w:iCs/>
        </w:rPr>
        <w:t>。</w:t>
      </w:r>
    </w:p>
    <w:p w14:paraId="512593F3">
      <w:pPr>
        <w:pStyle w:val="4"/>
        <w:numPr>
          <w:ilvl w:val="2"/>
          <w:numId w:val="11"/>
        </w:numPr>
        <w:tabs>
          <w:tab w:val="clear" w:pos="0"/>
        </w:tabs>
        <w:ind w:firstLine="0" w:firstLineChars="0"/>
        <w:rPr>
          <w:rFonts w:cs="宋体"/>
          <w:bCs w:val="0"/>
          <w:iCs/>
        </w:rPr>
      </w:pPr>
      <w:r>
        <w:rPr>
          <w:rFonts w:hint="eastAsia" w:cs="宋体"/>
          <w:bCs w:val="0"/>
          <w:iCs/>
        </w:rPr>
        <w:t>起居室（厅）的短边净宽不宜小于3.00m。</w:t>
      </w:r>
    </w:p>
    <w:p w14:paraId="29A9A44D">
      <w:pPr>
        <w:pStyle w:val="4"/>
        <w:numPr>
          <w:ilvl w:val="2"/>
          <w:numId w:val="11"/>
        </w:numPr>
        <w:tabs>
          <w:tab w:val="clear" w:pos="0"/>
        </w:tabs>
        <w:ind w:firstLine="0" w:firstLineChars="0"/>
        <w:rPr>
          <w:rFonts w:cs="宋体"/>
          <w:bCs w:val="0"/>
          <w:iCs/>
        </w:rPr>
      </w:pPr>
      <w:r>
        <w:rPr>
          <w:rFonts w:hint="eastAsia" w:cs="宋体"/>
          <w:bCs w:val="0"/>
          <w:iCs/>
        </w:rPr>
        <w:t>起居室（厅）内门洞设置应根据使用功能的要求，减少直接开向起居室（厅）的门洞的数量，且布置家具的墙面直线长度宜大于3.00m。</w:t>
      </w:r>
    </w:p>
    <w:p w14:paraId="6C10DB56">
      <w:pPr>
        <w:pStyle w:val="4"/>
        <w:numPr>
          <w:ilvl w:val="2"/>
          <w:numId w:val="11"/>
        </w:numPr>
        <w:tabs>
          <w:tab w:val="clear" w:pos="0"/>
        </w:tabs>
        <w:ind w:firstLine="0" w:firstLineChars="0"/>
        <w:rPr>
          <w:rFonts w:cs="宋体"/>
          <w:bCs w:val="0"/>
          <w:iCs/>
        </w:rPr>
      </w:pPr>
      <w:r>
        <w:rPr>
          <w:rFonts w:hint="eastAsia" w:cs="宋体"/>
          <w:bCs w:val="0"/>
          <w:iCs/>
        </w:rPr>
        <w:t>套型内无独立的餐厅时，起居室应兼有用餐的空间。</w:t>
      </w:r>
    </w:p>
    <w:p w14:paraId="5DBB6960">
      <w:pPr>
        <w:pStyle w:val="4"/>
        <w:numPr>
          <w:ilvl w:val="2"/>
          <w:numId w:val="11"/>
        </w:numPr>
        <w:tabs>
          <w:tab w:val="clear" w:pos="0"/>
        </w:tabs>
        <w:ind w:firstLine="0" w:firstLineChars="0"/>
        <w:rPr>
          <w:rFonts w:cs="宋体"/>
          <w:bCs w:val="0"/>
          <w:iCs/>
        </w:rPr>
      </w:pPr>
      <w:r>
        <w:rPr>
          <w:rFonts w:hint="eastAsia" w:cs="宋体"/>
          <w:bCs w:val="0"/>
          <w:iCs/>
        </w:rPr>
        <w:t>无直接采光的餐厅、过厅等，其使用面积不宜大于10m</w:t>
      </w:r>
      <w:r>
        <w:rPr>
          <w:rFonts w:hint="eastAsia" w:cs="宋体"/>
          <w:bCs w:val="0"/>
          <w:iCs/>
          <w:vertAlign w:val="superscript"/>
        </w:rPr>
        <w:t>2</w:t>
      </w:r>
      <w:r>
        <w:rPr>
          <w:rFonts w:hint="eastAsia" w:cs="宋体"/>
          <w:bCs w:val="0"/>
          <w:iCs/>
        </w:rPr>
        <w:t>。</w:t>
      </w:r>
    </w:p>
    <w:p w14:paraId="79C680E2">
      <w:pPr>
        <w:pStyle w:val="3"/>
        <w:numPr>
          <w:ilvl w:val="1"/>
          <w:numId w:val="11"/>
        </w:numPr>
        <w:rPr>
          <w:rFonts w:hAnsi="Cambria"/>
          <w:lang w:val="zh-CN"/>
        </w:rPr>
      </w:pPr>
      <w:bookmarkStart w:id="272" w:name="_Toc14863"/>
      <w:bookmarkStart w:id="273" w:name="_Toc9240"/>
      <w:bookmarkStart w:id="274" w:name="_Toc27761"/>
      <w:bookmarkStart w:id="275" w:name="_Toc425428088"/>
      <w:bookmarkStart w:id="276" w:name="_Toc24713"/>
      <w:bookmarkStart w:id="277" w:name="_Toc422990162"/>
      <w:bookmarkStart w:id="278" w:name="_Toc12552"/>
      <w:bookmarkStart w:id="279" w:name="_Toc30466"/>
      <w:bookmarkStart w:id="280" w:name="_Toc20666"/>
      <w:bookmarkStart w:id="281" w:name="_Toc30426"/>
      <w:bookmarkStart w:id="282" w:name="_Toc10124"/>
      <w:bookmarkStart w:id="283" w:name="_Toc422931124"/>
      <w:bookmarkStart w:id="284" w:name="_Toc14569"/>
      <w:bookmarkStart w:id="285" w:name="_Toc425447325"/>
      <w:bookmarkStart w:id="286" w:name="_Toc427324184"/>
      <w:r>
        <w:rPr>
          <w:rFonts w:hint="eastAsia"/>
        </w:rPr>
        <w:t>厨</w:t>
      </w:r>
      <w:r>
        <w:rPr>
          <w:rFonts w:hint="eastAsia" w:eastAsia="黑体"/>
          <w:sz w:val="36"/>
          <w:szCs w:val="36"/>
        </w:rPr>
        <w:t xml:space="preserve">  </w:t>
      </w:r>
      <w:r>
        <w:rPr>
          <w:rFonts w:hint="eastAsia"/>
        </w:rPr>
        <w:t>房</w:t>
      </w:r>
      <w:bookmarkEnd w:id="236"/>
      <w:bookmarkEnd w:id="237"/>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14:paraId="4F4B455A">
      <w:pPr>
        <w:pStyle w:val="4"/>
        <w:numPr>
          <w:ilvl w:val="2"/>
          <w:numId w:val="11"/>
        </w:numPr>
        <w:tabs>
          <w:tab w:val="clear" w:pos="0"/>
        </w:tabs>
        <w:ind w:firstLine="0" w:firstLineChars="0"/>
        <w:rPr>
          <w:rFonts w:cs="宋体"/>
          <w:bCs w:val="0"/>
          <w:iCs/>
        </w:rPr>
      </w:pPr>
      <w:bookmarkStart w:id="287" w:name="_Toc413940463"/>
      <w:bookmarkStart w:id="288" w:name="_Toc413943686"/>
      <w:r>
        <w:rPr>
          <w:rFonts w:hint="eastAsia" w:cs="宋体"/>
          <w:bCs w:val="0"/>
          <w:iCs/>
        </w:rPr>
        <w:t>由兼起居的卧室、厨房和卫生间等组成的最小套型，其厨房使用面积不应小于4m</w:t>
      </w:r>
      <w:r>
        <w:rPr>
          <w:rFonts w:hint="eastAsia" w:cs="宋体"/>
          <w:bCs w:val="0"/>
          <w:iCs/>
          <w:vertAlign w:val="superscript"/>
        </w:rPr>
        <w:t>2</w:t>
      </w:r>
      <w:r>
        <w:rPr>
          <w:rFonts w:hint="eastAsia" w:cs="宋体"/>
          <w:bCs w:val="0"/>
          <w:iCs/>
        </w:rPr>
        <w:t>，由卧室、起居室（厅）、厨房和卫生间组成的套型，其厨房使用面积不应小于5m</w:t>
      </w:r>
      <w:r>
        <w:rPr>
          <w:rFonts w:hint="eastAsia" w:cs="宋体"/>
          <w:bCs w:val="0"/>
          <w:iCs/>
          <w:vertAlign w:val="superscript"/>
        </w:rPr>
        <w:t>2</w:t>
      </w:r>
      <w:r>
        <w:rPr>
          <w:rFonts w:hint="eastAsia" w:cs="宋体"/>
          <w:bCs w:val="0"/>
          <w:iCs/>
        </w:rPr>
        <w:t>。</w:t>
      </w:r>
    </w:p>
    <w:p w14:paraId="15B0733A">
      <w:pPr>
        <w:pStyle w:val="4"/>
        <w:numPr>
          <w:ilvl w:val="2"/>
          <w:numId w:val="11"/>
        </w:numPr>
        <w:tabs>
          <w:tab w:val="clear" w:pos="0"/>
        </w:tabs>
        <w:ind w:firstLine="0" w:firstLineChars="0"/>
        <w:rPr>
          <w:rFonts w:cs="宋体"/>
          <w:bCs w:val="0"/>
          <w:iCs/>
        </w:rPr>
      </w:pPr>
      <w:r>
        <w:rPr>
          <w:rFonts w:hint="eastAsia" w:cs="宋体"/>
          <w:bCs w:val="0"/>
          <w:iCs/>
        </w:rPr>
        <w:t>厨房应直接采光、自然通风。</w:t>
      </w:r>
    </w:p>
    <w:p w14:paraId="2D413045">
      <w:pPr>
        <w:pStyle w:val="4"/>
        <w:numPr>
          <w:ilvl w:val="2"/>
          <w:numId w:val="11"/>
        </w:numPr>
        <w:tabs>
          <w:tab w:val="clear" w:pos="0"/>
        </w:tabs>
        <w:ind w:firstLine="0" w:firstLineChars="0"/>
        <w:rPr>
          <w:rFonts w:cs="宋体"/>
          <w:bCs w:val="0"/>
          <w:iCs/>
        </w:rPr>
      </w:pPr>
      <w:r>
        <w:rPr>
          <w:rFonts w:hint="eastAsia" w:cs="宋体"/>
          <w:bCs w:val="0"/>
          <w:iCs/>
        </w:rPr>
        <w:t>厨房应</w:t>
      </w:r>
      <w:r>
        <w:rPr>
          <w:rFonts w:hint="eastAsia" w:cs="宋体"/>
          <w:bCs w:val="0"/>
          <w:iCs/>
          <w:lang w:val="en-US"/>
        </w:rPr>
        <w:t>配置</w:t>
      </w:r>
      <w:r>
        <w:rPr>
          <w:rFonts w:hint="eastAsia" w:cs="宋体"/>
          <w:bCs w:val="0"/>
          <w:iCs/>
        </w:rPr>
        <w:t>洗涤池、水龙头、</w:t>
      </w:r>
      <w:r>
        <w:rPr>
          <w:rFonts w:hint="eastAsia" w:cs="宋体"/>
          <w:bCs w:val="0"/>
          <w:iCs/>
          <w:lang w:val="en-US"/>
        </w:rPr>
        <w:t>案</w:t>
      </w:r>
      <w:r>
        <w:rPr>
          <w:rFonts w:hint="eastAsia" w:cs="宋体"/>
          <w:bCs w:val="0"/>
          <w:iCs/>
        </w:rPr>
        <w:t>台、</w:t>
      </w:r>
      <w:r>
        <w:rPr>
          <w:rFonts w:hint="eastAsia" w:cs="宋体"/>
          <w:bCs w:val="0"/>
          <w:iCs/>
          <w:lang w:val="en-US"/>
        </w:rPr>
        <w:t>灶具</w:t>
      </w:r>
      <w:r>
        <w:rPr>
          <w:rFonts w:hint="eastAsia" w:cs="宋体"/>
          <w:bCs w:val="0"/>
          <w:iCs/>
        </w:rPr>
        <w:t>及排油烟机等设施，并宜预留相关</w:t>
      </w:r>
      <w:r>
        <w:rPr>
          <w:rFonts w:hint="eastAsia" w:cs="宋体"/>
          <w:bCs w:val="0"/>
          <w:iCs/>
          <w:lang w:val="en-US"/>
        </w:rPr>
        <w:t>安装</w:t>
      </w:r>
      <w:r>
        <w:rPr>
          <w:rFonts w:hint="eastAsia" w:cs="宋体"/>
          <w:bCs w:val="0"/>
          <w:iCs/>
        </w:rPr>
        <w:t>条件。</w:t>
      </w:r>
    </w:p>
    <w:p w14:paraId="38E58362">
      <w:pPr>
        <w:pStyle w:val="4"/>
        <w:numPr>
          <w:ilvl w:val="2"/>
          <w:numId w:val="11"/>
        </w:numPr>
        <w:tabs>
          <w:tab w:val="clear" w:pos="0"/>
        </w:tabs>
        <w:ind w:firstLine="0" w:firstLineChars="0"/>
        <w:rPr>
          <w:rFonts w:cs="宋体"/>
          <w:bCs w:val="0"/>
          <w:iCs/>
        </w:rPr>
      </w:pPr>
      <w:r>
        <w:rPr>
          <w:rFonts w:hint="eastAsia" w:cs="宋体"/>
          <w:bCs w:val="0"/>
          <w:iCs/>
        </w:rPr>
        <w:t>厨房不宜设置地漏。</w:t>
      </w:r>
    </w:p>
    <w:p w14:paraId="57EE28E8">
      <w:pPr>
        <w:pStyle w:val="4"/>
        <w:numPr>
          <w:ilvl w:val="2"/>
          <w:numId w:val="11"/>
        </w:numPr>
        <w:tabs>
          <w:tab w:val="clear" w:pos="0"/>
        </w:tabs>
        <w:ind w:firstLine="0" w:firstLineChars="0"/>
        <w:rPr>
          <w:rFonts w:cs="宋体"/>
          <w:bCs w:val="0"/>
          <w:iCs/>
        </w:rPr>
      </w:pPr>
      <w:r>
        <w:rPr>
          <w:rFonts w:hint="eastAsia" w:cs="宋体"/>
          <w:bCs w:val="0"/>
          <w:iCs/>
          <w:lang w:val="en-US"/>
        </w:rPr>
        <w:t>厨房的地面应采用防滑易清洁的装修材料</w:t>
      </w:r>
      <w:r>
        <w:rPr>
          <w:rFonts w:hint="eastAsia" w:cs="宋体"/>
          <w:bCs w:val="0"/>
          <w:iCs/>
          <w:lang w:val="en-US" w:eastAsia="zh-CN"/>
        </w:rPr>
        <w:t>，</w:t>
      </w:r>
      <w:r>
        <w:rPr>
          <w:rFonts w:hint="eastAsia" w:eastAsia="宋体" w:cs="宋体"/>
          <w:b w:val="0"/>
          <w:bCs w:val="0"/>
          <w:iCs/>
          <w:sz w:val="24"/>
          <w:lang w:val="en-US"/>
        </w:rPr>
        <w:t>厨房的墙面应采用易清洁的装修材料。</w:t>
      </w:r>
    </w:p>
    <w:p w14:paraId="66A4321B">
      <w:pPr>
        <w:pStyle w:val="4"/>
        <w:numPr>
          <w:ilvl w:val="2"/>
          <w:numId w:val="11"/>
        </w:numPr>
        <w:tabs>
          <w:tab w:val="clear" w:pos="0"/>
        </w:tabs>
        <w:ind w:firstLine="0" w:firstLineChars="0"/>
        <w:rPr>
          <w:rFonts w:cs="宋体"/>
          <w:bCs w:val="0"/>
          <w:iCs/>
        </w:rPr>
      </w:pPr>
      <w:r>
        <w:rPr>
          <w:rFonts w:hint="eastAsia" w:cs="宋体"/>
          <w:bCs w:val="0"/>
          <w:iCs/>
        </w:rPr>
        <w:t>单排布置设备的厨房净宽不应小于1.50m；双排布置设备的厨房其两排设备之间的净距不应小于0.90m。</w:t>
      </w:r>
    </w:p>
    <w:p w14:paraId="4423303E">
      <w:pPr>
        <w:pStyle w:val="3"/>
        <w:numPr>
          <w:ilvl w:val="1"/>
          <w:numId w:val="11"/>
        </w:numPr>
        <w:rPr>
          <w:rFonts w:hAnsi="Cambria"/>
          <w:lang w:val="zh-CN"/>
        </w:rPr>
      </w:pPr>
      <w:bookmarkStart w:id="289" w:name="_Toc422931125"/>
      <w:bookmarkStart w:id="290" w:name="_Toc18777"/>
      <w:bookmarkStart w:id="291" w:name="_Toc15010"/>
      <w:bookmarkStart w:id="292" w:name="_Toc16733"/>
      <w:bookmarkStart w:id="293" w:name="_Toc5619"/>
      <w:bookmarkStart w:id="294" w:name="_Toc427324185"/>
      <w:bookmarkStart w:id="295" w:name="_Toc22445"/>
      <w:bookmarkStart w:id="296" w:name="_Toc11754"/>
      <w:bookmarkStart w:id="297" w:name="_Toc8916"/>
      <w:bookmarkStart w:id="298" w:name="_Toc422990163"/>
      <w:bookmarkStart w:id="299" w:name="_Toc425447326"/>
      <w:bookmarkStart w:id="300" w:name="_Toc3033"/>
      <w:bookmarkStart w:id="301" w:name="_Toc425428089"/>
      <w:bookmarkStart w:id="302" w:name="_Toc15326"/>
      <w:bookmarkStart w:id="303" w:name="_Toc5598"/>
      <w:r>
        <w:rPr>
          <w:rFonts w:hint="eastAsia"/>
        </w:rPr>
        <w:t>卫生间</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14:paraId="14FE8CB9">
      <w:pPr>
        <w:pStyle w:val="4"/>
        <w:numPr>
          <w:ilvl w:val="2"/>
          <w:numId w:val="11"/>
        </w:numPr>
        <w:tabs>
          <w:tab w:val="clear" w:pos="0"/>
        </w:tabs>
        <w:ind w:firstLine="0" w:firstLineChars="0"/>
        <w:rPr>
          <w:rFonts w:cs="宋体"/>
          <w:bCs w:val="0"/>
          <w:iCs/>
        </w:rPr>
      </w:pPr>
      <w:bookmarkStart w:id="304" w:name="_Toc413940464"/>
      <w:bookmarkStart w:id="305" w:name="_Toc413943687"/>
      <w:r>
        <w:rPr>
          <w:rFonts w:hint="eastAsia" w:cs="宋体"/>
          <w:bCs w:val="0"/>
          <w:iCs/>
        </w:rPr>
        <w:t>每套住宅应设卫生间，应至少配置便器、洗浴器、洗面器三件卫生设备或为其预留设置位置及条件。三件卫生设备集中配置的卫生间的使用面积不应小于3.00m</w:t>
      </w:r>
      <w:r>
        <w:rPr>
          <w:rFonts w:cs="宋体"/>
          <w:bCs w:val="0"/>
          <w:iCs/>
          <w:vertAlign w:val="superscript"/>
        </w:rPr>
        <w:t>2</w:t>
      </w:r>
      <w:r>
        <w:rPr>
          <w:rFonts w:hint="eastAsia" w:cs="宋体"/>
          <w:bCs w:val="0"/>
          <w:iCs/>
        </w:rPr>
        <w:t>。</w:t>
      </w:r>
    </w:p>
    <w:p w14:paraId="046952A7">
      <w:pPr>
        <w:pStyle w:val="4"/>
        <w:numPr>
          <w:ilvl w:val="2"/>
          <w:numId w:val="11"/>
        </w:numPr>
        <w:tabs>
          <w:tab w:val="clear" w:pos="0"/>
        </w:tabs>
        <w:ind w:firstLine="0" w:firstLineChars="0"/>
        <w:rPr>
          <w:rFonts w:cs="宋体"/>
          <w:bCs w:val="0"/>
          <w:iCs/>
        </w:rPr>
      </w:pPr>
      <w:r>
        <w:rPr>
          <w:rFonts w:hint="eastAsia" w:cs="宋体"/>
          <w:bCs w:val="0"/>
          <w:iCs/>
        </w:rPr>
        <w:t>卫生间可根据使用功能要求组合不同的设备。不同组合的空间使用面积应符合下列规定：</w:t>
      </w:r>
    </w:p>
    <w:p w14:paraId="5794820B">
      <w:pPr>
        <w:ind w:firstLine="482"/>
      </w:pPr>
      <w:r>
        <w:rPr>
          <w:b/>
        </w:rPr>
        <w:t>1</w:t>
      </w:r>
      <w:r>
        <w:t xml:space="preserve">  </w:t>
      </w:r>
      <w:r>
        <w:rPr>
          <w:rFonts w:hint="eastAsia"/>
        </w:rPr>
        <w:t>设便器、洗浴器时不应小于</w:t>
      </w:r>
      <w:r>
        <w:t>2.30 m</w:t>
      </w:r>
      <w:r>
        <w:rPr>
          <w:vertAlign w:val="superscript"/>
        </w:rPr>
        <w:t>2</w:t>
      </w:r>
      <w:r>
        <w:rPr>
          <w:rFonts w:hint="eastAsia"/>
        </w:rPr>
        <w:t>；</w:t>
      </w:r>
    </w:p>
    <w:p w14:paraId="774DD4BB">
      <w:pPr>
        <w:ind w:firstLine="482"/>
      </w:pPr>
      <w:r>
        <w:rPr>
          <w:b/>
        </w:rPr>
        <w:t>2</w:t>
      </w:r>
      <w:r>
        <w:t xml:space="preserve">  </w:t>
      </w:r>
      <w:r>
        <w:rPr>
          <w:rFonts w:hint="eastAsia"/>
        </w:rPr>
        <w:t>单设便器时不应小于</w:t>
      </w:r>
      <w:r>
        <w:t>1.10 m</w:t>
      </w:r>
      <w:r>
        <w:rPr>
          <w:vertAlign w:val="superscript"/>
        </w:rPr>
        <w:t>2</w:t>
      </w:r>
      <w:r>
        <w:rPr>
          <w:rFonts w:hint="eastAsia"/>
        </w:rPr>
        <w:t>。</w:t>
      </w:r>
    </w:p>
    <w:p w14:paraId="7FE709FC">
      <w:pPr>
        <w:ind w:firstLine="482"/>
      </w:pPr>
      <w:r>
        <w:rPr>
          <w:b/>
        </w:rPr>
        <w:t>3</w:t>
      </w:r>
      <w:r>
        <w:t xml:space="preserve">  </w:t>
      </w:r>
      <w:r>
        <w:rPr>
          <w:rFonts w:hint="eastAsia"/>
        </w:rPr>
        <w:t>单设洗浴器时不应小于</w:t>
      </w:r>
      <w:r>
        <w:t>1.20m</w:t>
      </w:r>
      <w:r>
        <w:rPr>
          <w:vertAlign w:val="superscript"/>
        </w:rPr>
        <w:t>2</w:t>
      </w:r>
      <w:r>
        <w:rPr>
          <w:rFonts w:hint="eastAsia"/>
        </w:rPr>
        <w:t>。</w:t>
      </w:r>
    </w:p>
    <w:p w14:paraId="5D76F2B8">
      <w:pPr>
        <w:pStyle w:val="4"/>
        <w:numPr>
          <w:ilvl w:val="2"/>
          <w:numId w:val="11"/>
        </w:numPr>
        <w:tabs>
          <w:tab w:val="clear" w:pos="0"/>
        </w:tabs>
        <w:ind w:firstLine="0" w:firstLineChars="0"/>
        <w:rPr>
          <w:rFonts w:cs="宋体"/>
          <w:bCs w:val="0"/>
          <w:iCs/>
        </w:rPr>
      </w:pPr>
      <w:r>
        <w:rPr>
          <w:rFonts w:hint="eastAsia" w:cs="宋体"/>
          <w:bCs w:val="0"/>
          <w:iCs/>
        </w:rPr>
        <w:t>套型内设有两个及以上卧室且仅设置一个卫生间时，洗面器与便器应分别布置在不同空间。</w:t>
      </w:r>
    </w:p>
    <w:p w14:paraId="374A6585">
      <w:pPr>
        <w:pStyle w:val="4"/>
        <w:numPr>
          <w:ilvl w:val="2"/>
          <w:numId w:val="11"/>
        </w:numPr>
        <w:tabs>
          <w:tab w:val="clear" w:pos="0"/>
        </w:tabs>
        <w:ind w:firstLine="0" w:firstLineChars="0"/>
        <w:rPr>
          <w:rFonts w:cs="宋体"/>
          <w:bCs w:val="0"/>
          <w:iCs/>
        </w:rPr>
      </w:pPr>
      <w:r>
        <w:rPr>
          <w:rFonts w:hint="eastAsia" w:cs="宋体"/>
          <w:bCs w:val="0"/>
          <w:iCs/>
        </w:rPr>
        <w:t>无前室的卫生间的门不应直接开向起居室（厅）或厨房，且不宜直接开向餐厅。</w:t>
      </w:r>
    </w:p>
    <w:p w14:paraId="3C256FA4">
      <w:pPr>
        <w:pStyle w:val="4"/>
        <w:numPr>
          <w:ilvl w:val="2"/>
          <w:numId w:val="11"/>
        </w:numPr>
        <w:tabs>
          <w:tab w:val="clear" w:pos="0"/>
        </w:tabs>
        <w:ind w:firstLine="0" w:firstLineChars="0"/>
        <w:rPr>
          <w:rFonts w:cs="宋体"/>
          <w:bCs w:val="0"/>
          <w:iCs/>
        </w:rPr>
      </w:pPr>
      <w:r>
        <w:rPr>
          <w:rFonts w:hint="eastAsia" w:cs="宋体"/>
          <w:bCs w:val="0"/>
          <w:iCs/>
        </w:rPr>
        <w:t>卫生间不应直接布置在下层住户的卧室、起居室（厅）、厨房和餐厅的上层。</w:t>
      </w:r>
    </w:p>
    <w:p w14:paraId="0338B5A2">
      <w:pPr>
        <w:pStyle w:val="4"/>
        <w:numPr>
          <w:ilvl w:val="2"/>
          <w:numId w:val="11"/>
        </w:numPr>
        <w:tabs>
          <w:tab w:val="clear" w:pos="0"/>
        </w:tabs>
        <w:ind w:firstLine="0" w:firstLineChars="0"/>
        <w:rPr>
          <w:rFonts w:cs="宋体"/>
          <w:bCs w:val="0"/>
          <w:iCs/>
        </w:rPr>
      </w:pPr>
      <w:r>
        <w:rPr>
          <w:rFonts w:hint="eastAsia" w:cs="宋体"/>
          <w:bCs w:val="0"/>
          <w:iCs/>
        </w:rPr>
        <w:t>当卫生间布置在本套内的卧室、起居室（厅）、餐厅和厨房的上层时，均应有防水、隔声和便于检修的措施。</w:t>
      </w:r>
    </w:p>
    <w:p w14:paraId="319CAD2B">
      <w:pPr>
        <w:pStyle w:val="4"/>
        <w:numPr>
          <w:ilvl w:val="2"/>
          <w:numId w:val="11"/>
        </w:numPr>
        <w:tabs>
          <w:tab w:val="clear" w:pos="0"/>
        </w:tabs>
        <w:ind w:firstLine="0" w:firstLineChars="0"/>
        <w:rPr>
          <w:rFonts w:cs="宋体"/>
          <w:bCs w:val="0"/>
          <w:iCs/>
        </w:rPr>
      </w:pPr>
      <w:r>
        <w:rPr>
          <w:rFonts w:hint="eastAsia" w:cs="宋体"/>
          <w:bCs w:val="0"/>
          <w:iCs/>
        </w:rPr>
        <w:t>每套住宅应设置洗衣机的位置及条件。</w:t>
      </w:r>
    </w:p>
    <w:p w14:paraId="62AC0FA1">
      <w:pPr>
        <w:pStyle w:val="4"/>
        <w:numPr>
          <w:ilvl w:val="2"/>
          <w:numId w:val="11"/>
        </w:numPr>
        <w:tabs>
          <w:tab w:val="clear" w:pos="0"/>
        </w:tabs>
        <w:ind w:firstLine="0" w:firstLineChars="0"/>
        <w:rPr>
          <w:rFonts w:cs="宋体"/>
          <w:bCs w:val="0"/>
          <w:iCs/>
        </w:rPr>
      </w:pPr>
      <w:r>
        <w:rPr>
          <w:rFonts w:hint="eastAsia" w:cs="宋体"/>
          <w:bCs w:val="0"/>
          <w:iCs/>
        </w:rPr>
        <w:t>卫生间</w:t>
      </w:r>
      <w:r>
        <w:rPr>
          <w:rFonts w:hint="eastAsia" w:cs="宋体"/>
          <w:bCs w:val="0"/>
          <w:iCs/>
          <w:lang w:val="en-US"/>
        </w:rPr>
        <w:t>便器</w:t>
      </w:r>
      <w:r>
        <w:rPr>
          <w:rFonts w:hint="eastAsia" w:cs="宋体"/>
          <w:bCs w:val="0"/>
          <w:iCs/>
        </w:rPr>
        <w:t>和淋浴</w:t>
      </w:r>
      <w:r>
        <w:rPr>
          <w:rFonts w:hint="eastAsia" w:cs="宋体"/>
          <w:bCs w:val="0"/>
          <w:iCs/>
          <w:lang w:val="en-US"/>
        </w:rPr>
        <w:t>器</w:t>
      </w:r>
      <w:r>
        <w:rPr>
          <w:rFonts w:hint="eastAsia" w:cs="宋体"/>
          <w:bCs w:val="0"/>
          <w:iCs/>
        </w:rPr>
        <w:t>位置墙面或地面应</w:t>
      </w:r>
      <w:r>
        <w:rPr>
          <w:rFonts w:hint="eastAsia" w:cs="宋体"/>
          <w:bCs w:val="0"/>
          <w:iCs/>
          <w:lang w:val="en-US"/>
        </w:rPr>
        <w:t>设</w:t>
      </w:r>
      <w:r>
        <w:rPr>
          <w:rFonts w:hint="eastAsia" w:cs="宋体"/>
          <w:bCs w:val="0"/>
          <w:iCs/>
        </w:rPr>
        <w:t>扶手</w:t>
      </w:r>
      <w:r>
        <w:rPr>
          <w:rFonts w:hint="eastAsia" w:cs="宋体"/>
          <w:bCs w:val="0"/>
          <w:iCs/>
          <w:lang w:val="en-US"/>
        </w:rPr>
        <w:t>或</w:t>
      </w:r>
      <w:r>
        <w:rPr>
          <w:rFonts w:hint="eastAsia" w:cs="宋体"/>
          <w:bCs w:val="0"/>
          <w:iCs/>
        </w:rPr>
        <w:t>预留</w:t>
      </w:r>
      <w:r>
        <w:rPr>
          <w:rFonts w:hint="eastAsia" w:cs="宋体"/>
          <w:bCs w:val="0"/>
          <w:iCs/>
          <w:lang w:val="en-US"/>
        </w:rPr>
        <w:t>安装条件</w:t>
      </w:r>
      <w:r>
        <w:rPr>
          <w:rFonts w:hint="eastAsia" w:cs="宋体"/>
          <w:bCs w:val="0"/>
          <w:iCs/>
        </w:rPr>
        <w:t>。</w:t>
      </w:r>
    </w:p>
    <w:p w14:paraId="7DE08F7E">
      <w:pPr>
        <w:pStyle w:val="4"/>
        <w:numPr>
          <w:ilvl w:val="2"/>
          <w:numId w:val="11"/>
        </w:numPr>
        <w:tabs>
          <w:tab w:val="clear" w:pos="0"/>
        </w:tabs>
        <w:ind w:firstLine="0" w:firstLineChars="0"/>
        <w:rPr>
          <w:rFonts w:cs="宋体"/>
          <w:bCs w:val="0"/>
          <w:iCs/>
        </w:rPr>
      </w:pPr>
      <w:r>
        <w:rPr>
          <w:rFonts w:hint="eastAsia" w:cs="宋体"/>
          <w:bCs w:val="0"/>
          <w:iCs/>
        </w:rPr>
        <w:t>卫生间的地面应采用防滑的装修材料，</w:t>
      </w:r>
      <w:r>
        <w:rPr>
          <w:rFonts w:hint="eastAsia" w:cs="宋体"/>
          <w:bCs w:val="0"/>
          <w:iCs/>
          <w:lang w:val="en-US"/>
        </w:rPr>
        <w:t>地面静摩擦系数（COF）不应小于0.6</w:t>
      </w:r>
      <w:r>
        <w:rPr>
          <w:rFonts w:hint="eastAsia" w:cs="宋体"/>
          <w:bCs w:val="0"/>
          <w:iCs/>
        </w:rPr>
        <w:t>。</w:t>
      </w:r>
    </w:p>
    <w:p w14:paraId="2AEDC637">
      <w:pPr>
        <w:pStyle w:val="4"/>
        <w:numPr>
          <w:ilvl w:val="2"/>
          <w:numId w:val="11"/>
        </w:numPr>
        <w:tabs>
          <w:tab w:val="clear" w:pos="0"/>
        </w:tabs>
        <w:ind w:firstLine="0" w:firstLineChars="0"/>
        <w:rPr>
          <w:rFonts w:cs="宋体"/>
          <w:bCs w:val="0"/>
          <w:iCs/>
        </w:rPr>
      </w:pPr>
      <w:r>
        <w:rPr>
          <w:rFonts w:hint="eastAsia" w:cs="宋体"/>
          <w:bCs w:val="0"/>
          <w:iCs/>
        </w:rPr>
        <w:t xml:space="preserve">住宅户内宜设置一个卫生间与卧室相邻，且两房间之间的分隔墙宜为轻质墙。 </w:t>
      </w:r>
    </w:p>
    <w:p w14:paraId="7EDA061E">
      <w:pPr>
        <w:pStyle w:val="3"/>
        <w:numPr>
          <w:ilvl w:val="1"/>
          <w:numId w:val="11"/>
        </w:numPr>
      </w:pPr>
      <w:bookmarkStart w:id="306" w:name="_Toc427324186"/>
      <w:bookmarkStart w:id="307" w:name="_Toc29050"/>
      <w:bookmarkStart w:id="308" w:name="_Toc422990164"/>
      <w:bookmarkStart w:id="309" w:name="_Toc12406"/>
      <w:bookmarkStart w:id="310" w:name="_Toc425428090"/>
      <w:bookmarkStart w:id="311" w:name="_Toc5006"/>
      <w:bookmarkStart w:id="312" w:name="_Toc425447327"/>
      <w:bookmarkStart w:id="313" w:name="_Toc28834"/>
      <w:bookmarkStart w:id="314" w:name="_Toc1548"/>
      <w:bookmarkStart w:id="315" w:name="_Toc1606"/>
      <w:bookmarkStart w:id="316" w:name="_Toc17593"/>
      <w:bookmarkStart w:id="317" w:name="_Toc4241"/>
      <w:bookmarkStart w:id="318" w:name="_Toc422931126"/>
      <w:bookmarkStart w:id="319" w:name="_Toc8489"/>
      <w:bookmarkStart w:id="320" w:name="_Toc8621"/>
      <w:r>
        <w:rPr>
          <w:rFonts w:hint="eastAsia"/>
        </w:rPr>
        <w:t>贮藏</w:t>
      </w:r>
      <w:r>
        <w:rPr>
          <w:rFonts w:hint="eastAsia"/>
          <w:lang w:val="en-US" w:eastAsia="zh-CN"/>
        </w:rPr>
        <w:t>空间</w:t>
      </w:r>
      <w:r>
        <w:rPr>
          <w:rFonts w:hint="eastAsia"/>
        </w:rPr>
        <w:t>、走道及套内楼梯</w:t>
      </w:r>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p>
    <w:p w14:paraId="0D299A72">
      <w:pPr>
        <w:pStyle w:val="4"/>
        <w:numPr>
          <w:ilvl w:val="2"/>
          <w:numId w:val="11"/>
        </w:numPr>
        <w:tabs>
          <w:tab w:val="clear" w:pos="0"/>
        </w:tabs>
        <w:ind w:firstLine="0" w:firstLineChars="0"/>
        <w:rPr>
          <w:rFonts w:cs="宋体"/>
          <w:bCs w:val="0"/>
          <w:iCs/>
        </w:rPr>
      </w:pPr>
      <w:bookmarkStart w:id="321" w:name="_Toc413940465"/>
      <w:bookmarkStart w:id="322" w:name="_Toc413943688"/>
      <w:r>
        <w:rPr>
          <w:rFonts w:hint="eastAsia" w:cs="宋体"/>
          <w:bCs w:val="0"/>
          <w:iCs/>
        </w:rPr>
        <w:t>住宅</w:t>
      </w:r>
      <w:r>
        <w:rPr>
          <w:rFonts w:hint="eastAsia" w:cs="宋体"/>
          <w:bCs w:val="0"/>
          <w:iCs/>
          <w:lang w:val="en-US"/>
        </w:rPr>
        <w:t>内宜设置贮藏室或预留独立贮藏空间。</w:t>
      </w:r>
    </w:p>
    <w:p w14:paraId="1016D079">
      <w:pPr>
        <w:pStyle w:val="4"/>
        <w:numPr>
          <w:ilvl w:val="2"/>
          <w:numId w:val="11"/>
        </w:numPr>
        <w:tabs>
          <w:tab w:val="clear" w:pos="0"/>
        </w:tabs>
        <w:ind w:firstLine="0" w:firstLineChars="0"/>
        <w:rPr>
          <w:rFonts w:cs="宋体"/>
          <w:bCs w:val="0"/>
          <w:iCs/>
        </w:rPr>
      </w:pPr>
      <w:r>
        <w:rPr>
          <w:rFonts w:hint="eastAsia" w:cs="宋体"/>
          <w:bCs w:val="0"/>
          <w:iCs/>
        </w:rPr>
        <w:t>套内入口过道净宽不宜小于1.20m；通往卧室、起居室的过道净宽不应小于1.00m；通往厨房、卫生间、贮藏室的过道净宽不应小于0.90m。</w:t>
      </w:r>
    </w:p>
    <w:p w14:paraId="56486941">
      <w:pPr>
        <w:pStyle w:val="4"/>
        <w:numPr>
          <w:ilvl w:val="2"/>
          <w:numId w:val="11"/>
        </w:numPr>
        <w:tabs>
          <w:tab w:val="clear" w:pos="0"/>
        </w:tabs>
        <w:ind w:left="0" w:leftChars="0" w:firstLine="0" w:firstLineChars="0"/>
        <w:rPr>
          <w:rFonts w:cs="宋体"/>
          <w:bCs w:val="0"/>
          <w:iCs/>
        </w:rPr>
      </w:pPr>
      <w:r>
        <w:rPr>
          <w:rFonts w:hint="eastAsia" w:cs="宋体"/>
          <w:bCs w:val="0"/>
          <w:iCs/>
        </w:rPr>
        <w:t>套内设于底层或靠外墙、靠卫生间的壁柜内部应采取防潮措施。</w:t>
      </w:r>
    </w:p>
    <w:p w14:paraId="32FABE67">
      <w:pPr>
        <w:pStyle w:val="4"/>
        <w:numPr>
          <w:ilvl w:val="2"/>
          <w:numId w:val="11"/>
        </w:numPr>
        <w:tabs>
          <w:tab w:val="clear" w:pos="0"/>
        </w:tabs>
        <w:ind w:firstLine="0" w:firstLineChars="0"/>
        <w:rPr>
          <w:rFonts w:cs="宋体"/>
          <w:bCs w:val="0"/>
          <w:iCs/>
        </w:rPr>
      </w:pPr>
      <w:r>
        <w:rPr>
          <w:rFonts w:hint="eastAsia" w:cs="宋体"/>
          <w:bCs w:val="0"/>
          <w:iCs/>
        </w:rPr>
        <w:t>套内楼梯当一边临空时，梯段净宽不应小于0.75m；当两侧有墙时，墙面之间净宽不应小于0.90m，并应在其中一侧墙面设置扶手。</w:t>
      </w:r>
    </w:p>
    <w:p w14:paraId="58673C73">
      <w:pPr>
        <w:pStyle w:val="4"/>
        <w:numPr>
          <w:ilvl w:val="2"/>
          <w:numId w:val="11"/>
        </w:numPr>
        <w:tabs>
          <w:tab w:val="clear" w:pos="0"/>
        </w:tabs>
        <w:ind w:firstLine="0" w:firstLineChars="0"/>
        <w:rPr>
          <w:rFonts w:cs="宋体"/>
          <w:bCs w:val="0"/>
          <w:iCs/>
        </w:rPr>
      </w:pPr>
      <w:r>
        <w:rPr>
          <w:rFonts w:hint="eastAsia" w:cs="宋体"/>
          <w:bCs w:val="0"/>
          <w:iCs/>
        </w:rPr>
        <w:t>套内楼梯的踏步宽度不应小于0.22m；高度不应大于0.20m，扇形踏步转角距扶手中心0.25m处，宽度不应小于0.22m。</w:t>
      </w:r>
    </w:p>
    <w:p w14:paraId="0B86E91D">
      <w:pPr>
        <w:pStyle w:val="4"/>
        <w:numPr>
          <w:ilvl w:val="2"/>
          <w:numId w:val="11"/>
        </w:numPr>
        <w:tabs>
          <w:tab w:val="clear" w:pos="0"/>
        </w:tabs>
        <w:ind w:firstLine="0" w:firstLineChars="0"/>
        <w:rPr>
          <w:rFonts w:cs="宋体"/>
          <w:bCs w:val="0"/>
          <w:iCs/>
        </w:rPr>
      </w:pPr>
      <w:r>
        <w:rPr>
          <w:rFonts w:hint="eastAsia" w:cs="宋体"/>
          <w:bCs w:val="0"/>
          <w:iCs/>
        </w:rPr>
        <w:t>住宅户内的过道宜为无障碍通道；户内承重墙上设置的门应满足通行净宽度不小于</w:t>
      </w:r>
      <w:r>
        <w:rPr>
          <w:rFonts w:hint="eastAsia" w:cs="宋体"/>
          <w:bCs w:val="0"/>
          <w:iCs/>
          <w:lang w:val="en-US"/>
        </w:rPr>
        <w:t>900</w:t>
      </w:r>
      <w:r>
        <w:rPr>
          <w:rFonts w:hint="eastAsia" w:cs="宋体"/>
          <w:bCs w:val="0"/>
          <w:iCs/>
        </w:rPr>
        <w:t>mm的要求或预留改造的条件。</w:t>
      </w:r>
    </w:p>
    <w:p w14:paraId="51A9AF23">
      <w:pPr>
        <w:pStyle w:val="3"/>
        <w:numPr>
          <w:ilvl w:val="1"/>
          <w:numId w:val="11"/>
        </w:numPr>
      </w:pPr>
      <w:bookmarkStart w:id="323" w:name="_Toc425447328"/>
      <w:bookmarkStart w:id="324" w:name="_Toc422931127"/>
      <w:bookmarkStart w:id="325" w:name="_Toc16804"/>
      <w:bookmarkStart w:id="326" w:name="_Toc17341"/>
      <w:bookmarkStart w:id="327" w:name="_Toc422990165"/>
      <w:bookmarkStart w:id="328" w:name="_Toc425428091"/>
      <w:bookmarkStart w:id="329" w:name="_Toc18495"/>
      <w:bookmarkStart w:id="330" w:name="_Toc18209"/>
      <w:bookmarkStart w:id="331" w:name="_Toc23651"/>
      <w:bookmarkStart w:id="332" w:name="_Toc18561"/>
      <w:bookmarkStart w:id="333" w:name="_Toc15155"/>
      <w:bookmarkStart w:id="334" w:name="_Toc14000"/>
      <w:bookmarkStart w:id="335" w:name="_Toc1272"/>
      <w:bookmarkStart w:id="336" w:name="_Toc13207"/>
      <w:bookmarkStart w:id="337" w:name="_Toc427324187"/>
      <w:r>
        <w:rPr>
          <w:rFonts w:hint="eastAsia"/>
        </w:rPr>
        <w:t>阳台、</w:t>
      </w:r>
      <w:bookmarkStart w:id="338" w:name="OLE_LINK9"/>
      <w:bookmarkStart w:id="339" w:name="OLE_LINK8"/>
      <w:r>
        <w:rPr>
          <w:rFonts w:hint="eastAsia"/>
        </w:rPr>
        <w:t>凹口</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bookmarkEnd w:id="338"/>
    <w:bookmarkEnd w:id="339"/>
    <w:p w14:paraId="75B0B4FE">
      <w:pPr>
        <w:pStyle w:val="4"/>
        <w:numPr>
          <w:ilvl w:val="2"/>
          <w:numId w:val="11"/>
        </w:numPr>
        <w:tabs>
          <w:tab w:val="clear" w:pos="0"/>
        </w:tabs>
        <w:ind w:firstLine="0" w:firstLineChars="0"/>
        <w:rPr>
          <w:rFonts w:cs="宋体"/>
          <w:bCs w:val="0"/>
          <w:iCs/>
        </w:rPr>
      </w:pPr>
      <w:r>
        <w:rPr>
          <w:rFonts w:hint="eastAsia" w:cs="宋体"/>
          <w:bCs w:val="0"/>
          <w:iCs/>
        </w:rPr>
        <w:t>每套住宅宜设阳台或平台。</w:t>
      </w:r>
    </w:p>
    <w:p w14:paraId="171C67F7">
      <w:pPr>
        <w:pStyle w:val="4"/>
        <w:numPr>
          <w:ilvl w:val="2"/>
          <w:numId w:val="11"/>
        </w:numPr>
        <w:tabs>
          <w:tab w:val="clear" w:pos="0"/>
        </w:tabs>
        <w:ind w:firstLine="0" w:firstLineChars="0"/>
        <w:rPr>
          <w:rFonts w:cs="宋体"/>
          <w:bCs w:val="0"/>
          <w:iCs/>
        </w:rPr>
      </w:pPr>
      <w:r>
        <w:rPr>
          <w:rFonts w:hint="eastAsia" w:cs="宋体"/>
          <w:bCs w:val="0"/>
          <w:iCs/>
        </w:rPr>
        <w:t>阳台栏杆设计</w:t>
      </w:r>
      <w:r>
        <w:rPr>
          <w:rFonts w:hint="eastAsia" w:cs="宋体"/>
          <w:bCs w:val="0"/>
          <w:iCs/>
          <w:lang w:val="en-US"/>
        </w:rPr>
        <w:t>应</w:t>
      </w:r>
      <w:r>
        <w:rPr>
          <w:rFonts w:hint="eastAsia" w:cs="宋体"/>
          <w:bCs w:val="0"/>
          <w:iCs/>
        </w:rPr>
        <w:t>采用防止儿童攀登的构造，栏杆的垂直杆件间净距不应大于0.11m，放置花盆处</w:t>
      </w:r>
      <w:r>
        <w:rPr>
          <w:rFonts w:hint="eastAsia" w:cs="宋体"/>
          <w:bCs w:val="0"/>
          <w:iCs/>
          <w:lang w:val="en-US"/>
        </w:rPr>
        <w:t>应</w:t>
      </w:r>
      <w:r>
        <w:rPr>
          <w:rFonts w:hint="eastAsia" w:cs="宋体"/>
          <w:bCs w:val="0"/>
          <w:iCs/>
        </w:rPr>
        <w:t>采取防坠落措施。</w:t>
      </w:r>
    </w:p>
    <w:p w14:paraId="37CD3397">
      <w:pPr>
        <w:pStyle w:val="4"/>
        <w:numPr>
          <w:ilvl w:val="2"/>
          <w:numId w:val="11"/>
        </w:numPr>
        <w:tabs>
          <w:tab w:val="clear" w:pos="0"/>
        </w:tabs>
        <w:ind w:firstLine="0" w:firstLineChars="0"/>
        <w:rPr>
          <w:rFonts w:cs="宋体"/>
          <w:bCs w:val="0"/>
          <w:iCs/>
        </w:rPr>
      </w:pPr>
      <w:r>
        <w:rPr>
          <w:rFonts w:hint="eastAsia" w:cs="宋体"/>
          <w:bCs w:val="0"/>
          <w:iCs/>
        </w:rPr>
        <w:t>阳台栏板或栏杆净高不应低于</w:t>
      </w:r>
      <w:r>
        <w:rPr>
          <w:rFonts w:hint="eastAsia" w:cs="宋体"/>
          <w:bCs w:val="0"/>
          <w:iCs/>
          <w:lang w:val="en-US"/>
        </w:rPr>
        <w:t>1.20</w:t>
      </w:r>
      <w:r>
        <w:rPr>
          <w:rFonts w:hint="eastAsia" w:cs="宋体"/>
          <w:bCs w:val="0"/>
          <w:iCs/>
        </w:rPr>
        <w:t>m。</w:t>
      </w:r>
    </w:p>
    <w:p w14:paraId="5640FEEC">
      <w:pPr>
        <w:pStyle w:val="4"/>
        <w:numPr>
          <w:ilvl w:val="2"/>
          <w:numId w:val="11"/>
        </w:numPr>
        <w:tabs>
          <w:tab w:val="clear" w:pos="0"/>
        </w:tabs>
        <w:ind w:firstLine="0" w:firstLineChars="0"/>
        <w:rPr>
          <w:rFonts w:cs="宋体"/>
          <w:bCs w:val="0"/>
          <w:iCs/>
        </w:rPr>
      </w:pPr>
      <w:r>
        <w:rPr>
          <w:rFonts w:hint="eastAsia" w:cs="宋体"/>
          <w:bCs w:val="0"/>
          <w:iCs/>
        </w:rPr>
        <w:t>各套住宅之间毗连的阳台应设分户隔板。隔板的设置应符合</w:t>
      </w:r>
      <w:r>
        <w:rPr>
          <w:rFonts w:hint="eastAsia" w:cs="宋体"/>
          <w:bCs w:val="0"/>
          <w:iCs/>
          <w:lang w:eastAsia="zh-CN"/>
        </w:rPr>
        <w:t>安全</w:t>
      </w:r>
      <w:r>
        <w:rPr>
          <w:rFonts w:hint="eastAsia" w:cs="宋体"/>
          <w:bCs w:val="0"/>
          <w:iCs/>
        </w:rPr>
        <w:t>要求。</w:t>
      </w:r>
    </w:p>
    <w:p w14:paraId="16808020">
      <w:pPr>
        <w:pStyle w:val="4"/>
        <w:numPr>
          <w:ilvl w:val="2"/>
          <w:numId w:val="11"/>
        </w:numPr>
        <w:tabs>
          <w:tab w:val="clear" w:pos="0"/>
        </w:tabs>
        <w:ind w:firstLine="0" w:firstLineChars="0"/>
        <w:rPr>
          <w:rFonts w:cs="宋体"/>
          <w:bCs w:val="0"/>
          <w:iCs/>
        </w:rPr>
      </w:pPr>
      <w:r>
        <w:rPr>
          <w:rFonts w:hint="eastAsia" w:cs="宋体"/>
          <w:bCs w:val="0"/>
          <w:iCs/>
        </w:rPr>
        <w:t>阳台应采取有组织排水措施，</w:t>
      </w:r>
      <w:r>
        <w:rPr>
          <w:rFonts w:hint="eastAsia" w:cs="宋体"/>
          <w:bCs w:val="0"/>
          <w:iCs/>
          <w:lang w:val="en-US"/>
        </w:rPr>
        <w:t>并</w:t>
      </w:r>
      <w:r>
        <w:rPr>
          <w:rFonts w:hint="eastAsia" w:cs="宋体"/>
          <w:bCs w:val="0"/>
          <w:iCs/>
        </w:rPr>
        <w:t>应采取防水措施。当阳台设有洗衣设备时，应设置专用给、排水管线及专用地漏，阳台楼、地面均应做防水。</w:t>
      </w:r>
    </w:p>
    <w:p w14:paraId="5ABFFDAD">
      <w:pPr>
        <w:pStyle w:val="4"/>
        <w:numPr>
          <w:ilvl w:val="2"/>
          <w:numId w:val="11"/>
        </w:numPr>
        <w:tabs>
          <w:tab w:val="clear" w:pos="0"/>
        </w:tabs>
        <w:ind w:firstLine="0" w:firstLineChars="0"/>
        <w:rPr>
          <w:rFonts w:cs="宋体"/>
          <w:bCs w:val="0"/>
          <w:iCs/>
        </w:rPr>
      </w:pPr>
      <w:r>
        <w:rPr>
          <w:rFonts w:hint="eastAsia" w:cs="宋体"/>
          <w:bCs w:val="0"/>
          <w:iCs/>
        </w:rPr>
        <w:t>凹口内不宜设置卧室、起居室（厅）。设置</w:t>
      </w:r>
      <w:r>
        <w:rPr>
          <w:rFonts w:hint="eastAsia" w:cs="宋体"/>
          <w:bCs w:val="0"/>
          <w:iCs/>
          <w:lang w:val="en-US"/>
        </w:rPr>
        <w:t>在凹口内的</w:t>
      </w:r>
      <w:r>
        <w:rPr>
          <w:rFonts w:hint="eastAsia" w:cs="宋体"/>
          <w:bCs w:val="0"/>
          <w:iCs/>
        </w:rPr>
        <w:t>卧室</w:t>
      </w:r>
      <w:r>
        <w:rPr>
          <w:rFonts w:hint="eastAsia" w:cs="宋体"/>
          <w:bCs w:val="0"/>
          <w:iCs/>
          <w:lang w:val="en-US"/>
        </w:rPr>
        <w:t>和</w:t>
      </w:r>
      <w:r>
        <w:rPr>
          <w:rFonts w:hint="eastAsia" w:cs="宋体"/>
          <w:bCs w:val="0"/>
          <w:iCs/>
        </w:rPr>
        <w:t>起居室（厅）应符合</w:t>
      </w:r>
      <w:r>
        <w:rPr>
          <w:rFonts w:hint="eastAsia" w:cs="宋体"/>
          <w:bCs w:val="0"/>
          <w:iCs/>
          <w:lang w:val="en-US"/>
        </w:rPr>
        <w:t>下列</w:t>
      </w:r>
      <w:r>
        <w:rPr>
          <w:rFonts w:hint="eastAsia" w:cs="宋体"/>
          <w:bCs w:val="0"/>
          <w:iCs/>
        </w:rPr>
        <w:t xml:space="preserve">规定： </w:t>
      </w:r>
    </w:p>
    <w:p w14:paraId="1273BC94">
      <w:pPr>
        <w:ind w:firstLine="482"/>
        <w:rPr>
          <w:bCs/>
        </w:rPr>
      </w:pPr>
      <w:r>
        <w:rPr>
          <w:b/>
        </w:rPr>
        <w:t>1</w:t>
      </w:r>
      <w:r>
        <w:rPr>
          <w:bCs/>
        </w:rPr>
        <w:t xml:space="preserve">  </w:t>
      </w:r>
      <w:r>
        <w:rPr>
          <w:rFonts w:hint="eastAsia"/>
          <w:bCs/>
        </w:rPr>
        <w:t>起居室（厅）不应设置在净宽与净深之比小于</w:t>
      </w:r>
      <w:r>
        <w:rPr>
          <w:bCs/>
        </w:rPr>
        <w:t>1</w:t>
      </w:r>
      <w:r>
        <w:rPr>
          <w:rFonts w:hint="eastAsia"/>
          <w:bCs/>
          <w:lang w:eastAsia="zh-CN"/>
        </w:rPr>
        <w:t>:</w:t>
      </w:r>
      <w:r>
        <w:rPr>
          <w:bCs/>
        </w:rPr>
        <w:t>2</w:t>
      </w:r>
      <w:r>
        <w:rPr>
          <w:rFonts w:hint="eastAsia"/>
          <w:bCs/>
        </w:rPr>
        <w:t>且净宽小于</w:t>
      </w:r>
      <w:r>
        <w:rPr>
          <w:bCs/>
        </w:rPr>
        <w:t>1.8m</w:t>
      </w:r>
      <w:r>
        <w:rPr>
          <w:rFonts w:hint="eastAsia"/>
          <w:bCs/>
        </w:rPr>
        <w:t>的凹口内；</w:t>
      </w:r>
    </w:p>
    <w:p w14:paraId="7D162E5D">
      <w:pPr>
        <w:ind w:firstLine="482"/>
        <w:rPr>
          <w:bCs/>
        </w:rPr>
      </w:pPr>
      <w:r>
        <w:rPr>
          <w:b/>
        </w:rPr>
        <w:t>2</w:t>
      </w:r>
      <w:r>
        <w:rPr>
          <w:bCs/>
        </w:rPr>
        <w:t xml:space="preserve">  </w:t>
      </w:r>
      <w:r>
        <w:rPr>
          <w:rFonts w:hint="eastAsia"/>
          <w:bCs/>
        </w:rPr>
        <w:t>卧室不应设置在净宽与净深之比小于</w:t>
      </w:r>
      <w:r>
        <w:rPr>
          <w:bCs/>
        </w:rPr>
        <w:t>1</w:t>
      </w:r>
      <w:r>
        <w:rPr>
          <w:rFonts w:hint="eastAsia"/>
          <w:bCs/>
          <w:lang w:eastAsia="zh-CN"/>
        </w:rPr>
        <w:t>:</w:t>
      </w:r>
      <w:r>
        <w:rPr>
          <w:bCs/>
        </w:rPr>
        <w:t>2</w:t>
      </w:r>
      <w:r>
        <w:rPr>
          <w:rFonts w:hint="eastAsia"/>
          <w:bCs/>
        </w:rPr>
        <w:t>且净宽小于</w:t>
      </w:r>
      <w:r>
        <w:rPr>
          <w:bCs/>
        </w:rPr>
        <w:t>1.5m</w:t>
      </w:r>
      <w:r>
        <w:rPr>
          <w:rFonts w:hint="eastAsia"/>
          <w:bCs/>
        </w:rPr>
        <w:t>的凹口内；</w:t>
      </w:r>
    </w:p>
    <w:p w14:paraId="56FD9341">
      <w:pPr>
        <w:ind w:firstLine="482"/>
        <w:rPr>
          <w:bCs/>
        </w:rPr>
      </w:pPr>
      <w:r>
        <w:rPr>
          <w:rFonts w:hint="eastAsia"/>
          <w:b/>
        </w:rPr>
        <w:t>3</w:t>
      </w:r>
      <w:r>
        <w:rPr>
          <w:bCs/>
        </w:rPr>
        <w:t xml:space="preserve">  </w:t>
      </w:r>
      <w:r>
        <w:rPr>
          <w:rFonts w:hint="eastAsia"/>
          <w:bCs/>
        </w:rPr>
        <w:t>凹口内建筑外墙宜采用浅色饰面材料；</w:t>
      </w:r>
    </w:p>
    <w:p w14:paraId="59070CFD">
      <w:pPr>
        <w:ind w:firstLine="482"/>
        <w:rPr>
          <w:bCs/>
        </w:rPr>
      </w:pPr>
      <w:r>
        <w:rPr>
          <w:rFonts w:hint="eastAsia"/>
          <w:b/>
        </w:rPr>
        <w:t>4</w:t>
      </w:r>
      <w:r>
        <w:rPr>
          <w:rFonts w:hint="eastAsia"/>
          <w:bCs/>
        </w:rPr>
        <w:t xml:space="preserve">  当凹口净宽小于1.80m时，应设置安全防护措施；</w:t>
      </w:r>
    </w:p>
    <w:p w14:paraId="7E8A20B8">
      <w:pPr>
        <w:pStyle w:val="3"/>
        <w:numPr>
          <w:ilvl w:val="1"/>
          <w:numId w:val="11"/>
        </w:numPr>
      </w:pPr>
      <w:bookmarkStart w:id="340" w:name="_Toc19582"/>
      <w:bookmarkStart w:id="341" w:name="_Toc9476"/>
      <w:bookmarkStart w:id="342" w:name="_Toc422931128"/>
      <w:bookmarkStart w:id="343" w:name="_Toc427324188"/>
      <w:bookmarkStart w:id="344" w:name="_Toc22999"/>
      <w:bookmarkStart w:id="345" w:name="_Toc1627"/>
      <w:bookmarkStart w:id="346" w:name="_Toc7236"/>
      <w:bookmarkStart w:id="347" w:name="_Toc14154"/>
      <w:bookmarkStart w:id="348" w:name="_Toc425447329"/>
      <w:bookmarkStart w:id="349" w:name="_Toc422990166"/>
      <w:bookmarkStart w:id="350" w:name="_Toc2459"/>
      <w:bookmarkStart w:id="351" w:name="_Toc30986"/>
      <w:bookmarkStart w:id="352" w:name="_Toc19064"/>
      <w:bookmarkStart w:id="353" w:name="_Toc10154"/>
      <w:bookmarkStart w:id="354" w:name="_Toc425428092"/>
      <w:r>
        <w:rPr>
          <w:rFonts w:hint="eastAsia"/>
        </w:rPr>
        <w:t>层高、室内净高</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p>
    <w:p w14:paraId="141638BE">
      <w:pPr>
        <w:pStyle w:val="4"/>
        <w:numPr>
          <w:ilvl w:val="2"/>
          <w:numId w:val="11"/>
        </w:numPr>
        <w:tabs>
          <w:tab w:val="clear" w:pos="0"/>
        </w:tabs>
        <w:ind w:firstLine="0" w:firstLineChars="0"/>
        <w:rPr>
          <w:rFonts w:cs="宋体"/>
          <w:bCs w:val="0"/>
          <w:iCs/>
        </w:rPr>
      </w:pPr>
      <w:r>
        <w:rPr>
          <w:rFonts w:hint="eastAsia" w:cs="宋体"/>
          <w:bCs w:val="0"/>
          <w:iCs/>
        </w:rPr>
        <w:t>住宅层高不应低于</w:t>
      </w:r>
      <w:r>
        <w:rPr>
          <w:rFonts w:hint="eastAsia" w:cs="宋体"/>
          <w:bCs w:val="0"/>
          <w:iCs/>
          <w:lang w:val="en-US"/>
        </w:rPr>
        <w:t>3.00</w:t>
      </w:r>
      <w:r>
        <w:rPr>
          <w:rFonts w:hint="eastAsia" w:cs="宋体"/>
          <w:bCs w:val="0"/>
          <w:iCs/>
        </w:rPr>
        <w:t>m。</w:t>
      </w:r>
    </w:p>
    <w:p w14:paraId="338B9B47">
      <w:pPr>
        <w:pStyle w:val="4"/>
        <w:numPr>
          <w:ilvl w:val="2"/>
          <w:numId w:val="11"/>
        </w:numPr>
        <w:tabs>
          <w:tab w:val="clear" w:pos="0"/>
        </w:tabs>
        <w:ind w:firstLine="0" w:firstLineChars="0"/>
        <w:rPr>
          <w:rFonts w:cs="宋体"/>
          <w:bCs w:val="0"/>
          <w:iCs/>
        </w:rPr>
      </w:pPr>
      <w:r>
        <w:rPr>
          <w:rFonts w:hint="eastAsia" w:cs="宋体"/>
          <w:bCs w:val="0"/>
          <w:iCs/>
        </w:rPr>
        <w:t>卧室、起居室（厅）的室内净高不应低于</w:t>
      </w:r>
      <w:r>
        <w:rPr>
          <w:rFonts w:hint="eastAsia" w:cs="宋体"/>
          <w:bCs w:val="0"/>
          <w:iCs/>
          <w:lang w:val="en-US"/>
        </w:rPr>
        <w:t>2.65</w:t>
      </w:r>
      <w:r>
        <w:rPr>
          <w:rFonts w:hint="eastAsia" w:cs="宋体"/>
          <w:bCs w:val="0"/>
          <w:iCs/>
        </w:rPr>
        <w:t>m。局部净高不应低于2.20m，且局部净高的室内面积不应大于室内使用面积的1/3。</w:t>
      </w:r>
    </w:p>
    <w:p w14:paraId="0DD0CCDC">
      <w:pPr>
        <w:pStyle w:val="4"/>
        <w:numPr>
          <w:ilvl w:val="2"/>
          <w:numId w:val="11"/>
        </w:numPr>
        <w:tabs>
          <w:tab w:val="clear" w:pos="0"/>
        </w:tabs>
        <w:ind w:firstLine="0" w:firstLineChars="0"/>
        <w:rPr>
          <w:rFonts w:cs="宋体"/>
          <w:bCs w:val="0"/>
          <w:iCs/>
        </w:rPr>
      </w:pPr>
      <w:r>
        <w:rPr>
          <w:rFonts w:hint="eastAsia" w:cs="宋体"/>
          <w:bCs w:val="0"/>
          <w:iCs/>
        </w:rPr>
        <w:t>利用坡屋顶内空间作卧室、起居室（厅）时，至少有1/2的使用面积的室内净高不应低于2.20m。</w:t>
      </w:r>
    </w:p>
    <w:p w14:paraId="1E4FD423">
      <w:pPr>
        <w:pStyle w:val="4"/>
        <w:numPr>
          <w:ilvl w:val="2"/>
          <w:numId w:val="11"/>
        </w:numPr>
        <w:tabs>
          <w:tab w:val="clear" w:pos="0"/>
        </w:tabs>
        <w:ind w:firstLine="0" w:firstLineChars="0"/>
        <w:rPr>
          <w:rFonts w:cs="宋体"/>
          <w:bCs w:val="0"/>
          <w:iCs/>
        </w:rPr>
      </w:pPr>
      <w:bookmarkStart w:id="355" w:name="OLE_LINK11"/>
      <w:bookmarkStart w:id="356" w:name="OLE_LINK12"/>
      <w:r>
        <w:rPr>
          <w:rFonts w:hint="eastAsia" w:cs="宋体"/>
          <w:bCs w:val="0"/>
          <w:iCs/>
        </w:rPr>
        <w:t>厨房、卫生间的室内净高不应低于2.40m。</w:t>
      </w:r>
    </w:p>
    <w:bookmarkEnd w:id="355"/>
    <w:bookmarkEnd w:id="356"/>
    <w:p w14:paraId="778A0FBD">
      <w:pPr>
        <w:pStyle w:val="2"/>
        <w:numPr>
          <w:ilvl w:val="0"/>
          <w:numId w:val="11"/>
        </w:numPr>
        <w:tabs>
          <w:tab w:val="clear" w:pos="0"/>
        </w:tabs>
        <w:rPr>
          <w:rFonts w:ascii="黑体" w:hAnsi="黑体" w:eastAsia="黑体" w:cs="黑体"/>
        </w:rPr>
      </w:pPr>
      <w:bookmarkStart w:id="357" w:name="_Toc25494"/>
      <w:bookmarkStart w:id="358" w:name="_Toc427324189"/>
      <w:bookmarkStart w:id="359" w:name="_Toc8013"/>
      <w:bookmarkStart w:id="360" w:name="_Toc425428093"/>
      <w:bookmarkStart w:id="361" w:name="_Toc422990167"/>
      <w:bookmarkStart w:id="362" w:name="_Toc32027"/>
      <w:bookmarkStart w:id="363" w:name="_Toc9212"/>
      <w:bookmarkStart w:id="364" w:name="_Toc28342"/>
      <w:bookmarkStart w:id="365" w:name="_Toc425447330"/>
      <w:bookmarkStart w:id="366" w:name="_Toc422931129"/>
      <w:bookmarkStart w:id="367" w:name="_Toc22053"/>
      <w:bookmarkStart w:id="368" w:name="_Toc11035"/>
      <w:bookmarkStart w:id="369" w:name="_Toc15613"/>
      <w:bookmarkStart w:id="370" w:name="_Toc17316"/>
      <w:bookmarkStart w:id="371" w:name="_Toc21572"/>
      <w:r>
        <w:rPr>
          <w:rFonts w:hint="eastAsia" w:ascii="黑体" w:hAnsi="黑体" w:eastAsia="黑体" w:cs="黑体"/>
        </w:rPr>
        <w:t>公共空间</w:t>
      </w:r>
      <w:bookmarkEnd w:id="17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p>
    <w:p w14:paraId="068ABB60">
      <w:pPr>
        <w:pStyle w:val="3"/>
        <w:numPr>
          <w:ilvl w:val="1"/>
          <w:numId w:val="11"/>
        </w:numPr>
      </w:pPr>
      <w:bookmarkStart w:id="372" w:name="_Toc26817459"/>
      <w:bookmarkEnd w:id="372"/>
      <w:bookmarkStart w:id="373" w:name="_Toc422990168"/>
      <w:bookmarkEnd w:id="373"/>
      <w:bookmarkStart w:id="374" w:name="_Toc425427814"/>
      <w:bookmarkEnd w:id="374"/>
      <w:bookmarkStart w:id="375" w:name="_Toc419286172"/>
      <w:bookmarkEnd w:id="375"/>
      <w:bookmarkStart w:id="376" w:name="_Toc415850771"/>
      <w:bookmarkEnd w:id="376"/>
      <w:bookmarkStart w:id="377" w:name="_Toc425428094"/>
      <w:bookmarkEnd w:id="377"/>
      <w:bookmarkStart w:id="378" w:name="_Toc415214017"/>
      <w:bookmarkEnd w:id="378"/>
      <w:bookmarkStart w:id="379" w:name="_Toc421291529"/>
      <w:bookmarkEnd w:id="379"/>
      <w:bookmarkStart w:id="380" w:name="_Toc427324190"/>
      <w:bookmarkEnd w:id="380"/>
      <w:bookmarkStart w:id="381" w:name="_Toc419277664"/>
      <w:bookmarkEnd w:id="381"/>
      <w:bookmarkStart w:id="382" w:name="_Toc422931130"/>
      <w:bookmarkEnd w:id="382"/>
      <w:bookmarkStart w:id="383" w:name="_Toc419277859"/>
      <w:bookmarkEnd w:id="383"/>
      <w:bookmarkStart w:id="384" w:name="_Toc419277567"/>
      <w:bookmarkEnd w:id="384"/>
      <w:bookmarkStart w:id="385" w:name="_Toc419277467"/>
      <w:bookmarkEnd w:id="385"/>
      <w:bookmarkStart w:id="386" w:name="_Toc425427957"/>
      <w:bookmarkEnd w:id="386"/>
      <w:bookmarkStart w:id="387" w:name="_Toc419288519"/>
      <w:bookmarkEnd w:id="387"/>
      <w:bookmarkStart w:id="388" w:name="_Toc419277366"/>
      <w:bookmarkEnd w:id="388"/>
      <w:bookmarkStart w:id="389" w:name="_Toc425344258"/>
      <w:bookmarkEnd w:id="389"/>
      <w:bookmarkStart w:id="390" w:name="_Toc427323794"/>
      <w:bookmarkEnd w:id="390"/>
      <w:bookmarkStart w:id="391" w:name="_Toc26816849"/>
      <w:bookmarkEnd w:id="391"/>
      <w:bookmarkStart w:id="392" w:name="_Toc419286261"/>
      <w:bookmarkEnd w:id="392"/>
      <w:bookmarkStart w:id="393" w:name="_Toc419277771"/>
      <w:bookmarkEnd w:id="393"/>
      <w:bookmarkStart w:id="394" w:name="_Toc425446219"/>
      <w:bookmarkEnd w:id="394"/>
      <w:bookmarkStart w:id="395" w:name="_Toc415820730"/>
      <w:bookmarkEnd w:id="395"/>
      <w:bookmarkStart w:id="396" w:name="_Toc420575797"/>
      <w:bookmarkEnd w:id="396"/>
      <w:bookmarkStart w:id="397" w:name="_Toc495998721"/>
      <w:bookmarkEnd w:id="397"/>
      <w:bookmarkStart w:id="398" w:name="_Toc425447331"/>
      <w:bookmarkEnd w:id="398"/>
      <w:bookmarkStart w:id="399" w:name="_Toc414356529"/>
      <w:bookmarkStart w:id="400" w:name="_Toc414356833"/>
      <w:bookmarkStart w:id="401" w:name="_Toc12987"/>
      <w:bookmarkStart w:id="402" w:name="_Toc18222"/>
      <w:bookmarkStart w:id="403" w:name="_Toc23727"/>
      <w:bookmarkStart w:id="404" w:name="_Toc6396"/>
      <w:bookmarkStart w:id="405" w:name="_Toc22583"/>
      <w:bookmarkStart w:id="406" w:name="_Toc422990173"/>
      <w:bookmarkStart w:id="407" w:name="_Toc8024"/>
      <w:bookmarkStart w:id="408" w:name="_Toc422931135"/>
      <w:bookmarkStart w:id="409" w:name="_Toc32217"/>
      <w:bookmarkStart w:id="410" w:name="_Toc28693"/>
      <w:bookmarkStart w:id="411" w:name="_Toc427324195"/>
      <w:bookmarkStart w:id="412" w:name="_Toc18469"/>
      <w:bookmarkStart w:id="413" w:name="_Toc425447336"/>
      <w:bookmarkStart w:id="414" w:name="_Toc425428099"/>
      <w:bookmarkStart w:id="415" w:name="_Toc9468"/>
      <w:r>
        <w:rPr>
          <w:rFonts w:hint="eastAsia"/>
        </w:rPr>
        <w:t>出入口、走廊及</w:t>
      </w:r>
      <w:bookmarkEnd w:id="399"/>
      <w:bookmarkEnd w:id="400"/>
      <w:r>
        <w:rPr>
          <w:rFonts w:hint="eastAsia"/>
        </w:rPr>
        <w:t>联系廊</w:t>
      </w:r>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p w14:paraId="13431324">
      <w:pPr>
        <w:pStyle w:val="4"/>
        <w:numPr>
          <w:ilvl w:val="2"/>
          <w:numId w:val="11"/>
        </w:numPr>
        <w:tabs>
          <w:tab w:val="clear" w:pos="0"/>
        </w:tabs>
        <w:ind w:firstLine="0" w:firstLineChars="0"/>
        <w:rPr>
          <w:rFonts w:cs="宋体"/>
          <w:bCs w:val="0"/>
          <w:iCs/>
        </w:rPr>
      </w:pPr>
      <w:bookmarkStart w:id="416" w:name="_Toc419277669"/>
      <w:bookmarkEnd w:id="416"/>
      <w:bookmarkStart w:id="417" w:name="_Toc419277472"/>
      <w:bookmarkEnd w:id="417"/>
      <w:bookmarkStart w:id="418" w:name="_Toc419277572"/>
      <w:bookmarkEnd w:id="418"/>
      <w:bookmarkStart w:id="419" w:name="_Toc415850776"/>
      <w:bookmarkEnd w:id="419"/>
      <w:bookmarkStart w:id="420" w:name="_Toc419277371"/>
      <w:bookmarkEnd w:id="420"/>
      <w:bookmarkStart w:id="421" w:name="_Toc414356834"/>
      <w:bookmarkStart w:id="422" w:name="_Toc414356530"/>
      <w:r>
        <w:rPr>
          <w:rFonts w:hint="eastAsia" w:cs="宋体"/>
          <w:bCs w:val="0"/>
          <w:iCs/>
        </w:rPr>
        <w:t>公共出入口处应</w:t>
      </w:r>
      <w:r>
        <w:rPr>
          <w:rFonts w:hint="eastAsia" w:cs="宋体"/>
          <w:bCs w:val="0"/>
          <w:iCs/>
          <w:lang w:val="en-US"/>
        </w:rPr>
        <w:t>设置清晰</w:t>
      </w:r>
      <w:r>
        <w:rPr>
          <w:rFonts w:hint="eastAsia" w:cs="宋体"/>
          <w:bCs w:val="0"/>
          <w:iCs/>
        </w:rPr>
        <w:t xml:space="preserve">标识，建筑高度大于27m 的住宅公共出入口应设门厅。 </w:t>
      </w:r>
    </w:p>
    <w:bookmarkEnd w:id="421"/>
    <w:bookmarkEnd w:id="422"/>
    <w:p w14:paraId="59DF6FF2">
      <w:pPr>
        <w:pStyle w:val="4"/>
        <w:numPr>
          <w:ilvl w:val="2"/>
          <w:numId w:val="11"/>
        </w:numPr>
        <w:tabs>
          <w:tab w:val="clear" w:pos="0"/>
        </w:tabs>
        <w:ind w:firstLine="0" w:firstLineChars="0"/>
        <w:rPr>
          <w:rFonts w:hint="eastAsia" w:cs="宋体"/>
          <w:bCs w:val="0"/>
          <w:iCs/>
          <w:lang w:val="en-US"/>
        </w:rPr>
      </w:pPr>
      <w:r>
        <w:rPr>
          <w:rFonts w:hint="eastAsia" w:cs="宋体"/>
          <w:bCs w:val="0"/>
          <w:iCs/>
          <w:lang w:val="en-US"/>
        </w:rPr>
        <w:t>公共出入口台阶高度超过0.70m且侧面临空时，台阶和平台的临空侧面应设防护设施，且防护设施净高不应低于1.20m。</w:t>
      </w:r>
    </w:p>
    <w:p w14:paraId="7DF8260D">
      <w:pPr>
        <w:pStyle w:val="4"/>
        <w:numPr>
          <w:ilvl w:val="2"/>
          <w:numId w:val="11"/>
        </w:numPr>
        <w:tabs>
          <w:tab w:val="clear" w:pos="0"/>
        </w:tabs>
        <w:rPr>
          <w:rFonts w:hint="eastAsia" w:cs="宋体"/>
          <w:bCs w:val="0"/>
          <w:iCs/>
          <w:lang w:val="en-US"/>
        </w:rPr>
      </w:pPr>
      <w:r>
        <w:rPr>
          <w:rFonts w:hint="eastAsia" w:cs="宋体"/>
          <w:bCs w:val="0"/>
          <w:iCs/>
          <w:lang w:val="en-US"/>
        </w:rPr>
        <w:t>公共出入口台阶踏步高度不宜大于0.15m，并不应小于0.10m，宽度不应小于0.30m，踏步高度应均匀一致，并应采取防滑措施。台阶踏步数不应少于2级，</w:t>
      </w:r>
      <w:r>
        <w:rPr>
          <w:rFonts w:hint="eastAsia" w:ascii="宋体" w:hAnsi="宋体" w:cs="宋体"/>
          <w:bCs w:val="0"/>
          <w:iCs/>
          <w:kern w:val="0"/>
          <w:lang w:val="en-US"/>
        </w:rPr>
        <w:t>当高差不足2级时，应按坡道设置，并应符合</w:t>
      </w:r>
      <w:r>
        <w:rPr>
          <w:rFonts w:hint="eastAsia" w:ascii="宋体" w:hAnsi="宋体" w:cs="宋体"/>
          <w:bCs w:val="0"/>
          <w:iCs/>
          <w:kern w:val="0"/>
          <w:lang w:val="en-US" w:eastAsia="zh-CN"/>
        </w:rPr>
        <w:t>国家标准《</w:t>
      </w:r>
      <w:r>
        <w:rPr>
          <w:rFonts w:hint="eastAsia" w:ascii="宋体" w:hAnsi="宋体" w:eastAsia="宋体" w:cs="宋体"/>
          <w:bCs w:val="0"/>
          <w:iCs/>
          <w:kern w:val="0"/>
          <w:sz w:val="24"/>
          <w:szCs w:val="32"/>
          <w:lang w:val="en-US" w:eastAsia="zh-CN" w:bidi="ar"/>
        </w:rPr>
        <w:t>建筑与市政工程无障碍通用规范</w:t>
      </w:r>
      <w:r>
        <w:rPr>
          <w:rFonts w:hint="eastAsia" w:ascii="宋体" w:hAnsi="宋体" w:cs="宋体"/>
          <w:bCs w:val="0"/>
          <w:iCs/>
          <w:kern w:val="0"/>
          <w:lang w:val="en-US" w:eastAsia="zh-CN"/>
        </w:rPr>
        <w:t>》GB</w:t>
      </w:r>
      <w:r>
        <w:rPr>
          <w:rFonts w:hint="eastAsia" w:ascii="宋体" w:hAnsi="宋体" w:eastAsia="宋体" w:cs="宋体"/>
          <w:bCs w:val="0"/>
          <w:iCs/>
          <w:kern w:val="0"/>
          <w:sz w:val="24"/>
          <w:szCs w:val="32"/>
          <w:lang w:val="en-US" w:eastAsia="zh-CN" w:bidi="ar"/>
        </w:rPr>
        <w:t>GB55019</w:t>
      </w:r>
      <w:r>
        <w:rPr>
          <w:rFonts w:hint="eastAsia" w:ascii="宋体" w:hAnsi="宋体" w:cs="宋体"/>
          <w:bCs w:val="0"/>
          <w:iCs/>
          <w:kern w:val="0"/>
          <w:sz w:val="24"/>
          <w:szCs w:val="32"/>
          <w:lang w:val="en-US" w:eastAsia="zh-CN" w:bidi="ar"/>
        </w:rPr>
        <w:t>的要求。</w:t>
      </w:r>
      <w:r>
        <w:rPr>
          <w:rFonts w:hint="eastAsia" w:cs="宋体"/>
          <w:bCs w:val="0"/>
          <w:iCs/>
          <w:lang w:val="en-US"/>
        </w:rPr>
        <w:t>台阶宽度大于1.80m时，两侧宜设置栏杆扶手，高度应不小于0.90m。</w:t>
      </w:r>
    </w:p>
    <w:p w14:paraId="12B24BAC">
      <w:pPr>
        <w:pStyle w:val="4"/>
        <w:numPr>
          <w:ilvl w:val="2"/>
          <w:numId w:val="11"/>
        </w:numPr>
        <w:tabs>
          <w:tab w:val="clear" w:pos="0"/>
        </w:tabs>
        <w:ind w:firstLine="0" w:firstLineChars="0"/>
        <w:rPr>
          <w:rFonts w:cs="宋体"/>
          <w:bCs w:val="0"/>
          <w:iCs/>
        </w:rPr>
      </w:pPr>
      <w:r>
        <w:rPr>
          <w:rFonts w:hint="eastAsia" w:cs="宋体"/>
          <w:bCs w:val="0"/>
          <w:iCs/>
          <w:lang w:val="en-US"/>
        </w:rPr>
        <w:t>住宅建筑出入口处地坪与室外地面应有不小于0.10m高差</w:t>
      </w:r>
      <w:r>
        <w:rPr>
          <w:rFonts w:hint="eastAsia" w:cs="宋体"/>
          <w:bCs w:val="0"/>
          <w:iCs/>
          <w:lang w:val="en-US" w:eastAsia="zh-CN"/>
        </w:rPr>
        <w:t>，且</w:t>
      </w:r>
      <w:r>
        <w:rPr>
          <w:rFonts w:hint="eastAsia" w:cs="宋体"/>
          <w:bCs w:val="0"/>
          <w:iCs/>
        </w:rPr>
        <w:t>应</w:t>
      </w:r>
      <w:r>
        <w:rPr>
          <w:rFonts w:hint="eastAsia" w:cs="宋体"/>
          <w:bCs w:val="0"/>
          <w:iCs/>
          <w:lang w:val="en-US"/>
        </w:rPr>
        <w:t>满足</w:t>
      </w:r>
      <w:r>
        <w:rPr>
          <w:rFonts w:hint="eastAsia" w:cs="宋体"/>
          <w:bCs w:val="0"/>
          <w:iCs/>
        </w:rPr>
        <w:t>无障碍</w:t>
      </w:r>
      <w:r>
        <w:rPr>
          <w:rFonts w:hint="eastAsia" w:cs="宋体"/>
          <w:bCs w:val="0"/>
          <w:iCs/>
          <w:lang w:val="en-US"/>
        </w:rPr>
        <w:t>通行要求。</w:t>
      </w:r>
    </w:p>
    <w:p w14:paraId="5D0DAF11">
      <w:pPr>
        <w:pStyle w:val="4"/>
        <w:numPr>
          <w:ilvl w:val="2"/>
          <w:numId w:val="11"/>
        </w:numPr>
        <w:tabs>
          <w:tab w:val="clear" w:pos="0"/>
        </w:tabs>
        <w:ind w:firstLine="0" w:firstLineChars="0"/>
        <w:rPr>
          <w:rFonts w:cs="宋体"/>
          <w:bCs w:val="0"/>
          <w:iCs/>
        </w:rPr>
      </w:pPr>
      <w:r>
        <w:rPr>
          <w:rFonts w:hint="eastAsia" w:cs="宋体"/>
          <w:bCs w:val="0"/>
          <w:iCs/>
        </w:rPr>
        <w:t>主要出入口的门厅宜设置轮椅停留的空间。</w:t>
      </w:r>
    </w:p>
    <w:p w14:paraId="7102181B">
      <w:pPr>
        <w:pStyle w:val="4"/>
        <w:numPr>
          <w:ilvl w:val="2"/>
          <w:numId w:val="11"/>
        </w:numPr>
        <w:tabs>
          <w:tab w:val="clear" w:pos="0"/>
        </w:tabs>
        <w:ind w:firstLine="0" w:firstLineChars="0"/>
        <w:rPr>
          <w:rFonts w:cs="宋体"/>
          <w:bCs w:val="0"/>
          <w:iCs/>
        </w:rPr>
      </w:pPr>
      <w:r>
        <w:rPr>
          <w:rFonts w:hint="eastAsia" w:cs="宋体"/>
          <w:bCs w:val="0"/>
          <w:iCs/>
        </w:rPr>
        <w:t>公共出入口应设平台；除平坡出入口外，公共出入口平台的净深度（从门扇开启时的最远点至平台边缘的距离）不应小于</w:t>
      </w:r>
      <w:r>
        <w:rPr>
          <w:rFonts w:hint="eastAsia" w:cs="宋体"/>
          <w:bCs w:val="0"/>
          <w:iCs/>
          <w:lang w:val="en-US"/>
        </w:rPr>
        <w:t>1.50m，</w:t>
      </w:r>
      <w:r>
        <w:rPr>
          <w:rFonts w:hint="eastAsia" w:cs="宋体"/>
          <w:bCs w:val="0"/>
          <w:iCs/>
        </w:rPr>
        <w:t>并应采取防滑措施。</w:t>
      </w:r>
    </w:p>
    <w:p w14:paraId="7863CA74">
      <w:pPr>
        <w:pStyle w:val="4"/>
        <w:numPr>
          <w:ilvl w:val="2"/>
          <w:numId w:val="11"/>
        </w:numPr>
        <w:tabs>
          <w:tab w:val="clear" w:pos="0"/>
        </w:tabs>
        <w:ind w:firstLine="0" w:firstLineChars="0"/>
        <w:rPr>
          <w:rFonts w:cs="宋体"/>
          <w:bCs w:val="0"/>
          <w:iCs/>
        </w:rPr>
      </w:pPr>
      <w:r>
        <w:rPr>
          <w:rFonts w:hint="eastAsia" w:cs="宋体"/>
          <w:bCs w:val="0"/>
          <w:iCs/>
        </w:rPr>
        <w:t>公共出入口位于阳台、外廊及开敞楼梯平台下</w:t>
      </w:r>
      <w:r>
        <w:rPr>
          <w:rFonts w:hint="eastAsia" w:cs="宋体"/>
          <w:bCs w:val="0"/>
          <w:iCs/>
          <w:lang w:val="en-US"/>
        </w:rPr>
        <w:t>方</w:t>
      </w:r>
      <w:r>
        <w:rPr>
          <w:rFonts w:hint="eastAsia" w:cs="宋体"/>
          <w:bCs w:val="0"/>
          <w:iCs/>
        </w:rPr>
        <w:t>时，应采取防止坠物伤害的安全措施。公共出入口上方应设雨篷，雨篷的宽度不应小于门洞的宽度，雨篷的挑出长度应超过门扇开启时的最远点，且不应小于</w:t>
      </w:r>
      <w:r>
        <w:rPr>
          <w:rFonts w:hint="eastAsia" w:cs="宋体"/>
          <w:bCs w:val="0"/>
          <w:iCs/>
          <w:lang w:val="en-US"/>
        </w:rPr>
        <w:t>1.00m。</w:t>
      </w:r>
    </w:p>
    <w:p w14:paraId="275AADB7">
      <w:pPr>
        <w:pStyle w:val="4"/>
        <w:numPr>
          <w:ilvl w:val="2"/>
          <w:numId w:val="11"/>
        </w:numPr>
        <w:tabs>
          <w:tab w:val="clear" w:pos="0"/>
        </w:tabs>
        <w:ind w:firstLine="0" w:firstLineChars="0"/>
        <w:rPr>
          <w:rFonts w:cs="宋体"/>
          <w:bCs w:val="0"/>
          <w:iCs/>
        </w:rPr>
      </w:pPr>
      <w:r>
        <w:rPr>
          <w:rFonts w:hint="eastAsia" w:cs="宋体"/>
          <w:bCs w:val="0"/>
          <w:iCs/>
        </w:rPr>
        <w:t>住宅中作为主要通道的外廊宜为封闭外廊，并应设置可开启的窗扇。走廊通道的净宽不应小于1.20m，净高不应低于</w:t>
      </w:r>
      <w:r>
        <w:rPr>
          <w:rFonts w:hint="eastAsia" w:cs="宋体"/>
          <w:bCs w:val="0"/>
          <w:iCs/>
          <w:lang w:val="en-US"/>
        </w:rPr>
        <w:t>2.20</w:t>
      </w:r>
      <w:r>
        <w:rPr>
          <w:rFonts w:hint="eastAsia" w:cs="宋体"/>
          <w:bCs w:val="0"/>
          <w:iCs/>
        </w:rPr>
        <w:t>m。疏散走道和首层主要疏散外门的通行净宽不应小于1.20m。当外门为双扇门时，至少应有</w:t>
      </w:r>
      <w:r>
        <w:rPr>
          <w:rFonts w:hint="eastAsia" w:cs="宋体"/>
          <w:bCs w:val="0"/>
          <w:iCs/>
          <w:lang w:val="en-US"/>
        </w:rPr>
        <w:t>1扇门的通行净宽不小于0.90m。</w:t>
      </w:r>
    </w:p>
    <w:p w14:paraId="5CC71CC5">
      <w:pPr>
        <w:pStyle w:val="4"/>
        <w:numPr>
          <w:ilvl w:val="2"/>
          <w:numId w:val="11"/>
        </w:numPr>
        <w:tabs>
          <w:tab w:val="clear" w:pos="0"/>
        </w:tabs>
        <w:ind w:firstLine="0" w:firstLineChars="0"/>
        <w:rPr>
          <w:rFonts w:cs="宋体"/>
          <w:bCs w:val="0"/>
          <w:iCs/>
          <w:lang w:val="en-US"/>
        </w:rPr>
      </w:pPr>
      <w:r>
        <w:rPr>
          <w:rFonts w:hint="eastAsia" w:cs="宋体"/>
          <w:bCs w:val="0"/>
          <w:iCs/>
        </w:rPr>
        <w:t>住宅建筑不宜以联系廊的形式借用疏散楼梯和电梯。确有困难时，联系</w:t>
      </w:r>
      <w:r>
        <w:rPr>
          <w:rFonts w:hint="eastAsia" w:cs="宋体"/>
          <w:bCs w:val="0"/>
          <w:iCs/>
          <w:lang w:val="en-US"/>
        </w:rPr>
        <w:t>廊净宽不应小于1.20m，净高不应低于2.20m，且联系廊不应对住户居住空间产生视线干扰。</w:t>
      </w:r>
    </w:p>
    <w:p w14:paraId="5DA7A2DB">
      <w:pPr>
        <w:pStyle w:val="4"/>
        <w:numPr>
          <w:ilvl w:val="2"/>
          <w:numId w:val="11"/>
        </w:numPr>
        <w:tabs>
          <w:tab w:val="clear" w:pos="0"/>
        </w:tabs>
        <w:ind w:firstLine="0" w:firstLineChars="0"/>
        <w:rPr>
          <w:rFonts w:cs="宋体"/>
          <w:bCs w:val="0"/>
          <w:iCs/>
          <w:lang w:val="en-US"/>
        </w:rPr>
      </w:pPr>
      <w:r>
        <w:rPr>
          <w:rFonts w:hint="eastAsia" w:cs="宋体"/>
          <w:bCs w:val="0"/>
          <w:iCs/>
          <w:lang w:val="en-US"/>
        </w:rPr>
        <w:t>外廊、室内回廊、室外楼梯及上人屋面等临空处应设防护栏杆，栏杆净高不应低于1.20m；栏杆应有防止攀登和物品坠落的措施，栏杆竖向杆件间的净距不应大于0.11m。</w:t>
      </w:r>
    </w:p>
    <w:p w14:paraId="031F9DFA">
      <w:pPr>
        <w:pStyle w:val="4"/>
        <w:numPr>
          <w:ilvl w:val="2"/>
          <w:numId w:val="11"/>
        </w:numPr>
        <w:tabs>
          <w:tab w:val="clear" w:pos="0"/>
        </w:tabs>
        <w:ind w:firstLine="0" w:firstLineChars="0"/>
        <w:rPr>
          <w:rFonts w:cs="宋体"/>
          <w:bCs w:val="0"/>
          <w:iCs/>
          <w:lang w:val="en-US"/>
        </w:rPr>
      </w:pPr>
      <w:r>
        <w:rPr>
          <w:rFonts w:hint="eastAsia" w:cs="宋体"/>
          <w:bCs w:val="0"/>
          <w:iCs/>
          <w:lang w:val="en-US"/>
        </w:rPr>
        <w:t>住宅的公共出入口与附建公共用房及其他非住宅部分的出入口、安全出口和疏散楼梯应分开布置。</w:t>
      </w:r>
    </w:p>
    <w:p w14:paraId="6EFC414E">
      <w:pPr>
        <w:pStyle w:val="3"/>
        <w:numPr>
          <w:ilvl w:val="1"/>
          <w:numId w:val="11"/>
        </w:numPr>
        <w:adjustRightInd/>
        <w:spacing w:line="415" w:lineRule="auto"/>
        <w:rPr>
          <w:rFonts w:hAnsi="Cambria"/>
        </w:rPr>
      </w:pPr>
      <w:bookmarkStart w:id="423" w:name="_Toc422931138"/>
      <w:bookmarkStart w:id="424" w:name="_Toc414356835"/>
      <w:bookmarkStart w:id="425" w:name="_Toc422990176"/>
      <w:bookmarkStart w:id="426" w:name="_Toc414356531"/>
      <w:bookmarkStart w:id="427" w:name="_Toc16192"/>
      <w:bookmarkStart w:id="428" w:name="_Toc3790"/>
      <w:bookmarkStart w:id="429" w:name="_Toc425447339"/>
      <w:bookmarkStart w:id="430" w:name="_Toc17862"/>
      <w:bookmarkStart w:id="431" w:name="_Toc23284"/>
      <w:bookmarkStart w:id="432" w:name="_Toc17344"/>
      <w:bookmarkStart w:id="433" w:name="_Toc7467"/>
      <w:bookmarkStart w:id="434" w:name="_Toc22729"/>
      <w:bookmarkStart w:id="435" w:name="_Toc31530"/>
      <w:bookmarkStart w:id="436" w:name="_Toc427324198"/>
      <w:bookmarkStart w:id="437" w:name="_Toc32561"/>
      <w:bookmarkStart w:id="438" w:name="_Toc425428102"/>
      <w:bookmarkStart w:id="439" w:name="_Toc31531"/>
      <w:r>
        <w:rPr>
          <w:rFonts w:hint="eastAsia" w:hAnsi="Cambria"/>
        </w:rPr>
        <w:t>楼梯</w:t>
      </w:r>
      <w:bookmarkEnd w:id="423"/>
      <w:bookmarkEnd w:id="424"/>
      <w:bookmarkEnd w:id="425"/>
      <w:bookmarkEnd w:id="426"/>
      <w:r>
        <w:rPr>
          <w:rFonts w:hint="eastAsia" w:hAnsi="Cambria"/>
        </w:rPr>
        <w:t>间</w:t>
      </w:r>
      <w:bookmarkEnd w:id="427"/>
      <w:bookmarkEnd w:id="428"/>
      <w:bookmarkEnd w:id="429"/>
      <w:bookmarkEnd w:id="430"/>
      <w:bookmarkEnd w:id="431"/>
      <w:bookmarkEnd w:id="432"/>
      <w:bookmarkEnd w:id="433"/>
      <w:bookmarkEnd w:id="434"/>
      <w:bookmarkEnd w:id="435"/>
      <w:bookmarkEnd w:id="436"/>
      <w:bookmarkEnd w:id="437"/>
      <w:bookmarkEnd w:id="438"/>
      <w:bookmarkEnd w:id="439"/>
    </w:p>
    <w:p w14:paraId="5E624419">
      <w:pPr>
        <w:pStyle w:val="4"/>
        <w:numPr>
          <w:ilvl w:val="2"/>
          <w:numId w:val="11"/>
        </w:numPr>
        <w:tabs>
          <w:tab w:val="clear" w:pos="0"/>
        </w:tabs>
        <w:ind w:firstLine="0" w:firstLineChars="0"/>
        <w:rPr>
          <w:rFonts w:cs="宋体"/>
          <w:bCs w:val="0"/>
          <w:iCs/>
          <w:lang w:val="en-US"/>
        </w:rPr>
      </w:pPr>
      <w:r>
        <w:rPr>
          <w:rFonts w:hint="eastAsia" w:cs="宋体"/>
          <w:bCs w:val="0"/>
          <w:iCs/>
          <w:lang w:val="en-US"/>
        </w:rPr>
        <w:t>住宅建筑的楼梯间形式应根据建筑形式、建筑高度、建筑面积以及户门的耐火等级等因素确定。楼梯间不宜设置在建筑的尽端和转角处。</w:t>
      </w:r>
    </w:p>
    <w:p w14:paraId="7ADB6019">
      <w:pPr>
        <w:pStyle w:val="4"/>
        <w:numPr>
          <w:ilvl w:val="2"/>
          <w:numId w:val="11"/>
        </w:numPr>
        <w:tabs>
          <w:tab w:val="clear" w:pos="0"/>
        </w:tabs>
        <w:ind w:firstLine="0" w:firstLineChars="0"/>
        <w:rPr>
          <w:rFonts w:cs="宋体"/>
          <w:bCs w:val="0"/>
          <w:iCs/>
          <w:lang w:val="en-US"/>
        </w:rPr>
      </w:pPr>
      <w:r>
        <w:rPr>
          <w:rFonts w:hint="eastAsia" w:cs="宋体"/>
          <w:bCs w:val="0"/>
          <w:iCs/>
          <w:lang w:val="en-US"/>
        </w:rPr>
        <w:t>住宅的公共楼梯，同一楼梯梯段的踏步宽度、高度应均匀一致，楼梯踏步宽度不应小于0.26m，踏步高度不应大于0.175m。不设置电梯的住宅，楼梯踏步的宽度宜大于0.28m，踏步高度宜小于等于0.16m，且宜设置双侧扶手。扶手高度不应小于0.90m。楼梯水平段栏杆长度大于0.50m时，其扶手高度不应小于1.20m。楼梯栏杆垂直杆件间净空不应大于0.11m。</w:t>
      </w:r>
    </w:p>
    <w:p w14:paraId="4D02AA4C">
      <w:pPr>
        <w:pStyle w:val="4"/>
        <w:numPr>
          <w:ilvl w:val="2"/>
          <w:numId w:val="11"/>
        </w:numPr>
        <w:tabs>
          <w:tab w:val="clear" w:pos="0"/>
        </w:tabs>
        <w:ind w:firstLine="0" w:firstLineChars="0"/>
        <w:rPr>
          <w:rFonts w:cs="宋体"/>
          <w:bCs w:val="0"/>
          <w:iCs/>
          <w:lang w:val="en-US"/>
        </w:rPr>
      </w:pPr>
      <w:r>
        <w:rPr>
          <w:rFonts w:hint="eastAsia" w:cs="宋体"/>
          <w:bCs w:val="0"/>
          <w:iCs/>
          <w:lang w:val="en-US"/>
        </w:rPr>
        <w:t>楼梯平台净宽不应小于楼梯梯段净宽，且不得小于1.20m。楼梯平台的结构下缘至人行通道的垂直高度不应低于2.10m。</w:t>
      </w:r>
    </w:p>
    <w:p w14:paraId="7A4C1254">
      <w:pPr>
        <w:pStyle w:val="4"/>
        <w:numPr>
          <w:ilvl w:val="2"/>
          <w:numId w:val="11"/>
        </w:numPr>
        <w:tabs>
          <w:tab w:val="clear" w:pos="0"/>
        </w:tabs>
        <w:ind w:firstLine="0" w:firstLineChars="0"/>
        <w:rPr>
          <w:rFonts w:cs="宋体"/>
          <w:bCs w:val="0"/>
          <w:iCs/>
          <w:lang w:val="en-US"/>
        </w:rPr>
      </w:pPr>
      <w:r>
        <w:rPr>
          <w:rFonts w:hint="eastAsia" w:cs="宋体"/>
          <w:bCs w:val="0"/>
          <w:iCs/>
          <w:lang w:val="en-US"/>
        </w:rPr>
        <w:t>住宅建筑的安全出口净宽度应经计算确定，且不应小于0.90m。当设有2个安全出口时，应分散布置且2个安全出口之间的水平距离不应小于5m。</w:t>
      </w:r>
    </w:p>
    <w:p w14:paraId="53680FDC">
      <w:pPr>
        <w:pStyle w:val="4"/>
        <w:numPr>
          <w:ilvl w:val="2"/>
          <w:numId w:val="11"/>
        </w:numPr>
        <w:tabs>
          <w:tab w:val="clear" w:pos="0"/>
        </w:tabs>
        <w:ind w:firstLine="0" w:firstLineChars="0"/>
        <w:rPr>
          <w:rFonts w:cs="宋体"/>
          <w:bCs w:val="0"/>
          <w:iCs/>
          <w:lang w:val="en-US"/>
        </w:rPr>
      </w:pPr>
      <w:r>
        <w:rPr>
          <w:rFonts w:hint="eastAsia" w:cs="宋体"/>
          <w:bCs w:val="0"/>
          <w:iCs/>
          <w:lang w:val="en-US"/>
        </w:rPr>
        <w:t>剪刀梯的两个楼梯应在走道或屋顶连通，也可在前室连通。</w:t>
      </w:r>
    </w:p>
    <w:p w14:paraId="5A3541C3">
      <w:pPr>
        <w:pStyle w:val="4"/>
        <w:numPr>
          <w:ilvl w:val="2"/>
          <w:numId w:val="11"/>
        </w:numPr>
        <w:tabs>
          <w:tab w:val="clear" w:pos="0"/>
        </w:tabs>
        <w:ind w:firstLine="0" w:firstLineChars="0"/>
        <w:rPr>
          <w:rFonts w:cs="宋体"/>
          <w:bCs w:val="0"/>
          <w:iCs/>
          <w:lang w:val="en-US"/>
        </w:rPr>
      </w:pPr>
      <w:r>
        <w:rPr>
          <w:rFonts w:hint="eastAsia" w:cs="宋体"/>
          <w:bCs w:val="0"/>
          <w:iCs/>
          <w:lang w:val="en-US"/>
        </w:rPr>
        <w:t>楼梯为剪刀梯时，楼梯平台的净宽不得小于1.30m。</w:t>
      </w:r>
    </w:p>
    <w:p w14:paraId="4828C3AF">
      <w:pPr>
        <w:pStyle w:val="4"/>
        <w:numPr>
          <w:ilvl w:val="2"/>
          <w:numId w:val="11"/>
        </w:numPr>
        <w:tabs>
          <w:tab w:val="clear" w:pos="0"/>
        </w:tabs>
        <w:ind w:firstLine="0" w:firstLineChars="0"/>
        <w:rPr>
          <w:rFonts w:cs="宋体"/>
          <w:bCs w:val="0"/>
          <w:iCs/>
          <w:lang w:val="en-US"/>
        </w:rPr>
      </w:pPr>
      <w:r>
        <w:rPr>
          <w:rFonts w:hint="eastAsia" w:cs="宋体"/>
          <w:bCs w:val="0"/>
          <w:iCs/>
          <w:lang w:val="en-US"/>
        </w:rPr>
        <w:t>楼梯井净宽大于</w:t>
      </w:r>
      <w:r>
        <w:rPr>
          <w:rFonts w:cs="宋体"/>
          <w:bCs w:val="0"/>
          <w:iCs/>
          <w:lang w:val="en-US"/>
        </w:rPr>
        <w:t>0.11m</w:t>
      </w:r>
      <w:r>
        <w:rPr>
          <w:rFonts w:hint="eastAsia" w:cs="宋体"/>
          <w:bCs w:val="0"/>
          <w:iCs/>
          <w:lang w:val="en-US"/>
        </w:rPr>
        <w:t>时，应采取防止人员坠落和儿童攀登的措施。</w:t>
      </w:r>
    </w:p>
    <w:p w14:paraId="5EE7F55A">
      <w:pPr>
        <w:pStyle w:val="3"/>
        <w:numPr>
          <w:ilvl w:val="1"/>
          <w:numId w:val="11"/>
        </w:numPr>
      </w:pPr>
      <w:bookmarkStart w:id="440" w:name="_Toc422931139"/>
      <w:bookmarkStart w:id="441" w:name="_Toc425428103"/>
      <w:bookmarkStart w:id="442" w:name="_Toc414356532"/>
      <w:bookmarkStart w:id="443" w:name="_Toc427324199"/>
      <w:bookmarkStart w:id="444" w:name="_Toc422990177"/>
      <w:bookmarkStart w:id="445" w:name="_Toc425447340"/>
      <w:bookmarkStart w:id="446" w:name="_Toc414356836"/>
      <w:bookmarkStart w:id="447" w:name="_Toc4585"/>
      <w:bookmarkStart w:id="448" w:name="_Toc7867"/>
      <w:bookmarkStart w:id="449" w:name="_Toc25018"/>
      <w:bookmarkStart w:id="450" w:name="_Toc3282"/>
      <w:bookmarkStart w:id="451" w:name="_Toc10918"/>
      <w:bookmarkStart w:id="452" w:name="_Toc8163"/>
      <w:bookmarkStart w:id="453" w:name="_Toc15315"/>
      <w:bookmarkStart w:id="454" w:name="_Toc11675"/>
      <w:bookmarkStart w:id="455" w:name="_Toc31851"/>
      <w:bookmarkStart w:id="456" w:name="_Toc22494"/>
      <w:r>
        <w:rPr>
          <w:rFonts w:hint="eastAsia"/>
        </w:rPr>
        <w:t>电梯</w:t>
      </w:r>
      <w:bookmarkEnd w:id="440"/>
      <w:bookmarkEnd w:id="441"/>
      <w:bookmarkEnd w:id="442"/>
      <w:bookmarkEnd w:id="443"/>
      <w:bookmarkEnd w:id="444"/>
      <w:bookmarkEnd w:id="445"/>
      <w:bookmarkEnd w:id="446"/>
      <w:r>
        <w:rPr>
          <w:rFonts w:hint="eastAsia"/>
        </w:rPr>
        <w:t>及电梯间</w:t>
      </w:r>
      <w:bookmarkEnd w:id="447"/>
      <w:bookmarkEnd w:id="448"/>
      <w:bookmarkEnd w:id="449"/>
      <w:bookmarkEnd w:id="450"/>
      <w:bookmarkEnd w:id="451"/>
      <w:bookmarkEnd w:id="452"/>
      <w:bookmarkEnd w:id="453"/>
      <w:bookmarkEnd w:id="454"/>
      <w:bookmarkEnd w:id="455"/>
      <w:bookmarkEnd w:id="456"/>
    </w:p>
    <w:p w14:paraId="03BC634D">
      <w:pPr>
        <w:pStyle w:val="4"/>
        <w:numPr>
          <w:ilvl w:val="2"/>
          <w:numId w:val="11"/>
        </w:numPr>
        <w:tabs>
          <w:tab w:val="clear" w:pos="0"/>
        </w:tabs>
        <w:ind w:firstLine="0" w:firstLineChars="0"/>
        <w:rPr>
          <w:rFonts w:cs="宋体"/>
          <w:bCs w:val="0"/>
          <w:iCs/>
          <w:lang w:val="en-US"/>
        </w:rPr>
      </w:pPr>
      <w:bookmarkStart w:id="457" w:name="_Toc419277378"/>
      <w:bookmarkEnd w:id="457"/>
      <w:bookmarkStart w:id="458" w:name="_Toc415850783"/>
      <w:bookmarkEnd w:id="458"/>
      <w:bookmarkStart w:id="459" w:name="_Toc419277579"/>
      <w:bookmarkEnd w:id="459"/>
      <w:bookmarkStart w:id="460" w:name="_Toc419277676"/>
      <w:bookmarkEnd w:id="460"/>
      <w:bookmarkStart w:id="461" w:name="_Toc419277479"/>
      <w:bookmarkEnd w:id="461"/>
      <w:r>
        <w:rPr>
          <w:rFonts w:hint="eastAsia" w:cs="宋体"/>
          <w:bCs w:val="0"/>
          <w:iCs/>
          <w:lang w:val="en-US"/>
        </w:rPr>
        <w:t>最高入户层为四层及四层以上或最高入户层楼面距室外设计地面高度超过9m的新建住宅建筑，应设置电梯</w:t>
      </w:r>
      <w:r>
        <w:rPr>
          <w:rFonts w:hint="default" w:cs="宋体"/>
          <w:bCs w:val="0"/>
          <w:iCs/>
          <w:lang w:val="en-US" w:eastAsia="zh-CN"/>
        </w:rPr>
        <w:t>，</w:t>
      </w:r>
      <w:r>
        <w:rPr>
          <w:rFonts w:hint="eastAsia" w:cs="宋体"/>
          <w:bCs w:val="0"/>
          <w:iCs/>
          <w:lang w:val="en-US"/>
        </w:rPr>
        <w:t>每个设置电梯的</w:t>
      </w:r>
      <w:r>
        <w:rPr>
          <w:rFonts w:hint="eastAsia" w:cs="宋体"/>
          <w:bCs w:val="0"/>
          <w:iCs/>
          <w:lang w:val="en-US" w:eastAsia="zh-CN"/>
        </w:rPr>
        <w:t>住宅</w:t>
      </w:r>
      <w:r>
        <w:rPr>
          <w:rFonts w:hint="eastAsia" w:cs="宋体"/>
          <w:bCs w:val="0"/>
          <w:iCs/>
          <w:lang w:val="en-US"/>
        </w:rPr>
        <w:t>单元应至少设置1台可容纳担架的电梯。</w:t>
      </w:r>
    </w:p>
    <w:p w14:paraId="6D3A4023">
      <w:pPr>
        <w:pStyle w:val="4"/>
        <w:numPr>
          <w:ilvl w:val="2"/>
          <w:numId w:val="11"/>
        </w:numPr>
        <w:tabs>
          <w:tab w:val="clear" w:pos="0"/>
        </w:tabs>
        <w:ind w:firstLine="0" w:firstLineChars="0"/>
        <w:rPr>
          <w:rFonts w:cs="宋体"/>
          <w:bCs w:val="0"/>
          <w:iCs/>
          <w:lang w:val="en-US"/>
        </w:rPr>
      </w:pPr>
      <w:r>
        <w:rPr>
          <w:rFonts w:hint="eastAsia" w:cs="宋体"/>
          <w:bCs w:val="0"/>
          <w:iCs/>
          <w:lang w:val="en-US"/>
        </w:rPr>
        <w:t>最高入户层为十二层及十二层以上或最高入户层楼面距室外设计地面高度超过33m的新建住宅建筑，每个居</w:t>
      </w:r>
      <w:r>
        <w:rPr>
          <w:rFonts w:hint="eastAsia" w:cs="宋体"/>
          <w:bCs w:val="0"/>
          <w:iCs/>
          <w:lang w:val="en-US" w:eastAsia="zh-CN"/>
        </w:rPr>
        <w:t>住宅</w:t>
      </w:r>
      <w:r>
        <w:rPr>
          <w:rFonts w:hint="eastAsia" w:cs="宋体"/>
          <w:bCs w:val="0"/>
          <w:iCs/>
          <w:lang w:val="en-US"/>
        </w:rPr>
        <w:t>单元设置电梯不应少于两台。最高入户层为二十五层及二十五层以上或最高入户层楼面距室外设计地面的高度超过72m，同时单台电梯服务户数大于90户时，每栋楼设置电梯不宜少于三台。</w:t>
      </w:r>
    </w:p>
    <w:p w14:paraId="6EBB5D46">
      <w:pPr>
        <w:pStyle w:val="4"/>
        <w:numPr>
          <w:ilvl w:val="2"/>
          <w:numId w:val="11"/>
        </w:numPr>
        <w:tabs>
          <w:tab w:val="clear" w:pos="0"/>
        </w:tabs>
        <w:ind w:firstLine="0" w:firstLineChars="0"/>
        <w:rPr>
          <w:rFonts w:cs="宋体"/>
          <w:bCs w:val="0"/>
          <w:iCs/>
          <w:lang w:val="en-US"/>
        </w:rPr>
      </w:pPr>
      <w:r>
        <w:rPr>
          <w:rFonts w:hint="eastAsia" w:cs="宋体"/>
          <w:bCs w:val="0"/>
          <w:iCs/>
          <w:lang w:val="en-US"/>
        </w:rPr>
        <w:t>可容纳担架电梯的额定载重量不应小于1000kg，采用宽轿厢时，轿厢长边尺寸不应小于1.60m，短边尺寸不应小于1.50m，采用深轿厢时，轿厢宽度尺寸不应小于1.10m，深度尺寸不应小于 2.10m，轿厢门净宽不应小于0.90m。</w:t>
      </w:r>
    </w:p>
    <w:p w14:paraId="24F62943">
      <w:pPr>
        <w:pStyle w:val="4"/>
        <w:numPr>
          <w:ilvl w:val="2"/>
          <w:numId w:val="11"/>
        </w:numPr>
        <w:tabs>
          <w:tab w:val="clear" w:pos="0"/>
        </w:tabs>
        <w:ind w:firstLine="0" w:firstLineChars="0"/>
        <w:rPr>
          <w:rFonts w:cs="宋体"/>
          <w:bCs w:val="0"/>
          <w:iCs/>
          <w:lang w:val="en-US"/>
        </w:rPr>
      </w:pPr>
      <w:r>
        <w:rPr>
          <w:rFonts w:hint="eastAsia" w:cs="宋体"/>
          <w:bCs w:val="0"/>
          <w:iCs/>
          <w:lang w:val="en-US"/>
        </w:rPr>
        <w:t>设置电梯的住宅，每</w:t>
      </w:r>
      <w:r>
        <w:rPr>
          <w:rFonts w:hint="eastAsia" w:cs="宋体"/>
          <w:bCs w:val="0"/>
          <w:iCs/>
          <w:lang w:val="en-US" w:eastAsia="zh-CN"/>
        </w:rPr>
        <w:t>住宅</w:t>
      </w:r>
      <w:r>
        <w:rPr>
          <w:rFonts w:hint="eastAsia" w:cs="宋体"/>
          <w:bCs w:val="0"/>
          <w:iCs/>
          <w:lang w:val="en-US"/>
        </w:rPr>
        <w:t>单元至少应设置1部能直达户门层的无障碍电梯。</w:t>
      </w:r>
    </w:p>
    <w:p w14:paraId="1299B94C">
      <w:pPr>
        <w:pStyle w:val="4"/>
        <w:numPr>
          <w:ilvl w:val="2"/>
          <w:numId w:val="11"/>
        </w:numPr>
        <w:tabs>
          <w:tab w:val="clear" w:pos="0"/>
        </w:tabs>
        <w:ind w:firstLine="0" w:firstLineChars="0"/>
        <w:rPr>
          <w:rFonts w:cs="宋体"/>
          <w:bCs w:val="0"/>
          <w:iCs/>
          <w:lang w:val="en-US"/>
        </w:rPr>
      </w:pPr>
      <w:r>
        <w:rPr>
          <w:rFonts w:hint="eastAsia" w:cs="宋体"/>
          <w:bCs w:val="0"/>
          <w:iCs/>
          <w:lang w:val="en-US"/>
        </w:rPr>
        <w:t>四层及四层以上住宅电梯应在设有户门和公共走廊的每层设站。住宅电梯应采用节能型电梯，且宜成组集中布置，并采用群控联动的节能控制措施。</w:t>
      </w:r>
    </w:p>
    <w:p w14:paraId="2E6656CD">
      <w:pPr>
        <w:pStyle w:val="4"/>
        <w:numPr>
          <w:ilvl w:val="2"/>
          <w:numId w:val="11"/>
        </w:numPr>
        <w:tabs>
          <w:tab w:val="clear" w:pos="0"/>
        </w:tabs>
        <w:ind w:firstLine="0" w:firstLineChars="0"/>
        <w:rPr>
          <w:rFonts w:cs="宋体"/>
          <w:bCs w:val="0"/>
          <w:iCs/>
          <w:lang w:val="en-US"/>
        </w:rPr>
      </w:pPr>
      <w:r>
        <w:rPr>
          <w:rFonts w:hint="eastAsia" w:cs="宋体"/>
          <w:bCs w:val="0"/>
          <w:iCs/>
          <w:lang w:val="en-US"/>
        </w:rPr>
        <w:t>候梯厅深度不应小于多台电梯中最大轿厢的深度，且不应小于1.50m。</w:t>
      </w:r>
      <w:r>
        <w:rPr>
          <w:rFonts w:hint="eastAsia" w:cs="宋体"/>
          <w:bCs w:val="0"/>
          <w:iCs/>
          <w:lang w:val="en-US" w:eastAsia="zh-CN"/>
        </w:rPr>
        <w:t>候</w:t>
      </w:r>
      <w:r>
        <w:rPr>
          <w:rFonts w:hint="eastAsia" w:cs="宋体"/>
          <w:bCs w:val="0"/>
          <w:iCs/>
          <w:lang w:val="en-US"/>
        </w:rPr>
        <w:t>梯厅的有效深度区域应覆盖电梯门宽度范围，且该范围内不得设置任何障碍物。候梯厅应采取防滑措施。</w:t>
      </w:r>
    </w:p>
    <w:p w14:paraId="271CC72C">
      <w:pPr>
        <w:pStyle w:val="4"/>
        <w:numPr>
          <w:ilvl w:val="2"/>
          <w:numId w:val="11"/>
        </w:numPr>
        <w:tabs>
          <w:tab w:val="clear" w:pos="0"/>
        </w:tabs>
        <w:ind w:firstLine="0" w:firstLineChars="0"/>
        <w:rPr>
          <w:rFonts w:cs="宋体"/>
          <w:bCs w:val="0"/>
          <w:iCs/>
          <w:lang w:val="en-US"/>
        </w:rPr>
      </w:pPr>
      <w:r>
        <w:rPr>
          <w:rFonts w:hint="eastAsia" w:cs="宋体"/>
          <w:bCs w:val="0"/>
          <w:iCs/>
          <w:lang w:val="en-US"/>
        </w:rPr>
        <w:t>电梯层门的耐火完整性不应低于</w:t>
      </w:r>
      <w:r>
        <w:rPr>
          <w:rFonts w:cs="宋体"/>
          <w:bCs w:val="0"/>
          <w:iCs/>
          <w:lang w:val="en-US"/>
        </w:rPr>
        <w:t>2.00h</w:t>
      </w:r>
      <w:r>
        <w:rPr>
          <w:rFonts w:hint="eastAsia" w:cs="宋体"/>
          <w:bCs w:val="0"/>
          <w:iCs/>
          <w:lang w:val="en-US"/>
        </w:rPr>
        <w:t>。</w:t>
      </w:r>
    </w:p>
    <w:p w14:paraId="1611AE84">
      <w:pPr>
        <w:pStyle w:val="4"/>
        <w:numPr>
          <w:ilvl w:val="2"/>
          <w:numId w:val="11"/>
        </w:numPr>
        <w:tabs>
          <w:tab w:val="clear" w:pos="0"/>
        </w:tabs>
        <w:ind w:firstLine="0" w:firstLineChars="0"/>
        <w:rPr>
          <w:rFonts w:cs="宋体"/>
          <w:bCs w:val="0"/>
          <w:iCs/>
          <w:lang w:val="en-US"/>
        </w:rPr>
      </w:pPr>
      <w:r>
        <w:rPr>
          <w:rFonts w:hint="eastAsia" w:cs="宋体"/>
          <w:bCs w:val="0"/>
          <w:iCs/>
          <w:lang w:val="en-US"/>
        </w:rPr>
        <w:t>由疏散走道开向消防电梯前室及合用前室的防火门宜采用常开防火门。</w:t>
      </w:r>
    </w:p>
    <w:p w14:paraId="3F60B507">
      <w:pPr>
        <w:pStyle w:val="3"/>
        <w:numPr>
          <w:ilvl w:val="1"/>
          <w:numId w:val="11"/>
        </w:numPr>
      </w:pPr>
      <w:bookmarkStart w:id="462" w:name="_Toc16387"/>
      <w:bookmarkStart w:id="463" w:name="_Toc32052"/>
      <w:bookmarkStart w:id="464" w:name="_Toc422990178"/>
      <w:bookmarkStart w:id="465" w:name="_Toc21952"/>
      <w:bookmarkStart w:id="466" w:name="_Toc414356837"/>
      <w:bookmarkStart w:id="467" w:name="_Toc414356533"/>
      <w:bookmarkStart w:id="468" w:name="_Toc8825"/>
      <w:bookmarkStart w:id="469" w:name="_Toc23374"/>
      <w:bookmarkStart w:id="470" w:name="_Toc422931140"/>
      <w:bookmarkStart w:id="471" w:name="_Toc18359"/>
      <w:bookmarkStart w:id="472" w:name="_Toc425447341"/>
      <w:bookmarkStart w:id="473" w:name="_Toc12129"/>
      <w:bookmarkStart w:id="474" w:name="_Toc11141"/>
      <w:bookmarkStart w:id="475" w:name="_Toc13023"/>
      <w:bookmarkStart w:id="476" w:name="_Toc427324200"/>
      <w:bookmarkStart w:id="477" w:name="_Toc20600"/>
      <w:bookmarkStart w:id="478" w:name="_Toc425428104"/>
      <w:r>
        <w:rPr>
          <w:rFonts w:hint="eastAsia"/>
        </w:rPr>
        <w:t>附建公共用房</w:t>
      </w:r>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p>
    <w:p w14:paraId="7C0D946C">
      <w:pPr>
        <w:pStyle w:val="4"/>
        <w:numPr>
          <w:ilvl w:val="2"/>
          <w:numId w:val="11"/>
        </w:numPr>
        <w:tabs>
          <w:tab w:val="clear" w:pos="0"/>
        </w:tabs>
        <w:ind w:firstLine="0" w:firstLineChars="0"/>
        <w:rPr>
          <w:rFonts w:cs="宋体"/>
          <w:bCs w:val="0"/>
          <w:iCs/>
          <w:lang w:val="en-US"/>
        </w:rPr>
      </w:pPr>
      <w:bookmarkStart w:id="479" w:name="_Toc419277678"/>
      <w:bookmarkEnd w:id="479"/>
      <w:bookmarkStart w:id="480" w:name="_Toc419277581"/>
      <w:bookmarkEnd w:id="480"/>
      <w:bookmarkStart w:id="481" w:name="_Toc419277481"/>
      <w:bookmarkEnd w:id="481"/>
      <w:bookmarkStart w:id="482" w:name="_Toc415850785"/>
      <w:bookmarkEnd w:id="482"/>
      <w:bookmarkStart w:id="483" w:name="_Toc419277380"/>
      <w:bookmarkEnd w:id="483"/>
      <w:r>
        <w:rPr>
          <w:rFonts w:hint="eastAsia" w:cs="宋体"/>
          <w:bCs w:val="0"/>
          <w:iCs/>
          <w:lang w:val="en-US"/>
        </w:rPr>
        <w:t>住宅建筑内不应布置存放和使用甲、乙类火灾危险性物品的商店、车间和仓库，以及产生噪声、振动和污染环境卫生的商店、车间和娱乐设施。</w:t>
      </w:r>
    </w:p>
    <w:p w14:paraId="3003ECFF">
      <w:pPr>
        <w:pStyle w:val="4"/>
        <w:numPr>
          <w:ilvl w:val="2"/>
          <w:numId w:val="11"/>
        </w:numPr>
        <w:tabs>
          <w:tab w:val="clear" w:pos="0"/>
        </w:tabs>
        <w:ind w:firstLine="0" w:firstLineChars="0"/>
        <w:rPr>
          <w:rFonts w:cs="宋体"/>
          <w:bCs w:val="0"/>
          <w:iCs/>
          <w:lang w:val="en-US"/>
        </w:rPr>
      </w:pPr>
      <w:r>
        <w:rPr>
          <w:rFonts w:hint="eastAsia" w:cs="宋体"/>
          <w:bCs w:val="0"/>
          <w:iCs/>
          <w:lang w:val="en-US"/>
        </w:rPr>
        <w:t>住宅建筑内不应布置易产生油烟的餐饮店及变配电机房，当住宅底层商业网点布置有刺激性气味或噪声的配套用房，应采取排气、消声处理。</w:t>
      </w:r>
    </w:p>
    <w:p w14:paraId="21A7AC8F">
      <w:pPr>
        <w:pStyle w:val="4"/>
        <w:numPr>
          <w:ilvl w:val="2"/>
          <w:numId w:val="11"/>
        </w:numPr>
        <w:tabs>
          <w:tab w:val="clear" w:pos="0"/>
        </w:tabs>
        <w:ind w:firstLine="0" w:firstLineChars="0"/>
        <w:rPr>
          <w:rFonts w:cs="宋体"/>
          <w:bCs w:val="0"/>
          <w:iCs/>
          <w:lang w:val="en-US"/>
        </w:rPr>
      </w:pPr>
      <w:r>
        <w:rPr>
          <w:rFonts w:hint="eastAsia" w:cs="宋体"/>
          <w:bCs w:val="0"/>
          <w:iCs/>
          <w:lang w:val="en-US"/>
        </w:rPr>
        <w:t>水泵房、冷热源机房等产生噪声或振动的房间设置宜符合下列规定：</w:t>
      </w:r>
    </w:p>
    <w:p w14:paraId="3893AD16">
      <w:pPr>
        <w:ind w:firstLine="482"/>
        <w:rPr>
          <w:bCs/>
        </w:rPr>
      </w:pPr>
      <w:r>
        <w:rPr>
          <w:rFonts w:hint="eastAsia"/>
          <w:b/>
        </w:rPr>
        <w:t>1</w:t>
      </w:r>
      <w:r>
        <w:rPr>
          <w:rFonts w:hint="eastAsia"/>
          <w:bCs/>
        </w:rPr>
        <w:t xml:space="preserve">  不应紧邻卧室布置；</w:t>
      </w:r>
    </w:p>
    <w:p w14:paraId="1463F53E">
      <w:pPr>
        <w:ind w:firstLine="482"/>
        <w:rPr>
          <w:bCs/>
        </w:rPr>
      </w:pPr>
      <w:r>
        <w:rPr>
          <w:rFonts w:hint="eastAsia"/>
          <w:b/>
        </w:rPr>
        <w:t>2</w:t>
      </w:r>
      <w:r>
        <w:rPr>
          <w:rFonts w:hint="eastAsia"/>
          <w:bCs/>
        </w:rPr>
        <w:t xml:space="preserve">  不宜设置在住宅主体建筑内；不宜设置在与住户相邻的楼层；在无法满足上述要求贴临设置时，应采取有效的隔声、减振措施。</w:t>
      </w:r>
    </w:p>
    <w:p w14:paraId="59C4139A">
      <w:pPr>
        <w:pStyle w:val="4"/>
        <w:numPr>
          <w:ilvl w:val="2"/>
          <w:numId w:val="11"/>
        </w:numPr>
        <w:tabs>
          <w:tab w:val="clear" w:pos="0"/>
        </w:tabs>
        <w:ind w:firstLine="0" w:firstLineChars="0"/>
        <w:rPr>
          <w:rFonts w:cs="宋体"/>
          <w:bCs w:val="0"/>
          <w:iCs/>
          <w:lang w:val="en-US"/>
        </w:rPr>
      </w:pPr>
      <w:r>
        <w:rPr>
          <w:rFonts w:hint="eastAsia" w:cs="宋体"/>
          <w:bCs w:val="0"/>
          <w:iCs/>
          <w:lang w:val="en-US"/>
        </w:rPr>
        <w:t>住宅与非住宅功能合建时，其住宅部分与非住宅部分之间应采用耐火极限不低于2.00h且无门、窗、洞口的防火隔墙和耐火极限不低于</w:t>
      </w:r>
      <w:r>
        <w:rPr>
          <w:rFonts w:cs="宋体"/>
          <w:bCs w:val="0"/>
          <w:iCs/>
          <w:lang w:val="en-US"/>
        </w:rPr>
        <w:t>2.00</w:t>
      </w:r>
      <w:r>
        <w:rPr>
          <w:rFonts w:hint="eastAsia" w:cs="宋体"/>
          <w:bCs w:val="0"/>
          <w:iCs/>
          <w:lang w:val="en-US"/>
        </w:rPr>
        <w:t>h的不燃性楼板完全分隔，住宅部分和非住宅部分的安全出口和疏散楼梯应分别独立设置。</w:t>
      </w:r>
    </w:p>
    <w:p w14:paraId="5230F11B">
      <w:pPr>
        <w:pStyle w:val="3"/>
        <w:numPr>
          <w:ilvl w:val="1"/>
          <w:numId w:val="11"/>
        </w:numPr>
      </w:pPr>
      <w:bookmarkStart w:id="484" w:name="_Toc419277382"/>
      <w:bookmarkEnd w:id="484"/>
      <w:bookmarkStart w:id="485" w:name="_Toc419277680"/>
      <w:bookmarkEnd w:id="485"/>
      <w:bookmarkStart w:id="486" w:name="_Toc415850787"/>
      <w:bookmarkEnd w:id="486"/>
      <w:bookmarkStart w:id="487" w:name="_Toc419277583"/>
      <w:bookmarkEnd w:id="487"/>
      <w:bookmarkStart w:id="488" w:name="_Toc419277483"/>
      <w:bookmarkEnd w:id="488"/>
      <w:bookmarkStart w:id="489" w:name="_Toc3920"/>
      <w:bookmarkStart w:id="490" w:name="_Toc427324201"/>
      <w:bookmarkStart w:id="491" w:name="_Toc22867"/>
      <w:bookmarkStart w:id="492" w:name="_Toc422931142"/>
      <w:bookmarkStart w:id="493" w:name="_Toc425428105"/>
      <w:bookmarkStart w:id="494" w:name="_Toc8646"/>
      <w:bookmarkStart w:id="495" w:name="_Toc12369"/>
      <w:bookmarkStart w:id="496" w:name="_Toc17718"/>
      <w:bookmarkStart w:id="497" w:name="_Toc10616"/>
      <w:bookmarkStart w:id="498" w:name="_Toc20754"/>
      <w:bookmarkStart w:id="499" w:name="_Toc25161"/>
      <w:bookmarkStart w:id="500" w:name="_Toc425447342"/>
      <w:bookmarkStart w:id="501" w:name="_Toc414356535"/>
      <w:bookmarkStart w:id="502" w:name="_Toc414356839"/>
      <w:bookmarkStart w:id="503" w:name="_Toc422990180"/>
      <w:bookmarkStart w:id="504" w:name="_Toc21156"/>
      <w:bookmarkStart w:id="505" w:name="_Toc24934"/>
      <w:r>
        <w:rPr>
          <w:rFonts w:hint="eastAsia"/>
        </w:rPr>
        <w:t>地下室、半地下室</w:t>
      </w:r>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p>
    <w:p w14:paraId="3A9E83CF">
      <w:pPr>
        <w:pStyle w:val="4"/>
        <w:numPr>
          <w:ilvl w:val="2"/>
          <w:numId w:val="11"/>
        </w:numPr>
        <w:tabs>
          <w:tab w:val="clear" w:pos="0"/>
        </w:tabs>
        <w:ind w:firstLine="0" w:firstLineChars="0"/>
        <w:rPr>
          <w:rFonts w:cs="宋体"/>
          <w:bCs w:val="0"/>
          <w:iCs/>
          <w:lang w:val="en-US"/>
        </w:rPr>
      </w:pPr>
      <w:bookmarkStart w:id="506" w:name="_Toc419277682"/>
      <w:bookmarkEnd w:id="506"/>
      <w:bookmarkStart w:id="507" w:name="_Toc419277485"/>
      <w:bookmarkEnd w:id="507"/>
      <w:bookmarkStart w:id="508" w:name="_Toc419277585"/>
      <w:bookmarkEnd w:id="508"/>
      <w:bookmarkStart w:id="509" w:name="_Toc415850789"/>
      <w:bookmarkEnd w:id="509"/>
      <w:bookmarkStart w:id="510" w:name="_Toc419277384"/>
      <w:bookmarkEnd w:id="510"/>
      <w:r>
        <w:rPr>
          <w:rFonts w:hint="eastAsia" w:cs="宋体"/>
          <w:bCs w:val="0"/>
          <w:iCs/>
          <w:lang w:val="en-US"/>
        </w:rPr>
        <w:t>卧室、起居室（厅）、厨房不应布置在地下室；当布置在半地下室时，应对采光、通风、日照、防潮、排水及安全防护采取措施，并不得降低各项指标要求。</w:t>
      </w:r>
    </w:p>
    <w:p w14:paraId="6E335E5C">
      <w:pPr>
        <w:pStyle w:val="4"/>
        <w:numPr>
          <w:ilvl w:val="2"/>
          <w:numId w:val="11"/>
        </w:numPr>
        <w:tabs>
          <w:tab w:val="clear" w:pos="0"/>
        </w:tabs>
        <w:ind w:firstLine="0" w:firstLineChars="0"/>
        <w:rPr>
          <w:rFonts w:cs="宋体"/>
          <w:bCs w:val="0"/>
          <w:iCs/>
          <w:lang w:val="en-US"/>
        </w:rPr>
      </w:pPr>
      <w:r>
        <w:rPr>
          <w:rFonts w:hint="eastAsia" w:cs="宋体"/>
          <w:bCs w:val="0"/>
          <w:iCs/>
          <w:lang w:val="en-US"/>
        </w:rPr>
        <w:t>住宅的地下室、半地下室做自行车库和设备用房时，其净高不应低于2.10m。</w:t>
      </w:r>
    </w:p>
    <w:p w14:paraId="43B7D82C">
      <w:pPr>
        <w:pStyle w:val="4"/>
        <w:numPr>
          <w:ilvl w:val="2"/>
          <w:numId w:val="11"/>
        </w:numPr>
        <w:tabs>
          <w:tab w:val="clear" w:pos="0"/>
        </w:tabs>
        <w:ind w:firstLine="0" w:firstLineChars="0"/>
        <w:rPr>
          <w:rFonts w:cs="宋体"/>
          <w:bCs w:val="0"/>
          <w:iCs/>
          <w:lang w:val="en-US"/>
        </w:rPr>
      </w:pPr>
      <w:r>
        <w:rPr>
          <w:rFonts w:hint="eastAsia" w:cs="宋体"/>
          <w:bCs w:val="0"/>
          <w:iCs/>
          <w:lang w:val="en-US"/>
        </w:rPr>
        <w:t>地上住宅楼、电梯间宜与地下车库连通，并宜采取安全防盗措施。</w:t>
      </w:r>
    </w:p>
    <w:p w14:paraId="7EECE76C">
      <w:pPr>
        <w:pStyle w:val="4"/>
        <w:numPr>
          <w:ilvl w:val="2"/>
          <w:numId w:val="11"/>
        </w:numPr>
        <w:tabs>
          <w:tab w:val="clear" w:pos="0"/>
        </w:tabs>
        <w:ind w:firstLine="0" w:firstLineChars="0"/>
        <w:rPr>
          <w:rFonts w:cs="宋体"/>
          <w:bCs w:val="0"/>
          <w:iCs/>
          <w:lang w:val="en-US"/>
        </w:rPr>
      </w:pPr>
      <w:bookmarkStart w:id="511" w:name="OLE_LINK1"/>
      <w:r>
        <w:rPr>
          <w:rFonts w:hint="eastAsia" w:cs="宋体"/>
          <w:bCs w:val="0"/>
          <w:iCs/>
          <w:lang w:val="en-US"/>
        </w:rPr>
        <w:t>直通住宅单元的地下楼、电梯间入口处应设置甲级防火门，不应利用楼、电梯间为地下车库进行自然通风。</w:t>
      </w:r>
    </w:p>
    <w:bookmarkEnd w:id="511"/>
    <w:p w14:paraId="61771976">
      <w:pPr>
        <w:pStyle w:val="4"/>
        <w:numPr>
          <w:ilvl w:val="2"/>
          <w:numId w:val="11"/>
        </w:numPr>
        <w:tabs>
          <w:tab w:val="clear" w:pos="0"/>
        </w:tabs>
        <w:ind w:firstLine="0" w:firstLineChars="0"/>
        <w:rPr>
          <w:rFonts w:cs="宋体"/>
          <w:bCs w:val="0"/>
          <w:iCs/>
          <w:lang w:val="en-US"/>
        </w:rPr>
      </w:pPr>
      <w:r>
        <w:rPr>
          <w:rFonts w:hint="eastAsia" w:cs="宋体"/>
          <w:bCs w:val="0"/>
          <w:iCs/>
          <w:lang w:val="en-US"/>
        </w:rPr>
        <w:t>地下室、半地下室应采取有效的防水、防潮及通风措施。地下室通向地面及室外的各种孔口，如采光井、通风井、下沉庭院等应采取排水倒灌措施和防护措施。</w:t>
      </w:r>
    </w:p>
    <w:p w14:paraId="3118AE31">
      <w:pPr>
        <w:pStyle w:val="2"/>
        <w:numPr>
          <w:ilvl w:val="0"/>
          <w:numId w:val="11"/>
        </w:numPr>
        <w:tabs>
          <w:tab w:val="clear" w:pos="0"/>
        </w:tabs>
      </w:pPr>
      <w:bookmarkStart w:id="512" w:name="_Toc419277486"/>
      <w:bookmarkEnd w:id="512"/>
      <w:bookmarkStart w:id="513" w:name="_Toc414356677"/>
      <w:bookmarkEnd w:id="513"/>
      <w:bookmarkStart w:id="514" w:name="_Toc401738213"/>
      <w:bookmarkEnd w:id="514"/>
      <w:bookmarkStart w:id="515" w:name="_Toc425344271"/>
      <w:bookmarkEnd w:id="515"/>
      <w:bookmarkStart w:id="516" w:name="_Toc427323806"/>
      <w:bookmarkEnd w:id="516"/>
      <w:bookmarkStart w:id="517" w:name="_Toc427324202"/>
      <w:bookmarkEnd w:id="517"/>
      <w:bookmarkStart w:id="518" w:name="_Toc419277586"/>
      <w:bookmarkEnd w:id="518"/>
      <w:bookmarkStart w:id="519" w:name="_Toc414522126"/>
      <w:bookmarkEnd w:id="519"/>
      <w:bookmarkStart w:id="520" w:name="_Toc421291542"/>
      <w:bookmarkEnd w:id="520"/>
      <w:bookmarkStart w:id="521" w:name="_Toc425447343"/>
      <w:bookmarkEnd w:id="521"/>
      <w:bookmarkStart w:id="522" w:name="_Toc26816861"/>
      <w:bookmarkEnd w:id="522"/>
      <w:bookmarkStart w:id="523" w:name="_Toc419286276"/>
      <w:bookmarkEnd w:id="523"/>
      <w:bookmarkStart w:id="524" w:name="_Toc408240475"/>
      <w:bookmarkEnd w:id="524"/>
      <w:bookmarkStart w:id="525" w:name="_Toc419286187"/>
      <w:bookmarkEnd w:id="525"/>
      <w:bookmarkStart w:id="526" w:name="_Toc26817471"/>
      <w:bookmarkEnd w:id="526"/>
      <w:bookmarkStart w:id="527" w:name="_Toc403986586"/>
      <w:bookmarkEnd w:id="527"/>
      <w:bookmarkStart w:id="528" w:name="_Toc415214028"/>
      <w:bookmarkEnd w:id="528"/>
      <w:bookmarkStart w:id="529" w:name="_Toc415820741"/>
      <w:bookmarkEnd w:id="529"/>
      <w:bookmarkStart w:id="530" w:name="_Toc413940468"/>
      <w:bookmarkEnd w:id="530"/>
      <w:bookmarkStart w:id="531" w:name="_Toc419277385"/>
      <w:bookmarkEnd w:id="531"/>
      <w:bookmarkStart w:id="532" w:name="_Toc419277683"/>
      <w:bookmarkEnd w:id="532"/>
      <w:bookmarkStart w:id="533" w:name="_Toc415850790"/>
      <w:bookmarkEnd w:id="533"/>
      <w:bookmarkStart w:id="534" w:name="_Toc419277874"/>
      <w:bookmarkEnd w:id="534"/>
      <w:bookmarkStart w:id="535" w:name="_Toc413934949"/>
      <w:bookmarkEnd w:id="535"/>
      <w:bookmarkStart w:id="536" w:name="_Toc414356525"/>
      <w:bookmarkEnd w:id="536"/>
      <w:bookmarkStart w:id="537" w:name="_Toc403029380"/>
      <w:bookmarkEnd w:id="537"/>
      <w:bookmarkStart w:id="538" w:name="_Toc419288534"/>
      <w:bookmarkEnd w:id="538"/>
      <w:bookmarkStart w:id="539" w:name="_Toc420575812"/>
      <w:bookmarkEnd w:id="539"/>
      <w:bookmarkStart w:id="540" w:name="_Toc495998733"/>
      <w:bookmarkEnd w:id="540"/>
      <w:bookmarkStart w:id="541" w:name="_Toc408837014"/>
      <w:bookmarkEnd w:id="541"/>
      <w:bookmarkStart w:id="542" w:name="_Toc425446231"/>
      <w:bookmarkEnd w:id="542"/>
      <w:bookmarkStart w:id="543" w:name="_Toc414955540"/>
      <w:bookmarkEnd w:id="543"/>
      <w:bookmarkStart w:id="544" w:name="_Toc414356829"/>
      <w:bookmarkEnd w:id="544"/>
      <w:bookmarkStart w:id="545" w:name="_Toc414551245"/>
      <w:bookmarkEnd w:id="545"/>
      <w:bookmarkStart w:id="546" w:name="_Toc425427826"/>
      <w:bookmarkEnd w:id="546"/>
      <w:bookmarkStart w:id="547" w:name="_Toc415068748"/>
      <w:bookmarkEnd w:id="547"/>
      <w:bookmarkStart w:id="548" w:name="_Toc422990181"/>
      <w:bookmarkEnd w:id="548"/>
      <w:bookmarkStart w:id="549" w:name="_Toc419277786"/>
      <w:bookmarkEnd w:id="549"/>
      <w:bookmarkStart w:id="550" w:name="_Toc425428106"/>
      <w:bookmarkEnd w:id="550"/>
      <w:bookmarkStart w:id="551" w:name="_Toc401592949"/>
      <w:bookmarkEnd w:id="551"/>
      <w:bookmarkStart w:id="552" w:name="_Toc425427969"/>
      <w:bookmarkEnd w:id="552"/>
      <w:bookmarkStart w:id="553" w:name="_Toc422931143"/>
      <w:bookmarkEnd w:id="553"/>
      <w:bookmarkStart w:id="554" w:name="_Toc414955463"/>
      <w:bookmarkEnd w:id="554"/>
      <w:bookmarkStart w:id="555" w:name="_Toc413943691"/>
      <w:bookmarkEnd w:id="555"/>
      <w:bookmarkStart w:id="556" w:name="_Toc414551406"/>
      <w:bookmarkEnd w:id="556"/>
      <w:bookmarkStart w:id="557" w:name="_Toc6389"/>
      <w:bookmarkStart w:id="558" w:name="_Toc23191"/>
      <w:bookmarkStart w:id="559" w:name="_Toc422990185"/>
      <w:bookmarkStart w:id="560" w:name="_Toc425428110"/>
      <w:bookmarkStart w:id="561" w:name="_Toc6748"/>
      <w:bookmarkStart w:id="562" w:name="_Toc425447347"/>
      <w:bookmarkStart w:id="563" w:name="_Toc29415"/>
      <w:bookmarkStart w:id="564" w:name="_Toc29367"/>
      <w:bookmarkStart w:id="565" w:name="_Toc414356840"/>
      <w:bookmarkStart w:id="566" w:name="_Toc427324206"/>
      <w:bookmarkStart w:id="567" w:name="_Toc9103"/>
      <w:bookmarkStart w:id="568" w:name="_Toc414356536"/>
      <w:bookmarkStart w:id="569" w:name="_Toc10381"/>
      <w:bookmarkStart w:id="570" w:name="_Toc13490"/>
      <w:bookmarkStart w:id="571" w:name="_Toc20274"/>
      <w:bookmarkStart w:id="572" w:name="_Toc1926"/>
      <w:bookmarkStart w:id="573" w:name="_Toc422931147"/>
      <w:r>
        <w:rPr>
          <w:rFonts w:hint="eastAsia"/>
        </w:rPr>
        <w:t>住宅设施</w:t>
      </w:r>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Start w:id="574" w:name="_Toc427324207"/>
      <w:bookmarkEnd w:id="574"/>
      <w:bookmarkStart w:id="575" w:name="_Toc427323811"/>
      <w:bookmarkEnd w:id="575"/>
      <w:bookmarkStart w:id="576" w:name="_Toc422990186"/>
      <w:bookmarkEnd w:id="576"/>
      <w:bookmarkStart w:id="577" w:name="_Toc420575817"/>
      <w:bookmarkEnd w:id="577"/>
      <w:bookmarkStart w:id="578" w:name="_Toc419286192"/>
      <w:bookmarkEnd w:id="578"/>
      <w:bookmarkStart w:id="579" w:name="_Toc495998738"/>
      <w:bookmarkEnd w:id="579"/>
      <w:bookmarkStart w:id="580" w:name="_Toc422931148"/>
      <w:bookmarkEnd w:id="580"/>
      <w:bookmarkStart w:id="581" w:name="_Toc419277791"/>
      <w:bookmarkEnd w:id="581"/>
      <w:bookmarkStart w:id="582" w:name="_Toc425427831"/>
      <w:bookmarkEnd w:id="582"/>
      <w:bookmarkStart w:id="583" w:name="_Toc421291547"/>
      <w:bookmarkEnd w:id="583"/>
      <w:bookmarkStart w:id="584" w:name="_Toc425447348"/>
      <w:bookmarkEnd w:id="584"/>
      <w:bookmarkStart w:id="585" w:name="_Toc26816866"/>
      <w:bookmarkEnd w:id="585"/>
      <w:bookmarkStart w:id="586" w:name="_Toc419277688"/>
      <w:bookmarkEnd w:id="586"/>
      <w:bookmarkStart w:id="587" w:name="_Toc26817476"/>
      <w:bookmarkEnd w:id="587"/>
      <w:bookmarkStart w:id="588" w:name="_Toc419288539"/>
      <w:bookmarkEnd w:id="588"/>
      <w:bookmarkStart w:id="589" w:name="_Toc425446236"/>
      <w:bookmarkEnd w:id="589"/>
      <w:bookmarkStart w:id="590" w:name="_Toc419286281"/>
      <w:bookmarkEnd w:id="590"/>
      <w:bookmarkStart w:id="591" w:name="_Toc425428111"/>
      <w:bookmarkEnd w:id="591"/>
      <w:bookmarkStart w:id="592" w:name="_Toc419277879"/>
      <w:bookmarkEnd w:id="592"/>
      <w:bookmarkStart w:id="593" w:name="_Toc425344276"/>
      <w:bookmarkEnd w:id="593"/>
      <w:bookmarkStart w:id="594" w:name="_Toc425427974"/>
      <w:bookmarkEnd w:id="594"/>
    </w:p>
    <w:p w14:paraId="1ADF5DFA">
      <w:pPr>
        <w:pStyle w:val="3"/>
        <w:numPr>
          <w:ilvl w:val="1"/>
          <w:numId w:val="11"/>
        </w:numPr>
      </w:pPr>
      <w:bookmarkStart w:id="595" w:name="_Toc427324208"/>
      <w:bookmarkStart w:id="596" w:name="_Toc1915"/>
      <w:bookmarkStart w:id="597" w:name="_Toc425447349"/>
      <w:bookmarkStart w:id="598" w:name="_Toc422990187"/>
      <w:bookmarkStart w:id="599" w:name="_Toc6977"/>
      <w:bookmarkStart w:id="600" w:name="_Toc12732"/>
      <w:bookmarkStart w:id="601" w:name="_Toc18298"/>
      <w:bookmarkStart w:id="602" w:name="_Toc422931149"/>
      <w:bookmarkStart w:id="603" w:name="_Toc21581"/>
      <w:bookmarkStart w:id="604" w:name="_Toc425428112"/>
      <w:bookmarkStart w:id="605" w:name="_Toc30566"/>
      <w:bookmarkStart w:id="606" w:name="_Toc4755"/>
      <w:bookmarkStart w:id="607" w:name="_Toc3799"/>
      <w:bookmarkStart w:id="608" w:name="_Toc1862"/>
      <w:bookmarkStart w:id="609" w:name="_Toc28425"/>
      <w:r>
        <w:rPr>
          <w:rFonts w:hint="eastAsia"/>
        </w:rPr>
        <w:t>门</w:t>
      </w:r>
      <w:r>
        <w:rPr>
          <w:rFonts w:hint="eastAsia" w:eastAsia="黑体"/>
          <w:sz w:val="36"/>
          <w:szCs w:val="36"/>
        </w:rPr>
        <w:t xml:space="preserve">  </w:t>
      </w:r>
      <w:r>
        <w:rPr>
          <w:rFonts w:hint="eastAsia"/>
        </w:rPr>
        <w:t>窗</w:t>
      </w:r>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p>
    <w:p w14:paraId="062500F0">
      <w:pPr>
        <w:pStyle w:val="4"/>
        <w:numPr>
          <w:ilvl w:val="2"/>
          <w:numId w:val="11"/>
        </w:numPr>
        <w:tabs>
          <w:tab w:val="clear" w:pos="0"/>
        </w:tabs>
        <w:ind w:firstLine="0" w:firstLineChars="0"/>
        <w:rPr>
          <w:rFonts w:cs="宋体"/>
          <w:bCs w:val="0"/>
          <w:iCs/>
          <w:lang w:val="en-US"/>
        </w:rPr>
      </w:pPr>
      <w:bookmarkStart w:id="610" w:name="_Toc419277492"/>
      <w:bookmarkEnd w:id="610"/>
      <w:bookmarkStart w:id="611" w:name="_Toc419277394"/>
      <w:bookmarkEnd w:id="611"/>
      <w:bookmarkStart w:id="612" w:name="_Toc415850796"/>
      <w:bookmarkEnd w:id="612"/>
      <w:bookmarkStart w:id="613" w:name="_Toc419277595"/>
      <w:bookmarkEnd w:id="613"/>
      <w:bookmarkStart w:id="614" w:name="_Toc415850799"/>
      <w:bookmarkEnd w:id="614"/>
      <w:bookmarkStart w:id="615" w:name="_Toc419277592"/>
      <w:bookmarkEnd w:id="615"/>
      <w:bookmarkStart w:id="616" w:name="_Toc419277391"/>
      <w:bookmarkEnd w:id="616"/>
      <w:bookmarkStart w:id="617" w:name="_Toc419277495"/>
      <w:bookmarkEnd w:id="617"/>
      <w:bookmarkStart w:id="618" w:name="_Toc414356539"/>
      <w:bookmarkStart w:id="619" w:name="_Toc414356843"/>
      <w:r>
        <w:rPr>
          <w:rFonts w:hint="eastAsia" w:cs="宋体"/>
          <w:bCs w:val="0"/>
          <w:iCs/>
          <w:lang w:val="en-US"/>
        </w:rPr>
        <w:t>临空外窗的窗台距室内地面的净高小于0.90m时，应配置防护设施，防护设施的高度应由室内地面或可踏面起算，且不应小于0.90m。</w:t>
      </w:r>
    </w:p>
    <w:p w14:paraId="54A1A4BE">
      <w:pPr>
        <w:pStyle w:val="4"/>
        <w:numPr>
          <w:ilvl w:val="2"/>
          <w:numId w:val="11"/>
        </w:numPr>
        <w:tabs>
          <w:tab w:val="clear" w:pos="0"/>
        </w:tabs>
        <w:ind w:firstLine="0" w:firstLineChars="0"/>
        <w:rPr>
          <w:rFonts w:cs="宋体"/>
          <w:bCs w:val="0"/>
          <w:iCs/>
          <w:lang w:val="en-US"/>
        </w:rPr>
      </w:pPr>
      <w:r>
        <w:rPr>
          <w:rFonts w:hint="eastAsia" w:cs="宋体"/>
          <w:bCs w:val="0"/>
          <w:iCs/>
          <w:lang w:val="en-US"/>
        </w:rPr>
        <w:t>住宅北向不应设置凸窗。</w:t>
      </w:r>
    </w:p>
    <w:p w14:paraId="5839F7A5">
      <w:pPr>
        <w:pStyle w:val="4"/>
        <w:numPr>
          <w:ilvl w:val="2"/>
          <w:numId w:val="11"/>
        </w:numPr>
        <w:tabs>
          <w:tab w:val="clear" w:pos="0"/>
        </w:tabs>
        <w:ind w:firstLine="0" w:firstLineChars="0"/>
        <w:rPr>
          <w:rFonts w:cs="宋体"/>
          <w:bCs w:val="0"/>
          <w:iCs/>
          <w:lang w:val="en-US"/>
        </w:rPr>
      </w:pPr>
      <w:r>
        <w:rPr>
          <w:rFonts w:hint="eastAsia" w:cs="宋体"/>
          <w:bCs w:val="0"/>
          <w:iCs/>
          <w:lang w:val="en-US"/>
        </w:rPr>
        <w:t>东、西、南向不宜设置凸窗，当设置凸窗时，凸窗窗台高度小于或等于0.45m时，其防护设施高度应从窗台面起算，且不应小于0.90m；凸窗窗台高度大于0.45m时，其防护设施高度应从窗台面起算，且不应小于0.60m；凸窗的防护设施应贴外窗设置。凸窗上设有可开启窗扇时，其可开启窗扇底距窗台面的净高小于0.90m时，开启扇窗洞口处应配置防护设施；其防护高度从窗台面起算不应小于0.90m。</w:t>
      </w:r>
    </w:p>
    <w:p w14:paraId="42DE60FD">
      <w:pPr>
        <w:pStyle w:val="4"/>
        <w:numPr>
          <w:ilvl w:val="2"/>
          <w:numId w:val="11"/>
        </w:numPr>
        <w:tabs>
          <w:tab w:val="clear" w:pos="0"/>
        </w:tabs>
        <w:ind w:firstLine="0" w:firstLineChars="0"/>
        <w:rPr>
          <w:rFonts w:cs="宋体"/>
          <w:bCs w:val="0"/>
          <w:iCs/>
          <w:lang w:val="en-US"/>
        </w:rPr>
      </w:pPr>
      <w:r>
        <w:rPr>
          <w:rFonts w:hint="eastAsia" w:cs="宋体"/>
          <w:bCs w:val="0"/>
          <w:iCs/>
          <w:lang w:val="en-US"/>
        </w:rPr>
        <w:t>面临走廊、共用上人屋面或凹口的窗，应避免视线干扰。向走廊开启的窗扇不应妨碍交通。</w:t>
      </w:r>
    </w:p>
    <w:p w14:paraId="683BA0E6">
      <w:pPr>
        <w:pStyle w:val="4"/>
        <w:numPr>
          <w:ilvl w:val="2"/>
          <w:numId w:val="11"/>
        </w:numPr>
        <w:tabs>
          <w:tab w:val="clear" w:pos="0"/>
        </w:tabs>
        <w:ind w:firstLine="0" w:firstLineChars="0"/>
        <w:rPr>
          <w:rFonts w:cs="宋体"/>
          <w:bCs w:val="0"/>
          <w:iCs/>
          <w:lang w:val="en-US"/>
        </w:rPr>
      </w:pPr>
      <w:r>
        <w:rPr>
          <w:rFonts w:hint="eastAsia" w:cs="宋体"/>
          <w:bCs w:val="0"/>
          <w:iCs/>
          <w:lang w:val="en-US"/>
        </w:rPr>
        <w:t>住宅建筑应在首层出入口（单元门）处设置安全门禁系统；住宅底层车库内通往各单元入口处也应设置安全门禁系统。</w:t>
      </w:r>
    </w:p>
    <w:p w14:paraId="52989356">
      <w:pPr>
        <w:pStyle w:val="4"/>
        <w:numPr>
          <w:ilvl w:val="2"/>
          <w:numId w:val="11"/>
        </w:numPr>
        <w:tabs>
          <w:tab w:val="clear" w:pos="0"/>
        </w:tabs>
        <w:ind w:firstLine="0" w:firstLineChars="0"/>
        <w:rPr>
          <w:rFonts w:cs="宋体"/>
          <w:bCs w:val="0"/>
          <w:iCs/>
          <w:lang w:val="en-US"/>
        </w:rPr>
      </w:pPr>
      <w:r>
        <w:rPr>
          <w:rFonts w:hint="eastAsia" w:cs="宋体"/>
          <w:bCs w:val="0"/>
          <w:iCs/>
          <w:lang w:val="en-US"/>
        </w:rPr>
        <w:t>住宅建筑疏散通道上和出入口处的门禁应具备紧急情况下就地从内部手动解除的功能。</w:t>
      </w:r>
    </w:p>
    <w:p w14:paraId="425926C7">
      <w:pPr>
        <w:pStyle w:val="4"/>
        <w:numPr>
          <w:ilvl w:val="2"/>
          <w:numId w:val="11"/>
        </w:numPr>
        <w:tabs>
          <w:tab w:val="clear" w:pos="0"/>
        </w:tabs>
        <w:ind w:firstLine="0" w:firstLineChars="0"/>
        <w:rPr>
          <w:rFonts w:cs="宋体"/>
          <w:bCs w:val="0"/>
          <w:iCs/>
          <w:lang w:val="en-US"/>
        </w:rPr>
      </w:pPr>
      <w:r>
        <w:rPr>
          <w:rFonts w:hint="eastAsia" w:cs="宋体"/>
          <w:bCs w:val="0"/>
          <w:iCs/>
          <w:lang w:val="en-US"/>
        </w:rPr>
        <w:t>住宅的外门窗遇下列情况时应设置入侵防范措施：</w:t>
      </w:r>
    </w:p>
    <w:p w14:paraId="713186A4">
      <w:pPr>
        <w:ind w:firstLine="482"/>
        <w:rPr>
          <w:lang w:val="zh-CN"/>
        </w:rPr>
      </w:pPr>
      <w:r>
        <w:rPr>
          <w:rFonts w:hint="eastAsia"/>
          <w:b/>
          <w:bCs/>
          <w:lang w:val="zh-CN"/>
        </w:rPr>
        <w:t>1</w:t>
      </w:r>
      <w:r>
        <w:rPr>
          <w:rFonts w:hint="eastAsia"/>
          <w:lang w:val="zh-CN"/>
        </w:rPr>
        <w:t xml:space="preserve">  首层各外</w:t>
      </w:r>
      <w:r>
        <w:rPr>
          <w:rFonts w:hint="eastAsia"/>
        </w:rPr>
        <w:t>门</w:t>
      </w:r>
      <w:r>
        <w:rPr>
          <w:rFonts w:hint="eastAsia"/>
          <w:lang w:val="zh-CN"/>
        </w:rPr>
        <w:t>窗，包括封闭阳台的窗和不封闭阳台从室外通向阳台的门窗。</w:t>
      </w:r>
    </w:p>
    <w:p w14:paraId="1407466E">
      <w:pPr>
        <w:ind w:firstLine="482"/>
        <w:rPr>
          <w:lang w:val="zh-CN"/>
        </w:rPr>
      </w:pPr>
      <w:r>
        <w:rPr>
          <w:rFonts w:hint="eastAsia"/>
          <w:b/>
          <w:bCs/>
          <w:lang w:val="zh-CN"/>
        </w:rPr>
        <w:t>2</w:t>
      </w:r>
      <w:r>
        <w:rPr>
          <w:rFonts w:hint="eastAsia"/>
          <w:lang w:val="zh-CN"/>
        </w:rPr>
        <w:t xml:space="preserve">  其他</w:t>
      </w:r>
      <w:r>
        <w:rPr>
          <w:lang w:val="zh-CN"/>
        </w:rPr>
        <w:t>层的外窗窗台距下部屋顶平台、大挑檐、公共走廊的地面等距离不足</w:t>
      </w:r>
      <w:r>
        <w:rPr>
          <w:rFonts w:hint="eastAsia"/>
          <w:lang w:val="zh-CN"/>
        </w:rPr>
        <w:t>2m</w:t>
      </w:r>
      <w:r>
        <w:rPr>
          <w:lang w:val="zh-CN"/>
        </w:rPr>
        <w:t>的门窗。</w:t>
      </w:r>
    </w:p>
    <w:p w14:paraId="76259F62">
      <w:pPr>
        <w:ind w:firstLine="482"/>
        <w:rPr>
          <w:lang w:val="zh-CN"/>
        </w:rPr>
      </w:pPr>
      <w:r>
        <w:rPr>
          <w:rFonts w:hint="eastAsia"/>
          <w:b/>
          <w:bCs/>
          <w:lang w:val="zh-CN"/>
        </w:rPr>
        <w:t>3</w:t>
      </w:r>
      <w:r>
        <w:rPr>
          <w:rFonts w:hint="eastAsia"/>
          <w:lang w:val="zh-CN"/>
        </w:rPr>
        <w:t xml:space="preserve">  </w:t>
      </w:r>
      <w:r>
        <w:rPr>
          <w:lang w:val="zh-CN"/>
        </w:rPr>
        <w:t>其它有入侵可能的外门窗。</w:t>
      </w:r>
    </w:p>
    <w:p w14:paraId="1C606000">
      <w:pPr>
        <w:pStyle w:val="4"/>
        <w:numPr>
          <w:ilvl w:val="2"/>
          <w:numId w:val="11"/>
        </w:numPr>
        <w:tabs>
          <w:tab w:val="clear" w:pos="0"/>
        </w:tabs>
        <w:ind w:firstLine="0" w:firstLineChars="0"/>
        <w:rPr>
          <w:rFonts w:cs="宋体"/>
          <w:bCs w:val="0"/>
          <w:iCs/>
          <w:lang w:val="en-US"/>
        </w:rPr>
      </w:pPr>
      <w:r>
        <w:rPr>
          <w:rFonts w:hint="eastAsia" w:cs="宋体"/>
          <w:bCs w:val="0"/>
          <w:iCs/>
          <w:lang w:val="en-US"/>
        </w:rPr>
        <w:t>户门应采用具备防盗、保温、隔声功能的防护门。向外开启的时候不应妨碍公共交通及相邻户门开启。</w:t>
      </w:r>
    </w:p>
    <w:p w14:paraId="384F9AF8">
      <w:pPr>
        <w:pStyle w:val="4"/>
        <w:numPr>
          <w:ilvl w:val="2"/>
          <w:numId w:val="11"/>
        </w:numPr>
        <w:tabs>
          <w:tab w:val="clear" w:pos="0"/>
        </w:tabs>
        <w:ind w:firstLine="0" w:firstLineChars="0"/>
        <w:rPr>
          <w:rFonts w:cs="宋体"/>
          <w:bCs w:val="0"/>
          <w:iCs/>
          <w:lang w:val="en-US"/>
        </w:rPr>
      </w:pPr>
      <w:r>
        <w:rPr>
          <w:rFonts w:hint="eastAsia" w:cs="宋体"/>
          <w:bCs w:val="0"/>
          <w:iCs/>
          <w:lang w:val="en-US"/>
        </w:rPr>
        <w:t>临空外窗处的安全防护措施设计应美观实用，宜与外窗一体化设置。</w:t>
      </w:r>
    </w:p>
    <w:p w14:paraId="60F8F40F">
      <w:pPr>
        <w:pStyle w:val="4"/>
        <w:numPr>
          <w:ilvl w:val="2"/>
          <w:numId w:val="11"/>
        </w:numPr>
        <w:tabs>
          <w:tab w:val="clear" w:pos="0"/>
        </w:tabs>
        <w:ind w:firstLine="0" w:firstLineChars="0"/>
        <w:rPr>
          <w:rFonts w:cs="宋体"/>
          <w:bCs w:val="0"/>
          <w:iCs/>
          <w:lang w:val="en-US"/>
        </w:rPr>
      </w:pPr>
      <w:r>
        <w:rPr>
          <w:rFonts w:hint="eastAsia" w:cs="宋体"/>
          <w:bCs w:val="0"/>
          <w:iCs/>
          <w:lang w:val="en-US"/>
        </w:rPr>
        <w:t>厨房、卫生间及贮藏室的门应在下部设置有效截面积不小于0.02</w:t>
      </w:r>
      <w:r>
        <w:rPr>
          <w:rFonts w:cs="宋体"/>
          <w:bCs w:val="0"/>
          <w:iCs/>
          <w:vertAlign w:val="baseline"/>
          <w:lang w:val="en-US"/>
        </w:rPr>
        <w:t>m</w:t>
      </w:r>
      <w:r>
        <w:rPr>
          <w:rFonts w:hint="eastAsia" w:cs="宋体"/>
          <w:bCs w:val="0"/>
          <w:iCs/>
          <w:vertAlign w:val="superscript"/>
          <w:lang w:val="en-US"/>
        </w:rPr>
        <w:t>2</w:t>
      </w:r>
      <w:r>
        <w:rPr>
          <w:rFonts w:hint="eastAsia" w:cs="宋体"/>
          <w:bCs w:val="0"/>
          <w:iCs/>
          <w:lang w:val="en-US"/>
        </w:rPr>
        <w:t>的固定百叶，也可距地面留出不小于30mm的缝隙。</w:t>
      </w:r>
    </w:p>
    <w:p w14:paraId="49B7C6BB">
      <w:pPr>
        <w:pStyle w:val="4"/>
        <w:numPr>
          <w:ilvl w:val="2"/>
          <w:numId w:val="11"/>
        </w:numPr>
        <w:tabs>
          <w:tab w:val="clear" w:pos="0"/>
        </w:tabs>
        <w:ind w:firstLine="0" w:firstLineChars="0"/>
        <w:rPr>
          <w:rFonts w:cs="宋体"/>
          <w:bCs w:val="0"/>
          <w:iCs/>
          <w:lang w:val="en-US"/>
        </w:rPr>
      </w:pPr>
      <w:r>
        <w:rPr>
          <w:rFonts w:hint="eastAsia" w:cs="宋体"/>
          <w:bCs w:val="0"/>
          <w:iCs/>
          <w:lang w:val="en-US"/>
        </w:rPr>
        <w:t>各部位门洞最小净尺寸应符合表7.1.11的规定</w:t>
      </w:r>
    </w:p>
    <w:p w14:paraId="2A4FC143">
      <w:pPr>
        <w:ind w:firstLine="422"/>
        <w:jc w:val="center"/>
        <w:rPr>
          <w:rFonts w:ascii="黑体" w:eastAsia="黑体"/>
          <w:b/>
          <w:sz w:val="21"/>
          <w:szCs w:val="21"/>
        </w:rPr>
      </w:pPr>
      <w:r>
        <w:rPr>
          <w:rFonts w:hint="eastAsia" w:ascii="黑体" w:eastAsia="黑体"/>
          <w:b/>
          <w:sz w:val="21"/>
          <w:szCs w:val="21"/>
        </w:rPr>
        <w:t>表</w:t>
      </w:r>
      <w:r>
        <w:rPr>
          <w:rFonts w:eastAsia="黑体" w:cs="Calibri"/>
          <w:b/>
          <w:sz w:val="21"/>
          <w:szCs w:val="21"/>
        </w:rPr>
        <w:t>7.1.11</w:t>
      </w:r>
      <w:r>
        <w:rPr>
          <w:rFonts w:hint="eastAsia" w:ascii="黑体" w:eastAsia="黑体"/>
          <w:b/>
          <w:sz w:val="21"/>
          <w:szCs w:val="21"/>
        </w:rPr>
        <w:t>门洞最小尺寸</w:t>
      </w:r>
    </w:p>
    <w:tbl>
      <w:tblPr>
        <w:tblStyle w:val="30"/>
        <w:tblW w:w="49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0"/>
        <w:gridCol w:w="1701"/>
        <w:gridCol w:w="1701"/>
      </w:tblGrid>
      <w:tr w14:paraId="20197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560" w:type="dxa"/>
            <w:vAlign w:val="center"/>
          </w:tcPr>
          <w:p w14:paraId="50B5EC33">
            <w:pPr>
              <w:ind w:firstLine="1" w:firstLineChars="0"/>
              <w:jc w:val="center"/>
              <w:rPr>
                <w:rFonts w:ascii="宋体" w:hAnsi="宋体" w:eastAsiaTheme="minorEastAsia" w:cstheme="minorBidi"/>
                <w:sz w:val="18"/>
                <w:szCs w:val="18"/>
              </w:rPr>
            </w:pPr>
            <w:r>
              <w:rPr>
                <w:rFonts w:hint="eastAsia" w:ascii="宋体" w:hAnsi="宋体" w:eastAsiaTheme="minorEastAsia" w:cstheme="minorBidi"/>
                <w:sz w:val="18"/>
                <w:szCs w:val="18"/>
              </w:rPr>
              <w:t>类别</w:t>
            </w:r>
          </w:p>
        </w:tc>
        <w:tc>
          <w:tcPr>
            <w:tcW w:w="1701" w:type="dxa"/>
            <w:vAlign w:val="center"/>
          </w:tcPr>
          <w:p w14:paraId="6E333797">
            <w:pPr>
              <w:ind w:firstLine="1" w:firstLineChars="0"/>
              <w:jc w:val="center"/>
              <w:rPr>
                <w:rFonts w:ascii="宋体" w:hAnsi="宋体" w:eastAsiaTheme="minorEastAsia" w:cstheme="minorBidi"/>
                <w:sz w:val="18"/>
                <w:szCs w:val="18"/>
              </w:rPr>
            </w:pPr>
            <w:r>
              <w:rPr>
                <w:rFonts w:hint="eastAsia" w:ascii="宋体" w:hAnsi="宋体" w:eastAsiaTheme="minorEastAsia" w:cstheme="minorBidi"/>
                <w:sz w:val="18"/>
                <w:szCs w:val="18"/>
              </w:rPr>
              <w:t>门洞宽度（</w:t>
            </w:r>
            <w:r>
              <w:rPr>
                <w:rFonts w:ascii="宋体" w:hAnsi="宋体" w:eastAsiaTheme="minorEastAsia" w:cstheme="minorBidi"/>
                <w:sz w:val="18"/>
                <w:szCs w:val="18"/>
              </w:rPr>
              <w:t>m）</w:t>
            </w:r>
          </w:p>
        </w:tc>
        <w:tc>
          <w:tcPr>
            <w:tcW w:w="1701" w:type="dxa"/>
            <w:vAlign w:val="center"/>
          </w:tcPr>
          <w:p w14:paraId="3DE89E9B">
            <w:pPr>
              <w:ind w:firstLine="1" w:firstLineChars="0"/>
              <w:jc w:val="center"/>
              <w:rPr>
                <w:rFonts w:ascii="宋体" w:hAnsi="宋体" w:eastAsiaTheme="minorEastAsia" w:cstheme="minorBidi"/>
                <w:sz w:val="18"/>
                <w:szCs w:val="18"/>
              </w:rPr>
            </w:pPr>
            <w:r>
              <w:rPr>
                <w:rFonts w:hint="eastAsia" w:ascii="宋体" w:hAnsi="宋体" w:eastAsiaTheme="minorEastAsia" w:cstheme="minorBidi"/>
                <w:sz w:val="18"/>
                <w:szCs w:val="18"/>
              </w:rPr>
              <w:t>门洞高度（</w:t>
            </w:r>
            <w:r>
              <w:rPr>
                <w:rFonts w:ascii="宋体" w:hAnsi="宋体" w:eastAsiaTheme="minorEastAsia" w:cstheme="minorBidi"/>
                <w:sz w:val="18"/>
                <w:szCs w:val="18"/>
              </w:rPr>
              <w:t>m）</w:t>
            </w:r>
          </w:p>
        </w:tc>
      </w:tr>
      <w:tr w14:paraId="05B72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560" w:type="dxa"/>
            <w:vAlign w:val="center"/>
          </w:tcPr>
          <w:p w14:paraId="0C3C17CF">
            <w:pPr>
              <w:ind w:firstLine="1" w:firstLineChars="0"/>
              <w:jc w:val="center"/>
              <w:rPr>
                <w:rFonts w:ascii="宋体" w:hAnsi="宋体" w:eastAsiaTheme="minorEastAsia" w:cstheme="minorBidi"/>
                <w:sz w:val="18"/>
                <w:szCs w:val="18"/>
              </w:rPr>
            </w:pPr>
            <w:r>
              <w:rPr>
                <w:rFonts w:hint="eastAsia" w:ascii="宋体" w:hAnsi="宋体" w:eastAsiaTheme="minorEastAsia" w:cstheme="minorBidi"/>
                <w:sz w:val="18"/>
                <w:szCs w:val="18"/>
              </w:rPr>
              <w:t>共用外门</w:t>
            </w:r>
          </w:p>
        </w:tc>
        <w:tc>
          <w:tcPr>
            <w:tcW w:w="1701" w:type="dxa"/>
            <w:vAlign w:val="center"/>
          </w:tcPr>
          <w:p w14:paraId="786A10AD">
            <w:pPr>
              <w:ind w:firstLine="1" w:firstLineChars="0"/>
              <w:jc w:val="center"/>
              <w:rPr>
                <w:rFonts w:ascii="宋体" w:hAnsi="宋体" w:eastAsiaTheme="minorEastAsia" w:cstheme="minorBidi"/>
                <w:sz w:val="18"/>
                <w:szCs w:val="18"/>
              </w:rPr>
            </w:pPr>
            <w:r>
              <w:rPr>
                <w:rFonts w:ascii="宋体" w:hAnsi="宋体" w:eastAsiaTheme="minorEastAsia" w:cstheme="minorBidi"/>
                <w:sz w:val="18"/>
                <w:szCs w:val="18"/>
              </w:rPr>
              <w:t>1.20</w:t>
            </w:r>
          </w:p>
        </w:tc>
        <w:tc>
          <w:tcPr>
            <w:tcW w:w="1701" w:type="dxa"/>
            <w:vAlign w:val="center"/>
          </w:tcPr>
          <w:p w14:paraId="180EAAB2">
            <w:pPr>
              <w:ind w:firstLine="1" w:firstLineChars="0"/>
              <w:jc w:val="center"/>
              <w:rPr>
                <w:rFonts w:ascii="宋体" w:hAnsi="宋体" w:eastAsiaTheme="minorEastAsia" w:cstheme="minorBidi"/>
                <w:sz w:val="18"/>
                <w:szCs w:val="18"/>
              </w:rPr>
            </w:pPr>
            <w:r>
              <w:rPr>
                <w:rFonts w:hint="eastAsia" w:ascii="宋体" w:hAnsi="宋体" w:eastAsiaTheme="minorEastAsia" w:cstheme="minorBidi"/>
                <w:sz w:val="18"/>
                <w:szCs w:val="18"/>
              </w:rPr>
              <w:t>2.30</w:t>
            </w:r>
          </w:p>
        </w:tc>
      </w:tr>
      <w:tr w14:paraId="05102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560" w:type="dxa"/>
            <w:vAlign w:val="center"/>
          </w:tcPr>
          <w:p w14:paraId="5F4EFD9C">
            <w:pPr>
              <w:ind w:firstLine="1" w:firstLineChars="0"/>
              <w:jc w:val="center"/>
              <w:rPr>
                <w:rFonts w:ascii="宋体" w:hAnsi="宋体" w:eastAsiaTheme="minorEastAsia" w:cstheme="minorBidi"/>
                <w:sz w:val="18"/>
                <w:szCs w:val="18"/>
              </w:rPr>
            </w:pPr>
            <w:r>
              <w:rPr>
                <w:rFonts w:hint="eastAsia" w:ascii="宋体" w:hAnsi="宋体" w:eastAsiaTheme="minorEastAsia" w:cstheme="minorBidi"/>
                <w:sz w:val="18"/>
                <w:szCs w:val="18"/>
              </w:rPr>
              <w:t>户（套）门</w:t>
            </w:r>
          </w:p>
        </w:tc>
        <w:tc>
          <w:tcPr>
            <w:tcW w:w="1701" w:type="dxa"/>
            <w:vAlign w:val="center"/>
          </w:tcPr>
          <w:p w14:paraId="746426F4">
            <w:pPr>
              <w:ind w:firstLine="1" w:firstLineChars="0"/>
              <w:jc w:val="center"/>
              <w:rPr>
                <w:rFonts w:ascii="宋体" w:hAnsi="宋体" w:eastAsiaTheme="minorEastAsia" w:cstheme="minorBidi"/>
                <w:sz w:val="18"/>
                <w:szCs w:val="18"/>
              </w:rPr>
            </w:pPr>
            <w:r>
              <w:rPr>
                <w:rFonts w:ascii="宋体" w:hAnsi="宋体" w:eastAsiaTheme="minorEastAsia" w:cstheme="minorBidi"/>
                <w:sz w:val="18"/>
                <w:szCs w:val="18"/>
              </w:rPr>
              <w:t>1.10</w:t>
            </w:r>
          </w:p>
        </w:tc>
        <w:tc>
          <w:tcPr>
            <w:tcW w:w="1701" w:type="dxa"/>
            <w:vAlign w:val="center"/>
          </w:tcPr>
          <w:p w14:paraId="41376450">
            <w:pPr>
              <w:ind w:firstLine="1" w:firstLineChars="0"/>
              <w:jc w:val="center"/>
              <w:rPr>
                <w:rFonts w:ascii="宋体" w:hAnsi="宋体" w:eastAsiaTheme="minorEastAsia" w:cstheme="minorBidi"/>
                <w:sz w:val="18"/>
                <w:szCs w:val="18"/>
              </w:rPr>
            </w:pPr>
            <w:r>
              <w:rPr>
                <w:rFonts w:ascii="宋体" w:hAnsi="宋体" w:eastAsiaTheme="minorEastAsia" w:cstheme="minorBidi"/>
                <w:sz w:val="18"/>
                <w:szCs w:val="18"/>
              </w:rPr>
              <w:t>2.30</w:t>
            </w:r>
          </w:p>
        </w:tc>
      </w:tr>
      <w:tr w14:paraId="5B3E7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560" w:type="dxa"/>
            <w:vAlign w:val="center"/>
          </w:tcPr>
          <w:p w14:paraId="588FAE7C">
            <w:pPr>
              <w:ind w:firstLine="1" w:firstLineChars="0"/>
              <w:jc w:val="center"/>
              <w:rPr>
                <w:rFonts w:ascii="宋体" w:hAnsi="宋体" w:eastAsiaTheme="minorEastAsia" w:cstheme="minorBidi"/>
                <w:sz w:val="18"/>
                <w:szCs w:val="18"/>
              </w:rPr>
            </w:pPr>
            <w:r>
              <w:rPr>
                <w:rFonts w:hint="eastAsia" w:ascii="宋体" w:hAnsi="宋体" w:eastAsiaTheme="minorEastAsia" w:cstheme="minorBidi"/>
                <w:sz w:val="18"/>
                <w:szCs w:val="18"/>
              </w:rPr>
              <w:t>起居室（厅）</w:t>
            </w:r>
          </w:p>
        </w:tc>
        <w:tc>
          <w:tcPr>
            <w:tcW w:w="1701" w:type="dxa"/>
            <w:vAlign w:val="center"/>
          </w:tcPr>
          <w:p w14:paraId="1B25B4A0">
            <w:pPr>
              <w:ind w:firstLine="1" w:firstLineChars="0"/>
              <w:jc w:val="center"/>
              <w:rPr>
                <w:rFonts w:ascii="宋体" w:hAnsi="宋体" w:eastAsiaTheme="minorEastAsia" w:cstheme="minorBidi"/>
                <w:sz w:val="18"/>
                <w:szCs w:val="18"/>
              </w:rPr>
            </w:pPr>
            <w:r>
              <w:rPr>
                <w:rFonts w:ascii="宋体" w:hAnsi="宋体" w:eastAsiaTheme="minorEastAsia" w:cstheme="minorBidi"/>
                <w:sz w:val="18"/>
                <w:szCs w:val="18"/>
              </w:rPr>
              <w:t>1.00</w:t>
            </w:r>
          </w:p>
        </w:tc>
        <w:tc>
          <w:tcPr>
            <w:tcW w:w="1701" w:type="dxa"/>
            <w:vAlign w:val="center"/>
          </w:tcPr>
          <w:p w14:paraId="108F0EFB">
            <w:pPr>
              <w:ind w:firstLine="1" w:firstLineChars="0"/>
              <w:jc w:val="center"/>
              <w:rPr>
                <w:rFonts w:ascii="宋体" w:hAnsi="宋体" w:eastAsiaTheme="minorEastAsia" w:cstheme="minorBidi"/>
                <w:sz w:val="18"/>
                <w:szCs w:val="18"/>
              </w:rPr>
            </w:pPr>
            <w:r>
              <w:rPr>
                <w:rFonts w:ascii="宋体" w:hAnsi="宋体" w:eastAsiaTheme="minorEastAsia" w:cstheme="minorBidi"/>
                <w:sz w:val="18"/>
                <w:szCs w:val="18"/>
              </w:rPr>
              <w:t>2.30</w:t>
            </w:r>
          </w:p>
        </w:tc>
      </w:tr>
      <w:tr w14:paraId="6D6D3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560" w:type="dxa"/>
            <w:vAlign w:val="center"/>
          </w:tcPr>
          <w:p w14:paraId="066D969E">
            <w:pPr>
              <w:ind w:firstLine="1" w:firstLineChars="0"/>
              <w:jc w:val="center"/>
              <w:rPr>
                <w:rFonts w:ascii="宋体" w:hAnsi="宋体" w:eastAsiaTheme="minorEastAsia" w:cstheme="minorBidi"/>
                <w:sz w:val="18"/>
                <w:szCs w:val="18"/>
              </w:rPr>
            </w:pPr>
            <w:r>
              <w:rPr>
                <w:rFonts w:hint="eastAsia" w:ascii="宋体" w:hAnsi="宋体" w:eastAsiaTheme="minorEastAsia" w:cstheme="minorBidi"/>
                <w:sz w:val="18"/>
                <w:szCs w:val="18"/>
              </w:rPr>
              <w:t>卧室门</w:t>
            </w:r>
          </w:p>
        </w:tc>
        <w:tc>
          <w:tcPr>
            <w:tcW w:w="1701" w:type="dxa"/>
            <w:vAlign w:val="center"/>
          </w:tcPr>
          <w:p w14:paraId="3537EC83">
            <w:pPr>
              <w:ind w:firstLine="1" w:firstLineChars="0"/>
              <w:jc w:val="center"/>
              <w:rPr>
                <w:rFonts w:ascii="宋体" w:hAnsi="宋体" w:eastAsiaTheme="minorEastAsia" w:cstheme="minorBidi"/>
                <w:sz w:val="18"/>
                <w:szCs w:val="18"/>
              </w:rPr>
            </w:pPr>
            <w:r>
              <w:rPr>
                <w:rFonts w:ascii="宋体" w:hAnsi="宋体" w:eastAsiaTheme="minorEastAsia" w:cstheme="minorBidi"/>
                <w:sz w:val="18"/>
                <w:szCs w:val="18"/>
              </w:rPr>
              <w:t>1.00</w:t>
            </w:r>
          </w:p>
        </w:tc>
        <w:tc>
          <w:tcPr>
            <w:tcW w:w="1701" w:type="dxa"/>
            <w:vAlign w:val="center"/>
          </w:tcPr>
          <w:p w14:paraId="3D793183">
            <w:pPr>
              <w:ind w:firstLine="1" w:firstLineChars="0"/>
              <w:jc w:val="center"/>
              <w:rPr>
                <w:rFonts w:ascii="宋体" w:hAnsi="宋体" w:eastAsiaTheme="minorEastAsia" w:cstheme="minorBidi"/>
                <w:sz w:val="18"/>
                <w:szCs w:val="18"/>
              </w:rPr>
            </w:pPr>
            <w:r>
              <w:rPr>
                <w:rFonts w:ascii="宋体" w:hAnsi="宋体" w:eastAsiaTheme="minorEastAsia" w:cstheme="minorBidi"/>
                <w:sz w:val="18"/>
                <w:szCs w:val="18"/>
              </w:rPr>
              <w:t>2.30</w:t>
            </w:r>
          </w:p>
        </w:tc>
      </w:tr>
      <w:tr w14:paraId="6B0B3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560" w:type="dxa"/>
            <w:vAlign w:val="center"/>
          </w:tcPr>
          <w:p w14:paraId="11449AE2">
            <w:pPr>
              <w:ind w:firstLine="1" w:firstLineChars="0"/>
              <w:jc w:val="center"/>
              <w:rPr>
                <w:rFonts w:ascii="宋体" w:hAnsi="宋体" w:eastAsiaTheme="minorEastAsia" w:cstheme="minorBidi"/>
                <w:sz w:val="18"/>
                <w:szCs w:val="18"/>
              </w:rPr>
            </w:pPr>
            <w:r>
              <w:rPr>
                <w:rFonts w:hint="eastAsia" w:ascii="宋体" w:hAnsi="宋体" w:eastAsiaTheme="minorEastAsia" w:cstheme="minorBidi"/>
                <w:sz w:val="18"/>
                <w:szCs w:val="18"/>
              </w:rPr>
              <w:t>厨房门</w:t>
            </w:r>
          </w:p>
        </w:tc>
        <w:tc>
          <w:tcPr>
            <w:tcW w:w="1701" w:type="dxa"/>
            <w:vAlign w:val="center"/>
          </w:tcPr>
          <w:p w14:paraId="0FF680E2">
            <w:pPr>
              <w:ind w:firstLine="1" w:firstLineChars="0"/>
              <w:jc w:val="center"/>
              <w:rPr>
                <w:rFonts w:ascii="宋体" w:hAnsi="宋体" w:eastAsiaTheme="minorEastAsia" w:cstheme="minorBidi"/>
                <w:sz w:val="18"/>
                <w:szCs w:val="18"/>
              </w:rPr>
            </w:pPr>
            <w:r>
              <w:rPr>
                <w:rFonts w:ascii="宋体" w:hAnsi="宋体" w:eastAsiaTheme="minorEastAsia" w:cstheme="minorBidi"/>
                <w:sz w:val="18"/>
                <w:szCs w:val="18"/>
              </w:rPr>
              <w:t>0.90</w:t>
            </w:r>
          </w:p>
        </w:tc>
        <w:tc>
          <w:tcPr>
            <w:tcW w:w="1701" w:type="dxa"/>
            <w:vAlign w:val="center"/>
          </w:tcPr>
          <w:p w14:paraId="7EBB1B17">
            <w:pPr>
              <w:ind w:firstLine="1" w:firstLineChars="0"/>
              <w:jc w:val="center"/>
              <w:rPr>
                <w:rFonts w:ascii="宋体" w:hAnsi="宋体" w:eastAsiaTheme="minorEastAsia" w:cstheme="minorBidi"/>
                <w:sz w:val="18"/>
                <w:szCs w:val="18"/>
              </w:rPr>
            </w:pPr>
            <w:r>
              <w:rPr>
                <w:rFonts w:ascii="宋体" w:hAnsi="宋体" w:eastAsiaTheme="minorEastAsia" w:cstheme="minorBidi"/>
                <w:sz w:val="18"/>
                <w:szCs w:val="18"/>
              </w:rPr>
              <w:t>2.30</w:t>
            </w:r>
          </w:p>
        </w:tc>
      </w:tr>
      <w:tr w14:paraId="7459D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560" w:type="dxa"/>
            <w:vAlign w:val="center"/>
          </w:tcPr>
          <w:p w14:paraId="290A2645">
            <w:pPr>
              <w:ind w:firstLine="1" w:firstLineChars="0"/>
              <w:jc w:val="center"/>
              <w:rPr>
                <w:rFonts w:ascii="宋体" w:hAnsi="宋体" w:eastAsiaTheme="minorEastAsia" w:cstheme="minorBidi"/>
                <w:sz w:val="18"/>
                <w:szCs w:val="18"/>
              </w:rPr>
            </w:pPr>
            <w:r>
              <w:rPr>
                <w:rFonts w:hint="eastAsia" w:ascii="宋体" w:hAnsi="宋体" w:eastAsiaTheme="minorEastAsia" w:cstheme="minorBidi"/>
                <w:sz w:val="18"/>
                <w:szCs w:val="18"/>
              </w:rPr>
              <w:t>卫生间门</w:t>
            </w:r>
          </w:p>
        </w:tc>
        <w:tc>
          <w:tcPr>
            <w:tcW w:w="1701" w:type="dxa"/>
            <w:vAlign w:val="center"/>
          </w:tcPr>
          <w:p w14:paraId="056ADD31">
            <w:pPr>
              <w:ind w:firstLine="1" w:firstLineChars="0"/>
              <w:jc w:val="center"/>
              <w:rPr>
                <w:rFonts w:ascii="宋体" w:hAnsi="宋体" w:eastAsiaTheme="minorEastAsia" w:cstheme="minorBidi"/>
                <w:sz w:val="18"/>
                <w:szCs w:val="18"/>
              </w:rPr>
            </w:pPr>
            <w:r>
              <w:rPr>
                <w:rFonts w:ascii="宋体" w:hAnsi="宋体" w:eastAsiaTheme="minorEastAsia" w:cstheme="minorBidi"/>
                <w:sz w:val="18"/>
                <w:szCs w:val="18"/>
              </w:rPr>
              <w:t>0.90</w:t>
            </w:r>
          </w:p>
        </w:tc>
        <w:tc>
          <w:tcPr>
            <w:tcW w:w="1701" w:type="dxa"/>
            <w:vAlign w:val="center"/>
          </w:tcPr>
          <w:p w14:paraId="6FB45626">
            <w:pPr>
              <w:ind w:firstLine="1" w:firstLineChars="0"/>
              <w:jc w:val="center"/>
              <w:rPr>
                <w:rFonts w:ascii="宋体" w:hAnsi="宋体" w:eastAsiaTheme="minorEastAsia" w:cstheme="minorBidi"/>
                <w:sz w:val="18"/>
                <w:szCs w:val="18"/>
              </w:rPr>
            </w:pPr>
            <w:r>
              <w:rPr>
                <w:rFonts w:ascii="宋体" w:hAnsi="宋体" w:eastAsiaTheme="minorEastAsia" w:cstheme="minorBidi"/>
                <w:sz w:val="18"/>
                <w:szCs w:val="18"/>
              </w:rPr>
              <w:t>2.30</w:t>
            </w:r>
          </w:p>
        </w:tc>
      </w:tr>
    </w:tbl>
    <w:p w14:paraId="357C7AF6">
      <w:pPr>
        <w:pStyle w:val="3"/>
        <w:numPr>
          <w:ilvl w:val="1"/>
          <w:numId w:val="11"/>
        </w:numPr>
      </w:pPr>
      <w:bookmarkStart w:id="620" w:name="_Toc422931150"/>
      <w:bookmarkStart w:id="621" w:name="_Toc8129"/>
      <w:bookmarkStart w:id="622" w:name="_Toc29420"/>
      <w:bookmarkStart w:id="623" w:name="_Toc4738"/>
      <w:bookmarkStart w:id="624" w:name="_Toc425428113"/>
      <w:bookmarkStart w:id="625" w:name="_Toc24971"/>
      <w:bookmarkStart w:id="626" w:name="_Toc21009"/>
      <w:bookmarkStart w:id="627" w:name="_Toc23189"/>
      <w:bookmarkStart w:id="628" w:name="_Toc425447350"/>
      <w:bookmarkStart w:id="629" w:name="_Toc422990188"/>
      <w:bookmarkStart w:id="630" w:name="_Toc427324209"/>
      <w:bookmarkStart w:id="631" w:name="_Toc18926"/>
      <w:bookmarkStart w:id="632" w:name="_Toc2032"/>
      <w:bookmarkStart w:id="633" w:name="_Toc19533"/>
      <w:bookmarkStart w:id="634" w:name="_Toc783"/>
      <w:r>
        <w:rPr>
          <w:rFonts w:hint="eastAsia"/>
        </w:rPr>
        <w:t>信报、快件设施</w:t>
      </w:r>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p>
    <w:p w14:paraId="03860E01">
      <w:pPr>
        <w:pStyle w:val="4"/>
        <w:numPr>
          <w:ilvl w:val="2"/>
          <w:numId w:val="11"/>
        </w:numPr>
        <w:tabs>
          <w:tab w:val="clear" w:pos="0"/>
        </w:tabs>
        <w:ind w:firstLine="0" w:firstLineChars="0"/>
        <w:rPr>
          <w:rFonts w:cs="宋体"/>
          <w:bCs w:val="0"/>
          <w:iCs/>
          <w:lang w:val="en-US"/>
        </w:rPr>
      </w:pPr>
      <w:bookmarkStart w:id="635" w:name="_Toc419277597"/>
      <w:bookmarkEnd w:id="635"/>
      <w:bookmarkStart w:id="636" w:name="_Toc419277396"/>
      <w:bookmarkEnd w:id="636"/>
      <w:bookmarkStart w:id="637" w:name="_Toc419277497"/>
      <w:bookmarkEnd w:id="637"/>
      <w:bookmarkStart w:id="638" w:name="_Toc415850801"/>
      <w:bookmarkEnd w:id="638"/>
      <w:r>
        <w:rPr>
          <w:rFonts w:hint="eastAsia" w:cs="宋体"/>
          <w:bCs w:val="0"/>
          <w:iCs/>
          <w:lang w:val="en-US"/>
        </w:rPr>
        <w:t>新建住区应配置智能快件箱，设置位置应结合小区规划合理布置，宜设置在小区出入口处或具有独立对外出入口的位置，智能快件箱前端宜留出不少于5m的投取空间。</w:t>
      </w:r>
    </w:p>
    <w:p w14:paraId="48D3FFA6">
      <w:pPr>
        <w:pStyle w:val="4"/>
        <w:numPr>
          <w:ilvl w:val="2"/>
          <w:numId w:val="11"/>
        </w:numPr>
        <w:tabs>
          <w:tab w:val="clear" w:pos="0"/>
        </w:tabs>
        <w:ind w:firstLine="0" w:firstLineChars="0"/>
        <w:rPr>
          <w:rFonts w:cs="宋体"/>
          <w:bCs w:val="0"/>
          <w:iCs/>
          <w:lang w:val="en-US"/>
        </w:rPr>
      </w:pPr>
      <w:r>
        <w:rPr>
          <w:rFonts w:hint="eastAsia" w:cs="宋体"/>
          <w:bCs w:val="0"/>
          <w:iCs/>
          <w:lang w:val="en-US"/>
        </w:rPr>
        <w:t>设有单元安全防护门的住宅，信报、快件设施的投递口应设置在门禁以外；当通往投递口的专用通道设置在室内时，通道净宽不应小于0.6m。</w:t>
      </w:r>
    </w:p>
    <w:p w14:paraId="0803617E">
      <w:pPr>
        <w:pStyle w:val="4"/>
        <w:numPr>
          <w:ilvl w:val="2"/>
          <w:numId w:val="11"/>
        </w:numPr>
        <w:tabs>
          <w:tab w:val="clear" w:pos="0"/>
        </w:tabs>
        <w:ind w:firstLine="0" w:firstLineChars="0"/>
        <w:rPr>
          <w:rFonts w:cs="宋体"/>
          <w:bCs w:val="0"/>
          <w:iCs/>
          <w:lang w:val="en-US"/>
        </w:rPr>
      </w:pPr>
      <w:r>
        <w:rPr>
          <w:rFonts w:hint="eastAsia" w:cs="宋体"/>
          <w:bCs w:val="0"/>
          <w:iCs/>
          <w:lang w:val="en-US"/>
        </w:rPr>
        <w:t>信报箱、智能信包箱及智能快件箱的设置不得降低住宅基本空间的天然采光和自然通风标准。</w:t>
      </w:r>
    </w:p>
    <w:p w14:paraId="04BFDE9E">
      <w:pPr>
        <w:pStyle w:val="4"/>
        <w:numPr>
          <w:ilvl w:val="2"/>
          <w:numId w:val="11"/>
        </w:numPr>
        <w:tabs>
          <w:tab w:val="clear" w:pos="0"/>
        </w:tabs>
        <w:ind w:firstLine="0" w:firstLineChars="0"/>
        <w:rPr>
          <w:rFonts w:cs="宋体"/>
          <w:bCs w:val="0"/>
          <w:iCs/>
          <w:lang w:val="en-US"/>
        </w:rPr>
      </w:pPr>
      <w:r>
        <w:rPr>
          <w:rFonts w:hint="eastAsia" w:cs="宋体"/>
          <w:bCs w:val="0"/>
          <w:iCs/>
          <w:lang w:val="en-US"/>
        </w:rPr>
        <w:t>信报箱、智能信包箱和智能快件箱设在室外时，应有防雨设施。智能信包箱和智能快件箱的设置应预留电源和网络条件。</w:t>
      </w:r>
    </w:p>
    <w:p w14:paraId="4FCBFD95">
      <w:pPr>
        <w:pStyle w:val="3"/>
        <w:numPr>
          <w:ilvl w:val="1"/>
          <w:numId w:val="11"/>
        </w:numPr>
      </w:pPr>
      <w:bookmarkStart w:id="639" w:name="_Toc425447351"/>
      <w:bookmarkStart w:id="640" w:name="_Toc422990189"/>
      <w:bookmarkStart w:id="641" w:name="_Toc425428114"/>
      <w:bookmarkStart w:id="642" w:name="_Toc7976"/>
      <w:bookmarkStart w:id="643" w:name="_Toc31367"/>
      <w:bookmarkStart w:id="644" w:name="_Toc414356540"/>
      <w:bookmarkStart w:id="645" w:name="_Toc422931151"/>
      <w:bookmarkStart w:id="646" w:name="_Toc8246"/>
      <w:bookmarkStart w:id="647" w:name="_Toc26296"/>
      <w:bookmarkStart w:id="648" w:name="_Toc427324210"/>
      <w:bookmarkStart w:id="649" w:name="_Toc2501"/>
      <w:bookmarkStart w:id="650" w:name="_Toc15111"/>
      <w:bookmarkStart w:id="651" w:name="_Toc15733"/>
      <w:bookmarkStart w:id="652" w:name="_Toc3107"/>
      <w:bookmarkStart w:id="653" w:name="_Toc7604"/>
      <w:bookmarkStart w:id="654" w:name="_Toc24445"/>
      <w:r>
        <w:rPr>
          <w:rFonts w:hint="eastAsia"/>
        </w:rPr>
        <w:t>空调室外搁板</w:t>
      </w:r>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p>
    <w:p w14:paraId="5FCC2115">
      <w:pPr>
        <w:pStyle w:val="4"/>
        <w:numPr>
          <w:ilvl w:val="2"/>
          <w:numId w:val="11"/>
        </w:numPr>
        <w:tabs>
          <w:tab w:val="clear" w:pos="0"/>
        </w:tabs>
        <w:ind w:firstLine="0" w:firstLineChars="0"/>
        <w:rPr>
          <w:rFonts w:cs="宋体"/>
          <w:bCs w:val="0"/>
          <w:iCs/>
          <w:lang w:val="en-US"/>
        </w:rPr>
      </w:pPr>
      <w:bookmarkStart w:id="655" w:name="_Toc419277398"/>
      <w:bookmarkEnd w:id="655"/>
      <w:bookmarkStart w:id="656" w:name="_Toc419277499"/>
      <w:bookmarkEnd w:id="656"/>
      <w:bookmarkStart w:id="657" w:name="_Toc419277599"/>
      <w:bookmarkEnd w:id="657"/>
      <w:bookmarkStart w:id="658" w:name="_Toc415850803"/>
      <w:bookmarkEnd w:id="658"/>
      <w:bookmarkStart w:id="659" w:name="_Toc414356541"/>
      <w:bookmarkStart w:id="660" w:name="_Toc414356845"/>
      <w:r>
        <w:rPr>
          <w:rFonts w:hint="eastAsia" w:cs="宋体"/>
          <w:bCs w:val="0"/>
          <w:iCs/>
          <w:lang w:val="en-US"/>
        </w:rPr>
        <w:t>住宅建筑采用分体式空调时，室外机位置和安装应符合下列规定：</w:t>
      </w:r>
    </w:p>
    <w:p w14:paraId="351E084F">
      <w:pPr>
        <w:ind w:firstLine="482"/>
      </w:pPr>
      <w:r>
        <w:rPr>
          <w:b/>
          <w:bCs/>
        </w:rPr>
        <w:t>1</w:t>
      </w:r>
      <w:r>
        <w:t xml:space="preserve"> </w:t>
      </w:r>
      <w:r>
        <w:rPr>
          <w:rFonts w:hint="eastAsia"/>
        </w:rPr>
        <w:t>空调室外机的设置位置应安全可靠、便于安装和维修保养；</w:t>
      </w:r>
    </w:p>
    <w:p w14:paraId="5C3184D5">
      <w:pPr>
        <w:ind w:firstLine="482"/>
      </w:pPr>
      <w:r>
        <w:rPr>
          <w:b/>
          <w:bCs/>
        </w:rPr>
        <w:t>2</w:t>
      </w:r>
      <w:r>
        <w:t xml:space="preserve"> </w:t>
      </w:r>
      <w:r>
        <w:rPr>
          <w:rFonts w:hint="eastAsia"/>
        </w:rPr>
        <w:t>空调室外机应设置可上人专用平台板或预留空间；</w:t>
      </w:r>
    </w:p>
    <w:p w14:paraId="72C1B9D1">
      <w:pPr>
        <w:ind w:firstLine="482"/>
      </w:pPr>
      <w:r>
        <w:rPr>
          <w:b/>
          <w:bCs/>
        </w:rPr>
        <w:t>3</w:t>
      </w:r>
      <w:r>
        <w:t xml:space="preserve"> </w:t>
      </w:r>
      <w:r>
        <w:rPr>
          <w:rFonts w:hint="eastAsia"/>
        </w:rPr>
        <w:t>空调室外机专用平台板应与住宅建筑一体化设计，兼顾美观、有序及隐蔽的要求，同时应与建筑主体结构安全可靠连接，并采取防止坠落的安全防护措施。</w:t>
      </w:r>
    </w:p>
    <w:p w14:paraId="0D0269FC">
      <w:pPr>
        <w:ind w:firstLine="482"/>
      </w:pPr>
      <w:r>
        <w:rPr>
          <w:b/>
          <w:bCs/>
        </w:rPr>
        <w:t>4</w:t>
      </w:r>
      <w:r>
        <w:t xml:space="preserve"> </w:t>
      </w:r>
      <w:r>
        <w:rPr>
          <w:rFonts w:hint="eastAsia"/>
        </w:rPr>
        <w:t>空调室外机位置应保障良好通风和散热，通风面应设置在室外机长边一侧，有条件的情况下宜两个方向设置，并避免热气流、噪声及振动对周围环境和住户造成不利影响；</w:t>
      </w:r>
    </w:p>
    <w:p w14:paraId="30A8A11E">
      <w:pPr>
        <w:ind w:firstLine="482"/>
      </w:pPr>
      <w:r>
        <w:rPr>
          <w:b/>
          <w:bCs/>
        </w:rPr>
        <w:t>5</w:t>
      </w:r>
      <w:r>
        <w:t xml:space="preserve"> </w:t>
      </w:r>
      <w:r>
        <w:rPr>
          <w:rFonts w:hint="eastAsia"/>
        </w:rPr>
        <w:t>当空调室外机位置设置格栅和百叶时，应与空调室外机保持一定距离，不应妨碍空调有效散热。</w:t>
      </w:r>
    </w:p>
    <w:p w14:paraId="5039DB0F">
      <w:pPr>
        <w:pStyle w:val="4"/>
        <w:numPr>
          <w:ilvl w:val="2"/>
          <w:numId w:val="11"/>
        </w:numPr>
        <w:tabs>
          <w:tab w:val="clear" w:pos="0"/>
        </w:tabs>
        <w:ind w:firstLine="0" w:firstLineChars="0"/>
        <w:rPr>
          <w:rFonts w:cs="宋体"/>
          <w:bCs w:val="0"/>
          <w:iCs/>
          <w:lang w:val="en-US"/>
        </w:rPr>
      </w:pPr>
      <w:r>
        <w:rPr>
          <w:rFonts w:hint="eastAsia" w:cs="宋体"/>
          <w:bCs w:val="0"/>
          <w:iCs/>
          <w:lang w:val="en-US"/>
        </w:rPr>
        <w:t>空调室外机的冷凝水不得接入屋面雨水管及阳台排水管。</w:t>
      </w:r>
    </w:p>
    <w:p w14:paraId="56959C26">
      <w:pPr>
        <w:pStyle w:val="4"/>
        <w:numPr>
          <w:ilvl w:val="2"/>
          <w:numId w:val="11"/>
        </w:numPr>
        <w:tabs>
          <w:tab w:val="clear" w:pos="0"/>
        </w:tabs>
        <w:ind w:firstLine="0" w:firstLineChars="0"/>
        <w:rPr>
          <w:rFonts w:cs="宋体"/>
          <w:bCs w:val="0"/>
          <w:iCs/>
          <w:lang w:val="en-US"/>
        </w:rPr>
      </w:pPr>
      <w:r>
        <w:rPr>
          <w:rFonts w:hint="eastAsia" w:cs="宋体"/>
          <w:bCs w:val="0"/>
          <w:iCs/>
          <w:lang w:val="en-US"/>
        </w:rPr>
        <w:t>当相邻套住宅的空调室外机平台共用或相邻设置时，应采取安全隔离措施防止相邻住户间互相影响。</w:t>
      </w:r>
    </w:p>
    <w:p w14:paraId="44944581">
      <w:pPr>
        <w:pStyle w:val="3"/>
        <w:numPr>
          <w:ilvl w:val="1"/>
          <w:numId w:val="11"/>
        </w:numPr>
      </w:pPr>
      <w:bookmarkStart w:id="661" w:name="_Toc427324211"/>
      <w:bookmarkStart w:id="662" w:name="_Toc10584"/>
      <w:bookmarkStart w:id="663" w:name="_Toc16134"/>
      <w:bookmarkStart w:id="664" w:name="_Toc11796"/>
      <w:bookmarkStart w:id="665" w:name="_Toc6080"/>
      <w:bookmarkStart w:id="666" w:name="_Toc425428115"/>
      <w:bookmarkStart w:id="667" w:name="_Toc18169"/>
      <w:bookmarkStart w:id="668" w:name="_Toc31709"/>
      <w:bookmarkStart w:id="669" w:name="_Toc12560"/>
      <w:bookmarkStart w:id="670" w:name="_Toc11635"/>
      <w:bookmarkStart w:id="671" w:name="_Toc425447352"/>
      <w:bookmarkStart w:id="672" w:name="_Toc23605"/>
      <w:bookmarkStart w:id="673" w:name="_Toc27180"/>
      <w:r>
        <w:rPr>
          <w:rFonts w:hint="eastAsia"/>
        </w:rPr>
        <w:t>共用排气道与管道井</w:t>
      </w:r>
      <w:bookmarkEnd w:id="661"/>
      <w:bookmarkEnd w:id="662"/>
      <w:bookmarkEnd w:id="663"/>
      <w:bookmarkEnd w:id="664"/>
      <w:bookmarkEnd w:id="665"/>
      <w:bookmarkEnd w:id="666"/>
      <w:bookmarkEnd w:id="667"/>
      <w:bookmarkEnd w:id="668"/>
      <w:bookmarkEnd w:id="669"/>
      <w:bookmarkEnd w:id="670"/>
      <w:bookmarkEnd w:id="671"/>
      <w:bookmarkEnd w:id="672"/>
      <w:bookmarkEnd w:id="673"/>
    </w:p>
    <w:p w14:paraId="073B4EB1">
      <w:pPr>
        <w:pStyle w:val="4"/>
        <w:numPr>
          <w:ilvl w:val="2"/>
          <w:numId w:val="11"/>
        </w:numPr>
        <w:tabs>
          <w:tab w:val="clear" w:pos="0"/>
        </w:tabs>
        <w:ind w:firstLine="0" w:firstLineChars="0"/>
        <w:rPr>
          <w:rFonts w:cs="宋体"/>
          <w:bCs w:val="0"/>
          <w:iCs/>
          <w:lang w:val="en-US"/>
        </w:rPr>
      </w:pPr>
      <w:r>
        <w:rPr>
          <w:rFonts w:hint="eastAsia" w:cs="宋体"/>
          <w:bCs w:val="0"/>
          <w:iCs/>
          <w:lang w:val="en-US"/>
        </w:rPr>
        <w:t>无外窗的卫生间宜设共用排气道，且卫生间的共用排气道与厨房的共用排气道应分别设置。</w:t>
      </w:r>
    </w:p>
    <w:p w14:paraId="09469433">
      <w:pPr>
        <w:pStyle w:val="4"/>
        <w:numPr>
          <w:ilvl w:val="2"/>
          <w:numId w:val="11"/>
        </w:numPr>
        <w:tabs>
          <w:tab w:val="clear" w:pos="0"/>
        </w:tabs>
        <w:ind w:firstLine="0" w:firstLineChars="0"/>
        <w:rPr>
          <w:rFonts w:cs="宋体"/>
          <w:bCs w:val="0"/>
          <w:iCs/>
          <w:lang w:val="en-US"/>
        </w:rPr>
      </w:pPr>
      <w:r>
        <w:rPr>
          <w:rFonts w:hint="eastAsia" w:cs="宋体"/>
          <w:bCs w:val="0"/>
          <w:iCs/>
          <w:lang w:val="en-US"/>
        </w:rPr>
        <w:t>排气道应具有防火、防倒灌及均匀排风的功能，并采取防止支管回流和竖井渗漏的措施，排风竖井顶部应设置防止室外风倒灌的措施。</w:t>
      </w:r>
    </w:p>
    <w:p w14:paraId="73B02F55">
      <w:pPr>
        <w:pStyle w:val="4"/>
        <w:numPr>
          <w:ilvl w:val="2"/>
          <w:numId w:val="11"/>
        </w:numPr>
        <w:tabs>
          <w:tab w:val="clear" w:pos="0"/>
        </w:tabs>
        <w:ind w:firstLine="0" w:firstLineChars="0"/>
        <w:rPr>
          <w:rFonts w:cs="宋体"/>
          <w:bCs w:val="0"/>
          <w:iCs/>
          <w:lang w:val="en-US"/>
        </w:rPr>
      </w:pPr>
      <w:r>
        <w:rPr>
          <w:rFonts w:hint="eastAsia" w:cs="宋体"/>
          <w:bCs w:val="0"/>
          <w:iCs/>
          <w:lang w:val="en-US"/>
        </w:rPr>
        <w:t>共用排气道、管道井应与厨房、卫生间的设施紧密结合布置，在满足功能使用的条件下应设置紧凑合理，美观实用。</w:t>
      </w:r>
    </w:p>
    <w:p w14:paraId="4914C2AB">
      <w:pPr>
        <w:pStyle w:val="3"/>
        <w:numPr>
          <w:ilvl w:val="1"/>
          <w:numId w:val="11"/>
        </w:numPr>
      </w:pPr>
      <w:bookmarkStart w:id="674" w:name="_Toc10132"/>
      <w:bookmarkStart w:id="675" w:name="_Toc422990190"/>
      <w:bookmarkStart w:id="676" w:name="_Toc425428116"/>
      <w:bookmarkStart w:id="677" w:name="_Toc427324212"/>
      <w:bookmarkStart w:id="678" w:name="_Toc1209"/>
      <w:bookmarkStart w:id="679" w:name="_Toc422931152"/>
      <w:bookmarkStart w:id="680" w:name="_Toc18318"/>
      <w:bookmarkStart w:id="681" w:name="_Toc12063"/>
      <w:bookmarkStart w:id="682" w:name="_Toc2484"/>
      <w:bookmarkStart w:id="683" w:name="_Toc30003"/>
      <w:bookmarkStart w:id="684" w:name="_Toc425447353"/>
      <w:bookmarkStart w:id="685" w:name="_Toc23583"/>
      <w:bookmarkStart w:id="686" w:name="_Toc9549"/>
      <w:bookmarkStart w:id="687" w:name="_Toc5983"/>
      <w:bookmarkStart w:id="688" w:name="_Toc26990"/>
      <w:r>
        <w:rPr>
          <w:rFonts w:hint="eastAsia"/>
        </w:rPr>
        <w:t>防火构造</w:t>
      </w:r>
      <w:bookmarkEnd w:id="659"/>
      <w:bookmarkEnd w:id="660"/>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p>
    <w:p w14:paraId="3C7CFE73">
      <w:pPr>
        <w:pStyle w:val="4"/>
        <w:numPr>
          <w:ilvl w:val="2"/>
          <w:numId w:val="11"/>
        </w:numPr>
        <w:tabs>
          <w:tab w:val="clear" w:pos="0"/>
        </w:tabs>
        <w:ind w:firstLine="0" w:firstLineChars="0"/>
        <w:rPr>
          <w:rFonts w:cs="宋体"/>
          <w:bCs w:val="0"/>
          <w:iCs/>
          <w:lang w:val="en-US"/>
        </w:rPr>
      </w:pPr>
      <w:bookmarkStart w:id="689" w:name="_Toc415850805"/>
      <w:bookmarkEnd w:id="689"/>
      <w:bookmarkStart w:id="690" w:name="_Toc419277400"/>
      <w:bookmarkEnd w:id="690"/>
      <w:bookmarkStart w:id="691" w:name="_Toc419277501"/>
      <w:bookmarkEnd w:id="691"/>
      <w:bookmarkStart w:id="692" w:name="_Toc419277601"/>
      <w:bookmarkEnd w:id="692"/>
      <w:r>
        <w:rPr>
          <w:rFonts w:hint="eastAsia" w:cs="宋体"/>
          <w:bCs w:val="0"/>
          <w:iCs/>
          <w:lang w:val="en-US"/>
        </w:rPr>
        <w:t>住宅建筑外墙上、下层开口之间应设置高度不小于1.2m的实体墙或挑出宽度不小于1.0m、长度不小于开口宽度的防火挑檐；当室内设置自动喷水灭火系统时，上、下层开口之间的实体墙高度不应小于0.8m。当上、下层开口之间设置实体墙确有困难时，可设置防火玻璃墙，但高层建筑的防火玻璃墙的耐火完整性不应低于1.00h，建筑高度不大于27m的建筑的防火玻璃墙的耐火完整性不应低于0.50h。外窗的耐火完整性不应低于防火玻璃墙的耐火完整性要求。</w:t>
      </w:r>
    </w:p>
    <w:p w14:paraId="223A63F0">
      <w:pPr>
        <w:pStyle w:val="4"/>
        <w:numPr>
          <w:ilvl w:val="2"/>
          <w:numId w:val="11"/>
        </w:numPr>
        <w:tabs>
          <w:tab w:val="clear" w:pos="0"/>
        </w:tabs>
        <w:ind w:firstLine="0" w:firstLineChars="0"/>
        <w:rPr>
          <w:rFonts w:cs="宋体"/>
          <w:bCs w:val="0"/>
          <w:iCs/>
          <w:lang w:val="en-US"/>
        </w:rPr>
      </w:pPr>
      <w:r>
        <w:rPr>
          <w:rFonts w:hint="eastAsia" w:cs="宋体"/>
          <w:bCs w:val="0"/>
          <w:iCs/>
          <w:lang w:val="en-US"/>
        </w:rPr>
        <w:t>住宅建筑外墙上相邻户开口之间的墙体宽度不应小于1.0m；小于1.0m时，应在开口之间设置突出外墙不小于0.6m的隔板。</w:t>
      </w:r>
    </w:p>
    <w:p w14:paraId="35189FB7">
      <w:pPr>
        <w:pStyle w:val="4"/>
        <w:numPr>
          <w:ilvl w:val="2"/>
          <w:numId w:val="11"/>
        </w:numPr>
        <w:tabs>
          <w:tab w:val="clear" w:pos="0"/>
        </w:tabs>
        <w:ind w:firstLine="0" w:firstLineChars="0"/>
        <w:rPr>
          <w:rFonts w:cs="宋体"/>
          <w:bCs w:val="0"/>
          <w:iCs/>
          <w:lang w:val="en-US"/>
        </w:rPr>
      </w:pPr>
      <w:r>
        <w:rPr>
          <w:rFonts w:hint="eastAsia" w:cs="宋体"/>
          <w:bCs w:val="0"/>
          <w:iCs/>
          <w:lang w:val="en-US"/>
        </w:rPr>
        <w:t>住宅建筑墙体保温材料宜采用燃烧性能为A级的保温材料，应采用燃烧性能不低于B1级的保温材料。</w:t>
      </w:r>
    </w:p>
    <w:p w14:paraId="0CB40BCC">
      <w:pPr>
        <w:pStyle w:val="4"/>
        <w:numPr>
          <w:ilvl w:val="2"/>
          <w:numId w:val="11"/>
        </w:numPr>
        <w:tabs>
          <w:tab w:val="clear" w:pos="0"/>
        </w:tabs>
        <w:ind w:firstLine="0" w:firstLineChars="0"/>
        <w:rPr>
          <w:rFonts w:cs="宋体"/>
          <w:bCs w:val="0"/>
          <w:iCs/>
          <w:lang w:val="en-US"/>
        </w:rPr>
      </w:pPr>
      <w:r>
        <w:rPr>
          <w:rFonts w:hint="eastAsia" w:cs="宋体"/>
          <w:bCs w:val="0"/>
          <w:iCs/>
          <w:lang w:val="en-US"/>
        </w:rPr>
        <w:t>建筑的屋面外保温系统，不应低于B1级。采用B1级保温材料的外保温系统应采用不燃材料做防护层，防护层厚度不应小于10mm。</w:t>
      </w:r>
    </w:p>
    <w:p w14:paraId="72353C31">
      <w:pPr>
        <w:pStyle w:val="4"/>
        <w:numPr>
          <w:ilvl w:val="2"/>
          <w:numId w:val="11"/>
        </w:numPr>
        <w:tabs>
          <w:tab w:val="clear" w:pos="0"/>
        </w:tabs>
        <w:ind w:firstLine="0" w:firstLineChars="0"/>
        <w:rPr>
          <w:rFonts w:cs="宋体"/>
          <w:bCs w:val="0"/>
          <w:iCs/>
          <w:lang w:val="en-US"/>
        </w:rPr>
      </w:pPr>
      <w:r>
        <w:rPr>
          <w:rFonts w:hint="eastAsia" w:cs="宋体"/>
          <w:bCs w:val="0"/>
          <w:iCs/>
          <w:lang w:val="en-US"/>
        </w:rPr>
        <w:t>当建筑的屋面和外墙外保温系统均采用B1级保温材料时，屋面与外墙之间应采用宽度不小于500mm的不燃材料设置防火隔离带进行分隔。</w:t>
      </w:r>
    </w:p>
    <w:p w14:paraId="7F530EA5">
      <w:pPr>
        <w:pStyle w:val="4"/>
        <w:numPr>
          <w:ilvl w:val="2"/>
          <w:numId w:val="11"/>
        </w:numPr>
        <w:tabs>
          <w:tab w:val="clear" w:pos="0"/>
        </w:tabs>
        <w:ind w:firstLine="0" w:firstLineChars="0"/>
        <w:rPr>
          <w:rFonts w:cs="宋体"/>
          <w:bCs w:val="0"/>
          <w:iCs/>
          <w:lang w:val="en-US"/>
        </w:rPr>
      </w:pPr>
      <w:r>
        <w:rPr>
          <w:rFonts w:hint="eastAsia" w:cs="宋体"/>
          <w:bCs w:val="0"/>
          <w:iCs/>
          <w:lang w:val="en-US"/>
        </w:rPr>
        <w:t>住宅建筑的防火墙，应符合下列规定：</w:t>
      </w:r>
    </w:p>
    <w:p w14:paraId="3065D10B">
      <w:pPr>
        <w:ind w:firstLine="482"/>
        <w:rPr>
          <w:rFonts w:asciiTheme="minorHAnsi" w:hAnsiTheme="minorHAnsi"/>
          <w:kern w:val="0"/>
          <w:szCs w:val="32"/>
          <w:lang w:val="zh-CN"/>
        </w:rPr>
      </w:pPr>
      <w:r>
        <w:rPr>
          <w:rFonts w:asciiTheme="minorHAnsi" w:hAnsiTheme="minorHAnsi"/>
          <w:b/>
          <w:bCs/>
          <w:kern w:val="0"/>
          <w:szCs w:val="32"/>
          <w:lang w:val="zh-CN"/>
        </w:rPr>
        <w:t>1</w:t>
      </w:r>
      <w:r>
        <w:rPr>
          <w:rFonts w:asciiTheme="minorHAnsi" w:hAnsiTheme="minorHAnsi"/>
          <w:kern w:val="0"/>
          <w:szCs w:val="32"/>
          <w:lang w:val="zh-CN"/>
        </w:rPr>
        <w:t xml:space="preserve">  防火墙应为不燃性墙体。</w:t>
      </w:r>
    </w:p>
    <w:p w14:paraId="4D116BA3">
      <w:pPr>
        <w:ind w:firstLine="482"/>
        <w:rPr>
          <w:rFonts w:asciiTheme="minorHAnsi" w:hAnsiTheme="minorHAnsi"/>
          <w:kern w:val="0"/>
          <w:szCs w:val="32"/>
          <w:lang w:val="zh-CN"/>
        </w:rPr>
      </w:pPr>
      <w:r>
        <w:rPr>
          <w:rFonts w:asciiTheme="minorHAnsi" w:hAnsiTheme="minorHAnsi"/>
          <w:b/>
          <w:bCs/>
          <w:kern w:val="0"/>
          <w:szCs w:val="32"/>
          <w:lang w:val="zh-CN"/>
        </w:rPr>
        <w:t>2</w:t>
      </w:r>
      <w:r>
        <w:rPr>
          <w:rFonts w:asciiTheme="minorHAnsi" w:hAnsiTheme="minorHAnsi"/>
          <w:kern w:val="0"/>
          <w:szCs w:val="32"/>
          <w:lang w:val="zh-CN"/>
        </w:rPr>
        <w:t xml:space="preserve">  建筑外墙为难燃性墙体时，防火墙应凸出墙的外表面0.4m以上，且防火墙两侧的外墙均应为宽度不小于2.0m的不燃性墙体，其耐火极限不应低于外墙的耐火极限。</w:t>
      </w:r>
    </w:p>
    <w:p w14:paraId="305B217C">
      <w:pPr>
        <w:ind w:firstLine="480"/>
        <w:rPr>
          <w:rFonts w:asciiTheme="minorHAnsi" w:hAnsiTheme="minorHAnsi"/>
          <w:kern w:val="0"/>
          <w:szCs w:val="32"/>
          <w:lang w:val="zh-CN"/>
        </w:rPr>
      </w:pPr>
      <w:r>
        <w:rPr>
          <w:rFonts w:hint="eastAsia" w:asciiTheme="minorHAnsi" w:hAnsiTheme="minorHAnsi"/>
          <w:kern w:val="0"/>
          <w:szCs w:val="32"/>
        </w:rPr>
        <w:t xml:space="preserve">3  </w:t>
      </w:r>
      <w:r>
        <w:rPr>
          <w:rFonts w:asciiTheme="minorHAnsi" w:hAnsiTheme="minorHAnsi"/>
          <w:kern w:val="0"/>
          <w:szCs w:val="32"/>
          <w:lang w:val="zh-CN"/>
        </w:rPr>
        <w:t>建筑外墙为不燃性墙体时，防火墙可不凸出墙的外表面，紧靠防火墙两侧的门、窗、洞口之间最近边缘水平距离不应小于2.0m；采取设置乙级防火窗等防止火灾水平蔓延的措施时，该距离不限。</w:t>
      </w:r>
    </w:p>
    <w:p w14:paraId="332060A6">
      <w:pPr>
        <w:pStyle w:val="4"/>
        <w:numPr>
          <w:ilvl w:val="2"/>
          <w:numId w:val="11"/>
        </w:numPr>
        <w:tabs>
          <w:tab w:val="clear" w:pos="0"/>
        </w:tabs>
        <w:ind w:firstLine="0" w:firstLineChars="0"/>
        <w:rPr>
          <w:rFonts w:cs="宋体"/>
          <w:bCs w:val="0"/>
          <w:iCs/>
          <w:lang w:val="en-US"/>
        </w:rPr>
      </w:pPr>
      <w:r>
        <w:rPr>
          <w:rFonts w:hint="eastAsia" w:cs="宋体"/>
          <w:bCs w:val="0"/>
          <w:iCs/>
          <w:lang w:val="en-US"/>
        </w:rPr>
        <w:t>建筑内的防火墙不宜设置在转角处，确需设置时，内转角两侧墙上的门、窗、洞口之间最近边缘的水平距离不应小于4.0m；采取设置乙级防火窗等防止火灾水平蔓延的措施时，该距离不限。</w:t>
      </w:r>
    </w:p>
    <w:p w14:paraId="7C288888">
      <w:pPr>
        <w:pStyle w:val="4"/>
        <w:numPr>
          <w:ilvl w:val="2"/>
          <w:numId w:val="11"/>
        </w:numPr>
        <w:tabs>
          <w:tab w:val="clear" w:pos="0"/>
        </w:tabs>
        <w:ind w:firstLine="0" w:firstLineChars="0"/>
        <w:rPr>
          <w:rFonts w:cs="宋体"/>
          <w:bCs w:val="0"/>
          <w:iCs/>
          <w:lang w:val="en-US"/>
        </w:rPr>
      </w:pPr>
      <w:r>
        <w:rPr>
          <w:rFonts w:hint="eastAsia" w:cs="宋体"/>
          <w:bCs w:val="0"/>
          <w:iCs/>
          <w:lang w:val="en-US"/>
        </w:rPr>
        <w:t xml:space="preserve">疏散楼梯间靠外墙设置时，楼梯间、前室及合用前室外墙上的窗口与两侧门、窗 、洞口最近边缘的水平距离不应小于1.00m。 </w:t>
      </w:r>
    </w:p>
    <w:p w14:paraId="3A0ACD81">
      <w:pPr>
        <w:pStyle w:val="4"/>
        <w:numPr>
          <w:ilvl w:val="2"/>
          <w:numId w:val="11"/>
        </w:numPr>
        <w:tabs>
          <w:tab w:val="clear" w:pos="0"/>
        </w:tabs>
        <w:ind w:firstLine="0" w:firstLineChars="0"/>
        <w:rPr>
          <w:rFonts w:cs="宋体"/>
          <w:bCs w:val="0"/>
          <w:iCs/>
          <w:lang w:val="en-US"/>
        </w:rPr>
      </w:pPr>
      <w:r>
        <w:rPr>
          <w:rFonts w:hint="eastAsia" w:cs="宋体"/>
          <w:bCs w:val="0"/>
          <w:iCs/>
          <w:lang w:val="en-US"/>
        </w:rPr>
        <w:t>高层住宅不宜设置四边封闭的内天井。</w:t>
      </w:r>
      <w:bookmarkStart w:id="693" w:name="_Toc419277401"/>
      <w:bookmarkEnd w:id="693"/>
      <w:bookmarkStart w:id="694" w:name="_Toc421291552"/>
      <w:bookmarkEnd w:id="694"/>
      <w:bookmarkStart w:id="695" w:name="_Toc425427980"/>
      <w:bookmarkEnd w:id="695"/>
      <w:bookmarkStart w:id="696" w:name="_Toc419286287"/>
      <w:bookmarkEnd w:id="696"/>
      <w:bookmarkStart w:id="697" w:name="_Toc419288545"/>
      <w:bookmarkEnd w:id="697"/>
      <w:bookmarkStart w:id="698" w:name="_Toc420575822"/>
      <w:bookmarkEnd w:id="698"/>
      <w:bookmarkStart w:id="699" w:name="_Toc415850806"/>
      <w:bookmarkEnd w:id="699"/>
      <w:bookmarkStart w:id="700" w:name="_Toc425344281"/>
      <w:bookmarkEnd w:id="700"/>
      <w:bookmarkStart w:id="701" w:name="_Toc26817482"/>
      <w:bookmarkEnd w:id="701"/>
      <w:bookmarkStart w:id="702" w:name="_Toc415068760"/>
      <w:bookmarkEnd w:id="702"/>
      <w:bookmarkStart w:id="703" w:name="_Toc419277502"/>
      <w:bookmarkEnd w:id="703"/>
      <w:bookmarkStart w:id="704" w:name="_Toc495998744"/>
      <w:bookmarkEnd w:id="704"/>
      <w:bookmarkStart w:id="705" w:name="_Toc425447354"/>
      <w:bookmarkEnd w:id="705"/>
      <w:bookmarkStart w:id="706" w:name="_Toc425427837"/>
      <w:bookmarkEnd w:id="706"/>
      <w:bookmarkStart w:id="707" w:name="_Toc415214038"/>
      <w:bookmarkEnd w:id="707"/>
      <w:bookmarkStart w:id="708" w:name="_Toc422931153"/>
      <w:bookmarkEnd w:id="708"/>
      <w:bookmarkStart w:id="709" w:name="_Toc419277797"/>
      <w:bookmarkEnd w:id="709"/>
      <w:bookmarkStart w:id="710" w:name="_Toc425428117"/>
      <w:bookmarkEnd w:id="710"/>
      <w:bookmarkStart w:id="711" w:name="_Toc422990191"/>
      <w:bookmarkEnd w:id="711"/>
      <w:bookmarkStart w:id="712" w:name="_Toc419277885"/>
      <w:bookmarkEnd w:id="712"/>
      <w:bookmarkStart w:id="713" w:name="_Toc415820751"/>
      <w:bookmarkEnd w:id="713"/>
      <w:bookmarkStart w:id="714" w:name="_Toc419277694"/>
      <w:bookmarkEnd w:id="714"/>
      <w:bookmarkStart w:id="715" w:name="_Toc26816872"/>
      <w:bookmarkEnd w:id="715"/>
      <w:bookmarkStart w:id="716" w:name="_Toc427324213"/>
      <w:bookmarkEnd w:id="716"/>
      <w:bookmarkStart w:id="717" w:name="_Toc427323817"/>
      <w:bookmarkEnd w:id="717"/>
      <w:bookmarkStart w:id="718" w:name="_Toc419286198"/>
      <w:bookmarkEnd w:id="718"/>
      <w:bookmarkStart w:id="719" w:name="_Toc419277602"/>
      <w:bookmarkEnd w:id="719"/>
      <w:bookmarkStart w:id="720" w:name="_Toc425446242"/>
      <w:bookmarkEnd w:id="720"/>
      <w:bookmarkStart w:id="721" w:name="_Toc414356841"/>
      <w:bookmarkStart w:id="722" w:name="_Toc414356844"/>
      <w:bookmarkStart w:id="723" w:name="_Toc414356537"/>
    </w:p>
    <w:bookmarkEnd w:id="721"/>
    <w:bookmarkEnd w:id="722"/>
    <w:bookmarkEnd w:id="723"/>
    <w:p w14:paraId="4B7AB0B1">
      <w:pPr>
        <w:pStyle w:val="2"/>
        <w:numPr>
          <w:ilvl w:val="0"/>
          <w:numId w:val="11"/>
        </w:numPr>
        <w:tabs>
          <w:tab w:val="clear" w:pos="0"/>
        </w:tabs>
        <w:rPr>
          <w:rFonts w:ascii="黑体" w:hAnsi="黑体" w:eastAsia="黑体" w:cs="黑体"/>
        </w:rPr>
      </w:pPr>
      <w:bookmarkStart w:id="724" w:name="_Toc20419"/>
      <w:bookmarkStart w:id="725" w:name="_Toc13834"/>
      <w:bookmarkStart w:id="726" w:name="_Toc7691"/>
      <w:bookmarkStart w:id="727" w:name="_Toc425428118"/>
      <w:bookmarkStart w:id="728" w:name="_Toc427324214"/>
      <w:bookmarkStart w:id="729" w:name="_Toc425447355"/>
      <w:bookmarkStart w:id="730" w:name="_Toc26054"/>
      <w:bookmarkStart w:id="731" w:name="_Toc9675"/>
      <w:bookmarkStart w:id="732" w:name="_Toc422931154"/>
      <w:bookmarkStart w:id="733" w:name="_Toc9859"/>
      <w:bookmarkStart w:id="734" w:name="_Toc29481"/>
      <w:bookmarkStart w:id="735" w:name="_Toc5547"/>
      <w:bookmarkStart w:id="736" w:name="_Toc3452"/>
      <w:bookmarkStart w:id="737" w:name="_Toc422990192"/>
      <w:bookmarkStart w:id="738" w:name="_Toc414356846"/>
      <w:bookmarkStart w:id="739" w:name="_Toc21667"/>
      <w:r>
        <w:rPr>
          <w:rFonts w:hint="eastAsia" w:ascii="黑体" w:hAnsi="黑体" w:eastAsia="黑体" w:cs="黑体"/>
        </w:rPr>
        <w:t>室内环境</w:t>
      </w:r>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Start w:id="740" w:name="_Toc415850808"/>
      <w:bookmarkEnd w:id="740"/>
      <w:bookmarkStart w:id="741" w:name="_Toc425427982"/>
      <w:bookmarkEnd w:id="741"/>
      <w:bookmarkStart w:id="742" w:name="_Toc495998746"/>
      <w:bookmarkEnd w:id="742"/>
      <w:bookmarkStart w:id="743" w:name="_Toc422990193"/>
      <w:bookmarkEnd w:id="743"/>
      <w:bookmarkStart w:id="744" w:name="_Toc425344283"/>
      <w:bookmarkEnd w:id="744"/>
      <w:bookmarkStart w:id="745" w:name="_Toc419277696"/>
      <w:bookmarkEnd w:id="745"/>
      <w:bookmarkStart w:id="746" w:name="_Toc415820753"/>
      <w:bookmarkEnd w:id="746"/>
      <w:bookmarkStart w:id="747" w:name="_Toc425428119"/>
      <w:bookmarkEnd w:id="747"/>
      <w:bookmarkStart w:id="748" w:name="_Toc425427839"/>
      <w:bookmarkEnd w:id="748"/>
      <w:bookmarkStart w:id="749" w:name="_Toc419286289"/>
      <w:bookmarkEnd w:id="749"/>
      <w:bookmarkStart w:id="750" w:name="_Toc420575824"/>
      <w:bookmarkEnd w:id="750"/>
      <w:bookmarkStart w:id="751" w:name="_Toc26817484"/>
      <w:bookmarkEnd w:id="751"/>
      <w:bookmarkStart w:id="752" w:name="_Toc419277604"/>
      <w:bookmarkEnd w:id="752"/>
      <w:bookmarkStart w:id="753" w:name="_Toc421291554"/>
      <w:bookmarkEnd w:id="753"/>
      <w:bookmarkStart w:id="754" w:name="_Toc425447356"/>
      <w:bookmarkEnd w:id="754"/>
      <w:bookmarkStart w:id="755" w:name="_Toc427324215"/>
      <w:bookmarkEnd w:id="755"/>
      <w:bookmarkStart w:id="756" w:name="_Toc427323819"/>
      <w:bookmarkEnd w:id="756"/>
      <w:bookmarkStart w:id="757" w:name="_Toc415068768"/>
      <w:bookmarkEnd w:id="757"/>
      <w:bookmarkStart w:id="758" w:name="_Toc425446244"/>
      <w:bookmarkEnd w:id="758"/>
      <w:bookmarkStart w:id="759" w:name="_Toc419277799"/>
      <w:bookmarkEnd w:id="759"/>
      <w:bookmarkStart w:id="760" w:name="_Toc419277403"/>
      <w:bookmarkEnd w:id="760"/>
      <w:bookmarkStart w:id="761" w:name="_Toc419277887"/>
      <w:bookmarkEnd w:id="761"/>
      <w:bookmarkStart w:id="762" w:name="_Toc419277504"/>
      <w:bookmarkEnd w:id="762"/>
      <w:bookmarkStart w:id="763" w:name="_Toc26816874"/>
      <w:bookmarkEnd w:id="763"/>
      <w:bookmarkStart w:id="764" w:name="_Toc415214040"/>
      <w:bookmarkEnd w:id="764"/>
      <w:bookmarkStart w:id="765" w:name="_Toc422931155"/>
      <w:bookmarkEnd w:id="765"/>
      <w:bookmarkStart w:id="766" w:name="_Toc419288547"/>
      <w:bookmarkEnd w:id="766"/>
      <w:bookmarkStart w:id="767" w:name="_Toc419286200"/>
      <w:bookmarkEnd w:id="767"/>
      <w:bookmarkStart w:id="768" w:name="_Toc414356847"/>
    </w:p>
    <w:bookmarkEnd w:id="768"/>
    <w:p w14:paraId="3CD9668B">
      <w:pPr>
        <w:pStyle w:val="3"/>
        <w:numPr>
          <w:ilvl w:val="1"/>
          <w:numId w:val="11"/>
        </w:numPr>
      </w:pPr>
      <w:bookmarkStart w:id="769" w:name="_Toc17826"/>
      <w:bookmarkStart w:id="770" w:name="_Toc25987"/>
      <w:bookmarkStart w:id="771" w:name="_Toc414356543"/>
      <w:bookmarkStart w:id="772" w:name="_Toc4683"/>
      <w:bookmarkStart w:id="773" w:name="_Toc13295"/>
      <w:bookmarkStart w:id="774" w:name="_Toc5755"/>
      <w:bookmarkStart w:id="775" w:name="_Toc1315"/>
      <w:bookmarkStart w:id="776" w:name="_Toc425447357"/>
      <w:bookmarkStart w:id="777" w:name="_Toc427324216"/>
      <w:bookmarkStart w:id="778" w:name="_Toc30310"/>
      <w:bookmarkStart w:id="779" w:name="_Toc29742"/>
      <w:bookmarkStart w:id="780" w:name="_Toc425428120"/>
      <w:bookmarkStart w:id="781" w:name="_Toc422990194"/>
      <w:bookmarkStart w:id="782" w:name="_Toc422931156"/>
      <w:bookmarkStart w:id="783" w:name="_Toc11965"/>
      <w:bookmarkStart w:id="784" w:name="_Toc29234"/>
      <w:r>
        <w:rPr>
          <w:rFonts w:hint="eastAsia"/>
        </w:rPr>
        <w:t>日</w:t>
      </w:r>
      <w:r>
        <w:rPr>
          <w:rFonts w:hint="eastAsia" w:eastAsia="黑体"/>
          <w:sz w:val="36"/>
          <w:szCs w:val="36"/>
        </w:rPr>
        <w:t xml:space="preserve">  </w:t>
      </w:r>
      <w:r>
        <w:rPr>
          <w:rFonts w:hint="eastAsia"/>
        </w:rPr>
        <w:t>照</w:t>
      </w:r>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p>
    <w:p w14:paraId="7B3FC014">
      <w:pPr>
        <w:pStyle w:val="4"/>
        <w:numPr>
          <w:ilvl w:val="2"/>
          <w:numId w:val="11"/>
        </w:numPr>
        <w:tabs>
          <w:tab w:val="clear" w:pos="0"/>
        </w:tabs>
        <w:ind w:firstLine="0" w:firstLineChars="0"/>
        <w:rPr>
          <w:rFonts w:cs="宋体"/>
          <w:bCs w:val="0"/>
          <w:iCs/>
          <w:lang w:val="en-US"/>
        </w:rPr>
      </w:pPr>
      <w:bookmarkStart w:id="785" w:name="_Toc414356544"/>
      <w:bookmarkStart w:id="786" w:name="_Toc414356848"/>
      <w:r>
        <w:rPr>
          <w:rFonts w:hint="eastAsia" w:cs="宋体"/>
          <w:bCs w:val="0"/>
          <w:iCs/>
          <w:lang w:val="en-US"/>
        </w:rPr>
        <w:t>每套住宅应至少有一个居住空间能获得冬季日照。</w:t>
      </w:r>
      <w:bookmarkEnd w:id="785"/>
      <w:bookmarkEnd w:id="786"/>
    </w:p>
    <w:p w14:paraId="57B8BA72">
      <w:pPr>
        <w:pStyle w:val="4"/>
        <w:numPr>
          <w:ilvl w:val="2"/>
          <w:numId w:val="11"/>
        </w:numPr>
        <w:tabs>
          <w:tab w:val="clear" w:pos="0"/>
        </w:tabs>
        <w:ind w:firstLine="0" w:firstLineChars="0"/>
        <w:rPr>
          <w:rFonts w:cs="宋体"/>
          <w:bCs w:val="0"/>
          <w:iCs/>
          <w:lang w:val="en-US"/>
        </w:rPr>
      </w:pPr>
      <w:bookmarkStart w:id="787" w:name="_Toc414356849"/>
      <w:bookmarkStart w:id="788" w:name="_Toc414356545"/>
      <w:r>
        <w:rPr>
          <w:rFonts w:hint="eastAsia" w:cs="宋体"/>
          <w:bCs w:val="0"/>
          <w:iCs/>
          <w:lang w:val="en-US"/>
        </w:rPr>
        <w:t>需要获得冬季日照的居住空间的日照标准不应低于大寒日日照时数2h，且窗洞开口宽度不应小于0.60m。</w:t>
      </w:r>
      <w:bookmarkEnd w:id="787"/>
      <w:bookmarkEnd w:id="788"/>
    </w:p>
    <w:p w14:paraId="64D598EE">
      <w:pPr>
        <w:pStyle w:val="3"/>
        <w:numPr>
          <w:ilvl w:val="1"/>
          <w:numId w:val="11"/>
        </w:numPr>
      </w:pPr>
      <w:bookmarkStart w:id="789" w:name="_Toc422931157"/>
      <w:bookmarkStart w:id="790" w:name="_Toc422990195"/>
      <w:bookmarkStart w:id="791" w:name="_Toc419288549"/>
      <w:bookmarkStart w:id="792" w:name="_Toc414356547"/>
      <w:bookmarkStart w:id="793" w:name="_Toc4446"/>
      <w:bookmarkStart w:id="794" w:name="_Toc24495"/>
      <w:bookmarkStart w:id="795" w:name="_Toc16592"/>
      <w:bookmarkStart w:id="796" w:name="_Toc414356851"/>
      <w:bookmarkStart w:id="797" w:name="_Toc9486"/>
      <w:bookmarkStart w:id="798" w:name="_Toc11909"/>
      <w:bookmarkStart w:id="799" w:name="_Toc28720"/>
      <w:bookmarkStart w:id="800" w:name="_Toc6214"/>
      <w:bookmarkStart w:id="801" w:name="_Toc425447358"/>
      <w:bookmarkStart w:id="802" w:name="_Toc16474"/>
      <w:bookmarkStart w:id="803" w:name="_Toc425428121"/>
      <w:bookmarkStart w:id="804" w:name="_Toc5639"/>
      <w:bookmarkStart w:id="805" w:name="_Toc427324217"/>
      <w:bookmarkStart w:id="806" w:name="_Toc6115"/>
      <w:r>
        <w:rPr>
          <w:rFonts w:hint="eastAsia"/>
        </w:rPr>
        <w:t>采</w:t>
      </w:r>
      <w:r>
        <w:rPr>
          <w:rFonts w:hint="eastAsia" w:eastAsia="黑体"/>
          <w:sz w:val="36"/>
          <w:szCs w:val="36"/>
        </w:rPr>
        <w:t xml:space="preserve">  </w:t>
      </w:r>
      <w:r>
        <w:rPr>
          <w:rFonts w:hint="eastAsia"/>
        </w:rPr>
        <w:t>光</w:t>
      </w:r>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p>
    <w:p w14:paraId="7158C36A">
      <w:pPr>
        <w:pStyle w:val="4"/>
        <w:numPr>
          <w:ilvl w:val="2"/>
          <w:numId w:val="11"/>
        </w:numPr>
        <w:tabs>
          <w:tab w:val="clear" w:pos="0"/>
        </w:tabs>
        <w:ind w:firstLine="0" w:firstLineChars="0"/>
        <w:rPr>
          <w:rFonts w:cs="宋体"/>
          <w:bCs w:val="0"/>
          <w:iCs/>
          <w:lang w:val="en-US"/>
        </w:rPr>
      </w:pPr>
      <w:r>
        <w:rPr>
          <w:rFonts w:hint="eastAsia" w:cs="宋体"/>
          <w:bCs w:val="0"/>
          <w:iCs/>
          <w:lang w:val="en-US"/>
        </w:rPr>
        <w:t>卧室、起居室（厅）、厨房应有直接天然采光。</w:t>
      </w:r>
    </w:p>
    <w:p w14:paraId="754DBB5B">
      <w:pPr>
        <w:pStyle w:val="4"/>
        <w:numPr>
          <w:ilvl w:val="2"/>
          <w:numId w:val="11"/>
        </w:numPr>
        <w:tabs>
          <w:tab w:val="clear" w:pos="0"/>
        </w:tabs>
        <w:ind w:firstLine="0" w:firstLineChars="0"/>
        <w:rPr>
          <w:rFonts w:cs="宋体"/>
          <w:bCs w:val="0"/>
          <w:iCs/>
          <w:lang w:val="en-US"/>
        </w:rPr>
      </w:pPr>
      <w:r>
        <w:rPr>
          <w:rFonts w:hint="eastAsia" w:cs="宋体"/>
          <w:bCs w:val="0"/>
          <w:iCs/>
          <w:lang w:val="en-US"/>
        </w:rPr>
        <w:t>卫生间宜有直接天然采光。当住宅套内设置三个及三个以上卫生间时，应至少有一个卫生间能获得直接天然采光。</w:t>
      </w:r>
    </w:p>
    <w:p w14:paraId="42198A05">
      <w:pPr>
        <w:pStyle w:val="4"/>
        <w:numPr>
          <w:ilvl w:val="2"/>
          <w:numId w:val="11"/>
        </w:numPr>
        <w:tabs>
          <w:tab w:val="clear" w:pos="0"/>
        </w:tabs>
        <w:ind w:firstLine="0" w:firstLineChars="0"/>
        <w:rPr>
          <w:rFonts w:cs="宋体"/>
          <w:bCs w:val="0"/>
          <w:iCs/>
          <w:lang w:val="en-US"/>
        </w:rPr>
      </w:pPr>
      <w:r>
        <w:rPr>
          <w:rFonts w:hint="eastAsia" w:cs="宋体"/>
          <w:bCs w:val="0"/>
          <w:iCs/>
          <w:lang w:val="en-US"/>
        </w:rPr>
        <w:t>卧室、起居室（厅）、厨房的采光不应低于采光等级Ⅳ级的采光标准值，侧面采光的采光系数不应低于2%。</w:t>
      </w:r>
    </w:p>
    <w:p w14:paraId="68D0B44F">
      <w:pPr>
        <w:pStyle w:val="4"/>
        <w:numPr>
          <w:ilvl w:val="2"/>
          <w:numId w:val="11"/>
        </w:numPr>
        <w:tabs>
          <w:tab w:val="clear" w:pos="0"/>
        </w:tabs>
        <w:ind w:firstLine="0" w:firstLineChars="0"/>
        <w:rPr>
          <w:rFonts w:cs="宋体"/>
          <w:bCs w:val="0"/>
          <w:iCs/>
          <w:lang w:val="en-US"/>
        </w:rPr>
      </w:pPr>
      <w:r>
        <w:rPr>
          <w:rFonts w:hint="eastAsia" w:cs="宋体"/>
          <w:bCs w:val="0"/>
          <w:iCs/>
          <w:lang w:val="en-US"/>
        </w:rPr>
        <w:t>卧室、起居室（厅）的采光窗洞口的窗地面积比不应低于1/6，厨房的采光窗洞口的窗地面积比不应低于1/7。</w:t>
      </w:r>
    </w:p>
    <w:p w14:paraId="29A23A61">
      <w:pPr>
        <w:pStyle w:val="4"/>
        <w:numPr>
          <w:ilvl w:val="2"/>
          <w:numId w:val="11"/>
        </w:numPr>
        <w:tabs>
          <w:tab w:val="clear" w:pos="0"/>
        </w:tabs>
        <w:ind w:firstLine="0" w:firstLineChars="0"/>
        <w:rPr>
          <w:rFonts w:cs="宋体"/>
          <w:bCs w:val="0"/>
          <w:iCs/>
          <w:lang w:val="en-US"/>
        </w:rPr>
      </w:pPr>
      <w:r>
        <w:rPr>
          <w:rFonts w:hint="eastAsia" w:cs="宋体"/>
          <w:bCs w:val="0"/>
          <w:iCs/>
          <w:lang w:val="en-US"/>
        </w:rPr>
        <w:t>当卫生间、楼梯间设置采光窗时，采光窗洞口的窗地面积比不应低于1/12。</w:t>
      </w:r>
    </w:p>
    <w:p w14:paraId="4FA6627F">
      <w:pPr>
        <w:pStyle w:val="4"/>
        <w:numPr>
          <w:ilvl w:val="2"/>
          <w:numId w:val="11"/>
        </w:numPr>
        <w:tabs>
          <w:tab w:val="clear" w:pos="0"/>
        </w:tabs>
        <w:ind w:firstLine="0" w:firstLineChars="0"/>
        <w:rPr>
          <w:rFonts w:cs="宋体"/>
          <w:bCs w:val="0"/>
          <w:iCs/>
          <w:lang w:val="en-US"/>
        </w:rPr>
      </w:pPr>
      <w:r>
        <w:rPr>
          <w:rFonts w:hint="eastAsia" w:cs="宋体"/>
          <w:bCs w:val="0"/>
          <w:iCs/>
          <w:lang w:val="en-US"/>
        </w:rPr>
        <w:t>采光窗的窗洞口上沿距地面高度不宜低于2.00m。</w:t>
      </w:r>
    </w:p>
    <w:p w14:paraId="3D1D7203">
      <w:pPr>
        <w:pStyle w:val="4"/>
        <w:numPr>
          <w:ilvl w:val="2"/>
          <w:numId w:val="11"/>
        </w:numPr>
        <w:tabs>
          <w:tab w:val="clear" w:pos="0"/>
        </w:tabs>
        <w:ind w:firstLine="0" w:firstLineChars="0"/>
        <w:rPr>
          <w:rFonts w:hint="eastAsia" w:cs="宋体"/>
          <w:bCs w:val="0"/>
          <w:iCs/>
          <w:lang w:val="en-US"/>
        </w:rPr>
      </w:pPr>
      <w:r>
        <w:rPr>
          <w:rFonts w:hint="eastAsia" w:cs="宋体"/>
          <w:bCs w:val="0"/>
          <w:iCs/>
          <w:lang w:val="en-US"/>
        </w:rPr>
        <w:t>住宅建筑的公共门厅、楼梯间、走廊等公共空间和地下的商业、管理用房等地下空间宜有直接天然采光。</w:t>
      </w:r>
    </w:p>
    <w:p w14:paraId="2DABA8B2">
      <w:pPr>
        <w:pStyle w:val="3"/>
        <w:numPr>
          <w:ilvl w:val="1"/>
          <w:numId w:val="11"/>
        </w:numPr>
      </w:pPr>
      <w:bookmarkStart w:id="807" w:name="_Toc1829"/>
      <w:bookmarkStart w:id="808" w:name="_Toc26069"/>
      <w:bookmarkStart w:id="809" w:name="_Toc422990196"/>
      <w:bookmarkStart w:id="810" w:name="_Toc425447359"/>
      <w:bookmarkStart w:id="811" w:name="_Toc422931158"/>
      <w:bookmarkStart w:id="812" w:name="_Toc27702"/>
      <w:bookmarkStart w:id="813" w:name="_Toc1404"/>
      <w:bookmarkStart w:id="814" w:name="_Toc427324218"/>
      <w:bookmarkStart w:id="815" w:name="_Toc22389"/>
      <w:bookmarkStart w:id="816" w:name="_Toc16082"/>
      <w:bookmarkStart w:id="817" w:name="_Toc414356548"/>
      <w:bookmarkStart w:id="818" w:name="_Toc425428122"/>
      <w:bookmarkStart w:id="819" w:name="_Toc8630"/>
      <w:bookmarkStart w:id="820" w:name="_Toc419288550"/>
      <w:bookmarkStart w:id="821" w:name="_Toc6060"/>
      <w:bookmarkStart w:id="822" w:name="_Toc414356852"/>
      <w:bookmarkStart w:id="823" w:name="_Toc6150"/>
      <w:bookmarkStart w:id="824" w:name="_Toc28173"/>
      <w:r>
        <w:rPr>
          <w:rFonts w:hint="eastAsia"/>
        </w:rPr>
        <w:t>通</w:t>
      </w:r>
      <w:r>
        <w:rPr>
          <w:rFonts w:hint="eastAsia" w:eastAsia="黑体"/>
          <w:sz w:val="36"/>
          <w:szCs w:val="36"/>
        </w:rPr>
        <w:t xml:space="preserve">  </w:t>
      </w:r>
      <w:r>
        <w:rPr>
          <w:rFonts w:hint="eastAsia"/>
        </w:rPr>
        <w:t>风</w:t>
      </w:r>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p>
    <w:p w14:paraId="2D7372B5">
      <w:pPr>
        <w:pStyle w:val="4"/>
        <w:numPr>
          <w:ilvl w:val="2"/>
          <w:numId w:val="11"/>
        </w:numPr>
        <w:tabs>
          <w:tab w:val="clear" w:pos="0"/>
        </w:tabs>
        <w:ind w:firstLine="0" w:firstLineChars="0"/>
        <w:rPr>
          <w:rFonts w:cs="宋体"/>
          <w:bCs w:val="0"/>
          <w:iCs/>
          <w:lang w:val="en-US"/>
        </w:rPr>
      </w:pPr>
      <w:r>
        <w:rPr>
          <w:rFonts w:hint="eastAsia" w:cs="宋体"/>
          <w:bCs w:val="0"/>
          <w:iCs/>
          <w:lang w:val="en-US"/>
        </w:rPr>
        <w:t>卧室、起居室</w:t>
      </w:r>
      <w:r>
        <w:rPr>
          <w:rFonts w:hint="eastAsia" w:cs="宋体"/>
          <w:bCs w:val="0"/>
          <w:iCs/>
          <w:lang w:val="en-US" w:eastAsia="zh-CN"/>
        </w:rPr>
        <w:t>（</w:t>
      </w:r>
      <w:r>
        <w:rPr>
          <w:rFonts w:hint="eastAsia" w:cs="宋体"/>
          <w:bCs w:val="0"/>
          <w:iCs/>
          <w:lang w:val="en-US"/>
        </w:rPr>
        <w:t>厅</w:t>
      </w:r>
      <w:r>
        <w:rPr>
          <w:rFonts w:hint="eastAsia" w:cs="宋体"/>
          <w:bCs w:val="0"/>
          <w:iCs/>
          <w:lang w:val="en-US" w:eastAsia="zh-CN"/>
        </w:rPr>
        <w:t>）</w:t>
      </w:r>
      <w:r>
        <w:rPr>
          <w:rFonts w:hint="eastAsia" w:cs="宋体"/>
          <w:bCs w:val="0"/>
          <w:iCs/>
          <w:lang w:val="en-US"/>
        </w:rPr>
        <w:t>、厨房应有自然通风。</w:t>
      </w:r>
    </w:p>
    <w:p w14:paraId="41044C84">
      <w:pPr>
        <w:pStyle w:val="4"/>
        <w:numPr>
          <w:ilvl w:val="2"/>
          <w:numId w:val="11"/>
        </w:numPr>
        <w:tabs>
          <w:tab w:val="clear" w:pos="0"/>
        </w:tabs>
        <w:ind w:firstLine="0" w:firstLineChars="0"/>
        <w:rPr>
          <w:rFonts w:cs="宋体"/>
          <w:bCs w:val="0"/>
          <w:iCs/>
          <w:lang w:val="en-US"/>
        </w:rPr>
      </w:pPr>
      <w:r>
        <w:rPr>
          <w:rFonts w:hint="eastAsia" w:cs="宋体"/>
          <w:bCs w:val="0"/>
          <w:iCs/>
          <w:lang w:val="en-US"/>
        </w:rPr>
        <w:t>住宅的平面空间组织、剖面设计、门窗的位置、方向和开启方式的设置，应有利于组织室内自然通风。单朝向住宅宜采取改善自然通风的措施。</w:t>
      </w:r>
    </w:p>
    <w:p w14:paraId="5CF837B9">
      <w:pPr>
        <w:pStyle w:val="4"/>
        <w:numPr>
          <w:ilvl w:val="2"/>
          <w:numId w:val="11"/>
        </w:numPr>
        <w:tabs>
          <w:tab w:val="clear" w:pos="0"/>
        </w:tabs>
        <w:ind w:firstLine="0" w:firstLineChars="0"/>
        <w:rPr>
          <w:rFonts w:cs="宋体"/>
          <w:bCs w:val="0"/>
          <w:iCs/>
          <w:lang w:val="en-US"/>
        </w:rPr>
      </w:pPr>
      <w:r>
        <w:rPr>
          <w:rFonts w:hint="eastAsia" w:cs="宋体"/>
          <w:bCs w:val="0"/>
          <w:iCs/>
          <w:lang w:val="en-US"/>
        </w:rPr>
        <w:t>每套住宅的自然通风开口面积不应小于地面面积的5%。</w:t>
      </w:r>
    </w:p>
    <w:p w14:paraId="397E90E5">
      <w:pPr>
        <w:pStyle w:val="4"/>
        <w:numPr>
          <w:ilvl w:val="2"/>
          <w:numId w:val="11"/>
        </w:numPr>
        <w:tabs>
          <w:tab w:val="clear" w:pos="0"/>
        </w:tabs>
        <w:ind w:firstLine="0" w:firstLineChars="0"/>
        <w:rPr>
          <w:rFonts w:cs="宋体"/>
          <w:bCs w:val="0"/>
          <w:iCs/>
          <w:lang w:val="en-US"/>
        </w:rPr>
      </w:pPr>
      <w:r>
        <w:rPr>
          <w:rFonts w:hint="eastAsia" w:cs="宋体"/>
          <w:bCs w:val="0"/>
          <w:iCs/>
          <w:lang w:val="en-US"/>
        </w:rPr>
        <w:t>采用自然通风的房间，其直接或间接自然通风开口面积应符合下列规定：</w:t>
      </w:r>
    </w:p>
    <w:p w14:paraId="47896F1E">
      <w:pPr>
        <w:ind w:firstLine="482"/>
        <w:rPr>
          <w:bCs/>
          <w:szCs w:val="32"/>
        </w:rPr>
      </w:pPr>
      <w:r>
        <w:rPr>
          <w:b/>
          <w:bCs/>
          <w:szCs w:val="32"/>
        </w:rPr>
        <w:t>1</w:t>
      </w:r>
      <w:r>
        <w:rPr>
          <w:bCs/>
          <w:szCs w:val="32"/>
        </w:rPr>
        <w:t xml:space="preserve">  </w:t>
      </w:r>
      <w:r>
        <w:rPr>
          <w:rFonts w:hint="eastAsia"/>
          <w:bCs/>
          <w:szCs w:val="32"/>
        </w:rPr>
        <w:t>卧室、起居室</w:t>
      </w:r>
      <w:r>
        <w:rPr>
          <w:rFonts w:hint="eastAsia"/>
          <w:bCs/>
          <w:szCs w:val="32"/>
          <w:lang w:eastAsia="zh-CN"/>
        </w:rPr>
        <w:t>（</w:t>
      </w:r>
      <w:r>
        <w:rPr>
          <w:rFonts w:hint="eastAsia"/>
          <w:bCs/>
          <w:szCs w:val="32"/>
        </w:rPr>
        <w:t>厅</w:t>
      </w:r>
      <w:r>
        <w:rPr>
          <w:rFonts w:hint="eastAsia"/>
          <w:bCs/>
          <w:szCs w:val="32"/>
          <w:lang w:eastAsia="zh-CN"/>
        </w:rPr>
        <w:t>）、</w:t>
      </w:r>
      <w:r>
        <w:rPr>
          <w:rFonts w:hint="eastAsia"/>
          <w:bCs/>
          <w:szCs w:val="32"/>
        </w:rPr>
        <w:t>卫生间的直接自然通风开口面积不应小于该房间地板面积的</w:t>
      </w:r>
      <w:r>
        <w:rPr>
          <w:bCs/>
          <w:szCs w:val="32"/>
        </w:rPr>
        <w:t>1/15</w:t>
      </w:r>
      <w:r>
        <w:rPr>
          <w:rFonts w:hint="eastAsia"/>
          <w:bCs/>
          <w:szCs w:val="32"/>
        </w:rPr>
        <w:t>；当采用自然通风的房间外设置封闭阳台时，阳台的自然通风开口面积不应小于采用自然通风的房间和阳台地板面积总和的</w:t>
      </w:r>
      <w:r>
        <w:rPr>
          <w:bCs/>
          <w:szCs w:val="32"/>
        </w:rPr>
        <w:t>1/15</w:t>
      </w:r>
      <w:r>
        <w:rPr>
          <w:rFonts w:hint="eastAsia"/>
          <w:bCs/>
          <w:szCs w:val="32"/>
        </w:rPr>
        <w:t>；</w:t>
      </w:r>
    </w:p>
    <w:p w14:paraId="7E78A823">
      <w:pPr>
        <w:ind w:firstLine="482"/>
        <w:rPr>
          <w:bCs/>
          <w:szCs w:val="32"/>
        </w:rPr>
      </w:pPr>
      <w:r>
        <w:rPr>
          <w:rFonts w:hint="eastAsia"/>
          <w:b/>
          <w:szCs w:val="32"/>
        </w:rPr>
        <w:t>2</w:t>
      </w:r>
      <w:r>
        <w:rPr>
          <w:bCs/>
          <w:szCs w:val="32"/>
        </w:rPr>
        <w:t xml:space="preserve"> </w:t>
      </w:r>
      <w:r>
        <w:rPr>
          <w:rFonts w:hint="eastAsia"/>
          <w:bCs/>
          <w:szCs w:val="32"/>
        </w:rPr>
        <w:t xml:space="preserve"> </w:t>
      </w:r>
      <w:r>
        <w:rPr>
          <w:bCs/>
          <w:szCs w:val="32"/>
        </w:rPr>
        <w:t>厨房的直接通风开口面积不应小于该房间地板面积的</w:t>
      </w:r>
      <w:r>
        <w:rPr>
          <w:rFonts w:hint="eastAsia"/>
          <w:bCs/>
          <w:szCs w:val="32"/>
        </w:rPr>
        <w:t>1/10</w:t>
      </w:r>
      <w:r>
        <w:rPr>
          <w:bCs/>
          <w:szCs w:val="32"/>
        </w:rPr>
        <w:t>，并不得小于</w:t>
      </w:r>
      <w:r>
        <w:rPr>
          <w:rFonts w:hint="eastAsia"/>
          <w:bCs/>
          <w:szCs w:val="32"/>
        </w:rPr>
        <w:t>0.60m</w:t>
      </w:r>
      <w:r>
        <w:rPr>
          <w:bCs/>
          <w:szCs w:val="32"/>
        </w:rPr>
        <w:t>²。当厨房外设置封闭阳台时，阳台的自然通风开口面积不应小于厨房和阳台地板面积总和的</w:t>
      </w:r>
      <w:r>
        <w:rPr>
          <w:rFonts w:hint="eastAsia"/>
          <w:bCs/>
          <w:szCs w:val="32"/>
        </w:rPr>
        <w:t>1/10</w:t>
      </w:r>
      <w:r>
        <w:rPr>
          <w:bCs/>
          <w:szCs w:val="32"/>
        </w:rPr>
        <w:t>，并不得小于</w:t>
      </w:r>
      <w:r>
        <w:rPr>
          <w:rFonts w:hint="eastAsia"/>
          <w:bCs/>
          <w:szCs w:val="32"/>
        </w:rPr>
        <w:t>0.60m</w:t>
      </w:r>
      <w:r>
        <w:rPr>
          <w:bCs/>
          <w:szCs w:val="32"/>
        </w:rPr>
        <w:t>²。</w:t>
      </w:r>
    </w:p>
    <w:p w14:paraId="75D74989">
      <w:pPr>
        <w:pStyle w:val="4"/>
        <w:numPr>
          <w:ilvl w:val="2"/>
          <w:numId w:val="11"/>
        </w:numPr>
        <w:tabs>
          <w:tab w:val="clear" w:pos="0"/>
        </w:tabs>
        <w:ind w:firstLine="0" w:firstLineChars="0"/>
        <w:rPr>
          <w:rFonts w:cs="宋体"/>
          <w:bCs w:val="0"/>
          <w:iCs/>
          <w:lang w:val="en-US"/>
        </w:rPr>
      </w:pPr>
      <w:r>
        <w:rPr>
          <w:rFonts w:hint="eastAsia" w:cs="宋体"/>
          <w:bCs w:val="0"/>
          <w:iCs/>
          <w:lang w:val="en-US"/>
        </w:rPr>
        <w:t>住宅的自然通风开口应采取可调节换气量的措施。</w:t>
      </w:r>
    </w:p>
    <w:p w14:paraId="5F2D12AA">
      <w:pPr>
        <w:pStyle w:val="3"/>
        <w:numPr>
          <w:ilvl w:val="1"/>
          <w:numId w:val="11"/>
        </w:numPr>
      </w:pPr>
      <w:bookmarkStart w:id="825" w:name="_Toc25027"/>
      <w:bookmarkStart w:id="826" w:name="_Toc8440"/>
      <w:bookmarkStart w:id="827" w:name="_Toc17388"/>
      <w:bookmarkStart w:id="828" w:name="_Toc10265"/>
      <w:bookmarkStart w:id="829" w:name="_Toc26719"/>
      <w:bookmarkStart w:id="830" w:name="_Toc414356549"/>
      <w:bookmarkStart w:id="831" w:name="_Toc422931159"/>
      <w:bookmarkStart w:id="832" w:name="_Toc15852"/>
      <w:bookmarkStart w:id="833" w:name="_Toc427324219"/>
      <w:bookmarkStart w:id="834" w:name="_Toc419288551"/>
      <w:bookmarkStart w:id="835" w:name="_Toc7806"/>
      <w:bookmarkStart w:id="836" w:name="_Toc25913"/>
      <w:bookmarkStart w:id="837" w:name="_Toc422990197"/>
      <w:bookmarkStart w:id="838" w:name="_Toc24937"/>
      <w:bookmarkStart w:id="839" w:name="_Toc414356853"/>
      <w:bookmarkStart w:id="840" w:name="_Toc425447360"/>
      <w:bookmarkStart w:id="841" w:name="_Toc425428123"/>
      <w:bookmarkStart w:id="842" w:name="_Toc32556"/>
      <w:r>
        <w:rPr>
          <w:rFonts w:hint="eastAsia"/>
        </w:rPr>
        <w:t>隔声与降噪</w:t>
      </w:r>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p>
    <w:p w14:paraId="5F31F460">
      <w:pPr>
        <w:pStyle w:val="4"/>
        <w:numPr>
          <w:ilvl w:val="2"/>
          <w:numId w:val="11"/>
        </w:numPr>
        <w:tabs>
          <w:tab w:val="clear" w:pos="0"/>
        </w:tabs>
        <w:ind w:firstLine="0" w:firstLineChars="0"/>
        <w:rPr>
          <w:rFonts w:cs="宋体"/>
          <w:bCs w:val="0"/>
          <w:iCs/>
          <w:lang w:val="en-US"/>
        </w:rPr>
      </w:pPr>
      <w:r>
        <w:rPr>
          <w:rFonts w:hint="eastAsia" w:cs="宋体"/>
          <w:bCs w:val="0"/>
          <w:iCs/>
          <w:lang w:val="en-US"/>
        </w:rPr>
        <w:t>住宅建筑的体形、朝向和平面布置应有利于噪声控制。卧室，起居室（厅）宜布置在远离噪声源的一侧。</w:t>
      </w:r>
    </w:p>
    <w:p w14:paraId="1A78E0F1">
      <w:pPr>
        <w:pStyle w:val="4"/>
        <w:numPr>
          <w:ilvl w:val="2"/>
          <w:numId w:val="11"/>
        </w:numPr>
        <w:tabs>
          <w:tab w:val="clear" w:pos="0"/>
        </w:tabs>
        <w:ind w:firstLine="0" w:firstLineChars="0"/>
        <w:rPr>
          <w:rFonts w:cs="宋体"/>
          <w:bCs w:val="0"/>
          <w:iCs/>
          <w:lang w:val="en-US"/>
        </w:rPr>
      </w:pPr>
      <w:r>
        <w:rPr>
          <w:rFonts w:hint="eastAsia" w:cs="宋体"/>
          <w:bCs w:val="0"/>
          <w:iCs/>
          <w:lang w:val="en-US"/>
        </w:rPr>
        <w:t>分户墙、分户楼板的空气声隔声性能应符合下列规定：</w:t>
      </w:r>
    </w:p>
    <w:p w14:paraId="2A5A3DC4">
      <w:pPr>
        <w:ind w:firstLine="482"/>
        <w:rPr>
          <w:rFonts w:ascii="宋体" w:hAnsi="宋体" w:cs="宋体"/>
          <w:szCs w:val="32"/>
          <w:lang w:val="zh-CN"/>
        </w:rPr>
      </w:pPr>
      <w:r>
        <w:rPr>
          <w:rFonts w:cs="Calibri"/>
          <w:b/>
          <w:bCs/>
          <w:szCs w:val="32"/>
          <w:lang w:val="zh-CN"/>
        </w:rPr>
        <w:t>1</w:t>
      </w:r>
      <w:r>
        <w:rPr>
          <w:rFonts w:ascii="宋体" w:hAnsi="宋体" w:cs="宋体"/>
          <w:szCs w:val="32"/>
          <w:lang w:val="zh-CN"/>
        </w:rPr>
        <w:t xml:space="preserve">  </w:t>
      </w:r>
      <w:r>
        <w:rPr>
          <w:rFonts w:hint="eastAsia" w:ascii="宋体" w:hAnsi="宋体" w:cs="宋体"/>
          <w:szCs w:val="32"/>
        </w:rPr>
        <w:t>卧室</w:t>
      </w:r>
      <w:r>
        <w:rPr>
          <w:rFonts w:hint="eastAsia" w:ascii="宋体" w:hAnsi="宋体" w:cs="宋体"/>
          <w:szCs w:val="32"/>
          <w:lang w:val="zh-CN"/>
        </w:rPr>
        <w:t>分户墙</w:t>
      </w:r>
      <w:r>
        <w:rPr>
          <w:rFonts w:hint="eastAsia" w:ascii="宋体" w:hAnsi="宋体" w:cs="宋体"/>
          <w:szCs w:val="32"/>
        </w:rPr>
        <w:t>及</w:t>
      </w:r>
      <w:r>
        <w:rPr>
          <w:rFonts w:hint="eastAsia" w:ascii="宋体" w:hAnsi="宋体" w:cs="宋体"/>
          <w:szCs w:val="32"/>
          <w:lang w:val="zh-CN"/>
        </w:rPr>
        <w:t>分户楼板两侧房间之间的计权标准化声压级差与粉红噪声频谱修正量之和</w:t>
      </w:r>
      <w:r>
        <w:rPr>
          <w:rFonts w:ascii="宋体" w:hAnsi="宋体" w:cs="宋体"/>
          <w:szCs w:val="32"/>
          <w:lang w:val="zh-CN"/>
        </w:rPr>
        <w:t>(D</w:t>
      </w:r>
      <w:r>
        <w:rPr>
          <w:rFonts w:hint="eastAsia" w:ascii="宋体" w:hAnsi="宋体" w:cs="宋体"/>
          <w:szCs w:val="32"/>
          <w:lang w:val="zh-CN"/>
        </w:rPr>
        <w:t>nT,w</w:t>
      </w:r>
      <w:r>
        <w:rPr>
          <w:rFonts w:ascii="宋体" w:hAnsi="宋体" w:cs="宋体"/>
          <w:szCs w:val="32"/>
          <w:lang w:val="zh-CN"/>
        </w:rPr>
        <w:t>+C)≥50dB</w:t>
      </w:r>
      <w:r>
        <w:rPr>
          <w:rFonts w:hint="eastAsia" w:ascii="宋体" w:hAnsi="宋体" w:cs="宋体"/>
          <w:szCs w:val="32"/>
          <w:lang w:val="zh-CN"/>
        </w:rPr>
        <w:t>；</w:t>
      </w:r>
    </w:p>
    <w:p w14:paraId="6300553A">
      <w:pPr>
        <w:ind w:firstLine="482"/>
        <w:rPr>
          <w:rFonts w:ascii="宋体" w:hAnsi="宋体" w:cs="宋体"/>
          <w:szCs w:val="32"/>
          <w:lang w:val="zh-CN"/>
        </w:rPr>
      </w:pPr>
      <w:r>
        <w:rPr>
          <w:rFonts w:cs="Calibri"/>
          <w:b/>
          <w:bCs/>
          <w:szCs w:val="32"/>
          <w:lang w:val="zh-CN"/>
        </w:rPr>
        <w:t>2</w:t>
      </w:r>
      <w:r>
        <w:rPr>
          <w:rFonts w:ascii="宋体" w:hAnsi="宋体" w:cs="宋体"/>
          <w:szCs w:val="32"/>
          <w:lang w:val="zh-CN"/>
        </w:rPr>
        <w:t xml:space="preserve">  </w:t>
      </w:r>
      <w:r>
        <w:rPr>
          <w:rFonts w:hint="eastAsia" w:ascii="宋体" w:hAnsi="宋体" w:cs="宋体"/>
          <w:szCs w:val="32"/>
          <w:lang w:val="zh-CN"/>
        </w:rPr>
        <w:t>其他分户墙及分户楼板两侧房间之间的计权标准化声压级差与粉红噪声频谱修正量之和</w:t>
      </w:r>
      <w:r>
        <w:rPr>
          <w:rFonts w:ascii="宋体" w:hAnsi="宋体" w:cs="宋体"/>
          <w:szCs w:val="32"/>
          <w:lang w:val="zh-CN"/>
        </w:rPr>
        <w:t>(D</w:t>
      </w:r>
      <w:r>
        <w:rPr>
          <w:rFonts w:hint="eastAsia" w:ascii="宋体" w:hAnsi="宋体" w:cs="宋体"/>
          <w:szCs w:val="32"/>
          <w:lang w:val="zh-CN"/>
        </w:rPr>
        <w:t>nT,w</w:t>
      </w:r>
      <w:r>
        <w:rPr>
          <w:rFonts w:ascii="宋体" w:hAnsi="宋体" w:cs="宋体"/>
          <w:szCs w:val="32"/>
          <w:lang w:val="zh-CN"/>
        </w:rPr>
        <w:t>+C)≥ 48dB。</w:t>
      </w:r>
    </w:p>
    <w:p w14:paraId="1ED287C9">
      <w:pPr>
        <w:pStyle w:val="4"/>
        <w:numPr>
          <w:ilvl w:val="2"/>
          <w:numId w:val="11"/>
        </w:numPr>
        <w:tabs>
          <w:tab w:val="clear" w:pos="0"/>
        </w:tabs>
        <w:ind w:firstLine="0" w:firstLineChars="0"/>
        <w:rPr>
          <w:rFonts w:cs="宋体"/>
          <w:bCs w:val="0"/>
          <w:iCs/>
          <w:lang w:val="en-US"/>
        </w:rPr>
      </w:pPr>
      <w:r>
        <w:rPr>
          <w:rFonts w:hint="eastAsia" w:cs="宋体"/>
          <w:bCs w:val="0"/>
          <w:iCs/>
          <w:lang w:val="en-US"/>
        </w:rPr>
        <w:t>住宅卧室、起居室</w:t>
      </w:r>
      <w:r>
        <w:rPr>
          <w:rFonts w:hint="eastAsia" w:cs="宋体"/>
          <w:bCs w:val="0"/>
          <w:iCs/>
          <w:lang w:val="en-US" w:eastAsia="zh-CN"/>
        </w:rPr>
        <w:t>（</w:t>
      </w:r>
      <w:r>
        <w:rPr>
          <w:rFonts w:hint="eastAsia" w:cs="宋体"/>
          <w:bCs w:val="0"/>
          <w:iCs/>
          <w:lang w:val="en-US"/>
        </w:rPr>
        <w:t>厅</w:t>
      </w:r>
      <w:r>
        <w:rPr>
          <w:rFonts w:hint="eastAsia" w:cs="宋体"/>
          <w:bCs w:val="0"/>
          <w:iCs/>
          <w:lang w:val="en-US" w:eastAsia="zh-CN"/>
        </w:rPr>
        <w:t>）</w:t>
      </w:r>
      <w:r>
        <w:rPr>
          <w:rFonts w:hint="eastAsia" w:cs="宋体"/>
          <w:bCs w:val="0"/>
          <w:iCs/>
          <w:lang w:val="en-US"/>
        </w:rPr>
        <w:t>的分户楼板的计权标准化撞击声压级（</w:t>
      </w:r>
      <w:r>
        <w:rPr>
          <w:rFonts w:hint="eastAsia" w:cs="宋体"/>
          <w:bCs w:val="0"/>
          <w:iCs/>
          <w:lang w:val="en-US" w:bidi="ar"/>
        </w:rPr>
        <w:t>L′nT,w</w:t>
      </w:r>
      <w:r>
        <w:rPr>
          <w:rFonts w:hint="eastAsia" w:cs="宋体"/>
          <w:bCs w:val="0"/>
          <w:iCs/>
          <w:lang w:val="en-US"/>
        </w:rPr>
        <w:t>）≤65dB。</w:t>
      </w:r>
    </w:p>
    <w:p w14:paraId="0DAFEB36">
      <w:pPr>
        <w:pStyle w:val="4"/>
        <w:numPr>
          <w:ilvl w:val="2"/>
          <w:numId w:val="11"/>
        </w:numPr>
        <w:tabs>
          <w:tab w:val="clear" w:pos="0"/>
        </w:tabs>
        <w:ind w:firstLine="0" w:firstLineChars="0"/>
        <w:rPr>
          <w:rFonts w:cs="宋体"/>
          <w:bCs w:val="0"/>
          <w:iCs/>
          <w:lang w:val="en-US"/>
        </w:rPr>
      </w:pPr>
      <w:r>
        <w:rPr>
          <w:rFonts w:hint="eastAsia" w:cs="宋体"/>
          <w:bCs w:val="0"/>
          <w:iCs/>
          <w:lang w:val="en-US"/>
        </w:rPr>
        <w:t>住宅外墙、外门窗的空气声隔声性能应符合下列规定：</w:t>
      </w:r>
    </w:p>
    <w:p w14:paraId="30DF2B25">
      <w:pPr>
        <w:ind w:firstLine="482"/>
        <w:rPr>
          <w:rFonts w:ascii="宋体" w:hAnsi="宋体" w:cs="宋体"/>
          <w:szCs w:val="32"/>
          <w:lang w:val="zh-CN"/>
        </w:rPr>
      </w:pPr>
      <w:r>
        <w:rPr>
          <w:rFonts w:cs="Calibri"/>
          <w:b/>
          <w:bCs/>
          <w:szCs w:val="32"/>
        </w:rPr>
        <w:t>1</w:t>
      </w:r>
      <w:r>
        <w:rPr>
          <w:rFonts w:ascii="宋体" w:hAnsi="宋体" w:cs="宋体"/>
          <w:szCs w:val="32"/>
        </w:rPr>
        <w:t xml:space="preserve">  </w:t>
      </w:r>
      <w:r>
        <w:rPr>
          <w:rFonts w:hint="eastAsia" w:ascii="宋体" w:hAnsi="宋体" w:cs="宋体"/>
          <w:szCs w:val="32"/>
          <w:lang w:val="zh-CN"/>
        </w:rPr>
        <w:t>住宅外墙的计权隔声量与交通噪声频谱修正量之和(Rw+Ctr)≥45dB；</w:t>
      </w:r>
    </w:p>
    <w:p w14:paraId="7C86EA94">
      <w:pPr>
        <w:ind w:firstLine="482"/>
        <w:rPr>
          <w:rFonts w:ascii="宋体" w:hAnsi="宋体" w:cs="宋体"/>
          <w:szCs w:val="32"/>
          <w:lang w:val="zh-CN"/>
        </w:rPr>
      </w:pPr>
      <w:r>
        <w:rPr>
          <w:rFonts w:cs="Calibri"/>
          <w:b/>
          <w:bCs/>
          <w:szCs w:val="32"/>
        </w:rPr>
        <w:t>2</w:t>
      </w:r>
      <w:r>
        <w:rPr>
          <w:rFonts w:ascii="宋体" w:hAnsi="宋体" w:cs="宋体"/>
          <w:szCs w:val="32"/>
        </w:rPr>
        <w:t xml:space="preserve">  </w:t>
      </w:r>
      <w:r>
        <w:rPr>
          <w:rFonts w:hint="eastAsia" w:ascii="宋体" w:hAnsi="宋体" w:cs="宋体"/>
          <w:szCs w:val="32"/>
          <w:lang w:val="zh-CN"/>
        </w:rPr>
        <w:t>临街住宅建筑朝交通干线侧卧室外门窗的计权隔声量与交通噪声频谱修正量之和(Rw+Ctr)≥ 35dB；</w:t>
      </w:r>
    </w:p>
    <w:p w14:paraId="5EE21C2F">
      <w:pPr>
        <w:ind w:firstLine="480"/>
        <w:rPr>
          <w:rFonts w:ascii="宋体" w:hAnsi="宋体" w:cs="宋体"/>
          <w:szCs w:val="32"/>
          <w:lang w:val="zh-CN"/>
        </w:rPr>
      </w:pPr>
      <w:r>
        <w:rPr>
          <w:rFonts w:cs="Calibri"/>
          <w:szCs w:val="32"/>
        </w:rPr>
        <w:t>3</w:t>
      </w:r>
      <w:r>
        <w:rPr>
          <w:rFonts w:ascii="宋体" w:hAnsi="宋体" w:cs="宋体"/>
          <w:szCs w:val="32"/>
        </w:rPr>
        <w:t xml:space="preserve">  </w:t>
      </w:r>
      <w:r>
        <w:rPr>
          <w:rFonts w:hint="eastAsia" w:ascii="宋体" w:hAnsi="宋体" w:cs="宋体"/>
          <w:szCs w:val="32"/>
          <w:lang w:val="zh-CN"/>
        </w:rPr>
        <w:t>其他外门窗的计权隔声量与交通噪声频谱修正量之和(Rw+Ctr)≥ 30dB；</w:t>
      </w:r>
    </w:p>
    <w:p w14:paraId="236030FC">
      <w:pPr>
        <w:ind w:firstLine="480"/>
        <w:rPr>
          <w:rFonts w:ascii="宋体" w:hAnsi="宋体" w:cs="宋体"/>
          <w:szCs w:val="32"/>
        </w:rPr>
      </w:pPr>
      <w:r>
        <w:rPr>
          <w:rFonts w:cs="Calibri"/>
          <w:szCs w:val="32"/>
        </w:rPr>
        <w:t>4</w:t>
      </w:r>
      <w:r>
        <w:rPr>
          <w:rFonts w:ascii="宋体" w:hAnsi="宋体" w:cs="宋体"/>
          <w:szCs w:val="32"/>
        </w:rPr>
        <w:t xml:space="preserve">  </w:t>
      </w:r>
      <w:r>
        <w:rPr>
          <w:rFonts w:hint="eastAsia" w:ascii="宋体" w:hAnsi="宋体" w:cs="宋体"/>
          <w:szCs w:val="32"/>
          <w:lang w:val="zh-CN"/>
        </w:rPr>
        <w:t>当凹口中设置相邻户间窗口时，应采取隔声降噪措施，即卧室及起居室外窗的空气声计权隔声量应满足(Rw+Ctr)≥ 3</w:t>
      </w:r>
      <w:r>
        <w:rPr>
          <w:rFonts w:hint="eastAsia" w:ascii="宋体" w:hAnsi="宋体" w:cs="宋体"/>
          <w:szCs w:val="32"/>
        </w:rPr>
        <w:t>5</w:t>
      </w:r>
      <w:r>
        <w:rPr>
          <w:rFonts w:hint="eastAsia" w:ascii="宋体" w:hAnsi="宋体" w:cs="宋体"/>
          <w:szCs w:val="32"/>
          <w:lang w:val="zh-CN"/>
        </w:rPr>
        <w:t>dB的要求。</w:t>
      </w:r>
    </w:p>
    <w:p w14:paraId="3C43FB54">
      <w:pPr>
        <w:pStyle w:val="4"/>
        <w:numPr>
          <w:ilvl w:val="2"/>
          <w:numId w:val="11"/>
        </w:numPr>
        <w:tabs>
          <w:tab w:val="clear" w:pos="0"/>
        </w:tabs>
        <w:ind w:firstLine="0" w:firstLineChars="0"/>
        <w:rPr>
          <w:rFonts w:cs="宋体"/>
          <w:bCs w:val="0"/>
          <w:iCs/>
          <w:lang w:val="en-US"/>
        </w:rPr>
      </w:pPr>
      <w:r>
        <w:rPr>
          <w:rFonts w:hint="eastAsia" w:cs="宋体"/>
          <w:bCs w:val="0"/>
          <w:iCs/>
          <w:lang w:val="en-US"/>
        </w:rPr>
        <w:t>住宅建筑内电梯、水泵、变压器等共用设施设备及空调室外机、新风机组等产生噪声振动的设施设备应符合下列要求：</w:t>
      </w:r>
    </w:p>
    <w:p w14:paraId="170D9FCF">
      <w:pPr>
        <w:ind w:firstLine="480"/>
        <w:rPr>
          <w:rFonts w:ascii="宋体" w:hAnsi="宋体" w:cs="宋体"/>
          <w:szCs w:val="32"/>
        </w:rPr>
      </w:pPr>
      <w:r>
        <w:rPr>
          <w:rFonts w:cs="Calibri"/>
          <w:szCs w:val="32"/>
          <w:lang w:val="zh-CN"/>
        </w:rPr>
        <w:t>1</w:t>
      </w:r>
      <w:r>
        <w:rPr>
          <w:rFonts w:hint="eastAsia" w:ascii="宋体" w:hAnsi="宋体" w:cs="宋体"/>
          <w:szCs w:val="32"/>
          <w:lang w:val="zh-CN"/>
        </w:rPr>
        <w:t xml:space="preserve">  电梯井道及电梯机房不应紧邻卧室布置。</w:t>
      </w:r>
    </w:p>
    <w:p w14:paraId="00B876F5">
      <w:pPr>
        <w:ind w:firstLine="480"/>
        <w:rPr>
          <w:rFonts w:ascii="宋体" w:hAnsi="宋体" w:cs="宋体"/>
          <w:szCs w:val="32"/>
          <w:lang w:val="zh-CN"/>
        </w:rPr>
      </w:pPr>
      <w:r>
        <w:rPr>
          <w:rFonts w:cs="Calibri"/>
          <w:szCs w:val="32"/>
          <w:lang w:val="zh-CN"/>
        </w:rPr>
        <w:t>2</w:t>
      </w:r>
      <w:r>
        <w:rPr>
          <w:rFonts w:hint="eastAsia" w:ascii="宋体" w:hAnsi="宋体" w:cs="宋体"/>
          <w:szCs w:val="32"/>
          <w:lang w:val="zh-CN"/>
        </w:rPr>
        <w:t xml:space="preserve">  电梯不宜紧邻起居室（厅）布置。受条件限制起居室（厅）紧邻电梯布置时，应采取有效的隔声和减振措施。</w:t>
      </w:r>
    </w:p>
    <w:p w14:paraId="3FB855AB">
      <w:pPr>
        <w:ind w:firstLine="480"/>
        <w:rPr>
          <w:rFonts w:ascii="宋体" w:hAnsi="宋体" w:cs="宋体"/>
          <w:szCs w:val="32"/>
          <w:lang w:val="zh-CN"/>
        </w:rPr>
      </w:pPr>
      <w:r>
        <w:rPr>
          <w:rFonts w:cs="Calibri"/>
          <w:szCs w:val="32"/>
          <w:lang w:val="zh-CN"/>
        </w:rPr>
        <w:t>3</w:t>
      </w:r>
      <w:r>
        <w:rPr>
          <w:rFonts w:hint="eastAsia" w:ascii="宋体" w:hAnsi="宋体" w:cs="宋体"/>
          <w:szCs w:val="32"/>
          <w:lang w:val="zh-CN"/>
        </w:rPr>
        <w:t xml:space="preserve">  生活加压水泵应选用低噪声节能型产品，泵组及泵房应采取减振防噪措施；</w:t>
      </w:r>
    </w:p>
    <w:p w14:paraId="1DBB5199">
      <w:pPr>
        <w:ind w:firstLine="480"/>
        <w:rPr>
          <w:rFonts w:ascii="宋体" w:hAnsi="宋体" w:cs="宋体"/>
          <w:szCs w:val="32"/>
          <w:lang w:val="zh-CN"/>
        </w:rPr>
      </w:pPr>
      <w:r>
        <w:rPr>
          <w:rFonts w:cs="Calibri"/>
          <w:szCs w:val="32"/>
        </w:rPr>
        <w:t>4</w:t>
      </w:r>
      <w:r>
        <w:rPr>
          <w:rFonts w:hint="eastAsia" w:ascii="宋体" w:hAnsi="宋体" w:cs="宋体"/>
          <w:szCs w:val="32"/>
          <w:lang w:val="zh-CN"/>
        </w:rPr>
        <w:t xml:space="preserve">  住宅建筑采用户式中央空调时，空调机应设置在专用平台或设备间内，不宜紧贴卧室墙安装，如相邻时应采取减振隔声措施。</w:t>
      </w:r>
    </w:p>
    <w:p w14:paraId="36361CAB">
      <w:pPr>
        <w:pStyle w:val="4"/>
        <w:numPr>
          <w:ilvl w:val="2"/>
          <w:numId w:val="11"/>
        </w:numPr>
        <w:tabs>
          <w:tab w:val="clear" w:pos="0"/>
        </w:tabs>
        <w:ind w:firstLine="0" w:firstLineChars="0"/>
        <w:rPr>
          <w:rFonts w:cs="宋体"/>
          <w:bCs w:val="0"/>
          <w:iCs/>
          <w:lang w:val="en-US"/>
        </w:rPr>
      </w:pPr>
      <w:r>
        <w:rPr>
          <w:rFonts w:hint="eastAsia" w:cs="宋体"/>
          <w:bCs w:val="0"/>
          <w:iCs/>
          <w:lang w:val="en-US"/>
        </w:rPr>
        <w:t>与卧室相邻的卫生间内，排水立管不应贴邻卫生间与卧室共用的墙体，且应进行隔声包裹，管道固定卡扣件不得与共用墙体产生刚性连接。</w:t>
      </w:r>
    </w:p>
    <w:p w14:paraId="54F6ADE7">
      <w:pPr>
        <w:pStyle w:val="4"/>
        <w:numPr>
          <w:ilvl w:val="2"/>
          <w:numId w:val="11"/>
        </w:numPr>
        <w:tabs>
          <w:tab w:val="clear" w:pos="0"/>
        </w:tabs>
        <w:ind w:firstLine="0" w:firstLineChars="0"/>
        <w:rPr>
          <w:rFonts w:cs="宋体"/>
          <w:bCs w:val="0"/>
          <w:iCs/>
          <w:lang w:val="en-US"/>
        </w:rPr>
      </w:pPr>
      <w:r>
        <w:rPr>
          <w:rFonts w:hint="eastAsia" w:cs="宋体"/>
          <w:bCs w:val="0"/>
          <w:iCs/>
          <w:lang w:val="en-US" w:eastAsia="zh-CN"/>
        </w:rPr>
        <w:t>坐便器</w:t>
      </w:r>
      <w:r>
        <w:rPr>
          <w:rFonts w:hint="eastAsia" w:cs="宋体"/>
          <w:bCs w:val="0"/>
          <w:iCs/>
          <w:lang w:val="en-US"/>
        </w:rPr>
        <w:t>具应选用低噪声型产品。</w:t>
      </w:r>
    </w:p>
    <w:p w14:paraId="167A5255">
      <w:pPr>
        <w:pStyle w:val="4"/>
        <w:numPr>
          <w:ilvl w:val="2"/>
          <w:numId w:val="11"/>
        </w:numPr>
        <w:tabs>
          <w:tab w:val="clear" w:pos="0"/>
        </w:tabs>
        <w:ind w:firstLine="0" w:firstLineChars="0"/>
        <w:rPr>
          <w:rFonts w:cs="宋体"/>
          <w:bCs w:val="0"/>
          <w:iCs/>
          <w:lang w:val="en-US"/>
        </w:rPr>
      </w:pPr>
      <w:r>
        <w:rPr>
          <w:rFonts w:hint="eastAsia" w:cs="宋体"/>
          <w:bCs w:val="0"/>
          <w:iCs/>
          <w:lang w:val="en-US"/>
        </w:rPr>
        <w:t>水、暖、电、气管线穿过分户墙、分户楼板时，孔洞周边应采取密封隔声措施。分户墙两侧设置插线盒时，不应正对布置。</w:t>
      </w:r>
    </w:p>
    <w:p w14:paraId="6DB5516E">
      <w:pPr>
        <w:pStyle w:val="3"/>
        <w:numPr>
          <w:ilvl w:val="1"/>
          <w:numId w:val="11"/>
        </w:numPr>
      </w:pPr>
      <w:bookmarkStart w:id="843" w:name="_Toc427324220"/>
      <w:bookmarkStart w:id="844" w:name="_Toc3568"/>
      <w:bookmarkStart w:id="845" w:name="_Toc26156"/>
      <w:bookmarkStart w:id="846" w:name="_Toc425447361"/>
      <w:bookmarkStart w:id="847" w:name="_Toc414356854"/>
      <w:bookmarkStart w:id="848" w:name="_Toc425428124"/>
      <w:bookmarkStart w:id="849" w:name="_Toc5056"/>
      <w:bookmarkStart w:id="850" w:name="_Toc11132"/>
      <w:bookmarkStart w:id="851" w:name="_Toc28036"/>
      <w:bookmarkStart w:id="852" w:name="_Toc2659"/>
      <w:bookmarkStart w:id="853" w:name="_Toc19707"/>
      <w:bookmarkStart w:id="854" w:name="_Toc422990198"/>
      <w:bookmarkStart w:id="855" w:name="_Toc22339"/>
      <w:bookmarkStart w:id="856" w:name="_Toc12693"/>
      <w:bookmarkStart w:id="857" w:name="_Toc414356550"/>
      <w:bookmarkStart w:id="858" w:name="_Toc6758"/>
      <w:bookmarkStart w:id="859" w:name="_Toc419288552"/>
      <w:bookmarkStart w:id="860" w:name="_Toc422931160"/>
      <w:r>
        <w:rPr>
          <w:rFonts w:hint="eastAsia"/>
        </w:rPr>
        <w:t>保温与隔热</w:t>
      </w:r>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p>
    <w:p w14:paraId="6001DEE5">
      <w:pPr>
        <w:pStyle w:val="4"/>
        <w:numPr>
          <w:ilvl w:val="2"/>
          <w:numId w:val="11"/>
        </w:numPr>
        <w:tabs>
          <w:tab w:val="clear" w:pos="0"/>
        </w:tabs>
        <w:ind w:firstLine="0" w:firstLineChars="0"/>
        <w:rPr>
          <w:rFonts w:cs="宋体"/>
          <w:bCs w:val="0"/>
          <w:iCs/>
          <w:lang w:val="en-US"/>
        </w:rPr>
      </w:pPr>
      <w:r>
        <w:rPr>
          <w:rFonts w:hint="eastAsia" w:cs="宋体"/>
          <w:bCs w:val="0"/>
          <w:iCs/>
          <w:lang w:val="en-US"/>
        </w:rPr>
        <w:t>住宅的屋面宜采用浅色饰面、增加屋顶绿化等隔热措施。</w:t>
      </w:r>
    </w:p>
    <w:p w14:paraId="42D0F3CC">
      <w:pPr>
        <w:pStyle w:val="4"/>
        <w:numPr>
          <w:ilvl w:val="2"/>
          <w:numId w:val="11"/>
        </w:numPr>
        <w:tabs>
          <w:tab w:val="clear" w:pos="0"/>
        </w:tabs>
        <w:ind w:firstLine="0" w:firstLineChars="0"/>
        <w:rPr>
          <w:rFonts w:cs="宋体"/>
          <w:bCs w:val="0"/>
          <w:iCs/>
          <w:lang w:val="en-US"/>
        </w:rPr>
      </w:pPr>
      <w:r>
        <w:rPr>
          <w:rFonts w:hint="eastAsia" w:cs="宋体"/>
          <w:bCs w:val="0"/>
          <w:iCs/>
          <w:lang w:val="en-US"/>
        </w:rPr>
        <w:t>居住空间应根据不同朝向的需要设置外遮阳设施，并与建筑外窗进行一体化设计。</w:t>
      </w:r>
    </w:p>
    <w:p w14:paraId="6525B592">
      <w:pPr>
        <w:pStyle w:val="4"/>
        <w:numPr>
          <w:ilvl w:val="2"/>
          <w:numId w:val="11"/>
        </w:numPr>
        <w:tabs>
          <w:tab w:val="clear" w:pos="0"/>
        </w:tabs>
        <w:ind w:firstLine="0" w:firstLineChars="0"/>
        <w:rPr>
          <w:rFonts w:cs="宋体"/>
          <w:bCs w:val="0"/>
          <w:iCs/>
          <w:lang w:val="en-US"/>
        </w:rPr>
      </w:pPr>
      <w:r>
        <w:rPr>
          <w:rFonts w:hint="eastAsia" w:cs="宋体"/>
          <w:bCs w:val="0"/>
          <w:iCs/>
          <w:lang w:val="en-US"/>
        </w:rPr>
        <w:t>住宅的屋面、地面、外墙、外窗应采取防止雨水和冰雪融化水侵入室内的措施。</w:t>
      </w:r>
    </w:p>
    <w:p w14:paraId="72B3816C">
      <w:pPr>
        <w:pStyle w:val="4"/>
        <w:numPr>
          <w:ilvl w:val="2"/>
          <w:numId w:val="11"/>
        </w:numPr>
        <w:tabs>
          <w:tab w:val="clear" w:pos="0"/>
        </w:tabs>
        <w:ind w:firstLine="0" w:firstLineChars="0"/>
        <w:rPr>
          <w:rFonts w:cs="宋体"/>
          <w:bCs w:val="0"/>
          <w:iCs/>
          <w:lang w:val="en-US"/>
        </w:rPr>
      </w:pPr>
      <w:r>
        <w:rPr>
          <w:rFonts w:hint="eastAsia" w:cs="宋体"/>
          <w:bCs w:val="0"/>
          <w:iCs/>
          <w:lang w:val="en-US"/>
        </w:rPr>
        <w:t>住宅的屋面和外墙的内表面在设计的室内温度、湿度条件下不应出现结露。</w:t>
      </w:r>
    </w:p>
    <w:p w14:paraId="6B78EED6">
      <w:pPr>
        <w:pStyle w:val="3"/>
        <w:numPr>
          <w:ilvl w:val="1"/>
          <w:numId w:val="11"/>
        </w:numPr>
      </w:pPr>
      <w:bookmarkStart w:id="861" w:name="_Toc425447362"/>
      <w:bookmarkStart w:id="862" w:name="_Toc25849"/>
      <w:bookmarkStart w:id="863" w:name="_Toc425428125"/>
      <w:bookmarkStart w:id="864" w:name="_Toc18825"/>
      <w:bookmarkStart w:id="865" w:name="_Toc422931161"/>
      <w:bookmarkStart w:id="866" w:name="_Toc414356855"/>
      <w:bookmarkStart w:id="867" w:name="_Toc19772"/>
      <w:bookmarkStart w:id="868" w:name="_Toc3696"/>
      <w:bookmarkStart w:id="869" w:name="_Toc422990199"/>
      <w:bookmarkStart w:id="870" w:name="_Toc15959"/>
      <w:bookmarkStart w:id="871" w:name="_Toc427324221"/>
      <w:bookmarkStart w:id="872" w:name="_Toc419288553"/>
      <w:bookmarkStart w:id="873" w:name="_Toc414356551"/>
      <w:bookmarkStart w:id="874" w:name="_Toc11462"/>
      <w:bookmarkStart w:id="875" w:name="_Toc13154"/>
      <w:bookmarkStart w:id="876" w:name="_Toc24285"/>
      <w:bookmarkStart w:id="877" w:name="_Toc23406"/>
      <w:bookmarkStart w:id="878" w:name="_Toc20903"/>
      <w:r>
        <w:rPr>
          <w:rFonts w:hint="eastAsia"/>
        </w:rPr>
        <w:t>室内空气质量</w:t>
      </w:r>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p>
    <w:p w14:paraId="196F8972">
      <w:pPr>
        <w:pStyle w:val="4"/>
        <w:numPr>
          <w:ilvl w:val="2"/>
          <w:numId w:val="11"/>
        </w:numPr>
        <w:tabs>
          <w:tab w:val="clear" w:pos="0"/>
        </w:tabs>
        <w:ind w:firstLine="0" w:firstLineChars="0"/>
        <w:rPr>
          <w:rFonts w:cs="宋体"/>
          <w:bCs w:val="0"/>
          <w:iCs/>
          <w:lang w:val="en-US"/>
        </w:rPr>
      </w:pPr>
      <w:r>
        <w:rPr>
          <w:rFonts w:hint="eastAsia" w:cs="宋体"/>
          <w:bCs w:val="0"/>
          <w:iCs/>
          <w:lang w:val="en-US"/>
        </w:rPr>
        <w:t>住宅室内装修设计</w:t>
      </w:r>
      <w:r>
        <w:rPr>
          <w:rFonts w:hint="eastAsia" w:cs="宋体"/>
          <w:bCs w:val="0"/>
          <w:iCs/>
          <w:lang w:val="en-US" w:eastAsia="zh-CN"/>
        </w:rPr>
        <w:t>应</w:t>
      </w:r>
      <w:r>
        <w:rPr>
          <w:rFonts w:hint="eastAsia" w:cs="宋体"/>
          <w:bCs w:val="0"/>
          <w:iCs/>
          <w:lang w:val="en-US"/>
        </w:rPr>
        <w:t>进行环境空气质量预评价。</w:t>
      </w:r>
    </w:p>
    <w:p w14:paraId="66F89E12">
      <w:pPr>
        <w:pStyle w:val="4"/>
        <w:numPr>
          <w:ilvl w:val="2"/>
          <w:numId w:val="11"/>
        </w:numPr>
        <w:tabs>
          <w:tab w:val="clear" w:pos="0"/>
        </w:tabs>
        <w:ind w:firstLine="0" w:firstLineChars="0"/>
        <w:rPr>
          <w:rFonts w:cs="宋体"/>
          <w:bCs w:val="0"/>
          <w:iCs/>
          <w:lang w:val="en-US"/>
        </w:rPr>
      </w:pPr>
      <w:r>
        <w:rPr>
          <w:rFonts w:hint="eastAsia" w:cs="宋体"/>
          <w:bCs w:val="0"/>
          <w:iCs/>
          <w:lang w:val="en-US"/>
        </w:rPr>
        <w:t>在选用住宅建筑材料、室内装修材料以及选择施工工艺时，应控制有害物质的含量，并宜选用具有改善室内环境功能的材料。</w:t>
      </w:r>
    </w:p>
    <w:p w14:paraId="6AD51990">
      <w:pPr>
        <w:pStyle w:val="4"/>
        <w:numPr>
          <w:ilvl w:val="2"/>
          <w:numId w:val="11"/>
        </w:numPr>
        <w:tabs>
          <w:tab w:val="clear" w:pos="0"/>
        </w:tabs>
        <w:ind w:firstLine="0" w:firstLineChars="0"/>
        <w:rPr>
          <w:rFonts w:cs="宋体"/>
          <w:bCs w:val="0"/>
          <w:iCs/>
          <w:lang w:val="en-US"/>
        </w:rPr>
      </w:pPr>
      <w:r>
        <w:rPr>
          <w:rFonts w:hint="eastAsia" w:cs="宋体"/>
          <w:bCs w:val="0"/>
          <w:iCs/>
          <w:lang w:val="en-US"/>
        </w:rPr>
        <w:t>住宅室内空气污染物的活度和浓度应符合表8.6.3的规定。</w:t>
      </w:r>
    </w:p>
    <w:p w14:paraId="0C42A147">
      <w:pPr>
        <w:ind w:firstLine="422"/>
        <w:jc w:val="center"/>
        <w:rPr>
          <w:rFonts w:ascii="宋体" w:hAnsi="宋体" w:cs="宋体"/>
          <w:b/>
          <w:bCs/>
          <w:iCs/>
          <w:sz w:val="21"/>
          <w:szCs w:val="21"/>
        </w:rPr>
      </w:pPr>
      <w:r>
        <w:rPr>
          <w:rFonts w:hint="eastAsia" w:ascii="宋体" w:hAnsi="宋体" w:cs="宋体"/>
          <w:b/>
          <w:bCs/>
          <w:iCs/>
          <w:kern w:val="0"/>
          <w:sz w:val="21"/>
          <w:szCs w:val="21"/>
          <w:lang w:val="zh-CN"/>
        </w:rPr>
        <w:t>表</w:t>
      </w:r>
      <w:r>
        <w:rPr>
          <w:rFonts w:ascii="宋体" w:hAnsi="宋体" w:cs="宋体"/>
          <w:b/>
          <w:bCs/>
          <w:iCs/>
          <w:kern w:val="0"/>
          <w:sz w:val="21"/>
          <w:szCs w:val="21"/>
          <w:lang w:val="zh-CN"/>
        </w:rPr>
        <w:t>8.6.3住宅室内空气污染物限值</w:t>
      </w:r>
    </w:p>
    <w:tbl>
      <w:tblPr>
        <w:tblStyle w:val="29"/>
        <w:tblW w:w="7479" w:type="dxa"/>
        <w:jc w:val="center"/>
        <w:tblLayout w:type="autofit"/>
        <w:tblCellMar>
          <w:top w:w="0" w:type="dxa"/>
          <w:left w:w="0" w:type="dxa"/>
          <w:bottom w:w="0" w:type="dxa"/>
          <w:right w:w="0" w:type="dxa"/>
        </w:tblCellMar>
      </w:tblPr>
      <w:tblGrid>
        <w:gridCol w:w="3249"/>
        <w:gridCol w:w="4230"/>
      </w:tblGrid>
      <w:tr w14:paraId="13319EC5">
        <w:tblPrEx>
          <w:tblCellMar>
            <w:top w:w="0" w:type="dxa"/>
            <w:left w:w="0" w:type="dxa"/>
            <w:bottom w:w="0" w:type="dxa"/>
            <w:right w:w="0" w:type="dxa"/>
          </w:tblCellMar>
        </w:tblPrEx>
        <w:trPr>
          <w:trHeight w:val="397" w:hRule="exact"/>
          <w:jc w:val="center"/>
        </w:trPr>
        <w:tc>
          <w:tcPr>
            <w:tcW w:w="3249"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331CCEC">
            <w:pPr>
              <w:widowControl/>
              <w:snapToGrid w:val="0"/>
              <w:spacing w:line="240" w:lineRule="auto"/>
              <w:ind w:firstLine="1" w:firstLineChars="0"/>
              <w:jc w:val="center"/>
              <w:rPr>
                <w:rFonts w:ascii="宋体" w:hAnsi="宋体" w:cs="宋体"/>
                <w:iCs/>
                <w:kern w:val="0"/>
                <w:sz w:val="18"/>
                <w:szCs w:val="18"/>
              </w:rPr>
            </w:pPr>
            <w:r>
              <w:rPr>
                <w:rFonts w:hint="eastAsia" w:ascii="宋体" w:hAnsi="宋体" w:cs="宋体"/>
                <w:iCs/>
                <w:kern w:val="0"/>
                <w:sz w:val="18"/>
                <w:szCs w:val="18"/>
              </w:rPr>
              <w:t>污染物名称</w:t>
            </w:r>
          </w:p>
        </w:tc>
        <w:tc>
          <w:tcPr>
            <w:tcW w:w="423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88F7969">
            <w:pPr>
              <w:widowControl/>
              <w:snapToGrid w:val="0"/>
              <w:spacing w:line="240" w:lineRule="auto"/>
              <w:ind w:firstLine="1" w:firstLineChars="0"/>
              <w:jc w:val="center"/>
              <w:rPr>
                <w:rFonts w:ascii="宋体" w:hAnsi="宋体" w:cs="宋体"/>
                <w:iCs/>
                <w:kern w:val="0"/>
                <w:sz w:val="18"/>
                <w:szCs w:val="18"/>
              </w:rPr>
            </w:pPr>
            <w:r>
              <w:rPr>
                <w:rFonts w:hint="eastAsia" w:ascii="宋体" w:hAnsi="宋体" w:cs="宋体"/>
                <w:iCs/>
                <w:kern w:val="0"/>
                <w:sz w:val="18"/>
                <w:szCs w:val="18"/>
              </w:rPr>
              <w:t>活度、浓度限值</w:t>
            </w:r>
          </w:p>
        </w:tc>
      </w:tr>
      <w:tr w14:paraId="2F208821">
        <w:tblPrEx>
          <w:tblCellMar>
            <w:top w:w="0" w:type="dxa"/>
            <w:left w:w="0" w:type="dxa"/>
            <w:bottom w:w="0" w:type="dxa"/>
            <w:right w:w="0" w:type="dxa"/>
          </w:tblCellMar>
        </w:tblPrEx>
        <w:trPr>
          <w:trHeight w:val="397" w:hRule="exact"/>
          <w:jc w:val="center"/>
        </w:trPr>
        <w:tc>
          <w:tcPr>
            <w:tcW w:w="3249"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1A49513">
            <w:pPr>
              <w:widowControl/>
              <w:snapToGrid w:val="0"/>
              <w:spacing w:line="240" w:lineRule="auto"/>
              <w:ind w:firstLine="1" w:firstLineChars="0"/>
              <w:jc w:val="center"/>
              <w:rPr>
                <w:rFonts w:ascii="宋体" w:hAnsi="宋体" w:cs="宋体"/>
                <w:iCs/>
                <w:kern w:val="0"/>
                <w:sz w:val="18"/>
                <w:szCs w:val="18"/>
              </w:rPr>
            </w:pPr>
            <w:r>
              <w:rPr>
                <w:rFonts w:hint="eastAsia" w:ascii="宋体" w:hAnsi="宋体" w:cs="宋体"/>
                <w:iCs/>
                <w:kern w:val="0"/>
                <w:sz w:val="18"/>
                <w:szCs w:val="18"/>
              </w:rPr>
              <w:t>氡</w:t>
            </w:r>
          </w:p>
        </w:tc>
        <w:tc>
          <w:tcPr>
            <w:tcW w:w="423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1F7EBDE">
            <w:pPr>
              <w:widowControl/>
              <w:snapToGrid w:val="0"/>
              <w:spacing w:line="240" w:lineRule="auto"/>
              <w:ind w:firstLine="1" w:firstLineChars="0"/>
              <w:jc w:val="center"/>
              <w:rPr>
                <w:rFonts w:ascii="宋体" w:hAnsi="宋体" w:cs="宋体"/>
                <w:iCs/>
                <w:kern w:val="0"/>
                <w:sz w:val="18"/>
                <w:szCs w:val="18"/>
              </w:rPr>
            </w:pPr>
            <w:r>
              <w:rPr>
                <w:rFonts w:hint="eastAsia" w:ascii="宋体" w:hAnsi="宋体" w:cs="宋体"/>
                <w:iCs/>
                <w:kern w:val="0"/>
                <w:sz w:val="18"/>
                <w:szCs w:val="18"/>
              </w:rPr>
              <w:t>≤</w:t>
            </w:r>
            <w:r>
              <w:rPr>
                <w:rFonts w:ascii="宋体" w:hAnsi="宋体" w:cs="宋体"/>
                <w:iCs/>
                <w:kern w:val="0"/>
                <w:sz w:val="18"/>
                <w:szCs w:val="18"/>
              </w:rPr>
              <w:t>150 Bq/m</w:t>
            </w:r>
            <w:r>
              <w:rPr>
                <w:rFonts w:ascii="宋体" w:hAnsi="宋体" w:cs="宋体"/>
                <w:iCs/>
                <w:kern w:val="0"/>
                <w:position w:val="7"/>
                <w:sz w:val="18"/>
                <w:szCs w:val="18"/>
                <w:vertAlign w:val="superscript"/>
              </w:rPr>
              <w:t>3</w:t>
            </w:r>
          </w:p>
        </w:tc>
      </w:tr>
      <w:tr w14:paraId="4234D3D6">
        <w:tblPrEx>
          <w:tblCellMar>
            <w:top w:w="0" w:type="dxa"/>
            <w:left w:w="0" w:type="dxa"/>
            <w:bottom w:w="0" w:type="dxa"/>
            <w:right w:w="0" w:type="dxa"/>
          </w:tblCellMar>
        </w:tblPrEx>
        <w:trPr>
          <w:trHeight w:val="397" w:hRule="exact"/>
          <w:jc w:val="center"/>
        </w:trPr>
        <w:tc>
          <w:tcPr>
            <w:tcW w:w="3249"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E1323B9">
            <w:pPr>
              <w:widowControl/>
              <w:snapToGrid w:val="0"/>
              <w:spacing w:line="240" w:lineRule="auto"/>
              <w:ind w:firstLine="1" w:firstLineChars="0"/>
              <w:jc w:val="center"/>
              <w:rPr>
                <w:rFonts w:ascii="宋体" w:hAnsi="宋体" w:cs="宋体"/>
                <w:iCs/>
                <w:kern w:val="0"/>
                <w:sz w:val="18"/>
                <w:szCs w:val="18"/>
              </w:rPr>
            </w:pPr>
            <w:r>
              <w:rPr>
                <w:rFonts w:hint="eastAsia" w:ascii="宋体" w:hAnsi="宋体" w:cs="宋体"/>
                <w:iCs/>
                <w:kern w:val="0"/>
                <w:sz w:val="18"/>
                <w:szCs w:val="18"/>
              </w:rPr>
              <w:t>游离甲醛</w:t>
            </w:r>
          </w:p>
        </w:tc>
        <w:tc>
          <w:tcPr>
            <w:tcW w:w="423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F4E197F">
            <w:pPr>
              <w:widowControl/>
              <w:snapToGrid w:val="0"/>
              <w:spacing w:line="240" w:lineRule="auto"/>
              <w:ind w:firstLine="1" w:firstLineChars="0"/>
              <w:jc w:val="center"/>
              <w:rPr>
                <w:rFonts w:ascii="宋体" w:hAnsi="宋体" w:cs="宋体"/>
                <w:iCs/>
                <w:kern w:val="0"/>
                <w:sz w:val="18"/>
                <w:szCs w:val="18"/>
              </w:rPr>
            </w:pPr>
            <w:r>
              <w:rPr>
                <w:rFonts w:hint="eastAsia" w:ascii="宋体" w:hAnsi="宋体" w:cs="宋体"/>
                <w:iCs/>
                <w:kern w:val="0"/>
                <w:sz w:val="18"/>
                <w:szCs w:val="18"/>
              </w:rPr>
              <w:t>≤</w:t>
            </w:r>
            <w:r>
              <w:rPr>
                <w:rFonts w:ascii="宋体" w:hAnsi="宋体" w:cs="宋体"/>
                <w:iCs/>
                <w:kern w:val="0"/>
                <w:sz w:val="18"/>
                <w:szCs w:val="18"/>
              </w:rPr>
              <w:t>0.07mg/m</w:t>
            </w:r>
            <w:r>
              <w:rPr>
                <w:rFonts w:ascii="宋体" w:hAnsi="宋体" w:cs="宋体"/>
                <w:iCs/>
                <w:kern w:val="0"/>
                <w:position w:val="7"/>
                <w:sz w:val="18"/>
                <w:szCs w:val="18"/>
                <w:vertAlign w:val="superscript"/>
              </w:rPr>
              <w:t>3</w:t>
            </w:r>
          </w:p>
        </w:tc>
      </w:tr>
      <w:tr w14:paraId="3F686F63">
        <w:tblPrEx>
          <w:tblCellMar>
            <w:top w:w="0" w:type="dxa"/>
            <w:left w:w="0" w:type="dxa"/>
            <w:bottom w:w="0" w:type="dxa"/>
            <w:right w:w="0" w:type="dxa"/>
          </w:tblCellMar>
        </w:tblPrEx>
        <w:trPr>
          <w:trHeight w:val="397" w:hRule="exact"/>
          <w:jc w:val="center"/>
        </w:trPr>
        <w:tc>
          <w:tcPr>
            <w:tcW w:w="3249"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FAF8324">
            <w:pPr>
              <w:widowControl/>
              <w:snapToGrid w:val="0"/>
              <w:spacing w:line="240" w:lineRule="auto"/>
              <w:ind w:firstLine="1" w:firstLineChars="0"/>
              <w:jc w:val="center"/>
              <w:rPr>
                <w:rFonts w:ascii="宋体" w:hAnsi="宋体" w:cs="宋体"/>
                <w:iCs/>
                <w:kern w:val="0"/>
                <w:sz w:val="18"/>
                <w:szCs w:val="18"/>
              </w:rPr>
            </w:pPr>
            <w:r>
              <w:rPr>
                <w:rFonts w:hint="eastAsia" w:ascii="宋体" w:hAnsi="宋体" w:cs="宋体"/>
                <w:iCs/>
                <w:kern w:val="0"/>
                <w:sz w:val="18"/>
                <w:szCs w:val="18"/>
              </w:rPr>
              <w:t>苯</w:t>
            </w:r>
          </w:p>
        </w:tc>
        <w:tc>
          <w:tcPr>
            <w:tcW w:w="423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B470A72">
            <w:pPr>
              <w:widowControl/>
              <w:snapToGrid w:val="0"/>
              <w:spacing w:line="240" w:lineRule="auto"/>
              <w:ind w:firstLine="1" w:firstLineChars="0"/>
              <w:jc w:val="center"/>
              <w:rPr>
                <w:rFonts w:ascii="宋体" w:hAnsi="宋体" w:cs="宋体"/>
                <w:iCs/>
                <w:kern w:val="0"/>
                <w:sz w:val="18"/>
                <w:szCs w:val="18"/>
              </w:rPr>
            </w:pPr>
            <w:r>
              <w:rPr>
                <w:rFonts w:hint="eastAsia" w:ascii="宋体" w:hAnsi="宋体" w:cs="宋体"/>
                <w:iCs/>
                <w:kern w:val="0"/>
                <w:sz w:val="18"/>
                <w:szCs w:val="18"/>
              </w:rPr>
              <w:t>≤</w:t>
            </w:r>
            <w:r>
              <w:rPr>
                <w:rFonts w:ascii="宋体" w:hAnsi="宋体" w:cs="宋体"/>
                <w:iCs/>
                <w:kern w:val="0"/>
                <w:sz w:val="18"/>
                <w:szCs w:val="18"/>
              </w:rPr>
              <w:t>0.06mg/m</w:t>
            </w:r>
            <w:r>
              <w:rPr>
                <w:rFonts w:ascii="宋体" w:hAnsi="宋体" w:cs="宋体"/>
                <w:iCs/>
                <w:kern w:val="0"/>
                <w:position w:val="7"/>
                <w:sz w:val="18"/>
                <w:szCs w:val="18"/>
                <w:vertAlign w:val="superscript"/>
              </w:rPr>
              <w:t>3</w:t>
            </w:r>
          </w:p>
        </w:tc>
      </w:tr>
      <w:tr w14:paraId="36883E38">
        <w:tblPrEx>
          <w:tblCellMar>
            <w:top w:w="0" w:type="dxa"/>
            <w:left w:w="0" w:type="dxa"/>
            <w:bottom w:w="0" w:type="dxa"/>
            <w:right w:w="0" w:type="dxa"/>
          </w:tblCellMar>
        </w:tblPrEx>
        <w:trPr>
          <w:trHeight w:val="397" w:hRule="exact"/>
          <w:jc w:val="center"/>
        </w:trPr>
        <w:tc>
          <w:tcPr>
            <w:tcW w:w="3249"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485F6BE">
            <w:pPr>
              <w:widowControl/>
              <w:snapToGrid w:val="0"/>
              <w:spacing w:line="240" w:lineRule="auto"/>
              <w:ind w:firstLine="1" w:firstLineChars="0"/>
              <w:jc w:val="center"/>
              <w:rPr>
                <w:rFonts w:ascii="宋体" w:hAnsi="宋体" w:cs="宋体"/>
                <w:iCs/>
                <w:kern w:val="0"/>
                <w:sz w:val="18"/>
                <w:szCs w:val="18"/>
              </w:rPr>
            </w:pPr>
            <w:r>
              <w:rPr>
                <w:rFonts w:hint="eastAsia" w:ascii="宋体" w:hAnsi="宋体" w:cs="宋体"/>
                <w:iCs/>
                <w:kern w:val="0"/>
                <w:sz w:val="18"/>
                <w:szCs w:val="18"/>
              </w:rPr>
              <w:t>氨</w:t>
            </w:r>
          </w:p>
        </w:tc>
        <w:tc>
          <w:tcPr>
            <w:tcW w:w="423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2579F54">
            <w:pPr>
              <w:widowControl/>
              <w:snapToGrid w:val="0"/>
              <w:spacing w:line="240" w:lineRule="auto"/>
              <w:ind w:firstLine="1" w:firstLineChars="0"/>
              <w:jc w:val="center"/>
              <w:rPr>
                <w:rFonts w:ascii="宋体" w:hAnsi="宋体" w:cs="宋体"/>
                <w:iCs/>
                <w:kern w:val="0"/>
                <w:sz w:val="18"/>
                <w:szCs w:val="18"/>
              </w:rPr>
            </w:pPr>
            <w:r>
              <w:rPr>
                <w:rFonts w:hint="eastAsia" w:ascii="宋体" w:hAnsi="宋体" w:cs="宋体"/>
                <w:iCs/>
                <w:kern w:val="0"/>
                <w:sz w:val="18"/>
                <w:szCs w:val="18"/>
              </w:rPr>
              <w:t>≤</w:t>
            </w:r>
            <w:r>
              <w:rPr>
                <w:rFonts w:ascii="宋体" w:hAnsi="宋体" w:cs="宋体"/>
                <w:iCs/>
                <w:kern w:val="0"/>
                <w:sz w:val="18"/>
                <w:szCs w:val="18"/>
              </w:rPr>
              <w:t>0.15mg/m</w:t>
            </w:r>
            <w:r>
              <w:rPr>
                <w:rFonts w:ascii="宋体" w:hAnsi="宋体" w:cs="宋体"/>
                <w:iCs/>
                <w:kern w:val="0"/>
                <w:position w:val="7"/>
                <w:sz w:val="18"/>
                <w:szCs w:val="18"/>
                <w:vertAlign w:val="superscript"/>
              </w:rPr>
              <w:t>3</w:t>
            </w:r>
          </w:p>
        </w:tc>
      </w:tr>
      <w:tr w14:paraId="452FC1C7">
        <w:tblPrEx>
          <w:tblCellMar>
            <w:top w:w="0" w:type="dxa"/>
            <w:left w:w="0" w:type="dxa"/>
            <w:bottom w:w="0" w:type="dxa"/>
            <w:right w:w="0" w:type="dxa"/>
          </w:tblCellMar>
        </w:tblPrEx>
        <w:trPr>
          <w:trHeight w:val="530" w:hRule="exact"/>
          <w:jc w:val="center"/>
        </w:trPr>
        <w:tc>
          <w:tcPr>
            <w:tcW w:w="3249"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3C7C8FB">
            <w:pPr>
              <w:widowControl/>
              <w:snapToGrid w:val="0"/>
              <w:spacing w:line="240" w:lineRule="auto"/>
              <w:ind w:firstLine="1" w:firstLineChars="0"/>
              <w:jc w:val="center"/>
              <w:rPr>
                <w:rFonts w:ascii="宋体" w:hAnsi="宋体" w:cs="宋体"/>
                <w:iCs/>
                <w:kern w:val="0"/>
                <w:sz w:val="18"/>
                <w:szCs w:val="18"/>
              </w:rPr>
            </w:pPr>
            <w:r>
              <w:rPr>
                <w:rFonts w:hint="eastAsia" w:ascii="宋体" w:hAnsi="宋体" w:cs="宋体"/>
                <w:iCs/>
                <w:kern w:val="0"/>
                <w:sz w:val="18"/>
                <w:szCs w:val="18"/>
              </w:rPr>
              <w:t>总挥发性有机化合物（</w:t>
            </w:r>
            <w:r>
              <w:rPr>
                <w:rFonts w:ascii="宋体" w:hAnsi="宋体" w:cs="宋体"/>
                <w:iCs/>
                <w:kern w:val="0"/>
                <w:sz w:val="18"/>
                <w:szCs w:val="18"/>
              </w:rPr>
              <w:t>TVOC）</w:t>
            </w:r>
          </w:p>
        </w:tc>
        <w:tc>
          <w:tcPr>
            <w:tcW w:w="423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2760878">
            <w:pPr>
              <w:widowControl/>
              <w:snapToGrid w:val="0"/>
              <w:spacing w:line="240" w:lineRule="auto"/>
              <w:ind w:firstLine="1" w:firstLineChars="0"/>
              <w:jc w:val="center"/>
              <w:rPr>
                <w:rFonts w:ascii="宋体" w:hAnsi="宋体" w:cs="宋体"/>
                <w:iCs/>
                <w:kern w:val="0"/>
                <w:sz w:val="18"/>
                <w:szCs w:val="18"/>
              </w:rPr>
            </w:pPr>
            <w:r>
              <w:rPr>
                <w:rFonts w:hint="eastAsia" w:ascii="宋体" w:hAnsi="宋体" w:cs="宋体"/>
                <w:iCs/>
                <w:kern w:val="0"/>
                <w:sz w:val="18"/>
                <w:szCs w:val="18"/>
              </w:rPr>
              <w:t>≤</w:t>
            </w:r>
            <w:r>
              <w:rPr>
                <w:rFonts w:ascii="宋体" w:hAnsi="宋体" w:cs="宋体"/>
                <w:iCs/>
                <w:kern w:val="0"/>
                <w:sz w:val="18"/>
                <w:szCs w:val="18"/>
              </w:rPr>
              <w:t>0.45mg/m</w:t>
            </w:r>
            <w:r>
              <w:rPr>
                <w:rFonts w:ascii="宋体" w:hAnsi="宋体" w:cs="宋体"/>
                <w:iCs/>
                <w:kern w:val="0"/>
                <w:position w:val="7"/>
                <w:sz w:val="18"/>
                <w:szCs w:val="18"/>
                <w:vertAlign w:val="superscript"/>
              </w:rPr>
              <w:t>3</w:t>
            </w:r>
          </w:p>
        </w:tc>
      </w:tr>
    </w:tbl>
    <w:p w14:paraId="5429D57F">
      <w:pPr>
        <w:pStyle w:val="2"/>
        <w:numPr>
          <w:ilvl w:val="0"/>
          <w:numId w:val="11"/>
        </w:numPr>
        <w:tabs>
          <w:tab w:val="clear" w:pos="0"/>
        </w:tabs>
        <w:rPr>
          <w:rFonts w:ascii="黑体" w:hAnsi="黑体" w:eastAsia="黑体" w:cs="黑体"/>
        </w:rPr>
      </w:pPr>
      <w:bookmarkStart w:id="879" w:name="_Toc23594"/>
      <w:bookmarkStart w:id="880" w:name="_Toc28249"/>
      <w:bookmarkStart w:id="881" w:name="_Toc5381"/>
      <w:bookmarkStart w:id="882" w:name="_Toc18145"/>
      <w:bookmarkStart w:id="883" w:name="_Toc425447363"/>
      <w:bookmarkStart w:id="884" w:name="_Toc24336"/>
      <w:bookmarkStart w:id="885" w:name="_Toc422990200"/>
      <w:bookmarkStart w:id="886" w:name="_Toc414356860"/>
      <w:bookmarkStart w:id="887" w:name="_Toc25897"/>
      <w:bookmarkStart w:id="888" w:name="_Toc27547"/>
      <w:bookmarkStart w:id="889" w:name="_Toc422931162"/>
      <w:bookmarkStart w:id="890" w:name="_Toc425428126"/>
      <w:bookmarkStart w:id="891" w:name="_Toc16539"/>
      <w:bookmarkStart w:id="892" w:name="_Toc427324222"/>
      <w:bookmarkStart w:id="893" w:name="_Toc5691"/>
      <w:bookmarkStart w:id="894" w:name="_Toc18005"/>
      <w:r>
        <w:rPr>
          <w:rFonts w:hint="eastAsia" w:ascii="黑体" w:hAnsi="黑体" w:eastAsia="黑体" w:cs="黑体"/>
        </w:rPr>
        <w:t>建筑结构</w:t>
      </w:r>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Start w:id="895" w:name="_Toc420575832"/>
      <w:bookmarkEnd w:id="895"/>
      <w:bookmarkStart w:id="896" w:name="_Toc419277612"/>
      <w:bookmarkEnd w:id="896"/>
      <w:bookmarkStart w:id="897" w:name="_Toc26816882"/>
      <w:bookmarkEnd w:id="897"/>
      <w:bookmarkStart w:id="898" w:name="_Toc422931163"/>
      <w:bookmarkEnd w:id="898"/>
      <w:bookmarkStart w:id="899" w:name="_Toc415850821"/>
      <w:bookmarkEnd w:id="899"/>
      <w:bookmarkStart w:id="900" w:name="_Toc419277895"/>
      <w:bookmarkEnd w:id="900"/>
      <w:bookmarkStart w:id="901" w:name="_Toc427324223"/>
      <w:bookmarkEnd w:id="901"/>
      <w:bookmarkStart w:id="902" w:name="_Toc425428127"/>
      <w:bookmarkEnd w:id="902"/>
      <w:bookmarkStart w:id="903" w:name="_Toc427323827"/>
      <w:bookmarkEnd w:id="903"/>
      <w:bookmarkStart w:id="904" w:name="_Toc495998754"/>
      <w:bookmarkEnd w:id="904"/>
      <w:bookmarkStart w:id="905" w:name="_Toc415068781"/>
      <w:bookmarkEnd w:id="905"/>
      <w:bookmarkStart w:id="906" w:name="_Toc415214053"/>
      <w:bookmarkEnd w:id="906"/>
      <w:bookmarkStart w:id="907" w:name="_Toc419288555"/>
      <w:bookmarkEnd w:id="907"/>
      <w:bookmarkStart w:id="908" w:name="_Toc419277414"/>
      <w:bookmarkEnd w:id="908"/>
      <w:bookmarkStart w:id="909" w:name="_Toc419277807"/>
      <w:bookmarkEnd w:id="909"/>
      <w:bookmarkStart w:id="910" w:name="_Toc26817492"/>
      <w:bookmarkEnd w:id="910"/>
      <w:bookmarkStart w:id="911" w:name="_Toc425427990"/>
      <w:bookmarkEnd w:id="911"/>
      <w:bookmarkStart w:id="912" w:name="_Toc415820766"/>
      <w:bookmarkEnd w:id="912"/>
      <w:bookmarkStart w:id="913" w:name="_Toc419286208"/>
      <w:bookmarkEnd w:id="913"/>
      <w:bookmarkStart w:id="914" w:name="_Toc425427847"/>
      <w:bookmarkEnd w:id="914"/>
      <w:bookmarkStart w:id="915" w:name="_Toc425344291"/>
      <w:bookmarkEnd w:id="915"/>
      <w:bookmarkStart w:id="916" w:name="_Toc419277704"/>
      <w:bookmarkEnd w:id="916"/>
      <w:bookmarkStart w:id="917" w:name="_Toc422990201"/>
      <w:bookmarkEnd w:id="917"/>
      <w:bookmarkStart w:id="918" w:name="_Toc425447364"/>
      <w:bookmarkEnd w:id="918"/>
      <w:bookmarkStart w:id="919" w:name="_Toc425446252"/>
      <w:bookmarkEnd w:id="919"/>
      <w:bookmarkStart w:id="920" w:name="_Toc419277515"/>
      <w:bookmarkEnd w:id="920"/>
      <w:bookmarkStart w:id="921" w:name="_Toc421291562"/>
      <w:bookmarkEnd w:id="921"/>
      <w:bookmarkStart w:id="922" w:name="_Toc419286297"/>
      <w:bookmarkEnd w:id="922"/>
      <w:bookmarkStart w:id="923" w:name="_Toc414356861"/>
    </w:p>
    <w:bookmarkEnd w:id="923"/>
    <w:p w14:paraId="63F039AF">
      <w:pPr>
        <w:pStyle w:val="3"/>
        <w:numPr>
          <w:ilvl w:val="1"/>
          <w:numId w:val="11"/>
        </w:numPr>
      </w:pPr>
      <w:bookmarkStart w:id="924" w:name="_Toc4437"/>
      <w:bookmarkStart w:id="925" w:name="_Toc27217"/>
      <w:bookmarkStart w:id="926" w:name="_Toc19343"/>
      <w:bookmarkStart w:id="927" w:name="_Toc13546"/>
      <w:bookmarkStart w:id="928" w:name="_Toc422990202"/>
      <w:bookmarkStart w:id="929" w:name="_Toc27041"/>
      <w:bookmarkStart w:id="930" w:name="_Toc17340"/>
      <w:bookmarkStart w:id="931" w:name="_Toc425447365"/>
      <w:bookmarkStart w:id="932" w:name="_Toc427324224"/>
      <w:bookmarkStart w:id="933" w:name="_Toc8800"/>
      <w:bookmarkStart w:id="934" w:name="_Toc23314"/>
      <w:bookmarkStart w:id="935" w:name="_Toc13968"/>
      <w:bookmarkStart w:id="936" w:name="_Toc425428128"/>
      <w:bookmarkStart w:id="937" w:name="_Toc8260"/>
      <w:bookmarkStart w:id="938" w:name="_Toc422931164"/>
      <w:bookmarkStart w:id="939" w:name="_Toc414356868"/>
      <w:r>
        <w:rPr>
          <w:rFonts w:hint="eastAsia"/>
        </w:rPr>
        <w:t>一般规定</w:t>
      </w:r>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p>
    <w:p w14:paraId="11E1D288">
      <w:pPr>
        <w:pStyle w:val="4"/>
        <w:numPr>
          <w:ilvl w:val="2"/>
          <w:numId w:val="11"/>
        </w:numPr>
        <w:tabs>
          <w:tab w:val="clear" w:pos="0"/>
        </w:tabs>
        <w:ind w:firstLine="0" w:firstLineChars="0"/>
        <w:rPr>
          <w:rFonts w:cs="宋体"/>
          <w:bCs w:val="0"/>
          <w:iCs/>
          <w:lang w:val="en-US"/>
        </w:rPr>
      </w:pPr>
      <w:bookmarkStart w:id="940" w:name="_Toc12263"/>
      <w:bookmarkStart w:id="941" w:name="_Toc427324230"/>
      <w:bookmarkStart w:id="942" w:name="_Toc24085"/>
      <w:bookmarkStart w:id="943" w:name="_Toc15656"/>
      <w:bookmarkStart w:id="944" w:name="_Toc425447371"/>
      <w:bookmarkStart w:id="945" w:name="_Toc422931170"/>
      <w:bookmarkStart w:id="946" w:name="_Toc5271"/>
      <w:bookmarkStart w:id="947" w:name="_Toc11604"/>
      <w:bookmarkStart w:id="948" w:name="_Toc422990208"/>
      <w:bookmarkStart w:id="949" w:name="_Toc425428134"/>
      <w:bookmarkStart w:id="950" w:name="_Toc13427"/>
      <w:r>
        <w:rPr>
          <w:rFonts w:hint="eastAsia" w:cs="宋体"/>
          <w:bCs w:val="0"/>
          <w:iCs/>
          <w:lang w:val="en-US"/>
        </w:rPr>
        <w:t>住宅结构设计应满足建筑使用功能的要求。</w:t>
      </w:r>
    </w:p>
    <w:p w14:paraId="1F566AB9">
      <w:pPr>
        <w:pStyle w:val="4"/>
        <w:numPr>
          <w:ilvl w:val="2"/>
          <w:numId w:val="11"/>
        </w:numPr>
        <w:tabs>
          <w:tab w:val="clear" w:pos="0"/>
        </w:tabs>
        <w:ind w:firstLine="0" w:firstLineChars="0"/>
        <w:rPr>
          <w:rFonts w:cs="宋体"/>
          <w:bCs w:val="0"/>
          <w:iCs/>
          <w:lang w:val="en-US"/>
        </w:rPr>
      </w:pPr>
      <w:r>
        <w:rPr>
          <w:rFonts w:hint="eastAsia" w:cs="宋体"/>
          <w:bCs w:val="0"/>
          <w:iCs/>
          <w:lang w:val="en-US"/>
        </w:rPr>
        <w:t>住宅结构设计的活荷载、风荷载、雪荷载、永久荷载不得小于国家现行标准《工程结构通用规范》GB55001及《建筑结构荷载规范》GB50009的规定。</w:t>
      </w:r>
    </w:p>
    <w:p w14:paraId="51490157">
      <w:pPr>
        <w:pStyle w:val="4"/>
        <w:numPr>
          <w:ilvl w:val="2"/>
          <w:numId w:val="11"/>
        </w:numPr>
        <w:tabs>
          <w:tab w:val="clear" w:pos="0"/>
        </w:tabs>
        <w:ind w:firstLine="0" w:firstLineChars="0"/>
        <w:rPr>
          <w:rFonts w:cs="宋体"/>
          <w:bCs w:val="0"/>
          <w:iCs/>
          <w:lang w:val="en-US"/>
        </w:rPr>
      </w:pPr>
      <w:r>
        <w:rPr>
          <w:rFonts w:hint="eastAsia" w:cs="宋体"/>
          <w:bCs w:val="0"/>
          <w:iCs/>
          <w:lang w:val="en-US"/>
        </w:rPr>
        <w:t>住宅结构的设计工作年限不应低于50年，安全等级不应低于二级。</w:t>
      </w:r>
    </w:p>
    <w:p w14:paraId="78C5410A">
      <w:pPr>
        <w:pStyle w:val="4"/>
        <w:numPr>
          <w:ilvl w:val="2"/>
          <w:numId w:val="11"/>
        </w:numPr>
        <w:tabs>
          <w:tab w:val="clear" w:pos="0"/>
        </w:tabs>
        <w:ind w:firstLine="0" w:firstLineChars="0"/>
        <w:rPr>
          <w:rFonts w:cs="宋体"/>
          <w:bCs w:val="0"/>
          <w:iCs/>
          <w:lang w:val="en-US"/>
        </w:rPr>
      </w:pPr>
      <w:r>
        <w:rPr>
          <w:rFonts w:hint="eastAsia" w:cs="宋体"/>
          <w:bCs w:val="0"/>
          <w:iCs/>
          <w:lang w:val="en-US"/>
        </w:rPr>
        <w:t>住宅建筑结构应进行抗震设计，抗震设防类别不应低于丙类。抗震设防烈度、设计基本地震加速度值和设计地震分组应按现行国家标准《建筑抗震设计标准》GB/T50011的规定执行。</w:t>
      </w:r>
    </w:p>
    <w:p w14:paraId="425D260D">
      <w:pPr>
        <w:pStyle w:val="4"/>
        <w:numPr>
          <w:ilvl w:val="2"/>
          <w:numId w:val="11"/>
        </w:numPr>
        <w:tabs>
          <w:tab w:val="clear" w:pos="0"/>
        </w:tabs>
        <w:ind w:firstLine="0" w:firstLineChars="0"/>
        <w:rPr>
          <w:rFonts w:cs="宋体"/>
          <w:bCs w:val="0"/>
          <w:iCs/>
          <w:lang w:val="en-US"/>
        </w:rPr>
      </w:pPr>
      <w:r>
        <w:rPr>
          <w:rFonts w:hint="eastAsia" w:cs="宋体"/>
          <w:bCs w:val="0"/>
          <w:iCs/>
          <w:lang w:val="en-US"/>
        </w:rPr>
        <w:t>住宅结构应体型简单、规则，避免采用对抗震不利的结构，设计应根据抗震概念设计的要求明确形体的规则性；不规则的应按规定采取加强措施；特别不规则的应进行专门研究和论证，采取特别的加强措施；不应采用严重不规则的建筑。</w:t>
      </w:r>
    </w:p>
    <w:p w14:paraId="0A899FA9">
      <w:pPr>
        <w:pStyle w:val="4"/>
        <w:numPr>
          <w:ilvl w:val="2"/>
          <w:numId w:val="11"/>
        </w:numPr>
        <w:tabs>
          <w:tab w:val="clear" w:pos="0"/>
        </w:tabs>
        <w:ind w:firstLine="0" w:firstLineChars="0"/>
        <w:rPr>
          <w:rFonts w:cs="宋体"/>
          <w:bCs w:val="0"/>
          <w:iCs/>
          <w:lang w:val="en-US"/>
        </w:rPr>
      </w:pPr>
      <w:r>
        <w:rPr>
          <w:rFonts w:hint="eastAsia" w:cs="宋体"/>
          <w:bCs w:val="0"/>
          <w:iCs/>
          <w:lang w:val="en-US"/>
        </w:rPr>
        <w:t>住宅建筑结构材料应具有符合现行国家标准《钢结构通用规范》GB55006、《混凝土结构通用规范》GB55008规定的力学性能、工艺性能和耐久性能，并宜符合节约资源和保护环境的原则。</w:t>
      </w:r>
    </w:p>
    <w:p w14:paraId="5CBECF30">
      <w:pPr>
        <w:pStyle w:val="4"/>
        <w:numPr>
          <w:ilvl w:val="2"/>
          <w:numId w:val="11"/>
        </w:numPr>
        <w:tabs>
          <w:tab w:val="clear" w:pos="0"/>
        </w:tabs>
        <w:ind w:firstLine="0" w:firstLineChars="0"/>
        <w:rPr>
          <w:rFonts w:cs="宋体"/>
          <w:bCs w:val="0"/>
          <w:iCs/>
          <w:lang w:val="en-US"/>
        </w:rPr>
      </w:pPr>
      <w:r>
        <w:rPr>
          <w:rFonts w:hint="eastAsia" w:cs="宋体"/>
          <w:bCs w:val="0"/>
          <w:iCs/>
          <w:lang w:val="en-US"/>
        </w:rPr>
        <w:t>住宅建筑结构应能承受在建造和正常使用过程中可能发生的各种作用和环境影响。在结构设计工作年限内，住宅建筑结构和结构构件应满足安全性、适用性和耐久性要求。</w:t>
      </w:r>
    </w:p>
    <w:p w14:paraId="1F1F5881">
      <w:pPr>
        <w:pStyle w:val="4"/>
        <w:numPr>
          <w:ilvl w:val="2"/>
          <w:numId w:val="11"/>
        </w:numPr>
        <w:tabs>
          <w:tab w:val="clear" w:pos="0"/>
        </w:tabs>
        <w:ind w:firstLine="0" w:firstLineChars="0"/>
        <w:rPr>
          <w:rFonts w:cs="宋体"/>
          <w:bCs w:val="0"/>
          <w:iCs/>
          <w:lang w:val="en-US"/>
        </w:rPr>
      </w:pPr>
      <w:r>
        <w:rPr>
          <w:rFonts w:hint="eastAsia" w:cs="宋体"/>
          <w:bCs w:val="0"/>
          <w:iCs/>
          <w:lang w:val="en-US"/>
        </w:rPr>
        <w:t>住宅建筑应避免因局部破坏而导致整个结构丧失承载能力和稳定性。</w:t>
      </w:r>
    </w:p>
    <w:p w14:paraId="10930E34">
      <w:pPr>
        <w:pStyle w:val="4"/>
        <w:numPr>
          <w:ilvl w:val="2"/>
          <w:numId w:val="11"/>
        </w:numPr>
        <w:tabs>
          <w:tab w:val="clear" w:pos="0"/>
        </w:tabs>
        <w:ind w:firstLine="0" w:firstLineChars="0"/>
        <w:rPr>
          <w:rFonts w:cs="宋体"/>
          <w:bCs w:val="0"/>
          <w:iCs/>
          <w:lang w:val="en-US"/>
        </w:rPr>
      </w:pPr>
      <w:r>
        <w:rPr>
          <w:rFonts w:hint="eastAsia" w:cs="宋体"/>
          <w:bCs w:val="0"/>
          <w:iCs/>
          <w:lang w:val="en-US"/>
        </w:rPr>
        <w:t>住宅结构可采用隔震或消能减震结构，并应按现行标准《建筑抗震设计标准》GB/T50011、《建筑消能减震技术规程》JGJ297和《建筑工程减隔震技术规程》DB11/2075的规定执行。</w:t>
      </w:r>
    </w:p>
    <w:p w14:paraId="7494A359">
      <w:pPr>
        <w:pStyle w:val="3"/>
        <w:numPr>
          <w:ilvl w:val="1"/>
          <w:numId w:val="11"/>
        </w:numPr>
      </w:pPr>
      <w:bookmarkStart w:id="951" w:name="_Toc30149"/>
      <w:bookmarkStart w:id="952" w:name="_Toc5947"/>
      <w:r>
        <w:rPr>
          <w:rFonts w:hint="eastAsia"/>
        </w:rPr>
        <w:t>住宅结构体系</w:t>
      </w:r>
      <w:bookmarkEnd w:id="951"/>
      <w:bookmarkEnd w:id="952"/>
    </w:p>
    <w:p w14:paraId="054B91F6">
      <w:pPr>
        <w:pStyle w:val="4"/>
        <w:numPr>
          <w:ilvl w:val="2"/>
          <w:numId w:val="11"/>
        </w:numPr>
        <w:tabs>
          <w:tab w:val="clear" w:pos="0"/>
        </w:tabs>
        <w:ind w:firstLine="0" w:firstLineChars="0"/>
        <w:rPr>
          <w:rFonts w:cs="宋体"/>
          <w:bCs w:val="0"/>
          <w:iCs/>
          <w:lang w:val="en-US"/>
        </w:rPr>
      </w:pPr>
      <w:r>
        <w:rPr>
          <w:rFonts w:hint="eastAsia" w:cs="宋体"/>
          <w:bCs w:val="0"/>
          <w:iCs/>
          <w:lang w:val="en-US"/>
        </w:rPr>
        <w:t>住宅结构的设计可分为高层及多层住宅结构设计体系。</w:t>
      </w:r>
    </w:p>
    <w:p w14:paraId="3F2B2AF6">
      <w:pPr>
        <w:pStyle w:val="4"/>
        <w:numPr>
          <w:ilvl w:val="2"/>
          <w:numId w:val="11"/>
        </w:numPr>
        <w:tabs>
          <w:tab w:val="clear" w:pos="0"/>
        </w:tabs>
        <w:ind w:firstLine="0" w:firstLineChars="0"/>
        <w:rPr>
          <w:rFonts w:cs="宋体"/>
          <w:bCs w:val="0"/>
          <w:iCs/>
          <w:lang w:val="en-US"/>
        </w:rPr>
      </w:pPr>
      <w:r>
        <w:rPr>
          <w:rFonts w:hint="eastAsia" w:cs="宋体"/>
          <w:bCs w:val="0"/>
          <w:iCs/>
          <w:lang w:val="en-US"/>
        </w:rPr>
        <w:t>多层住宅结构体系，可采用砖砌体、砌块砌体（包括混凝土砌块、轻集料混凝土砌块的无筋和配筋砌体）结构，也可采用全现浇钢筋混凝土剪力墙结构、装配整体式混凝土结构、钢（轻）结构等结构体系。砖砌体不得采用烧结粘土砖、烧结页岩砖；基础（±0）以上部位不得采用实心砖。</w:t>
      </w:r>
    </w:p>
    <w:p w14:paraId="761BF9BA">
      <w:pPr>
        <w:pStyle w:val="4"/>
        <w:numPr>
          <w:ilvl w:val="2"/>
          <w:numId w:val="11"/>
        </w:numPr>
        <w:tabs>
          <w:tab w:val="clear" w:pos="0"/>
        </w:tabs>
        <w:ind w:firstLine="0" w:firstLineChars="0"/>
        <w:rPr>
          <w:rFonts w:cs="宋体"/>
          <w:bCs w:val="0"/>
          <w:iCs/>
          <w:lang w:val="en-US"/>
        </w:rPr>
      </w:pPr>
      <w:r>
        <w:rPr>
          <w:rFonts w:hint="eastAsia" w:cs="宋体"/>
          <w:bCs w:val="0"/>
          <w:iCs/>
          <w:lang w:val="en-US"/>
        </w:rPr>
        <w:t>高层住宅结构体系，可采用全现浇钢筋混凝土剪力墙结构、装配整体式混凝土结构、装配式钢结构、钢</w:t>
      </w:r>
      <w:r>
        <w:rPr>
          <w:rFonts w:hint="eastAsia" w:cs="宋体"/>
          <w:bCs w:val="0"/>
          <w:iCs/>
          <w:lang w:val="en-US" w:eastAsia="zh-CN"/>
        </w:rPr>
        <w:t>－</w:t>
      </w:r>
      <w:r>
        <w:rPr>
          <w:rFonts w:hint="eastAsia" w:cs="宋体"/>
          <w:bCs w:val="0"/>
          <w:iCs/>
          <w:lang w:val="en-US"/>
        </w:rPr>
        <w:t>混凝土混合结构等结构体系。</w:t>
      </w:r>
    </w:p>
    <w:p w14:paraId="2A485706">
      <w:pPr>
        <w:pStyle w:val="4"/>
        <w:numPr>
          <w:ilvl w:val="2"/>
          <w:numId w:val="11"/>
        </w:numPr>
        <w:tabs>
          <w:tab w:val="clear" w:pos="0"/>
        </w:tabs>
        <w:ind w:firstLine="0" w:firstLineChars="0"/>
        <w:rPr>
          <w:rFonts w:cs="宋体"/>
          <w:bCs w:val="0"/>
          <w:iCs/>
          <w:lang w:val="en-US"/>
        </w:rPr>
      </w:pPr>
      <w:r>
        <w:rPr>
          <w:rFonts w:hint="eastAsia" w:cs="宋体"/>
          <w:bCs w:val="0"/>
          <w:iCs/>
          <w:lang w:val="en-US"/>
        </w:rPr>
        <w:t>多层砌体结构的层数、总高度和总长度不应超过表9.2.4-1与9.2.4-2的规定：</w:t>
      </w:r>
    </w:p>
    <w:p w14:paraId="343F3DCC">
      <w:pPr>
        <w:ind w:firstLine="0" w:firstLineChars="0"/>
        <w:jc w:val="center"/>
        <w:rPr>
          <w:lang w:val="zh-CN"/>
        </w:rPr>
      </w:pPr>
      <w:r>
        <w:rPr>
          <w:rFonts w:hint="eastAsia" w:ascii="黑体" w:eastAsia="黑体"/>
          <w:b/>
          <w:sz w:val="21"/>
          <w:szCs w:val="21"/>
          <w:lang w:val="zh-CN"/>
        </w:rPr>
        <w:t>表9.2.4</w:t>
      </w:r>
      <w:r>
        <w:rPr>
          <w:rFonts w:ascii="黑体" w:eastAsia="黑体"/>
          <w:b/>
          <w:sz w:val="21"/>
          <w:szCs w:val="21"/>
          <w:lang w:val="zh-CN"/>
        </w:rPr>
        <w:t>-1</w:t>
      </w:r>
      <w:r>
        <w:rPr>
          <w:rFonts w:hint="eastAsia" w:ascii="黑体" w:eastAsia="黑体"/>
          <w:b/>
          <w:sz w:val="21"/>
          <w:szCs w:val="21"/>
          <w:lang w:val="zh-CN"/>
        </w:rPr>
        <w:t>多层砌体住宅的最大适用高度（m）</w:t>
      </w:r>
    </w:p>
    <w:tbl>
      <w:tblPr>
        <w:tblStyle w:val="30"/>
        <w:tblW w:w="79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5"/>
        <w:gridCol w:w="1521"/>
        <w:gridCol w:w="1288"/>
        <w:gridCol w:w="1134"/>
        <w:gridCol w:w="1134"/>
        <w:gridCol w:w="1281"/>
      </w:tblGrid>
      <w:tr w14:paraId="07C76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585" w:type="dxa"/>
            <w:vMerge w:val="restart"/>
            <w:vAlign w:val="center"/>
          </w:tcPr>
          <w:p w14:paraId="793292EC">
            <w:pPr>
              <w:ind w:firstLine="1" w:firstLineChars="0"/>
              <w:jc w:val="center"/>
              <w:rPr>
                <w:rFonts w:ascii="宋体" w:hAnsi="宋体" w:eastAsiaTheme="minorEastAsia" w:cstheme="minorBidi"/>
                <w:sz w:val="18"/>
                <w:szCs w:val="18"/>
                <w:lang w:val="zh-CN"/>
              </w:rPr>
            </w:pPr>
            <w:r>
              <w:rPr>
                <w:rFonts w:hint="eastAsia" w:ascii="宋体" w:hAnsi="宋体" w:eastAsiaTheme="minorEastAsia" w:cstheme="minorBidi"/>
                <w:sz w:val="18"/>
                <w:szCs w:val="18"/>
                <w:lang w:val="zh-CN"/>
              </w:rPr>
              <w:t>房屋</w:t>
            </w:r>
            <w:r>
              <w:rPr>
                <w:rFonts w:ascii="宋体" w:hAnsi="宋体" w:eastAsiaTheme="minorEastAsia" w:cstheme="minorBidi"/>
                <w:sz w:val="18"/>
                <w:szCs w:val="18"/>
                <w:lang w:val="zh-CN"/>
              </w:rPr>
              <w:t>类别</w:t>
            </w:r>
          </w:p>
        </w:tc>
        <w:tc>
          <w:tcPr>
            <w:tcW w:w="1521" w:type="dxa"/>
            <w:vMerge w:val="restart"/>
            <w:vAlign w:val="center"/>
          </w:tcPr>
          <w:p w14:paraId="243B6371">
            <w:pPr>
              <w:ind w:firstLine="1" w:firstLineChars="0"/>
              <w:jc w:val="center"/>
              <w:rPr>
                <w:rFonts w:ascii="宋体" w:hAnsi="宋体" w:eastAsiaTheme="minorEastAsia" w:cstheme="minorBidi"/>
                <w:sz w:val="18"/>
                <w:szCs w:val="18"/>
                <w:lang w:val="zh-CN"/>
              </w:rPr>
            </w:pPr>
            <w:r>
              <w:rPr>
                <w:rFonts w:hint="eastAsia" w:ascii="宋体" w:hAnsi="宋体" w:eastAsiaTheme="minorEastAsia" w:cstheme="minorBidi"/>
                <w:sz w:val="18"/>
                <w:szCs w:val="18"/>
                <w:lang w:val="zh-CN"/>
              </w:rPr>
              <w:t>最小厚度（</w:t>
            </w:r>
            <w:r>
              <w:rPr>
                <w:rFonts w:ascii="宋体" w:hAnsi="宋体" w:eastAsiaTheme="minorEastAsia" w:cstheme="minorBidi"/>
                <w:sz w:val="18"/>
                <w:szCs w:val="18"/>
                <w:lang w:val="zh-CN"/>
              </w:rPr>
              <w:t>mm）</w:t>
            </w:r>
          </w:p>
        </w:tc>
        <w:tc>
          <w:tcPr>
            <w:tcW w:w="4837" w:type="dxa"/>
            <w:gridSpan w:val="4"/>
            <w:vAlign w:val="center"/>
          </w:tcPr>
          <w:p w14:paraId="1562BBB2">
            <w:pPr>
              <w:ind w:firstLine="1" w:firstLineChars="0"/>
              <w:jc w:val="center"/>
              <w:rPr>
                <w:rFonts w:ascii="宋体" w:hAnsi="宋体" w:eastAsiaTheme="minorEastAsia" w:cstheme="minorBidi"/>
                <w:sz w:val="18"/>
                <w:szCs w:val="18"/>
                <w:lang w:val="zh-CN"/>
              </w:rPr>
            </w:pPr>
            <w:r>
              <w:rPr>
                <w:rFonts w:hint="eastAsia" w:ascii="宋体" w:hAnsi="宋体" w:eastAsiaTheme="minorEastAsia" w:cstheme="minorBidi"/>
                <w:sz w:val="18"/>
                <w:szCs w:val="18"/>
                <w:lang w:val="zh-CN"/>
              </w:rPr>
              <w:t>设计</w:t>
            </w:r>
            <w:r>
              <w:rPr>
                <w:rFonts w:ascii="宋体" w:hAnsi="宋体" w:eastAsiaTheme="minorEastAsia" w:cstheme="minorBidi"/>
                <w:sz w:val="18"/>
                <w:szCs w:val="18"/>
                <w:lang w:val="zh-CN"/>
              </w:rPr>
              <w:t>烈度</w:t>
            </w:r>
            <w:r>
              <w:rPr>
                <w:rFonts w:hint="eastAsia" w:ascii="宋体" w:hAnsi="宋体" w:eastAsiaTheme="minorEastAsia" w:cstheme="minorBidi"/>
                <w:sz w:val="18"/>
                <w:szCs w:val="18"/>
                <w:lang w:val="zh-CN"/>
              </w:rPr>
              <w:t>和</w:t>
            </w:r>
            <w:r>
              <w:rPr>
                <w:rFonts w:ascii="宋体" w:hAnsi="宋体" w:eastAsiaTheme="minorEastAsia" w:cstheme="minorBidi"/>
                <w:sz w:val="18"/>
                <w:szCs w:val="18"/>
                <w:lang w:val="zh-CN"/>
              </w:rPr>
              <w:t>设计基本</w:t>
            </w:r>
            <w:r>
              <w:rPr>
                <w:rFonts w:hint="eastAsia" w:ascii="宋体" w:hAnsi="宋体" w:eastAsiaTheme="minorEastAsia" w:cstheme="minorBidi"/>
                <w:sz w:val="18"/>
                <w:szCs w:val="18"/>
                <w:lang w:val="zh-CN"/>
              </w:rPr>
              <w:t>地震</w:t>
            </w:r>
            <w:r>
              <w:rPr>
                <w:rFonts w:ascii="宋体" w:hAnsi="宋体" w:eastAsiaTheme="minorEastAsia" w:cstheme="minorBidi"/>
                <w:sz w:val="18"/>
                <w:szCs w:val="18"/>
                <w:lang w:val="zh-CN"/>
              </w:rPr>
              <w:t>加速度</w:t>
            </w:r>
          </w:p>
        </w:tc>
      </w:tr>
      <w:tr w14:paraId="294C6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585" w:type="dxa"/>
            <w:vMerge w:val="continue"/>
            <w:vAlign w:val="center"/>
          </w:tcPr>
          <w:p w14:paraId="07BD6104">
            <w:pPr>
              <w:ind w:firstLine="1" w:firstLineChars="0"/>
              <w:jc w:val="center"/>
              <w:rPr>
                <w:rFonts w:ascii="宋体" w:hAnsi="宋体" w:eastAsiaTheme="minorEastAsia" w:cstheme="minorBidi"/>
                <w:sz w:val="18"/>
                <w:szCs w:val="18"/>
                <w:lang w:val="zh-CN"/>
              </w:rPr>
            </w:pPr>
          </w:p>
        </w:tc>
        <w:tc>
          <w:tcPr>
            <w:tcW w:w="1521" w:type="dxa"/>
            <w:vMerge w:val="continue"/>
            <w:vAlign w:val="center"/>
          </w:tcPr>
          <w:p w14:paraId="073F8FB4">
            <w:pPr>
              <w:ind w:firstLine="1" w:firstLineChars="0"/>
              <w:jc w:val="center"/>
              <w:rPr>
                <w:rFonts w:ascii="宋体" w:hAnsi="宋体" w:eastAsiaTheme="minorEastAsia" w:cstheme="minorBidi"/>
                <w:sz w:val="18"/>
                <w:szCs w:val="18"/>
                <w:lang w:val="zh-CN"/>
              </w:rPr>
            </w:pPr>
          </w:p>
        </w:tc>
        <w:tc>
          <w:tcPr>
            <w:tcW w:w="4837" w:type="dxa"/>
            <w:gridSpan w:val="4"/>
            <w:vAlign w:val="center"/>
          </w:tcPr>
          <w:p w14:paraId="2C78972D">
            <w:pPr>
              <w:ind w:firstLine="1" w:firstLineChars="0"/>
              <w:jc w:val="center"/>
              <w:rPr>
                <w:rFonts w:ascii="宋体" w:hAnsi="宋体" w:eastAsiaTheme="minorEastAsia" w:cstheme="minorBidi"/>
                <w:sz w:val="18"/>
                <w:szCs w:val="18"/>
                <w:lang w:val="zh-CN"/>
              </w:rPr>
            </w:pPr>
            <w:r>
              <w:rPr>
                <w:rFonts w:ascii="宋体" w:hAnsi="宋体" w:eastAsiaTheme="minorEastAsia" w:cstheme="minorBidi"/>
                <w:sz w:val="18"/>
                <w:szCs w:val="18"/>
                <w:lang w:val="zh-CN"/>
              </w:rPr>
              <w:t>8</w:t>
            </w:r>
          </w:p>
        </w:tc>
      </w:tr>
      <w:tr w14:paraId="366DF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585" w:type="dxa"/>
            <w:vMerge w:val="continue"/>
            <w:vAlign w:val="center"/>
          </w:tcPr>
          <w:p w14:paraId="734AFCDC">
            <w:pPr>
              <w:ind w:firstLine="1" w:firstLineChars="0"/>
              <w:jc w:val="center"/>
              <w:rPr>
                <w:rFonts w:ascii="宋体" w:hAnsi="宋体" w:eastAsiaTheme="minorEastAsia" w:cstheme="minorBidi"/>
                <w:sz w:val="18"/>
                <w:szCs w:val="18"/>
                <w:lang w:val="zh-CN"/>
              </w:rPr>
            </w:pPr>
          </w:p>
        </w:tc>
        <w:tc>
          <w:tcPr>
            <w:tcW w:w="1521" w:type="dxa"/>
            <w:vMerge w:val="continue"/>
            <w:vAlign w:val="center"/>
          </w:tcPr>
          <w:p w14:paraId="1ED3736B">
            <w:pPr>
              <w:ind w:firstLine="1" w:firstLineChars="0"/>
              <w:jc w:val="center"/>
              <w:rPr>
                <w:rFonts w:ascii="宋体" w:hAnsi="宋体" w:eastAsiaTheme="minorEastAsia" w:cstheme="minorBidi"/>
                <w:sz w:val="18"/>
                <w:szCs w:val="18"/>
                <w:lang w:val="zh-CN"/>
              </w:rPr>
            </w:pPr>
          </w:p>
        </w:tc>
        <w:tc>
          <w:tcPr>
            <w:tcW w:w="2422" w:type="dxa"/>
            <w:gridSpan w:val="2"/>
            <w:vAlign w:val="center"/>
          </w:tcPr>
          <w:p w14:paraId="30FF8E23">
            <w:pPr>
              <w:ind w:firstLine="1" w:firstLineChars="0"/>
              <w:jc w:val="center"/>
              <w:rPr>
                <w:rFonts w:ascii="宋体" w:hAnsi="宋体" w:eastAsiaTheme="minorEastAsia" w:cstheme="minorBidi"/>
                <w:sz w:val="18"/>
                <w:szCs w:val="18"/>
                <w:lang w:val="zh-CN"/>
              </w:rPr>
            </w:pPr>
            <w:r>
              <w:rPr>
                <w:rFonts w:ascii="宋体" w:hAnsi="宋体" w:eastAsiaTheme="minorEastAsia" w:cstheme="minorBidi"/>
                <w:sz w:val="18"/>
                <w:szCs w:val="18"/>
                <w:lang w:val="zh-CN"/>
              </w:rPr>
              <w:t xml:space="preserve">0.20g </w:t>
            </w:r>
          </w:p>
        </w:tc>
        <w:tc>
          <w:tcPr>
            <w:tcW w:w="2415" w:type="dxa"/>
            <w:gridSpan w:val="2"/>
            <w:vAlign w:val="center"/>
          </w:tcPr>
          <w:p w14:paraId="56FCAC61">
            <w:pPr>
              <w:ind w:firstLine="1" w:firstLineChars="0"/>
              <w:jc w:val="center"/>
              <w:rPr>
                <w:rFonts w:ascii="宋体" w:hAnsi="宋体" w:eastAsiaTheme="minorEastAsia" w:cstheme="minorBidi"/>
                <w:sz w:val="18"/>
                <w:szCs w:val="18"/>
                <w:lang w:val="zh-CN"/>
              </w:rPr>
            </w:pPr>
            <w:r>
              <w:rPr>
                <w:rFonts w:ascii="宋体" w:hAnsi="宋体" w:eastAsiaTheme="minorEastAsia" w:cstheme="minorBidi"/>
                <w:sz w:val="18"/>
                <w:szCs w:val="18"/>
                <w:lang w:val="zh-CN"/>
              </w:rPr>
              <w:t>0.30g</w:t>
            </w:r>
          </w:p>
        </w:tc>
      </w:tr>
      <w:tr w14:paraId="635D9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1585" w:type="dxa"/>
            <w:vMerge w:val="continue"/>
            <w:vAlign w:val="center"/>
          </w:tcPr>
          <w:p w14:paraId="3310718A">
            <w:pPr>
              <w:ind w:firstLine="1" w:firstLineChars="0"/>
              <w:jc w:val="center"/>
              <w:rPr>
                <w:rFonts w:ascii="宋体" w:hAnsi="宋体" w:eastAsiaTheme="minorEastAsia" w:cstheme="minorBidi"/>
                <w:sz w:val="18"/>
                <w:szCs w:val="18"/>
                <w:lang w:val="zh-CN"/>
              </w:rPr>
            </w:pPr>
          </w:p>
        </w:tc>
        <w:tc>
          <w:tcPr>
            <w:tcW w:w="1521" w:type="dxa"/>
            <w:vMerge w:val="continue"/>
            <w:vAlign w:val="center"/>
          </w:tcPr>
          <w:p w14:paraId="18E07E7F">
            <w:pPr>
              <w:ind w:firstLine="1" w:firstLineChars="0"/>
              <w:jc w:val="center"/>
              <w:rPr>
                <w:rFonts w:ascii="宋体" w:hAnsi="宋体" w:eastAsiaTheme="minorEastAsia" w:cstheme="minorBidi"/>
                <w:sz w:val="18"/>
                <w:szCs w:val="18"/>
                <w:lang w:val="zh-CN"/>
              </w:rPr>
            </w:pPr>
          </w:p>
        </w:tc>
        <w:tc>
          <w:tcPr>
            <w:tcW w:w="1288" w:type="dxa"/>
            <w:vAlign w:val="center"/>
          </w:tcPr>
          <w:p w14:paraId="77618CEC">
            <w:pPr>
              <w:ind w:firstLine="1" w:firstLineChars="0"/>
              <w:jc w:val="center"/>
              <w:rPr>
                <w:rFonts w:ascii="宋体" w:hAnsi="宋体" w:eastAsiaTheme="minorEastAsia" w:cstheme="minorBidi"/>
                <w:sz w:val="18"/>
                <w:szCs w:val="18"/>
                <w:lang w:val="zh-CN"/>
              </w:rPr>
            </w:pPr>
            <w:r>
              <w:rPr>
                <w:rFonts w:hint="eastAsia" w:ascii="宋体" w:hAnsi="宋体" w:eastAsiaTheme="minorEastAsia" w:cstheme="minorBidi"/>
                <w:sz w:val="18"/>
                <w:szCs w:val="18"/>
                <w:lang w:val="zh-CN"/>
              </w:rPr>
              <w:t>高度</w:t>
            </w:r>
          </w:p>
        </w:tc>
        <w:tc>
          <w:tcPr>
            <w:tcW w:w="1134" w:type="dxa"/>
            <w:vAlign w:val="center"/>
          </w:tcPr>
          <w:p w14:paraId="7468422D">
            <w:pPr>
              <w:ind w:firstLine="1" w:firstLineChars="0"/>
              <w:jc w:val="center"/>
              <w:rPr>
                <w:rFonts w:ascii="宋体" w:hAnsi="宋体" w:eastAsiaTheme="minorEastAsia" w:cstheme="minorBidi"/>
                <w:sz w:val="18"/>
                <w:szCs w:val="18"/>
                <w:lang w:val="zh-CN"/>
              </w:rPr>
            </w:pPr>
            <w:r>
              <w:rPr>
                <w:rFonts w:hint="eastAsia" w:ascii="宋体" w:hAnsi="宋体" w:eastAsiaTheme="minorEastAsia" w:cstheme="minorBidi"/>
                <w:sz w:val="18"/>
                <w:szCs w:val="18"/>
                <w:lang w:val="zh-CN"/>
              </w:rPr>
              <w:t>层数</w:t>
            </w:r>
          </w:p>
        </w:tc>
        <w:tc>
          <w:tcPr>
            <w:tcW w:w="1134" w:type="dxa"/>
            <w:vAlign w:val="center"/>
          </w:tcPr>
          <w:p w14:paraId="5EBFAFB5">
            <w:pPr>
              <w:ind w:firstLine="1" w:firstLineChars="0"/>
              <w:jc w:val="center"/>
              <w:rPr>
                <w:rFonts w:ascii="宋体" w:hAnsi="宋体" w:eastAsiaTheme="minorEastAsia" w:cstheme="minorBidi"/>
                <w:sz w:val="18"/>
                <w:szCs w:val="18"/>
                <w:lang w:val="zh-CN"/>
              </w:rPr>
            </w:pPr>
            <w:r>
              <w:rPr>
                <w:rFonts w:hint="eastAsia" w:ascii="宋体" w:hAnsi="宋体" w:eastAsiaTheme="minorEastAsia" w:cstheme="minorBidi"/>
                <w:sz w:val="18"/>
                <w:szCs w:val="18"/>
                <w:lang w:val="zh-CN"/>
              </w:rPr>
              <w:t>高度</w:t>
            </w:r>
          </w:p>
        </w:tc>
        <w:tc>
          <w:tcPr>
            <w:tcW w:w="1281" w:type="dxa"/>
            <w:vAlign w:val="center"/>
          </w:tcPr>
          <w:p w14:paraId="7AC49A3A">
            <w:pPr>
              <w:ind w:firstLine="1" w:firstLineChars="0"/>
              <w:jc w:val="center"/>
              <w:rPr>
                <w:rFonts w:ascii="宋体" w:hAnsi="宋体" w:eastAsiaTheme="minorEastAsia" w:cstheme="minorBidi"/>
                <w:sz w:val="18"/>
                <w:szCs w:val="18"/>
                <w:lang w:val="zh-CN"/>
              </w:rPr>
            </w:pPr>
            <w:r>
              <w:rPr>
                <w:rFonts w:hint="eastAsia" w:ascii="宋体" w:hAnsi="宋体" w:eastAsiaTheme="minorEastAsia" w:cstheme="minorBidi"/>
                <w:sz w:val="18"/>
                <w:szCs w:val="18"/>
                <w:lang w:val="zh-CN"/>
              </w:rPr>
              <w:t>层数</w:t>
            </w:r>
          </w:p>
        </w:tc>
      </w:tr>
      <w:tr w14:paraId="152DA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1585" w:type="dxa"/>
            <w:vAlign w:val="center"/>
          </w:tcPr>
          <w:p w14:paraId="196A7052">
            <w:pPr>
              <w:ind w:firstLine="1" w:firstLineChars="0"/>
              <w:jc w:val="center"/>
              <w:rPr>
                <w:rFonts w:ascii="宋体" w:hAnsi="宋体" w:eastAsiaTheme="minorEastAsia" w:cstheme="minorBidi"/>
                <w:sz w:val="18"/>
                <w:szCs w:val="18"/>
                <w:lang w:val="zh-CN"/>
              </w:rPr>
            </w:pPr>
            <w:r>
              <w:rPr>
                <w:rFonts w:hint="eastAsia" w:ascii="宋体" w:hAnsi="宋体" w:eastAsiaTheme="minorEastAsia" w:cstheme="minorBidi"/>
                <w:sz w:val="18"/>
                <w:szCs w:val="18"/>
                <w:lang w:val="zh-CN"/>
              </w:rPr>
              <w:t>多孔砖</w:t>
            </w:r>
          </w:p>
        </w:tc>
        <w:tc>
          <w:tcPr>
            <w:tcW w:w="1521" w:type="dxa"/>
            <w:vAlign w:val="center"/>
          </w:tcPr>
          <w:p w14:paraId="2363BF79">
            <w:pPr>
              <w:ind w:firstLine="1" w:firstLineChars="0"/>
              <w:jc w:val="center"/>
              <w:rPr>
                <w:rFonts w:ascii="宋体" w:hAnsi="宋体" w:eastAsiaTheme="minorEastAsia" w:cstheme="minorBidi"/>
                <w:sz w:val="18"/>
                <w:szCs w:val="18"/>
                <w:lang w:val="zh-CN"/>
              </w:rPr>
            </w:pPr>
            <w:r>
              <w:rPr>
                <w:rFonts w:ascii="宋体" w:hAnsi="宋体" w:eastAsiaTheme="minorEastAsia" w:cstheme="minorBidi"/>
                <w:sz w:val="18"/>
                <w:szCs w:val="18"/>
                <w:lang w:val="zh-CN"/>
              </w:rPr>
              <w:t>240</w:t>
            </w:r>
          </w:p>
        </w:tc>
        <w:tc>
          <w:tcPr>
            <w:tcW w:w="1288" w:type="dxa"/>
            <w:vAlign w:val="center"/>
          </w:tcPr>
          <w:p w14:paraId="44B55BF3">
            <w:pPr>
              <w:ind w:firstLine="1" w:firstLineChars="0"/>
              <w:jc w:val="center"/>
              <w:rPr>
                <w:rFonts w:ascii="宋体" w:hAnsi="宋体" w:eastAsiaTheme="minorEastAsia" w:cstheme="minorBidi"/>
                <w:sz w:val="18"/>
                <w:szCs w:val="18"/>
                <w:lang w:val="zh-CN"/>
              </w:rPr>
            </w:pPr>
            <w:r>
              <w:rPr>
                <w:rFonts w:ascii="宋体" w:hAnsi="宋体" w:eastAsiaTheme="minorEastAsia" w:cstheme="minorBidi"/>
                <w:sz w:val="18"/>
                <w:szCs w:val="18"/>
                <w:lang w:val="zh-CN"/>
              </w:rPr>
              <w:t>18</w:t>
            </w:r>
          </w:p>
        </w:tc>
        <w:tc>
          <w:tcPr>
            <w:tcW w:w="1134" w:type="dxa"/>
            <w:vAlign w:val="center"/>
          </w:tcPr>
          <w:p w14:paraId="7C954EB1">
            <w:pPr>
              <w:ind w:firstLine="1" w:firstLineChars="0"/>
              <w:jc w:val="center"/>
              <w:rPr>
                <w:rFonts w:ascii="宋体" w:hAnsi="宋体" w:eastAsiaTheme="minorEastAsia" w:cstheme="minorBidi"/>
                <w:sz w:val="18"/>
                <w:szCs w:val="18"/>
                <w:lang w:val="zh-CN"/>
              </w:rPr>
            </w:pPr>
            <w:r>
              <w:rPr>
                <w:rFonts w:ascii="宋体" w:hAnsi="宋体" w:eastAsiaTheme="minorEastAsia" w:cstheme="minorBidi"/>
                <w:sz w:val="18"/>
                <w:szCs w:val="18"/>
                <w:lang w:val="zh-CN"/>
              </w:rPr>
              <w:t>6</w:t>
            </w:r>
          </w:p>
        </w:tc>
        <w:tc>
          <w:tcPr>
            <w:tcW w:w="1134" w:type="dxa"/>
            <w:vAlign w:val="center"/>
          </w:tcPr>
          <w:p w14:paraId="06F8DF34">
            <w:pPr>
              <w:ind w:firstLine="1" w:firstLineChars="0"/>
              <w:jc w:val="center"/>
              <w:rPr>
                <w:rFonts w:ascii="宋体" w:hAnsi="宋体" w:eastAsiaTheme="minorEastAsia" w:cstheme="minorBidi"/>
                <w:sz w:val="18"/>
                <w:szCs w:val="18"/>
                <w:lang w:val="zh-CN"/>
              </w:rPr>
            </w:pPr>
            <w:r>
              <w:rPr>
                <w:rFonts w:ascii="宋体" w:hAnsi="宋体" w:eastAsiaTheme="minorEastAsia" w:cstheme="minorBidi"/>
                <w:sz w:val="18"/>
                <w:szCs w:val="18"/>
                <w:lang w:val="zh-CN"/>
              </w:rPr>
              <w:t>15</w:t>
            </w:r>
          </w:p>
        </w:tc>
        <w:tc>
          <w:tcPr>
            <w:tcW w:w="1281" w:type="dxa"/>
            <w:vAlign w:val="center"/>
          </w:tcPr>
          <w:p w14:paraId="14978DF5">
            <w:pPr>
              <w:ind w:firstLine="1" w:firstLineChars="0"/>
              <w:jc w:val="center"/>
              <w:rPr>
                <w:rFonts w:ascii="宋体" w:hAnsi="宋体" w:eastAsiaTheme="minorEastAsia" w:cstheme="minorBidi"/>
                <w:sz w:val="18"/>
                <w:szCs w:val="18"/>
                <w:lang w:val="zh-CN"/>
              </w:rPr>
            </w:pPr>
            <w:r>
              <w:rPr>
                <w:rFonts w:ascii="宋体" w:hAnsi="宋体" w:eastAsiaTheme="minorEastAsia" w:cstheme="minorBidi"/>
                <w:sz w:val="18"/>
                <w:szCs w:val="18"/>
                <w:lang w:val="zh-CN"/>
              </w:rPr>
              <w:t>5</w:t>
            </w:r>
          </w:p>
        </w:tc>
      </w:tr>
      <w:tr w14:paraId="0F221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1585" w:type="dxa"/>
            <w:vAlign w:val="center"/>
          </w:tcPr>
          <w:p w14:paraId="14A30350">
            <w:pPr>
              <w:ind w:firstLine="1" w:firstLineChars="0"/>
              <w:jc w:val="center"/>
              <w:rPr>
                <w:rFonts w:ascii="宋体" w:hAnsi="宋体" w:eastAsiaTheme="minorEastAsia" w:cstheme="minorBidi"/>
                <w:sz w:val="18"/>
                <w:szCs w:val="18"/>
                <w:lang w:val="zh-CN"/>
              </w:rPr>
            </w:pPr>
            <w:r>
              <w:rPr>
                <w:rFonts w:hint="eastAsia" w:ascii="宋体" w:hAnsi="宋体" w:eastAsiaTheme="minorEastAsia" w:cstheme="minorBidi"/>
                <w:sz w:val="18"/>
                <w:szCs w:val="18"/>
                <w:lang w:val="zh-CN"/>
              </w:rPr>
              <w:t>多孔砖</w:t>
            </w:r>
          </w:p>
        </w:tc>
        <w:tc>
          <w:tcPr>
            <w:tcW w:w="1521" w:type="dxa"/>
            <w:vAlign w:val="center"/>
          </w:tcPr>
          <w:p w14:paraId="4CC2D480">
            <w:pPr>
              <w:ind w:firstLine="1" w:firstLineChars="0"/>
              <w:jc w:val="center"/>
              <w:rPr>
                <w:rFonts w:ascii="宋体" w:hAnsi="宋体" w:eastAsiaTheme="minorEastAsia" w:cstheme="minorBidi"/>
                <w:sz w:val="18"/>
                <w:szCs w:val="18"/>
                <w:lang w:val="zh-CN"/>
              </w:rPr>
            </w:pPr>
            <w:r>
              <w:rPr>
                <w:rFonts w:ascii="宋体" w:hAnsi="宋体" w:eastAsiaTheme="minorEastAsia" w:cstheme="minorBidi"/>
                <w:sz w:val="18"/>
                <w:szCs w:val="18"/>
                <w:lang w:val="zh-CN"/>
              </w:rPr>
              <w:t>190</w:t>
            </w:r>
          </w:p>
        </w:tc>
        <w:tc>
          <w:tcPr>
            <w:tcW w:w="1288" w:type="dxa"/>
            <w:vAlign w:val="center"/>
          </w:tcPr>
          <w:p w14:paraId="695F146E">
            <w:pPr>
              <w:ind w:firstLine="1" w:firstLineChars="0"/>
              <w:jc w:val="center"/>
              <w:rPr>
                <w:rFonts w:ascii="宋体" w:hAnsi="宋体" w:eastAsiaTheme="minorEastAsia" w:cstheme="minorBidi"/>
                <w:sz w:val="18"/>
                <w:szCs w:val="18"/>
                <w:lang w:val="zh-CN"/>
              </w:rPr>
            </w:pPr>
            <w:r>
              <w:rPr>
                <w:rFonts w:ascii="宋体" w:hAnsi="宋体" w:eastAsiaTheme="minorEastAsia" w:cstheme="minorBidi"/>
                <w:sz w:val="18"/>
                <w:szCs w:val="18"/>
                <w:lang w:val="zh-CN"/>
              </w:rPr>
              <w:t>15</w:t>
            </w:r>
          </w:p>
        </w:tc>
        <w:tc>
          <w:tcPr>
            <w:tcW w:w="1134" w:type="dxa"/>
            <w:vAlign w:val="center"/>
          </w:tcPr>
          <w:p w14:paraId="7F9FA94E">
            <w:pPr>
              <w:ind w:firstLine="1" w:firstLineChars="0"/>
              <w:jc w:val="center"/>
              <w:rPr>
                <w:rFonts w:ascii="宋体" w:hAnsi="宋体" w:eastAsiaTheme="minorEastAsia" w:cstheme="minorBidi"/>
                <w:sz w:val="18"/>
                <w:szCs w:val="18"/>
                <w:lang w:val="zh-CN"/>
              </w:rPr>
            </w:pPr>
            <w:r>
              <w:rPr>
                <w:rFonts w:ascii="宋体" w:hAnsi="宋体" w:eastAsiaTheme="minorEastAsia" w:cstheme="minorBidi"/>
                <w:sz w:val="18"/>
                <w:szCs w:val="18"/>
                <w:lang w:val="zh-CN"/>
              </w:rPr>
              <w:t>5</w:t>
            </w:r>
          </w:p>
        </w:tc>
        <w:tc>
          <w:tcPr>
            <w:tcW w:w="1134" w:type="dxa"/>
            <w:vAlign w:val="center"/>
          </w:tcPr>
          <w:p w14:paraId="2B2F2460">
            <w:pPr>
              <w:ind w:firstLine="1" w:firstLineChars="0"/>
              <w:jc w:val="center"/>
              <w:rPr>
                <w:rFonts w:ascii="宋体" w:hAnsi="宋体" w:eastAsiaTheme="minorEastAsia" w:cstheme="minorBidi"/>
                <w:sz w:val="18"/>
                <w:szCs w:val="18"/>
                <w:lang w:val="zh-CN"/>
              </w:rPr>
            </w:pPr>
            <w:r>
              <w:rPr>
                <w:rFonts w:ascii="宋体" w:hAnsi="宋体" w:eastAsiaTheme="minorEastAsia" w:cstheme="minorBidi"/>
                <w:sz w:val="18"/>
                <w:szCs w:val="18"/>
                <w:lang w:val="zh-CN"/>
              </w:rPr>
              <w:t>12</w:t>
            </w:r>
          </w:p>
        </w:tc>
        <w:tc>
          <w:tcPr>
            <w:tcW w:w="1281" w:type="dxa"/>
            <w:vAlign w:val="center"/>
          </w:tcPr>
          <w:p w14:paraId="4A934746">
            <w:pPr>
              <w:ind w:firstLine="1" w:firstLineChars="0"/>
              <w:jc w:val="center"/>
              <w:rPr>
                <w:rFonts w:ascii="宋体" w:hAnsi="宋体" w:eastAsiaTheme="minorEastAsia" w:cstheme="minorBidi"/>
                <w:sz w:val="18"/>
                <w:szCs w:val="18"/>
                <w:lang w:val="zh-CN"/>
              </w:rPr>
            </w:pPr>
            <w:r>
              <w:rPr>
                <w:rFonts w:ascii="宋体" w:hAnsi="宋体" w:eastAsiaTheme="minorEastAsia" w:cstheme="minorBidi"/>
                <w:sz w:val="18"/>
                <w:szCs w:val="18"/>
                <w:lang w:val="zh-CN"/>
              </w:rPr>
              <w:t>4</w:t>
            </w:r>
          </w:p>
        </w:tc>
      </w:tr>
      <w:tr w14:paraId="5BB0D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1585" w:type="dxa"/>
            <w:vAlign w:val="center"/>
          </w:tcPr>
          <w:p w14:paraId="2AF6E956">
            <w:pPr>
              <w:ind w:firstLine="1" w:firstLineChars="0"/>
              <w:jc w:val="center"/>
              <w:rPr>
                <w:rFonts w:ascii="宋体" w:hAnsi="宋体" w:eastAsiaTheme="minorEastAsia" w:cstheme="minorBidi"/>
                <w:sz w:val="18"/>
                <w:szCs w:val="18"/>
                <w:lang w:val="zh-CN"/>
              </w:rPr>
            </w:pPr>
            <w:r>
              <w:rPr>
                <w:rFonts w:hint="eastAsia" w:ascii="宋体" w:hAnsi="宋体" w:eastAsiaTheme="minorEastAsia" w:cstheme="minorBidi"/>
                <w:sz w:val="18"/>
                <w:szCs w:val="18"/>
                <w:lang w:val="zh-CN"/>
              </w:rPr>
              <w:t>混凝土砌块</w:t>
            </w:r>
          </w:p>
        </w:tc>
        <w:tc>
          <w:tcPr>
            <w:tcW w:w="1521" w:type="dxa"/>
            <w:vAlign w:val="center"/>
          </w:tcPr>
          <w:p w14:paraId="5D624DA0">
            <w:pPr>
              <w:ind w:firstLine="1" w:firstLineChars="0"/>
              <w:jc w:val="center"/>
              <w:rPr>
                <w:rFonts w:ascii="宋体" w:hAnsi="宋体" w:eastAsiaTheme="minorEastAsia" w:cstheme="minorBidi"/>
                <w:sz w:val="18"/>
                <w:szCs w:val="18"/>
                <w:lang w:val="zh-CN"/>
              </w:rPr>
            </w:pPr>
            <w:r>
              <w:rPr>
                <w:rFonts w:ascii="宋体" w:hAnsi="宋体" w:eastAsiaTheme="minorEastAsia" w:cstheme="minorBidi"/>
                <w:sz w:val="18"/>
                <w:szCs w:val="18"/>
                <w:lang w:val="zh-CN"/>
              </w:rPr>
              <w:t>190</w:t>
            </w:r>
          </w:p>
        </w:tc>
        <w:tc>
          <w:tcPr>
            <w:tcW w:w="1288" w:type="dxa"/>
            <w:vAlign w:val="center"/>
          </w:tcPr>
          <w:p w14:paraId="1F48D49C">
            <w:pPr>
              <w:ind w:firstLine="1" w:firstLineChars="0"/>
              <w:jc w:val="center"/>
              <w:rPr>
                <w:rFonts w:ascii="宋体" w:hAnsi="宋体" w:eastAsiaTheme="minorEastAsia" w:cstheme="minorBidi"/>
                <w:sz w:val="18"/>
                <w:szCs w:val="18"/>
                <w:lang w:val="zh-CN"/>
              </w:rPr>
            </w:pPr>
            <w:r>
              <w:rPr>
                <w:rFonts w:ascii="宋体" w:hAnsi="宋体" w:eastAsiaTheme="minorEastAsia" w:cstheme="minorBidi"/>
                <w:sz w:val="18"/>
                <w:szCs w:val="18"/>
                <w:lang w:val="zh-CN"/>
              </w:rPr>
              <w:t>18</w:t>
            </w:r>
          </w:p>
        </w:tc>
        <w:tc>
          <w:tcPr>
            <w:tcW w:w="1134" w:type="dxa"/>
            <w:vAlign w:val="center"/>
          </w:tcPr>
          <w:p w14:paraId="48112436">
            <w:pPr>
              <w:ind w:firstLine="1" w:firstLineChars="0"/>
              <w:jc w:val="center"/>
              <w:rPr>
                <w:rFonts w:ascii="宋体" w:hAnsi="宋体" w:eastAsiaTheme="minorEastAsia" w:cstheme="minorBidi"/>
                <w:sz w:val="18"/>
                <w:szCs w:val="18"/>
                <w:lang w:val="zh-CN"/>
              </w:rPr>
            </w:pPr>
            <w:r>
              <w:rPr>
                <w:rFonts w:ascii="宋体" w:hAnsi="宋体" w:eastAsiaTheme="minorEastAsia" w:cstheme="minorBidi"/>
                <w:sz w:val="18"/>
                <w:szCs w:val="18"/>
                <w:lang w:val="zh-CN"/>
              </w:rPr>
              <w:t>6</w:t>
            </w:r>
          </w:p>
        </w:tc>
        <w:tc>
          <w:tcPr>
            <w:tcW w:w="1134" w:type="dxa"/>
            <w:vAlign w:val="center"/>
          </w:tcPr>
          <w:p w14:paraId="54A706A7">
            <w:pPr>
              <w:ind w:firstLine="1" w:firstLineChars="0"/>
              <w:jc w:val="center"/>
              <w:rPr>
                <w:rFonts w:ascii="宋体" w:hAnsi="宋体" w:eastAsiaTheme="minorEastAsia" w:cstheme="minorBidi"/>
                <w:sz w:val="18"/>
                <w:szCs w:val="18"/>
                <w:lang w:val="zh-CN"/>
              </w:rPr>
            </w:pPr>
            <w:r>
              <w:rPr>
                <w:rFonts w:ascii="宋体" w:hAnsi="宋体" w:eastAsiaTheme="minorEastAsia" w:cstheme="minorBidi"/>
                <w:sz w:val="18"/>
                <w:szCs w:val="18"/>
                <w:lang w:val="zh-CN"/>
              </w:rPr>
              <w:t>15</w:t>
            </w:r>
          </w:p>
        </w:tc>
        <w:tc>
          <w:tcPr>
            <w:tcW w:w="1281" w:type="dxa"/>
            <w:vAlign w:val="center"/>
          </w:tcPr>
          <w:p w14:paraId="26B7291C">
            <w:pPr>
              <w:ind w:firstLine="1" w:firstLineChars="0"/>
              <w:jc w:val="center"/>
              <w:rPr>
                <w:rFonts w:ascii="宋体" w:hAnsi="宋体" w:eastAsiaTheme="minorEastAsia" w:cstheme="minorBidi"/>
                <w:sz w:val="18"/>
                <w:szCs w:val="18"/>
                <w:lang w:val="zh-CN"/>
              </w:rPr>
            </w:pPr>
            <w:r>
              <w:rPr>
                <w:rFonts w:ascii="宋体" w:hAnsi="宋体" w:eastAsiaTheme="minorEastAsia" w:cstheme="minorBidi"/>
                <w:sz w:val="18"/>
                <w:szCs w:val="18"/>
                <w:lang w:val="zh-CN"/>
              </w:rPr>
              <w:t>5</w:t>
            </w:r>
          </w:p>
        </w:tc>
      </w:tr>
    </w:tbl>
    <w:p w14:paraId="29E7C222">
      <w:pPr>
        <w:ind w:left="238" w:leftChars="99" w:firstLine="0" w:firstLineChars="0"/>
        <w:rPr>
          <w:rFonts w:ascii="宋体" w:hAnsi="宋体"/>
          <w:sz w:val="18"/>
          <w:szCs w:val="18"/>
          <w:lang w:val="zh-CN"/>
        </w:rPr>
      </w:pPr>
      <w:r>
        <w:rPr>
          <w:rFonts w:hint="eastAsia" w:ascii="宋体" w:hAnsi="宋体"/>
          <w:sz w:val="18"/>
          <w:szCs w:val="18"/>
          <w:lang w:val="zh-CN"/>
        </w:rPr>
        <w:t>注：各层横墙较少的多层砌体住宅总高度应比表</w:t>
      </w:r>
      <w:r>
        <w:rPr>
          <w:rFonts w:ascii="宋体" w:hAnsi="宋体"/>
          <w:sz w:val="18"/>
          <w:szCs w:val="18"/>
          <w:lang w:val="zh-CN"/>
        </w:rPr>
        <w:t>9.2.4-1</w:t>
      </w:r>
      <w:r>
        <w:rPr>
          <w:rFonts w:hint="eastAsia" w:ascii="宋体" w:hAnsi="宋体"/>
          <w:sz w:val="18"/>
          <w:szCs w:val="18"/>
          <w:lang w:val="zh-CN"/>
        </w:rPr>
        <w:t>中的规定降低</w:t>
      </w:r>
      <w:r>
        <w:rPr>
          <w:rFonts w:ascii="宋体" w:hAnsi="宋体"/>
          <w:sz w:val="18"/>
          <w:szCs w:val="18"/>
          <w:lang w:val="zh-CN"/>
        </w:rPr>
        <w:t>3m</w:t>
      </w:r>
      <w:r>
        <w:rPr>
          <w:rFonts w:hint="eastAsia" w:ascii="宋体" w:hAnsi="宋体"/>
          <w:sz w:val="18"/>
          <w:szCs w:val="18"/>
          <w:lang w:val="zh-CN"/>
        </w:rPr>
        <w:t>，</w:t>
      </w:r>
      <w:r>
        <w:rPr>
          <w:rFonts w:ascii="宋体" w:hAnsi="宋体"/>
          <w:sz w:val="18"/>
          <w:szCs w:val="18"/>
          <w:lang w:val="zh-CN"/>
        </w:rPr>
        <w:t>层数减少一层；各层</w:t>
      </w:r>
      <w:r>
        <w:rPr>
          <w:rFonts w:hint="eastAsia" w:ascii="宋体" w:hAnsi="宋体"/>
          <w:sz w:val="18"/>
          <w:szCs w:val="18"/>
          <w:lang w:val="zh-CN"/>
        </w:rPr>
        <w:t>横墙很少的多层住宅房屋，还应再减少一层，</w:t>
      </w:r>
      <w:r>
        <w:rPr>
          <w:rFonts w:ascii="宋体" w:hAnsi="宋体"/>
          <w:sz w:val="18"/>
          <w:szCs w:val="18"/>
          <w:lang w:val="zh-CN"/>
        </w:rPr>
        <w:t>同时应</w:t>
      </w:r>
      <w:r>
        <w:rPr>
          <w:rFonts w:hint="eastAsia" w:ascii="宋体" w:hAnsi="宋体"/>
          <w:sz w:val="18"/>
          <w:szCs w:val="18"/>
          <w:lang w:val="zh-CN"/>
        </w:rPr>
        <w:t>对</w:t>
      </w:r>
      <w:r>
        <w:rPr>
          <w:rFonts w:ascii="宋体" w:hAnsi="宋体"/>
          <w:sz w:val="18"/>
          <w:szCs w:val="18"/>
          <w:lang w:val="zh-CN"/>
        </w:rPr>
        <w:t>其体型</w:t>
      </w:r>
      <w:r>
        <w:rPr>
          <w:rFonts w:hint="eastAsia" w:ascii="宋体" w:hAnsi="宋体"/>
          <w:sz w:val="18"/>
          <w:szCs w:val="18"/>
          <w:lang w:val="zh-CN"/>
        </w:rPr>
        <w:t>规则性</w:t>
      </w:r>
      <w:r>
        <w:rPr>
          <w:rFonts w:ascii="宋体" w:hAnsi="宋体"/>
          <w:sz w:val="18"/>
          <w:szCs w:val="18"/>
          <w:lang w:val="zh-CN"/>
        </w:rPr>
        <w:t>、楼板整体性</w:t>
      </w:r>
      <w:r>
        <w:rPr>
          <w:rFonts w:hint="eastAsia" w:ascii="宋体" w:hAnsi="宋体"/>
          <w:sz w:val="18"/>
          <w:szCs w:val="18"/>
          <w:lang w:val="zh-CN"/>
        </w:rPr>
        <w:t>及横</w:t>
      </w:r>
      <w:r>
        <w:rPr>
          <w:rFonts w:ascii="宋体" w:hAnsi="宋体"/>
          <w:sz w:val="18"/>
          <w:szCs w:val="18"/>
          <w:lang w:val="zh-CN"/>
        </w:rPr>
        <w:t>墙开洞率加以限制</w:t>
      </w:r>
      <w:r>
        <w:rPr>
          <w:rFonts w:hint="eastAsia" w:ascii="宋体" w:hAnsi="宋体"/>
          <w:sz w:val="18"/>
          <w:szCs w:val="18"/>
          <w:lang w:val="zh-CN"/>
        </w:rPr>
        <w:t>。</w:t>
      </w:r>
    </w:p>
    <w:p w14:paraId="3B0F4C1F">
      <w:pPr>
        <w:ind w:firstLine="1" w:firstLineChars="0"/>
        <w:jc w:val="center"/>
        <w:rPr>
          <w:rFonts w:ascii="宋体" w:hAnsi="宋体"/>
          <w:sz w:val="18"/>
          <w:szCs w:val="18"/>
          <w:lang w:val="zh-CN"/>
        </w:rPr>
      </w:pPr>
      <w:r>
        <w:rPr>
          <w:rFonts w:hint="eastAsia" w:ascii="黑体" w:eastAsia="黑体"/>
          <w:b/>
          <w:sz w:val="21"/>
          <w:szCs w:val="21"/>
          <w:lang w:val="zh-CN"/>
        </w:rPr>
        <w:t>表9.2.</w:t>
      </w:r>
      <w:r>
        <w:rPr>
          <w:rFonts w:ascii="黑体" w:eastAsia="黑体"/>
          <w:b/>
          <w:sz w:val="21"/>
          <w:szCs w:val="21"/>
          <w:lang w:val="zh-CN"/>
        </w:rPr>
        <w:t>4</w:t>
      </w:r>
      <w:r>
        <w:rPr>
          <w:rFonts w:ascii="黑体" w:eastAsia="黑体"/>
          <w:b/>
          <w:sz w:val="21"/>
          <w:szCs w:val="21"/>
        </w:rPr>
        <w:t>-2</w:t>
      </w:r>
      <w:r>
        <w:rPr>
          <w:rFonts w:hint="eastAsia" w:ascii="黑体" w:eastAsia="黑体"/>
          <w:b/>
          <w:sz w:val="21"/>
          <w:szCs w:val="21"/>
          <w:lang w:val="zh-CN"/>
        </w:rPr>
        <w:t>多层砌体住宅伸缩缝的最大间距（m）</w:t>
      </w:r>
    </w:p>
    <w:tbl>
      <w:tblPr>
        <w:tblStyle w:val="30"/>
        <w:tblW w:w="7939"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2"/>
        <w:gridCol w:w="3733"/>
        <w:gridCol w:w="1654"/>
      </w:tblGrid>
      <w:tr w14:paraId="7ECD8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85" w:type="dxa"/>
            <w:gridSpan w:val="2"/>
          </w:tcPr>
          <w:p w14:paraId="54E81CD3">
            <w:pPr>
              <w:ind w:firstLine="360"/>
              <w:jc w:val="center"/>
              <w:rPr>
                <w:rFonts w:ascii="宋体" w:hAnsi="宋体" w:eastAsiaTheme="minorEastAsia" w:cstheme="minorBidi"/>
                <w:sz w:val="18"/>
                <w:szCs w:val="18"/>
                <w:lang w:val="zh-CN"/>
              </w:rPr>
            </w:pPr>
            <w:r>
              <w:rPr>
                <w:rFonts w:hint="eastAsia" w:ascii="宋体" w:hAnsi="宋体" w:eastAsiaTheme="minorEastAsia" w:cstheme="minorBidi"/>
                <w:sz w:val="18"/>
                <w:szCs w:val="18"/>
                <w:lang w:val="zh-CN"/>
              </w:rPr>
              <w:t>屋盖或楼盖类别</w:t>
            </w:r>
          </w:p>
        </w:tc>
        <w:tc>
          <w:tcPr>
            <w:tcW w:w="1654" w:type="dxa"/>
          </w:tcPr>
          <w:p w14:paraId="67A6A324">
            <w:pPr>
              <w:ind w:firstLine="360"/>
              <w:rPr>
                <w:rFonts w:ascii="宋体" w:hAnsi="宋体" w:eastAsiaTheme="minorEastAsia" w:cstheme="minorBidi"/>
                <w:sz w:val="18"/>
                <w:szCs w:val="18"/>
                <w:lang w:val="zh-CN"/>
              </w:rPr>
            </w:pPr>
            <w:r>
              <w:rPr>
                <w:rFonts w:hint="eastAsia" w:ascii="宋体" w:hAnsi="宋体" w:eastAsiaTheme="minorEastAsia" w:cstheme="minorBidi"/>
                <w:sz w:val="18"/>
                <w:szCs w:val="18"/>
                <w:lang w:val="zh-CN"/>
              </w:rPr>
              <w:t>间距</w:t>
            </w:r>
          </w:p>
        </w:tc>
      </w:tr>
      <w:tr w14:paraId="6A0C4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vMerge w:val="restart"/>
          </w:tcPr>
          <w:p w14:paraId="2E2B47C6">
            <w:pPr>
              <w:ind w:firstLine="360"/>
              <w:rPr>
                <w:rFonts w:ascii="宋体" w:hAnsi="宋体" w:eastAsiaTheme="minorEastAsia" w:cstheme="minorBidi"/>
                <w:sz w:val="18"/>
                <w:szCs w:val="18"/>
                <w:lang w:val="zh-CN"/>
              </w:rPr>
            </w:pPr>
            <w:r>
              <w:rPr>
                <w:rFonts w:hint="eastAsia" w:ascii="宋体" w:hAnsi="宋体" w:eastAsiaTheme="minorEastAsia" w:cstheme="minorBidi"/>
                <w:sz w:val="18"/>
                <w:szCs w:val="18"/>
                <w:lang w:val="zh-CN"/>
              </w:rPr>
              <w:t>整体式或装配整体式</w:t>
            </w:r>
          </w:p>
          <w:p w14:paraId="4D6D3E7C">
            <w:pPr>
              <w:ind w:firstLine="360"/>
              <w:rPr>
                <w:rFonts w:ascii="宋体" w:hAnsi="宋体" w:eastAsiaTheme="minorEastAsia" w:cstheme="minorBidi"/>
                <w:sz w:val="18"/>
                <w:szCs w:val="18"/>
                <w:lang w:val="zh-CN"/>
              </w:rPr>
            </w:pPr>
            <w:r>
              <w:rPr>
                <w:rFonts w:hint="eastAsia" w:ascii="宋体" w:hAnsi="宋体" w:eastAsiaTheme="minorEastAsia" w:cstheme="minorBidi"/>
                <w:sz w:val="18"/>
                <w:szCs w:val="18"/>
                <w:lang w:val="zh-CN"/>
              </w:rPr>
              <w:t>钢筋混凝土结构</w:t>
            </w:r>
          </w:p>
        </w:tc>
        <w:tc>
          <w:tcPr>
            <w:tcW w:w="3733" w:type="dxa"/>
          </w:tcPr>
          <w:p w14:paraId="730306CA">
            <w:pPr>
              <w:ind w:firstLine="1" w:firstLineChars="0"/>
              <w:rPr>
                <w:rFonts w:ascii="宋体" w:hAnsi="宋体" w:eastAsiaTheme="minorEastAsia" w:cstheme="minorBidi"/>
                <w:sz w:val="18"/>
                <w:szCs w:val="18"/>
                <w:lang w:val="zh-CN"/>
              </w:rPr>
            </w:pPr>
            <w:r>
              <w:rPr>
                <w:rFonts w:hint="eastAsia" w:ascii="宋体" w:hAnsi="宋体" w:eastAsiaTheme="minorEastAsia" w:cstheme="minorBidi"/>
                <w:sz w:val="18"/>
                <w:szCs w:val="18"/>
                <w:lang w:val="zh-CN"/>
              </w:rPr>
              <w:t>有保温层或隔热层的屋盖、楼盖</w:t>
            </w:r>
          </w:p>
        </w:tc>
        <w:tc>
          <w:tcPr>
            <w:tcW w:w="1654" w:type="dxa"/>
          </w:tcPr>
          <w:p w14:paraId="56287B3A">
            <w:pPr>
              <w:ind w:firstLine="360"/>
              <w:rPr>
                <w:rFonts w:ascii="宋体" w:hAnsi="宋体" w:eastAsiaTheme="minorEastAsia" w:cstheme="minorBidi"/>
                <w:sz w:val="18"/>
                <w:szCs w:val="18"/>
              </w:rPr>
            </w:pPr>
            <w:r>
              <w:rPr>
                <w:rFonts w:ascii="宋体" w:hAnsi="宋体" w:eastAsiaTheme="minorEastAsia" w:cstheme="minorBidi"/>
                <w:sz w:val="18"/>
                <w:szCs w:val="18"/>
              </w:rPr>
              <w:t>50</w:t>
            </w:r>
          </w:p>
        </w:tc>
      </w:tr>
      <w:tr w14:paraId="5B077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vMerge w:val="continue"/>
          </w:tcPr>
          <w:p w14:paraId="73E81C5D">
            <w:pPr>
              <w:ind w:firstLine="360"/>
              <w:rPr>
                <w:rFonts w:ascii="宋体" w:hAnsi="宋体" w:eastAsiaTheme="minorEastAsia" w:cstheme="minorBidi"/>
                <w:sz w:val="18"/>
                <w:szCs w:val="18"/>
                <w:lang w:val="zh-CN"/>
              </w:rPr>
            </w:pPr>
          </w:p>
        </w:tc>
        <w:tc>
          <w:tcPr>
            <w:tcW w:w="3733" w:type="dxa"/>
          </w:tcPr>
          <w:p w14:paraId="2A950C1B">
            <w:pPr>
              <w:ind w:firstLine="1" w:firstLineChars="0"/>
              <w:rPr>
                <w:rFonts w:ascii="宋体" w:hAnsi="宋体" w:eastAsiaTheme="minorEastAsia" w:cstheme="minorBidi"/>
                <w:sz w:val="18"/>
                <w:szCs w:val="18"/>
                <w:lang w:val="zh-CN"/>
              </w:rPr>
            </w:pPr>
            <w:r>
              <w:rPr>
                <w:rFonts w:hint="eastAsia" w:ascii="宋体" w:hAnsi="宋体" w:eastAsiaTheme="minorEastAsia" w:cstheme="minorBidi"/>
                <w:sz w:val="18"/>
                <w:szCs w:val="18"/>
                <w:lang w:val="zh-CN"/>
              </w:rPr>
              <w:t>无保温层或隔热层的屋盖</w:t>
            </w:r>
          </w:p>
        </w:tc>
        <w:tc>
          <w:tcPr>
            <w:tcW w:w="1654" w:type="dxa"/>
          </w:tcPr>
          <w:p w14:paraId="32FE2613">
            <w:pPr>
              <w:ind w:firstLine="360"/>
              <w:rPr>
                <w:rFonts w:ascii="宋体" w:hAnsi="宋体" w:eastAsiaTheme="minorEastAsia" w:cstheme="minorBidi"/>
                <w:sz w:val="18"/>
                <w:szCs w:val="18"/>
              </w:rPr>
            </w:pPr>
            <w:r>
              <w:rPr>
                <w:rFonts w:ascii="宋体" w:hAnsi="宋体" w:eastAsiaTheme="minorEastAsia" w:cstheme="minorBidi"/>
                <w:sz w:val="18"/>
                <w:szCs w:val="18"/>
              </w:rPr>
              <w:t>40</w:t>
            </w:r>
          </w:p>
        </w:tc>
      </w:tr>
      <w:tr w14:paraId="31681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vMerge w:val="restart"/>
          </w:tcPr>
          <w:p w14:paraId="498F6E72">
            <w:pPr>
              <w:ind w:firstLine="360"/>
              <w:rPr>
                <w:rFonts w:ascii="宋体" w:hAnsi="宋体" w:eastAsiaTheme="minorEastAsia" w:cstheme="minorBidi"/>
                <w:sz w:val="18"/>
                <w:szCs w:val="18"/>
                <w:lang w:val="zh-CN"/>
              </w:rPr>
            </w:pPr>
            <w:r>
              <w:rPr>
                <w:rFonts w:hint="eastAsia" w:ascii="宋体" w:hAnsi="宋体" w:eastAsiaTheme="minorEastAsia" w:cstheme="minorBidi"/>
                <w:sz w:val="18"/>
                <w:szCs w:val="18"/>
                <w:lang w:val="zh-CN"/>
              </w:rPr>
              <w:t>装配式无檩体系</w:t>
            </w:r>
          </w:p>
          <w:p w14:paraId="1E8CE93A">
            <w:pPr>
              <w:ind w:firstLine="360"/>
              <w:rPr>
                <w:rFonts w:ascii="宋体" w:hAnsi="宋体" w:eastAsiaTheme="minorEastAsia" w:cstheme="minorBidi"/>
                <w:sz w:val="18"/>
                <w:szCs w:val="18"/>
                <w:lang w:val="zh-CN"/>
              </w:rPr>
            </w:pPr>
            <w:r>
              <w:rPr>
                <w:rFonts w:hint="eastAsia" w:ascii="宋体" w:hAnsi="宋体" w:eastAsiaTheme="minorEastAsia" w:cstheme="minorBidi"/>
                <w:sz w:val="18"/>
                <w:szCs w:val="18"/>
                <w:lang w:val="zh-CN"/>
              </w:rPr>
              <w:t>钢筋混凝土结构</w:t>
            </w:r>
          </w:p>
        </w:tc>
        <w:tc>
          <w:tcPr>
            <w:tcW w:w="3733" w:type="dxa"/>
          </w:tcPr>
          <w:p w14:paraId="1EDC196F">
            <w:pPr>
              <w:ind w:firstLine="1" w:firstLineChars="0"/>
              <w:rPr>
                <w:rFonts w:ascii="宋体" w:hAnsi="宋体" w:eastAsiaTheme="minorEastAsia" w:cstheme="minorBidi"/>
                <w:sz w:val="18"/>
                <w:szCs w:val="18"/>
                <w:lang w:val="zh-CN"/>
              </w:rPr>
            </w:pPr>
            <w:r>
              <w:rPr>
                <w:rFonts w:hint="eastAsia" w:ascii="宋体" w:hAnsi="宋体" w:eastAsiaTheme="minorEastAsia" w:cstheme="minorBidi"/>
                <w:sz w:val="18"/>
                <w:szCs w:val="18"/>
                <w:lang w:val="zh-CN"/>
              </w:rPr>
              <w:t>有保温层或隔热层的屋盖、楼盖</w:t>
            </w:r>
          </w:p>
        </w:tc>
        <w:tc>
          <w:tcPr>
            <w:tcW w:w="1654" w:type="dxa"/>
          </w:tcPr>
          <w:p w14:paraId="7CC8761C">
            <w:pPr>
              <w:ind w:firstLine="360"/>
              <w:rPr>
                <w:rFonts w:ascii="宋体" w:hAnsi="宋体" w:eastAsiaTheme="minorEastAsia" w:cstheme="minorBidi"/>
                <w:sz w:val="18"/>
                <w:szCs w:val="18"/>
              </w:rPr>
            </w:pPr>
            <w:r>
              <w:rPr>
                <w:rFonts w:ascii="宋体" w:hAnsi="宋体" w:eastAsiaTheme="minorEastAsia" w:cstheme="minorBidi"/>
                <w:sz w:val="18"/>
                <w:szCs w:val="18"/>
              </w:rPr>
              <w:t>60</w:t>
            </w:r>
          </w:p>
        </w:tc>
      </w:tr>
      <w:tr w14:paraId="6D493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vMerge w:val="continue"/>
          </w:tcPr>
          <w:p w14:paraId="01853666">
            <w:pPr>
              <w:ind w:firstLine="360"/>
              <w:rPr>
                <w:rFonts w:ascii="宋体" w:hAnsi="宋体" w:eastAsiaTheme="minorEastAsia" w:cstheme="minorBidi"/>
                <w:sz w:val="18"/>
                <w:szCs w:val="18"/>
                <w:lang w:val="zh-CN"/>
              </w:rPr>
            </w:pPr>
          </w:p>
        </w:tc>
        <w:tc>
          <w:tcPr>
            <w:tcW w:w="3733" w:type="dxa"/>
          </w:tcPr>
          <w:p w14:paraId="6E84A817">
            <w:pPr>
              <w:ind w:firstLine="1" w:firstLineChars="0"/>
              <w:rPr>
                <w:rFonts w:ascii="宋体" w:hAnsi="宋体" w:eastAsiaTheme="minorEastAsia" w:cstheme="minorBidi"/>
                <w:sz w:val="18"/>
                <w:szCs w:val="18"/>
                <w:lang w:val="zh-CN"/>
              </w:rPr>
            </w:pPr>
            <w:r>
              <w:rPr>
                <w:rFonts w:hint="eastAsia" w:ascii="宋体" w:hAnsi="宋体" w:eastAsiaTheme="minorEastAsia" w:cstheme="minorBidi"/>
                <w:sz w:val="18"/>
                <w:szCs w:val="18"/>
                <w:lang w:val="zh-CN"/>
              </w:rPr>
              <w:t>无保温层或隔热层的屋盖</w:t>
            </w:r>
          </w:p>
        </w:tc>
        <w:tc>
          <w:tcPr>
            <w:tcW w:w="1654" w:type="dxa"/>
          </w:tcPr>
          <w:p w14:paraId="72316DAB">
            <w:pPr>
              <w:ind w:firstLine="360"/>
              <w:rPr>
                <w:rFonts w:ascii="宋体" w:hAnsi="宋体" w:eastAsiaTheme="minorEastAsia" w:cstheme="minorBidi"/>
                <w:sz w:val="18"/>
                <w:szCs w:val="18"/>
              </w:rPr>
            </w:pPr>
            <w:r>
              <w:rPr>
                <w:rFonts w:ascii="宋体" w:hAnsi="宋体" w:eastAsiaTheme="minorEastAsia" w:cstheme="minorBidi"/>
                <w:sz w:val="18"/>
                <w:szCs w:val="18"/>
              </w:rPr>
              <w:t>50</w:t>
            </w:r>
          </w:p>
        </w:tc>
      </w:tr>
      <w:tr w14:paraId="546DB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vMerge w:val="restart"/>
          </w:tcPr>
          <w:p w14:paraId="2C48C0FD">
            <w:pPr>
              <w:ind w:firstLine="360"/>
              <w:rPr>
                <w:rFonts w:ascii="宋体" w:hAnsi="宋体" w:eastAsiaTheme="minorEastAsia" w:cstheme="minorBidi"/>
                <w:sz w:val="18"/>
                <w:szCs w:val="18"/>
                <w:lang w:val="zh-CN"/>
              </w:rPr>
            </w:pPr>
            <w:r>
              <w:rPr>
                <w:rFonts w:hint="eastAsia" w:ascii="宋体" w:hAnsi="宋体" w:eastAsiaTheme="minorEastAsia" w:cstheme="minorBidi"/>
                <w:sz w:val="18"/>
                <w:szCs w:val="18"/>
                <w:lang w:val="zh-CN"/>
              </w:rPr>
              <w:t>装配式有檩体系</w:t>
            </w:r>
          </w:p>
          <w:p w14:paraId="7E207283">
            <w:pPr>
              <w:ind w:firstLine="360"/>
              <w:rPr>
                <w:rFonts w:ascii="宋体" w:hAnsi="宋体" w:eastAsiaTheme="minorEastAsia" w:cstheme="minorBidi"/>
                <w:sz w:val="18"/>
                <w:szCs w:val="18"/>
                <w:lang w:val="zh-CN"/>
              </w:rPr>
            </w:pPr>
            <w:r>
              <w:rPr>
                <w:rFonts w:hint="eastAsia" w:ascii="宋体" w:hAnsi="宋体" w:eastAsiaTheme="minorEastAsia" w:cstheme="minorBidi"/>
                <w:sz w:val="18"/>
                <w:szCs w:val="18"/>
                <w:lang w:val="zh-CN"/>
              </w:rPr>
              <w:t>钢筋混凝土结构</w:t>
            </w:r>
          </w:p>
        </w:tc>
        <w:tc>
          <w:tcPr>
            <w:tcW w:w="3733" w:type="dxa"/>
          </w:tcPr>
          <w:p w14:paraId="3DD60C2B">
            <w:pPr>
              <w:ind w:firstLine="1" w:firstLineChars="0"/>
              <w:rPr>
                <w:rFonts w:ascii="宋体" w:hAnsi="宋体" w:eastAsiaTheme="minorEastAsia" w:cstheme="minorBidi"/>
                <w:sz w:val="18"/>
                <w:szCs w:val="18"/>
                <w:lang w:val="zh-CN"/>
              </w:rPr>
            </w:pPr>
            <w:r>
              <w:rPr>
                <w:rFonts w:hint="eastAsia" w:ascii="宋体" w:hAnsi="宋体" w:eastAsiaTheme="minorEastAsia" w:cstheme="minorBidi"/>
                <w:sz w:val="18"/>
                <w:szCs w:val="18"/>
                <w:lang w:val="zh-CN"/>
              </w:rPr>
              <w:t>有保温层或隔热层的屋盖、楼盖</w:t>
            </w:r>
          </w:p>
        </w:tc>
        <w:tc>
          <w:tcPr>
            <w:tcW w:w="1654" w:type="dxa"/>
          </w:tcPr>
          <w:p w14:paraId="579D9BC5">
            <w:pPr>
              <w:ind w:firstLine="360"/>
              <w:rPr>
                <w:rFonts w:ascii="宋体" w:hAnsi="宋体" w:eastAsiaTheme="minorEastAsia" w:cstheme="minorBidi"/>
                <w:sz w:val="18"/>
                <w:szCs w:val="18"/>
              </w:rPr>
            </w:pPr>
            <w:r>
              <w:rPr>
                <w:rFonts w:ascii="宋体" w:hAnsi="宋体" w:eastAsiaTheme="minorEastAsia" w:cstheme="minorBidi"/>
                <w:sz w:val="18"/>
                <w:szCs w:val="18"/>
              </w:rPr>
              <w:t>75</w:t>
            </w:r>
          </w:p>
        </w:tc>
      </w:tr>
      <w:tr w14:paraId="6B2DD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vMerge w:val="continue"/>
          </w:tcPr>
          <w:p w14:paraId="11609F95">
            <w:pPr>
              <w:ind w:firstLine="360"/>
              <w:rPr>
                <w:rFonts w:ascii="宋体" w:hAnsi="宋体" w:eastAsiaTheme="minorEastAsia" w:cstheme="minorBidi"/>
                <w:sz w:val="18"/>
                <w:szCs w:val="18"/>
                <w:lang w:val="zh-CN"/>
              </w:rPr>
            </w:pPr>
          </w:p>
        </w:tc>
        <w:tc>
          <w:tcPr>
            <w:tcW w:w="3733" w:type="dxa"/>
          </w:tcPr>
          <w:p w14:paraId="42D6D146">
            <w:pPr>
              <w:ind w:firstLine="1" w:firstLineChars="0"/>
              <w:rPr>
                <w:rFonts w:ascii="宋体" w:hAnsi="宋体" w:eastAsiaTheme="minorEastAsia" w:cstheme="minorBidi"/>
                <w:sz w:val="18"/>
                <w:szCs w:val="18"/>
                <w:lang w:val="zh-CN"/>
              </w:rPr>
            </w:pPr>
            <w:r>
              <w:rPr>
                <w:rFonts w:hint="eastAsia" w:ascii="宋体" w:hAnsi="宋体" w:eastAsiaTheme="minorEastAsia" w:cstheme="minorBidi"/>
                <w:sz w:val="18"/>
                <w:szCs w:val="18"/>
                <w:lang w:val="zh-CN"/>
              </w:rPr>
              <w:t>无保温层或隔热层的屋盖</w:t>
            </w:r>
          </w:p>
        </w:tc>
        <w:tc>
          <w:tcPr>
            <w:tcW w:w="1654" w:type="dxa"/>
          </w:tcPr>
          <w:p w14:paraId="46274278">
            <w:pPr>
              <w:ind w:firstLine="360"/>
              <w:rPr>
                <w:rFonts w:ascii="宋体" w:hAnsi="宋体" w:eastAsiaTheme="minorEastAsia" w:cstheme="minorBidi"/>
                <w:sz w:val="18"/>
                <w:szCs w:val="18"/>
              </w:rPr>
            </w:pPr>
            <w:r>
              <w:rPr>
                <w:rFonts w:ascii="宋体" w:hAnsi="宋体" w:eastAsiaTheme="minorEastAsia" w:cstheme="minorBidi"/>
                <w:sz w:val="18"/>
                <w:szCs w:val="18"/>
              </w:rPr>
              <w:t>60</w:t>
            </w:r>
          </w:p>
        </w:tc>
      </w:tr>
    </w:tbl>
    <w:p w14:paraId="59F12AAC">
      <w:pPr>
        <w:ind w:left="238" w:leftChars="99" w:firstLine="0" w:firstLineChars="0"/>
        <w:rPr>
          <w:rFonts w:ascii="宋体" w:hAnsi="宋体"/>
          <w:sz w:val="18"/>
          <w:szCs w:val="18"/>
          <w:lang w:val="zh-CN"/>
        </w:rPr>
      </w:pPr>
      <w:r>
        <w:rPr>
          <w:rFonts w:hint="eastAsia" w:ascii="宋体" w:hAnsi="宋体"/>
          <w:sz w:val="18"/>
          <w:szCs w:val="18"/>
          <w:lang w:val="zh-CN"/>
        </w:rPr>
        <w:t>注：墙体伸缩缝应与结构的其他变形缝相重合，缝的宽度应满足各种变形缝的变形要求，在进行立面处理时，</w:t>
      </w:r>
      <w:r>
        <w:rPr>
          <w:rFonts w:hint="eastAsia" w:ascii="宋体" w:hAnsi="宋体"/>
          <w:sz w:val="18"/>
          <w:szCs w:val="18"/>
        </w:rPr>
        <w:t>应</w:t>
      </w:r>
      <w:r>
        <w:rPr>
          <w:rFonts w:hint="eastAsia" w:ascii="宋体" w:hAnsi="宋体"/>
          <w:sz w:val="18"/>
          <w:szCs w:val="18"/>
          <w:lang w:val="zh-CN"/>
        </w:rPr>
        <w:t>保证其缝隙的变形作用。</w:t>
      </w:r>
    </w:p>
    <w:p w14:paraId="13FEF429">
      <w:pPr>
        <w:pStyle w:val="4"/>
        <w:numPr>
          <w:ilvl w:val="2"/>
          <w:numId w:val="11"/>
        </w:numPr>
        <w:tabs>
          <w:tab w:val="clear" w:pos="0"/>
        </w:tabs>
        <w:ind w:firstLine="0" w:firstLineChars="0"/>
        <w:rPr>
          <w:rFonts w:cs="宋体"/>
          <w:bCs w:val="0"/>
          <w:iCs/>
          <w:lang w:val="en-US"/>
        </w:rPr>
      </w:pPr>
      <w:r>
        <w:rPr>
          <w:rFonts w:hint="eastAsia" w:cs="宋体"/>
          <w:bCs w:val="0"/>
          <w:iCs/>
          <w:lang w:val="en-US"/>
        </w:rPr>
        <w:t>钢筋混凝土住宅的最大适用高度应满足表9.2.5的规定：</w:t>
      </w:r>
    </w:p>
    <w:p w14:paraId="36E97D0C">
      <w:pPr>
        <w:ind w:firstLine="1" w:firstLineChars="0"/>
        <w:jc w:val="center"/>
        <w:rPr>
          <w:rFonts w:ascii="黑体" w:eastAsia="黑体"/>
          <w:b/>
          <w:sz w:val="21"/>
          <w:szCs w:val="21"/>
          <w:lang w:val="zh-CN"/>
        </w:rPr>
      </w:pPr>
      <w:r>
        <w:rPr>
          <w:rFonts w:hint="eastAsia" w:ascii="黑体" w:eastAsia="黑体"/>
          <w:b/>
          <w:sz w:val="21"/>
          <w:szCs w:val="21"/>
          <w:lang w:val="zh-CN"/>
        </w:rPr>
        <w:t>表9.2.5钢筋混凝土住宅的最大适用高度（m）</w:t>
      </w:r>
    </w:p>
    <w:tbl>
      <w:tblPr>
        <w:tblStyle w:val="30"/>
        <w:tblW w:w="7929"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89"/>
        <w:gridCol w:w="2014"/>
        <w:gridCol w:w="2126"/>
      </w:tblGrid>
      <w:tr w14:paraId="65E2B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3789" w:type="dxa"/>
            <w:vMerge w:val="restart"/>
            <w:vAlign w:val="center"/>
          </w:tcPr>
          <w:p w14:paraId="366EF905">
            <w:pPr>
              <w:ind w:firstLine="360"/>
              <w:jc w:val="center"/>
              <w:rPr>
                <w:rFonts w:eastAsiaTheme="minorEastAsia" w:cstheme="minorBidi"/>
                <w:sz w:val="18"/>
                <w:szCs w:val="18"/>
                <w:lang w:val="zh-CN"/>
              </w:rPr>
            </w:pPr>
            <w:r>
              <w:rPr>
                <w:rFonts w:hint="eastAsia" w:eastAsiaTheme="minorEastAsia" w:cstheme="minorBidi"/>
                <w:sz w:val="18"/>
                <w:szCs w:val="18"/>
                <w:lang w:val="zh-CN"/>
              </w:rPr>
              <w:t>结构类型</w:t>
            </w:r>
          </w:p>
        </w:tc>
        <w:tc>
          <w:tcPr>
            <w:tcW w:w="4140" w:type="dxa"/>
            <w:gridSpan w:val="2"/>
            <w:vAlign w:val="center"/>
          </w:tcPr>
          <w:p w14:paraId="5A540F7A">
            <w:pPr>
              <w:ind w:firstLine="1" w:firstLineChars="0"/>
              <w:jc w:val="center"/>
              <w:rPr>
                <w:rFonts w:eastAsiaTheme="minorEastAsia" w:cstheme="minorBidi"/>
                <w:sz w:val="18"/>
                <w:szCs w:val="18"/>
                <w:lang w:val="zh-CN"/>
              </w:rPr>
            </w:pPr>
            <w:r>
              <w:rPr>
                <w:rFonts w:eastAsiaTheme="minorEastAsia" w:cstheme="minorBidi"/>
                <w:sz w:val="18"/>
                <w:szCs w:val="18"/>
                <w:lang w:val="zh-CN"/>
              </w:rPr>
              <w:t>8</w:t>
            </w:r>
            <w:r>
              <w:rPr>
                <w:rFonts w:hint="eastAsia" w:eastAsiaTheme="minorEastAsia" w:cstheme="minorBidi"/>
                <w:sz w:val="18"/>
                <w:szCs w:val="18"/>
                <w:lang w:val="zh-CN"/>
              </w:rPr>
              <w:t>度</w:t>
            </w:r>
          </w:p>
        </w:tc>
      </w:tr>
      <w:tr w14:paraId="7285C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3789" w:type="dxa"/>
            <w:vMerge w:val="continue"/>
            <w:vAlign w:val="center"/>
          </w:tcPr>
          <w:p w14:paraId="4504A394">
            <w:pPr>
              <w:ind w:firstLine="1" w:firstLineChars="0"/>
              <w:jc w:val="center"/>
              <w:rPr>
                <w:rFonts w:eastAsiaTheme="minorEastAsia" w:cstheme="minorBidi"/>
                <w:sz w:val="18"/>
                <w:szCs w:val="18"/>
                <w:lang w:val="zh-CN"/>
              </w:rPr>
            </w:pPr>
          </w:p>
        </w:tc>
        <w:tc>
          <w:tcPr>
            <w:tcW w:w="2014" w:type="dxa"/>
            <w:vAlign w:val="center"/>
          </w:tcPr>
          <w:p w14:paraId="5E04371C">
            <w:pPr>
              <w:ind w:firstLine="1" w:firstLineChars="0"/>
              <w:jc w:val="center"/>
              <w:rPr>
                <w:rFonts w:eastAsiaTheme="minorEastAsia" w:cstheme="minorBidi"/>
                <w:sz w:val="18"/>
                <w:szCs w:val="18"/>
                <w:lang w:val="zh-CN"/>
              </w:rPr>
            </w:pPr>
            <w:r>
              <w:rPr>
                <w:rFonts w:eastAsiaTheme="minorEastAsia" w:cstheme="minorBidi"/>
                <w:sz w:val="18"/>
                <w:szCs w:val="18"/>
                <w:lang w:val="zh-CN"/>
              </w:rPr>
              <w:t>0.20g</w:t>
            </w:r>
          </w:p>
        </w:tc>
        <w:tc>
          <w:tcPr>
            <w:tcW w:w="2126" w:type="dxa"/>
            <w:vAlign w:val="center"/>
          </w:tcPr>
          <w:p w14:paraId="62C31EE9">
            <w:pPr>
              <w:ind w:firstLine="1" w:firstLineChars="0"/>
              <w:jc w:val="center"/>
              <w:rPr>
                <w:rFonts w:eastAsiaTheme="minorEastAsia" w:cstheme="minorBidi"/>
                <w:sz w:val="18"/>
                <w:szCs w:val="18"/>
                <w:lang w:val="zh-CN"/>
              </w:rPr>
            </w:pPr>
            <w:r>
              <w:rPr>
                <w:rFonts w:eastAsiaTheme="minorEastAsia" w:cstheme="minorBidi"/>
                <w:sz w:val="18"/>
                <w:szCs w:val="18"/>
                <w:lang w:val="zh-CN"/>
              </w:rPr>
              <w:t>0.30g</w:t>
            </w:r>
          </w:p>
        </w:tc>
      </w:tr>
      <w:tr w14:paraId="43870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3789" w:type="dxa"/>
            <w:vAlign w:val="center"/>
          </w:tcPr>
          <w:p w14:paraId="111D385B">
            <w:pPr>
              <w:ind w:firstLine="1" w:firstLineChars="0"/>
              <w:jc w:val="center"/>
              <w:rPr>
                <w:rFonts w:eastAsiaTheme="minorEastAsia" w:cstheme="minorBidi"/>
                <w:sz w:val="18"/>
                <w:szCs w:val="18"/>
                <w:lang w:val="zh-CN"/>
              </w:rPr>
            </w:pPr>
            <w:r>
              <w:rPr>
                <w:rFonts w:hint="eastAsia" w:eastAsiaTheme="minorEastAsia" w:cstheme="minorBidi"/>
                <w:sz w:val="18"/>
                <w:szCs w:val="18"/>
                <w:lang w:val="zh-CN"/>
              </w:rPr>
              <w:t>全现浇剪力墙结构</w:t>
            </w:r>
          </w:p>
        </w:tc>
        <w:tc>
          <w:tcPr>
            <w:tcW w:w="2014" w:type="dxa"/>
            <w:vAlign w:val="center"/>
          </w:tcPr>
          <w:p w14:paraId="2907A758">
            <w:pPr>
              <w:ind w:firstLine="1" w:firstLineChars="0"/>
              <w:jc w:val="center"/>
              <w:rPr>
                <w:rFonts w:eastAsiaTheme="minorEastAsia" w:cstheme="minorBidi"/>
                <w:sz w:val="18"/>
                <w:szCs w:val="18"/>
                <w:lang w:val="zh-CN"/>
              </w:rPr>
            </w:pPr>
            <w:r>
              <w:rPr>
                <w:rFonts w:eastAsiaTheme="minorEastAsia" w:cstheme="minorBidi"/>
                <w:sz w:val="18"/>
                <w:szCs w:val="18"/>
                <w:lang w:val="zh-CN"/>
              </w:rPr>
              <w:t>100</w:t>
            </w:r>
          </w:p>
        </w:tc>
        <w:tc>
          <w:tcPr>
            <w:tcW w:w="2126" w:type="dxa"/>
            <w:vAlign w:val="center"/>
          </w:tcPr>
          <w:p w14:paraId="25AB9BDC">
            <w:pPr>
              <w:ind w:firstLine="1" w:firstLineChars="0"/>
              <w:jc w:val="center"/>
              <w:rPr>
                <w:rFonts w:eastAsiaTheme="minorEastAsia" w:cstheme="minorBidi"/>
                <w:sz w:val="18"/>
                <w:szCs w:val="18"/>
                <w:lang w:val="zh-CN"/>
              </w:rPr>
            </w:pPr>
            <w:r>
              <w:rPr>
                <w:rFonts w:eastAsiaTheme="minorEastAsia" w:cstheme="minorBidi"/>
                <w:sz w:val="18"/>
                <w:szCs w:val="18"/>
                <w:lang w:val="zh-CN"/>
              </w:rPr>
              <w:t>80</w:t>
            </w:r>
          </w:p>
        </w:tc>
      </w:tr>
      <w:tr w14:paraId="1CC75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3789" w:type="dxa"/>
            <w:vAlign w:val="center"/>
          </w:tcPr>
          <w:p w14:paraId="2DFB98D0">
            <w:pPr>
              <w:ind w:firstLine="1" w:firstLineChars="0"/>
              <w:jc w:val="center"/>
              <w:rPr>
                <w:rFonts w:eastAsiaTheme="minorEastAsia" w:cstheme="minorBidi"/>
                <w:sz w:val="18"/>
                <w:szCs w:val="18"/>
                <w:lang w:val="zh-CN"/>
              </w:rPr>
            </w:pPr>
            <w:r>
              <w:rPr>
                <w:rFonts w:hint="eastAsia" w:eastAsiaTheme="minorEastAsia" w:cstheme="minorBidi"/>
                <w:sz w:val="18"/>
                <w:szCs w:val="18"/>
                <w:lang w:val="zh-CN"/>
              </w:rPr>
              <w:t>部分框支剪力墙结构</w:t>
            </w:r>
          </w:p>
        </w:tc>
        <w:tc>
          <w:tcPr>
            <w:tcW w:w="2014" w:type="dxa"/>
            <w:vAlign w:val="center"/>
          </w:tcPr>
          <w:p w14:paraId="28222820">
            <w:pPr>
              <w:ind w:firstLine="1" w:firstLineChars="0"/>
              <w:jc w:val="center"/>
              <w:rPr>
                <w:rFonts w:eastAsiaTheme="minorEastAsia" w:cstheme="minorBidi"/>
                <w:sz w:val="18"/>
                <w:szCs w:val="18"/>
                <w:lang w:val="zh-CN"/>
              </w:rPr>
            </w:pPr>
            <w:r>
              <w:rPr>
                <w:rFonts w:eastAsiaTheme="minorEastAsia" w:cstheme="minorBidi"/>
                <w:sz w:val="18"/>
                <w:szCs w:val="18"/>
                <w:lang w:val="zh-CN"/>
              </w:rPr>
              <w:t>80</w:t>
            </w:r>
          </w:p>
        </w:tc>
        <w:tc>
          <w:tcPr>
            <w:tcW w:w="2126" w:type="dxa"/>
            <w:vAlign w:val="center"/>
          </w:tcPr>
          <w:p w14:paraId="416A0ED2">
            <w:pPr>
              <w:ind w:firstLine="1" w:firstLineChars="0"/>
              <w:jc w:val="center"/>
              <w:rPr>
                <w:rFonts w:eastAsiaTheme="minorEastAsia" w:cstheme="minorBidi"/>
                <w:sz w:val="18"/>
                <w:szCs w:val="18"/>
                <w:lang w:val="zh-CN"/>
              </w:rPr>
            </w:pPr>
            <w:r>
              <w:rPr>
                <w:rFonts w:eastAsiaTheme="minorEastAsia" w:cstheme="minorBidi"/>
                <w:sz w:val="18"/>
                <w:szCs w:val="18"/>
                <w:lang w:val="zh-CN"/>
              </w:rPr>
              <w:t>50</w:t>
            </w:r>
          </w:p>
        </w:tc>
      </w:tr>
      <w:tr w14:paraId="588C8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3789" w:type="dxa"/>
            <w:vAlign w:val="center"/>
          </w:tcPr>
          <w:p w14:paraId="260CED07">
            <w:pPr>
              <w:ind w:firstLine="1" w:firstLineChars="0"/>
              <w:jc w:val="center"/>
              <w:rPr>
                <w:rFonts w:eastAsiaTheme="minorEastAsia" w:cstheme="minorBidi"/>
                <w:sz w:val="18"/>
                <w:szCs w:val="18"/>
                <w:lang w:val="zh-CN"/>
              </w:rPr>
            </w:pPr>
            <w:r>
              <w:rPr>
                <w:rFonts w:hint="eastAsia" w:eastAsiaTheme="minorEastAsia" w:cstheme="minorBidi"/>
                <w:sz w:val="18"/>
                <w:szCs w:val="18"/>
                <w:lang w:val="zh-CN"/>
              </w:rPr>
              <w:t>框架</w:t>
            </w:r>
            <w:r>
              <w:rPr>
                <w:rFonts w:eastAsiaTheme="minorEastAsia" w:cstheme="minorBidi"/>
                <w:sz w:val="18"/>
                <w:szCs w:val="18"/>
                <w:lang w:val="zh-CN"/>
              </w:rPr>
              <w:t>-</w:t>
            </w:r>
            <w:r>
              <w:rPr>
                <w:rFonts w:hint="eastAsia" w:eastAsiaTheme="minorEastAsia" w:cstheme="minorBidi"/>
                <w:sz w:val="18"/>
                <w:szCs w:val="18"/>
                <w:lang w:val="zh-CN"/>
              </w:rPr>
              <w:t>剪力墙结构</w:t>
            </w:r>
          </w:p>
        </w:tc>
        <w:tc>
          <w:tcPr>
            <w:tcW w:w="2014" w:type="dxa"/>
            <w:vAlign w:val="center"/>
          </w:tcPr>
          <w:p w14:paraId="58EDF3FE">
            <w:pPr>
              <w:ind w:firstLine="1" w:firstLineChars="0"/>
              <w:jc w:val="center"/>
              <w:rPr>
                <w:rFonts w:eastAsiaTheme="minorEastAsia" w:cstheme="minorBidi"/>
                <w:sz w:val="18"/>
                <w:szCs w:val="18"/>
                <w:lang w:val="zh-CN"/>
              </w:rPr>
            </w:pPr>
            <w:r>
              <w:rPr>
                <w:rFonts w:eastAsiaTheme="minorEastAsia" w:cstheme="minorBidi"/>
                <w:sz w:val="18"/>
                <w:szCs w:val="18"/>
                <w:lang w:val="zh-CN"/>
              </w:rPr>
              <w:t>100</w:t>
            </w:r>
          </w:p>
        </w:tc>
        <w:tc>
          <w:tcPr>
            <w:tcW w:w="2126" w:type="dxa"/>
            <w:vAlign w:val="center"/>
          </w:tcPr>
          <w:p w14:paraId="3BB637EE">
            <w:pPr>
              <w:ind w:firstLine="1" w:firstLineChars="0"/>
              <w:jc w:val="center"/>
              <w:rPr>
                <w:rFonts w:eastAsiaTheme="minorEastAsia" w:cstheme="minorBidi"/>
                <w:sz w:val="18"/>
                <w:szCs w:val="18"/>
                <w:lang w:val="zh-CN"/>
              </w:rPr>
            </w:pPr>
            <w:r>
              <w:rPr>
                <w:rFonts w:eastAsiaTheme="minorEastAsia" w:cstheme="minorBidi"/>
                <w:sz w:val="18"/>
                <w:szCs w:val="18"/>
                <w:lang w:val="zh-CN"/>
              </w:rPr>
              <w:t>80</w:t>
            </w:r>
          </w:p>
        </w:tc>
      </w:tr>
      <w:tr w14:paraId="6C288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3789" w:type="dxa"/>
            <w:vAlign w:val="center"/>
          </w:tcPr>
          <w:p w14:paraId="22CE29B2">
            <w:pPr>
              <w:ind w:firstLine="1" w:firstLineChars="0"/>
              <w:jc w:val="center"/>
              <w:rPr>
                <w:rFonts w:eastAsiaTheme="minorEastAsia" w:cstheme="minorBidi"/>
                <w:sz w:val="18"/>
                <w:szCs w:val="18"/>
                <w:lang w:val="zh-CN"/>
              </w:rPr>
            </w:pPr>
            <w:r>
              <w:rPr>
                <w:rFonts w:hint="eastAsia" w:eastAsiaTheme="minorEastAsia" w:cstheme="minorBidi"/>
                <w:sz w:val="18"/>
                <w:szCs w:val="18"/>
              </w:rPr>
              <w:t>装配整体式</w:t>
            </w:r>
            <w:r>
              <w:rPr>
                <w:rFonts w:hint="eastAsia" w:eastAsiaTheme="minorEastAsia" w:cstheme="minorBidi"/>
                <w:sz w:val="18"/>
                <w:szCs w:val="18"/>
                <w:lang w:val="zh-CN"/>
              </w:rPr>
              <w:t>剪力墙结构</w:t>
            </w:r>
          </w:p>
        </w:tc>
        <w:tc>
          <w:tcPr>
            <w:tcW w:w="2014" w:type="dxa"/>
            <w:vAlign w:val="center"/>
          </w:tcPr>
          <w:p w14:paraId="5A225B9E">
            <w:pPr>
              <w:ind w:firstLine="1" w:firstLineChars="0"/>
              <w:jc w:val="center"/>
              <w:rPr>
                <w:rFonts w:eastAsiaTheme="minorEastAsia" w:cstheme="minorBidi"/>
                <w:sz w:val="18"/>
                <w:szCs w:val="18"/>
              </w:rPr>
            </w:pPr>
            <w:r>
              <w:rPr>
                <w:rFonts w:eastAsiaTheme="minorEastAsia" w:cstheme="minorBidi"/>
                <w:sz w:val="18"/>
                <w:szCs w:val="18"/>
              </w:rPr>
              <w:t>70</w:t>
            </w:r>
          </w:p>
        </w:tc>
        <w:tc>
          <w:tcPr>
            <w:tcW w:w="2126" w:type="dxa"/>
            <w:vAlign w:val="center"/>
          </w:tcPr>
          <w:p w14:paraId="7321A0F3">
            <w:pPr>
              <w:ind w:firstLine="1" w:firstLineChars="0"/>
              <w:jc w:val="center"/>
              <w:rPr>
                <w:rFonts w:eastAsiaTheme="minorEastAsia" w:cstheme="minorBidi"/>
                <w:sz w:val="18"/>
                <w:szCs w:val="18"/>
              </w:rPr>
            </w:pPr>
            <w:r>
              <w:rPr>
                <w:rFonts w:eastAsiaTheme="minorEastAsia" w:cstheme="minorBidi"/>
                <w:sz w:val="18"/>
                <w:szCs w:val="18"/>
              </w:rPr>
              <w:t>50</w:t>
            </w:r>
          </w:p>
        </w:tc>
      </w:tr>
    </w:tbl>
    <w:p w14:paraId="68F6B235">
      <w:pPr>
        <w:numPr>
          <w:ilvl w:val="255"/>
          <w:numId w:val="0"/>
        </w:numPr>
        <w:ind w:left="238" w:leftChars="99"/>
        <w:rPr>
          <w:rFonts w:ascii="宋体" w:hAnsi="宋体"/>
          <w:sz w:val="18"/>
          <w:szCs w:val="18"/>
          <w:lang w:val="zh-CN"/>
        </w:rPr>
      </w:pPr>
      <w:r>
        <w:rPr>
          <w:rFonts w:hint="eastAsia" w:ascii="宋体" w:hAnsi="宋体"/>
          <w:sz w:val="18"/>
          <w:szCs w:val="18"/>
          <w:lang w:val="zh-CN"/>
        </w:rPr>
        <w:t>注：1、房屋高度指室外地面到主要屋面的高度，不包括局部出屋顶的部分；</w:t>
      </w:r>
    </w:p>
    <w:p w14:paraId="5B1F7FBB">
      <w:pPr>
        <w:numPr>
          <w:ilvl w:val="255"/>
          <w:numId w:val="0"/>
        </w:numPr>
        <w:ind w:left="238" w:leftChars="99"/>
        <w:rPr>
          <w:rFonts w:ascii="宋体" w:hAnsi="宋体"/>
          <w:sz w:val="18"/>
          <w:szCs w:val="18"/>
          <w:lang w:val="zh-CN"/>
        </w:rPr>
      </w:pPr>
      <w:r>
        <w:rPr>
          <w:rFonts w:hint="eastAsia" w:ascii="宋体" w:hAnsi="宋体"/>
          <w:sz w:val="18"/>
          <w:szCs w:val="18"/>
          <w:lang w:val="zh-CN"/>
        </w:rPr>
        <w:t>2、装配整体式剪力墙结构包含预制剪力墙结构、叠合剪力墙结构及预制型钢混凝土剪力墙结构；</w:t>
      </w:r>
    </w:p>
    <w:p w14:paraId="62741906">
      <w:pPr>
        <w:numPr>
          <w:ilvl w:val="255"/>
          <w:numId w:val="0"/>
        </w:numPr>
        <w:ind w:left="238" w:leftChars="99"/>
        <w:rPr>
          <w:rFonts w:ascii="宋体" w:hAnsi="宋体"/>
          <w:sz w:val="18"/>
          <w:szCs w:val="18"/>
          <w:lang w:val="zh-CN"/>
        </w:rPr>
      </w:pPr>
      <w:r>
        <w:rPr>
          <w:rFonts w:hint="eastAsia" w:ascii="宋体" w:hAnsi="宋体"/>
          <w:sz w:val="18"/>
          <w:szCs w:val="18"/>
          <w:lang w:val="zh-CN"/>
        </w:rPr>
        <w:t>3、部分框支剪力墙结构指首层或底部两层为局部框支的结构，不包括仅个别为框支墙的结构；</w:t>
      </w:r>
    </w:p>
    <w:p w14:paraId="1AF0F132">
      <w:pPr>
        <w:numPr>
          <w:ilvl w:val="255"/>
          <w:numId w:val="0"/>
        </w:numPr>
        <w:ind w:left="238" w:leftChars="99"/>
        <w:rPr>
          <w:rFonts w:ascii="宋体" w:hAnsi="宋体"/>
          <w:sz w:val="18"/>
          <w:szCs w:val="18"/>
          <w:lang w:val="zh-CN"/>
        </w:rPr>
      </w:pPr>
      <w:r>
        <w:rPr>
          <w:rFonts w:hint="eastAsia" w:ascii="宋体" w:hAnsi="宋体"/>
          <w:sz w:val="18"/>
          <w:szCs w:val="18"/>
          <w:lang w:val="zh-CN"/>
        </w:rPr>
        <w:t>4、对于预制剪力墙及叠合剪力墙结构，当建筑地上各楼层由预制墙板或叠合墙板组成的剪力墙截面面积小于该层剪力墙截面面积的</w:t>
      </w:r>
      <w:r>
        <w:rPr>
          <w:rFonts w:ascii="宋体" w:hAnsi="宋体"/>
          <w:sz w:val="18"/>
          <w:szCs w:val="18"/>
          <w:lang w:val="zh-CN"/>
        </w:rPr>
        <w:t xml:space="preserve"> 20% </w:t>
      </w:r>
      <w:r>
        <w:rPr>
          <w:rFonts w:hint="eastAsia" w:ascii="宋体" w:hAnsi="宋体"/>
          <w:sz w:val="18"/>
          <w:szCs w:val="18"/>
          <w:lang w:val="zh-CN"/>
        </w:rPr>
        <w:t>时，房屋最大适用高度可按现行国家标准《建筑抗震设计标准》GB/T50011</w:t>
      </w:r>
      <w:r>
        <w:rPr>
          <w:rFonts w:ascii="宋体" w:hAnsi="宋体"/>
          <w:sz w:val="18"/>
          <w:szCs w:val="18"/>
          <w:lang w:val="zh-CN"/>
        </w:rPr>
        <w:t xml:space="preserve"> </w:t>
      </w:r>
      <w:r>
        <w:rPr>
          <w:rFonts w:hint="eastAsia" w:ascii="宋体" w:hAnsi="宋体"/>
          <w:sz w:val="18"/>
          <w:szCs w:val="18"/>
          <w:lang w:val="zh-CN"/>
        </w:rPr>
        <w:t>的规定设计；具有下列情况之一时，房屋最大适用高度宜按表</w:t>
      </w:r>
      <w:r>
        <w:rPr>
          <w:rFonts w:ascii="宋体" w:hAnsi="宋体"/>
          <w:sz w:val="18"/>
          <w:szCs w:val="18"/>
          <w:lang w:val="zh-CN"/>
        </w:rPr>
        <w:t xml:space="preserve"> </w:t>
      </w:r>
      <w:r>
        <w:rPr>
          <w:rFonts w:hint="eastAsia" w:ascii="宋体" w:hAnsi="宋体"/>
          <w:sz w:val="18"/>
          <w:szCs w:val="18"/>
          <w:lang w:val="zh-CN"/>
        </w:rPr>
        <w:t>9.2.5</w:t>
      </w:r>
      <w:r>
        <w:rPr>
          <w:rFonts w:ascii="宋体" w:hAnsi="宋体"/>
          <w:sz w:val="18"/>
          <w:szCs w:val="18"/>
          <w:lang w:val="zh-CN"/>
        </w:rPr>
        <w:t xml:space="preserve"> </w:t>
      </w:r>
      <w:r>
        <w:rPr>
          <w:rFonts w:hint="eastAsia" w:ascii="宋体" w:hAnsi="宋体"/>
          <w:sz w:val="18"/>
          <w:szCs w:val="18"/>
          <w:lang w:val="zh-CN"/>
        </w:rPr>
        <w:t>中数值降低</w:t>
      </w:r>
      <w:r>
        <w:rPr>
          <w:rFonts w:ascii="宋体" w:hAnsi="宋体"/>
          <w:sz w:val="18"/>
          <w:szCs w:val="18"/>
          <w:lang w:val="zh-CN"/>
        </w:rPr>
        <w:t xml:space="preserve"> 5m </w:t>
      </w:r>
      <w:r>
        <w:rPr>
          <w:rFonts w:hint="eastAsia" w:ascii="宋体" w:hAnsi="宋体"/>
          <w:sz w:val="18"/>
          <w:szCs w:val="18"/>
          <w:lang w:val="zh-CN"/>
        </w:rPr>
        <w:t>；同时存在多种情况时，房屋最大适用高度宜降低</w:t>
      </w:r>
      <w:r>
        <w:rPr>
          <w:rFonts w:ascii="宋体" w:hAnsi="宋体"/>
          <w:sz w:val="18"/>
          <w:szCs w:val="18"/>
          <w:lang w:val="zh-CN"/>
        </w:rPr>
        <w:t xml:space="preserve"> 10m </w:t>
      </w:r>
      <w:r>
        <w:rPr>
          <w:rFonts w:hint="eastAsia" w:ascii="宋体" w:hAnsi="宋体"/>
          <w:sz w:val="18"/>
          <w:szCs w:val="18"/>
          <w:lang w:val="zh-CN"/>
        </w:rPr>
        <w:t>；</w:t>
      </w:r>
    </w:p>
    <w:p w14:paraId="2861C1DD">
      <w:pPr>
        <w:numPr>
          <w:ilvl w:val="255"/>
          <w:numId w:val="0"/>
        </w:numPr>
        <w:ind w:left="720" w:leftChars="300"/>
        <w:rPr>
          <w:rFonts w:ascii="宋体" w:hAnsi="宋体"/>
          <w:sz w:val="18"/>
          <w:szCs w:val="18"/>
          <w:lang w:val="zh-CN"/>
        </w:rPr>
      </w:pPr>
      <w:r>
        <w:rPr>
          <w:rFonts w:ascii="宋体" w:hAnsi="宋体"/>
          <w:sz w:val="18"/>
          <w:szCs w:val="18"/>
          <w:lang w:val="zh-CN"/>
        </w:rPr>
        <w:t>1</w:t>
      </w:r>
      <w:r>
        <w:rPr>
          <w:rFonts w:hint="eastAsia" w:ascii="宋体" w:hAnsi="宋体"/>
          <w:sz w:val="18"/>
          <w:szCs w:val="18"/>
          <w:lang w:val="zh-CN"/>
        </w:rPr>
        <w:t>）结构平面和竖向均不规则</w:t>
      </w:r>
      <w:r>
        <w:rPr>
          <w:rFonts w:ascii="宋体" w:hAnsi="宋体"/>
          <w:sz w:val="18"/>
          <w:szCs w:val="18"/>
          <w:lang w:val="zh-CN"/>
        </w:rPr>
        <w:t xml:space="preserve"> </w:t>
      </w:r>
      <w:r>
        <w:rPr>
          <w:rFonts w:hint="eastAsia" w:ascii="宋体" w:hAnsi="宋体"/>
          <w:sz w:val="18"/>
          <w:szCs w:val="18"/>
          <w:lang w:val="zh-CN"/>
        </w:rPr>
        <w:t>；</w:t>
      </w:r>
    </w:p>
    <w:p w14:paraId="495705B0">
      <w:pPr>
        <w:numPr>
          <w:ilvl w:val="255"/>
          <w:numId w:val="0"/>
        </w:numPr>
        <w:ind w:left="720" w:leftChars="300"/>
        <w:rPr>
          <w:rFonts w:ascii="宋体" w:hAnsi="宋体"/>
          <w:sz w:val="18"/>
          <w:szCs w:val="18"/>
          <w:lang w:val="zh-CN"/>
        </w:rPr>
      </w:pPr>
      <w:r>
        <w:rPr>
          <w:rFonts w:ascii="宋体" w:hAnsi="宋体"/>
          <w:sz w:val="18"/>
          <w:szCs w:val="18"/>
          <w:lang w:val="zh-CN"/>
        </w:rPr>
        <w:t>2</w:t>
      </w:r>
      <w:r>
        <w:rPr>
          <w:rFonts w:hint="eastAsia" w:ascii="宋体" w:hAnsi="宋体"/>
          <w:sz w:val="18"/>
          <w:szCs w:val="18"/>
          <w:lang w:val="zh-CN"/>
        </w:rPr>
        <w:t>）超过</w:t>
      </w:r>
      <w:r>
        <w:rPr>
          <w:rFonts w:ascii="宋体" w:hAnsi="宋体"/>
          <w:sz w:val="18"/>
          <w:szCs w:val="18"/>
          <w:lang w:val="zh-CN"/>
        </w:rPr>
        <w:t xml:space="preserve"> 50% </w:t>
      </w:r>
      <w:r>
        <w:rPr>
          <w:rFonts w:hint="eastAsia" w:ascii="宋体" w:hAnsi="宋体"/>
          <w:sz w:val="18"/>
          <w:szCs w:val="18"/>
          <w:lang w:val="zh-CN"/>
        </w:rPr>
        <w:t>的楼层扭转位移比大于</w:t>
      </w:r>
      <w:r>
        <w:rPr>
          <w:rFonts w:ascii="宋体" w:hAnsi="宋体"/>
          <w:sz w:val="18"/>
          <w:szCs w:val="18"/>
          <w:lang w:val="zh-CN"/>
        </w:rPr>
        <w:t xml:space="preserve"> 1.2 </w:t>
      </w:r>
      <w:r>
        <w:rPr>
          <w:rFonts w:hint="eastAsia" w:ascii="宋体" w:hAnsi="宋体"/>
          <w:sz w:val="18"/>
          <w:szCs w:val="18"/>
          <w:lang w:val="zh-CN"/>
        </w:rPr>
        <w:t>；</w:t>
      </w:r>
    </w:p>
    <w:p w14:paraId="2A8218F1">
      <w:pPr>
        <w:numPr>
          <w:ilvl w:val="255"/>
          <w:numId w:val="0"/>
        </w:numPr>
        <w:ind w:left="720" w:leftChars="300"/>
        <w:rPr>
          <w:rFonts w:ascii="宋体" w:hAnsi="宋体"/>
          <w:sz w:val="18"/>
          <w:szCs w:val="18"/>
          <w:lang w:val="zh-CN"/>
        </w:rPr>
      </w:pPr>
      <w:r>
        <w:rPr>
          <w:rFonts w:ascii="宋体" w:hAnsi="宋体"/>
          <w:sz w:val="18"/>
          <w:szCs w:val="18"/>
          <w:lang w:val="zh-CN"/>
        </w:rPr>
        <w:t>3</w:t>
      </w:r>
      <w:r>
        <w:rPr>
          <w:rFonts w:hint="eastAsia" w:ascii="宋体" w:hAnsi="宋体"/>
          <w:sz w:val="18"/>
          <w:szCs w:val="18"/>
          <w:lang w:val="zh-CN"/>
        </w:rPr>
        <w:t>）具有较多短肢剪力墙。</w:t>
      </w:r>
    </w:p>
    <w:p w14:paraId="5C038D85">
      <w:pPr>
        <w:numPr>
          <w:ilvl w:val="255"/>
          <w:numId w:val="0"/>
        </w:numPr>
        <w:ind w:left="238" w:leftChars="99"/>
        <w:rPr>
          <w:rFonts w:ascii="宋体" w:hAnsi="宋体"/>
          <w:sz w:val="18"/>
          <w:szCs w:val="18"/>
          <w:lang w:val="zh-CN"/>
        </w:rPr>
      </w:pPr>
      <w:r>
        <w:rPr>
          <w:rFonts w:hint="eastAsia" w:ascii="宋体" w:hAnsi="宋体"/>
          <w:sz w:val="18"/>
          <w:szCs w:val="18"/>
          <w:lang w:val="zh-CN"/>
        </w:rPr>
        <w:t>5、装配整体式部分框支剪力墙结构框支层不超过地上</w:t>
      </w:r>
      <w:r>
        <w:rPr>
          <w:rFonts w:ascii="宋体" w:hAnsi="宋体"/>
          <w:sz w:val="18"/>
          <w:szCs w:val="18"/>
          <w:lang w:val="zh-CN"/>
        </w:rPr>
        <w:t xml:space="preserve"> 2 层时，房屋最大适用高度宜按表 </w:t>
      </w:r>
      <w:r>
        <w:rPr>
          <w:rFonts w:hint="eastAsia" w:ascii="宋体" w:hAnsi="宋体"/>
          <w:sz w:val="18"/>
          <w:szCs w:val="18"/>
          <w:lang w:val="zh-CN"/>
        </w:rPr>
        <w:t>9.2.5</w:t>
      </w:r>
      <w:r>
        <w:rPr>
          <w:rFonts w:ascii="宋体" w:hAnsi="宋体"/>
          <w:sz w:val="18"/>
          <w:szCs w:val="18"/>
          <w:lang w:val="zh-CN"/>
        </w:rPr>
        <w:t xml:space="preserve"> 中数值降低 10m 采用 ；框支层为 3 层及以上时，房屋最大适用高度宜按表 </w:t>
      </w:r>
      <w:r>
        <w:rPr>
          <w:rFonts w:hint="eastAsia" w:ascii="宋体" w:hAnsi="宋体"/>
          <w:sz w:val="18"/>
          <w:szCs w:val="18"/>
          <w:lang w:val="zh-CN"/>
        </w:rPr>
        <w:t>9.2.5</w:t>
      </w:r>
      <w:r>
        <w:rPr>
          <w:rFonts w:ascii="宋体" w:hAnsi="宋体"/>
          <w:sz w:val="18"/>
          <w:szCs w:val="18"/>
          <w:lang w:val="zh-CN"/>
        </w:rPr>
        <w:t xml:space="preserve"> 中数值降低 20m 采用 ；当仅为局部剪力墙进行转换时，房屋最大适用高度可按表 </w:t>
      </w:r>
      <w:r>
        <w:rPr>
          <w:rFonts w:hint="eastAsia" w:ascii="宋体" w:hAnsi="宋体"/>
          <w:sz w:val="18"/>
          <w:szCs w:val="18"/>
          <w:lang w:val="zh-CN"/>
        </w:rPr>
        <w:t>9.2.5</w:t>
      </w:r>
      <w:r>
        <w:rPr>
          <w:rFonts w:ascii="宋体" w:hAnsi="宋体"/>
          <w:sz w:val="18"/>
          <w:szCs w:val="18"/>
          <w:lang w:val="zh-CN"/>
        </w:rPr>
        <w:t xml:space="preserve"> 中数值采用。</w:t>
      </w:r>
    </w:p>
    <w:p w14:paraId="0F591B75">
      <w:pPr>
        <w:pStyle w:val="4"/>
        <w:numPr>
          <w:ilvl w:val="2"/>
          <w:numId w:val="11"/>
        </w:numPr>
        <w:tabs>
          <w:tab w:val="clear" w:pos="0"/>
        </w:tabs>
        <w:ind w:firstLine="0" w:firstLineChars="0"/>
        <w:rPr>
          <w:rFonts w:cs="宋体"/>
          <w:bCs w:val="0"/>
          <w:iCs/>
          <w:lang w:val="en-US"/>
        </w:rPr>
      </w:pPr>
      <w:r>
        <w:rPr>
          <w:rFonts w:hint="eastAsia" w:cs="宋体"/>
          <w:bCs w:val="0"/>
          <w:iCs/>
          <w:lang w:val="en-US"/>
        </w:rPr>
        <w:t>钢筋混凝土住宅的抗震等级应按表9.2.6确定：</w:t>
      </w:r>
    </w:p>
    <w:p w14:paraId="687F1FCF">
      <w:pPr>
        <w:ind w:firstLine="1" w:firstLineChars="0"/>
        <w:jc w:val="center"/>
        <w:rPr>
          <w:rFonts w:ascii="黑体" w:eastAsia="黑体"/>
          <w:b/>
          <w:sz w:val="21"/>
          <w:szCs w:val="21"/>
          <w:lang w:val="zh-CN"/>
        </w:rPr>
      </w:pPr>
      <w:r>
        <w:rPr>
          <w:rFonts w:hint="eastAsia" w:ascii="黑体" w:eastAsia="黑体"/>
          <w:b/>
          <w:sz w:val="21"/>
          <w:szCs w:val="21"/>
          <w:lang w:val="zh-CN"/>
        </w:rPr>
        <w:t>表9.2.6</w:t>
      </w:r>
      <w:r>
        <w:rPr>
          <w:rFonts w:ascii="黑体" w:eastAsia="黑体"/>
          <w:b/>
          <w:sz w:val="21"/>
          <w:szCs w:val="21"/>
          <w:lang w:val="zh-CN"/>
        </w:rPr>
        <w:tab/>
      </w:r>
      <w:r>
        <w:rPr>
          <w:rFonts w:hint="eastAsia" w:ascii="黑体" w:eastAsia="黑体"/>
          <w:b/>
          <w:sz w:val="21"/>
          <w:szCs w:val="21"/>
          <w:lang w:val="zh-CN"/>
        </w:rPr>
        <w:t>钢筋混凝土住宅的抗震等级</w:t>
      </w:r>
    </w:p>
    <w:tbl>
      <w:tblPr>
        <w:tblStyle w:val="30"/>
        <w:tblW w:w="7929"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3"/>
        <w:gridCol w:w="850"/>
        <w:gridCol w:w="1416"/>
        <w:gridCol w:w="1560"/>
        <w:gridCol w:w="1591"/>
        <w:gridCol w:w="1559"/>
      </w:tblGrid>
      <w:tr w14:paraId="06FCA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3219" w:type="dxa"/>
            <w:gridSpan w:val="3"/>
            <w:vMerge w:val="restart"/>
            <w:vAlign w:val="center"/>
          </w:tcPr>
          <w:p w14:paraId="6FF42CE6">
            <w:pPr>
              <w:ind w:firstLine="1" w:firstLineChars="0"/>
              <w:jc w:val="center"/>
              <w:rPr>
                <w:rFonts w:eastAsiaTheme="minorEastAsia" w:cstheme="minorBidi"/>
                <w:sz w:val="18"/>
                <w:szCs w:val="18"/>
                <w:lang w:val="zh-CN"/>
              </w:rPr>
            </w:pPr>
            <w:r>
              <w:rPr>
                <w:rFonts w:hint="eastAsia" w:eastAsiaTheme="minorEastAsia" w:cstheme="minorBidi"/>
                <w:sz w:val="18"/>
                <w:szCs w:val="18"/>
                <w:lang w:val="zh-CN"/>
              </w:rPr>
              <w:t>结构类型</w:t>
            </w:r>
          </w:p>
        </w:tc>
        <w:tc>
          <w:tcPr>
            <w:tcW w:w="4710" w:type="dxa"/>
            <w:gridSpan w:val="3"/>
            <w:vAlign w:val="center"/>
          </w:tcPr>
          <w:p w14:paraId="056B788E">
            <w:pPr>
              <w:ind w:firstLine="1" w:firstLineChars="0"/>
              <w:jc w:val="center"/>
              <w:rPr>
                <w:rFonts w:eastAsiaTheme="minorEastAsia" w:cstheme="minorBidi"/>
                <w:sz w:val="18"/>
                <w:szCs w:val="18"/>
                <w:lang w:val="zh-CN"/>
              </w:rPr>
            </w:pPr>
            <w:r>
              <w:rPr>
                <w:rFonts w:hint="eastAsia" w:eastAsiaTheme="minorEastAsia" w:cstheme="minorBidi"/>
                <w:sz w:val="18"/>
                <w:szCs w:val="18"/>
                <w:lang w:val="zh-CN"/>
              </w:rPr>
              <w:t>抗震设防烈度</w:t>
            </w:r>
          </w:p>
        </w:tc>
      </w:tr>
      <w:tr w14:paraId="7D630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3219" w:type="dxa"/>
            <w:gridSpan w:val="3"/>
            <w:vMerge w:val="continue"/>
            <w:vAlign w:val="center"/>
          </w:tcPr>
          <w:p w14:paraId="25040312">
            <w:pPr>
              <w:ind w:firstLine="360"/>
              <w:jc w:val="center"/>
              <w:rPr>
                <w:rFonts w:eastAsiaTheme="minorEastAsia" w:cstheme="minorBidi"/>
                <w:sz w:val="18"/>
                <w:szCs w:val="18"/>
                <w:lang w:val="zh-CN"/>
              </w:rPr>
            </w:pPr>
          </w:p>
        </w:tc>
        <w:tc>
          <w:tcPr>
            <w:tcW w:w="4710" w:type="dxa"/>
            <w:gridSpan w:val="3"/>
            <w:vAlign w:val="center"/>
          </w:tcPr>
          <w:p w14:paraId="25F68542">
            <w:pPr>
              <w:ind w:firstLine="1" w:firstLineChars="0"/>
              <w:jc w:val="center"/>
              <w:rPr>
                <w:rFonts w:eastAsiaTheme="minorEastAsia" w:cstheme="minorBidi"/>
                <w:sz w:val="18"/>
                <w:szCs w:val="18"/>
                <w:lang w:val="zh-CN"/>
              </w:rPr>
            </w:pPr>
            <w:r>
              <w:rPr>
                <w:rFonts w:eastAsiaTheme="minorEastAsia" w:cstheme="minorBidi"/>
                <w:sz w:val="18"/>
                <w:szCs w:val="18"/>
                <w:lang w:val="zh-CN"/>
              </w:rPr>
              <w:t>8</w:t>
            </w:r>
            <w:r>
              <w:rPr>
                <w:rFonts w:hint="eastAsia" w:eastAsiaTheme="minorEastAsia" w:cstheme="minorBidi"/>
                <w:sz w:val="18"/>
                <w:szCs w:val="18"/>
                <w:lang w:val="zh-CN"/>
              </w:rPr>
              <w:t>度</w:t>
            </w:r>
          </w:p>
        </w:tc>
      </w:tr>
      <w:tr w14:paraId="7519C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953" w:type="dxa"/>
            <w:vMerge w:val="restart"/>
            <w:vAlign w:val="center"/>
          </w:tcPr>
          <w:p w14:paraId="5AE628FC">
            <w:pPr>
              <w:ind w:firstLine="1" w:firstLineChars="0"/>
              <w:jc w:val="center"/>
              <w:rPr>
                <w:rFonts w:eastAsiaTheme="minorEastAsia" w:cstheme="minorBidi"/>
                <w:sz w:val="18"/>
                <w:szCs w:val="18"/>
                <w:lang w:val="zh-CN"/>
              </w:rPr>
            </w:pPr>
            <w:r>
              <w:rPr>
                <w:rFonts w:hint="eastAsia" w:eastAsiaTheme="minorEastAsia" w:cstheme="minorBidi"/>
                <w:sz w:val="18"/>
                <w:szCs w:val="18"/>
                <w:lang w:val="zh-CN"/>
              </w:rPr>
              <w:t>全现浇剪力墙结构</w:t>
            </w:r>
          </w:p>
        </w:tc>
        <w:tc>
          <w:tcPr>
            <w:tcW w:w="2266" w:type="dxa"/>
            <w:gridSpan w:val="2"/>
            <w:vAlign w:val="center"/>
          </w:tcPr>
          <w:p w14:paraId="4ABF430F">
            <w:pPr>
              <w:ind w:firstLine="1" w:firstLineChars="0"/>
              <w:jc w:val="center"/>
              <w:rPr>
                <w:rFonts w:eastAsiaTheme="minorEastAsia" w:cstheme="minorBidi"/>
                <w:sz w:val="18"/>
                <w:szCs w:val="18"/>
                <w:lang w:val="zh-CN"/>
              </w:rPr>
            </w:pPr>
            <w:r>
              <w:rPr>
                <w:rFonts w:hint="eastAsia" w:eastAsiaTheme="minorEastAsia" w:cstheme="minorBidi"/>
                <w:sz w:val="18"/>
                <w:szCs w:val="18"/>
                <w:lang w:val="zh-CN"/>
              </w:rPr>
              <w:t>高度（</w:t>
            </w:r>
            <w:r>
              <w:rPr>
                <w:rFonts w:eastAsiaTheme="minorEastAsia" w:cstheme="minorBidi"/>
                <w:sz w:val="18"/>
                <w:szCs w:val="18"/>
                <w:lang w:val="zh-CN"/>
              </w:rPr>
              <w:t>m</w:t>
            </w:r>
            <w:r>
              <w:rPr>
                <w:rFonts w:hint="eastAsia" w:eastAsiaTheme="minorEastAsia" w:cstheme="minorBidi"/>
                <w:sz w:val="18"/>
                <w:szCs w:val="18"/>
                <w:lang w:val="zh-CN"/>
              </w:rPr>
              <w:t>）</w:t>
            </w:r>
          </w:p>
        </w:tc>
        <w:tc>
          <w:tcPr>
            <w:tcW w:w="1560" w:type="dxa"/>
            <w:vAlign w:val="center"/>
          </w:tcPr>
          <w:p w14:paraId="267C656D">
            <w:pPr>
              <w:ind w:firstLine="1" w:firstLineChars="0"/>
              <w:jc w:val="center"/>
              <w:rPr>
                <w:rFonts w:eastAsiaTheme="minorEastAsia" w:cstheme="minorBidi"/>
                <w:sz w:val="18"/>
                <w:szCs w:val="18"/>
                <w:lang w:val="zh-CN"/>
              </w:rPr>
            </w:pPr>
            <w:r>
              <w:rPr>
                <w:rFonts w:hint="eastAsia" w:eastAsiaTheme="minorEastAsia" w:cstheme="minorBidi"/>
                <w:sz w:val="18"/>
                <w:szCs w:val="18"/>
                <w:lang w:val="zh-CN"/>
              </w:rPr>
              <w:t>≤</w:t>
            </w:r>
            <w:r>
              <w:rPr>
                <w:rFonts w:eastAsiaTheme="minorEastAsia" w:cstheme="minorBidi"/>
                <w:sz w:val="18"/>
                <w:szCs w:val="18"/>
                <w:lang w:val="zh-CN"/>
              </w:rPr>
              <w:t>24</w:t>
            </w:r>
          </w:p>
        </w:tc>
        <w:tc>
          <w:tcPr>
            <w:tcW w:w="1591" w:type="dxa"/>
            <w:vAlign w:val="center"/>
          </w:tcPr>
          <w:p w14:paraId="0D4BCB4F">
            <w:pPr>
              <w:ind w:firstLine="1" w:firstLineChars="0"/>
              <w:jc w:val="center"/>
              <w:rPr>
                <w:rFonts w:eastAsiaTheme="minorEastAsia" w:cstheme="minorBidi"/>
                <w:sz w:val="18"/>
                <w:szCs w:val="18"/>
                <w:lang w:val="zh-CN"/>
              </w:rPr>
            </w:pPr>
            <w:r>
              <w:rPr>
                <w:rFonts w:hint="eastAsia" w:eastAsiaTheme="minorEastAsia" w:cstheme="minorBidi"/>
                <w:sz w:val="18"/>
                <w:szCs w:val="18"/>
                <w:lang w:val="zh-CN"/>
              </w:rPr>
              <w:t>＞</w:t>
            </w:r>
            <w:r>
              <w:rPr>
                <w:rFonts w:eastAsiaTheme="minorEastAsia" w:cstheme="minorBidi"/>
                <w:sz w:val="18"/>
                <w:szCs w:val="18"/>
                <w:lang w:val="zh-CN"/>
              </w:rPr>
              <w:t>24</w:t>
            </w:r>
            <w:r>
              <w:rPr>
                <w:rFonts w:hint="eastAsia" w:eastAsiaTheme="minorEastAsia" w:cstheme="minorBidi"/>
                <w:sz w:val="18"/>
                <w:szCs w:val="18"/>
                <w:lang w:val="zh-CN"/>
              </w:rPr>
              <w:t>且≤</w:t>
            </w:r>
            <w:r>
              <w:rPr>
                <w:rFonts w:eastAsiaTheme="minorEastAsia" w:cstheme="minorBidi"/>
                <w:sz w:val="18"/>
                <w:szCs w:val="18"/>
                <w:lang w:val="zh-CN"/>
              </w:rPr>
              <w:t>80</w:t>
            </w:r>
          </w:p>
        </w:tc>
        <w:tc>
          <w:tcPr>
            <w:tcW w:w="1559" w:type="dxa"/>
            <w:vAlign w:val="center"/>
          </w:tcPr>
          <w:p w14:paraId="2FC35ED5">
            <w:pPr>
              <w:ind w:firstLine="1" w:firstLineChars="0"/>
              <w:jc w:val="center"/>
              <w:rPr>
                <w:rFonts w:eastAsiaTheme="minorEastAsia" w:cstheme="minorBidi"/>
                <w:sz w:val="18"/>
                <w:szCs w:val="18"/>
                <w:lang w:val="zh-CN"/>
              </w:rPr>
            </w:pPr>
            <w:r>
              <w:rPr>
                <w:rFonts w:hint="eastAsia" w:eastAsiaTheme="minorEastAsia" w:cstheme="minorBidi"/>
                <w:sz w:val="18"/>
                <w:szCs w:val="18"/>
                <w:lang w:val="zh-CN"/>
              </w:rPr>
              <w:t>＞</w:t>
            </w:r>
            <w:r>
              <w:rPr>
                <w:rFonts w:eastAsiaTheme="minorEastAsia" w:cstheme="minorBidi"/>
                <w:sz w:val="18"/>
                <w:szCs w:val="18"/>
                <w:lang w:val="zh-CN"/>
              </w:rPr>
              <w:t>80</w:t>
            </w:r>
          </w:p>
        </w:tc>
      </w:tr>
      <w:tr w14:paraId="0F90B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953" w:type="dxa"/>
            <w:vMerge w:val="continue"/>
            <w:vAlign w:val="center"/>
          </w:tcPr>
          <w:p w14:paraId="7A3FC49B">
            <w:pPr>
              <w:ind w:firstLine="1" w:firstLineChars="0"/>
              <w:jc w:val="center"/>
              <w:rPr>
                <w:rFonts w:eastAsiaTheme="minorEastAsia" w:cstheme="minorBidi"/>
                <w:sz w:val="18"/>
                <w:szCs w:val="18"/>
                <w:lang w:val="zh-CN"/>
              </w:rPr>
            </w:pPr>
          </w:p>
        </w:tc>
        <w:tc>
          <w:tcPr>
            <w:tcW w:w="2266" w:type="dxa"/>
            <w:gridSpan w:val="2"/>
            <w:vAlign w:val="center"/>
          </w:tcPr>
          <w:p w14:paraId="7B665C3A">
            <w:pPr>
              <w:ind w:firstLine="1" w:firstLineChars="0"/>
              <w:jc w:val="center"/>
              <w:rPr>
                <w:rFonts w:eastAsiaTheme="minorEastAsia" w:cstheme="minorBidi"/>
                <w:sz w:val="18"/>
                <w:szCs w:val="18"/>
                <w:lang w:val="zh-CN"/>
              </w:rPr>
            </w:pPr>
            <w:r>
              <w:rPr>
                <w:rFonts w:hint="eastAsia" w:eastAsiaTheme="minorEastAsia" w:cstheme="minorBidi"/>
                <w:sz w:val="18"/>
                <w:szCs w:val="18"/>
                <w:lang w:val="zh-CN"/>
              </w:rPr>
              <w:t>剪力墙</w:t>
            </w:r>
          </w:p>
        </w:tc>
        <w:tc>
          <w:tcPr>
            <w:tcW w:w="1560" w:type="dxa"/>
            <w:vAlign w:val="center"/>
          </w:tcPr>
          <w:p w14:paraId="20ED08E5">
            <w:pPr>
              <w:ind w:firstLine="1" w:firstLineChars="0"/>
              <w:jc w:val="center"/>
              <w:rPr>
                <w:rFonts w:eastAsiaTheme="minorEastAsia" w:cstheme="minorBidi"/>
                <w:sz w:val="18"/>
                <w:szCs w:val="18"/>
                <w:lang w:val="zh-CN"/>
              </w:rPr>
            </w:pPr>
            <w:r>
              <w:rPr>
                <w:rFonts w:hint="eastAsia" w:eastAsiaTheme="minorEastAsia" w:cstheme="minorBidi"/>
                <w:sz w:val="18"/>
                <w:szCs w:val="18"/>
                <w:lang w:val="zh-CN"/>
              </w:rPr>
              <w:t>三</w:t>
            </w:r>
          </w:p>
        </w:tc>
        <w:tc>
          <w:tcPr>
            <w:tcW w:w="1591" w:type="dxa"/>
            <w:vAlign w:val="center"/>
          </w:tcPr>
          <w:p w14:paraId="407AFB5A">
            <w:pPr>
              <w:ind w:firstLine="1" w:firstLineChars="0"/>
              <w:jc w:val="center"/>
              <w:rPr>
                <w:rFonts w:eastAsiaTheme="minorEastAsia" w:cstheme="minorBidi"/>
                <w:sz w:val="18"/>
                <w:szCs w:val="18"/>
                <w:lang w:val="zh-CN"/>
              </w:rPr>
            </w:pPr>
            <w:r>
              <w:rPr>
                <w:rFonts w:hint="eastAsia" w:eastAsiaTheme="minorEastAsia" w:cstheme="minorBidi"/>
                <w:sz w:val="18"/>
                <w:szCs w:val="18"/>
                <w:lang w:val="zh-CN"/>
              </w:rPr>
              <w:t>二</w:t>
            </w:r>
          </w:p>
        </w:tc>
        <w:tc>
          <w:tcPr>
            <w:tcW w:w="1559" w:type="dxa"/>
            <w:vAlign w:val="center"/>
          </w:tcPr>
          <w:p w14:paraId="49099472">
            <w:pPr>
              <w:ind w:firstLine="1" w:firstLineChars="0"/>
              <w:jc w:val="center"/>
              <w:rPr>
                <w:rFonts w:eastAsiaTheme="minorEastAsia" w:cstheme="minorBidi"/>
                <w:sz w:val="18"/>
                <w:szCs w:val="18"/>
                <w:lang w:val="zh-CN"/>
              </w:rPr>
            </w:pPr>
            <w:r>
              <w:rPr>
                <w:rFonts w:hint="eastAsia" w:eastAsiaTheme="minorEastAsia" w:cstheme="minorBidi"/>
                <w:sz w:val="18"/>
                <w:szCs w:val="18"/>
                <w:lang w:val="zh-CN"/>
              </w:rPr>
              <w:t>一</w:t>
            </w:r>
          </w:p>
        </w:tc>
      </w:tr>
      <w:tr w14:paraId="598AF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953" w:type="dxa"/>
            <w:vMerge w:val="restart"/>
            <w:vAlign w:val="center"/>
          </w:tcPr>
          <w:p w14:paraId="3CD7DAAF">
            <w:pPr>
              <w:ind w:firstLine="1" w:firstLineChars="0"/>
              <w:jc w:val="center"/>
              <w:rPr>
                <w:rFonts w:eastAsiaTheme="minorEastAsia" w:cstheme="minorBidi"/>
                <w:sz w:val="18"/>
                <w:szCs w:val="18"/>
                <w:lang w:val="zh-CN"/>
              </w:rPr>
            </w:pPr>
            <w:r>
              <w:rPr>
                <w:rFonts w:hint="eastAsia" w:eastAsiaTheme="minorEastAsia" w:cstheme="minorBidi"/>
                <w:sz w:val="18"/>
                <w:szCs w:val="18"/>
                <w:lang w:val="zh-CN"/>
              </w:rPr>
              <w:t>部分框支剪力墙结构构</w:t>
            </w:r>
          </w:p>
        </w:tc>
        <w:tc>
          <w:tcPr>
            <w:tcW w:w="850" w:type="dxa"/>
            <w:vMerge w:val="restart"/>
            <w:vAlign w:val="center"/>
          </w:tcPr>
          <w:p w14:paraId="3FED37A0">
            <w:pPr>
              <w:ind w:firstLine="1" w:firstLineChars="0"/>
              <w:jc w:val="center"/>
              <w:rPr>
                <w:rFonts w:eastAsiaTheme="minorEastAsia" w:cstheme="minorBidi"/>
                <w:sz w:val="18"/>
                <w:szCs w:val="18"/>
                <w:lang w:val="zh-CN"/>
              </w:rPr>
            </w:pPr>
            <w:r>
              <w:rPr>
                <w:rFonts w:hint="eastAsia" w:eastAsiaTheme="minorEastAsia" w:cstheme="minorBidi"/>
                <w:sz w:val="18"/>
                <w:szCs w:val="18"/>
                <w:lang w:val="zh-CN"/>
              </w:rPr>
              <w:t>剪力墙</w:t>
            </w:r>
          </w:p>
        </w:tc>
        <w:tc>
          <w:tcPr>
            <w:tcW w:w="1416" w:type="dxa"/>
            <w:vAlign w:val="center"/>
          </w:tcPr>
          <w:p w14:paraId="0A7BDCFB">
            <w:pPr>
              <w:ind w:firstLine="1" w:firstLineChars="0"/>
              <w:jc w:val="center"/>
              <w:rPr>
                <w:rFonts w:eastAsiaTheme="minorEastAsia" w:cstheme="minorBidi"/>
                <w:sz w:val="18"/>
                <w:szCs w:val="18"/>
                <w:lang w:val="zh-CN"/>
              </w:rPr>
            </w:pPr>
            <w:r>
              <w:rPr>
                <w:rFonts w:hint="eastAsia" w:eastAsiaTheme="minorEastAsia" w:cstheme="minorBidi"/>
                <w:sz w:val="18"/>
                <w:szCs w:val="18"/>
                <w:lang w:val="zh-CN"/>
              </w:rPr>
              <w:t>一般部位</w:t>
            </w:r>
          </w:p>
        </w:tc>
        <w:tc>
          <w:tcPr>
            <w:tcW w:w="1560" w:type="dxa"/>
            <w:vAlign w:val="center"/>
          </w:tcPr>
          <w:p w14:paraId="4CD93338">
            <w:pPr>
              <w:ind w:firstLine="1" w:firstLineChars="0"/>
              <w:jc w:val="center"/>
              <w:rPr>
                <w:rFonts w:eastAsiaTheme="minorEastAsia" w:cstheme="minorBidi"/>
                <w:sz w:val="18"/>
                <w:szCs w:val="18"/>
                <w:lang w:val="zh-CN"/>
              </w:rPr>
            </w:pPr>
            <w:r>
              <w:rPr>
                <w:rFonts w:hint="eastAsia" w:eastAsiaTheme="minorEastAsia" w:cstheme="minorBidi"/>
                <w:sz w:val="18"/>
                <w:szCs w:val="18"/>
                <w:lang w:val="zh-CN"/>
              </w:rPr>
              <w:t>三</w:t>
            </w:r>
          </w:p>
        </w:tc>
        <w:tc>
          <w:tcPr>
            <w:tcW w:w="1591" w:type="dxa"/>
            <w:vAlign w:val="center"/>
          </w:tcPr>
          <w:p w14:paraId="438EC15D">
            <w:pPr>
              <w:ind w:firstLine="1" w:firstLineChars="0"/>
              <w:jc w:val="center"/>
              <w:rPr>
                <w:rFonts w:eastAsiaTheme="minorEastAsia" w:cstheme="minorBidi"/>
                <w:sz w:val="18"/>
                <w:szCs w:val="18"/>
                <w:lang w:val="zh-CN"/>
              </w:rPr>
            </w:pPr>
            <w:r>
              <w:rPr>
                <w:rFonts w:hint="eastAsia" w:eastAsiaTheme="minorEastAsia" w:cstheme="minorBidi"/>
                <w:sz w:val="18"/>
                <w:szCs w:val="18"/>
                <w:lang w:val="zh-CN"/>
              </w:rPr>
              <w:t>二</w:t>
            </w:r>
          </w:p>
        </w:tc>
        <w:tc>
          <w:tcPr>
            <w:tcW w:w="1559" w:type="dxa"/>
            <w:tcBorders>
              <w:tr2bl w:val="single" w:color="auto" w:sz="4" w:space="0"/>
            </w:tcBorders>
            <w:vAlign w:val="center"/>
          </w:tcPr>
          <w:p w14:paraId="569CD457">
            <w:pPr>
              <w:ind w:firstLine="1" w:firstLineChars="0"/>
              <w:jc w:val="center"/>
              <w:rPr>
                <w:rFonts w:eastAsiaTheme="minorEastAsia" w:cstheme="minorBidi"/>
                <w:sz w:val="18"/>
                <w:szCs w:val="18"/>
              </w:rPr>
            </w:pPr>
            <w:r>
              <w:rPr>
                <w:rFonts w:eastAsiaTheme="minorEastAsia" w:cstheme="minorBidi"/>
                <w:sz w:val="18"/>
                <w:szCs w:val="18"/>
              </w:rPr>
              <w:t xml:space="preserve">      </w:t>
            </w:r>
          </w:p>
        </w:tc>
      </w:tr>
      <w:tr w14:paraId="1E63C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953" w:type="dxa"/>
            <w:vMerge w:val="continue"/>
            <w:vAlign w:val="center"/>
          </w:tcPr>
          <w:p w14:paraId="438CD32D">
            <w:pPr>
              <w:ind w:firstLine="1" w:firstLineChars="0"/>
              <w:jc w:val="center"/>
              <w:rPr>
                <w:rFonts w:eastAsiaTheme="minorEastAsia" w:cstheme="minorBidi"/>
                <w:sz w:val="18"/>
                <w:szCs w:val="18"/>
                <w:lang w:val="zh-CN"/>
              </w:rPr>
            </w:pPr>
          </w:p>
        </w:tc>
        <w:tc>
          <w:tcPr>
            <w:tcW w:w="850" w:type="dxa"/>
            <w:vMerge w:val="continue"/>
            <w:vAlign w:val="center"/>
          </w:tcPr>
          <w:p w14:paraId="0C8E4B41">
            <w:pPr>
              <w:ind w:firstLine="1" w:firstLineChars="0"/>
              <w:jc w:val="center"/>
              <w:rPr>
                <w:rFonts w:eastAsiaTheme="minorEastAsia" w:cstheme="minorBidi"/>
                <w:sz w:val="18"/>
                <w:szCs w:val="18"/>
                <w:lang w:val="zh-CN"/>
              </w:rPr>
            </w:pPr>
          </w:p>
        </w:tc>
        <w:tc>
          <w:tcPr>
            <w:tcW w:w="1416" w:type="dxa"/>
            <w:vAlign w:val="center"/>
          </w:tcPr>
          <w:p w14:paraId="49E9B14A">
            <w:pPr>
              <w:ind w:firstLine="1" w:firstLineChars="0"/>
              <w:jc w:val="center"/>
              <w:rPr>
                <w:rFonts w:eastAsiaTheme="minorEastAsia" w:cstheme="minorBidi"/>
                <w:sz w:val="18"/>
                <w:szCs w:val="18"/>
                <w:lang w:val="zh-CN"/>
              </w:rPr>
            </w:pPr>
            <w:r>
              <w:rPr>
                <w:rFonts w:hint="eastAsia" w:eastAsiaTheme="minorEastAsia" w:cstheme="minorBidi"/>
                <w:sz w:val="18"/>
                <w:szCs w:val="18"/>
                <w:lang w:val="zh-CN"/>
              </w:rPr>
              <w:t>底部加强部位</w:t>
            </w:r>
          </w:p>
        </w:tc>
        <w:tc>
          <w:tcPr>
            <w:tcW w:w="1560" w:type="dxa"/>
            <w:vAlign w:val="center"/>
          </w:tcPr>
          <w:p w14:paraId="254331F6">
            <w:pPr>
              <w:ind w:firstLine="1" w:firstLineChars="0"/>
              <w:jc w:val="center"/>
              <w:rPr>
                <w:rFonts w:eastAsiaTheme="minorEastAsia" w:cstheme="minorBidi"/>
                <w:sz w:val="18"/>
                <w:szCs w:val="18"/>
                <w:lang w:val="zh-CN"/>
              </w:rPr>
            </w:pPr>
            <w:r>
              <w:rPr>
                <w:rFonts w:hint="eastAsia" w:eastAsiaTheme="minorEastAsia" w:cstheme="minorBidi"/>
                <w:sz w:val="18"/>
                <w:szCs w:val="18"/>
                <w:lang w:val="zh-CN"/>
              </w:rPr>
              <w:t>二</w:t>
            </w:r>
          </w:p>
        </w:tc>
        <w:tc>
          <w:tcPr>
            <w:tcW w:w="1591" w:type="dxa"/>
            <w:vAlign w:val="center"/>
          </w:tcPr>
          <w:p w14:paraId="1DE0682F">
            <w:pPr>
              <w:ind w:firstLine="1" w:firstLineChars="0"/>
              <w:jc w:val="center"/>
              <w:rPr>
                <w:rFonts w:eastAsiaTheme="minorEastAsia" w:cstheme="minorBidi"/>
                <w:sz w:val="18"/>
                <w:szCs w:val="18"/>
                <w:lang w:val="zh-CN"/>
              </w:rPr>
            </w:pPr>
            <w:r>
              <w:rPr>
                <w:rFonts w:hint="eastAsia" w:eastAsiaTheme="minorEastAsia" w:cstheme="minorBidi"/>
                <w:sz w:val="18"/>
                <w:szCs w:val="18"/>
                <w:lang w:val="zh-CN"/>
              </w:rPr>
              <w:t>一</w:t>
            </w:r>
          </w:p>
        </w:tc>
        <w:tc>
          <w:tcPr>
            <w:tcW w:w="1559" w:type="dxa"/>
            <w:tcBorders>
              <w:tr2bl w:val="single" w:color="auto" w:sz="4" w:space="0"/>
            </w:tcBorders>
            <w:vAlign w:val="center"/>
          </w:tcPr>
          <w:p w14:paraId="4509A74B">
            <w:pPr>
              <w:ind w:firstLine="1" w:firstLineChars="0"/>
              <w:jc w:val="center"/>
              <w:rPr>
                <w:rFonts w:eastAsiaTheme="minorEastAsia" w:cstheme="minorBidi"/>
                <w:sz w:val="18"/>
                <w:szCs w:val="18"/>
                <w:lang w:val="zh-CN"/>
              </w:rPr>
            </w:pPr>
          </w:p>
        </w:tc>
      </w:tr>
      <w:tr w14:paraId="74CC3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953" w:type="dxa"/>
            <w:vMerge w:val="continue"/>
            <w:vAlign w:val="center"/>
          </w:tcPr>
          <w:p w14:paraId="750B0CCC">
            <w:pPr>
              <w:ind w:firstLine="1" w:firstLineChars="0"/>
              <w:jc w:val="center"/>
              <w:rPr>
                <w:rFonts w:eastAsiaTheme="minorEastAsia" w:cstheme="minorBidi"/>
                <w:sz w:val="18"/>
                <w:szCs w:val="18"/>
                <w:lang w:val="zh-CN"/>
              </w:rPr>
            </w:pPr>
          </w:p>
        </w:tc>
        <w:tc>
          <w:tcPr>
            <w:tcW w:w="2266" w:type="dxa"/>
            <w:gridSpan w:val="2"/>
            <w:vAlign w:val="center"/>
          </w:tcPr>
          <w:p w14:paraId="43F6ECF7">
            <w:pPr>
              <w:ind w:firstLine="1" w:firstLineChars="0"/>
              <w:jc w:val="center"/>
              <w:rPr>
                <w:rFonts w:eastAsiaTheme="minorEastAsia" w:cstheme="minorBidi"/>
                <w:sz w:val="18"/>
                <w:szCs w:val="18"/>
                <w:lang w:val="zh-CN"/>
              </w:rPr>
            </w:pPr>
            <w:r>
              <w:rPr>
                <w:rFonts w:hint="eastAsia" w:eastAsiaTheme="minorEastAsia" w:cstheme="minorBidi"/>
                <w:sz w:val="18"/>
                <w:szCs w:val="18"/>
                <w:lang w:val="zh-CN"/>
              </w:rPr>
              <w:t>框支层框架</w:t>
            </w:r>
          </w:p>
        </w:tc>
        <w:tc>
          <w:tcPr>
            <w:tcW w:w="1560" w:type="dxa"/>
            <w:vAlign w:val="center"/>
          </w:tcPr>
          <w:p w14:paraId="72ED8722">
            <w:pPr>
              <w:ind w:firstLine="1" w:firstLineChars="0"/>
              <w:jc w:val="center"/>
              <w:rPr>
                <w:rFonts w:eastAsiaTheme="minorEastAsia" w:cstheme="minorBidi"/>
                <w:sz w:val="18"/>
                <w:szCs w:val="18"/>
                <w:lang w:val="zh-CN"/>
              </w:rPr>
            </w:pPr>
            <w:r>
              <w:rPr>
                <w:rFonts w:hint="eastAsia" w:eastAsiaTheme="minorEastAsia" w:cstheme="minorBidi"/>
                <w:sz w:val="18"/>
                <w:szCs w:val="18"/>
                <w:lang w:val="zh-CN"/>
              </w:rPr>
              <w:t>一</w:t>
            </w:r>
          </w:p>
        </w:tc>
        <w:tc>
          <w:tcPr>
            <w:tcW w:w="1591" w:type="dxa"/>
            <w:vAlign w:val="center"/>
          </w:tcPr>
          <w:p w14:paraId="1D662787">
            <w:pPr>
              <w:ind w:firstLine="1" w:firstLineChars="0"/>
              <w:jc w:val="center"/>
              <w:rPr>
                <w:rFonts w:eastAsiaTheme="minorEastAsia" w:cstheme="minorBidi"/>
                <w:sz w:val="18"/>
                <w:szCs w:val="18"/>
                <w:lang w:val="zh-CN"/>
              </w:rPr>
            </w:pPr>
            <w:r>
              <w:rPr>
                <w:rFonts w:hint="eastAsia" w:eastAsiaTheme="minorEastAsia" w:cstheme="minorBidi"/>
                <w:sz w:val="18"/>
                <w:szCs w:val="18"/>
                <w:lang w:val="zh-CN"/>
              </w:rPr>
              <w:t>一</w:t>
            </w:r>
          </w:p>
        </w:tc>
        <w:tc>
          <w:tcPr>
            <w:tcW w:w="1559" w:type="dxa"/>
            <w:tcBorders>
              <w:tr2bl w:val="single" w:color="auto" w:sz="4" w:space="0"/>
            </w:tcBorders>
            <w:vAlign w:val="center"/>
          </w:tcPr>
          <w:p w14:paraId="73072967">
            <w:pPr>
              <w:ind w:firstLine="360"/>
              <w:jc w:val="center"/>
              <w:rPr>
                <w:rFonts w:eastAsiaTheme="minorEastAsia" w:cstheme="minorBidi"/>
                <w:sz w:val="18"/>
                <w:szCs w:val="18"/>
                <w:lang w:val="zh-CN"/>
              </w:rPr>
            </w:pPr>
          </w:p>
        </w:tc>
      </w:tr>
      <w:tr w14:paraId="4A4DE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953" w:type="dxa"/>
            <w:vMerge w:val="restart"/>
            <w:vAlign w:val="center"/>
          </w:tcPr>
          <w:p w14:paraId="59C97845">
            <w:pPr>
              <w:ind w:firstLine="1" w:firstLineChars="0"/>
              <w:jc w:val="center"/>
              <w:rPr>
                <w:rFonts w:eastAsiaTheme="minorEastAsia" w:cstheme="minorBidi"/>
                <w:sz w:val="18"/>
                <w:szCs w:val="18"/>
                <w:lang w:val="zh-CN"/>
              </w:rPr>
            </w:pPr>
            <w:r>
              <w:rPr>
                <w:rFonts w:hint="eastAsia" w:eastAsiaTheme="minorEastAsia" w:cstheme="minorBidi"/>
                <w:sz w:val="18"/>
                <w:szCs w:val="18"/>
                <w:lang w:val="zh-CN"/>
              </w:rPr>
              <w:t>装配</w:t>
            </w:r>
            <w:r>
              <w:rPr>
                <w:rFonts w:hint="eastAsia" w:eastAsiaTheme="minorEastAsia" w:cstheme="minorBidi"/>
                <w:sz w:val="18"/>
                <w:szCs w:val="18"/>
              </w:rPr>
              <w:t>整体</w:t>
            </w:r>
            <w:r>
              <w:rPr>
                <w:rFonts w:hint="eastAsia" w:eastAsiaTheme="minorEastAsia" w:cstheme="minorBidi"/>
                <w:sz w:val="18"/>
                <w:szCs w:val="18"/>
                <w:lang w:val="zh-CN"/>
              </w:rPr>
              <w:t>式剪力墙结构</w:t>
            </w:r>
          </w:p>
        </w:tc>
        <w:tc>
          <w:tcPr>
            <w:tcW w:w="2266" w:type="dxa"/>
            <w:gridSpan w:val="2"/>
            <w:vAlign w:val="center"/>
          </w:tcPr>
          <w:p w14:paraId="2117CE01">
            <w:pPr>
              <w:ind w:firstLine="90" w:firstLineChars="50"/>
              <w:jc w:val="center"/>
              <w:rPr>
                <w:rFonts w:eastAsiaTheme="minorEastAsia" w:cstheme="minorBidi"/>
                <w:sz w:val="18"/>
                <w:szCs w:val="18"/>
                <w:lang w:val="zh-CN"/>
              </w:rPr>
            </w:pPr>
            <w:r>
              <w:rPr>
                <w:rFonts w:hint="eastAsia" w:eastAsiaTheme="minorEastAsia" w:cstheme="minorBidi"/>
                <w:sz w:val="18"/>
                <w:szCs w:val="18"/>
                <w:lang w:val="zh-CN"/>
              </w:rPr>
              <w:t>高度（</w:t>
            </w:r>
            <w:r>
              <w:rPr>
                <w:rFonts w:eastAsiaTheme="minorEastAsia" w:cstheme="minorBidi"/>
                <w:sz w:val="18"/>
                <w:szCs w:val="18"/>
                <w:lang w:val="zh-CN"/>
              </w:rPr>
              <w:t>m</w:t>
            </w:r>
            <w:r>
              <w:rPr>
                <w:rFonts w:hint="eastAsia" w:eastAsiaTheme="minorEastAsia" w:cstheme="minorBidi"/>
                <w:sz w:val="18"/>
                <w:szCs w:val="18"/>
                <w:lang w:val="zh-CN"/>
              </w:rPr>
              <w:t>）</w:t>
            </w:r>
          </w:p>
        </w:tc>
        <w:tc>
          <w:tcPr>
            <w:tcW w:w="1560" w:type="dxa"/>
            <w:vAlign w:val="center"/>
          </w:tcPr>
          <w:p w14:paraId="2946B529">
            <w:pPr>
              <w:ind w:firstLine="1" w:firstLineChars="0"/>
              <w:jc w:val="center"/>
              <w:rPr>
                <w:rFonts w:eastAsiaTheme="minorEastAsia" w:cstheme="minorBidi"/>
                <w:sz w:val="18"/>
                <w:szCs w:val="18"/>
                <w:lang w:val="zh-CN"/>
              </w:rPr>
            </w:pPr>
            <w:r>
              <w:rPr>
                <w:rFonts w:hint="eastAsia" w:eastAsiaTheme="minorEastAsia" w:cstheme="minorBidi"/>
                <w:sz w:val="18"/>
                <w:szCs w:val="18"/>
                <w:lang w:val="zh-CN"/>
              </w:rPr>
              <w:t>≤</w:t>
            </w:r>
            <w:r>
              <w:rPr>
                <w:rFonts w:eastAsiaTheme="minorEastAsia" w:cstheme="minorBidi"/>
                <w:sz w:val="18"/>
                <w:szCs w:val="18"/>
                <w:lang w:val="zh-CN"/>
              </w:rPr>
              <w:t>24</w:t>
            </w:r>
          </w:p>
        </w:tc>
        <w:tc>
          <w:tcPr>
            <w:tcW w:w="1591" w:type="dxa"/>
            <w:vAlign w:val="center"/>
          </w:tcPr>
          <w:p w14:paraId="18A0B399">
            <w:pPr>
              <w:ind w:firstLine="1" w:firstLineChars="0"/>
              <w:jc w:val="center"/>
              <w:rPr>
                <w:rFonts w:eastAsiaTheme="minorEastAsia" w:cstheme="minorBidi"/>
                <w:sz w:val="18"/>
                <w:szCs w:val="18"/>
                <w:lang w:val="zh-CN"/>
              </w:rPr>
            </w:pPr>
            <w:r>
              <w:rPr>
                <w:rFonts w:hint="eastAsia" w:eastAsiaTheme="minorEastAsia" w:cstheme="minorBidi"/>
                <w:sz w:val="18"/>
                <w:szCs w:val="18"/>
                <w:lang w:val="zh-CN"/>
              </w:rPr>
              <w:t>＞</w:t>
            </w:r>
            <w:r>
              <w:rPr>
                <w:rFonts w:eastAsiaTheme="minorEastAsia" w:cstheme="minorBidi"/>
                <w:sz w:val="18"/>
                <w:szCs w:val="18"/>
                <w:lang w:val="zh-CN"/>
              </w:rPr>
              <w:t>24</w:t>
            </w:r>
            <w:r>
              <w:rPr>
                <w:rFonts w:hint="eastAsia" w:eastAsiaTheme="minorEastAsia" w:cstheme="minorBidi"/>
                <w:sz w:val="18"/>
                <w:szCs w:val="18"/>
                <w:lang w:val="zh-CN"/>
              </w:rPr>
              <w:t>且≤</w:t>
            </w:r>
            <w:r>
              <w:rPr>
                <w:rFonts w:eastAsiaTheme="minorEastAsia" w:cstheme="minorBidi"/>
                <w:sz w:val="18"/>
                <w:szCs w:val="18"/>
                <w:lang w:val="zh-CN"/>
              </w:rPr>
              <w:t>70</w:t>
            </w:r>
          </w:p>
        </w:tc>
        <w:tc>
          <w:tcPr>
            <w:tcW w:w="1559" w:type="dxa"/>
            <w:vAlign w:val="center"/>
          </w:tcPr>
          <w:p w14:paraId="6816B5EB">
            <w:pPr>
              <w:ind w:firstLine="1" w:firstLineChars="0"/>
              <w:jc w:val="center"/>
              <w:rPr>
                <w:rFonts w:eastAsiaTheme="minorEastAsia" w:cstheme="minorBidi"/>
                <w:sz w:val="18"/>
                <w:szCs w:val="18"/>
                <w:lang w:val="zh-CN"/>
              </w:rPr>
            </w:pPr>
            <w:r>
              <w:rPr>
                <w:rFonts w:hint="eastAsia" w:eastAsiaTheme="minorEastAsia" w:cstheme="minorBidi"/>
                <w:sz w:val="18"/>
                <w:szCs w:val="18"/>
                <w:lang w:val="zh-CN"/>
              </w:rPr>
              <w:t>＞</w:t>
            </w:r>
            <w:r>
              <w:rPr>
                <w:rFonts w:eastAsiaTheme="minorEastAsia" w:cstheme="minorBidi"/>
                <w:sz w:val="18"/>
                <w:szCs w:val="18"/>
                <w:lang w:val="zh-CN"/>
              </w:rPr>
              <w:t>70</w:t>
            </w:r>
          </w:p>
        </w:tc>
      </w:tr>
      <w:tr w14:paraId="7D051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953" w:type="dxa"/>
            <w:vMerge w:val="continue"/>
            <w:vAlign w:val="center"/>
          </w:tcPr>
          <w:p w14:paraId="28C5196D">
            <w:pPr>
              <w:ind w:firstLine="1" w:firstLineChars="0"/>
              <w:jc w:val="center"/>
              <w:rPr>
                <w:rFonts w:eastAsiaTheme="minorEastAsia" w:cstheme="minorBidi"/>
                <w:sz w:val="18"/>
                <w:szCs w:val="18"/>
                <w:lang w:val="zh-CN"/>
              </w:rPr>
            </w:pPr>
          </w:p>
        </w:tc>
        <w:tc>
          <w:tcPr>
            <w:tcW w:w="2266" w:type="dxa"/>
            <w:gridSpan w:val="2"/>
            <w:vAlign w:val="center"/>
          </w:tcPr>
          <w:p w14:paraId="2C6D3168">
            <w:pPr>
              <w:ind w:firstLine="1" w:firstLineChars="0"/>
              <w:jc w:val="center"/>
              <w:rPr>
                <w:rFonts w:eastAsiaTheme="minorEastAsia" w:cstheme="minorBidi"/>
                <w:sz w:val="18"/>
                <w:szCs w:val="18"/>
                <w:lang w:val="zh-CN"/>
              </w:rPr>
            </w:pPr>
            <w:r>
              <w:rPr>
                <w:rFonts w:hint="eastAsia" w:eastAsiaTheme="minorEastAsia" w:cstheme="minorBidi"/>
                <w:sz w:val="18"/>
                <w:szCs w:val="18"/>
              </w:rPr>
              <w:t>剪力墙</w:t>
            </w:r>
          </w:p>
        </w:tc>
        <w:tc>
          <w:tcPr>
            <w:tcW w:w="1560" w:type="dxa"/>
            <w:vAlign w:val="center"/>
          </w:tcPr>
          <w:p w14:paraId="740D2F35">
            <w:pPr>
              <w:ind w:firstLine="1" w:firstLineChars="0"/>
              <w:jc w:val="center"/>
              <w:rPr>
                <w:rFonts w:eastAsiaTheme="minorEastAsia" w:cstheme="minorBidi"/>
                <w:sz w:val="18"/>
                <w:szCs w:val="18"/>
                <w:lang w:val="zh-CN"/>
              </w:rPr>
            </w:pPr>
            <w:r>
              <w:rPr>
                <w:rFonts w:hint="eastAsia" w:eastAsiaTheme="minorEastAsia" w:cstheme="minorBidi"/>
                <w:sz w:val="18"/>
                <w:szCs w:val="18"/>
              </w:rPr>
              <w:t>三</w:t>
            </w:r>
          </w:p>
        </w:tc>
        <w:tc>
          <w:tcPr>
            <w:tcW w:w="1591" w:type="dxa"/>
            <w:vAlign w:val="center"/>
          </w:tcPr>
          <w:p w14:paraId="38D8E895">
            <w:pPr>
              <w:ind w:firstLine="1" w:firstLineChars="0"/>
              <w:jc w:val="center"/>
              <w:rPr>
                <w:rFonts w:eastAsiaTheme="minorEastAsia" w:cstheme="minorBidi"/>
                <w:sz w:val="18"/>
                <w:szCs w:val="18"/>
                <w:lang w:val="zh-CN"/>
              </w:rPr>
            </w:pPr>
            <w:r>
              <w:rPr>
                <w:rFonts w:hint="eastAsia" w:eastAsiaTheme="minorEastAsia" w:cstheme="minorBidi"/>
                <w:sz w:val="18"/>
                <w:szCs w:val="18"/>
              </w:rPr>
              <w:t>二</w:t>
            </w:r>
          </w:p>
        </w:tc>
        <w:tc>
          <w:tcPr>
            <w:tcW w:w="1559" w:type="dxa"/>
            <w:vAlign w:val="center"/>
          </w:tcPr>
          <w:p w14:paraId="745F7E5B">
            <w:pPr>
              <w:ind w:firstLine="480"/>
              <w:rPr>
                <w:rFonts w:eastAsiaTheme="minorEastAsia" w:cstheme="minorBidi"/>
              </w:rPr>
            </w:pPr>
          </w:p>
          <w:p w14:paraId="0E7F6E49">
            <w:pPr>
              <w:snapToGrid w:val="0"/>
              <w:spacing w:line="240" w:lineRule="auto"/>
              <w:ind w:firstLine="1" w:firstLineChars="0"/>
              <w:jc w:val="center"/>
              <w:rPr>
                <w:rFonts w:eastAsiaTheme="minorEastAsia" w:cstheme="minorBidi"/>
                <w:sz w:val="18"/>
                <w:szCs w:val="18"/>
              </w:rPr>
            </w:pPr>
          </w:p>
          <w:p w14:paraId="49B6987F">
            <w:pPr>
              <w:ind w:firstLine="1" w:firstLineChars="0"/>
              <w:jc w:val="center"/>
              <w:rPr>
                <w:rFonts w:eastAsiaTheme="minorEastAsia" w:cstheme="minorBidi"/>
                <w:sz w:val="18"/>
                <w:szCs w:val="18"/>
              </w:rPr>
            </w:pPr>
          </w:p>
        </w:tc>
      </w:tr>
      <w:tr w14:paraId="279C1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953" w:type="dxa"/>
            <w:vMerge w:val="restart"/>
            <w:vAlign w:val="center"/>
          </w:tcPr>
          <w:p w14:paraId="48A57346">
            <w:pPr>
              <w:ind w:firstLine="1" w:firstLineChars="0"/>
              <w:jc w:val="center"/>
              <w:rPr>
                <w:rFonts w:eastAsiaTheme="minorEastAsia" w:cstheme="minorBidi"/>
                <w:sz w:val="18"/>
                <w:szCs w:val="18"/>
                <w:lang w:val="zh-CN"/>
              </w:rPr>
            </w:pPr>
            <w:r>
              <w:rPr>
                <w:rFonts w:hint="eastAsia" w:eastAsiaTheme="minorEastAsia" w:cstheme="minorBidi"/>
                <w:sz w:val="18"/>
                <w:szCs w:val="18"/>
                <w:lang w:val="zh-CN"/>
              </w:rPr>
              <w:t>装配</w:t>
            </w:r>
            <w:r>
              <w:rPr>
                <w:rFonts w:hint="eastAsia" w:eastAsiaTheme="minorEastAsia" w:cstheme="minorBidi"/>
                <w:sz w:val="18"/>
                <w:szCs w:val="18"/>
              </w:rPr>
              <w:t>整体</w:t>
            </w:r>
            <w:r>
              <w:rPr>
                <w:rFonts w:hint="eastAsia" w:eastAsiaTheme="minorEastAsia" w:cstheme="minorBidi"/>
                <w:sz w:val="18"/>
                <w:szCs w:val="18"/>
                <w:lang w:val="zh-CN"/>
              </w:rPr>
              <w:t>式部分框支剪力墙结构</w:t>
            </w:r>
          </w:p>
        </w:tc>
        <w:tc>
          <w:tcPr>
            <w:tcW w:w="850" w:type="dxa"/>
            <w:vMerge w:val="restart"/>
            <w:vAlign w:val="center"/>
          </w:tcPr>
          <w:p w14:paraId="0E44319B">
            <w:pPr>
              <w:ind w:firstLine="1" w:firstLineChars="0"/>
              <w:jc w:val="center"/>
              <w:rPr>
                <w:rFonts w:eastAsiaTheme="minorEastAsia" w:cstheme="minorBidi"/>
                <w:sz w:val="18"/>
                <w:szCs w:val="18"/>
                <w:lang w:val="zh-CN"/>
              </w:rPr>
            </w:pPr>
            <w:r>
              <w:rPr>
                <w:rFonts w:hint="eastAsia" w:eastAsiaTheme="minorEastAsia" w:cstheme="minorBidi"/>
                <w:sz w:val="18"/>
                <w:szCs w:val="18"/>
                <w:lang w:val="zh-CN"/>
              </w:rPr>
              <w:t>剪力墙</w:t>
            </w:r>
          </w:p>
        </w:tc>
        <w:tc>
          <w:tcPr>
            <w:tcW w:w="1416" w:type="dxa"/>
            <w:vAlign w:val="center"/>
          </w:tcPr>
          <w:p w14:paraId="692FAD5F">
            <w:pPr>
              <w:ind w:firstLine="1" w:firstLineChars="0"/>
              <w:jc w:val="center"/>
              <w:rPr>
                <w:rFonts w:eastAsiaTheme="minorEastAsia" w:cstheme="minorBidi"/>
                <w:sz w:val="18"/>
                <w:szCs w:val="18"/>
                <w:lang w:val="zh-CN"/>
              </w:rPr>
            </w:pPr>
            <w:r>
              <w:rPr>
                <w:rFonts w:hint="eastAsia" w:eastAsiaTheme="minorEastAsia" w:cstheme="minorBidi"/>
                <w:sz w:val="18"/>
                <w:szCs w:val="18"/>
                <w:lang w:val="zh-CN"/>
              </w:rPr>
              <w:t>一般部位</w:t>
            </w:r>
          </w:p>
        </w:tc>
        <w:tc>
          <w:tcPr>
            <w:tcW w:w="1560" w:type="dxa"/>
            <w:vAlign w:val="center"/>
          </w:tcPr>
          <w:p w14:paraId="651AF9D7">
            <w:pPr>
              <w:ind w:firstLine="1" w:firstLineChars="0"/>
              <w:jc w:val="center"/>
              <w:rPr>
                <w:rFonts w:eastAsiaTheme="minorEastAsia" w:cstheme="minorBidi"/>
                <w:sz w:val="18"/>
                <w:szCs w:val="18"/>
                <w:lang w:val="zh-CN"/>
              </w:rPr>
            </w:pPr>
            <w:r>
              <w:rPr>
                <w:rFonts w:hint="eastAsia" w:eastAsiaTheme="minorEastAsia" w:cstheme="minorBidi"/>
                <w:sz w:val="18"/>
                <w:szCs w:val="18"/>
                <w:lang w:val="zh-CN"/>
              </w:rPr>
              <w:t>三</w:t>
            </w:r>
          </w:p>
        </w:tc>
        <w:tc>
          <w:tcPr>
            <w:tcW w:w="1591" w:type="dxa"/>
            <w:vAlign w:val="center"/>
          </w:tcPr>
          <w:p w14:paraId="56EF8F43">
            <w:pPr>
              <w:ind w:firstLine="1" w:firstLineChars="0"/>
              <w:jc w:val="center"/>
              <w:rPr>
                <w:rFonts w:eastAsiaTheme="minorEastAsia" w:cstheme="minorBidi"/>
                <w:sz w:val="18"/>
                <w:szCs w:val="18"/>
                <w:lang w:val="zh-CN"/>
              </w:rPr>
            </w:pPr>
            <w:r>
              <w:rPr>
                <w:rFonts w:hint="eastAsia" w:eastAsiaTheme="minorEastAsia" w:cstheme="minorBidi"/>
                <w:sz w:val="18"/>
                <w:szCs w:val="18"/>
                <w:lang w:val="zh-CN"/>
              </w:rPr>
              <w:t>二</w:t>
            </w:r>
          </w:p>
        </w:tc>
        <w:tc>
          <w:tcPr>
            <w:tcW w:w="1559" w:type="dxa"/>
            <w:tcBorders>
              <w:tr2bl w:val="single" w:color="auto" w:sz="4" w:space="0"/>
            </w:tcBorders>
            <w:vAlign w:val="center"/>
          </w:tcPr>
          <w:p w14:paraId="3F57D53B">
            <w:pPr>
              <w:ind w:firstLine="360"/>
              <w:jc w:val="center"/>
              <w:rPr>
                <w:rFonts w:eastAsiaTheme="minorEastAsia" w:cstheme="minorBidi"/>
                <w:sz w:val="18"/>
                <w:szCs w:val="18"/>
                <w:lang w:val="zh-CN"/>
              </w:rPr>
            </w:pPr>
          </w:p>
        </w:tc>
      </w:tr>
      <w:tr w14:paraId="49669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953" w:type="dxa"/>
            <w:vMerge w:val="continue"/>
            <w:vAlign w:val="center"/>
          </w:tcPr>
          <w:p w14:paraId="29D4B4D6">
            <w:pPr>
              <w:ind w:firstLine="1" w:firstLineChars="0"/>
              <w:jc w:val="center"/>
              <w:rPr>
                <w:rFonts w:eastAsiaTheme="minorEastAsia" w:cstheme="minorBidi"/>
                <w:sz w:val="18"/>
                <w:szCs w:val="18"/>
                <w:lang w:val="zh-CN"/>
              </w:rPr>
            </w:pPr>
          </w:p>
        </w:tc>
        <w:tc>
          <w:tcPr>
            <w:tcW w:w="850" w:type="dxa"/>
            <w:vMerge w:val="continue"/>
            <w:vAlign w:val="center"/>
          </w:tcPr>
          <w:p w14:paraId="602A3A3A">
            <w:pPr>
              <w:ind w:firstLine="360"/>
              <w:jc w:val="center"/>
              <w:rPr>
                <w:rFonts w:eastAsiaTheme="minorEastAsia" w:cstheme="minorBidi"/>
                <w:sz w:val="18"/>
                <w:szCs w:val="18"/>
                <w:lang w:val="zh-CN"/>
              </w:rPr>
            </w:pPr>
          </w:p>
        </w:tc>
        <w:tc>
          <w:tcPr>
            <w:tcW w:w="1416" w:type="dxa"/>
            <w:vAlign w:val="center"/>
          </w:tcPr>
          <w:p w14:paraId="4F089DA8">
            <w:pPr>
              <w:ind w:firstLine="1" w:firstLineChars="0"/>
              <w:jc w:val="center"/>
              <w:rPr>
                <w:rFonts w:eastAsiaTheme="minorEastAsia" w:cstheme="minorBidi"/>
                <w:sz w:val="18"/>
                <w:szCs w:val="18"/>
                <w:lang w:val="zh-CN"/>
              </w:rPr>
            </w:pPr>
            <w:r>
              <w:rPr>
                <w:rFonts w:hint="eastAsia" w:eastAsiaTheme="minorEastAsia" w:cstheme="minorBidi"/>
                <w:sz w:val="18"/>
                <w:szCs w:val="18"/>
                <w:lang w:val="zh-CN"/>
              </w:rPr>
              <w:t>底部加强部位</w:t>
            </w:r>
          </w:p>
        </w:tc>
        <w:tc>
          <w:tcPr>
            <w:tcW w:w="1560" w:type="dxa"/>
            <w:vAlign w:val="center"/>
          </w:tcPr>
          <w:p w14:paraId="18952707">
            <w:pPr>
              <w:ind w:firstLine="1" w:firstLineChars="0"/>
              <w:jc w:val="center"/>
              <w:rPr>
                <w:rFonts w:eastAsiaTheme="minorEastAsia" w:cstheme="minorBidi"/>
                <w:sz w:val="18"/>
                <w:szCs w:val="18"/>
                <w:lang w:val="zh-CN"/>
              </w:rPr>
            </w:pPr>
            <w:r>
              <w:rPr>
                <w:rFonts w:hint="eastAsia" w:eastAsiaTheme="minorEastAsia" w:cstheme="minorBidi"/>
                <w:sz w:val="18"/>
                <w:szCs w:val="18"/>
                <w:lang w:val="zh-CN"/>
              </w:rPr>
              <w:t>二</w:t>
            </w:r>
          </w:p>
        </w:tc>
        <w:tc>
          <w:tcPr>
            <w:tcW w:w="1591" w:type="dxa"/>
            <w:vAlign w:val="center"/>
          </w:tcPr>
          <w:p w14:paraId="2D06E7B9">
            <w:pPr>
              <w:ind w:firstLine="1" w:firstLineChars="0"/>
              <w:jc w:val="center"/>
              <w:rPr>
                <w:rFonts w:eastAsiaTheme="minorEastAsia" w:cstheme="minorBidi"/>
                <w:sz w:val="18"/>
                <w:szCs w:val="18"/>
                <w:lang w:val="zh-CN"/>
              </w:rPr>
            </w:pPr>
            <w:r>
              <w:rPr>
                <w:rFonts w:hint="eastAsia" w:eastAsiaTheme="minorEastAsia" w:cstheme="minorBidi"/>
                <w:sz w:val="18"/>
                <w:szCs w:val="18"/>
                <w:lang w:val="zh-CN"/>
              </w:rPr>
              <w:t>一</w:t>
            </w:r>
          </w:p>
        </w:tc>
        <w:tc>
          <w:tcPr>
            <w:tcW w:w="1559" w:type="dxa"/>
            <w:tcBorders>
              <w:tr2bl w:val="single" w:color="auto" w:sz="4" w:space="0"/>
            </w:tcBorders>
            <w:vAlign w:val="center"/>
          </w:tcPr>
          <w:p w14:paraId="7CF4762D">
            <w:pPr>
              <w:ind w:firstLine="149" w:firstLineChars="83"/>
              <w:jc w:val="center"/>
              <w:rPr>
                <w:rFonts w:eastAsiaTheme="minorEastAsia" w:cstheme="minorBidi"/>
                <w:sz w:val="18"/>
                <w:szCs w:val="18"/>
                <w:lang w:val="zh-CN"/>
              </w:rPr>
            </w:pPr>
          </w:p>
        </w:tc>
      </w:tr>
      <w:tr w14:paraId="7DDC8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953" w:type="dxa"/>
            <w:vMerge w:val="continue"/>
            <w:vAlign w:val="center"/>
          </w:tcPr>
          <w:p w14:paraId="7EECF1D9">
            <w:pPr>
              <w:ind w:firstLine="1" w:firstLineChars="0"/>
              <w:jc w:val="center"/>
              <w:rPr>
                <w:rFonts w:eastAsiaTheme="minorEastAsia" w:cstheme="minorBidi"/>
                <w:sz w:val="18"/>
                <w:szCs w:val="18"/>
                <w:lang w:val="zh-CN"/>
              </w:rPr>
            </w:pPr>
          </w:p>
        </w:tc>
        <w:tc>
          <w:tcPr>
            <w:tcW w:w="2266" w:type="dxa"/>
            <w:gridSpan w:val="2"/>
            <w:vAlign w:val="center"/>
          </w:tcPr>
          <w:p w14:paraId="63070C6A">
            <w:pPr>
              <w:ind w:firstLine="1" w:firstLineChars="0"/>
              <w:jc w:val="center"/>
              <w:rPr>
                <w:rFonts w:eastAsiaTheme="minorEastAsia" w:cstheme="minorBidi"/>
                <w:sz w:val="18"/>
                <w:szCs w:val="18"/>
                <w:lang w:val="zh-CN"/>
              </w:rPr>
            </w:pPr>
            <w:r>
              <w:rPr>
                <w:rFonts w:hint="eastAsia" w:eastAsiaTheme="minorEastAsia" w:cstheme="minorBidi"/>
                <w:sz w:val="18"/>
                <w:szCs w:val="18"/>
                <w:lang w:val="zh-CN"/>
              </w:rPr>
              <w:t>框支层框架</w:t>
            </w:r>
          </w:p>
        </w:tc>
        <w:tc>
          <w:tcPr>
            <w:tcW w:w="1560" w:type="dxa"/>
            <w:vAlign w:val="center"/>
          </w:tcPr>
          <w:p w14:paraId="20741EA5">
            <w:pPr>
              <w:ind w:firstLine="1" w:firstLineChars="0"/>
              <w:jc w:val="center"/>
              <w:rPr>
                <w:rFonts w:eastAsiaTheme="minorEastAsia" w:cstheme="minorBidi"/>
                <w:sz w:val="18"/>
                <w:szCs w:val="18"/>
                <w:lang w:val="zh-CN"/>
              </w:rPr>
            </w:pPr>
            <w:r>
              <w:rPr>
                <w:rFonts w:hint="eastAsia" w:eastAsiaTheme="minorEastAsia" w:cstheme="minorBidi"/>
                <w:sz w:val="18"/>
                <w:szCs w:val="18"/>
                <w:lang w:val="zh-CN"/>
              </w:rPr>
              <w:t>一</w:t>
            </w:r>
          </w:p>
        </w:tc>
        <w:tc>
          <w:tcPr>
            <w:tcW w:w="1591" w:type="dxa"/>
            <w:vAlign w:val="center"/>
          </w:tcPr>
          <w:p w14:paraId="21C85525">
            <w:pPr>
              <w:ind w:firstLine="1" w:firstLineChars="0"/>
              <w:jc w:val="center"/>
              <w:rPr>
                <w:rFonts w:eastAsiaTheme="minorEastAsia" w:cstheme="minorBidi"/>
                <w:sz w:val="18"/>
                <w:szCs w:val="18"/>
                <w:lang w:val="zh-CN"/>
              </w:rPr>
            </w:pPr>
            <w:r>
              <w:rPr>
                <w:rFonts w:hint="eastAsia" w:eastAsiaTheme="minorEastAsia" w:cstheme="minorBidi"/>
                <w:sz w:val="18"/>
                <w:szCs w:val="18"/>
                <w:lang w:val="zh-CN"/>
              </w:rPr>
              <w:t>一</w:t>
            </w:r>
          </w:p>
        </w:tc>
        <w:tc>
          <w:tcPr>
            <w:tcW w:w="1559" w:type="dxa"/>
            <w:tcBorders>
              <w:bottom w:val="single" w:color="auto" w:sz="4" w:space="0"/>
              <w:tr2bl w:val="single" w:color="auto" w:sz="4" w:space="0"/>
            </w:tcBorders>
            <w:vAlign w:val="center"/>
          </w:tcPr>
          <w:p w14:paraId="1D771E92">
            <w:pPr>
              <w:ind w:firstLine="149" w:firstLineChars="83"/>
              <w:jc w:val="center"/>
              <w:rPr>
                <w:rFonts w:eastAsiaTheme="minorEastAsia" w:cstheme="minorBidi"/>
                <w:sz w:val="18"/>
                <w:szCs w:val="18"/>
                <w:lang w:val="zh-CN"/>
              </w:rPr>
            </w:pPr>
          </w:p>
        </w:tc>
      </w:tr>
      <w:tr w14:paraId="5F95F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953" w:type="dxa"/>
            <w:vMerge w:val="restart"/>
            <w:vAlign w:val="center"/>
          </w:tcPr>
          <w:p w14:paraId="114EA95B">
            <w:pPr>
              <w:ind w:firstLine="1" w:firstLineChars="0"/>
              <w:jc w:val="center"/>
              <w:rPr>
                <w:rFonts w:eastAsiaTheme="minorEastAsia" w:cstheme="minorBidi"/>
                <w:sz w:val="18"/>
                <w:szCs w:val="18"/>
                <w:lang w:val="zh-CN"/>
              </w:rPr>
            </w:pPr>
            <w:r>
              <w:rPr>
                <w:rFonts w:hint="eastAsia" w:eastAsiaTheme="minorEastAsia" w:cstheme="minorBidi"/>
                <w:sz w:val="18"/>
                <w:szCs w:val="18"/>
                <w:lang w:val="zh-CN"/>
              </w:rPr>
              <w:t>框架</w:t>
            </w:r>
            <w:r>
              <w:rPr>
                <w:rFonts w:eastAsiaTheme="minorEastAsia" w:cstheme="minorBidi"/>
                <w:sz w:val="18"/>
                <w:szCs w:val="18"/>
                <w:lang w:val="zh-CN"/>
              </w:rPr>
              <w:t>-</w:t>
            </w:r>
            <w:r>
              <w:rPr>
                <w:rFonts w:hint="eastAsia" w:eastAsiaTheme="minorEastAsia" w:cstheme="minorBidi"/>
                <w:sz w:val="18"/>
                <w:szCs w:val="18"/>
                <w:lang w:val="zh-CN"/>
              </w:rPr>
              <w:t>剪力墙结构</w:t>
            </w:r>
          </w:p>
        </w:tc>
        <w:tc>
          <w:tcPr>
            <w:tcW w:w="2266" w:type="dxa"/>
            <w:gridSpan w:val="2"/>
            <w:vAlign w:val="center"/>
          </w:tcPr>
          <w:p w14:paraId="11C3CF9E">
            <w:pPr>
              <w:ind w:firstLine="1" w:firstLineChars="0"/>
              <w:jc w:val="center"/>
              <w:rPr>
                <w:rFonts w:eastAsiaTheme="minorEastAsia" w:cstheme="minorBidi"/>
                <w:sz w:val="18"/>
                <w:szCs w:val="18"/>
                <w:lang w:val="zh-CN"/>
              </w:rPr>
            </w:pPr>
            <w:r>
              <w:rPr>
                <w:rFonts w:hint="eastAsia" w:eastAsiaTheme="minorEastAsia" w:cstheme="minorBidi"/>
                <w:sz w:val="18"/>
                <w:szCs w:val="18"/>
                <w:lang w:val="zh-CN"/>
              </w:rPr>
              <w:t>高度</w:t>
            </w:r>
          </w:p>
        </w:tc>
        <w:tc>
          <w:tcPr>
            <w:tcW w:w="1560" w:type="dxa"/>
            <w:vAlign w:val="center"/>
          </w:tcPr>
          <w:p w14:paraId="2000A5C9">
            <w:pPr>
              <w:ind w:firstLine="1" w:firstLineChars="0"/>
              <w:jc w:val="center"/>
              <w:rPr>
                <w:rFonts w:eastAsiaTheme="minorEastAsia" w:cstheme="minorBidi"/>
                <w:sz w:val="18"/>
                <w:szCs w:val="18"/>
                <w:lang w:val="zh-CN"/>
              </w:rPr>
            </w:pPr>
            <w:r>
              <w:rPr>
                <w:rFonts w:hint="eastAsia" w:eastAsiaTheme="minorEastAsia" w:cstheme="minorBidi"/>
                <w:sz w:val="18"/>
                <w:szCs w:val="18"/>
                <w:lang w:val="zh-CN"/>
              </w:rPr>
              <w:t>≤</w:t>
            </w:r>
            <w:r>
              <w:rPr>
                <w:rFonts w:eastAsiaTheme="minorEastAsia" w:cstheme="minorBidi"/>
                <w:sz w:val="18"/>
                <w:szCs w:val="18"/>
                <w:lang w:val="zh-CN"/>
              </w:rPr>
              <w:t>24</w:t>
            </w:r>
          </w:p>
        </w:tc>
        <w:tc>
          <w:tcPr>
            <w:tcW w:w="1591" w:type="dxa"/>
            <w:vAlign w:val="center"/>
          </w:tcPr>
          <w:p w14:paraId="53E4CB23">
            <w:pPr>
              <w:ind w:firstLine="1" w:firstLineChars="0"/>
              <w:jc w:val="center"/>
              <w:rPr>
                <w:rFonts w:eastAsiaTheme="minorEastAsia" w:cstheme="minorBidi"/>
                <w:sz w:val="18"/>
                <w:szCs w:val="18"/>
                <w:lang w:val="zh-CN"/>
              </w:rPr>
            </w:pPr>
            <w:r>
              <w:rPr>
                <w:rFonts w:hint="eastAsia" w:eastAsiaTheme="minorEastAsia" w:cstheme="minorBidi"/>
                <w:sz w:val="18"/>
                <w:szCs w:val="18"/>
                <w:lang w:val="zh-CN"/>
              </w:rPr>
              <w:t>＞</w:t>
            </w:r>
            <w:r>
              <w:rPr>
                <w:rFonts w:eastAsiaTheme="minorEastAsia" w:cstheme="minorBidi"/>
                <w:sz w:val="18"/>
                <w:szCs w:val="18"/>
                <w:lang w:val="zh-CN"/>
              </w:rPr>
              <w:t>24</w:t>
            </w:r>
            <w:r>
              <w:rPr>
                <w:rFonts w:hint="eastAsia" w:eastAsiaTheme="minorEastAsia" w:cstheme="minorBidi"/>
                <w:sz w:val="18"/>
                <w:szCs w:val="18"/>
                <w:lang w:val="zh-CN"/>
              </w:rPr>
              <w:t>且≤</w:t>
            </w:r>
            <w:r>
              <w:rPr>
                <w:rFonts w:eastAsiaTheme="minorEastAsia" w:cstheme="minorBidi"/>
                <w:sz w:val="18"/>
                <w:szCs w:val="18"/>
                <w:lang w:val="zh-CN"/>
              </w:rPr>
              <w:t>60</w:t>
            </w:r>
          </w:p>
        </w:tc>
        <w:tc>
          <w:tcPr>
            <w:tcW w:w="1559" w:type="dxa"/>
            <w:tcBorders>
              <w:bottom w:val="single" w:color="auto" w:sz="4" w:space="0"/>
              <w:tr2bl w:val="nil"/>
            </w:tcBorders>
            <w:vAlign w:val="center"/>
          </w:tcPr>
          <w:p w14:paraId="0B51E39F">
            <w:pPr>
              <w:ind w:firstLine="1" w:firstLineChars="0"/>
              <w:jc w:val="center"/>
              <w:rPr>
                <w:rFonts w:eastAsiaTheme="minorEastAsia" w:cstheme="minorBidi"/>
                <w:sz w:val="18"/>
                <w:szCs w:val="18"/>
                <w:lang w:val="zh-CN"/>
              </w:rPr>
            </w:pPr>
            <w:r>
              <w:rPr>
                <w:rFonts w:hint="eastAsia" w:eastAsiaTheme="minorEastAsia" w:cstheme="minorBidi"/>
                <w:sz w:val="18"/>
                <w:szCs w:val="18"/>
                <w:lang w:val="zh-CN"/>
              </w:rPr>
              <w:t>＞</w:t>
            </w:r>
            <w:r>
              <w:rPr>
                <w:rFonts w:eastAsiaTheme="minorEastAsia" w:cstheme="minorBidi"/>
                <w:sz w:val="18"/>
                <w:szCs w:val="18"/>
                <w:lang w:val="zh-CN"/>
              </w:rPr>
              <w:t>60</w:t>
            </w:r>
          </w:p>
        </w:tc>
      </w:tr>
      <w:tr w14:paraId="430A4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953" w:type="dxa"/>
            <w:vMerge w:val="continue"/>
            <w:vAlign w:val="center"/>
          </w:tcPr>
          <w:p w14:paraId="187539C4">
            <w:pPr>
              <w:ind w:firstLine="1" w:firstLineChars="0"/>
              <w:jc w:val="center"/>
              <w:rPr>
                <w:rFonts w:eastAsiaTheme="minorEastAsia" w:cstheme="minorBidi"/>
                <w:sz w:val="18"/>
                <w:szCs w:val="18"/>
                <w:lang w:val="zh-CN"/>
              </w:rPr>
            </w:pPr>
          </w:p>
        </w:tc>
        <w:tc>
          <w:tcPr>
            <w:tcW w:w="2266" w:type="dxa"/>
            <w:gridSpan w:val="2"/>
            <w:vAlign w:val="center"/>
          </w:tcPr>
          <w:p w14:paraId="6435D204">
            <w:pPr>
              <w:ind w:firstLine="1" w:firstLineChars="0"/>
              <w:jc w:val="center"/>
              <w:rPr>
                <w:rFonts w:eastAsiaTheme="minorEastAsia" w:cstheme="minorBidi"/>
                <w:sz w:val="18"/>
                <w:szCs w:val="18"/>
                <w:lang w:val="zh-CN"/>
              </w:rPr>
            </w:pPr>
            <w:r>
              <w:rPr>
                <w:rFonts w:hint="eastAsia" w:eastAsiaTheme="minorEastAsia" w:cstheme="minorBidi"/>
                <w:sz w:val="18"/>
                <w:szCs w:val="18"/>
                <w:lang w:val="zh-CN"/>
              </w:rPr>
              <w:t>框架</w:t>
            </w:r>
          </w:p>
        </w:tc>
        <w:tc>
          <w:tcPr>
            <w:tcW w:w="1560" w:type="dxa"/>
            <w:vAlign w:val="center"/>
          </w:tcPr>
          <w:p w14:paraId="7FC6DE08">
            <w:pPr>
              <w:ind w:firstLine="1" w:firstLineChars="0"/>
              <w:jc w:val="center"/>
              <w:rPr>
                <w:rFonts w:eastAsiaTheme="minorEastAsia" w:cstheme="minorBidi"/>
                <w:sz w:val="18"/>
                <w:szCs w:val="18"/>
                <w:lang w:val="zh-CN"/>
              </w:rPr>
            </w:pPr>
            <w:r>
              <w:rPr>
                <w:rFonts w:hint="eastAsia" w:eastAsiaTheme="minorEastAsia" w:cstheme="minorBidi"/>
                <w:sz w:val="18"/>
                <w:szCs w:val="18"/>
                <w:lang w:val="zh-CN"/>
              </w:rPr>
              <w:t>三</w:t>
            </w:r>
          </w:p>
        </w:tc>
        <w:tc>
          <w:tcPr>
            <w:tcW w:w="1591" w:type="dxa"/>
            <w:vAlign w:val="center"/>
          </w:tcPr>
          <w:p w14:paraId="0B40DF68">
            <w:pPr>
              <w:ind w:firstLine="1" w:firstLineChars="0"/>
              <w:jc w:val="center"/>
              <w:rPr>
                <w:rFonts w:eastAsiaTheme="minorEastAsia" w:cstheme="minorBidi"/>
                <w:sz w:val="18"/>
                <w:szCs w:val="18"/>
                <w:lang w:val="zh-CN"/>
              </w:rPr>
            </w:pPr>
            <w:r>
              <w:rPr>
                <w:rFonts w:hint="eastAsia" w:eastAsiaTheme="minorEastAsia" w:cstheme="minorBidi"/>
                <w:sz w:val="18"/>
                <w:szCs w:val="18"/>
                <w:lang w:val="zh-CN"/>
              </w:rPr>
              <w:t>二</w:t>
            </w:r>
          </w:p>
        </w:tc>
        <w:tc>
          <w:tcPr>
            <w:tcW w:w="1559" w:type="dxa"/>
            <w:tcBorders>
              <w:bottom w:val="single" w:color="auto" w:sz="4" w:space="0"/>
              <w:tr2bl w:val="nil"/>
            </w:tcBorders>
            <w:vAlign w:val="center"/>
          </w:tcPr>
          <w:p w14:paraId="52C74E0E">
            <w:pPr>
              <w:ind w:firstLine="149" w:firstLineChars="83"/>
              <w:jc w:val="center"/>
              <w:rPr>
                <w:rFonts w:eastAsiaTheme="minorEastAsia" w:cstheme="minorBidi"/>
                <w:sz w:val="18"/>
                <w:szCs w:val="18"/>
                <w:lang w:val="zh-CN"/>
              </w:rPr>
            </w:pPr>
            <w:r>
              <w:rPr>
                <w:rFonts w:hint="eastAsia" w:eastAsiaTheme="minorEastAsia" w:cstheme="minorBidi"/>
                <w:sz w:val="18"/>
                <w:szCs w:val="18"/>
                <w:lang w:val="zh-CN"/>
              </w:rPr>
              <w:t>一</w:t>
            </w:r>
          </w:p>
        </w:tc>
      </w:tr>
      <w:tr w14:paraId="6F7B1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953" w:type="dxa"/>
            <w:vMerge w:val="continue"/>
            <w:vAlign w:val="center"/>
          </w:tcPr>
          <w:p w14:paraId="7D741411">
            <w:pPr>
              <w:ind w:firstLine="1" w:firstLineChars="0"/>
              <w:jc w:val="center"/>
              <w:rPr>
                <w:rFonts w:eastAsiaTheme="minorEastAsia" w:cstheme="minorBidi"/>
                <w:sz w:val="18"/>
                <w:szCs w:val="18"/>
                <w:lang w:val="zh-CN"/>
              </w:rPr>
            </w:pPr>
          </w:p>
        </w:tc>
        <w:tc>
          <w:tcPr>
            <w:tcW w:w="2266" w:type="dxa"/>
            <w:gridSpan w:val="2"/>
            <w:vAlign w:val="center"/>
          </w:tcPr>
          <w:p w14:paraId="6932CDC1">
            <w:pPr>
              <w:ind w:firstLine="1" w:firstLineChars="0"/>
              <w:jc w:val="center"/>
              <w:rPr>
                <w:rFonts w:eastAsiaTheme="minorEastAsia" w:cstheme="minorBidi"/>
                <w:sz w:val="18"/>
                <w:szCs w:val="18"/>
                <w:lang w:val="zh-CN"/>
              </w:rPr>
            </w:pPr>
            <w:r>
              <w:rPr>
                <w:rFonts w:hint="eastAsia" w:eastAsiaTheme="minorEastAsia" w:cstheme="minorBidi"/>
                <w:sz w:val="18"/>
                <w:szCs w:val="18"/>
                <w:lang w:val="zh-CN"/>
              </w:rPr>
              <w:t>剪力墙</w:t>
            </w:r>
          </w:p>
        </w:tc>
        <w:tc>
          <w:tcPr>
            <w:tcW w:w="1560" w:type="dxa"/>
            <w:vAlign w:val="center"/>
          </w:tcPr>
          <w:p w14:paraId="5D0C4F6F">
            <w:pPr>
              <w:ind w:firstLine="1" w:firstLineChars="0"/>
              <w:jc w:val="center"/>
              <w:rPr>
                <w:rFonts w:eastAsiaTheme="minorEastAsia" w:cstheme="minorBidi"/>
                <w:sz w:val="18"/>
                <w:szCs w:val="18"/>
                <w:lang w:val="zh-CN"/>
              </w:rPr>
            </w:pPr>
            <w:r>
              <w:rPr>
                <w:rFonts w:hint="eastAsia" w:eastAsiaTheme="minorEastAsia" w:cstheme="minorBidi"/>
                <w:sz w:val="18"/>
                <w:szCs w:val="18"/>
                <w:lang w:val="zh-CN"/>
              </w:rPr>
              <w:t>二</w:t>
            </w:r>
          </w:p>
        </w:tc>
        <w:tc>
          <w:tcPr>
            <w:tcW w:w="3150" w:type="dxa"/>
            <w:gridSpan w:val="2"/>
            <w:vAlign w:val="center"/>
          </w:tcPr>
          <w:p w14:paraId="3C504BDC">
            <w:pPr>
              <w:ind w:firstLine="149" w:firstLineChars="83"/>
              <w:jc w:val="center"/>
              <w:rPr>
                <w:rFonts w:eastAsiaTheme="minorEastAsia" w:cstheme="minorBidi"/>
                <w:sz w:val="18"/>
                <w:szCs w:val="18"/>
                <w:lang w:val="zh-CN"/>
              </w:rPr>
            </w:pPr>
            <w:r>
              <w:rPr>
                <w:rFonts w:hint="eastAsia" w:eastAsiaTheme="minorEastAsia" w:cstheme="minorBidi"/>
                <w:sz w:val="18"/>
                <w:szCs w:val="18"/>
                <w:lang w:val="zh-CN"/>
              </w:rPr>
              <w:t>一</w:t>
            </w:r>
          </w:p>
        </w:tc>
      </w:tr>
    </w:tbl>
    <w:p w14:paraId="614A02F9">
      <w:pPr>
        <w:pStyle w:val="4"/>
        <w:numPr>
          <w:ilvl w:val="2"/>
          <w:numId w:val="11"/>
        </w:numPr>
        <w:tabs>
          <w:tab w:val="clear" w:pos="0"/>
        </w:tabs>
        <w:ind w:firstLine="0" w:firstLineChars="0"/>
        <w:rPr>
          <w:rFonts w:cs="宋体"/>
          <w:bCs w:val="0"/>
          <w:iCs/>
          <w:lang w:val="en-US"/>
        </w:rPr>
      </w:pPr>
      <w:r>
        <w:rPr>
          <w:rFonts w:hint="eastAsia" w:cs="宋体"/>
          <w:bCs w:val="0"/>
          <w:iCs/>
          <w:lang w:val="en-US"/>
        </w:rPr>
        <w:t>现浇钢筋混凝土剪力墙住宅结构，剪力墙两端和洞口两侧应设置边缘构件，边缘构件包括暗柱、端柱和翼墙；剪力墙底层墙肢的底截面的轴压比大于表9.2.7规定的一、二、三级剪力墙底部加强部位及相邻的上一层墙肢两端应设约束边缘构件。</w:t>
      </w:r>
    </w:p>
    <w:p w14:paraId="6F60F514">
      <w:pPr>
        <w:ind w:firstLine="422"/>
        <w:jc w:val="center"/>
        <w:rPr>
          <w:lang w:val="zh-CN"/>
        </w:rPr>
      </w:pPr>
      <w:r>
        <w:rPr>
          <w:rFonts w:hint="eastAsia" w:ascii="黑体" w:eastAsia="黑体"/>
          <w:b/>
          <w:sz w:val="21"/>
          <w:szCs w:val="21"/>
          <w:lang w:val="zh-CN"/>
        </w:rPr>
        <w:t>表9.2.7</w:t>
      </w:r>
      <w:r>
        <w:rPr>
          <w:rFonts w:ascii="黑体" w:eastAsia="黑体"/>
          <w:b/>
          <w:sz w:val="21"/>
          <w:szCs w:val="21"/>
          <w:lang w:val="zh-CN"/>
        </w:rPr>
        <w:tab/>
      </w:r>
      <w:r>
        <w:rPr>
          <w:rFonts w:hint="eastAsia" w:ascii="黑体" w:eastAsia="黑体"/>
          <w:b/>
          <w:sz w:val="21"/>
          <w:szCs w:val="21"/>
          <w:lang w:val="zh-CN"/>
        </w:rPr>
        <w:t>剪力墙仅设置构造边缘构件的最大轴压比</w:t>
      </w:r>
    </w:p>
    <w:tbl>
      <w:tblPr>
        <w:tblStyle w:val="30"/>
        <w:tblW w:w="825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6"/>
        <w:gridCol w:w="3024"/>
        <w:gridCol w:w="3261"/>
      </w:tblGrid>
      <w:tr w14:paraId="03156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6" w:type="dxa"/>
          </w:tcPr>
          <w:p w14:paraId="75A6EC4F">
            <w:pPr>
              <w:ind w:firstLine="1" w:firstLineChars="0"/>
              <w:rPr>
                <w:rFonts w:eastAsiaTheme="minorEastAsia" w:cstheme="minorBidi"/>
                <w:sz w:val="18"/>
                <w:szCs w:val="18"/>
                <w:lang w:val="zh-CN"/>
              </w:rPr>
            </w:pPr>
            <w:r>
              <w:rPr>
                <w:rFonts w:hint="eastAsia" w:eastAsiaTheme="minorEastAsia" w:cstheme="minorBidi"/>
                <w:sz w:val="18"/>
                <w:szCs w:val="18"/>
                <w:lang w:val="zh-CN"/>
              </w:rPr>
              <w:t>抗震等级</w:t>
            </w:r>
          </w:p>
        </w:tc>
        <w:tc>
          <w:tcPr>
            <w:tcW w:w="3024" w:type="dxa"/>
          </w:tcPr>
          <w:p w14:paraId="1FC49035">
            <w:pPr>
              <w:ind w:firstLine="1" w:firstLineChars="0"/>
              <w:jc w:val="center"/>
              <w:rPr>
                <w:rFonts w:eastAsiaTheme="minorEastAsia" w:cstheme="minorBidi"/>
                <w:sz w:val="18"/>
                <w:szCs w:val="18"/>
                <w:lang w:val="zh-CN"/>
              </w:rPr>
            </w:pPr>
            <w:r>
              <w:rPr>
                <w:rFonts w:hint="eastAsia" w:eastAsiaTheme="minorEastAsia" w:cstheme="minorBidi"/>
                <w:sz w:val="18"/>
                <w:szCs w:val="18"/>
                <w:lang w:val="zh-CN"/>
              </w:rPr>
              <w:t>一级（</w:t>
            </w:r>
            <w:r>
              <w:rPr>
                <w:rFonts w:eastAsiaTheme="minorEastAsia" w:cstheme="minorBidi"/>
                <w:sz w:val="18"/>
                <w:szCs w:val="18"/>
                <w:lang w:val="zh-CN"/>
              </w:rPr>
              <w:t>8</w:t>
            </w:r>
            <w:r>
              <w:rPr>
                <w:rFonts w:hint="eastAsia" w:eastAsiaTheme="minorEastAsia" w:cstheme="minorBidi"/>
                <w:sz w:val="18"/>
                <w:szCs w:val="18"/>
                <w:lang w:val="zh-CN"/>
              </w:rPr>
              <w:t>度）</w:t>
            </w:r>
          </w:p>
        </w:tc>
        <w:tc>
          <w:tcPr>
            <w:tcW w:w="3261" w:type="dxa"/>
          </w:tcPr>
          <w:p w14:paraId="52DCFE52">
            <w:pPr>
              <w:ind w:firstLine="1" w:firstLineChars="0"/>
              <w:jc w:val="center"/>
              <w:rPr>
                <w:rFonts w:eastAsiaTheme="minorEastAsia" w:cstheme="minorBidi"/>
                <w:sz w:val="18"/>
                <w:szCs w:val="18"/>
                <w:lang w:val="zh-CN"/>
              </w:rPr>
            </w:pPr>
            <w:r>
              <w:rPr>
                <w:rFonts w:hint="eastAsia" w:eastAsiaTheme="minorEastAsia" w:cstheme="minorBidi"/>
                <w:sz w:val="18"/>
                <w:szCs w:val="18"/>
                <w:lang w:val="zh-CN"/>
              </w:rPr>
              <w:t>二、三级</w:t>
            </w:r>
          </w:p>
        </w:tc>
      </w:tr>
      <w:tr w14:paraId="6051C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6" w:type="dxa"/>
          </w:tcPr>
          <w:p w14:paraId="67B8B4B3">
            <w:pPr>
              <w:ind w:firstLine="1" w:firstLineChars="0"/>
              <w:rPr>
                <w:rFonts w:eastAsiaTheme="minorEastAsia" w:cstheme="minorBidi"/>
                <w:sz w:val="18"/>
                <w:szCs w:val="18"/>
                <w:lang w:val="zh-CN"/>
              </w:rPr>
            </w:pPr>
            <w:r>
              <w:rPr>
                <w:rFonts w:hint="eastAsia" w:eastAsiaTheme="minorEastAsia" w:cstheme="minorBidi"/>
                <w:sz w:val="18"/>
                <w:szCs w:val="18"/>
                <w:lang w:val="zh-CN"/>
              </w:rPr>
              <w:t>轴压比</w:t>
            </w:r>
          </w:p>
        </w:tc>
        <w:tc>
          <w:tcPr>
            <w:tcW w:w="3024" w:type="dxa"/>
          </w:tcPr>
          <w:p w14:paraId="33F93536">
            <w:pPr>
              <w:ind w:firstLine="1" w:firstLineChars="0"/>
              <w:jc w:val="center"/>
              <w:rPr>
                <w:rFonts w:eastAsiaTheme="minorEastAsia" w:cstheme="minorBidi"/>
                <w:sz w:val="18"/>
                <w:szCs w:val="18"/>
                <w:lang w:val="zh-CN"/>
              </w:rPr>
            </w:pPr>
            <w:r>
              <w:rPr>
                <w:rFonts w:eastAsiaTheme="minorEastAsia" w:cstheme="minorBidi"/>
                <w:sz w:val="18"/>
                <w:szCs w:val="18"/>
                <w:lang w:val="zh-CN"/>
              </w:rPr>
              <w:t>0.2</w:t>
            </w:r>
          </w:p>
        </w:tc>
        <w:tc>
          <w:tcPr>
            <w:tcW w:w="3261" w:type="dxa"/>
          </w:tcPr>
          <w:p w14:paraId="7A7B1E99">
            <w:pPr>
              <w:ind w:firstLine="1" w:firstLineChars="0"/>
              <w:jc w:val="center"/>
              <w:rPr>
                <w:rFonts w:eastAsiaTheme="minorEastAsia" w:cstheme="minorBidi"/>
                <w:sz w:val="18"/>
                <w:szCs w:val="18"/>
                <w:lang w:val="zh-CN"/>
              </w:rPr>
            </w:pPr>
            <w:r>
              <w:rPr>
                <w:rFonts w:eastAsiaTheme="minorEastAsia" w:cstheme="minorBidi"/>
                <w:sz w:val="18"/>
                <w:szCs w:val="18"/>
                <w:lang w:val="zh-CN"/>
              </w:rPr>
              <w:t>0.3</w:t>
            </w:r>
          </w:p>
        </w:tc>
      </w:tr>
    </w:tbl>
    <w:p w14:paraId="3C36EEC9">
      <w:pPr>
        <w:pStyle w:val="4"/>
        <w:numPr>
          <w:ilvl w:val="2"/>
          <w:numId w:val="11"/>
        </w:numPr>
        <w:tabs>
          <w:tab w:val="clear" w:pos="0"/>
        </w:tabs>
        <w:ind w:firstLine="0" w:firstLineChars="0"/>
        <w:rPr>
          <w:rFonts w:cs="宋体"/>
          <w:bCs w:val="0"/>
          <w:iCs/>
          <w:lang w:val="en-US"/>
        </w:rPr>
      </w:pPr>
      <w:r>
        <w:rPr>
          <w:rFonts w:hint="eastAsia" w:cs="宋体"/>
          <w:bCs w:val="0"/>
          <w:iCs/>
          <w:lang w:val="en-US"/>
        </w:rPr>
        <w:t>部分框支剪力墙结构，底部加强部位及相邻的上一层墙肢两端应设置符合约束边缘构件要求的翼墙或端柱，洞口两侧应设置约束边缘构件；不落地剪力墙应在底部加强部位及相邻的上一层的墙肢两端设置约束边缘构件。</w:t>
      </w:r>
    </w:p>
    <w:p w14:paraId="22737A06">
      <w:pPr>
        <w:pStyle w:val="4"/>
        <w:numPr>
          <w:ilvl w:val="2"/>
          <w:numId w:val="11"/>
        </w:numPr>
        <w:tabs>
          <w:tab w:val="clear" w:pos="0"/>
        </w:tabs>
        <w:ind w:firstLine="0" w:firstLineChars="0"/>
        <w:rPr>
          <w:rFonts w:cs="宋体"/>
          <w:bCs w:val="0"/>
          <w:iCs/>
          <w:lang w:val="en-US"/>
        </w:rPr>
      </w:pPr>
      <w:r>
        <w:rPr>
          <w:rFonts w:hint="eastAsia" w:cs="宋体"/>
          <w:bCs w:val="0"/>
          <w:iCs/>
          <w:lang w:val="en-US"/>
        </w:rPr>
        <w:t>墙肢两端及洞口两侧未设约束边缘构件时均应设置构造边缘构件。</w:t>
      </w:r>
    </w:p>
    <w:p w14:paraId="431D0C53">
      <w:pPr>
        <w:pStyle w:val="4"/>
        <w:numPr>
          <w:ilvl w:val="2"/>
          <w:numId w:val="11"/>
        </w:numPr>
        <w:tabs>
          <w:tab w:val="clear" w:pos="0"/>
        </w:tabs>
        <w:ind w:firstLine="0" w:firstLineChars="0"/>
        <w:rPr>
          <w:rFonts w:cs="宋体"/>
          <w:bCs w:val="0"/>
          <w:iCs/>
          <w:lang w:val="en-US"/>
        </w:rPr>
      </w:pPr>
      <w:r>
        <w:rPr>
          <w:rFonts w:hint="eastAsia" w:cs="宋体"/>
          <w:bCs w:val="0"/>
          <w:iCs/>
          <w:lang w:val="en-US"/>
        </w:rPr>
        <w:t>当地下室顶板作为上部结构的嵌固部位时，地下一层剪力墙墙肢端部边缘构件纵向钢筋的截面面积，不应少于地上一层对应墙肢端部边缘构件纵向钢筋的截面面积。</w:t>
      </w:r>
    </w:p>
    <w:p w14:paraId="4C6EA551">
      <w:pPr>
        <w:pStyle w:val="4"/>
        <w:numPr>
          <w:ilvl w:val="2"/>
          <w:numId w:val="11"/>
        </w:numPr>
        <w:tabs>
          <w:tab w:val="clear" w:pos="0"/>
        </w:tabs>
        <w:ind w:firstLine="0" w:firstLineChars="0"/>
        <w:rPr>
          <w:rFonts w:cs="宋体"/>
          <w:bCs w:val="0"/>
          <w:iCs/>
          <w:lang w:val="en-US"/>
        </w:rPr>
      </w:pPr>
      <w:r>
        <w:rPr>
          <w:rFonts w:hint="eastAsia" w:cs="宋体"/>
          <w:bCs w:val="0"/>
          <w:iCs/>
          <w:lang w:val="en-US"/>
        </w:rPr>
        <w:t>装配式钢结构住宅的最大适用高度应按表9.2.11确定：</w:t>
      </w:r>
    </w:p>
    <w:p w14:paraId="4BC8F41C">
      <w:pPr>
        <w:ind w:firstLine="1" w:firstLineChars="0"/>
        <w:jc w:val="center"/>
        <w:rPr>
          <w:rFonts w:ascii="黑体" w:eastAsia="黑体"/>
          <w:b/>
          <w:sz w:val="21"/>
          <w:szCs w:val="21"/>
          <w:lang w:val="zh-CN"/>
        </w:rPr>
      </w:pPr>
      <w:r>
        <w:rPr>
          <w:rFonts w:hint="eastAsia" w:ascii="黑体" w:eastAsia="黑体"/>
          <w:b/>
          <w:sz w:val="21"/>
          <w:szCs w:val="21"/>
          <w:lang w:val="zh-CN"/>
        </w:rPr>
        <w:t>表9.2.</w:t>
      </w:r>
      <w:r>
        <w:rPr>
          <w:rFonts w:ascii="黑体" w:eastAsia="黑体"/>
          <w:b/>
          <w:sz w:val="21"/>
          <w:szCs w:val="21"/>
          <w:lang w:val="zh-CN"/>
        </w:rPr>
        <w:t>11</w:t>
      </w:r>
      <w:r>
        <w:rPr>
          <w:rFonts w:hint="eastAsia" w:ascii="黑体" w:eastAsia="黑体"/>
          <w:b/>
          <w:sz w:val="21"/>
          <w:szCs w:val="21"/>
          <w:lang w:val="zh-CN"/>
        </w:rPr>
        <w:t>钢结构住宅的最大适用高度（m）</w:t>
      </w:r>
    </w:p>
    <w:tbl>
      <w:tblPr>
        <w:tblStyle w:val="30"/>
        <w:tblW w:w="825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40"/>
        <w:gridCol w:w="2097"/>
        <w:gridCol w:w="2014"/>
      </w:tblGrid>
      <w:tr w14:paraId="5E8B7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exact"/>
        </w:trPr>
        <w:tc>
          <w:tcPr>
            <w:tcW w:w="4140" w:type="dxa"/>
            <w:vMerge w:val="restart"/>
            <w:vAlign w:val="center"/>
          </w:tcPr>
          <w:p w14:paraId="7749AE49">
            <w:pPr>
              <w:ind w:firstLine="1" w:firstLineChars="0"/>
              <w:jc w:val="center"/>
              <w:rPr>
                <w:rFonts w:eastAsiaTheme="minorEastAsia" w:cstheme="minorBidi"/>
                <w:sz w:val="18"/>
                <w:szCs w:val="18"/>
                <w:lang w:val="zh-CN"/>
              </w:rPr>
            </w:pPr>
            <w:r>
              <w:rPr>
                <w:rFonts w:hint="eastAsia" w:eastAsiaTheme="minorEastAsia" w:cstheme="minorBidi"/>
                <w:sz w:val="18"/>
                <w:szCs w:val="18"/>
                <w:lang w:val="zh-CN"/>
              </w:rPr>
              <w:t>结构类型</w:t>
            </w:r>
          </w:p>
        </w:tc>
        <w:tc>
          <w:tcPr>
            <w:tcW w:w="4111" w:type="dxa"/>
            <w:gridSpan w:val="2"/>
            <w:vAlign w:val="center"/>
          </w:tcPr>
          <w:p w14:paraId="60B017BC">
            <w:pPr>
              <w:ind w:firstLine="1" w:firstLineChars="0"/>
              <w:jc w:val="center"/>
              <w:rPr>
                <w:rFonts w:eastAsiaTheme="minorEastAsia" w:cstheme="minorBidi"/>
                <w:sz w:val="18"/>
                <w:szCs w:val="18"/>
                <w:lang w:val="zh-CN"/>
              </w:rPr>
            </w:pPr>
            <w:r>
              <w:rPr>
                <w:rFonts w:hint="eastAsia" w:eastAsiaTheme="minorEastAsia" w:cstheme="minorBidi"/>
                <w:sz w:val="18"/>
                <w:szCs w:val="18"/>
                <w:lang w:val="zh-CN"/>
              </w:rPr>
              <w:t>抗震设防烈度</w:t>
            </w:r>
          </w:p>
        </w:tc>
      </w:tr>
      <w:tr w14:paraId="50FC6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exact"/>
        </w:trPr>
        <w:tc>
          <w:tcPr>
            <w:tcW w:w="4140" w:type="dxa"/>
            <w:vMerge w:val="continue"/>
            <w:vAlign w:val="center"/>
          </w:tcPr>
          <w:p w14:paraId="26C0AEDE">
            <w:pPr>
              <w:ind w:firstLine="1" w:firstLineChars="0"/>
              <w:jc w:val="center"/>
              <w:rPr>
                <w:rFonts w:eastAsiaTheme="minorEastAsia" w:cstheme="minorBidi"/>
                <w:sz w:val="18"/>
                <w:szCs w:val="18"/>
                <w:lang w:val="zh-CN"/>
              </w:rPr>
            </w:pPr>
          </w:p>
        </w:tc>
        <w:tc>
          <w:tcPr>
            <w:tcW w:w="4111" w:type="dxa"/>
            <w:gridSpan w:val="2"/>
            <w:vAlign w:val="center"/>
          </w:tcPr>
          <w:p w14:paraId="4901468D">
            <w:pPr>
              <w:ind w:firstLine="1" w:firstLineChars="0"/>
              <w:jc w:val="center"/>
              <w:rPr>
                <w:rFonts w:eastAsiaTheme="minorEastAsia" w:cstheme="minorBidi"/>
                <w:sz w:val="18"/>
                <w:szCs w:val="18"/>
                <w:lang w:val="zh-CN"/>
              </w:rPr>
            </w:pPr>
            <w:r>
              <w:rPr>
                <w:rFonts w:eastAsiaTheme="minorEastAsia" w:cstheme="minorBidi"/>
                <w:sz w:val="18"/>
                <w:szCs w:val="18"/>
                <w:lang w:val="zh-CN"/>
              </w:rPr>
              <w:t>8</w:t>
            </w:r>
            <w:r>
              <w:rPr>
                <w:rFonts w:hint="eastAsia" w:eastAsiaTheme="minorEastAsia" w:cstheme="minorBidi"/>
                <w:sz w:val="18"/>
                <w:szCs w:val="18"/>
                <w:lang w:val="zh-CN"/>
              </w:rPr>
              <w:t>度</w:t>
            </w:r>
          </w:p>
        </w:tc>
      </w:tr>
      <w:tr w14:paraId="7D521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140" w:type="dxa"/>
            <w:vMerge w:val="continue"/>
            <w:vAlign w:val="center"/>
          </w:tcPr>
          <w:p w14:paraId="7E5A3C5A">
            <w:pPr>
              <w:ind w:firstLine="1" w:firstLineChars="0"/>
              <w:jc w:val="center"/>
              <w:rPr>
                <w:rFonts w:eastAsiaTheme="minorEastAsia" w:cstheme="minorBidi"/>
                <w:sz w:val="18"/>
                <w:szCs w:val="18"/>
                <w:lang w:val="zh-CN"/>
              </w:rPr>
            </w:pPr>
          </w:p>
        </w:tc>
        <w:tc>
          <w:tcPr>
            <w:tcW w:w="2097" w:type="dxa"/>
            <w:vAlign w:val="center"/>
          </w:tcPr>
          <w:p w14:paraId="66CA4453">
            <w:pPr>
              <w:ind w:firstLine="1" w:firstLineChars="0"/>
              <w:jc w:val="center"/>
              <w:rPr>
                <w:rFonts w:eastAsiaTheme="minorEastAsia" w:cstheme="minorBidi"/>
                <w:sz w:val="18"/>
                <w:szCs w:val="18"/>
                <w:lang w:val="zh-CN"/>
              </w:rPr>
            </w:pPr>
            <w:r>
              <w:rPr>
                <w:rFonts w:eastAsiaTheme="minorEastAsia" w:cstheme="minorBidi"/>
                <w:sz w:val="18"/>
                <w:szCs w:val="18"/>
                <w:lang w:val="zh-CN"/>
              </w:rPr>
              <w:t>0.20g</w:t>
            </w:r>
          </w:p>
        </w:tc>
        <w:tc>
          <w:tcPr>
            <w:tcW w:w="2014" w:type="dxa"/>
            <w:vAlign w:val="center"/>
          </w:tcPr>
          <w:p w14:paraId="78AC1943">
            <w:pPr>
              <w:ind w:firstLine="1" w:firstLineChars="0"/>
              <w:jc w:val="center"/>
              <w:rPr>
                <w:rFonts w:eastAsiaTheme="minorEastAsia" w:cstheme="minorBidi"/>
                <w:sz w:val="18"/>
                <w:szCs w:val="18"/>
                <w:lang w:val="zh-CN"/>
              </w:rPr>
            </w:pPr>
            <w:r>
              <w:rPr>
                <w:rFonts w:eastAsiaTheme="minorEastAsia" w:cstheme="minorBidi"/>
                <w:sz w:val="18"/>
                <w:szCs w:val="18"/>
                <w:lang w:val="zh-CN"/>
              </w:rPr>
              <w:t>0.30g</w:t>
            </w:r>
          </w:p>
        </w:tc>
      </w:tr>
      <w:tr w14:paraId="6A06C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140" w:type="dxa"/>
            <w:vAlign w:val="center"/>
          </w:tcPr>
          <w:p w14:paraId="52040FA7">
            <w:pPr>
              <w:ind w:firstLine="1" w:firstLineChars="0"/>
              <w:jc w:val="center"/>
              <w:rPr>
                <w:rFonts w:eastAsiaTheme="minorEastAsia" w:cstheme="minorBidi"/>
                <w:sz w:val="18"/>
                <w:szCs w:val="18"/>
                <w:lang w:val="zh-CN"/>
              </w:rPr>
            </w:pPr>
            <w:r>
              <w:rPr>
                <w:rFonts w:hint="eastAsia" w:eastAsiaTheme="minorEastAsia" w:cstheme="minorBidi"/>
                <w:sz w:val="18"/>
                <w:szCs w:val="18"/>
                <w:lang w:val="zh-CN"/>
              </w:rPr>
              <w:t>装配式钢框架结构</w:t>
            </w:r>
          </w:p>
        </w:tc>
        <w:tc>
          <w:tcPr>
            <w:tcW w:w="2097" w:type="dxa"/>
            <w:vAlign w:val="center"/>
          </w:tcPr>
          <w:p w14:paraId="00D96B30">
            <w:pPr>
              <w:ind w:firstLine="1" w:firstLineChars="0"/>
              <w:jc w:val="center"/>
              <w:rPr>
                <w:rFonts w:eastAsiaTheme="minorEastAsia" w:cstheme="minorBidi"/>
                <w:sz w:val="18"/>
                <w:szCs w:val="18"/>
                <w:lang w:val="zh-CN"/>
              </w:rPr>
            </w:pPr>
            <w:r>
              <w:rPr>
                <w:rFonts w:eastAsiaTheme="minorEastAsia" w:cstheme="minorBidi"/>
                <w:sz w:val="18"/>
                <w:szCs w:val="18"/>
                <w:lang w:val="zh-CN"/>
              </w:rPr>
              <w:t>90</w:t>
            </w:r>
          </w:p>
        </w:tc>
        <w:tc>
          <w:tcPr>
            <w:tcW w:w="2014" w:type="dxa"/>
            <w:vAlign w:val="center"/>
          </w:tcPr>
          <w:p w14:paraId="2FF1CB08">
            <w:pPr>
              <w:ind w:firstLine="1" w:firstLineChars="0"/>
              <w:jc w:val="center"/>
              <w:rPr>
                <w:rFonts w:eastAsiaTheme="minorEastAsia" w:cstheme="minorBidi"/>
                <w:sz w:val="18"/>
                <w:szCs w:val="18"/>
                <w:lang w:val="zh-CN"/>
              </w:rPr>
            </w:pPr>
            <w:r>
              <w:rPr>
                <w:rFonts w:eastAsiaTheme="minorEastAsia" w:cstheme="minorBidi"/>
                <w:sz w:val="18"/>
                <w:szCs w:val="18"/>
                <w:lang w:val="zh-CN"/>
              </w:rPr>
              <w:t>70</w:t>
            </w:r>
          </w:p>
        </w:tc>
      </w:tr>
      <w:tr w14:paraId="402BE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140" w:type="dxa"/>
            <w:vAlign w:val="center"/>
          </w:tcPr>
          <w:p w14:paraId="220278B8">
            <w:pPr>
              <w:ind w:firstLine="1" w:firstLineChars="0"/>
              <w:jc w:val="center"/>
              <w:rPr>
                <w:rFonts w:eastAsiaTheme="minorEastAsia" w:cstheme="minorBidi"/>
                <w:sz w:val="18"/>
                <w:szCs w:val="18"/>
                <w:lang w:val="zh-CN"/>
              </w:rPr>
            </w:pPr>
            <w:r>
              <w:rPr>
                <w:rFonts w:hint="eastAsia" w:eastAsiaTheme="minorEastAsia" w:cstheme="minorBidi"/>
                <w:sz w:val="18"/>
                <w:szCs w:val="18"/>
                <w:lang w:val="zh-CN"/>
              </w:rPr>
              <w:t>装配式钢框架</w:t>
            </w:r>
            <w:r>
              <w:rPr>
                <w:rFonts w:eastAsiaTheme="minorEastAsia" w:cstheme="minorBidi"/>
                <w:sz w:val="18"/>
                <w:szCs w:val="18"/>
              </w:rPr>
              <w:t>-</w:t>
            </w:r>
            <w:r>
              <w:rPr>
                <w:rFonts w:hint="eastAsia" w:eastAsiaTheme="minorEastAsia" w:cstheme="minorBidi"/>
                <w:sz w:val="18"/>
                <w:szCs w:val="18"/>
              </w:rPr>
              <w:t>中心支撑结构</w:t>
            </w:r>
          </w:p>
        </w:tc>
        <w:tc>
          <w:tcPr>
            <w:tcW w:w="2097" w:type="dxa"/>
            <w:vAlign w:val="center"/>
          </w:tcPr>
          <w:p w14:paraId="53DDDE8B">
            <w:pPr>
              <w:ind w:firstLine="1" w:firstLineChars="0"/>
              <w:jc w:val="center"/>
              <w:rPr>
                <w:rFonts w:eastAsiaTheme="minorEastAsia" w:cstheme="minorBidi"/>
                <w:sz w:val="18"/>
                <w:szCs w:val="18"/>
                <w:lang w:val="zh-CN"/>
              </w:rPr>
            </w:pPr>
            <w:r>
              <w:rPr>
                <w:rFonts w:eastAsiaTheme="minorEastAsia" w:cstheme="minorBidi"/>
                <w:sz w:val="18"/>
                <w:szCs w:val="18"/>
                <w:lang w:val="zh-CN"/>
              </w:rPr>
              <w:t>180</w:t>
            </w:r>
          </w:p>
        </w:tc>
        <w:tc>
          <w:tcPr>
            <w:tcW w:w="2014" w:type="dxa"/>
            <w:vAlign w:val="center"/>
          </w:tcPr>
          <w:p w14:paraId="01AF6114">
            <w:pPr>
              <w:ind w:firstLine="1" w:firstLineChars="0"/>
              <w:jc w:val="center"/>
              <w:rPr>
                <w:rFonts w:eastAsiaTheme="minorEastAsia" w:cstheme="minorBidi"/>
                <w:sz w:val="18"/>
                <w:szCs w:val="18"/>
                <w:lang w:val="zh-CN"/>
              </w:rPr>
            </w:pPr>
            <w:r>
              <w:rPr>
                <w:rFonts w:eastAsiaTheme="minorEastAsia" w:cstheme="minorBidi"/>
                <w:sz w:val="18"/>
                <w:szCs w:val="18"/>
                <w:lang w:val="zh-CN"/>
              </w:rPr>
              <w:t>150</w:t>
            </w:r>
          </w:p>
        </w:tc>
      </w:tr>
      <w:tr w14:paraId="296C7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140" w:type="dxa"/>
            <w:vAlign w:val="center"/>
          </w:tcPr>
          <w:p w14:paraId="6EAD93CF">
            <w:pPr>
              <w:ind w:firstLine="1" w:firstLineChars="0"/>
              <w:jc w:val="center"/>
              <w:rPr>
                <w:rFonts w:eastAsiaTheme="minorEastAsia" w:cstheme="minorBidi"/>
                <w:sz w:val="18"/>
                <w:szCs w:val="18"/>
                <w:lang w:val="zh-CN"/>
              </w:rPr>
            </w:pPr>
            <w:r>
              <w:rPr>
                <w:rFonts w:hint="eastAsia" w:eastAsiaTheme="minorEastAsia" w:cstheme="minorBidi"/>
                <w:sz w:val="18"/>
                <w:szCs w:val="18"/>
                <w:lang w:val="zh-CN"/>
              </w:rPr>
              <w:t>装配式钢框架</w:t>
            </w:r>
            <w:r>
              <w:rPr>
                <w:rFonts w:eastAsiaTheme="minorEastAsia" w:cstheme="minorBidi"/>
                <w:sz w:val="18"/>
                <w:szCs w:val="18"/>
                <w:lang w:val="zh-CN"/>
              </w:rPr>
              <w:t>-</w:t>
            </w:r>
            <w:r>
              <w:rPr>
                <w:rFonts w:hint="eastAsia" w:eastAsiaTheme="minorEastAsia" w:cstheme="minorBidi"/>
                <w:sz w:val="18"/>
                <w:szCs w:val="18"/>
                <w:lang w:val="zh-CN"/>
              </w:rPr>
              <w:t>偏心支撑（延性墙板）</w:t>
            </w:r>
          </w:p>
        </w:tc>
        <w:tc>
          <w:tcPr>
            <w:tcW w:w="2097" w:type="dxa"/>
            <w:vAlign w:val="center"/>
          </w:tcPr>
          <w:p w14:paraId="140C6AC2">
            <w:pPr>
              <w:ind w:firstLine="1" w:firstLineChars="0"/>
              <w:jc w:val="center"/>
              <w:rPr>
                <w:rFonts w:eastAsiaTheme="minorEastAsia" w:cstheme="minorBidi"/>
                <w:sz w:val="18"/>
                <w:szCs w:val="18"/>
                <w:lang w:val="zh-CN"/>
              </w:rPr>
            </w:pPr>
            <w:r>
              <w:rPr>
                <w:rFonts w:eastAsiaTheme="minorEastAsia" w:cstheme="minorBidi"/>
                <w:sz w:val="18"/>
                <w:szCs w:val="18"/>
                <w:lang w:val="zh-CN"/>
              </w:rPr>
              <w:t>200</w:t>
            </w:r>
          </w:p>
        </w:tc>
        <w:tc>
          <w:tcPr>
            <w:tcW w:w="2014" w:type="dxa"/>
            <w:vAlign w:val="center"/>
          </w:tcPr>
          <w:p w14:paraId="3B684003">
            <w:pPr>
              <w:ind w:firstLine="1" w:firstLineChars="0"/>
              <w:jc w:val="center"/>
              <w:rPr>
                <w:rFonts w:eastAsiaTheme="minorEastAsia" w:cstheme="minorBidi"/>
                <w:sz w:val="18"/>
                <w:szCs w:val="18"/>
                <w:lang w:val="zh-CN"/>
              </w:rPr>
            </w:pPr>
            <w:r>
              <w:rPr>
                <w:rFonts w:eastAsiaTheme="minorEastAsia" w:cstheme="minorBidi"/>
                <w:sz w:val="18"/>
                <w:szCs w:val="18"/>
                <w:lang w:val="zh-CN"/>
              </w:rPr>
              <w:t>180</w:t>
            </w:r>
          </w:p>
        </w:tc>
      </w:tr>
    </w:tbl>
    <w:p w14:paraId="41B8570B">
      <w:pPr>
        <w:ind w:left="785" w:leftChars="177" w:hanging="360" w:hangingChars="200"/>
        <w:rPr>
          <w:rFonts w:ascii="宋体" w:hAnsi="宋体"/>
          <w:sz w:val="18"/>
          <w:szCs w:val="18"/>
          <w:lang w:val="zh-CN"/>
        </w:rPr>
      </w:pPr>
      <w:r>
        <w:rPr>
          <w:rFonts w:hint="eastAsia" w:ascii="宋体" w:hAnsi="宋体"/>
          <w:sz w:val="18"/>
          <w:szCs w:val="18"/>
          <w:lang w:val="zh-CN"/>
        </w:rPr>
        <w:t>注：</w:t>
      </w:r>
      <w:r>
        <w:rPr>
          <w:rFonts w:ascii="宋体" w:hAnsi="宋体"/>
          <w:sz w:val="18"/>
          <w:szCs w:val="18"/>
        </w:rPr>
        <w:t>1</w:t>
      </w:r>
      <w:r>
        <w:rPr>
          <w:rFonts w:ascii="宋体" w:hAnsi="宋体"/>
          <w:sz w:val="18"/>
          <w:szCs w:val="18"/>
          <w:lang w:val="zh-CN"/>
        </w:rPr>
        <w:t xml:space="preserve">  </w:t>
      </w:r>
      <w:r>
        <w:rPr>
          <w:rFonts w:hint="eastAsia" w:ascii="宋体" w:hAnsi="宋体"/>
          <w:sz w:val="18"/>
          <w:szCs w:val="18"/>
          <w:lang w:val="zh-CN"/>
        </w:rPr>
        <w:t>框架柱</w:t>
      </w:r>
      <w:r>
        <w:rPr>
          <w:rFonts w:ascii="宋体" w:hAnsi="宋体"/>
          <w:sz w:val="18"/>
          <w:szCs w:val="18"/>
          <w:lang w:val="zh-CN"/>
        </w:rPr>
        <w:t>包括全钢柱和钢管混</w:t>
      </w:r>
      <w:r>
        <w:rPr>
          <w:rFonts w:hint="eastAsia" w:ascii="宋体" w:hAnsi="宋体"/>
          <w:sz w:val="18"/>
          <w:szCs w:val="18"/>
          <w:lang w:val="zh-CN"/>
        </w:rPr>
        <w:t>凝土</w:t>
      </w:r>
      <w:r>
        <w:rPr>
          <w:rFonts w:ascii="宋体" w:hAnsi="宋体"/>
          <w:sz w:val="18"/>
          <w:szCs w:val="18"/>
          <w:lang w:val="zh-CN"/>
        </w:rPr>
        <w:t>柱</w:t>
      </w:r>
      <w:r>
        <w:rPr>
          <w:rFonts w:hint="eastAsia" w:ascii="宋体" w:hAnsi="宋体"/>
          <w:sz w:val="18"/>
          <w:szCs w:val="18"/>
          <w:lang w:val="zh-CN"/>
        </w:rPr>
        <w:t>；</w:t>
      </w:r>
    </w:p>
    <w:p w14:paraId="57F00DDF">
      <w:pPr>
        <w:ind w:left="425" w:leftChars="177" w:firstLine="1" w:firstLineChars="0"/>
        <w:rPr>
          <w:rFonts w:eastAsiaTheme="minorEastAsia" w:cstheme="minorBidi"/>
          <w:sz w:val="18"/>
          <w:szCs w:val="18"/>
        </w:rPr>
      </w:pPr>
      <w:r>
        <w:rPr>
          <w:rFonts w:ascii="宋体" w:hAnsi="宋体"/>
          <w:sz w:val="18"/>
          <w:szCs w:val="18"/>
        </w:rPr>
        <w:t xml:space="preserve">    2  </w:t>
      </w:r>
      <w:r>
        <w:rPr>
          <w:rFonts w:hint="eastAsia" w:eastAsiaTheme="minorEastAsia" w:cstheme="minorBidi"/>
          <w:sz w:val="18"/>
          <w:szCs w:val="18"/>
        </w:rPr>
        <w:t>装配式钢结构</w:t>
      </w:r>
      <w:r>
        <w:rPr>
          <w:rFonts w:hint="eastAsia" w:eastAsiaTheme="minorEastAsia" w:cstheme="minorBidi"/>
          <w:sz w:val="18"/>
          <w:szCs w:val="18"/>
          <w:lang w:val="zh-CN"/>
        </w:rPr>
        <w:t>的最大适用高宽比不宜超过</w:t>
      </w:r>
      <w:r>
        <w:rPr>
          <w:rFonts w:eastAsiaTheme="minorEastAsia" w:cstheme="minorBidi"/>
          <w:sz w:val="18"/>
          <w:szCs w:val="18"/>
        </w:rPr>
        <w:t>6</w:t>
      </w:r>
      <w:r>
        <w:rPr>
          <w:rFonts w:hint="eastAsia" w:eastAsiaTheme="minorEastAsia" w:cstheme="minorBidi"/>
          <w:sz w:val="18"/>
          <w:szCs w:val="18"/>
        </w:rPr>
        <w:t>。</w:t>
      </w:r>
    </w:p>
    <w:p w14:paraId="2F510BCA">
      <w:pPr>
        <w:pStyle w:val="4"/>
        <w:numPr>
          <w:ilvl w:val="2"/>
          <w:numId w:val="11"/>
        </w:numPr>
        <w:tabs>
          <w:tab w:val="clear" w:pos="0"/>
        </w:tabs>
        <w:ind w:firstLine="0" w:firstLineChars="0"/>
        <w:rPr>
          <w:rFonts w:cs="宋体"/>
          <w:bCs w:val="0"/>
          <w:iCs/>
          <w:lang w:val="en-US"/>
        </w:rPr>
      </w:pPr>
      <w:r>
        <w:rPr>
          <w:rFonts w:hint="eastAsia" w:cs="宋体"/>
          <w:bCs w:val="0"/>
          <w:iCs/>
          <w:lang w:val="en-US"/>
        </w:rPr>
        <w:t>装配式钢结构住宅的抗震等级应按如下要求：当高度小于等于50m时为三级，当高度大于50m时为二级。</w:t>
      </w:r>
    </w:p>
    <w:p w14:paraId="533E0DD0">
      <w:pPr>
        <w:pStyle w:val="4"/>
        <w:numPr>
          <w:ilvl w:val="2"/>
          <w:numId w:val="11"/>
        </w:numPr>
        <w:tabs>
          <w:tab w:val="clear" w:pos="0"/>
        </w:tabs>
        <w:ind w:firstLine="0" w:firstLineChars="0"/>
        <w:rPr>
          <w:rFonts w:cs="宋体"/>
          <w:bCs w:val="0"/>
          <w:iCs/>
          <w:lang w:val="en-US"/>
        </w:rPr>
      </w:pPr>
      <w:r>
        <w:rPr>
          <w:rFonts w:hint="eastAsia" w:cs="宋体"/>
          <w:bCs w:val="0"/>
          <w:iCs/>
          <w:lang w:val="en-US"/>
        </w:rPr>
        <w:t>轻钢轻混凝土结构住宅最大适用高度及层数限值应按表9.2.13确定。</w:t>
      </w:r>
    </w:p>
    <w:p w14:paraId="0EA4BEB4">
      <w:pPr>
        <w:ind w:firstLine="1" w:firstLineChars="0"/>
        <w:jc w:val="center"/>
        <w:rPr>
          <w:rFonts w:ascii="黑体" w:eastAsia="黑体"/>
          <w:b/>
          <w:sz w:val="21"/>
          <w:szCs w:val="21"/>
          <w:lang w:val="zh-CN"/>
        </w:rPr>
      </w:pPr>
      <w:r>
        <w:rPr>
          <w:rFonts w:hint="eastAsia" w:ascii="黑体" w:eastAsia="黑体"/>
          <w:b/>
          <w:sz w:val="21"/>
          <w:szCs w:val="21"/>
          <w:lang w:val="zh-CN"/>
        </w:rPr>
        <w:t>表9.2.</w:t>
      </w:r>
      <w:r>
        <w:rPr>
          <w:rFonts w:ascii="黑体" w:eastAsia="黑体"/>
          <w:b/>
          <w:sz w:val="21"/>
          <w:szCs w:val="21"/>
          <w:lang w:val="zh-CN"/>
        </w:rPr>
        <w:t xml:space="preserve">13 </w:t>
      </w:r>
      <w:r>
        <w:rPr>
          <w:rFonts w:hint="eastAsia" w:ascii="黑体" w:eastAsia="黑体"/>
          <w:b/>
          <w:sz w:val="21"/>
          <w:szCs w:val="21"/>
        </w:rPr>
        <w:t>轻</w:t>
      </w:r>
      <w:r>
        <w:rPr>
          <w:rFonts w:hint="eastAsia" w:ascii="黑体" w:eastAsia="黑体"/>
          <w:b/>
          <w:sz w:val="21"/>
          <w:szCs w:val="21"/>
          <w:lang w:val="zh-CN"/>
        </w:rPr>
        <w:t>钢轻混凝土结构住宅的最大适用高度和层数限值</w:t>
      </w:r>
    </w:p>
    <w:tbl>
      <w:tblPr>
        <w:tblStyle w:val="3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14:paraId="243BA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61" w:type="dxa"/>
          </w:tcPr>
          <w:p w14:paraId="6134C692">
            <w:pPr>
              <w:ind w:firstLine="360"/>
              <w:jc w:val="center"/>
              <w:rPr>
                <w:rFonts w:eastAsiaTheme="minorEastAsia" w:cstheme="minorBidi"/>
                <w:sz w:val="18"/>
                <w:szCs w:val="18"/>
                <w:lang w:val="zh-CN"/>
              </w:rPr>
            </w:pPr>
            <w:r>
              <w:rPr>
                <w:rFonts w:hint="eastAsia" w:eastAsiaTheme="minorEastAsia" w:cstheme="minorBidi"/>
                <w:sz w:val="18"/>
                <w:szCs w:val="18"/>
                <w:lang w:val="zh-CN"/>
              </w:rPr>
              <w:t>抗震设防烈度</w:t>
            </w:r>
          </w:p>
        </w:tc>
        <w:tc>
          <w:tcPr>
            <w:tcW w:w="4261" w:type="dxa"/>
          </w:tcPr>
          <w:p w14:paraId="40B2BE4F">
            <w:pPr>
              <w:ind w:firstLine="360"/>
              <w:jc w:val="center"/>
              <w:rPr>
                <w:rFonts w:eastAsiaTheme="minorEastAsia" w:cstheme="minorBidi"/>
                <w:sz w:val="18"/>
                <w:szCs w:val="18"/>
                <w:lang w:val="zh-CN"/>
              </w:rPr>
            </w:pPr>
            <w:r>
              <w:rPr>
                <w:rFonts w:eastAsiaTheme="minorEastAsia" w:cstheme="minorBidi"/>
                <w:sz w:val="18"/>
                <w:szCs w:val="18"/>
                <w:lang w:val="zh-CN"/>
              </w:rPr>
              <w:t>8</w:t>
            </w:r>
            <w:r>
              <w:rPr>
                <w:rFonts w:hint="eastAsia" w:eastAsiaTheme="minorEastAsia" w:cstheme="minorBidi"/>
                <w:sz w:val="18"/>
                <w:szCs w:val="18"/>
                <w:lang w:val="zh-CN"/>
              </w:rPr>
              <w:t>度（</w:t>
            </w:r>
            <w:r>
              <w:rPr>
                <w:rFonts w:eastAsiaTheme="minorEastAsia" w:cstheme="minorBidi"/>
                <w:sz w:val="18"/>
                <w:szCs w:val="18"/>
                <w:lang w:val="zh-CN"/>
              </w:rPr>
              <w:t>0.2g</w:t>
            </w:r>
            <w:r>
              <w:rPr>
                <w:rFonts w:hint="eastAsia" w:eastAsiaTheme="minorEastAsia" w:cstheme="minorBidi"/>
                <w:sz w:val="18"/>
                <w:szCs w:val="18"/>
                <w:lang w:val="zh-CN"/>
              </w:rPr>
              <w:t>）</w:t>
            </w:r>
          </w:p>
        </w:tc>
      </w:tr>
      <w:tr w14:paraId="60735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20528F44">
            <w:pPr>
              <w:ind w:firstLine="360"/>
              <w:jc w:val="center"/>
              <w:rPr>
                <w:rFonts w:eastAsiaTheme="minorEastAsia" w:cstheme="minorBidi"/>
                <w:sz w:val="18"/>
                <w:szCs w:val="18"/>
                <w:lang w:val="zh-CN"/>
              </w:rPr>
            </w:pPr>
            <w:r>
              <w:rPr>
                <w:rFonts w:hint="eastAsia" w:eastAsiaTheme="minorEastAsia" w:cstheme="minorBidi"/>
                <w:sz w:val="18"/>
                <w:szCs w:val="18"/>
                <w:lang w:val="zh-CN"/>
              </w:rPr>
              <w:t>高度（</w:t>
            </w:r>
            <w:r>
              <w:rPr>
                <w:rFonts w:eastAsiaTheme="minorEastAsia" w:cstheme="minorBidi"/>
                <w:sz w:val="18"/>
                <w:szCs w:val="18"/>
                <w:lang w:val="zh-CN"/>
              </w:rPr>
              <w:t>m</w:t>
            </w:r>
            <w:r>
              <w:rPr>
                <w:rFonts w:hint="eastAsia" w:eastAsiaTheme="minorEastAsia" w:cstheme="minorBidi"/>
                <w:sz w:val="18"/>
                <w:szCs w:val="18"/>
                <w:lang w:val="zh-CN"/>
              </w:rPr>
              <w:t>）</w:t>
            </w:r>
          </w:p>
        </w:tc>
        <w:tc>
          <w:tcPr>
            <w:tcW w:w="4261" w:type="dxa"/>
          </w:tcPr>
          <w:p w14:paraId="1A4EE9FD">
            <w:pPr>
              <w:ind w:firstLine="360"/>
              <w:jc w:val="center"/>
              <w:rPr>
                <w:rFonts w:eastAsiaTheme="minorEastAsia" w:cstheme="minorBidi"/>
                <w:sz w:val="18"/>
                <w:szCs w:val="18"/>
                <w:lang w:val="zh-CN"/>
              </w:rPr>
            </w:pPr>
            <w:r>
              <w:rPr>
                <w:rFonts w:eastAsiaTheme="minorEastAsia" w:cstheme="minorBidi"/>
                <w:sz w:val="18"/>
                <w:szCs w:val="18"/>
                <w:lang w:val="zh-CN"/>
              </w:rPr>
              <w:t>10</w:t>
            </w:r>
          </w:p>
        </w:tc>
      </w:tr>
      <w:tr w14:paraId="1FB8A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42F4488C">
            <w:pPr>
              <w:ind w:firstLine="360"/>
              <w:jc w:val="center"/>
              <w:rPr>
                <w:rFonts w:eastAsiaTheme="minorEastAsia" w:cstheme="minorBidi"/>
                <w:sz w:val="18"/>
                <w:szCs w:val="18"/>
                <w:lang w:val="zh-CN"/>
              </w:rPr>
            </w:pPr>
            <w:r>
              <w:rPr>
                <w:rFonts w:hint="eastAsia" w:eastAsiaTheme="minorEastAsia" w:cstheme="minorBidi"/>
                <w:sz w:val="18"/>
                <w:szCs w:val="18"/>
                <w:lang w:val="zh-CN"/>
              </w:rPr>
              <w:t>层数</w:t>
            </w:r>
          </w:p>
        </w:tc>
        <w:tc>
          <w:tcPr>
            <w:tcW w:w="4261" w:type="dxa"/>
          </w:tcPr>
          <w:p w14:paraId="30900265">
            <w:pPr>
              <w:ind w:firstLine="360"/>
              <w:jc w:val="center"/>
              <w:rPr>
                <w:rFonts w:eastAsiaTheme="minorEastAsia" w:cstheme="minorBidi"/>
                <w:sz w:val="18"/>
                <w:szCs w:val="18"/>
                <w:lang w:val="zh-CN"/>
              </w:rPr>
            </w:pPr>
            <w:r>
              <w:rPr>
                <w:rFonts w:eastAsiaTheme="minorEastAsia" w:cstheme="minorBidi"/>
                <w:sz w:val="18"/>
                <w:szCs w:val="18"/>
                <w:lang w:val="zh-CN"/>
              </w:rPr>
              <w:t>3</w:t>
            </w:r>
          </w:p>
        </w:tc>
      </w:tr>
    </w:tbl>
    <w:p w14:paraId="09E68C1C">
      <w:pPr>
        <w:pStyle w:val="4"/>
        <w:numPr>
          <w:ilvl w:val="2"/>
          <w:numId w:val="11"/>
        </w:numPr>
        <w:tabs>
          <w:tab w:val="clear" w:pos="0"/>
        </w:tabs>
        <w:ind w:firstLine="0" w:firstLineChars="0"/>
        <w:rPr>
          <w:rFonts w:cs="宋体"/>
          <w:bCs w:val="0"/>
          <w:iCs/>
          <w:lang w:val="en-US"/>
        </w:rPr>
      </w:pPr>
      <w:r>
        <w:rPr>
          <w:rFonts w:hint="eastAsia" w:cs="宋体"/>
          <w:bCs w:val="0"/>
          <w:iCs/>
          <w:lang w:val="en-US"/>
        </w:rPr>
        <w:t>住宅建筑当需要采用外围护系统时，应保证住宅结构的安全。外围护系统的设计工作年限应与主体结构相协调。</w:t>
      </w:r>
    </w:p>
    <w:p w14:paraId="6C99D281">
      <w:pPr>
        <w:ind w:firstLine="480"/>
        <w:rPr>
          <w:szCs w:val="24"/>
        </w:rPr>
      </w:pPr>
    </w:p>
    <w:p w14:paraId="642D91E0">
      <w:pPr>
        <w:pStyle w:val="3"/>
        <w:numPr>
          <w:ilvl w:val="1"/>
          <w:numId w:val="11"/>
        </w:numPr>
      </w:pPr>
      <w:bookmarkStart w:id="953" w:name="_Toc17741"/>
      <w:bookmarkStart w:id="954" w:name="_Toc20278"/>
      <w:r>
        <w:rPr>
          <w:rFonts w:hint="eastAsia"/>
        </w:rPr>
        <w:t>结构计算</w:t>
      </w:r>
      <w:bookmarkEnd w:id="953"/>
      <w:bookmarkEnd w:id="954"/>
    </w:p>
    <w:p w14:paraId="434237AF">
      <w:pPr>
        <w:pStyle w:val="4"/>
        <w:numPr>
          <w:ilvl w:val="2"/>
          <w:numId w:val="11"/>
        </w:numPr>
        <w:tabs>
          <w:tab w:val="clear" w:pos="0"/>
        </w:tabs>
        <w:ind w:firstLine="0" w:firstLineChars="0"/>
        <w:rPr>
          <w:rFonts w:cs="宋体"/>
          <w:bCs w:val="0"/>
          <w:iCs/>
          <w:lang w:val="en-US"/>
        </w:rPr>
      </w:pPr>
      <w:r>
        <w:rPr>
          <w:rFonts w:hint="eastAsia" w:cs="宋体"/>
          <w:bCs w:val="0"/>
          <w:iCs/>
          <w:lang w:val="en-US"/>
        </w:rPr>
        <w:t>住宅结构抗震设计地震作用应根据抗震设防类别、抗震设防烈度、基本地震加速度、设计地震分组，并应按国家现行标准《建筑抗震设计标准》GB/T50011及《高层建筑混凝土结构技术规程》JGJ3的规定采用。</w:t>
      </w:r>
    </w:p>
    <w:p w14:paraId="5E5F1155">
      <w:pPr>
        <w:pStyle w:val="4"/>
        <w:numPr>
          <w:ilvl w:val="2"/>
          <w:numId w:val="11"/>
        </w:numPr>
        <w:tabs>
          <w:tab w:val="clear" w:pos="0"/>
        </w:tabs>
        <w:ind w:firstLine="0" w:firstLineChars="0"/>
        <w:rPr>
          <w:rFonts w:cs="宋体"/>
          <w:bCs w:val="0"/>
          <w:iCs/>
          <w:lang w:val="en-US"/>
        </w:rPr>
      </w:pPr>
      <w:r>
        <w:rPr>
          <w:rFonts w:hint="eastAsia" w:cs="宋体"/>
          <w:bCs w:val="0"/>
          <w:iCs/>
          <w:lang w:val="en-US"/>
        </w:rPr>
        <w:t>住宅永久荷载标准值应充分考虑隔墙自重、地面做法及装修自重。</w:t>
      </w:r>
    </w:p>
    <w:p w14:paraId="0028E524">
      <w:pPr>
        <w:pStyle w:val="4"/>
        <w:numPr>
          <w:ilvl w:val="2"/>
          <w:numId w:val="11"/>
        </w:numPr>
        <w:tabs>
          <w:tab w:val="clear" w:pos="0"/>
        </w:tabs>
        <w:ind w:firstLine="0" w:firstLineChars="0"/>
        <w:rPr>
          <w:rFonts w:cs="宋体"/>
          <w:bCs w:val="0"/>
          <w:iCs/>
          <w:lang w:val="en-US"/>
        </w:rPr>
      </w:pPr>
      <w:r>
        <w:rPr>
          <w:rFonts w:hint="eastAsia" w:cs="宋体"/>
          <w:bCs w:val="0"/>
          <w:iCs/>
          <w:lang w:val="en-US"/>
        </w:rPr>
        <w:t>基本风压应按国家现行规范《建筑结构荷载规范》GB50009的规定采用，对于房屋高度大于60m的高层住宅承载力设计时应按基本风压的1.1倍采用。</w:t>
      </w:r>
    </w:p>
    <w:p w14:paraId="3BEB41D6">
      <w:pPr>
        <w:pStyle w:val="4"/>
        <w:numPr>
          <w:ilvl w:val="2"/>
          <w:numId w:val="11"/>
        </w:numPr>
        <w:tabs>
          <w:tab w:val="clear" w:pos="0"/>
        </w:tabs>
        <w:ind w:firstLine="0" w:firstLineChars="0"/>
        <w:rPr>
          <w:rFonts w:cs="宋体"/>
          <w:bCs w:val="0"/>
          <w:iCs/>
          <w:lang w:val="en-US"/>
        </w:rPr>
      </w:pPr>
      <w:r>
        <w:rPr>
          <w:rFonts w:hint="eastAsia" w:cs="宋体"/>
          <w:bCs w:val="0"/>
          <w:iCs/>
          <w:lang w:val="en-US"/>
        </w:rPr>
        <w:t>地基承载力验算，天然地基及复合地基均应按下列公式进行承载力验算：</w:t>
      </w:r>
    </w:p>
    <w:p w14:paraId="4B498B94">
      <w:pPr>
        <w:ind w:firstLine="480"/>
        <w:rPr>
          <w:rFonts w:ascii="宋体" w:hAnsi="宋体"/>
          <w:bCs/>
          <w:szCs w:val="32"/>
        </w:rPr>
      </w:pPr>
      <w:r>
        <w:rPr>
          <w:rFonts w:hint="eastAsia" w:ascii="宋体" w:hAnsi="宋体"/>
          <w:bCs/>
          <w:szCs w:val="32"/>
        </w:rPr>
        <w:t>1 轴心荷载作用下</w:t>
      </w:r>
    </w:p>
    <w:p w14:paraId="5F7C9703">
      <w:pPr>
        <w:ind w:firstLine="2479" w:firstLineChars="1033"/>
        <w:rPr>
          <w:rFonts w:ascii="宋体" w:hAnsi="宋体"/>
          <w:bCs/>
          <w:szCs w:val="32"/>
        </w:rPr>
      </w:pPr>
      <w:r>
        <w:rPr>
          <w:rFonts w:hint="eastAsia" w:ascii="宋体" w:hAnsi="宋体"/>
          <w:bCs/>
          <w:position w:val="-24"/>
          <w:szCs w:val="32"/>
        </w:rPr>
        <w:object>
          <v:shape id="_x0000_i1025" o:spt="75" type="#_x0000_t75" style="height:27.4pt;width:93.6pt;" o:ole="t" filled="f" o:preferrelative="t" stroked="f" coordsize="21600,21600">
            <v:path/>
            <v:fill on="f" focussize="0,0"/>
            <v:stroke on="f" joinstyle="miter"/>
            <v:imagedata r:id="rId18" o:title=""/>
            <o:lock v:ext="edit" aspectratio="t"/>
            <w10:wrap type="none"/>
            <w10:anchorlock/>
          </v:shape>
          <o:OLEObject Type="Embed" ProgID="Equation.3" ShapeID="_x0000_i1025" DrawAspect="Content" ObjectID="_1468075725" r:id="rId17">
            <o:LockedField>false</o:LockedField>
          </o:OLEObject>
        </w:object>
      </w:r>
      <w:r>
        <w:rPr>
          <w:rFonts w:ascii="宋体" w:hAnsi="宋体"/>
          <w:bCs/>
          <w:szCs w:val="32"/>
        </w:rPr>
        <w:t xml:space="preserve">                    </w:t>
      </w:r>
      <w:r>
        <w:rPr>
          <w:rFonts w:hint="eastAsia" w:ascii="宋体" w:hAnsi="宋体"/>
          <w:bCs/>
          <w:szCs w:val="32"/>
        </w:rPr>
        <w:t>（</w:t>
      </w:r>
      <w:r>
        <w:rPr>
          <w:rFonts w:ascii="宋体" w:hAnsi="宋体"/>
          <w:bCs/>
          <w:szCs w:val="32"/>
        </w:rPr>
        <w:t>9.3.</w:t>
      </w:r>
      <w:r>
        <w:rPr>
          <w:rFonts w:hint="eastAsia" w:ascii="宋体" w:hAnsi="宋体"/>
          <w:bCs/>
          <w:szCs w:val="32"/>
        </w:rPr>
        <w:t>4</w:t>
      </w:r>
      <w:r>
        <w:rPr>
          <w:rFonts w:ascii="宋体" w:hAnsi="宋体"/>
          <w:bCs/>
          <w:szCs w:val="32"/>
        </w:rPr>
        <w:t>-1）</w:t>
      </w:r>
    </w:p>
    <w:p w14:paraId="49BA3DA8">
      <w:pPr>
        <w:ind w:firstLine="1" w:firstLineChars="0"/>
        <w:rPr>
          <w:rFonts w:ascii="宋体" w:hAnsi="宋体"/>
          <w:bCs/>
          <w:szCs w:val="32"/>
        </w:rPr>
      </w:pPr>
      <w:r>
        <w:rPr>
          <w:rFonts w:hint="eastAsia" w:ascii="宋体" w:hAnsi="宋体"/>
          <w:bCs/>
          <w:szCs w:val="32"/>
        </w:rPr>
        <w:t>式中</w:t>
      </w:r>
      <w:r>
        <w:rPr>
          <w:rFonts w:ascii="宋体" w:hAnsi="宋体"/>
          <w:bCs/>
          <w:szCs w:val="32"/>
        </w:rPr>
        <w:tab/>
      </w:r>
      <w:r>
        <w:rPr>
          <w:rFonts w:hint="eastAsia" w:ascii="宋体" w:hAnsi="宋体"/>
          <w:bCs/>
          <w:position w:val="-12"/>
          <w:szCs w:val="32"/>
        </w:rPr>
        <w:object>
          <v:shape id="_x0000_i1026" o:spt="75" type="#_x0000_t75" style="height:14.95pt;width:14.95pt;" o:ole="t" filled="f" o:preferrelative="t" stroked="f" coordsize="21600,21600">
            <v:path/>
            <v:fill on="f" focussize="0,0"/>
            <v:stroke on="f" joinstyle="miter"/>
            <v:imagedata r:id="rId20" o:title=""/>
            <o:lock v:ext="edit" aspectratio="t"/>
            <w10:wrap type="none"/>
            <w10:anchorlock/>
          </v:shape>
          <o:OLEObject Type="Embed" ProgID="Equation.3" ShapeID="_x0000_i1026" DrawAspect="Content" ObjectID="_1468075726" r:id="rId19">
            <o:LockedField>false</o:LockedField>
          </o:OLEObject>
        </w:object>
      </w:r>
      <w:r>
        <w:rPr>
          <w:rFonts w:hint="eastAsia" w:ascii="宋体" w:hAnsi="宋体"/>
          <w:bCs/>
          <w:szCs w:val="32"/>
        </w:rPr>
        <w:t>—相应于荷载效应标准组合时，基础底面处的平均压力值；</w:t>
      </w:r>
    </w:p>
    <w:p w14:paraId="08DC41A2">
      <w:pPr>
        <w:ind w:firstLine="840" w:firstLineChars="350"/>
        <w:rPr>
          <w:rFonts w:ascii="宋体" w:hAnsi="宋体"/>
          <w:bCs/>
          <w:szCs w:val="32"/>
        </w:rPr>
      </w:pPr>
      <w:r>
        <w:rPr>
          <w:rFonts w:hint="eastAsia" w:ascii="宋体" w:hAnsi="宋体"/>
          <w:bCs/>
          <w:position w:val="-12"/>
          <w:szCs w:val="32"/>
        </w:rPr>
        <w:object>
          <v:shape id="_x0000_i1027" o:spt="75" type="#_x0000_t75" style="height:14.95pt;width:14.95pt;" o:ole="t" filled="f" o:preferrelative="t" stroked="f" coordsize="21600,21600">
            <v:path/>
            <v:fill on="f" focussize="0,0"/>
            <v:stroke on="f" joinstyle="miter"/>
            <v:imagedata r:id="rId22" o:title=""/>
            <o:lock v:ext="edit" aspectratio="t"/>
            <w10:wrap type="none"/>
            <w10:anchorlock/>
          </v:shape>
          <o:OLEObject Type="Embed" ProgID="Equation.3" ShapeID="_x0000_i1027" DrawAspect="Content" ObjectID="_1468075727" r:id="rId21">
            <o:LockedField>false</o:LockedField>
          </o:OLEObject>
        </w:object>
      </w:r>
      <w:r>
        <w:rPr>
          <w:rFonts w:hint="eastAsia" w:ascii="宋体" w:hAnsi="宋体"/>
          <w:bCs/>
          <w:szCs w:val="32"/>
        </w:rPr>
        <w:t>—相应于荷载效应标准组合时，上部结构传至基础顶面的竖向力值；</w:t>
      </w:r>
    </w:p>
    <w:p w14:paraId="04CE910A">
      <w:pPr>
        <w:ind w:firstLine="840" w:firstLineChars="350"/>
        <w:rPr>
          <w:rFonts w:ascii="宋体" w:hAnsi="宋体"/>
          <w:bCs/>
          <w:szCs w:val="32"/>
        </w:rPr>
      </w:pPr>
      <w:r>
        <w:rPr>
          <w:rFonts w:hint="eastAsia" w:ascii="宋体" w:hAnsi="宋体"/>
          <w:bCs/>
          <w:position w:val="-12"/>
          <w:szCs w:val="32"/>
        </w:rPr>
        <w:object>
          <v:shape id="_x0000_i1028" o:spt="75" type="#_x0000_t75" style="height:14.95pt;width:21.6pt;" o:ole="t" filled="f" o:preferrelative="t" stroked="f" coordsize="21600,21600">
            <v:path/>
            <v:fill on="f" focussize="0,0"/>
            <v:stroke on="f" joinstyle="miter"/>
            <v:imagedata r:id="rId24" o:title=""/>
            <o:lock v:ext="edit" aspectratio="t"/>
            <w10:wrap type="none"/>
            <w10:anchorlock/>
          </v:shape>
          <o:OLEObject Type="Embed" ProgID="Equation.3" ShapeID="_x0000_i1028" DrawAspect="Content" ObjectID="_1468075728" r:id="rId23">
            <o:LockedField>false</o:LockedField>
          </o:OLEObject>
        </w:object>
      </w:r>
      <w:r>
        <w:rPr>
          <w:rFonts w:hint="eastAsia" w:ascii="宋体" w:hAnsi="宋体"/>
          <w:bCs/>
          <w:szCs w:val="32"/>
        </w:rPr>
        <w:t>—基础自重与基础上的土重之和；</w:t>
      </w:r>
    </w:p>
    <w:p w14:paraId="039ECE0E">
      <w:pPr>
        <w:ind w:firstLine="840" w:firstLineChars="350"/>
        <w:rPr>
          <w:rFonts w:ascii="宋体" w:hAnsi="宋体"/>
          <w:bCs/>
          <w:szCs w:val="32"/>
        </w:rPr>
      </w:pPr>
      <w:r>
        <w:rPr>
          <w:rFonts w:hint="eastAsia" w:ascii="宋体" w:hAnsi="宋体"/>
          <w:bCs/>
          <w:position w:val="-4"/>
          <w:szCs w:val="32"/>
        </w:rPr>
        <w:object>
          <v:shape id="_x0000_i1029" o:spt="75" type="#_x0000_t75" style="height:8.6pt;width:14.95pt;" o:ole="t" filled="f" o:preferrelative="t" stroked="f" coordsize="21600,21600">
            <v:path/>
            <v:fill on="f" focussize="0,0"/>
            <v:stroke on="f" joinstyle="miter"/>
            <v:imagedata r:id="rId26" o:title=""/>
            <o:lock v:ext="edit" aspectratio="t"/>
            <w10:wrap type="none"/>
            <w10:anchorlock/>
          </v:shape>
          <o:OLEObject Type="Embed" ProgID="Equation.3" ShapeID="_x0000_i1029" DrawAspect="Content" ObjectID="_1468075729" r:id="rId25">
            <o:LockedField>false</o:LockedField>
          </o:OLEObject>
        </w:object>
      </w:r>
      <w:r>
        <w:rPr>
          <w:rFonts w:hint="eastAsia" w:ascii="宋体" w:hAnsi="宋体"/>
          <w:bCs/>
          <w:szCs w:val="32"/>
        </w:rPr>
        <w:t>—基础底面面积；</w:t>
      </w:r>
    </w:p>
    <w:p w14:paraId="7E53A302">
      <w:pPr>
        <w:ind w:firstLine="840" w:firstLineChars="350"/>
        <w:rPr>
          <w:rFonts w:ascii="宋体" w:hAnsi="宋体"/>
          <w:bCs/>
          <w:szCs w:val="32"/>
        </w:rPr>
      </w:pPr>
      <w:r>
        <w:rPr>
          <w:rFonts w:hint="eastAsia" w:ascii="宋体" w:hAnsi="宋体"/>
          <w:bCs/>
          <w:position w:val="-12"/>
          <w:szCs w:val="32"/>
        </w:rPr>
        <w:object>
          <v:shape id="_x0000_i1030" o:spt="75" type="#_x0000_t75" style="height:14.95pt;width:14.4pt;" o:ole="t" filled="f" o:preferrelative="t" stroked="f" coordsize="21600,21600">
            <v:path/>
            <v:fill on="f" focussize="0,0"/>
            <v:stroke on="f" joinstyle="miter"/>
            <v:imagedata r:id="rId28" o:title=""/>
            <o:lock v:ext="edit" aspectratio="t"/>
            <w10:wrap type="none"/>
            <w10:anchorlock/>
          </v:shape>
          <o:OLEObject Type="Embed" ProgID="Equation.3" ShapeID="_x0000_i1030" DrawAspect="Content" ObjectID="_1468075730" r:id="rId27">
            <o:LockedField>false</o:LockedField>
          </o:OLEObject>
        </w:object>
      </w:r>
      <w:r>
        <w:rPr>
          <w:rFonts w:hint="eastAsia" w:ascii="宋体" w:hAnsi="宋体"/>
          <w:bCs/>
          <w:szCs w:val="32"/>
        </w:rPr>
        <w:t>—深宽修正后的地基承载力标准值</w:t>
      </w:r>
      <w:r>
        <w:rPr>
          <w:rFonts w:ascii="宋体" w:hAnsi="宋体"/>
          <w:bCs/>
          <w:szCs w:val="32"/>
        </w:rPr>
        <w:t>。</w:t>
      </w:r>
    </w:p>
    <w:p w14:paraId="69A17F35">
      <w:pPr>
        <w:ind w:firstLine="480"/>
        <w:rPr>
          <w:rFonts w:ascii="宋体" w:hAnsi="宋体"/>
          <w:bCs/>
          <w:szCs w:val="32"/>
        </w:rPr>
      </w:pPr>
      <w:r>
        <w:rPr>
          <w:rFonts w:hint="eastAsia" w:ascii="宋体" w:hAnsi="宋体"/>
          <w:bCs/>
          <w:szCs w:val="32"/>
        </w:rPr>
        <w:t>2 偏心荷载作用下</w:t>
      </w:r>
      <w:r>
        <w:rPr>
          <w:rFonts w:hint="eastAsia" w:ascii="宋体" w:hAnsi="宋体"/>
          <w:bCs/>
          <w:szCs w:val="32"/>
          <w:lang w:eastAsia="zh-CN"/>
        </w:rPr>
        <w:t>，</w:t>
      </w:r>
      <w:r>
        <w:rPr>
          <w:rFonts w:hint="eastAsia" w:ascii="宋体" w:hAnsi="宋体"/>
          <w:bCs/>
          <w:szCs w:val="32"/>
        </w:rPr>
        <w:t>除应符合式（9.3.4-1）外，尚应符合下式要求：</w:t>
      </w:r>
    </w:p>
    <w:p w14:paraId="7399FB47">
      <w:pPr>
        <w:ind w:firstLine="2520" w:firstLineChars="1050"/>
        <w:rPr>
          <w:rFonts w:ascii="宋体" w:hAnsi="宋体"/>
          <w:bCs/>
          <w:szCs w:val="32"/>
        </w:rPr>
      </w:pPr>
      <w:r>
        <w:rPr>
          <w:rFonts w:hint="eastAsia" w:ascii="宋体" w:hAnsi="宋体"/>
          <w:bCs/>
          <w:szCs w:val="32"/>
        </w:rPr>
        <w:object>
          <v:shape id="_x0000_i1031" o:spt="75" type="#_x0000_t75" style="height:14.95pt;width:63.4pt;" o:ole="t" filled="f" o:preferrelative="t" stroked="f" coordsize="21600,21600">
            <v:path/>
            <v:fill on="f" focussize="0,0"/>
            <v:stroke on="f" joinstyle="miter"/>
            <v:imagedata r:id="rId30" o:title=""/>
            <o:lock v:ext="edit" aspectratio="t"/>
            <w10:wrap type="none"/>
            <w10:anchorlock/>
          </v:shape>
          <o:OLEObject Type="Embed" ProgID="Equation.3" ShapeID="_x0000_i1031" DrawAspect="Content" ObjectID="_1468075731" r:id="rId29">
            <o:LockedField>false</o:LockedField>
          </o:OLEObject>
        </w:object>
      </w:r>
      <w:r>
        <w:rPr>
          <w:rFonts w:ascii="宋体" w:hAnsi="宋体"/>
          <w:bCs/>
          <w:szCs w:val="32"/>
        </w:rPr>
        <w:t xml:space="preserve">                      </w:t>
      </w:r>
      <w:r>
        <w:rPr>
          <w:rFonts w:hint="eastAsia" w:ascii="宋体" w:hAnsi="宋体"/>
          <w:bCs/>
          <w:szCs w:val="32"/>
        </w:rPr>
        <w:t>（</w:t>
      </w:r>
      <w:r>
        <w:rPr>
          <w:rFonts w:ascii="宋体" w:hAnsi="宋体"/>
          <w:bCs/>
          <w:szCs w:val="32"/>
        </w:rPr>
        <w:t>9.3.</w:t>
      </w:r>
      <w:r>
        <w:rPr>
          <w:rFonts w:hint="eastAsia" w:ascii="宋体" w:hAnsi="宋体"/>
          <w:bCs/>
          <w:szCs w:val="32"/>
        </w:rPr>
        <w:t>4</w:t>
      </w:r>
      <w:r>
        <w:rPr>
          <w:rFonts w:ascii="宋体" w:hAnsi="宋体"/>
          <w:bCs/>
          <w:szCs w:val="32"/>
        </w:rPr>
        <w:t>-2）</w:t>
      </w:r>
    </w:p>
    <w:p w14:paraId="7549C9A0">
      <w:pPr>
        <w:ind w:firstLine="2520" w:firstLineChars="1050"/>
        <w:rPr>
          <w:rFonts w:ascii="宋体" w:hAnsi="宋体"/>
          <w:bCs/>
          <w:szCs w:val="32"/>
        </w:rPr>
      </w:pPr>
      <w:r>
        <w:rPr>
          <w:rFonts w:hint="eastAsia" w:ascii="宋体" w:hAnsi="宋体"/>
          <w:bCs/>
          <w:position w:val="-24"/>
          <w:szCs w:val="32"/>
        </w:rPr>
        <w:object>
          <v:shape id="_x0000_i1032" o:spt="75" type="#_x0000_t75" style="height:27.4pt;width:99.4pt;" o:ole="t" filled="f" o:preferrelative="t" stroked="f" coordsize="21600,21600">
            <v:path/>
            <v:fill on="f" focussize="0,0"/>
            <v:stroke on="f" joinstyle="miter"/>
            <v:imagedata r:id="rId32" o:title=""/>
            <o:lock v:ext="edit" aspectratio="t"/>
            <w10:wrap type="none"/>
            <w10:anchorlock/>
          </v:shape>
          <o:OLEObject Type="Embed" ProgID="Equation.3" ShapeID="_x0000_i1032" DrawAspect="Content" ObjectID="_1468075732" r:id="rId31">
            <o:LockedField>false</o:LockedField>
          </o:OLEObject>
        </w:object>
      </w:r>
      <w:r>
        <w:rPr>
          <w:rFonts w:ascii="宋体" w:hAnsi="宋体"/>
          <w:bCs/>
          <w:szCs w:val="32"/>
        </w:rPr>
        <w:t xml:space="preserve">                </w:t>
      </w:r>
      <w:r>
        <w:rPr>
          <w:rFonts w:hint="eastAsia" w:ascii="宋体" w:hAnsi="宋体"/>
          <w:bCs/>
          <w:szCs w:val="32"/>
        </w:rPr>
        <w:t>（</w:t>
      </w:r>
      <w:r>
        <w:rPr>
          <w:rFonts w:ascii="宋体" w:hAnsi="宋体"/>
          <w:bCs/>
          <w:szCs w:val="32"/>
        </w:rPr>
        <w:t>9.3.</w:t>
      </w:r>
      <w:r>
        <w:rPr>
          <w:rFonts w:hint="eastAsia" w:ascii="宋体" w:hAnsi="宋体"/>
          <w:bCs/>
          <w:szCs w:val="32"/>
        </w:rPr>
        <w:t>4</w:t>
      </w:r>
      <w:r>
        <w:rPr>
          <w:rFonts w:ascii="宋体" w:hAnsi="宋体"/>
          <w:bCs/>
          <w:szCs w:val="32"/>
        </w:rPr>
        <w:t>-3）</w:t>
      </w:r>
    </w:p>
    <w:p w14:paraId="2AC902A0">
      <w:pPr>
        <w:ind w:firstLine="1" w:firstLineChars="0"/>
        <w:rPr>
          <w:rFonts w:ascii="宋体" w:hAnsi="宋体"/>
          <w:bCs/>
          <w:szCs w:val="32"/>
        </w:rPr>
      </w:pPr>
      <w:r>
        <w:rPr>
          <w:rFonts w:hint="eastAsia" w:ascii="宋体" w:hAnsi="宋体"/>
          <w:bCs/>
          <w:szCs w:val="32"/>
        </w:rPr>
        <w:t>式中</w:t>
      </w:r>
      <w:r>
        <w:rPr>
          <w:rFonts w:ascii="宋体" w:hAnsi="宋体"/>
          <w:bCs/>
          <w:szCs w:val="32"/>
        </w:rPr>
        <w:tab/>
      </w:r>
      <w:r>
        <w:rPr>
          <w:rFonts w:hint="eastAsia" w:ascii="宋体" w:hAnsi="宋体"/>
          <w:bCs/>
          <w:position w:val="-12"/>
          <w:szCs w:val="32"/>
        </w:rPr>
        <w:object>
          <v:shape id="_x0000_i1033" o:spt="75" type="#_x0000_t75" style="height:14.95pt;width:28.5pt;" o:ole="t" filled="f" o:preferrelative="t" stroked="f" coordsize="21600,21600">
            <v:path/>
            <v:fill on="f" focussize="0,0"/>
            <v:stroke on="f" joinstyle="miter"/>
            <v:imagedata r:id="rId34" o:title=""/>
            <o:lock v:ext="edit" aspectratio="t"/>
            <w10:wrap type="none"/>
            <w10:anchorlock/>
          </v:shape>
          <o:OLEObject Type="Embed" ProgID="Equation.3" ShapeID="_x0000_i1033" DrawAspect="Content" ObjectID="_1468075733" r:id="rId33">
            <o:LockedField>false</o:LockedField>
          </o:OLEObject>
        </w:object>
      </w:r>
      <w:r>
        <w:rPr>
          <w:rFonts w:hint="eastAsia" w:ascii="宋体" w:hAnsi="宋体"/>
          <w:bCs/>
          <w:szCs w:val="32"/>
        </w:rPr>
        <w:t>—相应于荷载效应标准组合时，基础底面边缘处最大压力值；</w:t>
      </w:r>
    </w:p>
    <w:p w14:paraId="7C768592">
      <w:pPr>
        <w:ind w:firstLine="840" w:firstLineChars="350"/>
        <w:rPr>
          <w:rFonts w:ascii="宋体" w:hAnsi="宋体"/>
          <w:bCs/>
          <w:szCs w:val="32"/>
        </w:rPr>
      </w:pPr>
      <w:r>
        <w:rPr>
          <w:rFonts w:hint="eastAsia" w:ascii="宋体" w:hAnsi="宋体"/>
          <w:bCs/>
          <w:position w:val="-12"/>
          <w:szCs w:val="32"/>
        </w:rPr>
        <w:object>
          <v:shape id="_x0000_i1034" o:spt="75" type="#_x0000_t75" style="height:14.95pt;width:14.4pt;" o:ole="t" filled="f" o:preferrelative="t" stroked="f" coordsize="21600,21600">
            <v:path/>
            <v:fill on="f" focussize="0,0"/>
            <v:stroke on="f" joinstyle="miter"/>
            <v:imagedata r:id="rId36" o:title=""/>
            <o:lock v:ext="edit" aspectratio="t"/>
            <w10:wrap type="none"/>
            <w10:anchorlock/>
          </v:shape>
          <o:OLEObject Type="Embed" ProgID="Equation.3" ShapeID="_x0000_i1034" DrawAspect="Content" ObjectID="_1468075734" r:id="rId35">
            <o:LockedField>false</o:LockedField>
          </o:OLEObject>
        </w:object>
      </w:r>
      <w:r>
        <w:rPr>
          <w:rFonts w:hint="eastAsia" w:ascii="宋体" w:hAnsi="宋体"/>
          <w:bCs/>
          <w:szCs w:val="32"/>
        </w:rPr>
        <w:t>—相应于荷载效应标准组合时，作用于基础底面的力矩值；</w:t>
      </w:r>
    </w:p>
    <w:p w14:paraId="69EF1CE2">
      <w:pPr>
        <w:ind w:firstLine="840" w:firstLineChars="350"/>
        <w:rPr>
          <w:rFonts w:ascii="宋体" w:hAnsi="宋体"/>
          <w:bCs/>
          <w:szCs w:val="32"/>
        </w:rPr>
      </w:pPr>
      <w:r>
        <w:rPr>
          <w:rFonts w:hint="eastAsia" w:ascii="宋体" w:hAnsi="宋体"/>
          <w:bCs/>
          <w:position w:val="-6"/>
          <w:szCs w:val="32"/>
        </w:rPr>
        <w:object>
          <v:shape id="_x0000_i1035" o:spt="75" type="#_x0000_t75" style="height:14.4pt;width:14.4pt;" o:ole="t" filled="f" o:preferrelative="t" stroked="f" coordsize="21600,21600">
            <v:path/>
            <v:fill on="f" focussize="0,0"/>
            <v:stroke on="f" joinstyle="miter"/>
            <v:imagedata r:id="rId38" o:title=""/>
            <o:lock v:ext="edit" aspectratio="t"/>
            <w10:wrap type="none"/>
            <w10:anchorlock/>
          </v:shape>
          <o:OLEObject Type="Embed" ProgID="Equation.3" ShapeID="_x0000_i1035" DrawAspect="Content" ObjectID="_1468075735" r:id="rId37">
            <o:LockedField>false</o:LockedField>
          </o:OLEObject>
        </w:object>
      </w:r>
      <w:r>
        <w:rPr>
          <w:rFonts w:hint="eastAsia" w:ascii="宋体" w:hAnsi="宋体"/>
          <w:bCs/>
          <w:szCs w:val="32"/>
        </w:rPr>
        <w:t>—基础底面的抵抗矩。</w:t>
      </w:r>
    </w:p>
    <w:p w14:paraId="15340B35">
      <w:pPr>
        <w:ind w:firstLine="480"/>
        <w:rPr>
          <w:rFonts w:ascii="宋体" w:hAnsi="宋体"/>
          <w:bCs/>
          <w:szCs w:val="32"/>
        </w:rPr>
      </w:pPr>
      <w:r>
        <w:rPr>
          <w:rFonts w:hint="eastAsia" w:ascii="宋体" w:hAnsi="宋体"/>
          <w:bCs/>
          <w:szCs w:val="32"/>
        </w:rPr>
        <w:t>3 当考虑地震作用时应按下列公式计算</w:t>
      </w:r>
    </w:p>
    <w:p w14:paraId="089EA276">
      <w:pPr>
        <w:ind w:firstLine="2520" w:firstLineChars="1050"/>
        <w:rPr>
          <w:rFonts w:ascii="宋体" w:hAnsi="宋体"/>
          <w:bCs/>
          <w:szCs w:val="32"/>
        </w:rPr>
      </w:pPr>
      <w:r>
        <w:rPr>
          <w:rFonts w:hint="eastAsia" w:ascii="宋体" w:hAnsi="宋体"/>
          <w:bCs/>
          <w:szCs w:val="32"/>
        </w:rPr>
        <w:object>
          <v:shape id="_x0000_i1036" o:spt="75" type="#_x0000_t75" style="height:21.05pt;width:36pt;" o:ole="t" filled="f" o:preferrelative="t" stroked="f" coordsize="21600,21600">
            <v:path/>
            <v:fill on="f" focussize="0,0"/>
            <v:stroke on="f" joinstyle="miter"/>
            <v:imagedata r:id="rId40" o:title=""/>
            <o:lock v:ext="edit" aspectratio="t"/>
            <w10:wrap type="none"/>
            <w10:anchorlock/>
          </v:shape>
          <o:OLEObject Type="Embed" ProgID="Equation.3" ShapeID="_x0000_i1036" DrawAspect="Content" ObjectID="_1468075736" r:id="rId39">
            <o:LockedField>false</o:LockedField>
          </o:OLEObject>
        </w:object>
      </w:r>
      <w:r>
        <w:rPr>
          <w:rFonts w:ascii="宋体" w:hAnsi="宋体"/>
          <w:bCs/>
          <w:szCs w:val="32"/>
        </w:rPr>
        <w:t xml:space="preserve">                          </w:t>
      </w:r>
      <w:r>
        <w:rPr>
          <w:rFonts w:hint="eastAsia" w:ascii="宋体" w:hAnsi="宋体"/>
          <w:bCs/>
          <w:szCs w:val="32"/>
        </w:rPr>
        <w:t>（</w:t>
      </w:r>
      <w:r>
        <w:rPr>
          <w:rFonts w:ascii="宋体" w:hAnsi="宋体"/>
          <w:bCs/>
          <w:szCs w:val="32"/>
        </w:rPr>
        <w:t>9.3.</w:t>
      </w:r>
      <w:r>
        <w:rPr>
          <w:rFonts w:hint="eastAsia" w:ascii="宋体" w:hAnsi="宋体"/>
          <w:bCs/>
          <w:szCs w:val="32"/>
        </w:rPr>
        <w:t>4</w:t>
      </w:r>
      <w:r>
        <w:rPr>
          <w:rFonts w:ascii="宋体" w:hAnsi="宋体"/>
          <w:bCs/>
          <w:szCs w:val="32"/>
        </w:rPr>
        <w:t>-4）</w:t>
      </w:r>
    </w:p>
    <w:p w14:paraId="48CB30CE">
      <w:pPr>
        <w:ind w:firstLine="2520" w:firstLineChars="1050"/>
        <w:rPr>
          <w:rFonts w:ascii="宋体" w:hAnsi="宋体"/>
          <w:bCs/>
          <w:szCs w:val="32"/>
        </w:rPr>
      </w:pPr>
      <w:r>
        <w:rPr>
          <w:rFonts w:hint="eastAsia" w:ascii="宋体" w:hAnsi="宋体"/>
          <w:bCs/>
          <w:szCs w:val="32"/>
        </w:rPr>
        <w:object>
          <v:shape id="_x0000_i1037" o:spt="75" type="#_x0000_t75" style="height:21.05pt;width:63.4pt;" o:ole="t" filled="f" o:preferrelative="t" stroked="f" coordsize="21600,21600">
            <v:path/>
            <v:fill on="f" focussize="0,0"/>
            <v:stroke on="f" joinstyle="miter"/>
            <v:imagedata r:id="rId42" o:title=""/>
            <o:lock v:ext="edit" aspectratio="t"/>
            <w10:wrap type="none"/>
            <w10:anchorlock/>
          </v:shape>
          <o:OLEObject Type="Embed" ProgID="Equation.3" ShapeID="_x0000_i1037" DrawAspect="Content" ObjectID="_1468075737" r:id="rId41">
            <o:LockedField>false</o:LockedField>
          </o:OLEObject>
        </w:object>
      </w:r>
      <w:r>
        <w:rPr>
          <w:rFonts w:ascii="宋体" w:hAnsi="宋体"/>
          <w:bCs/>
          <w:szCs w:val="32"/>
        </w:rPr>
        <w:t xml:space="preserve">                     </w:t>
      </w:r>
      <w:r>
        <w:rPr>
          <w:rFonts w:hint="eastAsia" w:ascii="宋体" w:hAnsi="宋体"/>
          <w:bCs/>
          <w:szCs w:val="32"/>
        </w:rPr>
        <w:t>（</w:t>
      </w:r>
      <w:r>
        <w:rPr>
          <w:rFonts w:ascii="宋体" w:hAnsi="宋体"/>
          <w:bCs/>
          <w:szCs w:val="32"/>
        </w:rPr>
        <w:t>9.3.</w:t>
      </w:r>
      <w:r>
        <w:rPr>
          <w:rFonts w:hint="eastAsia" w:ascii="宋体" w:hAnsi="宋体"/>
          <w:bCs/>
          <w:szCs w:val="32"/>
        </w:rPr>
        <w:t>4</w:t>
      </w:r>
      <w:r>
        <w:rPr>
          <w:rFonts w:ascii="宋体" w:hAnsi="宋体"/>
          <w:bCs/>
          <w:szCs w:val="32"/>
        </w:rPr>
        <w:t>-5）</w:t>
      </w:r>
    </w:p>
    <w:p w14:paraId="361C218F">
      <w:pPr>
        <w:ind w:firstLine="2520" w:firstLineChars="1050"/>
        <w:rPr>
          <w:rFonts w:ascii="宋体" w:hAnsi="宋体"/>
          <w:bCs/>
          <w:szCs w:val="32"/>
        </w:rPr>
      </w:pPr>
      <w:r>
        <w:rPr>
          <w:rFonts w:hint="eastAsia" w:ascii="宋体" w:hAnsi="宋体"/>
          <w:bCs/>
          <w:position w:val="-12"/>
          <w:szCs w:val="32"/>
        </w:rPr>
        <w:object>
          <v:shape id="_x0000_i1038" o:spt="75" type="#_x0000_t75" style="height:21.05pt;width:57.05pt;" o:ole="t" filled="f" o:preferrelative="t" stroked="f" coordsize="21600,21600">
            <v:path/>
            <v:fill on="f" focussize="0,0"/>
            <v:stroke on="f" joinstyle="miter"/>
            <v:imagedata r:id="rId44" o:title=""/>
            <o:lock v:ext="edit" aspectratio="t"/>
            <w10:wrap type="none"/>
            <w10:anchorlock/>
          </v:shape>
          <o:OLEObject Type="Embed" ProgID="Equation.3" ShapeID="_x0000_i1038" DrawAspect="Content" ObjectID="_1468075738" r:id="rId43">
            <o:LockedField>false</o:LockedField>
          </o:OLEObject>
        </w:object>
      </w:r>
      <w:r>
        <w:rPr>
          <w:rFonts w:ascii="宋体" w:hAnsi="宋体"/>
          <w:bCs/>
          <w:szCs w:val="32"/>
        </w:rPr>
        <w:t xml:space="preserve">                      </w:t>
      </w:r>
      <w:r>
        <w:rPr>
          <w:rFonts w:hint="eastAsia" w:ascii="宋体" w:hAnsi="宋体"/>
          <w:bCs/>
          <w:szCs w:val="32"/>
        </w:rPr>
        <w:t>（</w:t>
      </w:r>
      <w:r>
        <w:rPr>
          <w:rFonts w:ascii="宋体" w:hAnsi="宋体"/>
          <w:bCs/>
          <w:szCs w:val="32"/>
        </w:rPr>
        <w:t>9.3.</w:t>
      </w:r>
      <w:r>
        <w:rPr>
          <w:rFonts w:hint="eastAsia" w:ascii="宋体" w:hAnsi="宋体"/>
          <w:bCs/>
          <w:szCs w:val="32"/>
        </w:rPr>
        <w:t>4</w:t>
      </w:r>
      <w:r>
        <w:rPr>
          <w:rFonts w:ascii="宋体" w:hAnsi="宋体"/>
          <w:bCs/>
          <w:szCs w:val="32"/>
        </w:rPr>
        <w:t>-6）</w:t>
      </w:r>
    </w:p>
    <w:p w14:paraId="704032CE">
      <w:pPr>
        <w:ind w:firstLine="1" w:firstLineChars="0"/>
        <w:rPr>
          <w:rFonts w:ascii="宋体" w:hAnsi="宋体"/>
          <w:bCs/>
          <w:szCs w:val="32"/>
        </w:rPr>
      </w:pPr>
      <w:r>
        <w:rPr>
          <w:rFonts w:hint="eastAsia" w:ascii="宋体" w:hAnsi="宋体"/>
          <w:bCs/>
          <w:szCs w:val="32"/>
        </w:rPr>
        <w:t>式中</w:t>
      </w:r>
      <w:r>
        <w:rPr>
          <w:rFonts w:ascii="宋体" w:hAnsi="宋体"/>
          <w:bCs/>
          <w:szCs w:val="32"/>
        </w:rPr>
        <w:t xml:space="preserve">   </w:t>
      </w:r>
      <w:r>
        <w:rPr>
          <w:rFonts w:hint="eastAsia" w:ascii="宋体" w:hAnsi="宋体"/>
          <w:bCs/>
          <w:position w:val="-12"/>
          <w:szCs w:val="32"/>
        </w:rPr>
        <w:object>
          <v:shape id="_x0000_i1039" o:spt="75" type="#_x0000_t75" style="height:21.05pt;width:14.4pt;" o:ole="t" filled="f" o:preferrelative="t" stroked="f" coordsize="21600,21600">
            <v:path/>
            <v:fill on="f" focussize="0,0"/>
            <v:stroke on="f" joinstyle="miter"/>
            <v:imagedata r:id="rId46" o:title=""/>
            <o:lock v:ext="edit" aspectratio="t"/>
            <w10:wrap type="none"/>
            <w10:anchorlock/>
          </v:shape>
          <o:OLEObject Type="Embed" ProgID="Equation.3" ShapeID="_x0000_i1039" DrawAspect="Content" ObjectID="_1468075739" r:id="rId45">
            <o:LockedField>false</o:LockedField>
          </o:OLEObject>
        </w:object>
      </w:r>
      <w:r>
        <w:rPr>
          <w:rFonts w:hint="eastAsia" w:ascii="宋体" w:hAnsi="宋体"/>
          <w:bCs/>
          <w:szCs w:val="32"/>
        </w:rPr>
        <w:t>—调整后的地基抗震承载力；</w:t>
      </w:r>
    </w:p>
    <w:p w14:paraId="69E9EA17">
      <w:pPr>
        <w:ind w:firstLine="840" w:firstLineChars="350"/>
        <w:rPr>
          <w:rFonts w:ascii="宋体" w:hAnsi="宋体"/>
          <w:bCs/>
          <w:szCs w:val="32"/>
        </w:rPr>
      </w:pPr>
      <w:r>
        <w:rPr>
          <w:rFonts w:hint="eastAsia" w:ascii="宋体" w:hAnsi="宋体"/>
          <w:bCs/>
          <w:position w:val="-12"/>
          <w:szCs w:val="32"/>
        </w:rPr>
        <w:object>
          <v:shape id="_x0000_i1040" o:spt="75" type="#_x0000_t75" style="height:21.05pt;width:14.95pt;" o:ole="t" filled="f" o:preferrelative="t" stroked="f" coordsize="21600,21600">
            <v:path/>
            <v:fill on="f" focussize="0,0"/>
            <v:stroke on="f" joinstyle="miter"/>
            <v:imagedata r:id="rId48" o:title=""/>
            <o:lock v:ext="edit" aspectratio="t"/>
            <w10:wrap type="none"/>
            <w10:anchorlock/>
          </v:shape>
          <o:OLEObject Type="Embed" ProgID="Equation.3" ShapeID="_x0000_i1040" DrawAspect="Content" ObjectID="_1468075740" r:id="rId47">
            <o:LockedField>false</o:LockedField>
          </o:OLEObject>
        </w:object>
      </w:r>
      <w:r>
        <w:rPr>
          <w:rFonts w:hint="eastAsia" w:ascii="宋体" w:hAnsi="宋体"/>
          <w:bCs/>
          <w:szCs w:val="32"/>
        </w:rPr>
        <w:t>—地基抗震承载力调整系数，应按现行国家标准《建筑抗震设计标准》</w:t>
      </w:r>
      <w:r>
        <w:rPr>
          <w:rFonts w:ascii="宋体" w:hAnsi="宋体"/>
          <w:bCs/>
          <w:szCs w:val="32"/>
        </w:rPr>
        <w:t xml:space="preserve"> </w:t>
      </w:r>
      <w:r>
        <w:rPr>
          <w:rFonts w:hint="eastAsia" w:ascii="宋体" w:hAnsi="宋体"/>
          <w:bCs/>
          <w:szCs w:val="32"/>
        </w:rPr>
        <w:t>GB/T50011</w:t>
      </w:r>
      <w:r>
        <w:rPr>
          <w:rFonts w:ascii="宋体" w:hAnsi="宋体"/>
          <w:bCs/>
          <w:szCs w:val="32"/>
        </w:rPr>
        <w:t>采用；</w:t>
      </w:r>
    </w:p>
    <w:p w14:paraId="4DC66BDE">
      <w:pPr>
        <w:ind w:firstLine="840" w:firstLineChars="350"/>
        <w:rPr>
          <w:rFonts w:ascii="宋体" w:hAnsi="宋体"/>
          <w:bCs/>
          <w:szCs w:val="32"/>
        </w:rPr>
      </w:pPr>
      <w:r>
        <w:rPr>
          <w:rFonts w:hint="eastAsia" w:ascii="宋体" w:hAnsi="宋体"/>
          <w:bCs/>
          <w:position w:val="-10"/>
          <w:szCs w:val="32"/>
        </w:rPr>
        <w:object>
          <v:shape id="_x0000_i1041" o:spt="75" type="#_x0000_t75" style="height:14.4pt;width:14.95pt;" o:ole="t" filled="f" o:preferrelative="t" stroked="f" coordsize="21600,21600">
            <v:path/>
            <v:fill on="f" focussize="0,0"/>
            <v:stroke on="f" joinstyle="miter"/>
            <v:imagedata r:id="rId50" o:title=""/>
            <o:lock v:ext="edit" aspectratio="t"/>
            <w10:wrap type="none"/>
            <w10:anchorlock/>
          </v:shape>
          <o:OLEObject Type="Embed" ProgID="Equation.3" ShapeID="_x0000_i1041" DrawAspect="Content" ObjectID="_1468075741" r:id="rId49">
            <o:LockedField>false</o:LockedField>
          </o:OLEObject>
        </w:object>
      </w:r>
      <w:r>
        <w:rPr>
          <w:rFonts w:hint="eastAsia" w:ascii="宋体" w:hAnsi="宋体"/>
          <w:bCs/>
          <w:szCs w:val="32"/>
        </w:rPr>
        <w:t>—地震作用效应标准组合的基础底面平均压力；</w:t>
      </w:r>
    </w:p>
    <w:p w14:paraId="5024F29F">
      <w:pPr>
        <w:ind w:firstLine="840" w:firstLineChars="350"/>
        <w:rPr>
          <w:rFonts w:ascii="宋体" w:hAnsi="宋体"/>
          <w:bCs/>
          <w:szCs w:val="32"/>
        </w:rPr>
      </w:pPr>
      <w:r>
        <w:rPr>
          <w:rFonts w:hint="eastAsia" w:ascii="宋体" w:hAnsi="宋体"/>
          <w:bCs/>
          <w:position w:val="-12"/>
          <w:szCs w:val="32"/>
        </w:rPr>
        <w:object>
          <v:shape id="_x0000_i1042" o:spt="75" type="#_x0000_t75" style="height:21.05pt;width:21.6pt;" o:ole="t" filled="f" o:preferrelative="t" stroked="f" coordsize="21600,21600">
            <v:path/>
            <v:fill on="f" focussize="0,0"/>
            <v:stroke on="f" joinstyle="miter"/>
            <v:imagedata r:id="rId52" o:title=""/>
            <o:lock v:ext="edit" aspectratio="t"/>
            <w10:wrap type="none"/>
            <w10:anchorlock/>
          </v:shape>
          <o:OLEObject Type="Embed" ProgID="Equation.3" ShapeID="_x0000_i1042" DrawAspect="Content" ObjectID="_1468075742" r:id="rId51">
            <o:LockedField>false</o:LockedField>
          </o:OLEObject>
        </w:object>
      </w:r>
      <w:r>
        <w:rPr>
          <w:rFonts w:hint="eastAsia" w:ascii="宋体" w:hAnsi="宋体"/>
          <w:bCs/>
          <w:szCs w:val="32"/>
        </w:rPr>
        <w:t>—地震作用效应标准组合的基础边缘的最大压力。</w:t>
      </w:r>
    </w:p>
    <w:p w14:paraId="347CA8D6">
      <w:pPr>
        <w:ind w:firstLine="480"/>
        <w:rPr>
          <w:rFonts w:ascii="宋体" w:hAnsi="宋体"/>
          <w:bCs/>
          <w:szCs w:val="32"/>
        </w:rPr>
      </w:pPr>
      <w:r>
        <w:rPr>
          <w:rFonts w:hint="eastAsia" w:ascii="宋体" w:hAnsi="宋体"/>
          <w:bCs/>
          <w:szCs w:val="32"/>
        </w:rPr>
        <w:t>4 地基压缩层范围有软弱下卧层时，应按下式验算软弱下卧层的地基承载力</w:t>
      </w:r>
    </w:p>
    <w:p w14:paraId="2D65E2E0">
      <w:pPr>
        <w:ind w:firstLine="2520" w:firstLineChars="1200"/>
        <w:rPr>
          <w:rFonts w:ascii="宋体" w:hAnsi="宋体"/>
          <w:bCs/>
          <w:szCs w:val="32"/>
        </w:rPr>
      </w:pPr>
      <w:r>
        <w:rPr>
          <w:rFonts w:ascii="Times New Roman" w:hAnsi="Times New Roman" w:cs="Courier New"/>
          <w:position w:val="-12"/>
          <w:sz w:val="21"/>
          <w:szCs w:val="21"/>
        </w:rPr>
        <w:object>
          <v:shape id="_x0000_i1043" o:spt="75" type="#_x0000_t75" style="height:21.6pt;width:72pt;" o:ole="t" filled="f" o:preferrelative="t" stroked="f" coordsize="21600,21600">
            <v:path/>
            <v:fill on="f" focussize="0,0"/>
            <v:stroke on="f" joinstyle="miter"/>
            <v:imagedata r:id="rId54" o:title=""/>
            <o:lock v:ext="edit" aspectratio="t"/>
            <w10:wrap type="none"/>
            <w10:anchorlock/>
          </v:shape>
          <o:OLEObject Type="Embed" ProgID="Equation.3" ShapeID="_x0000_i1043" DrawAspect="Content" ObjectID="_1468075743" r:id="rId53">
            <o:LockedField>false</o:LockedField>
          </o:OLEObject>
        </w:object>
      </w:r>
      <w:r>
        <w:rPr>
          <w:rFonts w:ascii="Times New Roman" w:hAnsi="Times New Roman" w:cs="Courier New"/>
          <w:sz w:val="21"/>
          <w:szCs w:val="21"/>
        </w:rPr>
        <w:t xml:space="preserve">                        </w:t>
      </w:r>
      <w:r>
        <w:rPr>
          <w:rFonts w:hint="eastAsia" w:ascii="宋体" w:hAnsi="宋体"/>
          <w:bCs/>
          <w:szCs w:val="32"/>
        </w:rPr>
        <w:t>（</w:t>
      </w:r>
      <w:r>
        <w:rPr>
          <w:rFonts w:ascii="宋体" w:hAnsi="宋体"/>
          <w:bCs/>
          <w:szCs w:val="32"/>
        </w:rPr>
        <w:t>9.3.</w:t>
      </w:r>
      <w:r>
        <w:rPr>
          <w:rFonts w:hint="eastAsia" w:ascii="宋体" w:hAnsi="宋体"/>
          <w:bCs/>
          <w:szCs w:val="32"/>
        </w:rPr>
        <w:t>4</w:t>
      </w:r>
      <w:r>
        <w:rPr>
          <w:rFonts w:ascii="宋体" w:hAnsi="宋体"/>
          <w:bCs/>
          <w:szCs w:val="32"/>
        </w:rPr>
        <w:t>-7</w:t>
      </w:r>
      <w:r>
        <w:rPr>
          <w:rFonts w:hint="eastAsia" w:ascii="宋体" w:hAnsi="宋体"/>
          <w:bCs/>
          <w:szCs w:val="32"/>
        </w:rPr>
        <w:t>）</w:t>
      </w:r>
    </w:p>
    <w:p w14:paraId="38BD69A4">
      <w:pPr>
        <w:ind w:firstLine="1" w:firstLineChars="0"/>
        <w:rPr>
          <w:rFonts w:ascii="宋体" w:hAnsi="宋体"/>
          <w:bCs/>
          <w:szCs w:val="32"/>
        </w:rPr>
      </w:pPr>
      <w:r>
        <w:rPr>
          <w:rFonts w:hint="eastAsia" w:ascii="宋体" w:hAnsi="宋体"/>
          <w:bCs/>
          <w:szCs w:val="32"/>
        </w:rPr>
        <w:t>式中</w:t>
      </w:r>
      <w:r>
        <w:rPr>
          <w:rFonts w:ascii="宋体" w:hAnsi="宋体"/>
          <w:bCs/>
          <w:szCs w:val="32"/>
        </w:rPr>
        <w:t xml:space="preserve">  </w:t>
      </w:r>
      <w:r>
        <w:rPr>
          <w:rFonts w:ascii="Times New Roman" w:hAnsi="Times New Roman"/>
          <w:position w:val="-10"/>
          <w:sz w:val="21"/>
          <w:szCs w:val="21"/>
        </w:rPr>
        <w:object>
          <v:shape id="_x0000_i1044" o:spt="75" type="#_x0000_t75" style="height:21.05pt;width:21.05pt;" o:ole="t" filled="f" o:preferrelative="t" stroked="f" coordsize="21600,21600">
            <v:path/>
            <v:fill on="f" focussize="0,0"/>
            <v:stroke on="f" joinstyle="miter"/>
            <v:imagedata r:id="rId56" o:title=""/>
            <o:lock v:ext="edit" aspectratio="t"/>
            <w10:wrap type="none"/>
            <w10:anchorlock/>
          </v:shape>
          <o:OLEObject Type="Embed" ProgID="Equation.3" ShapeID="_x0000_i1044" DrawAspect="Content" ObjectID="_1468075744" r:id="rId55">
            <o:LockedField>false</o:LockedField>
          </o:OLEObject>
        </w:object>
      </w:r>
      <w:r>
        <w:rPr>
          <w:rFonts w:hint="eastAsia" w:ascii="宋体" w:hAnsi="宋体"/>
          <w:bCs/>
          <w:szCs w:val="32"/>
        </w:rPr>
        <w:t>—相应于荷载效应标准组合时，软弱下卧层顶面处的附加压力值（</w:t>
      </w:r>
      <w:r>
        <w:rPr>
          <w:rFonts w:ascii="宋体" w:hAnsi="宋体"/>
          <w:bCs/>
          <w:szCs w:val="32"/>
        </w:rPr>
        <w:t>kPa）；</w:t>
      </w:r>
    </w:p>
    <w:p w14:paraId="558A903E">
      <w:pPr>
        <w:ind w:left="600" w:leftChars="250" w:firstLine="120" w:firstLineChars="50"/>
        <w:rPr>
          <w:rFonts w:ascii="宋体" w:hAnsi="宋体"/>
          <w:bCs/>
          <w:position w:val="-10"/>
          <w:szCs w:val="32"/>
        </w:rPr>
      </w:pPr>
      <w:r>
        <w:rPr>
          <w:rFonts w:ascii="宋体" w:hAnsi="宋体"/>
          <w:bCs/>
          <w:position w:val="-10"/>
          <w:szCs w:val="32"/>
        </w:rPr>
        <w:object>
          <v:shape id="_x0000_i1045" o:spt="75" type="#_x0000_t75" style="height:21.05pt;width:21.05pt;" o:ole="t" filled="f" o:preferrelative="t" stroked="f" coordsize="21600,21600">
            <v:path/>
            <v:fill on="f" focussize="0,0"/>
            <v:stroke on="f" joinstyle="miter"/>
            <v:imagedata r:id="rId58" o:title=""/>
            <o:lock v:ext="edit" aspectratio="t"/>
            <w10:wrap type="none"/>
            <w10:anchorlock/>
          </v:shape>
          <o:OLEObject Type="Embed" ProgID="Equation.3" ShapeID="_x0000_i1045" DrawAspect="Content" ObjectID="_1468075745" r:id="rId57">
            <o:LockedField>false</o:LockedField>
          </o:OLEObject>
        </w:object>
      </w:r>
      <w:r>
        <w:rPr>
          <w:rFonts w:hint="eastAsia" w:ascii="宋体" w:hAnsi="宋体"/>
          <w:bCs/>
          <w:position w:val="-10"/>
          <w:szCs w:val="32"/>
        </w:rPr>
        <w:t>—软弱下卧层顶面处土的自重压力值（</w:t>
      </w:r>
      <w:r>
        <w:rPr>
          <w:rFonts w:ascii="宋体" w:hAnsi="宋体"/>
          <w:bCs/>
          <w:position w:val="-10"/>
          <w:szCs w:val="32"/>
        </w:rPr>
        <w:t>kPa）；</w:t>
      </w:r>
      <w:r>
        <w:rPr>
          <w:rFonts w:ascii="宋体" w:hAnsi="宋体"/>
          <w:bCs/>
          <w:position w:val="-10"/>
          <w:szCs w:val="32"/>
        </w:rPr>
        <w:cr/>
      </w:r>
      <w:r>
        <w:rPr>
          <w:rFonts w:ascii="宋体" w:hAnsi="宋体"/>
          <w:bCs/>
          <w:position w:val="-10"/>
          <w:szCs w:val="32"/>
        </w:rPr>
        <w:t xml:space="preserve"> </w:t>
      </w:r>
      <w:r>
        <w:rPr>
          <w:rFonts w:ascii="宋体" w:hAnsi="宋体"/>
          <w:bCs/>
          <w:position w:val="-10"/>
          <w:szCs w:val="32"/>
        </w:rPr>
        <w:object>
          <v:shape id="_x0000_i1046" o:spt="75" type="#_x0000_t75" style="height:21.05pt;width:14.95pt;" o:ole="t" filled="f" o:preferrelative="t" stroked="f" coordsize="21600,21600">
            <v:path/>
            <v:fill on="f" focussize="0,0"/>
            <v:stroke on="f" joinstyle="miter"/>
            <v:imagedata r:id="rId60" o:title=""/>
            <o:lock v:ext="edit" aspectratio="t"/>
            <w10:wrap type="none"/>
            <w10:anchorlock/>
          </v:shape>
          <o:OLEObject Type="Embed" ProgID="Equation.3" ShapeID="_x0000_i1046" DrawAspect="Content" ObjectID="_1468075746" r:id="rId59">
            <o:LockedField>false</o:LockedField>
          </o:OLEObject>
        </w:object>
      </w:r>
      <w:r>
        <w:rPr>
          <w:rFonts w:hint="eastAsia" w:ascii="宋体" w:hAnsi="宋体"/>
          <w:bCs/>
          <w:position w:val="-10"/>
          <w:szCs w:val="32"/>
        </w:rPr>
        <w:t>—软弱下卧层顶面处经深度修正后的地基承载力标准值（</w:t>
      </w:r>
      <w:r>
        <w:rPr>
          <w:rFonts w:ascii="宋体" w:hAnsi="宋体"/>
          <w:bCs/>
          <w:position w:val="-10"/>
          <w:szCs w:val="32"/>
        </w:rPr>
        <w:t>kPa）。</w:t>
      </w:r>
    </w:p>
    <w:p w14:paraId="3FCC884B">
      <w:pPr>
        <w:pStyle w:val="3"/>
        <w:numPr>
          <w:ilvl w:val="1"/>
          <w:numId w:val="11"/>
        </w:numPr>
      </w:pPr>
      <w:bookmarkStart w:id="955" w:name="_Toc19676"/>
      <w:bookmarkStart w:id="956" w:name="_Toc22198"/>
      <w:r>
        <w:rPr>
          <w:rFonts w:hint="eastAsia"/>
        </w:rPr>
        <w:t>地基基础设计</w:t>
      </w:r>
      <w:bookmarkEnd w:id="955"/>
      <w:bookmarkEnd w:id="956"/>
    </w:p>
    <w:p w14:paraId="2495830F">
      <w:pPr>
        <w:pStyle w:val="4"/>
        <w:numPr>
          <w:ilvl w:val="2"/>
          <w:numId w:val="11"/>
        </w:numPr>
        <w:tabs>
          <w:tab w:val="clear" w:pos="0"/>
        </w:tabs>
        <w:ind w:firstLine="0" w:firstLineChars="0"/>
        <w:rPr>
          <w:rFonts w:cs="宋体"/>
          <w:bCs w:val="0"/>
          <w:iCs/>
          <w:lang w:val="en-US"/>
        </w:rPr>
      </w:pPr>
      <w:r>
        <w:rPr>
          <w:rFonts w:hint="eastAsia" w:cs="宋体"/>
          <w:bCs w:val="0"/>
          <w:iCs/>
          <w:lang w:val="en-US"/>
        </w:rPr>
        <w:t>住宅建筑选择建造场地时，应根据工程需要及北京地震活动情况、工程地质和地震地质的有关资料，对抗震有利、一般、不利和危险地段做出评价。对不利地段，应尽量避开，当无法避开时应采取有效的措施。不应在危险地段建造住宅。</w:t>
      </w:r>
    </w:p>
    <w:p w14:paraId="16D199D0">
      <w:pPr>
        <w:pStyle w:val="4"/>
        <w:numPr>
          <w:ilvl w:val="2"/>
          <w:numId w:val="11"/>
        </w:numPr>
        <w:tabs>
          <w:tab w:val="clear" w:pos="0"/>
        </w:tabs>
        <w:ind w:firstLine="0" w:firstLineChars="0"/>
        <w:rPr>
          <w:rFonts w:cs="宋体"/>
          <w:bCs w:val="0"/>
          <w:iCs/>
          <w:lang w:val="en-US"/>
        </w:rPr>
      </w:pPr>
      <w:r>
        <w:rPr>
          <w:rFonts w:hint="eastAsia" w:cs="宋体"/>
          <w:bCs w:val="0"/>
          <w:iCs/>
          <w:lang w:val="en-US"/>
        </w:rPr>
        <w:t>无地下室的多层住宅，在满足地基稳定和地基承载力、变形要求的前提下，基础宜浅埋，但埋深不应小于冻结深度。基础如采用灰土垫层，埋深应算至垫层上皮，若为混凝土垫层，应算至垫层底面。</w:t>
      </w:r>
    </w:p>
    <w:p w14:paraId="02067F5B">
      <w:pPr>
        <w:pStyle w:val="4"/>
        <w:numPr>
          <w:ilvl w:val="2"/>
          <w:numId w:val="11"/>
        </w:numPr>
        <w:tabs>
          <w:tab w:val="clear" w:pos="0"/>
        </w:tabs>
        <w:ind w:firstLine="0" w:firstLineChars="0"/>
        <w:rPr>
          <w:rFonts w:cs="宋体"/>
          <w:bCs w:val="0"/>
          <w:iCs/>
          <w:lang w:val="en-US"/>
        </w:rPr>
      </w:pPr>
      <w:r>
        <w:rPr>
          <w:rFonts w:hint="eastAsia" w:cs="宋体"/>
          <w:bCs w:val="0"/>
          <w:iCs/>
          <w:lang w:val="en-US"/>
        </w:rPr>
        <w:t>高宽比大于4 的高层住宅，在地震作用下基础底面不宜出现脱离区（零应力区）；其他住宅，基础底面与地基土之间脱离区（零应力区）面积不应超过基础底面面积的15%。</w:t>
      </w:r>
    </w:p>
    <w:p w14:paraId="4E5081C7">
      <w:pPr>
        <w:pStyle w:val="4"/>
        <w:numPr>
          <w:ilvl w:val="2"/>
          <w:numId w:val="11"/>
        </w:numPr>
        <w:tabs>
          <w:tab w:val="clear" w:pos="0"/>
        </w:tabs>
        <w:ind w:firstLine="0" w:firstLineChars="0"/>
        <w:rPr>
          <w:rFonts w:cs="宋体"/>
          <w:bCs w:val="0"/>
          <w:iCs/>
          <w:lang w:val="en-US"/>
        </w:rPr>
      </w:pPr>
      <w:r>
        <w:rPr>
          <w:rFonts w:hint="eastAsia" w:cs="宋体"/>
          <w:bCs w:val="0"/>
          <w:iCs/>
          <w:lang w:val="en-US"/>
        </w:rPr>
        <w:t>住宅基础设计应根据地质条件、结构类型及使用功能、建筑高度及体型、荷载大小及分布情况、有无地下室及其利用情况、相邻建筑的基础情况、工程建设地区经验、施工条件及材料供应情况、抗震设防标准等因素进行综合分析。应选择经济合理的基础形式，并应保证本建筑物及周围建筑物不致产生过量沉降或倾斜，并能满足建筑物的正常使用。</w:t>
      </w:r>
    </w:p>
    <w:p w14:paraId="018F8039">
      <w:pPr>
        <w:pStyle w:val="4"/>
        <w:numPr>
          <w:ilvl w:val="2"/>
          <w:numId w:val="11"/>
        </w:numPr>
        <w:tabs>
          <w:tab w:val="clear" w:pos="0"/>
        </w:tabs>
        <w:ind w:firstLine="0" w:firstLineChars="0"/>
        <w:rPr>
          <w:rFonts w:cs="宋体"/>
          <w:bCs w:val="0"/>
          <w:iCs/>
          <w:lang w:val="en-US"/>
        </w:rPr>
      </w:pPr>
      <w:r>
        <w:rPr>
          <w:rFonts w:hint="eastAsia" w:cs="宋体"/>
          <w:bCs w:val="0"/>
          <w:iCs/>
          <w:lang w:val="en-US"/>
        </w:rPr>
        <w:t>墙下条形基础及柱下条形基础的基础面积计算时，条形基础相交处，不应重复计入基础面积。</w:t>
      </w:r>
    </w:p>
    <w:p w14:paraId="7936B56A">
      <w:pPr>
        <w:pStyle w:val="4"/>
        <w:numPr>
          <w:ilvl w:val="2"/>
          <w:numId w:val="11"/>
        </w:numPr>
        <w:tabs>
          <w:tab w:val="clear" w:pos="0"/>
        </w:tabs>
        <w:ind w:firstLine="0" w:firstLineChars="0"/>
        <w:rPr>
          <w:rFonts w:cs="宋体"/>
          <w:bCs w:val="0"/>
          <w:iCs/>
          <w:lang w:val="en-US"/>
        </w:rPr>
      </w:pPr>
      <w:r>
        <w:rPr>
          <w:rFonts w:hint="eastAsia" w:cs="宋体"/>
          <w:bCs w:val="0"/>
          <w:iCs/>
          <w:lang w:val="en-US"/>
        </w:rPr>
        <w:t>与住宅建筑临近的永久性边坡的设计工作年限，不应低于受其影响的住宅建筑的结构设计工作年限。</w:t>
      </w:r>
    </w:p>
    <w:p w14:paraId="42DA91E1">
      <w:pPr>
        <w:pStyle w:val="3"/>
        <w:numPr>
          <w:ilvl w:val="1"/>
          <w:numId w:val="11"/>
        </w:numPr>
      </w:pPr>
      <w:bookmarkStart w:id="957" w:name="_Toc12368"/>
      <w:bookmarkStart w:id="958" w:name="_Toc4970"/>
      <w:r>
        <w:rPr>
          <w:rFonts w:hint="eastAsia"/>
        </w:rPr>
        <w:t>楼（屋）盖、阳台、雨篷、空调板等悬挑构件</w:t>
      </w:r>
      <w:bookmarkEnd w:id="957"/>
      <w:bookmarkEnd w:id="958"/>
    </w:p>
    <w:p w14:paraId="561B392E">
      <w:pPr>
        <w:pStyle w:val="4"/>
        <w:numPr>
          <w:ilvl w:val="2"/>
          <w:numId w:val="11"/>
        </w:numPr>
        <w:tabs>
          <w:tab w:val="clear" w:pos="0"/>
        </w:tabs>
        <w:ind w:firstLine="0" w:firstLineChars="0"/>
        <w:rPr>
          <w:rFonts w:cs="宋体"/>
          <w:bCs w:val="0"/>
          <w:iCs/>
          <w:lang w:val="en-US"/>
        </w:rPr>
      </w:pPr>
      <w:r>
        <w:rPr>
          <w:rFonts w:hint="eastAsia" w:cs="宋体"/>
          <w:bCs w:val="0"/>
          <w:iCs/>
          <w:lang w:val="en-US"/>
        </w:rPr>
        <w:t>钢筋混凝土楼（屋）盖分为现浇整体式、预制装配式及预制装配叠合整体式。</w:t>
      </w:r>
    </w:p>
    <w:p w14:paraId="6D6D8EBF">
      <w:pPr>
        <w:pStyle w:val="4"/>
        <w:numPr>
          <w:ilvl w:val="2"/>
          <w:numId w:val="11"/>
        </w:numPr>
        <w:tabs>
          <w:tab w:val="clear" w:pos="0"/>
        </w:tabs>
        <w:ind w:firstLine="0" w:firstLineChars="0"/>
        <w:rPr>
          <w:rFonts w:cs="宋体"/>
          <w:bCs w:val="0"/>
          <w:iCs/>
          <w:lang w:val="en-US"/>
        </w:rPr>
      </w:pPr>
      <w:r>
        <w:rPr>
          <w:rFonts w:hint="eastAsia" w:cs="宋体"/>
          <w:bCs w:val="0"/>
          <w:iCs/>
          <w:lang w:val="en-US"/>
        </w:rPr>
        <w:t>钢筋混凝土楼板的设计厚度不应小于120mm。</w:t>
      </w:r>
    </w:p>
    <w:p w14:paraId="1F0A2AF4">
      <w:pPr>
        <w:pStyle w:val="4"/>
        <w:numPr>
          <w:ilvl w:val="2"/>
          <w:numId w:val="11"/>
        </w:numPr>
        <w:tabs>
          <w:tab w:val="clear" w:pos="0"/>
        </w:tabs>
        <w:ind w:firstLine="0" w:firstLineChars="0"/>
        <w:rPr>
          <w:rFonts w:cs="宋体"/>
          <w:bCs w:val="0"/>
          <w:iCs/>
          <w:lang w:val="en-US"/>
        </w:rPr>
      </w:pPr>
      <w:r>
        <w:rPr>
          <w:rFonts w:hint="eastAsia" w:cs="宋体"/>
          <w:bCs w:val="0"/>
          <w:iCs/>
          <w:lang w:val="en-US"/>
        </w:rPr>
        <w:t>阳台、雨篷、空调板等属悬挑构件，悬挑部分除了按一般悬臂板、悬臂梁计算外，对支撑悬挑构件的非悬挑部分，应进行受弯、受剪和受扭承载能力的验算。</w:t>
      </w:r>
    </w:p>
    <w:p w14:paraId="641E85F7">
      <w:pPr>
        <w:pStyle w:val="4"/>
        <w:numPr>
          <w:ilvl w:val="2"/>
          <w:numId w:val="11"/>
        </w:numPr>
        <w:tabs>
          <w:tab w:val="clear" w:pos="0"/>
        </w:tabs>
        <w:ind w:firstLine="0" w:firstLineChars="0"/>
        <w:rPr>
          <w:rFonts w:cs="宋体"/>
          <w:bCs w:val="0"/>
          <w:iCs/>
          <w:lang w:val="en-US"/>
        </w:rPr>
      </w:pPr>
      <w:r>
        <w:rPr>
          <w:rFonts w:hint="eastAsia" w:cs="宋体"/>
          <w:bCs w:val="0"/>
          <w:iCs/>
          <w:lang w:val="en-US"/>
        </w:rPr>
        <w:t>室外悬挑构件厚度不应小于100mm。</w:t>
      </w:r>
    </w:p>
    <w:p w14:paraId="02063ED5">
      <w:pPr>
        <w:pStyle w:val="4"/>
        <w:numPr>
          <w:ilvl w:val="2"/>
          <w:numId w:val="11"/>
        </w:numPr>
        <w:tabs>
          <w:tab w:val="clear" w:pos="0"/>
        </w:tabs>
        <w:ind w:firstLine="0" w:firstLineChars="0"/>
        <w:rPr>
          <w:rFonts w:cs="宋体"/>
          <w:bCs w:val="0"/>
          <w:iCs/>
          <w:lang w:val="en-US"/>
        </w:rPr>
      </w:pPr>
      <w:r>
        <w:rPr>
          <w:rFonts w:hint="eastAsia" w:cs="宋体"/>
          <w:bCs w:val="0"/>
          <w:iCs/>
          <w:lang w:val="en-US"/>
        </w:rPr>
        <w:t>雨篷需根据实际情况，应考虑积水荷载的要求。</w:t>
      </w:r>
    </w:p>
    <w:p w14:paraId="44A52CA6">
      <w:pPr>
        <w:pStyle w:val="3"/>
        <w:numPr>
          <w:ilvl w:val="1"/>
          <w:numId w:val="11"/>
        </w:numPr>
      </w:pPr>
      <w:bookmarkStart w:id="959" w:name="_Toc30628"/>
      <w:bookmarkStart w:id="960" w:name="_Toc18753"/>
      <w:r>
        <w:rPr>
          <w:rFonts w:hint="eastAsia"/>
        </w:rPr>
        <w:t>住宅结构的其他构造规定</w:t>
      </w:r>
      <w:bookmarkEnd w:id="959"/>
      <w:bookmarkEnd w:id="960"/>
    </w:p>
    <w:p w14:paraId="0FAEA9C9">
      <w:pPr>
        <w:pStyle w:val="4"/>
        <w:numPr>
          <w:ilvl w:val="2"/>
          <w:numId w:val="11"/>
        </w:numPr>
        <w:tabs>
          <w:tab w:val="clear" w:pos="0"/>
        </w:tabs>
        <w:ind w:firstLine="0" w:firstLineChars="0"/>
        <w:rPr>
          <w:rFonts w:cs="宋体"/>
          <w:bCs w:val="0"/>
          <w:iCs/>
          <w:lang w:val="en-US"/>
        </w:rPr>
      </w:pPr>
      <w:r>
        <w:rPr>
          <w:rFonts w:hint="eastAsia" w:cs="宋体"/>
          <w:bCs w:val="0"/>
          <w:iCs/>
          <w:lang w:val="en-US"/>
        </w:rPr>
        <w:t>砌体结构住宅应符合下列规定：</w:t>
      </w:r>
    </w:p>
    <w:p w14:paraId="3AB44775">
      <w:pPr>
        <w:ind w:firstLine="482"/>
      </w:pPr>
      <w:r>
        <w:rPr>
          <w:rFonts w:hint="eastAsia"/>
          <w:b/>
        </w:rPr>
        <w:t>1</w:t>
      </w:r>
      <w:r>
        <w:rPr>
          <w:lang w:val="zh-CN"/>
        </w:rPr>
        <w:t xml:space="preserve">  </w:t>
      </w:r>
      <w:r>
        <w:rPr>
          <w:rFonts w:hint="eastAsia"/>
        </w:rPr>
        <w:t>应采取有效措施加强屋面、外墙或外露构件的保温设计，减少温度变化和日照变化对混凝土构件产生的不利影响。屋面应设置保温隔热层；</w:t>
      </w:r>
    </w:p>
    <w:p w14:paraId="31261943">
      <w:pPr>
        <w:ind w:firstLine="482"/>
      </w:pPr>
      <w:r>
        <w:rPr>
          <w:rFonts w:hint="eastAsia"/>
          <w:b/>
        </w:rPr>
        <w:t>2</w:t>
      </w:r>
      <w:r>
        <w:rPr>
          <w:lang w:val="zh-CN"/>
        </w:rPr>
        <w:t xml:space="preserve">  </w:t>
      </w:r>
      <w:r>
        <w:rPr>
          <w:rFonts w:hint="eastAsia"/>
        </w:rPr>
        <w:t>顶层屋面板下应设置现浇钢筋混凝土圈梁；</w:t>
      </w:r>
    </w:p>
    <w:p w14:paraId="1DA3FD4D">
      <w:pPr>
        <w:ind w:firstLine="482"/>
      </w:pPr>
      <w:r>
        <w:rPr>
          <w:rFonts w:hint="eastAsia"/>
          <w:b/>
        </w:rPr>
        <w:t>3</w:t>
      </w:r>
      <w:r>
        <w:rPr>
          <w:lang w:val="zh-CN"/>
        </w:rPr>
        <w:t xml:space="preserve">  </w:t>
      </w:r>
      <w:r>
        <w:rPr>
          <w:rFonts w:hint="eastAsia"/>
        </w:rPr>
        <w:t>斜屋面应在檐口处设置现浇钢筋混凝土圈梁；</w:t>
      </w:r>
    </w:p>
    <w:p w14:paraId="37394445">
      <w:pPr>
        <w:ind w:firstLine="482"/>
      </w:pPr>
      <w:r>
        <w:rPr>
          <w:rFonts w:hint="eastAsia"/>
          <w:b/>
        </w:rPr>
        <w:t>4</w:t>
      </w:r>
      <w:r>
        <w:rPr>
          <w:lang w:val="zh-CN"/>
        </w:rPr>
        <w:t xml:space="preserve">  </w:t>
      </w:r>
      <w:r>
        <w:rPr>
          <w:rFonts w:hint="eastAsia"/>
        </w:rPr>
        <w:t>顶层及女儿墙砂浆强度等级不低于</w:t>
      </w:r>
      <w:r>
        <w:t>M7.5</w:t>
      </w:r>
      <w:r>
        <w:rPr>
          <w:rFonts w:hint="eastAsia"/>
        </w:rPr>
        <w:t>（</w:t>
      </w:r>
      <w:r>
        <w:t>Mb7.5</w:t>
      </w:r>
      <w:r>
        <w:rPr>
          <w:rFonts w:hint="eastAsia"/>
        </w:rPr>
        <w:t>、</w:t>
      </w:r>
      <w:r>
        <w:t>Ms7.5</w:t>
      </w:r>
      <w:r>
        <w:rPr>
          <w:rFonts w:hint="eastAsia"/>
        </w:rPr>
        <w:t>）；</w:t>
      </w:r>
    </w:p>
    <w:p w14:paraId="2AFCE7FB">
      <w:pPr>
        <w:ind w:firstLine="482"/>
      </w:pPr>
      <w:r>
        <w:rPr>
          <w:rFonts w:hint="eastAsia"/>
          <w:b/>
        </w:rPr>
        <w:t>5</w:t>
      </w:r>
      <w:r>
        <w:rPr>
          <w:lang w:val="zh-CN"/>
        </w:rPr>
        <w:t xml:space="preserve">  </w:t>
      </w:r>
      <w:r>
        <w:rPr>
          <w:rFonts w:hint="eastAsia"/>
        </w:rPr>
        <w:t>屋顶女儿墙应设置构造柱，构造柱间距不宜大于</w:t>
      </w:r>
      <w:r>
        <w:t>4m</w:t>
      </w:r>
      <w:r>
        <w:rPr>
          <w:rFonts w:hint="eastAsia"/>
        </w:rPr>
        <w:t>，构造柱钢筋应锚入顶层屋面板下设置的现浇钢筋混凝土圈梁内，并应伸至女儿墙顶，与现浇混凝土压顶浇筑在一起；</w:t>
      </w:r>
    </w:p>
    <w:p w14:paraId="435C44A7">
      <w:pPr>
        <w:ind w:firstLine="482"/>
      </w:pPr>
      <w:r>
        <w:rPr>
          <w:rFonts w:hint="eastAsia"/>
          <w:b/>
        </w:rPr>
        <w:t>6</w:t>
      </w:r>
      <w:r>
        <w:rPr>
          <w:lang w:val="zh-CN"/>
        </w:rPr>
        <w:t xml:space="preserve">  </w:t>
      </w:r>
      <w:r>
        <w:rPr>
          <w:rFonts w:hint="eastAsia"/>
        </w:rPr>
        <w:t>底层和顶层</w:t>
      </w:r>
      <w:r>
        <w:rPr>
          <w:rFonts w:hint="eastAsia"/>
          <w:lang w:eastAsia="zh-CN"/>
        </w:rPr>
        <w:t>（</w:t>
      </w:r>
      <w:r>
        <w:rPr>
          <w:rFonts w:hint="eastAsia"/>
        </w:rPr>
        <w:t>包括跃层</w:t>
      </w:r>
      <w:r>
        <w:rPr>
          <w:rFonts w:hint="eastAsia"/>
          <w:lang w:eastAsia="zh-CN"/>
        </w:rPr>
        <w:t>）</w:t>
      </w:r>
      <w:r>
        <w:t xml:space="preserve"> </w:t>
      </w:r>
      <w:r>
        <w:rPr>
          <w:rFonts w:hint="eastAsia"/>
        </w:rPr>
        <w:t>应沿外墙在窗台标高处设置通长现浇钢筋混凝土窗台梁，高度不应小于</w:t>
      </w:r>
      <w:r>
        <w:t>120mm</w:t>
      </w:r>
      <w:r>
        <w:rPr>
          <w:rFonts w:hint="eastAsia"/>
        </w:rPr>
        <w:t>，且宜为砌块模数，宽度同墙宽，混凝土强度等级不应小于</w:t>
      </w:r>
      <w:r>
        <w:t>C20</w:t>
      </w:r>
      <w:r>
        <w:rPr>
          <w:rFonts w:hint="eastAsia"/>
        </w:rPr>
        <w:t>，纵筋不应少于</w:t>
      </w:r>
      <w:r>
        <w:t>4</w:t>
      </w:r>
      <w:r>
        <w:rPr>
          <w:rFonts w:hint="eastAsia"/>
        </w:rPr>
        <w:t>φ</w:t>
      </w:r>
      <w:r>
        <w:t>10</w:t>
      </w:r>
      <w:r>
        <w:rPr>
          <w:rFonts w:hint="eastAsia"/>
        </w:rPr>
        <w:t>，箍筋φ</w:t>
      </w:r>
      <w:r>
        <w:t>6</w:t>
      </w:r>
      <w:r>
        <w:rPr>
          <w:rFonts w:hint="eastAsia"/>
        </w:rPr>
        <w:t>＠</w:t>
      </w:r>
      <w:r>
        <w:t>200</w:t>
      </w:r>
      <w:r>
        <w:rPr>
          <w:rFonts w:hint="eastAsia"/>
        </w:rPr>
        <w:t>；</w:t>
      </w:r>
      <w:r>
        <w:rPr>
          <w:rFonts w:hint="eastAsia"/>
          <w:lang w:eastAsia="zh-CN"/>
        </w:rPr>
        <w:t>其他层</w:t>
      </w:r>
      <w:r>
        <w:rPr>
          <w:rFonts w:hint="eastAsia"/>
        </w:rPr>
        <w:t>沿外墙在窗台标高处应设置通长现浇钢筋混凝土板带，板带的混凝土强度等级不应小于</w:t>
      </w:r>
      <w:r>
        <w:t>C20</w:t>
      </w:r>
      <w:r>
        <w:rPr>
          <w:rFonts w:hint="eastAsia"/>
        </w:rPr>
        <w:t>，纵向配筋不宜少于</w:t>
      </w:r>
      <w:r>
        <w:t>3</w:t>
      </w:r>
      <w:r>
        <w:rPr>
          <w:rFonts w:hint="eastAsia"/>
        </w:rPr>
        <w:t>φ</w:t>
      </w:r>
      <w:r>
        <w:t>8</w:t>
      </w:r>
      <w:r>
        <w:rPr>
          <w:rFonts w:hint="eastAsia"/>
        </w:rPr>
        <w:t>。上述纵向钢筋均应与构造柱可靠连接。</w:t>
      </w:r>
    </w:p>
    <w:p w14:paraId="45C2848C">
      <w:pPr>
        <w:pStyle w:val="4"/>
        <w:numPr>
          <w:ilvl w:val="2"/>
          <w:numId w:val="11"/>
        </w:numPr>
        <w:tabs>
          <w:tab w:val="clear" w:pos="0"/>
        </w:tabs>
        <w:ind w:firstLine="0" w:firstLineChars="0"/>
        <w:rPr>
          <w:rFonts w:cs="宋体"/>
          <w:bCs w:val="0"/>
          <w:iCs/>
          <w:lang w:val="en-US"/>
        </w:rPr>
      </w:pPr>
      <w:r>
        <w:rPr>
          <w:rFonts w:hint="eastAsia" w:cs="宋体"/>
          <w:bCs w:val="0"/>
          <w:iCs/>
          <w:lang w:val="en-US"/>
        </w:rPr>
        <w:t>钢筋混凝土结构住宅应符合下列规定：</w:t>
      </w:r>
    </w:p>
    <w:p w14:paraId="5263CC72">
      <w:pPr>
        <w:ind w:firstLine="482"/>
      </w:pPr>
      <w:r>
        <w:rPr>
          <w:rFonts w:hint="eastAsia"/>
          <w:b/>
        </w:rPr>
        <w:t>1</w:t>
      </w:r>
      <w:r>
        <w:rPr>
          <w:lang w:val="zh-CN"/>
        </w:rPr>
        <w:t xml:space="preserve">  </w:t>
      </w:r>
      <w:r>
        <w:rPr>
          <w:rFonts w:hint="eastAsia"/>
        </w:rPr>
        <w:t>住宅设计时建筑平面宜规则，避免平面形状突变。当平面有凹口及洞口时，凹口、洞口周边楼板的配筋宜适当加强。当楼板平面形状不规则时，宜设置梁使之形成较规则的平面。屋面板及板厚大于等于</w:t>
      </w:r>
      <w:r>
        <w:t>160mm</w:t>
      </w:r>
      <w:r>
        <w:rPr>
          <w:rFonts w:hint="eastAsia"/>
        </w:rPr>
        <w:t>的楼板，应</w:t>
      </w:r>
      <w:r>
        <w:rPr>
          <w:lang w:bidi="ar"/>
        </w:rPr>
        <w:t>在板的表面双向配置防裂</w:t>
      </w:r>
      <w:r>
        <w:rPr>
          <w:rFonts w:hint="eastAsia"/>
          <w:lang w:bidi="ar"/>
        </w:rPr>
        <w:t>构造钢筋</w:t>
      </w:r>
      <w:r>
        <w:rPr>
          <w:rFonts w:hint="eastAsia"/>
        </w:rPr>
        <w:t>，双向配筋率均不应小于</w:t>
      </w:r>
      <w:r>
        <w:t>0.10%</w:t>
      </w:r>
      <w:r>
        <w:rPr>
          <w:rFonts w:hint="eastAsia"/>
        </w:rPr>
        <w:t>，间距不应大于</w:t>
      </w:r>
      <w:r>
        <w:t>200mm</w:t>
      </w:r>
      <w:r>
        <w:rPr>
          <w:rFonts w:hint="eastAsia"/>
        </w:rPr>
        <w:t>。防裂构造钢筋可利用原有钢筋贯通布置，也可另行设置钢筋并与原有钢筋按受拉钢筋的要求搭接或在周边构件中锚固。</w:t>
      </w:r>
    </w:p>
    <w:p w14:paraId="59A7063B">
      <w:pPr>
        <w:ind w:firstLine="482"/>
      </w:pPr>
      <w:r>
        <w:rPr>
          <w:rFonts w:hint="eastAsia"/>
          <w:b/>
        </w:rPr>
        <w:t>2</w:t>
      </w:r>
      <w:r>
        <w:rPr>
          <w:lang w:val="zh-CN"/>
        </w:rPr>
        <w:t xml:space="preserve">  </w:t>
      </w:r>
      <w:r>
        <w:rPr>
          <w:rFonts w:hint="eastAsia"/>
        </w:rPr>
        <w:t>现浇板混凝土强度等级不宜大于</w:t>
      </w:r>
      <w:r>
        <w:t>C30</w:t>
      </w:r>
      <w:r>
        <w:rPr>
          <w:rFonts w:hint="eastAsia"/>
        </w:rPr>
        <w:t>；</w:t>
      </w:r>
    </w:p>
    <w:p w14:paraId="77A6F6F2">
      <w:pPr>
        <w:ind w:firstLine="482"/>
      </w:pPr>
      <w:r>
        <w:rPr>
          <w:rFonts w:hint="eastAsia"/>
          <w:b/>
        </w:rPr>
        <w:t>3</w:t>
      </w:r>
      <w:r>
        <w:rPr>
          <w:lang w:val="zh-CN"/>
        </w:rPr>
        <w:t xml:space="preserve">  </w:t>
      </w:r>
      <w:r>
        <w:rPr>
          <w:rFonts w:hint="eastAsia"/>
        </w:rPr>
        <w:t>住宅长度大于</w:t>
      </w:r>
      <w:r>
        <w:t>40m</w:t>
      </w:r>
      <w:r>
        <w:rPr>
          <w:rFonts w:hint="eastAsia"/>
        </w:rPr>
        <w:t>时，宜在房屋中部设置后浇带。超长结构应进行温度变形分析，并采取有效措施减少温度应力产生的影响。</w:t>
      </w:r>
      <w:r>
        <w:t xml:space="preserve"> </w:t>
      </w:r>
    </w:p>
    <w:p w14:paraId="5B5CA93C">
      <w:pPr>
        <w:ind w:firstLine="482"/>
      </w:pPr>
      <w:r>
        <w:rPr>
          <w:rFonts w:hint="eastAsia"/>
          <w:b/>
        </w:rPr>
        <w:t>4</w:t>
      </w:r>
      <w:r>
        <w:rPr>
          <w:lang w:val="zh-CN"/>
        </w:rPr>
        <w:t xml:space="preserve">  </w:t>
      </w:r>
      <w:r>
        <w:rPr>
          <w:rFonts w:hint="eastAsia"/>
        </w:rPr>
        <w:t>预埋管线不应集中通过楼板，应分散布置，在同一位置管线重叠不得超过两层，管线应布置在上下层钢筋网片之间，并使管壁至板上下边缘净距不应小于</w:t>
      </w:r>
      <w:r>
        <w:t>25</w:t>
      </w:r>
      <w:r>
        <w:rPr>
          <w:rFonts w:hint="eastAsia"/>
        </w:rPr>
        <w:t>㎜。若在跨中没有上排钢筋，则沿管线方向在板的上表面增设φ</w:t>
      </w:r>
      <w:r>
        <w:t>6</w:t>
      </w:r>
      <w:r>
        <w:rPr>
          <w:rFonts w:hint="eastAsia"/>
        </w:rPr>
        <w:t>双向间距</w:t>
      </w:r>
      <w:r>
        <w:t>100</w:t>
      </w:r>
      <w:r>
        <w:rPr>
          <w:rFonts w:hint="eastAsia"/>
        </w:rPr>
        <w:t>宽</w:t>
      </w:r>
      <w:r>
        <w:t>600</w:t>
      </w:r>
      <w:r>
        <w:rPr>
          <w:rFonts w:hint="eastAsia"/>
        </w:rPr>
        <w:t>㎜的钢筋网片，多根管线并排时，增设钢筋网片的宽度应超出管线每边</w:t>
      </w:r>
      <w:r>
        <w:t>300</w:t>
      </w:r>
      <w:r>
        <w:rPr>
          <w:rFonts w:hint="eastAsia"/>
        </w:rPr>
        <w:t>㎜。</w:t>
      </w:r>
    </w:p>
    <w:p w14:paraId="0CD53E70">
      <w:pPr>
        <w:pStyle w:val="4"/>
        <w:numPr>
          <w:ilvl w:val="255"/>
          <w:numId w:val="0"/>
        </w:numPr>
        <w:ind w:firstLine="480" w:firstLineChars="200"/>
        <w:rPr>
          <w:rFonts w:ascii="Calibri" w:hAnsi="Calibri"/>
          <w:bCs w:val="0"/>
          <w:kern w:val="2"/>
          <w:szCs w:val="22"/>
          <w:lang w:val="en-US"/>
        </w:rPr>
      </w:pPr>
      <w:r>
        <w:rPr>
          <w:rFonts w:hint="eastAsia" w:ascii="Calibri" w:hAnsi="Calibri"/>
          <w:bCs w:val="0"/>
          <w:kern w:val="2"/>
          <w:szCs w:val="22"/>
          <w:lang w:val="en-US"/>
        </w:rPr>
        <w:t>5  现浇剪力墙结构伸缩缝最大间距在土中或室内时应为45m、露天时应为30m。当有充分依据和可靠措施时，伸缩缝间距可适当增大。</w:t>
      </w:r>
    </w:p>
    <w:p w14:paraId="6BC907C8">
      <w:pPr>
        <w:pStyle w:val="4"/>
        <w:numPr>
          <w:ilvl w:val="2"/>
          <w:numId w:val="11"/>
        </w:numPr>
        <w:tabs>
          <w:tab w:val="clear" w:pos="0"/>
        </w:tabs>
        <w:ind w:firstLine="0" w:firstLineChars="0"/>
        <w:rPr>
          <w:rFonts w:cs="宋体"/>
          <w:bCs w:val="0"/>
          <w:iCs/>
          <w:lang w:val="en-US"/>
        </w:rPr>
      </w:pPr>
      <w:r>
        <w:rPr>
          <w:rFonts w:hint="eastAsia" w:cs="宋体"/>
          <w:bCs w:val="0"/>
          <w:iCs/>
          <w:lang w:val="en-US"/>
        </w:rPr>
        <w:t>住宅剪力墙结构设置转角窗时，构造做法应符合下列规定：</w:t>
      </w:r>
    </w:p>
    <w:p w14:paraId="1A3C6D3C">
      <w:pPr>
        <w:ind w:left="5" w:firstLine="475" w:firstLineChars="197"/>
        <w:rPr>
          <w:lang w:val="zh-CN"/>
        </w:rPr>
      </w:pPr>
      <w:r>
        <w:rPr>
          <w:b/>
          <w:lang w:val="zh-CN"/>
        </w:rPr>
        <w:t>1</w:t>
      </w:r>
      <w:r>
        <w:rPr>
          <w:lang w:val="zh-CN"/>
        </w:rPr>
        <w:t xml:space="preserve">  </w:t>
      </w:r>
      <w:r>
        <w:rPr>
          <w:rFonts w:hint="eastAsia"/>
          <w:lang w:val="zh-CN"/>
        </w:rPr>
        <w:t>角窗两侧墙肢厚度不应小于</w:t>
      </w:r>
      <w:r>
        <w:rPr>
          <w:lang w:val="zh-CN"/>
        </w:rPr>
        <w:t>180mm</w:t>
      </w:r>
      <w:r>
        <w:rPr>
          <w:rFonts w:hint="eastAsia"/>
          <w:lang w:val="zh-CN"/>
        </w:rPr>
        <w:t>；</w:t>
      </w:r>
    </w:p>
    <w:p w14:paraId="1B3747BA">
      <w:pPr>
        <w:ind w:left="5" w:firstLine="475" w:firstLineChars="197"/>
        <w:rPr>
          <w:lang w:val="zh-CN"/>
        </w:rPr>
      </w:pPr>
      <w:r>
        <w:rPr>
          <w:b/>
          <w:lang w:val="zh-CN"/>
        </w:rPr>
        <w:t>2</w:t>
      </w:r>
      <w:r>
        <w:rPr>
          <w:lang w:val="zh-CN"/>
        </w:rPr>
        <w:t xml:space="preserve">  </w:t>
      </w:r>
      <w:r>
        <w:rPr>
          <w:rFonts w:hint="eastAsia"/>
          <w:lang w:val="zh-CN"/>
        </w:rPr>
        <w:t>角窗两侧墙肢长度，当为一字型墙肢时，除满足强度要求外尚应大于</w:t>
      </w:r>
      <w:r>
        <w:rPr>
          <w:lang w:val="zh-CN"/>
        </w:rPr>
        <w:t>8</w:t>
      </w:r>
      <w:r>
        <w:rPr>
          <w:rFonts w:hint="eastAsia"/>
          <w:lang w:val="zh-CN"/>
        </w:rPr>
        <w:t>倍墙厚及</w:t>
      </w:r>
      <w:r>
        <w:rPr>
          <w:rFonts w:hint="eastAsia"/>
        </w:rPr>
        <w:t>对应方向</w:t>
      </w:r>
      <w:r>
        <w:rPr>
          <w:rFonts w:hint="eastAsia"/>
          <w:lang w:val="zh-CN"/>
        </w:rPr>
        <w:t>角窗悬挑长度</w:t>
      </w:r>
      <w:r>
        <w:rPr>
          <w:lang w:val="zh-CN"/>
        </w:rPr>
        <w:t>1.5</w:t>
      </w:r>
      <w:r>
        <w:rPr>
          <w:rFonts w:hint="eastAsia"/>
          <w:lang w:val="zh-CN"/>
        </w:rPr>
        <w:t>倍的较</w:t>
      </w:r>
      <w:r>
        <w:rPr>
          <w:rFonts w:hint="eastAsia"/>
        </w:rPr>
        <w:t>大</w:t>
      </w:r>
      <w:r>
        <w:rPr>
          <w:rFonts w:hint="eastAsia"/>
          <w:lang w:val="zh-CN"/>
        </w:rPr>
        <w:t>值；</w:t>
      </w:r>
    </w:p>
    <w:p w14:paraId="32C77580">
      <w:pPr>
        <w:ind w:left="5" w:firstLine="475" w:firstLineChars="197"/>
        <w:rPr>
          <w:lang w:val="zh-CN"/>
        </w:rPr>
      </w:pPr>
      <w:r>
        <w:rPr>
          <w:b/>
          <w:lang w:val="zh-CN"/>
        </w:rPr>
        <w:t>3</w:t>
      </w:r>
      <w:r>
        <w:rPr>
          <w:lang w:val="zh-CN"/>
        </w:rPr>
        <w:t xml:space="preserve">  </w:t>
      </w:r>
      <w:r>
        <w:rPr>
          <w:rFonts w:hint="eastAsia"/>
          <w:lang w:val="zh-CN"/>
        </w:rPr>
        <w:t>角窗折梁配筋应加强，并按抗扭构造配置箍筋及腰筋；</w:t>
      </w:r>
    </w:p>
    <w:p w14:paraId="28F37B8E">
      <w:pPr>
        <w:ind w:left="5" w:firstLine="475" w:firstLineChars="197"/>
        <w:rPr>
          <w:lang w:val="zh-CN"/>
        </w:rPr>
      </w:pPr>
      <w:r>
        <w:rPr>
          <w:b/>
          <w:lang w:val="zh-CN"/>
        </w:rPr>
        <w:t>4</w:t>
      </w:r>
      <w:r>
        <w:rPr>
          <w:lang w:val="zh-CN"/>
        </w:rPr>
        <w:t xml:space="preserve">  </w:t>
      </w:r>
      <w:r>
        <w:rPr>
          <w:rFonts w:hint="eastAsia"/>
          <w:lang w:val="zh-CN"/>
        </w:rPr>
        <w:t>角窗折梁上（</w:t>
      </w:r>
      <w:r>
        <w:rPr>
          <w:rFonts w:hint="eastAsia"/>
        </w:rPr>
        <w:t>下</w:t>
      </w:r>
      <w:r>
        <w:rPr>
          <w:rFonts w:hint="eastAsia"/>
          <w:lang w:val="zh-CN"/>
        </w:rPr>
        <w:t>）主筋伸入墙内的锚固长度</w:t>
      </w:r>
      <w:r>
        <w:rPr>
          <w:rFonts w:hint="eastAsia"/>
        </w:rPr>
        <w:t>应≥</w:t>
      </w:r>
      <w:r>
        <w:t>1.5</w:t>
      </w:r>
      <w:r>
        <w:rPr>
          <w:rFonts w:ascii="Times New Roman" w:hAnsi="Times New Roman"/>
          <w:i/>
          <w:iCs/>
        </w:rPr>
        <w:t>l</w:t>
      </w:r>
      <w:r>
        <w:rPr>
          <w:rFonts w:ascii="Times New Roman" w:hAnsi="Times New Roman"/>
          <w:vertAlign w:val="subscript"/>
        </w:rPr>
        <w:t>aE</w:t>
      </w:r>
      <w:r>
        <w:rPr>
          <w:rFonts w:hint="eastAsia"/>
        </w:rPr>
        <w:t>（</w:t>
      </w:r>
      <w:r>
        <w:rPr>
          <w:rFonts w:ascii="Times New Roman" w:hAnsi="Times New Roman"/>
          <w:i/>
          <w:iCs/>
        </w:rPr>
        <w:t>l</w:t>
      </w:r>
      <w:r>
        <w:rPr>
          <w:rFonts w:ascii="Times New Roman" w:hAnsi="Times New Roman"/>
          <w:vertAlign w:val="subscript"/>
        </w:rPr>
        <w:t>aE</w:t>
      </w:r>
      <w:r>
        <w:rPr>
          <w:rFonts w:hint="eastAsia"/>
        </w:rPr>
        <w:t>）</w:t>
      </w:r>
      <w:r>
        <w:rPr>
          <w:rFonts w:hint="eastAsia"/>
          <w:lang w:val="zh-CN"/>
        </w:rPr>
        <w:t>，顶层时折梁上铁端部另加</w:t>
      </w:r>
      <w:r>
        <w:rPr>
          <w:lang w:val="zh-CN"/>
        </w:rPr>
        <w:t>5d</w:t>
      </w:r>
      <w:r>
        <w:rPr>
          <w:rFonts w:hint="eastAsia"/>
          <w:lang w:val="zh-CN"/>
        </w:rPr>
        <w:t>向下的直勾，主筋锚入墙范围内的墙体竖向分布筋应向内弯折并钩住梁主筋；</w:t>
      </w:r>
    </w:p>
    <w:p w14:paraId="1FD7B813">
      <w:pPr>
        <w:ind w:left="5" w:firstLine="475" w:firstLineChars="197"/>
        <w:rPr>
          <w:lang w:val="zh-CN"/>
        </w:rPr>
      </w:pPr>
      <w:r>
        <w:rPr>
          <w:b/>
          <w:lang w:val="zh-CN"/>
        </w:rPr>
        <w:t>5</w:t>
      </w:r>
      <w:r>
        <w:rPr>
          <w:lang w:val="zh-CN"/>
        </w:rPr>
        <w:t xml:space="preserve">  </w:t>
      </w:r>
      <w:r>
        <w:rPr>
          <w:rFonts w:hint="eastAsia"/>
          <w:lang w:val="zh-CN"/>
        </w:rPr>
        <w:t>角窗两侧墙体应沿全高设置约束边缘构件，约束边缘构件（暗柱）长度不宜小于</w:t>
      </w:r>
      <w:r>
        <w:rPr>
          <w:lang w:val="zh-CN"/>
        </w:rPr>
        <w:t>3</w:t>
      </w:r>
      <w:r>
        <w:rPr>
          <w:rFonts w:hint="eastAsia"/>
          <w:lang w:val="zh-CN"/>
        </w:rPr>
        <w:t>倍墙厚且不</w:t>
      </w:r>
      <w:r>
        <w:rPr>
          <w:rFonts w:hint="eastAsia"/>
        </w:rPr>
        <w:t>应</w:t>
      </w:r>
      <w:r>
        <w:rPr>
          <w:rFonts w:hint="eastAsia"/>
          <w:lang w:val="zh-CN"/>
        </w:rPr>
        <w:t>小于</w:t>
      </w:r>
      <w:r>
        <w:rPr>
          <w:lang w:val="zh-CN"/>
        </w:rPr>
        <w:t>600mm</w:t>
      </w:r>
      <w:r>
        <w:rPr>
          <w:rFonts w:hint="eastAsia"/>
          <w:lang w:val="zh-CN"/>
        </w:rPr>
        <w:t>；</w:t>
      </w:r>
    </w:p>
    <w:p w14:paraId="31BD814D">
      <w:pPr>
        <w:ind w:left="5" w:firstLine="475" w:firstLineChars="197"/>
        <w:rPr>
          <w:lang w:val="zh-CN"/>
        </w:rPr>
      </w:pPr>
      <w:r>
        <w:rPr>
          <w:b/>
          <w:lang w:val="zh-CN"/>
        </w:rPr>
        <w:t>6</w:t>
      </w:r>
      <w:r>
        <w:rPr>
          <w:lang w:val="zh-CN"/>
        </w:rPr>
        <w:t xml:space="preserve">  </w:t>
      </w:r>
      <w:r>
        <w:rPr>
          <w:rFonts w:hint="eastAsia"/>
          <w:lang w:val="zh-CN"/>
        </w:rPr>
        <w:t>转角窗房间的楼板应适当加厚（</w:t>
      </w:r>
      <w:r>
        <w:rPr>
          <w:rFonts w:hint="eastAsia"/>
        </w:rPr>
        <w:t>不宜小于</w:t>
      </w:r>
      <w:r>
        <w:t>150mm</w:t>
      </w:r>
      <w:r>
        <w:rPr>
          <w:rFonts w:hint="eastAsia"/>
          <w:lang w:val="zh-CN"/>
        </w:rPr>
        <w:t>），应采用双层双向配筋，板内</w:t>
      </w:r>
      <w:r>
        <w:rPr>
          <w:rFonts w:hint="eastAsia"/>
        </w:rPr>
        <w:t>应</w:t>
      </w:r>
      <w:r>
        <w:rPr>
          <w:rFonts w:hint="eastAsia"/>
          <w:lang w:val="zh-CN"/>
        </w:rPr>
        <w:t>设置连接两侧墙端暗柱的暗梁，</w:t>
      </w:r>
      <w:r>
        <w:rPr>
          <w:rFonts w:hint="eastAsia"/>
        </w:rPr>
        <w:t>暗梁纵筋锚入墙内</w:t>
      </w:r>
      <w:r>
        <w:rPr>
          <w:rFonts w:ascii="Times New Roman" w:hAnsi="Times New Roman"/>
          <w:i/>
          <w:iCs/>
        </w:rPr>
        <w:t>l</w:t>
      </w:r>
      <w:r>
        <w:rPr>
          <w:rFonts w:ascii="Times New Roman" w:hAnsi="Times New Roman"/>
          <w:vertAlign w:val="subscript"/>
        </w:rPr>
        <w:t>aE</w:t>
      </w:r>
      <w:r>
        <w:rPr>
          <w:rFonts w:hint="eastAsia"/>
          <w:lang w:val="zh-CN"/>
        </w:rPr>
        <w:t>。</w:t>
      </w:r>
    </w:p>
    <w:p w14:paraId="4E163CFD">
      <w:pPr>
        <w:ind w:firstLine="480"/>
      </w:pPr>
      <w:r>
        <w:rPr>
          <w:rFonts w:hint="eastAsia"/>
        </w:rPr>
        <w:br w:type="page"/>
      </w:r>
    </w:p>
    <w:p w14:paraId="462EA3D4">
      <w:pPr>
        <w:pStyle w:val="2"/>
        <w:numPr>
          <w:ilvl w:val="0"/>
          <w:numId w:val="11"/>
        </w:numPr>
        <w:tabs>
          <w:tab w:val="clear" w:pos="0"/>
        </w:tabs>
        <w:rPr>
          <w:rFonts w:ascii="黑体" w:hAnsi="黑体" w:eastAsia="黑体" w:cs="黑体"/>
        </w:rPr>
      </w:pPr>
      <w:bookmarkStart w:id="961" w:name="_Toc24435"/>
      <w:bookmarkStart w:id="962" w:name="_Toc43"/>
      <w:bookmarkStart w:id="963" w:name="_Toc23277"/>
      <w:bookmarkStart w:id="964" w:name="_Toc17196"/>
      <w:r>
        <w:rPr>
          <w:rFonts w:hint="eastAsia" w:ascii="黑体" w:hAnsi="黑体" w:eastAsia="黑体" w:cs="黑体"/>
        </w:rPr>
        <w:t>建筑设备</w:t>
      </w:r>
      <w:bookmarkEnd w:id="939"/>
      <w:bookmarkEnd w:id="940"/>
      <w:bookmarkEnd w:id="941"/>
      <w:bookmarkEnd w:id="942"/>
      <w:bookmarkEnd w:id="943"/>
      <w:bookmarkEnd w:id="944"/>
      <w:bookmarkEnd w:id="945"/>
      <w:bookmarkEnd w:id="946"/>
      <w:bookmarkEnd w:id="947"/>
      <w:bookmarkEnd w:id="948"/>
      <w:bookmarkEnd w:id="949"/>
      <w:bookmarkEnd w:id="950"/>
      <w:bookmarkEnd w:id="961"/>
      <w:bookmarkEnd w:id="962"/>
      <w:bookmarkEnd w:id="963"/>
      <w:bookmarkEnd w:id="964"/>
      <w:bookmarkStart w:id="965" w:name="_Toc420575840"/>
      <w:bookmarkEnd w:id="965"/>
      <w:bookmarkStart w:id="966" w:name="_Toc425446260"/>
      <w:bookmarkEnd w:id="966"/>
      <w:bookmarkStart w:id="967" w:name="_Toc419277620"/>
      <w:bookmarkEnd w:id="967"/>
      <w:bookmarkStart w:id="968" w:name="_Toc415214061"/>
      <w:bookmarkEnd w:id="968"/>
      <w:bookmarkStart w:id="969" w:name="_Toc419277523"/>
      <w:bookmarkEnd w:id="969"/>
      <w:bookmarkStart w:id="970" w:name="_Toc419286216"/>
      <w:bookmarkEnd w:id="970"/>
      <w:bookmarkStart w:id="971" w:name="_Toc419277712"/>
      <w:bookmarkEnd w:id="971"/>
      <w:bookmarkStart w:id="972" w:name="_Toc26816890"/>
      <w:bookmarkEnd w:id="972"/>
      <w:bookmarkStart w:id="973" w:name="_Toc425427998"/>
      <w:bookmarkEnd w:id="973"/>
      <w:bookmarkStart w:id="974" w:name="_Toc415068789"/>
      <w:bookmarkEnd w:id="974"/>
      <w:bookmarkStart w:id="975" w:name="_Toc419288563"/>
      <w:bookmarkEnd w:id="975"/>
      <w:bookmarkStart w:id="976" w:name="_Toc425344299"/>
      <w:bookmarkEnd w:id="976"/>
      <w:bookmarkStart w:id="977" w:name="_Toc415820774"/>
      <w:bookmarkEnd w:id="977"/>
      <w:bookmarkStart w:id="978" w:name="_Toc419286305"/>
      <w:bookmarkEnd w:id="978"/>
      <w:bookmarkStart w:id="979" w:name="_Toc422931171"/>
      <w:bookmarkEnd w:id="979"/>
      <w:bookmarkStart w:id="980" w:name="_Toc26817500"/>
      <w:bookmarkEnd w:id="980"/>
      <w:bookmarkStart w:id="981" w:name="_Toc419277422"/>
      <w:bookmarkEnd w:id="981"/>
      <w:bookmarkStart w:id="982" w:name="_Toc419277815"/>
      <w:bookmarkEnd w:id="982"/>
      <w:bookmarkStart w:id="983" w:name="_Toc425447372"/>
      <w:bookmarkEnd w:id="983"/>
      <w:bookmarkStart w:id="984" w:name="_Toc427324231"/>
      <w:bookmarkEnd w:id="984"/>
      <w:bookmarkStart w:id="985" w:name="_Toc495998762"/>
      <w:bookmarkEnd w:id="985"/>
      <w:bookmarkStart w:id="986" w:name="_Toc415850829"/>
      <w:bookmarkEnd w:id="986"/>
      <w:bookmarkStart w:id="987" w:name="_Toc425427855"/>
      <w:bookmarkEnd w:id="987"/>
      <w:bookmarkStart w:id="988" w:name="_Toc419277903"/>
      <w:bookmarkEnd w:id="988"/>
      <w:bookmarkStart w:id="989" w:name="_Toc421291570"/>
      <w:bookmarkEnd w:id="989"/>
      <w:bookmarkStart w:id="990" w:name="_Toc422990209"/>
      <w:bookmarkEnd w:id="990"/>
      <w:bookmarkStart w:id="991" w:name="_Toc427323835"/>
      <w:bookmarkEnd w:id="991"/>
      <w:bookmarkStart w:id="992" w:name="_Toc425428135"/>
      <w:bookmarkEnd w:id="992"/>
      <w:bookmarkStart w:id="993" w:name="_Toc414356869"/>
      <w:bookmarkStart w:id="994" w:name="_Toc414356876"/>
    </w:p>
    <w:bookmarkEnd w:id="993"/>
    <w:p w14:paraId="064FE7C4">
      <w:pPr>
        <w:pStyle w:val="3"/>
        <w:numPr>
          <w:ilvl w:val="1"/>
          <w:numId w:val="11"/>
        </w:numPr>
      </w:pPr>
      <w:bookmarkStart w:id="995" w:name="_Toc427324232"/>
      <w:bookmarkStart w:id="996" w:name="_Toc422931172"/>
      <w:bookmarkStart w:id="997" w:name="_Toc425447373"/>
      <w:bookmarkStart w:id="998" w:name="_Toc14588"/>
      <w:bookmarkStart w:id="999" w:name="_Toc8861"/>
      <w:bookmarkStart w:id="1000" w:name="_Toc425428136"/>
      <w:bookmarkStart w:id="1001" w:name="_Toc5186"/>
      <w:bookmarkStart w:id="1002" w:name="_Toc31331"/>
      <w:bookmarkStart w:id="1003" w:name="_Toc12654"/>
      <w:bookmarkStart w:id="1004" w:name="_Toc12015"/>
      <w:bookmarkStart w:id="1005" w:name="_Toc2792"/>
      <w:bookmarkStart w:id="1006" w:name="_Toc24091"/>
      <w:bookmarkStart w:id="1007" w:name="_Toc4748"/>
      <w:bookmarkStart w:id="1008" w:name="_Toc5888"/>
      <w:bookmarkStart w:id="1009" w:name="_Toc422990210"/>
      <w:r>
        <w:rPr>
          <w:rFonts w:hint="eastAsia"/>
        </w:rPr>
        <w:t>一般规定</w:t>
      </w:r>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p>
    <w:p w14:paraId="427B0552">
      <w:pPr>
        <w:pStyle w:val="4"/>
        <w:numPr>
          <w:ilvl w:val="2"/>
          <w:numId w:val="11"/>
        </w:numPr>
        <w:tabs>
          <w:tab w:val="clear" w:pos="0"/>
        </w:tabs>
        <w:ind w:firstLine="0" w:firstLineChars="0"/>
        <w:rPr>
          <w:rFonts w:cs="宋体"/>
          <w:bCs w:val="0"/>
          <w:iCs/>
          <w:lang w:val="en-US"/>
        </w:rPr>
      </w:pPr>
      <w:r>
        <w:rPr>
          <w:rFonts w:hint="eastAsia" w:cs="宋体"/>
          <w:bCs w:val="0"/>
          <w:iCs/>
          <w:lang w:val="en-US"/>
        </w:rPr>
        <w:t>建筑设备设计应满足住宅建筑功能需求，做到安全可靠、经济合理、技术先进、便于施工及维护，并应设置消防设施、供暖设施及室内给排水系统。</w:t>
      </w:r>
    </w:p>
    <w:p w14:paraId="048800B2">
      <w:pPr>
        <w:pStyle w:val="4"/>
        <w:numPr>
          <w:ilvl w:val="2"/>
          <w:numId w:val="11"/>
        </w:numPr>
        <w:tabs>
          <w:tab w:val="clear" w:pos="0"/>
        </w:tabs>
        <w:ind w:firstLine="0" w:firstLineChars="0"/>
        <w:rPr>
          <w:rFonts w:cs="宋体"/>
          <w:bCs w:val="0"/>
          <w:iCs/>
          <w:lang w:val="en-US"/>
        </w:rPr>
      </w:pPr>
      <w:r>
        <w:rPr>
          <w:rFonts w:hint="eastAsia" w:cs="宋体"/>
          <w:bCs w:val="0"/>
          <w:iCs/>
          <w:lang w:val="en-US"/>
        </w:rPr>
        <w:t>建筑设备设计应采用符合国家现行有关技术标准的节能环保、高效的产品，不应使用已被国家淘汰的产品。</w:t>
      </w:r>
    </w:p>
    <w:p w14:paraId="708F6156">
      <w:pPr>
        <w:pStyle w:val="4"/>
        <w:numPr>
          <w:ilvl w:val="2"/>
          <w:numId w:val="11"/>
        </w:numPr>
        <w:tabs>
          <w:tab w:val="clear" w:pos="0"/>
        </w:tabs>
        <w:ind w:firstLine="0" w:firstLineChars="0"/>
        <w:rPr>
          <w:rFonts w:cs="宋体"/>
          <w:bCs w:val="0"/>
          <w:iCs/>
          <w:lang w:val="en-US"/>
        </w:rPr>
      </w:pPr>
      <w:r>
        <w:rPr>
          <w:rFonts w:hint="eastAsia" w:cs="宋体"/>
          <w:bCs w:val="0"/>
          <w:iCs/>
          <w:lang w:val="en-US"/>
        </w:rPr>
        <w:t>每套住宅应设置下列计量装置：</w:t>
      </w:r>
    </w:p>
    <w:p w14:paraId="479614AE">
      <w:pPr>
        <w:ind w:firstLine="482"/>
        <w:rPr>
          <w:rFonts w:ascii="Times New Roman" w:hAnsi="Times New Roman"/>
          <w:szCs w:val="32"/>
          <w:lang w:val="zh-CN"/>
        </w:rPr>
      </w:pPr>
      <w:r>
        <w:rPr>
          <w:rFonts w:cs="Calibri"/>
          <w:b/>
          <w:bCs/>
          <w:szCs w:val="32"/>
          <w:lang w:val="zh-CN"/>
        </w:rPr>
        <w:t>1</w:t>
      </w:r>
      <w:r>
        <w:rPr>
          <w:rFonts w:ascii="Times New Roman" w:hAnsi="Times New Roman"/>
          <w:szCs w:val="32"/>
          <w:lang w:val="zh-CN"/>
        </w:rPr>
        <w:t xml:space="preserve">  各类生活供水系统的水表；</w:t>
      </w:r>
    </w:p>
    <w:p w14:paraId="63A43B8A">
      <w:pPr>
        <w:ind w:firstLine="482"/>
        <w:rPr>
          <w:rFonts w:ascii="Times New Roman" w:hAnsi="Times New Roman"/>
          <w:szCs w:val="32"/>
          <w:lang w:val="zh-CN"/>
        </w:rPr>
      </w:pPr>
      <w:r>
        <w:rPr>
          <w:rFonts w:cs="Calibri"/>
          <w:b/>
          <w:bCs/>
          <w:szCs w:val="32"/>
          <w:lang w:val="zh-CN"/>
        </w:rPr>
        <w:t>2</w:t>
      </w:r>
      <w:r>
        <w:rPr>
          <w:rFonts w:ascii="Times New Roman" w:hAnsi="Times New Roman"/>
          <w:szCs w:val="32"/>
          <w:lang w:val="zh-CN"/>
        </w:rPr>
        <w:t xml:space="preserve">  设有集中供暖（集中空调）系统时的分户热计量装置；</w:t>
      </w:r>
    </w:p>
    <w:p w14:paraId="2E8CFF4A">
      <w:pPr>
        <w:ind w:firstLine="482"/>
        <w:rPr>
          <w:rFonts w:ascii="Times New Roman" w:hAnsi="Times New Roman"/>
          <w:szCs w:val="32"/>
          <w:lang w:val="zh-CN"/>
        </w:rPr>
      </w:pPr>
      <w:r>
        <w:rPr>
          <w:rFonts w:cs="Calibri"/>
          <w:b/>
          <w:bCs/>
          <w:szCs w:val="32"/>
          <w:lang w:val="zh-CN"/>
        </w:rPr>
        <w:t>3</w:t>
      </w:r>
      <w:r>
        <w:rPr>
          <w:rFonts w:ascii="Times New Roman" w:hAnsi="Times New Roman"/>
          <w:szCs w:val="32"/>
          <w:lang w:val="zh-CN"/>
        </w:rPr>
        <w:t xml:space="preserve">  设有燃气系统时的燃气表。</w:t>
      </w:r>
    </w:p>
    <w:p w14:paraId="722A91C5">
      <w:pPr>
        <w:pStyle w:val="4"/>
        <w:numPr>
          <w:ilvl w:val="2"/>
          <w:numId w:val="11"/>
        </w:numPr>
        <w:tabs>
          <w:tab w:val="clear" w:pos="0"/>
        </w:tabs>
        <w:ind w:firstLine="0" w:firstLineChars="0"/>
        <w:rPr>
          <w:rFonts w:cs="宋体"/>
          <w:bCs w:val="0"/>
          <w:iCs/>
          <w:lang w:val="en-US"/>
        </w:rPr>
      </w:pPr>
      <w:r>
        <w:rPr>
          <w:rFonts w:hint="eastAsia" w:cs="宋体"/>
          <w:bCs w:val="0"/>
          <w:iCs/>
          <w:lang w:val="en-US"/>
        </w:rPr>
        <w:t>水表、热量表、燃气表的设置应便于管理。</w:t>
      </w:r>
    </w:p>
    <w:p w14:paraId="6627353D">
      <w:pPr>
        <w:pStyle w:val="4"/>
        <w:numPr>
          <w:ilvl w:val="2"/>
          <w:numId w:val="11"/>
        </w:numPr>
        <w:tabs>
          <w:tab w:val="clear" w:pos="0"/>
        </w:tabs>
        <w:ind w:firstLine="0" w:firstLineChars="0"/>
        <w:rPr>
          <w:rFonts w:cs="宋体"/>
          <w:bCs w:val="0"/>
          <w:iCs/>
          <w:lang w:val="en-US"/>
        </w:rPr>
      </w:pPr>
      <w:r>
        <w:rPr>
          <w:rFonts w:hint="eastAsia" w:cs="宋体"/>
          <w:bCs w:val="0"/>
          <w:iCs/>
          <w:lang w:val="en-US"/>
        </w:rPr>
        <w:t>居住小区水表应按照分户、分类、分质及分级进行配置。并符合现行地方标准《建筑水表配置规范》DB11/T 1768的相关规定。</w:t>
      </w:r>
    </w:p>
    <w:p w14:paraId="09325CF9">
      <w:pPr>
        <w:pStyle w:val="4"/>
        <w:numPr>
          <w:ilvl w:val="2"/>
          <w:numId w:val="11"/>
        </w:numPr>
        <w:tabs>
          <w:tab w:val="clear" w:pos="0"/>
        </w:tabs>
        <w:ind w:firstLine="0" w:firstLineChars="0"/>
        <w:rPr>
          <w:rFonts w:cs="宋体"/>
          <w:bCs w:val="0"/>
          <w:iCs/>
          <w:lang w:val="en-US"/>
        </w:rPr>
      </w:pPr>
      <w:r>
        <w:rPr>
          <w:rFonts w:hint="eastAsia" w:cs="宋体"/>
          <w:bCs w:val="0"/>
          <w:iCs/>
          <w:lang w:val="en-US"/>
        </w:rPr>
        <w:t>住宅户内宜采用智能水表。</w:t>
      </w:r>
    </w:p>
    <w:p w14:paraId="6C2580F0">
      <w:pPr>
        <w:pStyle w:val="3"/>
        <w:numPr>
          <w:ilvl w:val="1"/>
          <w:numId w:val="11"/>
        </w:numPr>
      </w:pPr>
      <w:bookmarkStart w:id="1010" w:name="_Toc23157"/>
      <w:bookmarkStart w:id="1011" w:name="_Toc26817502"/>
      <w:bookmarkStart w:id="1012" w:name="_Toc5305"/>
      <w:bookmarkStart w:id="1013" w:name="_Toc19069"/>
      <w:bookmarkStart w:id="1014" w:name="_Toc16460"/>
      <w:bookmarkStart w:id="1015" w:name="_Toc30211"/>
      <w:bookmarkStart w:id="1016" w:name="_Toc13544"/>
      <w:bookmarkStart w:id="1017" w:name="_Toc29165"/>
      <w:bookmarkStart w:id="1018" w:name="_Toc1428"/>
      <w:r>
        <w:rPr>
          <w:rFonts w:hint="eastAsia"/>
        </w:rPr>
        <w:t>给水排水</w:t>
      </w:r>
      <w:bookmarkEnd w:id="1010"/>
      <w:bookmarkEnd w:id="1011"/>
      <w:bookmarkEnd w:id="1012"/>
      <w:bookmarkEnd w:id="1013"/>
      <w:bookmarkEnd w:id="1014"/>
      <w:bookmarkEnd w:id="1015"/>
      <w:bookmarkEnd w:id="1016"/>
      <w:bookmarkEnd w:id="1017"/>
      <w:bookmarkEnd w:id="1018"/>
    </w:p>
    <w:p w14:paraId="75D07823">
      <w:pPr>
        <w:pStyle w:val="4"/>
        <w:numPr>
          <w:ilvl w:val="2"/>
          <w:numId w:val="11"/>
        </w:numPr>
        <w:tabs>
          <w:tab w:val="clear" w:pos="0"/>
        </w:tabs>
        <w:ind w:firstLine="0" w:firstLineChars="0"/>
        <w:rPr>
          <w:rFonts w:cs="宋体"/>
          <w:bCs w:val="0"/>
          <w:iCs/>
          <w:lang w:val="en-US"/>
        </w:rPr>
      </w:pPr>
      <w:r>
        <w:rPr>
          <w:rFonts w:hint="eastAsia" w:cs="宋体"/>
          <w:bCs w:val="0"/>
          <w:iCs/>
          <w:lang w:val="en-US"/>
        </w:rPr>
        <w:t>住宅生活给水水质应符合现行国家标准《生活饮用水卫生标准》GB 5749的规定。住宅各类供水系统水质应符合国家现行有关标准的规定。</w:t>
      </w:r>
    </w:p>
    <w:p w14:paraId="599DC7C8">
      <w:pPr>
        <w:pStyle w:val="4"/>
        <w:numPr>
          <w:ilvl w:val="2"/>
          <w:numId w:val="11"/>
        </w:numPr>
        <w:tabs>
          <w:tab w:val="clear" w:pos="0"/>
        </w:tabs>
        <w:ind w:firstLine="0" w:firstLineChars="0"/>
        <w:rPr>
          <w:rFonts w:cs="宋体"/>
          <w:bCs w:val="0"/>
          <w:iCs/>
          <w:lang w:val="en-US"/>
        </w:rPr>
      </w:pPr>
      <w:r>
        <w:rPr>
          <w:rFonts w:hint="eastAsia" w:cs="宋体"/>
          <w:bCs w:val="0"/>
          <w:iCs/>
          <w:lang w:val="en-US"/>
        </w:rPr>
        <w:t>住宅给水定额及小时变化系数应符合现行国家标准《建筑给水排水设计标准》GB50015、《民用建筑节水设计标准》GB50555及《民用建筑节水设计标准》DB11 2076的规定。</w:t>
      </w:r>
    </w:p>
    <w:p w14:paraId="1506213F">
      <w:pPr>
        <w:pStyle w:val="4"/>
        <w:numPr>
          <w:ilvl w:val="2"/>
          <w:numId w:val="11"/>
        </w:numPr>
        <w:tabs>
          <w:tab w:val="clear" w:pos="0"/>
        </w:tabs>
        <w:ind w:firstLine="0" w:firstLineChars="0"/>
        <w:rPr>
          <w:rFonts w:cs="宋体"/>
          <w:bCs w:val="0"/>
          <w:iCs/>
          <w:lang w:val="en-US"/>
        </w:rPr>
      </w:pPr>
      <w:r>
        <w:rPr>
          <w:rFonts w:hint="eastAsia" w:cs="宋体"/>
          <w:bCs w:val="0"/>
          <w:iCs/>
          <w:lang w:val="en-US"/>
        </w:rPr>
        <w:t>居住小区应充分利用市政管网水压直接供水、叠压供水。当超出市政给水管网供水压力范围，以及城镇给水管网的水压、水量不足时，应设置贮水调节和变频恒压、叠压等加压供水装置。叠压供水设计方案应经当地供水部门批准认可。</w:t>
      </w:r>
    </w:p>
    <w:p w14:paraId="27361C58">
      <w:pPr>
        <w:pStyle w:val="4"/>
        <w:numPr>
          <w:ilvl w:val="2"/>
          <w:numId w:val="11"/>
        </w:numPr>
        <w:tabs>
          <w:tab w:val="clear" w:pos="0"/>
        </w:tabs>
        <w:ind w:firstLine="0" w:firstLineChars="0"/>
        <w:rPr>
          <w:rFonts w:cs="宋体"/>
          <w:bCs w:val="0"/>
          <w:iCs/>
          <w:lang w:val="en-US"/>
        </w:rPr>
      </w:pPr>
      <w:r>
        <w:rPr>
          <w:rFonts w:hint="eastAsia" w:cs="宋体"/>
          <w:bCs w:val="0"/>
          <w:iCs/>
          <w:lang w:val="en-US"/>
        </w:rPr>
        <w:t>套内用水点压力不应大于0.2MPa，且不应小于用水器具的最低工作压力。</w:t>
      </w:r>
    </w:p>
    <w:p w14:paraId="61EA271F">
      <w:pPr>
        <w:pStyle w:val="4"/>
        <w:numPr>
          <w:ilvl w:val="2"/>
          <w:numId w:val="11"/>
        </w:numPr>
        <w:tabs>
          <w:tab w:val="clear" w:pos="0"/>
        </w:tabs>
        <w:ind w:left="0" w:leftChars="0" w:firstLine="0" w:firstLineChars="0"/>
        <w:rPr>
          <w:rFonts w:cs="宋体"/>
          <w:bCs w:val="0"/>
          <w:iCs/>
          <w:lang w:val="en-US"/>
        </w:rPr>
      </w:pPr>
      <w:r>
        <w:rPr>
          <w:rFonts w:hint="eastAsia" w:cs="宋体"/>
          <w:bCs w:val="0"/>
          <w:iCs/>
          <w:lang w:val="en-US"/>
        </w:rPr>
        <w:t>给水管道应采用钢塑复合管、给水不锈钢管、给水铜管或符合饮用水卫生标准的其他管材。阀门及配件应采用不易锈蚀、无毒、无污染的材质。</w:t>
      </w:r>
    </w:p>
    <w:p w14:paraId="6EEBB137">
      <w:pPr>
        <w:pStyle w:val="4"/>
        <w:numPr>
          <w:ilvl w:val="2"/>
          <w:numId w:val="11"/>
        </w:numPr>
        <w:tabs>
          <w:tab w:val="clear" w:pos="0"/>
        </w:tabs>
        <w:ind w:firstLine="0" w:firstLineChars="0"/>
        <w:rPr>
          <w:rFonts w:cs="宋体"/>
          <w:bCs w:val="0"/>
          <w:iCs/>
          <w:lang w:val="en-US"/>
        </w:rPr>
      </w:pPr>
      <w:r>
        <w:rPr>
          <w:rFonts w:hint="eastAsia" w:cs="宋体"/>
          <w:bCs w:val="0"/>
          <w:iCs/>
          <w:lang w:val="en-US"/>
        </w:rPr>
        <w:t>卫生器具和配件应采用节水型产品，且应符合国家现行标准《节水型生活用水器具》CJ/T 164、《节水型产品通用技术条件》GB/T 18870的规定，且不得配置一次冲水量大于6L的坐便器。</w:t>
      </w:r>
    </w:p>
    <w:p w14:paraId="62FA8CD4">
      <w:pPr>
        <w:pStyle w:val="4"/>
        <w:numPr>
          <w:ilvl w:val="2"/>
          <w:numId w:val="11"/>
        </w:numPr>
        <w:tabs>
          <w:tab w:val="clear" w:pos="0"/>
        </w:tabs>
        <w:ind w:firstLine="0" w:firstLineChars="0"/>
        <w:rPr>
          <w:rFonts w:cs="宋体"/>
          <w:bCs w:val="0"/>
          <w:iCs/>
          <w:lang w:val="en-US"/>
        </w:rPr>
      </w:pPr>
      <w:r>
        <w:rPr>
          <w:rFonts w:hint="eastAsia" w:cs="宋体"/>
          <w:bCs w:val="0"/>
          <w:iCs/>
          <w:lang w:val="en-US"/>
        </w:rPr>
        <w:t>有可能结冻的给水、排水管道应有防冻措施，吊顶内或明装给排水管道应做防结露保温，防结露保护层的计算和构造，可按现行国家标准《设备及管道保冷技术通则》GB/T11790执行。</w:t>
      </w:r>
    </w:p>
    <w:p w14:paraId="40F998FA">
      <w:pPr>
        <w:pStyle w:val="4"/>
        <w:numPr>
          <w:ilvl w:val="2"/>
          <w:numId w:val="11"/>
        </w:numPr>
        <w:tabs>
          <w:tab w:val="clear" w:pos="0"/>
        </w:tabs>
        <w:ind w:firstLine="0" w:firstLineChars="0"/>
        <w:rPr>
          <w:rFonts w:cs="宋体"/>
          <w:bCs w:val="0"/>
          <w:iCs/>
          <w:lang w:val="en-US"/>
        </w:rPr>
      </w:pPr>
      <w:r>
        <w:rPr>
          <w:rFonts w:hint="eastAsia" w:cs="宋体"/>
          <w:bCs w:val="0"/>
          <w:iCs/>
          <w:lang w:val="en-US"/>
        </w:rPr>
        <w:t>住宅应设置热水供应设施或预留安装热水供应设施的条件。</w:t>
      </w:r>
    </w:p>
    <w:p w14:paraId="426E813E">
      <w:pPr>
        <w:pStyle w:val="4"/>
        <w:numPr>
          <w:ilvl w:val="2"/>
          <w:numId w:val="11"/>
        </w:numPr>
        <w:tabs>
          <w:tab w:val="clear" w:pos="0"/>
        </w:tabs>
        <w:ind w:firstLine="0" w:firstLineChars="0"/>
        <w:rPr>
          <w:rFonts w:cs="宋体"/>
          <w:bCs w:val="0"/>
          <w:iCs/>
          <w:lang w:val="en-US"/>
        </w:rPr>
      </w:pPr>
      <w:r>
        <w:rPr>
          <w:rFonts w:hint="eastAsia" w:cs="宋体"/>
          <w:bCs w:val="0"/>
          <w:iCs/>
          <w:lang w:val="en-US"/>
        </w:rPr>
        <w:t>集中生活热水系统水加热设备出水温度应为55 ℃～ 60 ℃，集中生活热水系统配水点的供水水温不应低于46°C。</w:t>
      </w:r>
    </w:p>
    <w:p w14:paraId="2460F9DF">
      <w:pPr>
        <w:pStyle w:val="4"/>
        <w:numPr>
          <w:ilvl w:val="2"/>
          <w:numId w:val="11"/>
        </w:numPr>
        <w:tabs>
          <w:tab w:val="clear" w:pos="0"/>
        </w:tabs>
        <w:ind w:firstLine="0" w:firstLineChars="0"/>
        <w:rPr>
          <w:rFonts w:cs="宋体"/>
          <w:bCs w:val="0"/>
          <w:iCs/>
          <w:lang w:val="en-US"/>
        </w:rPr>
      </w:pPr>
      <w:r>
        <w:rPr>
          <w:rFonts w:hint="eastAsia" w:cs="宋体"/>
          <w:bCs w:val="0"/>
          <w:iCs/>
          <w:lang w:val="en-US"/>
        </w:rPr>
        <w:t>热水管、贮热水箱、热交换器等均应保温。</w:t>
      </w:r>
    </w:p>
    <w:p w14:paraId="375EAB64">
      <w:pPr>
        <w:pStyle w:val="4"/>
        <w:numPr>
          <w:ilvl w:val="2"/>
          <w:numId w:val="11"/>
        </w:numPr>
        <w:tabs>
          <w:tab w:val="clear" w:pos="0"/>
        </w:tabs>
        <w:ind w:firstLine="0" w:firstLineChars="0"/>
        <w:rPr>
          <w:rFonts w:cs="宋体"/>
          <w:bCs w:val="0"/>
          <w:iCs/>
          <w:lang w:val="en-US"/>
        </w:rPr>
      </w:pPr>
      <w:r>
        <w:rPr>
          <w:rFonts w:hint="eastAsia" w:cs="宋体"/>
          <w:bCs w:val="0"/>
          <w:iCs/>
          <w:lang w:val="en-US"/>
        </w:rPr>
        <w:t>住宅小区中水水源的选择要依据水量平衡和技术经济比较确定，并应首选优质杂排水；当有市政中水时，应优先选用市政中水。</w:t>
      </w:r>
    </w:p>
    <w:p w14:paraId="45E1EAD4">
      <w:pPr>
        <w:pStyle w:val="4"/>
        <w:numPr>
          <w:ilvl w:val="2"/>
          <w:numId w:val="11"/>
        </w:numPr>
        <w:tabs>
          <w:tab w:val="clear" w:pos="0"/>
        </w:tabs>
        <w:ind w:firstLine="0" w:firstLineChars="0"/>
        <w:rPr>
          <w:rFonts w:cs="宋体"/>
          <w:bCs w:val="0"/>
          <w:iCs/>
          <w:lang w:val="en-US"/>
        </w:rPr>
      </w:pPr>
      <w:r>
        <w:rPr>
          <w:rFonts w:hint="eastAsia" w:cs="宋体"/>
          <w:bCs w:val="0"/>
          <w:iCs/>
          <w:lang w:val="en-US"/>
        </w:rPr>
        <w:t>自备井水源、中水管道、雨水回用水管道均不应与生活饮用水给水管道连接。</w:t>
      </w:r>
    </w:p>
    <w:p w14:paraId="06FA9625">
      <w:pPr>
        <w:pStyle w:val="4"/>
        <w:numPr>
          <w:ilvl w:val="2"/>
          <w:numId w:val="11"/>
        </w:numPr>
        <w:tabs>
          <w:tab w:val="clear" w:pos="0"/>
        </w:tabs>
        <w:ind w:firstLine="0" w:firstLineChars="0"/>
        <w:rPr>
          <w:rFonts w:cs="宋体"/>
          <w:bCs w:val="0"/>
          <w:iCs/>
          <w:lang w:val="en-US"/>
        </w:rPr>
      </w:pPr>
      <w:r>
        <w:rPr>
          <w:rFonts w:hint="eastAsia" w:cs="宋体"/>
          <w:bCs w:val="0"/>
          <w:iCs/>
          <w:lang w:val="en-US"/>
        </w:rPr>
        <w:t>中水管道上不得装设取水龙头。当装有取水接口时，应采取严格的误饮、误用的防护措施。</w:t>
      </w:r>
    </w:p>
    <w:p w14:paraId="565EB5B9">
      <w:pPr>
        <w:pStyle w:val="4"/>
        <w:numPr>
          <w:ilvl w:val="2"/>
          <w:numId w:val="11"/>
        </w:numPr>
        <w:tabs>
          <w:tab w:val="clear" w:pos="0"/>
        </w:tabs>
        <w:ind w:firstLine="0" w:firstLineChars="0"/>
        <w:rPr>
          <w:rFonts w:cs="宋体"/>
          <w:bCs w:val="0"/>
          <w:iCs/>
          <w:lang w:val="en-US"/>
        </w:rPr>
      </w:pPr>
      <w:r>
        <w:rPr>
          <w:rFonts w:hint="eastAsia" w:cs="宋体"/>
          <w:bCs w:val="0"/>
          <w:iCs/>
          <w:lang w:val="en-US"/>
        </w:rPr>
        <w:t>厨房和卫生间的排水立管应分别设置。排水管道不得穿越卧室、贮藏室、壁柜。与卧室相邻的卫生间内，排水立管不应贴邻与卧室共用的墙体，且应采取隔声包覆 处理措施。上层排水时，卧室内测得的噪声等效声级不应大于 33dB。</w:t>
      </w:r>
    </w:p>
    <w:p w14:paraId="0A6E6176">
      <w:pPr>
        <w:pStyle w:val="4"/>
        <w:numPr>
          <w:ilvl w:val="2"/>
          <w:numId w:val="11"/>
        </w:numPr>
        <w:tabs>
          <w:tab w:val="clear" w:pos="0"/>
        </w:tabs>
        <w:ind w:firstLine="0" w:firstLineChars="0"/>
        <w:rPr>
          <w:rFonts w:cs="宋体"/>
          <w:bCs w:val="0"/>
          <w:iCs/>
          <w:lang w:val="en-US"/>
        </w:rPr>
      </w:pPr>
      <w:r>
        <w:rPr>
          <w:rFonts w:hint="eastAsia" w:cs="宋体"/>
          <w:bCs w:val="0"/>
          <w:iCs/>
          <w:lang w:val="en-US"/>
        </w:rPr>
        <w:t>住宅室内宜采用污、废分流。厨房和卫生间的排水横管应设在本套内，不得穿越楼板进入下层住户空间。</w:t>
      </w:r>
    </w:p>
    <w:p w14:paraId="479DAAE2">
      <w:pPr>
        <w:pStyle w:val="4"/>
        <w:numPr>
          <w:ilvl w:val="2"/>
          <w:numId w:val="11"/>
        </w:numPr>
        <w:tabs>
          <w:tab w:val="clear" w:pos="0"/>
        </w:tabs>
        <w:ind w:firstLine="0" w:firstLineChars="0"/>
        <w:rPr>
          <w:rFonts w:cs="宋体"/>
          <w:bCs w:val="0"/>
          <w:iCs/>
          <w:lang w:val="en-US"/>
        </w:rPr>
      </w:pPr>
      <w:r>
        <w:rPr>
          <w:rFonts w:hint="eastAsia" w:cs="宋体"/>
          <w:bCs w:val="0"/>
          <w:iCs/>
          <w:lang w:val="en-US"/>
        </w:rPr>
        <w:t>排水立管上连接排水横支管的楼层应设检查口，且在建筑物底层应设置检查口。</w:t>
      </w:r>
    </w:p>
    <w:p w14:paraId="06B170BA">
      <w:pPr>
        <w:pStyle w:val="4"/>
        <w:numPr>
          <w:ilvl w:val="2"/>
          <w:numId w:val="11"/>
        </w:numPr>
        <w:tabs>
          <w:tab w:val="clear" w:pos="0"/>
        </w:tabs>
        <w:ind w:firstLine="0" w:firstLineChars="0"/>
        <w:rPr>
          <w:rFonts w:cs="宋体"/>
          <w:bCs w:val="0"/>
          <w:iCs/>
          <w:lang w:val="en-US"/>
        </w:rPr>
      </w:pPr>
      <w:r>
        <w:rPr>
          <w:rFonts w:hint="eastAsia" w:cs="宋体"/>
          <w:bCs w:val="0"/>
          <w:iCs/>
          <w:lang w:val="en-US"/>
        </w:rPr>
        <w:t>生活饮用水池（水箱）的上部，不得有污废水及中水管道穿越。</w:t>
      </w:r>
    </w:p>
    <w:p w14:paraId="603E5421">
      <w:pPr>
        <w:pStyle w:val="4"/>
        <w:numPr>
          <w:ilvl w:val="2"/>
          <w:numId w:val="11"/>
        </w:numPr>
        <w:tabs>
          <w:tab w:val="clear" w:pos="0"/>
        </w:tabs>
        <w:ind w:firstLine="0" w:firstLineChars="0"/>
        <w:rPr>
          <w:rFonts w:cs="宋体"/>
          <w:bCs w:val="0"/>
          <w:iCs/>
          <w:lang w:val="en-US"/>
        </w:rPr>
      </w:pPr>
      <w:r>
        <w:rPr>
          <w:rFonts w:hint="eastAsia" w:cs="宋体"/>
          <w:bCs w:val="0"/>
          <w:iCs/>
          <w:lang w:val="en-US"/>
        </w:rPr>
        <w:t>住宅户内排水立管宜优先选用静音、低噪声管材；并且可同时采取相应降低管材噪声的措施。屋面雨水管道应采用承压、不易锈蚀的管材，并应符合国家及行业现行标准的要求。</w:t>
      </w:r>
    </w:p>
    <w:p w14:paraId="522E578B">
      <w:pPr>
        <w:pStyle w:val="4"/>
        <w:numPr>
          <w:ilvl w:val="2"/>
          <w:numId w:val="11"/>
        </w:numPr>
        <w:tabs>
          <w:tab w:val="clear" w:pos="0"/>
        </w:tabs>
        <w:ind w:firstLine="0" w:firstLineChars="0"/>
        <w:rPr>
          <w:rFonts w:cs="宋体"/>
          <w:bCs w:val="0"/>
          <w:iCs/>
          <w:lang w:val="en-US"/>
        </w:rPr>
      </w:pPr>
      <w:r>
        <w:rPr>
          <w:rFonts w:hint="eastAsia" w:cs="宋体"/>
          <w:bCs w:val="0"/>
          <w:iCs/>
          <w:lang w:val="en-US"/>
        </w:rPr>
        <w:t>设置淋浴器和洗衣机的部位应设置地漏，设置洗衣机的部位宜采用能防止溢流和干涸的专用地漏。洗衣机设置在阳台上时，其排水不应排入雨水管。</w:t>
      </w:r>
    </w:p>
    <w:p w14:paraId="56E15C5E">
      <w:pPr>
        <w:pStyle w:val="4"/>
        <w:numPr>
          <w:ilvl w:val="2"/>
          <w:numId w:val="11"/>
        </w:numPr>
        <w:tabs>
          <w:tab w:val="clear" w:pos="0"/>
        </w:tabs>
        <w:ind w:firstLine="0" w:firstLineChars="0"/>
        <w:rPr>
          <w:rFonts w:cs="宋体"/>
          <w:bCs w:val="0"/>
          <w:iCs/>
          <w:lang w:val="en-US"/>
        </w:rPr>
      </w:pPr>
      <w:r>
        <w:rPr>
          <w:rFonts w:hint="eastAsia" w:cs="宋体"/>
          <w:bCs w:val="0"/>
          <w:iCs/>
          <w:lang w:val="en-US"/>
        </w:rPr>
        <w:t>当构造内无存水弯的卫生器具与生活污水管道或其他可能产生有害气体的排水管道连接时，应在排水口以下设存水弯。存水弯的水封深度不得小于50mm。不应采用活动机械密封替代水封。</w:t>
      </w:r>
    </w:p>
    <w:p w14:paraId="1EA15911">
      <w:pPr>
        <w:pStyle w:val="4"/>
        <w:numPr>
          <w:ilvl w:val="2"/>
          <w:numId w:val="11"/>
        </w:numPr>
        <w:tabs>
          <w:tab w:val="clear" w:pos="0"/>
        </w:tabs>
        <w:ind w:firstLine="0" w:firstLineChars="0"/>
        <w:rPr>
          <w:rFonts w:cs="宋体"/>
          <w:bCs w:val="0"/>
          <w:iCs/>
          <w:lang w:val="en-US"/>
        </w:rPr>
      </w:pPr>
      <w:r>
        <w:rPr>
          <w:rFonts w:hint="eastAsia" w:cs="宋体"/>
          <w:bCs w:val="0"/>
          <w:iCs/>
          <w:lang w:val="en-US"/>
        </w:rPr>
        <w:t>地下室、半地下室中低于室外地面的卫生器具和地漏的排水管，不应与上部排水管连接，应设置集水设施用污水泵排出。</w:t>
      </w:r>
    </w:p>
    <w:p w14:paraId="2EE2AFA1">
      <w:pPr>
        <w:pStyle w:val="4"/>
        <w:numPr>
          <w:ilvl w:val="2"/>
          <w:numId w:val="11"/>
        </w:numPr>
        <w:tabs>
          <w:tab w:val="clear" w:pos="0"/>
        </w:tabs>
        <w:ind w:firstLine="0" w:firstLineChars="0"/>
        <w:rPr>
          <w:rFonts w:cs="宋体"/>
          <w:bCs w:val="0"/>
          <w:iCs/>
          <w:lang w:val="en-US"/>
        </w:rPr>
      </w:pPr>
      <w:r>
        <w:rPr>
          <w:rFonts w:hint="eastAsia" w:cs="宋体"/>
          <w:bCs w:val="0"/>
          <w:iCs/>
          <w:lang w:val="en-US"/>
        </w:rPr>
        <w:t>住宅给水系统宜预留直饮水系统安装条件。</w:t>
      </w:r>
    </w:p>
    <w:p w14:paraId="49786DC8">
      <w:pPr>
        <w:pStyle w:val="4"/>
        <w:numPr>
          <w:ilvl w:val="2"/>
          <w:numId w:val="11"/>
        </w:numPr>
        <w:tabs>
          <w:tab w:val="clear" w:pos="0"/>
        </w:tabs>
        <w:ind w:firstLine="0" w:firstLineChars="0"/>
        <w:rPr>
          <w:rFonts w:cs="宋体"/>
          <w:bCs w:val="0"/>
          <w:iCs/>
          <w:lang w:val="en-US"/>
        </w:rPr>
      </w:pPr>
      <w:r>
        <w:rPr>
          <w:rFonts w:hint="eastAsia" w:cs="宋体"/>
          <w:bCs w:val="0"/>
          <w:iCs/>
          <w:lang w:val="en-US"/>
        </w:rPr>
        <w:t>住宅建筑内设置给排水、采暖、空调循环水管道的公共管井内宜设置排水设施。</w:t>
      </w:r>
    </w:p>
    <w:p w14:paraId="2C1877A3">
      <w:pPr>
        <w:pStyle w:val="4"/>
        <w:numPr>
          <w:ilvl w:val="2"/>
          <w:numId w:val="11"/>
        </w:numPr>
        <w:tabs>
          <w:tab w:val="clear" w:pos="0"/>
        </w:tabs>
        <w:ind w:firstLine="0" w:firstLineChars="0"/>
        <w:rPr>
          <w:lang w:val="en-US"/>
        </w:rPr>
      </w:pPr>
      <w:r>
        <w:rPr>
          <w:rFonts w:hint="eastAsia"/>
          <w:lang w:val="en-US"/>
        </w:rPr>
        <w:t>住宅排水立管不应在户内设置乙字弯消能设施。</w:t>
      </w:r>
    </w:p>
    <w:p w14:paraId="41B263DC">
      <w:pPr>
        <w:pStyle w:val="4"/>
        <w:numPr>
          <w:ilvl w:val="2"/>
          <w:numId w:val="11"/>
        </w:numPr>
        <w:tabs>
          <w:tab w:val="clear" w:pos="0"/>
        </w:tabs>
        <w:ind w:firstLine="0" w:firstLineChars="0"/>
        <w:rPr>
          <w:rFonts w:cs="宋体"/>
          <w:bCs w:val="0"/>
          <w:iCs/>
          <w:lang w:val="en-US"/>
        </w:rPr>
      </w:pPr>
      <w:r>
        <w:rPr>
          <w:rFonts w:hint="eastAsia" w:cs="宋体"/>
          <w:bCs w:val="0"/>
          <w:iCs/>
          <w:lang w:val="en-US"/>
        </w:rPr>
        <w:t>生活饮用水水箱宜采用不锈钢等材质成品设备。水箱应设进水管、出水管、溢流管、泄水管、通气管、人孔，并应满足《二次供水工程技术规程》相关规定。生活饮用水水箱应设置消毒装置。生活饮用水水箱宜设置水质在线监测装置。</w:t>
      </w:r>
    </w:p>
    <w:p w14:paraId="73ADB8E0">
      <w:pPr>
        <w:pStyle w:val="4"/>
        <w:numPr>
          <w:ilvl w:val="2"/>
          <w:numId w:val="11"/>
        </w:numPr>
        <w:tabs>
          <w:tab w:val="clear" w:pos="0"/>
        </w:tabs>
        <w:ind w:firstLine="0" w:firstLineChars="0"/>
        <w:rPr>
          <w:rFonts w:cs="宋体"/>
          <w:bCs w:val="0"/>
          <w:iCs/>
          <w:lang w:val="en-US"/>
        </w:rPr>
      </w:pPr>
      <w:r>
        <w:rPr>
          <w:rFonts w:hint="eastAsia" w:cs="宋体"/>
          <w:bCs w:val="0"/>
          <w:iCs/>
          <w:lang w:val="en-US"/>
        </w:rPr>
        <w:t>生活饮用水水箱及供水设施应设置在专用的房间内，房间内洁净无污染。给水机（泵）房</w:t>
      </w:r>
      <w:r>
        <w:rPr>
          <w:rFonts w:hint="eastAsia" w:cs="宋体"/>
          <w:bCs w:val="0"/>
          <w:iCs/>
          <w:lang w:val="en-US" w:eastAsia="zh-CN"/>
        </w:rPr>
        <w:t>不得</w:t>
      </w:r>
      <w:r>
        <w:rPr>
          <w:rFonts w:hint="eastAsia" w:cs="宋体"/>
          <w:bCs w:val="0"/>
          <w:iCs/>
          <w:lang w:val="en-US"/>
        </w:rPr>
        <w:t>与卫生间、垃圾房、污水泵房等产生污染源的房间毗邻；其上层不应有上述房间及浴房、盥洗间、厨房、洗衣房和其他产生污染源的房间。给水机（泵）、生活饮用水水箱间不得结冻，应设置入侵报警系统等技防、物防安全防范和监控措施。</w:t>
      </w:r>
    </w:p>
    <w:p w14:paraId="6A9A4DED">
      <w:pPr>
        <w:pStyle w:val="4"/>
        <w:numPr>
          <w:ilvl w:val="2"/>
          <w:numId w:val="11"/>
        </w:numPr>
        <w:tabs>
          <w:tab w:val="clear" w:pos="0"/>
        </w:tabs>
        <w:ind w:firstLine="0" w:firstLineChars="0"/>
        <w:rPr>
          <w:rFonts w:cs="宋体"/>
          <w:bCs w:val="0"/>
          <w:iCs/>
          <w:lang w:val="en-US"/>
        </w:rPr>
      </w:pPr>
      <w:r>
        <w:rPr>
          <w:rFonts w:hint="eastAsia" w:cs="宋体"/>
          <w:bCs w:val="0"/>
          <w:iCs/>
          <w:lang w:val="en-US"/>
        </w:rPr>
        <w:t>地漏</w:t>
      </w:r>
    </w:p>
    <w:p w14:paraId="3CAC744F">
      <w:pPr>
        <w:ind w:firstLine="482"/>
        <w:rPr>
          <w:rFonts w:ascii="Times New Roman" w:hAnsi="Times New Roman"/>
          <w:bCs/>
          <w:szCs w:val="32"/>
          <w:lang w:val="zh-CN"/>
        </w:rPr>
      </w:pPr>
      <w:r>
        <w:rPr>
          <w:rFonts w:cs="Calibri"/>
          <w:b/>
          <w:szCs w:val="32"/>
          <w:lang w:val="zh-CN"/>
        </w:rPr>
        <w:t>1</w:t>
      </w:r>
      <w:r>
        <w:rPr>
          <w:rFonts w:hint="eastAsia" w:ascii="Times New Roman" w:hAnsi="Times New Roman"/>
          <w:bCs/>
          <w:szCs w:val="32"/>
          <w:lang w:val="zh-CN"/>
        </w:rPr>
        <w:t xml:space="preserve">  地漏应符合国家现行标准《建筑给水排水设计标准》</w:t>
      </w:r>
      <w:r>
        <w:rPr>
          <w:rFonts w:ascii="Times New Roman" w:hAnsi="Times New Roman"/>
          <w:bCs/>
          <w:szCs w:val="32"/>
          <w:lang w:val="zh-CN"/>
        </w:rPr>
        <w:t>GB 50015</w:t>
      </w:r>
      <w:r>
        <w:rPr>
          <w:rFonts w:hint="eastAsia" w:ascii="Times New Roman" w:hAnsi="Times New Roman"/>
          <w:bCs/>
          <w:szCs w:val="32"/>
          <w:lang w:val="zh-CN"/>
        </w:rPr>
        <w:t>和现行行业标准《地漏》</w:t>
      </w:r>
      <w:r>
        <w:rPr>
          <w:rFonts w:ascii="Times New Roman" w:hAnsi="Times New Roman"/>
          <w:bCs/>
          <w:szCs w:val="32"/>
          <w:lang w:val="zh-CN"/>
        </w:rPr>
        <w:t>C</w:t>
      </w:r>
      <w:r>
        <w:rPr>
          <w:rFonts w:hint="eastAsia" w:ascii="Times New Roman" w:hAnsi="Times New Roman"/>
          <w:bCs/>
          <w:szCs w:val="32"/>
        </w:rPr>
        <w:t>J</w:t>
      </w:r>
      <w:r>
        <w:rPr>
          <w:rFonts w:ascii="Times New Roman" w:hAnsi="Times New Roman"/>
          <w:bCs/>
          <w:szCs w:val="32"/>
          <w:lang w:val="zh-CN"/>
        </w:rPr>
        <w:t>/T186</w:t>
      </w:r>
      <w:r>
        <w:rPr>
          <w:rFonts w:hint="eastAsia" w:ascii="Times New Roman" w:hAnsi="Times New Roman"/>
          <w:bCs/>
          <w:szCs w:val="32"/>
          <w:lang w:val="zh-CN"/>
        </w:rPr>
        <w:t>的规定；</w:t>
      </w:r>
    </w:p>
    <w:p w14:paraId="3EF6D42A">
      <w:pPr>
        <w:ind w:firstLine="482"/>
        <w:rPr>
          <w:rFonts w:ascii="Times New Roman" w:hAnsi="Times New Roman"/>
          <w:bCs/>
          <w:szCs w:val="32"/>
          <w:lang w:val="zh-CN"/>
        </w:rPr>
      </w:pPr>
      <w:r>
        <w:rPr>
          <w:rFonts w:cs="Calibri"/>
          <w:b/>
          <w:szCs w:val="32"/>
          <w:lang w:val="zh-CN"/>
        </w:rPr>
        <w:t>2</w:t>
      </w:r>
      <w:r>
        <w:rPr>
          <w:rFonts w:hint="eastAsia" w:ascii="Times New Roman" w:hAnsi="Times New Roman"/>
          <w:bCs/>
          <w:szCs w:val="32"/>
          <w:lang w:val="zh-CN"/>
        </w:rPr>
        <w:t xml:space="preserve">  地漏宜有防干涸和防返溢的措施，并宜采用同层排水地漏；地面敷设时，地漏宜采用多通道地漏；</w:t>
      </w:r>
    </w:p>
    <w:p w14:paraId="1E362474">
      <w:pPr>
        <w:ind w:firstLine="482"/>
        <w:rPr>
          <w:rFonts w:ascii="Times New Roman" w:hAnsi="Times New Roman"/>
          <w:bCs/>
          <w:szCs w:val="32"/>
          <w:lang w:val="zh-CN"/>
        </w:rPr>
      </w:pPr>
      <w:r>
        <w:rPr>
          <w:rFonts w:cs="Calibri"/>
          <w:b/>
          <w:szCs w:val="32"/>
          <w:lang w:val="zh-CN"/>
        </w:rPr>
        <w:t>3</w:t>
      </w:r>
      <w:r>
        <w:rPr>
          <w:rFonts w:hint="eastAsia" w:ascii="Times New Roman" w:hAnsi="Times New Roman"/>
          <w:bCs/>
          <w:szCs w:val="32"/>
          <w:lang w:val="zh-CN"/>
        </w:rPr>
        <w:t xml:space="preserve">  用于排除地面积水</w:t>
      </w:r>
      <w:r>
        <w:rPr>
          <w:rFonts w:hint="eastAsia" w:ascii="Times New Roman" w:hAnsi="Times New Roman"/>
          <w:bCs/>
          <w:szCs w:val="32"/>
        </w:rPr>
        <w:t>的</w:t>
      </w:r>
      <w:r>
        <w:rPr>
          <w:rFonts w:hint="eastAsia" w:ascii="Times New Roman" w:hAnsi="Times New Roman"/>
          <w:bCs/>
          <w:szCs w:val="32"/>
          <w:lang w:val="zh-CN"/>
        </w:rPr>
        <w:t>地漏宜单独与立管连接。如与其他用水器具排水汇合接入横支管时，地漏接入支管的位置宜在大便器、浴盆排水管接入口的上游（沿水流方向）。</w:t>
      </w:r>
    </w:p>
    <w:p w14:paraId="1E213DC6">
      <w:pPr>
        <w:ind w:firstLine="482"/>
        <w:rPr>
          <w:rFonts w:ascii="Times New Roman" w:hAnsi="Times New Roman"/>
          <w:bCs/>
          <w:szCs w:val="32"/>
          <w:lang w:val="zh-CN"/>
        </w:rPr>
      </w:pPr>
      <w:r>
        <w:rPr>
          <w:rFonts w:cs="Calibri"/>
          <w:b/>
          <w:szCs w:val="32"/>
          <w:lang w:val="zh-CN"/>
        </w:rPr>
        <w:t>4</w:t>
      </w:r>
      <w:r>
        <w:rPr>
          <w:rFonts w:ascii="Times New Roman" w:hAnsi="Times New Roman"/>
          <w:bCs/>
          <w:szCs w:val="32"/>
          <w:lang w:val="zh-CN"/>
        </w:rPr>
        <w:t xml:space="preserve">  </w:t>
      </w:r>
      <w:r>
        <w:rPr>
          <w:rFonts w:hint="eastAsia" w:ascii="Times New Roman" w:hAnsi="Times New Roman"/>
          <w:bCs/>
          <w:szCs w:val="32"/>
          <w:lang w:val="zh-CN"/>
        </w:rPr>
        <w:t>当条件允许时，可采用直通地漏并下设存水弯，洗手（脸）盆排水连接至存水弯之上管段，并保证存水弯水封高度应大于</w:t>
      </w:r>
      <w:r>
        <w:rPr>
          <w:rFonts w:ascii="Times New Roman" w:hAnsi="Times New Roman"/>
          <w:bCs/>
          <w:szCs w:val="32"/>
          <w:lang w:val="zh-CN"/>
        </w:rPr>
        <w:t xml:space="preserve"> 50mm</w:t>
      </w:r>
      <w:r>
        <w:rPr>
          <w:rFonts w:hint="eastAsia" w:ascii="Times New Roman" w:hAnsi="Times New Roman"/>
          <w:bCs/>
          <w:szCs w:val="32"/>
          <w:lang w:val="zh-CN"/>
        </w:rPr>
        <w:t>。</w:t>
      </w:r>
    </w:p>
    <w:p w14:paraId="7C4BA147">
      <w:pPr>
        <w:pStyle w:val="3"/>
        <w:numPr>
          <w:ilvl w:val="1"/>
          <w:numId w:val="11"/>
        </w:numPr>
      </w:pPr>
      <w:bookmarkStart w:id="1019" w:name="_Toc22305"/>
      <w:bookmarkStart w:id="1020" w:name="_Toc12563"/>
      <w:bookmarkStart w:id="1021" w:name="_Toc24577"/>
      <w:bookmarkStart w:id="1022" w:name="_Toc30961"/>
      <w:bookmarkStart w:id="1023" w:name="_Toc10466"/>
      <w:bookmarkStart w:id="1024" w:name="_Toc9335"/>
      <w:bookmarkStart w:id="1025" w:name="_Toc5635"/>
      <w:bookmarkStart w:id="1026" w:name="_Toc4925"/>
      <w:r>
        <w:rPr>
          <w:rFonts w:hint="eastAsia"/>
        </w:rPr>
        <w:t>供</w:t>
      </w:r>
      <w:r>
        <w:rPr>
          <w:rFonts w:hint="eastAsia" w:eastAsia="黑体"/>
          <w:sz w:val="36"/>
          <w:szCs w:val="36"/>
        </w:rPr>
        <w:t xml:space="preserve">  </w:t>
      </w:r>
      <w:r>
        <w:rPr>
          <w:rFonts w:hint="eastAsia"/>
        </w:rPr>
        <w:t>暖</w:t>
      </w:r>
      <w:bookmarkEnd w:id="1019"/>
      <w:bookmarkEnd w:id="1020"/>
      <w:bookmarkEnd w:id="1021"/>
      <w:bookmarkEnd w:id="1022"/>
      <w:bookmarkEnd w:id="1023"/>
      <w:bookmarkEnd w:id="1024"/>
      <w:bookmarkEnd w:id="1025"/>
      <w:bookmarkEnd w:id="1026"/>
    </w:p>
    <w:p w14:paraId="7C772483">
      <w:pPr>
        <w:pStyle w:val="4"/>
        <w:numPr>
          <w:ilvl w:val="2"/>
          <w:numId w:val="11"/>
        </w:numPr>
        <w:tabs>
          <w:tab w:val="clear" w:pos="0"/>
        </w:tabs>
        <w:ind w:firstLine="0" w:firstLineChars="0"/>
        <w:rPr>
          <w:rFonts w:cs="宋体"/>
          <w:bCs w:val="0"/>
          <w:iCs/>
          <w:lang w:val="en-US"/>
        </w:rPr>
      </w:pPr>
      <w:r>
        <w:rPr>
          <w:rFonts w:hint="eastAsia" w:cs="宋体"/>
          <w:bCs w:val="0"/>
          <w:iCs/>
          <w:lang w:val="en-US"/>
        </w:rPr>
        <w:t>住宅的供暖方式，应根据资源情况、环境保护、能源的高效率应用、用户对供暖空调预期费用的可承受能力等综合因素，经技术经济分析确定。住宅宜设置集中供热系统。</w:t>
      </w:r>
    </w:p>
    <w:p w14:paraId="01C0C262">
      <w:pPr>
        <w:pStyle w:val="4"/>
        <w:numPr>
          <w:ilvl w:val="2"/>
          <w:numId w:val="11"/>
        </w:numPr>
        <w:tabs>
          <w:tab w:val="clear" w:pos="0"/>
        </w:tabs>
        <w:ind w:firstLine="0" w:firstLineChars="0"/>
        <w:rPr>
          <w:rFonts w:cs="宋体"/>
          <w:bCs w:val="0"/>
          <w:iCs/>
          <w:lang w:val="en-US"/>
        </w:rPr>
      </w:pPr>
      <w:r>
        <w:rPr>
          <w:rFonts w:hint="eastAsia" w:cs="宋体"/>
          <w:bCs w:val="0"/>
          <w:iCs/>
          <w:lang w:val="en-US"/>
        </w:rPr>
        <w:t>热源应根据建筑物规模、用途、建设地点的能源条件、结构、价格以及国家节能减排和环保政策的相关规定等，通过综合论证确定，并应符合下列规定：</w:t>
      </w:r>
    </w:p>
    <w:p w14:paraId="5AEDE8C4">
      <w:pPr>
        <w:ind w:firstLine="482"/>
        <w:rPr>
          <w:rFonts w:ascii="Times New Roman" w:hAnsi="Times New Roman"/>
          <w:bCs/>
          <w:szCs w:val="32"/>
          <w:lang w:val="zh-CN"/>
        </w:rPr>
      </w:pPr>
      <w:r>
        <w:rPr>
          <w:rFonts w:cs="Calibri"/>
          <w:b/>
          <w:szCs w:val="32"/>
          <w:lang w:val="zh-CN"/>
        </w:rPr>
        <w:t>1</w:t>
      </w:r>
      <w:r>
        <w:rPr>
          <w:rFonts w:ascii="Times New Roman" w:hAnsi="Times New Roman"/>
          <w:bCs/>
          <w:szCs w:val="32"/>
          <w:lang w:val="zh-CN"/>
        </w:rPr>
        <w:t xml:space="preserve">  </w:t>
      </w:r>
      <w:r>
        <w:rPr>
          <w:rFonts w:hint="eastAsia" w:ascii="Times New Roman" w:hAnsi="Times New Roman"/>
          <w:bCs/>
          <w:szCs w:val="32"/>
          <w:lang w:val="zh-CN"/>
        </w:rPr>
        <w:t>在有可利用的废热或工厂余热的区域，应优先采用工业废热或工厂余热；</w:t>
      </w:r>
    </w:p>
    <w:p w14:paraId="740785C3">
      <w:pPr>
        <w:ind w:firstLine="482"/>
        <w:rPr>
          <w:rFonts w:ascii="Times New Roman" w:hAnsi="Times New Roman"/>
          <w:bCs/>
          <w:szCs w:val="32"/>
          <w:lang w:val="zh-CN"/>
        </w:rPr>
      </w:pPr>
      <w:r>
        <w:rPr>
          <w:rFonts w:cs="Calibri"/>
          <w:b/>
          <w:szCs w:val="32"/>
          <w:lang w:val="zh-CN"/>
        </w:rPr>
        <w:t>2</w:t>
      </w:r>
      <w:r>
        <w:rPr>
          <w:rFonts w:ascii="Times New Roman" w:hAnsi="Times New Roman"/>
          <w:bCs/>
          <w:szCs w:val="32"/>
          <w:lang w:val="zh-CN"/>
        </w:rPr>
        <w:t xml:space="preserve">  </w:t>
      </w:r>
      <w:r>
        <w:rPr>
          <w:rFonts w:hint="eastAsia" w:ascii="Times New Roman" w:hAnsi="Times New Roman"/>
          <w:bCs/>
          <w:szCs w:val="32"/>
          <w:lang w:val="zh-CN"/>
        </w:rPr>
        <w:t>不具备第</w:t>
      </w:r>
      <w:r>
        <w:rPr>
          <w:rFonts w:ascii="Times New Roman" w:hAnsi="Times New Roman"/>
          <w:bCs/>
          <w:szCs w:val="32"/>
          <w:lang w:val="zh-CN"/>
        </w:rPr>
        <w:t>1</w:t>
      </w:r>
      <w:r>
        <w:rPr>
          <w:rFonts w:hint="eastAsia" w:ascii="Times New Roman" w:hAnsi="Times New Roman"/>
          <w:bCs/>
          <w:szCs w:val="32"/>
          <w:lang w:val="zh-CN"/>
        </w:rPr>
        <w:t>款的条件，但在城市或区域热网供热范围内的地区应优先采用城市或区域热网；</w:t>
      </w:r>
    </w:p>
    <w:p w14:paraId="5FA38386">
      <w:pPr>
        <w:ind w:firstLine="482"/>
        <w:rPr>
          <w:rFonts w:ascii="Times New Roman" w:hAnsi="Times New Roman"/>
          <w:bCs/>
          <w:szCs w:val="32"/>
          <w:lang w:val="zh-CN"/>
        </w:rPr>
      </w:pPr>
      <w:r>
        <w:rPr>
          <w:rFonts w:cs="Calibri"/>
          <w:b/>
          <w:szCs w:val="32"/>
          <w:lang w:val="zh-CN"/>
        </w:rPr>
        <w:t>3</w:t>
      </w:r>
      <w:r>
        <w:rPr>
          <w:rFonts w:ascii="Times New Roman" w:hAnsi="Times New Roman"/>
          <w:bCs/>
          <w:szCs w:val="32"/>
          <w:lang w:val="zh-CN"/>
        </w:rPr>
        <w:t xml:space="preserve">  </w:t>
      </w:r>
      <w:r>
        <w:rPr>
          <w:rFonts w:hint="eastAsia" w:ascii="Times New Roman" w:hAnsi="Times New Roman"/>
          <w:bCs/>
          <w:szCs w:val="32"/>
          <w:lang w:val="zh-CN"/>
        </w:rPr>
        <w:t>在有条件且技术经济合理的情况下，热源宜优先采用可再生能源，采用可再生能源时，应根据使用条件和投资规模确定该类能源可提供的用能比例或保证率，以及系统费效比，并应根据项目负荷特点和当地资源条件进行适宜性分析；</w:t>
      </w:r>
    </w:p>
    <w:p w14:paraId="1EF984EC">
      <w:pPr>
        <w:ind w:firstLine="482"/>
        <w:rPr>
          <w:rFonts w:ascii="Times New Roman" w:hAnsi="Times New Roman"/>
          <w:bCs/>
          <w:szCs w:val="32"/>
          <w:lang w:val="zh-CN"/>
        </w:rPr>
      </w:pPr>
      <w:r>
        <w:rPr>
          <w:rFonts w:cs="Calibri"/>
          <w:b/>
          <w:szCs w:val="32"/>
          <w:lang w:val="zh-CN"/>
        </w:rPr>
        <w:t>4</w:t>
      </w:r>
      <w:r>
        <w:rPr>
          <w:rFonts w:ascii="Times New Roman" w:hAnsi="Times New Roman"/>
          <w:bCs/>
          <w:szCs w:val="32"/>
          <w:lang w:val="zh-CN"/>
        </w:rPr>
        <w:t xml:space="preserve">  </w:t>
      </w:r>
      <w:r>
        <w:rPr>
          <w:rFonts w:hint="eastAsia" w:ascii="Times New Roman" w:hAnsi="Times New Roman"/>
          <w:bCs/>
          <w:szCs w:val="32"/>
          <w:lang w:val="zh-CN"/>
        </w:rPr>
        <w:t>除无集中热源且符合下列情况之一者外，在设计时不应采用直接电热供暖设备作为居住建筑供暖的主体热源：无燃气源，用煤、油等燃料受到环保或消防严格限制的居住建筑；利用可再生能源发电，其发电量能满足自身电加热用电量需求的建筑；夜间可利用低谷电进行蓄热且蓄热式电锅炉不在昼间用电高峰时段启用的居住建筑。</w:t>
      </w:r>
    </w:p>
    <w:p w14:paraId="656D1205">
      <w:pPr>
        <w:pStyle w:val="4"/>
        <w:numPr>
          <w:ilvl w:val="2"/>
          <w:numId w:val="11"/>
        </w:numPr>
        <w:tabs>
          <w:tab w:val="clear" w:pos="0"/>
        </w:tabs>
        <w:ind w:firstLine="0" w:firstLineChars="0"/>
        <w:rPr>
          <w:rFonts w:cs="宋体"/>
          <w:bCs w:val="0"/>
          <w:iCs/>
          <w:lang w:val="en-US"/>
        </w:rPr>
      </w:pPr>
      <w:r>
        <w:rPr>
          <w:rFonts w:hint="eastAsia" w:cs="宋体"/>
          <w:bCs w:val="0"/>
          <w:iCs/>
          <w:lang w:val="en-US"/>
        </w:rPr>
        <w:t>供暖热媒应符合下列规定：</w:t>
      </w:r>
    </w:p>
    <w:p w14:paraId="2459442D">
      <w:pPr>
        <w:ind w:firstLine="482"/>
        <w:rPr>
          <w:rFonts w:ascii="Times New Roman" w:hAnsi="Times New Roman"/>
          <w:bCs/>
          <w:szCs w:val="32"/>
          <w:lang w:val="zh-CN"/>
        </w:rPr>
      </w:pPr>
      <w:r>
        <w:rPr>
          <w:rFonts w:cs="Calibri"/>
          <w:b/>
          <w:szCs w:val="32"/>
          <w:lang w:val="zh-CN"/>
        </w:rPr>
        <w:t>1</w:t>
      </w:r>
      <w:r>
        <w:rPr>
          <w:rFonts w:ascii="Times New Roman" w:hAnsi="Times New Roman"/>
          <w:bCs/>
          <w:szCs w:val="32"/>
          <w:lang w:val="zh-CN"/>
        </w:rPr>
        <w:t xml:space="preserve">  </w:t>
      </w:r>
      <w:r>
        <w:rPr>
          <w:rFonts w:hint="eastAsia" w:ascii="Times New Roman" w:hAnsi="Times New Roman"/>
          <w:bCs/>
          <w:szCs w:val="32"/>
          <w:lang w:val="zh-CN"/>
        </w:rPr>
        <w:t>住宅散热器供暖系统应采用不高于</w:t>
      </w:r>
      <w:r>
        <w:rPr>
          <w:rFonts w:ascii="Times New Roman" w:hAnsi="Times New Roman"/>
          <w:bCs/>
          <w:szCs w:val="32"/>
          <w:lang w:val="zh-CN"/>
        </w:rPr>
        <w:t>85</w:t>
      </w:r>
      <w:r>
        <w:rPr>
          <w:rFonts w:hint="eastAsia" w:ascii="Times New Roman" w:hAnsi="Times New Roman"/>
          <w:bCs/>
          <w:szCs w:val="32"/>
          <w:lang w:val="zh-CN"/>
        </w:rPr>
        <w:t>℃的热水作为热媒，宜按</w:t>
      </w:r>
      <w:r>
        <w:rPr>
          <w:rFonts w:ascii="Times New Roman" w:hAnsi="Times New Roman"/>
          <w:bCs/>
          <w:szCs w:val="32"/>
          <w:lang w:val="zh-CN"/>
        </w:rPr>
        <w:t>75</w:t>
      </w:r>
      <w:r>
        <w:rPr>
          <w:rFonts w:hint="eastAsia" w:ascii="Times New Roman" w:hAnsi="Times New Roman"/>
          <w:bCs/>
          <w:szCs w:val="32"/>
          <w:lang w:val="zh-CN"/>
        </w:rPr>
        <w:t>℃</w:t>
      </w:r>
      <w:r>
        <w:rPr>
          <w:rFonts w:ascii="Times New Roman" w:hAnsi="Times New Roman"/>
          <w:bCs/>
          <w:szCs w:val="32"/>
          <w:lang w:val="zh-CN"/>
        </w:rPr>
        <w:t>/50</w:t>
      </w:r>
      <w:r>
        <w:rPr>
          <w:rFonts w:hint="eastAsia" w:ascii="Times New Roman" w:hAnsi="Times New Roman"/>
          <w:bCs/>
          <w:szCs w:val="32"/>
          <w:lang w:val="zh-CN"/>
        </w:rPr>
        <w:t>℃连续供暖进行设计，供回水温差不宜小于</w:t>
      </w:r>
      <w:r>
        <w:rPr>
          <w:rFonts w:ascii="Times New Roman" w:hAnsi="Times New Roman"/>
          <w:bCs/>
          <w:szCs w:val="32"/>
          <w:lang w:val="zh-CN"/>
        </w:rPr>
        <w:t>20</w:t>
      </w:r>
      <w:r>
        <w:rPr>
          <w:rFonts w:hint="eastAsia" w:ascii="Times New Roman" w:hAnsi="Times New Roman"/>
          <w:bCs/>
          <w:szCs w:val="32"/>
          <w:lang w:val="zh-CN"/>
        </w:rPr>
        <w:t>℃。</w:t>
      </w:r>
    </w:p>
    <w:p w14:paraId="0F993D94">
      <w:pPr>
        <w:ind w:firstLine="482"/>
        <w:rPr>
          <w:rFonts w:ascii="Times New Roman" w:hAnsi="Times New Roman"/>
          <w:bCs/>
          <w:szCs w:val="32"/>
          <w:lang w:val="zh-CN"/>
        </w:rPr>
      </w:pPr>
      <w:r>
        <w:rPr>
          <w:rFonts w:cs="Calibri"/>
          <w:b/>
          <w:szCs w:val="32"/>
          <w:lang w:val="zh-CN"/>
        </w:rPr>
        <w:t>2</w:t>
      </w:r>
      <w:r>
        <w:rPr>
          <w:rFonts w:ascii="Times New Roman" w:hAnsi="Times New Roman"/>
          <w:bCs/>
          <w:szCs w:val="32"/>
          <w:lang w:val="zh-CN"/>
        </w:rPr>
        <w:t xml:space="preserve">  </w:t>
      </w:r>
      <w:r>
        <w:rPr>
          <w:rFonts w:hint="eastAsia" w:ascii="Times New Roman" w:hAnsi="Times New Roman"/>
          <w:bCs/>
          <w:szCs w:val="32"/>
          <w:lang w:val="zh-CN"/>
        </w:rPr>
        <w:t>地面辐射供暖系统应采用不高于</w:t>
      </w:r>
      <w:r>
        <w:rPr>
          <w:rFonts w:ascii="Times New Roman" w:hAnsi="Times New Roman"/>
          <w:bCs/>
          <w:szCs w:val="32"/>
          <w:lang w:val="zh-CN"/>
        </w:rPr>
        <w:t>60</w:t>
      </w:r>
      <w:r>
        <w:rPr>
          <w:rFonts w:hint="eastAsia" w:ascii="Times New Roman" w:hAnsi="Times New Roman"/>
          <w:bCs/>
          <w:szCs w:val="32"/>
          <w:lang w:val="zh-CN"/>
        </w:rPr>
        <w:t>℃的热水作为热媒，供水温度宜采用</w:t>
      </w:r>
      <w:r>
        <w:rPr>
          <w:rFonts w:ascii="Times New Roman" w:hAnsi="Times New Roman"/>
          <w:bCs/>
          <w:szCs w:val="32"/>
          <w:lang w:val="zh-CN"/>
        </w:rPr>
        <w:t>35-45</w:t>
      </w:r>
      <w:r>
        <w:rPr>
          <w:rFonts w:hint="eastAsia" w:ascii="Times New Roman" w:hAnsi="Times New Roman"/>
          <w:bCs/>
          <w:szCs w:val="32"/>
          <w:lang w:val="zh-CN"/>
        </w:rPr>
        <w:t>℃，供回水温差不宜大于</w:t>
      </w:r>
      <w:r>
        <w:rPr>
          <w:rFonts w:ascii="Times New Roman" w:hAnsi="Times New Roman"/>
          <w:bCs/>
          <w:szCs w:val="32"/>
          <w:lang w:val="zh-CN"/>
        </w:rPr>
        <w:t>10</w:t>
      </w:r>
      <w:r>
        <w:rPr>
          <w:rFonts w:hint="eastAsia" w:ascii="Times New Roman" w:hAnsi="Times New Roman"/>
          <w:bCs/>
          <w:szCs w:val="32"/>
          <w:lang w:val="zh-CN"/>
        </w:rPr>
        <w:t>℃，且不宜小于</w:t>
      </w:r>
      <w:r>
        <w:rPr>
          <w:rFonts w:ascii="Times New Roman" w:hAnsi="Times New Roman"/>
          <w:bCs/>
          <w:szCs w:val="32"/>
          <w:lang w:val="zh-CN"/>
        </w:rPr>
        <w:t>5</w:t>
      </w:r>
      <w:r>
        <w:rPr>
          <w:rFonts w:hint="eastAsia" w:ascii="Times New Roman" w:hAnsi="Times New Roman"/>
          <w:bCs/>
          <w:szCs w:val="32"/>
          <w:lang w:val="zh-CN"/>
        </w:rPr>
        <w:t>℃。</w:t>
      </w:r>
    </w:p>
    <w:p w14:paraId="04DC1855">
      <w:pPr>
        <w:ind w:firstLine="482"/>
        <w:rPr>
          <w:rFonts w:ascii="Times New Roman" w:hAnsi="Times New Roman"/>
          <w:bCs/>
          <w:szCs w:val="32"/>
          <w:lang w:val="zh-CN"/>
        </w:rPr>
      </w:pPr>
      <w:r>
        <w:rPr>
          <w:rFonts w:cs="Calibri"/>
          <w:b/>
          <w:szCs w:val="32"/>
          <w:lang w:val="zh-CN"/>
        </w:rPr>
        <w:t>3</w:t>
      </w:r>
      <w:r>
        <w:rPr>
          <w:rFonts w:ascii="Times New Roman" w:hAnsi="Times New Roman"/>
          <w:bCs/>
          <w:szCs w:val="32"/>
          <w:lang w:val="zh-CN"/>
        </w:rPr>
        <w:t xml:space="preserve">  </w:t>
      </w:r>
      <w:r>
        <w:rPr>
          <w:rFonts w:hint="eastAsia" w:ascii="Times New Roman" w:hAnsi="Times New Roman"/>
          <w:bCs/>
          <w:szCs w:val="32"/>
          <w:lang w:val="zh-CN"/>
        </w:rPr>
        <w:t>热水供暖系统应用可靠的水质保证措施，应符合现行行业标准《城镇供热管网设计规范》</w:t>
      </w:r>
      <w:r>
        <w:rPr>
          <w:rFonts w:ascii="Times New Roman" w:hAnsi="Times New Roman"/>
          <w:bCs/>
          <w:szCs w:val="32"/>
          <w:lang w:val="zh-CN"/>
        </w:rPr>
        <w:t>CJJ34</w:t>
      </w:r>
      <w:r>
        <w:rPr>
          <w:rFonts w:hint="eastAsia" w:ascii="Times New Roman" w:hAnsi="Times New Roman"/>
          <w:bCs/>
          <w:szCs w:val="32"/>
          <w:lang w:val="zh-CN"/>
        </w:rPr>
        <w:t>的规定。</w:t>
      </w:r>
    </w:p>
    <w:p w14:paraId="0A9E25E3">
      <w:pPr>
        <w:pStyle w:val="4"/>
        <w:numPr>
          <w:ilvl w:val="2"/>
          <w:numId w:val="11"/>
        </w:numPr>
        <w:tabs>
          <w:tab w:val="clear" w:pos="0"/>
        </w:tabs>
        <w:ind w:firstLine="0" w:firstLineChars="0"/>
        <w:rPr>
          <w:rFonts w:cs="宋体"/>
          <w:bCs w:val="0"/>
          <w:iCs/>
          <w:lang w:val="en-US"/>
        </w:rPr>
      </w:pPr>
      <w:r>
        <w:rPr>
          <w:rFonts w:hint="eastAsia" w:cs="宋体"/>
          <w:bCs w:val="0"/>
          <w:iCs/>
          <w:lang w:val="en-US"/>
        </w:rPr>
        <w:t>集中供暖系统设计应计算每一供暖房间的热负荷、建筑总热负荷和单位建筑面积热负荷指标。</w:t>
      </w:r>
    </w:p>
    <w:p w14:paraId="702020FF">
      <w:pPr>
        <w:pStyle w:val="4"/>
        <w:numPr>
          <w:ilvl w:val="2"/>
          <w:numId w:val="11"/>
        </w:numPr>
        <w:tabs>
          <w:tab w:val="clear" w:pos="0"/>
        </w:tabs>
        <w:ind w:firstLine="0" w:firstLineChars="0"/>
        <w:rPr>
          <w:rFonts w:cs="宋体"/>
          <w:bCs w:val="0"/>
          <w:iCs/>
          <w:lang w:val="en-US"/>
        </w:rPr>
      </w:pPr>
      <w:r>
        <w:rPr>
          <w:rFonts w:hint="eastAsia" w:cs="宋体"/>
          <w:bCs w:val="0"/>
          <w:iCs/>
          <w:lang w:val="en-US"/>
        </w:rPr>
        <w:t>住宅集中供暖的设计应进行室内供暖系统的水力平衡计算，并应通过调整环路布置和管径，使并联环路（不包括公用段）的阻力相对差额不大于15%；当不满足要求时，应采取水力平衡措施。</w:t>
      </w:r>
    </w:p>
    <w:p w14:paraId="1B9EC4EF">
      <w:pPr>
        <w:pStyle w:val="4"/>
        <w:numPr>
          <w:ilvl w:val="2"/>
          <w:numId w:val="11"/>
        </w:numPr>
        <w:tabs>
          <w:tab w:val="clear" w:pos="0"/>
        </w:tabs>
        <w:ind w:firstLine="0" w:firstLineChars="0"/>
        <w:rPr>
          <w:rFonts w:cs="宋体"/>
          <w:bCs w:val="0"/>
          <w:iCs/>
          <w:lang w:val="en-US"/>
        </w:rPr>
      </w:pPr>
      <w:r>
        <w:rPr>
          <w:rFonts w:hint="eastAsia" w:cs="宋体"/>
          <w:bCs w:val="0"/>
          <w:iCs/>
          <w:lang w:val="en-US"/>
        </w:rPr>
        <w:t>设置供暖系统的普通住宅的室内设计温度，不应低于表10.3.6的规定。</w:t>
      </w:r>
    </w:p>
    <w:p w14:paraId="34F5C6B0">
      <w:pPr>
        <w:ind w:firstLine="420"/>
        <w:jc w:val="center"/>
        <w:rPr>
          <w:rFonts w:ascii="黑体" w:eastAsia="黑体" w:hAnsiTheme="minorEastAsia"/>
          <w:iCs/>
          <w:sz w:val="21"/>
          <w:szCs w:val="21"/>
        </w:rPr>
      </w:pPr>
      <w:r>
        <w:rPr>
          <w:rFonts w:hint="eastAsia" w:ascii="黑体" w:eastAsia="黑体" w:hAnsiTheme="minorEastAsia"/>
          <w:iCs/>
          <w:sz w:val="21"/>
          <w:szCs w:val="21"/>
        </w:rPr>
        <w:t>表</w:t>
      </w:r>
      <w:r>
        <w:rPr>
          <w:rFonts w:hint="eastAsia" w:ascii="黑体" w:eastAsia="黑体" w:cs="Calibri" w:hAnsiTheme="minorEastAsia"/>
          <w:iCs/>
          <w:sz w:val="21"/>
          <w:szCs w:val="21"/>
        </w:rPr>
        <w:t>10.3.</w:t>
      </w:r>
      <w:r>
        <w:rPr>
          <w:rFonts w:ascii="黑体" w:eastAsia="黑体" w:cs="Calibri" w:hAnsiTheme="minorEastAsia"/>
          <w:iCs/>
          <w:sz w:val="21"/>
          <w:szCs w:val="21"/>
        </w:rPr>
        <w:t>6</w:t>
      </w:r>
      <w:r>
        <w:rPr>
          <w:rFonts w:hint="eastAsia" w:ascii="黑体" w:eastAsia="黑体" w:cs="Calibri" w:hAnsiTheme="minorEastAsia"/>
          <w:iCs/>
          <w:sz w:val="21"/>
          <w:szCs w:val="21"/>
        </w:rPr>
        <w:t xml:space="preserve"> </w:t>
      </w:r>
      <w:r>
        <w:rPr>
          <w:rFonts w:hint="eastAsia" w:ascii="黑体" w:eastAsia="黑体" w:hAnsiTheme="minorEastAsia"/>
          <w:iCs/>
          <w:sz w:val="21"/>
          <w:szCs w:val="21"/>
        </w:rPr>
        <w:t>住宅室内设计温度</w:t>
      </w:r>
    </w:p>
    <w:tbl>
      <w:tblPr>
        <w:tblStyle w:val="29"/>
        <w:tblW w:w="7767" w:type="dxa"/>
        <w:tblInd w:w="5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23"/>
        <w:gridCol w:w="3544"/>
      </w:tblGrid>
      <w:tr w14:paraId="53A92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23" w:type="dxa"/>
          </w:tcPr>
          <w:p w14:paraId="53D41AD0">
            <w:pPr>
              <w:ind w:firstLine="0" w:firstLineChars="0"/>
              <w:jc w:val="center"/>
              <w:rPr>
                <w:rFonts w:ascii="宋体" w:hAnsi="宋体" w:cs="宋体"/>
                <w:iCs/>
                <w:sz w:val="18"/>
                <w:szCs w:val="18"/>
              </w:rPr>
            </w:pPr>
            <w:r>
              <w:rPr>
                <w:rFonts w:hint="eastAsia" w:ascii="宋体" w:hAnsi="宋体" w:cs="宋体"/>
                <w:iCs/>
                <w:sz w:val="18"/>
                <w:szCs w:val="18"/>
              </w:rPr>
              <w:t>用房</w:t>
            </w:r>
          </w:p>
        </w:tc>
        <w:tc>
          <w:tcPr>
            <w:tcW w:w="3544" w:type="dxa"/>
          </w:tcPr>
          <w:p w14:paraId="0B158557">
            <w:pPr>
              <w:ind w:firstLine="0" w:firstLineChars="0"/>
              <w:jc w:val="center"/>
              <w:rPr>
                <w:rFonts w:ascii="宋体" w:hAnsi="宋体" w:cs="宋体"/>
                <w:iCs/>
                <w:sz w:val="18"/>
                <w:szCs w:val="18"/>
              </w:rPr>
            </w:pPr>
            <w:r>
              <w:rPr>
                <w:rFonts w:hint="eastAsia" w:ascii="宋体" w:hAnsi="宋体" w:cs="宋体"/>
                <w:iCs/>
                <w:sz w:val="18"/>
                <w:szCs w:val="18"/>
              </w:rPr>
              <w:t>温度（℃）</w:t>
            </w:r>
          </w:p>
        </w:tc>
      </w:tr>
      <w:tr w14:paraId="6921B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23" w:type="dxa"/>
          </w:tcPr>
          <w:p w14:paraId="1AD84769">
            <w:pPr>
              <w:ind w:firstLine="0" w:firstLineChars="0"/>
              <w:jc w:val="center"/>
              <w:rPr>
                <w:rFonts w:ascii="宋体" w:hAnsi="宋体" w:cs="宋体"/>
                <w:iCs/>
                <w:sz w:val="18"/>
                <w:szCs w:val="18"/>
              </w:rPr>
            </w:pPr>
            <w:r>
              <w:rPr>
                <w:rFonts w:hint="eastAsia" w:ascii="宋体" w:hAnsi="宋体" w:cs="宋体"/>
                <w:iCs/>
                <w:sz w:val="18"/>
                <w:szCs w:val="18"/>
              </w:rPr>
              <w:t>卧室、起居室（厅）和卫生间</w:t>
            </w:r>
          </w:p>
        </w:tc>
        <w:tc>
          <w:tcPr>
            <w:tcW w:w="3544" w:type="dxa"/>
          </w:tcPr>
          <w:p w14:paraId="76384E53">
            <w:pPr>
              <w:ind w:firstLine="0" w:firstLineChars="0"/>
              <w:jc w:val="center"/>
              <w:rPr>
                <w:rFonts w:ascii="宋体" w:hAnsi="宋体" w:cs="宋体"/>
                <w:iCs/>
                <w:sz w:val="18"/>
                <w:szCs w:val="18"/>
              </w:rPr>
            </w:pPr>
            <w:r>
              <w:rPr>
                <w:rFonts w:hint="eastAsia" w:ascii="宋体" w:hAnsi="宋体" w:cs="宋体"/>
                <w:iCs/>
                <w:sz w:val="18"/>
                <w:szCs w:val="18"/>
              </w:rPr>
              <w:t>18</w:t>
            </w:r>
          </w:p>
        </w:tc>
      </w:tr>
      <w:tr w14:paraId="0CB5C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23" w:type="dxa"/>
          </w:tcPr>
          <w:p w14:paraId="4D39C008">
            <w:pPr>
              <w:ind w:firstLine="0" w:firstLineChars="0"/>
              <w:jc w:val="center"/>
              <w:rPr>
                <w:rFonts w:ascii="宋体" w:hAnsi="宋体" w:cs="宋体"/>
                <w:iCs/>
                <w:sz w:val="18"/>
                <w:szCs w:val="18"/>
              </w:rPr>
            </w:pPr>
            <w:r>
              <w:rPr>
                <w:rFonts w:hint="eastAsia" w:ascii="宋体" w:hAnsi="宋体" w:cs="宋体"/>
                <w:iCs/>
                <w:sz w:val="18"/>
                <w:szCs w:val="18"/>
              </w:rPr>
              <w:t>厨房</w:t>
            </w:r>
          </w:p>
        </w:tc>
        <w:tc>
          <w:tcPr>
            <w:tcW w:w="3544" w:type="dxa"/>
          </w:tcPr>
          <w:p w14:paraId="3B88DDE8">
            <w:pPr>
              <w:ind w:firstLine="0" w:firstLineChars="0"/>
              <w:jc w:val="center"/>
              <w:rPr>
                <w:rFonts w:ascii="宋体" w:hAnsi="宋体" w:cs="宋体"/>
                <w:iCs/>
                <w:sz w:val="18"/>
                <w:szCs w:val="18"/>
              </w:rPr>
            </w:pPr>
            <w:r>
              <w:rPr>
                <w:rFonts w:hint="eastAsia" w:ascii="宋体" w:hAnsi="宋体" w:cs="宋体"/>
                <w:iCs/>
                <w:sz w:val="18"/>
                <w:szCs w:val="18"/>
              </w:rPr>
              <w:t>15</w:t>
            </w:r>
          </w:p>
        </w:tc>
      </w:tr>
      <w:tr w14:paraId="12A4F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23" w:type="dxa"/>
          </w:tcPr>
          <w:p w14:paraId="35E40ACD">
            <w:pPr>
              <w:ind w:firstLine="0" w:firstLineChars="0"/>
              <w:jc w:val="center"/>
              <w:rPr>
                <w:rFonts w:ascii="宋体" w:hAnsi="宋体" w:cs="宋体"/>
                <w:iCs/>
                <w:sz w:val="18"/>
                <w:szCs w:val="18"/>
              </w:rPr>
            </w:pPr>
            <w:r>
              <w:rPr>
                <w:rFonts w:hint="eastAsia" w:ascii="宋体" w:hAnsi="宋体" w:cs="宋体"/>
                <w:iCs/>
                <w:sz w:val="18"/>
                <w:szCs w:val="18"/>
              </w:rPr>
              <w:t>设供暖的楼梯间和走廊</w:t>
            </w:r>
          </w:p>
        </w:tc>
        <w:tc>
          <w:tcPr>
            <w:tcW w:w="3544" w:type="dxa"/>
          </w:tcPr>
          <w:p w14:paraId="087F31C5">
            <w:pPr>
              <w:ind w:firstLine="0" w:firstLineChars="0"/>
              <w:jc w:val="center"/>
              <w:rPr>
                <w:rFonts w:ascii="宋体" w:hAnsi="宋体" w:cs="宋体"/>
                <w:iCs/>
                <w:sz w:val="18"/>
                <w:szCs w:val="18"/>
              </w:rPr>
            </w:pPr>
            <w:r>
              <w:rPr>
                <w:rFonts w:hint="eastAsia" w:ascii="宋体" w:hAnsi="宋体" w:cs="宋体"/>
                <w:iCs/>
                <w:sz w:val="18"/>
                <w:szCs w:val="18"/>
              </w:rPr>
              <w:t>14</w:t>
            </w:r>
          </w:p>
        </w:tc>
      </w:tr>
    </w:tbl>
    <w:p w14:paraId="5DA99F67">
      <w:pPr>
        <w:pStyle w:val="4"/>
        <w:numPr>
          <w:ilvl w:val="2"/>
          <w:numId w:val="11"/>
        </w:numPr>
        <w:tabs>
          <w:tab w:val="clear" w:pos="0"/>
        </w:tabs>
        <w:ind w:firstLine="0" w:firstLineChars="0"/>
        <w:rPr>
          <w:rFonts w:cs="宋体"/>
          <w:bCs w:val="0"/>
          <w:iCs/>
          <w:lang w:val="en-US"/>
        </w:rPr>
      </w:pPr>
      <w:r>
        <w:rPr>
          <w:rFonts w:hint="eastAsia" w:cs="宋体"/>
          <w:bCs w:val="0"/>
          <w:iCs/>
          <w:lang w:val="en-US"/>
        </w:rPr>
        <w:t>室内主要供暖设施应设置室温自动调控装置。</w:t>
      </w:r>
    </w:p>
    <w:p w14:paraId="4F551A45">
      <w:pPr>
        <w:pStyle w:val="4"/>
        <w:numPr>
          <w:ilvl w:val="2"/>
          <w:numId w:val="11"/>
        </w:numPr>
        <w:tabs>
          <w:tab w:val="clear" w:pos="0"/>
        </w:tabs>
        <w:ind w:firstLine="0" w:firstLineChars="0"/>
        <w:rPr>
          <w:rFonts w:cs="宋体"/>
          <w:bCs w:val="0"/>
          <w:iCs/>
          <w:lang w:val="en-US"/>
        </w:rPr>
      </w:pPr>
      <w:r>
        <w:rPr>
          <w:rFonts w:hint="eastAsia" w:cs="宋体"/>
          <w:bCs w:val="0"/>
          <w:iCs/>
          <w:lang w:val="en-US"/>
        </w:rPr>
        <w:t>室内采用散热器供暖时，供暖系统的制式宜采用双管式，管道布置方式宜采用异程式；当采用单管制时，应在每组散热器的进出水支管之间设置跨越管，且水平串联的散热器不宜超过6组，垂直串联不超过6层。</w:t>
      </w:r>
    </w:p>
    <w:p w14:paraId="0EDD9978">
      <w:pPr>
        <w:pStyle w:val="4"/>
        <w:numPr>
          <w:ilvl w:val="2"/>
          <w:numId w:val="11"/>
        </w:numPr>
        <w:tabs>
          <w:tab w:val="clear" w:pos="0"/>
        </w:tabs>
        <w:ind w:firstLine="0" w:firstLineChars="0"/>
        <w:rPr>
          <w:rFonts w:cs="宋体"/>
          <w:bCs w:val="0"/>
          <w:iCs/>
          <w:lang w:val="en-US"/>
        </w:rPr>
      </w:pPr>
      <w:r>
        <w:rPr>
          <w:rFonts w:hint="eastAsia" w:cs="宋体"/>
          <w:bCs w:val="0"/>
          <w:iCs/>
          <w:lang w:val="en-US"/>
        </w:rPr>
        <w:t>热水辐射供暖系统应按户划分系统，并配置分水器、集水器；户内应按主要房间或区域配置独立的环路，每个环路应设置室温调控装置。</w:t>
      </w:r>
    </w:p>
    <w:p w14:paraId="6655403F">
      <w:pPr>
        <w:pStyle w:val="4"/>
        <w:numPr>
          <w:ilvl w:val="2"/>
          <w:numId w:val="11"/>
        </w:numPr>
        <w:tabs>
          <w:tab w:val="clear" w:pos="0"/>
        </w:tabs>
        <w:ind w:firstLine="0" w:firstLineChars="0"/>
        <w:rPr>
          <w:rFonts w:cs="宋体"/>
          <w:bCs w:val="0"/>
          <w:iCs/>
          <w:lang w:val="en-US"/>
        </w:rPr>
      </w:pPr>
      <w:r>
        <w:rPr>
          <w:rFonts w:hint="eastAsia" w:cs="宋体"/>
          <w:bCs w:val="0"/>
          <w:iCs/>
          <w:lang w:val="en-US"/>
        </w:rPr>
        <w:t>设备材料应符合下列规定：</w:t>
      </w:r>
    </w:p>
    <w:p w14:paraId="6F8E9ECE">
      <w:pPr>
        <w:ind w:firstLine="482"/>
        <w:rPr>
          <w:rFonts w:ascii="Times New Roman" w:hAnsi="Times New Roman"/>
          <w:szCs w:val="32"/>
          <w:lang w:val="zh-CN"/>
        </w:rPr>
      </w:pPr>
      <w:r>
        <w:rPr>
          <w:rFonts w:cs="Calibri"/>
          <w:b/>
          <w:bCs/>
          <w:szCs w:val="32"/>
          <w:lang w:val="zh-CN"/>
        </w:rPr>
        <w:t>1</w:t>
      </w:r>
      <w:r>
        <w:rPr>
          <w:rFonts w:ascii="Times New Roman" w:hAnsi="Times New Roman"/>
          <w:szCs w:val="32"/>
          <w:lang w:val="zh-CN"/>
        </w:rPr>
        <w:t xml:space="preserve">  </w:t>
      </w:r>
      <w:r>
        <w:rPr>
          <w:rFonts w:hint="eastAsia" w:ascii="Times New Roman" w:hAnsi="Times New Roman"/>
          <w:szCs w:val="32"/>
          <w:lang w:val="zh-CN"/>
        </w:rPr>
        <w:t>应采用体型紧凑、便于清扫、使用寿命不低于钢管的散热器，且符合供暖系统的压力要求。散热器应明装、外表面刷非金属性涂料。</w:t>
      </w:r>
    </w:p>
    <w:p w14:paraId="4D6F3095">
      <w:pPr>
        <w:ind w:firstLine="482"/>
        <w:rPr>
          <w:rFonts w:ascii="Times New Roman" w:hAnsi="Times New Roman"/>
          <w:szCs w:val="32"/>
          <w:lang w:val="zh-CN"/>
        </w:rPr>
      </w:pPr>
      <w:r>
        <w:rPr>
          <w:rFonts w:cs="Calibri"/>
          <w:b/>
          <w:bCs/>
          <w:szCs w:val="32"/>
          <w:lang w:val="zh-CN"/>
        </w:rPr>
        <w:t>2</w:t>
      </w:r>
      <w:r>
        <w:rPr>
          <w:rFonts w:ascii="Times New Roman" w:hAnsi="Times New Roman"/>
          <w:szCs w:val="32"/>
          <w:lang w:val="zh-CN"/>
        </w:rPr>
        <w:t xml:space="preserve">  </w:t>
      </w:r>
      <w:r>
        <w:rPr>
          <w:rFonts w:hint="eastAsia" w:ascii="Times New Roman" w:hAnsi="Times New Roman"/>
          <w:szCs w:val="32"/>
          <w:lang w:val="zh-CN"/>
        </w:rPr>
        <w:t>埋设在地面垫层内或镶嵌在踢脚板内的管道材质及壁厚，应根据工程的耐久年限、管材的性能以及系统的工作压力、水质要求等条件确定。</w:t>
      </w:r>
    </w:p>
    <w:p w14:paraId="3DA7A5C3">
      <w:pPr>
        <w:pStyle w:val="4"/>
        <w:numPr>
          <w:ilvl w:val="2"/>
          <w:numId w:val="11"/>
        </w:numPr>
        <w:tabs>
          <w:tab w:val="clear" w:pos="0"/>
        </w:tabs>
        <w:ind w:firstLine="0" w:firstLineChars="0"/>
        <w:rPr>
          <w:rFonts w:cs="宋体"/>
          <w:bCs w:val="0"/>
          <w:iCs/>
          <w:lang w:val="en-US"/>
        </w:rPr>
      </w:pPr>
      <w:r>
        <w:rPr>
          <w:rFonts w:hint="eastAsia" w:cs="宋体"/>
          <w:bCs w:val="0"/>
          <w:iCs/>
          <w:lang w:val="en-US"/>
        </w:rPr>
        <w:t>户式燃气炉应采用全封闭式燃烧、平衡式强制排烟型，户式燃气热水炉的排烟口应保持空气通畅，且远离人群和新风口。</w:t>
      </w:r>
    </w:p>
    <w:p w14:paraId="638EF750">
      <w:pPr>
        <w:pStyle w:val="4"/>
        <w:numPr>
          <w:ilvl w:val="2"/>
          <w:numId w:val="11"/>
        </w:numPr>
        <w:tabs>
          <w:tab w:val="clear" w:pos="0"/>
        </w:tabs>
        <w:ind w:firstLine="0" w:firstLineChars="0"/>
        <w:rPr>
          <w:rFonts w:cs="宋体"/>
          <w:bCs w:val="0"/>
          <w:iCs/>
          <w:lang w:val="en-US"/>
        </w:rPr>
      </w:pPr>
      <w:r>
        <w:rPr>
          <w:rFonts w:hint="eastAsia" w:cs="宋体"/>
          <w:bCs w:val="0"/>
          <w:iCs/>
          <w:lang w:val="en-US"/>
        </w:rPr>
        <w:t>住宅应以楼栋为对象设置热量表，并以此作为热量结算点，当住宅含有底商时应分别计量。分户热计量装置的选择应符合现行地方标准《供热计量设计技术规程》DB11/1066的规定，计量装置应设置在便于操作的公共部位。</w:t>
      </w:r>
    </w:p>
    <w:p w14:paraId="7EB2B138">
      <w:pPr>
        <w:pStyle w:val="4"/>
        <w:numPr>
          <w:ilvl w:val="2"/>
          <w:numId w:val="11"/>
        </w:numPr>
        <w:tabs>
          <w:tab w:val="clear" w:pos="0"/>
        </w:tabs>
        <w:ind w:firstLine="0" w:firstLineChars="0"/>
        <w:rPr>
          <w:rFonts w:cs="宋体"/>
          <w:bCs w:val="0"/>
          <w:iCs/>
          <w:lang w:val="en-US"/>
        </w:rPr>
      </w:pPr>
      <w:r>
        <w:rPr>
          <w:rFonts w:hint="eastAsia" w:cs="宋体"/>
          <w:bCs w:val="0"/>
          <w:iCs/>
          <w:lang w:val="en-US"/>
        </w:rPr>
        <w:t>供暖系统设置自动排气阀等设备时应设计在公共空间。</w:t>
      </w:r>
    </w:p>
    <w:p w14:paraId="2845A689">
      <w:pPr>
        <w:pStyle w:val="4"/>
        <w:numPr>
          <w:ilvl w:val="2"/>
          <w:numId w:val="11"/>
        </w:numPr>
        <w:tabs>
          <w:tab w:val="clear" w:pos="0"/>
        </w:tabs>
        <w:ind w:firstLine="0" w:firstLineChars="0"/>
        <w:rPr>
          <w:rFonts w:cs="宋体"/>
          <w:bCs w:val="0"/>
          <w:iCs/>
          <w:lang w:val="en-US"/>
        </w:rPr>
      </w:pPr>
      <w:r>
        <w:rPr>
          <w:rFonts w:hint="eastAsia" w:cs="宋体"/>
          <w:bCs w:val="0"/>
          <w:iCs/>
          <w:lang w:val="en-US"/>
        </w:rPr>
        <w:t>集中供热住宅的供暖系统设计，应符合现行地方标准《供热计量设计技术规程》DB11/1066的规定。</w:t>
      </w:r>
    </w:p>
    <w:p w14:paraId="13128C8C">
      <w:pPr>
        <w:pStyle w:val="4"/>
        <w:numPr>
          <w:ilvl w:val="2"/>
          <w:numId w:val="11"/>
        </w:numPr>
        <w:tabs>
          <w:tab w:val="clear" w:pos="0"/>
        </w:tabs>
        <w:ind w:firstLine="0" w:firstLineChars="0"/>
        <w:rPr>
          <w:rFonts w:cs="宋体"/>
          <w:bCs w:val="0"/>
          <w:iCs/>
          <w:lang w:val="en-US"/>
        </w:rPr>
      </w:pPr>
      <w:r>
        <w:rPr>
          <w:rFonts w:hint="eastAsia" w:cs="宋体"/>
          <w:bCs w:val="0"/>
          <w:iCs/>
          <w:lang w:val="en-US"/>
        </w:rPr>
        <w:t>供暖系统不应有冻结危险，并应采取热膨胀补偿措施。</w:t>
      </w:r>
    </w:p>
    <w:p w14:paraId="49A681DE">
      <w:pPr>
        <w:pStyle w:val="4"/>
        <w:numPr>
          <w:ilvl w:val="2"/>
          <w:numId w:val="11"/>
        </w:numPr>
        <w:tabs>
          <w:tab w:val="clear" w:pos="0"/>
        </w:tabs>
        <w:ind w:firstLine="0" w:firstLineChars="0"/>
        <w:rPr>
          <w:rFonts w:cs="宋体"/>
          <w:bCs w:val="0"/>
          <w:iCs/>
          <w:lang w:val="en-US"/>
        </w:rPr>
      </w:pPr>
      <w:r>
        <w:rPr>
          <w:rFonts w:hint="eastAsia" w:cs="宋体"/>
          <w:bCs w:val="0"/>
          <w:iCs/>
          <w:lang w:val="en-US"/>
        </w:rPr>
        <w:t>当住宅地下室或住宅与其他功能合建的建筑（含商业网点）设有供暖系统时，其住宅供暖水系统应与其他供暖水系统分开设置。</w:t>
      </w:r>
    </w:p>
    <w:p w14:paraId="13D10588">
      <w:pPr>
        <w:pStyle w:val="3"/>
        <w:numPr>
          <w:ilvl w:val="1"/>
          <w:numId w:val="11"/>
        </w:numPr>
      </w:pPr>
      <w:bookmarkStart w:id="1027" w:name="_Toc3051"/>
      <w:bookmarkStart w:id="1028" w:name="_Toc26817504"/>
      <w:bookmarkStart w:id="1029" w:name="_Toc30304"/>
      <w:bookmarkStart w:id="1030" w:name="_Toc27470"/>
      <w:bookmarkStart w:id="1031" w:name="_Toc20763"/>
      <w:bookmarkStart w:id="1032" w:name="_Toc8603"/>
      <w:bookmarkStart w:id="1033" w:name="_Toc23527"/>
      <w:bookmarkStart w:id="1034" w:name="_Toc16421"/>
      <w:bookmarkStart w:id="1035" w:name="_Toc24174"/>
      <w:bookmarkStart w:id="1036" w:name="_Toc25101"/>
      <w:bookmarkStart w:id="1037" w:name="_Toc25573"/>
      <w:bookmarkStart w:id="1038" w:name="_Toc425428142"/>
      <w:bookmarkStart w:id="1039" w:name="_Toc425447379"/>
      <w:bookmarkStart w:id="1040" w:name="_Toc422931178"/>
      <w:bookmarkStart w:id="1041" w:name="_Toc422990216"/>
      <w:r>
        <w:rPr>
          <w:rFonts w:hint="eastAsia"/>
        </w:rPr>
        <w:t>燃</w:t>
      </w:r>
      <w:r>
        <w:rPr>
          <w:rFonts w:hint="eastAsia" w:eastAsia="黑体"/>
          <w:sz w:val="36"/>
          <w:szCs w:val="36"/>
        </w:rPr>
        <w:t xml:space="preserve">  </w:t>
      </w:r>
      <w:r>
        <w:rPr>
          <w:rFonts w:hint="eastAsia"/>
        </w:rPr>
        <w:t>气</w:t>
      </w:r>
      <w:bookmarkEnd w:id="1027"/>
      <w:bookmarkEnd w:id="1028"/>
      <w:bookmarkEnd w:id="1029"/>
      <w:bookmarkEnd w:id="1030"/>
      <w:bookmarkEnd w:id="1031"/>
      <w:bookmarkEnd w:id="1032"/>
      <w:bookmarkEnd w:id="1033"/>
      <w:bookmarkEnd w:id="1034"/>
      <w:bookmarkEnd w:id="1035"/>
    </w:p>
    <w:p w14:paraId="54CDEAC0">
      <w:pPr>
        <w:pStyle w:val="4"/>
        <w:numPr>
          <w:ilvl w:val="2"/>
          <w:numId w:val="11"/>
        </w:numPr>
        <w:tabs>
          <w:tab w:val="clear" w:pos="0"/>
        </w:tabs>
        <w:ind w:firstLine="0" w:firstLineChars="0"/>
        <w:rPr>
          <w:rFonts w:cs="宋体"/>
          <w:bCs w:val="0"/>
          <w:iCs/>
          <w:lang w:val="en-US"/>
        </w:rPr>
      </w:pPr>
      <w:r>
        <w:rPr>
          <w:rFonts w:hint="eastAsia" w:cs="宋体"/>
          <w:bCs w:val="0"/>
          <w:iCs/>
          <w:lang w:val="en-US"/>
        </w:rPr>
        <w:t>住宅内燃具应使用低压燃气，燃具前（灶前）的燃气压力应在0.75倍-1.5倍燃具额定范围内。</w:t>
      </w:r>
    </w:p>
    <w:p w14:paraId="7AB3B85D">
      <w:pPr>
        <w:pStyle w:val="4"/>
        <w:numPr>
          <w:ilvl w:val="2"/>
          <w:numId w:val="11"/>
        </w:numPr>
        <w:tabs>
          <w:tab w:val="clear" w:pos="0"/>
        </w:tabs>
        <w:ind w:firstLine="0" w:firstLineChars="0"/>
        <w:rPr>
          <w:rFonts w:cs="宋体"/>
          <w:bCs w:val="0"/>
          <w:iCs/>
          <w:lang w:val="en-US"/>
        </w:rPr>
      </w:pPr>
      <w:r>
        <w:rPr>
          <w:rFonts w:hint="eastAsia" w:cs="宋体"/>
          <w:bCs w:val="0"/>
          <w:iCs/>
          <w:lang w:val="en-US"/>
        </w:rPr>
        <w:t>使用燃气的住宅，每套的燃气用量应根据燃气设备的种类、数量和额定燃气量计算确定，且应至少按一个双眼灶和一个燃气热水器计算。</w:t>
      </w:r>
    </w:p>
    <w:p w14:paraId="5BB4C836">
      <w:pPr>
        <w:pStyle w:val="4"/>
        <w:numPr>
          <w:ilvl w:val="2"/>
          <w:numId w:val="11"/>
        </w:numPr>
        <w:tabs>
          <w:tab w:val="clear" w:pos="0"/>
        </w:tabs>
        <w:ind w:firstLine="0" w:firstLineChars="0"/>
        <w:rPr>
          <w:rFonts w:cs="宋体"/>
          <w:bCs w:val="0"/>
          <w:iCs/>
          <w:lang w:val="en-US"/>
        </w:rPr>
      </w:pPr>
      <w:r>
        <w:rPr>
          <w:rFonts w:hint="eastAsia" w:cs="宋体"/>
          <w:bCs w:val="0"/>
          <w:iCs/>
          <w:lang w:val="en-US"/>
        </w:rPr>
        <w:t>使用燃气的高层住宅应采用管道供气，使用燃气的房间或部位宜靠外墙设置。</w:t>
      </w:r>
    </w:p>
    <w:p w14:paraId="4171A658">
      <w:pPr>
        <w:pStyle w:val="4"/>
        <w:numPr>
          <w:ilvl w:val="2"/>
          <w:numId w:val="11"/>
        </w:numPr>
        <w:tabs>
          <w:tab w:val="clear" w:pos="0"/>
        </w:tabs>
        <w:ind w:firstLine="0" w:firstLineChars="0"/>
        <w:rPr>
          <w:rFonts w:cs="宋体"/>
          <w:bCs w:val="0"/>
          <w:iCs/>
          <w:lang w:val="en-US"/>
        </w:rPr>
      </w:pPr>
      <w:r>
        <w:rPr>
          <w:rFonts w:hint="eastAsia" w:cs="宋体"/>
          <w:bCs w:val="0"/>
          <w:iCs/>
          <w:lang w:val="en-US"/>
        </w:rPr>
        <w:t>住宅内燃气管道及附件不得设置在下列场所：</w:t>
      </w:r>
    </w:p>
    <w:p w14:paraId="400758EF">
      <w:pPr>
        <w:ind w:firstLine="482"/>
        <w:rPr>
          <w:rFonts w:ascii="Times New Roman" w:hAnsi="Times New Roman"/>
          <w:bCs/>
          <w:szCs w:val="32"/>
          <w:lang w:val="zh-CN"/>
        </w:rPr>
      </w:pPr>
      <w:r>
        <w:rPr>
          <w:rFonts w:cs="Calibri"/>
          <w:b/>
          <w:szCs w:val="32"/>
          <w:lang w:val="zh-CN"/>
        </w:rPr>
        <w:t>1</w:t>
      </w:r>
      <w:r>
        <w:rPr>
          <w:rFonts w:ascii="Times New Roman" w:hAnsi="Times New Roman"/>
          <w:bCs/>
          <w:szCs w:val="32"/>
          <w:lang w:val="zh-CN"/>
        </w:rPr>
        <w:t xml:space="preserve"> </w:t>
      </w:r>
      <w:r>
        <w:rPr>
          <w:rFonts w:hint="eastAsia" w:ascii="Times New Roman" w:hAnsi="Times New Roman"/>
          <w:bCs/>
          <w:szCs w:val="32"/>
          <w:lang w:val="zh-CN"/>
        </w:rPr>
        <w:t>卧室、客房等人员居住和休息的房间；</w:t>
      </w:r>
    </w:p>
    <w:p w14:paraId="74EB8FEE">
      <w:pPr>
        <w:ind w:firstLine="482"/>
        <w:rPr>
          <w:rFonts w:ascii="Times New Roman" w:hAnsi="Times New Roman"/>
          <w:bCs/>
          <w:szCs w:val="32"/>
          <w:lang w:val="zh-CN"/>
        </w:rPr>
      </w:pPr>
      <w:r>
        <w:rPr>
          <w:rFonts w:cs="Calibri"/>
          <w:b/>
          <w:szCs w:val="32"/>
          <w:lang w:val="zh-CN"/>
        </w:rPr>
        <w:t>2</w:t>
      </w:r>
      <w:r>
        <w:rPr>
          <w:rFonts w:ascii="Times New Roman" w:hAnsi="Times New Roman"/>
          <w:bCs/>
          <w:szCs w:val="32"/>
          <w:lang w:val="zh-CN"/>
        </w:rPr>
        <w:t xml:space="preserve"> </w:t>
      </w:r>
      <w:r>
        <w:rPr>
          <w:rFonts w:hint="eastAsia" w:ascii="Times New Roman" w:hAnsi="Times New Roman"/>
          <w:bCs/>
          <w:szCs w:val="32"/>
          <w:lang w:val="zh-CN"/>
        </w:rPr>
        <w:t>建筑内的避难场所、电梯井和电梯前室、封闭楼梯间、防烟楼梯间及其前室；</w:t>
      </w:r>
    </w:p>
    <w:p w14:paraId="0BFD85C4">
      <w:pPr>
        <w:ind w:firstLine="482"/>
        <w:rPr>
          <w:rFonts w:ascii="Times New Roman" w:hAnsi="Times New Roman"/>
          <w:bCs/>
          <w:szCs w:val="32"/>
          <w:lang w:val="zh-CN"/>
        </w:rPr>
      </w:pPr>
      <w:r>
        <w:rPr>
          <w:rFonts w:cs="Calibri"/>
          <w:b/>
          <w:szCs w:val="32"/>
          <w:lang w:val="zh-CN"/>
        </w:rPr>
        <w:t>3</w:t>
      </w:r>
      <w:r>
        <w:rPr>
          <w:rFonts w:hint="eastAsia" w:ascii="Times New Roman" w:hAnsi="Times New Roman"/>
          <w:bCs/>
          <w:szCs w:val="32"/>
          <w:lang w:val="zh-CN"/>
        </w:rPr>
        <w:t xml:space="preserve"> 空调机房、通风机房、计算机房和变、配电室等设备房间；</w:t>
      </w:r>
    </w:p>
    <w:p w14:paraId="18015DB0">
      <w:pPr>
        <w:ind w:firstLine="482"/>
        <w:rPr>
          <w:rFonts w:ascii="Times New Roman" w:hAnsi="Times New Roman"/>
          <w:bCs/>
          <w:szCs w:val="32"/>
          <w:lang w:val="zh-CN"/>
        </w:rPr>
      </w:pPr>
      <w:r>
        <w:rPr>
          <w:rFonts w:cs="Calibri"/>
          <w:b/>
          <w:szCs w:val="32"/>
          <w:lang w:val="zh-CN"/>
        </w:rPr>
        <w:t>4</w:t>
      </w:r>
      <w:r>
        <w:rPr>
          <w:rFonts w:hint="eastAsia" w:ascii="Times New Roman" w:hAnsi="Times New Roman"/>
          <w:bCs/>
          <w:szCs w:val="32"/>
          <w:lang w:val="zh-CN"/>
        </w:rPr>
        <w:t xml:space="preserve"> 易燃或易爆品的仓库、有腐蚀性介质等场所；</w:t>
      </w:r>
    </w:p>
    <w:p w14:paraId="0773E63C">
      <w:pPr>
        <w:ind w:firstLine="482"/>
        <w:rPr>
          <w:rFonts w:ascii="Times New Roman" w:hAnsi="Times New Roman"/>
          <w:bCs/>
          <w:szCs w:val="32"/>
          <w:lang w:val="zh-CN"/>
        </w:rPr>
      </w:pPr>
      <w:r>
        <w:rPr>
          <w:rFonts w:cs="Calibri"/>
          <w:b/>
          <w:szCs w:val="32"/>
          <w:lang w:val="zh-CN"/>
        </w:rPr>
        <w:t>5</w:t>
      </w:r>
      <w:r>
        <w:rPr>
          <w:rFonts w:hint="eastAsia" w:ascii="Times New Roman" w:hAnsi="Times New Roman"/>
          <w:bCs/>
          <w:szCs w:val="32"/>
          <w:lang w:val="zh-CN"/>
        </w:rPr>
        <w:t xml:space="preserve"> 电线（缆）、供暖和污水等沟槽及烟道、进风道和垃圾道等地方。</w:t>
      </w:r>
    </w:p>
    <w:p w14:paraId="04542F3E">
      <w:pPr>
        <w:pStyle w:val="4"/>
        <w:numPr>
          <w:ilvl w:val="2"/>
          <w:numId w:val="11"/>
        </w:numPr>
        <w:tabs>
          <w:tab w:val="clear" w:pos="0"/>
        </w:tabs>
        <w:ind w:firstLine="0" w:firstLineChars="0"/>
        <w:rPr>
          <w:rFonts w:cs="宋体"/>
          <w:bCs w:val="0"/>
          <w:iCs/>
          <w:lang w:val="en-US"/>
        </w:rPr>
      </w:pPr>
      <w:r>
        <w:rPr>
          <w:rFonts w:hint="eastAsia" w:cs="宋体"/>
          <w:bCs w:val="0"/>
          <w:iCs/>
          <w:lang w:val="en-US"/>
        </w:rPr>
        <w:t>住宅内燃气管道及附件的设置应符合下列规定：</w:t>
      </w:r>
    </w:p>
    <w:p w14:paraId="2CA50DC7">
      <w:pPr>
        <w:ind w:firstLine="482"/>
        <w:rPr>
          <w:rFonts w:ascii="Times New Roman" w:hAnsi="Times New Roman"/>
          <w:bCs/>
          <w:szCs w:val="32"/>
          <w:lang w:val="zh-CN"/>
        </w:rPr>
      </w:pPr>
      <w:r>
        <w:rPr>
          <w:rFonts w:cs="Calibri"/>
          <w:b/>
          <w:szCs w:val="32"/>
          <w:lang w:val="zh-CN"/>
        </w:rPr>
        <w:t>1</w:t>
      </w:r>
      <w:r>
        <w:rPr>
          <w:rFonts w:ascii="Times New Roman" w:hAnsi="Times New Roman"/>
          <w:bCs/>
          <w:szCs w:val="32"/>
          <w:lang w:val="zh-CN"/>
        </w:rPr>
        <w:t xml:space="preserve"> </w:t>
      </w:r>
      <w:r>
        <w:rPr>
          <w:rFonts w:hint="eastAsia" w:ascii="Times New Roman" w:hAnsi="Times New Roman"/>
          <w:bCs/>
          <w:szCs w:val="32"/>
          <w:lang w:val="zh-CN"/>
        </w:rPr>
        <w:t>设置在具有良好通风条件的厨房或与厨房相连的阳台时，宜明设。</w:t>
      </w:r>
    </w:p>
    <w:p w14:paraId="530E643B">
      <w:pPr>
        <w:ind w:firstLine="482"/>
        <w:rPr>
          <w:rFonts w:ascii="Times New Roman" w:hAnsi="Times New Roman"/>
          <w:bCs/>
          <w:szCs w:val="32"/>
          <w:lang w:val="zh-CN"/>
        </w:rPr>
      </w:pPr>
      <w:r>
        <w:rPr>
          <w:rFonts w:cs="Calibri"/>
          <w:b/>
          <w:szCs w:val="32"/>
          <w:lang w:val="zh-CN"/>
        </w:rPr>
        <w:t>2</w:t>
      </w:r>
      <w:r>
        <w:rPr>
          <w:rFonts w:hint="eastAsia" w:ascii="Times New Roman" w:hAnsi="Times New Roman"/>
          <w:bCs/>
          <w:szCs w:val="32"/>
          <w:lang w:val="zh-CN"/>
        </w:rPr>
        <w:t xml:space="preserve"> 沿外墙或屋面敷设时，不宜设置在屋面上的檐角、屋檐、屋脊等易受雷击的部位，当确需设置时应与建筑避雷网相连。</w:t>
      </w:r>
    </w:p>
    <w:p w14:paraId="6A281C93">
      <w:pPr>
        <w:ind w:firstLine="482"/>
        <w:rPr>
          <w:rFonts w:ascii="Times New Roman" w:hAnsi="Times New Roman"/>
          <w:bCs/>
          <w:szCs w:val="32"/>
          <w:lang w:val="zh-CN"/>
        </w:rPr>
      </w:pPr>
      <w:r>
        <w:rPr>
          <w:rFonts w:cs="Calibri"/>
          <w:b/>
          <w:szCs w:val="32"/>
          <w:lang w:val="zh-CN"/>
        </w:rPr>
        <w:t>3</w:t>
      </w:r>
      <w:bookmarkStart w:id="1042" w:name="OLE_LINK6"/>
      <w:r>
        <w:rPr>
          <w:rFonts w:hint="eastAsia" w:ascii="Times New Roman" w:hAnsi="Times New Roman"/>
          <w:bCs/>
          <w:szCs w:val="32"/>
          <w:lang w:val="zh-CN"/>
        </w:rPr>
        <w:t xml:space="preserve"> 暗埋的燃气支管应全程设置可追溯的位置标志，进出墙面的部位应设置在套管内或采取其他有效的保护措施，并应采用专用件固定连接。</w:t>
      </w:r>
      <w:bookmarkEnd w:id="1042"/>
    </w:p>
    <w:p w14:paraId="1FDD17E2">
      <w:pPr>
        <w:ind w:firstLine="482"/>
        <w:rPr>
          <w:rFonts w:ascii="Times New Roman" w:hAnsi="Times New Roman"/>
          <w:bCs/>
          <w:szCs w:val="32"/>
          <w:lang w:val="zh-CN"/>
        </w:rPr>
      </w:pPr>
      <w:r>
        <w:rPr>
          <w:rFonts w:cs="Calibri"/>
          <w:b/>
          <w:szCs w:val="32"/>
          <w:lang w:val="zh-CN"/>
        </w:rPr>
        <w:t>4</w:t>
      </w:r>
      <w:r>
        <w:rPr>
          <w:rFonts w:ascii="Times New Roman" w:hAnsi="Times New Roman"/>
          <w:bCs/>
          <w:szCs w:val="32"/>
          <w:lang w:val="zh-CN"/>
        </w:rPr>
        <w:t xml:space="preserve"> </w:t>
      </w:r>
      <w:r>
        <w:rPr>
          <w:rFonts w:hint="eastAsia" w:ascii="Times New Roman" w:hAnsi="Times New Roman"/>
          <w:bCs/>
          <w:szCs w:val="32"/>
          <w:lang w:val="zh-CN"/>
        </w:rPr>
        <w:t>燃气引入管阀门宜设置在室外公共空间。</w:t>
      </w:r>
    </w:p>
    <w:p w14:paraId="7FEA02D4">
      <w:pPr>
        <w:pStyle w:val="4"/>
        <w:numPr>
          <w:ilvl w:val="2"/>
          <w:numId w:val="11"/>
        </w:numPr>
        <w:tabs>
          <w:tab w:val="clear" w:pos="0"/>
        </w:tabs>
        <w:ind w:firstLine="0" w:firstLineChars="0"/>
        <w:rPr>
          <w:rFonts w:cs="宋体"/>
          <w:bCs w:val="0"/>
          <w:iCs/>
          <w:lang w:val="en-US"/>
        </w:rPr>
      </w:pPr>
      <w:r>
        <w:rPr>
          <w:rFonts w:hint="eastAsia" w:cs="宋体"/>
          <w:bCs w:val="0"/>
          <w:iCs/>
          <w:lang w:val="en-US"/>
        </w:rPr>
        <w:t>住宅内燃气表宜明设，可设置在厨房或与厨房相连的阳台内；当燃气表安装在室内相对独立的橱柜内或者集中设置安装在室外的表箱内时，应符合抄表、安装、维修及安全使用的要求。</w:t>
      </w:r>
    </w:p>
    <w:p w14:paraId="4F7B7507">
      <w:pPr>
        <w:pStyle w:val="4"/>
        <w:numPr>
          <w:ilvl w:val="2"/>
          <w:numId w:val="11"/>
        </w:numPr>
        <w:tabs>
          <w:tab w:val="clear" w:pos="0"/>
        </w:tabs>
        <w:ind w:firstLine="0" w:firstLineChars="0"/>
        <w:rPr>
          <w:rFonts w:cs="宋体"/>
          <w:bCs w:val="0"/>
          <w:iCs/>
          <w:lang w:val="en-US"/>
        </w:rPr>
      </w:pPr>
      <w:r>
        <w:rPr>
          <w:rFonts w:hint="eastAsia" w:cs="宋体"/>
          <w:bCs w:val="0"/>
          <w:iCs/>
          <w:lang w:val="en-US"/>
        </w:rPr>
        <w:t>住宅建筑的敞开楼梯间内不宜设置</w:t>
      </w:r>
      <w:r>
        <w:rPr>
          <w:rFonts w:hint="eastAsia" w:cs="宋体"/>
          <w:bCs w:val="0"/>
          <w:iCs/>
          <w:lang w:val="en-US" w:eastAsia="zh-CN"/>
        </w:rPr>
        <w:t>可</w:t>
      </w:r>
      <w:r>
        <w:rPr>
          <w:rFonts w:hint="eastAsia" w:cs="宋体"/>
          <w:bCs w:val="0"/>
          <w:iCs/>
          <w:lang w:val="en-US"/>
        </w:rPr>
        <w:t>燃气体管道，当确需设置燃气管道和燃气表时，应采用金属管和设置切断气源的阀门。</w:t>
      </w:r>
    </w:p>
    <w:p w14:paraId="4E456AAE">
      <w:pPr>
        <w:pStyle w:val="4"/>
        <w:numPr>
          <w:ilvl w:val="2"/>
          <w:numId w:val="11"/>
        </w:numPr>
        <w:tabs>
          <w:tab w:val="clear" w:pos="0"/>
        </w:tabs>
        <w:ind w:firstLine="0" w:firstLineChars="0"/>
        <w:rPr>
          <w:rFonts w:cs="宋体"/>
          <w:bCs w:val="0"/>
          <w:iCs/>
          <w:lang w:val="en-US"/>
        </w:rPr>
      </w:pPr>
      <w:r>
        <w:rPr>
          <w:rFonts w:hint="eastAsia" w:cs="宋体"/>
          <w:bCs w:val="0"/>
          <w:iCs/>
          <w:lang w:val="en-US"/>
        </w:rPr>
        <w:t>住宅内设置燃具的房间应符合下列规定：</w:t>
      </w:r>
    </w:p>
    <w:p w14:paraId="581A6695">
      <w:pPr>
        <w:ind w:firstLine="482"/>
        <w:rPr>
          <w:rFonts w:ascii="Times New Roman" w:hAnsi="Times New Roman"/>
          <w:u w:val="single"/>
        </w:rPr>
      </w:pPr>
      <w:r>
        <w:rPr>
          <w:rFonts w:cs="Calibri"/>
          <w:b/>
          <w:szCs w:val="32"/>
          <w:u w:val="single"/>
          <w:lang w:val="zh-CN"/>
        </w:rPr>
        <w:t>1</w:t>
      </w:r>
      <w:r>
        <w:rPr>
          <w:rFonts w:hint="eastAsia" w:ascii="Times New Roman" w:hAnsi="Times New Roman"/>
          <w:bCs/>
          <w:szCs w:val="32"/>
        </w:rPr>
        <w:t xml:space="preserve"> </w:t>
      </w:r>
      <w:r>
        <w:rPr>
          <w:rFonts w:hint="eastAsia" w:ascii="Times New Roman" w:hAnsi="Times New Roman"/>
          <w:bCs/>
          <w:szCs w:val="32"/>
          <w:u w:val="single"/>
          <w:lang w:val="zh-CN"/>
        </w:rPr>
        <w:t>房间室内净高不应低于</w:t>
      </w:r>
      <w:r>
        <w:rPr>
          <w:rFonts w:ascii="Times New Roman" w:hAnsi="Times New Roman"/>
          <w:bCs/>
          <w:szCs w:val="32"/>
          <w:u w:val="single"/>
          <w:lang w:val="zh-CN"/>
        </w:rPr>
        <w:t>2.20m，且不应与卧室、兼起居室的卧室等直接连通；</w:t>
      </w:r>
    </w:p>
    <w:p w14:paraId="07DE4603">
      <w:pPr>
        <w:ind w:firstLine="482"/>
        <w:rPr>
          <w:rFonts w:ascii="Times New Roman" w:hAnsi="Times New Roman"/>
          <w:u w:val="single"/>
        </w:rPr>
      </w:pPr>
      <w:r>
        <w:rPr>
          <w:rFonts w:cs="Calibri"/>
          <w:b/>
          <w:szCs w:val="32"/>
          <w:u w:val="single"/>
          <w:lang w:val="zh-CN"/>
        </w:rPr>
        <w:t>2</w:t>
      </w:r>
      <w:r>
        <w:rPr>
          <w:rFonts w:ascii="Times New Roman" w:hAnsi="Times New Roman"/>
          <w:bCs/>
          <w:szCs w:val="32"/>
          <w:u w:val="single"/>
          <w:lang w:val="zh-CN"/>
        </w:rPr>
        <w:t xml:space="preserve"> </w:t>
      </w:r>
      <w:r>
        <w:rPr>
          <w:rFonts w:hint="eastAsia" w:ascii="Times New Roman" w:hAnsi="Times New Roman"/>
          <w:bCs/>
          <w:szCs w:val="32"/>
          <w:u w:val="single"/>
          <w:lang w:val="zh-CN"/>
        </w:rPr>
        <w:t>房间自然通风或强制通风，应满足燃气燃烧所需的空气量；</w:t>
      </w:r>
    </w:p>
    <w:p w14:paraId="7530996F">
      <w:pPr>
        <w:ind w:firstLine="482"/>
        <w:rPr>
          <w:rFonts w:ascii="Times New Roman" w:hAnsi="Times New Roman"/>
          <w:u w:val="single"/>
        </w:rPr>
      </w:pPr>
      <w:r>
        <w:rPr>
          <w:rFonts w:cs="Calibri"/>
          <w:b/>
          <w:szCs w:val="32"/>
          <w:u w:val="single"/>
          <w:lang w:val="zh-CN"/>
        </w:rPr>
        <w:t>3</w:t>
      </w:r>
      <w:r>
        <w:rPr>
          <w:rFonts w:ascii="Times New Roman" w:hAnsi="Times New Roman"/>
          <w:bCs/>
          <w:szCs w:val="32"/>
          <w:u w:val="single"/>
          <w:lang w:val="zh-CN"/>
        </w:rPr>
        <w:t xml:space="preserve"> </w:t>
      </w:r>
      <w:r>
        <w:rPr>
          <w:rFonts w:hint="eastAsia" w:ascii="Times New Roman" w:hAnsi="Times New Roman"/>
          <w:bCs/>
          <w:szCs w:val="32"/>
          <w:u w:val="single"/>
          <w:lang w:val="zh-CN"/>
        </w:rPr>
        <w:t>与燃具贴邻的墙体、地面、台面等应为不燃材料，安装燃气热水器或燃气采暖热水炉的墙面或地面应能承受其荷载。</w:t>
      </w:r>
    </w:p>
    <w:p w14:paraId="647B27F1">
      <w:pPr>
        <w:ind w:firstLine="482"/>
        <w:rPr>
          <w:rFonts w:ascii="Times New Roman" w:hAnsi="Times New Roman"/>
          <w:u w:val="single"/>
        </w:rPr>
      </w:pPr>
      <w:r>
        <w:rPr>
          <w:rFonts w:cs="Calibri"/>
          <w:b/>
          <w:szCs w:val="32"/>
          <w:u w:val="single"/>
          <w:lang w:val="zh-CN"/>
        </w:rPr>
        <w:t>4</w:t>
      </w:r>
      <w:r>
        <w:rPr>
          <w:rFonts w:ascii="Times New Roman" w:hAnsi="Times New Roman"/>
          <w:bCs/>
          <w:szCs w:val="32"/>
          <w:u w:val="single"/>
          <w:lang w:val="zh-CN"/>
        </w:rPr>
        <w:t xml:space="preserve"> </w:t>
      </w:r>
      <w:r>
        <w:rPr>
          <w:rFonts w:hint="eastAsia" w:ascii="Times New Roman" w:hAnsi="Times New Roman"/>
          <w:bCs/>
          <w:szCs w:val="32"/>
          <w:u w:val="single"/>
          <w:lang w:val="zh-CN"/>
        </w:rPr>
        <w:t>直排式燃气热水器不得设置在室内。燃气采暖热水炉和半密闭式热水器</w:t>
      </w:r>
      <w:r>
        <w:rPr>
          <w:rFonts w:hint="eastAsia" w:ascii="Times New Roman" w:hAnsi="Times New Roman"/>
          <w:bCs/>
          <w:szCs w:val="32"/>
          <w:u w:val="single"/>
        </w:rPr>
        <w:t>不应</w:t>
      </w:r>
      <w:r>
        <w:rPr>
          <w:rFonts w:hint="eastAsia" w:ascii="Times New Roman" w:hAnsi="Times New Roman"/>
          <w:bCs/>
          <w:szCs w:val="32"/>
          <w:u w:val="single"/>
          <w:lang w:val="zh-CN"/>
        </w:rPr>
        <w:t>设置在浴室、卫生间内。</w:t>
      </w:r>
    </w:p>
    <w:p w14:paraId="63B822B0">
      <w:pPr>
        <w:pStyle w:val="4"/>
        <w:numPr>
          <w:ilvl w:val="2"/>
          <w:numId w:val="11"/>
        </w:numPr>
        <w:tabs>
          <w:tab w:val="clear" w:pos="0"/>
        </w:tabs>
        <w:ind w:firstLine="0" w:firstLineChars="0"/>
        <w:rPr>
          <w:rFonts w:cs="宋体"/>
          <w:bCs w:val="0"/>
          <w:iCs/>
          <w:lang w:val="en-US"/>
        </w:rPr>
      </w:pPr>
      <w:r>
        <w:rPr>
          <w:rFonts w:hint="eastAsia" w:cs="宋体"/>
          <w:bCs w:val="0"/>
          <w:iCs/>
          <w:lang w:val="en-US"/>
        </w:rPr>
        <w:t>住宅内燃气浓度检测报警器、燃气紧急自动切断阀等燃气户内安全设施的设置应符合现行国家标准《城镇燃气设计规范》GB 50028和北京市地方标准《燃气室内工程设计施工验收技术规范》DB11/T301的规定。</w:t>
      </w:r>
    </w:p>
    <w:p w14:paraId="2A17A77C">
      <w:pPr>
        <w:pStyle w:val="4"/>
        <w:numPr>
          <w:ilvl w:val="2"/>
          <w:numId w:val="11"/>
        </w:numPr>
        <w:tabs>
          <w:tab w:val="clear" w:pos="0"/>
        </w:tabs>
        <w:ind w:firstLine="0" w:firstLineChars="0"/>
        <w:rPr>
          <w:rFonts w:cs="宋体"/>
          <w:bCs w:val="0"/>
          <w:iCs/>
          <w:lang w:val="en-US"/>
        </w:rPr>
      </w:pPr>
      <w:r>
        <w:rPr>
          <w:rFonts w:hint="eastAsia" w:cs="宋体"/>
          <w:bCs w:val="0"/>
          <w:iCs/>
          <w:lang w:val="en-US"/>
        </w:rPr>
        <w:t>烟气的排放应符合下列规定：</w:t>
      </w:r>
    </w:p>
    <w:p w14:paraId="688108F3">
      <w:pPr>
        <w:ind w:firstLine="482"/>
        <w:rPr>
          <w:rFonts w:ascii="Times New Roman" w:hAnsi="Times New Roman"/>
          <w:bCs/>
          <w:szCs w:val="32"/>
          <w:lang w:val="zh-CN"/>
        </w:rPr>
      </w:pPr>
      <w:r>
        <w:rPr>
          <w:rFonts w:cs="Calibri"/>
          <w:b/>
          <w:szCs w:val="32"/>
          <w:lang w:val="zh-CN"/>
        </w:rPr>
        <w:t>1</w:t>
      </w:r>
      <w:r>
        <w:rPr>
          <w:rFonts w:ascii="Times New Roman" w:hAnsi="Times New Roman"/>
          <w:bCs/>
          <w:szCs w:val="32"/>
          <w:lang w:val="zh-CN"/>
        </w:rPr>
        <w:t xml:space="preserve">  </w:t>
      </w:r>
      <w:r>
        <w:rPr>
          <w:rFonts w:hint="eastAsia" w:ascii="Times New Roman" w:hAnsi="Times New Roman"/>
          <w:bCs/>
          <w:szCs w:val="32"/>
          <w:lang w:val="zh-CN"/>
        </w:rPr>
        <w:t>住宅内各类燃具排出的烟气应排至室外；</w:t>
      </w:r>
    </w:p>
    <w:p w14:paraId="3941485D">
      <w:pPr>
        <w:ind w:firstLine="482"/>
        <w:rPr>
          <w:rFonts w:ascii="Times New Roman" w:hAnsi="Times New Roman"/>
          <w:bCs/>
          <w:szCs w:val="32"/>
          <w:lang w:val="zh-CN"/>
        </w:rPr>
      </w:pPr>
      <w:r>
        <w:rPr>
          <w:rFonts w:cs="Calibri"/>
          <w:b/>
          <w:szCs w:val="32"/>
          <w:lang w:val="zh-CN"/>
        </w:rPr>
        <w:t>2</w:t>
      </w:r>
      <w:r>
        <w:rPr>
          <w:rFonts w:ascii="Times New Roman" w:hAnsi="Times New Roman"/>
          <w:bCs/>
          <w:szCs w:val="32"/>
          <w:lang w:val="zh-CN"/>
        </w:rPr>
        <w:t xml:space="preserve">  </w:t>
      </w:r>
      <w:r>
        <w:rPr>
          <w:rFonts w:hint="eastAsia" w:ascii="Times New Roman" w:hAnsi="Times New Roman"/>
          <w:bCs/>
          <w:szCs w:val="32"/>
          <w:lang w:val="zh-CN"/>
        </w:rPr>
        <w:t>排烟及排气装置应有防倒烟措施，多台燃具的共用烟道应有防串烟措施；</w:t>
      </w:r>
    </w:p>
    <w:p w14:paraId="1881FBD1">
      <w:pPr>
        <w:ind w:firstLine="482"/>
        <w:rPr>
          <w:rFonts w:ascii="Times New Roman" w:hAnsi="Times New Roman"/>
          <w:bCs/>
          <w:szCs w:val="32"/>
          <w:lang w:val="zh-CN"/>
        </w:rPr>
      </w:pPr>
      <w:r>
        <w:rPr>
          <w:rFonts w:cs="Calibri"/>
          <w:b/>
          <w:szCs w:val="32"/>
          <w:lang w:val="zh-CN"/>
        </w:rPr>
        <w:t>3</w:t>
      </w:r>
      <w:r>
        <w:rPr>
          <w:rFonts w:ascii="Times New Roman" w:hAnsi="Times New Roman"/>
          <w:bCs/>
          <w:szCs w:val="32"/>
          <w:lang w:val="zh-CN"/>
        </w:rPr>
        <w:t xml:space="preserve">  </w:t>
      </w:r>
      <w:r>
        <w:rPr>
          <w:rFonts w:hint="eastAsia" w:ascii="Times New Roman" w:hAnsi="Times New Roman"/>
          <w:bCs/>
          <w:szCs w:val="32"/>
          <w:lang w:val="zh-CN"/>
        </w:rPr>
        <w:t>排烟及排气管不应穿过卧室；</w:t>
      </w:r>
    </w:p>
    <w:p w14:paraId="4DA64735">
      <w:pPr>
        <w:ind w:firstLine="482"/>
        <w:rPr>
          <w:rFonts w:ascii="Times New Roman" w:hAnsi="Times New Roman"/>
          <w:bCs/>
          <w:szCs w:val="32"/>
          <w:lang w:val="zh-CN"/>
        </w:rPr>
      </w:pPr>
      <w:r>
        <w:rPr>
          <w:rFonts w:cs="Calibri"/>
          <w:b/>
          <w:szCs w:val="32"/>
          <w:lang w:val="zh-CN"/>
        </w:rPr>
        <w:t>4</w:t>
      </w:r>
      <w:r>
        <w:rPr>
          <w:rFonts w:ascii="Times New Roman" w:hAnsi="Times New Roman"/>
          <w:bCs/>
          <w:szCs w:val="32"/>
          <w:lang w:val="zh-CN"/>
        </w:rPr>
        <w:t xml:space="preserve">  </w:t>
      </w:r>
      <w:r>
        <w:rPr>
          <w:rFonts w:hint="eastAsia" w:ascii="Times New Roman" w:hAnsi="Times New Roman"/>
          <w:bCs/>
          <w:szCs w:val="32"/>
          <w:lang w:val="zh-CN"/>
        </w:rPr>
        <w:t>排烟口应设在烟气容易扩散的室外开放空间，且烟气不应回流至住宅建筑内或窜入相邻建筑物内；</w:t>
      </w:r>
    </w:p>
    <w:p w14:paraId="7F06A4A0">
      <w:pPr>
        <w:ind w:firstLine="482"/>
        <w:rPr>
          <w:rFonts w:ascii="Times New Roman" w:hAnsi="Times New Roman"/>
          <w:bCs/>
          <w:szCs w:val="32"/>
          <w:lang w:val="zh-CN"/>
        </w:rPr>
      </w:pPr>
      <w:r>
        <w:rPr>
          <w:rFonts w:cs="Calibri"/>
          <w:b/>
          <w:szCs w:val="32"/>
          <w:lang w:val="zh-CN"/>
        </w:rPr>
        <w:t>5</w:t>
      </w:r>
      <w:r>
        <w:rPr>
          <w:rFonts w:ascii="Times New Roman" w:hAnsi="Times New Roman"/>
          <w:bCs/>
          <w:szCs w:val="32"/>
          <w:lang w:val="zh-CN"/>
        </w:rPr>
        <w:t xml:space="preserve">  </w:t>
      </w:r>
      <w:r>
        <w:rPr>
          <w:rFonts w:hint="eastAsia" w:ascii="Times New Roman" w:hAnsi="Times New Roman"/>
          <w:bCs/>
          <w:szCs w:val="32"/>
          <w:lang w:val="zh-CN"/>
        </w:rPr>
        <w:t>燃气热水器或采暖炉应通过专用排气管排至室外的，</w:t>
      </w:r>
      <w:r>
        <w:rPr>
          <w:rFonts w:hint="eastAsia" w:ascii="Times New Roman" w:hAnsi="Times New Roman"/>
          <w:bCs/>
          <w:szCs w:val="32"/>
        </w:rPr>
        <w:t>不应</w:t>
      </w:r>
      <w:r>
        <w:rPr>
          <w:rFonts w:hint="eastAsia" w:ascii="Times New Roman" w:hAnsi="Times New Roman"/>
          <w:bCs/>
          <w:szCs w:val="32"/>
          <w:lang w:val="zh-CN"/>
        </w:rPr>
        <w:t>与排油烟机烟道合用。</w:t>
      </w:r>
    </w:p>
    <w:bookmarkEnd w:id="1036"/>
    <w:bookmarkEnd w:id="1037"/>
    <w:p w14:paraId="3CE68F4D">
      <w:pPr>
        <w:pStyle w:val="3"/>
        <w:numPr>
          <w:ilvl w:val="1"/>
          <w:numId w:val="11"/>
        </w:numPr>
      </w:pPr>
      <w:bookmarkStart w:id="1043" w:name="_Toc10595"/>
      <w:bookmarkStart w:id="1044" w:name="_Toc21266"/>
      <w:bookmarkStart w:id="1045" w:name="_Toc16816"/>
      <w:bookmarkStart w:id="1046" w:name="_Toc23215"/>
      <w:bookmarkStart w:id="1047" w:name="_Toc17684"/>
      <w:bookmarkStart w:id="1048" w:name="_Toc24344"/>
      <w:bookmarkStart w:id="1049" w:name="_Toc23948"/>
      <w:bookmarkStart w:id="1050" w:name="_Toc26817505"/>
      <w:bookmarkStart w:id="1051" w:name="_Toc10052"/>
      <w:bookmarkStart w:id="1052" w:name="_Toc415214065"/>
      <w:bookmarkStart w:id="1053" w:name="_Toc422931175"/>
      <w:bookmarkStart w:id="1054" w:name="_Toc427324235"/>
      <w:bookmarkStart w:id="1055" w:name="_Toc421291574"/>
      <w:bookmarkStart w:id="1056" w:name="_Toc10558"/>
      <w:bookmarkStart w:id="1057" w:name="_Toc419288567"/>
      <w:bookmarkStart w:id="1058" w:name="_Toc31292"/>
      <w:bookmarkStart w:id="1059" w:name="_Toc414356872"/>
      <w:bookmarkStart w:id="1060" w:name="_Toc422990213"/>
      <w:r>
        <w:rPr>
          <w:rFonts w:hint="eastAsia"/>
        </w:rPr>
        <w:t>通</w:t>
      </w:r>
      <w:r>
        <w:rPr>
          <w:rFonts w:hint="eastAsia" w:eastAsia="黑体"/>
          <w:sz w:val="36"/>
          <w:szCs w:val="36"/>
        </w:rPr>
        <w:t xml:space="preserve">  </w:t>
      </w:r>
      <w:r>
        <w:rPr>
          <w:rFonts w:hint="eastAsia"/>
        </w:rPr>
        <w:t>风</w:t>
      </w:r>
      <w:bookmarkEnd w:id="1043"/>
      <w:bookmarkEnd w:id="1044"/>
      <w:bookmarkEnd w:id="1045"/>
      <w:bookmarkEnd w:id="1046"/>
      <w:bookmarkEnd w:id="1047"/>
      <w:bookmarkEnd w:id="1048"/>
      <w:bookmarkEnd w:id="1049"/>
      <w:bookmarkEnd w:id="1050"/>
      <w:bookmarkEnd w:id="1051"/>
    </w:p>
    <w:p w14:paraId="74145C81">
      <w:pPr>
        <w:pStyle w:val="4"/>
        <w:numPr>
          <w:ilvl w:val="2"/>
          <w:numId w:val="11"/>
        </w:numPr>
        <w:tabs>
          <w:tab w:val="clear" w:pos="0"/>
        </w:tabs>
        <w:ind w:firstLine="0" w:firstLineChars="0"/>
        <w:rPr>
          <w:rFonts w:cs="宋体"/>
          <w:bCs w:val="0"/>
          <w:iCs/>
          <w:lang w:val="en-US"/>
        </w:rPr>
      </w:pPr>
      <w:r>
        <w:rPr>
          <w:rFonts w:hint="eastAsia" w:cs="宋体"/>
          <w:bCs w:val="0"/>
          <w:iCs/>
          <w:lang w:val="en-US"/>
        </w:rPr>
        <w:t>住宅宜采用自然通风与机械通风相结合的复合通风方式。</w:t>
      </w:r>
    </w:p>
    <w:p w14:paraId="4C2DB168">
      <w:pPr>
        <w:pStyle w:val="4"/>
        <w:numPr>
          <w:ilvl w:val="2"/>
          <w:numId w:val="11"/>
        </w:numPr>
        <w:tabs>
          <w:tab w:val="clear" w:pos="0"/>
        </w:tabs>
        <w:ind w:firstLine="0" w:firstLineChars="0"/>
        <w:rPr>
          <w:rFonts w:cs="宋体"/>
          <w:bCs w:val="0"/>
          <w:iCs/>
          <w:lang w:val="en-US"/>
        </w:rPr>
      </w:pPr>
      <w:r>
        <w:rPr>
          <w:rFonts w:hint="eastAsia" w:cs="宋体"/>
          <w:bCs w:val="0"/>
          <w:iCs/>
          <w:lang w:val="en-US"/>
        </w:rPr>
        <w:t>厨房应设置供厨房房间全面通风且有避风、防雨构造的自然通风设施。</w:t>
      </w:r>
    </w:p>
    <w:p w14:paraId="0FFBB608">
      <w:pPr>
        <w:pStyle w:val="4"/>
        <w:numPr>
          <w:ilvl w:val="2"/>
          <w:numId w:val="11"/>
        </w:numPr>
        <w:tabs>
          <w:tab w:val="clear" w:pos="0"/>
        </w:tabs>
        <w:ind w:firstLine="0" w:firstLineChars="0"/>
        <w:rPr>
          <w:rFonts w:cs="宋体"/>
          <w:bCs w:val="0"/>
          <w:iCs/>
          <w:lang w:val="en-US"/>
        </w:rPr>
      </w:pPr>
      <w:r>
        <w:rPr>
          <w:rFonts w:hint="eastAsia" w:cs="宋体"/>
          <w:bCs w:val="0"/>
          <w:iCs/>
          <w:lang w:val="en-US"/>
        </w:rPr>
        <w:t>厨房排油烟机的排气管道可通过竖向共用排气道或外墙水平直排方式排向室外。当通过外墙排至室外时，应在室外排气口设置避风、防雨和防止污染墙面的构件。室外排气口的设置应与建筑外立面相协调，且不应影响相邻住户。设置公共竖向排油烟道时，宜预留安装集中排油烟通风设施的条件。</w:t>
      </w:r>
    </w:p>
    <w:p w14:paraId="4682FCD0">
      <w:pPr>
        <w:pStyle w:val="4"/>
        <w:numPr>
          <w:ilvl w:val="2"/>
          <w:numId w:val="11"/>
        </w:numPr>
        <w:tabs>
          <w:tab w:val="clear" w:pos="0"/>
        </w:tabs>
        <w:ind w:firstLine="0" w:firstLineChars="0"/>
        <w:rPr>
          <w:rFonts w:cs="宋体"/>
          <w:bCs w:val="0"/>
          <w:iCs/>
          <w:lang w:val="en-US"/>
        </w:rPr>
      </w:pPr>
      <w:r>
        <w:rPr>
          <w:rFonts w:hint="eastAsia" w:cs="宋体"/>
          <w:bCs w:val="0"/>
          <w:iCs/>
          <w:lang w:val="en-US"/>
        </w:rPr>
        <w:t>卫生间应设置防回流的机械通风设施或预留安装机械通风设施的条件。</w:t>
      </w:r>
    </w:p>
    <w:p w14:paraId="2A29A256">
      <w:pPr>
        <w:pStyle w:val="4"/>
        <w:numPr>
          <w:ilvl w:val="2"/>
          <w:numId w:val="11"/>
        </w:numPr>
        <w:tabs>
          <w:tab w:val="clear" w:pos="0"/>
        </w:tabs>
        <w:ind w:firstLine="0" w:firstLineChars="0"/>
        <w:rPr>
          <w:rFonts w:cs="宋体"/>
          <w:bCs w:val="0"/>
          <w:iCs/>
          <w:lang w:val="en-US"/>
        </w:rPr>
      </w:pPr>
      <w:r>
        <w:rPr>
          <w:rFonts w:hint="eastAsia" w:cs="宋体"/>
          <w:bCs w:val="0"/>
          <w:iCs/>
          <w:lang w:val="en-US"/>
        </w:rPr>
        <w:t>新建住宅宜设置户式新风系统。户式新风系统应带过滤装置并宜带能量回收功能。户式新风系统的取风口应远离燃气热水器外墙排烟口及厨房油烟外墙排放口。室外新风应先进入卧室、起居室等人员长时间停留的区域。</w:t>
      </w:r>
    </w:p>
    <w:p w14:paraId="1A4590DD">
      <w:pPr>
        <w:pStyle w:val="4"/>
        <w:numPr>
          <w:ilvl w:val="2"/>
          <w:numId w:val="11"/>
        </w:numPr>
        <w:tabs>
          <w:tab w:val="clear" w:pos="0"/>
        </w:tabs>
        <w:ind w:firstLine="0" w:firstLineChars="0"/>
        <w:rPr>
          <w:rFonts w:cs="宋体"/>
          <w:bCs w:val="0"/>
          <w:iCs/>
          <w:lang w:val="en-US"/>
        </w:rPr>
      </w:pPr>
      <w:r>
        <w:rPr>
          <w:rFonts w:hint="eastAsia" w:cs="宋体"/>
          <w:bCs w:val="0"/>
          <w:iCs/>
          <w:lang w:val="en-US"/>
        </w:rPr>
        <w:t>户式新风系统的最小新风量宜按换气次数法确定，并宜符合表10.5.6规定。</w:t>
      </w:r>
    </w:p>
    <w:p w14:paraId="79D33D08">
      <w:pPr>
        <w:ind w:firstLine="422"/>
        <w:jc w:val="center"/>
        <w:rPr>
          <w:rFonts w:ascii="黑体" w:hAnsi="Times New Roman" w:eastAsia="黑体"/>
          <w:b/>
          <w:bCs/>
          <w:sz w:val="21"/>
        </w:rPr>
      </w:pPr>
      <w:r>
        <w:rPr>
          <w:rFonts w:hint="eastAsia" w:ascii="黑体" w:hAnsi="Times New Roman" w:eastAsia="黑体"/>
          <w:b/>
          <w:bCs/>
          <w:sz w:val="21"/>
        </w:rPr>
        <w:t>表</w:t>
      </w:r>
      <w:r>
        <w:rPr>
          <w:rFonts w:eastAsia="黑体" w:cs="Calibri"/>
          <w:b/>
          <w:bCs/>
          <w:sz w:val="21"/>
        </w:rPr>
        <w:t xml:space="preserve">10.5.6 </w:t>
      </w:r>
      <w:r>
        <w:rPr>
          <w:rFonts w:hint="eastAsia" w:ascii="黑体" w:hAnsi="Times New Roman" w:eastAsia="黑体"/>
          <w:b/>
          <w:bCs/>
          <w:sz w:val="21"/>
        </w:rPr>
        <w:t>户式新风系统最小换气次数</w:t>
      </w:r>
    </w:p>
    <w:tbl>
      <w:tblPr>
        <w:tblStyle w:val="29"/>
        <w:tblW w:w="83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29"/>
        <w:gridCol w:w="4143"/>
      </w:tblGrid>
      <w:tr w14:paraId="51EE0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29" w:type="dxa"/>
          </w:tcPr>
          <w:p w14:paraId="37D95870">
            <w:pPr>
              <w:ind w:firstLine="360"/>
              <w:jc w:val="center"/>
              <w:rPr>
                <w:rFonts w:ascii="Times New Roman" w:hAnsi="Times New Roman"/>
                <w:sz w:val="18"/>
                <w:szCs w:val="18"/>
              </w:rPr>
            </w:pPr>
            <w:r>
              <w:rPr>
                <w:rFonts w:hint="eastAsia" w:ascii="Times New Roman" w:hAnsi="Times New Roman"/>
                <w:sz w:val="18"/>
                <w:szCs w:val="18"/>
              </w:rPr>
              <w:t>人均居住面积</w:t>
            </w:r>
            <w:r>
              <w:rPr>
                <w:rFonts w:ascii="Times New Roman" w:hAnsi="Times New Roman"/>
                <w:sz w:val="18"/>
                <w:szCs w:val="18"/>
              </w:rPr>
              <w:t>F</w:t>
            </w:r>
            <w:r>
              <w:rPr>
                <w:rFonts w:ascii="Times New Roman" w:hAnsi="Times New Roman"/>
                <w:sz w:val="18"/>
                <w:szCs w:val="18"/>
                <w:vertAlign w:val="subscript"/>
              </w:rPr>
              <w:t>p</w:t>
            </w:r>
          </w:p>
        </w:tc>
        <w:tc>
          <w:tcPr>
            <w:tcW w:w="4143" w:type="dxa"/>
          </w:tcPr>
          <w:p w14:paraId="28229655">
            <w:pPr>
              <w:ind w:firstLine="360"/>
              <w:jc w:val="center"/>
              <w:rPr>
                <w:rFonts w:ascii="Times New Roman" w:hAnsi="Times New Roman"/>
                <w:sz w:val="18"/>
                <w:szCs w:val="18"/>
              </w:rPr>
            </w:pPr>
            <w:r>
              <w:rPr>
                <w:rFonts w:hint="eastAsia" w:ascii="Times New Roman" w:hAnsi="Times New Roman"/>
                <w:sz w:val="18"/>
                <w:szCs w:val="18"/>
              </w:rPr>
              <w:t>每小时换气次数</w:t>
            </w:r>
          </w:p>
        </w:tc>
      </w:tr>
      <w:tr w14:paraId="19F1A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29" w:type="dxa"/>
          </w:tcPr>
          <w:p w14:paraId="336761FE">
            <w:pPr>
              <w:ind w:firstLine="360"/>
              <w:jc w:val="center"/>
              <w:rPr>
                <w:rFonts w:ascii="Times New Roman" w:hAnsi="Times New Roman"/>
                <w:sz w:val="18"/>
                <w:szCs w:val="18"/>
              </w:rPr>
            </w:pPr>
            <w:r>
              <w:rPr>
                <w:rFonts w:ascii="Times New Roman" w:hAnsi="Times New Roman"/>
                <w:sz w:val="18"/>
                <w:szCs w:val="18"/>
              </w:rPr>
              <w:t>F</w:t>
            </w:r>
            <w:r>
              <w:rPr>
                <w:rFonts w:ascii="Times New Roman" w:hAnsi="Times New Roman"/>
                <w:sz w:val="18"/>
                <w:szCs w:val="18"/>
                <w:vertAlign w:val="subscript"/>
              </w:rPr>
              <w:t>p</w:t>
            </w:r>
            <w:r>
              <w:rPr>
                <w:rFonts w:hint="eastAsia" w:ascii="Times New Roman" w:hAnsi="Times New Roman"/>
                <w:sz w:val="18"/>
                <w:szCs w:val="18"/>
              </w:rPr>
              <w:t>≤10m</w:t>
            </w:r>
            <w:r>
              <w:rPr>
                <w:rFonts w:ascii="Times New Roman" w:hAnsi="Times New Roman"/>
                <w:sz w:val="18"/>
                <w:szCs w:val="18"/>
                <w:vertAlign w:val="superscript"/>
              </w:rPr>
              <w:t>2</w:t>
            </w:r>
          </w:p>
        </w:tc>
        <w:tc>
          <w:tcPr>
            <w:tcW w:w="4143" w:type="dxa"/>
          </w:tcPr>
          <w:p w14:paraId="20272CE2">
            <w:pPr>
              <w:ind w:firstLine="360"/>
              <w:jc w:val="center"/>
              <w:rPr>
                <w:rFonts w:ascii="Times New Roman" w:hAnsi="Times New Roman"/>
                <w:sz w:val="18"/>
                <w:szCs w:val="18"/>
              </w:rPr>
            </w:pPr>
            <w:r>
              <w:rPr>
                <w:rFonts w:ascii="Times New Roman" w:hAnsi="Times New Roman"/>
                <w:sz w:val="18"/>
                <w:szCs w:val="18"/>
              </w:rPr>
              <w:t>0.70</w:t>
            </w:r>
          </w:p>
        </w:tc>
      </w:tr>
      <w:tr w14:paraId="4988A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29" w:type="dxa"/>
          </w:tcPr>
          <w:p w14:paraId="67438539">
            <w:pPr>
              <w:ind w:firstLine="360"/>
              <w:jc w:val="center"/>
              <w:rPr>
                <w:rFonts w:ascii="Times New Roman" w:hAnsi="Times New Roman"/>
                <w:sz w:val="18"/>
                <w:szCs w:val="18"/>
              </w:rPr>
            </w:pPr>
            <w:r>
              <w:rPr>
                <w:rFonts w:ascii="Times New Roman" w:hAnsi="Times New Roman"/>
                <w:sz w:val="18"/>
                <w:szCs w:val="18"/>
              </w:rPr>
              <w:t>10m</w:t>
            </w:r>
            <w:r>
              <w:rPr>
                <w:rFonts w:ascii="Times New Roman" w:hAnsi="Times New Roman"/>
                <w:sz w:val="18"/>
                <w:szCs w:val="18"/>
                <w:vertAlign w:val="superscript"/>
              </w:rPr>
              <w:t>2</w:t>
            </w:r>
            <w:r>
              <w:rPr>
                <w:rFonts w:hint="eastAsia" w:ascii="Times New Roman" w:hAnsi="Times New Roman"/>
                <w:sz w:val="18"/>
                <w:szCs w:val="18"/>
              </w:rPr>
              <w:t>＜</w:t>
            </w:r>
            <w:r>
              <w:rPr>
                <w:rFonts w:ascii="Times New Roman" w:hAnsi="Times New Roman"/>
                <w:sz w:val="18"/>
                <w:szCs w:val="18"/>
              </w:rPr>
              <w:t>F</w:t>
            </w:r>
            <w:r>
              <w:rPr>
                <w:rFonts w:ascii="Times New Roman" w:hAnsi="Times New Roman"/>
                <w:sz w:val="18"/>
                <w:szCs w:val="18"/>
                <w:vertAlign w:val="subscript"/>
              </w:rPr>
              <w:t>p</w:t>
            </w:r>
            <w:r>
              <w:rPr>
                <w:rFonts w:hint="eastAsia" w:ascii="Times New Roman" w:hAnsi="Times New Roman"/>
                <w:sz w:val="18"/>
                <w:szCs w:val="18"/>
              </w:rPr>
              <w:t>≤20m</w:t>
            </w:r>
            <w:r>
              <w:rPr>
                <w:rFonts w:ascii="Times New Roman" w:hAnsi="Times New Roman"/>
                <w:sz w:val="18"/>
                <w:szCs w:val="18"/>
                <w:vertAlign w:val="superscript"/>
              </w:rPr>
              <w:t>2</w:t>
            </w:r>
          </w:p>
        </w:tc>
        <w:tc>
          <w:tcPr>
            <w:tcW w:w="4143" w:type="dxa"/>
          </w:tcPr>
          <w:p w14:paraId="245AC6C8">
            <w:pPr>
              <w:ind w:firstLine="360"/>
              <w:jc w:val="center"/>
              <w:rPr>
                <w:rFonts w:ascii="Times New Roman" w:hAnsi="Times New Roman"/>
                <w:sz w:val="18"/>
                <w:szCs w:val="18"/>
              </w:rPr>
            </w:pPr>
            <w:r>
              <w:rPr>
                <w:rFonts w:ascii="Times New Roman" w:hAnsi="Times New Roman"/>
                <w:sz w:val="18"/>
                <w:szCs w:val="18"/>
              </w:rPr>
              <w:t>0.60</w:t>
            </w:r>
          </w:p>
        </w:tc>
      </w:tr>
      <w:tr w14:paraId="596F5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29" w:type="dxa"/>
          </w:tcPr>
          <w:p w14:paraId="1BCC96A7">
            <w:pPr>
              <w:ind w:firstLine="360"/>
              <w:jc w:val="center"/>
              <w:rPr>
                <w:rFonts w:ascii="Times New Roman" w:hAnsi="Times New Roman"/>
                <w:sz w:val="18"/>
                <w:szCs w:val="18"/>
              </w:rPr>
            </w:pPr>
            <w:r>
              <w:rPr>
                <w:rFonts w:ascii="Times New Roman" w:hAnsi="Times New Roman"/>
                <w:sz w:val="18"/>
                <w:szCs w:val="18"/>
              </w:rPr>
              <w:t>20m</w:t>
            </w:r>
            <w:r>
              <w:rPr>
                <w:rFonts w:ascii="Times New Roman" w:hAnsi="Times New Roman"/>
                <w:sz w:val="18"/>
                <w:szCs w:val="18"/>
                <w:vertAlign w:val="superscript"/>
              </w:rPr>
              <w:t>2</w:t>
            </w:r>
            <w:r>
              <w:rPr>
                <w:rFonts w:hint="eastAsia" w:ascii="Times New Roman" w:hAnsi="Times New Roman"/>
                <w:sz w:val="18"/>
                <w:szCs w:val="18"/>
              </w:rPr>
              <w:t>＜</w:t>
            </w:r>
            <w:r>
              <w:rPr>
                <w:rFonts w:ascii="Times New Roman" w:hAnsi="Times New Roman"/>
                <w:sz w:val="18"/>
                <w:szCs w:val="18"/>
              </w:rPr>
              <w:t>F</w:t>
            </w:r>
            <w:r>
              <w:rPr>
                <w:rFonts w:ascii="Times New Roman" w:hAnsi="Times New Roman"/>
                <w:sz w:val="18"/>
                <w:szCs w:val="18"/>
                <w:vertAlign w:val="subscript"/>
              </w:rPr>
              <w:t>p</w:t>
            </w:r>
            <w:r>
              <w:rPr>
                <w:rFonts w:hint="eastAsia" w:ascii="Times New Roman" w:hAnsi="Times New Roman"/>
                <w:sz w:val="18"/>
                <w:szCs w:val="18"/>
              </w:rPr>
              <w:t>≤50m</w:t>
            </w:r>
            <w:r>
              <w:rPr>
                <w:rFonts w:ascii="Times New Roman" w:hAnsi="Times New Roman"/>
                <w:sz w:val="18"/>
                <w:szCs w:val="18"/>
                <w:vertAlign w:val="superscript"/>
              </w:rPr>
              <w:t>2</w:t>
            </w:r>
          </w:p>
        </w:tc>
        <w:tc>
          <w:tcPr>
            <w:tcW w:w="4143" w:type="dxa"/>
          </w:tcPr>
          <w:p w14:paraId="12BC35F9">
            <w:pPr>
              <w:ind w:firstLine="360"/>
              <w:jc w:val="center"/>
              <w:rPr>
                <w:rFonts w:ascii="Times New Roman" w:hAnsi="Times New Roman"/>
                <w:sz w:val="18"/>
                <w:szCs w:val="18"/>
              </w:rPr>
            </w:pPr>
            <w:r>
              <w:rPr>
                <w:rFonts w:ascii="Times New Roman" w:hAnsi="Times New Roman"/>
                <w:sz w:val="18"/>
                <w:szCs w:val="18"/>
              </w:rPr>
              <w:t>0.50</w:t>
            </w:r>
          </w:p>
        </w:tc>
      </w:tr>
      <w:tr w14:paraId="757CA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29" w:type="dxa"/>
          </w:tcPr>
          <w:p w14:paraId="1FB0F419">
            <w:pPr>
              <w:ind w:firstLine="360"/>
              <w:jc w:val="center"/>
              <w:rPr>
                <w:rFonts w:ascii="Times New Roman" w:hAnsi="Times New Roman"/>
                <w:sz w:val="18"/>
                <w:szCs w:val="18"/>
              </w:rPr>
            </w:pPr>
            <w:r>
              <w:rPr>
                <w:rFonts w:ascii="Times New Roman" w:hAnsi="Times New Roman"/>
                <w:sz w:val="18"/>
                <w:szCs w:val="18"/>
              </w:rPr>
              <w:t>F</w:t>
            </w:r>
            <w:r>
              <w:rPr>
                <w:rFonts w:ascii="Times New Roman" w:hAnsi="Times New Roman"/>
                <w:sz w:val="18"/>
                <w:szCs w:val="18"/>
                <w:vertAlign w:val="subscript"/>
              </w:rPr>
              <w:t>p</w:t>
            </w:r>
            <w:r>
              <w:rPr>
                <w:rFonts w:hint="eastAsia" w:ascii="Times New Roman" w:hAnsi="Times New Roman"/>
                <w:sz w:val="18"/>
                <w:szCs w:val="18"/>
              </w:rPr>
              <w:t>＞</w:t>
            </w:r>
            <w:r>
              <w:rPr>
                <w:rFonts w:ascii="Times New Roman" w:hAnsi="Times New Roman"/>
                <w:sz w:val="18"/>
                <w:szCs w:val="18"/>
              </w:rPr>
              <w:t>50m</w:t>
            </w:r>
            <w:r>
              <w:rPr>
                <w:rFonts w:ascii="Times New Roman" w:hAnsi="Times New Roman"/>
                <w:sz w:val="18"/>
                <w:szCs w:val="18"/>
                <w:vertAlign w:val="superscript"/>
              </w:rPr>
              <w:t>2</w:t>
            </w:r>
          </w:p>
        </w:tc>
        <w:tc>
          <w:tcPr>
            <w:tcW w:w="4143" w:type="dxa"/>
          </w:tcPr>
          <w:p w14:paraId="62912671">
            <w:pPr>
              <w:ind w:firstLine="360"/>
              <w:jc w:val="center"/>
              <w:rPr>
                <w:rFonts w:ascii="Times New Roman" w:hAnsi="Times New Roman"/>
                <w:sz w:val="18"/>
                <w:szCs w:val="18"/>
              </w:rPr>
            </w:pPr>
            <w:r>
              <w:rPr>
                <w:rFonts w:ascii="Times New Roman" w:hAnsi="Times New Roman"/>
                <w:sz w:val="18"/>
                <w:szCs w:val="18"/>
              </w:rPr>
              <w:t>0.45</w:t>
            </w:r>
          </w:p>
        </w:tc>
      </w:tr>
    </w:tbl>
    <w:p w14:paraId="496786F9">
      <w:pPr>
        <w:pStyle w:val="4"/>
        <w:numPr>
          <w:ilvl w:val="0"/>
          <w:numId w:val="0"/>
        </w:numPr>
        <w:ind w:left="426" w:firstLine="1080" w:firstLineChars="600"/>
      </w:pPr>
      <w:r>
        <w:rPr>
          <w:rFonts w:hint="eastAsia" w:ascii="Times New Roman" w:hAnsi="Times New Roman"/>
          <w:sz w:val="18"/>
          <w:szCs w:val="18"/>
        </w:rPr>
        <w:t>注：居住面积按户式新风系统所服务房间的建筑套内面积计。</w:t>
      </w:r>
    </w:p>
    <w:p w14:paraId="23B1CF75">
      <w:pPr>
        <w:pStyle w:val="4"/>
        <w:numPr>
          <w:ilvl w:val="2"/>
          <w:numId w:val="11"/>
        </w:numPr>
        <w:tabs>
          <w:tab w:val="clear" w:pos="0"/>
        </w:tabs>
        <w:ind w:firstLine="0" w:firstLineChars="0"/>
        <w:rPr>
          <w:rFonts w:cs="宋体"/>
          <w:bCs w:val="0"/>
          <w:iCs/>
          <w:lang w:val="en-US"/>
        </w:rPr>
      </w:pPr>
      <w:r>
        <w:rPr>
          <w:rFonts w:hint="eastAsia" w:cs="宋体"/>
          <w:bCs w:val="0"/>
          <w:iCs/>
          <w:lang w:val="en-US"/>
        </w:rPr>
        <w:t>厨房宜设独立的排油烟补风系统</w:t>
      </w:r>
      <w:r>
        <w:rPr>
          <w:rFonts w:hint="eastAsia" w:cs="宋体"/>
          <w:bCs w:val="0"/>
          <w:iCs/>
          <w:lang w:val="en-US" w:eastAsia="zh-CN"/>
        </w:rPr>
        <w:t>；</w:t>
      </w:r>
      <w:r>
        <w:rPr>
          <w:rFonts w:hint="eastAsia" w:cs="宋体"/>
          <w:bCs w:val="0"/>
          <w:iCs/>
          <w:lang w:val="en-US"/>
        </w:rPr>
        <w:t xml:space="preserve">补风应从室外直接引入，引入口处应设保温密闭型电动风阀，且电动风阀应与排油烟机联动 </w:t>
      </w:r>
      <w:r>
        <w:rPr>
          <w:rFonts w:hint="eastAsia" w:cs="宋体"/>
          <w:bCs w:val="0"/>
          <w:iCs/>
          <w:lang w:val="en-US" w:eastAsia="zh-CN"/>
        </w:rPr>
        <w:t>；</w:t>
      </w:r>
      <w:r>
        <w:rPr>
          <w:rFonts w:hint="eastAsia" w:cs="宋体"/>
          <w:bCs w:val="0"/>
          <w:iCs/>
          <w:lang w:val="en-US"/>
        </w:rPr>
        <w:t>补风管道应</w:t>
      </w:r>
      <w:r>
        <w:rPr>
          <w:rFonts w:hint="eastAsia" w:cs="宋体"/>
          <w:bCs w:val="0"/>
          <w:iCs/>
          <w:lang w:val="en-US" w:eastAsia="zh-CN"/>
        </w:rPr>
        <w:t>做</w:t>
      </w:r>
      <w:r>
        <w:rPr>
          <w:rFonts w:hint="eastAsia" w:cs="宋体"/>
          <w:bCs w:val="0"/>
          <w:iCs/>
          <w:lang w:val="en-US"/>
        </w:rPr>
        <w:t>保温，补风口宜设置在灶台附近。</w:t>
      </w:r>
    </w:p>
    <w:bookmarkEnd w:id="1052"/>
    <w:bookmarkEnd w:id="1053"/>
    <w:bookmarkEnd w:id="1054"/>
    <w:bookmarkEnd w:id="1055"/>
    <w:bookmarkEnd w:id="1056"/>
    <w:bookmarkEnd w:id="1057"/>
    <w:bookmarkEnd w:id="1058"/>
    <w:bookmarkEnd w:id="1059"/>
    <w:bookmarkEnd w:id="1060"/>
    <w:p w14:paraId="77707C8A">
      <w:pPr>
        <w:pStyle w:val="3"/>
        <w:numPr>
          <w:ilvl w:val="1"/>
          <w:numId w:val="11"/>
        </w:numPr>
      </w:pPr>
      <w:bookmarkStart w:id="1061" w:name="_Toc15076"/>
      <w:bookmarkStart w:id="1062" w:name="_Toc26817506"/>
      <w:bookmarkStart w:id="1063" w:name="_Toc13132"/>
      <w:bookmarkStart w:id="1064" w:name="_Toc16057"/>
      <w:bookmarkStart w:id="1065" w:name="_Toc20535"/>
      <w:bookmarkStart w:id="1066" w:name="_Toc18396"/>
      <w:bookmarkStart w:id="1067" w:name="_Toc14625"/>
      <w:bookmarkStart w:id="1068" w:name="_Toc17478"/>
      <w:bookmarkStart w:id="1069" w:name="_Toc19298"/>
      <w:bookmarkStart w:id="1070" w:name="_Toc2798"/>
      <w:bookmarkStart w:id="1071" w:name="_Toc415214066"/>
      <w:bookmarkStart w:id="1072" w:name="_Toc422931176"/>
      <w:bookmarkStart w:id="1073" w:name="_Toc422990214"/>
      <w:bookmarkStart w:id="1074" w:name="_Toc421291575"/>
      <w:bookmarkStart w:id="1075" w:name="_Toc427324236"/>
      <w:bookmarkStart w:id="1076" w:name="_Toc414356873"/>
      <w:bookmarkStart w:id="1077" w:name="_Toc419288568"/>
      <w:bookmarkStart w:id="1078" w:name="_Toc32307"/>
      <w:r>
        <w:rPr>
          <w:rFonts w:hint="eastAsia"/>
        </w:rPr>
        <w:t>空</w:t>
      </w:r>
      <w:r>
        <w:rPr>
          <w:rFonts w:hint="eastAsia" w:eastAsia="黑体"/>
          <w:sz w:val="36"/>
          <w:szCs w:val="36"/>
        </w:rPr>
        <w:t xml:space="preserve">  </w:t>
      </w:r>
      <w:r>
        <w:rPr>
          <w:rFonts w:hint="eastAsia"/>
        </w:rPr>
        <w:t>调</w:t>
      </w:r>
      <w:bookmarkEnd w:id="1061"/>
      <w:bookmarkEnd w:id="1062"/>
      <w:bookmarkEnd w:id="1063"/>
      <w:bookmarkEnd w:id="1064"/>
      <w:bookmarkEnd w:id="1065"/>
      <w:bookmarkEnd w:id="1066"/>
      <w:bookmarkEnd w:id="1067"/>
      <w:bookmarkEnd w:id="1068"/>
      <w:bookmarkEnd w:id="1069"/>
    </w:p>
    <w:p w14:paraId="3166AD73">
      <w:pPr>
        <w:pStyle w:val="4"/>
        <w:numPr>
          <w:ilvl w:val="2"/>
          <w:numId w:val="11"/>
        </w:numPr>
        <w:tabs>
          <w:tab w:val="clear" w:pos="0"/>
        </w:tabs>
        <w:ind w:firstLine="0" w:firstLineChars="0"/>
        <w:rPr>
          <w:rFonts w:cs="宋体"/>
          <w:bCs w:val="0"/>
          <w:iCs/>
          <w:lang w:val="en-US"/>
        </w:rPr>
      </w:pPr>
      <w:r>
        <w:rPr>
          <w:rFonts w:hint="eastAsia" w:cs="宋体"/>
          <w:bCs w:val="0"/>
          <w:iCs/>
          <w:lang w:val="en-US"/>
        </w:rPr>
        <w:t>住宅不采用集中空调系统时，居住空间应设置空调设施或预留安装空调设施的位置和条件。</w:t>
      </w:r>
    </w:p>
    <w:p w14:paraId="4B18DD3C">
      <w:pPr>
        <w:pStyle w:val="4"/>
        <w:numPr>
          <w:ilvl w:val="2"/>
          <w:numId w:val="11"/>
        </w:numPr>
        <w:tabs>
          <w:tab w:val="clear" w:pos="0"/>
        </w:tabs>
        <w:ind w:firstLine="0" w:firstLineChars="0"/>
        <w:rPr>
          <w:rFonts w:cs="宋体"/>
          <w:bCs w:val="0"/>
          <w:iCs/>
          <w:lang w:val="en-US"/>
        </w:rPr>
      </w:pPr>
      <w:r>
        <w:rPr>
          <w:rFonts w:hint="eastAsia" w:cs="宋体"/>
          <w:bCs w:val="0"/>
          <w:iCs/>
          <w:lang w:val="en-US"/>
        </w:rPr>
        <w:t>住宅采用集中空调系统时，负荷计算和室内设计参数应符合下列规定：</w:t>
      </w:r>
    </w:p>
    <w:p w14:paraId="13EC1314">
      <w:pPr>
        <w:ind w:firstLine="482"/>
        <w:rPr>
          <w:rFonts w:ascii="Times New Roman" w:hAnsi="Times New Roman"/>
          <w:bCs/>
          <w:szCs w:val="32"/>
          <w:lang w:val="zh-CN"/>
        </w:rPr>
      </w:pPr>
      <w:r>
        <w:rPr>
          <w:rFonts w:cs="Calibri"/>
          <w:b/>
          <w:szCs w:val="32"/>
        </w:rPr>
        <w:t>1</w:t>
      </w:r>
      <w:r>
        <w:rPr>
          <w:rFonts w:ascii="Times New Roman" w:hAnsi="Times New Roman"/>
          <w:bCs/>
          <w:szCs w:val="32"/>
          <w:lang w:val="zh-CN"/>
        </w:rPr>
        <w:t xml:space="preserve">  </w:t>
      </w:r>
      <w:r>
        <w:rPr>
          <w:rFonts w:hint="eastAsia" w:ascii="Times New Roman" w:hAnsi="Times New Roman"/>
          <w:bCs/>
          <w:szCs w:val="32"/>
          <w:lang w:val="zh-CN"/>
        </w:rPr>
        <w:t>应对每一个空调房间进行热负荷和逐项逐时冷负荷计算；</w:t>
      </w:r>
    </w:p>
    <w:p w14:paraId="62A4964B">
      <w:pPr>
        <w:ind w:firstLine="482"/>
        <w:rPr>
          <w:rFonts w:ascii="Times New Roman" w:hAnsi="Times New Roman"/>
          <w:bCs/>
          <w:szCs w:val="32"/>
          <w:lang w:val="zh-CN"/>
        </w:rPr>
      </w:pPr>
      <w:r>
        <w:rPr>
          <w:rFonts w:cs="Calibri"/>
          <w:b/>
          <w:szCs w:val="32"/>
          <w:lang w:val="zh-CN"/>
        </w:rPr>
        <w:t>2</w:t>
      </w:r>
      <w:r>
        <w:rPr>
          <w:rFonts w:ascii="Times New Roman" w:hAnsi="Times New Roman"/>
          <w:bCs/>
          <w:szCs w:val="32"/>
          <w:lang w:val="zh-CN"/>
        </w:rPr>
        <w:t xml:space="preserve">  </w:t>
      </w:r>
      <w:r>
        <w:rPr>
          <w:rFonts w:hint="eastAsia" w:ascii="Times New Roman" w:hAnsi="Times New Roman"/>
          <w:bCs/>
          <w:szCs w:val="32"/>
          <w:lang w:val="zh-CN"/>
        </w:rPr>
        <w:t>卧室、起居室室内设计温度宜为</w:t>
      </w:r>
      <w:r>
        <w:rPr>
          <w:rFonts w:ascii="Times New Roman" w:hAnsi="Times New Roman"/>
          <w:bCs/>
          <w:szCs w:val="32"/>
          <w:lang w:val="zh-CN"/>
        </w:rPr>
        <w:t>26</w:t>
      </w:r>
      <w:r>
        <w:rPr>
          <w:rFonts w:hint="eastAsia" w:ascii="Times New Roman" w:hAnsi="Times New Roman"/>
          <w:bCs/>
          <w:szCs w:val="32"/>
          <w:lang w:val="zh-CN"/>
        </w:rPr>
        <w:t>℃；</w:t>
      </w:r>
    </w:p>
    <w:p w14:paraId="5F26A5A5">
      <w:pPr>
        <w:ind w:firstLine="482"/>
        <w:rPr>
          <w:rFonts w:ascii="Times New Roman" w:hAnsi="Times New Roman"/>
          <w:bCs/>
          <w:szCs w:val="32"/>
          <w:lang w:val="zh-CN"/>
        </w:rPr>
      </w:pPr>
      <w:r>
        <w:rPr>
          <w:rFonts w:cs="Calibri"/>
          <w:b/>
          <w:szCs w:val="32"/>
          <w:lang w:val="zh-CN"/>
        </w:rPr>
        <w:t>3</w:t>
      </w:r>
      <w:r>
        <w:rPr>
          <w:rFonts w:ascii="Times New Roman" w:hAnsi="Times New Roman"/>
          <w:bCs/>
          <w:szCs w:val="32"/>
          <w:lang w:val="zh-CN"/>
        </w:rPr>
        <w:t xml:space="preserve">  </w:t>
      </w:r>
      <w:r>
        <w:rPr>
          <w:rFonts w:hint="eastAsia" w:ascii="Times New Roman" w:hAnsi="Times New Roman"/>
          <w:bCs/>
          <w:szCs w:val="32"/>
          <w:lang w:val="zh-CN"/>
        </w:rPr>
        <w:t>无集中新风供应系统的住宅新风换气宜为</w:t>
      </w:r>
      <w:r>
        <w:rPr>
          <w:rFonts w:ascii="Times New Roman" w:hAnsi="Times New Roman"/>
          <w:bCs/>
          <w:szCs w:val="32"/>
          <w:lang w:val="zh-CN"/>
        </w:rPr>
        <w:t>1</w:t>
      </w:r>
      <w:r>
        <w:rPr>
          <w:rFonts w:hint="eastAsia" w:ascii="Times New Roman" w:hAnsi="Times New Roman"/>
          <w:bCs/>
          <w:szCs w:val="32"/>
          <w:lang w:val="zh-CN"/>
        </w:rPr>
        <w:t>次</w:t>
      </w:r>
      <w:r>
        <w:rPr>
          <w:rFonts w:ascii="Times New Roman" w:hAnsi="Times New Roman"/>
          <w:bCs/>
          <w:szCs w:val="32"/>
          <w:lang w:val="zh-CN"/>
        </w:rPr>
        <w:t>/h</w:t>
      </w:r>
      <w:r>
        <w:rPr>
          <w:rFonts w:hint="eastAsia" w:ascii="Times New Roman" w:hAnsi="Times New Roman"/>
          <w:bCs/>
          <w:szCs w:val="32"/>
          <w:lang w:val="zh-CN"/>
        </w:rPr>
        <w:t>；</w:t>
      </w:r>
    </w:p>
    <w:p w14:paraId="68AD8215">
      <w:pPr>
        <w:ind w:firstLine="482"/>
        <w:rPr>
          <w:rFonts w:ascii="Times New Roman" w:hAnsi="Times New Roman"/>
          <w:bCs/>
          <w:szCs w:val="32"/>
          <w:lang w:val="zh-CN"/>
        </w:rPr>
      </w:pPr>
      <w:r>
        <w:rPr>
          <w:rFonts w:cs="Calibri"/>
          <w:b/>
          <w:szCs w:val="32"/>
          <w:lang w:val="zh-CN"/>
        </w:rPr>
        <w:t>4</w:t>
      </w:r>
      <w:r>
        <w:rPr>
          <w:rFonts w:ascii="Times New Roman" w:hAnsi="Times New Roman"/>
          <w:bCs/>
          <w:szCs w:val="32"/>
          <w:lang w:val="zh-CN"/>
        </w:rPr>
        <w:t xml:space="preserve">  </w:t>
      </w:r>
      <w:r>
        <w:rPr>
          <w:rFonts w:hint="eastAsia" w:ascii="Times New Roman" w:hAnsi="Times New Roman"/>
          <w:bCs/>
          <w:szCs w:val="32"/>
          <w:lang w:val="zh-CN"/>
        </w:rPr>
        <w:t>空调系统的夏季冷负荷按所服务区域各空调房间逐时冷负荷的综合最大值确定。</w:t>
      </w:r>
    </w:p>
    <w:p w14:paraId="636442FB">
      <w:pPr>
        <w:pStyle w:val="4"/>
        <w:numPr>
          <w:ilvl w:val="2"/>
          <w:numId w:val="11"/>
        </w:numPr>
        <w:tabs>
          <w:tab w:val="clear" w:pos="0"/>
        </w:tabs>
        <w:ind w:firstLine="0" w:firstLineChars="0"/>
        <w:rPr>
          <w:rFonts w:cs="宋体"/>
          <w:bCs w:val="0"/>
          <w:iCs/>
          <w:lang w:val="en-US"/>
        </w:rPr>
      </w:pPr>
      <w:r>
        <w:rPr>
          <w:rFonts w:hint="eastAsia" w:cs="宋体"/>
          <w:bCs w:val="0"/>
          <w:iCs/>
          <w:lang w:val="en-US"/>
        </w:rPr>
        <w:t>室内空调设备的冷凝水应有组织排放，冷凝水管不应出现倒坡。</w:t>
      </w:r>
    </w:p>
    <w:p w14:paraId="186A91D8">
      <w:pPr>
        <w:pStyle w:val="4"/>
        <w:numPr>
          <w:ilvl w:val="2"/>
          <w:numId w:val="11"/>
        </w:numPr>
        <w:tabs>
          <w:tab w:val="clear" w:pos="0"/>
        </w:tabs>
        <w:ind w:firstLine="0" w:firstLineChars="0"/>
        <w:rPr>
          <w:rFonts w:cs="宋体"/>
          <w:bCs w:val="0"/>
          <w:iCs/>
          <w:lang w:val="en-US"/>
        </w:rPr>
      </w:pPr>
      <w:r>
        <w:rPr>
          <w:rFonts w:hint="eastAsia" w:cs="宋体"/>
          <w:bCs w:val="0"/>
          <w:iCs/>
          <w:lang w:val="en-US"/>
        </w:rPr>
        <w:t>空调室外机的安装位置应符合本规范第7.3节的规定，并应符合下列规定：</w:t>
      </w:r>
    </w:p>
    <w:p w14:paraId="4B69CC35">
      <w:pPr>
        <w:ind w:firstLine="482"/>
        <w:rPr>
          <w:rFonts w:ascii="Times New Roman" w:hAnsi="Times New Roman"/>
          <w:bCs/>
          <w:szCs w:val="32"/>
          <w:lang w:val="zh-CN"/>
        </w:rPr>
      </w:pPr>
      <w:r>
        <w:rPr>
          <w:rFonts w:cs="Calibri"/>
          <w:b/>
          <w:szCs w:val="32"/>
          <w:lang w:val="zh-CN"/>
        </w:rPr>
        <w:t>1</w:t>
      </w:r>
      <w:r>
        <w:rPr>
          <w:rFonts w:ascii="Times New Roman" w:hAnsi="Times New Roman"/>
          <w:bCs/>
          <w:szCs w:val="32"/>
          <w:lang w:val="zh-CN"/>
        </w:rPr>
        <w:t xml:space="preserve">  </w:t>
      </w:r>
      <w:r>
        <w:rPr>
          <w:rFonts w:hint="eastAsia" w:ascii="Times New Roman" w:hAnsi="Times New Roman"/>
          <w:bCs/>
          <w:szCs w:val="32"/>
          <w:lang w:val="zh-CN"/>
        </w:rPr>
        <w:t>在排出空气与吸入空气之间不会发生明显的气流短路，必要时应做散热气流分析；</w:t>
      </w:r>
    </w:p>
    <w:p w14:paraId="34CBE4B2">
      <w:pPr>
        <w:ind w:firstLine="482"/>
        <w:rPr>
          <w:rFonts w:ascii="Times New Roman" w:hAnsi="Times New Roman"/>
          <w:bCs/>
          <w:szCs w:val="32"/>
          <w:lang w:val="zh-CN"/>
        </w:rPr>
      </w:pPr>
      <w:r>
        <w:rPr>
          <w:rFonts w:cs="Calibri"/>
          <w:b/>
          <w:szCs w:val="32"/>
          <w:lang w:val="zh-CN"/>
        </w:rPr>
        <w:t>2</w:t>
      </w:r>
      <w:r>
        <w:rPr>
          <w:rFonts w:ascii="Times New Roman" w:hAnsi="Times New Roman"/>
          <w:bCs/>
          <w:szCs w:val="32"/>
          <w:lang w:val="zh-CN"/>
        </w:rPr>
        <w:t xml:space="preserve">  </w:t>
      </w:r>
      <w:r>
        <w:rPr>
          <w:rFonts w:hint="eastAsia" w:ascii="Times New Roman" w:hAnsi="Times New Roman"/>
          <w:bCs/>
          <w:szCs w:val="32"/>
          <w:lang w:val="zh-CN"/>
        </w:rPr>
        <w:t>应符合周围环境的要求；</w:t>
      </w:r>
    </w:p>
    <w:p w14:paraId="0D115988">
      <w:pPr>
        <w:ind w:firstLine="482"/>
        <w:rPr>
          <w:rFonts w:ascii="Times New Roman" w:hAnsi="Times New Roman"/>
          <w:bCs/>
          <w:szCs w:val="32"/>
          <w:lang w:val="zh-CN"/>
        </w:rPr>
      </w:pPr>
      <w:r>
        <w:rPr>
          <w:rFonts w:cs="Calibri"/>
          <w:b/>
          <w:szCs w:val="32"/>
          <w:lang w:val="zh-CN"/>
        </w:rPr>
        <w:t>3</w:t>
      </w:r>
      <w:r>
        <w:rPr>
          <w:rFonts w:ascii="Times New Roman" w:hAnsi="Times New Roman"/>
          <w:bCs/>
          <w:szCs w:val="32"/>
          <w:lang w:val="zh-CN"/>
        </w:rPr>
        <w:t xml:space="preserve">  </w:t>
      </w:r>
      <w:r>
        <w:rPr>
          <w:rFonts w:hint="eastAsia" w:ascii="Times New Roman" w:hAnsi="Times New Roman"/>
          <w:bCs/>
          <w:szCs w:val="32"/>
          <w:lang w:val="zh-CN"/>
        </w:rPr>
        <w:t>应便于室外机清扫。</w:t>
      </w:r>
    </w:p>
    <w:p w14:paraId="6DA47A37">
      <w:pPr>
        <w:pStyle w:val="4"/>
        <w:numPr>
          <w:ilvl w:val="2"/>
          <w:numId w:val="11"/>
        </w:numPr>
        <w:tabs>
          <w:tab w:val="clear" w:pos="0"/>
        </w:tabs>
        <w:ind w:firstLine="0" w:firstLineChars="0"/>
        <w:rPr>
          <w:rFonts w:cs="宋体"/>
          <w:bCs w:val="0"/>
          <w:iCs/>
          <w:lang w:val="en-US"/>
        </w:rPr>
      </w:pPr>
      <w:r>
        <w:rPr>
          <w:rFonts w:hint="eastAsia" w:cs="宋体"/>
          <w:bCs w:val="0"/>
          <w:iCs/>
          <w:lang w:val="en-US"/>
        </w:rPr>
        <w:t>空调系统应设置分室自动温度控制设施。</w:t>
      </w:r>
    </w:p>
    <w:p w14:paraId="59F17894">
      <w:pPr>
        <w:pStyle w:val="4"/>
        <w:numPr>
          <w:ilvl w:val="2"/>
          <w:numId w:val="11"/>
        </w:numPr>
        <w:tabs>
          <w:tab w:val="clear" w:pos="0"/>
        </w:tabs>
        <w:ind w:firstLine="0" w:firstLineChars="0"/>
        <w:rPr>
          <w:rFonts w:cs="宋体"/>
          <w:bCs w:val="0"/>
          <w:iCs/>
          <w:lang w:val="en-US"/>
        </w:rPr>
      </w:pPr>
      <w:r>
        <w:rPr>
          <w:rFonts w:hint="eastAsia" w:cs="宋体"/>
          <w:bCs w:val="0"/>
          <w:iCs/>
          <w:lang w:val="en-US"/>
        </w:rPr>
        <w:t>空调送、回风口应充分考虑气流组织，宜避免空调风对床头直吹。</w:t>
      </w:r>
    </w:p>
    <w:bookmarkEnd w:id="994"/>
    <w:bookmarkEnd w:id="1038"/>
    <w:bookmarkEnd w:id="1039"/>
    <w:bookmarkEnd w:id="1040"/>
    <w:bookmarkEnd w:id="1041"/>
    <w:bookmarkEnd w:id="1070"/>
    <w:bookmarkEnd w:id="1071"/>
    <w:bookmarkEnd w:id="1072"/>
    <w:bookmarkEnd w:id="1073"/>
    <w:bookmarkEnd w:id="1074"/>
    <w:bookmarkEnd w:id="1075"/>
    <w:bookmarkEnd w:id="1076"/>
    <w:bookmarkEnd w:id="1077"/>
    <w:bookmarkEnd w:id="1078"/>
    <w:p w14:paraId="1FABB57C">
      <w:pPr>
        <w:pStyle w:val="2"/>
        <w:numPr>
          <w:ilvl w:val="0"/>
          <w:numId w:val="11"/>
        </w:numPr>
        <w:tabs>
          <w:tab w:val="clear" w:pos="0"/>
        </w:tabs>
      </w:pPr>
      <w:bookmarkStart w:id="1079" w:name="_Toc15256"/>
      <w:bookmarkStart w:id="1080" w:name="_Toc2677"/>
      <w:bookmarkStart w:id="1081" w:name="_Toc27277"/>
      <w:bookmarkStart w:id="1082" w:name="_Toc427324238"/>
      <w:bookmarkStart w:id="1083" w:name="_Toc20811"/>
      <w:bookmarkStart w:id="1084" w:name="_Toc27465"/>
      <w:bookmarkStart w:id="1085" w:name="_Toc29407"/>
      <w:bookmarkStart w:id="1086" w:name="_Toc17324"/>
      <w:bookmarkStart w:id="1087" w:name="_Toc2210"/>
      <w:bookmarkStart w:id="1088" w:name="_Toc12969"/>
      <w:bookmarkStart w:id="1089" w:name="_Toc21646"/>
      <w:bookmarkStart w:id="1090" w:name="_Toc7707"/>
      <w:r>
        <w:rPr>
          <w:rFonts w:hint="eastAsia"/>
        </w:rPr>
        <w:t>建筑电气</w:t>
      </w:r>
      <w:bookmarkEnd w:id="1079"/>
      <w:bookmarkEnd w:id="1080"/>
      <w:bookmarkEnd w:id="1081"/>
      <w:bookmarkEnd w:id="1082"/>
      <w:bookmarkEnd w:id="1083"/>
      <w:bookmarkEnd w:id="1084"/>
      <w:bookmarkEnd w:id="1085"/>
      <w:bookmarkEnd w:id="1086"/>
      <w:bookmarkStart w:id="1091" w:name="_Toc419286313"/>
      <w:bookmarkEnd w:id="1091"/>
      <w:bookmarkStart w:id="1092" w:name="_Toc422931179"/>
      <w:bookmarkEnd w:id="1092"/>
      <w:bookmarkStart w:id="1093" w:name="_Toc419277430"/>
      <w:bookmarkEnd w:id="1093"/>
      <w:bookmarkStart w:id="1094" w:name="_Toc419277628"/>
      <w:bookmarkEnd w:id="1094"/>
      <w:bookmarkStart w:id="1095" w:name="_Toc425446268"/>
      <w:bookmarkEnd w:id="1095"/>
      <w:bookmarkStart w:id="1096" w:name="_Toc425428006"/>
      <w:bookmarkEnd w:id="1096"/>
      <w:bookmarkStart w:id="1097" w:name="_Toc425344307"/>
      <w:bookmarkEnd w:id="1097"/>
      <w:bookmarkStart w:id="1098" w:name="_Toc495998770"/>
      <w:bookmarkEnd w:id="1098"/>
      <w:bookmarkStart w:id="1099" w:name="_Toc26816898"/>
      <w:bookmarkEnd w:id="1099"/>
      <w:bookmarkStart w:id="1100" w:name="_Toc419277911"/>
      <w:bookmarkEnd w:id="1100"/>
      <w:bookmarkStart w:id="1101" w:name="_Toc419288571"/>
      <w:bookmarkEnd w:id="1101"/>
      <w:bookmarkStart w:id="1102" w:name="_Toc420575848"/>
      <w:bookmarkEnd w:id="1102"/>
      <w:bookmarkStart w:id="1103" w:name="_Toc427324239"/>
      <w:bookmarkEnd w:id="1103"/>
      <w:bookmarkStart w:id="1104" w:name="_Toc26817508"/>
      <w:bookmarkEnd w:id="1104"/>
      <w:bookmarkStart w:id="1105" w:name="_Toc415068797"/>
      <w:bookmarkEnd w:id="1105"/>
      <w:bookmarkStart w:id="1106" w:name="_Toc419277823"/>
      <w:bookmarkEnd w:id="1106"/>
      <w:bookmarkStart w:id="1107" w:name="_Toc419277531"/>
      <w:bookmarkEnd w:id="1107"/>
      <w:bookmarkStart w:id="1108" w:name="_Toc415214069"/>
      <w:bookmarkEnd w:id="1108"/>
      <w:bookmarkStart w:id="1109" w:name="_Toc419286224"/>
      <w:bookmarkEnd w:id="1109"/>
      <w:bookmarkStart w:id="1110" w:name="_Toc425428143"/>
      <w:bookmarkEnd w:id="1110"/>
      <w:bookmarkStart w:id="1111" w:name="_Toc425427863"/>
      <w:bookmarkEnd w:id="1111"/>
      <w:bookmarkStart w:id="1112" w:name="_Toc421291578"/>
      <w:bookmarkEnd w:id="1112"/>
      <w:bookmarkStart w:id="1113" w:name="_Toc419277720"/>
      <w:bookmarkEnd w:id="1113"/>
      <w:bookmarkStart w:id="1114" w:name="_Toc427323843"/>
      <w:bookmarkEnd w:id="1114"/>
      <w:bookmarkStart w:id="1115" w:name="_Toc415850837"/>
      <w:bookmarkEnd w:id="1115"/>
      <w:bookmarkStart w:id="1116" w:name="_Toc415820782"/>
      <w:bookmarkEnd w:id="1116"/>
      <w:bookmarkStart w:id="1117" w:name="_Toc422990217"/>
      <w:bookmarkEnd w:id="1117"/>
      <w:bookmarkStart w:id="1118" w:name="_Toc425447380"/>
      <w:bookmarkEnd w:id="1118"/>
      <w:bookmarkStart w:id="1119" w:name="_Toc413943738"/>
      <w:bookmarkStart w:id="1120" w:name="_Toc413940515"/>
      <w:r>
        <w:rPr>
          <w:rFonts w:hint="eastAsia"/>
        </w:rPr>
        <w:t>与智能化</w:t>
      </w:r>
      <w:bookmarkEnd w:id="1087"/>
      <w:bookmarkEnd w:id="1088"/>
      <w:bookmarkEnd w:id="1089"/>
      <w:bookmarkEnd w:id="1090"/>
    </w:p>
    <w:bookmarkEnd w:id="1119"/>
    <w:bookmarkEnd w:id="1120"/>
    <w:p w14:paraId="195E2938">
      <w:pPr>
        <w:pStyle w:val="3"/>
        <w:numPr>
          <w:ilvl w:val="1"/>
          <w:numId w:val="11"/>
        </w:numPr>
        <w:rPr>
          <w:kern w:val="44"/>
        </w:rPr>
      </w:pPr>
      <w:bookmarkStart w:id="1121" w:name="_Toc2451"/>
      <w:bookmarkStart w:id="1122" w:name="_Toc425428144"/>
      <w:bookmarkStart w:id="1123" w:name="_Toc425447381"/>
      <w:bookmarkStart w:id="1124" w:name="_Toc23682"/>
      <w:bookmarkStart w:id="1125" w:name="_Toc427324240"/>
      <w:bookmarkStart w:id="1126" w:name="_Toc26817509"/>
      <w:bookmarkStart w:id="1127" w:name="_Toc4266"/>
      <w:bookmarkStart w:id="1128" w:name="_Toc17329"/>
      <w:bookmarkStart w:id="1129" w:name="_Toc7500"/>
      <w:bookmarkStart w:id="1130" w:name="_Toc20771"/>
      <w:bookmarkStart w:id="1131" w:name="_Toc8180"/>
      <w:bookmarkStart w:id="1132" w:name="_Toc422931180"/>
      <w:bookmarkStart w:id="1133" w:name="_Toc16494"/>
      <w:bookmarkStart w:id="1134" w:name="_Toc422990218"/>
      <w:r>
        <w:rPr>
          <w:rFonts w:hint="eastAsia" w:ascii="Times New Roman" w:hAnsi="Times New Roman"/>
        </w:rPr>
        <w:t>一般</w:t>
      </w:r>
      <w:r>
        <w:rPr>
          <w:rFonts w:hint="eastAsia"/>
          <w:kern w:val="44"/>
        </w:rPr>
        <w:t>规定</w:t>
      </w:r>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p>
    <w:p w14:paraId="4C6014A5">
      <w:pPr>
        <w:pStyle w:val="4"/>
        <w:numPr>
          <w:ilvl w:val="2"/>
          <w:numId w:val="11"/>
        </w:numPr>
        <w:tabs>
          <w:tab w:val="clear" w:pos="0"/>
        </w:tabs>
        <w:ind w:firstLine="0" w:firstLineChars="0"/>
        <w:rPr>
          <w:rFonts w:cs="宋体"/>
          <w:bCs w:val="0"/>
          <w:iCs/>
          <w:lang w:val="en-US"/>
        </w:rPr>
      </w:pPr>
      <w:r>
        <w:rPr>
          <w:rFonts w:hint="eastAsia" w:cs="宋体"/>
          <w:bCs w:val="0"/>
          <w:iCs/>
          <w:lang w:val="en-US"/>
        </w:rPr>
        <w:t>建筑电气与智能化的设计应与住宅工程的特点、规模、物业管理和发展规划相适应，应做到安全可靠、经济合理、技术先进、整体美观、维护管理方便。</w:t>
      </w:r>
    </w:p>
    <w:p w14:paraId="1D04ECD6">
      <w:pPr>
        <w:pStyle w:val="4"/>
        <w:numPr>
          <w:ilvl w:val="2"/>
          <w:numId w:val="11"/>
        </w:numPr>
        <w:tabs>
          <w:tab w:val="clear" w:pos="0"/>
        </w:tabs>
        <w:ind w:firstLine="0" w:firstLineChars="0"/>
        <w:rPr>
          <w:rFonts w:cs="宋体"/>
          <w:bCs w:val="0"/>
          <w:iCs/>
          <w:lang w:val="en-US"/>
        </w:rPr>
      </w:pPr>
      <w:r>
        <w:rPr>
          <w:rFonts w:hint="eastAsia" w:cs="宋体"/>
          <w:bCs w:val="0"/>
          <w:iCs/>
          <w:lang w:val="en-US"/>
        </w:rPr>
        <w:t>建筑电气与智能化设备应采用符合国家现行有关技术标准的高效、节能环保、性能先进的电气产品，不应使用已被国家淘汰的产品。</w:t>
      </w:r>
    </w:p>
    <w:p w14:paraId="60FEA0FC">
      <w:pPr>
        <w:pStyle w:val="3"/>
        <w:numPr>
          <w:ilvl w:val="1"/>
          <w:numId w:val="11"/>
        </w:numPr>
        <w:rPr>
          <w:kern w:val="44"/>
        </w:rPr>
      </w:pPr>
      <w:bookmarkStart w:id="1135" w:name="_Toc413940516"/>
      <w:bookmarkStart w:id="1136" w:name="_Toc26817510"/>
      <w:bookmarkStart w:id="1137" w:name="_Toc419288573"/>
      <w:bookmarkStart w:id="1138" w:name="_Toc425428145"/>
      <w:bookmarkStart w:id="1139" w:name="_Toc427324241"/>
      <w:bookmarkStart w:id="1140" w:name="_Toc6164"/>
      <w:bookmarkStart w:id="1141" w:name="_Toc413943739"/>
      <w:bookmarkStart w:id="1142" w:name="_Toc18282"/>
      <w:bookmarkStart w:id="1143" w:name="_Toc4633"/>
      <w:bookmarkStart w:id="1144" w:name="_Toc30154"/>
      <w:bookmarkStart w:id="1145" w:name="_Toc19250"/>
      <w:bookmarkStart w:id="1146" w:name="_Toc11060"/>
      <w:bookmarkStart w:id="1147" w:name="_Toc422990219"/>
      <w:bookmarkStart w:id="1148" w:name="_Toc12059"/>
      <w:bookmarkStart w:id="1149" w:name="_Toc422931181"/>
      <w:bookmarkStart w:id="1150" w:name="_Toc425447382"/>
      <w:bookmarkStart w:id="1151" w:name="_Toc32190"/>
      <w:r>
        <w:rPr>
          <w:rFonts w:hint="eastAsia"/>
          <w:kern w:val="44"/>
        </w:rPr>
        <w:t>供配电设计</w:t>
      </w:r>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p>
    <w:p w14:paraId="2372DC2F">
      <w:pPr>
        <w:pStyle w:val="4"/>
        <w:numPr>
          <w:ilvl w:val="2"/>
          <w:numId w:val="11"/>
        </w:numPr>
        <w:tabs>
          <w:tab w:val="clear" w:pos="0"/>
        </w:tabs>
        <w:ind w:firstLine="0" w:firstLineChars="0"/>
        <w:rPr>
          <w:rFonts w:cs="宋体"/>
          <w:bCs w:val="0"/>
          <w:iCs/>
          <w:lang w:val="en-US"/>
        </w:rPr>
      </w:pPr>
      <w:r>
        <w:rPr>
          <w:rFonts w:hint="eastAsia" w:cs="宋体"/>
          <w:bCs w:val="0"/>
          <w:iCs/>
          <w:lang w:val="en-US"/>
        </w:rPr>
        <w:t>住宅供电负荷分级及计算应符合下列规定：</w:t>
      </w:r>
    </w:p>
    <w:p w14:paraId="0875BB7D">
      <w:pPr>
        <w:ind w:left="5" w:firstLine="475" w:firstLineChars="197"/>
        <w:rPr>
          <w:rFonts w:ascii="宋体" w:hAnsi="宋体"/>
          <w:bCs/>
          <w:szCs w:val="24"/>
        </w:rPr>
      </w:pPr>
      <w:r>
        <w:rPr>
          <w:rFonts w:cs="Calibri"/>
          <w:b/>
          <w:szCs w:val="32"/>
        </w:rPr>
        <w:t xml:space="preserve">1 </w:t>
      </w:r>
      <w:r>
        <w:rPr>
          <w:rFonts w:ascii="宋体" w:hAnsi="宋体"/>
          <w:bCs/>
          <w:szCs w:val="24"/>
        </w:rPr>
        <w:t xml:space="preserve"> </w:t>
      </w:r>
      <w:r>
        <w:rPr>
          <w:rFonts w:hint="eastAsia" w:ascii="宋体" w:hAnsi="宋体"/>
          <w:bCs/>
          <w:szCs w:val="24"/>
        </w:rPr>
        <w:t>住宅建筑中主要用电负荷的分级应符合表</w:t>
      </w:r>
      <w:r>
        <w:rPr>
          <w:rFonts w:ascii="宋体" w:hAnsi="宋体"/>
          <w:bCs/>
          <w:szCs w:val="24"/>
        </w:rPr>
        <w:t>11.2.1-1的规定</w:t>
      </w:r>
      <w:r>
        <w:rPr>
          <w:rFonts w:hint="eastAsia" w:ascii="宋体" w:hAnsi="宋体"/>
          <w:bCs/>
          <w:szCs w:val="24"/>
        </w:rPr>
        <w:t>；</w:t>
      </w:r>
    </w:p>
    <w:p w14:paraId="27A657AB">
      <w:pPr>
        <w:snapToGrid w:val="0"/>
        <w:ind w:firstLine="1" w:firstLineChars="0"/>
        <w:jc w:val="center"/>
        <w:rPr>
          <w:rFonts w:ascii="黑体" w:eastAsia="黑体" w:hAnsiTheme="minorEastAsia"/>
          <w:b/>
          <w:bCs/>
          <w:sz w:val="21"/>
          <w:szCs w:val="21"/>
        </w:rPr>
      </w:pPr>
      <w:r>
        <w:rPr>
          <w:rFonts w:hint="eastAsia" w:ascii="黑体" w:eastAsia="黑体" w:hAnsiTheme="minorEastAsia"/>
          <w:b/>
          <w:bCs/>
          <w:sz w:val="21"/>
          <w:szCs w:val="21"/>
        </w:rPr>
        <w:t>表</w:t>
      </w:r>
      <w:r>
        <w:rPr>
          <w:rFonts w:ascii="黑体" w:eastAsia="黑体" w:hAnsiTheme="minorEastAsia"/>
          <w:b/>
          <w:bCs/>
          <w:sz w:val="21"/>
          <w:szCs w:val="21"/>
        </w:rPr>
        <w:t>11.2.1-1住宅建筑主要用电负荷的分级</w:t>
      </w:r>
    </w:p>
    <w:tbl>
      <w:tblPr>
        <w:tblStyle w:val="30"/>
        <w:tblW w:w="466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11"/>
        <w:gridCol w:w="3865"/>
        <w:gridCol w:w="1563"/>
      </w:tblGrid>
      <w:tr w14:paraId="3EA77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exact"/>
          <w:jc w:val="center"/>
        </w:trPr>
        <w:tc>
          <w:tcPr>
            <w:tcW w:w="1493" w:type="pct"/>
            <w:vAlign w:val="center"/>
          </w:tcPr>
          <w:p w14:paraId="337E09DF">
            <w:pPr>
              <w:snapToGrid w:val="0"/>
              <w:ind w:firstLine="1" w:firstLineChars="0"/>
              <w:jc w:val="center"/>
              <w:rPr>
                <w:rFonts w:asciiTheme="minorEastAsia" w:hAnsiTheme="minorEastAsia" w:eastAsiaTheme="minorEastAsia" w:cstheme="minorBidi"/>
                <w:bCs/>
                <w:sz w:val="21"/>
                <w:szCs w:val="21"/>
              </w:rPr>
            </w:pPr>
            <w:r>
              <w:rPr>
                <w:rFonts w:hint="eastAsia" w:asciiTheme="minorEastAsia" w:hAnsiTheme="minorEastAsia" w:eastAsiaTheme="minorEastAsia" w:cstheme="minorBidi"/>
                <w:bCs/>
                <w:sz w:val="21"/>
                <w:szCs w:val="21"/>
              </w:rPr>
              <w:t>建筑规模</w:t>
            </w:r>
          </w:p>
        </w:tc>
        <w:tc>
          <w:tcPr>
            <w:tcW w:w="2497" w:type="pct"/>
            <w:vAlign w:val="center"/>
          </w:tcPr>
          <w:p w14:paraId="054D862F">
            <w:pPr>
              <w:snapToGrid w:val="0"/>
              <w:ind w:firstLine="1" w:firstLineChars="0"/>
              <w:jc w:val="center"/>
              <w:rPr>
                <w:rFonts w:asciiTheme="minorEastAsia" w:hAnsiTheme="minorEastAsia" w:eastAsiaTheme="minorEastAsia" w:cstheme="minorBidi"/>
                <w:bCs/>
                <w:sz w:val="21"/>
                <w:szCs w:val="21"/>
              </w:rPr>
            </w:pPr>
            <w:r>
              <w:rPr>
                <w:rFonts w:hint="eastAsia" w:asciiTheme="minorEastAsia" w:hAnsiTheme="minorEastAsia" w:eastAsiaTheme="minorEastAsia" w:cstheme="minorBidi"/>
                <w:bCs/>
                <w:sz w:val="21"/>
                <w:szCs w:val="21"/>
              </w:rPr>
              <w:t>主要用电负荷名称</w:t>
            </w:r>
          </w:p>
        </w:tc>
        <w:tc>
          <w:tcPr>
            <w:tcW w:w="1010" w:type="pct"/>
            <w:vAlign w:val="center"/>
          </w:tcPr>
          <w:p w14:paraId="0A216835">
            <w:pPr>
              <w:snapToGrid w:val="0"/>
              <w:ind w:firstLine="1" w:firstLineChars="0"/>
              <w:jc w:val="center"/>
              <w:rPr>
                <w:rFonts w:asciiTheme="minorEastAsia" w:hAnsiTheme="minorEastAsia" w:eastAsiaTheme="minorEastAsia" w:cstheme="minorBidi"/>
                <w:bCs/>
                <w:sz w:val="21"/>
                <w:szCs w:val="21"/>
              </w:rPr>
            </w:pPr>
            <w:r>
              <w:rPr>
                <w:rFonts w:hint="eastAsia" w:asciiTheme="minorEastAsia" w:hAnsiTheme="minorEastAsia" w:eastAsiaTheme="minorEastAsia" w:cstheme="minorBidi"/>
                <w:bCs/>
                <w:sz w:val="21"/>
                <w:szCs w:val="21"/>
              </w:rPr>
              <w:t>负荷等级</w:t>
            </w:r>
          </w:p>
        </w:tc>
      </w:tr>
      <w:tr w14:paraId="77AFD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4" w:hRule="exact"/>
          <w:jc w:val="center"/>
        </w:trPr>
        <w:tc>
          <w:tcPr>
            <w:tcW w:w="1493" w:type="pct"/>
            <w:vMerge w:val="restart"/>
            <w:vAlign w:val="center"/>
          </w:tcPr>
          <w:p w14:paraId="3975E2EC">
            <w:pPr>
              <w:snapToGrid w:val="0"/>
              <w:ind w:firstLine="1" w:firstLineChars="0"/>
              <w:jc w:val="center"/>
              <w:rPr>
                <w:rFonts w:asciiTheme="minorEastAsia" w:hAnsiTheme="minorEastAsia" w:eastAsiaTheme="minorEastAsia" w:cstheme="minorBidi"/>
                <w:bCs/>
                <w:sz w:val="21"/>
                <w:szCs w:val="21"/>
              </w:rPr>
            </w:pPr>
            <w:r>
              <w:rPr>
                <w:rFonts w:hint="eastAsia" w:asciiTheme="minorEastAsia" w:hAnsiTheme="minorEastAsia" w:eastAsiaTheme="minorEastAsia" w:cstheme="minorBidi"/>
                <w:bCs/>
                <w:sz w:val="21"/>
                <w:szCs w:val="21"/>
              </w:rPr>
              <w:t>建筑高度大于</w:t>
            </w:r>
            <w:r>
              <w:rPr>
                <w:rFonts w:asciiTheme="minorEastAsia" w:hAnsiTheme="minorEastAsia" w:eastAsiaTheme="minorEastAsia" w:cstheme="minorBidi"/>
                <w:bCs/>
                <w:sz w:val="21"/>
                <w:szCs w:val="21"/>
              </w:rPr>
              <w:t>54m，但不大于100m的住宅建筑（包括设置商业服务网点的住宅建筑）</w:t>
            </w:r>
          </w:p>
        </w:tc>
        <w:tc>
          <w:tcPr>
            <w:tcW w:w="2497" w:type="pct"/>
            <w:vAlign w:val="center"/>
          </w:tcPr>
          <w:p w14:paraId="7A8F5697">
            <w:pPr>
              <w:snapToGrid w:val="0"/>
              <w:ind w:firstLine="1" w:firstLineChars="0"/>
              <w:jc w:val="center"/>
              <w:rPr>
                <w:rFonts w:asciiTheme="minorEastAsia" w:hAnsiTheme="minorEastAsia" w:eastAsiaTheme="minorEastAsia" w:cstheme="minorBidi"/>
                <w:bCs/>
                <w:sz w:val="21"/>
                <w:szCs w:val="21"/>
              </w:rPr>
            </w:pPr>
            <w:r>
              <w:rPr>
                <w:rFonts w:hint="eastAsia" w:asciiTheme="minorEastAsia" w:hAnsiTheme="minorEastAsia" w:eastAsiaTheme="minorEastAsia" w:cstheme="minorBidi"/>
                <w:bCs/>
                <w:sz w:val="21"/>
                <w:szCs w:val="21"/>
              </w:rPr>
              <w:t>消防用电、应急照明、航空障碍照明、值班照明、安防系统、智能化</w:t>
            </w:r>
            <w:r>
              <w:rPr>
                <w:rFonts w:asciiTheme="minorEastAsia" w:hAnsiTheme="minorEastAsia" w:eastAsiaTheme="minorEastAsia" w:cstheme="minorBidi"/>
                <w:bCs/>
                <w:sz w:val="21"/>
                <w:szCs w:val="21"/>
              </w:rPr>
              <w:t>系统机房、</w:t>
            </w:r>
            <w:r>
              <w:rPr>
                <w:rFonts w:hint="eastAsia" w:asciiTheme="minorEastAsia" w:hAnsiTheme="minorEastAsia" w:eastAsiaTheme="minorEastAsia" w:cstheme="minorBidi"/>
                <w:bCs/>
                <w:sz w:val="21"/>
                <w:szCs w:val="21"/>
              </w:rPr>
              <w:t>客梯、排污泵、生活水泵、中水泵</w:t>
            </w:r>
          </w:p>
        </w:tc>
        <w:tc>
          <w:tcPr>
            <w:tcW w:w="1010" w:type="pct"/>
            <w:vAlign w:val="center"/>
          </w:tcPr>
          <w:p w14:paraId="67F9DD68">
            <w:pPr>
              <w:snapToGrid w:val="0"/>
              <w:ind w:firstLine="1" w:firstLineChars="0"/>
              <w:jc w:val="center"/>
              <w:rPr>
                <w:rFonts w:asciiTheme="minorEastAsia" w:hAnsiTheme="minorEastAsia" w:eastAsiaTheme="minorEastAsia" w:cstheme="minorBidi"/>
                <w:bCs/>
                <w:sz w:val="21"/>
                <w:szCs w:val="21"/>
              </w:rPr>
            </w:pPr>
            <w:r>
              <w:rPr>
                <w:rFonts w:hint="eastAsia" w:asciiTheme="minorEastAsia" w:hAnsiTheme="minorEastAsia" w:eastAsiaTheme="minorEastAsia" w:cstheme="minorBidi"/>
                <w:bCs/>
                <w:sz w:val="21"/>
                <w:szCs w:val="21"/>
              </w:rPr>
              <w:t>一级</w:t>
            </w:r>
          </w:p>
        </w:tc>
      </w:tr>
      <w:tr w14:paraId="58879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exact"/>
          <w:jc w:val="center"/>
        </w:trPr>
        <w:tc>
          <w:tcPr>
            <w:tcW w:w="1493" w:type="pct"/>
            <w:vMerge w:val="continue"/>
            <w:vAlign w:val="center"/>
          </w:tcPr>
          <w:p w14:paraId="2FD988EE">
            <w:pPr>
              <w:snapToGrid w:val="0"/>
              <w:ind w:firstLine="1" w:firstLineChars="0"/>
              <w:jc w:val="center"/>
              <w:rPr>
                <w:rFonts w:asciiTheme="minorEastAsia" w:hAnsiTheme="minorEastAsia" w:eastAsiaTheme="minorEastAsia" w:cstheme="minorBidi"/>
                <w:bCs/>
                <w:sz w:val="21"/>
                <w:szCs w:val="21"/>
              </w:rPr>
            </w:pPr>
          </w:p>
        </w:tc>
        <w:tc>
          <w:tcPr>
            <w:tcW w:w="2497" w:type="pct"/>
            <w:vAlign w:val="center"/>
          </w:tcPr>
          <w:p w14:paraId="4766D453">
            <w:pPr>
              <w:snapToGrid w:val="0"/>
              <w:ind w:firstLine="1" w:firstLineChars="0"/>
              <w:jc w:val="center"/>
              <w:rPr>
                <w:rFonts w:asciiTheme="minorEastAsia" w:hAnsiTheme="minorEastAsia" w:eastAsiaTheme="minorEastAsia" w:cstheme="minorBidi"/>
                <w:bCs/>
                <w:sz w:val="21"/>
                <w:szCs w:val="21"/>
              </w:rPr>
            </w:pPr>
            <w:r>
              <w:rPr>
                <w:rFonts w:hint="eastAsia" w:asciiTheme="minorEastAsia" w:hAnsiTheme="minorEastAsia" w:eastAsiaTheme="minorEastAsia" w:cstheme="minorBidi"/>
                <w:bCs/>
                <w:sz w:val="21"/>
                <w:szCs w:val="21"/>
              </w:rPr>
              <w:t>走道及楼梯照明</w:t>
            </w:r>
          </w:p>
        </w:tc>
        <w:tc>
          <w:tcPr>
            <w:tcW w:w="1010" w:type="pct"/>
            <w:vAlign w:val="center"/>
          </w:tcPr>
          <w:p w14:paraId="4EEC4107">
            <w:pPr>
              <w:snapToGrid w:val="0"/>
              <w:ind w:firstLine="1" w:firstLineChars="0"/>
              <w:jc w:val="center"/>
              <w:rPr>
                <w:rFonts w:asciiTheme="minorEastAsia" w:hAnsiTheme="minorEastAsia" w:eastAsiaTheme="minorEastAsia" w:cstheme="minorBidi"/>
                <w:bCs/>
                <w:sz w:val="21"/>
                <w:szCs w:val="21"/>
              </w:rPr>
            </w:pPr>
            <w:r>
              <w:rPr>
                <w:rFonts w:hint="eastAsia" w:asciiTheme="minorEastAsia" w:hAnsiTheme="minorEastAsia" w:eastAsiaTheme="minorEastAsia" w:cstheme="minorBidi"/>
                <w:bCs/>
                <w:sz w:val="21"/>
                <w:szCs w:val="21"/>
              </w:rPr>
              <w:t>二级</w:t>
            </w:r>
          </w:p>
        </w:tc>
      </w:tr>
      <w:tr w14:paraId="0AEF7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2" w:hRule="exact"/>
          <w:jc w:val="center"/>
        </w:trPr>
        <w:tc>
          <w:tcPr>
            <w:tcW w:w="1493" w:type="pct"/>
            <w:vAlign w:val="center"/>
          </w:tcPr>
          <w:p w14:paraId="63DEC038">
            <w:pPr>
              <w:snapToGrid w:val="0"/>
              <w:ind w:firstLine="1" w:firstLineChars="0"/>
              <w:jc w:val="center"/>
              <w:rPr>
                <w:rFonts w:asciiTheme="minorEastAsia" w:hAnsiTheme="minorEastAsia" w:eastAsiaTheme="minorEastAsia" w:cstheme="minorBidi"/>
                <w:bCs/>
                <w:sz w:val="21"/>
                <w:szCs w:val="21"/>
              </w:rPr>
            </w:pPr>
            <w:r>
              <w:rPr>
                <w:rFonts w:hint="eastAsia" w:asciiTheme="minorEastAsia" w:hAnsiTheme="minorEastAsia" w:eastAsiaTheme="minorEastAsia" w:cstheme="minorBidi"/>
                <w:bCs/>
                <w:sz w:val="21"/>
                <w:szCs w:val="21"/>
              </w:rPr>
              <w:t>建筑高度大于27m，</w:t>
            </w:r>
            <w:r>
              <w:rPr>
                <w:rFonts w:asciiTheme="minorEastAsia" w:hAnsiTheme="minorEastAsia" w:eastAsiaTheme="minorEastAsia" w:cstheme="minorBidi"/>
                <w:bCs/>
                <w:sz w:val="21"/>
                <w:szCs w:val="21"/>
              </w:rPr>
              <w:t>但</w:t>
            </w:r>
            <w:r>
              <w:rPr>
                <w:rFonts w:hint="eastAsia" w:asciiTheme="minorEastAsia" w:hAnsiTheme="minorEastAsia" w:eastAsiaTheme="minorEastAsia" w:cstheme="minorBidi"/>
                <w:bCs/>
                <w:sz w:val="21"/>
                <w:szCs w:val="21"/>
              </w:rPr>
              <w:t>不大于</w:t>
            </w:r>
            <w:r>
              <w:rPr>
                <w:rFonts w:asciiTheme="minorEastAsia" w:hAnsiTheme="minorEastAsia" w:eastAsiaTheme="minorEastAsia" w:cstheme="minorBidi"/>
                <w:bCs/>
                <w:sz w:val="21"/>
                <w:szCs w:val="21"/>
              </w:rPr>
              <w:t>54m的住宅建筑（包括设置商业服务网点的住宅建筑）</w:t>
            </w:r>
          </w:p>
        </w:tc>
        <w:tc>
          <w:tcPr>
            <w:tcW w:w="2497" w:type="pct"/>
            <w:vAlign w:val="center"/>
          </w:tcPr>
          <w:p w14:paraId="7380FE7B">
            <w:pPr>
              <w:snapToGrid w:val="0"/>
              <w:ind w:firstLine="1" w:firstLineChars="0"/>
              <w:jc w:val="center"/>
              <w:rPr>
                <w:rFonts w:asciiTheme="minorEastAsia" w:hAnsiTheme="minorEastAsia" w:eastAsiaTheme="minorEastAsia" w:cstheme="minorBidi"/>
                <w:bCs/>
                <w:sz w:val="21"/>
                <w:szCs w:val="21"/>
              </w:rPr>
            </w:pPr>
            <w:r>
              <w:rPr>
                <w:rFonts w:hint="eastAsia" w:asciiTheme="minorEastAsia" w:hAnsiTheme="minorEastAsia" w:eastAsiaTheme="minorEastAsia" w:cstheme="minorBidi"/>
                <w:bCs/>
                <w:sz w:val="21"/>
                <w:szCs w:val="21"/>
              </w:rPr>
              <w:t>消防用电、应急照明、值班照明、走道及楼梯照明、安防系统、智能化</w:t>
            </w:r>
            <w:r>
              <w:rPr>
                <w:rFonts w:asciiTheme="minorEastAsia" w:hAnsiTheme="minorEastAsia" w:eastAsiaTheme="minorEastAsia" w:cstheme="minorBidi"/>
                <w:bCs/>
                <w:sz w:val="21"/>
                <w:szCs w:val="21"/>
              </w:rPr>
              <w:t>系统机房、</w:t>
            </w:r>
            <w:r>
              <w:rPr>
                <w:rFonts w:hint="eastAsia" w:asciiTheme="minorEastAsia" w:hAnsiTheme="minorEastAsia" w:eastAsiaTheme="minorEastAsia" w:cstheme="minorBidi"/>
                <w:bCs/>
                <w:sz w:val="21"/>
                <w:szCs w:val="21"/>
              </w:rPr>
              <w:t>客梯、排污泵、中水泵、生活水泵</w:t>
            </w:r>
          </w:p>
        </w:tc>
        <w:tc>
          <w:tcPr>
            <w:tcW w:w="1010" w:type="pct"/>
            <w:vAlign w:val="center"/>
          </w:tcPr>
          <w:p w14:paraId="36AFA23B">
            <w:pPr>
              <w:snapToGrid w:val="0"/>
              <w:ind w:firstLine="1" w:firstLineChars="0"/>
              <w:jc w:val="center"/>
              <w:rPr>
                <w:rFonts w:asciiTheme="minorEastAsia" w:hAnsiTheme="minorEastAsia" w:eastAsiaTheme="minorEastAsia" w:cstheme="minorBidi"/>
                <w:bCs/>
                <w:sz w:val="21"/>
                <w:szCs w:val="21"/>
              </w:rPr>
            </w:pPr>
            <w:r>
              <w:rPr>
                <w:rFonts w:hint="eastAsia" w:asciiTheme="minorEastAsia" w:hAnsiTheme="minorEastAsia" w:eastAsiaTheme="minorEastAsia" w:cstheme="minorBidi"/>
                <w:bCs/>
                <w:sz w:val="21"/>
                <w:szCs w:val="21"/>
              </w:rPr>
              <w:t>二级</w:t>
            </w:r>
          </w:p>
        </w:tc>
      </w:tr>
    </w:tbl>
    <w:p w14:paraId="203AEB13">
      <w:pPr>
        <w:ind w:left="965" w:leftChars="177" w:hanging="540" w:hangingChars="300"/>
        <w:rPr>
          <w:rFonts w:ascii="宋体" w:hAnsi="宋体"/>
          <w:sz w:val="18"/>
          <w:szCs w:val="18"/>
          <w:lang w:val="zh-CN"/>
        </w:rPr>
      </w:pPr>
      <w:r>
        <w:rPr>
          <w:rFonts w:hint="eastAsia" w:ascii="宋体" w:hAnsi="宋体"/>
          <w:sz w:val="18"/>
          <w:szCs w:val="18"/>
          <w:lang w:val="zh-CN"/>
        </w:rPr>
        <w:t>注：</w:t>
      </w:r>
      <w:r>
        <w:rPr>
          <w:rFonts w:ascii="宋体" w:hAnsi="宋体"/>
          <w:sz w:val="18"/>
          <w:szCs w:val="18"/>
          <w:lang w:val="zh-CN"/>
        </w:rPr>
        <w:t xml:space="preserve">1 </w:t>
      </w:r>
      <w:r>
        <w:rPr>
          <w:rFonts w:hint="eastAsia" w:ascii="宋体" w:hAnsi="宋体"/>
          <w:sz w:val="18"/>
          <w:szCs w:val="18"/>
          <w:lang w:val="zh-CN"/>
        </w:rPr>
        <w:t>其他未列入表中的住宅用电负荷的供电等级宜为三级；</w:t>
      </w:r>
    </w:p>
    <w:p w14:paraId="0F58ED54">
      <w:pPr>
        <w:ind w:left="965" w:leftChars="327" w:hanging="180" w:hangingChars="100"/>
        <w:rPr>
          <w:rFonts w:ascii="宋体" w:hAnsi="宋体"/>
          <w:sz w:val="18"/>
          <w:szCs w:val="18"/>
          <w:lang w:val="zh-CN"/>
        </w:rPr>
      </w:pPr>
      <w:r>
        <w:rPr>
          <w:rFonts w:ascii="宋体" w:hAnsi="宋体"/>
          <w:sz w:val="18"/>
          <w:szCs w:val="18"/>
          <w:lang w:val="zh-CN"/>
        </w:rPr>
        <w:t xml:space="preserve">2 </w:t>
      </w:r>
      <w:r>
        <w:rPr>
          <w:rFonts w:hint="eastAsia" w:ascii="宋体" w:hAnsi="宋体"/>
          <w:sz w:val="18"/>
          <w:szCs w:val="18"/>
          <w:lang w:val="zh-CN"/>
        </w:rPr>
        <w:t>住宅建筑采用集中供暖系统时，热交换系统的用电负荷等级不宜低于二级。</w:t>
      </w:r>
    </w:p>
    <w:p w14:paraId="6195768C">
      <w:pPr>
        <w:ind w:left="5" w:firstLine="475" w:firstLineChars="197"/>
        <w:rPr>
          <w:rFonts w:ascii="宋体" w:hAnsi="宋体"/>
          <w:bCs/>
          <w:szCs w:val="24"/>
        </w:rPr>
      </w:pPr>
      <w:r>
        <w:rPr>
          <w:rFonts w:cs="Calibri"/>
          <w:b/>
          <w:szCs w:val="24"/>
        </w:rPr>
        <w:t>2</w:t>
      </w:r>
      <w:r>
        <w:rPr>
          <w:rFonts w:ascii="宋体" w:hAnsi="宋体"/>
          <w:bCs/>
          <w:szCs w:val="24"/>
        </w:rPr>
        <w:t xml:space="preserve">  </w:t>
      </w:r>
      <w:r>
        <w:rPr>
          <w:rFonts w:hint="eastAsia" w:ascii="宋体" w:hAnsi="宋体"/>
          <w:bCs/>
          <w:szCs w:val="24"/>
        </w:rPr>
        <w:t>根据负荷计算结果应用场合，应分为配电负荷计算及配电变压器容量计算；</w:t>
      </w:r>
    </w:p>
    <w:p w14:paraId="3DF1BA31">
      <w:pPr>
        <w:ind w:left="5" w:firstLine="475" w:firstLineChars="197"/>
        <w:rPr>
          <w:rFonts w:ascii="宋体" w:hAnsi="宋体"/>
          <w:bCs/>
          <w:szCs w:val="24"/>
        </w:rPr>
      </w:pPr>
      <w:r>
        <w:rPr>
          <w:rFonts w:cs="Calibri"/>
          <w:b/>
          <w:szCs w:val="24"/>
        </w:rPr>
        <w:t>3</w:t>
      </w:r>
      <w:r>
        <w:rPr>
          <w:rFonts w:hint="eastAsia" w:ascii="宋体" w:hAnsi="宋体"/>
          <w:bCs/>
          <w:szCs w:val="24"/>
        </w:rPr>
        <w:t xml:space="preserve">  每套住宅用电负荷指标不应低于表11.2.1-2的规定。</w:t>
      </w:r>
    </w:p>
    <w:p w14:paraId="7D80C1C3">
      <w:pPr>
        <w:snapToGrid w:val="0"/>
        <w:ind w:firstLine="1" w:firstLineChars="0"/>
        <w:jc w:val="center"/>
        <w:rPr>
          <w:rFonts w:ascii="黑体" w:eastAsia="黑体" w:hAnsiTheme="minorEastAsia"/>
          <w:b/>
          <w:bCs/>
          <w:sz w:val="21"/>
          <w:szCs w:val="21"/>
        </w:rPr>
      </w:pPr>
      <w:r>
        <w:rPr>
          <w:rFonts w:hint="eastAsia" w:ascii="黑体" w:eastAsia="黑体" w:hAnsiTheme="minorEastAsia"/>
          <w:b/>
          <w:bCs/>
          <w:sz w:val="21"/>
          <w:szCs w:val="21"/>
        </w:rPr>
        <w:t>表</w:t>
      </w:r>
      <w:r>
        <w:rPr>
          <w:rFonts w:ascii="黑体" w:eastAsia="黑体" w:hAnsiTheme="minorEastAsia"/>
          <w:b/>
          <w:bCs/>
          <w:sz w:val="21"/>
          <w:szCs w:val="21"/>
        </w:rPr>
        <w:t>11.2.1</w:t>
      </w:r>
      <w:r>
        <w:rPr>
          <w:rFonts w:hint="eastAsia" w:ascii="黑体" w:eastAsia="黑体" w:hAnsiTheme="minorEastAsia"/>
          <w:b/>
          <w:bCs/>
          <w:sz w:val="21"/>
          <w:szCs w:val="21"/>
        </w:rPr>
        <w:t xml:space="preserve">-2  </w:t>
      </w:r>
      <w:r>
        <w:rPr>
          <w:rFonts w:ascii="黑体" w:eastAsia="黑体" w:hAnsiTheme="minorEastAsia"/>
          <w:b/>
          <w:bCs/>
          <w:sz w:val="21"/>
          <w:szCs w:val="21"/>
        </w:rPr>
        <w:t>每套住宅用电负荷指标</w:t>
      </w:r>
    </w:p>
    <w:tbl>
      <w:tblPr>
        <w:tblStyle w:val="30"/>
        <w:tblW w:w="471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4"/>
        <w:gridCol w:w="3671"/>
      </w:tblGrid>
      <w:tr w14:paraId="00443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651" w:type="pct"/>
          </w:tcPr>
          <w:p w14:paraId="4F965F7C">
            <w:pPr>
              <w:snapToGrid w:val="0"/>
              <w:ind w:firstLine="1" w:firstLineChars="0"/>
              <w:jc w:val="center"/>
              <w:rPr>
                <w:rFonts w:asciiTheme="minorEastAsia" w:hAnsiTheme="minorEastAsia" w:eastAsiaTheme="minorEastAsia" w:cstheme="minorBidi"/>
                <w:bCs/>
                <w:sz w:val="21"/>
                <w:szCs w:val="21"/>
              </w:rPr>
            </w:pPr>
            <w:r>
              <w:rPr>
                <w:rFonts w:hint="eastAsia" w:asciiTheme="minorEastAsia" w:hAnsiTheme="minorEastAsia" w:eastAsiaTheme="minorEastAsia" w:cstheme="minorBidi"/>
                <w:bCs/>
                <w:sz w:val="21"/>
                <w:szCs w:val="21"/>
              </w:rPr>
              <w:t>建筑面积</w:t>
            </w:r>
            <w:r>
              <w:rPr>
                <w:rFonts w:asciiTheme="minorEastAsia" w:hAnsiTheme="minorEastAsia" w:eastAsiaTheme="minorEastAsia" w:cstheme="minorBidi"/>
                <w:bCs/>
                <w:sz w:val="21"/>
                <w:szCs w:val="21"/>
              </w:rPr>
              <w:t>S（m</w:t>
            </w:r>
            <w:r>
              <w:rPr>
                <w:rFonts w:asciiTheme="minorEastAsia" w:hAnsiTheme="minorEastAsia" w:eastAsiaTheme="minorEastAsia" w:cstheme="minorBidi"/>
                <w:bCs/>
                <w:sz w:val="21"/>
                <w:szCs w:val="21"/>
                <w:vertAlign w:val="superscript"/>
              </w:rPr>
              <w:t>2</w:t>
            </w:r>
            <w:r>
              <w:rPr>
                <w:rFonts w:hint="eastAsia" w:asciiTheme="minorEastAsia" w:hAnsiTheme="minorEastAsia" w:eastAsiaTheme="minorEastAsia" w:cstheme="minorBidi"/>
                <w:bCs/>
                <w:sz w:val="21"/>
                <w:szCs w:val="21"/>
              </w:rPr>
              <w:t>）</w:t>
            </w:r>
          </w:p>
        </w:tc>
        <w:tc>
          <w:tcPr>
            <w:tcW w:w="2349" w:type="pct"/>
          </w:tcPr>
          <w:p w14:paraId="56D9E572">
            <w:pPr>
              <w:snapToGrid w:val="0"/>
              <w:ind w:firstLine="1" w:firstLineChars="0"/>
              <w:jc w:val="center"/>
              <w:rPr>
                <w:rFonts w:asciiTheme="minorEastAsia" w:hAnsiTheme="minorEastAsia" w:eastAsiaTheme="minorEastAsia" w:cstheme="minorBidi"/>
                <w:bCs/>
                <w:sz w:val="21"/>
                <w:szCs w:val="21"/>
              </w:rPr>
            </w:pPr>
            <w:r>
              <w:rPr>
                <w:rFonts w:hint="eastAsia" w:asciiTheme="minorEastAsia" w:hAnsiTheme="minorEastAsia" w:eastAsiaTheme="minorEastAsia" w:cstheme="minorBidi"/>
                <w:bCs/>
                <w:sz w:val="21"/>
                <w:szCs w:val="21"/>
              </w:rPr>
              <w:t>用电负荷指标（</w:t>
            </w:r>
            <w:r>
              <w:rPr>
                <w:rFonts w:asciiTheme="minorEastAsia" w:hAnsiTheme="minorEastAsia" w:eastAsiaTheme="minorEastAsia" w:cstheme="minorBidi"/>
                <w:bCs/>
                <w:sz w:val="21"/>
                <w:szCs w:val="21"/>
              </w:rPr>
              <w:t>kW）</w:t>
            </w:r>
          </w:p>
        </w:tc>
      </w:tr>
      <w:tr w14:paraId="62298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651" w:type="pct"/>
          </w:tcPr>
          <w:p w14:paraId="543C6541">
            <w:pPr>
              <w:snapToGrid w:val="0"/>
              <w:ind w:firstLine="1" w:firstLineChars="0"/>
              <w:jc w:val="center"/>
              <w:rPr>
                <w:rFonts w:asciiTheme="minorEastAsia" w:hAnsiTheme="minorEastAsia" w:eastAsiaTheme="minorEastAsia" w:cstheme="minorBidi"/>
                <w:bCs/>
                <w:sz w:val="21"/>
                <w:szCs w:val="21"/>
              </w:rPr>
            </w:pPr>
            <w:r>
              <w:rPr>
                <w:rFonts w:asciiTheme="minorEastAsia" w:hAnsiTheme="minorEastAsia" w:eastAsiaTheme="minorEastAsia" w:cstheme="minorBidi"/>
                <w:bCs/>
                <w:sz w:val="21"/>
                <w:szCs w:val="21"/>
              </w:rPr>
              <w:t>S＜80</w:t>
            </w:r>
          </w:p>
        </w:tc>
        <w:tc>
          <w:tcPr>
            <w:tcW w:w="2349" w:type="pct"/>
          </w:tcPr>
          <w:p w14:paraId="2C054B61">
            <w:pPr>
              <w:snapToGrid w:val="0"/>
              <w:ind w:firstLine="1" w:firstLineChars="0"/>
              <w:jc w:val="center"/>
              <w:rPr>
                <w:rFonts w:asciiTheme="minorEastAsia" w:hAnsiTheme="minorEastAsia" w:eastAsiaTheme="minorEastAsia" w:cstheme="minorBidi"/>
                <w:bCs/>
                <w:sz w:val="21"/>
                <w:szCs w:val="21"/>
              </w:rPr>
            </w:pPr>
            <w:r>
              <w:rPr>
                <w:rFonts w:asciiTheme="minorEastAsia" w:hAnsiTheme="minorEastAsia" w:eastAsiaTheme="minorEastAsia" w:cstheme="minorBidi"/>
                <w:bCs/>
                <w:sz w:val="21"/>
                <w:szCs w:val="21"/>
              </w:rPr>
              <w:t>6</w:t>
            </w:r>
          </w:p>
        </w:tc>
      </w:tr>
      <w:tr w14:paraId="55081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651" w:type="pct"/>
          </w:tcPr>
          <w:p w14:paraId="6DE61CDB">
            <w:pPr>
              <w:snapToGrid w:val="0"/>
              <w:ind w:firstLine="1" w:firstLineChars="0"/>
              <w:jc w:val="center"/>
              <w:rPr>
                <w:rFonts w:asciiTheme="minorEastAsia" w:hAnsiTheme="minorEastAsia" w:eastAsiaTheme="minorEastAsia" w:cstheme="minorBidi"/>
                <w:bCs/>
                <w:sz w:val="21"/>
                <w:szCs w:val="21"/>
              </w:rPr>
            </w:pPr>
            <w:r>
              <w:rPr>
                <w:rFonts w:asciiTheme="minorEastAsia" w:hAnsiTheme="minorEastAsia" w:eastAsiaTheme="minorEastAsia" w:cstheme="minorBidi"/>
                <w:bCs/>
                <w:sz w:val="21"/>
                <w:szCs w:val="21"/>
              </w:rPr>
              <w:t>80≤S＜120</w:t>
            </w:r>
          </w:p>
        </w:tc>
        <w:tc>
          <w:tcPr>
            <w:tcW w:w="2349" w:type="pct"/>
          </w:tcPr>
          <w:p w14:paraId="2FEDE8C8">
            <w:pPr>
              <w:snapToGrid w:val="0"/>
              <w:ind w:firstLine="1" w:firstLineChars="0"/>
              <w:jc w:val="center"/>
              <w:rPr>
                <w:rFonts w:asciiTheme="minorEastAsia" w:hAnsiTheme="minorEastAsia" w:eastAsiaTheme="minorEastAsia" w:cstheme="minorBidi"/>
                <w:bCs/>
                <w:sz w:val="21"/>
                <w:szCs w:val="21"/>
              </w:rPr>
            </w:pPr>
            <w:r>
              <w:rPr>
                <w:rFonts w:asciiTheme="minorEastAsia" w:hAnsiTheme="minorEastAsia" w:eastAsiaTheme="minorEastAsia" w:cstheme="minorBidi"/>
                <w:bCs/>
                <w:sz w:val="21"/>
                <w:szCs w:val="21"/>
              </w:rPr>
              <w:t>8</w:t>
            </w:r>
          </w:p>
        </w:tc>
      </w:tr>
      <w:tr w14:paraId="27FAB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651" w:type="pct"/>
          </w:tcPr>
          <w:p w14:paraId="3285D077">
            <w:pPr>
              <w:snapToGrid w:val="0"/>
              <w:ind w:firstLine="1" w:firstLineChars="0"/>
              <w:jc w:val="center"/>
              <w:rPr>
                <w:rFonts w:asciiTheme="minorEastAsia" w:hAnsiTheme="minorEastAsia" w:eastAsiaTheme="minorEastAsia" w:cstheme="minorBidi"/>
                <w:bCs/>
                <w:sz w:val="21"/>
                <w:szCs w:val="21"/>
              </w:rPr>
            </w:pPr>
            <w:r>
              <w:rPr>
                <w:rFonts w:asciiTheme="minorEastAsia" w:hAnsiTheme="minorEastAsia" w:eastAsiaTheme="minorEastAsia" w:cstheme="minorBidi"/>
                <w:bCs/>
                <w:sz w:val="21"/>
                <w:szCs w:val="21"/>
              </w:rPr>
              <w:t>120≤S≤150</w:t>
            </w:r>
          </w:p>
        </w:tc>
        <w:tc>
          <w:tcPr>
            <w:tcW w:w="2349" w:type="pct"/>
          </w:tcPr>
          <w:p w14:paraId="529B3986">
            <w:pPr>
              <w:snapToGrid w:val="0"/>
              <w:ind w:firstLine="1" w:firstLineChars="0"/>
              <w:jc w:val="center"/>
              <w:rPr>
                <w:rFonts w:asciiTheme="minorEastAsia" w:hAnsiTheme="minorEastAsia" w:eastAsiaTheme="minorEastAsia" w:cstheme="minorBidi"/>
                <w:bCs/>
                <w:sz w:val="21"/>
                <w:szCs w:val="21"/>
              </w:rPr>
            </w:pPr>
            <w:r>
              <w:rPr>
                <w:rFonts w:asciiTheme="minorEastAsia" w:hAnsiTheme="minorEastAsia" w:eastAsiaTheme="minorEastAsia" w:cstheme="minorBidi"/>
                <w:bCs/>
                <w:sz w:val="21"/>
                <w:szCs w:val="21"/>
              </w:rPr>
              <w:t>10</w:t>
            </w:r>
          </w:p>
        </w:tc>
      </w:tr>
    </w:tbl>
    <w:p w14:paraId="575CC019">
      <w:pPr>
        <w:ind w:left="965" w:leftChars="177" w:hanging="540" w:hangingChars="300"/>
        <w:rPr>
          <w:rFonts w:ascii="宋体" w:hAnsi="宋体"/>
          <w:sz w:val="18"/>
          <w:szCs w:val="18"/>
          <w:lang w:val="zh-CN"/>
        </w:rPr>
      </w:pPr>
      <w:r>
        <w:rPr>
          <w:rFonts w:hint="eastAsia" w:ascii="宋体" w:hAnsi="宋体"/>
          <w:sz w:val="18"/>
          <w:szCs w:val="18"/>
          <w:lang w:val="zh-CN"/>
        </w:rPr>
        <w:t>注：</w:t>
      </w:r>
      <w:r>
        <w:rPr>
          <w:rFonts w:ascii="宋体" w:hAnsi="宋体"/>
          <w:sz w:val="18"/>
          <w:szCs w:val="18"/>
          <w:lang w:val="zh-CN"/>
        </w:rPr>
        <w:t xml:space="preserve">1） </w:t>
      </w:r>
      <w:r>
        <w:rPr>
          <w:rFonts w:hint="eastAsia" w:ascii="宋体" w:hAnsi="宋体"/>
          <w:sz w:val="18"/>
          <w:szCs w:val="18"/>
          <w:lang w:val="zh-CN"/>
        </w:rPr>
        <w:t>采用电取暖的用户，每户用电负荷指标增加</w:t>
      </w:r>
      <w:r>
        <w:rPr>
          <w:rFonts w:ascii="宋体" w:hAnsi="宋体"/>
          <w:sz w:val="18"/>
          <w:szCs w:val="18"/>
          <w:lang w:val="zh-CN"/>
        </w:rPr>
        <w:t>2kW；</w:t>
      </w:r>
    </w:p>
    <w:p w14:paraId="1C4257F3">
      <w:pPr>
        <w:ind w:left="720" w:leftChars="300" w:firstLine="1" w:firstLineChars="0"/>
        <w:rPr>
          <w:rFonts w:ascii="宋体" w:hAnsi="宋体"/>
          <w:sz w:val="18"/>
          <w:szCs w:val="18"/>
          <w:lang w:val="zh-CN"/>
        </w:rPr>
      </w:pPr>
      <w:r>
        <w:rPr>
          <w:rFonts w:ascii="宋体" w:hAnsi="宋体"/>
          <w:sz w:val="18"/>
          <w:szCs w:val="18"/>
          <w:lang w:val="zh-CN"/>
        </w:rPr>
        <w:t xml:space="preserve">2） </w:t>
      </w:r>
      <w:r>
        <w:rPr>
          <w:rFonts w:hint="eastAsia" w:ascii="宋体" w:hAnsi="宋体"/>
          <w:sz w:val="18"/>
          <w:szCs w:val="18"/>
          <w:lang w:val="zh-CN"/>
        </w:rPr>
        <w:t>当每套住宅建筑面积大于</w:t>
      </w:r>
      <w:r>
        <w:rPr>
          <w:rFonts w:ascii="宋体" w:hAnsi="宋体"/>
          <w:sz w:val="18"/>
          <w:szCs w:val="18"/>
          <w:lang w:val="zh-CN"/>
        </w:rPr>
        <w:t>150 m</w:t>
      </w:r>
      <w:r>
        <w:rPr>
          <w:rFonts w:ascii="宋体" w:hAnsi="宋体"/>
          <w:sz w:val="18"/>
          <w:szCs w:val="18"/>
          <w:vertAlign w:val="superscript"/>
          <w:lang w:val="zh-CN"/>
        </w:rPr>
        <w:t>2</w:t>
      </w:r>
      <w:r>
        <w:rPr>
          <w:rFonts w:hint="eastAsia" w:ascii="宋体" w:hAnsi="宋体"/>
          <w:sz w:val="18"/>
          <w:szCs w:val="18"/>
          <w:lang w:val="zh-CN"/>
        </w:rPr>
        <w:t>时，超出的建筑面积用电负荷指标按照</w:t>
      </w:r>
      <w:r>
        <w:rPr>
          <w:rFonts w:ascii="宋体" w:hAnsi="宋体"/>
          <w:sz w:val="18"/>
          <w:szCs w:val="18"/>
          <w:lang w:val="zh-CN"/>
        </w:rPr>
        <w:t>50W/ m</w:t>
      </w:r>
      <w:r>
        <w:rPr>
          <w:rFonts w:ascii="宋体" w:hAnsi="宋体"/>
          <w:sz w:val="18"/>
          <w:szCs w:val="18"/>
          <w:vertAlign w:val="superscript"/>
          <w:lang w:val="zh-CN"/>
        </w:rPr>
        <w:t>2</w:t>
      </w:r>
      <w:r>
        <w:rPr>
          <w:rFonts w:hint="eastAsia" w:ascii="宋体" w:hAnsi="宋体"/>
          <w:sz w:val="18"/>
          <w:szCs w:val="18"/>
          <w:lang w:val="zh-CN"/>
        </w:rPr>
        <w:t>的标准计算；</w:t>
      </w:r>
    </w:p>
    <w:p w14:paraId="3834C917">
      <w:pPr>
        <w:ind w:left="720" w:leftChars="300" w:firstLine="1" w:firstLineChars="0"/>
        <w:rPr>
          <w:rFonts w:ascii="宋体" w:hAnsi="宋体"/>
          <w:sz w:val="18"/>
          <w:szCs w:val="18"/>
          <w:lang w:val="zh-CN"/>
        </w:rPr>
      </w:pPr>
      <w:r>
        <w:rPr>
          <w:rFonts w:hint="eastAsia" w:ascii="宋体" w:hAnsi="宋体"/>
          <w:sz w:val="18"/>
          <w:szCs w:val="18"/>
          <w:lang w:val="zh-CN"/>
        </w:rPr>
        <w:t>3）</w:t>
      </w:r>
      <w:r>
        <w:rPr>
          <w:rFonts w:ascii="宋体" w:hAnsi="宋体"/>
          <w:sz w:val="18"/>
          <w:szCs w:val="18"/>
          <w:lang w:val="zh-CN"/>
        </w:rPr>
        <w:t xml:space="preserve">  </w:t>
      </w:r>
      <w:r>
        <w:rPr>
          <w:rFonts w:hint="eastAsia" w:ascii="宋体" w:hAnsi="宋体"/>
          <w:sz w:val="18"/>
          <w:szCs w:val="18"/>
          <w:lang w:val="zh-CN"/>
        </w:rPr>
        <w:t>当采用单位面积负荷密度法计算居住区用电负荷时，按照不小于</w:t>
      </w:r>
      <w:r>
        <w:rPr>
          <w:rFonts w:ascii="宋体" w:hAnsi="宋体"/>
          <w:sz w:val="18"/>
          <w:szCs w:val="18"/>
          <w:lang w:val="zh-CN"/>
        </w:rPr>
        <w:t>60W/ m</w:t>
      </w:r>
      <w:r>
        <w:rPr>
          <w:rFonts w:ascii="宋体" w:hAnsi="宋体"/>
          <w:sz w:val="18"/>
          <w:szCs w:val="18"/>
          <w:vertAlign w:val="superscript"/>
          <w:lang w:val="zh-CN"/>
        </w:rPr>
        <w:t>2</w:t>
      </w:r>
      <w:r>
        <w:rPr>
          <w:rFonts w:hint="eastAsia" w:ascii="宋体" w:hAnsi="宋体"/>
          <w:sz w:val="18"/>
          <w:szCs w:val="18"/>
          <w:lang w:val="zh-CN"/>
        </w:rPr>
        <w:t>的标准计算；</w:t>
      </w:r>
    </w:p>
    <w:p w14:paraId="5C133997">
      <w:pPr>
        <w:ind w:left="720" w:leftChars="300" w:firstLine="1" w:firstLineChars="0"/>
        <w:rPr>
          <w:rFonts w:ascii="宋体" w:hAnsi="宋体"/>
          <w:sz w:val="18"/>
          <w:szCs w:val="18"/>
          <w:lang w:val="zh-CN"/>
        </w:rPr>
      </w:pPr>
      <w:r>
        <w:rPr>
          <w:rFonts w:hint="eastAsia" w:ascii="宋体" w:hAnsi="宋体"/>
          <w:sz w:val="18"/>
          <w:szCs w:val="18"/>
          <w:lang w:val="zh-CN"/>
        </w:rPr>
        <w:t>4）</w:t>
      </w:r>
      <w:r>
        <w:rPr>
          <w:rFonts w:ascii="宋体" w:hAnsi="宋体"/>
          <w:sz w:val="18"/>
          <w:szCs w:val="18"/>
          <w:lang w:val="zh-CN"/>
        </w:rPr>
        <w:t xml:space="preserve">  </w:t>
      </w:r>
      <w:r>
        <w:rPr>
          <w:rFonts w:hint="eastAsia" w:ascii="宋体" w:hAnsi="宋体"/>
          <w:sz w:val="18"/>
          <w:szCs w:val="18"/>
          <w:lang w:val="zh-CN"/>
        </w:rPr>
        <w:t>住宅小区配套设施宜按照</w:t>
      </w:r>
      <w:r>
        <w:rPr>
          <w:rFonts w:ascii="宋体" w:hAnsi="宋体"/>
          <w:sz w:val="18"/>
          <w:szCs w:val="18"/>
          <w:lang w:val="zh-CN"/>
        </w:rPr>
        <w:t>60W/ m</w:t>
      </w:r>
      <w:r>
        <w:rPr>
          <w:rFonts w:ascii="宋体" w:hAnsi="宋体"/>
          <w:sz w:val="18"/>
          <w:szCs w:val="18"/>
          <w:vertAlign w:val="superscript"/>
          <w:lang w:val="zh-CN"/>
        </w:rPr>
        <w:t>2</w:t>
      </w:r>
      <w:r>
        <w:rPr>
          <w:rFonts w:hint="eastAsia" w:ascii="宋体" w:hAnsi="宋体"/>
          <w:sz w:val="18"/>
          <w:szCs w:val="18"/>
          <w:lang w:val="zh-CN"/>
        </w:rPr>
        <w:t>的标准配置；</w:t>
      </w:r>
    </w:p>
    <w:p w14:paraId="68954592">
      <w:pPr>
        <w:ind w:left="720" w:leftChars="300" w:firstLine="1" w:firstLineChars="0"/>
        <w:rPr>
          <w:rFonts w:ascii="宋体" w:hAnsi="宋体"/>
          <w:sz w:val="18"/>
          <w:szCs w:val="18"/>
          <w:lang w:val="zh-CN"/>
        </w:rPr>
      </w:pPr>
      <w:r>
        <w:rPr>
          <w:rFonts w:hint="eastAsia" w:ascii="宋体" w:hAnsi="宋体"/>
          <w:sz w:val="18"/>
          <w:szCs w:val="18"/>
          <w:lang w:val="zh-CN"/>
        </w:rPr>
        <w:t>5）</w:t>
      </w:r>
      <w:r>
        <w:rPr>
          <w:rFonts w:ascii="宋体" w:hAnsi="宋体"/>
          <w:sz w:val="18"/>
          <w:szCs w:val="18"/>
          <w:lang w:val="zh-CN"/>
        </w:rPr>
        <w:t xml:space="preserve">  </w:t>
      </w:r>
      <w:r>
        <w:rPr>
          <w:rFonts w:hint="eastAsia" w:ascii="宋体" w:hAnsi="宋体"/>
          <w:sz w:val="18"/>
          <w:szCs w:val="18"/>
          <w:lang w:val="zh-CN"/>
        </w:rPr>
        <w:t>配电线路的负荷计算指标应预留电动汽车充换电设施及高档住宅集中供冷的用电容量。</w:t>
      </w:r>
    </w:p>
    <w:p w14:paraId="419AEB93">
      <w:pPr>
        <w:pStyle w:val="4"/>
        <w:numPr>
          <w:ilvl w:val="2"/>
          <w:numId w:val="11"/>
        </w:numPr>
        <w:tabs>
          <w:tab w:val="clear" w:pos="0"/>
        </w:tabs>
        <w:ind w:firstLine="0" w:firstLineChars="0"/>
        <w:rPr>
          <w:rFonts w:cs="宋体"/>
          <w:bCs w:val="0"/>
          <w:iCs/>
          <w:lang w:val="en-US"/>
        </w:rPr>
      </w:pPr>
      <w:r>
        <w:rPr>
          <w:rFonts w:hint="eastAsia" w:cs="宋体"/>
          <w:bCs w:val="0"/>
          <w:iCs/>
          <w:lang w:val="en-US"/>
        </w:rPr>
        <w:t>供配电系统设计应符合下列规定：</w:t>
      </w:r>
    </w:p>
    <w:p w14:paraId="6F4C31B4">
      <w:pPr>
        <w:adjustRightInd/>
        <w:ind w:left="5" w:firstLine="475" w:firstLineChars="197"/>
        <w:rPr>
          <w:rFonts w:ascii="宋体" w:hAnsi="宋体"/>
          <w:bCs/>
          <w:szCs w:val="24"/>
        </w:rPr>
      </w:pPr>
      <w:r>
        <w:rPr>
          <w:rFonts w:cs="Calibri"/>
          <w:b/>
          <w:szCs w:val="32"/>
        </w:rPr>
        <w:t>1</w:t>
      </w:r>
      <w:r>
        <w:rPr>
          <w:rFonts w:ascii="宋体" w:hAnsi="宋体"/>
          <w:szCs w:val="24"/>
        </w:rPr>
        <w:t xml:space="preserve">  </w:t>
      </w:r>
      <w:r>
        <w:rPr>
          <w:rFonts w:hint="eastAsia" w:ascii="宋体" w:hAnsi="宋体"/>
          <w:bCs/>
          <w:szCs w:val="24"/>
        </w:rPr>
        <w:t>居住区的公用配电室</w:t>
      </w:r>
      <w:r>
        <w:rPr>
          <w:rFonts w:ascii="宋体" w:hAnsi="宋体"/>
          <w:bCs/>
          <w:szCs w:val="24"/>
        </w:rPr>
        <w:t>和用户</w:t>
      </w:r>
      <w:r>
        <w:rPr>
          <w:rFonts w:hint="eastAsia" w:ascii="宋体" w:hAnsi="宋体"/>
          <w:bCs/>
          <w:szCs w:val="24"/>
        </w:rPr>
        <w:t>配电室由上级变电站或开关站引来</w:t>
      </w:r>
      <w:r>
        <w:rPr>
          <w:rFonts w:ascii="宋体" w:hAnsi="宋体"/>
          <w:bCs/>
          <w:szCs w:val="24"/>
        </w:rPr>
        <w:t>10kV</w:t>
      </w:r>
      <w:r>
        <w:rPr>
          <w:rFonts w:hint="eastAsia" w:ascii="宋体" w:hAnsi="宋体"/>
          <w:bCs/>
          <w:szCs w:val="24"/>
        </w:rPr>
        <w:t>电源；</w:t>
      </w:r>
    </w:p>
    <w:p w14:paraId="591BB549">
      <w:pPr>
        <w:pStyle w:val="57"/>
        <w:spacing w:line="360" w:lineRule="auto"/>
        <w:ind w:left="5" w:firstLine="475" w:firstLineChars="197"/>
        <w:jc w:val="left"/>
        <w:rPr>
          <w:rFonts w:ascii="宋体" w:hAnsi="宋体" w:eastAsia="宋体"/>
          <w:sz w:val="24"/>
          <w:szCs w:val="24"/>
        </w:rPr>
      </w:pPr>
      <w:r>
        <w:rPr>
          <w:rFonts w:ascii="Calibri" w:hAnsi="Calibri" w:eastAsia="宋体" w:cs="Calibri"/>
          <w:b/>
          <w:sz w:val="24"/>
          <w:szCs w:val="32"/>
        </w:rPr>
        <w:t>2</w:t>
      </w:r>
      <w:r>
        <w:rPr>
          <w:rFonts w:ascii="宋体" w:hAnsi="宋体" w:eastAsia="宋体"/>
          <w:sz w:val="24"/>
          <w:szCs w:val="24"/>
        </w:rPr>
        <w:t xml:space="preserve">  </w:t>
      </w:r>
      <w:r>
        <w:rPr>
          <w:rFonts w:hint="eastAsia" w:ascii="宋体" w:hAnsi="宋体" w:eastAsia="宋体" w:cs="宋体"/>
          <w:kern w:val="0"/>
          <w:sz w:val="24"/>
          <w:szCs w:val="24"/>
        </w:rPr>
        <w:t>公用配电室单台变压器容量不宜超过</w:t>
      </w:r>
      <w:r>
        <w:rPr>
          <w:rFonts w:ascii="宋体" w:hAnsi="宋体" w:eastAsia="宋体" w:cs="Times New Roman"/>
          <w:kern w:val="0"/>
          <w:sz w:val="24"/>
          <w:szCs w:val="24"/>
        </w:rPr>
        <w:t>800kVA</w:t>
      </w:r>
      <w:r>
        <w:rPr>
          <w:rFonts w:hint="eastAsia" w:ascii="宋体" w:hAnsi="宋体" w:eastAsia="宋体" w:cs="Times New Roman"/>
          <w:kern w:val="0"/>
          <w:sz w:val="24"/>
          <w:szCs w:val="24"/>
        </w:rPr>
        <w:t>；</w:t>
      </w:r>
    </w:p>
    <w:p w14:paraId="170684C5">
      <w:pPr>
        <w:pStyle w:val="57"/>
        <w:autoSpaceDE w:val="0"/>
        <w:autoSpaceDN w:val="0"/>
        <w:spacing w:line="360" w:lineRule="auto"/>
        <w:ind w:left="5" w:firstLine="475" w:firstLineChars="197"/>
        <w:jc w:val="left"/>
        <w:rPr>
          <w:rFonts w:ascii="宋体" w:hAnsi="宋体" w:eastAsia="宋体"/>
          <w:bCs/>
          <w:sz w:val="24"/>
          <w:szCs w:val="24"/>
        </w:rPr>
      </w:pPr>
      <w:r>
        <w:rPr>
          <w:rFonts w:ascii="Calibri" w:hAnsi="Calibri" w:eastAsia="宋体" w:cs="Calibri"/>
          <w:b/>
          <w:sz w:val="24"/>
          <w:szCs w:val="32"/>
        </w:rPr>
        <w:t>3</w:t>
      </w:r>
      <w:r>
        <w:rPr>
          <w:rFonts w:ascii="宋体" w:hAnsi="宋体" w:eastAsia="宋体"/>
          <w:sz w:val="24"/>
          <w:szCs w:val="24"/>
        </w:rPr>
        <w:t xml:space="preserve">  </w:t>
      </w:r>
      <w:r>
        <w:rPr>
          <w:rFonts w:hint="eastAsia" w:ascii="宋体" w:hAnsi="宋体" w:eastAsia="宋体"/>
          <w:bCs/>
          <w:sz w:val="24"/>
          <w:szCs w:val="24"/>
        </w:rPr>
        <w:t>公用配电室应设置于负荷中心区域，低压供电半径五环内不宜大于</w:t>
      </w:r>
      <w:r>
        <w:rPr>
          <w:rFonts w:ascii="宋体" w:hAnsi="宋体" w:eastAsia="宋体"/>
          <w:bCs/>
          <w:sz w:val="24"/>
          <w:szCs w:val="24"/>
        </w:rPr>
        <w:t>150m，其他区域不宜大于250m，同时应满足压降要求</w:t>
      </w:r>
      <w:r>
        <w:rPr>
          <w:rFonts w:hint="eastAsia" w:ascii="宋体" w:hAnsi="宋体" w:eastAsia="宋体"/>
          <w:bCs/>
          <w:sz w:val="24"/>
          <w:szCs w:val="24"/>
        </w:rPr>
        <w:t>；</w:t>
      </w:r>
    </w:p>
    <w:p w14:paraId="70202579">
      <w:pPr>
        <w:pStyle w:val="57"/>
        <w:spacing w:line="360" w:lineRule="auto"/>
        <w:ind w:left="5" w:firstLine="475" w:firstLineChars="197"/>
        <w:jc w:val="left"/>
        <w:rPr>
          <w:rFonts w:ascii="宋体" w:hAnsi="宋体" w:eastAsia="宋体"/>
          <w:sz w:val="24"/>
          <w:szCs w:val="24"/>
        </w:rPr>
      </w:pPr>
      <w:r>
        <w:rPr>
          <w:rFonts w:ascii="Calibri" w:hAnsi="Calibri" w:eastAsia="宋体" w:cs="Calibri"/>
          <w:b/>
          <w:sz w:val="24"/>
          <w:szCs w:val="32"/>
        </w:rPr>
        <w:t>4</w:t>
      </w:r>
      <w:r>
        <w:rPr>
          <w:rFonts w:ascii="宋体" w:hAnsi="宋体" w:eastAsia="宋体"/>
          <w:sz w:val="24"/>
          <w:szCs w:val="24"/>
        </w:rPr>
        <w:t xml:space="preserve">  </w:t>
      </w:r>
      <w:r>
        <w:rPr>
          <w:rFonts w:hint="eastAsia" w:ascii="宋体" w:hAnsi="宋体" w:eastAsia="宋体"/>
          <w:sz w:val="24"/>
          <w:szCs w:val="24"/>
        </w:rPr>
        <w:t>新建居民住宅区不宜采用预装式变电站的供电模式；</w:t>
      </w:r>
    </w:p>
    <w:p w14:paraId="1C4A7DBB">
      <w:pPr>
        <w:pStyle w:val="57"/>
        <w:spacing w:line="360" w:lineRule="auto"/>
        <w:ind w:left="5" w:firstLine="475" w:firstLineChars="197"/>
        <w:jc w:val="left"/>
        <w:rPr>
          <w:rFonts w:asciiTheme="minorEastAsia" w:hAnsiTheme="minorEastAsia"/>
          <w:sz w:val="24"/>
          <w:szCs w:val="24"/>
        </w:rPr>
      </w:pPr>
      <w:r>
        <w:rPr>
          <w:rFonts w:ascii="Calibri" w:hAnsi="Calibri" w:eastAsia="宋体" w:cs="Calibri"/>
          <w:b/>
          <w:sz w:val="24"/>
          <w:szCs w:val="32"/>
        </w:rPr>
        <w:t>5</w:t>
      </w:r>
      <w:r>
        <w:rPr>
          <w:rFonts w:asciiTheme="minorEastAsia" w:hAnsiTheme="minorEastAsia"/>
          <w:bCs/>
          <w:sz w:val="24"/>
          <w:szCs w:val="24"/>
        </w:rPr>
        <w:t xml:space="preserve">  </w:t>
      </w:r>
      <w:r>
        <w:rPr>
          <w:rFonts w:hint="eastAsia" w:asciiTheme="minorEastAsia" w:hAnsiTheme="minorEastAsia"/>
          <w:bCs/>
          <w:sz w:val="24"/>
          <w:szCs w:val="24"/>
        </w:rPr>
        <w:t>当住宅建筑电源由公用配电室引来时，进线处应设低压电缆分支箱；</w:t>
      </w:r>
    </w:p>
    <w:p w14:paraId="70C642A0">
      <w:pPr>
        <w:pStyle w:val="57"/>
        <w:spacing w:line="360" w:lineRule="auto"/>
        <w:ind w:left="5" w:firstLine="475" w:firstLineChars="197"/>
        <w:jc w:val="left"/>
        <w:rPr>
          <w:rFonts w:ascii="宋体" w:hAnsi="宋体" w:eastAsia="宋体"/>
          <w:bCs/>
          <w:sz w:val="24"/>
          <w:szCs w:val="24"/>
        </w:rPr>
      </w:pPr>
      <w:r>
        <w:rPr>
          <w:rFonts w:ascii="Calibri" w:hAnsi="Calibri" w:eastAsia="宋体" w:cs="Calibri"/>
          <w:b/>
          <w:sz w:val="24"/>
          <w:szCs w:val="32"/>
        </w:rPr>
        <w:t>6</w:t>
      </w:r>
      <w:r>
        <w:rPr>
          <w:rFonts w:ascii="宋体" w:hAnsi="宋体" w:eastAsia="宋体"/>
          <w:sz w:val="24"/>
          <w:szCs w:val="24"/>
        </w:rPr>
        <w:t xml:space="preserve">  </w:t>
      </w:r>
      <w:r>
        <w:rPr>
          <w:rFonts w:hint="eastAsia" w:ascii="宋体" w:hAnsi="宋体" w:eastAsia="宋体"/>
          <w:bCs/>
          <w:sz w:val="24"/>
          <w:szCs w:val="24"/>
        </w:rPr>
        <w:t>住宅配电系统应符合下列规定：</w:t>
      </w:r>
    </w:p>
    <w:p w14:paraId="00F6F036">
      <w:pPr>
        <w:ind w:left="5" w:firstLine="475" w:firstLineChars="197"/>
        <w:rPr>
          <w:rFonts w:ascii="宋体" w:hAnsi="宋体"/>
          <w:bCs/>
          <w:szCs w:val="24"/>
        </w:rPr>
      </w:pPr>
      <w:r>
        <w:rPr>
          <w:rFonts w:cs="Calibri"/>
          <w:b/>
          <w:szCs w:val="32"/>
        </w:rPr>
        <w:t>1</w:t>
      </w:r>
      <w:r>
        <w:rPr>
          <w:rFonts w:hint="eastAsia" w:cs="Calibri"/>
          <w:b/>
          <w:szCs w:val="32"/>
        </w:rPr>
        <w:t>）</w:t>
      </w:r>
      <w:r>
        <w:rPr>
          <w:rFonts w:hint="eastAsia" w:ascii="宋体" w:hAnsi="宋体"/>
          <w:bCs/>
          <w:szCs w:val="24"/>
        </w:rPr>
        <w:t>每套住宅通常采用单相电源进户，用电负荷大于</w:t>
      </w:r>
      <w:r>
        <w:rPr>
          <w:rFonts w:ascii="宋体" w:hAnsi="宋体"/>
          <w:bCs/>
          <w:szCs w:val="24"/>
        </w:rPr>
        <w:t>12kW或有三相用电设备时可采用三相电源进户</w:t>
      </w:r>
      <w:r>
        <w:rPr>
          <w:rFonts w:hint="eastAsia" w:ascii="宋体" w:hAnsi="宋体"/>
          <w:bCs/>
          <w:szCs w:val="24"/>
        </w:rPr>
        <w:t>；</w:t>
      </w:r>
    </w:p>
    <w:p w14:paraId="1C69F34E">
      <w:pPr>
        <w:autoSpaceDE w:val="0"/>
        <w:autoSpaceDN w:val="0"/>
        <w:ind w:left="5" w:firstLine="475" w:firstLineChars="197"/>
        <w:rPr>
          <w:rFonts w:ascii="宋体" w:hAnsi="宋体"/>
          <w:bCs/>
          <w:szCs w:val="24"/>
        </w:rPr>
      </w:pPr>
      <w:r>
        <w:rPr>
          <w:rFonts w:cs="Calibri"/>
          <w:b/>
          <w:szCs w:val="32"/>
        </w:rPr>
        <w:t>2</w:t>
      </w:r>
      <w:r>
        <w:rPr>
          <w:rFonts w:hint="eastAsia" w:cs="Calibri"/>
          <w:b/>
          <w:szCs w:val="32"/>
        </w:rPr>
        <w:t>）</w:t>
      </w:r>
      <w:r>
        <w:rPr>
          <w:rFonts w:hint="eastAsia" w:ascii="宋体" w:hAnsi="宋体"/>
          <w:bCs/>
          <w:szCs w:val="24"/>
        </w:rPr>
        <w:t>采用三相电源供电的住宅，三相电源为三相设备供电，套内每层或每间房的单相用电设备、电源插座应采用同相电源供电；</w:t>
      </w:r>
    </w:p>
    <w:p w14:paraId="27A7A6D8">
      <w:pPr>
        <w:ind w:left="5" w:firstLine="475" w:firstLineChars="197"/>
        <w:rPr>
          <w:rFonts w:ascii="宋体" w:hAnsi="宋体"/>
          <w:bCs/>
          <w:szCs w:val="24"/>
        </w:rPr>
      </w:pPr>
      <w:r>
        <w:rPr>
          <w:rFonts w:cs="Calibri"/>
          <w:b/>
          <w:szCs w:val="32"/>
        </w:rPr>
        <w:t>3</w:t>
      </w:r>
      <w:r>
        <w:rPr>
          <w:rFonts w:hint="eastAsia" w:cs="Calibri"/>
          <w:b/>
          <w:szCs w:val="32"/>
        </w:rPr>
        <w:t>）</w:t>
      </w:r>
      <w:r>
        <w:rPr>
          <w:rFonts w:hint="eastAsia" w:ascii="宋体" w:hAnsi="宋体"/>
          <w:bCs/>
          <w:szCs w:val="24"/>
        </w:rPr>
        <w:t>每幢住宅楼、每一条配电干线的三相负荷分配宜均匀、平衡；</w:t>
      </w:r>
    </w:p>
    <w:p w14:paraId="65B87197">
      <w:pPr>
        <w:ind w:left="5" w:firstLine="475" w:firstLineChars="197"/>
        <w:rPr>
          <w:rFonts w:ascii="宋体" w:hAnsi="宋体"/>
          <w:bCs/>
          <w:szCs w:val="24"/>
        </w:rPr>
      </w:pPr>
      <w:r>
        <w:rPr>
          <w:rFonts w:cs="Calibri"/>
          <w:b/>
          <w:szCs w:val="32"/>
        </w:rPr>
        <w:t>4</w:t>
      </w:r>
      <w:r>
        <w:rPr>
          <w:rFonts w:hint="eastAsia" w:cs="Calibri"/>
          <w:b/>
          <w:szCs w:val="32"/>
        </w:rPr>
        <w:t>）</w:t>
      </w:r>
      <w:r>
        <w:rPr>
          <w:rFonts w:hint="eastAsia" w:ascii="宋体" w:hAnsi="宋体"/>
          <w:bCs/>
          <w:szCs w:val="24"/>
        </w:rPr>
        <w:t>每套住宅应设置可同时断开相线和中性线并</w:t>
      </w:r>
      <w:r>
        <w:rPr>
          <w:rFonts w:ascii="宋体" w:hAnsi="宋体"/>
          <w:bCs/>
          <w:szCs w:val="24"/>
        </w:rPr>
        <w:t>具有隔离功能</w:t>
      </w:r>
      <w:r>
        <w:rPr>
          <w:rFonts w:hint="eastAsia" w:ascii="宋体" w:hAnsi="宋体"/>
          <w:bCs/>
          <w:szCs w:val="24"/>
        </w:rPr>
        <w:t>的电源进线开关电器；</w:t>
      </w:r>
    </w:p>
    <w:p w14:paraId="6FEA8A21">
      <w:pPr>
        <w:adjustRightInd/>
        <w:ind w:left="5" w:firstLine="475" w:firstLineChars="197"/>
        <w:rPr>
          <w:rFonts w:cs="Calibri"/>
          <w:bCs/>
          <w:szCs w:val="32"/>
        </w:rPr>
      </w:pPr>
      <w:r>
        <w:rPr>
          <w:rFonts w:cs="Calibri"/>
          <w:b/>
          <w:szCs w:val="32"/>
        </w:rPr>
        <w:t>5）</w:t>
      </w:r>
      <w:r>
        <w:rPr>
          <w:rFonts w:cs="Calibri"/>
          <w:bCs/>
          <w:szCs w:val="32"/>
        </w:rPr>
        <w:t>住宅楼配电干线的中性线截面应与相线同截面；</w:t>
      </w:r>
    </w:p>
    <w:p w14:paraId="13C1F519">
      <w:pPr>
        <w:adjustRightInd/>
        <w:ind w:left="5" w:firstLine="475" w:firstLineChars="197"/>
        <w:rPr>
          <w:rFonts w:cs="Calibri"/>
          <w:bCs/>
          <w:szCs w:val="32"/>
        </w:rPr>
      </w:pPr>
      <w:r>
        <w:rPr>
          <w:rFonts w:cs="Calibri"/>
          <w:b/>
          <w:szCs w:val="32"/>
        </w:rPr>
        <w:t>6）</w:t>
      </w:r>
      <w:r>
        <w:rPr>
          <w:rFonts w:cs="Calibri"/>
          <w:bCs/>
          <w:szCs w:val="32"/>
        </w:rPr>
        <w:t>住宅楼功率因数，多层住宅及高层住宅的照明进线取0.85计算，高层住宅的动力进线取0.8计算；</w:t>
      </w:r>
    </w:p>
    <w:p w14:paraId="12E48325">
      <w:pPr>
        <w:adjustRightInd/>
        <w:ind w:left="5" w:firstLine="475" w:firstLineChars="197"/>
        <w:rPr>
          <w:rFonts w:cs="Calibri"/>
          <w:bCs/>
          <w:szCs w:val="32"/>
        </w:rPr>
      </w:pPr>
      <w:r>
        <w:rPr>
          <w:rFonts w:cs="Calibri"/>
          <w:b/>
          <w:szCs w:val="32"/>
        </w:rPr>
        <w:t>7）</w:t>
      </w:r>
      <w:r>
        <w:rPr>
          <w:rFonts w:cs="Calibri"/>
          <w:bCs/>
          <w:szCs w:val="32"/>
        </w:rPr>
        <w:t>套内起居厅、卧室插座宜采用带有USB接口的组合插座，并宜预留为电动窗帘、电动晾衣架、智能马桶等智能家居设备供电的电源插座；</w:t>
      </w:r>
    </w:p>
    <w:p w14:paraId="6387EBB8">
      <w:pPr>
        <w:adjustRightInd/>
        <w:ind w:left="5" w:firstLine="475" w:firstLineChars="197"/>
        <w:rPr>
          <w:rFonts w:cs="Calibri"/>
          <w:bCs/>
          <w:szCs w:val="32"/>
        </w:rPr>
      </w:pPr>
      <w:r>
        <w:rPr>
          <w:rFonts w:cs="Calibri"/>
          <w:b/>
          <w:szCs w:val="32"/>
        </w:rPr>
        <w:t>8）</w:t>
      </w:r>
      <w:r>
        <w:rPr>
          <w:rFonts w:cs="Calibri"/>
          <w:bCs/>
          <w:szCs w:val="32"/>
        </w:rPr>
        <w:t>电源插座回路均应加设剩余电流动作值不大于30mA的剩余电流动作保护电器。</w:t>
      </w:r>
    </w:p>
    <w:p w14:paraId="706AE468">
      <w:pPr>
        <w:pStyle w:val="4"/>
        <w:numPr>
          <w:ilvl w:val="2"/>
          <w:numId w:val="11"/>
        </w:numPr>
        <w:tabs>
          <w:tab w:val="clear" w:pos="0"/>
        </w:tabs>
        <w:ind w:firstLine="0" w:firstLineChars="0"/>
        <w:rPr>
          <w:rFonts w:cs="宋体"/>
          <w:bCs w:val="0"/>
          <w:iCs/>
          <w:lang w:val="en-US"/>
        </w:rPr>
      </w:pPr>
      <w:r>
        <w:rPr>
          <w:rFonts w:hint="eastAsia" w:cs="宋体"/>
          <w:bCs w:val="0"/>
          <w:iCs/>
          <w:lang w:val="en-US"/>
        </w:rPr>
        <w:t>住宅电能计量应符合下列规定：</w:t>
      </w:r>
    </w:p>
    <w:p w14:paraId="4FC95F91">
      <w:pPr>
        <w:ind w:left="5" w:firstLine="475" w:firstLineChars="197"/>
        <w:rPr>
          <w:rFonts w:ascii="宋体" w:hAnsi="宋体"/>
          <w:bCs/>
          <w:szCs w:val="24"/>
        </w:rPr>
      </w:pPr>
      <w:r>
        <w:rPr>
          <w:rFonts w:cs="Calibri"/>
          <w:b/>
          <w:szCs w:val="32"/>
        </w:rPr>
        <w:t>1</w:t>
      </w:r>
      <w:r>
        <w:rPr>
          <w:rFonts w:ascii="宋体" w:hAnsi="宋体"/>
          <w:bCs/>
          <w:szCs w:val="24"/>
        </w:rPr>
        <w:t xml:space="preserve">  </w:t>
      </w:r>
      <w:r>
        <w:rPr>
          <w:rFonts w:hint="eastAsia" w:ascii="宋体" w:hAnsi="宋体"/>
          <w:bCs/>
          <w:szCs w:val="24"/>
        </w:rPr>
        <w:t>电能计量的原则应符合下列规定：</w:t>
      </w:r>
    </w:p>
    <w:p w14:paraId="7B642C31">
      <w:pPr>
        <w:ind w:left="5" w:firstLine="475" w:firstLineChars="197"/>
        <w:rPr>
          <w:rFonts w:ascii="宋体" w:hAnsi="宋体"/>
          <w:bCs/>
          <w:szCs w:val="24"/>
        </w:rPr>
      </w:pPr>
      <w:r>
        <w:rPr>
          <w:rFonts w:cs="Calibri"/>
          <w:b/>
          <w:szCs w:val="32"/>
        </w:rPr>
        <w:t>1）</w:t>
      </w:r>
      <w:r>
        <w:rPr>
          <w:rFonts w:ascii="宋体" w:hAnsi="宋体"/>
          <w:bCs/>
          <w:szCs w:val="24"/>
        </w:rPr>
        <w:t>电能表</w:t>
      </w:r>
      <w:r>
        <w:rPr>
          <w:rFonts w:hint="eastAsia" w:ascii="宋体" w:hAnsi="宋体"/>
          <w:bCs/>
          <w:szCs w:val="24"/>
        </w:rPr>
        <w:t>应</w:t>
      </w:r>
      <w:r>
        <w:rPr>
          <w:rFonts w:ascii="宋体" w:hAnsi="宋体"/>
          <w:bCs/>
          <w:szCs w:val="24"/>
        </w:rPr>
        <w:t>按照确定的电价计费需要配置</w:t>
      </w:r>
      <w:r>
        <w:rPr>
          <w:rFonts w:hint="eastAsia" w:ascii="宋体" w:hAnsi="宋体"/>
          <w:bCs/>
          <w:szCs w:val="24"/>
        </w:rPr>
        <w:t>；</w:t>
      </w:r>
    </w:p>
    <w:p w14:paraId="4D0050EE">
      <w:pPr>
        <w:ind w:left="5" w:firstLine="475" w:firstLineChars="197"/>
        <w:rPr>
          <w:rFonts w:ascii="宋体" w:hAnsi="宋体"/>
          <w:bCs/>
          <w:szCs w:val="24"/>
        </w:rPr>
      </w:pPr>
      <w:r>
        <w:rPr>
          <w:rFonts w:cs="Calibri"/>
          <w:b/>
          <w:szCs w:val="32"/>
        </w:rPr>
        <w:t>2）</w:t>
      </w:r>
      <w:r>
        <w:rPr>
          <w:rFonts w:hint="eastAsia" w:ascii="宋体" w:hAnsi="宋体"/>
          <w:bCs/>
          <w:szCs w:val="24"/>
        </w:rPr>
        <w:t>住宅建筑供配电系统中</w:t>
      </w:r>
      <w:r>
        <w:rPr>
          <w:rFonts w:ascii="宋体" w:hAnsi="宋体"/>
          <w:bCs/>
          <w:szCs w:val="24"/>
        </w:rPr>
        <w:t>存在多种电价用电负荷时，应分别装设电能计量装置</w:t>
      </w:r>
      <w:r>
        <w:rPr>
          <w:rFonts w:hint="eastAsia" w:ascii="宋体" w:hAnsi="宋体"/>
          <w:bCs/>
          <w:szCs w:val="24"/>
        </w:rPr>
        <w:t>；</w:t>
      </w:r>
    </w:p>
    <w:p w14:paraId="202DA17D">
      <w:pPr>
        <w:ind w:left="5" w:firstLine="475" w:firstLineChars="197"/>
        <w:rPr>
          <w:rFonts w:ascii="宋体" w:hAnsi="宋体"/>
          <w:bCs/>
          <w:szCs w:val="24"/>
        </w:rPr>
      </w:pPr>
      <w:r>
        <w:rPr>
          <w:rFonts w:cs="Calibri"/>
          <w:b/>
          <w:szCs w:val="32"/>
        </w:rPr>
        <w:t>3）</w:t>
      </w:r>
      <w:r>
        <w:rPr>
          <w:rFonts w:ascii="宋体" w:hAnsi="宋体"/>
          <w:bCs/>
          <w:szCs w:val="24"/>
        </w:rPr>
        <w:t>新建</w:t>
      </w:r>
      <w:r>
        <w:rPr>
          <w:rFonts w:hint="eastAsia" w:ascii="宋体" w:hAnsi="宋体"/>
          <w:bCs/>
          <w:szCs w:val="24"/>
        </w:rPr>
        <w:t>和</w:t>
      </w:r>
      <w:r>
        <w:rPr>
          <w:rFonts w:ascii="宋体" w:hAnsi="宋体"/>
          <w:bCs/>
          <w:szCs w:val="24"/>
        </w:rPr>
        <w:t>改扩建住宅居民用电应实行一户一表</w:t>
      </w:r>
      <w:r>
        <w:rPr>
          <w:rFonts w:hint="eastAsia" w:ascii="宋体" w:hAnsi="宋体"/>
          <w:bCs/>
          <w:szCs w:val="24"/>
        </w:rPr>
        <w:t>；</w:t>
      </w:r>
    </w:p>
    <w:p w14:paraId="119908E3">
      <w:pPr>
        <w:ind w:left="5" w:firstLine="475" w:firstLineChars="197"/>
        <w:rPr>
          <w:rFonts w:ascii="宋体" w:hAnsi="宋体"/>
          <w:bCs/>
          <w:szCs w:val="24"/>
        </w:rPr>
      </w:pPr>
      <w:r>
        <w:rPr>
          <w:rFonts w:cs="Calibri"/>
          <w:b/>
          <w:szCs w:val="32"/>
        </w:rPr>
        <w:t>4）</w:t>
      </w:r>
      <w:r>
        <w:rPr>
          <w:rFonts w:ascii="宋体" w:hAnsi="宋体"/>
          <w:bCs/>
          <w:szCs w:val="24"/>
        </w:rPr>
        <w:t>有</w:t>
      </w:r>
      <w:r>
        <w:rPr>
          <w:rFonts w:hint="eastAsia" w:ascii="宋体" w:hAnsi="宋体"/>
          <w:bCs/>
          <w:szCs w:val="24"/>
        </w:rPr>
        <w:t>新能源发电并网需求的用</w:t>
      </w:r>
      <w:r>
        <w:rPr>
          <w:rFonts w:ascii="宋体" w:hAnsi="宋体"/>
          <w:bCs/>
          <w:szCs w:val="24"/>
        </w:rPr>
        <w:t>户，应在并网点上装设送、受电双向峰谷分段</w:t>
      </w:r>
      <w:r>
        <w:rPr>
          <w:rFonts w:hint="eastAsia" w:ascii="宋体" w:hAnsi="宋体"/>
          <w:bCs/>
          <w:szCs w:val="24"/>
        </w:rPr>
        <w:t>多费率</w:t>
      </w:r>
      <w:r>
        <w:rPr>
          <w:rFonts w:ascii="宋体" w:hAnsi="宋体"/>
          <w:bCs/>
          <w:szCs w:val="24"/>
        </w:rPr>
        <w:t>电能计量装置</w:t>
      </w:r>
      <w:r>
        <w:rPr>
          <w:rFonts w:hint="eastAsia" w:ascii="宋体" w:hAnsi="宋体"/>
          <w:bCs/>
          <w:szCs w:val="24"/>
        </w:rPr>
        <w:t>；</w:t>
      </w:r>
    </w:p>
    <w:p w14:paraId="36F6A317">
      <w:pPr>
        <w:ind w:left="5" w:firstLine="475" w:firstLineChars="197"/>
        <w:rPr>
          <w:rFonts w:ascii="宋体" w:hAnsi="宋体"/>
          <w:bCs/>
          <w:szCs w:val="24"/>
        </w:rPr>
      </w:pPr>
      <w:r>
        <w:rPr>
          <w:rFonts w:cs="Calibri"/>
          <w:b/>
          <w:szCs w:val="32"/>
        </w:rPr>
        <w:t>5）</w:t>
      </w:r>
      <w:r>
        <w:rPr>
          <w:rFonts w:hint="eastAsia" w:ascii="宋体" w:hAnsi="宋体"/>
          <w:bCs/>
          <w:szCs w:val="24"/>
        </w:rPr>
        <w:t>供热计量系统应单独设计供电回路，并设置电能计量装置。</w:t>
      </w:r>
    </w:p>
    <w:p w14:paraId="2EDB6CCB">
      <w:pPr>
        <w:ind w:left="5" w:firstLine="475" w:firstLineChars="197"/>
        <w:rPr>
          <w:rFonts w:ascii="宋体" w:hAnsi="宋体"/>
          <w:bCs/>
          <w:szCs w:val="24"/>
        </w:rPr>
      </w:pPr>
      <w:r>
        <w:rPr>
          <w:rFonts w:cs="Calibri"/>
          <w:b/>
          <w:szCs w:val="32"/>
        </w:rPr>
        <w:t>2</w:t>
      </w:r>
      <w:r>
        <w:rPr>
          <w:rFonts w:ascii="宋体" w:hAnsi="宋体"/>
          <w:bCs/>
          <w:szCs w:val="24"/>
        </w:rPr>
        <w:t xml:space="preserve">  </w:t>
      </w:r>
      <w:r>
        <w:rPr>
          <w:rFonts w:hint="eastAsia" w:ascii="宋体" w:hAnsi="宋体"/>
          <w:bCs/>
          <w:szCs w:val="24"/>
        </w:rPr>
        <w:t>计量表配置方式应符合下列规定：</w:t>
      </w:r>
    </w:p>
    <w:p w14:paraId="32E96D81">
      <w:pPr>
        <w:autoSpaceDE w:val="0"/>
        <w:autoSpaceDN w:val="0"/>
        <w:ind w:left="5" w:firstLine="475" w:firstLineChars="197"/>
        <w:rPr>
          <w:rFonts w:ascii="宋体" w:hAnsi="宋体" w:cs="宋体"/>
          <w:bCs/>
          <w:kern w:val="0"/>
          <w:szCs w:val="24"/>
        </w:rPr>
      </w:pPr>
      <w:r>
        <w:rPr>
          <w:rFonts w:cs="Calibri"/>
          <w:b/>
          <w:szCs w:val="32"/>
        </w:rPr>
        <w:t>1）</w:t>
      </w:r>
      <w:r>
        <w:rPr>
          <w:rFonts w:hint="eastAsia" w:ascii="宋体" w:hAnsi="宋体" w:cs="宋体"/>
          <w:bCs/>
          <w:kern w:val="0"/>
          <w:szCs w:val="24"/>
        </w:rPr>
        <w:t>居民住宅用户按照一户一表安装计量表箱，配置单相或三相</w:t>
      </w:r>
      <w:r>
        <w:rPr>
          <w:rFonts w:ascii="宋体" w:hAnsi="宋体"/>
          <w:bCs/>
          <w:kern w:val="0"/>
          <w:szCs w:val="24"/>
        </w:rPr>
        <w:t>10(100)A</w:t>
      </w:r>
      <w:r>
        <w:rPr>
          <w:rFonts w:hint="eastAsia" w:ascii="宋体" w:hAnsi="宋体" w:cs="宋体"/>
          <w:bCs/>
          <w:kern w:val="0"/>
          <w:szCs w:val="24"/>
        </w:rPr>
        <w:t>智能电表，智能电表表计前安装隔离开关，表计后安装具备控制及保护功能的微型断路器；</w:t>
      </w:r>
    </w:p>
    <w:p w14:paraId="401ACBD3">
      <w:pPr>
        <w:autoSpaceDE w:val="0"/>
        <w:autoSpaceDN w:val="0"/>
        <w:ind w:left="5" w:firstLine="475" w:firstLineChars="197"/>
        <w:rPr>
          <w:rFonts w:ascii="宋体" w:hAnsi="宋体" w:cs="宋体"/>
          <w:kern w:val="0"/>
          <w:szCs w:val="24"/>
        </w:rPr>
      </w:pPr>
      <w:r>
        <w:rPr>
          <w:rFonts w:cs="Calibri"/>
          <w:b/>
          <w:bCs/>
          <w:kern w:val="0"/>
          <w:szCs w:val="24"/>
        </w:rPr>
        <w:t>2）</w:t>
      </w:r>
      <w:r>
        <w:rPr>
          <w:rFonts w:hint="eastAsia" w:ascii="宋体" w:hAnsi="宋体" w:cs="宋体"/>
          <w:kern w:val="0"/>
          <w:szCs w:val="24"/>
        </w:rPr>
        <w:t>居民住宅用户配电指标大于12kW或有三相用电设备时可采用三相计量；</w:t>
      </w:r>
    </w:p>
    <w:p w14:paraId="5F0A2EF3">
      <w:pPr>
        <w:autoSpaceDE w:val="0"/>
        <w:autoSpaceDN w:val="0"/>
        <w:ind w:left="5" w:firstLine="475" w:firstLineChars="197"/>
        <w:rPr>
          <w:rFonts w:ascii="宋体" w:hAnsi="宋体" w:cs="宋体"/>
          <w:kern w:val="0"/>
          <w:szCs w:val="24"/>
        </w:rPr>
      </w:pPr>
      <w:r>
        <w:rPr>
          <w:rFonts w:cs="Calibri"/>
          <w:b/>
          <w:bCs/>
          <w:kern w:val="0"/>
          <w:szCs w:val="24"/>
        </w:rPr>
        <w:t>3）</w:t>
      </w:r>
      <w:r>
        <w:rPr>
          <w:rFonts w:hint="eastAsia" w:ascii="宋体" w:hAnsi="宋体" w:cs="宋体"/>
          <w:kern w:val="0"/>
          <w:szCs w:val="24"/>
        </w:rPr>
        <w:t>普通低压供电的用户，负荷电流为100A及以下时，智能电表计量装置接线宜采用直接接入式；负荷电流为100A以上时，宜采用经电流互感器接入，电流互感器及计量表计应安装在计量表箱内；</w:t>
      </w:r>
    </w:p>
    <w:p w14:paraId="24B7FD31">
      <w:pPr>
        <w:autoSpaceDE w:val="0"/>
        <w:autoSpaceDN w:val="0"/>
        <w:ind w:left="5" w:firstLine="475" w:firstLineChars="197"/>
        <w:rPr>
          <w:rFonts w:cs="Calibri"/>
          <w:kern w:val="0"/>
          <w:szCs w:val="24"/>
        </w:rPr>
      </w:pPr>
      <w:r>
        <w:rPr>
          <w:rFonts w:cs="Calibri"/>
          <w:b/>
          <w:bCs/>
          <w:kern w:val="0"/>
          <w:szCs w:val="24"/>
        </w:rPr>
        <w:t>4）</w:t>
      </w:r>
      <w:r>
        <w:rPr>
          <w:rFonts w:hint="eastAsia" w:cs="Calibri"/>
          <w:kern w:val="0"/>
          <w:szCs w:val="24"/>
        </w:rPr>
        <w:t>电能计量装置应独立封闭， 便于用户观察电能表示数并具备防窃电功能。</w:t>
      </w:r>
    </w:p>
    <w:p w14:paraId="4178FD45">
      <w:pPr>
        <w:ind w:left="5" w:firstLine="475" w:firstLineChars="197"/>
        <w:rPr>
          <w:rFonts w:ascii="宋体" w:hAnsi="宋体"/>
          <w:bCs/>
          <w:szCs w:val="24"/>
        </w:rPr>
      </w:pPr>
      <w:r>
        <w:rPr>
          <w:rFonts w:cs="Calibri"/>
          <w:b/>
          <w:szCs w:val="32"/>
        </w:rPr>
        <w:t>3</w:t>
      </w:r>
      <w:r>
        <w:rPr>
          <w:rFonts w:ascii="宋体" w:hAnsi="宋体"/>
          <w:bCs/>
          <w:szCs w:val="24"/>
        </w:rPr>
        <w:t xml:space="preserve">  </w:t>
      </w:r>
      <w:r>
        <w:rPr>
          <w:rFonts w:hint="eastAsia" w:ascii="宋体" w:hAnsi="宋体"/>
          <w:bCs/>
          <w:szCs w:val="24"/>
        </w:rPr>
        <w:t>信息采集系统的设置应符合下列规定：</w:t>
      </w:r>
    </w:p>
    <w:p w14:paraId="599909F2">
      <w:pPr>
        <w:ind w:left="5" w:firstLine="475" w:firstLineChars="197"/>
        <w:rPr>
          <w:rFonts w:ascii="宋体" w:hAnsi="宋体"/>
          <w:bCs/>
          <w:szCs w:val="24"/>
        </w:rPr>
      </w:pPr>
      <w:r>
        <w:rPr>
          <w:rFonts w:cs="Calibri"/>
          <w:b/>
          <w:szCs w:val="32"/>
        </w:rPr>
        <w:t>1）</w:t>
      </w:r>
      <w:r>
        <w:rPr>
          <w:rFonts w:ascii="宋体" w:hAnsi="宋体"/>
          <w:bCs/>
          <w:szCs w:val="24"/>
        </w:rPr>
        <w:t>计量装置应实现用电信息采集</w:t>
      </w:r>
      <w:r>
        <w:rPr>
          <w:rFonts w:hint="eastAsia" w:ascii="宋体" w:hAnsi="宋体"/>
          <w:bCs/>
          <w:szCs w:val="24"/>
        </w:rPr>
        <w:t>；</w:t>
      </w:r>
    </w:p>
    <w:p w14:paraId="5F1F667F">
      <w:pPr>
        <w:ind w:left="5" w:firstLine="475" w:firstLineChars="197"/>
        <w:rPr>
          <w:rFonts w:ascii="宋体" w:hAnsi="宋体"/>
          <w:bCs/>
          <w:szCs w:val="24"/>
        </w:rPr>
      </w:pPr>
      <w:r>
        <w:rPr>
          <w:rFonts w:cs="Calibri"/>
          <w:b/>
          <w:szCs w:val="32"/>
        </w:rPr>
        <w:t>2）</w:t>
      </w:r>
      <w:r>
        <w:rPr>
          <w:rFonts w:ascii="宋体" w:hAnsi="宋体"/>
          <w:bCs/>
          <w:szCs w:val="24"/>
        </w:rPr>
        <w:t>新建住宅小区，应同步建设光纤信道</w:t>
      </w:r>
      <w:r>
        <w:rPr>
          <w:rFonts w:hint="eastAsia" w:ascii="宋体" w:hAnsi="宋体"/>
          <w:bCs/>
          <w:szCs w:val="24"/>
        </w:rPr>
        <w:t>；</w:t>
      </w:r>
    </w:p>
    <w:p w14:paraId="52AC1151">
      <w:pPr>
        <w:ind w:left="5" w:firstLine="475" w:firstLineChars="197"/>
        <w:rPr>
          <w:rFonts w:ascii="宋体" w:hAnsi="宋体"/>
          <w:bCs/>
          <w:szCs w:val="24"/>
        </w:rPr>
      </w:pPr>
      <w:r>
        <w:rPr>
          <w:rFonts w:cs="Calibri"/>
          <w:b/>
          <w:szCs w:val="32"/>
        </w:rPr>
        <w:t>3）</w:t>
      </w:r>
      <w:r>
        <w:rPr>
          <w:rFonts w:hint="eastAsia" w:ascii="宋体" w:hAnsi="宋体"/>
          <w:bCs/>
          <w:szCs w:val="24"/>
        </w:rPr>
        <w:t>居民计量装置应</w:t>
      </w:r>
      <w:r>
        <w:rPr>
          <w:rFonts w:ascii="宋体" w:hAnsi="宋体"/>
          <w:bCs/>
          <w:szCs w:val="24"/>
        </w:rPr>
        <w:t>配置集中抄表终端</w:t>
      </w:r>
      <w:r>
        <w:rPr>
          <w:rFonts w:hint="eastAsia" w:ascii="宋体" w:hAnsi="宋体"/>
          <w:bCs/>
          <w:szCs w:val="24"/>
        </w:rPr>
        <w:t>，</w:t>
      </w:r>
      <w:r>
        <w:rPr>
          <w:rFonts w:ascii="宋体" w:hAnsi="宋体"/>
          <w:bCs/>
          <w:szCs w:val="24"/>
        </w:rPr>
        <w:t>对有需要接入公共电网分布式能源系统的</w:t>
      </w:r>
      <w:r>
        <w:rPr>
          <w:rFonts w:hint="eastAsia" w:ascii="宋体" w:hAnsi="宋体"/>
          <w:bCs/>
          <w:szCs w:val="24"/>
        </w:rPr>
        <w:t>用</w:t>
      </w:r>
      <w:r>
        <w:rPr>
          <w:rFonts w:ascii="宋体" w:hAnsi="宋体"/>
          <w:bCs/>
          <w:szCs w:val="24"/>
        </w:rPr>
        <w:t>户配置分布式能源监控终端。</w:t>
      </w:r>
    </w:p>
    <w:p w14:paraId="2E2141F2">
      <w:pPr>
        <w:pStyle w:val="3"/>
        <w:numPr>
          <w:ilvl w:val="1"/>
          <w:numId w:val="11"/>
        </w:numPr>
        <w:rPr>
          <w:kern w:val="44"/>
        </w:rPr>
      </w:pPr>
      <w:bookmarkStart w:id="1152" w:name="_Toc413940517"/>
      <w:bookmarkStart w:id="1153" w:name="_Toc422990220"/>
      <w:bookmarkStart w:id="1154" w:name="_Toc1526"/>
      <w:bookmarkStart w:id="1155" w:name="_Toc425428146"/>
      <w:bookmarkStart w:id="1156" w:name="_Toc419288574"/>
      <w:bookmarkStart w:id="1157" w:name="_Toc30424"/>
      <w:bookmarkStart w:id="1158" w:name="_Toc413943740"/>
      <w:bookmarkStart w:id="1159" w:name="_Toc8918"/>
      <w:bookmarkStart w:id="1160" w:name="_Toc425447383"/>
      <w:bookmarkStart w:id="1161" w:name="_Toc427324242"/>
      <w:bookmarkStart w:id="1162" w:name="_Toc17878"/>
      <w:bookmarkStart w:id="1163" w:name="_Toc24562"/>
      <w:bookmarkStart w:id="1164" w:name="_Toc20032"/>
      <w:bookmarkStart w:id="1165" w:name="_Toc6912"/>
      <w:bookmarkStart w:id="1166" w:name="_Toc26817511"/>
      <w:bookmarkStart w:id="1167" w:name="_Toc3480"/>
      <w:bookmarkStart w:id="1168" w:name="_Toc422931182"/>
      <w:r>
        <w:rPr>
          <w:rFonts w:hint="eastAsia"/>
          <w:kern w:val="44"/>
        </w:rPr>
        <w:t>照明设施</w:t>
      </w:r>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p>
    <w:p w14:paraId="4CEB9B82">
      <w:pPr>
        <w:pStyle w:val="4"/>
        <w:numPr>
          <w:ilvl w:val="2"/>
          <w:numId w:val="11"/>
        </w:numPr>
        <w:tabs>
          <w:tab w:val="clear" w:pos="0"/>
        </w:tabs>
        <w:ind w:firstLine="0" w:firstLineChars="0"/>
        <w:rPr>
          <w:rFonts w:cs="宋体"/>
          <w:bCs w:val="0"/>
          <w:iCs/>
          <w:lang w:val="en-US"/>
        </w:rPr>
      </w:pPr>
      <w:r>
        <w:rPr>
          <w:rFonts w:hint="eastAsia" w:cs="宋体"/>
          <w:bCs w:val="0"/>
          <w:iCs/>
          <w:lang w:val="en-US"/>
        </w:rPr>
        <w:t>公共照明应符合下列规定：</w:t>
      </w:r>
    </w:p>
    <w:p w14:paraId="05B9A5B8">
      <w:pPr>
        <w:autoSpaceDE w:val="0"/>
        <w:autoSpaceDN w:val="0"/>
        <w:ind w:firstLine="482"/>
        <w:rPr>
          <w:rFonts w:cs="HiddenHorzOCR" w:asciiTheme="minorEastAsia" w:hAnsiTheme="minorEastAsia" w:eastAsiaTheme="minorEastAsia"/>
          <w:bCs/>
          <w:kern w:val="0"/>
          <w:szCs w:val="24"/>
        </w:rPr>
      </w:pPr>
      <w:r>
        <w:rPr>
          <w:b/>
        </w:rPr>
        <w:t>1</w:t>
      </w:r>
      <w:r>
        <w:rPr>
          <w:bCs/>
        </w:rPr>
        <w:t xml:space="preserve">  </w:t>
      </w:r>
      <w:r>
        <w:rPr>
          <w:rFonts w:hint="eastAsia" w:cs="HiddenHorzOCR" w:asciiTheme="minorEastAsia" w:hAnsiTheme="minorEastAsia" w:eastAsiaTheme="minorEastAsia"/>
          <w:bCs/>
          <w:kern w:val="0"/>
          <w:szCs w:val="24"/>
        </w:rPr>
        <w:t>住宅建筑的</w:t>
      </w:r>
      <w:r>
        <w:rPr>
          <w:rFonts w:hint="eastAsia" w:cs="宋体" w:asciiTheme="minorEastAsia" w:hAnsiTheme="minorEastAsia" w:eastAsiaTheme="minorEastAsia"/>
          <w:bCs/>
          <w:kern w:val="0"/>
          <w:szCs w:val="24"/>
        </w:rPr>
        <w:t>门厅</w:t>
      </w:r>
      <w:r>
        <w:rPr>
          <w:rFonts w:hint="eastAsia" w:cs="MS Mincho" w:asciiTheme="minorEastAsia" w:hAnsiTheme="minorEastAsia" w:eastAsiaTheme="minorEastAsia"/>
          <w:bCs/>
          <w:kern w:val="0"/>
          <w:szCs w:val="24"/>
        </w:rPr>
        <w:t>、前室、公共走道、楼梯</w:t>
      </w:r>
      <w:r>
        <w:rPr>
          <w:rFonts w:hint="eastAsia" w:cs="宋体" w:asciiTheme="minorEastAsia" w:hAnsiTheme="minorEastAsia" w:eastAsiaTheme="minorEastAsia"/>
          <w:bCs/>
          <w:kern w:val="0"/>
          <w:szCs w:val="24"/>
        </w:rPr>
        <w:t>间</w:t>
      </w:r>
      <w:r>
        <w:rPr>
          <w:rFonts w:hint="eastAsia" w:cs="MS Mincho" w:asciiTheme="minorEastAsia" w:hAnsiTheme="minorEastAsia" w:eastAsiaTheme="minorEastAsia"/>
          <w:bCs/>
          <w:kern w:val="0"/>
          <w:szCs w:val="24"/>
        </w:rPr>
        <w:t>等</w:t>
      </w:r>
      <w:r>
        <w:rPr>
          <w:rFonts w:hint="eastAsia" w:cs="宋体" w:asciiTheme="minorEastAsia" w:hAnsiTheme="minorEastAsia" w:eastAsiaTheme="minorEastAsia"/>
          <w:bCs/>
          <w:kern w:val="0"/>
          <w:szCs w:val="24"/>
        </w:rPr>
        <w:t>应设置</w:t>
      </w:r>
      <w:r>
        <w:rPr>
          <w:rFonts w:hint="eastAsia" w:cs="MS Mincho" w:asciiTheme="minorEastAsia" w:hAnsiTheme="minorEastAsia" w:eastAsiaTheme="minorEastAsia"/>
          <w:bCs/>
          <w:kern w:val="0"/>
          <w:szCs w:val="24"/>
        </w:rPr>
        <w:t>人工</w:t>
      </w:r>
      <w:r>
        <w:rPr>
          <w:rFonts w:hint="eastAsia" w:cs="HiddenHorzOCR" w:asciiTheme="minorEastAsia" w:hAnsiTheme="minorEastAsia" w:eastAsiaTheme="minorEastAsia"/>
          <w:bCs/>
          <w:kern w:val="0"/>
          <w:szCs w:val="24"/>
        </w:rPr>
        <w:t>照明，应采用高效节能的照明装置和</w:t>
      </w:r>
      <w:r>
        <w:rPr>
          <w:rFonts w:hint="eastAsia" w:cs="宋体" w:asciiTheme="minorEastAsia" w:hAnsiTheme="minorEastAsia" w:eastAsiaTheme="minorEastAsia"/>
          <w:bCs/>
          <w:kern w:val="0"/>
          <w:szCs w:val="24"/>
        </w:rPr>
        <w:t>延时自熄开关；</w:t>
      </w:r>
    </w:p>
    <w:p w14:paraId="3E172F01">
      <w:pPr>
        <w:autoSpaceDE w:val="0"/>
        <w:autoSpaceDN w:val="0"/>
        <w:ind w:firstLine="482"/>
        <w:rPr>
          <w:rFonts w:asciiTheme="minorEastAsia" w:hAnsiTheme="minorEastAsia" w:eastAsiaTheme="minorEastAsia"/>
          <w:bCs/>
          <w:kern w:val="0"/>
          <w:szCs w:val="24"/>
        </w:rPr>
      </w:pPr>
      <w:r>
        <w:rPr>
          <w:rFonts w:cs="Calibri" w:eastAsiaTheme="minorEastAsia"/>
          <w:b/>
          <w:kern w:val="0"/>
          <w:szCs w:val="24"/>
        </w:rPr>
        <w:t>2</w:t>
      </w:r>
      <w:r>
        <w:rPr>
          <w:rFonts w:cs="HiddenHorzOCR" w:asciiTheme="minorEastAsia" w:hAnsiTheme="minorEastAsia" w:eastAsiaTheme="minorEastAsia"/>
          <w:bCs/>
          <w:kern w:val="0"/>
          <w:szCs w:val="24"/>
        </w:rPr>
        <w:t xml:space="preserve">  </w:t>
      </w:r>
      <w:r>
        <w:rPr>
          <w:rFonts w:hint="eastAsia" w:cs="HiddenHorzOCR" w:asciiTheme="minorEastAsia" w:hAnsiTheme="minorEastAsia" w:eastAsiaTheme="minorEastAsia"/>
          <w:bCs/>
          <w:kern w:val="0"/>
          <w:szCs w:val="24"/>
        </w:rPr>
        <w:t>当住宅建筑</w:t>
      </w:r>
      <w:r>
        <w:rPr>
          <w:rFonts w:hint="eastAsia" w:cs="宋体" w:asciiTheme="minorEastAsia" w:hAnsiTheme="minorEastAsia" w:eastAsiaTheme="minorEastAsia"/>
          <w:bCs/>
          <w:kern w:val="0"/>
          <w:szCs w:val="24"/>
        </w:rPr>
        <w:t>设</w:t>
      </w:r>
      <w:r>
        <w:rPr>
          <w:rFonts w:hint="eastAsia" w:cs="MS Mincho" w:asciiTheme="minorEastAsia" w:hAnsiTheme="minorEastAsia" w:eastAsiaTheme="minorEastAsia"/>
          <w:bCs/>
          <w:kern w:val="0"/>
          <w:szCs w:val="24"/>
        </w:rPr>
        <w:t>置航空障碍</w:t>
      </w:r>
      <w:r>
        <w:rPr>
          <w:rFonts w:hint="eastAsia" w:cs="宋体" w:asciiTheme="minorEastAsia" w:hAnsiTheme="minorEastAsia" w:eastAsiaTheme="minorEastAsia"/>
          <w:bCs/>
          <w:kern w:val="0"/>
          <w:szCs w:val="24"/>
        </w:rPr>
        <w:t>标</w:t>
      </w:r>
      <w:r>
        <w:rPr>
          <w:rFonts w:hint="eastAsia" w:cs="MS Mincho" w:asciiTheme="minorEastAsia" w:hAnsiTheme="minorEastAsia" w:eastAsiaTheme="minorEastAsia"/>
          <w:bCs/>
          <w:kern w:val="0"/>
          <w:szCs w:val="24"/>
        </w:rPr>
        <w:t>志灯</w:t>
      </w:r>
      <w:r>
        <w:rPr>
          <w:rFonts w:hint="eastAsia" w:cs="宋体" w:asciiTheme="minorEastAsia" w:hAnsiTheme="minorEastAsia" w:eastAsiaTheme="minorEastAsia"/>
          <w:bCs/>
          <w:kern w:val="0"/>
          <w:szCs w:val="24"/>
        </w:rPr>
        <w:t>时</w:t>
      </w:r>
      <w:r>
        <w:rPr>
          <w:rFonts w:hint="eastAsia" w:cs="MS Mincho" w:asciiTheme="minorEastAsia" w:hAnsiTheme="minorEastAsia" w:eastAsiaTheme="minorEastAsia"/>
          <w:bCs/>
          <w:kern w:val="0"/>
          <w:szCs w:val="24"/>
        </w:rPr>
        <w:t>，其</w:t>
      </w:r>
      <w:r>
        <w:rPr>
          <w:rFonts w:hint="eastAsia" w:cs="宋体" w:asciiTheme="minorEastAsia" w:hAnsiTheme="minorEastAsia" w:eastAsiaTheme="minorEastAsia"/>
          <w:bCs/>
          <w:kern w:val="0"/>
          <w:szCs w:val="24"/>
        </w:rPr>
        <w:t>电</w:t>
      </w:r>
      <w:r>
        <w:rPr>
          <w:rFonts w:hint="eastAsia" w:cs="MS Mincho" w:asciiTheme="minorEastAsia" w:hAnsiTheme="minorEastAsia" w:eastAsiaTheme="minorEastAsia"/>
          <w:bCs/>
          <w:kern w:val="0"/>
          <w:szCs w:val="24"/>
        </w:rPr>
        <w:t>源</w:t>
      </w:r>
      <w:r>
        <w:rPr>
          <w:rFonts w:hint="eastAsia" w:cs="宋体" w:asciiTheme="minorEastAsia" w:hAnsiTheme="minorEastAsia" w:eastAsiaTheme="minorEastAsia"/>
          <w:bCs/>
          <w:kern w:val="0"/>
          <w:szCs w:val="24"/>
        </w:rPr>
        <w:t>应</w:t>
      </w:r>
      <w:r>
        <w:rPr>
          <w:rFonts w:hint="eastAsia" w:cs="MS Mincho" w:asciiTheme="minorEastAsia" w:hAnsiTheme="minorEastAsia" w:eastAsiaTheme="minorEastAsia"/>
          <w:bCs/>
          <w:kern w:val="0"/>
          <w:szCs w:val="24"/>
        </w:rPr>
        <w:t>按</w:t>
      </w:r>
      <w:r>
        <w:rPr>
          <w:rFonts w:hint="eastAsia" w:cs="宋体" w:asciiTheme="minorEastAsia" w:hAnsiTheme="minorEastAsia" w:eastAsiaTheme="minorEastAsia"/>
          <w:bCs/>
          <w:kern w:val="0"/>
          <w:szCs w:val="24"/>
        </w:rPr>
        <w:t>该</w:t>
      </w:r>
      <w:r>
        <w:rPr>
          <w:rFonts w:hint="eastAsia" w:cs="MS Mincho" w:asciiTheme="minorEastAsia" w:hAnsiTheme="minorEastAsia" w:eastAsiaTheme="minorEastAsia"/>
          <w:bCs/>
          <w:kern w:val="0"/>
          <w:szCs w:val="24"/>
        </w:rPr>
        <w:t>住宅</w:t>
      </w:r>
      <w:r>
        <w:rPr>
          <w:rFonts w:hint="eastAsia" w:cs="HiddenHorzOCR" w:asciiTheme="minorEastAsia" w:hAnsiTheme="minorEastAsia" w:eastAsiaTheme="minorEastAsia"/>
          <w:bCs/>
          <w:kern w:val="0"/>
          <w:szCs w:val="24"/>
        </w:rPr>
        <w:t>建筑中最高</w:t>
      </w:r>
      <w:r>
        <w:rPr>
          <w:rFonts w:hint="eastAsia" w:cs="宋体" w:asciiTheme="minorEastAsia" w:hAnsiTheme="minorEastAsia" w:eastAsiaTheme="minorEastAsia"/>
          <w:bCs/>
          <w:kern w:val="0"/>
          <w:szCs w:val="24"/>
        </w:rPr>
        <w:t>负</w:t>
      </w:r>
      <w:r>
        <w:rPr>
          <w:rFonts w:hint="eastAsia" w:cs="MS Mincho" w:asciiTheme="minorEastAsia" w:hAnsiTheme="minorEastAsia" w:eastAsiaTheme="minorEastAsia"/>
          <w:bCs/>
          <w:kern w:val="0"/>
          <w:szCs w:val="24"/>
        </w:rPr>
        <w:t>荷等</w:t>
      </w:r>
      <w:r>
        <w:rPr>
          <w:rFonts w:hint="eastAsia" w:cs="宋体" w:asciiTheme="minorEastAsia" w:hAnsiTheme="minorEastAsia" w:eastAsiaTheme="minorEastAsia"/>
          <w:bCs/>
          <w:kern w:val="0"/>
          <w:szCs w:val="24"/>
        </w:rPr>
        <w:t>级</w:t>
      </w:r>
      <w:r>
        <w:rPr>
          <w:rFonts w:hint="eastAsia" w:cs="MS Mincho" w:asciiTheme="minorEastAsia" w:hAnsiTheme="minorEastAsia" w:eastAsiaTheme="minorEastAsia"/>
          <w:bCs/>
          <w:kern w:val="0"/>
          <w:szCs w:val="24"/>
        </w:rPr>
        <w:t>要求供</w:t>
      </w:r>
      <w:r>
        <w:rPr>
          <w:rFonts w:hint="eastAsia" w:cs="宋体" w:asciiTheme="minorEastAsia" w:hAnsiTheme="minorEastAsia" w:eastAsiaTheme="minorEastAsia"/>
          <w:bCs/>
          <w:kern w:val="0"/>
          <w:szCs w:val="24"/>
        </w:rPr>
        <w:t>电</w:t>
      </w:r>
      <w:r>
        <w:rPr>
          <w:rFonts w:hint="eastAsia" w:cs="MS Mincho" w:asciiTheme="minorEastAsia" w:hAnsiTheme="minorEastAsia" w:eastAsiaTheme="minorEastAsia"/>
          <w:bCs/>
          <w:kern w:val="0"/>
          <w:szCs w:val="24"/>
        </w:rPr>
        <w:t>。</w:t>
      </w:r>
      <w:r>
        <w:rPr>
          <w:rFonts w:asciiTheme="minorEastAsia" w:hAnsiTheme="minorEastAsia" w:eastAsiaTheme="minorEastAsia"/>
          <w:bCs/>
          <w:kern w:val="0"/>
          <w:szCs w:val="24"/>
        </w:rPr>
        <w:t xml:space="preserve"> </w:t>
      </w:r>
    </w:p>
    <w:p w14:paraId="1A7304D2">
      <w:pPr>
        <w:pStyle w:val="4"/>
        <w:numPr>
          <w:ilvl w:val="2"/>
          <w:numId w:val="11"/>
        </w:numPr>
        <w:tabs>
          <w:tab w:val="clear" w:pos="0"/>
        </w:tabs>
        <w:ind w:firstLine="0" w:firstLineChars="0"/>
        <w:rPr>
          <w:rFonts w:cs="宋体"/>
          <w:bCs w:val="0"/>
          <w:iCs/>
          <w:lang w:val="en-US"/>
        </w:rPr>
      </w:pPr>
      <w:r>
        <w:rPr>
          <w:rFonts w:hint="eastAsia" w:cs="宋体"/>
          <w:bCs w:val="0"/>
          <w:iCs/>
          <w:lang w:val="en-US"/>
        </w:rPr>
        <w:t>应急照明应符合下列规定：</w:t>
      </w:r>
    </w:p>
    <w:p w14:paraId="498C9C65">
      <w:pPr>
        <w:autoSpaceDE w:val="0"/>
        <w:autoSpaceDN w:val="0"/>
        <w:ind w:left="5" w:firstLine="475" w:firstLineChars="197"/>
        <w:rPr>
          <w:rFonts w:cs="MS Mincho" w:asciiTheme="minorEastAsia" w:hAnsiTheme="minorEastAsia" w:eastAsiaTheme="minorEastAsia"/>
          <w:bCs/>
          <w:kern w:val="0"/>
          <w:szCs w:val="24"/>
        </w:rPr>
      </w:pPr>
      <w:r>
        <w:rPr>
          <w:rFonts w:cs="Calibri"/>
          <w:b/>
          <w:szCs w:val="32"/>
        </w:rPr>
        <w:t>1</w:t>
      </w:r>
      <w:r>
        <w:rPr>
          <w:bCs/>
        </w:rPr>
        <w:t xml:space="preserve">  </w:t>
      </w:r>
      <w:r>
        <w:rPr>
          <w:rFonts w:hint="eastAsia" w:cs="HiddenHorzOCR" w:asciiTheme="minorEastAsia" w:hAnsiTheme="minorEastAsia" w:eastAsiaTheme="minorEastAsia"/>
          <w:bCs/>
          <w:kern w:val="0"/>
          <w:szCs w:val="24"/>
        </w:rPr>
        <w:t>高层住宅建筑的封闭楼梯间、防烟楼梯间及其前室、消防电梯间的前室或合用前室、长度超过</w:t>
      </w:r>
      <w:r>
        <w:rPr>
          <w:rFonts w:cs="HiddenHorzOCR" w:asciiTheme="minorEastAsia" w:hAnsiTheme="minorEastAsia" w:eastAsiaTheme="minorEastAsia"/>
          <w:bCs/>
          <w:kern w:val="0"/>
          <w:szCs w:val="24"/>
        </w:rPr>
        <w:t>20m的内走道、避难走道、避难层（间）应设置疏散照明</w:t>
      </w:r>
      <w:r>
        <w:rPr>
          <w:rFonts w:hint="eastAsia" w:cs="HiddenHorzOCR" w:asciiTheme="minorEastAsia" w:hAnsiTheme="minorEastAsia" w:eastAsiaTheme="minorEastAsia"/>
          <w:bCs/>
          <w:kern w:val="0"/>
          <w:szCs w:val="24"/>
        </w:rPr>
        <w:t>；</w:t>
      </w:r>
    </w:p>
    <w:p w14:paraId="325899B2">
      <w:pPr>
        <w:autoSpaceDE w:val="0"/>
        <w:autoSpaceDN w:val="0"/>
        <w:ind w:left="5" w:firstLine="475" w:firstLineChars="197"/>
        <w:rPr>
          <w:bCs/>
        </w:rPr>
      </w:pPr>
      <w:r>
        <w:rPr>
          <w:rFonts w:cs="Calibri"/>
          <w:b/>
          <w:szCs w:val="32"/>
        </w:rPr>
        <w:t>2</w:t>
      </w:r>
      <w:r>
        <w:rPr>
          <w:rFonts w:cs="MS Mincho" w:asciiTheme="minorEastAsia" w:hAnsiTheme="minorEastAsia" w:eastAsiaTheme="minorEastAsia"/>
          <w:bCs/>
          <w:kern w:val="0"/>
          <w:szCs w:val="24"/>
        </w:rPr>
        <w:t xml:space="preserve">  </w:t>
      </w:r>
      <w:r>
        <w:rPr>
          <w:rFonts w:hint="eastAsia" w:cs="MS Mincho" w:asciiTheme="minorEastAsia" w:hAnsiTheme="minorEastAsia" w:eastAsiaTheme="minorEastAsia"/>
          <w:bCs/>
          <w:kern w:val="0"/>
          <w:szCs w:val="24"/>
        </w:rPr>
        <w:t>高层住宅建筑</w:t>
      </w:r>
      <w:r>
        <w:rPr>
          <w:rFonts w:hint="eastAsia" w:cs="宋体" w:asciiTheme="minorEastAsia" w:hAnsiTheme="minorEastAsia" w:eastAsiaTheme="minorEastAsia"/>
          <w:bCs/>
          <w:kern w:val="0"/>
          <w:szCs w:val="24"/>
        </w:rPr>
        <w:t>应设</w:t>
      </w:r>
      <w:r>
        <w:rPr>
          <w:rFonts w:hint="eastAsia" w:cs="MS Mincho" w:asciiTheme="minorEastAsia" w:hAnsiTheme="minorEastAsia" w:eastAsiaTheme="minorEastAsia"/>
          <w:bCs/>
          <w:kern w:val="0"/>
          <w:szCs w:val="24"/>
        </w:rPr>
        <w:t>置灯光疏散指</w:t>
      </w:r>
      <w:r>
        <w:rPr>
          <w:rFonts w:hint="eastAsia" w:cs="HiddenHorzOCR" w:asciiTheme="minorEastAsia" w:hAnsiTheme="minorEastAsia" w:eastAsiaTheme="minorEastAsia"/>
          <w:bCs/>
          <w:kern w:val="0"/>
          <w:szCs w:val="24"/>
        </w:rPr>
        <w:t>示</w:t>
      </w:r>
      <w:r>
        <w:rPr>
          <w:rFonts w:hint="eastAsia" w:cs="宋体" w:asciiTheme="minorEastAsia" w:hAnsiTheme="minorEastAsia" w:eastAsiaTheme="minorEastAsia"/>
          <w:bCs/>
          <w:kern w:val="0"/>
          <w:szCs w:val="24"/>
        </w:rPr>
        <w:t>标</w:t>
      </w:r>
      <w:r>
        <w:rPr>
          <w:rFonts w:hint="eastAsia" w:cs="MS Mincho" w:asciiTheme="minorEastAsia" w:hAnsiTheme="minorEastAsia" w:eastAsiaTheme="minorEastAsia"/>
          <w:bCs/>
          <w:kern w:val="0"/>
          <w:szCs w:val="24"/>
        </w:rPr>
        <w:t>志。</w:t>
      </w:r>
      <w:r>
        <w:rPr>
          <w:rFonts w:hint="eastAsia" w:cs="HiddenHorzOCR" w:asciiTheme="minorEastAsia" w:hAnsiTheme="minorEastAsia" w:eastAsiaTheme="minorEastAsia"/>
          <w:bCs/>
          <w:kern w:val="0"/>
          <w:szCs w:val="24"/>
        </w:rPr>
        <w:t>消防安全疏散标志的设置应符合现行</w:t>
      </w:r>
      <w:r>
        <w:rPr>
          <w:rFonts w:cs="HiddenHorzOCR" w:asciiTheme="minorEastAsia" w:hAnsiTheme="minorEastAsia" w:eastAsiaTheme="minorEastAsia"/>
          <w:bCs/>
          <w:kern w:val="0"/>
          <w:szCs w:val="24"/>
        </w:rPr>
        <w:t>国家标准</w:t>
      </w:r>
      <w:r>
        <w:rPr>
          <w:rFonts w:hint="eastAsia" w:cs="HiddenHorzOCR" w:asciiTheme="minorEastAsia" w:hAnsiTheme="minorEastAsia" w:eastAsiaTheme="minorEastAsia"/>
          <w:bCs/>
          <w:kern w:val="0"/>
          <w:szCs w:val="24"/>
        </w:rPr>
        <w:t>《消防应急照明和疏散指示系统技术标准》GB51309</w:t>
      </w:r>
      <w:r>
        <w:rPr>
          <w:rFonts w:cs="HiddenHorzOCR" w:asciiTheme="minorEastAsia" w:hAnsiTheme="minorEastAsia" w:eastAsiaTheme="minorEastAsia"/>
          <w:bCs/>
          <w:kern w:val="0"/>
          <w:szCs w:val="24"/>
        </w:rPr>
        <w:t>的规定</w:t>
      </w:r>
      <w:r>
        <w:rPr>
          <w:rFonts w:hint="eastAsia" w:cs="HiddenHorzOCR" w:asciiTheme="minorEastAsia" w:hAnsiTheme="minorEastAsia" w:eastAsiaTheme="minorEastAsia"/>
          <w:bCs/>
          <w:kern w:val="0"/>
          <w:szCs w:val="24"/>
        </w:rPr>
        <w:t>；</w:t>
      </w:r>
    </w:p>
    <w:p w14:paraId="0C0D14B0">
      <w:pPr>
        <w:autoSpaceDE w:val="0"/>
        <w:autoSpaceDN w:val="0"/>
        <w:ind w:left="5" w:firstLine="475" w:firstLineChars="197"/>
        <w:rPr>
          <w:rFonts w:cs="HiddenHorzOCR" w:asciiTheme="minorEastAsia" w:hAnsiTheme="minorEastAsia" w:eastAsiaTheme="minorEastAsia"/>
          <w:bCs/>
          <w:kern w:val="0"/>
          <w:szCs w:val="24"/>
        </w:rPr>
      </w:pPr>
      <w:r>
        <w:rPr>
          <w:rFonts w:cs="Calibri"/>
          <w:b/>
          <w:szCs w:val="32"/>
        </w:rPr>
        <w:t>3</w:t>
      </w:r>
      <w:r>
        <w:rPr>
          <w:rFonts w:cs="MS Mincho" w:asciiTheme="minorEastAsia" w:hAnsiTheme="minorEastAsia" w:eastAsiaTheme="minorEastAsia"/>
          <w:bCs/>
          <w:kern w:val="0"/>
          <w:szCs w:val="24"/>
        </w:rPr>
        <w:t xml:space="preserve">  </w:t>
      </w:r>
      <w:r>
        <w:rPr>
          <w:rFonts w:hint="eastAsia" w:cs="HiddenHorzOCR" w:asciiTheme="minorEastAsia" w:hAnsiTheme="minorEastAsia" w:eastAsiaTheme="minorEastAsia"/>
          <w:bCs/>
          <w:kern w:val="0"/>
          <w:szCs w:val="24"/>
        </w:rPr>
        <w:t>高</w:t>
      </w:r>
      <w:r>
        <w:rPr>
          <w:rFonts w:hint="eastAsia" w:cs="宋体" w:asciiTheme="minorEastAsia" w:hAnsiTheme="minorEastAsia" w:eastAsiaTheme="minorEastAsia"/>
          <w:bCs/>
          <w:kern w:val="0"/>
          <w:szCs w:val="24"/>
        </w:rPr>
        <w:t>层</w:t>
      </w:r>
      <w:r>
        <w:rPr>
          <w:rFonts w:hint="eastAsia" w:cs="MS Mincho" w:asciiTheme="minorEastAsia" w:hAnsiTheme="minorEastAsia" w:eastAsiaTheme="minorEastAsia"/>
          <w:bCs/>
          <w:kern w:val="0"/>
          <w:szCs w:val="24"/>
        </w:rPr>
        <w:t>住宅建筑楼梯</w:t>
      </w:r>
      <w:r>
        <w:rPr>
          <w:rFonts w:hint="eastAsia" w:cs="宋体" w:asciiTheme="minorEastAsia" w:hAnsiTheme="minorEastAsia" w:eastAsiaTheme="minorEastAsia"/>
          <w:bCs/>
          <w:kern w:val="0"/>
          <w:szCs w:val="24"/>
        </w:rPr>
        <w:t>间应</w:t>
      </w:r>
      <w:r>
        <w:rPr>
          <w:rFonts w:hint="eastAsia" w:cs="MS Mincho" w:asciiTheme="minorEastAsia" w:hAnsiTheme="minorEastAsia" w:eastAsiaTheme="minorEastAsia"/>
          <w:bCs/>
          <w:kern w:val="0"/>
          <w:szCs w:val="24"/>
        </w:rPr>
        <w:t>急照明可采用不同回路跨楼</w:t>
      </w:r>
      <w:r>
        <w:rPr>
          <w:rFonts w:hint="eastAsia" w:cs="宋体" w:asciiTheme="minorEastAsia" w:hAnsiTheme="minorEastAsia" w:eastAsiaTheme="minorEastAsia"/>
          <w:bCs/>
          <w:kern w:val="0"/>
          <w:szCs w:val="24"/>
        </w:rPr>
        <w:t>层竖</w:t>
      </w:r>
      <w:r>
        <w:rPr>
          <w:rFonts w:hint="eastAsia" w:cs="HiddenHorzOCR" w:asciiTheme="minorEastAsia" w:hAnsiTheme="minorEastAsia" w:eastAsiaTheme="minorEastAsia"/>
          <w:bCs/>
          <w:kern w:val="0"/>
          <w:szCs w:val="24"/>
        </w:rPr>
        <w:t>向供</w:t>
      </w:r>
      <w:r>
        <w:rPr>
          <w:rFonts w:hint="eastAsia" w:cs="宋体" w:asciiTheme="minorEastAsia" w:hAnsiTheme="minorEastAsia" w:eastAsiaTheme="minorEastAsia"/>
          <w:bCs/>
          <w:kern w:val="0"/>
          <w:szCs w:val="24"/>
        </w:rPr>
        <w:t>电</w:t>
      </w:r>
      <w:r>
        <w:rPr>
          <w:rFonts w:hint="eastAsia" w:cs="MS Mincho" w:asciiTheme="minorEastAsia" w:hAnsiTheme="minorEastAsia" w:eastAsiaTheme="minorEastAsia"/>
          <w:bCs/>
          <w:kern w:val="0"/>
          <w:szCs w:val="24"/>
        </w:rPr>
        <w:t>，每个回路的光源数不宜超过25个或发光二极管灯具数不宜超</w:t>
      </w:r>
      <w:r>
        <w:rPr>
          <w:rFonts w:hint="eastAsia" w:cs="宋体" w:asciiTheme="minorEastAsia" w:hAnsiTheme="minorEastAsia" w:eastAsiaTheme="minorEastAsia"/>
          <w:bCs/>
          <w:kern w:val="0"/>
          <w:szCs w:val="24"/>
        </w:rPr>
        <w:t>过</w:t>
      </w:r>
      <w:r>
        <w:rPr>
          <w:rFonts w:cs="HiddenHorzOCR" w:asciiTheme="minorEastAsia" w:hAnsiTheme="minorEastAsia" w:eastAsiaTheme="minorEastAsia"/>
          <w:bCs/>
          <w:kern w:val="0"/>
          <w:szCs w:val="24"/>
        </w:rPr>
        <w:t>60</w:t>
      </w:r>
      <w:r>
        <w:rPr>
          <w:rFonts w:hint="eastAsia" w:cs="HiddenHorzOCR" w:asciiTheme="minorEastAsia" w:hAnsiTheme="minorEastAsia" w:eastAsiaTheme="minorEastAsia"/>
          <w:bCs/>
          <w:kern w:val="0"/>
          <w:szCs w:val="24"/>
        </w:rPr>
        <w:t>个；</w:t>
      </w:r>
    </w:p>
    <w:p w14:paraId="6CDF614D">
      <w:pPr>
        <w:autoSpaceDE w:val="0"/>
        <w:autoSpaceDN w:val="0"/>
        <w:ind w:left="5" w:firstLine="475" w:firstLineChars="197"/>
        <w:rPr>
          <w:rFonts w:cs="HiddenHorzOCR" w:asciiTheme="minorEastAsia" w:hAnsiTheme="minorEastAsia"/>
          <w:bCs/>
          <w:kern w:val="0"/>
        </w:rPr>
      </w:pPr>
      <w:r>
        <w:rPr>
          <w:rFonts w:cs="Calibri"/>
          <w:b/>
          <w:szCs w:val="32"/>
        </w:rPr>
        <w:t>4</w:t>
      </w:r>
      <w:r>
        <w:rPr>
          <w:rFonts w:cs="MS Mincho" w:asciiTheme="minorEastAsia" w:hAnsiTheme="minorEastAsia" w:eastAsiaTheme="minorEastAsia"/>
          <w:bCs/>
          <w:kern w:val="0"/>
          <w:szCs w:val="24"/>
        </w:rPr>
        <w:t xml:space="preserve">  </w:t>
      </w:r>
      <w:r>
        <w:rPr>
          <w:rFonts w:hint="eastAsia" w:cs="HiddenHorzOCR" w:asciiTheme="minorEastAsia" w:hAnsiTheme="minorEastAsia"/>
          <w:bCs/>
          <w:kern w:val="0"/>
        </w:rPr>
        <w:t>住宅底商应急照明负荷等级应与住宅建筑最高供电负荷等级相同。高层住宅建筑底商应单独设置应急照明配电箱；</w:t>
      </w:r>
    </w:p>
    <w:p w14:paraId="50A4BE1C">
      <w:pPr>
        <w:autoSpaceDE w:val="0"/>
        <w:autoSpaceDN w:val="0"/>
        <w:ind w:left="5" w:firstLine="475" w:firstLineChars="197"/>
        <w:rPr>
          <w:rFonts w:cs="Calibri"/>
          <w:bCs/>
          <w:szCs w:val="32"/>
        </w:rPr>
      </w:pPr>
      <w:r>
        <w:rPr>
          <w:rFonts w:cs="Calibri"/>
          <w:b/>
          <w:szCs w:val="32"/>
        </w:rPr>
        <w:t>5</w:t>
      </w:r>
      <w:r>
        <w:rPr>
          <w:rFonts w:cs="MS Mincho" w:asciiTheme="minorEastAsia" w:hAnsiTheme="minorEastAsia" w:eastAsiaTheme="minorEastAsia"/>
          <w:bCs/>
          <w:kern w:val="0"/>
          <w:szCs w:val="24"/>
        </w:rPr>
        <w:t xml:space="preserve">  </w:t>
      </w:r>
      <w:r>
        <w:rPr>
          <w:rFonts w:hint="eastAsia" w:cs="MS Mincho" w:asciiTheme="minorEastAsia" w:hAnsiTheme="minorEastAsia" w:eastAsiaTheme="minorEastAsia"/>
          <w:bCs/>
          <w:kern w:val="0"/>
          <w:szCs w:val="24"/>
        </w:rPr>
        <w:t>当</w:t>
      </w:r>
      <w:r>
        <w:rPr>
          <w:rFonts w:hint="eastAsia" w:cs="宋体" w:asciiTheme="minorEastAsia" w:hAnsiTheme="minorEastAsia" w:eastAsiaTheme="minorEastAsia"/>
          <w:bCs/>
          <w:kern w:val="0"/>
          <w:szCs w:val="24"/>
        </w:rPr>
        <w:t>应</w:t>
      </w:r>
      <w:r>
        <w:rPr>
          <w:rFonts w:hint="eastAsia" w:cs="MS Mincho" w:asciiTheme="minorEastAsia" w:hAnsiTheme="minorEastAsia" w:eastAsiaTheme="minorEastAsia"/>
          <w:bCs/>
          <w:kern w:val="0"/>
          <w:szCs w:val="24"/>
        </w:rPr>
        <w:t>急照明作为</w:t>
      </w:r>
      <w:r>
        <w:rPr>
          <w:rFonts w:cs="MS Mincho" w:asciiTheme="minorEastAsia" w:hAnsiTheme="minorEastAsia" w:eastAsiaTheme="minorEastAsia"/>
          <w:bCs/>
          <w:kern w:val="0"/>
          <w:szCs w:val="24"/>
        </w:rPr>
        <w:t>普通照明</w:t>
      </w:r>
      <w:r>
        <w:rPr>
          <w:rFonts w:hint="eastAsia" w:cs="MS Mincho" w:asciiTheme="minorEastAsia" w:hAnsiTheme="minorEastAsia" w:eastAsiaTheme="minorEastAsia"/>
          <w:bCs/>
          <w:kern w:val="0"/>
          <w:szCs w:val="24"/>
        </w:rPr>
        <w:t>并采用</w:t>
      </w:r>
      <w:r>
        <w:rPr>
          <w:rFonts w:hint="eastAsia" w:cs="宋体" w:asciiTheme="minorEastAsia" w:hAnsiTheme="minorEastAsia" w:eastAsiaTheme="minorEastAsia"/>
          <w:bCs/>
          <w:kern w:val="0"/>
          <w:szCs w:val="24"/>
        </w:rPr>
        <w:t>节</w:t>
      </w:r>
      <w:r>
        <w:rPr>
          <w:rFonts w:hint="eastAsia" w:cs="MS Mincho" w:asciiTheme="minorEastAsia" w:hAnsiTheme="minorEastAsia" w:eastAsiaTheme="minorEastAsia"/>
          <w:bCs/>
          <w:kern w:val="0"/>
          <w:szCs w:val="24"/>
        </w:rPr>
        <w:t>能自熄开关控制</w:t>
      </w:r>
      <w:r>
        <w:rPr>
          <w:rFonts w:hint="eastAsia" w:cs="宋体" w:asciiTheme="minorEastAsia" w:hAnsiTheme="minorEastAsia" w:eastAsiaTheme="minorEastAsia"/>
          <w:bCs/>
          <w:kern w:val="0"/>
          <w:szCs w:val="24"/>
        </w:rPr>
        <w:t>时</w:t>
      </w:r>
      <w:r>
        <w:rPr>
          <w:rFonts w:hint="eastAsia" w:cs="MS Mincho" w:asciiTheme="minorEastAsia" w:hAnsiTheme="minorEastAsia" w:eastAsiaTheme="minorEastAsia"/>
          <w:bCs/>
          <w:kern w:val="0"/>
          <w:szCs w:val="24"/>
        </w:rPr>
        <w:t>，应采取消防时</w:t>
      </w:r>
      <w:r>
        <w:rPr>
          <w:rFonts w:hint="eastAsia" w:cs="宋体" w:asciiTheme="minorEastAsia" w:hAnsiTheme="minorEastAsia" w:eastAsiaTheme="minorEastAsia"/>
          <w:bCs/>
          <w:kern w:val="0"/>
          <w:szCs w:val="24"/>
        </w:rPr>
        <w:t>应</w:t>
      </w:r>
      <w:r>
        <w:rPr>
          <w:rFonts w:hint="eastAsia" w:cs="MS Mincho" w:asciiTheme="minorEastAsia" w:hAnsiTheme="minorEastAsia" w:eastAsiaTheme="minorEastAsia"/>
          <w:bCs/>
          <w:kern w:val="0"/>
          <w:szCs w:val="24"/>
        </w:rPr>
        <w:t>急点</w:t>
      </w:r>
      <w:r>
        <w:rPr>
          <w:rFonts w:cs="Calibri"/>
          <w:bCs/>
          <w:szCs w:val="32"/>
        </w:rPr>
        <w:t>亮的措施；</w:t>
      </w:r>
    </w:p>
    <w:p w14:paraId="5B1E0AD1">
      <w:pPr>
        <w:autoSpaceDE w:val="0"/>
        <w:autoSpaceDN w:val="0"/>
        <w:ind w:left="5" w:firstLine="475" w:firstLineChars="197"/>
        <w:rPr>
          <w:rFonts w:cs="Calibri"/>
          <w:bCs/>
          <w:szCs w:val="32"/>
        </w:rPr>
      </w:pPr>
      <w:r>
        <w:rPr>
          <w:rFonts w:cs="Calibri"/>
          <w:b/>
          <w:szCs w:val="32"/>
        </w:rPr>
        <w:t>6</w:t>
      </w:r>
      <w:r>
        <w:rPr>
          <w:rFonts w:cs="Calibri"/>
          <w:bCs/>
          <w:szCs w:val="32"/>
        </w:rPr>
        <w:t xml:space="preserve">  应急照明应由消防专用回路供电。应急照明的回路上不应设置与其无关的电源插座，当需要设应急灯专用充电插座时应单独组成回路；</w:t>
      </w:r>
    </w:p>
    <w:p w14:paraId="2A91DB2E">
      <w:pPr>
        <w:autoSpaceDE w:val="0"/>
        <w:autoSpaceDN w:val="0"/>
        <w:ind w:left="5" w:firstLine="475" w:firstLineChars="197"/>
        <w:rPr>
          <w:rFonts w:cs="Calibri"/>
          <w:bCs/>
          <w:szCs w:val="32"/>
        </w:rPr>
      </w:pPr>
      <w:r>
        <w:rPr>
          <w:rFonts w:cs="Calibri"/>
          <w:b/>
          <w:szCs w:val="32"/>
        </w:rPr>
        <w:t>7</w:t>
      </w:r>
      <w:r>
        <w:rPr>
          <w:rFonts w:cs="Calibri"/>
          <w:bCs/>
          <w:szCs w:val="32"/>
        </w:rPr>
        <w:t xml:space="preserve">  应急照明的备用电源及照度要求还应符合现行国家标准《建筑设计防火规范》GB50016的规定。</w:t>
      </w:r>
    </w:p>
    <w:p w14:paraId="389232BA">
      <w:pPr>
        <w:pStyle w:val="4"/>
        <w:numPr>
          <w:ilvl w:val="2"/>
          <w:numId w:val="11"/>
        </w:numPr>
        <w:tabs>
          <w:tab w:val="clear" w:pos="0"/>
        </w:tabs>
        <w:ind w:firstLine="0" w:firstLineChars="0"/>
        <w:rPr>
          <w:rFonts w:cs="宋体"/>
          <w:bCs w:val="0"/>
          <w:iCs/>
          <w:lang w:val="en-US"/>
        </w:rPr>
      </w:pPr>
      <w:r>
        <w:rPr>
          <w:rFonts w:hint="eastAsia" w:cs="宋体"/>
          <w:bCs w:val="0"/>
          <w:iCs/>
          <w:lang w:val="en-US"/>
        </w:rPr>
        <w:t>套内照明应符合下列规定：</w:t>
      </w:r>
    </w:p>
    <w:p w14:paraId="5BB0DA31">
      <w:pPr>
        <w:autoSpaceDE w:val="0"/>
        <w:autoSpaceDN w:val="0"/>
        <w:ind w:left="5" w:firstLine="475" w:firstLineChars="197"/>
        <w:rPr>
          <w:rFonts w:cs="HiddenHorzOCR" w:asciiTheme="minorEastAsia" w:hAnsiTheme="minorEastAsia" w:eastAsiaTheme="minorEastAsia"/>
          <w:kern w:val="0"/>
          <w:szCs w:val="24"/>
        </w:rPr>
      </w:pPr>
      <w:r>
        <w:rPr>
          <w:rFonts w:cs="Calibri"/>
          <w:b/>
          <w:szCs w:val="32"/>
        </w:rPr>
        <w:t>1</w:t>
      </w:r>
      <w:r>
        <w:rPr>
          <w:rFonts w:asciiTheme="minorEastAsia" w:hAnsiTheme="minorEastAsia" w:eastAsiaTheme="minorEastAsia"/>
          <w:szCs w:val="24"/>
        </w:rPr>
        <w:t xml:space="preserve">  </w:t>
      </w:r>
      <w:r>
        <w:rPr>
          <w:rFonts w:hint="eastAsia" w:cs="HiddenHorzOCR" w:asciiTheme="minorEastAsia" w:hAnsiTheme="minorEastAsia" w:eastAsiaTheme="minorEastAsia"/>
          <w:kern w:val="0"/>
          <w:szCs w:val="24"/>
        </w:rPr>
        <w:t>起居室</w:t>
      </w:r>
      <w:r>
        <w:rPr>
          <w:rFonts w:hint="eastAsia" w:cs="HiddenHorzOCR" w:asciiTheme="minorEastAsia" w:hAnsiTheme="minorEastAsia" w:eastAsiaTheme="minorEastAsia"/>
          <w:kern w:val="0"/>
          <w:szCs w:val="24"/>
          <w:lang w:eastAsia="zh-CN"/>
        </w:rPr>
        <w:t>（</w:t>
      </w:r>
      <w:r>
        <w:rPr>
          <w:rFonts w:hint="eastAsia" w:cs="宋体" w:asciiTheme="minorEastAsia" w:hAnsiTheme="minorEastAsia" w:eastAsiaTheme="minorEastAsia"/>
          <w:kern w:val="0"/>
          <w:szCs w:val="24"/>
        </w:rPr>
        <w:t>厅</w:t>
      </w:r>
      <w:r>
        <w:rPr>
          <w:rFonts w:hint="eastAsia" w:cs="宋体" w:asciiTheme="minorEastAsia" w:hAnsiTheme="minorEastAsia" w:eastAsiaTheme="minorEastAsia"/>
          <w:kern w:val="0"/>
          <w:szCs w:val="24"/>
          <w:lang w:eastAsia="zh-CN"/>
        </w:rPr>
        <w:t>）</w:t>
      </w:r>
      <w:r>
        <w:rPr>
          <w:rFonts w:hint="eastAsia" w:cs="HiddenHorzOCR" w:asciiTheme="minorEastAsia" w:hAnsiTheme="minorEastAsia" w:eastAsiaTheme="minorEastAsia"/>
          <w:kern w:val="0"/>
          <w:szCs w:val="24"/>
        </w:rPr>
        <w:t>、餐</w:t>
      </w:r>
      <w:r>
        <w:rPr>
          <w:rFonts w:hint="eastAsia" w:cs="宋体" w:asciiTheme="minorEastAsia" w:hAnsiTheme="minorEastAsia" w:eastAsiaTheme="minorEastAsia"/>
          <w:kern w:val="0"/>
          <w:szCs w:val="24"/>
        </w:rPr>
        <w:t>厅</w:t>
      </w:r>
      <w:r>
        <w:rPr>
          <w:rFonts w:hint="eastAsia" w:cs="MS Mincho" w:asciiTheme="minorEastAsia" w:hAnsiTheme="minorEastAsia" w:eastAsiaTheme="minorEastAsia"/>
          <w:kern w:val="0"/>
          <w:szCs w:val="24"/>
        </w:rPr>
        <w:t>等</w:t>
      </w:r>
      <w:r>
        <w:rPr>
          <w:rFonts w:hint="eastAsia" w:cs="宋体" w:asciiTheme="minorEastAsia" w:hAnsiTheme="minorEastAsia" w:eastAsiaTheme="minorEastAsia"/>
          <w:kern w:val="0"/>
          <w:szCs w:val="24"/>
        </w:rPr>
        <w:t>场</w:t>
      </w:r>
      <w:r>
        <w:rPr>
          <w:rFonts w:hint="eastAsia" w:cs="MS Mincho" w:asciiTheme="minorEastAsia" w:hAnsiTheme="minorEastAsia" w:eastAsiaTheme="minorEastAsia"/>
          <w:kern w:val="0"/>
          <w:szCs w:val="24"/>
        </w:rPr>
        <w:t>所的照明</w:t>
      </w:r>
      <w:r>
        <w:rPr>
          <w:rFonts w:hint="eastAsia" w:cs="宋体" w:asciiTheme="minorEastAsia" w:hAnsiTheme="minorEastAsia" w:eastAsiaTheme="minorEastAsia"/>
          <w:kern w:val="0"/>
          <w:szCs w:val="24"/>
        </w:rPr>
        <w:t>应</w:t>
      </w:r>
      <w:r>
        <w:rPr>
          <w:rFonts w:hint="eastAsia" w:cs="MS Mincho" w:asciiTheme="minorEastAsia" w:hAnsiTheme="minorEastAsia" w:eastAsiaTheme="minorEastAsia"/>
          <w:kern w:val="0"/>
          <w:szCs w:val="24"/>
        </w:rPr>
        <w:t>在</w:t>
      </w:r>
      <w:r>
        <w:rPr>
          <w:rFonts w:hint="eastAsia" w:cs="宋体" w:asciiTheme="minorEastAsia" w:hAnsiTheme="minorEastAsia" w:eastAsiaTheme="minorEastAsia"/>
          <w:kern w:val="0"/>
          <w:szCs w:val="24"/>
        </w:rPr>
        <w:t>顶部</w:t>
      </w:r>
      <w:r>
        <w:rPr>
          <w:rFonts w:hint="eastAsia" w:cs="MS Mincho" w:asciiTheme="minorEastAsia" w:hAnsiTheme="minorEastAsia" w:eastAsiaTheme="minorEastAsia"/>
          <w:kern w:val="0"/>
          <w:szCs w:val="24"/>
        </w:rPr>
        <w:t>至少</w:t>
      </w:r>
      <w:r>
        <w:rPr>
          <w:rFonts w:hint="eastAsia" w:cs="宋体" w:asciiTheme="minorEastAsia" w:hAnsiTheme="minorEastAsia" w:eastAsiaTheme="minorEastAsia"/>
          <w:kern w:val="0"/>
          <w:szCs w:val="24"/>
        </w:rPr>
        <w:t>预</w:t>
      </w:r>
      <w:r>
        <w:rPr>
          <w:rFonts w:hint="eastAsia" w:cs="MS Mincho" w:asciiTheme="minorEastAsia" w:hAnsiTheme="minorEastAsia" w:eastAsiaTheme="minorEastAsia"/>
          <w:kern w:val="0"/>
          <w:szCs w:val="24"/>
        </w:rPr>
        <w:t>留一个灯位；</w:t>
      </w:r>
    </w:p>
    <w:p w14:paraId="2AAF74BA">
      <w:pPr>
        <w:autoSpaceDE w:val="0"/>
        <w:autoSpaceDN w:val="0"/>
        <w:ind w:left="5" w:firstLine="475" w:firstLineChars="197"/>
        <w:rPr>
          <w:rFonts w:cs="HiddenHorzOCR" w:asciiTheme="minorEastAsia" w:hAnsiTheme="minorEastAsia" w:eastAsiaTheme="minorEastAsia"/>
          <w:kern w:val="0"/>
          <w:szCs w:val="24"/>
        </w:rPr>
      </w:pPr>
      <w:r>
        <w:rPr>
          <w:rFonts w:cs="Calibri"/>
          <w:b/>
          <w:szCs w:val="32"/>
        </w:rPr>
        <w:t>2</w:t>
      </w:r>
      <w:r>
        <w:rPr>
          <w:rFonts w:asciiTheme="minorEastAsia" w:hAnsiTheme="minorEastAsia" w:eastAsiaTheme="minorEastAsia"/>
          <w:kern w:val="0"/>
          <w:szCs w:val="24"/>
        </w:rPr>
        <w:t xml:space="preserve">  </w:t>
      </w:r>
      <w:r>
        <w:rPr>
          <w:rFonts w:hint="eastAsia" w:cs="HiddenHorzOCR" w:asciiTheme="minorEastAsia" w:hAnsiTheme="minorEastAsia" w:eastAsiaTheme="minorEastAsia"/>
          <w:kern w:val="0"/>
          <w:szCs w:val="24"/>
        </w:rPr>
        <w:t>卧室、</w:t>
      </w:r>
      <w:r>
        <w:rPr>
          <w:rFonts w:hint="eastAsia" w:cs="宋体" w:asciiTheme="minorEastAsia" w:hAnsiTheme="minorEastAsia" w:eastAsiaTheme="minorEastAsia"/>
          <w:kern w:val="0"/>
          <w:szCs w:val="24"/>
        </w:rPr>
        <w:t>书</w:t>
      </w:r>
      <w:r>
        <w:rPr>
          <w:rFonts w:hint="eastAsia" w:cs="MS Mincho" w:asciiTheme="minorEastAsia" w:hAnsiTheme="minorEastAsia" w:eastAsiaTheme="minorEastAsia"/>
          <w:kern w:val="0"/>
          <w:szCs w:val="24"/>
        </w:rPr>
        <w:t>房、</w:t>
      </w:r>
      <w:r>
        <w:rPr>
          <w:rFonts w:hint="eastAsia" w:cs="宋体" w:asciiTheme="minorEastAsia" w:hAnsiTheme="minorEastAsia" w:eastAsiaTheme="minorEastAsia"/>
          <w:kern w:val="0"/>
          <w:szCs w:val="24"/>
        </w:rPr>
        <w:t>卫</w:t>
      </w:r>
      <w:r>
        <w:rPr>
          <w:rFonts w:hint="eastAsia" w:cs="MS Mincho" w:asciiTheme="minorEastAsia" w:hAnsiTheme="minorEastAsia" w:eastAsiaTheme="minorEastAsia"/>
          <w:kern w:val="0"/>
          <w:szCs w:val="24"/>
        </w:rPr>
        <w:t>生</w:t>
      </w:r>
      <w:r>
        <w:rPr>
          <w:rFonts w:hint="eastAsia" w:cs="宋体" w:asciiTheme="minorEastAsia" w:hAnsiTheme="minorEastAsia" w:eastAsiaTheme="minorEastAsia"/>
          <w:kern w:val="0"/>
          <w:szCs w:val="24"/>
        </w:rPr>
        <w:t>间</w:t>
      </w:r>
      <w:r>
        <w:rPr>
          <w:rFonts w:hint="eastAsia" w:cs="MS Mincho" w:asciiTheme="minorEastAsia" w:hAnsiTheme="minorEastAsia" w:eastAsiaTheme="minorEastAsia"/>
          <w:kern w:val="0"/>
          <w:szCs w:val="24"/>
        </w:rPr>
        <w:t>、厨房的照明宜在</w:t>
      </w:r>
      <w:r>
        <w:rPr>
          <w:rFonts w:hint="eastAsia" w:cs="宋体" w:asciiTheme="minorEastAsia" w:hAnsiTheme="minorEastAsia" w:eastAsiaTheme="minorEastAsia"/>
          <w:kern w:val="0"/>
          <w:szCs w:val="24"/>
        </w:rPr>
        <w:t>顶部居中位置预</w:t>
      </w:r>
      <w:r>
        <w:rPr>
          <w:rFonts w:hint="eastAsia" w:cs="MS Mincho" w:asciiTheme="minorEastAsia" w:hAnsiTheme="minorEastAsia" w:eastAsiaTheme="minorEastAsia"/>
          <w:kern w:val="0"/>
          <w:szCs w:val="24"/>
        </w:rPr>
        <w:t>留一个灯位；</w:t>
      </w:r>
    </w:p>
    <w:p w14:paraId="281DBEC4">
      <w:pPr>
        <w:autoSpaceDE w:val="0"/>
        <w:autoSpaceDN w:val="0"/>
        <w:ind w:left="5" w:firstLine="475" w:firstLineChars="197"/>
        <w:rPr>
          <w:rFonts w:cs="HiddenHorzOCR" w:asciiTheme="minorEastAsia" w:hAnsiTheme="minorEastAsia" w:eastAsiaTheme="minorEastAsia"/>
          <w:kern w:val="0"/>
          <w:szCs w:val="24"/>
        </w:rPr>
      </w:pPr>
      <w:r>
        <w:rPr>
          <w:rFonts w:cs="Calibri"/>
          <w:b/>
          <w:szCs w:val="32"/>
        </w:rPr>
        <w:t>3</w:t>
      </w:r>
      <w:r>
        <w:rPr>
          <w:rFonts w:cs="HiddenHorzOCR" w:asciiTheme="minorEastAsia" w:hAnsiTheme="minorEastAsia" w:eastAsiaTheme="minorEastAsia"/>
          <w:kern w:val="0"/>
          <w:szCs w:val="24"/>
        </w:rPr>
        <w:t xml:space="preserve">  </w:t>
      </w:r>
      <w:r>
        <w:rPr>
          <w:rFonts w:hint="eastAsia" w:cs="宋体" w:asciiTheme="minorEastAsia" w:hAnsiTheme="minorEastAsia" w:eastAsiaTheme="minorEastAsia"/>
          <w:kern w:val="0"/>
          <w:szCs w:val="24"/>
        </w:rPr>
        <w:t>卫</w:t>
      </w:r>
      <w:r>
        <w:rPr>
          <w:rFonts w:hint="eastAsia" w:cs="MS Mincho" w:asciiTheme="minorEastAsia" w:hAnsiTheme="minorEastAsia" w:eastAsiaTheme="minorEastAsia"/>
          <w:kern w:val="0"/>
          <w:szCs w:val="24"/>
        </w:rPr>
        <w:t>生</w:t>
      </w:r>
      <w:r>
        <w:rPr>
          <w:rFonts w:hint="eastAsia" w:cs="宋体" w:asciiTheme="minorEastAsia" w:hAnsiTheme="minorEastAsia" w:eastAsiaTheme="minorEastAsia"/>
          <w:kern w:val="0"/>
          <w:szCs w:val="24"/>
        </w:rPr>
        <w:t>间</w:t>
      </w:r>
      <w:r>
        <w:rPr>
          <w:rFonts w:hint="eastAsia" w:cs="MS Mincho" w:asciiTheme="minorEastAsia" w:hAnsiTheme="minorEastAsia" w:eastAsiaTheme="minorEastAsia"/>
          <w:kern w:val="0"/>
          <w:szCs w:val="24"/>
        </w:rPr>
        <w:t>等潮湿</w:t>
      </w:r>
      <w:r>
        <w:rPr>
          <w:rFonts w:hint="eastAsia" w:cs="宋体" w:asciiTheme="minorEastAsia" w:hAnsiTheme="minorEastAsia" w:eastAsiaTheme="minorEastAsia"/>
          <w:kern w:val="0"/>
          <w:szCs w:val="24"/>
        </w:rPr>
        <w:t>场</w:t>
      </w:r>
      <w:r>
        <w:rPr>
          <w:rFonts w:hint="eastAsia" w:cs="MS Mincho" w:asciiTheme="minorEastAsia" w:hAnsiTheme="minorEastAsia" w:eastAsiaTheme="minorEastAsia"/>
          <w:kern w:val="0"/>
          <w:szCs w:val="24"/>
        </w:rPr>
        <w:t>所，宜采用防潮易清</w:t>
      </w:r>
      <w:r>
        <w:rPr>
          <w:rFonts w:hint="eastAsia" w:cs="宋体" w:asciiTheme="minorEastAsia" w:hAnsiTheme="minorEastAsia" w:eastAsiaTheme="minorEastAsia"/>
          <w:kern w:val="0"/>
          <w:szCs w:val="24"/>
        </w:rPr>
        <w:t>洁</w:t>
      </w:r>
      <w:r>
        <w:rPr>
          <w:rFonts w:hint="eastAsia" w:cs="MS Mincho" w:asciiTheme="minorEastAsia" w:hAnsiTheme="minorEastAsia" w:eastAsiaTheme="minorEastAsia"/>
          <w:kern w:val="0"/>
          <w:szCs w:val="24"/>
        </w:rPr>
        <w:t>的灯具</w:t>
      </w:r>
      <w:r>
        <w:rPr>
          <w:rFonts w:hint="eastAsia" w:cs="HiddenHorzOCR" w:asciiTheme="minorEastAsia" w:hAnsiTheme="minorEastAsia" w:eastAsiaTheme="minorEastAsia"/>
          <w:kern w:val="0"/>
          <w:szCs w:val="24"/>
        </w:rPr>
        <w:t>；</w:t>
      </w:r>
      <w:r>
        <w:rPr>
          <w:rFonts w:hint="eastAsia" w:cs="宋体" w:asciiTheme="minorEastAsia" w:hAnsiTheme="minorEastAsia" w:eastAsiaTheme="minorEastAsia"/>
          <w:kern w:val="0"/>
          <w:szCs w:val="24"/>
        </w:rPr>
        <w:t>卫</w:t>
      </w:r>
      <w:r>
        <w:rPr>
          <w:rFonts w:hint="eastAsia" w:cs="MS Mincho" w:asciiTheme="minorEastAsia" w:hAnsiTheme="minorEastAsia" w:eastAsiaTheme="minorEastAsia"/>
          <w:kern w:val="0"/>
          <w:szCs w:val="24"/>
        </w:rPr>
        <w:t>生</w:t>
      </w:r>
      <w:r>
        <w:rPr>
          <w:rFonts w:hint="eastAsia" w:cs="宋体" w:asciiTheme="minorEastAsia" w:hAnsiTheme="minorEastAsia" w:eastAsiaTheme="minorEastAsia"/>
          <w:kern w:val="0"/>
          <w:szCs w:val="24"/>
        </w:rPr>
        <w:t>间</w:t>
      </w:r>
      <w:r>
        <w:rPr>
          <w:rFonts w:hint="eastAsia" w:cs="HiddenHorzOCR" w:asciiTheme="minorEastAsia" w:hAnsiTheme="minorEastAsia" w:eastAsiaTheme="minorEastAsia"/>
          <w:kern w:val="0"/>
          <w:szCs w:val="24"/>
        </w:rPr>
        <w:t>的灯具位置不</w:t>
      </w:r>
      <w:r>
        <w:rPr>
          <w:rFonts w:hint="eastAsia" w:cs="宋体" w:asciiTheme="minorEastAsia" w:hAnsiTheme="minorEastAsia" w:eastAsiaTheme="minorEastAsia"/>
          <w:kern w:val="0"/>
          <w:szCs w:val="24"/>
        </w:rPr>
        <w:t>应</w:t>
      </w:r>
      <w:r>
        <w:rPr>
          <w:rFonts w:hint="eastAsia" w:cs="MS Mincho" w:asciiTheme="minorEastAsia" w:hAnsiTheme="minorEastAsia" w:eastAsiaTheme="minorEastAsia"/>
          <w:kern w:val="0"/>
          <w:szCs w:val="24"/>
        </w:rPr>
        <w:t>安装在</w:t>
      </w:r>
      <w:r>
        <w:rPr>
          <w:rFonts w:cs="HiddenHorzOCR" w:asciiTheme="minorEastAsia" w:hAnsiTheme="minorEastAsia" w:eastAsiaTheme="minorEastAsia"/>
          <w:kern w:val="0"/>
          <w:szCs w:val="24"/>
        </w:rPr>
        <w:t>0</w:t>
      </w:r>
      <w:r>
        <w:rPr>
          <w:rFonts w:hint="eastAsia" w:cs="HiddenHorzOCR" w:asciiTheme="minorEastAsia" w:hAnsiTheme="minorEastAsia" w:eastAsiaTheme="minorEastAsia"/>
          <w:kern w:val="0"/>
          <w:szCs w:val="24"/>
        </w:rPr>
        <w:t>、</w:t>
      </w:r>
      <w:r>
        <w:rPr>
          <w:rFonts w:cs="HiddenHorzOCR" w:asciiTheme="minorEastAsia" w:hAnsiTheme="minorEastAsia" w:eastAsiaTheme="minorEastAsia"/>
          <w:kern w:val="0"/>
          <w:szCs w:val="24"/>
        </w:rPr>
        <w:t xml:space="preserve">1 </w:t>
      </w:r>
      <w:r>
        <w:rPr>
          <w:rFonts w:hint="eastAsia" w:cs="HiddenHorzOCR" w:asciiTheme="minorEastAsia" w:hAnsiTheme="minorEastAsia" w:eastAsiaTheme="minorEastAsia"/>
          <w:kern w:val="0"/>
          <w:szCs w:val="24"/>
        </w:rPr>
        <w:t>区内及上方。装有淋浴或浴盆</w:t>
      </w:r>
      <w:r>
        <w:rPr>
          <w:rFonts w:hint="eastAsia" w:cs="宋体" w:asciiTheme="minorEastAsia" w:hAnsiTheme="minorEastAsia" w:eastAsiaTheme="minorEastAsia"/>
          <w:kern w:val="0"/>
          <w:szCs w:val="24"/>
        </w:rPr>
        <w:t>卫</w:t>
      </w:r>
      <w:r>
        <w:rPr>
          <w:rFonts w:hint="eastAsia" w:cs="MS Mincho" w:asciiTheme="minorEastAsia" w:hAnsiTheme="minorEastAsia" w:eastAsiaTheme="minorEastAsia"/>
          <w:kern w:val="0"/>
          <w:szCs w:val="24"/>
        </w:rPr>
        <w:t>生</w:t>
      </w:r>
      <w:r>
        <w:rPr>
          <w:rFonts w:hint="eastAsia" w:cs="宋体" w:asciiTheme="minorEastAsia" w:hAnsiTheme="minorEastAsia" w:eastAsiaTheme="minorEastAsia"/>
          <w:kern w:val="0"/>
          <w:szCs w:val="24"/>
        </w:rPr>
        <w:t>间</w:t>
      </w:r>
      <w:r>
        <w:rPr>
          <w:rFonts w:hint="eastAsia" w:cs="MS Mincho" w:asciiTheme="minorEastAsia" w:hAnsiTheme="minorEastAsia" w:eastAsiaTheme="minorEastAsia"/>
          <w:kern w:val="0"/>
          <w:szCs w:val="24"/>
        </w:rPr>
        <w:t>的照明回路，宜装</w:t>
      </w:r>
      <w:r>
        <w:rPr>
          <w:rFonts w:hint="eastAsia" w:cs="宋体" w:asciiTheme="minorEastAsia" w:hAnsiTheme="minorEastAsia" w:eastAsiaTheme="minorEastAsia"/>
          <w:kern w:val="0"/>
          <w:szCs w:val="24"/>
        </w:rPr>
        <w:t>设</w:t>
      </w:r>
      <w:r>
        <w:rPr>
          <w:rFonts w:hint="eastAsia" w:cs="MS Mincho" w:asciiTheme="minorEastAsia" w:hAnsiTheme="minorEastAsia" w:eastAsiaTheme="minorEastAsia"/>
          <w:kern w:val="0"/>
          <w:szCs w:val="24"/>
        </w:rPr>
        <w:t>剩余</w:t>
      </w:r>
      <w:r>
        <w:rPr>
          <w:rFonts w:hint="eastAsia" w:cs="宋体" w:asciiTheme="minorEastAsia" w:hAnsiTheme="minorEastAsia" w:eastAsiaTheme="minorEastAsia"/>
          <w:kern w:val="0"/>
          <w:szCs w:val="24"/>
        </w:rPr>
        <w:t>电</w:t>
      </w:r>
      <w:r>
        <w:rPr>
          <w:rFonts w:hint="eastAsia" w:cs="MS Mincho" w:asciiTheme="minorEastAsia" w:hAnsiTheme="minorEastAsia" w:eastAsiaTheme="minorEastAsia"/>
          <w:kern w:val="0"/>
          <w:szCs w:val="24"/>
        </w:rPr>
        <w:t>流</w:t>
      </w:r>
      <w:r>
        <w:rPr>
          <w:rFonts w:hint="eastAsia" w:cs="宋体" w:asciiTheme="minorEastAsia" w:hAnsiTheme="minorEastAsia" w:eastAsiaTheme="minorEastAsia"/>
          <w:kern w:val="0"/>
          <w:szCs w:val="24"/>
        </w:rPr>
        <w:t>动</w:t>
      </w:r>
      <w:r>
        <w:rPr>
          <w:rFonts w:hint="eastAsia" w:cs="MS Mincho" w:asciiTheme="minorEastAsia" w:hAnsiTheme="minorEastAsia" w:eastAsiaTheme="minorEastAsia"/>
          <w:kern w:val="0"/>
          <w:szCs w:val="24"/>
        </w:rPr>
        <w:t>作保</w:t>
      </w:r>
      <w:r>
        <w:rPr>
          <w:rFonts w:hint="eastAsia" w:cs="宋体" w:asciiTheme="minorEastAsia" w:hAnsiTheme="minorEastAsia" w:eastAsiaTheme="minorEastAsia"/>
          <w:kern w:val="0"/>
          <w:szCs w:val="24"/>
        </w:rPr>
        <w:t>护</w:t>
      </w:r>
      <w:r>
        <w:rPr>
          <w:rFonts w:hint="eastAsia" w:cs="MS Mincho" w:asciiTheme="minorEastAsia" w:hAnsiTheme="minorEastAsia" w:eastAsiaTheme="minorEastAsia"/>
          <w:kern w:val="0"/>
          <w:szCs w:val="24"/>
        </w:rPr>
        <w:t>器，灯具、浴霸开关宜</w:t>
      </w:r>
      <w:r>
        <w:rPr>
          <w:rFonts w:hint="eastAsia" w:cs="宋体" w:asciiTheme="minorEastAsia" w:hAnsiTheme="minorEastAsia" w:eastAsiaTheme="minorEastAsia"/>
          <w:kern w:val="0"/>
          <w:szCs w:val="24"/>
        </w:rPr>
        <w:t>设</w:t>
      </w:r>
      <w:r>
        <w:rPr>
          <w:rFonts w:hint="eastAsia" w:cs="MS Mincho" w:asciiTheme="minorEastAsia" w:hAnsiTheme="minorEastAsia" w:eastAsiaTheme="minorEastAsia"/>
          <w:kern w:val="0"/>
          <w:szCs w:val="24"/>
        </w:rPr>
        <w:t>于</w:t>
      </w:r>
      <w:r>
        <w:rPr>
          <w:rFonts w:hint="eastAsia" w:cs="宋体" w:asciiTheme="minorEastAsia" w:hAnsiTheme="minorEastAsia" w:eastAsiaTheme="minorEastAsia"/>
          <w:kern w:val="0"/>
          <w:szCs w:val="24"/>
        </w:rPr>
        <w:t>卫</w:t>
      </w:r>
      <w:r>
        <w:rPr>
          <w:rFonts w:hint="eastAsia" w:cs="HiddenHorzOCR" w:asciiTheme="minorEastAsia" w:hAnsiTheme="minorEastAsia" w:eastAsiaTheme="minorEastAsia"/>
          <w:kern w:val="0"/>
          <w:szCs w:val="24"/>
        </w:rPr>
        <w:t>生</w:t>
      </w:r>
      <w:r>
        <w:rPr>
          <w:rFonts w:hint="eastAsia" w:cs="宋体" w:asciiTheme="minorEastAsia" w:hAnsiTheme="minorEastAsia" w:eastAsiaTheme="minorEastAsia"/>
          <w:kern w:val="0"/>
          <w:szCs w:val="24"/>
        </w:rPr>
        <w:t>间门</w:t>
      </w:r>
      <w:r>
        <w:rPr>
          <w:rFonts w:hint="eastAsia" w:cs="MS Mincho" w:asciiTheme="minorEastAsia" w:hAnsiTheme="minorEastAsia" w:eastAsiaTheme="minorEastAsia"/>
          <w:kern w:val="0"/>
          <w:szCs w:val="24"/>
        </w:rPr>
        <w:t>外，否则应采用防溅型开关并设置在</w:t>
      </w:r>
      <w:r>
        <w:rPr>
          <w:rFonts w:cs="MS Mincho" w:asciiTheme="minorEastAsia" w:hAnsiTheme="minorEastAsia" w:eastAsiaTheme="minorEastAsia"/>
          <w:kern w:val="0"/>
          <w:szCs w:val="24"/>
        </w:rPr>
        <w:t>2区之外</w:t>
      </w:r>
      <w:r>
        <w:rPr>
          <w:rFonts w:hint="eastAsia" w:cs="MS Mincho" w:asciiTheme="minorEastAsia" w:hAnsiTheme="minorEastAsia" w:eastAsiaTheme="minorEastAsia"/>
          <w:kern w:val="0"/>
          <w:szCs w:val="24"/>
        </w:rPr>
        <w:t>；</w:t>
      </w:r>
    </w:p>
    <w:p w14:paraId="182C2BB7">
      <w:pPr>
        <w:autoSpaceDE w:val="0"/>
        <w:autoSpaceDN w:val="0"/>
        <w:ind w:left="5" w:firstLine="475" w:firstLineChars="197"/>
        <w:rPr>
          <w:rFonts w:ascii="宋体" w:hAnsi="宋体" w:cs="HiddenHorzOCR"/>
          <w:kern w:val="0"/>
          <w:szCs w:val="24"/>
        </w:rPr>
      </w:pPr>
      <w:r>
        <w:rPr>
          <w:rFonts w:cs="Calibri"/>
          <w:b/>
          <w:szCs w:val="32"/>
        </w:rPr>
        <w:t>4</w:t>
      </w:r>
      <w:r>
        <w:rPr>
          <w:rFonts w:asciiTheme="minorEastAsia" w:hAnsiTheme="minorEastAsia" w:eastAsiaTheme="minorEastAsia"/>
          <w:kern w:val="0"/>
          <w:szCs w:val="24"/>
        </w:rPr>
        <w:t xml:space="preserve">  </w:t>
      </w:r>
      <w:r>
        <w:rPr>
          <w:rFonts w:hint="eastAsia" w:cs="HiddenHorzOCR" w:asciiTheme="minorEastAsia" w:hAnsiTheme="minorEastAsia" w:eastAsiaTheme="minorEastAsia"/>
          <w:kern w:val="0"/>
          <w:szCs w:val="24"/>
        </w:rPr>
        <w:t>起居室、通道和</w:t>
      </w:r>
      <w:r>
        <w:rPr>
          <w:rFonts w:hint="eastAsia" w:cs="宋体" w:asciiTheme="minorEastAsia" w:hAnsiTheme="minorEastAsia" w:eastAsiaTheme="minorEastAsia"/>
          <w:kern w:val="0"/>
          <w:szCs w:val="24"/>
        </w:rPr>
        <w:t>卫</w:t>
      </w:r>
      <w:r>
        <w:rPr>
          <w:rFonts w:hint="eastAsia" w:cs="MS Mincho" w:asciiTheme="minorEastAsia" w:hAnsiTheme="minorEastAsia" w:eastAsiaTheme="minorEastAsia"/>
          <w:kern w:val="0"/>
          <w:szCs w:val="24"/>
        </w:rPr>
        <w:t>生</w:t>
      </w:r>
      <w:r>
        <w:rPr>
          <w:rFonts w:hint="eastAsia" w:cs="宋体" w:asciiTheme="minorEastAsia" w:hAnsiTheme="minorEastAsia" w:eastAsiaTheme="minorEastAsia"/>
          <w:kern w:val="0"/>
          <w:szCs w:val="24"/>
        </w:rPr>
        <w:t>间</w:t>
      </w:r>
      <w:r>
        <w:rPr>
          <w:rFonts w:hint="eastAsia" w:cs="MS Mincho" w:asciiTheme="minorEastAsia" w:hAnsiTheme="minorEastAsia" w:eastAsiaTheme="minorEastAsia"/>
          <w:kern w:val="0"/>
          <w:szCs w:val="24"/>
        </w:rPr>
        <w:t>照明开关，宜</w:t>
      </w:r>
      <w:r>
        <w:rPr>
          <w:rFonts w:hint="eastAsia" w:cs="宋体" w:asciiTheme="minorEastAsia" w:hAnsiTheme="minorEastAsia" w:eastAsiaTheme="minorEastAsia"/>
          <w:kern w:val="0"/>
          <w:szCs w:val="24"/>
        </w:rPr>
        <w:t>选</w:t>
      </w:r>
      <w:r>
        <w:rPr>
          <w:rFonts w:hint="eastAsia" w:cs="MS Mincho" w:asciiTheme="minorEastAsia" w:hAnsiTheme="minorEastAsia" w:eastAsiaTheme="minorEastAsia"/>
          <w:kern w:val="0"/>
          <w:szCs w:val="24"/>
        </w:rPr>
        <w:t>用夜</w:t>
      </w:r>
      <w:r>
        <w:rPr>
          <w:rFonts w:hint="eastAsia" w:cs="宋体" w:asciiTheme="minorEastAsia" w:hAnsiTheme="minorEastAsia" w:eastAsiaTheme="minorEastAsia"/>
          <w:kern w:val="0"/>
          <w:szCs w:val="24"/>
        </w:rPr>
        <w:t>间</w:t>
      </w:r>
      <w:r>
        <w:rPr>
          <w:rFonts w:hint="eastAsia" w:cs="MS Mincho" w:asciiTheme="minorEastAsia" w:hAnsiTheme="minorEastAsia" w:eastAsiaTheme="minorEastAsia"/>
          <w:kern w:val="0"/>
          <w:szCs w:val="24"/>
        </w:rPr>
        <w:t>有光</w:t>
      </w:r>
      <w:r>
        <w:rPr>
          <w:rFonts w:hint="eastAsia" w:cs="宋体" w:asciiTheme="minorEastAsia" w:hAnsiTheme="minorEastAsia" w:eastAsiaTheme="minorEastAsia"/>
          <w:kern w:val="0"/>
          <w:szCs w:val="24"/>
        </w:rPr>
        <w:t>显</w:t>
      </w:r>
      <w:r>
        <w:rPr>
          <w:rFonts w:hint="eastAsia" w:cs="MS Mincho" w:asciiTheme="minorEastAsia" w:hAnsiTheme="minorEastAsia" w:eastAsiaTheme="minorEastAsia"/>
          <w:kern w:val="0"/>
          <w:szCs w:val="24"/>
        </w:rPr>
        <w:t>示</w:t>
      </w:r>
      <w:r>
        <w:rPr>
          <w:rFonts w:hint="eastAsia" w:cs="HiddenHorzOCR" w:asciiTheme="minorEastAsia" w:hAnsiTheme="minorEastAsia" w:eastAsiaTheme="minorEastAsia"/>
          <w:kern w:val="0"/>
          <w:szCs w:val="24"/>
        </w:rPr>
        <w:t>的面板。</w:t>
      </w:r>
    </w:p>
    <w:p w14:paraId="7195BC08">
      <w:pPr>
        <w:pStyle w:val="4"/>
        <w:numPr>
          <w:ilvl w:val="2"/>
          <w:numId w:val="11"/>
        </w:numPr>
        <w:tabs>
          <w:tab w:val="clear" w:pos="0"/>
        </w:tabs>
        <w:ind w:firstLine="0" w:firstLineChars="0"/>
        <w:rPr>
          <w:rFonts w:cs="宋体"/>
          <w:bCs w:val="0"/>
          <w:iCs/>
          <w:lang w:val="en-US"/>
        </w:rPr>
      </w:pPr>
      <w:r>
        <w:rPr>
          <w:rFonts w:hint="eastAsia" w:cs="宋体"/>
          <w:bCs w:val="0"/>
          <w:iCs/>
          <w:lang w:val="en-US"/>
        </w:rPr>
        <w:t>每套住宅电源插座的数量应根据套内面积和家用电器设置，且应符合表11.3.4的规定。</w:t>
      </w:r>
    </w:p>
    <w:p w14:paraId="185B73B9">
      <w:pPr>
        <w:snapToGrid w:val="0"/>
        <w:ind w:firstLine="1" w:firstLineChars="0"/>
        <w:jc w:val="center"/>
        <w:rPr>
          <w:rFonts w:ascii="黑体" w:hAnsi="宋体" w:eastAsia="黑体"/>
          <w:b/>
          <w:bCs/>
          <w:sz w:val="21"/>
          <w:szCs w:val="21"/>
        </w:rPr>
      </w:pPr>
      <w:r>
        <w:rPr>
          <w:rFonts w:hint="eastAsia" w:ascii="黑体" w:hAnsi="宋体" w:eastAsia="黑体"/>
          <w:b/>
          <w:bCs/>
          <w:sz w:val="21"/>
          <w:szCs w:val="21"/>
        </w:rPr>
        <w:t>表</w:t>
      </w:r>
      <w:r>
        <w:rPr>
          <w:rFonts w:eastAsia="黑体" w:cs="Calibri"/>
          <w:b/>
          <w:bCs/>
          <w:sz w:val="21"/>
          <w:szCs w:val="21"/>
        </w:rPr>
        <w:t>11.3.4</w:t>
      </w:r>
      <w:r>
        <w:rPr>
          <w:rFonts w:hint="eastAsia" w:ascii="黑体" w:hAnsi="宋体" w:eastAsia="黑体"/>
          <w:b/>
          <w:bCs/>
          <w:sz w:val="21"/>
          <w:szCs w:val="21"/>
        </w:rPr>
        <w:t>电源插座的设置要求及数量</w:t>
      </w:r>
    </w:p>
    <w:tbl>
      <w:tblPr>
        <w:tblStyle w:val="2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7"/>
        <w:gridCol w:w="2811"/>
        <w:gridCol w:w="3681"/>
        <w:gridCol w:w="989"/>
      </w:tblGrid>
      <w:tr w14:paraId="265A4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09" w:type="dxa"/>
          </w:tcPr>
          <w:p w14:paraId="07733A94">
            <w:pPr>
              <w:autoSpaceDE w:val="0"/>
              <w:autoSpaceDN w:val="0"/>
              <w:ind w:firstLine="1" w:firstLineChars="0"/>
              <w:jc w:val="center"/>
              <w:rPr>
                <w:rFonts w:ascii="宋体" w:hAnsi="宋体"/>
                <w:kern w:val="0"/>
                <w:sz w:val="18"/>
                <w:szCs w:val="18"/>
              </w:rPr>
            </w:pPr>
            <w:r>
              <w:rPr>
                <w:rFonts w:ascii="宋体" w:hAnsi="宋体"/>
                <w:kern w:val="0"/>
                <w:sz w:val="18"/>
                <w:szCs w:val="18"/>
              </w:rPr>
              <w:t>序号</w:t>
            </w:r>
          </w:p>
        </w:tc>
        <w:tc>
          <w:tcPr>
            <w:tcW w:w="2822" w:type="dxa"/>
          </w:tcPr>
          <w:p w14:paraId="6A9B0659">
            <w:pPr>
              <w:autoSpaceDE w:val="0"/>
              <w:autoSpaceDN w:val="0"/>
              <w:ind w:firstLine="1" w:firstLineChars="0"/>
              <w:jc w:val="center"/>
              <w:rPr>
                <w:rFonts w:ascii="宋体" w:hAnsi="宋体"/>
                <w:kern w:val="0"/>
                <w:sz w:val="18"/>
                <w:szCs w:val="18"/>
              </w:rPr>
            </w:pPr>
            <w:r>
              <w:rPr>
                <w:rFonts w:ascii="宋体" w:hAnsi="宋体"/>
                <w:kern w:val="0"/>
                <w:sz w:val="18"/>
                <w:szCs w:val="18"/>
              </w:rPr>
              <w:t>名称</w:t>
            </w:r>
          </w:p>
        </w:tc>
        <w:tc>
          <w:tcPr>
            <w:tcW w:w="3699" w:type="dxa"/>
          </w:tcPr>
          <w:p w14:paraId="584F6237">
            <w:pPr>
              <w:autoSpaceDE w:val="0"/>
              <w:autoSpaceDN w:val="0"/>
              <w:ind w:firstLine="1" w:firstLineChars="0"/>
              <w:jc w:val="center"/>
              <w:rPr>
                <w:rFonts w:ascii="宋体" w:hAnsi="宋体"/>
                <w:kern w:val="0"/>
                <w:sz w:val="18"/>
                <w:szCs w:val="18"/>
              </w:rPr>
            </w:pPr>
            <w:r>
              <w:rPr>
                <w:rFonts w:ascii="宋体" w:hAnsi="宋体"/>
                <w:kern w:val="0"/>
                <w:sz w:val="18"/>
                <w:szCs w:val="18"/>
              </w:rPr>
              <w:t>设置要求</w:t>
            </w:r>
          </w:p>
        </w:tc>
        <w:tc>
          <w:tcPr>
            <w:tcW w:w="992" w:type="dxa"/>
          </w:tcPr>
          <w:p w14:paraId="7877C8AB">
            <w:pPr>
              <w:autoSpaceDE w:val="0"/>
              <w:autoSpaceDN w:val="0"/>
              <w:ind w:firstLine="1" w:firstLineChars="0"/>
              <w:jc w:val="center"/>
              <w:rPr>
                <w:rFonts w:ascii="宋体" w:hAnsi="宋体"/>
                <w:kern w:val="0"/>
                <w:sz w:val="18"/>
                <w:szCs w:val="18"/>
              </w:rPr>
            </w:pPr>
            <w:r>
              <w:rPr>
                <w:rFonts w:ascii="宋体" w:hAnsi="宋体"/>
                <w:kern w:val="0"/>
                <w:sz w:val="18"/>
                <w:szCs w:val="18"/>
              </w:rPr>
              <w:t>数量</w:t>
            </w:r>
          </w:p>
        </w:tc>
      </w:tr>
      <w:tr w14:paraId="70FEA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09" w:type="dxa"/>
          </w:tcPr>
          <w:p w14:paraId="71A95D7B">
            <w:pPr>
              <w:autoSpaceDE w:val="0"/>
              <w:autoSpaceDN w:val="0"/>
              <w:ind w:firstLine="1" w:firstLineChars="0"/>
              <w:jc w:val="center"/>
              <w:rPr>
                <w:rFonts w:ascii="宋体" w:hAnsi="宋体"/>
                <w:kern w:val="0"/>
                <w:sz w:val="18"/>
                <w:szCs w:val="18"/>
              </w:rPr>
            </w:pPr>
            <w:r>
              <w:rPr>
                <w:rFonts w:ascii="宋体" w:hAnsi="宋体"/>
                <w:kern w:val="0"/>
                <w:sz w:val="18"/>
                <w:szCs w:val="18"/>
              </w:rPr>
              <w:t>1</w:t>
            </w:r>
          </w:p>
        </w:tc>
        <w:tc>
          <w:tcPr>
            <w:tcW w:w="2822" w:type="dxa"/>
          </w:tcPr>
          <w:p w14:paraId="0974326B">
            <w:pPr>
              <w:autoSpaceDE w:val="0"/>
              <w:autoSpaceDN w:val="0"/>
              <w:ind w:firstLine="1" w:firstLineChars="0"/>
              <w:jc w:val="center"/>
              <w:rPr>
                <w:rFonts w:ascii="宋体" w:hAnsi="宋体"/>
                <w:kern w:val="0"/>
                <w:sz w:val="18"/>
                <w:szCs w:val="18"/>
              </w:rPr>
            </w:pPr>
            <w:r>
              <w:rPr>
                <w:rFonts w:hint="eastAsia" w:ascii="宋体" w:hAnsi="宋体" w:cs="HiddenHorzOCR"/>
                <w:kern w:val="0"/>
                <w:sz w:val="18"/>
                <w:szCs w:val="18"/>
              </w:rPr>
              <w:t>起居室</w:t>
            </w:r>
            <w:r>
              <w:rPr>
                <w:rFonts w:hint="eastAsia" w:ascii="宋体" w:hAnsi="宋体" w:cs="HiddenHorzOCR"/>
                <w:kern w:val="0"/>
                <w:sz w:val="18"/>
                <w:szCs w:val="18"/>
                <w:lang w:eastAsia="zh-CN"/>
              </w:rPr>
              <w:t>（</w:t>
            </w:r>
            <w:r>
              <w:rPr>
                <w:rFonts w:hint="eastAsia" w:ascii="宋体" w:hAnsi="宋体" w:cs="宋体"/>
                <w:kern w:val="0"/>
                <w:sz w:val="18"/>
                <w:szCs w:val="18"/>
              </w:rPr>
              <w:t>厅</w:t>
            </w:r>
            <w:r>
              <w:rPr>
                <w:rFonts w:hint="eastAsia" w:ascii="宋体" w:hAnsi="宋体" w:cs="宋体"/>
                <w:kern w:val="0"/>
                <w:sz w:val="18"/>
                <w:szCs w:val="18"/>
                <w:lang w:eastAsia="zh-CN"/>
              </w:rPr>
              <w:t>）</w:t>
            </w:r>
            <w:r>
              <w:rPr>
                <w:rFonts w:hint="eastAsia" w:ascii="宋体" w:hAnsi="宋体" w:cs="HiddenHorzOCR"/>
                <w:kern w:val="0"/>
                <w:sz w:val="18"/>
                <w:szCs w:val="18"/>
              </w:rPr>
              <w:t>、兼起居的卧室</w:t>
            </w:r>
          </w:p>
        </w:tc>
        <w:tc>
          <w:tcPr>
            <w:tcW w:w="3699" w:type="dxa"/>
          </w:tcPr>
          <w:p w14:paraId="49BEFABA">
            <w:pPr>
              <w:autoSpaceDE w:val="0"/>
              <w:autoSpaceDN w:val="0"/>
              <w:ind w:firstLine="1" w:firstLineChars="0"/>
              <w:jc w:val="center"/>
              <w:rPr>
                <w:rFonts w:ascii="宋体" w:hAnsi="宋体"/>
                <w:kern w:val="0"/>
                <w:sz w:val="18"/>
                <w:szCs w:val="18"/>
              </w:rPr>
            </w:pPr>
            <w:r>
              <w:rPr>
                <w:rFonts w:hint="eastAsia" w:ascii="宋体" w:hAnsi="宋体" w:cs="宋体"/>
                <w:kern w:val="0"/>
                <w:sz w:val="18"/>
                <w:szCs w:val="18"/>
              </w:rPr>
              <w:t>单</w:t>
            </w:r>
            <w:r>
              <w:rPr>
                <w:rFonts w:hint="eastAsia" w:ascii="宋体" w:hAnsi="宋体" w:cs="MS Mincho"/>
                <w:kern w:val="0"/>
                <w:sz w:val="18"/>
                <w:szCs w:val="18"/>
              </w:rPr>
              <w:t>相两孔、三</w:t>
            </w:r>
            <w:r>
              <w:rPr>
                <w:rFonts w:hint="eastAsia" w:ascii="宋体" w:hAnsi="宋体" w:cs="HiddenHorzOCR"/>
                <w:kern w:val="0"/>
                <w:sz w:val="18"/>
                <w:szCs w:val="18"/>
              </w:rPr>
              <w:t>孔</w:t>
            </w:r>
            <w:r>
              <w:rPr>
                <w:rFonts w:hint="eastAsia" w:ascii="宋体" w:hAnsi="宋体" w:cs="宋体"/>
                <w:kern w:val="0"/>
                <w:sz w:val="18"/>
                <w:szCs w:val="18"/>
              </w:rPr>
              <w:t>电</w:t>
            </w:r>
            <w:r>
              <w:rPr>
                <w:rFonts w:hint="eastAsia" w:ascii="宋体" w:hAnsi="宋体" w:cs="MS Mincho"/>
                <w:kern w:val="0"/>
                <w:sz w:val="18"/>
                <w:szCs w:val="18"/>
              </w:rPr>
              <w:t>源插</w:t>
            </w:r>
            <w:r>
              <w:rPr>
                <w:rFonts w:hint="eastAsia" w:ascii="宋体" w:hAnsi="宋体" w:cs="HiddenHorzOCR"/>
                <w:kern w:val="0"/>
                <w:sz w:val="18"/>
                <w:szCs w:val="18"/>
              </w:rPr>
              <w:t>座</w:t>
            </w:r>
          </w:p>
        </w:tc>
        <w:tc>
          <w:tcPr>
            <w:tcW w:w="992" w:type="dxa"/>
          </w:tcPr>
          <w:p w14:paraId="3EA592D4">
            <w:pPr>
              <w:autoSpaceDE w:val="0"/>
              <w:autoSpaceDN w:val="0"/>
              <w:ind w:firstLine="1" w:firstLineChars="0"/>
              <w:jc w:val="center"/>
              <w:rPr>
                <w:rFonts w:ascii="宋体" w:hAnsi="宋体"/>
                <w:kern w:val="0"/>
                <w:sz w:val="18"/>
                <w:szCs w:val="18"/>
              </w:rPr>
            </w:pPr>
            <w:r>
              <w:rPr>
                <w:rFonts w:hint="eastAsia" w:ascii="宋体" w:hAnsi="宋体"/>
                <w:bCs/>
                <w:sz w:val="18"/>
                <w:szCs w:val="18"/>
              </w:rPr>
              <w:t>≥</w:t>
            </w:r>
            <w:r>
              <w:rPr>
                <w:rFonts w:ascii="宋体" w:hAnsi="宋体"/>
                <w:bCs/>
                <w:sz w:val="18"/>
                <w:szCs w:val="18"/>
              </w:rPr>
              <w:t>3</w:t>
            </w:r>
          </w:p>
        </w:tc>
      </w:tr>
      <w:tr w14:paraId="6C1F8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09" w:type="dxa"/>
          </w:tcPr>
          <w:p w14:paraId="734D7A7D">
            <w:pPr>
              <w:autoSpaceDE w:val="0"/>
              <w:autoSpaceDN w:val="0"/>
              <w:ind w:firstLine="1" w:firstLineChars="0"/>
              <w:jc w:val="center"/>
              <w:rPr>
                <w:rFonts w:ascii="宋体" w:hAnsi="宋体"/>
                <w:kern w:val="0"/>
                <w:sz w:val="18"/>
                <w:szCs w:val="18"/>
              </w:rPr>
            </w:pPr>
            <w:r>
              <w:rPr>
                <w:rFonts w:ascii="宋体" w:hAnsi="宋体"/>
                <w:kern w:val="0"/>
                <w:sz w:val="18"/>
                <w:szCs w:val="18"/>
              </w:rPr>
              <w:t>2</w:t>
            </w:r>
          </w:p>
        </w:tc>
        <w:tc>
          <w:tcPr>
            <w:tcW w:w="2822" w:type="dxa"/>
          </w:tcPr>
          <w:p w14:paraId="7E6100B9">
            <w:pPr>
              <w:autoSpaceDE w:val="0"/>
              <w:autoSpaceDN w:val="0"/>
              <w:ind w:firstLine="1" w:firstLineChars="0"/>
              <w:jc w:val="center"/>
              <w:rPr>
                <w:rFonts w:ascii="宋体" w:hAnsi="宋体"/>
                <w:kern w:val="0"/>
                <w:sz w:val="18"/>
                <w:szCs w:val="18"/>
              </w:rPr>
            </w:pPr>
            <w:r>
              <w:rPr>
                <w:rFonts w:hint="eastAsia" w:ascii="宋体" w:hAnsi="宋体" w:cs="HiddenHorzOCR"/>
                <w:kern w:val="0"/>
                <w:sz w:val="18"/>
                <w:szCs w:val="18"/>
              </w:rPr>
              <w:t>卧室、书房</w:t>
            </w:r>
          </w:p>
        </w:tc>
        <w:tc>
          <w:tcPr>
            <w:tcW w:w="3699" w:type="dxa"/>
          </w:tcPr>
          <w:p w14:paraId="6A65A806">
            <w:pPr>
              <w:autoSpaceDE w:val="0"/>
              <w:autoSpaceDN w:val="0"/>
              <w:ind w:firstLine="1" w:firstLineChars="0"/>
              <w:jc w:val="center"/>
              <w:rPr>
                <w:rFonts w:ascii="宋体" w:hAnsi="宋体"/>
                <w:kern w:val="0"/>
                <w:sz w:val="18"/>
                <w:szCs w:val="18"/>
              </w:rPr>
            </w:pPr>
            <w:r>
              <w:rPr>
                <w:rFonts w:hint="eastAsia" w:ascii="宋体" w:hAnsi="宋体" w:cs="宋体"/>
                <w:kern w:val="0"/>
                <w:sz w:val="18"/>
                <w:szCs w:val="18"/>
              </w:rPr>
              <w:t>单</w:t>
            </w:r>
            <w:r>
              <w:rPr>
                <w:rFonts w:hint="eastAsia" w:ascii="宋体" w:hAnsi="宋体" w:cs="MS Mincho"/>
                <w:kern w:val="0"/>
                <w:sz w:val="18"/>
                <w:szCs w:val="18"/>
              </w:rPr>
              <w:t>相两孔、三</w:t>
            </w:r>
            <w:r>
              <w:rPr>
                <w:rFonts w:hint="eastAsia" w:ascii="宋体" w:hAnsi="宋体" w:cs="HiddenHorzOCR"/>
                <w:kern w:val="0"/>
                <w:sz w:val="18"/>
                <w:szCs w:val="18"/>
              </w:rPr>
              <w:t>孔</w:t>
            </w:r>
            <w:r>
              <w:rPr>
                <w:rFonts w:hint="eastAsia" w:ascii="宋体" w:hAnsi="宋体" w:cs="宋体"/>
                <w:kern w:val="0"/>
                <w:sz w:val="18"/>
                <w:szCs w:val="18"/>
              </w:rPr>
              <w:t>电</w:t>
            </w:r>
            <w:r>
              <w:rPr>
                <w:rFonts w:hint="eastAsia" w:ascii="宋体" w:hAnsi="宋体" w:cs="MS Mincho"/>
                <w:kern w:val="0"/>
                <w:sz w:val="18"/>
                <w:szCs w:val="18"/>
              </w:rPr>
              <w:t>源插</w:t>
            </w:r>
            <w:r>
              <w:rPr>
                <w:rFonts w:hint="eastAsia" w:ascii="宋体" w:hAnsi="宋体" w:cs="HiddenHorzOCR"/>
                <w:kern w:val="0"/>
                <w:sz w:val="18"/>
                <w:szCs w:val="18"/>
              </w:rPr>
              <w:t>座</w:t>
            </w:r>
          </w:p>
        </w:tc>
        <w:tc>
          <w:tcPr>
            <w:tcW w:w="992" w:type="dxa"/>
          </w:tcPr>
          <w:p w14:paraId="58EBE0E5">
            <w:pPr>
              <w:autoSpaceDE w:val="0"/>
              <w:autoSpaceDN w:val="0"/>
              <w:ind w:firstLine="1" w:firstLineChars="0"/>
              <w:jc w:val="center"/>
              <w:rPr>
                <w:rFonts w:ascii="宋体" w:hAnsi="宋体"/>
                <w:kern w:val="0"/>
                <w:sz w:val="18"/>
                <w:szCs w:val="18"/>
              </w:rPr>
            </w:pPr>
            <w:r>
              <w:rPr>
                <w:rFonts w:hint="eastAsia" w:ascii="宋体" w:hAnsi="宋体"/>
                <w:bCs/>
                <w:sz w:val="18"/>
                <w:szCs w:val="18"/>
              </w:rPr>
              <w:t>≥</w:t>
            </w:r>
            <w:r>
              <w:rPr>
                <w:rFonts w:ascii="宋体" w:hAnsi="宋体"/>
                <w:bCs/>
                <w:sz w:val="18"/>
                <w:szCs w:val="18"/>
              </w:rPr>
              <w:t>2</w:t>
            </w:r>
          </w:p>
        </w:tc>
      </w:tr>
      <w:tr w14:paraId="762C2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09" w:type="dxa"/>
          </w:tcPr>
          <w:p w14:paraId="11AC9D81">
            <w:pPr>
              <w:autoSpaceDE w:val="0"/>
              <w:autoSpaceDN w:val="0"/>
              <w:ind w:firstLine="1" w:firstLineChars="0"/>
              <w:jc w:val="center"/>
              <w:rPr>
                <w:rFonts w:ascii="宋体" w:hAnsi="宋体"/>
                <w:kern w:val="0"/>
                <w:sz w:val="18"/>
                <w:szCs w:val="18"/>
              </w:rPr>
            </w:pPr>
            <w:r>
              <w:rPr>
                <w:rFonts w:ascii="宋体" w:hAnsi="宋体"/>
                <w:kern w:val="0"/>
                <w:sz w:val="18"/>
                <w:szCs w:val="18"/>
              </w:rPr>
              <w:t>3</w:t>
            </w:r>
          </w:p>
        </w:tc>
        <w:tc>
          <w:tcPr>
            <w:tcW w:w="2822" w:type="dxa"/>
          </w:tcPr>
          <w:p w14:paraId="26230F18">
            <w:pPr>
              <w:autoSpaceDE w:val="0"/>
              <w:autoSpaceDN w:val="0"/>
              <w:ind w:firstLine="1" w:firstLineChars="0"/>
              <w:jc w:val="center"/>
              <w:rPr>
                <w:rFonts w:ascii="宋体" w:hAnsi="宋体"/>
                <w:kern w:val="0"/>
                <w:sz w:val="18"/>
                <w:szCs w:val="18"/>
              </w:rPr>
            </w:pPr>
            <w:r>
              <w:rPr>
                <w:rFonts w:hint="eastAsia" w:ascii="宋体" w:hAnsi="宋体" w:cs="HiddenHorzOCR"/>
                <w:kern w:val="0"/>
                <w:sz w:val="18"/>
                <w:szCs w:val="18"/>
              </w:rPr>
              <w:t>厨房</w:t>
            </w:r>
          </w:p>
        </w:tc>
        <w:tc>
          <w:tcPr>
            <w:tcW w:w="3699" w:type="dxa"/>
          </w:tcPr>
          <w:p w14:paraId="2A06CC29">
            <w:pPr>
              <w:autoSpaceDE w:val="0"/>
              <w:autoSpaceDN w:val="0"/>
              <w:ind w:firstLine="1" w:firstLineChars="0"/>
              <w:jc w:val="center"/>
              <w:rPr>
                <w:rFonts w:ascii="宋体" w:hAnsi="宋体"/>
                <w:kern w:val="0"/>
                <w:sz w:val="18"/>
                <w:szCs w:val="18"/>
              </w:rPr>
            </w:pPr>
            <w:r>
              <w:rPr>
                <w:rFonts w:hint="eastAsia" w:ascii="宋体" w:hAnsi="宋体" w:cs="宋体"/>
                <w:kern w:val="0"/>
                <w:sz w:val="18"/>
                <w:szCs w:val="18"/>
              </w:rPr>
              <w:t>单</w:t>
            </w:r>
            <w:r>
              <w:rPr>
                <w:rFonts w:hint="eastAsia" w:ascii="宋体" w:hAnsi="宋体" w:cs="MS Mincho"/>
                <w:kern w:val="0"/>
                <w:sz w:val="18"/>
                <w:szCs w:val="18"/>
              </w:rPr>
              <w:t>相两孔、三孔</w:t>
            </w:r>
            <w:r>
              <w:rPr>
                <w:rFonts w:hint="eastAsia" w:ascii="宋体" w:hAnsi="宋体" w:cs="宋体"/>
                <w:kern w:val="0"/>
                <w:sz w:val="18"/>
                <w:szCs w:val="18"/>
              </w:rPr>
              <w:t>电</w:t>
            </w:r>
            <w:r>
              <w:rPr>
                <w:rFonts w:hint="eastAsia" w:ascii="宋体" w:hAnsi="宋体" w:cs="MS Mincho"/>
                <w:kern w:val="0"/>
                <w:sz w:val="18"/>
                <w:szCs w:val="18"/>
              </w:rPr>
              <w:t>源插</w:t>
            </w:r>
            <w:r>
              <w:rPr>
                <w:rFonts w:hint="eastAsia" w:ascii="宋体" w:hAnsi="宋体" w:cs="HiddenHorzOCR"/>
                <w:kern w:val="0"/>
                <w:sz w:val="18"/>
                <w:szCs w:val="18"/>
              </w:rPr>
              <w:t>座</w:t>
            </w:r>
          </w:p>
        </w:tc>
        <w:tc>
          <w:tcPr>
            <w:tcW w:w="992" w:type="dxa"/>
          </w:tcPr>
          <w:p w14:paraId="61D2FC76">
            <w:pPr>
              <w:autoSpaceDE w:val="0"/>
              <w:autoSpaceDN w:val="0"/>
              <w:ind w:firstLine="1" w:firstLineChars="0"/>
              <w:jc w:val="center"/>
              <w:rPr>
                <w:rFonts w:ascii="宋体" w:hAnsi="宋体"/>
                <w:kern w:val="0"/>
                <w:sz w:val="18"/>
                <w:szCs w:val="18"/>
              </w:rPr>
            </w:pPr>
            <w:r>
              <w:rPr>
                <w:rFonts w:hint="eastAsia" w:ascii="宋体" w:hAnsi="宋体"/>
                <w:bCs/>
                <w:sz w:val="18"/>
                <w:szCs w:val="18"/>
              </w:rPr>
              <w:t>≥3</w:t>
            </w:r>
          </w:p>
        </w:tc>
      </w:tr>
      <w:tr w14:paraId="39627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09" w:type="dxa"/>
          </w:tcPr>
          <w:p w14:paraId="16763AA8">
            <w:pPr>
              <w:autoSpaceDE w:val="0"/>
              <w:autoSpaceDN w:val="0"/>
              <w:ind w:firstLine="1" w:firstLineChars="0"/>
              <w:jc w:val="center"/>
              <w:rPr>
                <w:rFonts w:ascii="宋体" w:hAnsi="宋体"/>
                <w:kern w:val="0"/>
                <w:sz w:val="18"/>
                <w:szCs w:val="18"/>
              </w:rPr>
            </w:pPr>
            <w:r>
              <w:rPr>
                <w:rFonts w:ascii="宋体" w:hAnsi="宋体"/>
                <w:kern w:val="0"/>
                <w:sz w:val="18"/>
                <w:szCs w:val="18"/>
              </w:rPr>
              <w:t>4</w:t>
            </w:r>
          </w:p>
        </w:tc>
        <w:tc>
          <w:tcPr>
            <w:tcW w:w="2822" w:type="dxa"/>
          </w:tcPr>
          <w:p w14:paraId="50B50F6E">
            <w:pPr>
              <w:autoSpaceDE w:val="0"/>
              <w:autoSpaceDN w:val="0"/>
              <w:ind w:firstLine="1" w:firstLineChars="0"/>
              <w:jc w:val="center"/>
              <w:rPr>
                <w:rFonts w:ascii="宋体" w:hAnsi="宋体"/>
                <w:kern w:val="0"/>
                <w:sz w:val="18"/>
                <w:szCs w:val="18"/>
              </w:rPr>
            </w:pPr>
            <w:r>
              <w:rPr>
                <w:rFonts w:ascii="宋体" w:hAnsi="宋体"/>
                <w:kern w:val="0"/>
                <w:sz w:val="18"/>
                <w:szCs w:val="18"/>
              </w:rPr>
              <w:t>卫生间</w:t>
            </w:r>
          </w:p>
        </w:tc>
        <w:tc>
          <w:tcPr>
            <w:tcW w:w="3699" w:type="dxa"/>
          </w:tcPr>
          <w:p w14:paraId="4D1DC4FA">
            <w:pPr>
              <w:autoSpaceDE w:val="0"/>
              <w:autoSpaceDN w:val="0"/>
              <w:ind w:firstLine="1" w:firstLineChars="0"/>
              <w:jc w:val="center"/>
              <w:rPr>
                <w:rFonts w:ascii="宋体" w:hAnsi="宋体"/>
                <w:kern w:val="0"/>
                <w:sz w:val="18"/>
                <w:szCs w:val="18"/>
              </w:rPr>
            </w:pPr>
            <w:r>
              <w:rPr>
                <w:rFonts w:hint="eastAsia" w:ascii="宋体" w:hAnsi="宋体" w:cs="宋体"/>
                <w:kern w:val="0"/>
                <w:sz w:val="18"/>
                <w:szCs w:val="18"/>
              </w:rPr>
              <w:t>单</w:t>
            </w:r>
            <w:r>
              <w:rPr>
                <w:rFonts w:hint="eastAsia" w:ascii="宋体" w:hAnsi="宋体" w:cs="MS Mincho"/>
                <w:kern w:val="0"/>
                <w:sz w:val="18"/>
                <w:szCs w:val="18"/>
              </w:rPr>
              <w:t>相两孔、三孔</w:t>
            </w:r>
            <w:r>
              <w:rPr>
                <w:rFonts w:hint="eastAsia" w:ascii="宋体" w:hAnsi="宋体" w:cs="宋体"/>
                <w:kern w:val="0"/>
                <w:sz w:val="18"/>
                <w:szCs w:val="18"/>
              </w:rPr>
              <w:t>电</w:t>
            </w:r>
            <w:r>
              <w:rPr>
                <w:rFonts w:hint="eastAsia" w:ascii="宋体" w:hAnsi="宋体" w:cs="MS Mincho"/>
                <w:kern w:val="0"/>
                <w:sz w:val="18"/>
                <w:szCs w:val="18"/>
              </w:rPr>
              <w:t>源插</w:t>
            </w:r>
            <w:r>
              <w:rPr>
                <w:rFonts w:hint="eastAsia" w:ascii="宋体" w:hAnsi="宋体" w:cs="HiddenHorzOCR"/>
                <w:kern w:val="0"/>
                <w:sz w:val="18"/>
                <w:szCs w:val="18"/>
              </w:rPr>
              <w:t>座</w:t>
            </w:r>
          </w:p>
        </w:tc>
        <w:tc>
          <w:tcPr>
            <w:tcW w:w="992" w:type="dxa"/>
          </w:tcPr>
          <w:p w14:paraId="0A1A98BE">
            <w:pPr>
              <w:autoSpaceDE w:val="0"/>
              <w:autoSpaceDN w:val="0"/>
              <w:ind w:firstLine="1" w:firstLineChars="0"/>
              <w:jc w:val="center"/>
              <w:rPr>
                <w:rFonts w:ascii="宋体" w:hAnsi="宋体"/>
                <w:kern w:val="0"/>
                <w:sz w:val="18"/>
                <w:szCs w:val="18"/>
              </w:rPr>
            </w:pPr>
            <w:r>
              <w:rPr>
                <w:rFonts w:hint="eastAsia" w:ascii="宋体" w:hAnsi="宋体"/>
                <w:bCs/>
                <w:sz w:val="18"/>
                <w:szCs w:val="18"/>
              </w:rPr>
              <w:t>≥</w:t>
            </w:r>
            <w:r>
              <w:rPr>
                <w:rFonts w:ascii="宋体" w:hAnsi="宋体"/>
                <w:bCs/>
                <w:sz w:val="18"/>
                <w:szCs w:val="18"/>
              </w:rPr>
              <w:t>1</w:t>
            </w:r>
          </w:p>
        </w:tc>
      </w:tr>
      <w:tr w14:paraId="453CA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exact"/>
        </w:trPr>
        <w:tc>
          <w:tcPr>
            <w:tcW w:w="709" w:type="dxa"/>
            <w:vAlign w:val="center"/>
          </w:tcPr>
          <w:p w14:paraId="11655544">
            <w:pPr>
              <w:autoSpaceDE w:val="0"/>
              <w:autoSpaceDN w:val="0"/>
              <w:ind w:firstLine="1" w:firstLineChars="0"/>
              <w:jc w:val="center"/>
              <w:rPr>
                <w:rFonts w:ascii="宋体" w:hAnsi="宋体"/>
                <w:kern w:val="0"/>
                <w:sz w:val="18"/>
                <w:szCs w:val="18"/>
              </w:rPr>
            </w:pPr>
            <w:r>
              <w:rPr>
                <w:rFonts w:ascii="宋体" w:hAnsi="宋体"/>
                <w:kern w:val="0"/>
                <w:sz w:val="18"/>
                <w:szCs w:val="18"/>
              </w:rPr>
              <w:t>5</w:t>
            </w:r>
          </w:p>
        </w:tc>
        <w:tc>
          <w:tcPr>
            <w:tcW w:w="2822" w:type="dxa"/>
            <w:vAlign w:val="center"/>
          </w:tcPr>
          <w:p w14:paraId="7784D13D">
            <w:pPr>
              <w:autoSpaceDE w:val="0"/>
              <w:autoSpaceDN w:val="0"/>
              <w:ind w:firstLine="1" w:firstLineChars="0"/>
              <w:jc w:val="center"/>
              <w:rPr>
                <w:rFonts w:ascii="宋体" w:hAnsi="宋体" w:cs="HiddenHorzOCR"/>
                <w:kern w:val="0"/>
                <w:sz w:val="18"/>
                <w:szCs w:val="18"/>
              </w:rPr>
            </w:pPr>
            <w:r>
              <w:rPr>
                <w:rFonts w:hint="eastAsia" w:ascii="宋体" w:hAnsi="宋体" w:cs="HiddenHorzOCR"/>
                <w:kern w:val="0"/>
                <w:sz w:val="18"/>
                <w:szCs w:val="18"/>
              </w:rPr>
              <w:t>洗衣机、冰箱、排油烟机、</w:t>
            </w:r>
          </w:p>
          <w:p w14:paraId="3D5C1290">
            <w:pPr>
              <w:autoSpaceDE w:val="0"/>
              <w:autoSpaceDN w:val="0"/>
              <w:ind w:firstLine="1" w:firstLineChars="0"/>
              <w:jc w:val="center"/>
              <w:rPr>
                <w:rFonts w:ascii="宋体" w:hAnsi="宋体"/>
                <w:kern w:val="0"/>
                <w:sz w:val="18"/>
                <w:szCs w:val="18"/>
              </w:rPr>
            </w:pPr>
            <w:r>
              <w:rPr>
                <w:rFonts w:hint="eastAsia" w:ascii="宋体" w:hAnsi="宋体" w:cs="HiddenHorzOCR"/>
                <w:kern w:val="0"/>
                <w:sz w:val="18"/>
                <w:szCs w:val="18"/>
              </w:rPr>
              <w:t>排</w:t>
            </w:r>
            <w:r>
              <w:rPr>
                <w:rFonts w:hint="eastAsia" w:ascii="宋体" w:hAnsi="宋体" w:cs="宋体"/>
                <w:kern w:val="0"/>
                <w:sz w:val="18"/>
                <w:szCs w:val="18"/>
              </w:rPr>
              <w:t>风</w:t>
            </w:r>
            <w:r>
              <w:rPr>
                <w:rFonts w:hint="eastAsia" w:ascii="宋体" w:hAnsi="宋体" w:cs="MS Mincho"/>
                <w:kern w:val="0"/>
                <w:sz w:val="18"/>
                <w:szCs w:val="18"/>
              </w:rPr>
              <w:t>机、空</w:t>
            </w:r>
            <w:r>
              <w:rPr>
                <w:rFonts w:hint="eastAsia" w:ascii="宋体" w:hAnsi="宋体" w:cs="宋体"/>
                <w:kern w:val="0"/>
                <w:sz w:val="18"/>
                <w:szCs w:val="18"/>
              </w:rPr>
              <w:t>调</w:t>
            </w:r>
            <w:r>
              <w:rPr>
                <w:rFonts w:hint="eastAsia" w:ascii="宋体" w:hAnsi="宋体" w:cs="MS Mincho"/>
                <w:kern w:val="0"/>
                <w:sz w:val="18"/>
                <w:szCs w:val="18"/>
              </w:rPr>
              <w:t>器、</w:t>
            </w:r>
            <w:r>
              <w:rPr>
                <w:rFonts w:hint="eastAsia" w:ascii="宋体" w:hAnsi="宋体" w:cs="宋体"/>
                <w:kern w:val="0"/>
                <w:sz w:val="18"/>
                <w:szCs w:val="18"/>
              </w:rPr>
              <w:t>电热</w:t>
            </w:r>
            <w:r>
              <w:rPr>
                <w:rFonts w:hint="eastAsia" w:ascii="宋体" w:hAnsi="宋体" w:cs="MS Mincho"/>
                <w:kern w:val="0"/>
                <w:sz w:val="18"/>
                <w:szCs w:val="18"/>
              </w:rPr>
              <w:t>水器</w:t>
            </w:r>
          </w:p>
        </w:tc>
        <w:tc>
          <w:tcPr>
            <w:tcW w:w="3699" w:type="dxa"/>
            <w:vAlign w:val="center"/>
          </w:tcPr>
          <w:p w14:paraId="1040EC77">
            <w:pPr>
              <w:autoSpaceDE w:val="0"/>
              <w:autoSpaceDN w:val="0"/>
              <w:ind w:firstLine="1" w:firstLineChars="0"/>
              <w:jc w:val="center"/>
              <w:rPr>
                <w:rFonts w:ascii="宋体" w:hAnsi="宋体"/>
                <w:kern w:val="0"/>
                <w:sz w:val="18"/>
                <w:szCs w:val="18"/>
              </w:rPr>
            </w:pPr>
            <w:r>
              <w:rPr>
                <w:rFonts w:hint="eastAsia" w:ascii="宋体" w:hAnsi="宋体" w:cs="宋体"/>
                <w:kern w:val="0"/>
                <w:sz w:val="18"/>
                <w:szCs w:val="18"/>
              </w:rPr>
              <w:t>单</w:t>
            </w:r>
            <w:r>
              <w:rPr>
                <w:rFonts w:hint="eastAsia" w:ascii="宋体" w:hAnsi="宋体" w:cs="MS Mincho"/>
                <w:kern w:val="0"/>
                <w:sz w:val="18"/>
                <w:szCs w:val="18"/>
              </w:rPr>
              <w:t>相三</w:t>
            </w:r>
            <w:r>
              <w:rPr>
                <w:rFonts w:hint="eastAsia" w:ascii="宋体" w:hAnsi="宋体" w:cs="HiddenHorzOCR"/>
                <w:kern w:val="0"/>
                <w:sz w:val="18"/>
                <w:szCs w:val="18"/>
              </w:rPr>
              <w:t>孔</w:t>
            </w:r>
            <w:r>
              <w:rPr>
                <w:rFonts w:hint="eastAsia" w:ascii="宋体" w:hAnsi="宋体" w:cs="宋体"/>
                <w:kern w:val="0"/>
                <w:sz w:val="18"/>
                <w:szCs w:val="18"/>
              </w:rPr>
              <w:t>电</w:t>
            </w:r>
            <w:r>
              <w:rPr>
                <w:rFonts w:hint="eastAsia" w:ascii="宋体" w:hAnsi="宋体" w:cs="MS Mincho"/>
                <w:kern w:val="0"/>
                <w:sz w:val="18"/>
                <w:szCs w:val="18"/>
              </w:rPr>
              <w:t>源插</w:t>
            </w:r>
            <w:r>
              <w:rPr>
                <w:rFonts w:hint="eastAsia" w:ascii="宋体" w:hAnsi="宋体" w:cs="HiddenHorzOCR"/>
                <w:kern w:val="0"/>
                <w:sz w:val="18"/>
                <w:szCs w:val="18"/>
              </w:rPr>
              <w:t>座</w:t>
            </w:r>
          </w:p>
        </w:tc>
        <w:tc>
          <w:tcPr>
            <w:tcW w:w="992" w:type="dxa"/>
            <w:vAlign w:val="center"/>
          </w:tcPr>
          <w:p w14:paraId="25BC5604">
            <w:pPr>
              <w:autoSpaceDE w:val="0"/>
              <w:autoSpaceDN w:val="0"/>
              <w:ind w:firstLine="1" w:firstLineChars="0"/>
              <w:jc w:val="center"/>
              <w:rPr>
                <w:rFonts w:ascii="宋体" w:hAnsi="宋体"/>
                <w:kern w:val="0"/>
                <w:sz w:val="18"/>
                <w:szCs w:val="18"/>
              </w:rPr>
            </w:pPr>
            <w:r>
              <w:rPr>
                <w:rFonts w:hint="eastAsia" w:ascii="宋体" w:hAnsi="宋体"/>
                <w:bCs/>
                <w:sz w:val="18"/>
                <w:szCs w:val="18"/>
              </w:rPr>
              <w:t>≥</w:t>
            </w:r>
            <w:r>
              <w:rPr>
                <w:rFonts w:ascii="宋体" w:hAnsi="宋体"/>
                <w:bCs/>
                <w:sz w:val="18"/>
                <w:szCs w:val="18"/>
              </w:rPr>
              <w:t>1</w:t>
            </w:r>
          </w:p>
        </w:tc>
      </w:tr>
    </w:tbl>
    <w:p w14:paraId="42F4ACBB">
      <w:pPr>
        <w:ind w:left="965" w:leftChars="177" w:hanging="540" w:hangingChars="300"/>
        <w:rPr>
          <w:rFonts w:ascii="宋体" w:hAnsi="宋体"/>
          <w:sz w:val="18"/>
          <w:szCs w:val="18"/>
          <w:lang w:val="zh-CN"/>
        </w:rPr>
      </w:pPr>
      <w:r>
        <w:rPr>
          <w:rFonts w:hint="eastAsia" w:ascii="宋体" w:hAnsi="宋体"/>
          <w:sz w:val="18"/>
          <w:szCs w:val="18"/>
          <w:lang w:val="zh-CN"/>
        </w:rPr>
        <w:t>注：</w:t>
      </w:r>
      <w:r>
        <w:rPr>
          <w:rFonts w:ascii="宋体" w:hAnsi="宋体"/>
          <w:sz w:val="18"/>
          <w:szCs w:val="18"/>
          <w:lang w:val="zh-CN"/>
        </w:rPr>
        <w:t xml:space="preserve"> </w:t>
      </w:r>
      <w:r>
        <w:rPr>
          <w:rFonts w:hint="eastAsia" w:ascii="宋体" w:hAnsi="宋体"/>
          <w:sz w:val="18"/>
          <w:szCs w:val="18"/>
        </w:rPr>
        <w:t xml:space="preserve"> </w:t>
      </w:r>
      <w:r>
        <w:rPr>
          <w:rFonts w:ascii="宋体" w:hAnsi="宋体"/>
          <w:sz w:val="18"/>
          <w:szCs w:val="18"/>
          <w:lang w:val="zh-CN"/>
        </w:rPr>
        <w:t xml:space="preserve">1、表中序号1~4 </w:t>
      </w:r>
      <w:r>
        <w:rPr>
          <w:rFonts w:hint="eastAsia" w:ascii="宋体" w:hAnsi="宋体"/>
          <w:sz w:val="18"/>
          <w:szCs w:val="18"/>
          <w:lang w:val="zh-CN"/>
        </w:rPr>
        <w:t>设置的电源插座数量不包括序号</w:t>
      </w:r>
      <w:r>
        <w:rPr>
          <w:rFonts w:ascii="宋体" w:hAnsi="宋体"/>
          <w:sz w:val="18"/>
          <w:szCs w:val="18"/>
          <w:lang w:val="zh-CN"/>
        </w:rPr>
        <w:t>5专用设备所需设置的电源插座数量；</w:t>
      </w:r>
    </w:p>
    <w:p w14:paraId="3F9359FA">
      <w:pPr>
        <w:numPr>
          <w:ilvl w:val="0"/>
          <w:numId w:val="12"/>
        </w:numPr>
        <w:ind w:left="154" w:leftChars="64" w:firstLine="804" w:firstLineChars="447"/>
        <w:rPr>
          <w:rFonts w:ascii="宋体" w:hAnsi="宋体"/>
          <w:sz w:val="18"/>
          <w:szCs w:val="18"/>
          <w:lang w:val="zh-CN"/>
        </w:rPr>
      </w:pPr>
      <w:r>
        <w:rPr>
          <w:rFonts w:ascii="宋体" w:hAnsi="宋体"/>
          <w:sz w:val="18"/>
          <w:szCs w:val="18"/>
          <w:lang w:val="zh-CN"/>
        </w:rPr>
        <w:t>序号5数量</w:t>
      </w:r>
      <w:r>
        <w:rPr>
          <w:rFonts w:hint="eastAsia" w:ascii="宋体" w:hAnsi="宋体"/>
          <w:sz w:val="18"/>
          <w:szCs w:val="18"/>
        </w:rPr>
        <w:t>≥1</w:t>
      </w:r>
      <w:r>
        <w:rPr>
          <w:rFonts w:ascii="宋体" w:hAnsi="宋体"/>
          <w:sz w:val="18"/>
          <w:szCs w:val="18"/>
          <w:lang w:val="zh-CN"/>
        </w:rPr>
        <w:t>是指各专用设备所需设置的电源插座数量</w:t>
      </w:r>
      <w:r>
        <w:rPr>
          <w:rFonts w:hint="eastAsia" w:ascii="宋体" w:hAnsi="宋体"/>
          <w:sz w:val="18"/>
          <w:szCs w:val="18"/>
        </w:rPr>
        <w:t>≥1</w:t>
      </w:r>
      <w:r>
        <w:rPr>
          <w:rFonts w:hint="eastAsia" w:ascii="宋体" w:hAnsi="宋体"/>
          <w:sz w:val="18"/>
          <w:szCs w:val="18"/>
          <w:lang w:val="zh-CN"/>
        </w:rPr>
        <w:t>；</w:t>
      </w:r>
    </w:p>
    <w:p w14:paraId="12EF8FB5">
      <w:pPr>
        <w:numPr>
          <w:ilvl w:val="0"/>
          <w:numId w:val="12"/>
        </w:numPr>
        <w:ind w:left="154" w:leftChars="64" w:firstLine="804" w:firstLineChars="447"/>
        <w:rPr>
          <w:rFonts w:ascii="宋体" w:hAnsi="宋体"/>
          <w:sz w:val="18"/>
          <w:szCs w:val="18"/>
          <w:lang w:val="zh-CN"/>
        </w:rPr>
      </w:pPr>
      <w:r>
        <w:rPr>
          <w:rFonts w:hint="eastAsia" w:ascii="宋体" w:hAnsi="宋体"/>
          <w:sz w:val="18"/>
          <w:szCs w:val="18"/>
        </w:rPr>
        <w:t>插座均应采用安全型插座，卫生间插座应加设防止水溅措施。</w:t>
      </w:r>
    </w:p>
    <w:p w14:paraId="0B68DBF6">
      <w:pPr>
        <w:pStyle w:val="3"/>
        <w:numPr>
          <w:ilvl w:val="1"/>
          <w:numId w:val="11"/>
        </w:numPr>
        <w:rPr>
          <w:kern w:val="44"/>
        </w:rPr>
      </w:pPr>
      <w:bookmarkStart w:id="1169" w:name="_Toc427324243"/>
      <w:bookmarkStart w:id="1170" w:name="_Toc26817512"/>
      <w:bookmarkStart w:id="1171" w:name="_Toc8305"/>
      <w:bookmarkStart w:id="1172" w:name="_Toc422931183"/>
      <w:bookmarkStart w:id="1173" w:name="_Toc28365"/>
      <w:bookmarkStart w:id="1174" w:name="_Toc30297"/>
      <w:bookmarkStart w:id="1175" w:name="_Toc26005"/>
      <w:bookmarkStart w:id="1176" w:name="_Toc419288575"/>
      <w:bookmarkStart w:id="1177" w:name="_Toc422990221"/>
      <w:bookmarkStart w:id="1178" w:name="_Toc425428147"/>
      <w:bookmarkStart w:id="1179" w:name="_Toc28242"/>
      <w:bookmarkStart w:id="1180" w:name="_Toc11024"/>
      <w:bookmarkStart w:id="1181" w:name="_Toc5379"/>
      <w:bookmarkStart w:id="1182" w:name="_Toc2788"/>
      <w:bookmarkStart w:id="1183" w:name="_Toc425447384"/>
      <w:r>
        <w:rPr>
          <w:rFonts w:hint="eastAsia"/>
          <w:kern w:val="44"/>
        </w:rPr>
        <w:t>防雷接地</w:t>
      </w:r>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p>
    <w:p w14:paraId="50CB319A">
      <w:pPr>
        <w:pStyle w:val="4"/>
        <w:numPr>
          <w:ilvl w:val="2"/>
          <w:numId w:val="11"/>
        </w:numPr>
        <w:tabs>
          <w:tab w:val="clear" w:pos="0"/>
        </w:tabs>
        <w:ind w:firstLine="0" w:firstLineChars="0"/>
        <w:rPr>
          <w:rFonts w:cs="宋体"/>
          <w:bCs w:val="0"/>
          <w:iCs/>
          <w:lang w:val="en-US"/>
        </w:rPr>
      </w:pPr>
      <w:r>
        <w:rPr>
          <w:rFonts w:hint="eastAsia" w:cs="宋体"/>
          <w:bCs w:val="0"/>
          <w:iCs/>
          <w:lang w:val="en-US"/>
        </w:rPr>
        <w:t>住宅建筑楼内配电系统的接地形式应采用TN-S系统。</w:t>
      </w:r>
    </w:p>
    <w:p w14:paraId="1E3AB47E">
      <w:pPr>
        <w:pStyle w:val="4"/>
        <w:numPr>
          <w:ilvl w:val="2"/>
          <w:numId w:val="11"/>
        </w:numPr>
        <w:tabs>
          <w:tab w:val="clear" w:pos="0"/>
        </w:tabs>
        <w:ind w:firstLine="0" w:firstLineChars="0"/>
        <w:rPr>
          <w:rFonts w:cs="宋体"/>
          <w:bCs w:val="0"/>
          <w:iCs/>
          <w:lang w:val="en-US"/>
        </w:rPr>
      </w:pPr>
      <w:r>
        <w:rPr>
          <w:rFonts w:hint="eastAsia" w:cs="宋体"/>
          <w:bCs w:val="0"/>
          <w:iCs/>
          <w:lang w:val="en-US"/>
        </w:rPr>
        <w:t>住宅建筑各电气系统的接地宜共用接地装置，接地装置应优先利用建筑的自然接地体，接地装置的接地电阻值应满足其中电气系统最小值的要求。</w:t>
      </w:r>
    </w:p>
    <w:p w14:paraId="4D2B0D8E">
      <w:pPr>
        <w:pStyle w:val="4"/>
        <w:numPr>
          <w:ilvl w:val="2"/>
          <w:numId w:val="11"/>
        </w:numPr>
        <w:tabs>
          <w:tab w:val="clear" w:pos="0"/>
        </w:tabs>
        <w:ind w:firstLine="0" w:firstLineChars="0"/>
        <w:rPr>
          <w:rFonts w:cs="宋体"/>
          <w:bCs w:val="0"/>
          <w:iCs/>
          <w:lang w:val="en-US"/>
        </w:rPr>
      </w:pPr>
      <w:r>
        <w:rPr>
          <w:rFonts w:hint="eastAsia" w:cs="宋体"/>
          <w:bCs w:val="0"/>
          <w:iCs/>
          <w:lang w:val="en-US"/>
        </w:rPr>
        <w:t>住宅建筑应做总等电位联结，装有淋浴或浴盆的卫生间应做辅助等电位联结。</w:t>
      </w:r>
    </w:p>
    <w:p w14:paraId="07B3DAE1">
      <w:pPr>
        <w:pStyle w:val="4"/>
        <w:numPr>
          <w:ilvl w:val="2"/>
          <w:numId w:val="11"/>
        </w:numPr>
        <w:tabs>
          <w:tab w:val="clear" w:pos="0"/>
        </w:tabs>
        <w:ind w:firstLine="0" w:firstLineChars="0"/>
        <w:rPr>
          <w:rFonts w:cs="宋体"/>
          <w:bCs w:val="0"/>
          <w:iCs/>
          <w:lang w:val="en-US"/>
        </w:rPr>
      </w:pPr>
      <w:r>
        <w:rPr>
          <w:rFonts w:hint="eastAsia" w:cs="宋体"/>
          <w:bCs w:val="0"/>
          <w:iCs/>
          <w:lang w:val="en-US"/>
        </w:rPr>
        <w:t>住宅建筑套内下列电气装置的外露可导电部分均应可靠接地：</w:t>
      </w:r>
    </w:p>
    <w:p w14:paraId="19E0987F">
      <w:pPr>
        <w:ind w:left="5" w:firstLine="475" w:firstLineChars="197"/>
        <w:rPr>
          <w:bCs/>
        </w:rPr>
      </w:pPr>
      <w:r>
        <w:rPr>
          <w:b/>
        </w:rPr>
        <w:t>1</w:t>
      </w:r>
      <w:r>
        <w:rPr>
          <w:bCs/>
        </w:rPr>
        <w:t xml:space="preserve">  </w:t>
      </w:r>
      <w:r>
        <w:rPr>
          <w:rFonts w:hint="eastAsia"/>
          <w:bCs/>
        </w:rPr>
        <w:t>固定家用电器、手持式及移动式家用电器的</w:t>
      </w:r>
      <w:r>
        <w:rPr>
          <w:rFonts w:hint="eastAsia"/>
          <w:bCs/>
          <w:lang w:eastAsia="zh-CN"/>
        </w:rPr>
        <w:t>金属外壳</w:t>
      </w:r>
      <w:r>
        <w:rPr>
          <w:rFonts w:hint="eastAsia"/>
          <w:bCs/>
        </w:rPr>
        <w:t>；</w:t>
      </w:r>
    </w:p>
    <w:p w14:paraId="584700CC">
      <w:pPr>
        <w:ind w:left="5" w:firstLine="475" w:firstLineChars="197"/>
        <w:rPr>
          <w:bCs/>
        </w:rPr>
      </w:pPr>
      <w:r>
        <w:rPr>
          <w:b/>
        </w:rPr>
        <w:t>2</w:t>
      </w:r>
      <w:r>
        <w:rPr>
          <w:bCs/>
        </w:rPr>
        <w:t xml:space="preserve">  </w:t>
      </w:r>
      <w:r>
        <w:rPr>
          <w:rFonts w:hint="eastAsia"/>
          <w:bCs/>
        </w:rPr>
        <w:t>家居配电箱、家居配线箱、家居控制器的金属外壳；</w:t>
      </w:r>
    </w:p>
    <w:p w14:paraId="36F688F2">
      <w:pPr>
        <w:ind w:left="5" w:firstLine="475" w:firstLineChars="197"/>
        <w:rPr>
          <w:bCs/>
        </w:rPr>
      </w:pPr>
      <w:r>
        <w:rPr>
          <w:b/>
        </w:rPr>
        <w:t>3</w:t>
      </w:r>
      <w:r>
        <w:rPr>
          <w:bCs/>
        </w:rPr>
        <w:t xml:space="preserve">  </w:t>
      </w:r>
      <w:r>
        <w:rPr>
          <w:rFonts w:hint="eastAsia"/>
          <w:bCs/>
        </w:rPr>
        <w:t>线缆的金属保护导管、接线盒及终端盒；</w:t>
      </w:r>
    </w:p>
    <w:p w14:paraId="2AF088E7">
      <w:pPr>
        <w:ind w:left="5" w:firstLine="475" w:firstLineChars="197"/>
        <w:rPr>
          <w:bCs/>
        </w:rPr>
      </w:pPr>
      <w:r>
        <w:rPr>
          <w:b/>
        </w:rPr>
        <w:t>4</w:t>
      </w:r>
      <w:r>
        <w:rPr>
          <w:bCs/>
        </w:rPr>
        <w:t xml:space="preserve">  </w:t>
      </w:r>
      <w:r>
        <w:rPr>
          <w:rFonts w:ascii="宋体" w:hAnsi="宋体"/>
          <w:bCs/>
        </w:rPr>
        <w:t>I</w:t>
      </w:r>
      <w:r>
        <w:rPr>
          <w:rFonts w:hint="eastAsia"/>
          <w:bCs/>
        </w:rPr>
        <w:t>类照明灯具的金属外壳。</w:t>
      </w:r>
    </w:p>
    <w:p w14:paraId="68C0C95A">
      <w:pPr>
        <w:pStyle w:val="4"/>
        <w:numPr>
          <w:ilvl w:val="2"/>
          <w:numId w:val="11"/>
        </w:numPr>
        <w:tabs>
          <w:tab w:val="clear" w:pos="0"/>
        </w:tabs>
        <w:ind w:firstLine="0" w:firstLineChars="0"/>
        <w:rPr>
          <w:rFonts w:cs="宋体"/>
          <w:bCs w:val="0"/>
          <w:iCs/>
          <w:lang w:val="en-US"/>
        </w:rPr>
      </w:pPr>
      <w:r>
        <w:rPr>
          <w:rFonts w:hint="eastAsia" w:cs="宋体"/>
          <w:bCs w:val="0"/>
          <w:iCs/>
          <w:lang w:val="en-US"/>
        </w:rPr>
        <w:t>接地干线可选用热镀锌扁钢或铜导体，接地干线可兼作等电位联结干线。</w:t>
      </w:r>
    </w:p>
    <w:p w14:paraId="46F96DD1">
      <w:pPr>
        <w:pStyle w:val="4"/>
        <w:numPr>
          <w:ilvl w:val="2"/>
          <w:numId w:val="11"/>
        </w:numPr>
        <w:tabs>
          <w:tab w:val="clear" w:pos="0"/>
        </w:tabs>
        <w:ind w:firstLine="0" w:firstLineChars="0"/>
        <w:rPr>
          <w:rFonts w:cs="宋体"/>
          <w:bCs w:val="0"/>
          <w:iCs/>
          <w:lang w:val="en-US"/>
        </w:rPr>
      </w:pPr>
      <w:r>
        <w:rPr>
          <w:rFonts w:hint="eastAsia" w:cs="宋体"/>
          <w:bCs w:val="0"/>
          <w:iCs/>
          <w:lang w:val="en-US"/>
        </w:rPr>
        <w:t>住宅建筑电气竖井内的接地干线，每隔3 层应与相近楼板钢筋做等电位联结。</w:t>
      </w:r>
    </w:p>
    <w:p w14:paraId="69F6C8E2">
      <w:pPr>
        <w:pStyle w:val="4"/>
        <w:numPr>
          <w:ilvl w:val="2"/>
          <w:numId w:val="11"/>
        </w:numPr>
        <w:tabs>
          <w:tab w:val="clear" w:pos="0"/>
        </w:tabs>
        <w:ind w:firstLine="0" w:firstLineChars="0"/>
        <w:rPr>
          <w:rFonts w:cs="宋体"/>
          <w:bCs w:val="0"/>
          <w:iCs/>
          <w:lang w:val="en-US"/>
        </w:rPr>
      </w:pPr>
      <w:r>
        <w:rPr>
          <w:rFonts w:hint="eastAsia" w:cs="宋体"/>
          <w:bCs w:val="0"/>
          <w:iCs/>
          <w:lang w:val="en-US"/>
        </w:rPr>
        <w:t>楼顶的太阳能热水器、太阳光伏发电系统应按要求采取防雷措施。</w:t>
      </w:r>
    </w:p>
    <w:p w14:paraId="3B857DC3">
      <w:pPr>
        <w:pStyle w:val="4"/>
        <w:numPr>
          <w:ilvl w:val="2"/>
          <w:numId w:val="11"/>
        </w:numPr>
        <w:tabs>
          <w:tab w:val="clear" w:pos="0"/>
        </w:tabs>
        <w:ind w:firstLine="0" w:firstLineChars="0"/>
        <w:rPr>
          <w:rFonts w:cs="宋体"/>
          <w:bCs w:val="0"/>
          <w:iCs/>
          <w:lang w:val="en-US"/>
        </w:rPr>
      </w:pPr>
      <w:r>
        <w:rPr>
          <w:rFonts w:hint="eastAsia" w:cs="宋体"/>
          <w:bCs w:val="0"/>
          <w:iCs/>
          <w:lang w:val="en-US"/>
        </w:rPr>
        <w:t>住宅建筑的防雷设计应按不低于第三类防雷建筑物采取相应的防雷措施，并应符合现行国家标准《建筑物防雷设计规范》GB50057及《建筑物电子信息系统防雷技术规范》GB50343的规定。</w:t>
      </w:r>
    </w:p>
    <w:p w14:paraId="0B367EC1">
      <w:pPr>
        <w:pStyle w:val="3"/>
        <w:numPr>
          <w:ilvl w:val="1"/>
          <w:numId w:val="11"/>
        </w:numPr>
        <w:rPr>
          <w:kern w:val="44"/>
        </w:rPr>
      </w:pPr>
      <w:bookmarkStart w:id="1184" w:name="_Toc13809"/>
      <w:bookmarkStart w:id="1185" w:name="_Toc425428148"/>
      <w:bookmarkStart w:id="1186" w:name="_Toc419288576"/>
      <w:bookmarkStart w:id="1187" w:name="_Toc26817513"/>
      <w:bookmarkStart w:id="1188" w:name="_Toc27934"/>
      <w:bookmarkStart w:id="1189" w:name="_Toc12290"/>
      <w:bookmarkStart w:id="1190" w:name="_Toc427324244"/>
      <w:bookmarkStart w:id="1191" w:name="_Toc2855"/>
      <w:bookmarkStart w:id="1192" w:name="_Toc422931184"/>
      <w:bookmarkStart w:id="1193" w:name="_Toc425447385"/>
      <w:bookmarkStart w:id="1194" w:name="_Toc12322"/>
      <w:bookmarkStart w:id="1195" w:name="_Toc308"/>
      <w:bookmarkStart w:id="1196" w:name="_Toc6649"/>
      <w:bookmarkStart w:id="1197" w:name="_Toc1732"/>
      <w:bookmarkStart w:id="1198" w:name="_Toc422990222"/>
      <w:r>
        <w:rPr>
          <w:rFonts w:hint="eastAsia"/>
          <w:kern w:val="44"/>
        </w:rPr>
        <w:t>信息基础设施系统</w:t>
      </w:r>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p>
    <w:p w14:paraId="44A96E95">
      <w:pPr>
        <w:pStyle w:val="4"/>
        <w:numPr>
          <w:ilvl w:val="2"/>
          <w:numId w:val="11"/>
        </w:numPr>
        <w:tabs>
          <w:tab w:val="clear" w:pos="0"/>
        </w:tabs>
        <w:ind w:firstLine="0" w:firstLineChars="0"/>
        <w:rPr>
          <w:rFonts w:cs="宋体"/>
          <w:bCs w:val="0"/>
          <w:iCs/>
          <w:lang w:val="en-US"/>
        </w:rPr>
      </w:pPr>
      <w:r>
        <w:rPr>
          <w:rFonts w:hint="eastAsia" w:cs="宋体"/>
          <w:bCs w:val="0"/>
          <w:iCs/>
          <w:lang w:val="en-US"/>
        </w:rPr>
        <w:t>住宅建筑的信息基础设施系统应包含建筑规划用地红线内住宅区内地下通信管道、光缆交接箱、住宅建筑内管槽及通信线缆、配线设备，住户内家居配线箱、户内管线及各类通信及有线广播电视业务信息插座，预留的设备间、光电转换间、电信间、有线广播电视机房等设备安装空间。</w:t>
      </w:r>
    </w:p>
    <w:p w14:paraId="33041402">
      <w:pPr>
        <w:pStyle w:val="4"/>
        <w:numPr>
          <w:ilvl w:val="2"/>
          <w:numId w:val="11"/>
        </w:numPr>
        <w:tabs>
          <w:tab w:val="clear" w:pos="0"/>
        </w:tabs>
        <w:ind w:firstLine="0" w:firstLineChars="0"/>
        <w:rPr>
          <w:rFonts w:cs="宋体"/>
          <w:bCs w:val="0"/>
          <w:iCs/>
          <w:lang w:val="en-US"/>
        </w:rPr>
      </w:pPr>
      <w:r>
        <w:rPr>
          <w:rFonts w:hint="eastAsia" w:cs="宋体"/>
          <w:bCs w:val="0"/>
          <w:iCs/>
          <w:lang w:val="en-US"/>
        </w:rPr>
        <w:t>住宅区和住宅建筑内光纤到户通信设施工程的设计，应满足多家电信业务经营者平等接入、用户可自由选择电信业务经营者的要求。</w:t>
      </w:r>
    </w:p>
    <w:p w14:paraId="3E806E50">
      <w:pPr>
        <w:pStyle w:val="4"/>
        <w:numPr>
          <w:ilvl w:val="2"/>
          <w:numId w:val="11"/>
        </w:numPr>
        <w:tabs>
          <w:tab w:val="clear" w:pos="0"/>
        </w:tabs>
        <w:ind w:firstLine="0" w:firstLineChars="0"/>
        <w:rPr>
          <w:rFonts w:cs="宋体"/>
          <w:bCs w:val="0"/>
          <w:iCs/>
          <w:lang w:val="en-US"/>
        </w:rPr>
      </w:pPr>
      <w:r>
        <w:rPr>
          <w:rFonts w:hint="eastAsia" w:cs="宋体"/>
          <w:bCs w:val="0"/>
          <w:iCs/>
          <w:lang w:val="en-US"/>
        </w:rPr>
        <w:t>住宅建筑应设有线广播电视系统。有线广播电视设施应采用光缆或同轴电缆以独立专线方式建设。</w:t>
      </w:r>
    </w:p>
    <w:p w14:paraId="6014C7E1">
      <w:pPr>
        <w:pStyle w:val="4"/>
        <w:numPr>
          <w:ilvl w:val="2"/>
          <w:numId w:val="11"/>
        </w:numPr>
        <w:tabs>
          <w:tab w:val="clear" w:pos="0"/>
        </w:tabs>
        <w:ind w:firstLine="0" w:firstLineChars="0"/>
        <w:rPr>
          <w:rFonts w:cs="宋体"/>
          <w:bCs w:val="0"/>
          <w:iCs/>
          <w:lang w:val="en-US"/>
        </w:rPr>
      </w:pPr>
      <w:r>
        <w:rPr>
          <w:rFonts w:hint="eastAsia" w:cs="宋体"/>
          <w:bCs w:val="0"/>
          <w:iCs/>
          <w:lang w:val="en-US"/>
        </w:rPr>
        <w:t>公共移动通信信号应能覆盖至住宅建筑的公共空间和电梯轿厢内。</w:t>
      </w:r>
    </w:p>
    <w:p w14:paraId="1844F442">
      <w:pPr>
        <w:pStyle w:val="4"/>
        <w:numPr>
          <w:ilvl w:val="2"/>
          <w:numId w:val="11"/>
        </w:numPr>
        <w:tabs>
          <w:tab w:val="clear" w:pos="0"/>
        </w:tabs>
        <w:ind w:firstLine="0" w:firstLineChars="0"/>
        <w:rPr>
          <w:rFonts w:cs="宋体"/>
          <w:bCs w:val="0"/>
          <w:iCs/>
          <w:lang w:val="en-US"/>
        </w:rPr>
      </w:pPr>
      <w:r>
        <w:rPr>
          <w:rFonts w:hint="eastAsia" w:cs="宋体"/>
          <w:bCs w:val="0"/>
          <w:iCs/>
          <w:lang w:val="en-US"/>
        </w:rPr>
        <w:t>新建住宅区和住宅建筑的通信及有线广播电视设施应采用光纤到户或光纤同轴混合的方式建设。</w:t>
      </w:r>
    </w:p>
    <w:p w14:paraId="285B4292">
      <w:pPr>
        <w:pStyle w:val="4"/>
        <w:numPr>
          <w:ilvl w:val="2"/>
          <w:numId w:val="11"/>
        </w:numPr>
        <w:tabs>
          <w:tab w:val="clear" w:pos="0"/>
        </w:tabs>
        <w:ind w:firstLine="0" w:firstLineChars="0"/>
        <w:rPr>
          <w:rFonts w:cs="宋体"/>
          <w:bCs w:val="0"/>
          <w:iCs/>
          <w:lang w:val="en-US"/>
        </w:rPr>
      </w:pPr>
      <w:r>
        <w:rPr>
          <w:rFonts w:hint="eastAsia" w:cs="宋体"/>
          <w:bCs w:val="0"/>
          <w:iCs/>
          <w:lang w:val="en-US"/>
        </w:rPr>
        <w:t>新建住宅区和住宅建筑内的地下通信管道、配线管网、电信间、设备间等通信及有线广播电视设施，应与住宅区及住宅建筑同步建设。</w:t>
      </w:r>
    </w:p>
    <w:p w14:paraId="5015B687">
      <w:pPr>
        <w:pStyle w:val="4"/>
        <w:numPr>
          <w:ilvl w:val="2"/>
          <w:numId w:val="11"/>
        </w:numPr>
        <w:tabs>
          <w:tab w:val="clear" w:pos="0"/>
        </w:tabs>
        <w:ind w:firstLine="0" w:firstLineChars="0"/>
        <w:rPr>
          <w:rFonts w:cs="宋体"/>
          <w:bCs w:val="0"/>
          <w:iCs/>
          <w:lang w:val="en-US"/>
        </w:rPr>
      </w:pPr>
      <w:r>
        <w:rPr>
          <w:rFonts w:hint="eastAsia" w:cs="宋体"/>
          <w:bCs w:val="0"/>
          <w:iCs/>
          <w:lang w:val="en-US"/>
        </w:rPr>
        <w:t>住宅建筑外信息管道及设施包括管道、人（手）孔及落地交接箱，应符合现行国家标准《住宅区和住宅建筑内光纤到户通信设施工程设计规范》GB50846及《通信管道与通道工程设计标准》GB50373的规定。人（手）孔宜设置智能安防监控装置（如红外探测器、智能锁具），落地交接箱宜具备温湿度监测、防水淹报警功能，并接入小区物业管理平台。</w:t>
      </w:r>
    </w:p>
    <w:p w14:paraId="6C082A90">
      <w:pPr>
        <w:pStyle w:val="4"/>
        <w:numPr>
          <w:ilvl w:val="2"/>
          <w:numId w:val="11"/>
        </w:numPr>
        <w:tabs>
          <w:tab w:val="clear" w:pos="0"/>
        </w:tabs>
        <w:ind w:firstLine="0" w:firstLineChars="0"/>
        <w:rPr>
          <w:rFonts w:cs="宋体"/>
          <w:bCs w:val="0"/>
          <w:iCs/>
          <w:lang w:val="en-US"/>
        </w:rPr>
      </w:pPr>
      <w:r>
        <w:rPr>
          <w:rFonts w:hint="eastAsia" w:cs="宋体"/>
          <w:bCs w:val="0"/>
          <w:iCs/>
          <w:lang w:val="en-US"/>
        </w:rPr>
        <w:t>住宅建筑内信息管道及设施应符合下列规定：</w:t>
      </w:r>
    </w:p>
    <w:p w14:paraId="1055C822">
      <w:pPr>
        <w:ind w:firstLine="482"/>
      </w:pPr>
      <w:r>
        <w:rPr>
          <w:b/>
          <w:bCs/>
        </w:rPr>
        <w:t>1</w:t>
      </w:r>
      <w:r>
        <w:t xml:space="preserve">  </w:t>
      </w:r>
      <w:r>
        <w:rPr>
          <w:rFonts w:hint="eastAsia"/>
        </w:rPr>
        <w:t>信息配线箱应符合下列规定</w:t>
      </w:r>
      <w:r>
        <w:t>：</w:t>
      </w:r>
    </w:p>
    <w:p w14:paraId="45EB7088">
      <w:pPr>
        <w:ind w:firstLine="482"/>
      </w:pPr>
      <w:r>
        <w:rPr>
          <w:rFonts w:cs="Calibri"/>
          <w:b/>
          <w:bCs/>
        </w:rPr>
        <w:t>1）</w:t>
      </w:r>
      <w:r>
        <w:rPr>
          <w:rFonts w:hint="eastAsia"/>
        </w:rPr>
        <w:t>线缆竖井、楼道综合配线箱、有线广播电视放大箱、过路箱（盒），应设置在建筑物的公共区域；</w:t>
      </w:r>
    </w:p>
    <w:p w14:paraId="7448E360">
      <w:pPr>
        <w:ind w:firstLine="482"/>
      </w:pPr>
      <w:r>
        <w:rPr>
          <w:rFonts w:cs="Calibri"/>
          <w:b/>
          <w:bCs/>
        </w:rPr>
        <w:t>2）</w:t>
      </w:r>
      <w:r>
        <w:rPr>
          <w:rFonts w:hint="eastAsia"/>
        </w:rPr>
        <w:t>楼道综合配线箱、有线广播电视放大箱，宜设置在通信及有线广播电视终端相对集中，利于暗管敷设的地方，不宜设置在人行楼梯踏步侧墙上；</w:t>
      </w:r>
    </w:p>
    <w:p w14:paraId="2B47CF24">
      <w:pPr>
        <w:ind w:firstLine="482"/>
      </w:pPr>
      <w:r>
        <w:rPr>
          <w:rFonts w:cs="Calibri"/>
          <w:b/>
          <w:bCs/>
        </w:rPr>
        <w:t>3）</w:t>
      </w:r>
      <w:r>
        <w:rPr>
          <w:rFonts w:hint="eastAsia"/>
        </w:rPr>
        <w:t>楼道综合配线箱宜为通信及有线广播电视共用箱体；</w:t>
      </w:r>
    </w:p>
    <w:p w14:paraId="7CE255E4">
      <w:pPr>
        <w:ind w:firstLine="482"/>
      </w:pPr>
      <w:r>
        <w:rPr>
          <w:rFonts w:cs="Calibri"/>
          <w:b/>
          <w:bCs/>
        </w:rPr>
        <w:t>4）</w:t>
      </w:r>
      <w:r>
        <w:rPr>
          <w:rFonts w:hint="eastAsia"/>
        </w:rPr>
        <w:t>住宅建筑的楼道综合配线箱设置应符合表</w:t>
      </w:r>
      <w:r>
        <w:t>11.5.</w:t>
      </w:r>
      <w:r>
        <w:rPr>
          <w:rFonts w:hint="eastAsia"/>
        </w:rPr>
        <w:t>8的规定：</w:t>
      </w:r>
    </w:p>
    <w:p w14:paraId="1206066A">
      <w:pPr>
        <w:ind w:firstLine="422"/>
        <w:jc w:val="center"/>
        <w:rPr>
          <w:b/>
          <w:bCs/>
        </w:rPr>
      </w:pPr>
      <w:r>
        <w:rPr>
          <w:rFonts w:hint="eastAsia" w:ascii="黑体" w:eastAsia="黑体"/>
          <w:b/>
          <w:bCs/>
          <w:sz w:val="21"/>
          <w:szCs w:val="21"/>
        </w:rPr>
        <w:t>表</w:t>
      </w:r>
      <w:r>
        <w:rPr>
          <w:b/>
          <w:bCs/>
          <w:sz w:val="21"/>
          <w:szCs w:val="21"/>
        </w:rPr>
        <w:t>11.5.</w:t>
      </w:r>
      <w:r>
        <w:rPr>
          <w:rFonts w:hint="eastAsia"/>
          <w:b/>
          <w:bCs/>
          <w:sz w:val="21"/>
          <w:szCs w:val="21"/>
        </w:rPr>
        <w:t>8</w:t>
      </w:r>
      <w:r>
        <w:rPr>
          <w:b/>
          <w:bCs/>
        </w:rPr>
        <w:t xml:space="preserve"> </w:t>
      </w:r>
      <w:r>
        <w:rPr>
          <w:rFonts w:hint="eastAsia" w:ascii="黑体" w:eastAsia="黑体"/>
          <w:b/>
          <w:bCs/>
          <w:sz w:val="21"/>
          <w:szCs w:val="21"/>
        </w:rPr>
        <w:t>楼道综合配线箱设置</w:t>
      </w:r>
    </w:p>
    <w:tbl>
      <w:tblPr>
        <w:tblStyle w:val="29"/>
        <w:tblW w:w="475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4"/>
        <w:gridCol w:w="2372"/>
        <w:gridCol w:w="1941"/>
        <w:gridCol w:w="2586"/>
      </w:tblGrid>
      <w:tr w14:paraId="008DF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exact"/>
          <w:jc w:val="center"/>
        </w:trPr>
        <w:tc>
          <w:tcPr>
            <w:tcW w:w="624" w:type="pct"/>
            <w:vAlign w:val="center"/>
          </w:tcPr>
          <w:p w14:paraId="0C30CA48">
            <w:pPr>
              <w:ind w:firstLine="1" w:firstLineChars="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建筑</w:t>
            </w:r>
          </w:p>
          <w:p w14:paraId="46CCE15B">
            <w:pPr>
              <w:ind w:firstLine="1" w:firstLineChars="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类型</w:t>
            </w:r>
          </w:p>
        </w:tc>
        <w:tc>
          <w:tcPr>
            <w:tcW w:w="1504" w:type="pct"/>
            <w:vAlign w:val="center"/>
          </w:tcPr>
          <w:p w14:paraId="3CEE388D">
            <w:pPr>
              <w:ind w:firstLine="1" w:firstLineChars="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每单元每层信息点数（个）</w:t>
            </w:r>
          </w:p>
          <w:p w14:paraId="19FC408F">
            <w:pPr>
              <w:ind w:firstLine="1" w:firstLineChars="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信息点数（个）</w:t>
            </w:r>
          </w:p>
        </w:tc>
        <w:tc>
          <w:tcPr>
            <w:tcW w:w="1231" w:type="pct"/>
            <w:vAlign w:val="center"/>
          </w:tcPr>
          <w:p w14:paraId="7D455E6D">
            <w:pPr>
              <w:ind w:firstLine="0" w:firstLineChars="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箱体设置</w:t>
            </w:r>
          </w:p>
        </w:tc>
        <w:tc>
          <w:tcPr>
            <w:tcW w:w="1639" w:type="pct"/>
            <w:vAlign w:val="center"/>
          </w:tcPr>
          <w:p w14:paraId="69446971">
            <w:pPr>
              <w:ind w:firstLine="0" w:firstLineChars="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箱体设置位置</w:t>
            </w:r>
          </w:p>
        </w:tc>
      </w:tr>
      <w:tr w14:paraId="73078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exact"/>
          <w:jc w:val="center"/>
        </w:trPr>
        <w:tc>
          <w:tcPr>
            <w:tcW w:w="624" w:type="pct"/>
            <w:vMerge w:val="restart"/>
            <w:vAlign w:val="center"/>
          </w:tcPr>
          <w:p w14:paraId="6195825C">
            <w:pPr>
              <w:ind w:firstLine="1" w:firstLineChars="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多层建筑</w:t>
            </w:r>
          </w:p>
        </w:tc>
        <w:tc>
          <w:tcPr>
            <w:tcW w:w="1504" w:type="pct"/>
            <w:vAlign w:val="center"/>
          </w:tcPr>
          <w:p w14:paraId="3FB6E0B6">
            <w:pPr>
              <w:ind w:firstLine="1" w:firstLineChars="0"/>
              <w:jc w:val="center"/>
              <w:rPr>
                <w:rFonts w:asciiTheme="minorEastAsia" w:hAnsiTheme="minorEastAsia" w:eastAsiaTheme="minorEastAsia"/>
                <w:sz w:val="18"/>
                <w:szCs w:val="18"/>
              </w:rPr>
            </w:pPr>
            <w:r>
              <w:rPr>
                <w:rFonts w:asciiTheme="minorEastAsia" w:hAnsiTheme="minorEastAsia" w:eastAsiaTheme="minorEastAsia"/>
                <w:sz w:val="18"/>
                <w:szCs w:val="18"/>
              </w:rPr>
              <w:t>4</w:t>
            </w:r>
            <w:r>
              <w:rPr>
                <w:rFonts w:hint="eastAsia" w:asciiTheme="minorEastAsia" w:hAnsiTheme="minorEastAsia" w:eastAsiaTheme="minorEastAsia"/>
                <w:sz w:val="18"/>
                <w:szCs w:val="18"/>
                <w:lang w:eastAsia="zh-CN"/>
              </w:rPr>
              <w:t>~</w:t>
            </w:r>
            <w:r>
              <w:rPr>
                <w:rFonts w:asciiTheme="minorEastAsia" w:hAnsiTheme="minorEastAsia" w:eastAsiaTheme="minorEastAsia"/>
                <w:sz w:val="18"/>
                <w:szCs w:val="18"/>
              </w:rPr>
              <w:t>8</w:t>
            </w:r>
          </w:p>
        </w:tc>
        <w:tc>
          <w:tcPr>
            <w:tcW w:w="1231" w:type="pct"/>
            <w:vAlign w:val="center"/>
          </w:tcPr>
          <w:p w14:paraId="65D76A86">
            <w:pPr>
              <w:ind w:firstLine="1" w:firstLineChars="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每单元每</w:t>
            </w:r>
            <w:r>
              <w:rPr>
                <w:rFonts w:asciiTheme="minorEastAsia" w:hAnsiTheme="minorEastAsia" w:eastAsiaTheme="minorEastAsia"/>
                <w:sz w:val="18"/>
                <w:szCs w:val="18"/>
              </w:rPr>
              <w:t>3层设1个箱</w:t>
            </w:r>
          </w:p>
        </w:tc>
        <w:tc>
          <w:tcPr>
            <w:tcW w:w="1639" w:type="pct"/>
            <w:vAlign w:val="center"/>
          </w:tcPr>
          <w:p w14:paraId="141E90AA">
            <w:pPr>
              <w:ind w:firstLine="1" w:firstLineChars="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宜第</w:t>
            </w:r>
            <w:r>
              <w:rPr>
                <w:rFonts w:asciiTheme="minorEastAsia" w:hAnsiTheme="minorEastAsia" w:eastAsiaTheme="minorEastAsia"/>
                <w:sz w:val="18"/>
                <w:szCs w:val="18"/>
              </w:rPr>
              <w:t>2,5层设箱（有弱电竖井）</w:t>
            </w:r>
          </w:p>
          <w:p w14:paraId="73A09881">
            <w:pPr>
              <w:ind w:firstLine="1" w:firstLineChars="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宜第</w:t>
            </w:r>
            <w:r>
              <w:rPr>
                <w:rFonts w:asciiTheme="minorEastAsia" w:hAnsiTheme="minorEastAsia" w:eastAsiaTheme="minorEastAsia"/>
                <w:sz w:val="18"/>
                <w:szCs w:val="18"/>
              </w:rPr>
              <w:t>1,5层设箱（无弱电竖井）</w:t>
            </w:r>
          </w:p>
        </w:tc>
      </w:tr>
      <w:tr w14:paraId="51EDB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24" w:type="pct"/>
            <w:vMerge w:val="continue"/>
            <w:vAlign w:val="center"/>
          </w:tcPr>
          <w:p w14:paraId="032EBD57">
            <w:pPr>
              <w:ind w:firstLine="360"/>
              <w:jc w:val="center"/>
              <w:rPr>
                <w:rFonts w:asciiTheme="minorEastAsia" w:hAnsiTheme="minorEastAsia" w:eastAsiaTheme="minorEastAsia"/>
                <w:sz w:val="18"/>
                <w:szCs w:val="18"/>
              </w:rPr>
            </w:pPr>
          </w:p>
        </w:tc>
        <w:tc>
          <w:tcPr>
            <w:tcW w:w="1504" w:type="pct"/>
            <w:vAlign w:val="center"/>
          </w:tcPr>
          <w:p w14:paraId="33225765">
            <w:pPr>
              <w:ind w:firstLine="1" w:firstLineChars="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8</w:t>
            </w:r>
            <w:r>
              <w:rPr>
                <w:rFonts w:hint="eastAsia" w:asciiTheme="minorEastAsia" w:hAnsiTheme="minorEastAsia" w:eastAsiaTheme="minorEastAsia"/>
                <w:sz w:val="18"/>
                <w:szCs w:val="18"/>
                <w:lang w:eastAsia="zh-CN"/>
              </w:rPr>
              <w:t>~</w:t>
            </w:r>
            <w:r>
              <w:rPr>
                <w:rFonts w:hint="eastAsia" w:asciiTheme="minorEastAsia" w:hAnsiTheme="minorEastAsia" w:eastAsiaTheme="minorEastAsia"/>
                <w:sz w:val="18"/>
                <w:szCs w:val="18"/>
              </w:rPr>
              <w:t>12</w:t>
            </w:r>
          </w:p>
        </w:tc>
        <w:tc>
          <w:tcPr>
            <w:tcW w:w="1231" w:type="pct"/>
            <w:vAlign w:val="center"/>
          </w:tcPr>
          <w:p w14:paraId="477F9EA7">
            <w:pPr>
              <w:ind w:firstLine="1" w:firstLineChars="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每单元</w:t>
            </w:r>
            <w:r>
              <w:rPr>
                <w:rFonts w:asciiTheme="minorEastAsia" w:hAnsiTheme="minorEastAsia" w:eastAsiaTheme="minorEastAsia"/>
                <w:sz w:val="18"/>
                <w:szCs w:val="18"/>
              </w:rPr>
              <w:t>每</w:t>
            </w:r>
            <w:r>
              <w:rPr>
                <w:rFonts w:hint="eastAsia" w:asciiTheme="minorEastAsia" w:hAnsiTheme="minorEastAsia" w:eastAsiaTheme="minorEastAsia"/>
                <w:sz w:val="18"/>
                <w:szCs w:val="18"/>
              </w:rPr>
              <w:t>2或3层</w:t>
            </w:r>
            <w:r>
              <w:rPr>
                <w:rFonts w:asciiTheme="minorEastAsia" w:hAnsiTheme="minorEastAsia" w:eastAsiaTheme="minorEastAsia"/>
                <w:sz w:val="18"/>
                <w:szCs w:val="18"/>
              </w:rPr>
              <w:t>设</w:t>
            </w:r>
            <w:r>
              <w:rPr>
                <w:rFonts w:hint="eastAsia" w:asciiTheme="minorEastAsia" w:hAnsiTheme="minorEastAsia" w:eastAsiaTheme="minorEastAsia"/>
                <w:sz w:val="18"/>
                <w:szCs w:val="18"/>
              </w:rPr>
              <w:t>1个</w:t>
            </w:r>
            <w:r>
              <w:rPr>
                <w:rFonts w:asciiTheme="minorEastAsia" w:hAnsiTheme="minorEastAsia" w:eastAsiaTheme="minorEastAsia"/>
                <w:sz w:val="18"/>
                <w:szCs w:val="18"/>
              </w:rPr>
              <w:t>箱</w:t>
            </w:r>
          </w:p>
        </w:tc>
        <w:tc>
          <w:tcPr>
            <w:tcW w:w="1639" w:type="pct"/>
            <w:vAlign w:val="center"/>
          </w:tcPr>
          <w:p w14:paraId="05F638CD">
            <w:pPr>
              <w:ind w:firstLine="1" w:firstLineChars="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宜隔</w:t>
            </w:r>
            <w:r>
              <w:rPr>
                <w:rFonts w:asciiTheme="minorEastAsia" w:hAnsiTheme="minorEastAsia" w:eastAsiaTheme="minorEastAsia"/>
                <w:sz w:val="18"/>
                <w:szCs w:val="18"/>
              </w:rPr>
              <w:t>层设箱</w:t>
            </w:r>
          </w:p>
        </w:tc>
      </w:tr>
      <w:tr w14:paraId="17DE2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24" w:type="pct"/>
            <w:vMerge w:val="continue"/>
            <w:vAlign w:val="center"/>
          </w:tcPr>
          <w:p w14:paraId="26E830F4">
            <w:pPr>
              <w:ind w:firstLine="360"/>
              <w:jc w:val="center"/>
              <w:rPr>
                <w:rFonts w:asciiTheme="minorEastAsia" w:hAnsiTheme="minorEastAsia" w:eastAsiaTheme="minorEastAsia"/>
                <w:sz w:val="18"/>
                <w:szCs w:val="18"/>
              </w:rPr>
            </w:pPr>
          </w:p>
        </w:tc>
        <w:tc>
          <w:tcPr>
            <w:tcW w:w="1504" w:type="pct"/>
            <w:vAlign w:val="center"/>
          </w:tcPr>
          <w:p w14:paraId="34AAD709">
            <w:pPr>
              <w:ind w:firstLine="1" w:firstLineChars="0"/>
              <w:jc w:val="center"/>
              <w:rPr>
                <w:rFonts w:asciiTheme="minorEastAsia" w:hAnsiTheme="minorEastAsia" w:eastAsiaTheme="minorEastAsia"/>
                <w:sz w:val="18"/>
                <w:szCs w:val="18"/>
              </w:rPr>
            </w:pPr>
            <w:r>
              <w:rPr>
                <w:rFonts w:asciiTheme="minorEastAsia" w:hAnsiTheme="minorEastAsia" w:eastAsiaTheme="minorEastAsia"/>
                <w:sz w:val="18"/>
                <w:szCs w:val="18"/>
              </w:rPr>
              <w:t>12</w:t>
            </w:r>
            <w:r>
              <w:rPr>
                <w:rFonts w:hint="eastAsia" w:asciiTheme="minorEastAsia" w:hAnsiTheme="minorEastAsia" w:eastAsiaTheme="minorEastAsia"/>
                <w:sz w:val="18"/>
                <w:szCs w:val="18"/>
                <w:lang w:eastAsia="zh-CN"/>
              </w:rPr>
              <w:t>~</w:t>
            </w:r>
            <w:r>
              <w:rPr>
                <w:rFonts w:asciiTheme="minorEastAsia" w:hAnsiTheme="minorEastAsia" w:eastAsiaTheme="minorEastAsia"/>
                <w:sz w:val="18"/>
                <w:szCs w:val="18"/>
              </w:rPr>
              <w:t>16</w:t>
            </w:r>
          </w:p>
        </w:tc>
        <w:tc>
          <w:tcPr>
            <w:tcW w:w="1231" w:type="pct"/>
            <w:vAlign w:val="center"/>
          </w:tcPr>
          <w:p w14:paraId="1908384F">
            <w:pPr>
              <w:ind w:firstLine="1" w:firstLineChars="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每单元每</w:t>
            </w:r>
            <w:r>
              <w:rPr>
                <w:rFonts w:asciiTheme="minorEastAsia" w:hAnsiTheme="minorEastAsia" w:eastAsiaTheme="minorEastAsia"/>
                <w:sz w:val="18"/>
                <w:szCs w:val="18"/>
              </w:rPr>
              <w:t>2层设1个箱</w:t>
            </w:r>
          </w:p>
        </w:tc>
        <w:tc>
          <w:tcPr>
            <w:tcW w:w="1639" w:type="pct"/>
            <w:vAlign w:val="center"/>
          </w:tcPr>
          <w:p w14:paraId="6B64DF7A">
            <w:pPr>
              <w:ind w:firstLine="1" w:firstLineChars="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宜第</w:t>
            </w:r>
            <w:r>
              <w:rPr>
                <w:rFonts w:asciiTheme="minorEastAsia" w:hAnsiTheme="minorEastAsia" w:eastAsiaTheme="minorEastAsia"/>
                <w:sz w:val="18"/>
                <w:szCs w:val="18"/>
              </w:rPr>
              <w:t>1,3,5层设箱</w:t>
            </w:r>
          </w:p>
        </w:tc>
      </w:tr>
      <w:tr w14:paraId="5FA79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24" w:type="pct"/>
            <w:vMerge w:val="continue"/>
            <w:vAlign w:val="center"/>
          </w:tcPr>
          <w:p w14:paraId="41B1774B">
            <w:pPr>
              <w:ind w:firstLine="360"/>
              <w:jc w:val="center"/>
              <w:rPr>
                <w:rFonts w:asciiTheme="minorEastAsia" w:hAnsiTheme="minorEastAsia" w:eastAsiaTheme="minorEastAsia"/>
                <w:sz w:val="18"/>
                <w:szCs w:val="18"/>
              </w:rPr>
            </w:pPr>
          </w:p>
        </w:tc>
        <w:tc>
          <w:tcPr>
            <w:tcW w:w="1504" w:type="pct"/>
            <w:vAlign w:val="center"/>
          </w:tcPr>
          <w:p w14:paraId="503A46EC">
            <w:pPr>
              <w:ind w:firstLine="1" w:firstLineChars="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w:t>
            </w:r>
            <w:r>
              <w:rPr>
                <w:rFonts w:asciiTheme="minorEastAsia" w:hAnsiTheme="minorEastAsia" w:eastAsiaTheme="minorEastAsia"/>
                <w:sz w:val="18"/>
                <w:szCs w:val="18"/>
              </w:rPr>
              <w:t>16</w:t>
            </w:r>
          </w:p>
        </w:tc>
        <w:tc>
          <w:tcPr>
            <w:tcW w:w="2871" w:type="pct"/>
            <w:gridSpan w:val="2"/>
            <w:vAlign w:val="center"/>
          </w:tcPr>
          <w:p w14:paraId="66BF9AEE">
            <w:pPr>
              <w:ind w:firstLine="149" w:firstLineChars="83"/>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每单元每层设</w:t>
            </w:r>
            <w:r>
              <w:rPr>
                <w:rFonts w:asciiTheme="minorEastAsia" w:hAnsiTheme="minorEastAsia" w:eastAsiaTheme="minorEastAsia"/>
                <w:sz w:val="18"/>
                <w:szCs w:val="18"/>
              </w:rPr>
              <w:t>1个箱</w:t>
            </w:r>
          </w:p>
        </w:tc>
      </w:tr>
      <w:tr w14:paraId="6E911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24" w:type="pct"/>
            <w:vMerge w:val="restart"/>
            <w:vAlign w:val="center"/>
          </w:tcPr>
          <w:p w14:paraId="3C2957D1">
            <w:pPr>
              <w:ind w:firstLine="1" w:firstLineChars="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高层建筑</w:t>
            </w:r>
          </w:p>
        </w:tc>
        <w:tc>
          <w:tcPr>
            <w:tcW w:w="1504" w:type="pct"/>
            <w:vAlign w:val="center"/>
          </w:tcPr>
          <w:p w14:paraId="191AD2AE">
            <w:pPr>
              <w:ind w:firstLine="1" w:firstLineChars="0"/>
              <w:jc w:val="center"/>
              <w:rPr>
                <w:rFonts w:asciiTheme="minorEastAsia" w:hAnsiTheme="minorEastAsia" w:eastAsiaTheme="minorEastAsia"/>
                <w:sz w:val="18"/>
                <w:szCs w:val="18"/>
              </w:rPr>
            </w:pPr>
            <w:r>
              <w:rPr>
                <w:rFonts w:asciiTheme="minorEastAsia" w:hAnsiTheme="minorEastAsia" w:eastAsiaTheme="minorEastAsia"/>
                <w:sz w:val="18"/>
                <w:szCs w:val="18"/>
              </w:rPr>
              <w:t>16</w:t>
            </w:r>
            <w:r>
              <w:rPr>
                <w:rFonts w:hint="eastAsia" w:asciiTheme="minorEastAsia" w:hAnsiTheme="minorEastAsia" w:eastAsiaTheme="minorEastAsia"/>
                <w:sz w:val="18"/>
                <w:szCs w:val="18"/>
                <w:lang w:eastAsia="zh-CN"/>
              </w:rPr>
              <w:t>~</w:t>
            </w:r>
            <w:r>
              <w:rPr>
                <w:rFonts w:asciiTheme="minorEastAsia" w:hAnsiTheme="minorEastAsia" w:eastAsiaTheme="minorEastAsia"/>
                <w:sz w:val="18"/>
                <w:szCs w:val="18"/>
              </w:rPr>
              <w:t>32</w:t>
            </w:r>
          </w:p>
        </w:tc>
        <w:tc>
          <w:tcPr>
            <w:tcW w:w="2871" w:type="pct"/>
            <w:gridSpan w:val="2"/>
            <w:vAlign w:val="center"/>
          </w:tcPr>
          <w:p w14:paraId="35112A50">
            <w:pPr>
              <w:ind w:firstLine="149" w:firstLineChars="83"/>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每层设</w:t>
            </w:r>
            <w:r>
              <w:rPr>
                <w:rFonts w:asciiTheme="minorEastAsia" w:hAnsiTheme="minorEastAsia" w:eastAsiaTheme="minorEastAsia"/>
                <w:sz w:val="18"/>
                <w:szCs w:val="18"/>
              </w:rPr>
              <w:t>1个箱</w:t>
            </w:r>
          </w:p>
        </w:tc>
      </w:tr>
      <w:tr w14:paraId="34ED7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24" w:type="pct"/>
            <w:vMerge w:val="continue"/>
            <w:vAlign w:val="center"/>
          </w:tcPr>
          <w:p w14:paraId="4EEE0DAB">
            <w:pPr>
              <w:ind w:firstLine="360"/>
              <w:jc w:val="center"/>
              <w:rPr>
                <w:rFonts w:asciiTheme="minorEastAsia" w:hAnsiTheme="minorEastAsia" w:eastAsiaTheme="minorEastAsia"/>
                <w:sz w:val="18"/>
                <w:szCs w:val="18"/>
              </w:rPr>
            </w:pPr>
          </w:p>
        </w:tc>
        <w:tc>
          <w:tcPr>
            <w:tcW w:w="1504" w:type="pct"/>
            <w:vAlign w:val="center"/>
          </w:tcPr>
          <w:p w14:paraId="1D8F3476">
            <w:pPr>
              <w:ind w:firstLine="1" w:firstLineChars="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w:t>
            </w:r>
            <w:r>
              <w:rPr>
                <w:rFonts w:asciiTheme="minorEastAsia" w:hAnsiTheme="minorEastAsia" w:eastAsiaTheme="minorEastAsia"/>
                <w:sz w:val="18"/>
                <w:szCs w:val="18"/>
              </w:rPr>
              <w:t>32</w:t>
            </w:r>
          </w:p>
        </w:tc>
        <w:tc>
          <w:tcPr>
            <w:tcW w:w="2871" w:type="pct"/>
            <w:gridSpan w:val="2"/>
            <w:vAlign w:val="center"/>
          </w:tcPr>
          <w:p w14:paraId="19DC5675">
            <w:pPr>
              <w:ind w:firstLine="149" w:firstLineChars="83"/>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每层设不少于</w:t>
            </w:r>
            <w:r>
              <w:rPr>
                <w:rFonts w:asciiTheme="minorEastAsia" w:hAnsiTheme="minorEastAsia" w:eastAsiaTheme="minorEastAsia"/>
                <w:sz w:val="18"/>
                <w:szCs w:val="18"/>
              </w:rPr>
              <w:t>2个箱</w:t>
            </w:r>
          </w:p>
        </w:tc>
      </w:tr>
    </w:tbl>
    <w:p w14:paraId="1481AE77">
      <w:pPr>
        <w:ind w:left="1055" w:leftChars="177" w:hanging="630" w:hangingChars="300"/>
        <w:rPr>
          <w:sz w:val="21"/>
          <w:szCs w:val="21"/>
        </w:rPr>
      </w:pPr>
      <w:r>
        <w:rPr>
          <w:rFonts w:hint="eastAsia"/>
          <w:sz w:val="21"/>
          <w:szCs w:val="21"/>
        </w:rPr>
        <w:t>注：每户以通信、有线广播电视各设置</w:t>
      </w:r>
      <w:r>
        <w:rPr>
          <w:sz w:val="21"/>
          <w:szCs w:val="21"/>
        </w:rPr>
        <w:t>2</w:t>
      </w:r>
      <w:r>
        <w:rPr>
          <w:rFonts w:hint="eastAsia"/>
          <w:sz w:val="21"/>
          <w:szCs w:val="21"/>
        </w:rPr>
        <w:t>个信息点计算。</w:t>
      </w:r>
    </w:p>
    <w:p w14:paraId="4E0EB6EA">
      <w:pPr>
        <w:ind w:left="473" w:leftChars="197" w:firstLine="0" w:firstLineChars="0"/>
        <w:rPr>
          <w:bCs/>
        </w:rPr>
      </w:pPr>
      <w:r>
        <w:rPr>
          <w:rFonts w:cs="Calibri"/>
          <w:b/>
        </w:rPr>
        <w:t>5）</w:t>
      </w:r>
      <w:r>
        <w:rPr>
          <w:rFonts w:hint="eastAsia"/>
          <w:bCs/>
        </w:rPr>
        <w:t>起居室或兼起居室的卧室应设通信系统信息插座和有线广播电视系统信息插座；</w:t>
      </w:r>
    </w:p>
    <w:p w14:paraId="258C04E1">
      <w:pPr>
        <w:ind w:left="473" w:leftChars="197" w:firstLine="0" w:firstLineChars="0"/>
        <w:rPr>
          <w:rFonts w:cs="Calibri"/>
          <w:bCs/>
        </w:rPr>
      </w:pPr>
      <w:r>
        <w:rPr>
          <w:rFonts w:cs="Calibri"/>
          <w:b/>
        </w:rPr>
        <w:t>6）</w:t>
      </w:r>
      <w:r>
        <w:rPr>
          <w:rFonts w:hint="eastAsia"/>
          <w:bCs/>
        </w:rPr>
        <w:t>家居配线箱的出线管应敷设到通信系统信息插座和有线广播电视系统信息插座。</w:t>
      </w:r>
    </w:p>
    <w:p w14:paraId="07A3E55D">
      <w:pPr>
        <w:ind w:left="473" w:leftChars="197" w:firstLine="0" w:firstLineChars="0"/>
        <w:rPr>
          <w:bCs/>
        </w:rPr>
      </w:pPr>
      <w:r>
        <w:rPr>
          <w:rFonts w:cs="Calibri"/>
          <w:b/>
        </w:rPr>
        <w:t>7）</w:t>
      </w:r>
      <w:r>
        <w:rPr>
          <w:rFonts w:hint="eastAsia"/>
          <w:bCs/>
        </w:rPr>
        <w:t>家居配线箱应设置在用户内靠近线缆竖井或楼道综合配线箱一侧。家居配线箱通过入户暗管与楼道竖井或楼道综合配线箱连接，通过预埋暗管分别与用户各房间的出线盒及有线广播电视终端盒进行连接。入户通信及有线电视的光缆信息点各设置1个，每个信息点的接入光缆不少于2芯，入户有线电视同轴电缆信息点不少于2个。光缆在终端综合配线箱内应预留足够的空间放置用户终端设备和出线盒。</w:t>
      </w:r>
    </w:p>
    <w:p w14:paraId="35A2C80C">
      <w:pPr>
        <w:ind w:left="473" w:leftChars="197" w:firstLine="0" w:firstLineChars="0"/>
        <w:rPr>
          <w:bCs/>
        </w:rPr>
      </w:pPr>
      <w:r>
        <w:rPr>
          <w:rFonts w:cs="Calibri"/>
          <w:b/>
        </w:rPr>
        <w:t>8）</w:t>
      </w:r>
      <w:r>
        <w:rPr>
          <w:rFonts w:hint="eastAsia"/>
          <w:bCs/>
        </w:rPr>
        <w:t>家居配线箱内应预留足够的空间放置用户终端设备和出线盒，最小尺寸</w:t>
      </w:r>
      <w:r>
        <w:rPr>
          <w:bCs/>
        </w:rPr>
        <w:t>不应小于</w:t>
      </w:r>
      <w:r>
        <w:rPr>
          <w:rFonts w:hint="eastAsia"/>
          <w:bCs/>
        </w:rPr>
        <w:t>长 400mm× 宽 300mm× 深 150mm。对于功能需求复杂的住宅，可根据实际情况进一步加大配线箱尺寸，以容纳更多的智能控制设备和网络扩展设备。</w:t>
      </w:r>
    </w:p>
    <w:p w14:paraId="40E15518">
      <w:pPr>
        <w:ind w:left="473" w:leftChars="197" w:firstLine="0" w:firstLineChars="0"/>
        <w:rPr>
          <w:bCs/>
        </w:rPr>
      </w:pPr>
      <w:r>
        <w:rPr>
          <w:rFonts w:cs="Calibri"/>
          <w:b/>
        </w:rPr>
        <w:t>9）</w:t>
      </w:r>
      <w:r>
        <w:rPr>
          <w:rFonts w:hint="eastAsia"/>
          <w:bCs/>
        </w:rPr>
        <w:t>家居配线箱应设置散热孔或散热风扇，保证设备良好的散热效果。</w:t>
      </w:r>
    </w:p>
    <w:p w14:paraId="1F8A404E">
      <w:pPr>
        <w:ind w:left="5" w:firstLine="475" w:firstLineChars="197"/>
      </w:pPr>
      <w:r>
        <w:rPr>
          <w:b/>
          <w:bCs/>
        </w:rPr>
        <w:t>2</w:t>
      </w:r>
      <w:r>
        <w:t xml:space="preserve">  </w:t>
      </w:r>
      <w:r>
        <w:rPr>
          <w:rFonts w:hint="eastAsia"/>
        </w:rPr>
        <w:t>信息暗管敷设要求应符合下列规定：</w:t>
      </w:r>
    </w:p>
    <w:p w14:paraId="15D1A7DC">
      <w:pPr>
        <w:ind w:left="5" w:firstLine="475" w:firstLineChars="197"/>
      </w:pPr>
      <w:r>
        <w:rPr>
          <w:rFonts w:cs="Calibri"/>
          <w:b/>
          <w:bCs/>
        </w:rPr>
        <w:t>1）</w:t>
      </w:r>
      <w:r>
        <w:rPr>
          <w:rFonts w:hint="eastAsia"/>
        </w:rPr>
        <w:t>暗管直线敷设超过</w:t>
      </w:r>
      <w:r>
        <w:t>30m</w:t>
      </w:r>
      <w:r>
        <w:rPr>
          <w:rFonts w:hint="eastAsia"/>
        </w:rPr>
        <w:t>时，暗管中间应加装过路箱（盒）；</w:t>
      </w:r>
    </w:p>
    <w:p w14:paraId="27216D41">
      <w:pPr>
        <w:ind w:left="5" w:firstLine="475" w:firstLineChars="197"/>
      </w:pPr>
      <w:r>
        <w:rPr>
          <w:rFonts w:cs="Calibri"/>
          <w:b/>
          <w:bCs/>
        </w:rPr>
        <w:t>2）</w:t>
      </w:r>
      <w:r>
        <w:rPr>
          <w:rFonts w:hint="eastAsia"/>
        </w:rPr>
        <w:t>暗管弯曲敷设时，其路由长度应小于</w:t>
      </w:r>
      <w:r>
        <w:t>15m</w:t>
      </w:r>
      <w:r>
        <w:rPr>
          <w:rFonts w:hint="eastAsia"/>
        </w:rPr>
        <w:t>，且该段内不得有</w:t>
      </w:r>
      <w:r>
        <w:t>S</w:t>
      </w:r>
      <w:r>
        <w:rPr>
          <w:rFonts w:hint="eastAsia"/>
        </w:rPr>
        <w:t>弯。连续弯曲超过两次时，应加装过路箱（盒）；</w:t>
      </w:r>
    </w:p>
    <w:p w14:paraId="48691148">
      <w:pPr>
        <w:ind w:left="5" w:firstLine="475" w:firstLineChars="197"/>
      </w:pPr>
      <w:r>
        <w:rPr>
          <w:rFonts w:cs="Calibri"/>
          <w:b/>
          <w:bCs/>
        </w:rPr>
        <w:t>3）</w:t>
      </w:r>
      <w:r>
        <w:rPr>
          <w:rFonts w:hint="eastAsia"/>
        </w:rPr>
        <w:t>暗管的弯曲管路夹角不得小于</w:t>
      </w:r>
      <w:r>
        <w:t>90</w:t>
      </w:r>
      <w:r>
        <w:rPr>
          <w:rFonts w:hint="eastAsia"/>
        </w:rPr>
        <w:t>°；</w:t>
      </w:r>
    </w:p>
    <w:p w14:paraId="01C8D99E">
      <w:pPr>
        <w:ind w:left="5" w:firstLine="475" w:firstLineChars="197"/>
        <w:rPr>
          <w:bCs/>
        </w:rPr>
      </w:pPr>
      <w:r>
        <w:rPr>
          <w:rFonts w:cs="Calibri"/>
          <w:b/>
        </w:rPr>
        <w:t>4）</w:t>
      </w:r>
      <w:r>
        <w:rPr>
          <w:rFonts w:hint="eastAsia"/>
          <w:bCs/>
        </w:rPr>
        <w:t>每住宅单元或每住宅内，宜设置独立的暗线管网；</w:t>
      </w:r>
    </w:p>
    <w:p w14:paraId="11512970">
      <w:pPr>
        <w:ind w:left="5" w:firstLine="475" w:firstLineChars="197"/>
        <w:rPr>
          <w:bCs/>
        </w:rPr>
      </w:pPr>
      <w:r>
        <w:rPr>
          <w:rFonts w:cs="Calibri"/>
          <w:b/>
        </w:rPr>
        <w:t>5）</w:t>
      </w:r>
      <w:r>
        <w:rPr>
          <w:rFonts w:hint="eastAsia"/>
          <w:bCs/>
        </w:rPr>
        <w:t>线缆暗管、引入线暗管弯曲半径不得小于该管外径的</w:t>
      </w:r>
      <w:r>
        <w:rPr>
          <w:bCs/>
        </w:rPr>
        <w:t>10</w:t>
      </w:r>
      <w:r>
        <w:rPr>
          <w:rFonts w:hint="eastAsia"/>
          <w:bCs/>
        </w:rPr>
        <w:t>倍；</w:t>
      </w:r>
    </w:p>
    <w:p w14:paraId="71AF7984">
      <w:pPr>
        <w:ind w:left="5" w:firstLine="475" w:firstLineChars="197"/>
        <w:rPr>
          <w:bCs/>
        </w:rPr>
      </w:pPr>
      <w:r>
        <w:rPr>
          <w:rFonts w:cs="Calibri"/>
          <w:b/>
        </w:rPr>
        <w:t>6）</w:t>
      </w:r>
      <w:r>
        <w:rPr>
          <w:rFonts w:hint="eastAsia"/>
          <w:bCs/>
        </w:rPr>
        <w:t>在易受电磁干扰影响的场合，暗管应采用钢管并良好接地；</w:t>
      </w:r>
    </w:p>
    <w:p w14:paraId="73D5A6E6">
      <w:pPr>
        <w:ind w:left="5" w:firstLine="475" w:firstLineChars="197"/>
        <w:rPr>
          <w:bCs/>
        </w:rPr>
      </w:pPr>
      <w:r>
        <w:rPr>
          <w:rFonts w:cs="Calibri"/>
          <w:b/>
        </w:rPr>
        <w:t>7）</w:t>
      </w:r>
      <w:r>
        <w:rPr>
          <w:rFonts w:hint="eastAsia"/>
          <w:bCs/>
        </w:rPr>
        <w:t>暗管穿越沉降缝或伸缩缝时，应</w:t>
      </w:r>
      <w:r>
        <w:rPr>
          <w:rFonts w:hint="eastAsia"/>
          <w:bCs/>
          <w:lang w:eastAsia="zh-CN"/>
        </w:rPr>
        <w:t>做</w:t>
      </w:r>
      <w:r>
        <w:rPr>
          <w:rFonts w:hint="eastAsia"/>
          <w:bCs/>
        </w:rPr>
        <w:t>伸缩或沉降处理，管材宜采用钢管；</w:t>
      </w:r>
    </w:p>
    <w:p w14:paraId="6670BFC3">
      <w:pPr>
        <w:ind w:left="5" w:firstLine="475" w:firstLineChars="197"/>
        <w:rPr>
          <w:bCs/>
        </w:rPr>
      </w:pPr>
      <w:r>
        <w:rPr>
          <w:rFonts w:cs="Calibri"/>
          <w:b/>
        </w:rPr>
        <w:t>8）</w:t>
      </w:r>
      <w:r>
        <w:rPr>
          <w:rFonts w:hint="eastAsia"/>
          <w:bCs/>
        </w:rPr>
        <w:t>引入建筑物的管线，应根据建筑物的规模及特点确定一处或多处；</w:t>
      </w:r>
    </w:p>
    <w:p w14:paraId="0E797F93">
      <w:pPr>
        <w:ind w:left="5" w:firstLine="475" w:firstLineChars="197"/>
        <w:rPr>
          <w:bCs/>
        </w:rPr>
      </w:pPr>
      <w:r>
        <w:rPr>
          <w:rFonts w:cs="Calibri"/>
          <w:b/>
        </w:rPr>
        <w:t>9）</w:t>
      </w:r>
      <w:r>
        <w:rPr>
          <w:rFonts w:hint="eastAsia"/>
          <w:bCs/>
        </w:rPr>
        <w:t>暗管不应穿越易燃、易爆、高温、高电压、高潮湿及有较强振动的地段或场合，如不可避免时应采取保护措施；</w:t>
      </w:r>
    </w:p>
    <w:p w14:paraId="661FD4CF">
      <w:pPr>
        <w:ind w:left="5" w:firstLine="475" w:firstLineChars="197"/>
        <w:rPr>
          <w:bCs/>
        </w:rPr>
      </w:pPr>
      <w:r>
        <w:rPr>
          <w:rFonts w:cs="Calibri"/>
          <w:b/>
        </w:rPr>
        <w:t>10）</w:t>
      </w:r>
      <w:r>
        <w:rPr>
          <w:rFonts w:hint="eastAsia"/>
          <w:bCs/>
        </w:rPr>
        <w:t>楼道综合配线箱至家居配线箱、过路盒、终端盒的暗管，不宜穿越非本户的其他房间，如必须穿越时，暗管不得在其户内开口。</w:t>
      </w:r>
    </w:p>
    <w:p w14:paraId="6E34020E">
      <w:pPr>
        <w:ind w:left="5" w:firstLine="475" w:firstLineChars="197"/>
        <w:rPr>
          <w:bCs/>
        </w:rPr>
      </w:pPr>
      <w:r>
        <w:rPr>
          <w:b/>
        </w:rPr>
        <w:t>3</w:t>
      </w:r>
      <w:r>
        <w:rPr>
          <w:bCs/>
        </w:rPr>
        <w:t xml:space="preserve">  </w:t>
      </w:r>
      <w:r>
        <w:rPr>
          <w:rFonts w:hint="eastAsia"/>
          <w:bCs/>
        </w:rPr>
        <w:t>暗管及线槽尺寸要求应符合下列规定：</w:t>
      </w:r>
    </w:p>
    <w:p w14:paraId="5C3FD2C3">
      <w:pPr>
        <w:ind w:left="5" w:firstLine="475" w:firstLineChars="197"/>
        <w:rPr>
          <w:bCs/>
        </w:rPr>
      </w:pPr>
      <w:r>
        <w:rPr>
          <w:rFonts w:cs="Calibri"/>
          <w:b/>
        </w:rPr>
        <w:t>1）</w:t>
      </w:r>
      <w:r>
        <w:rPr>
          <w:rFonts w:hint="eastAsia"/>
          <w:bCs/>
        </w:rPr>
        <w:t>管内穿放同轴电缆及光缆时应根据截面利用率选择管径；</w:t>
      </w:r>
    </w:p>
    <w:p w14:paraId="17857076">
      <w:pPr>
        <w:ind w:left="5" w:firstLine="475" w:firstLineChars="197"/>
        <w:rPr>
          <w:bCs/>
        </w:rPr>
      </w:pPr>
      <w:r>
        <w:rPr>
          <w:rFonts w:cs="Calibri"/>
          <w:b/>
        </w:rPr>
        <w:t>2）</w:t>
      </w:r>
      <w:r>
        <w:rPr>
          <w:rFonts w:hint="eastAsia"/>
          <w:bCs/>
        </w:rPr>
        <w:t>五类及以上对绞电缆采用暗管穿放至信息插座时，电缆不宜超过</w:t>
      </w:r>
      <w:r>
        <w:rPr>
          <w:bCs/>
        </w:rPr>
        <w:t>4</w:t>
      </w:r>
      <w:r>
        <w:rPr>
          <w:rFonts w:hint="eastAsia"/>
          <w:bCs/>
        </w:rPr>
        <w:t>根；</w:t>
      </w:r>
    </w:p>
    <w:p w14:paraId="75382EBD">
      <w:pPr>
        <w:ind w:left="5" w:firstLine="475" w:firstLineChars="197"/>
        <w:rPr>
          <w:bCs/>
        </w:rPr>
      </w:pPr>
      <w:r>
        <w:rPr>
          <w:rFonts w:cs="Calibri"/>
          <w:b/>
        </w:rPr>
        <w:t>3）</w:t>
      </w:r>
      <w:r>
        <w:rPr>
          <w:rFonts w:hint="eastAsia"/>
          <w:bCs/>
        </w:rPr>
        <w:t>通信竖向主干管内径宜为</w:t>
      </w:r>
      <w:r>
        <w:rPr>
          <w:bCs/>
        </w:rPr>
        <w:t>50mm</w:t>
      </w:r>
      <w:r>
        <w:rPr>
          <w:rFonts w:hint="eastAsia"/>
          <w:bCs/>
        </w:rPr>
        <w:t>。水平连接沟通的通信主干管内径宜为</w:t>
      </w:r>
      <w:r>
        <w:rPr>
          <w:bCs/>
        </w:rPr>
        <w:t>50mm</w:t>
      </w:r>
      <w:r>
        <w:rPr>
          <w:rFonts w:hint="eastAsia"/>
          <w:bCs/>
        </w:rPr>
        <w:t>，采用线槽时应根据线缆的条数确定规格；</w:t>
      </w:r>
    </w:p>
    <w:p w14:paraId="0765FAA1">
      <w:pPr>
        <w:ind w:left="5" w:firstLine="475" w:firstLineChars="197"/>
        <w:rPr>
          <w:bCs/>
        </w:rPr>
      </w:pPr>
      <w:r>
        <w:rPr>
          <w:rFonts w:cs="Calibri"/>
          <w:b/>
        </w:rPr>
        <w:t>4）</w:t>
      </w:r>
      <w:r>
        <w:rPr>
          <w:rFonts w:hint="eastAsia"/>
          <w:bCs/>
        </w:rPr>
        <w:t>多层建筑内有线广播电视竖向主干采用不小于</w:t>
      </w:r>
      <w:r>
        <w:rPr>
          <w:bCs/>
        </w:rPr>
        <w:t>100 mm×50mm</w:t>
      </w:r>
      <w:r>
        <w:rPr>
          <w:rFonts w:hint="eastAsia"/>
          <w:bCs/>
        </w:rPr>
        <w:t>的线槽或</w:t>
      </w:r>
      <w:r>
        <w:rPr>
          <w:bCs/>
        </w:rPr>
        <w:t>2</w:t>
      </w:r>
      <w:r>
        <w:rPr>
          <w:rFonts w:hint="eastAsia"/>
          <w:bCs/>
        </w:rPr>
        <w:t>根内径应不小于</w:t>
      </w:r>
      <w:r>
        <w:rPr>
          <w:bCs/>
        </w:rPr>
        <w:t>Φ50mm</w:t>
      </w:r>
      <w:r>
        <w:rPr>
          <w:rFonts w:hint="eastAsia"/>
          <w:bCs/>
        </w:rPr>
        <w:t>的钢管；高层建筑内竖向主干应采用不小于</w:t>
      </w:r>
      <w:r>
        <w:rPr>
          <w:bCs/>
        </w:rPr>
        <w:t>100mm×100mm</w:t>
      </w:r>
      <w:r>
        <w:rPr>
          <w:rFonts w:hint="eastAsia"/>
          <w:bCs/>
        </w:rPr>
        <w:t>的线槽；</w:t>
      </w:r>
    </w:p>
    <w:p w14:paraId="6E4CB09A">
      <w:pPr>
        <w:ind w:left="5" w:firstLine="475" w:firstLineChars="197"/>
        <w:rPr>
          <w:bCs/>
        </w:rPr>
      </w:pPr>
      <w:r>
        <w:rPr>
          <w:rFonts w:cs="Calibri"/>
          <w:b/>
        </w:rPr>
        <w:t>5）</w:t>
      </w:r>
      <w:r>
        <w:rPr>
          <w:rFonts w:hint="eastAsia"/>
          <w:bCs/>
        </w:rPr>
        <w:t>民用建筑单元间或每座水平连接沟通的有线广播电视主干线槽应不小于</w:t>
      </w:r>
      <w:r>
        <w:rPr>
          <w:bCs/>
        </w:rPr>
        <w:t>100mm</w:t>
      </w:r>
      <w:r>
        <w:rPr>
          <w:rFonts w:hint="eastAsia"/>
          <w:bCs/>
        </w:rPr>
        <w:t>×</w:t>
      </w:r>
      <w:r>
        <w:rPr>
          <w:bCs/>
        </w:rPr>
        <w:t>50mm</w:t>
      </w:r>
      <w:r>
        <w:rPr>
          <w:rFonts w:hint="eastAsia"/>
          <w:bCs/>
        </w:rPr>
        <w:t>，或采用</w:t>
      </w:r>
      <w:r>
        <w:rPr>
          <w:bCs/>
        </w:rPr>
        <w:t>2</w:t>
      </w:r>
      <w:r>
        <w:rPr>
          <w:rFonts w:hint="eastAsia"/>
          <w:bCs/>
        </w:rPr>
        <w:t>根内径不小于Φ</w:t>
      </w:r>
      <w:r>
        <w:rPr>
          <w:bCs/>
        </w:rPr>
        <w:t>50mm</w:t>
      </w:r>
      <w:r>
        <w:rPr>
          <w:rFonts w:hint="eastAsia"/>
          <w:bCs/>
        </w:rPr>
        <w:t>的钢管；</w:t>
      </w:r>
    </w:p>
    <w:p w14:paraId="0F1FF40B">
      <w:pPr>
        <w:ind w:left="5" w:firstLine="475" w:firstLineChars="197"/>
        <w:rPr>
          <w:bCs/>
        </w:rPr>
      </w:pPr>
      <w:r>
        <w:rPr>
          <w:rFonts w:cs="Calibri"/>
          <w:b/>
        </w:rPr>
        <w:t>6）</w:t>
      </w:r>
      <w:r>
        <w:rPr>
          <w:rFonts w:hint="eastAsia"/>
          <w:bCs/>
        </w:rPr>
        <w:t>住宅建筑每个用户设置</w:t>
      </w:r>
      <w:r>
        <w:rPr>
          <w:bCs/>
        </w:rPr>
        <w:t>2</w:t>
      </w:r>
      <w:r>
        <w:rPr>
          <w:rFonts w:hint="eastAsia"/>
          <w:bCs/>
        </w:rPr>
        <w:t>根内径Φ25</w:t>
      </w:r>
      <w:r>
        <w:rPr>
          <w:bCs/>
        </w:rPr>
        <w:t>mm</w:t>
      </w:r>
      <w:r>
        <w:rPr>
          <w:rFonts w:hint="eastAsia"/>
          <w:bCs/>
        </w:rPr>
        <w:t>的入户暗管，其中 1 根专用作光纤传输，另 1 根预留作未来智能设备扩展（如智能家居中控、物联网传感器等），暗管材质宜采用低烟无卤阻燃聚乙烯材质。</w:t>
      </w:r>
    </w:p>
    <w:p w14:paraId="57E1F348">
      <w:pPr>
        <w:pStyle w:val="4"/>
        <w:numPr>
          <w:ilvl w:val="2"/>
          <w:numId w:val="11"/>
        </w:numPr>
        <w:tabs>
          <w:tab w:val="clear" w:pos="0"/>
        </w:tabs>
        <w:ind w:firstLine="0" w:firstLineChars="0"/>
        <w:rPr>
          <w:rFonts w:cs="宋体"/>
          <w:bCs w:val="0"/>
          <w:iCs/>
          <w:lang w:val="en-US"/>
        </w:rPr>
      </w:pPr>
      <w:r>
        <w:rPr>
          <w:rFonts w:hint="eastAsia" w:cs="宋体"/>
          <w:bCs w:val="0"/>
          <w:iCs/>
          <w:lang w:val="en-US"/>
        </w:rPr>
        <w:t>建筑物内机房及设备间应符合下列规定：</w:t>
      </w:r>
    </w:p>
    <w:p w14:paraId="123EEE38">
      <w:pPr>
        <w:ind w:firstLine="482"/>
        <w:rPr>
          <w:bCs/>
        </w:rPr>
      </w:pPr>
      <w:r>
        <w:rPr>
          <w:b/>
        </w:rPr>
        <w:t>1</w:t>
      </w:r>
      <w:r>
        <w:rPr>
          <w:bCs/>
        </w:rPr>
        <w:t xml:space="preserve">  </w:t>
      </w:r>
      <w:r>
        <w:rPr>
          <w:rFonts w:hint="eastAsia"/>
          <w:bCs/>
        </w:rPr>
        <w:t>通信机房的设置，应符合下列规定：</w:t>
      </w:r>
    </w:p>
    <w:p w14:paraId="1345A4C0">
      <w:pPr>
        <w:ind w:firstLine="482"/>
        <w:rPr>
          <w:bCs/>
        </w:rPr>
      </w:pPr>
      <w:r>
        <w:rPr>
          <w:rFonts w:cs="Calibri"/>
          <w:b/>
        </w:rPr>
        <w:t>1）</w:t>
      </w:r>
      <w:r>
        <w:rPr>
          <w:bCs/>
        </w:rPr>
        <w:t>2000</w:t>
      </w:r>
      <w:r>
        <w:rPr>
          <w:rFonts w:hint="eastAsia"/>
          <w:bCs/>
        </w:rPr>
        <w:t>～</w:t>
      </w:r>
      <w:r>
        <w:rPr>
          <w:bCs/>
        </w:rPr>
        <w:t>10000</w:t>
      </w:r>
      <w:r>
        <w:rPr>
          <w:rFonts w:hint="eastAsia"/>
          <w:bCs/>
        </w:rPr>
        <w:t>信息点的民用建筑应设置固定通信机房，固定通信机房宜设置在物业管理中心；</w:t>
      </w:r>
    </w:p>
    <w:p w14:paraId="71CE1B62">
      <w:pPr>
        <w:ind w:firstLine="482"/>
        <w:rPr>
          <w:bCs/>
        </w:rPr>
      </w:pPr>
      <w:r>
        <w:rPr>
          <w:rFonts w:cs="Calibri"/>
          <w:b/>
        </w:rPr>
        <w:t>2）</w:t>
      </w:r>
      <w:r>
        <w:rPr>
          <w:rFonts w:hint="eastAsia"/>
          <w:bCs/>
        </w:rPr>
        <w:t>机房设置须避开电磁干扰区，应符合现行</w:t>
      </w:r>
      <w:r>
        <w:rPr>
          <w:bCs/>
        </w:rPr>
        <w:t>国家标准</w:t>
      </w:r>
      <w:r>
        <w:rPr>
          <w:rFonts w:hint="eastAsia"/>
          <w:bCs/>
        </w:rPr>
        <w:t>《数据中心设计规范》</w:t>
      </w:r>
      <w:r>
        <w:rPr>
          <w:bCs/>
        </w:rPr>
        <w:t xml:space="preserve"> GB50174</w:t>
      </w:r>
      <w:r>
        <w:rPr>
          <w:rFonts w:hint="eastAsia"/>
          <w:bCs/>
        </w:rPr>
        <w:t>的规定；</w:t>
      </w:r>
    </w:p>
    <w:p w14:paraId="0AFD834E">
      <w:pPr>
        <w:ind w:firstLine="482"/>
      </w:pPr>
      <w:r>
        <w:rPr>
          <w:rFonts w:cs="Calibri"/>
          <w:b/>
        </w:rPr>
        <w:t>3）</w:t>
      </w:r>
      <w:r>
        <w:rPr>
          <w:rFonts w:hint="eastAsia"/>
          <w:bCs/>
        </w:rPr>
        <w:t>机房的位置应选择在建筑区域的中心位置，宜选择在公共建筑首</w:t>
      </w:r>
      <w:r>
        <w:rPr>
          <w:rFonts w:hint="eastAsia"/>
        </w:rPr>
        <w:t>层不易受淹处，应方便搬运设备的车辆进出，便于机房进出线缆和管道的接入；</w:t>
      </w:r>
    </w:p>
    <w:p w14:paraId="3AA2EED3">
      <w:pPr>
        <w:ind w:left="5" w:firstLine="475" w:firstLineChars="197"/>
      </w:pPr>
      <w:r>
        <w:rPr>
          <w:rFonts w:cs="Calibri"/>
          <w:b/>
          <w:bCs/>
        </w:rPr>
        <w:t>4）</w:t>
      </w:r>
      <w:r>
        <w:rPr>
          <w:rFonts w:hint="eastAsia"/>
        </w:rPr>
        <w:t>建筑占地面积每</w:t>
      </w:r>
      <w:r>
        <w:t>0.1</w:t>
      </w:r>
      <w:r>
        <w:rPr>
          <w:rFonts w:hint="eastAsia"/>
        </w:rPr>
        <w:t>平方公里应设置</w:t>
      </w:r>
      <w:r>
        <w:t>1</w:t>
      </w:r>
      <w:r>
        <w:rPr>
          <w:rFonts w:hint="eastAsia"/>
        </w:rPr>
        <w:t>个宏蜂窝基站机房或室外一体化基站位置，宏蜂窝基站的数量在规划阶段确定；</w:t>
      </w:r>
    </w:p>
    <w:p w14:paraId="17B0E3EE">
      <w:pPr>
        <w:ind w:left="5" w:firstLine="475" w:firstLineChars="197"/>
      </w:pPr>
      <w:r>
        <w:rPr>
          <w:rFonts w:cs="Calibri"/>
          <w:b/>
          <w:bCs/>
        </w:rPr>
        <w:t>5）</w:t>
      </w:r>
      <w:r>
        <w:rPr>
          <w:rFonts w:hint="eastAsia"/>
        </w:rPr>
        <w:t>楼内宏蜂窝基站机房应选择靠近楼顶的房间，民用建筑内应每</w:t>
      </w:r>
      <w:r>
        <w:t>5</w:t>
      </w:r>
      <w:r>
        <w:rPr>
          <w:rFonts w:hint="eastAsia"/>
        </w:rPr>
        <w:t>万</w:t>
      </w:r>
      <w:r>
        <w:t>m</w:t>
      </w:r>
      <w:r>
        <w:rPr>
          <w:vertAlign w:val="superscript"/>
        </w:rPr>
        <w:t>2</w:t>
      </w:r>
      <w:r>
        <w:rPr>
          <w:rFonts w:hint="eastAsia"/>
        </w:rPr>
        <w:t>设置</w:t>
      </w:r>
      <w:r>
        <w:t>1</w:t>
      </w:r>
      <w:r>
        <w:rPr>
          <w:rFonts w:hint="eastAsia"/>
        </w:rPr>
        <w:t>个覆盖系统机房；</w:t>
      </w:r>
    </w:p>
    <w:p w14:paraId="7824DBAD">
      <w:pPr>
        <w:ind w:left="5" w:firstLine="475" w:firstLineChars="197"/>
      </w:pPr>
      <w:r>
        <w:rPr>
          <w:rFonts w:cs="Calibri"/>
          <w:b/>
          <w:bCs/>
        </w:rPr>
        <w:t>6）</w:t>
      </w:r>
      <w:r>
        <w:rPr>
          <w:rFonts w:hint="eastAsia"/>
        </w:rPr>
        <w:t>室内覆盖系统机房应选择靠近建筑物中心区域弱电竖井的房间；</w:t>
      </w:r>
    </w:p>
    <w:p w14:paraId="390C8139">
      <w:pPr>
        <w:ind w:left="5" w:firstLine="475" w:firstLineChars="197"/>
      </w:pPr>
      <w:r>
        <w:rPr>
          <w:rFonts w:cs="Calibri"/>
          <w:b/>
          <w:bCs/>
        </w:rPr>
        <w:t>7）</w:t>
      </w:r>
      <w:r>
        <w:rPr>
          <w:rFonts w:hint="eastAsia"/>
        </w:rPr>
        <w:t>设备间的使用面积应根据配线设备类型、数量、容量、尺寸进行计算；</w:t>
      </w:r>
    </w:p>
    <w:p w14:paraId="2FC62779">
      <w:pPr>
        <w:ind w:left="5" w:firstLine="475" w:firstLineChars="197"/>
      </w:pPr>
      <w:r>
        <w:rPr>
          <w:rFonts w:cs="Calibri"/>
          <w:b/>
          <w:bCs/>
        </w:rPr>
        <w:t>8）</w:t>
      </w:r>
      <w:r>
        <w:rPr>
          <w:rFonts w:hint="eastAsia"/>
        </w:rPr>
        <w:t>每一个高层民用建筑宜设置一个固定通信设备间，固定通信设备间宜设置在地下一层或首层；多栋低层、多层、中高层民用建筑群宜每一个配线区设置一个固定通信设备间，固定通信设备间宜设置在地下一层或首层；</w:t>
      </w:r>
    </w:p>
    <w:p w14:paraId="5FE51689">
      <w:pPr>
        <w:ind w:left="5" w:firstLine="475" w:firstLineChars="197"/>
      </w:pPr>
      <w:r>
        <w:rPr>
          <w:rFonts w:cs="Calibri"/>
          <w:b/>
          <w:bCs/>
        </w:rPr>
        <w:t>9）</w:t>
      </w:r>
      <w:r>
        <w:rPr>
          <w:rFonts w:hint="eastAsia"/>
        </w:rPr>
        <w:t>固定通信和移动通信机房和设备间的配置面积及工艺要求应符合现行</w:t>
      </w:r>
      <w:r>
        <w:t>国家标准</w:t>
      </w:r>
      <w:r>
        <w:rPr>
          <w:rFonts w:hint="eastAsia"/>
        </w:rPr>
        <w:t>《住宅区和住宅建筑内光纤到户通信设施工程设计规范》</w:t>
      </w:r>
      <w:r>
        <w:t>GB 50846</w:t>
      </w:r>
      <w:r>
        <w:rPr>
          <w:rFonts w:hint="eastAsia"/>
        </w:rPr>
        <w:t>及《通信管道与通道</w:t>
      </w:r>
      <w:r>
        <w:t>工程设计标准</w:t>
      </w:r>
      <w:r>
        <w:rPr>
          <w:rFonts w:hint="eastAsia"/>
        </w:rPr>
        <w:t>》</w:t>
      </w:r>
      <w:r>
        <w:t>GB50373</w:t>
      </w:r>
      <w:r>
        <w:rPr>
          <w:rFonts w:hint="eastAsia"/>
        </w:rPr>
        <w:t>的规定。</w:t>
      </w:r>
    </w:p>
    <w:p w14:paraId="729E6DD8">
      <w:pPr>
        <w:ind w:left="5" w:firstLine="475" w:firstLineChars="197"/>
        <w:rPr>
          <w:bCs/>
        </w:rPr>
      </w:pPr>
      <w:r>
        <w:rPr>
          <w:rFonts w:cs="Calibri"/>
          <w:b/>
        </w:rPr>
        <w:t>2</w:t>
      </w:r>
      <w:r>
        <w:rPr>
          <w:rFonts w:hint="eastAsia" w:cs="Calibri"/>
          <w:bCs/>
        </w:rPr>
        <w:t xml:space="preserve"> </w:t>
      </w:r>
      <w:r>
        <w:rPr>
          <w:rFonts w:hint="eastAsia"/>
          <w:bCs/>
        </w:rPr>
        <w:t>有线广播电视机房的设置，应符合以下规定：</w:t>
      </w:r>
    </w:p>
    <w:p w14:paraId="42E8DCC6">
      <w:pPr>
        <w:ind w:left="5" w:firstLine="475" w:firstLineChars="197"/>
        <w:rPr>
          <w:bCs/>
        </w:rPr>
      </w:pPr>
      <w:r>
        <w:rPr>
          <w:rFonts w:cs="Calibri"/>
          <w:b/>
        </w:rPr>
        <w:t>1）</w:t>
      </w:r>
      <w:r>
        <w:rPr>
          <w:rFonts w:hint="eastAsia"/>
          <w:bCs/>
        </w:rPr>
        <w:t>对于</w:t>
      </w:r>
      <w:r>
        <w:rPr>
          <w:bCs/>
        </w:rPr>
        <w:t>2000</w:t>
      </w:r>
      <w:r>
        <w:rPr>
          <w:rFonts w:hint="eastAsia"/>
          <w:bCs/>
        </w:rPr>
        <w:t>个有线电视信息点以上民用建筑应设置有线广播电视机房。</w:t>
      </w:r>
      <w:r>
        <w:rPr>
          <w:bCs/>
        </w:rPr>
        <w:t>2000</w:t>
      </w:r>
      <w:r>
        <w:rPr>
          <w:rFonts w:hint="eastAsia"/>
          <w:bCs/>
        </w:rPr>
        <w:t>个有线电视信息点以下的民用建筑应设置落地交接箱；</w:t>
      </w:r>
    </w:p>
    <w:p w14:paraId="7A6A6195">
      <w:pPr>
        <w:ind w:left="5" w:firstLine="475" w:firstLineChars="197"/>
        <w:rPr>
          <w:bCs/>
        </w:rPr>
      </w:pPr>
      <w:r>
        <w:rPr>
          <w:rFonts w:cs="Calibri"/>
          <w:b/>
        </w:rPr>
        <w:t>2）</w:t>
      </w:r>
      <w:r>
        <w:rPr>
          <w:rFonts w:hint="eastAsia"/>
          <w:bCs/>
        </w:rPr>
        <w:t>机房宜设在配套公用建筑首层及以上，位于民用建筑的中心地域。宜选择在公共建筑一层不易受淹处，方便搬运设备的车辆进出，便于机房进出线缆和管道的接入；</w:t>
      </w:r>
    </w:p>
    <w:p w14:paraId="5E2E802C">
      <w:pPr>
        <w:ind w:left="5" w:firstLine="475" w:firstLineChars="197"/>
      </w:pPr>
      <w:r>
        <w:rPr>
          <w:rFonts w:cs="Calibri"/>
          <w:b/>
          <w:bCs/>
        </w:rPr>
        <w:t>3）</w:t>
      </w:r>
      <w:r>
        <w:rPr>
          <w:rFonts w:hint="eastAsia"/>
        </w:rPr>
        <w:t>机房设置须避开电磁干扰区，应符合现行国家标准《数据中心设计规范》</w:t>
      </w:r>
      <w:r>
        <w:t>GB50174</w:t>
      </w:r>
      <w:r>
        <w:rPr>
          <w:rFonts w:hint="eastAsia"/>
        </w:rPr>
        <w:t>的规定；</w:t>
      </w:r>
    </w:p>
    <w:p w14:paraId="38F7F951">
      <w:pPr>
        <w:ind w:left="5" w:firstLine="475" w:firstLineChars="197"/>
      </w:pPr>
      <w:r>
        <w:rPr>
          <w:rFonts w:cs="Calibri"/>
          <w:b/>
          <w:bCs/>
        </w:rPr>
        <w:t>4）</w:t>
      </w:r>
      <w:r>
        <w:rPr>
          <w:rFonts w:hint="eastAsia"/>
        </w:rPr>
        <w:t>机房室内应做好防水防潮处理，严禁其他可形成安全隐患的管道（存在或穿越；</w:t>
      </w:r>
    </w:p>
    <w:p w14:paraId="1C247065">
      <w:pPr>
        <w:ind w:left="5" w:firstLine="475" w:firstLineChars="197"/>
      </w:pPr>
      <w:r>
        <w:rPr>
          <w:rFonts w:cs="Calibri"/>
          <w:b/>
          <w:bCs/>
        </w:rPr>
        <w:t>5）</w:t>
      </w:r>
      <w:r>
        <w:rPr>
          <w:rFonts w:hint="eastAsia"/>
        </w:rPr>
        <w:t>机房应留出空调室外机的位置及相应的孔洞；</w:t>
      </w:r>
    </w:p>
    <w:p w14:paraId="3CF88F9C">
      <w:pPr>
        <w:ind w:left="5" w:firstLine="475" w:firstLineChars="197"/>
      </w:pPr>
      <w:r>
        <w:rPr>
          <w:rFonts w:cs="Calibri"/>
          <w:b/>
          <w:bCs/>
        </w:rPr>
        <w:t>6）</w:t>
      </w:r>
      <w:r>
        <w:rPr>
          <w:rFonts w:hint="eastAsia"/>
        </w:rPr>
        <w:t>机房门应向外开启、机房不宜设窗户或安装密闭双层玻璃窗；</w:t>
      </w:r>
    </w:p>
    <w:p w14:paraId="26AA2100">
      <w:pPr>
        <w:ind w:left="5" w:firstLine="475" w:firstLineChars="197"/>
      </w:pPr>
      <w:r>
        <w:rPr>
          <w:rFonts w:cs="Calibri"/>
          <w:b/>
          <w:bCs/>
        </w:rPr>
        <w:t>7）</w:t>
      </w:r>
      <w:r>
        <w:rPr>
          <w:rFonts w:hint="eastAsia"/>
        </w:rPr>
        <w:t>机房内不设置上下水、喷淋、中央空调和水暖设施；</w:t>
      </w:r>
    </w:p>
    <w:p w14:paraId="67C0C1DB">
      <w:pPr>
        <w:ind w:left="5" w:firstLine="475" w:firstLineChars="197"/>
      </w:pPr>
      <w:r>
        <w:rPr>
          <w:rFonts w:cs="Calibri"/>
          <w:b/>
          <w:bCs/>
        </w:rPr>
        <w:t>8）</w:t>
      </w:r>
      <w:r>
        <w:rPr>
          <w:rFonts w:hint="eastAsia"/>
        </w:rPr>
        <w:t>机房的上层不应设卫生间，且不宜与厨房、卫生间等易潮湿的地方毗邻；</w:t>
      </w:r>
    </w:p>
    <w:p w14:paraId="68D9EBFD">
      <w:pPr>
        <w:ind w:left="5" w:firstLine="475" w:firstLineChars="197"/>
      </w:pPr>
      <w:r>
        <w:rPr>
          <w:rFonts w:cs="Calibri"/>
          <w:b/>
          <w:bCs/>
        </w:rPr>
        <w:t>9）</w:t>
      </w:r>
      <w:r>
        <w:rPr>
          <w:rFonts w:hint="eastAsia"/>
          <w:lang w:val="zh-CN"/>
        </w:rPr>
        <w:t>有线广播电视机房和光电转换间</w:t>
      </w:r>
      <w:r>
        <w:rPr>
          <w:rFonts w:hint="eastAsia"/>
        </w:rPr>
        <w:t>配置面积及工艺要求应符合现行</w:t>
      </w:r>
      <w:r>
        <w:t>地方标准</w:t>
      </w:r>
      <w:r>
        <w:rPr>
          <w:rFonts w:hint="eastAsia"/>
        </w:rPr>
        <w:t>《民用建筑通信及有线广播电视基础设施设计规范》</w:t>
      </w:r>
      <w:r>
        <w:t>DB11/T 804</w:t>
      </w:r>
      <w:r>
        <w:rPr>
          <w:rFonts w:hint="eastAsia"/>
        </w:rPr>
        <w:t>的规定。</w:t>
      </w:r>
    </w:p>
    <w:p w14:paraId="0B3F254D">
      <w:pPr>
        <w:pStyle w:val="4"/>
        <w:numPr>
          <w:ilvl w:val="2"/>
          <w:numId w:val="11"/>
        </w:numPr>
        <w:tabs>
          <w:tab w:val="clear" w:pos="0"/>
        </w:tabs>
        <w:ind w:firstLine="0" w:firstLineChars="0"/>
        <w:rPr>
          <w:rFonts w:cs="宋体"/>
          <w:bCs w:val="0"/>
          <w:iCs/>
          <w:lang w:val="en-US"/>
        </w:rPr>
      </w:pPr>
      <w:r>
        <w:rPr>
          <w:rFonts w:hint="eastAsia" w:cs="宋体"/>
          <w:bCs w:val="0"/>
          <w:iCs/>
          <w:lang w:val="en-US"/>
        </w:rPr>
        <w:t xml:space="preserve"> 建筑物内机房及设备间的电源应符合下列规定：</w:t>
      </w:r>
    </w:p>
    <w:p w14:paraId="1086AD07">
      <w:pPr>
        <w:ind w:left="5" w:firstLine="475" w:firstLineChars="197"/>
        <w:rPr>
          <w:bCs/>
        </w:rPr>
      </w:pPr>
      <w:r>
        <w:rPr>
          <w:rFonts w:cs="Calibri"/>
          <w:b/>
        </w:rPr>
        <w:t>1</w:t>
      </w:r>
      <w:r>
        <w:rPr>
          <w:rFonts w:hint="eastAsia" w:cs="Calibri"/>
          <w:bCs/>
        </w:rPr>
        <w:t xml:space="preserve"> </w:t>
      </w:r>
      <w:r>
        <w:rPr>
          <w:rFonts w:hint="eastAsia"/>
          <w:bCs/>
        </w:rPr>
        <w:t>机房、设备间和光电转换间应引入至少一路交流电源，并安装壁挂式交流配电箱，供电容量应满足供电需求，使用方单独设置计量表；</w:t>
      </w:r>
    </w:p>
    <w:p w14:paraId="19A8A5E9">
      <w:pPr>
        <w:ind w:left="5" w:firstLine="475" w:firstLineChars="197"/>
        <w:rPr>
          <w:bCs/>
        </w:rPr>
      </w:pPr>
      <w:r>
        <w:rPr>
          <w:rFonts w:cs="Calibri"/>
          <w:b/>
        </w:rPr>
        <w:t>2</w:t>
      </w:r>
      <w:r>
        <w:rPr>
          <w:rFonts w:hint="eastAsia" w:cs="Calibri"/>
          <w:bCs/>
        </w:rPr>
        <w:t xml:space="preserve"> </w:t>
      </w:r>
      <w:r>
        <w:rPr>
          <w:rFonts w:hint="eastAsia"/>
          <w:bCs/>
        </w:rPr>
        <w:t>固定通信机房为三相四线，电压标称值为</w:t>
      </w:r>
      <w:r>
        <w:rPr>
          <w:bCs/>
        </w:rPr>
        <w:t>380V</w:t>
      </w:r>
      <w:r>
        <w:rPr>
          <w:rFonts w:hint="eastAsia"/>
          <w:bCs/>
        </w:rPr>
        <w:t>，允许变动范围为</w:t>
      </w:r>
      <w:r>
        <w:rPr>
          <w:bCs/>
        </w:rPr>
        <w:t>380</w:t>
      </w:r>
      <w:r>
        <w:rPr>
          <w:rFonts w:hint="eastAsia"/>
          <w:bCs/>
        </w:rPr>
        <w:t>±</w:t>
      </w:r>
      <w:r>
        <w:rPr>
          <w:bCs/>
        </w:rPr>
        <w:t>10%V</w:t>
      </w:r>
      <w:r>
        <w:rPr>
          <w:rFonts w:hint="eastAsia"/>
          <w:bCs/>
        </w:rPr>
        <w:t>，引入容量应按</w:t>
      </w:r>
      <w:r>
        <w:rPr>
          <w:bCs/>
        </w:rPr>
        <w:t>40</w:t>
      </w:r>
      <w:r>
        <w:rPr>
          <w:rFonts w:hint="eastAsia"/>
          <w:bCs/>
        </w:rPr>
        <w:t>～</w:t>
      </w:r>
      <w:r>
        <w:rPr>
          <w:bCs/>
        </w:rPr>
        <w:t>60kW</w:t>
      </w:r>
      <w:r>
        <w:rPr>
          <w:rFonts w:hint="eastAsia"/>
          <w:bCs/>
        </w:rPr>
        <w:t>设置；</w:t>
      </w:r>
    </w:p>
    <w:p w14:paraId="75F1903E">
      <w:pPr>
        <w:ind w:left="5" w:firstLine="475" w:firstLineChars="197"/>
        <w:rPr>
          <w:bCs/>
        </w:rPr>
      </w:pPr>
      <w:r>
        <w:rPr>
          <w:rFonts w:cs="Calibri"/>
          <w:b/>
        </w:rPr>
        <w:t>3</w:t>
      </w:r>
      <w:r>
        <w:rPr>
          <w:rFonts w:hint="eastAsia" w:cs="Calibri"/>
          <w:bCs/>
        </w:rPr>
        <w:t xml:space="preserve"> </w:t>
      </w:r>
      <w:r>
        <w:rPr>
          <w:rFonts w:hint="eastAsia"/>
          <w:bCs/>
        </w:rPr>
        <w:t>有线广播电视机房为三相四线，电压标称值为</w:t>
      </w:r>
      <w:r>
        <w:rPr>
          <w:bCs/>
        </w:rPr>
        <w:t>380V</w:t>
      </w:r>
      <w:r>
        <w:rPr>
          <w:rFonts w:hint="eastAsia"/>
          <w:bCs/>
        </w:rPr>
        <w:t>，允许变动范围为</w:t>
      </w:r>
      <w:r>
        <w:rPr>
          <w:bCs/>
        </w:rPr>
        <w:t>380</w:t>
      </w:r>
      <w:r>
        <w:rPr>
          <w:rFonts w:hint="eastAsia"/>
          <w:bCs/>
        </w:rPr>
        <w:t>±</w:t>
      </w:r>
      <w:r>
        <w:rPr>
          <w:bCs/>
        </w:rPr>
        <w:t>10%V</w:t>
      </w:r>
      <w:r>
        <w:rPr>
          <w:rFonts w:hint="eastAsia"/>
          <w:bCs/>
        </w:rPr>
        <w:t>，容量应不小于</w:t>
      </w:r>
      <w:r>
        <w:rPr>
          <w:bCs/>
        </w:rPr>
        <w:t>20kW</w:t>
      </w:r>
      <w:r>
        <w:rPr>
          <w:rFonts w:hint="eastAsia"/>
          <w:bCs/>
        </w:rPr>
        <w:t>，交流配电箱</w:t>
      </w:r>
      <w:r>
        <w:rPr>
          <w:bCs/>
        </w:rPr>
        <w:t>/</w:t>
      </w:r>
      <w:r>
        <w:rPr>
          <w:rFonts w:hint="eastAsia"/>
          <w:bCs/>
        </w:rPr>
        <w:t>屏进线开关容量不小于</w:t>
      </w:r>
      <w:r>
        <w:rPr>
          <w:bCs/>
        </w:rPr>
        <w:t>50A</w:t>
      </w:r>
      <w:r>
        <w:rPr>
          <w:rFonts w:hint="eastAsia"/>
          <w:bCs/>
        </w:rPr>
        <w:t>；</w:t>
      </w:r>
    </w:p>
    <w:p w14:paraId="4F3787FE">
      <w:pPr>
        <w:ind w:left="5" w:firstLine="475" w:firstLineChars="197"/>
        <w:rPr>
          <w:bCs/>
        </w:rPr>
      </w:pPr>
      <w:r>
        <w:rPr>
          <w:rFonts w:cs="Calibri"/>
          <w:b/>
        </w:rPr>
        <w:t>4</w:t>
      </w:r>
      <w:r>
        <w:rPr>
          <w:rFonts w:hint="eastAsia" w:cs="Calibri"/>
          <w:bCs/>
        </w:rPr>
        <w:t xml:space="preserve"> </w:t>
      </w:r>
      <w:r>
        <w:rPr>
          <w:rFonts w:hint="eastAsia"/>
          <w:bCs/>
        </w:rPr>
        <w:t>固定通信设备间电源为单相两线，电压标称值为</w:t>
      </w:r>
      <w:r>
        <w:rPr>
          <w:bCs/>
        </w:rPr>
        <w:t>220V</w:t>
      </w:r>
      <w:r>
        <w:rPr>
          <w:rFonts w:hint="eastAsia"/>
          <w:bCs/>
        </w:rPr>
        <w:t>，允许变动范围为</w:t>
      </w:r>
      <w:r>
        <w:rPr>
          <w:bCs/>
        </w:rPr>
        <w:t>220V</w:t>
      </w:r>
      <w:r>
        <w:rPr>
          <w:rFonts w:hint="eastAsia"/>
          <w:bCs/>
        </w:rPr>
        <w:t>±</w:t>
      </w:r>
      <w:r>
        <w:rPr>
          <w:bCs/>
        </w:rPr>
        <w:t xml:space="preserve">10% </w:t>
      </w:r>
      <w:r>
        <w:rPr>
          <w:rFonts w:hint="eastAsia"/>
          <w:bCs/>
        </w:rPr>
        <w:t>，引入容量一般按</w:t>
      </w:r>
      <w:r>
        <w:rPr>
          <w:bCs/>
        </w:rPr>
        <w:t>5</w:t>
      </w:r>
      <w:r>
        <w:rPr>
          <w:rFonts w:hint="eastAsia"/>
          <w:bCs/>
        </w:rPr>
        <w:t>～</w:t>
      </w:r>
      <w:r>
        <w:rPr>
          <w:bCs/>
        </w:rPr>
        <w:t>10kW</w:t>
      </w:r>
      <w:r>
        <w:rPr>
          <w:rFonts w:hint="eastAsia"/>
          <w:bCs/>
        </w:rPr>
        <w:t>考虑，具体容量根据实际需求确定；</w:t>
      </w:r>
    </w:p>
    <w:p w14:paraId="206903A7">
      <w:pPr>
        <w:ind w:left="5" w:firstLine="475" w:firstLineChars="197"/>
        <w:rPr>
          <w:bCs/>
        </w:rPr>
      </w:pPr>
      <w:r>
        <w:rPr>
          <w:rFonts w:cs="Calibri"/>
          <w:b/>
        </w:rPr>
        <w:t>5</w:t>
      </w:r>
      <w:r>
        <w:rPr>
          <w:rFonts w:hint="eastAsia" w:cs="Calibri"/>
          <w:bCs/>
        </w:rPr>
        <w:t xml:space="preserve"> </w:t>
      </w:r>
      <w:r>
        <w:rPr>
          <w:rFonts w:hint="eastAsia"/>
          <w:bCs/>
        </w:rPr>
        <w:t>光电转换间电源为单相两线。光电转换间采用引自专用断路器的</w:t>
      </w:r>
      <w:r>
        <w:rPr>
          <w:bCs/>
        </w:rPr>
        <w:t>220V</w:t>
      </w:r>
      <w:r>
        <w:rPr>
          <w:rFonts w:hint="eastAsia"/>
          <w:bCs/>
        </w:rPr>
        <w:t>供电，电压允许变动范围为</w:t>
      </w:r>
      <w:r>
        <w:rPr>
          <w:bCs/>
        </w:rPr>
        <w:t>220 V</w:t>
      </w:r>
      <w:r>
        <w:rPr>
          <w:rFonts w:hint="eastAsia"/>
          <w:bCs/>
        </w:rPr>
        <w:t>±</w:t>
      </w:r>
      <w:r>
        <w:rPr>
          <w:bCs/>
        </w:rPr>
        <w:t>10%</w:t>
      </w:r>
      <w:r>
        <w:rPr>
          <w:rFonts w:hint="eastAsia"/>
          <w:bCs/>
        </w:rPr>
        <w:t>，引入容量按</w:t>
      </w:r>
      <w:r>
        <w:rPr>
          <w:bCs/>
        </w:rPr>
        <w:t>5kW</w:t>
      </w:r>
      <w:r>
        <w:rPr>
          <w:rFonts w:hint="eastAsia"/>
          <w:bCs/>
        </w:rPr>
        <w:t>确定；</w:t>
      </w:r>
    </w:p>
    <w:p w14:paraId="77BDD21D">
      <w:pPr>
        <w:ind w:left="5" w:firstLine="475" w:firstLineChars="197"/>
        <w:rPr>
          <w:bCs/>
        </w:rPr>
      </w:pPr>
      <w:r>
        <w:rPr>
          <w:rFonts w:cs="Calibri"/>
          <w:b/>
        </w:rPr>
        <w:t>6</w:t>
      </w:r>
      <w:r>
        <w:rPr>
          <w:rFonts w:hint="eastAsia" w:cs="Calibri"/>
          <w:bCs/>
        </w:rPr>
        <w:t xml:space="preserve"> </w:t>
      </w:r>
      <w:r>
        <w:rPr>
          <w:rFonts w:hint="eastAsia"/>
          <w:bCs/>
        </w:rPr>
        <w:t>蜂窝基站机房和室外一体化基站机房电源为三相四线，电压标称值为</w:t>
      </w:r>
      <w:r>
        <w:rPr>
          <w:bCs/>
        </w:rPr>
        <w:t>380V</w:t>
      </w:r>
      <w:r>
        <w:rPr>
          <w:rFonts w:hint="eastAsia"/>
          <w:bCs/>
        </w:rPr>
        <w:t>，交流引入容量应不低于</w:t>
      </w:r>
      <w:r>
        <w:rPr>
          <w:bCs/>
        </w:rPr>
        <w:t>35kW</w:t>
      </w:r>
      <w:r>
        <w:rPr>
          <w:rFonts w:hint="eastAsia"/>
          <w:bCs/>
        </w:rPr>
        <w:t>，交流配电箱</w:t>
      </w:r>
      <w:r>
        <w:rPr>
          <w:bCs/>
        </w:rPr>
        <w:t>/</w:t>
      </w:r>
      <w:r>
        <w:rPr>
          <w:rFonts w:hint="eastAsia"/>
          <w:bCs/>
        </w:rPr>
        <w:t>屏进线开关容量不应小于</w:t>
      </w:r>
      <w:r>
        <w:rPr>
          <w:bCs/>
        </w:rPr>
        <w:t>100A</w:t>
      </w:r>
      <w:r>
        <w:rPr>
          <w:rFonts w:hint="eastAsia"/>
          <w:bCs/>
        </w:rPr>
        <w:t>；</w:t>
      </w:r>
    </w:p>
    <w:p w14:paraId="4832A86F">
      <w:pPr>
        <w:ind w:left="5" w:firstLine="475" w:firstLineChars="197"/>
        <w:rPr>
          <w:bCs/>
        </w:rPr>
      </w:pPr>
      <w:r>
        <w:rPr>
          <w:rFonts w:cs="Calibri"/>
          <w:b/>
        </w:rPr>
        <w:t>7</w:t>
      </w:r>
      <w:r>
        <w:rPr>
          <w:rFonts w:hint="eastAsia" w:cs="Calibri"/>
          <w:bCs/>
        </w:rPr>
        <w:t xml:space="preserve"> </w:t>
      </w:r>
      <w:r>
        <w:rPr>
          <w:rFonts w:hint="eastAsia"/>
          <w:bCs/>
        </w:rPr>
        <w:t>室内覆盖系统设备间引入一路三相</w:t>
      </w:r>
      <w:r>
        <w:rPr>
          <w:bCs/>
        </w:rPr>
        <w:t>380V</w:t>
      </w:r>
      <w:r>
        <w:rPr>
          <w:rFonts w:hint="eastAsia"/>
          <w:bCs/>
        </w:rPr>
        <w:t>电源，并安装壁挂式配电箱，容量不应小于</w:t>
      </w:r>
      <w:r>
        <w:rPr>
          <w:bCs/>
        </w:rPr>
        <w:t>15</w:t>
      </w:r>
      <w:r>
        <w:rPr>
          <w:rFonts w:hint="eastAsia"/>
          <w:bCs/>
          <w:lang w:eastAsia="zh-CN"/>
        </w:rPr>
        <w:t>kW</w:t>
      </w:r>
      <w:r>
        <w:rPr>
          <w:rFonts w:hint="eastAsia"/>
          <w:bCs/>
        </w:rPr>
        <w:t>；</w:t>
      </w:r>
    </w:p>
    <w:p w14:paraId="5A747494">
      <w:pPr>
        <w:ind w:left="5" w:firstLine="475" w:firstLineChars="197"/>
        <w:rPr>
          <w:rFonts w:cs="Calibri"/>
          <w:bCs/>
        </w:rPr>
      </w:pPr>
      <w:r>
        <w:rPr>
          <w:rFonts w:cs="Calibri"/>
          <w:b/>
        </w:rPr>
        <w:t>8</w:t>
      </w:r>
      <w:r>
        <w:rPr>
          <w:rFonts w:cs="Calibri"/>
          <w:bCs/>
        </w:rPr>
        <w:t xml:space="preserve"> 有线广播电视机房、光电转换间、通信设备间应设置普通照明，并设置不应少于三个单相三孔电源插座（220V/10A）。</w:t>
      </w:r>
    </w:p>
    <w:p w14:paraId="40A92BD4">
      <w:pPr>
        <w:pStyle w:val="3"/>
        <w:numPr>
          <w:ilvl w:val="1"/>
          <w:numId w:val="11"/>
        </w:numPr>
        <w:rPr>
          <w:kern w:val="44"/>
        </w:rPr>
      </w:pPr>
      <w:bookmarkStart w:id="1199" w:name="_Toc422931185"/>
      <w:bookmarkStart w:id="1200" w:name="_Toc11483"/>
      <w:bookmarkStart w:id="1201" w:name="_Toc30668"/>
      <w:bookmarkStart w:id="1202" w:name="_Toc425447386"/>
      <w:bookmarkStart w:id="1203" w:name="_Toc30199"/>
      <w:bookmarkStart w:id="1204" w:name="_Toc29247"/>
      <w:bookmarkStart w:id="1205" w:name="_Toc425428149"/>
      <w:bookmarkStart w:id="1206" w:name="_Toc1161"/>
      <w:bookmarkStart w:id="1207" w:name="_Toc11371"/>
      <w:bookmarkStart w:id="1208" w:name="_Toc419288577"/>
      <w:bookmarkStart w:id="1209" w:name="_Toc20930"/>
      <w:bookmarkStart w:id="1210" w:name="_Toc31923"/>
      <w:bookmarkStart w:id="1211" w:name="_Toc422990223"/>
      <w:bookmarkStart w:id="1212" w:name="_Toc427324245"/>
      <w:bookmarkStart w:id="1213" w:name="_Toc26817514"/>
      <w:r>
        <w:rPr>
          <w:rFonts w:hint="eastAsia"/>
          <w:kern w:val="44"/>
        </w:rPr>
        <w:t>公共安全系统</w:t>
      </w:r>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p>
    <w:p w14:paraId="35034A98">
      <w:pPr>
        <w:pStyle w:val="4"/>
        <w:numPr>
          <w:ilvl w:val="2"/>
          <w:numId w:val="11"/>
        </w:numPr>
        <w:tabs>
          <w:tab w:val="clear" w:pos="0"/>
        </w:tabs>
        <w:ind w:firstLine="0" w:firstLineChars="0"/>
        <w:rPr>
          <w:rFonts w:cs="宋体"/>
          <w:bCs w:val="0"/>
          <w:iCs/>
          <w:lang w:val="en-US"/>
        </w:rPr>
      </w:pPr>
      <w:r>
        <w:rPr>
          <w:rFonts w:hint="eastAsia" w:cs="宋体"/>
          <w:bCs w:val="0"/>
          <w:iCs/>
          <w:lang w:val="en-US"/>
        </w:rPr>
        <w:t>公共安全系统应包括住宅火灾自动报警系统和安全技术防范系统。</w:t>
      </w:r>
    </w:p>
    <w:p w14:paraId="5A51763E">
      <w:pPr>
        <w:pStyle w:val="4"/>
        <w:numPr>
          <w:ilvl w:val="2"/>
          <w:numId w:val="11"/>
        </w:numPr>
        <w:tabs>
          <w:tab w:val="clear" w:pos="0"/>
        </w:tabs>
        <w:ind w:firstLine="0" w:firstLineChars="0"/>
        <w:rPr>
          <w:rFonts w:cs="宋体"/>
          <w:bCs w:val="0"/>
          <w:iCs/>
          <w:lang w:val="en-US"/>
        </w:rPr>
      </w:pPr>
      <w:r>
        <w:rPr>
          <w:rFonts w:hint="eastAsia" w:cs="宋体"/>
          <w:bCs w:val="0"/>
          <w:iCs/>
          <w:lang w:val="en-US"/>
        </w:rPr>
        <w:t>住宅建筑火灾自动报警系统的设置应符合下列规定：</w:t>
      </w:r>
    </w:p>
    <w:p w14:paraId="02321E3D">
      <w:pPr>
        <w:ind w:left="5" w:firstLine="475" w:firstLineChars="197"/>
        <w:rPr>
          <w:bCs/>
        </w:rPr>
      </w:pPr>
      <w:r>
        <w:rPr>
          <w:b/>
        </w:rPr>
        <w:t>1</w:t>
      </w:r>
      <w:r>
        <w:rPr>
          <w:bCs/>
        </w:rPr>
        <w:t xml:space="preserve">  </w:t>
      </w:r>
      <w:r>
        <w:rPr>
          <w:rFonts w:hint="eastAsia"/>
          <w:bCs/>
        </w:rPr>
        <w:t>建筑高度大于</w:t>
      </w:r>
      <w:r>
        <w:rPr>
          <w:bCs/>
        </w:rPr>
        <w:t>54m</w:t>
      </w:r>
      <w:r>
        <w:rPr>
          <w:rFonts w:hint="eastAsia"/>
          <w:bCs/>
        </w:rPr>
        <w:t>、但不大于</w:t>
      </w:r>
      <w:r>
        <w:rPr>
          <w:bCs/>
        </w:rPr>
        <w:t>100m</w:t>
      </w:r>
      <w:r>
        <w:rPr>
          <w:rFonts w:hint="eastAsia"/>
          <w:bCs/>
        </w:rPr>
        <w:t>的高层住宅建筑，公共空间应设置火灾自动报警系统，其套内房间宜设置火灾探测器；</w:t>
      </w:r>
    </w:p>
    <w:p w14:paraId="57BECB59">
      <w:pPr>
        <w:ind w:left="5" w:firstLine="475" w:firstLineChars="197"/>
        <w:rPr>
          <w:bCs/>
        </w:rPr>
      </w:pPr>
      <w:r>
        <w:rPr>
          <w:b/>
        </w:rPr>
        <w:t>2</w:t>
      </w:r>
      <w:r>
        <w:rPr>
          <w:bCs/>
        </w:rPr>
        <w:t xml:space="preserve">  </w:t>
      </w:r>
      <w:r>
        <w:rPr>
          <w:rFonts w:hint="eastAsia"/>
          <w:bCs/>
        </w:rPr>
        <w:t>建筑高度大于</w:t>
      </w:r>
      <w:r>
        <w:rPr>
          <w:bCs/>
        </w:rPr>
        <w:t>27m</w:t>
      </w:r>
      <w:r>
        <w:rPr>
          <w:rFonts w:hint="eastAsia"/>
          <w:bCs/>
        </w:rPr>
        <w:t>，但不大于</w:t>
      </w:r>
      <w:r>
        <w:rPr>
          <w:bCs/>
        </w:rPr>
        <w:t xml:space="preserve">54m </w:t>
      </w:r>
      <w:r>
        <w:rPr>
          <w:rFonts w:hint="eastAsia"/>
          <w:bCs/>
        </w:rPr>
        <w:t>的住宅建筑，公共部位宜设置火灾自动报警系统；当设置需联动控制的消防设施时，公共部位应设置火灾自动报警系统。套内房间宜设置火灾探测器，可选择独立联网式火灾探测报警器；</w:t>
      </w:r>
    </w:p>
    <w:p w14:paraId="4D8BF039">
      <w:pPr>
        <w:ind w:left="5" w:firstLine="475" w:firstLineChars="197"/>
        <w:rPr>
          <w:bCs/>
        </w:rPr>
      </w:pPr>
      <w:r>
        <w:rPr>
          <w:rFonts w:hint="eastAsia"/>
          <w:b/>
        </w:rPr>
        <w:t>3</w:t>
      </w:r>
      <w:r>
        <w:rPr>
          <w:rFonts w:hint="eastAsia"/>
          <w:bCs/>
        </w:rPr>
        <w:t xml:space="preserve"> 建筑高度不大于27m的住宅建筑，公共部位宜设置火灾自动报警系统，当设置需联动控制的消防设施时，公共部位应设置火灾自动报警系统。套内房间宜设置火灾探测器，可选择独立联网式火灾探测报警器；</w:t>
      </w:r>
    </w:p>
    <w:p w14:paraId="0C8B91DA">
      <w:pPr>
        <w:ind w:left="5" w:firstLine="475" w:firstLineChars="197"/>
        <w:rPr>
          <w:bCs/>
        </w:rPr>
      </w:pPr>
      <w:r>
        <w:rPr>
          <w:rFonts w:hint="eastAsia"/>
          <w:b/>
        </w:rPr>
        <w:t>4</w:t>
      </w:r>
      <w:r>
        <w:rPr>
          <w:rFonts w:hint="eastAsia"/>
          <w:bCs/>
        </w:rPr>
        <w:t xml:space="preserve"> 设置火灾自动报警系统的住宅建筑，应在消防控制室设置消防物联网系统，在安装视频监控系统的安全出口、疏散走道、疏散楼梯间及其前室、消防电梯前室等区域，实现火情视频联动功能，并将报警信号接入物业（管理单位）值班室；</w:t>
      </w:r>
    </w:p>
    <w:p w14:paraId="6167152F">
      <w:pPr>
        <w:ind w:left="5" w:firstLine="475" w:firstLineChars="197"/>
        <w:rPr>
          <w:bCs/>
        </w:rPr>
      </w:pPr>
      <w:r>
        <w:rPr>
          <w:rFonts w:hint="eastAsia"/>
          <w:b/>
        </w:rPr>
        <w:t>5</w:t>
      </w:r>
      <w:r>
        <w:rPr>
          <w:rFonts w:hint="eastAsia"/>
          <w:bCs/>
        </w:rPr>
        <w:t xml:space="preserve"> 设置消防给水及室内消火栓系统、自动喷水灭火系统的高层住宅建筑，应设置消防高位水箱、消防水池液位监测，室内消火栓和自动喷水灭火系统最不利点压力监测，消防水泵控制柜手、自动状态监测功能，将信号接入物业（管理单位）值班室，并具有向各级智慧消防平台推送数据的功能；</w:t>
      </w:r>
    </w:p>
    <w:p w14:paraId="4AA4A6BB">
      <w:pPr>
        <w:ind w:left="5" w:firstLine="475" w:firstLineChars="197"/>
        <w:rPr>
          <w:bCs/>
        </w:rPr>
      </w:pPr>
      <w:r>
        <w:rPr>
          <w:rFonts w:hint="eastAsia"/>
          <w:b/>
        </w:rPr>
        <w:t>6</w:t>
      </w:r>
      <w:r>
        <w:rPr>
          <w:rFonts w:hint="eastAsia"/>
          <w:bCs/>
        </w:rPr>
        <w:t xml:space="preserve">  住宅建筑使用可燃气体的厨房应设置可燃气体探测报警系统，并应符合现行国家标准《火灾自动报警系统设计规范》GB50116的规定；</w:t>
      </w:r>
    </w:p>
    <w:p w14:paraId="299D3B09">
      <w:pPr>
        <w:ind w:left="5" w:firstLine="475" w:firstLineChars="197"/>
        <w:rPr>
          <w:bCs/>
        </w:rPr>
      </w:pPr>
      <w:r>
        <w:rPr>
          <w:rFonts w:hint="eastAsia"/>
          <w:b/>
        </w:rPr>
        <w:t>7</w:t>
      </w:r>
      <w:r>
        <w:rPr>
          <w:rFonts w:hint="eastAsia"/>
          <w:bCs/>
        </w:rPr>
        <w:t xml:space="preserve"> 住宅建筑应设置电气火灾监控系统，并应符合现行国家标准《火灾自动报警系统设计规范》GB50116的规定。</w:t>
      </w:r>
    </w:p>
    <w:p w14:paraId="0FEE9FB7">
      <w:pPr>
        <w:pStyle w:val="4"/>
        <w:numPr>
          <w:ilvl w:val="2"/>
          <w:numId w:val="11"/>
        </w:numPr>
        <w:tabs>
          <w:tab w:val="clear" w:pos="0"/>
        </w:tabs>
        <w:ind w:firstLine="0" w:firstLineChars="0"/>
        <w:rPr>
          <w:rFonts w:cs="宋体"/>
          <w:bCs w:val="0"/>
          <w:iCs/>
          <w:lang w:val="en-US"/>
        </w:rPr>
      </w:pPr>
      <w:r>
        <w:rPr>
          <w:rFonts w:hint="eastAsia" w:cs="宋体"/>
          <w:bCs w:val="0"/>
          <w:iCs/>
          <w:lang w:val="en-US"/>
        </w:rPr>
        <w:t>住宅建筑内的消防应急照明及灯光疏散指示标志的备用电源的连续供电时间不应少于1.0h。</w:t>
      </w:r>
    </w:p>
    <w:p w14:paraId="5071E1FB">
      <w:pPr>
        <w:pStyle w:val="4"/>
        <w:numPr>
          <w:ilvl w:val="2"/>
          <w:numId w:val="11"/>
        </w:numPr>
        <w:tabs>
          <w:tab w:val="clear" w:pos="0"/>
        </w:tabs>
        <w:ind w:firstLine="0" w:firstLineChars="0"/>
        <w:rPr>
          <w:rFonts w:cs="宋体"/>
          <w:bCs w:val="0"/>
          <w:iCs/>
          <w:lang w:val="en-US"/>
        </w:rPr>
      </w:pPr>
      <w:r>
        <w:rPr>
          <w:rFonts w:hint="eastAsia" w:cs="宋体"/>
          <w:bCs w:val="0"/>
          <w:iCs/>
          <w:lang w:val="en-US"/>
        </w:rPr>
        <w:t>住宅建筑内消防设施的供电干线电缆应符合下列规定：</w:t>
      </w:r>
    </w:p>
    <w:p w14:paraId="3BF7445C">
      <w:pPr>
        <w:ind w:left="5" w:firstLine="475" w:firstLineChars="197"/>
        <w:rPr>
          <w:bCs/>
          <w:lang w:val="zh-CN"/>
        </w:rPr>
      </w:pPr>
      <w:r>
        <w:rPr>
          <w:rFonts w:hint="eastAsia"/>
          <w:b/>
        </w:rPr>
        <w:t>1</w:t>
      </w:r>
      <w:r>
        <w:rPr>
          <w:rFonts w:hint="eastAsia"/>
          <w:bCs/>
          <w:lang w:val="zh-CN"/>
        </w:rPr>
        <w:t xml:space="preserve">  建筑高度大于54m但不大于100m的住宅建筑，应采用阻燃耐火线缆，宜采用矿物绝缘类电缆；</w:t>
      </w:r>
    </w:p>
    <w:p w14:paraId="18063FA9">
      <w:pPr>
        <w:ind w:left="5" w:firstLine="475" w:firstLineChars="197"/>
        <w:rPr>
          <w:bCs/>
          <w:lang w:val="zh-CN"/>
        </w:rPr>
      </w:pPr>
      <w:r>
        <w:rPr>
          <w:rFonts w:hint="eastAsia"/>
          <w:b/>
        </w:rPr>
        <w:t>2</w:t>
      </w:r>
      <w:r>
        <w:rPr>
          <w:rFonts w:hint="eastAsia"/>
          <w:bCs/>
          <w:lang w:val="zh-CN"/>
        </w:rPr>
        <w:t xml:space="preserve">  建筑高度大于27m但不大于54m的住宅建筑，应采用阻燃耐火线缆；</w:t>
      </w:r>
    </w:p>
    <w:p w14:paraId="42C4FFC0">
      <w:pPr>
        <w:ind w:left="5" w:firstLine="475" w:firstLineChars="197"/>
        <w:rPr>
          <w:bCs/>
          <w:lang w:val="zh-CN"/>
        </w:rPr>
      </w:pPr>
      <w:r>
        <w:rPr>
          <w:rFonts w:hint="eastAsia"/>
          <w:b/>
        </w:rPr>
        <w:t>3</w:t>
      </w:r>
      <w:r>
        <w:rPr>
          <w:rFonts w:hint="eastAsia"/>
          <w:bCs/>
          <w:lang w:val="zh-CN"/>
        </w:rPr>
        <w:t xml:space="preserve">  与其他配电线路敷设在同一电缆井、沟内的消防配电线路应满足本规范12.0.9的规定，并应采用矿物绝缘类电缆。</w:t>
      </w:r>
    </w:p>
    <w:p w14:paraId="1A943BEC">
      <w:pPr>
        <w:pStyle w:val="4"/>
        <w:numPr>
          <w:ilvl w:val="2"/>
          <w:numId w:val="11"/>
        </w:numPr>
        <w:tabs>
          <w:tab w:val="clear" w:pos="0"/>
        </w:tabs>
        <w:ind w:firstLine="0" w:firstLineChars="0"/>
        <w:rPr>
          <w:rFonts w:cs="宋体"/>
          <w:bCs w:val="0"/>
          <w:iCs/>
          <w:lang w:val="en-US"/>
        </w:rPr>
      </w:pPr>
      <w:r>
        <w:rPr>
          <w:rFonts w:hint="eastAsia" w:cs="宋体"/>
          <w:bCs w:val="0"/>
          <w:iCs/>
          <w:lang w:val="en-US"/>
        </w:rPr>
        <w:t>住宅建筑内公共疏散通道的应急照明线缆应符合下列规定：</w:t>
      </w:r>
    </w:p>
    <w:p w14:paraId="43CB980A">
      <w:pPr>
        <w:ind w:left="5" w:firstLine="475" w:firstLineChars="197"/>
        <w:rPr>
          <w:bCs/>
          <w:lang w:val="zh-CN"/>
        </w:rPr>
      </w:pPr>
      <w:r>
        <w:rPr>
          <w:rFonts w:hint="eastAsia"/>
          <w:b/>
          <w:lang w:val="zh-CN"/>
        </w:rPr>
        <w:t>1</w:t>
      </w:r>
      <w:r>
        <w:rPr>
          <w:rFonts w:hint="eastAsia"/>
          <w:bCs/>
          <w:lang w:val="zh-CN"/>
        </w:rPr>
        <w:t xml:space="preserve">  建筑高度为54m及以上的住宅建筑，应采用低烟无卤线缆；</w:t>
      </w:r>
    </w:p>
    <w:p w14:paraId="74948029">
      <w:pPr>
        <w:ind w:left="5" w:firstLine="475" w:firstLineChars="197"/>
        <w:rPr>
          <w:bCs/>
          <w:lang w:val="zh-CN"/>
        </w:rPr>
      </w:pPr>
      <w:r>
        <w:rPr>
          <w:rFonts w:hint="eastAsia"/>
          <w:b/>
          <w:lang w:val="zh-CN"/>
        </w:rPr>
        <w:t>2</w:t>
      </w:r>
      <w:r>
        <w:rPr>
          <w:rFonts w:hint="eastAsia"/>
          <w:bCs/>
          <w:lang w:val="zh-CN"/>
        </w:rPr>
        <w:t xml:space="preserve">  建筑高度大于27m但不大于54m的住宅建筑，宜采用低烟无卤线缆。</w:t>
      </w:r>
    </w:p>
    <w:p w14:paraId="00059E82">
      <w:pPr>
        <w:pStyle w:val="4"/>
        <w:numPr>
          <w:ilvl w:val="2"/>
          <w:numId w:val="11"/>
        </w:numPr>
        <w:tabs>
          <w:tab w:val="clear" w:pos="0"/>
        </w:tabs>
        <w:ind w:firstLine="0" w:firstLineChars="0"/>
        <w:rPr>
          <w:rFonts w:cs="宋体"/>
          <w:bCs w:val="0"/>
          <w:iCs/>
          <w:lang w:val="en-US"/>
        </w:rPr>
      </w:pPr>
      <w:r>
        <w:rPr>
          <w:rFonts w:hint="eastAsia" w:cs="宋体"/>
          <w:bCs w:val="0"/>
          <w:iCs/>
          <w:lang w:val="en-US"/>
        </w:rPr>
        <w:t>住宅安全防范系统应当具备接入公共安防系统的条件。</w:t>
      </w:r>
    </w:p>
    <w:p w14:paraId="729E8D35">
      <w:pPr>
        <w:pStyle w:val="4"/>
        <w:numPr>
          <w:ilvl w:val="2"/>
          <w:numId w:val="11"/>
        </w:numPr>
        <w:tabs>
          <w:tab w:val="clear" w:pos="0"/>
        </w:tabs>
        <w:ind w:firstLine="0" w:firstLineChars="0"/>
        <w:rPr>
          <w:rFonts w:cs="宋体"/>
          <w:bCs w:val="0"/>
          <w:iCs/>
          <w:lang w:val="en-US"/>
        </w:rPr>
      </w:pPr>
      <w:r>
        <w:rPr>
          <w:rFonts w:hint="eastAsia" w:cs="宋体"/>
          <w:bCs w:val="0"/>
          <w:iCs/>
          <w:lang w:val="en-US"/>
        </w:rPr>
        <w:t>住宅建筑应设置访客对讲系统，进入住宅单元的各通道门均应设置电子门锁。访客对讲系统应与火灾自动报警系统联动，当发生火警时，自动解除电子门锁控制。</w:t>
      </w:r>
    </w:p>
    <w:p w14:paraId="479C1BFF">
      <w:pPr>
        <w:pStyle w:val="4"/>
        <w:numPr>
          <w:ilvl w:val="2"/>
          <w:numId w:val="11"/>
        </w:numPr>
        <w:tabs>
          <w:tab w:val="clear" w:pos="0"/>
        </w:tabs>
        <w:ind w:firstLine="0" w:firstLineChars="0"/>
        <w:rPr>
          <w:rFonts w:cs="宋体"/>
          <w:bCs w:val="0"/>
          <w:iCs/>
          <w:lang w:val="en-US"/>
        </w:rPr>
      </w:pPr>
      <w:r>
        <w:rPr>
          <w:rFonts w:hint="eastAsia" w:cs="宋体"/>
          <w:bCs w:val="0"/>
          <w:iCs/>
          <w:lang w:val="en-US"/>
        </w:rPr>
        <w:t>住宅套内应设置紧急呼叫装置，紧急呼叫装置的报警信号应传输至安防中心。</w:t>
      </w:r>
    </w:p>
    <w:p w14:paraId="4AEAE312">
      <w:pPr>
        <w:pStyle w:val="4"/>
        <w:numPr>
          <w:ilvl w:val="2"/>
          <w:numId w:val="11"/>
        </w:numPr>
        <w:tabs>
          <w:tab w:val="clear" w:pos="0"/>
        </w:tabs>
        <w:ind w:firstLine="0" w:firstLineChars="0"/>
        <w:rPr>
          <w:rFonts w:cs="宋体"/>
          <w:bCs w:val="0"/>
          <w:iCs/>
          <w:lang w:val="en-US"/>
        </w:rPr>
      </w:pPr>
      <w:r>
        <w:rPr>
          <w:rFonts w:hint="eastAsia" w:cs="宋体"/>
          <w:bCs w:val="0"/>
          <w:iCs/>
          <w:lang w:val="en-US"/>
        </w:rPr>
        <w:t>首、二层及顶层等易于被入侵的住户套内、户门、阳台及外窗等处应设置安全防范设施。如设置入侵报警系统，报警信号应能发送给业主或小区物业管理中心。</w:t>
      </w:r>
    </w:p>
    <w:p w14:paraId="301616C9">
      <w:pPr>
        <w:pStyle w:val="4"/>
        <w:numPr>
          <w:ilvl w:val="2"/>
          <w:numId w:val="11"/>
        </w:numPr>
        <w:tabs>
          <w:tab w:val="clear" w:pos="0"/>
        </w:tabs>
        <w:ind w:firstLine="0" w:firstLineChars="0"/>
        <w:rPr>
          <w:rFonts w:cs="宋体"/>
          <w:bCs w:val="0"/>
          <w:iCs/>
          <w:lang w:val="en-US"/>
        </w:rPr>
      </w:pPr>
      <w:r>
        <w:rPr>
          <w:rFonts w:hint="eastAsia" w:cs="宋体"/>
          <w:bCs w:val="0"/>
          <w:iCs/>
          <w:lang w:val="en-US"/>
        </w:rPr>
        <w:t>住宅建筑的电梯内应加装电梯智能识别阻车（电动自行车）系统，消防联动控制器应具备联动电梯停于首层（疏散层）功能。</w:t>
      </w:r>
    </w:p>
    <w:p w14:paraId="5A74F06A">
      <w:pPr>
        <w:pStyle w:val="3"/>
        <w:numPr>
          <w:ilvl w:val="1"/>
          <w:numId w:val="11"/>
        </w:numPr>
        <w:rPr>
          <w:kern w:val="44"/>
        </w:rPr>
      </w:pPr>
      <w:bookmarkStart w:id="1214" w:name="_Toc413940519"/>
      <w:bookmarkStart w:id="1215" w:name="_Toc413943742"/>
      <w:bookmarkStart w:id="1216" w:name="_Toc14058"/>
      <w:bookmarkStart w:id="1217" w:name="_Toc27304"/>
      <w:bookmarkStart w:id="1218" w:name="_Toc419288578"/>
      <w:bookmarkStart w:id="1219" w:name="_Toc194"/>
      <w:bookmarkStart w:id="1220" w:name="_Toc425447387"/>
      <w:bookmarkStart w:id="1221" w:name="_Toc425428150"/>
      <w:bookmarkStart w:id="1222" w:name="_Toc3518"/>
      <w:bookmarkStart w:id="1223" w:name="_Toc427324246"/>
      <w:bookmarkStart w:id="1224" w:name="_Toc531"/>
      <w:bookmarkStart w:id="1225" w:name="_Toc422931186"/>
      <w:bookmarkStart w:id="1226" w:name="_Toc422990224"/>
      <w:bookmarkStart w:id="1227" w:name="_Toc26817515"/>
      <w:bookmarkStart w:id="1228" w:name="_Toc32630"/>
      <w:bookmarkStart w:id="1229" w:name="_Toc2291"/>
      <w:bookmarkStart w:id="1230" w:name="_Toc22803"/>
      <w:r>
        <w:rPr>
          <w:rFonts w:hint="eastAsia"/>
          <w:kern w:val="44"/>
        </w:rPr>
        <w:t>住宅智能</w:t>
      </w:r>
      <w:bookmarkEnd w:id="1214"/>
      <w:bookmarkEnd w:id="1215"/>
      <w:r>
        <w:rPr>
          <w:rFonts w:hint="eastAsia"/>
          <w:kern w:val="44"/>
        </w:rPr>
        <w:t>化管理系统</w:t>
      </w:r>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p>
    <w:p w14:paraId="5337F2B7">
      <w:pPr>
        <w:pStyle w:val="4"/>
        <w:numPr>
          <w:ilvl w:val="2"/>
          <w:numId w:val="11"/>
        </w:numPr>
        <w:tabs>
          <w:tab w:val="clear" w:pos="0"/>
        </w:tabs>
        <w:ind w:firstLine="0" w:firstLineChars="0"/>
        <w:rPr>
          <w:rFonts w:cs="宋体"/>
          <w:bCs w:val="0"/>
          <w:iCs/>
          <w:lang w:val="en-US"/>
        </w:rPr>
      </w:pPr>
      <w:r>
        <w:rPr>
          <w:rFonts w:hint="eastAsia" w:cs="宋体"/>
          <w:bCs w:val="0"/>
          <w:iCs/>
          <w:lang w:val="en-US"/>
        </w:rPr>
        <w:t>住宅智能化管理系统应包含智能家居系统和居住区智能化系统。</w:t>
      </w:r>
    </w:p>
    <w:p w14:paraId="24673903">
      <w:pPr>
        <w:pStyle w:val="4"/>
        <w:numPr>
          <w:ilvl w:val="2"/>
          <w:numId w:val="11"/>
        </w:numPr>
        <w:tabs>
          <w:tab w:val="clear" w:pos="0"/>
        </w:tabs>
        <w:ind w:firstLine="0" w:firstLineChars="0"/>
        <w:rPr>
          <w:rFonts w:cs="宋体"/>
          <w:bCs w:val="0"/>
          <w:iCs/>
          <w:lang w:val="en-US"/>
        </w:rPr>
      </w:pPr>
      <w:r>
        <w:rPr>
          <w:rFonts w:hint="eastAsia" w:cs="宋体"/>
          <w:bCs w:val="0"/>
          <w:iCs/>
          <w:lang w:val="en-US"/>
        </w:rPr>
        <w:t>智能家居系统应包含智能家居家庭网络层、通信网络层、业务平台层和智能家居应用层，并应包括管理智能家居终端、智能家居业务平台和智能家居应用的网管系统，并应符合下列规定：</w:t>
      </w:r>
    </w:p>
    <w:p w14:paraId="2702FC76">
      <w:pPr>
        <w:ind w:firstLine="482"/>
        <w:rPr>
          <w:rStyle w:val="48"/>
          <w:bCs w:val="0"/>
        </w:rPr>
      </w:pPr>
      <w:r>
        <w:rPr>
          <w:rStyle w:val="48"/>
          <w:rFonts w:asciiTheme="minorHAnsi" w:hAnsiTheme="minorHAnsi"/>
          <w:b/>
        </w:rPr>
        <w:t>1</w:t>
      </w:r>
      <w:r>
        <w:rPr>
          <w:rStyle w:val="48"/>
          <w:rFonts w:asciiTheme="minorHAnsi" w:hAnsiTheme="minorHAnsi"/>
          <w:bCs w:val="0"/>
        </w:rPr>
        <w:t xml:space="preserve">  </w:t>
      </w:r>
      <w:r>
        <w:rPr>
          <w:rStyle w:val="48"/>
          <w:rFonts w:hint="eastAsia"/>
          <w:bCs w:val="0"/>
        </w:rPr>
        <w:t>家庭网络层结构主要设备</w:t>
      </w:r>
      <w:r>
        <w:rPr>
          <w:rStyle w:val="48"/>
          <w:rFonts w:hint="eastAsia"/>
          <w:bCs w:val="0"/>
          <w:lang w:val="en-US"/>
        </w:rPr>
        <w:t>应</w:t>
      </w:r>
      <w:r>
        <w:rPr>
          <w:rStyle w:val="48"/>
          <w:rFonts w:hint="eastAsia"/>
          <w:bCs w:val="0"/>
        </w:rPr>
        <w:t>包括智能家居网关、智能家居控制设备、终端代理以及其他智能家居终端；</w:t>
      </w:r>
    </w:p>
    <w:p w14:paraId="389C0293">
      <w:pPr>
        <w:ind w:firstLine="482"/>
        <w:rPr>
          <w:rStyle w:val="48"/>
          <w:bCs w:val="0"/>
          <w:kern w:val="0"/>
        </w:rPr>
      </w:pPr>
      <w:r>
        <w:rPr>
          <w:rStyle w:val="48"/>
          <w:rFonts w:asciiTheme="minorHAnsi" w:hAnsiTheme="minorHAnsi"/>
          <w:b/>
        </w:rPr>
        <w:t>2</w:t>
      </w:r>
      <w:r>
        <w:rPr>
          <w:rStyle w:val="48"/>
          <w:rFonts w:asciiTheme="minorHAnsi" w:hAnsiTheme="minorHAnsi"/>
          <w:bCs w:val="0"/>
        </w:rPr>
        <w:t xml:space="preserve">  </w:t>
      </w:r>
      <w:r>
        <w:rPr>
          <w:rStyle w:val="48"/>
          <w:rFonts w:hint="eastAsia"/>
          <w:bCs w:val="0"/>
        </w:rPr>
        <w:t>通信网络层结构包括公共通信网络和通信服务能力。其中，公共通信网络主要提供</w:t>
      </w:r>
      <w:r>
        <w:rPr>
          <w:rStyle w:val="48"/>
          <w:bCs w:val="0"/>
        </w:rPr>
        <w:t>连接能力；通信服务能力将公共通信网络的语音、定位、呈现、短信、彩信和媒体服务能力，通过开放接口接入至智能家居业务平台</w:t>
      </w:r>
      <w:r>
        <w:rPr>
          <w:rStyle w:val="48"/>
          <w:rFonts w:hint="eastAsia"/>
          <w:bCs w:val="0"/>
        </w:rPr>
        <w:t>；</w:t>
      </w:r>
    </w:p>
    <w:p w14:paraId="541B94B9">
      <w:pPr>
        <w:ind w:firstLine="482"/>
        <w:rPr>
          <w:rStyle w:val="48"/>
          <w:bCs w:val="0"/>
          <w:kern w:val="0"/>
        </w:rPr>
      </w:pPr>
      <w:r>
        <w:rPr>
          <w:rStyle w:val="48"/>
          <w:rFonts w:asciiTheme="minorHAnsi" w:hAnsiTheme="minorHAnsi"/>
          <w:b/>
        </w:rPr>
        <w:t>3</w:t>
      </w:r>
      <w:r>
        <w:rPr>
          <w:rStyle w:val="48"/>
          <w:rFonts w:asciiTheme="minorHAnsi" w:hAnsiTheme="minorHAnsi"/>
          <w:bCs w:val="0"/>
        </w:rPr>
        <w:t xml:space="preserve">  </w:t>
      </w:r>
      <w:r>
        <w:rPr>
          <w:rStyle w:val="48"/>
          <w:rFonts w:hint="eastAsia"/>
          <w:bCs w:val="0"/>
        </w:rPr>
        <w:t>业务平台层结构为智能家居应用提供支撑和管理，主要包括业务网关、运营管理平台和能力开放网关；</w:t>
      </w:r>
    </w:p>
    <w:p w14:paraId="41255672">
      <w:pPr>
        <w:ind w:firstLine="482"/>
        <w:rPr>
          <w:rStyle w:val="48"/>
          <w:bCs w:val="0"/>
          <w:kern w:val="0"/>
        </w:rPr>
      </w:pPr>
      <w:r>
        <w:rPr>
          <w:rStyle w:val="48"/>
          <w:rFonts w:asciiTheme="minorHAnsi" w:hAnsiTheme="minorHAnsi"/>
          <w:b/>
        </w:rPr>
        <w:t>4</w:t>
      </w:r>
      <w:r>
        <w:rPr>
          <w:rStyle w:val="48"/>
          <w:rFonts w:asciiTheme="minorHAnsi" w:hAnsiTheme="minorHAnsi"/>
          <w:bCs w:val="0"/>
        </w:rPr>
        <w:t xml:space="preserve">  </w:t>
      </w:r>
      <w:r>
        <w:rPr>
          <w:rStyle w:val="48"/>
          <w:rFonts w:hint="eastAsia"/>
          <w:bCs w:val="0"/>
        </w:rPr>
        <w:t>智能家居应用层结构的智能家居应用利用能力开放网关提供的开放接口实现智能家居服务。</w:t>
      </w:r>
    </w:p>
    <w:p w14:paraId="50723A11">
      <w:pPr>
        <w:pStyle w:val="4"/>
        <w:numPr>
          <w:ilvl w:val="2"/>
          <w:numId w:val="11"/>
        </w:numPr>
        <w:tabs>
          <w:tab w:val="clear" w:pos="0"/>
        </w:tabs>
        <w:ind w:firstLine="0" w:firstLineChars="0"/>
        <w:rPr>
          <w:rStyle w:val="48"/>
          <w:bCs w:val="0"/>
        </w:rPr>
      </w:pPr>
      <w:r>
        <w:rPr>
          <w:rFonts w:hint="eastAsia" w:cs="宋体"/>
          <w:bCs w:val="0"/>
          <w:iCs/>
          <w:lang w:val="en-US"/>
        </w:rPr>
        <w:t>智能家居系统的安全应包括设备安全、网络安全、数据安全、应用平台安全、访问控制安全及系统运行安全等部分，系统应具有防非法接入、防数据窃取与篡改、防恶意控制、隐私信息保护等能力，对设备身份进行认证，对通信数据进行加密传输与存储，设置分级权限管理，并具备异常监测、故障告警与应急处置机制，保障系统稳定可靠运行，保护用户人身、财产及信息安全，应符合下列规定：</w:t>
      </w:r>
    </w:p>
    <w:p w14:paraId="492A722C">
      <w:pPr>
        <w:ind w:firstLine="482"/>
        <w:rPr>
          <w:rStyle w:val="48"/>
          <w:bCs w:val="0"/>
        </w:rPr>
      </w:pPr>
      <w:r>
        <w:rPr>
          <w:rStyle w:val="48"/>
          <w:rFonts w:asciiTheme="minorHAnsi" w:hAnsiTheme="minorHAnsi"/>
          <w:b/>
        </w:rPr>
        <w:t>1</w:t>
      </w:r>
      <w:r>
        <w:rPr>
          <w:rStyle w:val="48"/>
          <w:rFonts w:asciiTheme="minorHAnsi" w:hAnsiTheme="minorHAnsi"/>
          <w:bCs w:val="0"/>
        </w:rPr>
        <w:t xml:space="preserve">  </w:t>
      </w:r>
      <w:r>
        <w:rPr>
          <w:rStyle w:val="48"/>
          <w:rFonts w:hint="eastAsia"/>
          <w:bCs w:val="0"/>
        </w:rPr>
        <w:t>网络安全要求包括智能家居家庭网络的安全以及连接公共通信网络的安全、智能家居内部组网禁止非法的终端接入和外部访问；</w:t>
      </w:r>
    </w:p>
    <w:p w14:paraId="7C6ACD36">
      <w:pPr>
        <w:ind w:firstLine="482"/>
        <w:rPr>
          <w:rStyle w:val="48"/>
          <w:bCs w:val="0"/>
        </w:rPr>
      </w:pPr>
      <w:r>
        <w:rPr>
          <w:rStyle w:val="48"/>
          <w:rFonts w:asciiTheme="minorHAnsi" w:hAnsiTheme="minorHAnsi"/>
          <w:b/>
        </w:rPr>
        <w:t>2</w:t>
      </w:r>
      <w:r>
        <w:rPr>
          <w:rStyle w:val="48"/>
          <w:rFonts w:asciiTheme="minorHAnsi" w:hAnsiTheme="minorHAnsi"/>
          <w:bCs w:val="0"/>
        </w:rPr>
        <w:t xml:space="preserve">  </w:t>
      </w:r>
      <w:r>
        <w:rPr>
          <w:rStyle w:val="48"/>
          <w:rFonts w:hint="eastAsia"/>
          <w:bCs w:val="0"/>
        </w:rPr>
        <w:t>系统安全要求包括智能家居控制设备系统的安全以及业务平台系统的安全；</w:t>
      </w:r>
    </w:p>
    <w:p w14:paraId="284F788B">
      <w:pPr>
        <w:ind w:firstLine="482"/>
        <w:rPr>
          <w:rStyle w:val="48"/>
          <w:bCs w:val="0"/>
        </w:rPr>
      </w:pPr>
      <w:r>
        <w:rPr>
          <w:rStyle w:val="48"/>
          <w:rFonts w:asciiTheme="minorHAnsi" w:hAnsiTheme="minorHAnsi"/>
          <w:b/>
        </w:rPr>
        <w:t>3</w:t>
      </w:r>
      <w:r>
        <w:rPr>
          <w:rStyle w:val="48"/>
          <w:rFonts w:asciiTheme="minorHAnsi" w:hAnsiTheme="minorHAnsi"/>
          <w:bCs w:val="0"/>
        </w:rPr>
        <w:t xml:space="preserve">  </w:t>
      </w:r>
      <w:r>
        <w:rPr>
          <w:rStyle w:val="48"/>
          <w:rFonts w:hint="eastAsia"/>
          <w:bCs w:val="0"/>
        </w:rPr>
        <w:t>信息安全要求包括智能家居控制设备存储和管理的信息以及业务平台存储和管理的信息。</w:t>
      </w:r>
    </w:p>
    <w:p w14:paraId="0BD043F1">
      <w:pPr>
        <w:pStyle w:val="4"/>
        <w:numPr>
          <w:ilvl w:val="2"/>
          <w:numId w:val="11"/>
        </w:numPr>
        <w:tabs>
          <w:tab w:val="clear" w:pos="0"/>
        </w:tabs>
        <w:ind w:firstLine="0" w:firstLineChars="0"/>
        <w:rPr>
          <w:rFonts w:cs="宋体"/>
          <w:bCs w:val="0"/>
          <w:iCs/>
          <w:lang w:val="en-US"/>
        </w:rPr>
      </w:pPr>
      <w:r>
        <w:rPr>
          <w:rFonts w:hint="eastAsia" w:cs="宋体"/>
          <w:bCs w:val="0"/>
          <w:iCs/>
          <w:lang w:val="en-US"/>
        </w:rPr>
        <w:t>智能家居系统应满足数字家庭、家庭应急守护、室内环境监测、适老化等功能要求。</w:t>
      </w:r>
    </w:p>
    <w:p w14:paraId="4FCB270D">
      <w:pPr>
        <w:pStyle w:val="4"/>
        <w:numPr>
          <w:ilvl w:val="2"/>
          <w:numId w:val="11"/>
        </w:numPr>
        <w:tabs>
          <w:tab w:val="clear" w:pos="0"/>
        </w:tabs>
        <w:ind w:firstLine="0" w:firstLineChars="0"/>
        <w:rPr>
          <w:rFonts w:cs="宋体"/>
          <w:bCs w:val="0"/>
          <w:iCs/>
          <w:lang w:val="en-US"/>
        </w:rPr>
      </w:pPr>
      <w:r>
        <w:rPr>
          <w:rFonts w:hint="eastAsia" w:cs="宋体"/>
          <w:bCs w:val="0"/>
          <w:iCs/>
          <w:lang w:val="en-US"/>
        </w:rPr>
        <w:t>智能家居的信息基础设施包括光缆接入系统与家庭网络及布线接入系统，系统的设计应符合现行地方标准《民用建筑通信及有线广播电视基础设施设计规范》DB11/T804的规定。</w:t>
      </w:r>
    </w:p>
    <w:p w14:paraId="3FA607E5">
      <w:pPr>
        <w:pStyle w:val="4"/>
        <w:numPr>
          <w:ilvl w:val="2"/>
          <w:numId w:val="11"/>
        </w:numPr>
        <w:tabs>
          <w:tab w:val="clear" w:pos="0"/>
        </w:tabs>
        <w:ind w:firstLine="0" w:firstLineChars="0"/>
        <w:rPr>
          <w:rFonts w:cs="宋体"/>
          <w:bCs w:val="0"/>
          <w:iCs/>
          <w:lang w:val="en-US"/>
        </w:rPr>
      </w:pPr>
      <w:r>
        <w:rPr>
          <w:rFonts w:hint="eastAsia" w:cs="宋体"/>
          <w:bCs w:val="0"/>
          <w:iCs/>
          <w:lang w:val="en-US"/>
        </w:rPr>
        <w:t>居住区智能化系统应包含物业运营管理系统、信息化应用系统、智能卡应用系统、信息网络安全管理系统。</w:t>
      </w:r>
    </w:p>
    <w:p w14:paraId="5F89C4CA">
      <w:pPr>
        <w:pStyle w:val="4"/>
        <w:numPr>
          <w:ilvl w:val="2"/>
          <w:numId w:val="11"/>
        </w:numPr>
        <w:tabs>
          <w:tab w:val="clear" w:pos="0"/>
        </w:tabs>
        <w:ind w:firstLine="0" w:firstLineChars="0"/>
        <w:rPr>
          <w:rFonts w:cs="宋体"/>
          <w:bCs w:val="0"/>
          <w:iCs/>
          <w:lang w:val="en-US"/>
        </w:rPr>
      </w:pPr>
      <w:r>
        <w:rPr>
          <w:rFonts w:hint="eastAsia" w:cs="宋体"/>
          <w:bCs w:val="0"/>
          <w:iCs/>
          <w:lang w:val="en-US"/>
        </w:rPr>
        <w:t>居住区宜设置建筑设备管理系统，包括公共区域的建筑设备监控系统、能耗计量与数据远传系统。</w:t>
      </w:r>
    </w:p>
    <w:p w14:paraId="434F691A">
      <w:pPr>
        <w:pStyle w:val="4"/>
        <w:numPr>
          <w:ilvl w:val="2"/>
          <w:numId w:val="11"/>
        </w:numPr>
        <w:tabs>
          <w:tab w:val="clear" w:pos="0"/>
        </w:tabs>
        <w:ind w:firstLine="0" w:firstLineChars="0"/>
        <w:rPr>
          <w:rFonts w:cs="宋体"/>
          <w:bCs w:val="0"/>
          <w:iCs/>
          <w:lang w:val="en-US"/>
        </w:rPr>
      </w:pPr>
      <w:r>
        <w:rPr>
          <w:rFonts w:hint="eastAsia" w:cs="宋体"/>
          <w:bCs w:val="0"/>
          <w:iCs/>
          <w:lang w:val="en-US"/>
        </w:rPr>
        <w:t>居住区应设置电子周界防范系统、电子巡查系统、视频安防监控系统，视频安防监控系统应实现无死角、全覆盖，宜设置高空抛物监控设施。</w:t>
      </w:r>
    </w:p>
    <w:p w14:paraId="587FDD9D">
      <w:pPr>
        <w:pStyle w:val="4"/>
        <w:numPr>
          <w:ilvl w:val="2"/>
          <w:numId w:val="11"/>
        </w:numPr>
        <w:tabs>
          <w:tab w:val="clear" w:pos="0"/>
        </w:tabs>
        <w:ind w:firstLine="0" w:firstLineChars="0"/>
        <w:rPr>
          <w:rFonts w:cs="宋体"/>
          <w:bCs w:val="0"/>
          <w:iCs/>
          <w:lang w:val="en-US"/>
        </w:rPr>
      </w:pPr>
      <w:r>
        <w:rPr>
          <w:rFonts w:hint="eastAsia" w:cs="宋体"/>
          <w:bCs w:val="0"/>
          <w:iCs/>
          <w:lang w:val="en-US"/>
        </w:rPr>
        <w:t>居住区宜建设智能化集成管理平台，为住户和物业提供完善的服务功能，并应符合下列规定：</w:t>
      </w:r>
    </w:p>
    <w:p w14:paraId="3C65C1B4">
      <w:pPr>
        <w:ind w:left="5" w:firstLine="475" w:firstLineChars="197"/>
        <w:rPr>
          <w:rStyle w:val="48"/>
          <w:rFonts w:asciiTheme="minorHAnsi" w:hAnsiTheme="minorHAnsi"/>
          <w:lang w:val="en-US"/>
        </w:rPr>
      </w:pPr>
      <w:r>
        <w:rPr>
          <w:rStyle w:val="48"/>
          <w:rFonts w:hint="eastAsia" w:asciiTheme="minorHAnsi" w:hAnsiTheme="minorHAnsi"/>
          <w:b/>
          <w:bCs w:val="0"/>
          <w:lang w:val="en-US"/>
        </w:rPr>
        <w:t>1</w:t>
      </w:r>
      <w:r>
        <w:rPr>
          <w:rStyle w:val="48"/>
          <w:rFonts w:asciiTheme="minorHAnsi" w:hAnsiTheme="minorHAnsi"/>
        </w:rPr>
        <w:t xml:space="preserve"> </w:t>
      </w:r>
      <w:r>
        <w:rPr>
          <w:rStyle w:val="48"/>
          <w:rFonts w:hint="eastAsia" w:asciiTheme="minorHAnsi" w:hAnsiTheme="minorHAnsi"/>
          <w:lang w:val="en-US"/>
        </w:rPr>
        <w:t>通过设置智慧安防、智慧管家、智慧停车、智慧养老等智慧管理系统，打造智慧社区；</w:t>
      </w:r>
    </w:p>
    <w:p w14:paraId="26C4DEEC">
      <w:pPr>
        <w:ind w:left="5" w:firstLine="475" w:firstLineChars="197"/>
        <w:rPr>
          <w:rStyle w:val="48"/>
          <w:rFonts w:asciiTheme="minorHAnsi" w:hAnsiTheme="minorHAnsi"/>
          <w:lang w:val="en-US"/>
        </w:rPr>
      </w:pPr>
      <w:r>
        <w:rPr>
          <w:rStyle w:val="48"/>
          <w:rFonts w:hint="eastAsia" w:asciiTheme="minorHAnsi" w:hAnsiTheme="minorHAnsi"/>
          <w:b/>
          <w:bCs w:val="0"/>
          <w:lang w:val="en-US"/>
        </w:rPr>
        <w:t>2</w:t>
      </w:r>
      <w:r>
        <w:rPr>
          <w:rStyle w:val="48"/>
          <w:rFonts w:asciiTheme="minorHAnsi" w:hAnsiTheme="minorHAnsi"/>
        </w:rPr>
        <w:t xml:space="preserve"> </w:t>
      </w:r>
      <w:r>
        <w:rPr>
          <w:rStyle w:val="48"/>
          <w:rFonts w:hint="eastAsia" w:asciiTheme="minorHAnsi" w:hAnsiTheme="minorHAnsi"/>
          <w:lang w:val="en-US"/>
        </w:rPr>
        <w:t>构建统一社区管理平台，提供信息发布、紧急呼救与监控、智能家居控制、入侵报警、服务预约、停车管理等服务内容，确保智能化系统数据安全、数据互通和共享，实现信息无缝流转和协同管理，保障和提升住区运维品质；</w:t>
      </w:r>
    </w:p>
    <w:p w14:paraId="69A8D6FA">
      <w:pPr>
        <w:ind w:left="5" w:firstLine="475" w:firstLineChars="197"/>
        <w:rPr>
          <w:rStyle w:val="48"/>
          <w:rFonts w:asciiTheme="minorHAnsi" w:hAnsiTheme="minorHAnsi"/>
          <w:lang w:val="en-US"/>
        </w:rPr>
      </w:pPr>
      <w:r>
        <w:rPr>
          <w:rStyle w:val="48"/>
          <w:rFonts w:hint="eastAsia" w:asciiTheme="minorHAnsi" w:hAnsiTheme="minorHAnsi"/>
          <w:b/>
          <w:bCs w:val="0"/>
          <w:lang w:val="en-US"/>
        </w:rPr>
        <w:t>3</w:t>
      </w:r>
      <w:r>
        <w:rPr>
          <w:rStyle w:val="48"/>
          <w:rFonts w:asciiTheme="minorHAnsi" w:hAnsiTheme="minorHAnsi"/>
        </w:rPr>
        <w:t xml:space="preserve"> </w:t>
      </w:r>
      <w:r>
        <w:rPr>
          <w:rStyle w:val="48"/>
          <w:rFonts w:hint="eastAsia" w:asciiTheme="minorHAnsi" w:hAnsiTheme="minorHAnsi"/>
          <w:lang w:val="en-US"/>
        </w:rPr>
        <w:t>宜配置与第三方便民服务平台的接口；</w:t>
      </w:r>
    </w:p>
    <w:p w14:paraId="0D4C2D75">
      <w:pPr>
        <w:ind w:left="5" w:firstLine="475" w:firstLineChars="197"/>
        <w:rPr>
          <w:rStyle w:val="48"/>
          <w:rFonts w:asciiTheme="minorHAnsi" w:hAnsiTheme="minorHAnsi"/>
          <w:lang w:val="en-US"/>
        </w:rPr>
      </w:pPr>
      <w:r>
        <w:rPr>
          <w:rStyle w:val="48"/>
          <w:rFonts w:hint="eastAsia" w:asciiTheme="minorHAnsi" w:hAnsiTheme="minorHAnsi"/>
          <w:b/>
          <w:bCs w:val="0"/>
          <w:lang w:val="en-US"/>
        </w:rPr>
        <w:t>4</w:t>
      </w:r>
      <w:r>
        <w:rPr>
          <w:rStyle w:val="48"/>
          <w:rFonts w:asciiTheme="minorHAnsi" w:hAnsiTheme="minorHAnsi"/>
        </w:rPr>
        <w:t xml:space="preserve"> </w:t>
      </w:r>
      <w:r>
        <w:rPr>
          <w:rStyle w:val="48"/>
          <w:rFonts w:hint="eastAsia" w:asciiTheme="minorHAnsi" w:hAnsiTheme="minorHAnsi"/>
          <w:lang w:val="en-US"/>
        </w:rPr>
        <w:t>运维阶段信息化BIM模型应可实时同步住宅维护、维修信息，实现维修信息可追溯和物业公司更替时的数字化交接，并对重点维护内容及时提醒。</w:t>
      </w:r>
    </w:p>
    <w:p w14:paraId="3E78A5EA">
      <w:pPr>
        <w:ind w:left="425" w:firstLine="480"/>
        <w:rPr>
          <w:rStyle w:val="48"/>
          <w:rFonts w:asciiTheme="minorHAnsi" w:hAnsiTheme="minorHAnsi"/>
          <w:lang w:val="en-US"/>
        </w:rPr>
      </w:pPr>
    </w:p>
    <w:p w14:paraId="3581D5A1">
      <w:pPr>
        <w:pStyle w:val="3"/>
        <w:numPr>
          <w:ilvl w:val="1"/>
          <w:numId w:val="11"/>
        </w:numPr>
        <w:rPr>
          <w:kern w:val="44"/>
        </w:rPr>
      </w:pPr>
      <w:bookmarkStart w:id="1231" w:name="_Toc413940520"/>
      <w:bookmarkStart w:id="1232" w:name="_Toc413943743"/>
      <w:bookmarkStart w:id="1233" w:name="_Toc419288579"/>
      <w:bookmarkStart w:id="1234" w:name="_Toc17137"/>
      <w:bookmarkStart w:id="1235" w:name="_Toc12022"/>
      <w:bookmarkStart w:id="1236" w:name="_Toc427324247"/>
      <w:bookmarkStart w:id="1237" w:name="_Toc26817516"/>
      <w:bookmarkStart w:id="1238" w:name="_Toc2806"/>
      <w:bookmarkStart w:id="1239" w:name="_Toc24081"/>
      <w:bookmarkStart w:id="1240" w:name="_Toc28271"/>
      <w:bookmarkStart w:id="1241" w:name="_Toc18081"/>
      <w:bookmarkStart w:id="1242" w:name="_Toc425428151"/>
      <w:bookmarkStart w:id="1243" w:name="_Toc422931187"/>
      <w:bookmarkStart w:id="1244" w:name="_Toc425447388"/>
      <w:bookmarkStart w:id="1245" w:name="_Toc9477"/>
      <w:bookmarkStart w:id="1246" w:name="_Toc422990225"/>
      <w:bookmarkStart w:id="1247" w:name="_Toc3509"/>
      <w:r>
        <w:rPr>
          <w:rFonts w:hint="eastAsia"/>
          <w:kern w:val="44"/>
        </w:rPr>
        <w:t>电气节能</w:t>
      </w:r>
      <w:bookmarkEnd w:id="1231"/>
      <w:bookmarkEnd w:id="1232"/>
      <w:r>
        <w:rPr>
          <w:rFonts w:hint="eastAsia"/>
          <w:kern w:val="44"/>
        </w:rPr>
        <w:t>设计</w:t>
      </w:r>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p>
    <w:p w14:paraId="50ED503D">
      <w:pPr>
        <w:pStyle w:val="4"/>
        <w:numPr>
          <w:ilvl w:val="2"/>
          <w:numId w:val="11"/>
        </w:numPr>
        <w:tabs>
          <w:tab w:val="clear" w:pos="0"/>
        </w:tabs>
        <w:ind w:firstLine="0" w:firstLineChars="0"/>
        <w:rPr>
          <w:rFonts w:cs="宋体"/>
          <w:bCs w:val="0"/>
          <w:iCs/>
          <w:lang w:val="en-US"/>
        </w:rPr>
      </w:pPr>
      <w:r>
        <w:rPr>
          <w:rFonts w:hint="eastAsia" w:cs="宋体"/>
          <w:bCs w:val="0"/>
          <w:iCs/>
          <w:lang w:val="en-US"/>
        </w:rPr>
        <w:t>住宅每户照明功率密度值应符合现行国家标准《建筑照明设计标准》GBT 50034的规定。</w:t>
      </w:r>
    </w:p>
    <w:p w14:paraId="3B2C0A54">
      <w:pPr>
        <w:pStyle w:val="4"/>
        <w:numPr>
          <w:ilvl w:val="2"/>
          <w:numId w:val="11"/>
        </w:numPr>
        <w:tabs>
          <w:tab w:val="clear" w:pos="0"/>
        </w:tabs>
        <w:ind w:firstLine="0" w:firstLineChars="0"/>
        <w:rPr>
          <w:rFonts w:cs="宋体"/>
          <w:bCs w:val="0"/>
          <w:iCs/>
          <w:lang w:val="en-US"/>
        </w:rPr>
      </w:pPr>
      <w:r>
        <w:rPr>
          <w:rFonts w:hint="eastAsia" w:cs="宋体"/>
          <w:bCs w:val="0"/>
          <w:iCs/>
          <w:lang w:val="en-US"/>
        </w:rPr>
        <w:t>居住小区配变电所采用的变压器能效等级应不低于现行国家标准《三相配电变压器能效限定值及能效等级》GB20052 规定的2级能效标准，住宅装修设计选择家用电器时宜采用达到中国能效标识2级及以上等级的节能产品。</w:t>
      </w:r>
    </w:p>
    <w:p w14:paraId="23950E03">
      <w:pPr>
        <w:pStyle w:val="4"/>
        <w:numPr>
          <w:ilvl w:val="2"/>
          <w:numId w:val="11"/>
        </w:numPr>
        <w:tabs>
          <w:tab w:val="clear" w:pos="0"/>
        </w:tabs>
        <w:ind w:firstLine="0" w:firstLineChars="0"/>
        <w:rPr>
          <w:rFonts w:cs="宋体"/>
          <w:bCs w:val="0"/>
          <w:iCs/>
          <w:lang w:val="en-US"/>
        </w:rPr>
      </w:pPr>
      <w:r>
        <w:rPr>
          <w:rFonts w:hint="eastAsia" w:cs="宋体"/>
          <w:bCs w:val="0"/>
          <w:iCs/>
          <w:lang w:val="en-US"/>
        </w:rPr>
        <w:t>高级住宅宜采用智能照明控制系统。</w:t>
      </w:r>
    </w:p>
    <w:p w14:paraId="2847463C">
      <w:pPr>
        <w:pStyle w:val="4"/>
        <w:numPr>
          <w:ilvl w:val="2"/>
          <w:numId w:val="11"/>
        </w:numPr>
        <w:tabs>
          <w:tab w:val="clear" w:pos="0"/>
        </w:tabs>
        <w:ind w:firstLine="0" w:firstLineChars="0"/>
        <w:rPr>
          <w:rFonts w:cs="宋体"/>
          <w:bCs w:val="0"/>
          <w:iCs/>
          <w:lang w:val="en-US"/>
        </w:rPr>
      </w:pPr>
      <w:r>
        <w:rPr>
          <w:rFonts w:hint="eastAsia" w:cs="宋体"/>
          <w:bCs w:val="0"/>
          <w:iCs/>
          <w:lang w:val="en-US"/>
        </w:rPr>
        <w:t>楼梯间、走道等室内公共场所的照明，应采用高效节能照明装置（光源、灯具及附件）和节能控制措施。</w:t>
      </w:r>
    </w:p>
    <w:p w14:paraId="515E27AA">
      <w:pPr>
        <w:pStyle w:val="4"/>
        <w:numPr>
          <w:ilvl w:val="2"/>
          <w:numId w:val="11"/>
        </w:numPr>
        <w:tabs>
          <w:tab w:val="clear" w:pos="0"/>
        </w:tabs>
        <w:ind w:firstLine="0" w:firstLineChars="0"/>
        <w:rPr>
          <w:rFonts w:cs="宋体"/>
          <w:bCs w:val="0"/>
          <w:iCs/>
          <w:lang w:val="en-US"/>
        </w:rPr>
      </w:pPr>
      <w:r>
        <w:rPr>
          <w:rFonts w:hint="eastAsia" w:cs="宋体"/>
          <w:bCs w:val="0"/>
          <w:iCs/>
          <w:lang w:val="en-US"/>
        </w:rPr>
        <w:t>住宅楼的电梯系统应具有节能运行控制模式。</w:t>
      </w:r>
    </w:p>
    <w:p w14:paraId="2424839E">
      <w:pPr>
        <w:pStyle w:val="4"/>
        <w:numPr>
          <w:ilvl w:val="2"/>
          <w:numId w:val="11"/>
        </w:numPr>
        <w:tabs>
          <w:tab w:val="clear" w:pos="0"/>
        </w:tabs>
        <w:ind w:firstLine="0" w:firstLineChars="0"/>
        <w:rPr>
          <w:rFonts w:cs="宋体"/>
          <w:bCs w:val="0"/>
          <w:iCs/>
          <w:lang w:val="en-US"/>
        </w:rPr>
      </w:pPr>
      <w:r>
        <w:rPr>
          <w:rFonts w:hint="eastAsia" w:cs="宋体"/>
          <w:bCs w:val="0"/>
          <w:iCs/>
          <w:lang w:val="en-US"/>
        </w:rPr>
        <w:t>住宅采用新能源系统时应在户箱内设置用于能源管理的电能表，宜采用模数化导轨安装的直接接入静止式交流有功电能表。</w:t>
      </w:r>
    </w:p>
    <w:p w14:paraId="27DA1C97">
      <w:pPr>
        <w:pStyle w:val="4"/>
        <w:numPr>
          <w:ilvl w:val="2"/>
          <w:numId w:val="11"/>
        </w:numPr>
        <w:tabs>
          <w:tab w:val="clear" w:pos="0"/>
        </w:tabs>
        <w:ind w:firstLine="0" w:firstLineChars="0"/>
        <w:rPr>
          <w:rFonts w:cs="宋体"/>
          <w:bCs w:val="0"/>
          <w:iCs/>
          <w:lang w:val="en-US"/>
        </w:rPr>
      </w:pPr>
      <w:r>
        <w:rPr>
          <w:rFonts w:hint="eastAsia" w:cs="宋体"/>
          <w:bCs w:val="0"/>
          <w:iCs/>
          <w:lang w:val="en-US"/>
        </w:rPr>
        <w:t>住宅配套停车位应按规划要求设置电动汽车充电桩并应符合现行地方标准《电动汽车充电基础设施规划设计标准》DB11/T 1455的规定。</w:t>
      </w:r>
    </w:p>
    <w:p w14:paraId="75879EAD">
      <w:pPr>
        <w:pStyle w:val="4"/>
        <w:numPr>
          <w:ilvl w:val="2"/>
          <w:numId w:val="11"/>
        </w:numPr>
        <w:tabs>
          <w:tab w:val="clear" w:pos="0"/>
        </w:tabs>
        <w:ind w:firstLine="0" w:firstLineChars="0"/>
        <w:rPr>
          <w:rFonts w:cs="宋体"/>
          <w:bCs w:val="0"/>
          <w:iCs/>
          <w:lang w:val="en-US"/>
        </w:rPr>
      </w:pPr>
      <w:r>
        <w:rPr>
          <w:rFonts w:hint="eastAsia" w:cs="宋体"/>
          <w:bCs w:val="0"/>
          <w:iCs/>
          <w:lang w:val="en-US"/>
        </w:rPr>
        <w:t>电动自行车充电设施应符合现行地方标准《电动自行车停放场所防火设计标准》DB11/T 1624的规定。</w:t>
      </w:r>
    </w:p>
    <w:p w14:paraId="6EDF3A2C">
      <w:pPr>
        <w:pStyle w:val="4"/>
        <w:numPr>
          <w:ilvl w:val="2"/>
          <w:numId w:val="11"/>
        </w:numPr>
        <w:tabs>
          <w:tab w:val="clear" w:pos="0"/>
        </w:tabs>
        <w:ind w:firstLine="0" w:firstLineChars="0"/>
        <w:rPr>
          <w:rFonts w:cs="宋体"/>
          <w:bCs w:val="0"/>
          <w:iCs/>
          <w:lang w:val="en-US"/>
        </w:rPr>
      </w:pPr>
      <w:r>
        <w:rPr>
          <w:rFonts w:hint="eastAsia" w:cs="宋体"/>
          <w:bCs w:val="0"/>
          <w:iCs/>
          <w:lang w:val="en-US"/>
        </w:rPr>
        <w:t>住宅内宜配置家用电器能效管理系统。</w:t>
      </w:r>
    </w:p>
    <w:p w14:paraId="04C79669">
      <w:pPr>
        <w:pStyle w:val="4"/>
        <w:numPr>
          <w:ilvl w:val="2"/>
          <w:numId w:val="11"/>
        </w:numPr>
        <w:tabs>
          <w:tab w:val="clear" w:pos="0"/>
        </w:tabs>
        <w:ind w:firstLine="0" w:firstLineChars="0"/>
        <w:rPr>
          <w:rFonts w:cs="宋体"/>
          <w:bCs w:val="0"/>
          <w:iCs/>
          <w:lang w:val="en-US"/>
        </w:rPr>
      </w:pPr>
      <w:r>
        <w:rPr>
          <w:rFonts w:hint="eastAsia" w:cs="宋体"/>
          <w:bCs w:val="0"/>
          <w:iCs/>
          <w:lang w:val="en-US"/>
        </w:rPr>
        <w:t>住宅内宜设置无线网络信号收发装置，设置位置应便于维护、散热，距离本户和相邻户床位水平与垂直距离不应小于1.50m。</w:t>
      </w:r>
    </w:p>
    <w:p w14:paraId="77E1E753">
      <w:pPr>
        <w:pStyle w:val="2"/>
        <w:numPr>
          <w:ilvl w:val="0"/>
          <w:numId w:val="11"/>
        </w:numPr>
        <w:tabs>
          <w:tab w:val="clear" w:pos="0"/>
        </w:tabs>
      </w:pPr>
      <w:bookmarkStart w:id="1248" w:name="_Toc16354"/>
      <w:bookmarkStart w:id="1249" w:name="_Toc23149"/>
      <w:bookmarkStart w:id="1250" w:name="_Toc425447389"/>
      <w:bookmarkStart w:id="1251" w:name="_Toc422990226"/>
      <w:bookmarkStart w:id="1252" w:name="_Toc24389"/>
      <w:bookmarkStart w:id="1253" w:name="_Toc427324248"/>
      <w:bookmarkStart w:id="1254" w:name="_Toc7639"/>
      <w:bookmarkStart w:id="1255" w:name="_Toc425428152"/>
      <w:bookmarkStart w:id="1256" w:name="_Toc15259"/>
      <w:bookmarkStart w:id="1257" w:name="_Toc11353"/>
      <w:bookmarkStart w:id="1258" w:name="_Toc9495"/>
      <w:bookmarkStart w:id="1259" w:name="_Toc17"/>
      <w:bookmarkStart w:id="1260" w:name="_Toc3615"/>
      <w:bookmarkStart w:id="1261" w:name="_Toc27538"/>
      <w:bookmarkStart w:id="1262" w:name="_Toc422931188"/>
      <w:r>
        <w:rPr>
          <w:rFonts w:hint="eastAsia"/>
        </w:rPr>
        <w:t>管线综合设计</w:t>
      </w:r>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p>
    <w:p w14:paraId="3074494C">
      <w:pPr>
        <w:pStyle w:val="4"/>
        <w:numPr>
          <w:ilvl w:val="2"/>
          <w:numId w:val="11"/>
        </w:numPr>
        <w:tabs>
          <w:tab w:val="clear" w:pos="0"/>
        </w:tabs>
        <w:ind w:firstLine="0" w:firstLineChars="0"/>
        <w:rPr>
          <w:rFonts w:cs="宋体"/>
          <w:bCs w:val="0"/>
          <w:iCs/>
          <w:lang w:val="en-US"/>
        </w:rPr>
      </w:pPr>
      <w:bookmarkStart w:id="1263" w:name="_Toc425344317"/>
      <w:bookmarkEnd w:id="1263"/>
      <w:bookmarkStart w:id="1264" w:name="_Toc419277921"/>
      <w:bookmarkEnd w:id="1264"/>
      <w:bookmarkStart w:id="1265" w:name="_Toc419277440"/>
      <w:bookmarkEnd w:id="1265"/>
      <w:bookmarkStart w:id="1266" w:name="_Toc419277638"/>
      <w:bookmarkEnd w:id="1266"/>
      <w:bookmarkStart w:id="1267" w:name="_Toc422931189"/>
      <w:bookmarkEnd w:id="1267"/>
      <w:bookmarkStart w:id="1268" w:name="_Toc422990227"/>
      <w:bookmarkEnd w:id="1268"/>
      <w:bookmarkStart w:id="1269" w:name="_Toc419286323"/>
      <w:bookmarkEnd w:id="1269"/>
      <w:bookmarkStart w:id="1270" w:name="_Toc419277833"/>
      <w:bookmarkEnd w:id="1270"/>
      <w:bookmarkStart w:id="1271" w:name="_Toc421291588"/>
      <w:bookmarkEnd w:id="1271"/>
      <w:bookmarkStart w:id="1272" w:name="_Toc419286234"/>
      <w:bookmarkEnd w:id="1272"/>
      <w:bookmarkStart w:id="1273" w:name="_Toc420575858"/>
      <w:bookmarkEnd w:id="1273"/>
      <w:bookmarkStart w:id="1274" w:name="_Toc419277541"/>
      <w:bookmarkEnd w:id="1274"/>
      <w:bookmarkStart w:id="1275" w:name="_Toc419277730"/>
      <w:bookmarkEnd w:id="1275"/>
      <w:bookmarkStart w:id="1276" w:name="_Toc419288581"/>
      <w:bookmarkEnd w:id="1276"/>
      <w:r>
        <w:rPr>
          <w:rFonts w:hint="eastAsia" w:cs="宋体"/>
          <w:bCs w:val="0"/>
          <w:iCs/>
          <w:lang w:val="en-US"/>
        </w:rPr>
        <w:t>给排水及供暖管线不应穿越电气用房区域，确需穿越时，应有可靠且便于检修的土建分隔做法。</w:t>
      </w:r>
    </w:p>
    <w:p w14:paraId="782CC30B">
      <w:pPr>
        <w:pStyle w:val="4"/>
        <w:numPr>
          <w:ilvl w:val="2"/>
          <w:numId w:val="11"/>
        </w:numPr>
        <w:tabs>
          <w:tab w:val="clear" w:pos="0"/>
        </w:tabs>
        <w:ind w:firstLine="0" w:firstLineChars="0"/>
        <w:rPr>
          <w:rFonts w:cs="宋体"/>
          <w:bCs w:val="0"/>
          <w:iCs/>
          <w:lang w:val="en-US"/>
        </w:rPr>
      </w:pPr>
      <w:r>
        <w:rPr>
          <w:rFonts w:hint="eastAsia" w:cs="宋体"/>
          <w:bCs w:val="0"/>
          <w:iCs/>
          <w:lang w:val="en-US"/>
        </w:rPr>
        <w:t>地下室管线布置应符合下列规定：</w:t>
      </w:r>
    </w:p>
    <w:p w14:paraId="6843866A">
      <w:pPr>
        <w:ind w:firstLine="482"/>
        <w:rPr>
          <w:bCs/>
        </w:rPr>
      </w:pPr>
      <w:r>
        <w:rPr>
          <w:b/>
        </w:rPr>
        <w:t>1</w:t>
      </w:r>
      <w:r>
        <w:rPr>
          <w:bCs/>
        </w:rPr>
        <w:t xml:space="preserve">  </w:t>
      </w:r>
      <w:r>
        <w:rPr>
          <w:rFonts w:hint="eastAsia"/>
          <w:bCs/>
        </w:rPr>
        <w:t>满足管线检修空间。</w:t>
      </w:r>
    </w:p>
    <w:p w14:paraId="01886F72">
      <w:pPr>
        <w:ind w:firstLine="482"/>
        <w:rPr>
          <w:bCs/>
        </w:rPr>
      </w:pPr>
      <w:r>
        <w:rPr>
          <w:b/>
        </w:rPr>
        <w:t>2</w:t>
      </w:r>
      <w:r>
        <w:rPr>
          <w:bCs/>
        </w:rPr>
        <w:t xml:space="preserve">  </w:t>
      </w:r>
      <w:r>
        <w:rPr>
          <w:rFonts w:hint="eastAsia"/>
          <w:bCs/>
        </w:rPr>
        <w:t>管线宜集中布置在同一楼层的公共区域，检修阀门应设置在公共区域。</w:t>
      </w:r>
    </w:p>
    <w:p w14:paraId="6A282135">
      <w:pPr>
        <w:ind w:firstLine="482"/>
        <w:rPr>
          <w:bCs/>
        </w:rPr>
      </w:pPr>
      <w:r>
        <w:rPr>
          <w:b/>
        </w:rPr>
        <w:t>3</w:t>
      </w:r>
      <w:r>
        <w:rPr>
          <w:bCs/>
        </w:rPr>
        <w:t xml:space="preserve">  </w:t>
      </w:r>
      <w:r>
        <w:rPr>
          <w:rFonts w:hint="eastAsia"/>
          <w:bCs/>
        </w:rPr>
        <w:t>当管线的管底距地高度不能满足建筑净高要求时，应分楼层分系统布置管线。</w:t>
      </w:r>
    </w:p>
    <w:p w14:paraId="208EE252">
      <w:pPr>
        <w:pStyle w:val="4"/>
        <w:numPr>
          <w:ilvl w:val="2"/>
          <w:numId w:val="11"/>
        </w:numPr>
        <w:tabs>
          <w:tab w:val="clear" w:pos="0"/>
        </w:tabs>
        <w:ind w:firstLine="0" w:firstLineChars="0"/>
        <w:rPr>
          <w:rFonts w:cs="宋体"/>
          <w:bCs w:val="0"/>
          <w:iCs/>
          <w:lang w:val="en-US"/>
        </w:rPr>
      </w:pPr>
      <w:r>
        <w:rPr>
          <w:rFonts w:hint="eastAsia" w:cs="宋体"/>
          <w:bCs w:val="0"/>
          <w:iCs/>
          <w:lang w:val="en-US"/>
        </w:rPr>
        <w:t>水暖管井应综合考虑设置的位置与面积。给水、中水公共管井宜与供暖公共管井分开设置，公共管井内宜设置排水设施。</w:t>
      </w:r>
    </w:p>
    <w:p w14:paraId="248D3098">
      <w:pPr>
        <w:pStyle w:val="4"/>
        <w:numPr>
          <w:ilvl w:val="2"/>
          <w:numId w:val="11"/>
        </w:numPr>
        <w:tabs>
          <w:tab w:val="clear" w:pos="0"/>
        </w:tabs>
        <w:ind w:firstLine="0" w:firstLineChars="0"/>
        <w:rPr>
          <w:rFonts w:cs="宋体"/>
          <w:bCs w:val="0"/>
          <w:iCs/>
          <w:lang w:val="en-US"/>
        </w:rPr>
      </w:pPr>
      <w:r>
        <w:rPr>
          <w:rFonts w:hint="eastAsia" w:cs="宋体"/>
          <w:bCs w:val="0"/>
          <w:iCs/>
          <w:lang w:val="en-US"/>
        </w:rPr>
        <w:t>公共管井的管线布置应预留足够的安装及检修空间，管道井的尺寸，应根据管道数量、管径大小、排列方式、维修条件，结合建筑平面和结构形式等合理确定。需</w:t>
      </w:r>
      <w:r>
        <w:rPr>
          <w:rFonts w:hint="eastAsia" w:cs="宋体"/>
          <w:bCs w:val="0"/>
          <w:iCs/>
          <w:lang w:val="en-US" w:eastAsia="zh-CN"/>
        </w:rPr>
        <w:t>进入</w:t>
      </w:r>
      <w:r>
        <w:rPr>
          <w:rFonts w:hint="eastAsia" w:cs="宋体"/>
          <w:bCs w:val="0"/>
          <w:iCs/>
          <w:lang w:val="en-US"/>
        </w:rPr>
        <w:t>维修管道的管井，其维修人员的工作通道净宽度不宜小于0.60m。管井面宽不应小于1.05m。当立管与计量表接管在平面上为同一排时，进深不应小于300mm；当立管与计量表接管在平面上为前后排列时，进深不应小于500mm。</w:t>
      </w:r>
    </w:p>
    <w:p w14:paraId="578DF1A9">
      <w:pPr>
        <w:ind w:firstLine="1" w:firstLineChars="0"/>
        <w:jc w:val="center"/>
        <w:rPr>
          <w:rFonts w:ascii="黑体" w:hAnsi="黑体" w:eastAsia="黑体" w:cs="Calibri"/>
          <w:szCs w:val="24"/>
        </w:rPr>
      </w:pPr>
      <w:r>
        <w:rPr>
          <w:rFonts w:ascii="黑体" w:hAnsi="黑体" w:eastAsia="黑体" w:cs="Calibri"/>
          <w:szCs w:val="24"/>
        </w:rPr>
        <w:drawing>
          <wp:inline distT="0" distB="0" distL="0" distR="0">
            <wp:extent cx="2038350" cy="2590800"/>
            <wp:effectExtent l="0" t="0" r="0" b="0"/>
            <wp:docPr id="24" name="图片 24" descr="给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给水1"/>
                    <pic:cNvPicPr>
                      <a:picLocks noChangeAspect="1" noChangeArrowheads="1"/>
                    </pic:cNvPicPr>
                  </pic:nvPicPr>
                  <pic:blipFill>
                    <a:blip r:embed="rId61" cstate="print">
                      <a:extLst>
                        <a:ext uri="{28A0092B-C50C-407E-A947-70E740481C1C}">
                          <a14:useLocalDpi xmlns:a14="http://schemas.microsoft.com/office/drawing/2010/main" val="0"/>
                        </a:ext>
                      </a:extLst>
                    </a:blip>
                    <a:srcRect l="27209" t="12071" r="28905" b="9492"/>
                    <a:stretch>
                      <a:fillRect/>
                    </a:stretch>
                  </pic:blipFill>
                  <pic:spPr>
                    <a:xfrm>
                      <a:off x="0" y="0"/>
                      <a:ext cx="2038350" cy="2590800"/>
                    </a:xfrm>
                    <a:prstGeom prst="rect">
                      <a:avLst/>
                    </a:prstGeom>
                    <a:noFill/>
                    <a:ln>
                      <a:noFill/>
                    </a:ln>
                  </pic:spPr>
                </pic:pic>
              </a:graphicData>
            </a:graphic>
          </wp:inline>
        </w:drawing>
      </w:r>
    </w:p>
    <w:p w14:paraId="7B7CD44E">
      <w:pPr>
        <w:ind w:firstLine="1" w:firstLineChars="0"/>
        <w:jc w:val="center"/>
        <w:rPr>
          <w:sz w:val="21"/>
          <w:szCs w:val="21"/>
        </w:rPr>
      </w:pPr>
      <w:r>
        <w:rPr>
          <w:rFonts w:hint="eastAsia"/>
          <w:sz w:val="21"/>
          <w:szCs w:val="21"/>
        </w:rPr>
        <w:t>图</w:t>
      </w:r>
      <w:r>
        <w:rPr>
          <w:sz w:val="21"/>
          <w:szCs w:val="21"/>
        </w:rPr>
        <w:t>12.</w:t>
      </w:r>
      <w:r>
        <w:rPr>
          <w:rFonts w:hint="eastAsia"/>
          <w:sz w:val="21"/>
          <w:szCs w:val="21"/>
          <w:lang w:val="en-US" w:eastAsia="zh-CN"/>
        </w:rPr>
        <w:t>1</w:t>
      </w:r>
      <w:r>
        <w:rPr>
          <w:sz w:val="21"/>
          <w:szCs w:val="21"/>
        </w:rPr>
        <w:t>.4-1</w:t>
      </w:r>
      <w:r>
        <w:rPr>
          <w:rFonts w:hint="eastAsia"/>
          <w:sz w:val="21"/>
          <w:szCs w:val="21"/>
        </w:rPr>
        <w:t>公共管井尺寸示意图一</w:t>
      </w:r>
    </w:p>
    <w:p w14:paraId="7EE9B476">
      <w:pPr>
        <w:ind w:firstLine="1" w:firstLineChars="0"/>
        <w:jc w:val="center"/>
        <w:rPr>
          <w:rFonts w:ascii="黑体" w:hAnsi="黑体" w:eastAsia="黑体" w:cs="Calibri"/>
          <w:szCs w:val="24"/>
        </w:rPr>
      </w:pPr>
      <w:r>
        <w:rPr>
          <w:rFonts w:hint="eastAsia"/>
          <w:sz w:val="21"/>
          <w:szCs w:val="21"/>
        </w:rPr>
        <w:t>1. 给水</w:t>
      </w:r>
      <w:r>
        <w:rPr>
          <w:sz w:val="21"/>
          <w:szCs w:val="21"/>
        </w:rPr>
        <w:t>立管</w:t>
      </w:r>
      <w:r>
        <w:rPr>
          <w:rFonts w:hint="eastAsia"/>
          <w:sz w:val="21"/>
          <w:szCs w:val="21"/>
        </w:rPr>
        <w:t xml:space="preserve">  2. 阀门  3. 水表</w:t>
      </w:r>
    </w:p>
    <w:p w14:paraId="66BD0415">
      <w:pPr>
        <w:ind w:firstLine="1" w:firstLineChars="0"/>
        <w:jc w:val="center"/>
        <w:rPr>
          <w:rFonts w:ascii="黑体" w:hAnsi="黑体" w:eastAsia="黑体" w:cs="Calibri"/>
          <w:szCs w:val="24"/>
        </w:rPr>
      </w:pPr>
      <w:r>
        <w:rPr>
          <w:rFonts w:ascii="黑体" w:hAnsi="黑体" w:eastAsia="黑体" w:cs="Calibri"/>
          <w:szCs w:val="24"/>
        </w:rPr>
        <w:drawing>
          <wp:inline distT="0" distB="0" distL="0" distR="0">
            <wp:extent cx="2505075" cy="2438400"/>
            <wp:effectExtent l="0" t="0" r="9525" b="0"/>
            <wp:docPr id="25" name="图片 25" descr="采暖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采暖1"/>
                    <pic:cNvPicPr>
                      <a:picLocks noChangeAspect="1" noChangeArrowheads="1"/>
                    </pic:cNvPicPr>
                  </pic:nvPicPr>
                  <pic:blipFill>
                    <a:blip r:embed="rId62" cstate="print">
                      <a:extLst>
                        <a:ext uri="{28A0092B-C50C-407E-A947-70E740481C1C}">
                          <a14:useLocalDpi xmlns:a14="http://schemas.microsoft.com/office/drawing/2010/main" val="0"/>
                        </a:ext>
                      </a:extLst>
                    </a:blip>
                    <a:srcRect t="10977" r="42169" b="9152"/>
                    <a:stretch>
                      <a:fillRect/>
                    </a:stretch>
                  </pic:blipFill>
                  <pic:spPr>
                    <a:xfrm>
                      <a:off x="0" y="0"/>
                      <a:ext cx="2505075" cy="2438400"/>
                    </a:xfrm>
                    <a:prstGeom prst="rect">
                      <a:avLst/>
                    </a:prstGeom>
                    <a:noFill/>
                    <a:ln>
                      <a:noFill/>
                    </a:ln>
                  </pic:spPr>
                </pic:pic>
              </a:graphicData>
            </a:graphic>
          </wp:inline>
        </w:drawing>
      </w:r>
    </w:p>
    <w:p w14:paraId="7C528526">
      <w:pPr>
        <w:ind w:firstLine="1" w:firstLineChars="0"/>
        <w:jc w:val="center"/>
        <w:rPr>
          <w:sz w:val="21"/>
          <w:szCs w:val="21"/>
        </w:rPr>
      </w:pPr>
      <w:r>
        <w:rPr>
          <w:rFonts w:hint="eastAsia"/>
          <w:sz w:val="21"/>
          <w:szCs w:val="21"/>
        </w:rPr>
        <w:t>图</w:t>
      </w:r>
      <w:r>
        <w:rPr>
          <w:sz w:val="21"/>
          <w:szCs w:val="21"/>
        </w:rPr>
        <w:t>12.</w:t>
      </w:r>
      <w:r>
        <w:rPr>
          <w:rFonts w:hint="eastAsia"/>
          <w:sz w:val="21"/>
          <w:szCs w:val="21"/>
          <w:lang w:val="en-US" w:eastAsia="zh-CN"/>
        </w:rPr>
        <w:t>1</w:t>
      </w:r>
      <w:r>
        <w:rPr>
          <w:sz w:val="21"/>
          <w:szCs w:val="21"/>
        </w:rPr>
        <w:t>.4-2</w:t>
      </w:r>
      <w:r>
        <w:rPr>
          <w:rFonts w:hint="eastAsia"/>
          <w:sz w:val="21"/>
          <w:szCs w:val="21"/>
        </w:rPr>
        <w:t>公共管井尺寸示意图二</w:t>
      </w:r>
    </w:p>
    <w:p w14:paraId="04CAF5C0">
      <w:pPr>
        <w:ind w:firstLine="1" w:firstLineChars="0"/>
        <w:jc w:val="center"/>
        <w:rPr>
          <w:sz w:val="21"/>
          <w:szCs w:val="21"/>
        </w:rPr>
      </w:pPr>
      <w:r>
        <w:rPr>
          <w:rFonts w:hint="eastAsia"/>
          <w:sz w:val="21"/>
          <w:szCs w:val="21"/>
        </w:rPr>
        <w:t>1. 供暖</w:t>
      </w:r>
      <w:r>
        <w:rPr>
          <w:sz w:val="21"/>
          <w:szCs w:val="21"/>
        </w:rPr>
        <w:t>立管</w:t>
      </w:r>
      <w:r>
        <w:rPr>
          <w:rFonts w:hint="eastAsia"/>
          <w:sz w:val="21"/>
          <w:szCs w:val="21"/>
        </w:rPr>
        <w:t xml:space="preserve">  2. 阀门  3.</w:t>
      </w:r>
      <w:r>
        <w:rPr>
          <w:sz w:val="21"/>
          <w:szCs w:val="21"/>
        </w:rPr>
        <w:t xml:space="preserve"> </w:t>
      </w:r>
      <w:r>
        <w:rPr>
          <w:rFonts w:hint="eastAsia"/>
          <w:sz w:val="21"/>
          <w:szCs w:val="21"/>
        </w:rPr>
        <w:t>过滤器  4. 热量表</w:t>
      </w:r>
    </w:p>
    <w:p w14:paraId="79426C70">
      <w:pPr>
        <w:pStyle w:val="4"/>
        <w:numPr>
          <w:ilvl w:val="2"/>
          <w:numId w:val="11"/>
        </w:numPr>
        <w:tabs>
          <w:tab w:val="clear" w:pos="0"/>
        </w:tabs>
        <w:ind w:firstLine="0" w:firstLineChars="0"/>
        <w:rPr>
          <w:rFonts w:cs="宋体"/>
          <w:bCs w:val="0"/>
          <w:iCs/>
          <w:lang w:val="en-US"/>
        </w:rPr>
      </w:pPr>
      <w:r>
        <w:rPr>
          <w:rFonts w:hint="eastAsia" w:cs="宋体"/>
          <w:bCs w:val="0"/>
          <w:iCs/>
          <w:lang w:val="en-US"/>
        </w:rPr>
        <w:t>公共管井内的计量表安装高度不宜高于1.50m，并宜靠外布置。水暖系统计量表在同一管井内布置时，应将给水表、中水表、热水表放置于易于观察的位置。</w:t>
      </w:r>
    </w:p>
    <w:p w14:paraId="0446EC8B">
      <w:pPr>
        <w:pStyle w:val="4"/>
        <w:numPr>
          <w:ilvl w:val="2"/>
          <w:numId w:val="11"/>
        </w:numPr>
        <w:tabs>
          <w:tab w:val="clear" w:pos="0"/>
        </w:tabs>
        <w:ind w:firstLine="0" w:firstLineChars="0"/>
        <w:rPr>
          <w:rFonts w:cs="宋体"/>
          <w:bCs w:val="0"/>
          <w:iCs/>
          <w:lang w:val="en-US"/>
        </w:rPr>
      </w:pPr>
      <w:r>
        <w:rPr>
          <w:rFonts w:hint="eastAsia" w:cs="宋体"/>
          <w:bCs w:val="0"/>
          <w:iCs/>
          <w:lang w:val="en-US"/>
        </w:rPr>
        <w:t>户用水表接管前后的直线管段总尺寸不宜小于600mm，单排布置水表时其竖向间距不应小于250mm，双排布置水表时水平及竖向间距均不宜小于250mm。</w:t>
      </w:r>
    </w:p>
    <w:p w14:paraId="2FED3AAF">
      <w:pPr>
        <w:ind w:firstLine="1" w:firstLineChars="0"/>
        <w:jc w:val="center"/>
        <w:rPr>
          <w:rFonts w:ascii="黑体" w:hAnsi="黑体" w:eastAsia="黑体" w:cs="Calibri"/>
          <w:szCs w:val="24"/>
        </w:rPr>
      </w:pPr>
      <w:r>
        <w:rPr>
          <w:rFonts w:ascii="黑体" w:hAnsi="黑体" w:eastAsia="黑体" w:cs="Calibri"/>
          <w:szCs w:val="24"/>
        </w:rPr>
        <w:drawing>
          <wp:inline distT="0" distB="0" distL="0" distR="0">
            <wp:extent cx="2514600" cy="2962275"/>
            <wp:effectExtent l="0" t="0" r="0" b="9525"/>
            <wp:docPr id="26" name="图片 26" descr="给水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给水2"/>
                    <pic:cNvPicPr>
                      <a:picLocks noChangeAspect="1" noChangeArrowheads="1"/>
                    </pic:cNvPicPr>
                  </pic:nvPicPr>
                  <pic:blipFill>
                    <a:blip r:embed="rId63" cstate="print">
                      <a:extLst>
                        <a:ext uri="{28A0092B-C50C-407E-A947-70E740481C1C}">
                          <a14:useLocalDpi xmlns:a14="http://schemas.microsoft.com/office/drawing/2010/main" val="0"/>
                        </a:ext>
                      </a:extLst>
                    </a:blip>
                    <a:srcRect l="24081" t="6335" r="25360" b="9190"/>
                    <a:stretch>
                      <a:fillRect/>
                    </a:stretch>
                  </pic:blipFill>
                  <pic:spPr>
                    <a:xfrm>
                      <a:off x="0" y="0"/>
                      <a:ext cx="2514600" cy="2962275"/>
                    </a:xfrm>
                    <a:prstGeom prst="rect">
                      <a:avLst/>
                    </a:prstGeom>
                    <a:noFill/>
                    <a:ln>
                      <a:noFill/>
                    </a:ln>
                  </pic:spPr>
                </pic:pic>
              </a:graphicData>
            </a:graphic>
          </wp:inline>
        </w:drawing>
      </w:r>
    </w:p>
    <w:p w14:paraId="3AF1092A">
      <w:pPr>
        <w:ind w:firstLine="1" w:firstLineChars="0"/>
        <w:jc w:val="center"/>
        <w:rPr>
          <w:rFonts w:ascii="宋体" w:hAnsi="宋体" w:cs="Calibri"/>
          <w:sz w:val="21"/>
          <w:szCs w:val="21"/>
        </w:rPr>
      </w:pPr>
      <w:r>
        <w:rPr>
          <w:rFonts w:hint="eastAsia" w:ascii="宋体" w:hAnsi="宋体" w:cs="Calibri"/>
          <w:sz w:val="21"/>
          <w:szCs w:val="21"/>
        </w:rPr>
        <w:t>图</w:t>
      </w:r>
      <w:r>
        <w:rPr>
          <w:rFonts w:cs="Calibri"/>
          <w:sz w:val="21"/>
          <w:szCs w:val="21"/>
        </w:rPr>
        <w:t>12.</w:t>
      </w:r>
      <w:r>
        <w:rPr>
          <w:rFonts w:hint="eastAsia" w:cs="Calibri"/>
          <w:sz w:val="21"/>
          <w:szCs w:val="21"/>
          <w:lang w:val="en-US" w:eastAsia="zh-CN"/>
        </w:rPr>
        <w:t>1</w:t>
      </w:r>
      <w:r>
        <w:rPr>
          <w:rFonts w:cs="Calibri"/>
          <w:sz w:val="21"/>
          <w:szCs w:val="21"/>
        </w:rPr>
        <w:t xml:space="preserve">.6-1 </w:t>
      </w:r>
      <w:r>
        <w:rPr>
          <w:rFonts w:hint="eastAsia" w:ascii="宋体" w:hAnsi="宋体" w:cs="Calibri"/>
          <w:sz w:val="21"/>
          <w:szCs w:val="21"/>
        </w:rPr>
        <w:t>单排水表安装尺寸示意图</w:t>
      </w:r>
    </w:p>
    <w:p w14:paraId="4BF975EF">
      <w:pPr>
        <w:ind w:firstLine="1" w:firstLineChars="0"/>
        <w:jc w:val="center"/>
        <w:rPr>
          <w:rFonts w:ascii="黑体" w:hAnsi="黑体" w:eastAsia="黑体" w:cs="Calibri"/>
          <w:sz w:val="21"/>
          <w:szCs w:val="21"/>
        </w:rPr>
      </w:pPr>
      <w:r>
        <w:rPr>
          <w:rFonts w:ascii="宋体" w:hAnsi="宋体" w:cs="Calibri"/>
          <w:sz w:val="21"/>
          <w:szCs w:val="21"/>
        </w:rPr>
        <w:t xml:space="preserve">1. </w:t>
      </w:r>
      <w:r>
        <w:rPr>
          <w:rFonts w:hint="eastAsia" w:ascii="宋体" w:hAnsi="宋体" w:cs="Calibri"/>
          <w:sz w:val="21"/>
          <w:szCs w:val="21"/>
        </w:rPr>
        <w:t>给水立管</w:t>
      </w:r>
      <w:r>
        <w:rPr>
          <w:rFonts w:ascii="宋体" w:hAnsi="宋体" w:cs="Calibri"/>
          <w:sz w:val="21"/>
          <w:szCs w:val="21"/>
        </w:rPr>
        <w:t xml:space="preserve">  2. </w:t>
      </w:r>
      <w:r>
        <w:rPr>
          <w:rFonts w:hint="eastAsia" w:ascii="宋体" w:hAnsi="宋体" w:cs="Calibri"/>
          <w:sz w:val="21"/>
          <w:szCs w:val="21"/>
        </w:rPr>
        <w:t>阀门  3. 水表</w:t>
      </w:r>
    </w:p>
    <w:p w14:paraId="3C2E3E52">
      <w:pPr>
        <w:ind w:firstLine="1" w:firstLineChars="0"/>
        <w:jc w:val="center"/>
        <w:rPr>
          <w:rFonts w:ascii="黑体" w:hAnsi="黑体" w:eastAsia="黑体" w:cs="Calibri"/>
          <w:szCs w:val="24"/>
        </w:rPr>
      </w:pPr>
      <w:r>
        <w:rPr>
          <w:rFonts w:ascii="黑体" w:hAnsi="黑体" w:eastAsia="黑体" w:cs="Calibri"/>
          <w:szCs w:val="24"/>
        </w:rPr>
        <w:drawing>
          <wp:inline distT="0" distB="0" distL="0" distR="0">
            <wp:extent cx="2847975" cy="2971800"/>
            <wp:effectExtent l="0" t="0" r="9525" b="0"/>
            <wp:docPr id="27" name="图片 27" descr="采暖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采暖2"/>
                    <pic:cNvPicPr>
                      <a:picLocks noChangeAspect="1" noChangeArrowheads="1"/>
                    </pic:cNvPicPr>
                  </pic:nvPicPr>
                  <pic:blipFill>
                    <a:blip r:embed="rId64" cstate="print">
                      <a:extLst>
                        <a:ext uri="{28A0092B-C50C-407E-A947-70E740481C1C}">
                          <a14:useLocalDpi xmlns:a14="http://schemas.microsoft.com/office/drawing/2010/main" val="0"/>
                        </a:ext>
                      </a:extLst>
                    </a:blip>
                    <a:srcRect l="22897" t="7872" r="23076" b="12175"/>
                    <a:stretch>
                      <a:fillRect/>
                    </a:stretch>
                  </pic:blipFill>
                  <pic:spPr>
                    <a:xfrm>
                      <a:off x="0" y="0"/>
                      <a:ext cx="2847975" cy="2971800"/>
                    </a:xfrm>
                    <a:prstGeom prst="rect">
                      <a:avLst/>
                    </a:prstGeom>
                    <a:noFill/>
                    <a:ln>
                      <a:noFill/>
                    </a:ln>
                  </pic:spPr>
                </pic:pic>
              </a:graphicData>
            </a:graphic>
          </wp:inline>
        </w:drawing>
      </w:r>
    </w:p>
    <w:p w14:paraId="5519AA3A">
      <w:pPr>
        <w:spacing w:line="240" w:lineRule="auto"/>
        <w:ind w:firstLine="1" w:firstLineChars="0"/>
        <w:jc w:val="center"/>
        <w:rPr>
          <w:rFonts w:ascii="宋体" w:hAnsi="宋体" w:cs="Calibri"/>
          <w:sz w:val="21"/>
          <w:szCs w:val="21"/>
        </w:rPr>
      </w:pPr>
      <w:r>
        <w:rPr>
          <w:rFonts w:hint="eastAsia" w:ascii="宋体" w:hAnsi="宋体" w:cs="Calibri"/>
          <w:sz w:val="21"/>
          <w:szCs w:val="21"/>
        </w:rPr>
        <w:t>图</w:t>
      </w:r>
      <w:r>
        <w:rPr>
          <w:rFonts w:cs="Calibri"/>
          <w:sz w:val="21"/>
          <w:szCs w:val="21"/>
        </w:rPr>
        <w:t>12.</w:t>
      </w:r>
      <w:r>
        <w:rPr>
          <w:rFonts w:hint="eastAsia" w:cs="Calibri"/>
          <w:sz w:val="21"/>
          <w:szCs w:val="21"/>
          <w:lang w:val="en-US" w:eastAsia="zh-CN"/>
        </w:rPr>
        <w:t>1</w:t>
      </w:r>
      <w:r>
        <w:rPr>
          <w:rFonts w:cs="Calibri"/>
          <w:sz w:val="21"/>
          <w:szCs w:val="21"/>
        </w:rPr>
        <w:t xml:space="preserve">.6-2 </w:t>
      </w:r>
      <w:r>
        <w:rPr>
          <w:rFonts w:hint="eastAsia" w:ascii="宋体" w:hAnsi="宋体" w:cs="Calibri"/>
          <w:sz w:val="21"/>
          <w:szCs w:val="21"/>
        </w:rPr>
        <w:t>双排水表安装尺寸示意图</w:t>
      </w:r>
    </w:p>
    <w:p w14:paraId="54A45620">
      <w:pPr>
        <w:spacing w:line="240" w:lineRule="auto"/>
        <w:ind w:firstLine="0" w:firstLineChars="0"/>
        <w:jc w:val="center"/>
        <w:rPr>
          <w:rFonts w:cs="Calibri"/>
          <w:sz w:val="21"/>
          <w:szCs w:val="21"/>
        </w:rPr>
      </w:pPr>
      <w:r>
        <w:rPr>
          <w:rFonts w:hint="eastAsia" w:ascii="宋体" w:hAnsi="宋体" w:cs="Calibri"/>
          <w:sz w:val="21"/>
          <w:szCs w:val="21"/>
        </w:rPr>
        <w:t xml:space="preserve">1. 给水立管 </w:t>
      </w:r>
      <w:r>
        <w:rPr>
          <w:rFonts w:ascii="宋体" w:hAnsi="宋体" w:cs="Calibri"/>
          <w:sz w:val="21"/>
          <w:szCs w:val="21"/>
        </w:rPr>
        <w:t xml:space="preserve"> 2. </w:t>
      </w:r>
      <w:r>
        <w:rPr>
          <w:rFonts w:hint="eastAsia" w:ascii="宋体" w:hAnsi="宋体" w:cs="Calibri"/>
          <w:sz w:val="21"/>
          <w:szCs w:val="21"/>
        </w:rPr>
        <w:t>阀门  3. 水表</w:t>
      </w:r>
    </w:p>
    <w:p w14:paraId="3F88E869">
      <w:pPr>
        <w:pStyle w:val="4"/>
        <w:numPr>
          <w:ilvl w:val="2"/>
          <w:numId w:val="11"/>
        </w:numPr>
        <w:tabs>
          <w:tab w:val="clear" w:pos="0"/>
        </w:tabs>
        <w:ind w:firstLine="0" w:firstLineChars="0"/>
        <w:rPr>
          <w:rFonts w:cs="宋体"/>
          <w:bCs w:val="0"/>
          <w:iCs/>
          <w:lang w:val="en-US"/>
        </w:rPr>
      </w:pPr>
      <w:r>
        <w:rPr>
          <w:rFonts w:hint="eastAsia" w:cs="宋体"/>
          <w:bCs w:val="0"/>
          <w:iCs/>
          <w:lang w:val="en-US"/>
        </w:rPr>
        <w:t xml:space="preserve">电气管线敷设时，应考虑与设备管线的间距要求，并应满足电磁兼容性的要求。 </w:t>
      </w:r>
    </w:p>
    <w:p w14:paraId="0248D55F">
      <w:pPr>
        <w:pStyle w:val="4"/>
        <w:numPr>
          <w:ilvl w:val="2"/>
          <w:numId w:val="11"/>
        </w:numPr>
        <w:tabs>
          <w:tab w:val="clear" w:pos="0"/>
        </w:tabs>
        <w:ind w:firstLine="0" w:firstLineChars="0"/>
        <w:rPr>
          <w:rFonts w:cs="宋体"/>
          <w:bCs w:val="0"/>
          <w:iCs/>
          <w:lang w:val="en-US"/>
        </w:rPr>
      </w:pPr>
      <w:r>
        <w:rPr>
          <w:rFonts w:hint="eastAsia" w:cs="宋体"/>
          <w:bCs w:val="0"/>
          <w:iCs/>
          <w:lang w:val="en-US"/>
        </w:rPr>
        <w:t>线缆垂直敷设时，强电和弱电系统宜分别设置电气竖井。当受条件限制需合用时，强电和弱电线缆应分别布置在竖井两侧或采取隔离措施。</w:t>
      </w:r>
    </w:p>
    <w:p w14:paraId="3F2E4D17">
      <w:pPr>
        <w:pStyle w:val="4"/>
        <w:numPr>
          <w:ilvl w:val="2"/>
          <w:numId w:val="11"/>
        </w:numPr>
        <w:tabs>
          <w:tab w:val="clear" w:pos="0"/>
        </w:tabs>
        <w:ind w:firstLine="0" w:firstLineChars="0"/>
        <w:rPr>
          <w:rFonts w:cs="宋体"/>
          <w:bCs w:val="0"/>
          <w:iCs/>
          <w:lang w:val="en-US"/>
        </w:rPr>
      </w:pPr>
      <w:r>
        <w:rPr>
          <w:rFonts w:hint="eastAsia" w:cs="宋体"/>
          <w:bCs w:val="0"/>
          <w:iCs/>
          <w:lang w:val="en-US"/>
        </w:rPr>
        <w:t>消防与非消防配电线路宜分开敷设在不同的电气竖井中，确有困难需要敷设在同一电气竖井中时，应分别布置在竖井的两侧。</w:t>
      </w:r>
    </w:p>
    <w:p w14:paraId="6E50524F">
      <w:pPr>
        <w:pStyle w:val="4"/>
        <w:numPr>
          <w:ilvl w:val="2"/>
          <w:numId w:val="11"/>
        </w:numPr>
        <w:tabs>
          <w:tab w:val="clear" w:pos="0"/>
        </w:tabs>
        <w:ind w:firstLine="0" w:firstLineChars="0"/>
        <w:rPr>
          <w:rFonts w:cs="宋体"/>
          <w:bCs w:val="0"/>
          <w:iCs/>
          <w:lang w:val="en-US"/>
        </w:rPr>
      </w:pPr>
      <w:r>
        <w:rPr>
          <w:rFonts w:hint="eastAsia" w:cs="宋体"/>
          <w:bCs w:val="0"/>
          <w:iCs/>
          <w:lang w:val="en-US"/>
        </w:rPr>
        <w:t>电气竖井应在每层楼板处采用不低于楼板耐火极限的不燃烧材料或防火封堵材料封堵。</w:t>
      </w:r>
    </w:p>
    <w:p w14:paraId="1A728136">
      <w:pPr>
        <w:pStyle w:val="4"/>
        <w:numPr>
          <w:ilvl w:val="2"/>
          <w:numId w:val="11"/>
        </w:numPr>
        <w:tabs>
          <w:tab w:val="clear" w:pos="0"/>
        </w:tabs>
        <w:ind w:firstLine="0" w:firstLineChars="0"/>
        <w:rPr>
          <w:rFonts w:cs="宋体"/>
          <w:bCs w:val="0"/>
          <w:iCs/>
          <w:lang w:val="en-US"/>
        </w:rPr>
      </w:pPr>
      <w:r>
        <w:rPr>
          <w:rFonts w:hint="eastAsia" w:cs="宋体"/>
          <w:bCs w:val="0"/>
          <w:iCs/>
          <w:lang w:val="en-US"/>
        </w:rPr>
        <w:t>套内电气设备的设计应考虑与家具、厨房、卫生间的布置相协调，并应为住户留有改造的余地。</w:t>
      </w:r>
    </w:p>
    <w:p w14:paraId="35D3A64C">
      <w:pPr>
        <w:pStyle w:val="4"/>
        <w:numPr>
          <w:ilvl w:val="2"/>
          <w:numId w:val="11"/>
        </w:numPr>
        <w:tabs>
          <w:tab w:val="clear" w:pos="0"/>
        </w:tabs>
        <w:ind w:firstLine="0" w:firstLineChars="0"/>
        <w:rPr>
          <w:rFonts w:cs="宋体"/>
          <w:bCs w:val="0"/>
          <w:iCs/>
          <w:lang w:val="en-US"/>
        </w:rPr>
      </w:pPr>
      <w:r>
        <w:rPr>
          <w:rFonts w:hint="eastAsia" w:cs="宋体"/>
          <w:bCs w:val="0"/>
          <w:iCs/>
          <w:lang w:val="en-US"/>
        </w:rPr>
        <w:t>保护电器单排布置的家居配电箱底边距地面高度不应小于1.80m，保护电器双排布置的家居配电箱底边距地面高度不应小于1.60m。</w:t>
      </w:r>
    </w:p>
    <w:p w14:paraId="139F757F">
      <w:pPr>
        <w:pStyle w:val="4"/>
        <w:numPr>
          <w:ilvl w:val="2"/>
          <w:numId w:val="11"/>
        </w:numPr>
        <w:tabs>
          <w:tab w:val="clear" w:pos="0"/>
        </w:tabs>
        <w:ind w:firstLine="0" w:firstLineChars="0"/>
        <w:rPr>
          <w:rFonts w:cs="宋体"/>
          <w:bCs w:val="0"/>
          <w:iCs/>
          <w:lang w:val="en-US"/>
        </w:rPr>
      </w:pPr>
      <w:r>
        <w:rPr>
          <w:rFonts w:hint="eastAsia" w:cs="宋体"/>
          <w:bCs w:val="0"/>
          <w:iCs/>
          <w:lang w:val="en-US"/>
        </w:rPr>
        <w:t>住宅公共空间内的各类管线应在外表面做明显的系统名称标识及流向标识。</w:t>
      </w:r>
    </w:p>
    <w:p w14:paraId="676B5257">
      <w:pPr>
        <w:ind w:left="0" w:firstLine="0" w:firstLineChars="0"/>
        <w:rPr>
          <w:rFonts w:ascii="Cambria" w:hAnsi="Cambria"/>
          <w:kern w:val="44"/>
          <w:sz w:val="32"/>
          <w:szCs w:val="32"/>
        </w:rPr>
      </w:pPr>
    </w:p>
    <w:p w14:paraId="23C632B3">
      <w:pPr>
        <w:ind w:firstLine="0" w:firstLineChars="0"/>
        <w:rPr>
          <w:bCs/>
        </w:rPr>
      </w:pPr>
    </w:p>
    <w:p w14:paraId="56473064">
      <w:pPr>
        <w:ind w:firstLine="0" w:firstLineChars="0"/>
        <w:rPr>
          <w:bCs/>
        </w:rPr>
      </w:pPr>
    </w:p>
    <w:p w14:paraId="7803D8BA">
      <w:pPr>
        <w:ind w:firstLine="0" w:firstLineChars="0"/>
        <w:rPr>
          <w:bCs/>
        </w:rPr>
      </w:pPr>
    </w:p>
    <w:p w14:paraId="7E63D0D2">
      <w:pPr>
        <w:pStyle w:val="21"/>
        <w:rPr>
          <w:rFonts w:hint="eastAsia"/>
        </w:rPr>
      </w:pPr>
      <w:bookmarkStart w:id="1277" w:name="_Toc30773"/>
      <w:bookmarkStart w:id="1278" w:name="_Toc18476"/>
      <w:bookmarkStart w:id="1279" w:name="_Toc16875"/>
      <w:bookmarkStart w:id="1280" w:name="_Toc9988"/>
      <w:bookmarkStart w:id="1281" w:name="_Toc15753"/>
      <w:bookmarkStart w:id="1282" w:name="_Toc7155"/>
      <w:bookmarkStart w:id="1283" w:name="_Toc26861"/>
      <w:r>
        <w:rPr>
          <w:rFonts w:hint="eastAsia"/>
        </w:rPr>
        <w:t>引用标准及文件名录</w:t>
      </w:r>
      <w:bookmarkEnd w:id="1277"/>
      <w:bookmarkEnd w:id="1278"/>
      <w:bookmarkEnd w:id="1279"/>
      <w:bookmarkEnd w:id="1280"/>
      <w:bookmarkEnd w:id="1281"/>
      <w:bookmarkEnd w:id="1282"/>
      <w:bookmarkEnd w:id="1283"/>
    </w:p>
    <w:p w14:paraId="537A0530">
      <w:pPr>
        <w:rPr>
          <w:rFonts w:hint="eastAsia" w:ascii="宋体" w:hAnsi="宋体" w:cs="宋体"/>
          <w:bCs/>
          <w:kern w:val="2"/>
          <w:sz w:val="24"/>
          <w:szCs w:val="24"/>
          <w:lang w:val="en-US" w:eastAsia="zh-CN"/>
        </w:rPr>
      </w:pPr>
      <w:r>
        <w:rPr>
          <w:rFonts w:hint="eastAsia" w:ascii="宋体" w:hAnsi="宋体" w:cs="宋体"/>
          <w:bCs/>
          <w:kern w:val="2"/>
          <w:sz w:val="24"/>
          <w:szCs w:val="24"/>
          <w:lang w:val="en-US" w:eastAsia="zh-CN"/>
        </w:rPr>
        <w:t>1.</w:t>
      </w:r>
      <w:r>
        <w:rPr>
          <w:rStyle w:val="31"/>
          <w:rFonts w:hint="eastAsia" w:ascii="宋体" w:hAnsi="宋体" w:cs="宋体"/>
          <w:bCs w:val="0"/>
          <w:iCs/>
          <w:kern w:val="0"/>
          <w:lang w:val="en-US" w:eastAsia="zh-CN"/>
        </w:rPr>
        <w:t>《</w:t>
      </w:r>
      <w:r>
        <w:rPr>
          <w:rFonts w:hint="eastAsia" w:ascii="宋体" w:hAnsi="宋体" w:eastAsia="宋体" w:cs="宋体"/>
          <w:iCs/>
          <w:color w:val="auto"/>
          <w:kern w:val="0"/>
          <w:sz w:val="24"/>
          <w:szCs w:val="22"/>
          <w:lang w:val="en-US" w:eastAsia="zh-CN" w:bidi="ar"/>
        </w:rPr>
        <w:t>建筑与市政工程无障碍通用规范</w:t>
      </w:r>
      <w:r>
        <w:rPr>
          <w:rFonts w:hint="eastAsia" w:ascii="宋体" w:hAnsi="宋体" w:cs="宋体"/>
          <w:iCs/>
          <w:kern w:val="0"/>
          <w:lang w:eastAsia="zh-CN"/>
        </w:rPr>
        <w:t>》</w:t>
      </w:r>
      <w:r>
        <w:rPr>
          <w:rFonts w:hint="eastAsia" w:ascii="宋体" w:hAnsi="宋体" w:cs="宋体"/>
          <w:iCs/>
          <w:kern w:val="0"/>
          <w:lang w:val="en-US" w:eastAsia="zh-CN"/>
        </w:rPr>
        <w:t>GB</w:t>
      </w:r>
      <w:r>
        <w:rPr>
          <w:rFonts w:hint="eastAsia" w:ascii="宋体" w:hAnsi="宋体" w:eastAsia="宋体" w:cs="宋体"/>
          <w:iCs/>
          <w:color w:val="auto"/>
          <w:kern w:val="0"/>
          <w:sz w:val="24"/>
          <w:szCs w:val="22"/>
          <w:lang w:val="en-US" w:eastAsia="zh-CN" w:bidi="ar"/>
        </w:rPr>
        <w:t>GB55019</w:t>
      </w:r>
    </w:p>
    <w:p w14:paraId="51640F96">
      <w:pPr>
        <w:rPr>
          <w:rFonts w:hint="eastAsia" w:ascii="宋体" w:hAnsi="宋体" w:eastAsia="宋体" w:cs="宋体"/>
          <w:bCs/>
          <w:kern w:val="2"/>
          <w:sz w:val="24"/>
          <w:szCs w:val="24"/>
        </w:rPr>
      </w:pPr>
      <w:r>
        <w:rPr>
          <w:rFonts w:hint="eastAsia" w:ascii="宋体" w:hAnsi="宋体" w:cs="宋体"/>
          <w:bCs/>
          <w:kern w:val="2"/>
          <w:sz w:val="24"/>
          <w:szCs w:val="24"/>
          <w:lang w:val="en-US" w:eastAsia="zh-CN"/>
        </w:rPr>
        <w:t>2.</w:t>
      </w:r>
      <w:r>
        <w:rPr>
          <w:rFonts w:hint="eastAsia" w:ascii="宋体" w:hAnsi="宋体" w:eastAsia="宋体" w:cs="宋体"/>
          <w:bCs/>
          <w:kern w:val="2"/>
          <w:sz w:val="24"/>
          <w:szCs w:val="24"/>
        </w:rPr>
        <w:t>《建筑设计防火规范》GB50016</w:t>
      </w:r>
    </w:p>
    <w:p w14:paraId="6404E685">
      <w:pPr>
        <w:rPr>
          <w:rFonts w:hint="eastAsia" w:ascii="宋体" w:hAnsi="宋体" w:eastAsia="宋体" w:cs="宋体"/>
          <w:bCs w:val="0"/>
          <w:iCs/>
          <w:sz w:val="24"/>
          <w:szCs w:val="24"/>
          <w:lang w:val="en-US"/>
        </w:rPr>
      </w:pPr>
      <w:r>
        <w:rPr>
          <w:rFonts w:hint="eastAsia" w:ascii="宋体" w:hAnsi="宋体" w:cs="宋体"/>
          <w:bCs w:val="0"/>
          <w:iCs/>
          <w:sz w:val="24"/>
          <w:szCs w:val="24"/>
          <w:lang w:val="en-US" w:eastAsia="zh-CN"/>
        </w:rPr>
        <w:t>3.</w:t>
      </w:r>
      <w:r>
        <w:rPr>
          <w:rFonts w:hint="eastAsia" w:ascii="宋体" w:hAnsi="宋体" w:eastAsia="宋体" w:cs="宋体"/>
          <w:bCs w:val="0"/>
          <w:iCs/>
          <w:sz w:val="24"/>
          <w:szCs w:val="24"/>
          <w:lang w:val="en-US"/>
        </w:rPr>
        <w:t>《工程结构通用规范》GB55001</w:t>
      </w:r>
    </w:p>
    <w:p w14:paraId="6D24C7CE">
      <w:pPr>
        <w:rPr>
          <w:rFonts w:hint="eastAsia" w:ascii="宋体" w:hAnsi="宋体" w:eastAsia="宋体" w:cs="宋体"/>
          <w:bCs w:val="0"/>
          <w:iCs/>
          <w:sz w:val="24"/>
          <w:szCs w:val="24"/>
          <w:lang w:val="en-US"/>
        </w:rPr>
      </w:pPr>
      <w:r>
        <w:rPr>
          <w:rFonts w:hint="eastAsia" w:ascii="宋体" w:hAnsi="宋体" w:cs="宋体"/>
          <w:bCs w:val="0"/>
          <w:iCs/>
          <w:sz w:val="24"/>
          <w:szCs w:val="24"/>
          <w:lang w:val="en-US" w:eastAsia="zh-CN"/>
        </w:rPr>
        <w:t>4.</w:t>
      </w:r>
      <w:r>
        <w:rPr>
          <w:rFonts w:hint="eastAsia" w:ascii="宋体" w:hAnsi="宋体" w:eastAsia="宋体" w:cs="宋体"/>
          <w:bCs w:val="0"/>
          <w:iCs/>
          <w:sz w:val="24"/>
          <w:szCs w:val="24"/>
          <w:lang w:val="en-US"/>
        </w:rPr>
        <w:t>《混凝土结构通用规范》GB55008</w:t>
      </w:r>
    </w:p>
    <w:p w14:paraId="4C2DE579">
      <w:pPr>
        <w:rPr>
          <w:rFonts w:hint="eastAsia" w:ascii="宋体" w:hAnsi="宋体" w:eastAsia="宋体" w:cs="宋体"/>
          <w:bCs w:val="0"/>
          <w:iCs/>
          <w:sz w:val="24"/>
          <w:szCs w:val="24"/>
          <w:lang w:val="en-US"/>
        </w:rPr>
      </w:pPr>
      <w:r>
        <w:rPr>
          <w:rFonts w:hint="eastAsia" w:ascii="宋体" w:hAnsi="宋体" w:cs="宋体"/>
          <w:bCs w:val="0"/>
          <w:iCs/>
          <w:sz w:val="24"/>
          <w:szCs w:val="24"/>
          <w:lang w:val="en-US" w:eastAsia="zh-CN"/>
        </w:rPr>
        <w:t>5.</w:t>
      </w:r>
      <w:r>
        <w:rPr>
          <w:rFonts w:hint="eastAsia" w:ascii="宋体" w:hAnsi="宋体" w:eastAsia="宋体" w:cs="宋体"/>
          <w:bCs w:val="0"/>
          <w:iCs/>
          <w:sz w:val="24"/>
          <w:szCs w:val="24"/>
          <w:lang w:val="en-US"/>
        </w:rPr>
        <w:t>《建筑消能减震技术规程》JGJ297</w:t>
      </w:r>
    </w:p>
    <w:p w14:paraId="695BD326">
      <w:pPr>
        <w:rPr>
          <w:rFonts w:hint="eastAsia" w:ascii="宋体" w:hAnsi="宋体" w:eastAsia="宋体" w:cs="宋体"/>
          <w:bCs w:val="0"/>
          <w:iCs/>
          <w:sz w:val="24"/>
          <w:szCs w:val="24"/>
          <w:lang w:val="en-US"/>
        </w:rPr>
      </w:pPr>
      <w:r>
        <w:rPr>
          <w:rFonts w:hint="eastAsia" w:ascii="宋体" w:hAnsi="宋体" w:cs="宋体"/>
          <w:bCs w:val="0"/>
          <w:iCs/>
          <w:sz w:val="24"/>
          <w:szCs w:val="24"/>
          <w:lang w:val="en-US" w:eastAsia="zh-CN"/>
        </w:rPr>
        <w:t>6.</w:t>
      </w:r>
      <w:r>
        <w:rPr>
          <w:rFonts w:hint="eastAsia" w:ascii="宋体" w:hAnsi="宋体" w:eastAsia="宋体" w:cs="宋体"/>
          <w:bCs w:val="0"/>
          <w:iCs/>
          <w:sz w:val="24"/>
          <w:szCs w:val="24"/>
          <w:lang w:val="en-US"/>
        </w:rPr>
        <w:t>《高层建筑混凝土结构技术规程》JGJ3</w:t>
      </w:r>
    </w:p>
    <w:p w14:paraId="540048B0">
      <w:pPr>
        <w:rPr>
          <w:rFonts w:hint="eastAsia" w:ascii="宋体" w:hAnsi="宋体" w:eastAsia="宋体" w:cs="宋体"/>
          <w:bCs w:val="0"/>
          <w:iCs/>
          <w:sz w:val="24"/>
          <w:szCs w:val="24"/>
          <w:lang w:val="en-US"/>
        </w:rPr>
      </w:pPr>
      <w:r>
        <w:rPr>
          <w:rFonts w:hint="eastAsia" w:ascii="宋体" w:hAnsi="宋体" w:cs="宋体"/>
          <w:bCs w:val="0"/>
          <w:iCs/>
          <w:sz w:val="24"/>
          <w:szCs w:val="24"/>
          <w:lang w:val="en-US" w:eastAsia="zh-CN"/>
        </w:rPr>
        <w:t>7.</w:t>
      </w:r>
      <w:r>
        <w:rPr>
          <w:rFonts w:hint="eastAsia" w:ascii="宋体" w:hAnsi="宋体" w:eastAsia="宋体" w:cs="宋体"/>
          <w:bCs w:val="0"/>
          <w:iCs/>
          <w:sz w:val="24"/>
          <w:szCs w:val="24"/>
          <w:lang w:val="en-US"/>
        </w:rPr>
        <w:t>《建筑抗震设计规范》GB50011</w:t>
      </w:r>
    </w:p>
    <w:p w14:paraId="472A22E4">
      <w:pPr>
        <w:rPr>
          <w:rFonts w:hint="eastAsia" w:ascii="宋体" w:hAnsi="宋体" w:eastAsia="宋体" w:cs="宋体"/>
          <w:bCs w:val="0"/>
          <w:iCs/>
          <w:sz w:val="24"/>
          <w:szCs w:val="24"/>
          <w:lang w:val="en-US"/>
        </w:rPr>
      </w:pPr>
      <w:r>
        <w:rPr>
          <w:rFonts w:hint="eastAsia" w:ascii="宋体" w:hAnsi="宋体" w:cs="宋体"/>
          <w:bCs w:val="0"/>
          <w:iCs/>
          <w:sz w:val="24"/>
          <w:szCs w:val="24"/>
          <w:lang w:val="en-US" w:eastAsia="zh-CN"/>
        </w:rPr>
        <w:t>8.</w:t>
      </w:r>
      <w:r>
        <w:rPr>
          <w:rFonts w:hint="eastAsia" w:ascii="宋体" w:hAnsi="宋体" w:eastAsia="宋体" w:cs="宋体"/>
          <w:bCs w:val="0"/>
          <w:iCs/>
          <w:sz w:val="24"/>
          <w:szCs w:val="24"/>
          <w:lang w:val="en-US"/>
        </w:rPr>
        <w:t>《建筑结构荷载规范》GB50009</w:t>
      </w:r>
    </w:p>
    <w:p w14:paraId="3F808380">
      <w:pPr>
        <w:rPr>
          <w:rFonts w:hint="eastAsia" w:ascii="宋体" w:hAnsi="宋体" w:eastAsia="宋体" w:cs="宋体"/>
          <w:bCs/>
          <w:sz w:val="24"/>
          <w:szCs w:val="24"/>
        </w:rPr>
      </w:pPr>
      <w:r>
        <w:rPr>
          <w:rFonts w:hint="eastAsia" w:ascii="宋体" w:hAnsi="宋体" w:cs="宋体"/>
          <w:bCs w:val="0"/>
          <w:iCs/>
          <w:sz w:val="24"/>
          <w:szCs w:val="24"/>
          <w:lang w:val="en-US" w:eastAsia="zh-CN"/>
        </w:rPr>
        <w:t>9.</w:t>
      </w:r>
      <w:r>
        <w:rPr>
          <w:rFonts w:hint="eastAsia" w:ascii="宋体" w:hAnsi="宋体" w:eastAsia="宋体" w:cs="宋体"/>
          <w:bCs/>
          <w:sz w:val="24"/>
          <w:szCs w:val="24"/>
        </w:rPr>
        <w:t>《北京地区建筑地基基础勘察设计规范》 DBJ11-501</w:t>
      </w:r>
    </w:p>
    <w:p w14:paraId="2A716857">
      <w:pPr>
        <w:rPr>
          <w:rFonts w:hint="eastAsia" w:ascii="宋体" w:hAnsi="宋体" w:eastAsia="宋体" w:cs="宋体"/>
          <w:bCs/>
          <w:sz w:val="24"/>
          <w:szCs w:val="24"/>
        </w:rPr>
      </w:pPr>
      <w:r>
        <w:rPr>
          <w:rFonts w:hint="eastAsia" w:ascii="宋体" w:hAnsi="宋体" w:cs="宋体"/>
          <w:bCs/>
          <w:sz w:val="24"/>
          <w:szCs w:val="24"/>
          <w:lang w:val="en-US" w:eastAsia="zh-CN"/>
        </w:rPr>
        <w:t>10.</w:t>
      </w:r>
      <w:r>
        <w:rPr>
          <w:rFonts w:hint="eastAsia" w:ascii="宋体" w:hAnsi="宋体" w:eastAsia="宋体" w:cs="宋体"/>
          <w:bCs/>
          <w:sz w:val="24"/>
          <w:szCs w:val="24"/>
        </w:rPr>
        <w:t>《建筑抗震设计规范》 GB50011</w:t>
      </w:r>
    </w:p>
    <w:p w14:paraId="0A1B31C8">
      <w:pPr>
        <w:rPr>
          <w:rFonts w:hint="eastAsia" w:ascii="宋体" w:hAnsi="宋体" w:cs="宋体"/>
          <w:bCs/>
          <w:sz w:val="24"/>
          <w:szCs w:val="24"/>
          <w:lang w:val="en-US" w:eastAsia="zh-CN"/>
        </w:rPr>
      </w:pPr>
      <w:r>
        <w:rPr>
          <w:rFonts w:hint="eastAsia" w:ascii="宋体" w:hAnsi="宋体" w:cs="宋体"/>
          <w:bCs/>
          <w:sz w:val="24"/>
          <w:szCs w:val="24"/>
          <w:lang w:val="en-US" w:eastAsia="zh-CN"/>
        </w:rPr>
        <w:t>11.</w:t>
      </w:r>
      <w:r>
        <w:rPr>
          <w:rFonts w:hint="eastAsia" w:ascii="宋体" w:hAnsi="宋体" w:eastAsia="宋体" w:cs="宋体"/>
          <w:bCs w:val="0"/>
          <w:iCs/>
          <w:sz w:val="24"/>
          <w:szCs w:val="24"/>
          <w:lang w:val="en-US"/>
        </w:rPr>
        <w:t>《城镇燃气设计规范》GB 50028</w:t>
      </w:r>
    </w:p>
    <w:p w14:paraId="0583E76E">
      <w:pPr>
        <w:rPr>
          <w:rFonts w:hint="eastAsia" w:ascii="宋体" w:hAnsi="宋体" w:eastAsia="宋体" w:cs="宋体"/>
          <w:bCs w:val="0"/>
          <w:iCs/>
          <w:sz w:val="24"/>
          <w:szCs w:val="24"/>
          <w:lang w:val="en-US"/>
        </w:rPr>
      </w:pPr>
      <w:r>
        <w:rPr>
          <w:rFonts w:hint="eastAsia" w:ascii="宋体" w:hAnsi="宋体" w:cs="宋体"/>
          <w:bCs/>
          <w:sz w:val="24"/>
          <w:szCs w:val="24"/>
          <w:lang w:val="en-US" w:eastAsia="zh-CN"/>
        </w:rPr>
        <w:t>12.</w:t>
      </w:r>
      <w:r>
        <w:rPr>
          <w:rFonts w:hint="eastAsia" w:ascii="宋体" w:hAnsi="宋体" w:eastAsia="宋体" w:cs="宋体"/>
          <w:bCs w:val="0"/>
          <w:iCs/>
          <w:sz w:val="24"/>
          <w:szCs w:val="24"/>
          <w:lang w:val="en-US"/>
        </w:rPr>
        <w:t>《燃气室内工程设计施工验收技术规范》DB11/T301</w:t>
      </w:r>
    </w:p>
    <w:p w14:paraId="7DA09801">
      <w:pPr>
        <w:rPr>
          <w:rFonts w:hint="eastAsia" w:ascii="宋体" w:hAnsi="宋体" w:eastAsia="宋体" w:cs="宋体"/>
          <w:bCs/>
          <w:sz w:val="24"/>
          <w:szCs w:val="24"/>
        </w:rPr>
      </w:pPr>
      <w:r>
        <w:rPr>
          <w:rFonts w:hint="eastAsia" w:ascii="宋体" w:hAnsi="宋体" w:cs="宋体"/>
          <w:bCs w:val="0"/>
          <w:iCs/>
          <w:sz w:val="24"/>
          <w:szCs w:val="24"/>
          <w:lang w:val="en-US" w:eastAsia="zh-CN"/>
        </w:rPr>
        <w:t>13.</w:t>
      </w:r>
      <w:r>
        <w:rPr>
          <w:rFonts w:hint="eastAsia" w:ascii="宋体" w:hAnsi="宋体" w:eastAsia="宋体" w:cs="宋体"/>
          <w:bCs/>
          <w:sz w:val="24"/>
          <w:szCs w:val="24"/>
        </w:rPr>
        <w:t>《火灾自动报警系统设计规范》GB50116</w:t>
      </w:r>
    </w:p>
    <w:p w14:paraId="5E74CEC3">
      <w:pPr>
        <w:rPr>
          <w:rFonts w:hint="default" w:ascii="宋体" w:hAnsi="宋体" w:eastAsia="宋体" w:cs="宋体"/>
          <w:bCs/>
          <w:sz w:val="24"/>
          <w:szCs w:val="24"/>
          <w:lang w:val="en-US" w:eastAsia="zh-CN"/>
        </w:rPr>
      </w:pPr>
      <w:r>
        <w:rPr>
          <w:rFonts w:hint="eastAsia" w:ascii="宋体" w:hAnsi="宋体" w:cs="宋体"/>
          <w:bCs/>
          <w:sz w:val="24"/>
          <w:szCs w:val="24"/>
          <w:lang w:val="en-US" w:eastAsia="zh-CN"/>
        </w:rPr>
        <w:t>14.</w:t>
      </w:r>
      <w:r>
        <w:rPr>
          <w:rFonts w:hint="eastAsia" w:ascii="宋体" w:hAnsi="宋体" w:eastAsia="宋体" w:cs="宋体"/>
          <w:bCs w:val="0"/>
          <w:iCs/>
          <w:sz w:val="24"/>
          <w:szCs w:val="24"/>
          <w:lang w:val="en-US"/>
        </w:rPr>
        <w:t>《建筑水表配置规范》DB11/T 1768</w:t>
      </w:r>
    </w:p>
    <w:p w14:paraId="367DE30A">
      <w:pPr>
        <w:rPr>
          <w:rFonts w:hint="eastAsia" w:ascii="宋体" w:hAnsi="宋体" w:eastAsia="宋体" w:cs="宋体"/>
          <w:bCs w:val="0"/>
          <w:iCs/>
          <w:sz w:val="24"/>
          <w:szCs w:val="24"/>
          <w:lang w:val="en-US"/>
        </w:rPr>
      </w:pPr>
      <w:r>
        <w:rPr>
          <w:rFonts w:hint="eastAsia" w:ascii="宋体" w:hAnsi="宋体" w:cs="宋体"/>
          <w:bCs w:val="0"/>
          <w:iCs/>
          <w:sz w:val="24"/>
          <w:szCs w:val="24"/>
          <w:lang w:val="en-US" w:eastAsia="zh-CN"/>
        </w:rPr>
        <w:t>15.</w:t>
      </w:r>
      <w:r>
        <w:rPr>
          <w:rFonts w:hint="eastAsia" w:ascii="宋体" w:hAnsi="宋体" w:eastAsia="宋体" w:cs="宋体"/>
          <w:bCs w:val="0"/>
          <w:iCs/>
          <w:sz w:val="24"/>
          <w:szCs w:val="24"/>
          <w:lang w:val="en-US"/>
        </w:rPr>
        <w:t>《建筑物防雷设计规范》GB50057</w:t>
      </w:r>
    </w:p>
    <w:p w14:paraId="126917BF">
      <w:pPr>
        <w:rPr>
          <w:rFonts w:hint="eastAsia" w:ascii="宋体" w:hAnsi="宋体" w:eastAsia="宋体" w:cs="宋体"/>
          <w:bCs w:val="0"/>
          <w:iCs/>
          <w:sz w:val="24"/>
          <w:szCs w:val="24"/>
          <w:lang w:val="en-US"/>
        </w:rPr>
      </w:pPr>
      <w:r>
        <w:rPr>
          <w:rFonts w:hint="eastAsia" w:ascii="宋体" w:hAnsi="宋体" w:cs="宋体"/>
          <w:bCs w:val="0"/>
          <w:iCs/>
          <w:sz w:val="24"/>
          <w:szCs w:val="24"/>
          <w:lang w:val="en-US" w:eastAsia="zh-CN"/>
        </w:rPr>
        <w:t>16.</w:t>
      </w:r>
      <w:r>
        <w:rPr>
          <w:rFonts w:hint="eastAsia" w:ascii="宋体" w:hAnsi="宋体" w:eastAsia="宋体" w:cs="宋体"/>
          <w:bCs w:val="0"/>
          <w:iCs/>
          <w:sz w:val="24"/>
          <w:szCs w:val="24"/>
          <w:lang w:val="en-US" w:eastAsia="zh-CN"/>
        </w:rPr>
        <w:t>《</w:t>
      </w:r>
      <w:r>
        <w:rPr>
          <w:rFonts w:hint="eastAsia" w:ascii="宋体" w:hAnsi="宋体" w:eastAsia="宋体" w:cs="宋体"/>
          <w:bCs w:val="0"/>
          <w:iCs/>
          <w:sz w:val="24"/>
          <w:szCs w:val="24"/>
          <w:lang w:val="en-US"/>
        </w:rPr>
        <w:t>建筑物电子信息系统防雷技术规范》GB50343</w:t>
      </w:r>
    </w:p>
    <w:p w14:paraId="28748380">
      <w:pPr>
        <w:rPr>
          <w:rFonts w:hint="eastAsia" w:ascii="宋体" w:hAnsi="宋体" w:eastAsia="宋体" w:cs="宋体"/>
          <w:bCs w:val="0"/>
          <w:iCs/>
          <w:sz w:val="24"/>
          <w:szCs w:val="24"/>
          <w:lang w:val="en-US"/>
        </w:rPr>
      </w:pPr>
      <w:r>
        <w:rPr>
          <w:rFonts w:hint="eastAsia" w:ascii="宋体" w:hAnsi="宋体" w:cs="宋体"/>
          <w:bCs w:val="0"/>
          <w:iCs/>
          <w:sz w:val="24"/>
          <w:szCs w:val="24"/>
          <w:lang w:val="en-US" w:eastAsia="zh-CN"/>
        </w:rPr>
        <w:t>17.</w:t>
      </w:r>
      <w:r>
        <w:rPr>
          <w:rFonts w:hint="eastAsia" w:ascii="宋体" w:hAnsi="宋体" w:eastAsia="宋体" w:cs="宋体"/>
          <w:bCs w:val="0"/>
          <w:iCs/>
          <w:sz w:val="24"/>
          <w:szCs w:val="24"/>
          <w:lang w:val="en-US"/>
        </w:rPr>
        <w:t>《住宅区和住宅建筑内光纤到户通信设施工程设计规范》GB50846</w:t>
      </w:r>
    </w:p>
    <w:p w14:paraId="6B9C5F9F">
      <w:pPr>
        <w:rPr>
          <w:rFonts w:hint="eastAsia" w:ascii="宋体" w:hAnsi="宋体" w:eastAsia="宋体" w:cs="宋体"/>
          <w:bCs w:val="0"/>
          <w:iCs/>
          <w:sz w:val="24"/>
          <w:szCs w:val="24"/>
          <w:lang w:val="en-US"/>
        </w:rPr>
      </w:pPr>
      <w:r>
        <w:rPr>
          <w:rFonts w:hint="eastAsia" w:ascii="宋体" w:hAnsi="宋体" w:cs="宋体"/>
          <w:bCs w:val="0"/>
          <w:iCs/>
          <w:sz w:val="24"/>
          <w:szCs w:val="24"/>
          <w:lang w:val="en-US" w:eastAsia="zh-CN"/>
        </w:rPr>
        <w:t>18.</w:t>
      </w:r>
      <w:r>
        <w:rPr>
          <w:rFonts w:hint="eastAsia" w:ascii="宋体" w:hAnsi="宋体" w:eastAsia="宋体" w:cs="宋体"/>
          <w:bCs w:val="0"/>
          <w:iCs/>
          <w:sz w:val="24"/>
          <w:szCs w:val="24"/>
          <w:lang w:val="en-US"/>
        </w:rPr>
        <w:t>《通信管道与通道工程设计标准》GB50373</w:t>
      </w:r>
    </w:p>
    <w:p w14:paraId="7DBC70FF">
      <w:pPr>
        <w:rPr>
          <w:rFonts w:hint="eastAsia" w:ascii="宋体" w:hAnsi="宋体" w:eastAsia="宋体" w:cs="宋体"/>
          <w:bCs/>
          <w:sz w:val="24"/>
          <w:szCs w:val="24"/>
        </w:rPr>
      </w:pPr>
      <w:r>
        <w:rPr>
          <w:rFonts w:hint="eastAsia" w:ascii="宋体" w:hAnsi="宋体" w:cs="宋体"/>
          <w:bCs/>
          <w:sz w:val="24"/>
          <w:szCs w:val="24"/>
          <w:lang w:val="en-US" w:eastAsia="zh-CN"/>
        </w:rPr>
        <w:t>19.</w:t>
      </w:r>
      <w:r>
        <w:rPr>
          <w:rFonts w:hint="eastAsia" w:ascii="宋体" w:hAnsi="宋体" w:eastAsia="宋体" w:cs="宋体"/>
          <w:bCs/>
          <w:sz w:val="24"/>
          <w:szCs w:val="24"/>
        </w:rPr>
        <w:t>《数据中心设计规范》 GB50174</w:t>
      </w:r>
    </w:p>
    <w:p w14:paraId="6763B234">
      <w:pPr>
        <w:rPr>
          <w:rFonts w:hint="eastAsia" w:ascii="宋体" w:hAnsi="宋体" w:eastAsia="宋体" w:cs="宋体"/>
          <w:sz w:val="24"/>
          <w:szCs w:val="24"/>
        </w:rPr>
      </w:pPr>
      <w:r>
        <w:rPr>
          <w:rFonts w:hint="eastAsia" w:ascii="宋体" w:hAnsi="宋体" w:cs="宋体"/>
          <w:sz w:val="24"/>
          <w:szCs w:val="24"/>
          <w:lang w:val="en-US" w:eastAsia="zh-CN"/>
        </w:rPr>
        <w:t>20.</w:t>
      </w:r>
      <w:r>
        <w:rPr>
          <w:rFonts w:hint="eastAsia" w:ascii="宋体" w:hAnsi="宋体" w:eastAsia="宋体" w:cs="宋体"/>
          <w:sz w:val="24"/>
          <w:szCs w:val="24"/>
        </w:rPr>
        <w:t>《住宅区和住宅建筑内光纤到户通信设施工程设计规范》GB 50846</w:t>
      </w:r>
    </w:p>
    <w:p w14:paraId="44D46EE6">
      <w:pPr>
        <w:rPr>
          <w:rFonts w:hint="eastAsia" w:ascii="宋体" w:hAnsi="宋体" w:eastAsia="宋体" w:cs="宋体"/>
          <w:sz w:val="24"/>
          <w:szCs w:val="24"/>
        </w:rPr>
      </w:pPr>
      <w:r>
        <w:rPr>
          <w:rFonts w:hint="eastAsia" w:ascii="宋体" w:hAnsi="宋体" w:cs="宋体"/>
          <w:sz w:val="24"/>
          <w:szCs w:val="24"/>
          <w:lang w:val="en-US" w:eastAsia="zh-CN"/>
        </w:rPr>
        <w:t>21.</w:t>
      </w:r>
      <w:r>
        <w:rPr>
          <w:rFonts w:hint="eastAsia" w:ascii="宋体" w:hAnsi="宋体" w:eastAsia="宋体" w:cs="宋体"/>
          <w:sz w:val="24"/>
          <w:szCs w:val="24"/>
        </w:rPr>
        <w:t>《通信管道与通道工程设计标准》GB50373</w:t>
      </w:r>
    </w:p>
    <w:p w14:paraId="3421B52B">
      <w:pPr>
        <w:rPr>
          <w:rFonts w:hint="eastAsia" w:ascii="宋体" w:hAnsi="宋体" w:eastAsia="宋体" w:cs="宋体"/>
          <w:b w:val="0"/>
          <w:bCs w:val="0"/>
          <w:sz w:val="24"/>
          <w:szCs w:val="24"/>
        </w:rPr>
      </w:pPr>
      <w:r>
        <w:rPr>
          <w:rFonts w:hint="eastAsia" w:ascii="宋体" w:hAnsi="宋体" w:cs="宋体"/>
          <w:b w:val="0"/>
          <w:bCs w:val="0"/>
          <w:sz w:val="24"/>
          <w:szCs w:val="24"/>
          <w:lang w:val="en-US" w:eastAsia="zh-CN"/>
        </w:rPr>
        <w:t>22.</w:t>
      </w:r>
      <w:r>
        <w:rPr>
          <w:rFonts w:hint="eastAsia" w:ascii="宋体" w:hAnsi="宋体" w:eastAsia="宋体" w:cs="宋体"/>
          <w:b w:val="0"/>
          <w:bCs w:val="0"/>
          <w:sz w:val="24"/>
          <w:szCs w:val="24"/>
        </w:rPr>
        <w:t>《数据中心设计规范》GB50174</w:t>
      </w:r>
    </w:p>
    <w:p w14:paraId="635B195C">
      <w:pPr>
        <w:rPr>
          <w:rFonts w:hint="eastAsia" w:ascii="宋体" w:hAnsi="宋体" w:eastAsia="宋体" w:cs="宋体"/>
          <w:sz w:val="24"/>
          <w:szCs w:val="24"/>
        </w:rPr>
      </w:pPr>
      <w:r>
        <w:rPr>
          <w:rFonts w:hint="eastAsia" w:ascii="宋体" w:hAnsi="宋体" w:cs="宋体"/>
          <w:sz w:val="24"/>
          <w:szCs w:val="24"/>
          <w:lang w:val="en-US" w:eastAsia="zh-CN"/>
        </w:rPr>
        <w:t>23.</w:t>
      </w:r>
      <w:r>
        <w:rPr>
          <w:rFonts w:hint="eastAsia" w:ascii="宋体" w:hAnsi="宋体" w:eastAsia="宋体" w:cs="宋体"/>
          <w:sz w:val="24"/>
          <w:szCs w:val="24"/>
        </w:rPr>
        <w:t>《民用建筑通信及有线广播电视基础设施设计规范》DB11/T 804</w:t>
      </w:r>
    </w:p>
    <w:p w14:paraId="157B9BE1">
      <w:pPr>
        <w:ind w:firstLine="0" w:firstLineChars="0"/>
        <w:rPr>
          <w:bCs/>
        </w:rPr>
      </w:pPr>
    </w:p>
    <w:sectPr>
      <w:pgSz w:w="11906" w:h="16838"/>
      <w:pgMar w:top="1276" w:right="1800" w:bottom="1276" w:left="1800" w:header="851" w:footer="992" w:gutter="0"/>
      <w:pgNumType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Times">
    <w:altName w:val="Times New Roman"/>
    <w:panose1 w:val="02020603050405020304"/>
    <w:charset w:val="00"/>
    <w:family w:val="roman"/>
    <w:pitch w:val="default"/>
    <w:sig w:usb0="00000000" w:usb1="00000000" w:usb2="00000009" w:usb3="00000000" w:csb0="000001FF" w:csb1="00000000"/>
  </w:font>
  <w:font w:name="方正大标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黑体_GBK">
    <w:panose1 w:val="02010600010101010101"/>
    <w:charset w:val="86"/>
    <w:family w:val="auto"/>
    <w:pitch w:val="default"/>
    <w:sig w:usb0="00000001" w:usb1="080E0000" w:usb2="00000000" w:usb3="00000000" w:csb0="00040000" w:csb1="00000000"/>
  </w:font>
  <w:font w:name="HiddenHorzOCR">
    <w:altName w:val="Yu Gothic"/>
    <w:panose1 w:val="00000000000000000000"/>
    <w:charset w:val="80"/>
    <w:family w:val="auto"/>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MS Mincho">
    <w:altName w:val="Yu Gothic UI"/>
    <w:panose1 w:val="02020609040205080304"/>
    <w:charset w:val="80"/>
    <w:family w:val="modern"/>
    <w:pitch w:val="default"/>
    <w:sig w:usb0="00000000" w:usb1="00000000" w:usb2="00000012" w:usb3="00000000" w:csb0="0002009F" w:csb1="00000000"/>
  </w:font>
  <w:font w:name="Yu Gothic UI">
    <w:panose1 w:val="020B0500000000000000"/>
    <w:charset w:val="80"/>
    <w:family w:val="auto"/>
    <w:pitch w:val="default"/>
    <w:sig w:usb0="E00002FF" w:usb1="2AC7FDFF" w:usb2="00000016" w:usb3="00000000" w:csb0="2002009F" w:csb1="00000000"/>
  </w:font>
  <w:font w:name="WPSEMBED5">
    <w:panose1 w:val="0201060001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594B9">
    <w:pPr>
      <w:pStyle w:val="17"/>
      <w:ind w:firstLine="0" w:firstLineChars="0"/>
      <w:jc w:val="right"/>
    </w:pPr>
  </w:p>
  <w:p w14:paraId="1B077505">
    <w:pPr>
      <w:pStyle w:val="17"/>
      <w:ind w:left="240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03B0E7">
    <w:pPr>
      <w:pStyle w:val="17"/>
      <w:ind w:firstLine="0" w:firstLineChars="0"/>
    </w:pPr>
  </w:p>
  <w:p w14:paraId="07A670E7">
    <w:pPr>
      <w:pStyle w:val="1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750760">
    <w:pPr>
      <w:pStyle w:val="1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FE047E">
    <w:pPr>
      <w:pStyle w:val="17"/>
      <w:ind w:left="240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CB0E0">
    <w:pPr>
      <w:pStyle w:val="17"/>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D6C0BD">
    <w:pPr>
      <w:pStyle w:val="17"/>
      <w:ind w:left="2400" w:firstLine="360"/>
      <w:jc w:val="right"/>
    </w:pPr>
    <w:r>
      <w:fldChar w:fldCharType="begin"/>
    </w:r>
    <w:r>
      <w:instrText xml:space="preserve"> PAGE   \* MERGEFORMAT </w:instrText>
    </w:r>
    <w:r>
      <w:fldChar w:fldCharType="separate"/>
    </w:r>
    <w:r>
      <w:rPr>
        <w:lang w:val="zh-CN"/>
      </w:rPr>
      <w:t>11</w:t>
    </w:r>
    <w:r>
      <w:rPr>
        <w:lang w:val="zh-CN"/>
      </w:rPr>
      <w:fldChar w:fldCharType="end"/>
    </w:r>
  </w:p>
  <w:p w14:paraId="2164C9BD">
    <w:pPr>
      <w:pStyle w:val="17"/>
      <w:ind w:left="2400"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82606"/>
    </w:sdtPr>
    <w:sdtContent>
      <w:p w14:paraId="164AB2E0">
        <w:pPr>
          <w:pStyle w:val="17"/>
          <w:ind w:firstLine="0" w:firstLineChars="0"/>
        </w:pPr>
        <w:r>
          <w:fldChar w:fldCharType="begin"/>
        </w:r>
        <w:r>
          <w:instrText xml:space="preserve"> PAGE   \* MERGEFORMAT </w:instrText>
        </w:r>
        <w:r>
          <w:fldChar w:fldCharType="separate"/>
        </w:r>
        <w:r>
          <w:rPr>
            <w:lang w:val="zh-CN"/>
          </w:rPr>
          <w:t>12</w:t>
        </w:r>
        <w:r>
          <w:rPr>
            <w:lang w:val="zh-CN"/>
          </w:rPr>
          <w:fldChar w:fldCharType="end"/>
        </w:r>
      </w:p>
    </w:sdtContent>
  </w:sdt>
  <w:p w14:paraId="7F3AC00A">
    <w:pPr>
      <w:pStyle w:val="17"/>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88FEC8">
    <w:pPr>
      <w:ind w:left="480"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DB3B7A">
    <w:pPr>
      <w:ind w:left="480" w:firstLine="0" w:firstLineChars="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D8156E">
    <w:pPr>
      <w:pStyle w:val="18"/>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08566A"/>
    <w:multiLevelType w:val="multilevel"/>
    <w:tmpl w:val="AB08566A"/>
    <w:lvl w:ilvl="0" w:tentative="0">
      <w:start w:val="5"/>
      <w:numFmt w:val="decimal"/>
      <w:lvlText w:val="%1."/>
      <w:lvlJc w:val="left"/>
      <w:pPr>
        <w:ind w:left="425" w:hanging="425"/>
      </w:pPr>
      <w:rPr>
        <w:rFonts w:hint="default"/>
      </w:rPr>
    </w:lvl>
    <w:lvl w:ilvl="1" w:tentative="0">
      <w:start w:val="1"/>
      <w:numFmt w:val="decimal"/>
      <w:suff w:val="space"/>
      <w:lvlText w:val="%1.%2"/>
      <w:lvlJc w:val="left"/>
      <w:pPr>
        <w:tabs>
          <w:tab w:val="left" w:pos="0"/>
        </w:tabs>
        <w:ind w:left="567" w:hanging="567"/>
      </w:pPr>
      <w:rPr>
        <w:rFonts w:hint="default"/>
      </w:rPr>
    </w:lvl>
    <w:lvl w:ilvl="2" w:tentative="0">
      <w:start w:val="1"/>
      <w:numFmt w:val="decimal"/>
      <w:lvlText w:val="%1.%2.%3."/>
      <w:lvlJc w:val="left"/>
      <w:pPr>
        <w:ind w:left="709" w:hanging="709"/>
      </w:pPr>
      <w:rPr>
        <w:rFonts w:hint="default" w:ascii="Calibri" w:hAnsi="Calibri" w:cs="Calibri"/>
        <w:b/>
        <w:bCs/>
        <w:sz w:val="24"/>
        <w:szCs w:val="24"/>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
    <w:nsid w:val="C64FBD61"/>
    <w:multiLevelType w:val="multilevel"/>
    <w:tmpl w:val="C64FBD61"/>
    <w:lvl w:ilvl="0" w:tentative="0">
      <w:start w:val="1"/>
      <w:numFmt w:val="decimal"/>
      <w:lvlText w:val="%1."/>
      <w:lvlJc w:val="left"/>
      <w:pPr>
        <w:ind w:left="425" w:hanging="425"/>
      </w:pPr>
      <w:rPr>
        <w:rFonts w:hint="default"/>
      </w:rPr>
    </w:lvl>
    <w:lvl w:ilvl="1" w:tentative="0">
      <w:start w:val="0"/>
      <w:numFmt w:val="decimal"/>
      <w:lvlText w:val="%1.%2."/>
      <w:lvlJc w:val="left"/>
      <w:pPr>
        <w:ind w:left="567" w:hanging="567"/>
      </w:pPr>
      <w:rPr>
        <w:rFonts w:hint="default"/>
      </w:rPr>
    </w:lvl>
    <w:lvl w:ilvl="2" w:tentative="0">
      <w:start w:val="1"/>
      <w:numFmt w:val="decimal"/>
      <w:suff w:val="space"/>
      <w:lvlText w:val="%1.%2.%3"/>
      <w:lvlJc w:val="left"/>
      <w:pPr>
        <w:ind w:left="0" w:firstLine="0"/>
      </w:pPr>
      <w:rPr>
        <w:rFonts w:hint="default" w:ascii="Calibri" w:hAnsi="Calibri" w:cs="Calibri"/>
        <w:b/>
        <w:bCs/>
        <w:sz w:val="24"/>
        <w:szCs w:val="24"/>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
    <w:nsid w:val="E2E7C184"/>
    <w:multiLevelType w:val="multilevel"/>
    <w:tmpl w:val="E2E7C184"/>
    <w:lvl w:ilvl="0" w:tentative="0">
      <w:start w:val="1"/>
      <w:numFmt w:val="decimal"/>
      <w:lvlText w:val="%1"/>
      <w:lvlJc w:val="left"/>
      <w:pPr>
        <w:ind w:left="425" w:hanging="425"/>
      </w:pPr>
      <w:rPr>
        <w:rFonts w:hint="default"/>
      </w:rPr>
    </w:lvl>
    <w:lvl w:ilvl="1" w:tentative="0">
      <w:start w:val="0"/>
      <w:numFmt w:val="decimal"/>
      <w:lvlText w:val="%1.%2."/>
      <w:lvlJc w:val="left"/>
      <w:pPr>
        <w:ind w:left="567" w:hanging="567"/>
      </w:pPr>
      <w:rPr>
        <w:rFonts w:hint="default"/>
      </w:rPr>
    </w:lvl>
    <w:lvl w:ilvl="2" w:tentative="0">
      <w:start w:val="1"/>
      <w:numFmt w:val="decimal"/>
      <w:suff w:val="space"/>
      <w:lvlText w:val="%1.%2.%3"/>
      <w:lvlJc w:val="left"/>
      <w:pPr>
        <w:ind w:left="0" w:firstLine="0"/>
      </w:pPr>
      <w:rPr>
        <w:rFonts w:hint="default" w:ascii="Calibri" w:hAnsi="Calibri" w:cs="Calibri"/>
        <w:b/>
        <w:bCs/>
        <w:sz w:val="24"/>
        <w:szCs w:val="24"/>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3">
    <w:nsid w:val="EDCDA915"/>
    <w:multiLevelType w:val="singleLevel"/>
    <w:tmpl w:val="EDCDA915"/>
    <w:lvl w:ilvl="0" w:tentative="0">
      <w:start w:val="2"/>
      <w:numFmt w:val="decimal"/>
      <w:suff w:val="nothing"/>
      <w:lvlText w:val="%1、"/>
      <w:lvlJc w:val="left"/>
      <w:pPr>
        <w:ind w:left="875" w:firstLine="0"/>
      </w:pPr>
    </w:lvl>
  </w:abstractNum>
  <w:abstractNum w:abstractNumId="4">
    <w:nsid w:val="EE0057DB"/>
    <w:multiLevelType w:val="multilevel"/>
    <w:tmpl w:val="EE0057DB"/>
    <w:lvl w:ilvl="0" w:tentative="0">
      <w:start w:val="1"/>
      <w:numFmt w:val="decimal"/>
      <w:pStyle w:val="2"/>
      <w:lvlText w:val="%1 "/>
      <w:lvlJc w:val="left"/>
      <w:pPr>
        <w:ind w:left="425" w:hanging="425"/>
      </w:pPr>
      <w:rPr>
        <w:rFonts w:hint="eastAsia"/>
      </w:rPr>
    </w:lvl>
    <w:lvl w:ilvl="1" w:tentative="0">
      <w:start w:val="0"/>
      <w:numFmt w:val="decimal"/>
      <w:pStyle w:val="3"/>
      <w:lvlText w:val="%1.%2 "/>
      <w:lvlJc w:val="left"/>
      <w:pPr>
        <w:ind w:left="425" w:hanging="425"/>
      </w:pPr>
      <w:rPr>
        <w:rFonts w:hint="default" w:ascii="Cambria" w:hAnsi="Cambria"/>
        <w:b/>
        <w:sz w:val="32"/>
        <w:szCs w:val="32"/>
      </w:rPr>
    </w:lvl>
    <w:lvl w:ilvl="2" w:tentative="0">
      <w:start w:val="1"/>
      <w:numFmt w:val="decimal"/>
      <w:pStyle w:val="4"/>
      <w:lvlText w:val="%1.%2.%3 "/>
      <w:lvlJc w:val="left"/>
      <w:pPr>
        <w:ind w:left="425" w:hanging="425"/>
      </w:pPr>
      <w:rPr>
        <w:rFonts w:hint="default" w:ascii="Calibri" w:hAnsi="Calibri" w:cs="Calibri"/>
        <w:b/>
        <w:bCs w:val="0"/>
        <w:i w:val="0"/>
        <w:iCs w:val="0"/>
        <w:caps w:val="0"/>
        <w:smallCaps w:val="0"/>
        <w:strike w:val="0"/>
        <w:dstrike w:val="0"/>
        <w:vanish w:val="0"/>
        <w:color w:val="auto"/>
        <w:spacing w:val="0"/>
        <w:position w:val="0"/>
        <w:sz w:val="24"/>
        <w:szCs w:val="24"/>
        <w:u w:val="none"/>
        <w:shd w:val="clear" w:color="auto" w:fill="auto"/>
        <w:vertAlign w:val="baseline"/>
        <w:lang w:val="en-US" w:eastAsia="zh-CN"/>
        <w14:shadow w14:blurRad="0" w14:dist="0" w14:dir="0" w14:sx="0" w14:sy="0" w14:kx="0" w14:ky="0" w14:algn="none">
          <w14:srgbClr w14:val="000000"/>
        </w14:shadow>
      </w:rPr>
    </w:lvl>
    <w:lvl w:ilvl="3" w:tentative="0">
      <w:start w:val="1"/>
      <w:numFmt w:val="decimal"/>
      <w:lvlText w:val="%1.%2.%3.%4."/>
      <w:lvlJc w:val="left"/>
      <w:pPr>
        <w:ind w:left="425" w:hanging="425"/>
      </w:pPr>
      <w:rPr>
        <w:rFonts w:hint="eastAsia"/>
      </w:rPr>
    </w:lvl>
    <w:lvl w:ilvl="4" w:tentative="0">
      <w:start w:val="1"/>
      <w:numFmt w:val="decimal"/>
      <w:lvlText w:val="%1.%2.%3.%4.%5."/>
      <w:lvlJc w:val="left"/>
      <w:pPr>
        <w:ind w:left="425" w:hanging="425"/>
      </w:pPr>
      <w:rPr>
        <w:rFonts w:hint="eastAsia"/>
      </w:rPr>
    </w:lvl>
    <w:lvl w:ilvl="5" w:tentative="0">
      <w:start w:val="1"/>
      <w:numFmt w:val="decimal"/>
      <w:lvlText w:val="%1.%2.%3.%4.%5.%6."/>
      <w:lvlJc w:val="left"/>
      <w:pPr>
        <w:ind w:left="425" w:hanging="425"/>
      </w:pPr>
      <w:rPr>
        <w:rFonts w:hint="eastAsia"/>
      </w:rPr>
    </w:lvl>
    <w:lvl w:ilvl="6" w:tentative="0">
      <w:start w:val="1"/>
      <w:numFmt w:val="decimal"/>
      <w:lvlText w:val="%1.%2.%3.%4.%5.%6.%7."/>
      <w:lvlJc w:val="left"/>
      <w:pPr>
        <w:ind w:left="425" w:hanging="425"/>
      </w:pPr>
      <w:rPr>
        <w:rFonts w:hint="eastAsia"/>
      </w:rPr>
    </w:lvl>
    <w:lvl w:ilvl="7" w:tentative="0">
      <w:start w:val="1"/>
      <w:numFmt w:val="decimal"/>
      <w:lvlText w:val="%1.%2.%3.%4.%5.%6.%7.%8."/>
      <w:lvlJc w:val="left"/>
      <w:pPr>
        <w:ind w:left="425" w:hanging="425"/>
      </w:pPr>
      <w:rPr>
        <w:rFonts w:hint="eastAsia"/>
      </w:rPr>
    </w:lvl>
    <w:lvl w:ilvl="8" w:tentative="0">
      <w:start w:val="1"/>
      <w:numFmt w:val="decimal"/>
      <w:lvlText w:val="%1.%2.%3.%4.%5.%6.%7.%8.%9."/>
      <w:lvlJc w:val="left"/>
      <w:pPr>
        <w:ind w:left="425" w:hanging="425"/>
      </w:pPr>
      <w:rPr>
        <w:rFonts w:hint="eastAsia"/>
      </w:rPr>
    </w:lvl>
  </w:abstractNum>
  <w:abstractNum w:abstractNumId="5">
    <w:nsid w:val="F3A9469A"/>
    <w:multiLevelType w:val="singleLevel"/>
    <w:tmpl w:val="F3A9469A"/>
    <w:lvl w:ilvl="0" w:tentative="0">
      <w:start w:val="1"/>
      <w:numFmt w:val="decimal"/>
      <w:suff w:val="space"/>
      <w:lvlText w:val="%1."/>
      <w:lvlJc w:val="left"/>
    </w:lvl>
  </w:abstractNum>
  <w:abstractNum w:abstractNumId="6">
    <w:nsid w:val="0AE367E9"/>
    <w:multiLevelType w:val="multilevel"/>
    <w:tmpl w:val="0AE367E9"/>
    <w:lvl w:ilvl="0" w:tentative="0">
      <w:start w:val="1"/>
      <w:numFmt w:val="none"/>
      <w:pStyle w:val="58"/>
      <w:lvlText w:val="%1示例"/>
      <w:lvlJc w:val="left"/>
      <w:pPr>
        <w:tabs>
          <w:tab w:val="left" w:pos="1120"/>
        </w:tabs>
        <w:ind w:firstLine="400"/>
      </w:pPr>
      <w:rPr>
        <w:rFonts w:hint="eastAsia" w:ascii="宋体" w:eastAsia="宋体"/>
        <w:b w:val="0"/>
        <w:bCs w:val="0"/>
        <w:i w:val="0"/>
        <w:iCs w:val="0"/>
        <w:sz w:val="18"/>
        <w:szCs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16E506BD"/>
    <w:multiLevelType w:val="multilevel"/>
    <w:tmpl w:val="16E506BD"/>
    <w:lvl w:ilvl="0" w:tentative="0">
      <w:start w:val="1"/>
      <w:numFmt w:val="decimal"/>
      <w:pStyle w:val="73"/>
      <w:lvlText w:val="2.0.%1"/>
      <w:lvlJc w:val="left"/>
      <w:pPr>
        <w:ind w:left="420" w:hanging="420"/>
      </w:pPr>
      <w:rPr>
        <w:rFonts w:hint="default" w:ascii="Times New Roman" w:hAnsi="Times New Roman" w:cs="Times New Roman"/>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DD95C3B"/>
    <w:multiLevelType w:val="multilevel"/>
    <w:tmpl w:val="2DD95C3B"/>
    <w:lvl w:ilvl="0" w:tentative="0">
      <w:start w:val="1"/>
      <w:numFmt w:val="decimal"/>
      <w:lvlText w:val="%1."/>
      <w:lvlJc w:val="left"/>
      <w:pPr>
        <w:ind w:left="425" w:hanging="425"/>
      </w:pPr>
      <w:rPr>
        <w:rFonts w:hint="default"/>
      </w:rPr>
    </w:lvl>
    <w:lvl w:ilvl="1" w:tentative="0">
      <w:start w:val="0"/>
      <w:numFmt w:val="decimal"/>
      <w:lvlText w:val="%1.%2."/>
      <w:lvlJc w:val="left"/>
      <w:pPr>
        <w:ind w:left="567" w:hanging="567"/>
      </w:pPr>
      <w:rPr>
        <w:rFonts w:hint="default"/>
      </w:rPr>
    </w:lvl>
    <w:lvl w:ilvl="2" w:tentative="0">
      <w:start w:val="1"/>
      <w:numFmt w:val="decimal"/>
      <w:lvlText w:val="%1.%2.%3."/>
      <w:lvlJc w:val="left"/>
      <w:pPr>
        <w:ind w:left="709" w:hanging="709"/>
      </w:pPr>
      <w:rPr>
        <w:rFonts w:hint="default" w:ascii="Calibri" w:hAnsi="Calibri" w:cs="Calibri"/>
        <w:b/>
        <w:bCs/>
        <w:sz w:val="24"/>
        <w:szCs w:val="24"/>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9">
    <w:nsid w:val="551831F0"/>
    <w:multiLevelType w:val="multilevel"/>
    <w:tmpl w:val="551831F0"/>
    <w:lvl w:ilvl="0" w:tentative="0">
      <w:start w:val="1"/>
      <w:numFmt w:val="decimal"/>
      <w:lvlText w:val="%1 "/>
      <w:lvlJc w:val="left"/>
      <w:pPr>
        <w:ind w:left="425" w:hanging="425"/>
      </w:pPr>
      <w:rPr>
        <w:rFonts w:hint="eastAsia"/>
      </w:rPr>
    </w:lvl>
    <w:lvl w:ilvl="1" w:tentative="0">
      <w:start w:val="0"/>
      <w:numFmt w:val="decimal"/>
      <w:lvlText w:val="%1.%2 "/>
      <w:lvlJc w:val="left"/>
      <w:pPr>
        <w:ind w:left="567" w:hanging="567"/>
      </w:pPr>
      <w:rPr>
        <w:rFonts w:hint="eastAsia"/>
      </w:rPr>
    </w:lvl>
    <w:lvl w:ilvl="2" w:tentative="0">
      <w:start w:val="1"/>
      <w:numFmt w:val="decimal"/>
      <w:pStyle w:val="39"/>
      <w:lvlText w:val="%1.%2.%3 "/>
      <w:lvlJc w:val="left"/>
      <w:pPr>
        <w:ind w:left="709" w:hanging="709"/>
      </w:pPr>
      <w:rPr>
        <w:rFonts w:hint="default" w:ascii="Calibri" w:hAnsi="Calibri"/>
        <w:b/>
        <w:i w:val="0"/>
        <w:sz w:val="24"/>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10">
    <w:nsid w:val="5DC92701"/>
    <w:multiLevelType w:val="multilevel"/>
    <w:tmpl w:val="5DC92701"/>
    <w:lvl w:ilvl="0" w:tentative="0">
      <w:start w:val="1"/>
      <w:numFmt w:val="decimal"/>
      <w:lvlText w:val="11.3.%1"/>
      <w:lvlJc w:val="left"/>
      <w:pPr>
        <w:ind w:left="845" w:hanging="420"/>
      </w:pPr>
      <w:rPr>
        <w:rFonts w:hint="default" w:eastAsia="宋体" w:cs="Times New Roman" w:asciiTheme="minorHAnsi" w:hAnsiTheme="minorHAnsi"/>
        <w:b/>
      </w:rPr>
    </w:lvl>
    <w:lvl w:ilvl="1" w:tentative="0">
      <w:start w:val="1"/>
      <w:numFmt w:val="decimal"/>
      <w:isLgl/>
      <w:lvlText w:val="%1.%2"/>
      <w:lvlJc w:val="left"/>
      <w:pPr>
        <w:ind w:left="585" w:hanging="585"/>
      </w:pPr>
      <w:rPr>
        <w:rFonts w:hint="default"/>
      </w:rPr>
    </w:lvl>
    <w:lvl w:ilvl="2" w:tentative="0">
      <w:start w:val="1"/>
      <w:numFmt w:val="decimal"/>
      <w:isLgl/>
      <w:lvlText w:val="%1.%2.%3"/>
      <w:lvlJc w:val="left"/>
      <w:pPr>
        <w:ind w:left="720" w:hanging="720"/>
      </w:pPr>
      <w:rPr>
        <w:rFonts w:hint="default"/>
      </w:rPr>
    </w:lvl>
    <w:lvl w:ilvl="3" w:tentative="0">
      <w:start w:val="1"/>
      <w:numFmt w:val="decimal"/>
      <w:pStyle w:val="5"/>
      <w:isLgl/>
      <w:lvlText w:val="11.2.3.%4"/>
      <w:lvlJc w:val="left"/>
      <w:pPr>
        <w:ind w:left="0" w:firstLine="0"/>
      </w:pPr>
      <w:rPr>
        <w:rFonts w:hint="default"/>
        <w:b/>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440" w:hanging="1440"/>
      </w:pPr>
      <w:rPr>
        <w:rFonts w:hint="default"/>
      </w:rPr>
    </w:lvl>
    <w:lvl w:ilvl="6" w:tentative="0">
      <w:start w:val="1"/>
      <w:numFmt w:val="decimal"/>
      <w:isLgl/>
      <w:lvlText w:val="%1.%2.%3.%4.%5.%6.%7"/>
      <w:lvlJc w:val="left"/>
      <w:pPr>
        <w:ind w:left="1440" w:hanging="1440"/>
      </w:pPr>
      <w:rPr>
        <w:rFonts w:hint="default"/>
      </w:rPr>
    </w:lvl>
    <w:lvl w:ilvl="7" w:tentative="0">
      <w:start w:val="1"/>
      <w:numFmt w:val="decimal"/>
      <w:isLgl/>
      <w:lvlText w:val="%1.%2.%3.%4.%5.%6.%7.%8"/>
      <w:lvlJc w:val="left"/>
      <w:pPr>
        <w:ind w:left="1800" w:hanging="1800"/>
      </w:pPr>
      <w:rPr>
        <w:rFonts w:hint="default"/>
      </w:rPr>
    </w:lvl>
    <w:lvl w:ilvl="8" w:tentative="0">
      <w:start w:val="1"/>
      <w:numFmt w:val="decimal"/>
      <w:isLgl/>
      <w:lvlText w:val="%1.%2.%3.%4.%5.%6.%7.%8.%9"/>
      <w:lvlJc w:val="left"/>
      <w:pPr>
        <w:ind w:left="1800" w:hanging="1800"/>
      </w:pPr>
      <w:rPr>
        <w:rFonts w:hint="default"/>
      </w:rPr>
    </w:lvl>
  </w:abstractNum>
  <w:abstractNum w:abstractNumId="11">
    <w:nsid w:val="6E13B87B"/>
    <w:multiLevelType w:val="multilevel"/>
    <w:tmpl w:val="6E13B87B"/>
    <w:lvl w:ilvl="0" w:tentative="0">
      <w:start w:val="5"/>
      <w:numFmt w:val="decimal"/>
      <w:suff w:val="space"/>
      <w:lvlText w:val="%1"/>
      <w:lvlJc w:val="left"/>
      <w:pPr>
        <w:tabs>
          <w:tab w:val="left" w:pos="0"/>
        </w:tabs>
        <w:ind w:left="425" w:hanging="425"/>
      </w:pPr>
      <w:rPr>
        <w:rFonts w:hint="default"/>
      </w:rPr>
    </w:lvl>
    <w:lvl w:ilvl="1" w:tentative="0">
      <w:start w:val="1"/>
      <w:numFmt w:val="decimal"/>
      <w:suff w:val="space"/>
      <w:lvlText w:val="%1.%2"/>
      <w:lvlJc w:val="left"/>
      <w:pPr>
        <w:ind w:left="567" w:hanging="567"/>
      </w:pPr>
      <w:rPr>
        <w:rFonts w:hint="default"/>
      </w:rPr>
    </w:lvl>
    <w:lvl w:ilvl="2" w:tentative="0">
      <w:start w:val="1"/>
      <w:numFmt w:val="decimal"/>
      <w:suff w:val="space"/>
      <w:lvlText w:val="%1.%2.%3"/>
      <w:lvlJc w:val="left"/>
      <w:pPr>
        <w:tabs>
          <w:tab w:val="left" w:pos="0"/>
        </w:tabs>
        <w:ind w:left="0" w:firstLine="0"/>
      </w:pPr>
      <w:rPr>
        <w:rFonts w:hint="default" w:ascii="Calibri" w:hAnsi="Calibri" w:cs="Calibri"/>
        <w:b/>
        <w:bCs/>
        <w:sz w:val="24"/>
        <w:szCs w:val="24"/>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4"/>
  </w:num>
  <w:num w:numId="2">
    <w:abstractNumId w:val="10"/>
  </w:num>
  <w:num w:numId="3">
    <w:abstractNumId w:val="9"/>
  </w:num>
  <w:num w:numId="4">
    <w:abstractNumId w:val="6"/>
  </w:num>
  <w:num w:numId="5">
    <w:abstractNumId w:val="7"/>
  </w:num>
  <w:num w:numId="6">
    <w:abstractNumId w:val="5"/>
  </w:num>
  <w:num w:numId="7">
    <w:abstractNumId w:val="2"/>
  </w:num>
  <w:num w:numId="8">
    <w:abstractNumId w:val="8"/>
  </w:num>
  <w:num w:numId="9">
    <w:abstractNumId w:val="1"/>
  </w:num>
  <w:num w:numId="10">
    <w:abstractNumId w:val="0"/>
  </w:num>
  <w:num w:numId="11">
    <w:abstractNumId w:val="1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9"/>
  <w:bordersDoNotSurroundHeader w:val="0"/>
  <w:bordersDoNotSurroundFooter w:val="0"/>
  <w:hideSpellingErrors/>
  <w:documentProtection w:enforcement="0"/>
  <w:defaultTabStop w:val="420"/>
  <w:evenAndOddHeaders w:val="1"/>
  <w:drawingGridHorizontalSpacing w:val="12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YxMjc5Y2RmODZiNDBiODc0NzM4OWM3NDc0Yzk1Y2QifQ=="/>
  </w:docVars>
  <w:rsids>
    <w:rsidRoot w:val="006F54E5"/>
    <w:rsid w:val="0000031C"/>
    <w:rsid w:val="00001892"/>
    <w:rsid w:val="00001D0E"/>
    <w:rsid w:val="0000205C"/>
    <w:rsid w:val="00002B55"/>
    <w:rsid w:val="00003AB3"/>
    <w:rsid w:val="00003C4A"/>
    <w:rsid w:val="0000496E"/>
    <w:rsid w:val="0000516A"/>
    <w:rsid w:val="00005F58"/>
    <w:rsid w:val="00006101"/>
    <w:rsid w:val="00006CEF"/>
    <w:rsid w:val="00010D93"/>
    <w:rsid w:val="00010EAF"/>
    <w:rsid w:val="00010FFE"/>
    <w:rsid w:val="00012949"/>
    <w:rsid w:val="00012AE2"/>
    <w:rsid w:val="000132CC"/>
    <w:rsid w:val="00013354"/>
    <w:rsid w:val="0001365A"/>
    <w:rsid w:val="00013A5C"/>
    <w:rsid w:val="000143CD"/>
    <w:rsid w:val="0001509D"/>
    <w:rsid w:val="00015BA1"/>
    <w:rsid w:val="00015BB8"/>
    <w:rsid w:val="00020566"/>
    <w:rsid w:val="000205EB"/>
    <w:rsid w:val="00020A0C"/>
    <w:rsid w:val="00020D69"/>
    <w:rsid w:val="00022A44"/>
    <w:rsid w:val="000237B0"/>
    <w:rsid w:val="000241A1"/>
    <w:rsid w:val="00024364"/>
    <w:rsid w:val="000245E4"/>
    <w:rsid w:val="00025BF2"/>
    <w:rsid w:val="00026D74"/>
    <w:rsid w:val="000279B1"/>
    <w:rsid w:val="00027C0B"/>
    <w:rsid w:val="0003142F"/>
    <w:rsid w:val="00031545"/>
    <w:rsid w:val="00031B75"/>
    <w:rsid w:val="00032A70"/>
    <w:rsid w:val="00033A8E"/>
    <w:rsid w:val="00033AE0"/>
    <w:rsid w:val="00034478"/>
    <w:rsid w:val="00034872"/>
    <w:rsid w:val="00037C3C"/>
    <w:rsid w:val="00040537"/>
    <w:rsid w:val="000405D3"/>
    <w:rsid w:val="00040687"/>
    <w:rsid w:val="00040E79"/>
    <w:rsid w:val="0004146A"/>
    <w:rsid w:val="000416EC"/>
    <w:rsid w:val="00042F51"/>
    <w:rsid w:val="000445D2"/>
    <w:rsid w:val="00045563"/>
    <w:rsid w:val="000457D6"/>
    <w:rsid w:val="00045E05"/>
    <w:rsid w:val="000461C7"/>
    <w:rsid w:val="00046D14"/>
    <w:rsid w:val="0005001D"/>
    <w:rsid w:val="00050ADD"/>
    <w:rsid w:val="000524E1"/>
    <w:rsid w:val="00052623"/>
    <w:rsid w:val="00053B20"/>
    <w:rsid w:val="00054045"/>
    <w:rsid w:val="000546D4"/>
    <w:rsid w:val="0005470E"/>
    <w:rsid w:val="00055CB0"/>
    <w:rsid w:val="00055F4D"/>
    <w:rsid w:val="00055F85"/>
    <w:rsid w:val="00056E24"/>
    <w:rsid w:val="00057241"/>
    <w:rsid w:val="0006025B"/>
    <w:rsid w:val="0006044E"/>
    <w:rsid w:val="00060EFF"/>
    <w:rsid w:val="00061184"/>
    <w:rsid w:val="00061FD7"/>
    <w:rsid w:val="000621DE"/>
    <w:rsid w:val="0006309B"/>
    <w:rsid w:val="000638E3"/>
    <w:rsid w:val="00063D6C"/>
    <w:rsid w:val="000640BA"/>
    <w:rsid w:val="00065F3A"/>
    <w:rsid w:val="00067910"/>
    <w:rsid w:val="00067B56"/>
    <w:rsid w:val="00070599"/>
    <w:rsid w:val="00070A60"/>
    <w:rsid w:val="00071691"/>
    <w:rsid w:val="000729C5"/>
    <w:rsid w:val="00072B11"/>
    <w:rsid w:val="00073918"/>
    <w:rsid w:val="00074911"/>
    <w:rsid w:val="00074A82"/>
    <w:rsid w:val="00074A9E"/>
    <w:rsid w:val="000757AC"/>
    <w:rsid w:val="00075948"/>
    <w:rsid w:val="000775B8"/>
    <w:rsid w:val="00077D83"/>
    <w:rsid w:val="00080B6D"/>
    <w:rsid w:val="00081C0B"/>
    <w:rsid w:val="00081C11"/>
    <w:rsid w:val="00084151"/>
    <w:rsid w:val="00084194"/>
    <w:rsid w:val="00085918"/>
    <w:rsid w:val="00085E01"/>
    <w:rsid w:val="00086D30"/>
    <w:rsid w:val="00086EEC"/>
    <w:rsid w:val="00086F51"/>
    <w:rsid w:val="0008712F"/>
    <w:rsid w:val="00087A19"/>
    <w:rsid w:val="00087B55"/>
    <w:rsid w:val="0009002A"/>
    <w:rsid w:val="000915C6"/>
    <w:rsid w:val="000946BF"/>
    <w:rsid w:val="00094FF3"/>
    <w:rsid w:val="000966BD"/>
    <w:rsid w:val="00096FD2"/>
    <w:rsid w:val="00097405"/>
    <w:rsid w:val="000977A7"/>
    <w:rsid w:val="000A17DF"/>
    <w:rsid w:val="000A19D2"/>
    <w:rsid w:val="000A1F17"/>
    <w:rsid w:val="000A2C09"/>
    <w:rsid w:val="000A2D82"/>
    <w:rsid w:val="000A3D02"/>
    <w:rsid w:val="000A4854"/>
    <w:rsid w:val="000A4946"/>
    <w:rsid w:val="000A5AEF"/>
    <w:rsid w:val="000A5CCC"/>
    <w:rsid w:val="000A6402"/>
    <w:rsid w:val="000A6F5D"/>
    <w:rsid w:val="000B0D27"/>
    <w:rsid w:val="000B1506"/>
    <w:rsid w:val="000B1BF8"/>
    <w:rsid w:val="000B250A"/>
    <w:rsid w:val="000B2DB3"/>
    <w:rsid w:val="000B30A9"/>
    <w:rsid w:val="000B4776"/>
    <w:rsid w:val="000B63C9"/>
    <w:rsid w:val="000B6E76"/>
    <w:rsid w:val="000B76FD"/>
    <w:rsid w:val="000B7736"/>
    <w:rsid w:val="000B7B38"/>
    <w:rsid w:val="000C0A39"/>
    <w:rsid w:val="000C16C5"/>
    <w:rsid w:val="000C4CA3"/>
    <w:rsid w:val="000D014E"/>
    <w:rsid w:val="000D0420"/>
    <w:rsid w:val="000D07C5"/>
    <w:rsid w:val="000D14D7"/>
    <w:rsid w:val="000D1542"/>
    <w:rsid w:val="000D2969"/>
    <w:rsid w:val="000D2971"/>
    <w:rsid w:val="000D3CE4"/>
    <w:rsid w:val="000D4001"/>
    <w:rsid w:val="000D403D"/>
    <w:rsid w:val="000D42E3"/>
    <w:rsid w:val="000D46D5"/>
    <w:rsid w:val="000D658D"/>
    <w:rsid w:val="000D7E7E"/>
    <w:rsid w:val="000E05A6"/>
    <w:rsid w:val="000E0901"/>
    <w:rsid w:val="000E0AE1"/>
    <w:rsid w:val="000E199C"/>
    <w:rsid w:val="000E32F4"/>
    <w:rsid w:val="000E35C7"/>
    <w:rsid w:val="000E3EB1"/>
    <w:rsid w:val="000E47FC"/>
    <w:rsid w:val="000E5A1B"/>
    <w:rsid w:val="000E68D9"/>
    <w:rsid w:val="000E732A"/>
    <w:rsid w:val="000E76FD"/>
    <w:rsid w:val="000E7DBD"/>
    <w:rsid w:val="000E7E72"/>
    <w:rsid w:val="000F1A8D"/>
    <w:rsid w:val="000F1DA9"/>
    <w:rsid w:val="000F23D5"/>
    <w:rsid w:val="000F2AF6"/>
    <w:rsid w:val="000F2CC7"/>
    <w:rsid w:val="000F3D41"/>
    <w:rsid w:val="000F4003"/>
    <w:rsid w:val="000F5597"/>
    <w:rsid w:val="00100865"/>
    <w:rsid w:val="00100CB2"/>
    <w:rsid w:val="00101468"/>
    <w:rsid w:val="0010148C"/>
    <w:rsid w:val="0010189F"/>
    <w:rsid w:val="001026F0"/>
    <w:rsid w:val="001028F1"/>
    <w:rsid w:val="00102BD3"/>
    <w:rsid w:val="0010328B"/>
    <w:rsid w:val="00103964"/>
    <w:rsid w:val="00103E3A"/>
    <w:rsid w:val="00104DA4"/>
    <w:rsid w:val="00105A51"/>
    <w:rsid w:val="00107583"/>
    <w:rsid w:val="001101E4"/>
    <w:rsid w:val="00110A03"/>
    <w:rsid w:val="00110A81"/>
    <w:rsid w:val="00110CCE"/>
    <w:rsid w:val="0011104D"/>
    <w:rsid w:val="0011107D"/>
    <w:rsid w:val="001118B0"/>
    <w:rsid w:val="0011327B"/>
    <w:rsid w:val="001134C8"/>
    <w:rsid w:val="00113C6A"/>
    <w:rsid w:val="00115952"/>
    <w:rsid w:val="00115F57"/>
    <w:rsid w:val="00116B8D"/>
    <w:rsid w:val="00116C53"/>
    <w:rsid w:val="00120733"/>
    <w:rsid w:val="001207AF"/>
    <w:rsid w:val="001208FD"/>
    <w:rsid w:val="001209F2"/>
    <w:rsid w:val="00120A03"/>
    <w:rsid w:val="00120BC5"/>
    <w:rsid w:val="00120D9F"/>
    <w:rsid w:val="001218CB"/>
    <w:rsid w:val="00123962"/>
    <w:rsid w:val="001245C1"/>
    <w:rsid w:val="00124BEF"/>
    <w:rsid w:val="00125755"/>
    <w:rsid w:val="00125ACE"/>
    <w:rsid w:val="00125BEC"/>
    <w:rsid w:val="00126954"/>
    <w:rsid w:val="00130A28"/>
    <w:rsid w:val="00131EA7"/>
    <w:rsid w:val="00132628"/>
    <w:rsid w:val="00133267"/>
    <w:rsid w:val="00133679"/>
    <w:rsid w:val="00133CA0"/>
    <w:rsid w:val="001340BB"/>
    <w:rsid w:val="001341AD"/>
    <w:rsid w:val="0013555D"/>
    <w:rsid w:val="00136644"/>
    <w:rsid w:val="0013757A"/>
    <w:rsid w:val="00140330"/>
    <w:rsid w:val="001406BE"/>
    <w:rsid w:val="0014074D"/>
    <w:rsid w:val="00140A93"/>
    <w:rsid w:val="00142529"/>
    <w:rsid w:val="00142901"/>
    <w:rsid w:val="0014340C"/>
    <w:rsid w:val="00143484"/>
    <w:rsid w:val="00143ADC"/>
    <w:rsid w:val="001468AA"/>
    <w:rsid w:val="00147D2E"/>
    <w:rsid w:val="00150A77"/>
    <w:rsid w:val="00151959"/>
    <w:rsid w:val="00153516"/>
    <w:rsid w:val="00157F91"/>
    <w:rsid w:val="001601CA"/>
    <w:rsid w:val="00160645"/>
    <w:rsid w:val="001608ED"/>
    <w:rsid w:val="00161378"/>
    <w:rsid w:val="00161E59"/>
    <w:rsid w:val="0016250D"/>
    <w:rsid w:val="00164DEC"/>
    <w:rsid w:val="00170607"/>
    <w:rsid w:val="00171337"/>
    <w:rsid w:val="00171F6B"/>
    <w:rsid w:val="0017262C"/>
    <w:rsid w:val="00173BE3"/>
    <w:rsid w:val="0017409E"/>
    <w:rsid w:val="0017410A"/>
    <w:rsid w:val="00174A08"/>
    <w:rsid w:val="00175652"/>
    <w:rsid w:val="001759FA"/>
    <w:rsid w:val="00177E28"/>
    <w:rsid w:val="00180C41"/>
    <w:rsid w:val="001825E7"/>
    <w:rsid w:val="00183102"/>
    <w:rsid w:val="00183844"/>
    <w:rsid w:val="00187A80"/>
    <w:rsid w:val="0019045D"/>
    <w:rsid w:val="001906B8"/>
    <w:rsid w:val="001918F8"/>
    <w:rsid w:val="00192839"/>
    <w:rsid w:val="00193B9A"/>
    <w:rsid w:val="00193C62"/>
    <w:rsid w:val="001947EF"/>
    <w:rsid w:val="00194C0F"/>
    <w:rsid w:val="00195143"/>
    <w:rsid w:val="0019529B"/>
    <w:rsid w:val="001956EA"/>
    <w:rsid w:val="00196A79"/>
    <w:rsid w:val="001A2567"/>
    <w:rsid w:val="001A2612"/>
    <w:rsid w:val="001A27DF"/>
    <w:rsid w:val="001A2824"/>
    <w:rsid w:val="001A2ED5"/>
    <w:rsid w:val="001A3625"/>
    <w:rsid w:val="001A418A"/>
    <w:rsid w:val="001A49FC"/>
    <w:rsid w:val="001A5778"/>
    <w:rsid w:val="001A5DAC"/>
    <w:rsid w:val="001B07F2"/>
    <w:rsid w:val="001B2571"/>
    <w:rsid w:val="001B28F5"/>
    <w:rsid w:val="001B2EDF"/>
    <w:rsid w:val="001B3425"/>
    <w:rsid w:val="001B3513"/>
    <w:rsid w:val="001B517E"/>
    <w:rsid w:val="001B56C4"/>
    <w:rsid w:val="001B6178"/>
    <w:rsid w:val="001B73DA"/>
    <w:rsid w:val="001B7461"/>
    <w:rsid w:val="001C0A4D"/>
    <w:rsid w:val="001C10A7"/>
    <w:rsid w:val="001C3BD2"/>
    <w:rsid w:val="001C594A"/>
    <w:rsid w:val="001C602F"/>
    <w:rsid w:val="001D0071"/>
    <w:rsid w:val="001D0384"/>
    <w:rsid w:val="001D0D5A"/>
    <w:rsid w:val="001D1088"/>
    <w:rsid w:val="001D1730"/>
    <w:rsid w:val="001D2530"/>
    <w:rsid w:val="001D337F"/>
    <w:rsid w:val="001D3C3B"/>
    <w:rsid w:val="001D3DE9"/>
    <w:rsid w:val="001D412D"/>
    <w:rsid w:val="001D6FEC"/>
    <w:rsid w:val="001D73F3"/>
    <w:rsid w:val="001E0512"/>
    <w:rsid w:val="001E06B4"/>
    <w:rsid w:val="001E1091"/>
    <w:rsid w:val="001E2D43"/>
    <w:rsid w:val="001E3E27"/>
    <w:rsid w:val="001E4344"/>
    <w:rsid w:val="001E5097"/>
    <w:rsid w:val="001E6C42"/>
    <w:rsid w:val="001E7D02"/>
    <w:rsid w:val="001E7D1A"/>
    <w:rsid w:val="001E7D81"/>
    <w:rsid w:val="001F016F"/>
    <w:rsid w:val="001F037E"/>
    <w:rsid w:val="001F0570"/>
    <w:rsid w:val="001F2700"/>
    <w:rsid w:val="001F3C71"/>
    <w:rsid w:val="001F404D"/>
    <w:rsid w:val="001F6801"/>
    <w:rsid w:val="001F6B9A"/>
    <w:rsid w:val="001F6FC5"/>
    <w:rsid w:val="001F6FE9"/>
    <w:rsid w:val="00200F62"/>
    <w:rsid w:val="002026AE"/>
    <w:rsid w:val="00202D74"/>
    <w:rsid w:val="002032EF"/>
    <w:rsid w:val="00204FD1"/>
    <w:rsid w:val="00205759"/>
    <w:rsid w:val="002062B0"/>
    <w:rsid w:val="00207BC7"/>
    <w:rsid w:val="00210248"/>
    <w:rsid w:val="002129AE"/>
    <w:rsid w:val="00212C03"/>
    <w:rsid w:val="00212D69"/>
    <w:rsid w:val="00213885"/>
    <w:rsid w:val="002149C9"/>
    <w:rsid w:val="00214D09"/>
    <w:rsid w:val="0021794D"/>
    <w:rsid w:val="002215A9"/>
    <w:rsid w:val="00221E20"/>
    <w:rsid w:val="00222680"/>
    <w:rsid w:val="00222D79"/>
    <w:rsid w:val="002230F7"/>
    <w:rsid w:val="00223622"/>
    <w:rsid w:val="00224090"/>
    <w:rsid w:val="002246A5"/>
    <w:rsid w:val="0022480F"/>
    <w:rsid w:val="00224986"/>
    <w:rsid w:val="002249FA"/>
    <w:rsid w:val="00224FE7"/>
    <w:rsid w:val="002250D1"/>
    <w:rsid w:val="00225172"/>
    <w:rsid w:val="00226872"/>
    <w:rsid w:val="00230418"/>
    <w:rsid w:val="00232544"/>
    <w:rsid w:val="00232B2A"/>
    <w:rsid w:val="002334BD"/>
    <w:rsid w:val="0023432A"/>
    <w:rsid w:val="002351AA"/>
    <w:rsid w:val="00235C6C"/>
    <w:rsid w:val="00235EA6"/>
    <w:rsid w:val="00235ECA"/>
    <w:rsid w:val="00236B27"/>
    <w:rsid w:val="00236F9A"/>
    <w:rsid w:val="00240999"/>
    <w:rsid w:val="00241460"/>
    <w:rsid w:val="00241897"/>
    <w:rsid w:val="00241CB3"/>
    <w:rsid w:val="00242781"/>
    <w:rsid w:val="00242A35"/>
    <w:rsid w:val="00243FCB"/>
    <w:rsid w:val="00244B96"/>
    <w:rsid w:val="002450DC"/>
    <w:rsid w:val="00245D85"/>
    <w:rsid w:val="00247263"/>
    <w:rsid w:val="002477FC"/>
    <w:rsid w:val="00250F8A"/>
    <w:rsid w:val="002528B5"/>
    <w:rsid w:val="00252ED3"/>
    <w:rsid w:val="00253626"/>
    <w:rsid w:val="00255499"/>
    <w:rsid w:val="00255F04"/>
    <w:rsid w:val="0025698B"/>
    <w:rsid w:val="002572A7"/>
    <w:rsid w:val="00257E95"/>
    <w:rsid w:val="00260142"/>
    <w:rsid w:val="002610F2"/>
    <w:rsid w:val="00261166"/>
    <w:rsid w:val="002621D7"/>
    <w:rsid w:val="002623E0"/>
    <w:rsid w:val="002624B9"/>
    <w:rsid w:val="002626DB"/>
    <w:rsid w:val="00263395"/>
    <w:rsid w:val="00263578"/>
    <w:rsid w:val="00264F07"/>
    <w:rsid w:val="002652FE"/>
    <w:rsid w:val="00265925"/>
    <w:rsid w:val="002669C6"/>
    <w:rsid w:val="0026715B"/>
    <w:rsid w:val="0026750A"/>
    <w:rsid w:val="002702B2"/>
    <w:rsid w:val="00270360"/>
    <w:rsid w:val="00270BD1"/>
    <w:rsid w:val="002728CF"/>
    <w:rsid w:val="002736A0"/>
    <w:rsid w:val="00273EC4"/>
    <w:rsid w:val="00274160"/>
    <w:rsid w:val="002741E1"/>
    <w:rsid w:val="00275503"/>
    <w:rsid w:val="00275D97"/>
    <w:rsid w:val="00276340"/>
    <w:rsid w:val="00277C0E"/>
    <w:rsid w:val="002811D2"/>
    <w:rsid w:val="00282D1F"/>
    <w:rsid w:val="0028319E"/>
    <w:rsid w:val="00283303"/>
    <w:rsid w:val="0028346D"/>
    <w:rsid w:val="00284A6D"/>
    <w:rsid w:val="00284DBB"/>
    <w:rsid w:val="00286B4A"/>
    <w:rsid w:val="0029041A"/>
    <w:rsid w:val="00290C65"/>
    <w:rsid w:val="00292C52"/>
    <w:rsid w:val="00293993"/>
    <w:rsid w:val="00294370"/>
    <w:rsid w:val="002958FB"/>
    <w:rsid w:val="00295942"/>
    <w:rsid w:val="00295A4D"/>
    <w:rsid w:val="002969E3"/>
    <w:rsid w:val="00297334"/>
    <w:rsid w:val="002A0465"/>
    <w:rsid w:val="002A15C7"/>
    <w:rsid w:val="002A1880"/>
    <w:rsid w:val="002A1DE6"/>
    <w:rsid w:val="002A3E6B"/>
    <w:rsid w:val="002A46EA"/>
    <w:rsid w:val="002A4B3E"/>
    <w:rsid w:val="002A555A"/>
    <w:rsid w:val="002A61FF"/>
    <w:rsid w:val="002B11D6"/>
    <w:rsid w:val="002B20BA"/>
    <w:rsid w:val="002B2B00"/>
    <w:rsid w:val="002B2C72"/>
    <w:rsid w:val="002B32A8"/>
    <w:rsid w:val="002B3999"/>
    <w:rsid w:val="002B3A68"/>
    <w:rsid w:val="002B57AD"/>
    <w:rsid w:val="002B6CAF"/>
    <w:rsid w:val="002B7BDB"/>
    <w:rsid w:val="002C0639"/>
    <w:rsid w:val="002C24AD"/>
    <w:rsid w:val="002C2A1B"/>
    <w:rsid w:val="002C2BFD"/>
    <w:rsid w:val="002C3CFF"/>
    <w:rsid w:val="002C3FC6"/>
    <w:rsid w:val="002C5D11"/>
    <w:rsid w:val="002C5E2A"/>
    <w:rsid w:val="002C6DBA"/>
    <w:rsid w:val="002D0231"/>
    <w:rsid w:val="002D034D"/>
    <w:rsid w:val="002D3433"/>
    <w:rsid w:val="002D4A3C"/>
    <w:rsid w:val="002D4AE7"/>
    <w:rsid w:val="002D51A8"/>
    <w:rsid w:val="002D5C0A"/>
    <w:rsid w:val="002D5CDD"/>
    <w:rsid w:val="002D6F1F"/>
    <w:rsid w:val="002E1093"/>
    <w:rsid w:val="002E1A1F"/>
    <w:rsid w:val="002E2A8B"/>
    <w:rsid w:val="002E5C13"/>
    <w:rsid w:val="002E5C3E"/>
    <w:rsid w:val="002E69AE"/>
    <w:rsid w:val="002F024A"/>
    <w:rsid w:val="002F054C"/>
    <w:rsid w:val="002F08FC"/>
    <w:rsid w:val="002F234A"/>
    <w:rsid w:val="002F2C47"/>
    <w:rsid w:val="002F3425"/>
    <w:rsid w:val="002F37D9"/>
    <w:rsid w:val="002F3950"/>
    <w:rsid w:val="002F3DF2"/>
    <w:rsid w:val="002F4A1E"/>
    <w:rsid w:val="002F56B2"/>
    <w:rsid w:val="002F573B"/>
    <w:rsid w:val="002F6436"/>
    <w:rsid w:val="002F7AD2"/>
    <w:rsid w:val="003008B0"/>
    <w:rsid w:val="00300E26"/>
    <w:rsid w:val="0030131D"/>
    <w:rsid w:val="0030134E"/>
    <w:rsid w:val="00301975"/>
    <w:rsid w:val="00301E78"/>
    <w:rsid w:val="00301F8E"/>
    <w:rsid w:val="00301FB3"/>
    <w:rsid w:val="003026CB"/>
    <w:rsid w:val="00303751"/>
    <w:rsid w:val="003044BA"/>
    <w:rsid w:val="003049AF"/>
    <w:rsid w:val="00304D95"/>
    <w:rsid w:val="00304EAA"/>
    <w:rsid w:val="00306BBF"/>
    <w:rsid w:val="00306CBB"/>
    <w:rsid w:val="0030744F"/>
    <w:rsid w:val="00307597"/>
    <w:rsid w:val="00307B9A"/>
    <w:rsid w:val="00310618"/>
    <w:rsid w:val="00310A11"/>
    <w:rsid w:val="00311A82"/>
    <w:rsid w:val="00312D7E"/>
    <w:rsid w:val="0031313B"/>
    <w:rsid w:val="00313253"/>
    <w:rsid w:val="0031349D"/>
    <w:rsid w:val="00316B2C"/>
    <w:rsid w:val="00316DB2"/>
    <w:rsid w:val="00317264"/>
    <w:rsid w:val="00317A90"/>
    <w:rsid w:val="003202CD"/>
    <w:rsid w:val="003213A6"/>
    <w:rsid w:val="00321401"/>
    <w:rsid w:val="00324863"/>
    <w:rsid w:val="00324EB5"/>
    <w:rsid w:val="003252BE"/>
    <w:rsid w:val="00326B08"/>
    <w:rsid w:val="003276A2"/>
    <w:rsid w:val="003307F6"/>
    <w:rsid w:val="00330BA3"/>
    <w:rsid w:val="003315CE"/>
    <w:rsid w:val="003316CD"/>
    <w:rsid w:val="003322E3"/>
    <w:rsid w:val="00332832"/>
    <w:rsid w:val="00333063"/>
    <w:rsid w:val="003342A7"/>
    <w:rsid w:val="00335422"/>
    <w:rsid w:val="00335ED0"/>
    <w:rsid w:val="003371DF"/>
    <w:rsid w:val="0033745C"/>
    <w:rsid w:val="00337F19"/>
    <w:rsid w:val="0034059B"/>
    <w:rsid w:val="00340C6F"/>
    <w:rsid w:val="00340E12"/>
    <w:rsid w:val="00341E68"/>
    <w:rsid w:val="00342910"/>
    <w:rsid w:val="00342BE0"/>
    <w:rsid w:val="003444C9"/>
    <w:rsid w:val="00345840"/>
    <w:rsid w:val="003467CF"/>
    <w:rsid w:val="00346B22"/>
    <w:rsid w:val="0034727F"/>
    <w:rsid w:val="00347D95"/>
    <w:rsid w:val="00350551"/>
    <w:rsid w:val="0035205A"/>
    <w:rsid w:val="00352075"/>
    <w:rsid w:val="0035218F"/>
    <w:rsid w:val="003522F6"/>
    <w:rsid w:val="003525AF"/>
    <w:rsid w:val="00352756"/>
    <w:rsid w:val="00352942"/>
    <w:rsid w:val="00353C87"/>
    <w:rsid w:val="003556C6"/>
    <w:rsid w:val="00356678"/>
    <w:rsid w:val="0035674A"/>
    <w:rsid w:val="003569F2"/>
    <w:rsid w:val="00356AB9"/>
    <w:rsid w:val="00357912"/>
    <w:rsid w:val="00360029"/>
    <w:rsid w:val="0036014A"/>
    <w:rsid w:val="00362429"/>
    <w:rsid w:val="0036585D"/>
    <w:rsid w:val="00366484"/>
    <w:rsid w:val="003677C3"/>
    <w:rsid w:val="00367E64"/>
    <w:rsid w:val="003703C3"/>
    <w:rsid w:val="0037043F"/>
    <w:rsid w:val="00370652"/>
    <w:rsid w:val="00370835"/>
    <w:rsid w:val="003709E5"/>
    <w:rsid w:val="00372A0D"/>
    <w:rsid w:val="00373224"/>
    <w:rsid w:val="00373428"/>
    <w:rsid w:val="003748AC"/>
    <w:rsid w:val="003753BE"/>
    <w:rsid w:val="003754DC"/>
    <w:rsid w:val="0037563A"/>
    <w:rsid w:val="00376345"/>
    <w:rsid w:val="00376EB9"/>
    <w:rsid w:val="003778DC"/>
    <w:rsid w:val="00377B7B"/>
    <w:rsid w:val="00381B7B"/>
    <w:rsid w:val="00381F0E"/>
    <w:rsid w:val="00382F16"/>
    <w:rsid w:val="003843DB"/>
    <w:rsid w:val="003844EC"/>
    <w:rsid w:val="003846AD"/>
    <w:rsid w:val="00385529"/>
    <w:rsid w:val="00387432"/>
    <w:rsid w:val="00387AAF"/>
    <w:rsid w:val="00387AE8"/>
    <w:rsid w:val="00391BA7"/>
    <w:rsid w:val="003921BB"/>
    <w:rsid w:val="003924A8"/>
    <w:rsid w:val="00392DBA"/>
    <w:rsid w:val="00392E70"/>
    <w:rsid w:val="003933D5"/>
    <w:rsid w:val="00393C42"/>
    <w:rsid w:val="00393DDA"/>
    <w:rsid w:val="00393F22"/>
    <w:rsid w:val="003949EC"/>
    <w:rsid w:val="00396387"/>
    <w:rsid w:val="003965B3"/>
    <w:rsid w:val="00396C97"/>
    <w:rsid w:val="00397825"/>
    <w:rsid w:val="003A068C"/>
    <w:rsid w:val="003A1604"/>
    <w:rsid w:val="003A2BAB"/>
    <w:rsid w:val="003A32AF"/>
    <w:rsid w:val="003A3DD7"/>
    <w:rsid w:val="003A487E"/>
    <w:rsid w:val="003A5C9F"/>
    <w:rsid w:val="003A6485"/>
    <w:rsid w:val="003A72F4"/>
    <w:rsid w:val="003A7492"/>
    <w:rsid w:val="003A78D7"/>
    <w:rsid w:val="003A7F5B"/>
    <w:rsid w:val="003B0625"/>
    <w:rsid w:val="003B0A92"/>
    <w:rsid w:val="003B0E90"/>
    <w:rsid w:val="003B15B5"/>
    <w:rsid w:val="003B2023"/>
    <w:rsid w:val="003B3F9C"/>
    <w:rsid w:val="003B4226"/>
    <w:rsid w:val="003B7018"/>
    <w:rsid w:val="003B7464"/>
    <w:rsid w:val="003C021B"/>
    <w:rsid w:val="003C3B84"/>
    <w:rsid w:val="003C499B"/>
    <w:rsid w:val="003C572B"/>
    <w:rsid w:val="003C57E8"/>
    <w:rsid w:val="003C59B7"/>
    <w:rsid w:val="003C6496"/>
    <w:rsid w:val="003C7473"/>
    <w:rsid w:val="003C7D99"/>
    <w:rsid w:val="003D11A3"/>
    <w:rsid w:val="003D1554"/>
    <w:rsid w:val="003D15A7"/>
    <w:rsid w:val="003D213E"/>
    <w:rsid w:val="003D2F5A"/>
    <w:rsid w:val="003D3658"/>
    <w:rsid w:val="003D3DDA"/>
    <w:rsid w:val="003D3FCA"/>
    <w:rsid w:val="003D5962"/>
    <w:rsid w:val="003D5B02"/>
    <w:rsid w:val="003D623B"/>
    <w:rsid w:val="003D6A90"/>
    <w:rsid w:val="003D6AEC"/>
    <w:rsid w:val="003E10E9"/>
    <w:rsid w:val="003E2C4E"/>
    <w:rsid w:val="003E44D9"/>
    <w:rsid w:val="003E567F"/>
    <w:rsid w:val="003E73D4"/>
    <w:rsid w:val="003E7AC1"/>
    <w:rsid w:val="003F0298"/>
    <w:rsid w:val="003F0458"/>
    <w:rsid w:val="003F262A"/>
    <w:rsid w:val="003F2697"/>
    <w:rsid w:val="003F316A"/>
    <w:rsid w:val="003F470E"/>
    <w:rsid w:val="003F4E71"/>
    <w:rsid w:val="003F5555"/>
    <w:rsid w:val="003F74B9"/>
    <w:rsid w:val="004007C0"/>
    <w:rsid w:val="00401713"/>
    <w:rsid w:val="0040178F"/>
    <w:rsid w:val="004032C1"/>
    <w:rsid w:val="00403FDA"/>
    <w:rsid w:val="00406183"/>
    <w:rsid w:val="00406B9B"/>
    <w:rsid w:val="004100DB"/>
    <w:rsid w:val="00411888"/>
    <w:rsid w:val="00412131"/>
    <w:rsid w:val="00412A53"/>
    <w:rsid w:val="0041358C"/>
    <w:rsid w:val="00413D3C"/>
    <w:rsid w:val="00415657"/>
    <w:rsid w:val="00417031"/>
    <w:rsid w:val="004202CA"/>
    <w:rsid w:val="00420A29"/>
    <w:rsid w:val="004211C5"/>
    <w:rsid w:val="00421641"/>
    <w:rsid w:val="00421963"/>
    <w:rsid w:val="004225F9"/>
    <w:rsid w:val="004252F1"/>
    <w:rsid w:val="004257B2"/>
    <w:rsid w:val="0042601D"/>
    <w:rsid w:val="00426357"/>
    <w:rsid w:val="00427105"/>
    <w:rsid w:val="00427457"/>
    <w:rsid w:val="00431288"/>
    <w:rsid w:val="004316BD"/>
    <w:rsid w:val="004316D8"/>
    <w:rsid w:val="00431A80"/>
    <w:rsid w:val="00433F7D"/>
    <w:rsid w:val="00434C11"/>
    <w:rsid w:val="00436F1A"/>
    <w:rsid w:val="004425DC"/>
    <w:rsid w:val="0044405A"/>
    <w:rsid w:val="004456F0"/>
    <w:rsid w:val="004469AF"/>
    <w:rsid w:val="00447A11"/>
    <w:rsid w:val="004501A2"/>
    <w:rsid w:val="0045028B"/>
    <w:rsid w:val="00450359"/>
    <w:rsid w:val="00450DDC"/>
    <w:rsid w:val="00451667"/>
    <w:rsid w:val="00451DD2"/>
    <w:rsid w:val="0045231F"/>
    <w:rsid w:val="0045240D"/>
    <w:rsid w:val="00454113"/>
    <w:rsid w:val="00454279"/>
    <w:rsid w:val="00454DA0"/>
    <w:rsid w:val="00455A62"/>
    <w:rsid w:val="00455C11"/>
    <w:rsid w:val="004561A2"/>
    <w:rsid w:val="00456B61"/>
    <w:rsid w:val="00460F7C"/>
    <w:rsid w:val="0046134B"/>
    <w:rsid w:val="00461E81"/>
    <w:rsid w:val="00461F53"/>
    <w:rsid w:val="0046209A"/>
    <w:rsid w:val="00462B55"/>
    <w:rsid w:val="0046503C"/>
    <w:rsid w:val="00465E26"/>
    <w:rsid w:val="00466113"/>
    <w:rsid w:val="00466636"/>
    <w:rsid w:val="00466EC5"/>
    <w:rsid w:val="0046745F"/>
    <w:rsid w:val="0047075F"/>
    <w:rsid w:val="00471431"/>
    <w:rsid w:val="00472FED"/>
    <w:rsid w:val="00474A02"/>
    <w:rsid w:val="00475A4A"/>
    <w:rsid w:val="00481479"/>
    <w:rsid w:val="00481486"/>
    <w:rsid w:val="0048266F"/>
    <w:rsid w:val="00482F83"/>
    <w:rsid w:val="00482FD1"/>
    <w:rsid w:val="00483271"/>
    <w:rsid w:val="00483BE8"/>
    <w:rsid w:val="00484311"/>
    <w:rsid w:val="004844CC"/>
    <w:rsid w:val="00484BC9"/>
    <w:rsid w:val="00484F3D"/>
    <w:rsid w:val="00485875"/>
    <w:rsid w:val="00486CA4"/>
    <w:rsid w:val="004875AE"/>
    <w:rsid w:val="00487FCB"/>
    <w:rsid w:val="00490DDF"/>
    <w:rsid w:val="00492227"/>
    <w:rsid w:val="0049253E"/>
    <w:rsid w:val="00493552"/>
    <w:rsid w:val="00493B15"/>
    <w:rsid w:val="00495C4F"/>
    <w:rsid w:val="004961A5"/>
    <w:rsid w:val="0049674E"/>
    <w:rsid w:val="00497BAA"/>
    <w:rsid w:val="004A1924"/>
    <w:rsid w:val="004A19F4"/>
    <w:rsid w:val="004A1A89"/>
    <w:rsid w:val="004A1F49"/>
    <w:rsid w:val="004A27E7"/>
    <w:rsid w:val="004A3E43"/>
    <w:rsid w:val="004A4CCE"/>
    <w:rsid w:val="004A574A"/>
    <w:rsid w:val="004A5DA3"/>
    <w:rsid w:val="004A649E"/>
    <w:rsid w:val="004A6C00"/>
    <w:rsid w:val="004B1183"/>
    <w:rsid w:val="004B11A8"/>
    <w:rsid w:val="004B18EB"/>
    <w:rsid w:val="004B1B3D"/>
    <w:rsid w:val="004B2449"/>
    <w:rsid w:val="004B28BD"/>
    <w:rsid w:val="004B4169"/>
    <w:rsid w:val="004B4235"/>
    <w:rsid w:val="004B48C2"/>
    <w:rsid w:val="004B4BF6"/>
    <w:rsid w:val="004B64E3"/>
    <w:rsid w:val="004B7067"/>
    <w:rsid w:val="004B71CC"/>
    <w:rsid w:val="004B779E"/>
    <w:rsid w:val="004C1048"/>
    <w:rsid w:val="004C1972"/>
    <w:rsid w:val="004C2C94"/>
    <w:rsid w:val="004C358D"/>
    <w:rsid w:val="004C431D"/>
    <w:rsid w:val="004C50D0"/>
    <w:rsid w:val="004C52F4"/>
    <w:rsid w:val="004C5DF8"/>
    <w:rsid w:val="004C6722"/>
    <w:rsid w:val="004C6CB9"/>
    <w:rsid w:val="004C73BB"/>
    <w:rsid w:val="004C79CA"/>
    <w:rsid w:val="004D14D1"/>
    <w:rsid w:val="004D3E9D"/>
    <w:rsid w:val="004D50A7"/>
    <w:rsid w:val="004D56C7"/>
    <w:rsid w:val="004D65D5"/>
    <w:rsid w:val="004D7264"/>
    <w:rsid w:val="004D74BF"/>
    <w:rsid w:val="004D7EEB"/>
    <w:rsid w:val="004E0BA2"/>
    <w:rsid w:val="004E12FE"/>
    <w:rsid w:val="004E1D5F"/>
    <w:rsid w:val="004E3869"/>
    <w:rsid w:val="004E3B6F"/>
    <w:rsid w:val="004E41D0"/>
    <w:rsid w:val="004E4993"/>
    <w:rsid w:val="004E49E8"/>
    <w:rsid w:val="004E4FDD"/>
    <w:rsid w:val="004E58BB"/>
    <w:rsid w:val="004E64F0"/>
    <w:rsid w:val="004E6E43"/>
    <w:rsid w:val="004E739C"/>
    <w:rsid w:val="004E7597"/>
    <w:rsid w:val="004F44B9"/>
    <w:rsid w:val="004F6B0D"/>
    <w:rsid w:val="004F6B52"/>
    <w:rsid w:val="004F6DBF"/>
    <w:rsid w:val="004F6DE0"/>
    <w:rsid w:val="00500386"/>
    <w:rsid w:val="005006F0"/>
    <w:rsid w:val="00501147"/>
    <w:rsid w:val="005020C5"/>
    <w:rsid w:val="00502606"/>
    <w:rsid w:val="00503064"/>
    <w:rsid w:val="0050374D"/>
    <w:rsid w:val="005039A9"/>
    <w:rsid w:val="005048A0"/>
    <w:rsid w:val="0050578F"/>
    <w:rsid w:val="0050595F"/>
    <w:rsid w:val="0050727A"/>
    <w:rsid w:val="005072A2"/>
    <w:rsid w:val="00507595"/>
    <w:rsid w:val="005078F4"/>
    <w:rsid w:val="00507E2D"/>
    <w:rsid w:val="0051006C"/>
    <w:rsid w:val="00511AA6"/>
    <w:rsid w:val="005131F2"/>
    <w:rsid w:val="00514033"/>
    <w:rsid w:val="0051438D"/>
    <w:rsid w:val="00514B47"/>
    <w:rsid w:val="00515B9A"/>
    <w:rsid w:val="00515BBC"/>
    <w:rsid w:val="00515E68"/>
    <w:rsid w:val="00515EF2"/>
    <w:rsid w:val="005162BE"/>
    <w:rsid w:val="00517264"/>
    <w:rsid w:val="0051729D"/>
    <w:rsid w:val="0051797B"/>
    <w:rsid w:val="00520074"/>
    <w:rsid w:val="0052025E"/>
    <w:rsid w:val="005207DA"/>
    <w:rsid w:val="00522252"/>
    <w:rsid w:val="0052242F"/>
    <w:rsid w:val="00522651"/>
    <w:rsid w:val="005226B8"/>
    <w:rsid w:val="00524025"/>
    <w:rsid w:val="00525C7B"/>
    <w:rsid w:val="005265C9"/>
    <w:rsid w:val="00526E34"/>
    <w:rsid w:val="005279E1"/>
    <w:rsid w:val="00527E0A"/>
    <w:rsid w:val="0053088D"/>
    <w:rsid w:val="00530CDD"/>
    <w:rsid w:val="00530D47"/>
    <w:rsid w:val="00531192"/>
    <w:rsid w:val="005323CE"/>
    <w:rsid w:val="00532453"/>
    <w:rsid w:val="0053245A"/>
    <w:rsid w:val="0053335E"/>
    <w:rsid w:val="00534239"/>
    <w:rsid w:val="00535BF2"/>
    <w:rsid w:val="00535DAA"/>
    <w:rsid w:val="0053693C"/>
    <w:rsid w:val="00536E51"/>
    <w:rsid w:val="00536F5F"/>
    <w:rsid w:val="00537F02"/>
    <w:rsid w:val="00537F5A"/>
    <w:rsid w:val="00537FCE"/>
    <w:rsid w:val="00541B23"/>
    <w:rsid w:val="00542156"/>
    <w:rsid w:val="005429F8"/>
    <w:rsid w:val="00542BF8"/>
    <w:rsid w:val="00543280"/>
    <w:rsid w:val="0054333E"/>
    <w:rsid w:val="005438A0"/>
    <w:rsid w:val="005459FB"/>
    <w:rsid w:val="00546690"/>
    <w:rsid w:val="00546BAB"/>
    <w:rsid w:val="00546BDF"/>
    <w:rsid w:val="005477FF"/>
    <w:rsid w:val="0054781B"/>
    <w:rsid w:val="005479E7"/>
    <w:rsid w:val="0055132C"/>
    <w:rsid w:val="00552F28"/>
    <w:rsid w:val="00553876"/>
    <w:rsid w:val="0055397C"/>
    <w:rsid w:val="00553F02"/>
    <w:rsid w:val="005547BC"/>
    <w:rsid w:val="00557161"/>
    <w:rsid w:val="005603F3"/>
    <w:rsid w:val="005606EA"/>
    <w:rsid w:val="0056182D"/>
    <w:rsid w:val="00562993"/>
    <w:rsid w:val="0056306E"/>
    <w:rsid w:val="005633CE"/>
    <w:rsid w:val="00563710"/>
    <w:rsid w:val="005640A2"/>
    <w:rsid w:val="00566A91"/>
    <w:rsid w:val="00566DA0"/>
    <w:rsid w:val="005673C9"/>
    <w:rsid w:val="005679DB"/>
    <w:rsid w:val="00567CB8"/>
    <w:rsid w:val="005707C7"/>
    <w:rsid w:val="0057099D"/>
    <w:rsid w:val="005719F9"/>
    <w:rsid w:val="005723CD"/>
    <w:rsid w:val="00572713"/>
    <w:rsid w:val="00572A6C"/>
    <w:rsid w:val="00573002"/>
    <w:rsid w:val="00573314"/>
    <w:rsid w:val="0057362B"/>
    <w:rsid w:val="00573E44"/>
    <w:rsid w:val="00574ED4"/>
    <w:rsid w:val="005763A5"/>
    <w:rsid w:val="00576AF8"/>
    <w:rsid w:val="00577247"/>
    <w:rsid w:val="00577A1F"/>
    <w:rsid w:val="00577F30"/>
    <w:rsid w:val="00580849"/>
    <w:rsid w:val="00581570"/>
    <w:rsid w:val="00581736"/>
    <w:rsid w:val="00582CE5"/>
    <w:rsid w:val="00583BE8"/>
    <w:rsid w:val="0058430F"/>
    <w:rsid w:val="00584D91"/>
    <w:rsid w:val="005855B2"/>
    <w:rsid w:val="00585910"/>
    <w:rsid w:val="00585AFA"/>
    <w:rsid w:val="00585B0F"/>
    <w:rsid w:val="00586600"/>
    <w:rsid w:val="00586CED"/>
    <w:rsid w:val="00586DC8"/>
    <w:rsid w:val="005875C6"/>
    <w:rsid w:val="00590FAD"/>
    <w:rsid w:val="0059108D"/>
    <w:rsid w:val="00591384"/>
    <w:rsid w:val="005920A6"/>
    <w:rsid w:val="00592B57"/>
    <w:rsid w:val="00592C15"/>
    <w:rsid w:val="00595D5B"/>
    <w:rsid w:val="00596EEC"/>
    <w:rsid w:val="005A0977"/>
    <w:rsid w:val="005A35EE"/>
    <w:rsid w:val="005A3C2F"/>
    <w:rsid w:val="005A43E1"/>
    <w:rsid w:val="005A48EB"/>
    <w:rsid w:val="005A510B"/>
    <w:rsid w:val="005A520E"/>
    <w:rsid w:val="005A5708"/>
    <w:rsid w:val="005A58CC"/>
    <w:rsid w:val="005A5B65"/>
    <w:rsid w:val="005A5B90"/>
    <w:rsid w:val="005A5C17"/>
    <w:rsid w:val="005A656C"/>
    <w:rsid w:val="005B0CA3"/>
    <w:rsid w:val="005B1758"/>
    <w:rsid w:val="005B18FC"/>
    <w:rsid w:val="005B243D"/>
    <w:rsid w:val="005B288A"/>
    <w:rsid w:val="005B40C3"/>
    <w:rsid w:val="005B4912"/>
    <w:rsid w:val="005B4C91"/>
    <w:rsid w:val="005B4E11"/>
    <w:rsid w:val="005B5359"/>
    <w:rsid w:val="005B64E2"/>
    <w:rsid w:val="005B67B9"/>
    <w:rsid w:val="005B69AB"/>
    <w:rsid w:val="005B7F97"/>
    <w:rsid w:val="005C004F"/>
    <w:rsid w:val="005C0F0D"/>
    <w:rsid w:val="005C1961"/>
    <w:rsid w:val="005C1CB1"/>
    <w:rsid w:val="005C394A"/>
    <w:rsid w:val="005C3E06"/>
    <w:rsid w:val="005C3E68"/>
    <w:rsid w:val="005C4218"/>
    <w:rsid w:val="005C45C3"/>
    <w:rsid w:val="005C4888"/>
    <w:rsid w:val="005C4BF2"/>
    <w:rsid w:val="005C5974"/>
    <w:rsid w:val="005D0C8C"/>
    <w:rsid w:val="005D0F5E"/>
    <w:rsid w:val="005D267F"/>
    <w:rsid w:val="005D288A"/>
    <w:rsid w:val="005D4408"/>
    <w:rsid w:val="005D46E4"/>
    <w:rsid w:val="005D4A89"/>
    <w:rsid w:val="005D6E24"/>
    <w:rsid w:val="005D7661"/>
    <w:rsid w:val="005D7D59"/>
    <w:rsid w:val="005E1E1F"/>
    <w:rsid w:val="005E2139"/>
    <w:rsid w:val="005E2567"/>
    <w:rsid w:val="005E2ED8"/>
    <w:rsid w:val="005E4087"/>
    <w:rsid w:val="005E41AB"/>
    <w:rsid w:val="005E49D9"/>
    <w:rsid w:val="005E4D7E"/>
    <w:rsid w:val="005E50A4"/>
    <w:rsid w:val="005E5193"/>
    <w:rsid w:val="005E56AA"/>
    <w:rsid w:val="005E6792"/>
    <w:rsid w:val="005E69E7"/>
    <w:rsid w:val="005E6C9E"/>
    <w:rsid w:val="005E6FF2"/>
    <w:rsid w:val="005E7796"/>
    <w:rsid w:val="005F0339"/>
    <w:rsid w:val="005F1525"/>
    <w:rsid w:val="005F1B3D"/>
    <w:rsid w:val="005F240A"/>
    <w:rsid w:val="005F3029"/>
    <w:rsid w:val="005F465E"/>
    <w:rsid w:val="005F46CB"/>
    <w:rsid w:val="005F54E8"/>
    <w:rsid w:val="005F553C"/>
    <w:rsid w:val="005F58E4"/>
    <w:rsid w:val="005F5A80"/>
    <w:rsid w:val="005F5AB0"/>
    <w:rsid w:val="005F5D2C"/>
    <w:rsid w:val="005F7389"/>
    <w:rsid w:val="006020D5"/>
    <w:rsid w:val="00603079"/>
    <w:rsid w:val="00603543"/>
    <w:rsid w:val="00603609"/>
    <w:rsid w:val="006036FE"/>
    <w:rsid w:val="00603F8A"/>
    <w:rsid w:val="00604139"/>
    <w:rsid w:val="00605A13"/>
    <w:rsid w:val="00605E67"/>
    <w:rsid w:val="006067C3"/>
    <w:rsid w:val="00606D4A"/>
    <w:rsid w:val="006070C7"/>
    <w:rsid w:val="0060736D"/>
    <w:rsid w:val="00610D27"/>
    <w:rsid w:val="0061216C"/>
    <w:rsid w:val="0061286F"/>
    <w:rsid w:val="00612B87"/>
    <w:rsid w:val="00612BF6"/>
    <w:rsid w:val="00613730"/>
    <w:rsid w:val="00613D9A"/>
    <w:rsid w:val="006146C8"/>
    <w:rsid w:val="006160AA"/>
    <w:rsid w:val="0061649C"/>
    <w:rsid w:val="006171C6"/>
    <w:rsid w:val="00617757"/>
    <w:rsid w:val="00620371"/>
    <w:rsid w:val="00621A03"/>
    <w:rsid w:val="00621AC9"/>
    <w:rsid w:val="00621CAC"/>
    <w:rsid w:val="00622854"/>
    <w:rsid w:val="00624B80"/>
    <w:rsid w:val="00624D62"/>
    <w:rsid w:val="00625E77"/>
    <w:rsid w:val="0062674A"/>
    <w:rsid w:val="00630A84"/>
    <w:rsid w:val="006311C1"/>
    <w:rsid w:val="006329ED"/>
    <w:rsid w:val="00633B70"/>
    <w:rsid w:val="00634EFF"/>
    <w:rsid w:val="00635EBD"/>
    <w:rsid w:val="006369CF"/>
    <w:rsid w:val="00636BB1"/>
    <w:rsid w:val="006402EB"/>
    <w:rsid w:val="006411EA"/>
    <w:rsid w:val="0064186B"/>
    <w:rsid w:val="00642B63"/>
    <w:rsid w:val="00642EBC"/>
    <w:rsid w:val="00643B06"/>
    <w:rsid w:val="006446F8"/>
    <w:rsid w:val="006447F3"/>
    <w:rsid w:val="00645948"/>
    <w:rsid w:val="00645E29"/>
    <w:rsid w:val="00646718"/>
    <w:rsid w:val="006468E9"/>
    <w:rsid w:val="006470D2"/>
    <w:rsid w:val="006478D6"/>
    <w:rsid w:val="0065007D"/>
    <w:rsid w:val="00651528"/>
    <w:rsid w:val="00651888"/>
    <w:rsid w:val="006520B1"/>
    <w:rsid w:val="0065312C"/>
    <w:rsid w:val="00653D24"/>
    <w:rsid w:val="00654195"/>
    <w:rsid w:val="00657498"/>
    <w:rsid w:val="00660376"/>
    <w:rsid w:val="00660555"/>
    <w:rsid w:val="006619A4"/>
    <w:rsid w:val="00661D9F"/>
    <w:rsid w:val="00662288"/>
    <w:rsid w:val="006633CA"/>
    <w:rsid w:val="00665322"/>
    <w:rsid w:val="00665B0D"/>
    <w:rsid w:val="00665D50"/>
    <w:rsid w:val="006665D5"/>
    <w:rsid w:val="006672CB"/>
    <w:rsid w:val="00667397"/>
    <w:rsid w:val="006677B3"/>
    <w:rsid w:val="00667BED"/>
    <w:rsid w:val="00667F67"/>
    <w:rsid w:val="0067099F"/>
    <w:rsid w:val="00670AE0"/>
    <w:rsid w:val="006716DF"/>
    <w:rsid w:val="00671965"/>
    <w:rsid w:val="006725EE"/>
    <w:rsid w:val="00672804"/>
    <w:rsid w:val="00673AD5"/>
    <w:rsid w:val="006747CA"/>
    <w:rsid w:val="00674846"/>
    <w:rsid w:val="00674E39"/>
    <w:rsid w:val="0067529C"/>
    <w:rsid w:val="00675DF7"/>
    <w:rsid w:val="00676F64"/>
    <w:rsid w:val="006775EC"/>
    <w:rsid w:val="0068046F"/>
    <w:rsid w:val="00680A2B"/>
    <w:rsid w:val="006818BA"/>
    <w:rsid w:val="00681B32"/>
    <w:rsid w:val="00681E0B"/>
    <w:rsid w:val="006829DB"/>
    <w:rsid w:val="00683D02"/>
    <w:rsid w:val="0068456D"/>
    <w:rsid w:val="006847FE"/>
    <w:rsid w:val="006852B8"/>
    <w:rsid w:val="006863BD"/>
    <w:rsid w:val="00687AE5"/>
    <w:rsid w:val="00687EB7"/>
    <w:rsid w:val="00690E06"/>
    <w:rsid w:val="00691312"/>
    <w:rsid w:val="00691577"/>
    <w:rsid w:val="006915F4"/>
    <w:rsid w:val="006919F7"/>
    <w:rsid w:val="00691E1E"/>
    <w:rsid w:val="006923B8"/>
    <w:rsid w:val="00692C62"/>
    <w:rsid w:val="0069547A"/>
    <w:rsid w:val="006964D2"/>
    <w:rsid w:val="006969DC"/>
    <w:rsid w:val="00697ABF"/>
    <w:rsid w:val="00697C48"/>
    <w:rsid w:val="00697EB3"/>
    <w:rsid w:val="006A1966"/>
    <w:rsid w:val="006A1A6B"/>
    <w:rsid w:val="006A1A99"/>
    <w:rsid w:val="006A448E"/>
    <w:rsid w:val="006A4725"/>
    <w:rsid w:val="006A47C7"/>
    <w:rsid w:val="006A47EC"/>
    <w:rsid w:val="006A4A7F"/>
    <w:rsid w:val="006A53CA"/>
    <w:rsid w:val="006A5525"/>
    <w:rsid w:val="006A5773"/>
    <w:rsid w:val="006A76B2"/>
    <w:rsid w:val="006A7716"/>
    <w:rsid w:val="006B08F7"/>
    <w:rsid w:val="006B36E3"/>
    <w:rsid w:val="006B3C9B"/>
    <w:rsid w:val="006B4A87"/>
    <w:rsid w:val="006B5E37"/>
    <w:rsid w:val="006B6563"/>
    <w:rsid w:val="006B781F"/>
    <w:rsid w:val="006C181D"/>
    <w:rsid w:val="006C2772"/>
    <w:rsid w:val="006C2DE3"/>
    <w:rsid w:val="006C3EB5"/>
    <w:rsid w:val="006C5866"/>
    <w:rsid w:val="006C5A4F"/>
    <w:rsid w:val="006C7142"/>
    <w:rsid w:val="006D04DE"/>
    <w:rsid w:val="006D0B32"/>
    <w:rsid w:val="006D12D0"/>
    <w:rsid w:val="006D1A0F"/>
    <w:rsid w:val="006D317A"/>
    <w:rsid w:val="006D36FD"/>
    <w:rsid w:val="006D49E5"/>
    <w:rsid w:val="006D5301"/>
    <w:rsid w:val="006D586A"/>
    <w:rsid w:val="006D590E"/>
    <w:rsid w:val="006E028A"/>
    <w:rsid w:val="006E0EA5"/>
    <w:rsid w:val="006E0EDD"/>
    <w:rsid w:val="006E2871"/>
    <w:rsid w:val="006E31C0"/>
    <w:rsid w:val="006E3308"/>
    <w:rsid w:val="006E4ABC"/>
    <w:rsid w:val="006E4D33"/>
    <w:rsid w:val="006E527D"/>
    <w:rsid w:val="006E700D"/>
    <w:rsid w:val="006E7A21"/>
    <w:rsid w:val="006F050D"/>
    <w:rsid w:val="006F0A2A"/>
    <w:rsid w:val="006F0AF8"/>
    <w:rsid w:val="006F2A06"/>
    <w:rsid w:val="006F2C7F"/>
    <w:rsid w:val="006F3C1B"/>
    <w:rsid w:val="006F4BA7"/>
    <w:rsid w:val="006F54E5"/>
    <w:rsid w:val="006F7307"/>
    <w:rsid w:val="006F766D"/>
    <w:rsid w:val="006F7AF5"/>
    <w:rsid w:val="00701538"/>
    <w:rsid w:val="00703400"/>
    <w:rsid w:val="00704C52"/>
    <w:rsid w:val="00704F68"/>
    <w:rsid w:val="007056D4"/>
    <w:rsid w:val="0070576A"/>
    <w:rsid w:val="00706097"/>
    <w:rsid w:val="00706EAD"/>
    <w:rsid w:val="0070790B"/>
    <w:rsid w:val="00707D8D"/>
    <w:rsid w:val="007100E1"/>
    <w:rsid w:val="00710A66"/>
    <w:rsid w:val="00711A5E"/>
    <w:rsid w:val="00712931"/>
    <w:rsid w:val="007136D2"/>
    <w:rsid w:val="0071497A"/>
    <w:rsid w:val="00715882"/>
    <w:rsid w:val="00716F95"/>
    <w:rsid w:val="0071723D"/>
    <w:rsid w:val="00717CFB"/>
    <w:rsid w:val="007202B9"/>
    <w:rsid w:val="007203FB"/>
    <w:rsid w:val="007209BA"/>
    <w:rsid w:val="00720C12"/>
    <w:rsid w:val="007212B2"/>
    <w:rsid w:val="00721928"/>
    <w:rsid w:val="00721F63"/>
    <w:rsid w:val="00721FD6"/>
    <w:rsid w:val="00722225"/>
    <w:rsid w:val="00722513"/>
    <w:rsid w:val="00722E91"/>
    <w:rsid w:val="007241D1"/>
    <w:rsid w:val="00724CB1"/>
    <w:rsid w:val="007251B7"/>
    <w:rsid w:val="00725329"/>
    <w:rsid w:val="007256DF"/>
    <w:rsid w:val="00725FE4"/>
    <w:rsid w:val="00727FE1"/>
    <w:rsid w:val="0073109B"/>
    <w:rsid w:val="0073118A"/>
    <w:rsid w:val="007315B1"/>
    <w:rsid w:val="007315BA"/>
    <w:rsid w:val="007319DF"/>
    <w:rsid w:val="00731F5C"/>
    <w:rsid w:val="00732AC3"/>
    <w:rsid w:val="00732D59"/>
    <w:rsid w:val="007331EF"/>
    <w:rsid w:val="0073340C"/>
    <w:rsid w:val="007338B9"/>
    <w:rsid w:val="007348A8"/>
    <w:rsid w:val="007355A3"/>
    <w:rsid w:val="00736F9C"/>
    <w:rsid w:val="00737D95"/>
    <w:rsid w:val="00737FEA"/>
    <w:rsid w:val="00740922"/>
    <w:rsid w:val="00740BF1"/>
    <w:rsid w:val="00742C0D"/>
    <w:rsid w:val="00743282"/>
    <w:rsid w:val="007439B1"/>
    <w:rsid w:val="007443F4"/>
    <w:rsid w:val="007446F6"/>
    <w:rsid w:val="00744B4F"/>
    <w:rsid w:val="00745982"/>
    <w:rsid w:val="007461FB"/>
    <w:rsid w:val="007463B9"/>
    <w:rsid w:val="00746FAE"/>
    <w:rsid w:val="00750291"/>
    <w:rsid w:val="00750C7F"/>
    <w:rsid w:val="0075118A"/>
    <w:rsid w:val="00751EAC"/>
    <w:rsid w:val="00753101"/>
    <w:rsid w:val="00753417"/>
    <w:rsid w:val="00753AAD"/>
    <w:rsid w:val="0075446F"/>
    <w:rsid w:val="0075562D"/>
    <w:rsid w:val="0075625B"/>
    <w:rsid w:val="007562D6"/>
    <w:rsid w:val="007568B4"/>
    <w:rsid w:val="00756BE3"/>
    <w:rsid w:val="00756E70"/>
    <w:rsid w:val="007574E2"/>
    <w:rsid w:val="00757602"/>
    <w:rsid w:val="00757AF0"/>
    <w:rsid w:val="0076055E"/>
    <w:rsid w:val="0076129E"/>
    <w:rsid w:val="00761F20"/>
    <w:rsid w:val="00761FC0"/>
    <w:rsid w:val="00762AD4"/>
    <w:rsid w:val="00762EB1"/>
    <w:rsid w:val="00763655"/>
    <w:rsid w:val="007643EA"/>
    <w:rsid w:val="00765176"/>
    <w:rsid w:val="007653EF"/>
    <w:rsid w:val="0076547B"/>
    <w:rsid w:val="007666B3"/>
    <w:rsid w:val="007668C8"/>
    <w:rsid w:val="00767B87"/>
    <w:rsid w:val="0077002F"/>
    <w:rsid w:val="00770DA6"/>
    <w:rsid w:val="00771739"/>
    <w:rsid w:val="00771CAE"/>
    <w:rsid w:val="00771E38"/>
    <w:rsid w:val="0077260E"/>
    <w:rsid w:val="00772C53"/>
    <w:rsid w:val="00773B30"/>
    <w:rsid w:val="00774539"/>
    <w:rsid w:val="007747BE"/>
    <w:rsid w:val="00776203"/>
    <w:rsid w:val="00777407"/>
    <w:rsid w:val="00777AF3"/>
    <w:rsid w:val="00782311"/>
    <w:rsid w:val="00782994"/>
    <w:rsid w:val="0078301A"/>
    <w:rsid w:val="00784AA3"/>
    <w:rsid w:val="007864B9"/>
    <w:rsid w:val="0078797C"/>
    <w:rsid w:val="0079198A"/>
    <w:rsid w:val="00791EA6"/>
    <w:rsid w:val="007921BD"/>
    <w:rsid w:val="00792B2F"/>
    <w:rsid w:val="00793CA2"/>
    <w:rsid w:val="00794A3D"/>
    <w:rsid w:val="0079505A"/>
    <w:rsid w:val="00796E44"/>
    <w:rsid w:val="00797DE4"/>
    <w:rsid w:val="007A0CC6"/>
    <w:rsid w:val="007A10E2"/>
    <w:rsid w:val="007A19A8"/>
    <w:rsid w:val="007A26C5"/>
    <w:rsid w:val="007A4030"/>
    <w:rsid w:val="007A41C0"/>
    <w:rsid w:val="007A480F"/>
    <w:rsid w:val="007A4CD1"/>
    <w:rsid w:val="007A4E63"/>
    <w:rsid w:val="007A4F7D"/>
    <w:rsid w:val="007A6254"/>
    <w:rsid w:val="007A6D64"/>
    <w:rsid w:val="007A7854"/>
    <w:rsid w:val="007B0032"/>
    <w:rsid w:val="007B032F"/>
    <w:rsid w:val="007B085F"/>
    <w:rsid w:val="007B1B4B"/>
    <w:rsid w:val="007B1FC5"/>
    <w:rsid w:val="007B21E9"/>
    <w:rsid w:val="007B26AD"/>
    <w:rsid w:val="007B4B85"/>
    <w:rsid w:val="007B50F1"/>
    <w:rsid w:val="007B7BE4"/>
    <w:rsid w:val="007C0648"/>
    <w:rsid w:val="007C09C4"/>
    <w:rsid w:val="007C0EA0"/>
    <w:rsid w:val="007C142E"/>
    <w:rsid w:val="007C1D67"/>
    <w:rsid w:val="007C1E68"/>
    <w:rsid w:val="007C2B70"/>
    <w:rsid w:val="007C364D"/>
    <w:rsid w:val="007C37E2"/>
    <w:rsid w:val="007C4404"/>
    <w:rsid w:val="007C46BB"/>
    <w:rsid w:val="007D10EB"/>
    <w:rsid w:val="007D20C3"/>
    <w:rsid w:val="007D2189"/>
    <w:rsid w:val="007D255E"/>
    <w:rsid w:val="007D2A7C"/>
    <w:rsid w:val="007D394F"/>
    <w:rsid w:val="007D3FA8"/>
    <w:rsid w:val="007D4261"/>
    <w:rsid w:val="007D4BDF"/>
    <w:rsid w:val="007D572B"/>
    <w:rsid w:val="007D64D3"/>
    <w:rsid w:val="007D7B13"/>
    <w:rsid w:val="007E026A"/>
    <w:rsid w:val="007E114C"/>
    <w:rsid w:val="007E200B"/>
    <w:rsid w:val="007E2596"/>
    <w:rsid w:val="007E35DF"/>
    <w:rsid w:val="007E3E86"/>
    <w:rsid w:val="007E4AF2"/>
    <w:rsid w:val="007E5157"/>
    <w:rsid w:val="007E55CC"/>
    <w:rsid w:val="007E5EBD"/>
    <w:rsid w:val="007E6910"/>
    <w:rsid w:val="007E6E40"/>
    <w:rsid w:val="007E715B"/>
    <w:rsid w:val="007E7448"/>
    <w:rsid w:val="007E7898"/>
    <w:rsid w:val="007F0E32"/>
    <w:rsid w:val="007F2DC1"/>
    <w:rsid w:val="007F4100"/>
    <w:rsid w:val="007F4750"/>
    <w:rsid w:val="007F540D"/>
    <w:rsid w:val="007F55B9"/>
    <w:rsid w:val="007F55D3"/>
    <w:rsid w:val="007F561D"/>
    <w:rsid w:val="007F57F0"/>
    <w:rsid w:val="007F5969"/>
    <w:rsid w:val="007F633C"/>
    <w:rsid w:val="007F7CAE"/>
    <w:rsid w:val="0080161C"/>
    <w:rsid w:val="00801F06"/>
    <w:rsid w:val="00801F56"/>
    <w:rsid w:val="00801FBE"/>
    <w:rsid w:val="0080276F"/>
    <w:rsid w:val="00802A4A"/>
    <w:rsid w:val="0080590F"/>
    <w:rsid w:val="00806F9A"/>
    <w:rsid w:val="0080770C"/>
    <w:rsid w:val="00807D49"/>
    <w:rsid w:val="008110FA"/>
    <w:rsid w:val="0081168E"/>
    <w:rsid w:val="00811AFB"/>
    <w:rsid w:val="008125B2"/>
    <w:rsid w:val="00812B12"/>
    <w:rsid w:val="00814F35"/>
    <w:rsid w:val="0081554C"/>
    <w:rsid w:val="00815AF5"/>
    <w:rsid w:val="0081607C"/>
    <w:rsid w:val="0081659B"/>
    <w:rsid w:val="008172FE"/>
    <w:rsid w:val="00817CEE"/>
    <w:rsid w:val="00817FEE"/>
    <w:rsid w:val="00820325"/>
    <w:rsid w:val="00820801"/>
    <w:rsid w:val="00820B24"/>
    <w:rsid w:val="00821943"/>
    <w:rsid w:val="00822911"/>
    <w:rsid w:val="00822AEA"/>
    <w:rsid w:val="00822BB2"/>
    <w:rsid w:val="00823D30"/>
    <w:rsid w:val="00824403"/>
    <w:rsid w:val="008274A8"/>
    <w:rsid w:val="0083008B"/>
    <w:rsid w:val="008307BE"/>
    <w:rsid w:val="008329A2"/>
    <w:rsid w:val="008331AA"/>
    <w:rsid w:val="00833592"/>
    <w:rsid w:val="00833754"/>
    <w:rsid w:val="00834559"/>
    <w:rsid w:val="008349E0"/>
    <w:rsid w:val="00834D4D"/>
    <w:rsid w:val="00834DF1"/>
    <w:rsid w:val="00835270"/>
    <w:rsid w:val="00835C08"/>
    <w:rsid w:val="00835DD4"/>
    <w:rsid w:val="00836284"/>
    <w:rsid w:val="00836BCC"/>
    <w:rsid w:val="00837870"/>
    <w:rsid w:val="00837E10"/>
    <w:rsid w:val="00837E65"/>
    <w:rsid w:val="008409DF"/>
    <w:rsid w:val="008410CA"/>
    <w:rsid w:val="0084119F"/>
    <w:rsid w:val="00841425"/>
    <w:rsid w:val="00841ADB"/>
    <w:rsid w:val="00842508"/>
    <w:rsid w:val="00842595"/>
    <w:rsid w:val="008429EA"/>
    <w:rsid w:val="00843B8A"/>
    <w:rsid w:val="00844475"/>
    <w:rsid w:val="008452C1"/>
    <w:rsid w:val="0084532A"/>
    <w:rsid w:val="008457A0"/>
    <w:rsid w:val="00845E81"/>
    <w:rsid w:val="00846142"/>
    <w:rsid w:val="008463AA"/>
    <w:rsid w:val="00850F30"/>
    <w:rsid w:val="00851340"/>
    <w:rsid w:val="00851958"/>
    <w:rsid w:val="00851D9F"/>
    <w:rsid w:val="0085259C"/>
    <w:rsid w:val="0085351C"/>
    <w:rsid w:val="00853EE0"/>
    <w:rsid w:val="008545B0"/>
    <w:rsid w:val="008559A9"/>
    <w:rsid w:val="00857091"/>
    <w:rsid w:val="008571E7"/>
    <w:rsid w:val="00857616"/>
    <w:rsid w:val="00857F76"/>
    <w:rsid w:val="00861D6E"/>
    <w:rsid w:val="00861DFF"/>
    <w:rsid w:val="00862AA8"/>
    <w:rsid w:val="00865EB4"/>
    <w:rsid w:val="0086617D"/>
    <w:rsid w:val="00866A89"/>
    <w:rsid w:val="0086710A"/>
    <w:rsid w:val="0086796B"/>
    <w:rsid w:val="00867ABA"/>
    <w:rsid w:val="00867E7A"/>
    <w:rsid w:val="00871D96"/>
    <w:rsid w:val="008722E4"/>
    <w:rsid w:val="008723D2"/>
    <w:rsid w:val="00872FCD"/>
    <w:rsid w:val="008731E9"/>
    <w:rsid w:val="008733FC"/>
    <w:rsid w:val="0087343D"/>
    <w:rsid w:val="0087361B"/>
    <w:rsid w:val="00873E9E"/>
    <w:rsid w:val="008741B5"/>
    <w:rsid w:val="00874687"/>
    <w:rsid w:val="008746D2"/>
    <w:rsid w:val="00874C7D"/>
    <w:rsid w:val="00875D47"/>
    <w:rsid w:val="00876B44"/>
    <w:rsid w:val="008804C6"/>
    <w:rsid w:val="00880D99"/>
    <w:rsid w:val="00880DBF"/>
    <w:rsid w:val="00881CFC"/>
    <w:rsid w:val="008828B3"/>
    <w:rsid w:val="00883A70"/>
    <w:rsid w:val="00883BB3"/>
    <w:rsid w:val="008845AA"/>
    <w:rsid w:val="00884A20"/>
    <w:rsid w:val="00884B94"/>
    <w:rsid w:val="00884D08"/>
    <w:rsid w:val="00885A88"/>
    <w:rsid w:val="0088671B"/>
    <w:rsid w:val="0088702A"/>
    <w:rsid w:val="008900EB"/>
    <w:rsid w:val="008906C3"/>
    <w:rsid w:val="00890C8C"/>
    <w:rsid w:val="00891234"/>
    <w:rsid w:val="0089169D"/>
    <w:rsid w:val="00891987"/>
    <w:rsid w:val="00892224"/>
    <w:rsid w:val="008922DA"/>
    <w:rsid w:val="0089245A"/>
    <w:rsid w:val="00892CD0"/>
    <w:rsid w:val="008935C1"/>
    <w:rsid w:val="00894C90"/>
    <w:rsid w:val="00895725"/>
    <w:rsid w:val="00896861"/>
    <w:rsid w:val="00896D81"/>
    <w:rsid w:val="00897E91"/>
    <w:rsid w:val="00897F3F"/>
    <w:rsid w:val="008A0D99"/>
    <w:rsid w:val="008A10B6"/>
    <w:rsid w:val="008A140A"/>
    <w:rsid w:val="008A24BD"/>
    <w:rsid w:val="008A24F6"/>
    <w:rsid w:val="008A2713"/>
    <w:rsid w:val="008A3191"/>
    <w:rsid w:val="008A3ECA"/>
    <w:rsid w:val="008A436A"/>
    <w:rsid w:val="008A4B04"/>
    <w:rsid w:val="008A4BCB"/>
    <w:rsid w:val="008A4E5D"/>
    <w:rsid w:val="008A6AAA"/>
    <w:rsid w:val="008B032A"/>
    <w:rsid w:val="008B2578"/>
    <w:rsid w:val="008B4613"/>
    <w:rsid w:val="008B53E6"/>
    <w:rsid w:val="008B60C7"/>
    <w:rsid w:val="008B6653"/>
    <w:rsid w:val="008B6800"/>
    <w:rsid w:val="008B6814"/>
    <w:rsid w:val="008B7CCE"/>
    <w:rsid w:val="008B7FF6"/>
    <w:rsid w:val="008C03FD"/>
    <w:rsid w:val="008C06F2"/>
    <w:rsid w:val="008C0946"/>
    <w:rsid w:val="008C0A75"/>
    <w:rsid w:val="008C0BAC"/>
    <w:rsid w:val="008C1CFA"/>
    <w:rsid w:val="008C21D5"/>
    <w:rsid w:val="008C32E2"/>
    <w:rsid w:val="008C53C1"/>
    <w:rsid w:val="008C5F9D"/>
    <w:rsid w:val="008C616C"/>
    <w:rsid w:val="008C68D5"/>
    <w:rsid w:val="008C7A5A"/>
    <w:rsid w:val="008D0590"/>
    <w:rsid w:val="008D18C3"/>
    <w:rsid w:val="008D28BB"/>
    <w:rsid w:val="008D34B4"/>
    <w:rsid w:val="008D3DE7"/>
    <w:rsid w:val="008D4DF3"/>
    <w:rsid w:val="008D5360"/>
    <w:rsid w:val="008D5512"/>
    <w:rsid w:val="008D57B7"/>
    <w:rsid w:val="008D5F87"/>
    <w:rsid w:val="008E050F"/>
    <w:rsid w:val="008E123D"/>
    <w:rsid w:val="008E28DD"/>
    <w:rsid w:val="008E3E3D"/>
    <w:rsid w:val="008E3FBE"/>
    <w:rsid w:val="008E44B3"/>
    <w:rsid w:val="008E536C"/>
    <w:rsid w:val="008E55E3"/>
    <w:rsid w:val="008E5E7C"/>
    <w:rsid w:val="008E6C6E"/>
    <w:rsid w:val="008F05D4"/>
    <w:rsid w:val="008F0A36"/>
    <w:rsid w:val="008F12FB"/>
    <w:rsid w:val="008F1D6D"/>
    <w:rsid w:val="008F2131"/>
    <w:rsid w:val="008F3243"/>
    <w:rsid w:val="008F4511"/>
    <w:rsid w:val="008F4D7D"/>
    <w:rsid w:val="008F5411"/>
    <w:rsid w:val="008F617E"/>
    <w:rsid w:val="008F7183"/>
    <w:rsid w:val="009007AD"/>
    <w:rsid w:val="00901533"/>
    <w:rsid w:val="009024DE"/>
    <w:rsid w:val="00905600"/>
    <w:rsid w:val="009062E9"/>
    <w:rsid w:val="00906B89"/>
    <w:rsid w:val="00906D08"/>
    <w:rsid w:val="0091042A"/>
    <w:rsid w:val="009112E9"/>
    <w:rsid w:val="00914685"/>
    <w:rsid w:val="0091641B"/>
    <w:rsid w:val="0091703F"/>
    <w:rsid w:val="00917651"/>
    <w:rsid w:val="00917B5A"/>
    <w:rsid w:val="00921175"/>
    <w:rsid w:val="00921281"/>
    <w:rsid w:val="00921B81"/>
    <w:rsid w:val="00922176"/>
    <w:rsid w:val="00922CEC"/>
    <w:rsid w:val="00923444"/>
    <w:rsid w:val="00923676"/>
    <w:rsid w:val="00923F5D"/>
    <w:rsid w:val="00924877"/>
    <w:rsid w:val="00927055"/>
    <w:rsid w:val="0092760F"/>
    <w:rsid w:val="00927EF7"/>
    <w:rsid w:val="0093045F"/>
    <w:rsid w:val="009327D0"/>
    <w:rsid w:val="00932C1B"/>
    <w:rsid w:val="00933133"/>
    <w:rsid w:val="00933539"/>
    <w:rsid w:val="009340B9"/>
    <w:rsid w:val="00934585"/>
    <w:rsid w:val="009356E0"/>
    <w:rsid w:val="00935813"/>
    <w:rsid w:val="00936EE5"/>
    <w:rsid w:val="009376D2"/>
    <w:rsid w:val="00937764"/>
    <w:rsid w:val="00937B35"/>
    <w:rsid w:val="00940274"/>
    <w:rsid w:val="00940495"/>
    <w:rsid w:val="0094170C"/>
    <w:rsid w:val="009419A9"/>
    <w:rsid w:val="00941CEF"/>
    <w:rsid w:val="00942B5D"/>
    <w:rsid w:val="00942CEC"/>
    <w:rsid w:val="00943078"/>
    <w:rsid w:val="009442B5"/>
    <w:rsid w:val="009442F5"/>
    <w:rsid w:val="00944C2B"/>
    <w:rsid w:val="009452A5"/>
    <w:rsid w:val="00946171"/>
    <w:rsid w:val="00946B9D"/>
    <w:rsid w:val="00946F0E"/>
    <w:rsid w:val="009518A1"/>
    <w:rsid w:val="00951F56"/>
    <w:rsid w:val="00952675"/>
    <w:rsid w:val="00952D9E"/>
    <w:rsid w:val="009533FA"/>
    <w:rsid w:val="00956F41"/>
    <w:rsid w:val="00957388"/>
    <w:rsid w:val="009575F6"/>
    <w:rsid w:val="00957F01"/>
    <w:rsid w:val="00957F1C"/>
    <w:rsid w:val="00957FA8"/>
    <w:rsid w:val="00960C80"/>
    <w:rsid w:val="0096202B"/>
    <w:rsid w:val="009624B5"/>
    <w:rsid w:val="0096279C"/>
    <w:rsid w:val="009641E3"/>
    <w:rsid w:val="00964251"/>
    <w:rsid w:val="00964D7D"/>
    <w:rsid w:val="009660AB"/>
    <w:rsid w:val="0096612A"/>
    <w:rsid w:val="00967087"/>
    <w:rsid w:val="00967208"/>
    <w:rsid w:val="00967FBA"/>
    <w:rsid w:val="009702B0"/>
    <w:rsid w:val="00971229"/>
    <w:rsid w:val="00971A82"/>
    <w:rsid w:val="00972274"/>
    <w:rsid w:val="00972719"/>
    <w:rsid w:val="009728D7"/>
    <w:rsid w:val="00972914"/>
    <w:rsid w:val="00972C80"/>
    <w:rsid w:val="00973A0D"/>
    <w:rsid w:val="00973F0B"/>
    <w:rsid w:val="009760FE"/>
    <w:rsid w:val="009772C3"/>
    <w:rsid w:val="009773C6"/>
    <w:rsid w:val="0097743C"/>
    <w:rsid w:val="0098125A"/>
    <w:rsid w:val="0098169F"/>
    <w:rsid w:val="009816CF"/>
    <w:rsid w:val="00982144"/>
    <w:rsid w:val="00982F3C"/>
    <w:rsid w:val="00983945"/>
    <w:rsid w:val="009855AE"/>
    <w:rsid w:val="0098623C"/>
    <w:rsid w:val="009865D3"/>
    <w:rsid w:val="0099002C"/>
    <w:rsid w:val="009904CC"/>
    <w:rsid w:val="00992A0E"/>
    <w:rsid w:val="00992D7F"/>
    <w:rsid w:val="00993282"/>
    <w:rsid w:val="0099401E"/>
    <w:rsid w:val="0099520F"/>
    <w:rsid w:val="009955A7"/>
    <w:rsid w:val="0099684D"/>
    <w:rsid w:val="0099788A"/>
    <w:rsid w:val="00997EF6"/>
    <w:rsid w:val="009A12A1"/>
    <w:rsid w:val="009A12EF"/>
    <w:rsid w:val="009A1445"/>
    <w:rsid w:val="009A1C68"/>
    <w:rsid w:val="009A2711"/>
    <w:rsid w:val="009A4176"/>
    <w:rsid w:val="009A59B0"/>
    <w:rsid w:val="009A6284"/>
    <w:rsid w:val="009A7002"/>
    <w:rsid w:val="009B08A8"/>
    <w:rsid w:val="009B168B"/>
    <w:rsid w:val="009B281B"/>
    <w:rsid w:val="009B2B22"/>
    <w:rsid w:val="009B2B2F"/>
    <w:rsid w:val="009B3621"/>
    <w:rsid w:val="009B36F1"/>
    <w:rsid w:val="009B4B4E"/>
    <w:rsid w:val="009B5377"/>
    <w:rsid w:val="009B576D"/>
    <w:rsid w:val="009B5805"/>
    <w:rsid w:val="009B68E0"/>
    <w:rsid w:val="009B7101"/>
    <w:rsid w:val="009B7986"/>
    <w:rsid w:val="009B79E1"/>
    <w:rsid w:val="009C0131"/>
    <w:rsid w:val="009C3C68"/>
    <w:rsid w:val="009C3C71"/>
    <w:rsid w:val="009C51FA"/>
    <w:rsid w:val="009D12B6"/>
    <w:rsid w:val="009D2179"/>
    <w:rsid w:val="009D2801"/>
    <w:rsid w:val="009D2EC3"/>
    <w:rsid w:val="009D36E7"/>
    <w:rsid w:val="009D3BB0"/>
    <w:rsid w:val="009D3F66"/>
    <w:rsid w:val="009D4137"/>
    <w:rsid w:val="009D43CC"/>
    <w:rsid w:val="009D4675"/>
    <w:rsid w:val="009D55F9"/>
    <w:rsid w:val="009D656A"/>
    <w:rsid w:val="009D69C4"/>
    <w:rsid w:val="009D6AC6"/>
    <w:rsid w:val="009D7941"/>
    <w:rsid w:val="009D7E2D"/>
    <w:rsid w:val="009E15B3"/>
    <w:rsid w:val="009E20D3"/>
    <w:rsid w:val="009E39A8"/>
    <w:rsid w:val="009E419A"/>
    <w:rsid w:val="009E54F7"/>
    <w:rsid w:val="009E658E"/>
    <w:rsid w:val="009F0885"/>
    <w:rsid w:val="009F1B7D"/>
    <w:rsid w:val="009F3164"/>
    <w:rsid w:val="009F34F4"/>
    <w:rsid w:val="009F4D0A"/>
    <w:rsid w:val="009F560D"/>
    <w:rsid w:val="009F7141"/>
    <w:rsid w:val="00A01CF2"/>
    <w:rsid w:val="00A02076"/>
    <w:rsid w:val="00A03389"/>
    <w:rsid w:val="00A041D7"/>
    <w:rsid w:val="00A05F84"/>
    <w:rsid w:val="00A10689"/>
    <w:rsid w:val="00A1172E"/>
    <w:rsid w:val="00A11B96"/>
    <w:rsid w:val="00A11E7B"/>
    <w:rsid w:val="00A13E12"/>
    <w:rsid w:val="00A145FD"/>
    <w:rsid w:val="00A148DF"/>
    <w:rsid w:val="00A14D68"/>
    <w:rsid w:val="00A17080"/>
    <w:rsid w:val="00A17205"/>
    <w:rsid w:val="00A17C36"/>
    <w:rsid w:val="00A2054C"/>
    <w:rsid w:val="00A205F8"/>
    <w:rsid w:val="00A2182E"/>
    <w:rsid w:val="00A21FD3"/>
    <w:rsid w:val="00A22985"/>
    <w:rsid w:val="00A22A0F"/>
    <w:rsid w:val="00A23142"/>
    <w:rsid w:val="00A23547"/>
    <w:rsid w:val="00A235CB"/>
    <w:rsid w:val="00A23BB4"/>
    <w:rsid w:val="00A24788"/>
    <w:rsid w:val="00A2594C"/>
    <w:rsid w:val="00A2606D"/>
    <w:rsid w:val="00A265A3"/>
    <w:rsid w:val="00A26999"/>
    <w:rsid w:val="00A30910"/>
    <w:rsid w:val="00A30AC7"/>
    <w:rsid w:val="00A3239F"/>
    <w:rsid w:val="00A3293D"/>
    <w:rsid w:val="00A33D16"/>
    <w:rsid w:val="00A33E58"/>
    <w:rsid w:val="00A35962"/>
    <w:rsid w:val="00A3604C"/>
    <w:rsid w:val="00A40D37"/>
    <w:rsid w:val="00A412A9"/>
    <w:rsid w:val="00A41A11"/>
    <w:rsid w:val="00A41A5B"/>
    <w:rsid w:val="00A500B8"/>
    <w:rsid w:val="00A50B89"/>
    <w:rsid w:val="00A51424"/>
    <w:rsid w:val="00A52627"/>
    <w:rsid w:val="00A531F4"/>
    <w:rsid w:val="00A53F5B"/>
    <w:rsid w:val="00A5410C"/>
    <w:rsid w:val="00A54212"/>
    <w:rsid w:val="00A54329"/>
    <w:rsid w:val="00A54652"/>
    <w:rsid w:val="00A62097"/>
    <w:rsid w:val="00A62728"/>
    <w:rsid w:val="00A6320D"/>
    <w:rsid w:val="00A63958"/>
    <w:rsid w:val="00A63C41"/>
    <w:rsid w:val="00A63D9D"/>
    <w:rsid w:val="00A63ED2"/>
    <w:rsid w:val="00A6410E"/>
    <w:rsid w:val="00A64F01"/>
    <w:rsid w:val="00A651C8"/>
    <w:rsid w:val="00A66723"/>
    <w:rsid w:val="00A70E92"/>
    <w:rsid w:val="00A7198F"/>
    <w:rsid w:val="00A72353"/>
    <w:rsid w:val="00A72C22"/>
    <w:rsid w:val="00A7335E"/>
    <w:rsid w:val="00A76DFE"/>
    <w:rsid w:val="00A77117"/>
    <w:rsid w:val="00A77C3A"/>
    <w:rsid w:val="00A81AD3"/>
    <w:rsid w:val="00A83286"/>
    <w:rsid w:val="00A83429"/>
    <w:rsid w:val="00A85808"/>
    <w:rsid w:val="00A85AAC"/>
    <w:rsid w:val="00A87200"/>
    <w:rsid w:val="00A87683"/>
    <w:rsid w:val="00A87962"/>
    <w:rsid w:val="00A918B7"/>
    <w:rsid w:val="00A93302"/>
    <w:rsid w:val="00A93ED8"/>
    <w:rsid w:val="00A947B6"/>
    <w:rsid w:val="00A94E37"/>
    <w:rsid w:val="00A94FB3"/>
    <w:rsid w:val="00A95ECE"/>
    <w:rsid w:val="00A970DE"/>
    <w:rsid w:val="00A97A3E"/>
    <w:rsid w:val="00AA1351"/>
    <w:rsid w:val="00AA22EA"/>
    <w:rsid w:val="00AA3F28"/>
    <w:rsid w:val="00AA4AFB"/>
    <w:rsid w:val="00AA4D21"/>
    <w:rsid w:val="00AA502A"/>
    <w:rsid w:val="00AA56A0"/>
    <w:rsid w:val="00AA5EE4"/>
    <w:rsid w:val="00AA6B81"/>
    <w:rsid w:val="00AA7239"/>
    <w:rsid w:val="00AA7577"/>
    <w:rsid w:val="00AA7B97"/>
    <w:rsid w:val="00AB042F"/>
    <w:rsid w:val="00AB1F5A"/>
    <w:rsid w:val="00AB513E"/>
    <w:rsid w:val="00AC0E7B"/>
    <w:rsid w:val="00AC13CC"/>
    <w:rsid w:val="00AC2798"/>
    <w:rsid w:val="00AC2CF0"/>
    <w:rsid w:val="00AC2E43"/>
    <w:rsid w:val="00AC33DD"/>
    <w:rsid w:val="00AC4451"/>
    <w:rsid w:val="00AC57E4"/>
    <w:rsid w:val="00AC761D"/>
    <w:rsid w:val="00AC7A0D"/>
    <w:rsid w:val="00AC7C96"/>
    <w:rsid w:val="00AD15E2"/>
    <w:rsid w:val="00AD2133"/>
    <w:rsid w:val="00AD3B2D"/>
    <w:rsid w:val="00AD3DD4"/>
    <w:rsid w:val="00AD4CBC"/>
    <w:rsid w:val="00AD58BA"/>
    <w:rsid w:val="00AD5A8B"/>
    <w:rsid w:val="00AD5CD1"/>
    <w:rsid w:val="00AD7500"/>
    <w:rsid w:val="00AE0711"/>
    <w:rsid w:val="00AE1205"/>
    <w:rsid w:val="00AE2E04"/>
    <w:rsid w:val="00AE3107"/>
    <w:rsid w:val="00AE44ED"/>
    <w:rsid w:val="00AE4B70"/>
    <w:rsid w:val="00AE52AD"/>
    <w:rsid w:val="00AE692E"/>
    <w:rsid w:val="00AE7A79"/>
    <w:rsid w:val="00AE7F20"/>
    <w:rsid w:val="00AE7F3C"/>
    <w:rsid w:val="00AF0071"/>
    <w:rsid w:val="00AF072F"/>
    <w:rsid w:val="00AF13E4"/>
    <w:rsid w:val="00AF182E"/>
    <w:rsid w:val="00AF2547"/>
    <w:rsid w:val="00AF2EC7"/>
    <w:rsid w:val="00AF4E92"/>
    <w:rsid w:val="00AF5AA5"/>
    <w:rsid w:val="00AF5CAD"/>
    <w:rsid w:val="00B00207"/>
    <w:rsid w:val="00B0155A"/>
    <w:rsid w:val="00B027EE"/>
    <w:rsid w:val="00B02A3E"/>
    <w:rsid w:val="00B039AA"/>
    <w:rsid w:val="00B05BD1"/>
    <w:rsid w:val="00B067EC"/>
    <w:rsid w:val="00B06D08"/>
    <w:rsid w:val="00B07BAA"/>
    <w:rsid w:val="00B106E5"/>
    <w:rsid w:val="00B12885"/>
    <w:rsid w:val="00B132D6"/>
    <w:rsid w:val="00B145F7"/>
    <w:rsid w:val="00B15994"/>
    <w:rsid w:val="00B16252"/>
    <w:rsid w:val="00B1693B"/>
    <w:rsid w:val="00B16E9E"/>
    <w:rsid w:val="00B176E1"/>
    <w:rsid w:val="00B1773C"/>
    <w:rsid w:val="00B17FDB"/>
    <w:rsid w:val="00B21DD1"/>
    <w:rsid w:val="00B22191"/>
    <w:rsid w:val="00B23005"/>
    <w:rsid w:val="00B23501"/>
    <w:rsid w:val="00B247BC"/>
    <w:rsid w:val="00B247E7"/>
    <w:rsid w:val="00B2574A"/>
    <w:rsid w:val="00B25EF7"/>
    <w:rsid w:val="00B26801"/>
    <w:rsid w:val="00B26AB0"/>
    <w:rsid w:val="00B27075"/>
    <w:rsid w:val="00B31CBD"/>
    <w:rsid w:val="00B35727"/>
    <w:rsid w:val="00B36C3F"/>
    <w:rsid w:val="00B36DE2"/>
    <w:rsid w:val="00B3703E"/>
    <w:rsid w:val="00B37168"/>
    <w:rsid w:val="00B377F9"/>
    <w:rsid w:val="00B41014"/>
    <w:rsid w:val="00B42014"/>
    <w:rsid w:val="00B421A3"/>
    <w:rsid w:val="00B422BB"/>
    <w:rsid w:val="00B4284F"/>
    <w:rsid w:val="00B43848"/>
    <w:rsid w:val="00B4416E"/>
    <w:rsid w:val="00B45A61"/>
    <w:rsid w:val="00B46CC7"/>
    <w:rsid w:val="00B50AED"/>
    <w:rsid w:val="00B50CCF"/>
    <w:rsid w:val="00B50F8D"/>
    <w:rsid w:val="00B51CCF"/>
    <w:rsid w:val="00B5262E"/>
    <w:rsid w:val="00B52FF5"/>
    <w:rsid w:val="00B534C3"/>
    <w:rsid w:val="00B53A80"/>
    <w:rsid w:val="00B54EF8"/>
    <w:rsid w:val="00B55801"/>
    <w:rsid w:val="00B55AC3"/>
    <w:rsid w:val="00B56019"/>
    <w:rsid w:val="00B56A2F"/>
    <w:rsid w:val="00B56B0E"/>
    <w:rsid w:val="00B5771C"/>
    <w:rsid w:val="00B60A55"/>
    <w:rsid w:val="00B60B03"/>
    <w:rsid w:val="00B610D3"/>
    <w:rsid w:val="00B61832"/>
    <w:rsid w:val="00B618FD"/>
    <w:rsid w:val="00B62271"/>
    <w:rsid w:val="00B633B9"/>
    <w:rsid w:val="00B639F0"/>
    <w:rsid w:val="00B63F10"/>
    <w:rsid w:val="00B6438F"/>
    <w:rsid w:val="00B64FC8"/>
    <w:rsid w:val="00B6537C"/>
    <w:rsid w:val="00B65466"/>
    <w:rsid w:val="00B66576"/>
    <w:rsid w:val="00B67EE0"/>
    <w:rsid w:val="00B71815"/>
    <w:rsid w:val="00B7212F"/>
    <w:rsid w:val="00B729D2"/>
    <w:rsid w:val="00B74328"/>
    <w:rsid w:val="00B7451C"/>
    <w:rsid w:val="00B74E19"/>
    <w:rsid w:val="00B756FF"/>
    <w:rsid w:val="00B758B4"/>
    <w:rsid w:val="00B761AB"/>
    <w:rsid w:val="00B76908"/>
    <w:rsid w:val="00B76CC1"/>
    <w:rsid w:val="00B771E5"/>
    <w:rsid w:val="00B81275"/>
    <w:rsid w:val="00B812E7"/>
    <w:rsid w:val="00B813B3"/>
    <w:rsid w:val="00B824E9"/>
    <w:rsid w:val="00B835C9"/>
    <w:rsid w:val="00B84BFC"/>
    <w:rsid w:val="00B84C74"/>
    <w:rsid w:val="00B850D1"/>
    <w:rsid w:val="00B8519F"/>
    <w:rsid w:val="00B865A9"/>
    <w:rsid w:val="00B8663C"/>
    <w:rsid w:val="00B8679A"/>
    <w:rsid w:val="00B86A38"/>
    <w:rsid w:val="00B87261"/>
    <w:rsid w:val="00B87397"/>
    <w:rsid w:val="00B87A71"/>
    <w:rsid w:val="00B90055"/>
    <w:rsid w:val="00B90212"/>
    <w:rsid w:val="00B9056E"/>
    <w:rsid w:val="00B92826"/>
    <w:rsid w:val="00B95F5F"/>
    <w:rsid w:val="00B96325"/>
    <w:rsid w:val="00B9639E"/>
    <w:rsid w:val="00B96700"/>
    <w:rsid w:val="00B9673D"/>
    <w:rsid w:val="00B9722D"/>
    <w:rsid w:val="00B9748B"/>
    <w:rsid w:val="00B9769F"/>
    <w:rsid w:val="00BA0271"/>
    <w:rsid w:val="00BA0EE2"/>
    <w:rsid w:val="00BA1D7D"/>
    <w:rsid w:val="00BA2D4A"/>
    <w:rsid w:val="00BA36EB"/>
    <w:rsid w:val="00BA3E4E"/>
    <w:rsid w:val="00BA47DF"/>
    <w:rsid w:val="00BA4BC3"/>
    <w:rsid w:val="00BA4C2E"/>
    <w:rsid w:val="00BA5CCE"/>
    <w:rsid w:val="00BA75D1"/>
    <w:rsid w:val="00BA7B0A"/>
    <w:rsid w:val="00BB0E50"/>
    <w:rsid w:val="00BB1BE7"/>
    <w:rsid w:val="00BB1E68"/>
    <w:rsid w:val="00BB51C4"/>
    <w:rsid w:val="00BB5AD5"/>
    <w:rsid w:val="00BB6B9A"/>
    <w:rsid w:val="00BB6C48"/>
    <w:rsid w:val="00BB77AB"/>
    <w:rsid w:val="00BB7C26"/>
    <w:rsid w:val="00BC0224"/>
    <w:rsid w:val="00BC0955"/>
    <w:rsid w:val="00BC1E6C"/>
    <w:rsid w:val="00BC2EEC"/>
    <w:rsid w:val="00BC31CD"/>
    <w:rsid w:val="00BC4E82"/>
    <w:rsid w:val="00BC4F1B"/>
    <w:rsid w:val="00BC6E2A"/>
    <w:rsid w:val="00BD05CF"/>
    <w:rsid w:val="00BD1B24"/>
    <w:rsid w:val="00BD1C2A"/>
    <w:rsid w:val="00BD3884"/>
    <w:rsid w:val="00BD3F2A"/>
    <w:rsid w:val="00BD49D1"/>
    <w:rsid w:val="00BD4F69"/>
    <w:rsid w:val="00BD52E9"/>
    <w:rsid w:val="00BD5B14"/>
    <w:rsid w:val="00BD74B8"/>
    <w:rsid w:val="00BD7D03"/>
    <w:rsid w:val="00BD7DD0"/>
    <w:rsid w:val="00BE0CFC"/>
    <w:rsid w:val="00BE1AAF"/>
    <w:rsid w:val="00BE1D43"/>
    <w:rsid w:val="00BE2752"/>
    <w:rsid w:val="00BE2A60"/>
    <w:rsid w:val="00BE3A24"/>
    <w:rsid w:val="00BE4CD3"/>
    <w:rsid w:val="00BE531C"/>
    <w:rsid w:val="00BE6828"/>
    <w:rsid w:val="00BE6E7F"/>
    <w:rsid w:val="00BE7721"/>
    <w:rsid w:val="00BF0948"/>
    <w:rsid w:val="00BF1253"/>
    <w:rsid w:val="00BF20AF"/>
    <w:rsid w:val="00BF3152"/>
    <w:rsid w:val="00BF503C"/>
    <w:rsid w:val="00BF62A2"/>
    <w:rsid w:val="00BF7191"/>
    <w:rsid w:val="00C005A8"/>
    <w:rsid w:val="00C03059"/>
    <w:rsid w:val="00C0342A"/>
    <w:rsid w:val="00C04744"/>
    <w:rsid w:val="00C04A6B"/>
    <w:rsid w:val="00C052A2"/>
    <w:rsid w:val="00C064F5"/>
    <w:rsid w:val="00C06D4F"/>
    <w:rsid w:val="00C075D1"/>
    <w:rsid w:val="00C079CF"/>
    <w:rsid w:val="00C07B35"/>
    <w:rsid w:val="00C1288D"/>
    <w:rsid w:val="00C128B7"/>
    <w:rsid w:val="00C12988"/>
    <w:rsid w:val="00C13999"/>
    <w:rsid w:val="00C14867"/>
    <w:rsid w:val="00C15A06"/>
    <w:rsid w:val="00C16CD0"/>
    <w:rsid w:val="00C20348"/>
    <w:rsid w:val="00C20455"/>
    <w:rsid w:val="00C20C54"/>
    <w:rsid w:val="00C216AD"/>
    <w:rsid w:val="00C22911"/>
    <w:rsid w:val="00C22A4A"/>
    <w:rsid w:val="00C23AFB"/>
    <w:rsid w:val="00C23D2F"/>
    <w:rsid w:val="00C246A4"/>
    <w:rsid w:val="00C25A2D"/>
    <w:rsid w:val="00C25AD1"/>
    <w:rsid w:val="00C26D6B"/>
    <w:rsid w:val="00C340FF"/>
    <w:rsid w:val="00C3426F"/>
    <w:rsid w:val="00C34B29"/>
    <w:rsid w:val="00C34B54"/>
    <w:rsid w:val="00C34EA9"/>
    <w:rsid w:val="00C35E48"/>
    <w:rsid w:val="00C362F7"/>
    <w:rsid w:val="00C36ADE"/>
    <w:rsid w:val="00C40C1E"/>
    <w:rsid w:val="00C415D8"/>
    <w:rsid w:val="00C41ABA"/>
    <w:rsid w:val="00C41DD5"/>
    <w:rsid w:val="00C428E2"/>
    <w:rsid w:val="00C42F4C"/>
    <w:rsid w:val="00C437DE"/>
    <w:rsid w:val="00C445A5"/>
    <w:rsid w:val="00C44EE2"/>
    <w:rsid w:val="00C452D0"/>
    <w:rsid w:val="00C45453"/>
    <w:rsid w:val="00C45748"/>
    <w:rsid w:val="00C46028"/>
    <w:rsid w:val="00C4607E"/>
    <w:rsid w:val="00C461A2"/>
    <w:rsid w:val="00C4692E"/>
    <w:rsid w:val="00C46E2D"/>
    <w:rsid w:val="00C47353"/>
    <w:rsid w:val="00C503D6"/>
    <w:rsid w:val="00C507AF"/>
    <w:rsid w:val="00C509DB"/>
    <w:rsid w:val="00C50A00"/>
    <w:rsid w:val="00C50E0C"/>
    <w:rsid w:val="00C50FB3"/>
    <w:rsid w:val="00C51C16"/>
    <w:rsid w:val="00C523F5"/>
    <w:rsid w:val="00C526AE"/>
    <w:rsid w:val="00C52C57"/>
    <w:rsid w:val="00C52F8E"/>
    <w:rsid w:val="00C54467"/>
    <w:rsid w:val="00C54769"/>
    <w:rsid w:val="00C548B1"/>
    <w:rsid w:val="00C549A4"/>
    <w:rsid w:val="00C54AD9"/>
    <w:rsid w:val="00C56A10"/>
    <w:rsid w:val="00C57DC8"/>
    <w:rsid w:val="00C61EFC"/>
    <w:rsid w:val="00C624B8"/>
    <w:rsid w:val="00C62A98"/>
    <w:rsid w:val="00C63C5C"/>
    <w:rsid w:val="00C64CEB"/>
    <w:rsid w:val="00C663C9"/>
    <w:rsid w:val="00C66819"/>
    <w:rsid w:val="00C66971"/>
    <w:rsid w:val="00C671CD"/>
    <w:rsid w:val="00C67E4D"/>
    <w:rsid w:val="00C719D5"/>
    <w:rsid w:val="00C72924"/>
    <w:rsid w:val="00C72A09"/>
    <w:rsid w:val="00C72ECF"/>
    <w:rsid w:val="00C733EA"/>
    <w:rsid w:val="00C73B0E"/>
    <w:rsid w:val="00C74B52"/>
    <w:rsid w:val="00C74F1D"/>
    <w:rsid w:val="00C764CD"/>
    <w:rsid w:val="00C7668C"/>
    <w:rsid w:val="00C767AC"/>
    <w:rsid w:val="00C76ADE"/>
    <w:rsid w:val="00C77A86"/>
    <w:rsid w:val="00C806DF"/>
    <w:rsid w:val="00C81345"/>
    <w:rsid w:val="00C818E0"/>
    <w:rsid w:val="00C8221D"/>
    <w:rsid w:val="00C83279"/>
    <w:rsid w:val="00C833E6"/>
    <w:rsid w:val="00C835E2"/>
    <w:rsid w:val="00C83C5C"/>
    <w:rsid w:val="00C840C7"/>
    <w:rsid w:val="00C851D6"/>
    <w:rsid w:val="00C8564C"/>
    <w:rsid w:val="00C863D2"/>
    <w:rsid w:val="00C8642F"/>
    <w:rsid w:val="00C876F8"/>
    <w:rsid w:val="00C90405"/>
    <w:rsid w:val="00C9064B"/>
    <w:rsid w:val="00C909E1"/>
    <w:rsid w:val="00C91B90"/>
    <w:rsid w:val="00C92046"/>
    <w:rsid w:val="00C92541"/>
    <w:rsid w:val="00C929FB"/>
    <w:rsid w:val="00C92D0F"/>
    <w:rsid w:val="00C9352E"/>
    <w:rsid w:val="00C94465"/>
    <w:rsid w:val="00C94672"/>
    <w:rsid w:val="00C977B9"/>
    <w:rsid w:val="00CA061E"/>
    <w:rsid w:val="00CA2419"/>
    <w:rsid w:val="00CA2569"/>
    <w:rsid w:val="00CA257F"/>
    <w:rsid w:val="00CA25DF"/>
    <w:rsid w:val="00CA3203"/>
    <w:rsid w:val="00CA362A"/>
    <w:rsid w:val="00CA3D01"/>
    <w:rsid w:val="00CA45B4"/>
    <w:rsid w:val="00CA5458"/>
    <w:rsid w:val="00CA57CA"/>
    <w:rsid w:val="00CA5F84"/>
    <w:rsid w:val="00CA71F8"/>
    <w:rsid w:val="00CA73CA"/>
    <w:rsid w:val="00CA7B16"/>
    <w:rsid w:val="00CB03AD"/>
    <w:rsid w:val="00CB0409"/>
    <w:rsid w:val="00CB1212"/>
    <w:rsid w:val="00CB27B6"/>
    <w:rsid w:val="00CB2E0C"/>
    <w:rsid w:val="00CB36A8"/>
    <w:rsid w:val="00CB5E31"/>
    <w:rsid w:val="00CB6DDA"/>
    <w:rsid w:val="00CB743A"/>
    <w:rsid w:val="00CB7D98"/>
    <w:rsid w:val="00CC0337"/>
    <w:rsid w:val="00CC2B22"/>
    <w:rsid w:val="00CC353D"/>
    <w:rsid w:val="00CC36B6"/>
    <w:rsid w:val="00CC7BAE"/>
    <w:rsid w:val="00CD063B"/>
    <w:rsid w:val="00CD239D"/>
    <w:rsid w:val="00CD2DB6"/>
    <w:rsid w:val="00CD2E36"/>
    <w:rsid w:val="00CD38C9"/>
    <w:rsid w:val="00CD3906"/>
    <w:rsid w:val="00CD3AB0"/>
    <w:rsid w:val="00CD3B7B"/>
    <w:rsid w:val="00CD402E"/>
    <w:rsid w:val="00CD43DA"/>
    <w:rsid w:val="00CD6891"/>
    <w:rsid w:val="00CD6A0E"/>
    <w:rsid w:val="00CD6F30"/>
    <w:rsid w:val="00CD74D4"/>
    <w:rsid w:val="00CD761D"/>
    <w:rsid w:val="00CE01B0"/>
    <w:rsid w:val="00CE20A5"/>
    <w:rsid w:val="00CE295E"/>
    <w:rsid w:val="00CE2D40"/>
    <w:rsid w:val="00CE3041"/>
    <w:rsid w:val="00CE34E1"/>
    <w:rsid w:val="00CE394F"/>
    <w:rsid w:val="00CE5D76"/>
    <w:rsid w:val="00CE687D"/>
    <w:rsid w:val="00CE68A1"/>
    <w:rsid w:val="00CE6AB6"/>
    <w:rsid w:val="00CE6ACF"/>
    <w:rsid w:val="00CE6AF0"/>
    <w:rsid w:val="00CE7F93"/>
    <w:rsid w:val="00CF25DF"/>
    <w:rsid w:val="00CF390D"/>
    <w:rsid w:val="00CF3AEC"/>
    <w:rsid w:val="00CF5064"/>
    <w:rsid w:val="00CF5A69"/>
    <w:rsid w:val="00CF6750"/>
    <w:rsid w:val="00CF6AE9"/>
    <w:rsid w:val="00CF6B22"/>
    <w:rsid w:val="00CF75AB"/>
    <w:rsid w:val="00CF7ABE"/>
    <w:rsid w:val="00D00553"/>
    <w:rsid w:val="00D00E10"/>
    <w:rsid w:val="00D02524"/>
    <w:rsid w:val="00D04848"/>
    <w:rsid w:val="00D04D15"/>
    <w:rsid w:val="00D04F43"/>
    <w:rsid w:val="00D04F9F"/>
    <w:rsid w:val="00D06AC7"/>
    <w:rsid w:val="00D06B7E"/>
    <w:rsid w:val="00D1002A"/>
    <w:rsid w:val="00D100D9"/>
    <w:rsid w:val="00D10270"/>
    <w:rsid w:val="00D115A2"/>
    <w:rsid w:val="00D11BA2"/>
    <w:rsid w:val="00D11D9B"/>
    <w:rsid w:val="00D12C85"/>
    <w:rsid w:val="00D1415E"/>
    <w:rsid w:val="00D14A6E"/>
    <w:rsid w:val="00D15315"/>
    <w:rsid w:val="00D15B78"/>
    <w:rsid w:val="00D17AD4"/>
    <w:rsid w:val="00D2026A"/>
    <w:rsid w:val="00D22C4D"/>
    <w:rsid w:val="00D232C5"/>
    <w:rsid w:val="00D23868"/>
    <w:rsid w:val="00D23B38"/>
    <w:rsid w:val="00D24319"/>
    <w:rsid w:val="00D24BBA"/>
    <w:rsid w:val="00D25E65"/>
    <w:rsid w:val="00D2689E"/>
    <w:rsid w:val="00D26CEA"/>
    <w:rsid w:val="00D276D7"/>
    <w:rsid w:val="00D278DB"/>
    <w:rsid w:val="00D3066A"/>
    <w:rsid w:val="00D3258F"/>
    <w:rsid w:val="00D32BF5"/>
    <w:rsid w:val="00D32C1E"/>
    <w:rsid w:val="00D348F0"/>
    <w:rsid w:val="00D350EA"/>
    <w:rsid w:val="00D35449"/>
    <w:rsid w:val="00D36D9B"/>
    <w:rsid w:val="00D374C7"/>
    <w:rsid w:val="00D377E6"/>
    <w:rsid w:val="00D37BAB"/>
    <w:rsid w:val="00D4017E"/>
    <w:rsid w:val="00D41070"/>
    <w:rsid w:val="00D41FA0"/>
    <w:rsid w:val="00D42430"/>
    <w:rsid w:val="00D43455"/>
    <w:rsid w:val="00D4365E"/>
    <w:rsid w:val="00D43ABC"/>
    <w:rsid w:val="00D44CB8"/>
    <w:rsid w:val="00D50502"/>
    <w:rsid w:val="00D50523"/>
    <w:rsid w:val="00D51A68"/>
    <w:rsid w:val="00D5282E"/>
    <w:rsid w:val="00D52EEC"/>
    <w:rsid w:val="00D530DE"/>
    <w:rsid w:val="00D531BB"/>
    <w:rsid w:val="00D53D8F"/>
    <w:rsid w:val="00D54414"/>
    <w:rsid w:val="00D5501E"/>
    <w:rsid w:val="00D552EB"/>
    <w:rsid w:val="00D55AD4"/>
    <w:rsid w:val="00D5712A"/>
    <w:rsid w:val="00D5783A"/>
    <w:rsid w:val="00D60795"/>
    <w:rsid w:val="00D60BC4"/>
    <w:rsid w:val="00D61ACC"/>
    <w:rsid w:val="00D62366"/>
    <w:rsid w:val="00D63833"/>
    <w:rsid w:val="00D63AA8"/>
    <w:rsid w:val="00D650AC"/>
    <w:rsid w:val="00D65108"/>
    <w:rsid w:val="00D65406"/>
    <w:rsid w:val="00D662D0"/>
    <w:rsid w:val="00D66EA5"/>
    <w:rsid w:val="00D672A6"/>
    <w:rsid w:val="00D67D26"/>
    <w:rsid w:val="00D70187"/>
    <w:rsid w:val="00D71EA2"/>
    <w:rsid w:val="00D72642"/>
    <w:rsid w:val="00D7386A"/>
    <w:rsid w:val="00D73D18"/>
    <w:rsid w:val="00D73E11"/>
    <w:rsid w:val="00D74055"/>
    <w:rsid w:val="00D75283"/>
    <w:rsid w:val="00D7529B"/>
    <w:rsid w:val="00D75AC5"/>
    <w:rsid w:val="00D75BE3"/>
    <w:rsid w:val="00D7771E"/>
    <w:rsid w:val="00D77C78"/>
    <w:rsid w:val="00D77D56"/>
    <w:rsid w:val="00D80B1B"/>
    <w:rsid w:val="00D80E64"/>
    <w:rsid w:val="00D811DB"/>
    <w:rsid w:val="00D81352"/>
    <w:rsid w:val="00D8146B"/>
    <w:rsid w:val="00D82A56"/>
    <w:rsid w:val="00D8502C"/>
    <w:rsid w:val="00D85F7B"/>
    <w:rsid w:val="00D86E6F"/>
    <w:rsid w:val="00D86F44"/>
    <w:rsid w:val="00D874A7"/>
    <w:rsid w:val="00D87608"/>
    <w:rsid w:val="00D87893"/>
    <w:rsid w:val="00D90F31"/>
    <w:rsid w:val="00D912B6"/>
    <w:rsid w:val="00D912E1"/>
    <w:rsid w:val="00D91E37"/>
    <w:rsid w:val="00D922FC"/>
    <w:rsid w:val="00D9368E"/>
    <w:rsid w:val="00D93EE7"/>
    <w:rsid w:val="00D93F22"/>
    <w:rsid w:val="00D943DB"/>
    <w:rsid w:val="00D957D0"/>
    <w:rsid w:val="00D96713"/>
    <w:rsid w:val="00DA0665"/>
    <w:rsid w:val="00DA092E"/>
    <w:rsid w:val="00DA1307"/>
    <w:rsid w:val="00DA19AA"/>
    <w:rsid w:val="00DA1DDB"/>
    <w:rsid w:val="00DA1E47"/>
    <w:rsid w:val="00DA20AF"/>
    <w:rsid w:val="00DA2CF4"/>
    <w:rsid w:val="00DA2F3B"/>
    <w:rsid w:val="00DA46F9"/>
    <w:rsid w:val="00DA5191"/>
    <w:rsid w:val="00DA578D"/>
    <w:rsid w:val="00DA6EEB"/>
    <w:rsid w:val="00DA7998"/>
    <w:rsid w:val="00DB038E"/>
    <w:rsid w:val="00DB1311"/>
    <w:rsid w:val="00DB1B82"/>
    <w:rsid w:val="00DB1DB7"/>
    <w:rsid w:val="00DB2B76"/>
    <w:rsid w:val="00DB3151"/>
    <w:rsid w:val="00DB3155"/>
    <w:rsid w:val="00DB3345"/>
    <w:rsid w:val="00DB485A"/>
    <w:rsid w:val="00DB4BBD"/>
    <w:rsid w:val="00DB51C1"/>
    <w:rsid w:val="00DB53C8"/>
    <w:rsid w:val="00DB5FCF"/>
    <w:rsid w:val="00DB7110"/>
    <w:rsid w:val="00DB7D01"/>
    <w:rsid w:val="00DC1299"/>
    <w:rsid w:val="00DC25B1"/>
    <w:rsid w:val="00DC2948"/>
    <w:rsid w:val="00DC39D1"/>
    <w:rsid w:val="00DC4405"/>
    <w:rsid w:val="00DC490F"/>
    <w:rsid w:val="00DC4EF1"/>
    <w:rsid w:val="00DC5145"/>
    <w:rsid w:val="00DC5858"/>
    <w:rsid w:val="00DC6960"/>
    <w:rsid w:val="00DC6B91"/>
    <w:rsid w:val="00DC71AB"/>
    <w:rsid w:val="00DC7D95"/>
    <w:rsid w:val="00DD09A6"/>
    <w:rsid w:val="00DD193C"/>
    <w:rsid w:val="00DD38E5"/>
    <w:rsid w:val="00DD42A0"/>
    <w:rsid w:val="00DD4C59"/>
    <w:rsid w:val="00DD5B99"/>
    <w:rsid w:val="00DD5BCC"/>
    <w:rsid w:val="00DD66C2"/>
    <w:rsid w:val="00DD6902"/>
    <w:rsid w:val="00DD6973"/>
    <w:rsid w:val="00DD6AF1"/>
    <w:rsid w:val="00DD6C3D"/>
    <w:rsid w:val="00DD71FE"/>
    <w:rsid w:val="00DD73EB"/>
    <w:rsid w:val="00DD77AB"/>
    <w:rsid w:val="00DD77BC"/>
    <w:rsid w:val="00DD7D84"/>
    <w:rsid w:val="00DD7DDA"/>
    <w:rsid w:val="00DE05DB"/>
    <w:rsid w:val="00DE0ADD"/>
    <w:rsid w:val="00DE0F29"/>
    <w:rsid w:val="00DE1566"/>
    <w:rsid w:val="00DE2D01"/>
    <w:rsid w:val="00DE354F"/>
    <w:rsid w:val="00DE4681"/>
    <w:rsid w:val="00DE54D7"/>
    <w:rsid w:val="00DE55A1"/>
    <w:rsid w:val="00DE55DE"/>
    <w:rsid w:val="00DE6363"/>
    <w:rsid w:val="00DE6991"/>
    <w:rsid w:val="00DE6F45"/>
    <w:rsid w:val="00DE7340"/>
    <w:rsid w:val="00DE7520"/>
    <w:rsid w:val="00DE7D38"/>
    <w:rsid w:val="00DE7F81"/>
    <w:rsid w:val="00DF1C4C"/>
    <w:rsid w:val="00DF2800"/>
    <w:rsid w:val="00DF498C"/>
    <w:rsid w:val="00DF619B"/>
    <w:rsid w:val="00DF62CE"/>
    <w:rsid w:val="00DF6CFD"/>
    <w:rsid w:val="00DF6E7A"/>
    <w:rsid w:val="00DF7CAC"/>
    <w:rsid w:val="00DF7D2B"/>
    <w:rsid w:val="00E00877"/>
    <w:rsid w:val="00E01E1F"/>
    <w:rsid w:val="00E02082"/>
    <w:rsid w:val="00E0222E"/>
    <w:rsid w:val="00E035D9"/>
    <w:rsid w:val="00E03D31"/>
    <w:rsid w:val="00E03D59"/>
    <w:rsid w:val="00E044DD"/>
    <w:rsid w:val="00E044DF"/>
    <w:rsid w:val="00E04DBA"/>
    <w:rsid w:val="00E05056"/>
    <w:rsid w:val="00E055C6"/>
    <w:rsid w:val="00E05AA4"/>
    <w:rsid w:val="00E05C5F"/>
    <w:rsid w:val="00E05EF5"/>
    <w:rsid w:val="00E06D9A"/>
    <w:rsid w:val="00E07346"/>
    <w:rsid w:val="00E0766C"/>
    <w:rsid w:val="00E109CB"/>
    <w:rsid w:val="00E126F0"/>
    <w:rsid w:val="00E12FE3"/>
    <w:rsid w:val="00E13B57"/>
    <w:rsid w:val="00E13B98"/>
    <w:rsid w:val="00E1520F"/>
    <w:rsid w:val="00E15249"/>
    <w:rsid w:val="00E153E9"/>
    <w:rsid w:val="00E17C4C"/>
    <w:rsid w:val="00E20751"/>
    <w:rsid w:val="00E2093B"/>
    <w:rsid w:val="00E214AD"/>
    <w:rsid w:val="00E21504"/>
    <w:rsid w:val="00E225FC"/>
    <w:rsid w:val="00E23AF6"/>
    <w:rsid w:val="00E23DAC"/>
    <w:rsid w:val="00E24733"/>
    <w:rsid w:val="00E25148"/>
    <w:rsid w:val="00E253FD"/>
    <w:rsid w:val="00E25F52"/>
    <w:rsid w:val="00E32D8B"/>
    <w:rsid w:val="00E33581"/>
    <w:rsid w:val="00E34B56"/>
    <w:rsid w:val="00E34E50"/>
    <w:rsid w:val="00E35563"/>
    <w:rsid w:val="00E36BE8"/>
    <w:rsid w:val="00E3707E"/>
    <w:rsid w:val="00E37303"/>
    <w:rsid w:val="00E409CE"/>
    <w:rsid w:val="00E40E1E"/>
    <w:rsid w:val="00E42954"/>
    <w:rsid w:val="00E42EB3"/>
    <w:rsid w:val="00E43521"/>
    <w:rsid w:val="00E439DE"/>
    <w:rsid w:val="00E44AF6"/>
    <w:rsid w:val="00E46800"/>
    <w:rsid w:val="00E472BE"/>
    <w:rsid w:val="00E51111"/>
    <w:rsid w:val="00E5283F"/>
    <w:rsid w:val="00E53AD8"/>
    <w:rsid w:val="00E54221"/>
    <w:rsid w:val="00E54287"/>
    <w:rsid w:val="00E54619"/>
    <w:rsid w:val="00E549B1"/>
    <w:rsid w:val="00E55627"/>
    <w:rsid w:val="00E56042"/>
    <w:rsid w:val="00E562A8"/>
    <w:rsid w:val="00E600A8"/>
    <w:rsid w:val="00E6114C"/>
    <w:rsid w:val="00E61333"/>
    <w:rsid w:val="00E62283"/>
    <w:rsid w:val="00E6341B"/>
    <w:rsid w:val="00E63ACD"/>
    <w:rsid w:val="00E65EE3"/>
    <w:rsid w:val="00E65F87"/>
    <w:rsid w:val="00E673CB"/>
    <w:rsid w:val="00E67619"/>
    <w:rsid w:val="00E677C8"/>
    <w:rsid w:val="00E67A83"/>
    <w:rsid w:val="00E67BFC"/>
    <w:rsid w:val="00E70A02"/>
    <w:rsid w:val="00E71225"/>
    <w:rsid w:val="00E712F6"/>
    <w:rsid w:val="00E7244A"/>
    <w:rsid w:val="00E7292B"/>
    <w:rsid w:val="00E72AAD"/>
    <w:rsid w:val="00E72DE1"/>
    <w:rsid w:val="00E72EA2"/>
    <w:rsid w:val="00E74769"/>
    <w:rsid w:val="00E75F11"/>
    <w:rsid w:val="00E762A7"/>
    <w:rsid w:val="00E76EEC"/>
    <w:rsid w:val="00E77196"/>
    <w:rsid w:val="00E7724E"/>
    <w:rsid w:val="00E777D2"/>
    <w:rsid w:val="00E825A0"/>
    <w:rsid w:val="00E83FA7"/>
    <w:rsid w:val="00E843AE"/>
    <w:rsid w:val="00E85AE8"/>
    <w:rsid w:val="00E85B24"/>
    <w:rsid w:val="00E85FBD"/>
    <w:rsid w:val="00E85FE2"/>
    <w:rsid w:val="00E864BF"/>
    <w:rsid w:val="00E90D17"/>
    <w:rsid w:val="00E90D72"/>
    <w:rsid w:val="00E92262"/>
    <w:rsid w:val="00E92293"/>
    <w:rsid w:val="00E92BC6"/>
    <w:rsid w:val="00E933F0"/>
    <w:rsid w:val="00E93C2B"/>
    <w:rsid w:val="00E93FA7"/>
    <w:rsid w:val="00E9457E"/>
    <w:rsid w:val="00E957D4"/>
    <w:rsid w:val="00E95A9F"/>
    <w:rsid w:val="00E95F52"/>
    <w:rsid w:val="00E96C4E"/>
    <w:rsid w:val="00E97170"/>
    <w:rsid w:val="00E979F8"/>
    <w:rsid w:val="00E97E80"/>
    <w:rsid w:val="00EA14F3"/>
    <w:rsid w:val="00EA3D7C"/>
    <w:rsid w:val="00EA3DC5"/>
    <w:rsid w:val="00EA4F81"/>
    <w:rsid w:val="00EA5B9E"/>
    <w:rsid w:val="00EA5D10"/>
    <w:rsid w:val="00EA676C"/>
    <w:rsid w:val="00EA6B57"/>
    <w:rsid w:val="00EA6FFE"/>
    <w:rsid w:val="00EA7A6A"/>
    <w:rsid w:val="00EB05BF"/>
    <w:rsid w:val="00EB3BF5"/>
    <w:rsid w:val="00EB4EAF"/>
    <w:rsid w:val="00EB5ACB"/>
    <w:rsid w:val="00EB732B"/>
    <w:rsid w:val="00EB7AA1"/>
    <w:rsid w:val="00EB7F38"/>
    <w:rsid w:val="00EC033A"/>
    <w:rsid w:val="00EC03F2"/>
    <w:rsid w:val="00EC23A4"/>
    <w:rsid w:val="00EC39A3"/>
    <w:rsid w:val="00EC4015"/>
    <w:rsid w:val="00EC4AC4"/>
    <w:rsid w:val="00EC4BF6"/>
    <w:rsid w:val="00EC540A"/>
    <w:rsid w:val="00EC5711"/>
    <w:rsid w:val="00EC571B"/>
    <w:rsid w:val="00EC70CE"/>
    <w:rsid w:val="00ED0670"/>
    <w:rsid w:val="00ED0802"/>
    <w:rsid w:val="00ED103C"/>
    <w:rsid w:val="00ED140A"/>
    <w:rsid w:val="00ED1B38"/>
    <w:rsid w:val="00ED1BFE"/>
    <w:rsid w:val="00ED21BC"/>
    <w:rsid w:val="00ED2743"/>
    <w:rsid w:val="00ED30CE"/>
    <w:rsid w:val="00ED3333"/>
    <w:rsid w:val="00ED3468"/>
    <w:rsid w:val="00ED4974"/>
    <w:rsid w:val="00ED4DD2"/>
    <w:rsid w:val="00ED557D"/>
    <w:rsid w:val="00ED5AD1"/>
    <w:rsid w:val="00ED5BC3"/>
    <w:rsid w:val="00ED644C"/>
    <w:rsid w:val="00ED69B8"/>
    <w:rsid w:val="00ED7201"/>
    <w:rsid w:val="00ED7C89"/>
    <w:rsid w:val="00EE04F7"/>
    <w:rsid w:val="00EE0BFC"/>
    <w:rsid w:val="00EE15A6"/>
    <w:rsid w:val="00EE200B"/>
    <w:rsid w:val="00EE2168"/>
    <w:rsid w:val="00EE258B"/>
    <w:rsid w:val="00EE3032"/>
    <w:rsid w:val="00EE5167"/>
    <w:rsid w:val="00EE5878"/>
    <w:rsid w:val="00EE7B38"/>
    <w:rsid w:val="00EF02FC"/>
    <w:rsid w:val="00EF11F0"/>
    <w:rsid w:val="00EF13A6"/>
    <w:rsid w:val="00EF284E"/>
    <w:rsid w:val="00EF2E99"/>
    <w:rsid w:val="00EF3A01"/>
    <w:rsid w:val="00EF440E"/>
    <w:rsid w:val="00EF4F0A"/>
    <w:rsid w:val="00EF50AB"/>
    <w:rsid w:val="00EF53C9"/>
    <w:rsid w:val="00EF73BE"/>
    <w:rsid w:val="00EF748F"/>
    <w:rsid w:val="00EF75E7"/>
    <w:rsid w:val="00EF7CB2"/>
    <w:rsid w:val="00F01700"/>
    <w:rsid w:val="00F0317C"/>
    <w:rsid w:val="00F0332E"/>
    <w:rsid w:val="00F04545"/>
    <w:rsid w:val="00F04ACB"/>
    <w:rsid w:val="00F05487"/>
    <w:rsid w:val="00F05D56"/>
    <w:rsid w:val="00F10538"/>
    <w:rsid w:val="00F11C38"/>
    <w:rsid w:val="00F12915"/>
    <w:rsid w:val="00F14055"/>
    <w:rsid w:val="00F145C0"/>
    <w:rsid w:val="00F151BB"/>
    <w:rsid w:val="00F1563E"/>
    <w:rsid w:val="00F15BC0"/>
    <w:rsid w:val="00F15C88"/>
    <w:rsid w:val="00F15E08"/>
    <w:rsid w:val="00F16902"/>
    <w:rsid w:val="00F1696B"/>
    <w:rsid w:val="00F17A35"/>
    <w:rsid w:val="00F17BE2"/>
    <w:rsid w:val="00F17C3C"/>
    <w:rsid w:val="00F2251D"/>
    <w:rsid w:val="00F22A8B"/>
    <w:rsid w:val="00F243CA"/>
    <w:rsid w:val="00F257AA"/>
    <w:rsid w:val="00F25AA6"/>
    <w:rsid w:val="00F272F6"/>
    <w:rsid w:val="00F305B5"/>
    <w:rsid w:val="00F318C9"/>
    <w:rsid w:val="00F31C7C"/>
    <w:rsid w:val="00F32E63"/>
    <w:rsid w:val="00F33860"/>
    <w:rsid w:val="00F34051"/>
    <w:rsid w:val="00F34815"/>
    <w:rsid w:val="00F35DC7"/>
    <w:rsid w:val="00F3669C"/>
    <w:rsid w:val="00F41741"/>
    <w:rsid w:val="00F4176C"/>
    <w:rsid w:val="00F432FF"/>
    <w:rsid w:val="00F43392"/>
    <w:rsid w:val="00F444B0"/>
    <w:rsid w:val="00F4495B"/>
    <w:rsid w:val="00F4699E"/>
    <w:rsid w:val="00F47786"/>
    <w:rsid w:val="00F505D5"/>
    <w:rsid w:val="00F5151E"/>
    <w:rsid w:val="00F51CD3"/>
    <w:rsid w:val="00F5226A"/>
    <w:rsid w:val="00F527BF"/>
    <w:rsid w:val="00F52B7D"/>
    <w:rsid w:val="00F54B91"/>
    <w:rsid w:val="00F5575F"/>
    <w:rsid w:val="00F56024"/>
    <w:rsid w:val="00F61703"/>
    <w:rsid w:val="00F61994"/>
    <w:rsid w:val="00F619CC"/>
    <w:rsid w:val="00F61F2A"/>
    <w:rsid w:val="00F6298A"/>
    <w:rsid w:val="00F62E2A"/>
    <w:rsid w:val="00F65F49"/>
    <w:rsid w:val="00F664CE"/>
    <w:rsid w:val="00F66759"/>
    <w:rsid w:val="00F672F9"/>
    <w:rsid w:val="00F673C7"/>
    <w:rsid w:val="00F70E32"/>
    <w:rsid w:val="00F716FF"/>
    <w:rsid w:val="00F71D95"/>
    <w:rsid w:val="00F7269D"/>
    <w:rsid w:val="00F73830"/>
    <w:rsid w:val="00F73883"/>
    <w:rsid w:val="00F73D6D"/>
    <w:rsid w:val="00F7458E"/>
    <w:rsid w:val="00F7491A"/>
    <w:rsid w:val="00F75C4D"/>
    <w:rsid w:val="00F75C60"/>
    <w:rsid w:val="00F76951"/>
    <w:rsid w:val="00F804E7"/>
    <w:rsid w:val="00F80822"/>
    <w:rsid w:val="00F80905"/>
    <w:rsid w:val="00F81111"/>
    <w:rsid w:val="00F812BB"/>
    <w:rsid w:val="00F8143E"/>
    <w:rsid w:val="00F824CE"/>
    <w:rsid w:val="00F82846"/>
    <w:rsid w:val="00F82D17"/>
    <w:rsid w:val="00F841E5"/>
    <w:rsid w:val="00F84617"/>
    <w:rsid w:val="00F85036"/>
    <w:rsid w:val="00F85EC2"/>
    <w:rsid w:val="00F85F30"/>
    <w:rsid w:val="00F860CA"/>
    <w:rsid w:val="00F860E3"/>
    <w:rsid w:val="00F8646D"/>
    <w:rsid w:val="00F8660D"/>
    <w:rsid w:val="00F87720"/>
    <w:rsid w:val="00F87A32"/>
    <w:rsid w:val="00F90F07"/>
    <w:rsid w:val="00F91286"/>
    <w:rsid w:val="00F923AA"/>
    <w:rsid w:val="00F92E39"/>
    <w:rsid w:val="00F94608"/>
    <w:rsid w:val="00F947D6"/>
    <w:rsid w:val="00F96350"/>
    <w:rsid w:val="00F970A2"/>
    <w:rsid w:val="00FA01FD"/>
    <w:rsid w:val="00FA03C6"/>
    <w:rsid w:val="00FA063D"/>
    <w:rsid w:val="00FA1292"/>
    <w:rsid w:val="00FA1BDC"/>
    <w:rsid w:val="00FA263A"/>
    <w:rsid w:val="00FA2BE3"/>
    <w:rsid w:val="00FA3806"/>
    <w:rsid w:val="00FA4189"/>
    <w:rsid w:val="00FA452B"/>
    <w:rsid w:val="00FA47BB"/>
    <w:rsid w:val="00FA542D"/>
    <w:rsid w:val="00FA55DC"/>
    <w:rsid w:val="00FA58A6"/>
    <w:rsid w:val="00FA5ADF"/>
    <w:rsid w:val="00FA70E3"/>
    <w:rsid w:val="00FA778F"/>
    <w:rsid w:val="00FA7F3F"/>
    <w:rsid w:val="00FB225E"/>
    <w:rsid w:val="00FB2721"/>
    <w:rsid w:val="00FB2DDC"/>
    <w:rsid w:val="00FB4993"/>
    <w:rsid w:val="00FB4A4D"/>
    <w:rsid w:val="00FB5057"/>
    <w:rsid w:val="00FB5866"/>
    <w:rsid w:val="00FB6811"/>
    <w:rsid w:val="00FB71EC"/>
    <w:rsid w:val="00FB7E28"/>
    <w:rsid w:val="00FC06E9"/>
    <w:rsid w:val="00FC0DF3"/>
    <w:rsid w:val="00FC12AB"/>
    <w:rsid w:val="00FC1369"/>
    <w:rsid w:val="00FC1640"/>
    <w:rsid w:val="00FC1D13"/>
    <w:rsid w:val="00FC1F5F"/>
    <w:rsid w:val="00FC2483"/>
    <w:rsid w:val="00FC29EC"/>
    <w:rsid w:val="00FC3AF9"/>
    <w:rsid w:val="00FC3C0E"/>
    <w:rsid w:val="00FC3CA8"/>
    <w:rsid w:val="00FC3F62"/>
    <w:rsid w:val="00FC4FE1"/>
    <w:rsid w:val="00FC734B"/>
    <w:rsid w:val="00FC7CD3"/>
    <w:rsid w:val="00FD12C6"/>
    <w:rsid w:val="00FD16B3"/>
    <w:rsid w:val="00FD1F9C"/>
    <w:rsid w:val="00FD2ECF"/>
    <w:rsid w:val="00FD36B7"/>
    <w:rsid w:val="00FD3EC9"/>
    <w:rsid w:val="00FD4413"/>
    <w:rsid w:val="00FD4CC4"/>
    <w:rsid w:val="00FD4E6F"/>
    <w:rsid w:val="00FD4FF4"/>
    <w:rsid w:val="00FD59B6"/>
    <w:rsid w:val="00FD6EA0"/>
    <w:rsid w:val="00FD7385"/>
    <w:rsid w:val="00FD7822"/>
    <w:rsid w:val="00FE00A2"/>
    <w:rsid w:val="00FE03E6"/>
    <w:rsid w:val="00FE2107"/>
    <w:rsid w:val="00FE2227"/>
    <w:rsid w:val="00FE233A"/>
    <w:rsid w:val="00FE2EBC"/>
    <w:rsid w:val="00FE35AB"/>
    <w:rsid w:val="00FE4168"/>
    <w:rsid w:val="00FE4477"/>
    <w:rsid w:val="00FE564C"/>
    <w:rsid w:val="00FE5984"/>
    <w:rsid w:val="00FE7482"/>
    <w:rsid w:val="00FF026B"/>
    <w:rsid w:val="00FF0E7E"/>
    <w:rsid w:val="00FF2A83"/>
    <w:rsid w:val="00FF2B4D"/>
    <w:rsid w:val="00FF2DF2"/>
    <w:rsid w:val="00FF3C1D"/>
    <w:rsid w:val="00FF3E22"/>
    <w:rsid w:val="00FF581E"/>
    <w:rsid w:val="00FF6159"/>
    <w:rsid w:val="00FF61EF"/>
    <w:rsid w:val="00FF6541"/>
    <w:rsid w:val="01E157E7"/>
    <w:rsid w:val="01EC3E90"/>
    <w:rsid w:val="01F114A6"/>
    <w:rsid w:val="023E5F6A"/>
    <w:rsid w:val="025B32DA"/>
    <w:rsid w:val="02A85780"/>
    <w:rsid w:val="02B6422C"/>
    <w:rsid w:val="030F2294"/>
    <w:rsid w:val="039A3C67"/>
    <w:rsid w:val="04152A87"/>
    <w:rsid w:val="045470F3"/>
    <w:rsid w:val="04B52723"/>
    <w:rsid w:val="0514219F"/>
    <w:rsid w:val="052E5A02"/>
    <w:rsid w:val="05344197"/>
    <w:rsid w:val="054428A9"/>
    <w:rsid w:val="0595157D"/>
    <w:rsid w:val="05D639A0"/>
    <w:rsid w:val="061E2667"/>
    <w:rsid w:val="06584FB8"/>
    <w:rsid w:val="06DB57CD"/>
    <w:rsid w:val="06DF5D71"/>
    <w:rsid w:val="06F05772"/>
    <w:rsid w:val="070924C9"/>
    <w:rsid w:val="07FD7396"/>
    <w:rsid w:val="087517B8"/>
    <w:rsid w:val="08B83F53"/>
    <w:rsid w:val="09144922"/>
    <w:rsid w:val="09317776"/>
    <w:rsid w:val="099904F8"/>
    <w:rsid w:val="09D31FBF"/>
    <w:rsid w:val="0A80501B"/>
    <w:rsid w:val="0A9F5608"/>
    <w:rsid w:val="0B2E376B"/>
    <w:rsid w:val="0B591E2E"/>
    <w:rsid w:val="0B6B3F6F"/>
    <w:rsid w:val="0B7C4930"/>
    <w:rsid w:val="0BBD5175"/>
    <w:rsid w:val="0D1643BB"/>
    <w:rsid w:val="0DA82DCF"/>
    <w:rsid w:val="0DC444A6"/>
    <w:rsid w:val="0E5C1EB1"/>
    <w:rsid w:val="0E981627"/>
    <w:rsid w:val="0F4B669A"/>
    <w:rsid w:val="0F8457A4"/>
    <w:rsid w:val="0F9F7366"/>
    <w:rsid w:val="100426FC"/>
    <w:rsid w:val="10970E96"/>
    <w:rsid w:val="10B10371"/>
    <w:rsid w:val="10D26327"/>
    <w:rsid w:val="113D41FF"/>
    <w:rsid w:val="117F202F"/>
    <w:rsid w:val="11967974"/>
    <w:rsid w:val="121F78C4"/>
    <w:rsid w:val="12241424"/>
    <w:rsid w:val="12CD0B56"/>
    <w:rsid w:val="12D46D72"/>
    <w:rsid w:val="12FB36FF"/>
    <w:rsid w:val="13135FA9"/>
    <w:rsid w:val="131A358D"/>
    <w:rsid w:val="13396253"/>
    <w:rsid w:val="13497394"/>
    <w:rsid w:val="13D432E0"/>
    <w:rsid w:val="13DF0529"/>
    <w:rsid w:val="13E968BA"/>
    <w:rsid w:val="141906E0"/>
    <w:rsid w:val="143A1B3C"/>
    <w:rsid w:val="149D63AA"/>
    <w:rsid w:val="150816DF"/>
    <w:rsid w:val="15433673"/>
    <w:rsid w:val="15635E4A"/>
    <w:rsid w:val="16291113"/>
    <w:rsid w:val="17201086"/>
    <w:rsid w:val="17240813"/>
    <w:rsid w:val="17473D3D"/>
    <w:rsid w:val="17DD1572"/>
    <w:rsid w:val="1843721D"/>
    <w:rsid w:val="189439DF"/>
    <w:rsid w:val="19230E75"/>
    <w:rsid w:val="1A383CBF"/>
    <w:rsid w:val="1AF101E2"/>
    <w:rsid w:val="1C3041CB"/>
    <w:rsid w:val="1CA90EA4"/>
    <w:rsid w:val="1CD60D8F"/>
    <w:rsid w:val="1CDE3150"/>
    <w:rsid w:val="1CF21D0A"/>
    <w:rsid w:val="1D901EA3"/>
    <w:rsid w:val="1DCA77EF"/>
    <w:rsid w:val="1DDE333F"/>
    <w:rsid w:val="1DE404F7"/>
    <w:rsid w:val="1EE53CE9"/>
    <w:rsid w:val="1EE5482F"/>
    <w:rsid w:val="1F5E4E4D"/>
    <w:rsid w:val="1F6D654F"/>
    <w:rsid w:val="1F936DDB"/>
    <w:rsid w:val="20201EC2"/>
    <w:rsid w:val="204D197E"/>
    <w:rsid w:val="20555866"/>
    <w:rsid w:val="20F879A7"/>
    <w:rsid w:val="210E4D64"/>
    <w:rsid w:val="214210A0"/>
    <w:rsid w:val="216F462D"/>
    <w:rsid w:val="224A024D"/>
    <w:rsid w:val="23156A1D"/>
    <w:rsid w:val="237C4C1C"/>
    <w:rsid w:val="239527EE"/>
    <w:rsid w:val="240115C5"/>
    <w:rsid w:val="24E52C95"/>
    <w:rsid w:val="251D40A6"/>
    <w:rsid w:val="253F062B"/>
    <w:rsid w:val="25515A0E"/>
    <w:rsid w:val="25CF4AFA"/>
    <w:rsid w:val="260E42A0"/>
    <w:rsid w:val="26226F65"/>
    <w:rsid w:val="26BE651E"/>
    <w:rsid w:val="27283403"/>
    <w:rsid w:val="273E668C"/>
    <w:rsid w:val="27634086"/>
    <w:rsid w:val="27C24AC7"/>
    <w:rsid w:val="280E7144"/>
    <w:rsid w:val="284E28FF"/>
    <w:rsid w:val="28A92036"/>
    <w:rsid w:val="28B64089"/>
    <w:rsid w:val="28C80903"/>
    <w:rsid w:val="2910443B"/>
    <w:rsid w:val="29E14AC1"/>
    <w:rsid w:val="29FD3C01"/>
    <w:rsid w:val="2A3526CE"/>
    <w:rsid w:val="2A450651"/>
    <w:rsid w:val="2A9D36CC"/>
    <w:rsid w:val="2AC86BC9"/>
    <w:rsid w:val="2AE5579D"/>
    <w:rsid w:val="2AF04C7E"/>
    <w:rsid w:val="2B591CE7"/>
    <w:rsid w:val="2BA967D5"/>
    <w:rsid w:val="2BDF6B05"/>
    <w:rsid w:val="2C136B70"/>
    <w:rsid w:val="2C254110"/>
    <w:rsid w:val="2C2B1183"/>
    <w:rsid w:val="2CC35E7E"/>
    <w:rsid w:val="2CD06D70"/>
    <w:rsid w:val="2CD47136"/>
    <w:rsid w:val="2D332D2D"/>
    <w:rsid w:val="2D3B78F6"/>
    <w:rsid w:val="2D4F6B76"/>
    <w:rsid w:val="2DCD7871"/>
    <w:rsid w:val="2F1532F9"/>
    <w:rsid w:val="2F5B30D0"/>
    <w:rsid w:val="2F894410"/>
    <w:rsid w:val="30151A1D"/>
    <w:rsid w:val="30522A06"/>
    <w:rsid w:val="31DF7B2D"/>
    <w:rsid w:val="32113E29"/>
    <w:rsid w:val="33720883"/>
    <w:rsid w:val="341D7D55"/>
    <w:rsid w:val="343432F1"/>
    <w:rsid w:val="351D0231"/>
    <w:rsid w:val="353F3CFB"/>
    <w:rsid w:val="354343AB"/>
    <w:rsid w:val="3577212D"/>
    <w:rsid w:val="3604729E"/>
    <w:rsid w:val="364764AD"/>
    <w:rsid w:val="366502B7"/>
    <w:rsid w:val="36AE2A44"/>
    <w:rsid w:val="37895702"/>
    <w:rsid w:val="379C086E"/>
    <w:rsid w:val="37E035DE"/>
    <w:rsid w:val="38AF6325"/>
    <w:rsid w:val="39456083"/>
    <w:rsid w:val="3977699E"/>
    <w:rsid w:val="39A62C24"/>
    <w:rsid w:val="3A04342C"/>
    <w:rsid w:val="3AB97307"/>
    <w:rsid w:val="3B190892"/>
    <w:rsid w:val="3B3678BE"/>
    <w:rsid w:val="3B863C80"/>
    <w:rsid w:val="3C2C0044"/>
    <w:rsid w:val="3C317D4F"/>
    <w:rsid w:val="3D1A1EDC"/>
    <w:rsid w:val="3D6B613D"/>
    <w:rsid w:val="3F58057C"/>
    <w:rsid w:val="3F6A6298"/>
    <w:rsid w:val="40060396"/>
    <w:rsid w:val="40A72962"/>
    <w:rsid w:val="411A74DA"/>
    <w:rsid w:val="416C4B1F"/>
    <w:rsid w:val="41F11BDD"/>
    <w:rsid w:val="41F30E93"/>
    <w:rsid w:val="42212F8E"/>
    <w:rsid w:val="426361E0"/>
    <w:rsid w:val="43C3256E"/>
    <w:rsid w:val="43CE6C9F"/>
    <w:rsid w:val="43F4090A"/>
    <w:rsid w:val="445762BF"/>
    <w:rsid w:val="44AC00B9"/>
    <w:rsid w:val="44EE0B22"/>
    <w:rsid w:val="4558226C"/>
    <w:rsid w:val="459E624B"/>
    <w:rsid w:val="45A32E4E"/>
    <w:rsid w:val="45EA4FCA"/>
    <w:rsid w:val="460D0F7A"/>
    <w:rsid w:val="4613091E"/>
    <w:rsid w:val="461A1FF3"/>
    <w:rsid w:val="465C0685"/>
    <w:rsid w:val="468531C2"/>
    <w:rsid w:val="473E51AD"/>
    <w:rsid w:val="473F25F0"/>
    <w:rsid w:val="477914D1"/>
    <w:rsid w:val="477F33DA"/>
    <w:rsid w:val="479561C9"/>
    <w:rsid w:val="479B3C4F"/>
    <w:rsid w:val="47A56090"/>
    <w:rsid w:val="47AA3148"/>
    <w:rsid w:val="47F07ED4"/>
    <w:rsid w:val="47FE0AEA"/>
    <w:rsid w:val="488108C0"/>
    <w:rsid w:val="49374FBE"/>
    <w:rsid w:val="4A1A65A1"/>
    <w:rsid w:val="4AFC5C88"/>
    <w:rsid w:val="4B080428"/>
    <w:rsid w:val="4B4531A0"/>
    <w:rsid w:val="4B8E3BDA"/>
    <w:rsid w:val="4C03562B"/>
    <w:rsid w:val="4C616E80"/>
    <w:rsid w:val="4C780FB6"/>
    <w:rsid w:val="4C781360"/>
    <w:rsid w:val="4DEC3C72"/>
    <w:rsid w:val="4E821E9F"/>
    <w:rsid w:val="4EA678EE"/>
    <w:rsid w:val="4EB361A4"/>
    <w:rsid w:val="4EFE53DB"/>
    <w:rsid w:val="4F0D4D6D"/>
    <w:rsid w:val="4F0D7820"/>
    <w:rsid w:val="4FA02695"/>
    <w:rsid w:val="4FB400A1"/>
    <w:rsid w:val="4FC05799"/>
    <w:rsid w:val="503C6B69"/>
    <w:rsid w:val="50A849F3"/>
    <w:rsid w:val="51037E7B"/>
    <w:rsid w:val="52EA789E"/>
    <w:rsid w:val="534D11E0"/>
    <w:rsid w:val="536C457C"/>
    <w:rsid w:val="53820B12"/>
    <w:rsid w:val="53840791"/>
    <w:rsid w:val="53C75190"/>
    <w:rsid w:val="53D00A06"/>
    <w:rsid w:val="547B072C"/>
    <w:rsid w:val="54B4585B"/>
    <w:rsid w:val="55360AFD"/>
    <w:rsid w:val="557848ED"/>
    <w:rsid w:val="56835C7A"/>
    <w:rsid w:val="56F90FA8"/>
    <w:rsid w:val="575F4499"/>
    <w:rsid w:val="58006EC2"/>
    <w:rsid w:val="583F7AB0"/>
    <w:rsid w:val="5886218E"/>
    <w:rsid w:val="58DE6AFC"/>
    <w:rsid w:val="599C6DA3"/>
    <w:rsid w:val="59F47AE4"/>
    <w:rsid w:val="5A1946EB"/>
    <w:rsid w:val="5A294DC6"/>
    <w:rsid w:val="5A7B6CD4"/>
    <w:rsid w:val="5ADD3AB9"/>
    <w:rsid w:val="5B642F85"/>
    <w:rsid w:val="5BA97534"/>
    <w:rsid w:val="5BC93C63"/>
    <w:rsid w:val="5C1F35AE"/>
    <w:rsid w:val="5D2D376B"/>
    <w:rsid w:val="5D3A3732"/>
    <w:rsid w:val="5D6B769B"/>
    <w:rsid w:val="5D747FE6"/>
    <w:rsid w:val="5DA73EBD"/>
    <w:rsid w:val="5DBC7D30"/>
    <w:rsid w:val="5E6F17DE"/>
    <w:rsid w:val="5E811B47"/>
    <w:rsid w:val="5EFB11AA"/>
    <w:rsid w:val="5F3C3851"/>
    <w:rsid w:val="5FBE1756"/>
    <w:rsid w:val="60147500"/>
    <w:rsid w:val="603A6A3C"/>
    <w:rsid w:val="605B3923"/>
    <w:rsid w:val="60884789"/>
    <w:rsid w:val="60CC4BC1"/>
    <w:rsid w:val="60F63B21"/>
    <w:rsid w:val="614E5143"/>
    <w:rsid w:val="629F3056"/>
    <w:rsid w:val="62DC5F40"/>
    <w:rsid w:val="62EE6301"/>
    <w:rsid w:val="63043D0B"/>
    <w:rsid w:val="632C78E2"/>
    <w:rsid w:val="6330555B"/>
    <w:rsid w:val="6351452D"/>
    <w:rsid w:val="636A1027"/>
    <w:rsid w:val="63853E13"/>
    <w:rsid w:val="642207D6"/>
    <w:rsid w:val="64314B85"/>
    <w:rsid w:val="646D4753"/>
    <w:rsid w:val="65851289"/>
    <w:rsid w:val="65D25D48"/>
    <w:rsid w:val="65F903DC"/>
    <w:rsid w:val="671962B5"/>
    <w:rsid w:val="671F06A4"/>
    <w:rsid w:val="676C40E2"/>
    <w:rsid w:val="679574F1"/>
    <w:rsid w:val="68344483"/>
    <w:rsid w:val="684C3997"/>
    <w:rsid w:val="68DE02B8"/>
    <w:rsid w:val="69172CFC"/>
    <w:rsid w:val="69E421A0"/>
    <w:rsid w:val="69EF72C9"/>
    <w:rsid w:val="69FA5E67"/>
    <w:rsid w:val="6A736F31"/>
    <w:rsid w:val="6ACE4C1E"/>
    <w:rsid w:val="6B4D3238"/>
    <w:rsid w:val="6BE023AE"/>
    <w:rsid w:val="6BFB6DA6"/>
    <w:rsid w:val="6C046B2A"/>
    <w:rsid w:val="6C081E3D"/>
    <w:rsid w:val="6C5833CC"/>
    <w:rsid w:val="6CBC4D5A"/>
    <w:rsid w:val="6D351FB7"/>
    <w:rsid w:val="6D5502EE"/>
    <w:rsid w:val="6DC80199"/>
    <w:rsid w:val="6EB14DA4"/>
    <w:rsid w:val="6F04416F"/>
    <w:rsid w:val="6F997ED1"/>
    <w:rsid w:val="71020101"/>
    <w:rsid w:val="72B60FB8"/>
    <w:rsid w:val="73277773"/>
    <w:rsid w:val="7397648B"/>
    <w:rsid w:val="7399770A"/>
    <w:rsid w:val="745436E9"/>
    <w:rsid w:val="754E3901"/>
    <w:rsid w:val="756F497F"/>
    <w:rsid w:val="75853A5B"/>
    <w:rsid w:val="759B409D"/>
    <w:rsid w:val="761F2516"/>
    <w:rsid w:val="765012B9"/>
    <w:rsid w:val="76D52484"/>
    <w:rsid w:val="77377B75"/>
    <w:rsid w:val="776719F2"/>
    <w:rsid w:val="77E26870"/>
    <w:rsid w:val="77E67FC5"/>
    <w:rsid w:val="780118BA"/>
    <w:rsid w:val="789F4F72"/>
    <w:rsid w:val="79233D38"/>
    <w:rsid w:val="794A531F"/>
    <w:rsid w:val="798961F5"/>
    <w:rsid w:val="79C11BD2"/>
    <w:rsid w:val="79CA0CF5"/>
    <w:rsid w:val="7A3105AD"/>
    <w:rsid w:val="7A4A4810"/>
    <w:rsid w:val="7A762376"/>
    <w:rsid w:val="7A7C4677"/>
    <w:rsid w:val="7AE73688"/>
    <w:rsid w:val="7B3F7B7E"/>
    <w:rsid w:val="7B444C4E"/>
    <w:rsid w:val="7BA478B6"/>
    <w:rsid w:val="7C136EF3"/>
    <w:rsid w:val="7C5538EE"/>
    <w:rsid w:val="7CB63D1B"/>
    <w:rsid w:val="7CD43954"/>
    <w:rsid w:val="7D0C3A90"/>
    <w:rsid w:val="7D117196"/>
    <w:rsid w:val="7D2C4132"/>
    <w:rsid w:val="7D857E50"/>
    <w:rsid w:val="7DBD2458"/>
    <w:rsid w:val="7DFD565C"/>
    <w:rsid w:val="7E8005C5"/>
    <w:rsid w:val="7F0A04A3"/>
    <w:rsid w:val="7F7B4EFD"/>
    <w:rsid w:val="7FA1101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0" w:name="Normal Indent"/>
    <w:lsdException w:qFormat="1" w:uiPriority="0" w:name="footnote text"/>
    <w:lsdException w:qFormat="1" w:uiPriority="99"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qFormat="1" w:uiPriority="0" w:name="footnote reference"/>
    <w:lsdException w:qFormat="1" w:uiPriority="99" w:semiHidden="0" w:name="annotation reference"/>
    <w:lsdException w:uiPriority="0" w:name="line number"/>
    <w:lsdException w:qFormat="1"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nhideWhenUsed="0" w:uiPriority="0" w:name="Body Text"/>
    <w:lsdException w:qFormat="1" w:unhideWhenUsed="0"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99" w:semiHidden="0" w:name="Date"/>
    <w:lsdException w:uiPriority="0" w:name="Body Text First Indent"/>
    <w:lsdException w:uiPriority="0" w:name="Body Text First Indent 2"/>
    <w:lsdException w:uiPriority="0" w:name="Note Heading"/>
    <w:lsdException w:qFormat="1" w:uiPriority="0" w:semiHidden="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uto"/>
      <w:ind w:firstLine="200" w:firstLineChars="200"/>
    </w:pPr>
    <w:rPr>
      <w:rFonts w:ascii="Calibri" w:hAnsi="Calibri" w:eastAsia="宋体" w:cs="Times New Roman"/>
      <w:kern w:val="2"/>
      <w:sz w:val="24"/>
      <w:szCs w:val="22"/>
      <w:lang w:val="en-US" w:eastAsia="zh-CN" w:bidi="ar-SA"/>
    </w:rPr>
  </w:style>
  <w:style w:type="paragraph" w:styleId="2">
    <w:name w:val="heading 1"/>
    <w:basedOn w:val="1"/>
    <w:next w:val="3"/>
    <w:link w:val="46"/>
    <w:qFormat/>
    <w:uiPriority w:val="9"/>
    <w:pPr>
      <w:pageBreakBefore/>
      <w:numPr>
        <w:ilvl w:val="0"/>
        <w:numId w:val="1"/>
      </w:numPr>
      <w:spacing w:before="260" w:after="260" w:line="579" w:lineRule="auto"/>
      <w:ind w:firstLine="0" w:firstLineChars="0"/>
      <w:jc w:val="center"/>
      <w:outlineLvl w:val="0"/>
    </w:pPr>
    <w:rPr>
      <w:b/>
      <w:bCs/>
      <w:kern w:val="44"/>
      <w:sz w:val="36"/>
      <w:szCs w:val="44"/>
    </w:rPr>
  </w:style>
  <w:style w:type="paragraph" w:styleId="3">
    <w:name w:val="heading 2"/>
    <w:basedOn w:val="1"/>
    <w:next w:val="1"/>
    <w:link w:val="47"/>
    <w:unhideWhenUsed/>
    <w:qFormat/>
    <w:uiPriority w:val="9"/>
    <w:pPr>
      <w:numPr>
        <w:ilvl w:val="1"/>
        <w:numId w:val="1"/>
      </w:numPr>
      <w:spacing w:before="260" w:after="260" w:line="416" w:lineRule="auto"/>
      <w:ind w:firstLine="0" w:firstLineChars="0"/>
      <w:jc w:val="center"/>
      <w:outlineLvl w:val="1"/>
    </w:pPr>
    <w:rPr>
      <w:rFonts w:ascii="黑体" w:hAnsi="黑体" w:eastAsia="黑体"/>
      <w:b/>
      <w:bCs/>
      <w:sz w:val="32"/>
      <w:szCs w:val="32"/>
    </w:rPr>
  </w:style>
  <w:style w:type="paragraph" w:styleId="4">
    <w:name w:val="heading 3"/>
    <w:basedOn w:val="1"/>
    <w:next w:val="1"/>
    <w:link w:val="48"/>
    <w:unhideWhenUsed/>
    <w:qFormat/>
    <w:uiPriority w:val="9"/>
    <w:pPr>
      <w:numPr>
        <w:ilvl w:val="2"/>
        <w:numId w:val="1"/>
      </w:numPr>
      <w:kinsoku w:val="0"/>
      <w:ind w:left="0" w:firstLine="0"/>
      <w:outlineLvl w:val="2"/>
    </w:pPr>
    <w:rPr>
      <w:rFonts w:ascii="宋体" w:hAnsi="宋体"/>
      <w:bCs/>
      <w:kern w:val="0"/>
      <w:szCs w:val="32"/>
      <w:lang w:val="zh-CN"/>
    </w:rPr>
  </w:style>
  <w:style w:type="paragraph" w:styleId="5">
    <w:name w:val="heading 4"/>
    <w:basedOn w:val="1"/>
    <w:next w:val="1"/>
    <w:link w:val="49"/>
    <w:unhideWhenUsed/>
    <w:qFormat/>
    <w:uiPriority w:val="9"/>
    <w:pPr>
      <w:keepNext/>
      <w:keepLines/>
      <w:numPr>
        <w:ilvl w:val="3"/>
        <w:numId w:val="2"/>
      </w:numPr>
      <w:spacing w:line="415" w:lineRule="auto"/>
      <w:ind w:right="-82" w:rightChars="-82" w:firstLineChars="0"/>
      <w:outlineLvl w:val="3"/>
    </w:pPr>
    <w:rPr>
      <w:bCs/>
      <w:szCs w:val="28"/>
    </w:rPr>
  </w:style>
  <w:style w:type="paragraph" w:styleId="6">
    <w:name w:val="heading 5"/>
    <w:basedOn w:val="1"/>
    <w:next w:val="1"/>
    <w:link w:val="50"/>
    <w:autoRedefine/>
    <w:unhideWhenUsed/>
    <w:qFormat/>
    <w:uiPriority w:val="9"/>
    <w:pPr>
      <w:keepNext/>
      <w:keepLines/>
      <w:spacing w:line="377" w:lineRule="auto"/>
      <w:ind w:right="100" w:rightChars="100"/>
      <w:outlineLvl w:val="4"/>
    </w:pPr>
    <w:rPr>
      <w:bCs/>
      <w:szCs w:val="28"/>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unhideWhenUsed/>
    <w:qFormat/>
    <w:uiPriority w:val="39"/>
    <w:pPr>
      <w:spacing w:line="240" w:lineRule="auto"/>
      <w:ind w:left="2520" w:leftChars="1200"/>
      <w:jc w:val="both"/>
    </w:pPr>
    <w:rPr>
      <w:sz w:val="21"/>
    </w:rPr>
  </w:style>
  <w:style w:type="paragraph" w:styleId="8">
    <w:name w:val="Document Map"/>
    <w:basedOn w:val="1"/>
    <w:link w:val="45"/>
    <w:autoRedefine/>
    <w:unhideWhenUsed/>
    <w:qFormat/>
    <w:uiPriority w:val="99"/>
    <w:rPr>
      <w:rFonts w:ascii="宋体"/>
      <w:sz w:val="18"/>
      <w:szCs w:val="18"/>
    </w:rPr>
  </w:style>
  <w:style w:type="paragraph" w:styleId="9">
    <w:name w:val="annotation text"/>
    <w:basedOn w:val="1"/>
    <w:link w:val="52"/>
    <w:autoRedefine/>
    <w:unhideWhenUsed/>
    <w:qFormat/>
    <w:uiPriority w:val="99"/>
  </w:style>
  <w:style w:type="paragraph" w:styleId="10">
    <w:name w:val="Body Text"/>
    <w:basedOn w:val="1"/>
    <w:autoRedefine/>
    <w:semiHidden/>
    <w:qFormat/>
    <w:uiPriority w:val="0"/>
    <w:rPr>
      <w:rFonts w:ascii="黑体" w:hAnsi="黑体" w:eastAsia="黑体" w:cs="黑体"/>
      <w:sz w:val="30"/>
      <w:szCs w:val="30"/>
      <w:lang w:eastAsia="en-US"/>
    </w:rPr>
  </w:style>
  <w:style w:type="paragraph" w:styleId="11">
    <w:name w:val="Body Text Indent"/>
    <w:basedOn w:val="1"/>
    <w:link w:val="61"/>
    <w:semiHidden/>
    <w:qFormat/>
    <w:uiPriority w:val="0"/>
    <w:pPr>
      <w:spacing w:line="240" w:lineRule="auto"/>
      <w:ind w:firstLine="416"/>
      <w:jc w:val="both"/>
    </w:pPr>
    <w:rPr>
      <w:rFonts w:ascii="Times New Roman" w:hAnsi="Times New Roman"/>
      <w:spacing w:val="4"/>
      <w:sz w:val="20"/>
      <w:szCs w:val="24"/>
    </w:rPr>
  </w:style>
  <w:style w:type="paragraph" w:styleId="12">
    <w:name w:val="toc 5"/>
    <w:basedOn w:val="1"/>
    <w:next w:val="1"/>
    <w:autoRedefine/>
    <w:unhideWhenUsed/>
    <w:qFormat/>
    <w:uiPriority w:val="39"/>
    <w:pPr>
      <w:spacing w:line="240" w:lineRule="auto"/>
      <w:ind w:left="1680" w:leftChars="800"/>
      <w:jc w:val="both"/>
    </w:pPr>
    <w:rPr>
      <w:sz w:val="21"/>
    </w:rPr>
  </w:style>
  <w:style w:type="paragraph" w:styleId="13">
    <w:name w:val="toc 3"/>
    <w:basedOn w:val="1"/>
    <w:next w:val="1"/>
    <w:unhideWhenUsed/>
    <w:qFormat/>
    <w:uiPriority w:val="39"/>
    <w:pPr>
      <w:ind w:left="840" w:leftChars="400"/>
    </w:pPr>
  </w:style>
  <w:style w:type="paragraph" w:styleId="14">
    <w:name w:val="toc 8"/>
    <w:basedOn w:val="1"/>
    <w:next w:val="1"/>
    <w:autoRedefine/>
    <w:unhideWhenUsed/>
    <w:qFormat/>
    <w:uiPriority w:val="39"/>
    <w:pPr>
      <w:spacing w:line="240" w:lineRule="auto"/>
      <w:ind w:left="2940" w:leftChars="1400"/>
      <w:jc w:val="both"/>
    </w:pPr>
    <w:rPr>
      <w:sz w:val="21"/>
    </w:rPr>
  </w:style>
  <w:style w:type="paragraph" w:styleId="15">
    <w:name w:val="Date"/>
    <w:basedOn w:val="1"/>
    <w:next w:val="1"/>
    <w:link w:val="54"/>
    <w:unhideWhenUsed/>
    <w:qFormat/>
    <w:uiPriority w:val="99"/>
    <w:pPr>
      <w:ind w:left="100" w:leftChars="2500"/>
    </w:pPr>
  </w:style>
  <w:style w:type="paragraph" w:styleId="16">
    <w:name w:val="Balloon Text"/>
    <w:basedOn w:val="1"/>
    <w:link w:val="51"/>
    <w:unhideWhenUsed/>
    <w:qFormat/>
    <w:uiPriority w:val="99"/>
    <w:pPr>
      <w:spacing w:line="240" w:lineRule="auto"/>
    </w:pPr>
    <w:rPr>
      <w:sz w:val="18"/>
      <w:szCs w:val="18"/>
    </w:rPr>
  </w:style>
  <w:style w:type="paragraph" w:styleId="17">
    <w:name w:val="footer"/>
    <w:basedOn w:val="1"/>
    <w:link w:val="44"/>
    <w:autoRedefine/>
    <w:unhideWhenUsed/>
    <w:qFormat/>
    <w:uiPriority w:val="99"/>
    <w:pPr>
      <w:tabs>
        <w:tab w:val="center" w:pos="4153"/>
        <w:tab w:val="right" w:pos="8306"/>
      </w:tabs>
      <w:snapToGrid w:val="0"/>
    </w:pPr>
    <w:rPr>
      <w:sz w:val="18"/>
      <w:szCs w:val="18"/>
    </w:rPr>
  </w:style>
  <w:style w:type="paragraph" w:styleId="18">
    <w:name w:val="header"/>
    <w:basedOn w:val="1"/>
    <w:link w:val="43"/>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autoRedefine/>
    <w:unhideWhenUsed/>
    <w:qFormat/>
    <w:uiPriority w:val="39"/>
  </w:style>
  <w:style w:type="paragraph" w:styleId="20">
    <w:name w:val="toc 4"/>
    <w:basedOn w:val="1"/>
    <w:next w:val="1"/>
    <w:autoRedefine/>
    <w:unhideWhenUsed/>
    <w:qFormat/>
    <w:uiPriority w:val="39"/>
    <w:pPr>
      <w:spacing w:line="240" w:lineRule="auto"/>
      <w:ind w:left="1260" w:leftChars="600"/>
      <w:jc w:val="both"/>
    </w:pPr>
    <w:rPr>
      <w:sz w:val="21"/>
    </w:rPr>
  </w:style>
  <w:style w:type="paragraph" w:styleId="21">
    <w:name w:val="Subtitle"/>
    <w:basedOn w:val="1"/>
    <w:next w:val="1"/>
    <w:link w:val="67"/>
    <w:autoRedefine/>
    <w:qFormat/>
    <w:uiPriority w:val="11"/>
    <w:pPr>
      <w:pageBreakBefore/>
      <w:spacing w:before="240" w:after="60" w:line="312" w:lineRule="auto"/>
      <w:ind w:firstLine="0" w:firstLineChars="0"/>
      <w:jc w:val="center"/>
      <w:outlineLvl w:val="1"/>
    </w:pPr>
    <w:rPr>
      <w:rFonts w:asciiTheme="majorHAnsi" w:hAnsiTheme="majorHAnsi" w:cstheme="majorBidi"/>
      <w:b/>
      <w:bCs/>
      <w:kern w:val="28"/>
      <w:sz w:val="32"/>
      <w:szCs w:val="32"/>
    </w:rPr>
  </w:style>
  <w:style w:type="paragraph" w:styleId="22">
    <w:name w:val="footnote text"/>
    <w:basedOn w:val="1"/>
    <w:link w:val="65"/>
    <w:semiHidden/>
    <w:unhideWhenUsed/>
    <w:qFormat/>
    <w:uiPriority w:val="0"/>
    <w:pPr>
      <w:snapToGrid w:val="0"/>
    </w:pPr>
    <w:rPr>
      <w:sz w:val="18"/>
      <w:szCs w:val="18"/>
    </w:rPr>
  </w:style>
  <w:style w:type="paragraph" w:styleId="23">
    <w:name w:val="toc 6"/>
    <w:basedOn w:val="1"/>
    <w:next w:val="1"/>
    <w:autoRedefine/>
    <w:unhideWhenUsed/>
    <w:qFormat/>
    <w:uiPriority w:val="39"/>
    <w:pPr>
      <w:spacing w:line="240" w:lineRule="auto"/>
      <w:ind w:left="2100" w:leftChars="1000"/>
      <w:jc w:val="both"/>
    </w:pPr>
    <w:rPr>
      <w:sz w:val="21"/>
    </w:rPr>
  </w:style>
  <w:style w:type="paragraph" w:styleId="24">
    <w:name w:val="toc 2"/>
    <w:basedOn w:val="1"/>
    <w:next w:val="1"/>
    <w:autoRedefine/>
    <w:unhideWhenUsed/>
    <w:qFormat/>
    <w:uiPriority w:val="39"/>
    <w:pPr>
      <w:ind w:left="420" w:leftChars="200"/>
    </w:pPr>
  </w:style>
  <w:style w:type="paragraph" w:styleId="25">
    <w:name w:val="toc 9"/>
    <w:basedOn w:val="1"/>
    <w:next w:val="1"/>
    <w:autoRedefine/>
    <w:unhideWhenUsed/>
    <w:qFormat/>
    <w:uiPriority w:val="39"/>
    <w:pPr>
      <w:spacing w:line="240" w:lineRule="auto"/>
      <w:ind w:left="3360" w:leftChars="1600"/>
      <w:jc w:val="both"/>
    </w:pPr>
    <w:rPr>
      <w:sz w:val="21"/>
    </w:rPr>
  </w:style>
  <w:style w:type="paragraph" w:styleId="26">
    <w:name w:val="Body Text 2"/>
    <w:basedOn w:val="1"/>
    <w:link w:val="68"/>
    <w:unhideWhenUsed/>
    <w:qFormat/>
    <w:uiPriority w:val="0"/>
    <w:pPr>
      <w:spacing w:after="120" w:line="480" w:lineRule="auto"/>
    </w:pPr>
  </w:style>
  <w:style w:type="paragraph" w:styleId="27">
    <w:name w:val="Normal (Web)"/>
    <w:basedOn w:val="1"/>
    <w:autoRedefine/>
    <w:unhideWhenUsed/>
    <w:qFormat/>
    <w:uiPriority w:val="99"/>
    <w:pPr>
      <w:widowControl/>
      <w:spacing w:before="100" w:beforeAutospacing="1" w:after="100" w:afterAutospacing="1" w:line="240" w:lineRule="auto"/>
    </w:pPr>
    <w:rPr>
      <w:rFonts w:ascii="宋体" w:hAnsi="宋体" w:cs="宋体"/>
      <w:kern w:val="0"/>
      <w:szCs w:val="24"/>
    </w:rPr>
  </w:style>
  <w:style w:type="paragraph" w:styleId="28">
    <w:name w:val="annotation subject"/>
    <w:basedOn w:val="9"/>
    <w:next w:val="9"/>
    <w:link w:val="53"/>
    <w:autoRedefine/>
    <w:unhideWhenUsed/>
    <w:qFormat/>
    <w:uiPriority w:val="99"/>
    <w:rPr>
      <w:b/>
      <w:bCs/>
    </w:rPr>
  </w:style>
  <w:style w:type="table" w:styleId="30">
    <w:name w:val="Table Grid"/>
    <w:basedOn w:val="29"/>
    <w:autoRedefine/>
    <w:qFormat/>
    <w:uiPriority w:val="0"/>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basedOn w:val="31"/>
    <w:autoRedefine/>
    <w:qFormat/>
    <w:uiPriority w:val="22"/>
    <w:rPr>
      <w:rFonts w:ascii="Calibri" w:hAnsi="Calibri" w:eastAsia="楷体_GB2312"/>
      <w:b/>
      <w:bCs/>
      <w:kern w:val="44"/>
      <w:sz w:val="28"/>
      <w:szCs w:val="44"/>
    </w:rPr>
  </w:style>
  <w:style w:type="character" w:styleId="33">
    <w:name w:val="page number"/>
    <w:basedOn w:val="31"/>
    <w:autoRedefine/>
    <w:unhideWhenUsed/>
    <w:qFormat/>
    <w:uiPriority w:val="0"/>
  </w:style>
  <w:style w:type="character" w:styleId="34">
    <w:name w:val="Hyperlink"/>
    <w:basedOn w:val="31"/>
    <w:autoRedefine/>
    <w:unhideWhenUsed/>
    <w:qFormat/>
    <w:uiPriority w:val="99"/>
    <w:rPr>
      <w:color w:val="0000FF"/>
      <w:u w:val="single"/>
    </w:rPr>
  </w:style>
  <w:style w:type="character" w:styleId="35">
    <w:name w:val="annotation reference"/>
    <w:basedOn w:val="31"/>
    <w:autoRedefine/>
    <w:unhideWhenUsed/>
    <w:qFormat/>
    <w:uiPriority w:val="99"/>
    <w:rPr>
      <w:sz w:val="21"/>
      <w:szCs w:val="21"/>
    </w:rPr>
  </w:style>
  <w:style w:type="character" w:styleId="36">
    <w:name w:val="footnote reference"/>
    <w:basedOn w:val="31"/>
    <w:autoRedefine/>
    <w:semiHidden/>
    <w:unhideWhenUsed/>
    <w:qFormat/>
    <w:uiPriority w:val="0"/>
    <w:rPr>
      <w:vertAlign w:val="superscript"/>
    </w:rPr>
  </w:style>
  <w:style w:type="paragraph" w:customStyle="1" w:styleId="37">
    <w:name w:val="列出段落1"/>
    <w:basedOn w:val="1"/>
    <w:autoRedefine/>
    <w:qFormat/>
    <w:uiPriority w:val="0"/>
    <w:pPr>
      <w:ind w:firstLine="420"/>
    </w:pPr>
  </w:style>
  <w:style w:type="paragraph" w:customStyle="1" w:styleId="38">
    <w:name w:val="引用1"/>
    <w:basedOn w:val="1"/>
    <w:next w:val="1"/>
    <w:link w:val="55"/>
    <w:autoRedefine/>
    <w:qFormat/>
    <w:uiPriority w:val="29"/>
    <w:pPr>
      <w:spacing w:beforeLines="50" w:afterLines="50" w:line="240" w:lineRule="auto"/>
      <w:ind w:left="200" w:leftChars="200"/>
      <w:jc w:val="both"/>
    </w:pPr>
    <w:rPr>
      <w:rFonts w:ascii="Times New Roman" w:hAnsi="Times New Roman" w:eastAsia="仿宋_GB2312"/>
      <w:iCs/>
      <w:color w:val="000000"/>
      <w:szCs w:val="20"/>
    </w:rPr>
  </w:style>
  <w:style w:type="paragraph" w:customStyle="1" w:styleId="39">
    <w:name w:val="正文2"/>
    <w:basedOn w:val="1"/>
    <w:link w:val="56"/>
    <w:autoRedefine/>
    <w:qFormat/>
    <w:uiPriority w:val="0"/>
    <w:pPr>
      <w:numPr>
        <w:ilvl w:val="2"/>
        <w:numId w:val="3"/>
      </w:numPr>
      <w:spacing w:beforeLines="50" w:afterLines="50" w:line="240" w:lineRule="auto"/>
      <w:jc w:val="both"/>
    </w:pPr>
    <w:rPr>
      <w:rFonts w:ascii="Times New Roman" w:hAnsi="Times New Roman" w:eastAsia="楷体_GB2312"/>
      <w:sz w:val="28"/>
      <w:szCs w:val="20"/>
    </w:rPr>
  </w:style>
  <w:style w:type="paragraph" w:customStyle="1" w:styleId="40">
    <w:name w:val="列出段落2"/>
    <w:basedOn w:val="1"/>
    <w:autoRedefine/>
    <w:qFormat/>
    <w:uiPriority w:val="34"/>
    <w:pPr>
      <w:ind w:firstLine="420"/>
    </w:pPr>
  </w:style>
  <w:style w:type="paragraph" w:customStyle="1" w:styleId="41">
    <w:name w:val="修订1"/>
    <w:autoRedefine/>
    <w:hidden/>
    <w:semiHidden/>
    <w:qFormat/>
    <w:uiPriority w:val="99"/>
    <w:rPr>
      <w:rFonts w:ascii="Calibri" w:hAnsi="Calibri" w:eastAsia="宋体" w:cs="Times New Roman"/>
      <w:kern w:val="2"/>
      <w:sz w:val="24"/>
      <w:szCs w:val="22"/>
      <w:lang w:val="en-US" w:eastAsia="zh-CN" w:bidi="ar-SA"/>
    </w:rPr>
  </w:style>
  <w:style w:type="paragraph" w:customStyle="1" w:styleId="42">
    <w:name w:val="正文 A"/>
    <w:qFormat/>
    <w:uiPriority w:val="0"/>
    <w:pPr>
      <w:widowControl w:val="0"/>
      <w:ind w:left="400" w:leftChars="400"/>
      <w:jc w:val="both"/>
    </w:pPr>
    <w:rPr>
      <w:rFonts w:ascii="Times New Roman" w:hAnsi="Times New Roman" w:eastAsia="宋体" w:cs="Times New Roman"/>
      <w:kern w:val="2"/>
      <w:sz w:val="24"/>
      <w:lang w:val="en-US" w:eastAsia="zh-CN" w:bidi="ar-SA"/>
    </w:rPr>
  </w:style>
  <w:style w:type="character" w:customStyle="1" w:styleId="43">
    <w:name w:val="页眉 字符"/>
    <w:basedOn w:val="31"/>
    <w:link w:val="18"/>
    <w:autoRedefine/>
    <w:semiHidden/>
    <w:qFormat/>
    <w:uiPriority w:val="99"/>
    <w:rPr>
      <w:sz w:val="18"/>
      <w:szCs w:val="18"/>
    </w:rPr>
  </w:style>
  <w:style w:type="character" w:customStyle="1" w:styleId="44">
    <w:name w:val="页脚 字符"/>
    <w:basedOn w:val="31"/>
    <w:link w:val="17"/>
    <w:autoRedefine/>
    <w:qFormat/>
    <w:uiPriority w:val="99"/>
    <w:rPr>
      <w:sz w:val="18"/>
      <w:szCs w:val="18"/>
    </w:rPr>
  </w:style>
  <w:style w:type="character" w:customStyle="1" w:styleId="45">
    <w:name w:val="文档结构图 字符"/>
    <w:basedOn w:val="31"/>
    <w:link w:val="8"/>
    <w:autoRedefine/>
    <w:semiHidden/>
    <w:qFormat/>
    <w:uiPriority w:val="99"/>
    <w:rPr>
      <w:rFonts w:ascii="宋体" w:eastAsia="宋体"/>
      <w:sz w:val="18"/>
      <w:szCs w:val="18"/>
    </w:rPr>
  </w:style>
  <w:style w:type="character" w:customStyle="1" w:styleId="46">
    <w:name w:val="标题 1 字符"/>
    <w:basedOn w:val="31"/>
    <w:link w:val="2"/>
    <w:autoRedefine/>
    <w:qFormat/>
    <w:uiPriority w:val="9"/>
    <w:rPr>
      <w:rFonts w:ascii="Calibri" w:hAnsi="Calibri" w:eastAsia="宋体"/>
      <w:b/>
      <w:bCs/>
      <w:kern w:val="44"/>
      <w:sz w:val="36"/>
      <w:szCs w:val="44"/>
    </w:rPr>
  </w:style>
  <w:style w:type="character" w:customStyle="1" w:styleId="47">
    <w:name w:val="标题 2 字符"/>
    <w:basedOn w:val="31"/>
    <w:link w:val="3"/>
    <w:autoRedefine/>
    <w:qFormat/>
    <w:uiPriority w:val="9"/>
    <w:rPr>
      <w:rFonts w:ascii="黑体" w:hAnsi="黑体" w:eastAsia="黑体"/>
      <w:b/>
      <w:bCs/>
      <w:kern w:val="2"/>
      <w:sz w:val="32"/>
      <w:szCs w:val="32"/>
    </w:rPr>
  </w:style>
  <w:style w:type="character" w:customStyle="1" w:styleId="48">
    <w:name w:val="标题 3 字符"/>
    <w:basedOn w:val="31"/>
    <w:link w:val="4"/>
    <w:autoRedefine/>
    <w:qFormat/>
    <w:uiPriority w:val="9"/>
    <w:rPr>
      <w:rFonts w:ascii="宋体" w:hAnsi="宋体" w:eastAsia="宋体"/>
      <w:bCs/>
      <w:sz w:val="24"/>
      <w:szCs w:val="32"/>
      <w:lang w:val="zh-CN"/>
    </w:rPr>
  </w:style>
  <w:style w:type="character" w:customStyle="1" w:styleId="49">
    <w:name w:val="标题 4 字符"/>
    <w:basedOn w:val="31"/>
    <w:link w:val="5"/>
    <w:autoRedefine/>
    <w:qFormat/>
    <w:uiPriority w:val="9"/>
    <w:rPr>
      <w:rFonts w:ascii="Calibri" w:hAnsi="Calibri"/>
      <w:bCs/>
      <w:kern w:val="2"/>
      <w:sz w:val="24"/>
      <w:szCs w:val="28"/>
    </w:rPr>
  </w:style>
  <w:style w:type="character" w:customStyle="1" w:styleId="50">
    <w:name w:val="标题 5 字符"/>
    <w:basedOn w:val="31"/>
    <w:link w:val="6"/>
    <w:autoRedefine/>
    <w:qFormat/>
    <w:uiPriority w:val="9"/>
    <w:rPr>
      <w:bCs/>
      <w:sz w:val="24"/>
      <w:szCs w:val="28"/>
    </w:rPr>
  </w:style>
  <w:style w:type="character" w:customStyle="1" w:styleId="51">
    <w:name w:val="批注框文本 字符"/>
    <w:basedOn w:val="31"/>
    <w:link w:val="16"/>
    <w:autoRedefine/>
    <w:semiHidden/>
    <w:qFormat/>
    <w:uiPriority w:val="99"/>
    <w:rPr>
      <w:sz w:val="18"/>
      <w:szCs w:val="18"/>
    </w:rPr>
  </w:style>
  <w:style w:type="character" w:customStyle="1" w:styleId="52">
    <w:name w:val="批注文字 字符"/>
    <w:basedOn w:val="31"/>
    <w:link w:val="9"/>
    <w:autoRedefine/>
    <w:semiHidden/>
    <w:qFormat/>
    <w:uiPriority w:val="99"/>
    <w:rPr>
      <w:sz w:val="24"/>
    </w:rPr>
  </w:style>
  <w:style w:type="character" w:customStyle="1" w:styleId="53">
    <w:name w:val="批注主题 字符"/>
    <w:basedOn w:val="52"/>
    <w:link w:val="28"/>
    <w:autoRedefine/>
    <w:semiHidden/>
    <w:qFormat/>
    <w:uiPriority w:val="99"/>
    <w:rPr>
      <w:b/>
      <w:bCs/>
      <w:sz w:val="24"/>
    </w:rPr>
  </w:style>
  <w:style w:type="character" w:customStyle="1" w:styleId="54">
    <w:name w:val="日期 字符"/>
    <w:basedOn w:val="31"/>
    <w:link w:val="15"/>
    <w:autoRedefine/>
    <w:semiHidden/>
    <w:qFormat/>
    <w:uiPriority w:val="99"/>
    <w:rPr>
      <w:sz w:val="24"/>
    </w:rPr>
  </w:style>
  <w:style w:type="character" w:customStyle="1" w:styleId="55">
    <w:name w:val="引用 Char"/>
    <w:basedOn w:val="31"/>
    <w:link w:val="38"/>
    <w:autoRedefine/>
    <w:qFormat/>
    <w:uiPriority w:val="29"/>
    <w:rPr>
      <w:rFonts w:ascii="Times New Roman" w:hAnsi="Times New Roman" w:eastAsia="仿宋_GB2312" w:cs="Times New Roman"/>
      <w:iCs/>
      <w:color w:val="000000"/>
      <w:sz w:val="24"/>
      <w:szCs w:val="20"/>
    </w:rPr>
  </w:style>
  <w:style w:type="character" w:customStyle="1" w:styleId="56">
    <w:name w:val="正文2 Char"/>
    <w:basedOn w:val="31"/>
    <w:link w:val="39"/>
    <w:autoRedefine/>
    <w:qFormat/>
    <w:uiPriority w:val="0"/>
    <w:rPr>
      <w:rFonts w:eastAsia="楷体_GB2312"/>
      <w:kern w:val="2"/>
      <w:sz w:val="28"/>
    </w:rPr>
  </w:style>
  <w:style w:type="paragraph" w:styleId="57">
    <w:name w:val="List Paragraph"/>
    <w:basedOn w:val="1"/>
    <w:autoRedefine/>
    <w:qFormat/>
    <w:uiPriority w:val="34"/>
    <w:pPr>
      <w:spacing w:line="240" w:lineRule="auto"/>
      <w:ind w:firstLine="420"/>
      <w:jc w:val="both"/>
    </w:pPr>
    <w:rPr>
      <w:rFonts w:asciiTheme="minorHAnsi" w:hAnsiTheme="minorHAnsi" w:eastAsiaTheme="minorEastAsia" w:cstheme="minorBidi"/>
      <w:sz w:val="21"/>
    </w:rPr>
  </w:style>
  <w:style w:type="paragraph" w:customStyle="1" w:styleId="58">
    <w:name w:val="注×："/>
    <w:autoRedefine/>
    <w:qFormat/>
    <w:uiPriority w:val="0"/>
    <w:pPr>
      <w:widowControl w:val="0"/>
      <w:numPr>
        <w:ilvl w:val="0"/>
        <w:numId w:val="4"/>
      </w:numPr>
      <w:tabs>
        <w:tab w:val="left" w:pos="630"/>
        <w:tab w:val="clear" w:pos="1120"/>
      </w:tabs>
      <w:autoSpaceDE w:val="0"/>
      <w:autoSpaceDN w:val="0"/>
      <w:ind w:firstLine="0"/>
      <w:jc w:val="both"/>
    </w:pPr>
    <w:rPr>
      <w:rFonts w:ascii="宋体" w:hAnsi="Times New Roman" w:eastAsia="宋体" w:cs="Times New Roman"/>
      <w:sz w:val="18"/>
      <w:szCs w:val="18"/>
      <w:lang w:val="en-US" w:eastAsia="zh-CN" w:bidi="ar-SA"/>
    </w:rPr>
  </w:style>
  <w:style w:type="paragraph" w:customStyle="1" w:styleId="59">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60">
    <w:name w:val="HTML 预先格式化"/>
    <w:basedOn w:val="1"/>
    <w:autoRedefine/>
    <w:qFormat/>
    <w:uiPriority w:val="0"/>
    <w:pPr>
      <w:spacing w:line="240" w:lineRule="auto"/>
      <w:jc w:val="both"/>
    </w:pPr>
    <w:rPr>
      <w:rFonts w:ascii="Courier New" w:hAnsi="Courier New" w:cs="Courier New"/>
      <w:sz w:val="20"/>
      <w:szCs w:val="20"/>
    </w:rPr>
  </w:style>
  <w:style w:type="character" w:customStyle="1" w:styleId="61">
    <w:name w:val="正文文本缩进 字符"/>
    <w:basedOn w:val="31"/>
    <w:link w:val="11"/>
    <w:autoRedefine/>
    <w:semiHidden/>
    <w:qFormat/>
    <w:uiPriority w:val="0"/>
    <w:rPr>
      <w:spacing w:val="4"/>
      <w:kern w:val="2"/>
      <w:szCs w:val="24"/>
    </w:rPr>
  </w:style>
  <w:style w:type="paragraph" w:customStyle="1" w:styleId="62">
    <w:name w:val="TOC 标题1"/>
    <w:basedOn w:val="2"/>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63">
    <w:name w:val="正文图标题"/>
    <w:next w:val="1"/>
    <w:autoRedefine/>
    <w:qFormat/>
    <w:uiPriority w:val="0"/>
    <w:pPr>
      <w:jc w:val="center"/>
    </w:pPr>
    <w:rPr>
      <w:rFonts w:ascii="黑体" w:hAnsi="Times New Roman" w:eastAsia="黑体" w:cs="Times New Roman"/>
      <w:sz w:val="21"/>
      <w:szCs w:val="21"/>
      <w:lang w:val="en-US" w:eastAsia="zh-CN" w:bidi="ar-SA"/>
    </w:rPr>
  </w:style>
  <w:style w:type="paragraph" w:customStyle="1" w:styleId="64">
    <w:name w:val="样式 二级条标题 + 宋体"/>
    <w:basedOn w:val="1"/>
    <w:autoRedefine/>
    <w:qFormat/>
    <w:uiPriority w:val="0"/>
    <w:pPr>
      <w:widowControl/>
      <w:jc w:val="center"/>
      <w:outlineLvl w:val="3"/>
    </w:pPr>
    <w:rPr>
      <w:rFonts w:ascii="Times New Roman" w:hAnsi="宋体" w:eastAsia="黑体"/>
      <w:kern w:val="0"/>
      <w:sz w:val="20"/>
      <w:szCs w:val="20"/>
    </w:rPr>
  </w:style>
  <w:style w:type="character" w:customStyle="1" w:styleId="65">
    <w:name w:val="脚注文本 字符"/>
    <w:basedOn w:val="31"/>
    <w:link w:val="22"/>
    <w:semiHidden/>
    <w:qFormat/>
    <w:uiPriority w:val="0"/>
    <w:rPr>
      <w:rFonts w:ascii="Calibri" w:hAnsi="Calibri"/>
      <w:kern w:val="2"/>
      <w:sz w:val="18"/>
      <w:szCs w:val="18"/>
    </w:rPr>
  </w:style>
  <w:style w:type="paragraph" w:customStyle="1" w:styleId="66">
    <w:name w:val="列出段落3"/>
    <w:basedOn w:val="1"/>
    <w:qFormat/>
    <w:uiPriority w:val="34"/>
    <w:pPr>
      <w:spacing w:line="240" w:lineRule="auto"/>
      <w:ind w:firstLine="420"/>
      <w:jc w:val="both"/>
    </w:pPr>
    <w:rPr>
      <w:rFonts w:cs="黑体"/>
      <w:sz w:val="21"/>
    </w:rPr>
  </w:style>
  <w:style w:type="character" w:customStyle="1" w:styleId="67">
    <w:name w:val="副标题 字符"/>
    <w:basedOn w:val="31"/>
    <w:link w:val="21"/>
    <w:autoRedefine/>
    <w:qFormat/>
    <w:uiPriority w:val="11"/>
    <w:rPr>
      <w:rFonts w:asciiTheme="majorHAnsi" w:hAnsiTheme="majorHAnsi" w:cstheme="majorBidi"/>
      <w:b/>
      <w:bCs/>
      <w:kern w:val="28"/>
      <w:sz w:val="32"/>
      <w:szCs w:val="32"/>
    </w:rPr>
  </w:style>
  <w:style w:type="character" w:customStyle="1" w:styleId="68">
    <w:name w:val="正文文本 2 字符"/>
    <w:basedOn w:val="31"/>
    <w:link w:val="26"/>
    <w:autoRedefine/>
    <w:qFormat/>
    <w:uiPriority w:val="0"/>
    <w:rPr>
      <w:rFonts w:ascii="Calibri" w:hAnsi="Calibri"/>
      <w:kern w:val="2"/>
      <w:sz w:val="24"/>
      <w:szCs w:val="22"/>
    </w:rPr>
  </w:style>
  <w:style w:type="paragraph" w:customStyle="1" w:styleId="69">
    <w:name w:val="无间隔1"/>
    <w:autoRedefine/>
    <w:qFormat/>
    <w:uiPriority w:val="1"/>
    <w:pPr>
      <w:widowControl w:val="0"/>
      <w:jc w:val="both"/>
    </w:pPr>
    <w:rPr>
      <w:rFonts w:ascii="Calibri" w:hAnsi="Calibri" w:eastAsia="宋体" w:cs="Times New Roman"/>
      <w:kern w:val="2"/>
      <w:sz w:val="21"/>
      <w:szCs w:val="22"/>
      <w:lang w:val="en-US" w:eastAsia="zh-CN" w:bidi="ar-SA"/>
    </w:rPr>
  </w:style>
  <w:style w:type="paragraph" w:styleId="70">
    <w:name w:val="No Spacing"/>
    <w:autoRedefine/>
    <w:qFormat/>
    <w:uiPriority w:val="1"/>
    <w:pPr>
      <w:widowControl w:val="0"/>
      <w:jc w:val="both"/>
    </w:pPr>
    <w:rPr>
      <w:rFonts w:asciiTheme="minorHAnsi" w:hAnsiTheme="minorHAnsi" w:eastAsiaTheme="minorEastAsia" w:cstheme="minorBidi"/>
      <w:kern w:val="2"/>
      <w:sz w:val="21"/>
      <w:szCs w:val="22"/>
      <w:lang w:val="en-US" w:eastAsia="zh-CN" w:bidi="ar-SA"/>
    </w:rPr>
  </w:style>
  <w:style w:type="paragraph" w:customStyle="1" w:styleId="71">
    <w:name w:val="条文说明"/>
    <w:basedOn w:val="1"/>
    <w:autoRedefine/>
    <w:qFormat/>
    <w:uiPriority w:val="0"/>
    <w:pPr>
      <w:ind w:left="720" w:firstLine="480"/>
    </w:pPr>
    <w:rPr>
      <w:color w:val="FF0000"/>
      <w:u w:val="single"/>
    </w:rPr>
  </w:style>
  <w:style w:type="paragraph" w:customStyle="1" w:styleId="72">
    <w:name w:val="无间隔2"/>
    <w:autoRedefine/>
    <w:qFormat/>
    <w:uiPriority w:val="1"/>
    <w:pPr>
      <w:widowControl w:val="0"/>
      <w:jc w:val="both"/>
    </w:pPr>
    <w:rPr>
      <w:rFonts w:ascii="Calibri" w:hAnsi="Calibri" w:eastAsia="宋体" w:cs="黑体"/>
      <w:kern w:val="2"/>
      <w:sz w:val="21"/>
      <w:szCs w:val="22"/>
      <w:lang w:val="en-US" w:eastAsia="zh-CN" w:bidi="ar-SA"/>
    </w:rPr>
  </w:style>
  <w:style w:type="paragraph" w:customStyle="1" w:styleId="73">
    <w:name w:val="第二章2"/>
    <w:basedOn w:val="1"/>
    <w:autoRedefine/>
    <w:qFormat/>
    <w:uiPriority w:val="0"/>
    <w:pPr>
      <w:numPr>
        <w:ilvl w:val="0"/>
        <w:numId w:val="5"/>
      </w:numPr>
      <w:adjustRightInd/>
      <w:spacing w:after="120"/>
      <w:ind w:firstLine="0" w:firstLineChars="0"/>
    </w:pPr>
    <w:rPr>
      <w:rFonts w:hAnsi="ˎ̥"/>
      <w:b/>
      <w:kern w:val="0"/>
      <w:szCs w:val="24"/>
    </w:rPr>
  </w:style>
  <w:style w:type="paragraph" w:customStyle="1" w:styleId="74">
    <w:name w:val="reader-word-layer"/>
    <w:basedOn w:val="1"/>
    <w:autoRedefine/>
    <w:qFormat/>
    <w:uiPriority w:val="0"/>
    <w:pPr>
      <w:widowControl/>
      <w:adjustRightInd/>
      <w:spacing w:before="100" w:beforeAutospacing="1" w:after="100" w:afterAutospacing="1" w:line="240" w:lineRule="auto"/>
      <w:ind w:firstLine="0" w:firstLineChars="0"/>
    </w:pPr>
    <w:rPr>
      <w:rFonts w:ascii="宋体" w:hAnsi="宋体" w:cs="宋体"/>
      <w:kern w:val="0"/>
      <w:szCs w:val="24"/>
    </w:rPr>
  </w:style>
  <w:style w:type="paragraph" w:customStyle="1" w:styleId="75">
    <w:name w:val="列出段落4"/>
    <w:basedOn w:val="1"/>
    <w:autoRedefine/>
    <w:qFormat/>
    <w:uiPriority w:val="99"/>
    <w:pPr>
      <w:ind w:firstLine="420"/>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8" Type="http://schemas.openxmlformats.org/officeDocument/2006/relationships/fontTable" Target="fontTable.xml"/><Relationship Id="rId67" Type="http://schemas.openxmlformats.org/officeDocument/2006/relationships/customXml" Target="../customXml/item2.xml"/><Relationship Id="rId66" Type="http://schemas.openxmlformats.org/officeDocument/2006/relationships/customXml" Target="../customXml/item1.xml"/><Relationship Id="rId65" Type="http://schemas.openxmlformats.org/officeDocument/2006/relationships/numbering" Target="numbering.xml"/><Relationship Id="rId64" Type="http://schemas.openxmlformats.org/officeDocument/2006/relationships/image" Target="media/image27.jpeg"/><Relationship Id="rId63" Type="http://schemas.openxmlformats.org/officeDocument/2006/relationships/image" Target="media/image26.jpeg"/><Relationship Id="rId62" Type="http://schemas.openxmlformats.org/officeDocument/2006/relationships/image" Target="media/image25.jpeg"/><Relationship Id="rId61" Type="http://schemas.openxmlformats.org/officeDocument/2006/relationships/image" Target="media/image24.jpeg"/><Relationship Id="rId60" Type="http://schemas.openxmlformats.org/officeDocument/2006/relationships/image" Target="media/image23.wmf"/><Relationship Id="rId6" Type="http://schemas.openxmlformats.org/officeDocument/2006/relationships/header" Target="header2.xml"/><Relationship Id="rId59" Type="http://schemas.openxmlformats.org/officeDocument/2006/relationships/oleObject" Target="embeddings/oleObject22.bin"/><Relationship Id="rId58" Type="http://schemas.openxmlformats.org/officeDocument/2006/relationships/image" Target="media/image22.wmf"/><Relationship Id="rId57" Type="http://schemas.openxmlformats.org/officeDocument/2006/relationships/oleObject" Target="embeddings/oleObject21.bin"/><Relationship Id="rId56" Type="http://schemas.openxmlformats.org/officeDocument/2006/relationships/image" Target="media/image21.wmf"/><Relationship Id="rId55" Type="http://schemas.openxmlformats.org/officeDocument/2006/relationships/oleObject" Target="embeddings/oleObject20.bin"/><Relationship Id="rId54" Type="http://schemas.openxmlformats.org/officeDocument/2006/relationships/image" Target="media/image20.wmf"/><Relationship Id="rId53" Type="http://schemas.openxmlformats.org/officeDocument/2006/relationships/oleObject" Target="embeddings/oleObject19.bin"/><Relationship Id="rId52" Type="http://schemas.openxmlformats.org/officeDocument/2006/relationships/image" Target="media/image19.wmf"/><Relationship Id="rId51" Type="http://schemas.openxmlformats.org/officeDocument/2006/relationships/oleObject" Target="embeddings/oleObject18.bin"/><Relationship Id="rId50" Type="http://schemas.openxmlformats.org/officeDocument/2006/relationships/image" Target="media/image18.wmf"/><Relationship Id="rId5" Type="http://schemas.openxmlformats.org/officeDocument/2006/relationships/header" Target="header1.xml"/><Relationship Id="rId49" Type="http://schemas.openxmlformats.org/officeDocument/2006/relationships/oleObject" Target="embeddings/oleObject17.bin"/><Relationship Id="rId48" Type="http://schemas.openxmlformats.org/officeDocument/2006/relationships/image" Target="media/image17.wmf"/><Relationship Id="rId47" Type="http://schemas.openxmlformats.org/officeDocument/2006/relationships/oleObject" Target="embeddings/oleObject16.bin"/><Relationship Id="rId46" Type="http://schemas.openxmlformats.org/officeDocument/2006/relationships/image" Target="media/image16.wmf"/><Relationship Id="rId45" Type="http://schemas.openxmlformats.org/officeDocument/2006/relationships/oleObject" Target="embeddings/oleObject15.bin"/><Relationship Id="rId44" Type="http://schemas.openxmlformats.org/officeDocument/2006/relationships/image" Target="media/image15.wmf"/><Relationship Id="rId43" Type="http://schemas.openxmlformats.org/officeDocument/2006/relationships/oleObject" Target="embeddings/oleObject14.bin"/><Relationship Id="rId42" Type="http://schemas.openxmlformats.org/officeDocument/2006/relationships/image" Target="media/image14.wmf"/><Relationship Id="rId41" Type="http://schemas.openxmlformats.org/officeDocument/2006/relationships/oleObject" Target="embeddings/oleObject13.bin"/><Relationship Id="rId40" Type="http://schemas.openxmlformats.org/officeDocument/2006/relationships/image" Target="media/image13.wmf"/><Relationship Id="rId4" Type="http://schemas.openxmlformats.org/officeDocument/2006/relationships/endnotes" Target="endnotes.xml"/><Relationship Id="rId39" Type="http://schemas.openxmlformats.org/officeDocument/2006/relationships/oleObject" Target="embeddings/oleObject12.bin"/><Relationship Id="rId38" Type="http://schemas.openxmlformats.org/officeDocument/2006/relationships/image" Target="media/image12.wmf"/><Relationship Id="rId37" Type="http://schemas.openxmlformats.org/officeDocument/2006/relationships/oleObject" Target="embeddings/oleObject11.bin"/><Relationship Id="rId36" Type="http://schemas.openxmlformats.org/officeDocument/2006/relationships/image" Target="media/image11.wmf"/><Relationship Id="rId35" Type="http://schemas.openxmlformats.org/officeDocument/2006/relationships/oleObject" Target="embeddings/oleObject10.bin"/><Relationship Id="rId34" Type="http://schemas.openxmlformats.org/officeDocument/2006/relationships/image" Target="media/image10.wmf"/><Relationship Id="rId33" Type="http://schemas.openxmlformats.org/officeDocument/2006/relationships/oleObject" Target="embeddings/oleObject9.bin"/><Relationship Id="rId32" Type="http://schemas.openxmlformats.org/officeDocument/2006/relationships/image" Target="media/image9.wmf"/><Relationship Id="rId31" Type="http://schemas.openxmlformats.org/officeDocument/2006/relationships/oleObject" Target="embeddings/oleObject8.bin"/><Relationship Id="rId30" Type="http://schemas.openxmlformats.org/officeDocument/2006/relationships/image" Target="media/image8.wmf"/><Relationship Id="rId3" Type="http://schemas.openxmlformats.org/officeDocument/2006/relationships/footnotes" Target="footnotes.xml"/><Relationship Id="rId29" Type="http://schemas.openxmlformats.org/officeDocument/2006/relationships/oleObject" Target="embeddings/oleObject7.bin"/><Relationship Id="rId28" Type="http://schemas.openxmlformats.org/officeDocument/2006/relationships/image" Target="media/image7.wmf"/><Relationship Id="rId27" Type="http://schemas.openxmlformats.org/officeDocument/2006/relationships/oleObject" Target="embeddings/oleObject6.bin"/><Relationship Id="rId26" Type="http://schemas.openxmlformats.org/officeDocument/2006/relationships/image" Target="media/image6.wmf"/><Relationship Id="rId25" Type="http://schemas.openxmlformats.org/officeDocument/2006/relationships/oleObject" Target="embeddings/oleObject5.bin"/><Relationship Id="rId24" Type="http://schemas.openxmlformats.org/officeDocument/2006/relationships/image" Target="media/image5.wmf"/><Relationship Id="rId23" Type="http://schemas.openxmlformats.org/officeDocument/2006/relationships/oleObject" Target="embeddings/oleObject4.bin"/><Relationship Id="rId22" Type="http://schemas.openxmlformats.org/officeDocument/2006/relationships/image" Target="media/image4.wmf"/><Relationship Id="rId21" Type="http://schemas.openxmlformats.org/officeDocument/2006/relationships/oleObject" Target="embeddings/oleObject3.bin"/><Relationship Id="rId20" Type="http://schemas.openxmlformats.org/officeDocument/2006/relationships/image" Target="media/image3.wmf"/><Relationship Id="rId2" Type="http://schemas.openxmlformats.org/officeDocument/2006/relationships/settings" Target="settings.xml"/><Relationship Id="rId19" Type="http://schemas.openxmlformats.org/officeDocument/2006/relationships/oleObject" Target="embeddings/oleObject2.bin"/><Relationship Id="rId18" Type="http://schemas.openxmlformats.org/officeDocument/2006/relationships/image" Target="media/image2.wmf"/><Relationship Id="rId17" Type="http://schemas.openxmlformats.org/officeDocument/2006/relationships/oleObject" Target="embeddings/oleObject1.bin"/><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3e32ced1-f4ff-40be-a736-9a9f61f31f82</errorID>
      <errorWord>，</errorWord>
      <group>L1_Format</group>
      <groupName>格式问题</groupName>
      <ability>L2_HalfPunc_CN</ability>
      <abilityName>全半角问题</abilityName>
      <candidateList>
        <item>,</item>
      </candidateList>
      <explain>文本全半角错误。</explain>
      <paraID>40D4FB4B</paraID>
      <start>32</start>
      <end>33</end>
      <status>modified</status>
      <modifiedWord>,</modifiedWord>
      <trackRevisions>true</trackRevisions>
    </reviewItem>
    <reviewItem>
      <errorID>a8104b63-ddd6-40e6-bb91-f4a6d3d8845d</errorID>
      <errorWord>高品质</errorWord>
      <group>L1_Grammar</group>
      <groupName>语法问题</groupName>
      <ability>L2_Grammar</ability>
      <abilityName>语法错误</abilityName>
      <candidateList>
        <item>高质量</item>
      </candidateList>
      <explain>“高品质～发展”搭配不当，建议修改为“高质量～发展”。</explain>
      <paraID>7525C4AB</paraID>
      <start>82</start>
      <end>85</end>
      <status>ignored</status>
      <modifiedWord/>
      <trackRevisions>false</trackRevisions>
    </reviewItem>
    <reviewItem>
      <errorID>96505a3b-5a96-4db0-bb7b-58f95de825ba</errorID>
      <errorWord>设防护栏杆</errorWord>
      <group>L1_Word</group>
      <groupName>字词问题</groupName>
      <ability>L2_Typo</ability>
      <abilityName>字词错误</abilityName>
      <candidateList>
        <item>设置防护栏杆</item>
      </candidateList>
      <explain/>
      <paraID>5DA7A2DB</paraID>
      <start>22</start>
      <end>27</end>
      <status>ignored</status>
      <modifiedWord/>
      <trackRevisions>false</trackRevisions>
    </reviewItem>
    <reviewItem>
      <errorID>9d6f75e5-ce16-4dbe-bf86-4890c9b1a2bd</errorID>
      <errorWord>走道</errorWord>
      <group>L1_Word</group>
      <groupName>字词问题</groupName>
      <ability>L2_Typo</ability>
      <abilityName>字词错误</abilityName>
      <candidateList>
        <item>通道</item>
      </candidateList>
      <explain/>
      <paraID>1611AE84</paraID>
      <start>3</start>
      <end>5</end>
      <status>ignored</status>
      <modifiedWord/>
      <trackRevisions>false</trackRevisions>
    </reviewItem>
    <reviewItem>
      <errorID>8cb3e2e8-4491-4a1a-a939-b324efefe8ed</errorID>
      <errorWord>信包箱</errorWord>
      <group>L1_Word</group>
      <groupName>字词问题</groupName>
      <ability>L2_Typo</ability>
      <abilityName>字词错误</abilityName>
      <candidateList>
        <item>信报箱</item>
      </candidateList>
      <explain>存在发音相同字词的误用。</explain>
      <paraID> 803617E</paraID>
      <start>6</start>
      <end>9</end>
      <status>ignored</status>
      <modifiedWord/>
      <trackRevisions>false</trackRevisions>
    </reviewItem>
    <reviewItem>
      <errorID>d4de6adc-26cb-4ec1-8908-3eb3231d9618</errorID>
      <errorWord>搁板</errorWord>
      <group>L1_Word</group>
      <groupName>字词问题</groupName>
      <ability>L2_Typo</ability>
      <abilityName>字词错误</abilityName>
      <candidateList>
        <item>隔板</item>
      </candidateList>
      <explain/>
      <paraID>4FCBFD95</paraID>
      <start>4</start>
      <end>6</end>
      <status>ignored</status>
      <modifiedWord/>
      <trackRevisions>false</trackRevisions>
    </reviewItem>
    <reviewItem>
      <errorID>ffe31446-c8d9-4f90-bc23-080fcff7c612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5B1F7FBB</paraID>
      <start>0</start>
      <end>2</end>
      <status>ignored</status>
      <modifiedWord/>
      <trackRevisions>false</trackRevisions>
    </reviewItem>
    <reviewItem>
      <errorID>687d4850-6b16-46bb-a1b4-76ad9906c9bb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62741906</paraID>
      <start>0</start>
      <end>2</end>
      <status>ignored</status>
      <modifiedWord/>
      <trackRevisions>false</trackRevisions>
    </reviewItem>
    <reviewItem>
      <errorID>240e323a-3a87-44f0-badf-b66772e13d5c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1AF0F132</paraID>
      <start>0</start>
      <end>2</end>
      <status>ignored</status>
      <modifiedWord/>
      <trackRevisions>false</trackRevisions>
    </reviewItem>
    <reviewItem>
      <errorID>8e0311be-6cb0-484d-b0d0-f1e96f6a908e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5C038D85</paraID>
      <start>0</start>
      <end>2</end>
      <status>ignored</status>
      <modifiedWord/>
      <trackRevisions>false</trackRevisions>
    </reviewItem>
    <reviewItem>
      <errorID>1ed22941-6bde-4ab6-888f-fad1168bcb3a</errorID>
      <errorWord>（</errorWord>
      <group>L1_Format</group>
      <groupName>格式问题</groupName>
      <ability>L2_HalfPunc_CN</ability>
      <abilityName>全半角问题</abilityName>
      <candidateList>
        <item>(</item>
      </candidateList>
      <explain>文本全半角错误。</explain>
      <paraID>5F7C9703</paraID>
      <start>42</start>
      <end>43</end>
      <status>ignored</status>
      <modifiedWord/>
      <trackRevisions>false</trackRevisions>
    </reviewItem>
    <reviewItem>
      <errorID>71070aa6-251f-48fc-b942-df7cfd8804d2</errorID>
      <errorWord>）</errorWord>
      <group>L1_Format</group>
      <groupName>格式问题</groupName>
      <ability>L2_HalfPunc_CN</ability>
      <abilityName>全半角问题</abilityName>
      <candidateList>
        <item>)</item>
      </candidateList>
      <explain>文本全半角错误。</explain>
      <paraID>5F7C9703</paraID>
      <start>50</start>
      <end>51</end>
      <status>ignored</status>
      <modifiedWord/>
      <trackRevisions>false</trackRevisions>
    </reviewItem>
    <reviewItem>
      <errorID>0c344413-50b7-4200-830e-35c1b603d097</errorID>
      <errorWord>（</errorWord>
      <group>L1_Format</group>
      <groupName>格式问题</groupName>
      <ability>L2_HalfPunc_CN</ability>
      <abilityName>全半角问题</abilityName>
      <candidateList>
        <item>(</item>
      </candidateList>
      <explain>文本全半角错误。</explain>
      <paraID>7399FB47</paraID>
      <start>44</start>
      <end>45</end>
      <status>ignored</status>
      <modifiedWord/>
      <trackRevisions>false</trackRevisions>
    </reviewItem>
    <reviewItem>
      <errorID>8c0f77ab-7138-40a9-9f5b-c4c07aa65dc4</errorID>
      <errorWord>）</errorWord>
      <group>L1_Format</group>
      <groupName>格式问题</groupName>
      <ability>L2_HalfPunc_CN</ability>
      <abilityName>全半角问题</abilityName>
      <candidateList>
        <item>)</item>
      </candidateList>
      <explain>文本全半角错误。</explain>
      <paraID>7399FB47</paraID>
      <start>52</start>
      <end>53</end>
      <status>ignored</status>
      <modifiedWord/>
      <trackRevisions>false</trackRevisions>
    </reviewItem>
    <reviewItem>
      <errorID>2694ab29-bd40-4aac-879e-ac64634b5810</errorID>
      <errorWord>（</errorWord>
      <group>L1_Format</group>
      <groupName>格式问题</groupName>
      <ability>L2_HalfPunc_CN</ability>
      <abilityName>全半角问题</abilityName>
      <candidateList>
        <item>(</item>
      </candidateList>
      <explain>文本全半角错误。</explain>
      <paraID>7549C9A0</paraID>
      <start>38</start>
      <end>39</end>
      <status>ignored</status>
      <modifiedWord/>
      <trackRevisions>false</trackRevisions>
    </reviewItem>
    <reviewItem>
      <errorID>8a9a8031-73b7-4406-9a36-ce8eb67f4ded</errorID>
      <errorWord>）</errorWord>
      <group>L1_Format</group>
      <groupName>格式问题</groupName>
      <ability>L2_HalfPunc_CN</ability>
      <abilityName>全半角问题</abilityName>
      <candidateList>
        <item>)</item>
      </candidateList>
      <explain>文本全半角错误。</explain>
      <paraID>7549C9A0</paraID>
      <start>46</start>
      <end>47</end>
      <status>ignored</status>
      <modifiedWord/>
      <trackRevisions>false</trackRevisions>
    </reviewItem>
    <reviewItem>
      <errorID>1305cb87-0c18-45be-9983-8bc2d9b59eb3</errorID>
      <errorWord>（</errorWord>
      <group>L1_Format</group>
      <groupName>格式问题</groupName>
      <ability>L2_HalfPunc_CN</ability>
      <abilityName>全半角问题</abilityName>
      <candidateList>
        <item>(</item>
      </candidateList>
      <explain>文本全半角错误。</explain>
      <paraID> 89EA276</paraID>
      <start>48</start>
      <end>49</end>
      <status>ignored</status>
      <modifiedWord/>
      <trackRevisions>false</trackRevisions>
    </reviewItem>
    <reviewItem>
      <errorID>bdd1f66d-37ae-4d0a-bcd9-2c15e5e59fbd</errorID>
      <errorWord>）</errorWord>
      <group>L1_Format</group>
      <groupName>格式问题</groupName>
      <ability>L2_HalfPunc_CN</ability>
      <abilityName>全半角问题</abilityName>
      <candidateList>
        <item>)</item>
      </candidateList>
      <explain>文本全半角错误。</explain>
      <paraID> 89EA276</paraID>
      <start>56</start>
      <end>57</end>
      <status>ignored</status>
      <modifiedWord/>
      <trackRevisions>false</trackRevisions>
    </reviewItem>
    <reviewItem>
      <errorID>6992b4a6-61a4-4bd6-931b-33ea22822905</errorID>
      <errorWord>（</errorWord>
      <group>L1_Format</group>
      <groupName>格式问题</groupName>
      <ability>L2_HalfPunc_CN</ability>
      <abilityName>全半角问题</abilityName>
      <candidateList>
        <item>(</item>
      </candidateList>
      <explain>文本全半角错误。</explain>
      <paraID>48CB30CE</paraID>
      <start>43</start>
      <end>44</end>
      <status>ignored</status>
      <modifiedWord/>
      <trackRevisions>false</trackRevisions>
    </reviewItem>
    <reviewItem>
      <errorID>ea0fbb52-e13d-4bed-b1f5-27e474d3e8b9</errorID>
      <errorWord>）</errorWord>
      <group>L1_Format</group>
      <groupName>格式问题</groupName>
      <ability>L2_HalfPunc_CN</ability>
      <abilityName>全半角问题</abilityName>
      <candidateList>
        <item>)</item>
      </candidateList>
      <explain>文本全半角错误。</explain>
      <paraID>48CB30CE</paraID>
      <start>51</start>
      <end>52</end>
      <status>ignored</status>
      <modifiedWord/>
      <trackRevisions>false</trackRevisions>
    </reviewItem>
    <reviewItem>
      <errorID>d3a4516b-f159-4e61-ae6a-55caae9fea86</errorID>
      <errorWord>（</errorWord>
      <group>L1_Format</group>
      <groupName>格式问题</groupName>
      <ability>L2_HalfPunc_CN</ability>
      <abilityName>全半角问题</abilityName>
      <candidateList>
        <item>(</item>
      </candidateList>
      <explain>文本全半角错误。</explain>
      <paraID>361C218F</paraID>
      <start>44</start>
      <end>45</end>
      <status>ignored</status>
      <modifiedWord/>
      <trackRevisions>false</trackRevisions>
    </reviewItem>
    <reviewItem>
      <errorID>0c9f2ab2-18e6-4ac4-aa6a-d6c19941641a</errorID>
      <errorWord>）</errorWord>
      <group>L1_Format</group>
      <groupName>格式问题</groupName>
      <ability>L2_HalfPunc_CN</ability>
      <abilityName>全半角问题</abilityName>
      <candidateList>
        <item>)</item>
      </candidateList>
      <explain>文本全半角错误。</explain>
      <paraID>361C218F</paraID>
      <start>52</start>
      <end>53</end>
      <status>ignored</status>
      <modifiedWord/>
      <trackRevisions>false</trackRevisions>
    </reviewItem>
    <reviewItem>
      <errorID>4cca532a-8924-4613-bed0-8132ef12461f</errorID>
      <errorWord>（</errorWord>
      <group>L1_Format</group>
      <groupName>格式问题</groupName>
      <ability>L2_HalfPunc_CN</ability>
      <abilityName>全半角问题</abilityName>
      <candidateList>
        <item>(</item>
      </candidateList>
      <explain>文本全半角错误。</explain>
      <paraID>2D65E2E0</paraID>
      <start>46</start>
      <end>47</end>
      <status>ignored</status>
      <modifiedWord/>
      <trackRevisions>false</trackRevisions>
    </reviewItem>
    <reviewItem>
      <errorID>4466b320-15cf-4b6f-989c-c3182533f73f</errorID>
      <errorWord>）</errorWord>
      <group>L1_Format</group>
      <groupName>格式问题</groupName>
      <ability>L2_HalfPunc_CN</ability>
      <abilityName>全半角问题</abilityName>
      <candidateList>
        <item>)</item>
      </candidateList>
      <explain>文本全半角错误。</explain>
      <paraID>2D65E2E0</paraID>
      <start>54</start>
      <end>55</end>
      <status>ignored</status>
      <modifiedWord/>
      <trackRevisions>false</trackRevisions>
    </reviewItem>
    <reviewItem>
      <errorID>6058292a-be87-45df-a3ac-a759a33bba39</errorID>
      <errorWord>做出评价</errorWord>
      <group>L1_Word</group>
      <groupName>字词问题</groupName>
      <ability>L2_Typo</ability>
      <abilityName>字词错误</abilityName>
      <candidateList>
        <item>作出评价</item>
      </candidateList>
      <explain>存在发音相同字词的误用。</explain>
      <paraID>2495830F</paraID>
      <start>60</start>
      <end>64</end>
      <status>ignored</status>
      <modifiedWord/>
      <trackRevisions>false</trackRevisions>
    </reviewItem>
    <reviewItem>
      <errorID>e7faaf66-4911-4ce3-9c60-91e0d04539e8</errorID>
      <errorWord>雨篷</errorWord>
      <group>L1_Word</group>
      <groupName>字词问题</groupName>
      <ability>L2_Typo</ability>
      <abilityName>字词错误</abilityName>
      <candidateList>
        <item>雨棚</item>
      </candidateList>
      <explain>存在发音相同字词的误用。</explain>
      <paraID>42DA91E1</paraID>
      <start>9</start>
      <end>11</end>
      <status>ignored</status>
      <modifiedWord/>
      <trackRevisions>false</trackRevisions>
    </reviewItem>
    <reviewItem>
      <errorID>dcb94954-8e24-4c9d-beff-59947b57ca7b</errorID>
      <errorWord>雨篷</errorWord>
      <group>L1_Word</group>
      <groupName>字词问题</groupName>
      <ability>L2_Typo</ability>
      <abilityName>字词错误</abilityName>
      <candidateList>
        <item>雨棚</item>
      </candidateList>
      <explain>存在发音相同字词的误用。</explain>
      <paraID>1F0A2AF4</paraID>
      <start>3</start>
      <end>5</end>
      <status>ignored</status>
      <modifiedWord/>
      <trackRevisions>false</trackRevisions>
    </reviewItem>
    <reviewItem>
      <errorID>87f34c28-6c4f-4564-8337-c47e8013d5e9</errorID>
      <errorWord>雨篷</errorWord>
      <group>L1_Word</group>
      <groupName>字词问题</groupName>
      <ability>L2_Typo</ability>
      <abilityName>字词错误</abilityName>
      <candidateList>
        <item>雨棚</item>
      </candidateList>
      <explain>存在发音相同字词的误用。</explain>
      <paraID> 2063ED5</paraID>
      <start>0</start>
      <end>2</end>
      <status>ignored</status>
      <modifiedWord/>
      <trackRevisions>false</trackRevisions>
    </reviewItem>
    <reviewItem>
      <errorID>4c4a654e-8517-481e-8eef-bd915391b565</errorID>
      <errorWord>直勾</errorWord>
      <group>L1_Word</group>
      <groupName>字词问题</groupName>
      <ability>L2_Typo</ability>
      <abilityName>字词错误</abilityName>
      <candidateList>
        <item>直钩</item>
      </candidateList>
      <explain/>
      <paraID>28F37B8E</paraID>
      <start>52</start>
      <end>54</end>
      <status>ignored</status>
      <modifiedWord/>
      <trackRevisions>false</trackRevisions>
    </reviewItem>
    <reviewItem>
      <errorID>07a23246-a813-478d-86e8-d282985521ad</errorID>
      <errorWord>进风道</errorWord>
      <group>L1_Word</group>
      <groupName>字词问题</groupName>
      <ability>L2_Typo</ability>
      <abilityName>字词错误</abilityName>
      <candidateList>
        <item>通风道</item>
      </candidateList>
      <explain/>
      <paraID> 773E63C</paraID>
      <start>20</start>
      <end>23</end>
      <status>ignored</status>
      <modifiedWord/>
      <trackRevisions>false</trackRevisions>
    </reviewItem>
    <reviewItem>
      <errorID>82d618d5-1bd9-4d33-8f74-706cab24df2c</errorID>
      <errorWord>设</errorWord>
      <group>L1_Word</group>
      <groupName>字词问题</groupName>
      <ability>L2_Typo</ability>
      <abilityName>字词错误</abilityName>
      <candidateList>
        <item>设置</item>
      </candidateList>
      <explain>〈动〉❶设立：这座剧院是为儿童～的。❷安放；安装：～障碍。</explain>
      <paraID>5B1E0AD1</paraID>
      <start>43</start>
      <end>44</end>
      <status>ignored</status>
      <modifiedWord/>
      <trackRevisions>false</trackRevisions>
    </reviewItem>
    <reviewItem>
      <errorID>72ebd7b6-9d43-430c-b89d-93e45622c32e</errorID>
      <errorWord>，</errorWord>
      <group>L1_Word</group>
      <groupName>字词问题</groupName>
      <ability>L2_Typo</ability>
      <abilityName>字词错误</abilityName>
      <candidateList>
        <item>，有</item>
      </candidateList>
      <explain/>
      <paraID>7448E360</paraID>
      <start>39</start>
      <end>40</end>
      <status>ignored</status>
      <modifiedWord/>
      <trackRevisions>false</trackRevisions>
    </reviewItem>
    <reviewItem>
      <errorID>b8c2c44e-5913-45c8-a281-e531b04b9db1</errorID>
      <errorWord>隐私信息保护</errorWord>
      <group>L1_Political</group>
      <groupName>政治性问题</groupName>
      <ability>L2_Keyword</ability>
      <abilityName>固定表述</abilityName>
      <candidateList>
        <item>个人信息保护</item>
      </candidateList>
      <explain>词汇“个人信息保护”在特定场景下为固定表述形式，请确认此处的“隐私信息保护”是否存在不当。</explain>
      <paraID>50723A11</paraID>
      <start>77</start>
      <end>83</end>
      <status>ignored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1d4d03-700f-4fd4-a687-f03844e538d7}">
  <ds:schemaRefs/>
</ds:datastoreItem>
</file>

<file path=customXml/itemProps2.xml><?xml version="1.0" encoding="utf-8"?>
<ds:datastoreItem xmlns:ds="http://schemas.openxmlformats.org/officeDocument/2006/customXml" ds:itemID="{521A5E7A-2389-4C79-BB91-CFB8476C1EC7}">
  <ds:schemaRefs/>
</ds:datastoreItem>
</file>

<file path=docProps/app.xml><?xml version="1.0" encoding="utf-8"?>
<Properties xmlns="http://schemas.openxmlformats.org/officeDocument/2006/extended-properties" xmlns:vt="http://schemas.openxmlformats.org/officeDocument/2006/docPropsVTypes">
  <Template>Normal.dotm</Template>
  <Company>WwW.YlmF.CoM</Company>
  <Pages>72</Pages>
  <Words>11932</Words>
  <Characters>14392</Characters>
  <Lines>306</Lines>
  <Paragraphs>86</Paragraphs>
  <TotalTime>3</TotalTime>
  <ScaleCrop>false</ScaleCrop>
  <LinksUpToDate>false</LinksUpToDate>
  <CharactersWithSpaces>15068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2026-07-07T01:31:00Z</dcterms:created>
  <dc:creator>王吉</dc:creator>
  <cp:lastModifiedBy>璋垸益璋</cp:lastModifiedBy>
  <cp:lastPrinted>2026-01-22T02:47:00Z</cp:lastPrinted>
  <dcterms:modified xsi:type="dcterms:W3CDTF">2026-07-22T09:01:45Z</dcterms:modified>
  <dc:title>总  则</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C7D6A3AB20E04798B21BFECB9182FED9_13</vt:lpwstr>
  </property>
  <property fmtid="{D5CDD505-2E9C-101B-9397-08002B2CF9AE}" pid="4" name="KSOTemplateDocerSaveRecord">
    <vt:lpwstr>eyJoZGlkIjoiNDI1NGQ4MDY4NjMxYWVlMzc3ODM2NDE0MmU1ODUxYzYiLCJ1c2VySWQiOiI5Mjg5MDIxODQifQ==</vt:lpwstr>
  </property>
</Properties>
</file>