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5"/>
        <w:rPr>
          <w:rFonts w:hAnsi="黑体"/>
          <w:color w:val="auto"/>
          <w:highlight w:val="none"/>
        </w:rPr>
      </w:pPr>
      <w:r>
        <w:rPr>
          <w:rFonts w:hAnsi="黑体"/>
          <w:color w:val="auto"/>
          <w:highlight w:val="none"/>
        </w:rPr>
        <w:t>ICS </w:t>
      </w:r>
      <w:r>
        <w:rPr>
          <w:rFonts w:hint="eastAsia" w:hAnsi="黑体"/>
          <w:color w:val="auto"/>
          <w:highlight w:val="none"/>
        </w:rPr>
        <w:t xml:space="preserve">27.010 </w:t>
      </w:r>
    </w:p>
    <w:p>
      <w:pPr>
        <w:pStyle w:val="125"/>
        <w:rPr>
          <w:rFonts w:hAnsi="黑体"/>
          <w:color w:val="auto"/>
          <w:highlight w:val="none"/>
        </w:rPr>
      </w:pPr>
      <w:r>
        <w:rPr>
          <w:rFonts w:hint="eastAsia" w:hAnsi="黑体"/>
          <w:color w:val="auto"/>
          <w:highlight w:val="none"/>
        </w:rPr>
        <w:t>C</w:t>
      </w:r>
      <w:r>
        <w:rPr>
          <w:rFonts w:hAnsi="黑体"/>
          <w:color w:val="auto"/>
          <w:highlight w:val="none"/>
        </w:rPr>
        <w:t xml:space="preserve">CS  </w:t>
      </w:r>
      <w:r>
        <w:rPr>
          <w:rFonts w:hint="eastAsia" w:hAnsi="黑体"/>
          <w:color w:val="auto"/>
          <w:highlight w:val="none"/>
        </w:rPr>
        <w:t>F 10</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tcPr>
          <w:p>
            <w:pPr>
              <w:pStyle w:val="125"/>
              <w:rPr>
                <w:rFonts w:hAnsi="黑体"/>
                <w:color w:val="auto"/>
                <w:highlight w:val="none"/>
              </w:rPr>
            </w:pPr>
          </w:p>
        </w:tc>
      </w:tr>
    </w:tbl>
    <w:p>
      <w:pPr>
        <w:pStyle w:val="111"/>
        <w:rPr>
          <w:color w:val="auto"/>
          <w:highlight w:val="none"/>
        </w:rPr>
      </w:pPr>
      <w:r>
        <w:rPr>
          <w:color w:val="auto"/>
          <w:highlight w:val="none"/>
        </w:rPr>
        <w:t>D</w:t>
      </w:r>
      <w:r>
        <w:rPr>
          <w:color w:val="auto"/>
          <w:spacing w:val="100"/>
          <w:highlight w:val="none"/>
        </w:rPr>
        <w:t>B</w:t>
      </w:r>
      <w:r>
        <w:rPr>
          <w:color w:val="auto"/>
          <w:highlight w:val="none"/>
        </w:rPr>
        <w:fldChar w:fldCharType="begin">
          <w:ffData>
            <w:name w:val="c3"/>
            <w:enabled/>
            <w:calcOnExit w:val="0"/>
            <w:entryMacro w:val="ShowHelp16"/>
            <w:textInput/>
          </w:ffData>
        </w:fldChar>
      </w:r>
      <w:bookmarkStart w:id="0" w:name="c3"/>
      <w:r>
        <w:rPr>
          <w:color w:val="auto"/>
          <w:highlight w:val="none"/>
        </w:rPr>
        <w:instrText xml:space="preserve"> FORMTEXT </w:instrText>
      </w:r>
      <w:r>
        <w:rPr>
          <w:color w:val="auto"/>
          <w:highlight w:val="none"/>
        </w:rPr>
        <w:fldChar w:fldCharType="separate"/>
      </w:r>
      <w:r>
        <w:rPr>
          <w:color w:val="auto"/>
          <w:highlight w:val="none"/>
        </w:rPr>
        <w:t>11</w:t>
      </w:r>
      <w:r>
        <w:rPr>
          <w:color w:val="auto"/>
          <w:highlight w:val="none"/>
        </w:rPr>
        <w:fldChar w:fldCharType="end"/>
      </w:r>
      <w:bookmarkEnd w:id="0"/>
    </w:p>
    <w:p>
      <w:pPr>
        <w:pStyle w:val="112"/>
        <w:rPr>
          <w:color w:val="auto"/>
          <w:highlight w:val="none"/>
        </w:rPr>
      </w:pPr>
      <w:r>
        <w:rPr>
          <w:color w:val="auto"/>
          <w:highlight w:val="none"/>
        </w:rPr>
        <w:fldChar w:fldCharType="begin">
          <w:ffData>
            <w:name w:val="c4"/>
            <w:enabled/>
            <w:calcOnExit w:val="0"/>
            <w:entryMacro w:val="showhelp12"/>
            <w:textInput/>
          </w:ffData>
        </w:fldChar>
      </w:r>
      <w:bookmarkStart w:id="1" w:name="c4"/>
      <w:r>
        <w:rPr>
          <w:color w:val="auto"/>
          <w:highlight w:val="none"/>
        </w:rPr>
        <w:instrText xml:space="preserve"> FORMTEXT </w:instrText>
      </w:r>
      <w:r>
        <w:rPr>
          <w:color w:val="auto"/>
          <w:highlight w:val="none"/>
        </w:rPr>
        <w:fldChar w:fldCharType="separate"/>
      </w:r>
      <w:r>
        <w:rPr>
          <w:rFonts w:hint="eastAsia"/>
          <w:color w:val="auto"/>
          <w:highlight w:val="none"/>
        </w:rPr>
        <w:t>北京市</w:t>
      </w:r>
      <w:r>
        <w:rPr>
          <w:color w:val="auto"/>
          <w:highlight w:val="none"/>
        </w:rPr>
        <w:fldChar w:fldCharType="end"/>
      </w:r>
      <w:bookmarkEnd w:id="1"/>
      <w:r>
        <w:rPr>
          <w:color w:val="auto"/>
          <w:highlight w:val="none"/>
        </w:rPr>
        <w:t>地方标准</w:t>
      </w:r>
    </w:p>
    <w:p>
      <w:pPr>
        <w:pStyle w:val="49"/>
        <w:rPr>
          <w:rFonts w:hAnsi="黑体"/>
          <w:color w:val="auto"/>
          <w:highlight w:val="none"/>
        </w:rPr>
      </w:pPr>
      <w:r>
        <w:rPr>
          <w:rFonts w:hAnsi="黑体"/>
          <w:color w:val="auto"/>
          <w:highlight w:val="none"/>
        </w:rPr>
        <w:t xml:space="preserve">DB11/T </w:t>
      </w:r>
      <w:r>
        <w:rPr>
          <w:rFonts w:hAnsi="黑体"/>
          <w:color w:val="auto"/>
          <w:highlight w:val="none"/>
        </w:rPr>
        <w:fldChar w:fldCharType="begin">
          <w:ffData>
            <w:name w:val="StdNo1"/>
            <w:enabled/>
            <w:calcOnExit w:val="0"/>
            <w:textInput>
              <w:default w:val="××××"/>
            </w:textInput>
          </w:ffData>
        </w:fldChar>
      </w:r>
      <w:bookmarkStart w:id="2" w:name="StdNo1"/>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w:t>
      </w:r>
      <w:r>
        <w:rPr>
          <w:rFonts w:hAnsi="黑体"/>
          <w:color w:val="auto"/>
          <w:highlight w:val="none"/>
        </w:rPr>
        <w:fldChar w:fldCharType="end"/>
      </w:r>
      <w:bookmarkEnd w:id="2"/>
      <w:r>
        <w:rPr>
          <w:rFonts w:hAnsi="黑体"/>
          <w:color w:val="auto"/>
          <w:highlight w:val="none"/>
        </w:rPr>
        <w:t>—</w:t>
      </w:r>
      <w:r>
        <w:rPr>
          <w:rFonts w:hAnsi="黑体"/>
          <w:color w:val="auto"/>
          <w:highlight w:val="none"/>
        </w:rPr>
        <w:fldChar w:fldCharType="begin">
          <w:ffData>
            <w:name w:val="StdNo2"/>
            <w:enabled/>
            <w:calcOnExit w:val="0"/>
            <w:textInput>
              <w:default w:val="××××"/>
              <w:maxLength w:val="4"/>
            </w:textInput>
          </w:ffData>
        </w:fldChar>
      </w:r>
      <w:bookmarkStart w:id="3" w:name="StdNo2"/>
      <w:r>
        <w:rPr>
          <w:rFonts w:hAnsi="黑体"/>
          <w:color w:val="auto"/>
          <w:highlight w:val="none"/>
        </w:rPr>
        <w:instrText xml:space="preserve"> FORMTEXT </w:instrText>
      </w:r>
      <w:r>
        <w:rPr>
          <w:rFonts w:hAnsi="黑体"/>
          <w:color w:val="auto"/>
          <w:highlight w:val="none"/>
        </w:rPr>
        <w:fldChar w:fldCharType="separate"/>
      </w:r>
      <w:r>
        <w:rPr>
          <w:rFonts w:hAnsi="黑体"/>
          <w:color w:val="auto"/>
          <w:highlight w:val="none"/>
        </w:rPr>
        <w:t>××××</w:t>
      </w:r>
      <w:r>
        <w:rPr>
          <w:rFonts w:hAnsi="黑体"/>
          <w:color w:val="auto"/>
          <w:highlight w:val="none"/>
        </w:rPr>
        <w:fldChar w:fldCharType="end"/>
      </w:r>
      <w:bookmarkEnd w:id="3"/>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tcPr>
          <w:p>
            <w:pPr>
              <w:pStyle w:val="78"/>
              <w:rPr>
                <w:rFonts w:ascii="黑体" w:hAnsi="黑体" w:eastAsia="黑体"/>
                <w:color w:val="auto"/>
                <w:highlight w:val="none"/>
              </w:rPr>
            </w:pPr>
            <w:r>
              <w:rPr>
                <w:rFonts w:ascii="黑体" w:hAnsi="黑体" w:eastAsia="黑体"/>
                <w:color w:val="auto"/>
                <w:highlight w:val="none"/>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DT" o:spid="_x0000_s1026" o:spt="1" style="position:absolute;left:0pt;margin-left:367.4pt;margin-top:2.7pt;height:18pt;width:90pt;z-index:-251653120;v-text-anchor:middle;mso-width-relative:page;mso-height-relative:page;" fillcolor="#FFFFFF" filled="t" stroked="f" coordsize="21600,21600" o:gfxdata="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MWe5P/TAAAACAEAAA8AAAAA&#10;AAAAAQAgAAAAOAAAAGRycy9kb3ducmV2LnhtbFBLAQIUABQAAAAIAIdO4kDN6zdWPAIAAH0EAAAO&#10;AAAAAAAAAAEAIAAAADgBAABkcnMvZTJvRG9jLnhtbFBLBQYAAAAABgAGAFkBAADmBQAAAAA=&#10;">
                      <v:fill on="t" focussize="0,0"/>
                      <v:stroke on="f" weight="2pt"/>
                      <v:imagedata o:title=""/>
                      <o:lock v:ext="edit" aspectratio="f"/>
                    </v:rect>
                  </w:pict>
                </mc:Fallback>
              </mc:AlternateContent>
            </w:r>
            <w:r>
              <w:rPr>
                <w:rFonts w:ascii="黑体" w:hAnsi="黑体" w:eastAsia="黑体"/>
                <w:color w:val="auto"/>
                <w:highlight w:val="none"/>
              </w:rPr>
              <w:fldChar w:fldCharType="begin">
                <w:ffData>
                  <w:name w:val="DT"/>
                  <w:enabled/>
                  <w:calcOnExit w:val="0"/>
                  <w:entryMacro w:val="ShowHelp4"/>
                  <w:textInput/>
                </w:ffData>
              </w:fldChar>
            </w:r>
            <w:bookmarkStart w:id="4" w:name="DT"/>
            <w:r>
              <w:rPr>
                <w:rFonts w:ascii="黑体" w:hAnsi="黑体" w:eastAsia="黑体"/>
                <w:color w:val="auto"/>
                <w:highlight w:val="none"/>
              </w:rPr>
              <w:instrText xml:space="preserve"> FORMTEXT </w:instrText>
            </w:r>
            <w:r>
              <w:rPr>
                <w:rFonts w:ascii="黑体" w:hAnsi="黑体" w:eastAsia="黑体"/>
                <w:color w:val="auto"/>
                <w:highlight w:val="none"/>
              </w:rPr>
              <w:fldChar w:fldCharType="separate"/>
            </w:r>
            <w:r>
              <w:rPr>
                <w:rFonts w:ascii="黑体" w:hAnsi="黑体" w:eastAsia="黑体"/>
                <w:color w:val="auto"/>
                <w:highlight w:val="none"/>
              </w:rPr>
              <w:t>     </w:t>
            </w:r>
            <w:r>
              <w:rPr>
                <w:rFonts w:ascii="黑体" w:hAnsi="黑体" w:eastAsia="黑体"/>
                <w:color w:val="auto"/>
                <w:highlight w:val="none"/>
              </w:rPr>
              <w:fldChar w:fldCharType="end"/>
            </w:r>
            <w:bookmarkEnd w:id="4"/>
          </w:p>
        </w:tc>
      </w:tr>
    </w:tbl>
    <w:p>
      <w:pPr>
        <w:pStyle w:val="49"/>
        <w:rPr>
          <w:rFonts w:hAnsi="黑体"/>
          <w:color w:val="auto"/>
          <w:highlight w:val="none"/>
        </w:rPr>
      </w:pPr>
    </w:p>
    <w:p>
      <w:pPr>
        <w:pStyle w:val="49"/>
        <w:rPr>
          <w:rFonts w:hAnsi="黑体"/>
          <w:color w:val="auto"/>
          <w:highlight w:val="none"/>
        </w:rPr>
      </w:pPr>
    </w:p>
    <w:p>
      <w:pPr>
        <w:pStyle w:val="80"/>
        <w:framePr w:x="1577" w:y="5626"/>
        <w:rPr>
          <w:color w:val="auto"/>
          <w:highlight w:val="none"/>
        </w:rPr>
      </w:pPr>
      <w:bookmarkStart w:id="5" w:name="OLE_LINK2"/>
      <w:bookmarkStart w:id="6" w:name="OLE_LINK3"/>
      <w:bookmarkStart w:id="7" w:name="OLE_LINK1"/>
      <w:r>
        <w:rPr>
          <w:rFonts w:hint="eastAsia"/>
          <w:color w:val="auto"/>
          <w:highlight w:val="none"/>
        </w:rPr>
        <w:t>新建建筑热计量和智能化供热系统</w:t>
      </w:r>
    </w:p>
    <w:p>
      <w:pPr>
        <w:pStyle w:val="80"/>
        <w:framePr w:x="1577" w:y="5626"/>
        <w:rPr>
          <w:color w:val="auto"/>
          <w:highlight w:val="none"/>
        </w:rPr>
      </w:pPr>
      <w:r>
        <w:rPr>
          <w:rFonts w:hint="eastAsia"/>
          <w:color w:val="auto"/>
          <w:highlight w:val="none"/>
        </w:rPr>
        <w:t>建设技术规范</w:t>
      </w:r>
    </w:p>
    <w:bookmarkEnd w:id="5"/>
    <w:bookmarkEnd w:id="6"/>
    <w:bookmarkEnd w:id="7"/>
    <w:p>
      <w:pPr>
        <w:pStyle w:val="80"/>
        <w:framePr w:x="1577" w:y="5626"/>
        <w:rPr>
          <w:color w:val="auto"/>
          <w:highlight w:val="none"/>
        </w:rPr>
      </w:pPr>
    </w:p>
    <w:p>
      <w:pPr>
        <w:pStyle w:val="81"/>
        <w:framePr w:x="1577" w:y="5626"/>
        <w:rPr>
          <w:rFonts w:ascii="黑体" w:hAnsi="黑体"/>
          <w:color w:val="auto"/>
          <w:highlight w:val="none"/>
        </w:rPr>
      </w:pPr>
      <w:r>
        <w:rPr>
          <w:rFonts w:ascii="黑体" w:hAnsi="黑体" w:cs="Segoe UI"/>
          <w:color w:val="auto"/>
          <w:highlight w:val="none"/>
          <w:shd w:val="clear" w:color="auto" w:fill="FFFFFF"/>
        </w:rPr>
        <w:t xml:space="preserve">Technical </w:t>
      </w:r>
      <w:r>
        <w:rPr>
          <w:rFonts w:hint="eastAsia" w:ascii="黑体" w:hAnsi="黑体" w:cs="Segoe UI"/>
          <w:color w:val="auto"/>
          <w:highlight w:val="none"/>
          <w:shd w:val="clear" w:color="auto" w:fill="FFFFFF"/>
        </w:rPr>
        <w:t>s</w:t>
      </w:r>
      <w:r>
        <w:rPr>
          <w:rFonts w:ascii="黑体" w:hAnsi="黑体" w:cs="Segoe UI"/>
          <w:color w:val="auto"/>
          <w:highlight w:val="none"/>
          <w:shd w:val="clear" w:color="auto" w:fill="FFFFFF"/>
        </w:rPr>
        <w:t xml:space="preserve">pecifications for the </w:t>
      </w:r>
      <w:r>
        <w:rPr>
          <w:rFonts w:hint="eastAsia" w:ascii="黑体" w:hAnsi="黑体" w:cs="Segoe UI"/>
          <w:color w:val="auto"/>
          <w:highlight w:val="none"/>
          <w:shd w:val="clear" w:color="auto" w:fill="FFFFFF"/>
        </w:rPr>
        <w:t>c</w:t>
      </w:r>
      <w:r>
        <w:rPr>
          <w:rFonts w:ascii="黑体" w:hAnsi="黑体" w:cs="Segoe UI"/>
          <w:color w:val="auto"/>
          <w:highlight w:val="none"/>
          <w:shd w:val="clear" w:color="auto" w:fill="FFFFFF"/>
        </w:rPr>
        <w:t xml:space="preserve">onstruction of </w:t>
      </w:r>
      <w:r>
        <w:rPr>
          <w:rFonts w:hint="eastAsia" w:ascii="黑体" w:hAnsi="黑体" w:cs="Segoe UI"/>
          <w:color w:val="auto"/>
          <w:highlight w:val="none"/>
          <w:shd w:val="clear" w:color="auto" w:fill="FFFFFF"/>
        </w:rPr>
        <w:t>h</w:t>
      </w:r>
      <w:r>
        <w:rPr>
          <w:rFonts w:ascii="黑体" w:hAnsi="黑体" w:cs="Segoe UI"/>
          <w:color w:val="auto"/>
          <w:highlight w:val="none"/>
          <w:shd w:val="clear" w:color="auto" w:fill="FFFFFF"/>
        </w:rPr>
        <w:t xml:space="preserve">eat </w:t>
      </w:r>
      <w:r>
        <w:rPr>
          <w:rFonts w:hint="eastAsia" w:ascii="黑体" w:hAnsi="黑体" w:cs="Segoe UI"/>
          <w:color w:val="auto"/>
          <w:highlight w:val="none"/>
          <w:shd w:val="clear" w:color="auto" w:fill="FFFFFF"/>
        </w:rPr>
        <w:t>m</w:t>
      </w:r>
      <w:r>
        <w:rPr>
          <w:rFonts w:ascii="黑体" w:hAnsi="黑体" w:cs="Segoe UI"/>
          <w:color w:val="auto"/>
          <w:highlight w:val="none"/>
          <w:shd w:val="clear" w:color="auto" w:fill="FFFFFF"/>
        </w:rPr>
        <w:t xml:space="preserve">etering and </w:t>
      </w:r>
      <w:r>
        <w:rPr>
          <w:rFonts w:hint="eastAsia" w:ascii="黑体" w:hAnsi="黑体" w:cs="Segoe UI"/>
          <w:color w:val="auto"/>
          <w:highlight w:val="none"/>
          <w:shd w:val="clear" w:color="auto" w:fill="FFFFFF"/>
        </w:rPr>
        <w:t>i</w:t>
      </w:r>
      <w:r>
        <w:rPr>
          <w:rFonts w:ascii="黑体" w:hAnsi="黑体" w:cs="Segoe UI"/>
          <w:color w:val="auto"/>
          <w:highlight w:val="none"/>
          <w:shd w:val="clear" w:color="auto" w:fill="FFFFFF"/>
        </w:rPr>
        <w:t xml:space="preserve">ntelligent </w:t>
      </w:r>
      <w:r>
        <w:rPr>
          <w:rFonts w:hint="eastAsia" w:ascii="黑体" w:hAnsi="黑体" w:cs="Segoe UI"/>
          <w:color w:val="auto"/>
          <w:highlight w:val="none"/>
          <w:shd w:val="clear" w:color="auto" w:fill="FFFFFF"/>
        </w:rPr>
        <w:t>h</w:t>
      </w:r>
      <w:r>
        <w:rPr>
          <w:rFonts w:ascii="黑体" w:hAnsi="黑体" w:cs="Segoe UI"/>
          <w:color w:val="auto"/>
          <w:highlight w:val="none"/>
          <w:shd w:val="clear" w:color="auto" w:fill="FFFFFF"/>
        </w:rPr>
        <w:t xml:space="preserve">eating </w:t>
      </w:r>
      <w:r>
        <w:rPr>
          <w:rFonts w:hint="eastAsia" w:ascii="黑体" w:hAnsi="黑体" w:cs="Segoe UI"/>
          <w:color w:val="auto"/>
          <w:highlight w:val="none"/>
          <w:shd w:val="clear" w:color="auto" w:fill="FFFFFF"/>
        </w:rPr>
        <w:t>s</w:t>
      </w:r>
      <w:r>
        <w:rPr>
          <w:rFonts w:ascii="黑体" w:hAnsi="黑体" w:cs="Segoe UI"/>
          <w:color w:val="auto"/>
          <w:highlight w:val="none"/>
          <w:shd w:val="clear" w:color="auto" w:fill="FFFFFF"/>
        </w:rPr>
        <w:t xml:space="preserve">ystems in </w:t>
      </w:r>
      <w:r>
        <w:rPr>
          <w:rFonts w:hint="eastAsia" w:ascii="黑体" w:hAnsi="黑体" w:cs="Segoe UI"/>
          <w:color w:val="auto"/>
          <w:highlight w:val="none"/>
          <w:shd w:val="clear" w:color="auto" w:fill="FFFFFF"/>
        </w:rPr>
        <w:t>n</w:t>
      </w:r>
      <w:r>
        <w:rPr>
          <w:rFonts w:ascii="黑体" w:hAnsi="黑体" w:cs="Segoe UI"/>
          <w:color w:val="auto"/>
          <w:highlight w:val="none"/>
          <w:shd w:val="clear" w:color="auto" w:fill="FFFFFF"/>
        </w:rPr>
        <w:t>ew</w:t>
      </w:r>
      <w:r>
        <w:rPr>
          <w:rFonts w:hint="eastAsia" w:ascii="黑体" w:hAnsi="黑体" w:cs="Segoe UI"/>
          <w:color w:val="auto"/>
          <w:highlight w:val="none"/>
          <w:shd w:val="clear" w:color="auto" w:fill="FFFFFF"/>
        </w:rPr>
        <w:t>-b</w:t>
      </w:r>
      <w:r>
        <w:rPr>
          <w:rFonts w:ascii="黑体" w:hAnsi="黑体" w:cs="Segoe UI"/>
          <w:color w:val="auto"/>
          <w:highlight w:val="none"/>
          <w:shd w:val="clear" w:color="auto" w:fill="FFFFFF"/>
        </w:rPr>
        <w:t>uildings</w:t>
      </w:r>
    </w:p>
    <w:p>
      <w:pPr>
        <w:pStyle w:val="82"/>
        <w:framePr w:x="1577" w:y="5626"/>
        <w:rPr>
          <w:rFonts w:ascii="黑体" w:hAnsi="黑体" w:eastAsia="黑体"/>
          <w:color w:val="auto"/>
          <w:highlight w:val="none"/>
        </w:rPr>
      </w:pP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pPr>
              <w:pStyle w:val="83"/>
              <w:framePr w:x="1577" w:y="5626"/>
              <w:rPr>
                <w:color w:val="auto"/>
                <w:highlight w:val="none"/>
              </w:rPr>
            </w:pPr>
            <w:r>
              <w:rPr>
                <w:color w:val="auto"/>
                <w:highlight w:val="none"/>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7"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RQ" o:spid="_x0000_s1026" o:spt="1" style="position:absolute;left:0pt;margin-left:167.9pt;margin-top:45.15pt;height:20pt;width:150pt;z-index:-251651072;v-text-anchor:middle;mso-width-relative:page;mso-height-relative:page;" fillcolor="#FFFFFF" filled="t" stroked="f" coordsize="21600,21600" o:gfxdata="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SKI4XdMAAAAKAQAADwAAAAAAAAAB&#10;ACAAAAA4AAAAZHJzL2Rvd25yZXYueG1sUEsBAhQAFAAAAAgAh07iQI3+7Kw4AgAAfQQAAA4AAAAA&#10;AAAAAQAgAAAAOAEAAGRycy9lMm9Eb2MueG1sUEsFBgAAAAAGAAYAWQEAAOIFAAAAAA==&#10;">
                      <v:fill on="t" focussize="0,0"/>
                      <v:stroke on="f" weight="2pt"/>
                      <v:imagedata o:title=""/>
                      <o:lock v:ext="edit" aspectratio="f"/>
                      <w10:anchorlock/>
                    </v:rect>
                  </w:pict>
                </mc:Fallback>
              </mc:AlternateContent>
            </w:r>
            <w:r>
              <w:rPr>
                <w:color w:val="auto"/>
                <w:highlight w:val="none"/>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0" r="6350" b="0"/>
                      <wp:wrapNone/>
                      <wp:docPr id="6"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LB" o:spid="_x0000_s1026" o:spt="1" style="position:absolute;left:0pt;margin-left:187.9pt;margin-top:20.15pt;height:24pt;width:100pt;z-index:-251652096;v-text-anchor:middle;mso-width-relative:page;mso-height-relative:page;" fillcolor="#FFFFFF" filled="t" stroked="f" coordsize="21600,21600" o:gfxdata="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NIEcv1AAAAAkBAAAPAAAA&#10;AAAAAAEAIAAAADgAAABkcnMvZG93bnJldi54bWxQSwECFAAUAAAACACHTuJArusYQTwCAAB9BAAA&#10;DgAAAAAAAAABACAAAAA5AQAAZHJzL2Uyb0RvYy54bWxQSwUGAAAAAAYABgBZAQAA5wUAAAAA&#10;">
                      <v:fill on="t" focussize="0,0"/>
                      <v:stroke on="f" weight="2pt"/>
                      <v:imagedata o:title=""/>
                      <o:lock v:ext="edit" aspectratio="f"/>
                    </v:rect>
                  </w:pict>
                </mc:Fallback>
              </mc:AlternateContent>
            </w:r>
            <w:r>
              <w:rPr>
                <w:rFonts w:hint="eastAsia"/>
                <w:color w:val="auto"/>
                <w:sz w:val="21"/>
                <w:szCs w:val="21"/>
                <w:highlight w:val="none"/>
              </w:rPr>
              <w:t>（征求意见稿）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tcPr>
          <w:p>
            <w:pPr>
              <w:pStyle w:val="84"/>
              <w:framePr w:x="1577" w:y="5626"/>
              <w:rPr>
                <w:color w:val="auto"/>
                <w:highlight w:val="none"/>
              </w:rPr>
            </w:pPr>
            <w:r>
              <w:rPr>
                <w:color w:val="auto"/>
                <w:highlight w:val="none"/>
              </w:rPr>
              <w:fldChar w:fldCharType="begin">
                <w:ffData>
                  <w:name w:val="WCRQ"/>
                  <w:enabled/>
                  <w:calcOnExit w:val="0"/>
                  <w:textInput/>
                </w:ffData>
              </w:fldChar>
            </w:r>
            <w:bookmarkStart w:id="8" w:name="WCRQ"/>
            <w:r>
              <w:rPr>
                <w:color w:val="auto"/>
                <w:highlight w:val="none"/>
              </w:rPr>
              <w:instrText xml:space="preserve"> FORMTEXT </w:instrText>
            </w:r>
            <w:r>
              <w:rPr>
                <w:color w:val="auto"/>
                <w:highlight w:val="none"/>
              </w:rPr>
              <w:fldChar w:fldCharType="separate"/>
            </w:r>
            <w:r>
              <w:rPr>
                <w:color w:val="auto"/>
                <w:highlight w:val="none"/>
              </w:rPr>
              <w:t>     </w:t>
            </w:r>
            <w:r>
              <w:rPr>
                <w:color w:val="auto"/>
                <w:highlight w:val="none"/>
              </w:rPr>
              <w:fldChar w:fldCharType="end"/>
            </w:r>
            <w:bookmarkEnd w:id="8"/>
          </w:p>
        </w:tc>
      </w:tr>
    </w:tbl>
    <w:p>
      <w:pPr>
        <w:pStyle w:val="132"/>
        <w:rPr>
          <w:rFonts w:ascii="黑体" w:hAnsi="黑体"/>
          <w:color w:val="auto"/>
          <w:highlight w:val="none"/>
        </w:rPr>
      </w:pPr>
      <w:r>
        <w:rPr>
          <w:rFonts w:ascii="黑体" w:hAnsi="黑体"/>
          <w:color w:val="auto"/>
          <w:highlight w:val="none"/>
        </w:rPr>
        <w:fldChar w:fldCharType="begin">
          <w:ffData>
            <w:name w:val="FY"/>
            <w:enabled/>
            <w:calcOnExit w:val="0"/>
            <w:entryMacro w:val="ShowHelp8"/>
            <w:textInput>
              <w:default w:val="××××"/>
              <w:maxLength w:val="4"/>
            </w:textInput>
          </w:ffData>
        </w:fldChar>
      </w:r>
      <w:bookmarkStart w:id="9" w:name="FY"/>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9"/>
      <w:r>
        <w:rPr>
          <w:rFonts w:ascii="黑体" w:hAnsi="黑体"/>
          <w:color w:val="auto"/>
          <w:highlight w:val="none"/>
        </w:rPr>
        <w:t xml:space="preserve"> - </w:t>
      </w:r>
      <w:r>
        <w:rPr>
          <w:rFonts w:ascii="黑体" w:hAnsi="黑体"/>
          <w:color w:val="auto"/>
          <w:highlight w:val="none"/>
        </w:rPr>
        <w:fldChar w:fldCharType="begin">
          <w:ffData>
            <w:name w:val="FM"/>
            <w:enabled/>
            <w:calcOnExit w:val="0"/>
            <w:entryMacro w:val="ShowHelp8"/>
            <w:textInput>
              <w:default w:val="××"/>
              <w:maxLength w:val="2"/>
            </w:textInput>
          </w:ffData>
        </w:fldChar>
      </w:r>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r>
        <w:rPr>
          <w:rFonts w:ascii="黑体" w:hAnsi="黑体"/>
          <w:color w:val="auto"/>
          <w:highlight w:val="none"/>
        </w:rPr>
        <w:t xml:space="preserve"> - </w:t>
      </w:r>
      <w:r>
        <w:rPr>
          <w:rFonts w:ascii="黑体" w:hAnsi="黑体"/>
          <w:color w:val="auto"/>
          <w:highlight w:val="none"/>
        </w:rPr>
        <w:fldChar w:fldCharType="begin">
          <w:ffData>
            <w:name w:val="FD"/>
            <w:enabled/>
            <w:calcOnExit w:val="0"/>
            <w:entryMacro w:val="ShowHelp8"/>
            <w:textInput>
              <w:default w:val="××"/>
              <w:maxLength w:val="2"/>
            </w:textInput>
          </w:ffData>
        </w:fldChar>
      </w:r>
      <w:bookmarkStart w:id="10" w:name="FD"/>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10"/>
      <w:r>
        <w:rPr>
          <w:rFonts w:hint="eastAsia" w:ascii="黑体" w:hAnsi="黑体"/>
          <w:color w:val="auto"/>
          <w:highlight w:val="none"/>
        </w:rPr>
        <w:t>发布</w:t>
      </w:r>
      <w:r>
        <w:rPr>
          <w:rFonts w:hint="eastAsia" w:ascii="黑体" w:hAnsi="黑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0288;mso-width-relative:page;mso-height-relative:page;" filled="f" stroked="t" coordsize="21600,21600" o:gfxdata="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3fKbPVAAAACAEAAA8AAAAAAAAAAQAgAAAAOAAA&#10;AGRycy9kb3ducmV2LnhtbFBLAQIUABQAAAAIAIdO4kBf2z7XvAEAAEwDAAAOAAAAAAAAAAEAIAAA&#10;ADoBAABkcnMvZTJvRG9jLnhtbFBLBQYAAAAABgAGAFkBAABoBQAAAAA=&#10;">
                <v:fill on="f" focussize="0,0"/>
                <v:stroke color="#000000 [3204]" joinstyle="round"/>
                <v:imagedata o:title=""/>
                <o:lock v:ext="edit" aspectratio="f"/>
              </v:line>
            </w:pict>
          </mc:Fallback>
        </mc:AlternateContent>
      </w:r>
      <w:r>
        <w:rPr>
          <w:rFonts w:hint="eastAsia" w:ascii="黑体" w:hAnsi="黑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1" name="直接连接符 1"/>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59264;mso-width-relative:page;mso-height-relative:page;" filled="f" stroked="t" coordsize="21600,21600" o:gfxdata="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w6/RqNUAAAAKAQAADwAAAAAAAAABACAAAAA4AAAA&#10;ZHJzL2Rvd25yZXYueG1sUEsBAhQAFAAAAAgAh07iQNTcKCS7AQAATAMAAA4AAAAAAAAAAQAgAAAA&#10;OgEAAGRycy9lMm9Eb2MueG1sUEsFBgAAAAAGAAYAWQEAAGcFAAAAAA==&#10;">
                <v:fill on="f" focussize="0,0"/>
                <v:stroke color="#000000 [3204]" joinstyle="round"/>
                <v:imagedata o:title=""/>
                <o:lock v:ext="edit" aspectratio="f"/>
              </v:line>
            </w:pict>
          </mc:Fallback>
        </mc:AlternateContent>
      </w:r>
    </w:p>
    <w:p>
      <w:pPr>
        <w:pStyle w:val="133"/>
        <w:rPr>
          <w:rFonts w:ascii="黑体" w:hAnsi="黑体"/>
          <w:color w:val="auto"/>
          <w:highlight w:val="none"/>
        </w:rPr>
      </w:pPr>
      <w:r>
        <w:rPr>
          <w:rFonts w:ascii="黑体" w:hAnsi="黑体"/>
          <w:color w:val="auto"/>
          <w:highlight w:val="none"/>
        </w:rPr>
        <w:fldChar w:fldCharType="begin">
          <w:ffData>
            <w:name w:val="SY"/>
            <w:enabled/>
            <w:calcOnExit w:val="0"/>
            <w:entryMacro w:val="ShowHelp9"/>
            <w:textInput>
              <w:default w:val="××××"/>
              <w:maxLength w:val="4"/>
            </w:textInput>
          </w:ffData>
        </w:fldChar>
      </w:r>
      <w:bookmarkStart w:id="11" w:name="SY"/>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11"/>
      <w:r>
        <w:rPr>
          <w:rFonts w:ascii="黑体" w:hAnsi="黑体"/>
          <w:color w:val="auto"/>
          <w:highlight w:val="none"/>
        </w:rPr>
        <w:t xml:space="preserve"> - </w:t>
      </w:r>
      <w:r>
        <w:rPr>
          <w:rFonts w:ascii="黑体" w:hAnsi="黑体"/>
          <w:color w:val="auto"/>
          <w:highlight w:val="none"/>
        </w:rPr>
        <w:fldChar w:fldCharType="begin">
          <w:ffData>
            <w:name w:val="SM"/>
            <w:enabled/>
            <w:calcOnExit w:val="0"/>
            <w:entryMacro w:val="ShowHelp9"/>
            <w:textInput>
              <w:default w:val="××"/>
              <w:maxLength w:val="2"/>
            </w:textInput>
          </w:ffData>
        </w:fldChar>
      </w:r>
      <w:bookmarkStart w:id="12" w:name="SM"/>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12"/>
      <w:r>
        <w:rPr>
          <w:rFonts w:ascii="黑体" w:hAnsi="黑体"/>
          <w:color w:val="auto"/>
          <w:highlight w:val="none"/>
        </w:rPr>
        <w:t xml:space="preserve"> - </w:t>
      </w:r>
      <w:r>
        <w:rPr>
          <w:rFonts w:ascii="黑体" w:hAnsi="黑体"/>
          <w:color w:val="auto"/>
          <w:highlight w:val="none"/>
        </w:rPr>
        <w:fldChar w:fldCharType="begin">
          <w:ffData>
            <w:name w:val="SD"/>
            <w:enabled/>
            <w:calcOnExit w:val="0"/>
            <w:entryMacro w:val="ShowHelp9"/>
            <w:textInput>
              <w:default w:val="××"/>
              <w:maxLength w:val="2"/>
            </w:textInput>
          </w:ffData>
        </w:fldChar>
      </w:r>
      <w:bookmarkStart w:id="13" w:name="SD"/>
      <w:r>
        <w:rPr>
          <w:rFonts w:ascii="黑体" w:hAnsi="黑体"/>
          <w:color w:val="auto"/>
          <w:highlight w:val="none"/>
        </w:rPr>
        <w:instrText xml:space="preserve"> FORMTEXT </w:instrText>
      </w:r>
      <w:r>
        <w:rPr>
          <w:rFonts w:ascii="黑体" w:hAnsi="黑体"/>
          <w:color w:val="auto"/>
          <w:highlight w:val="none"/>
        </w:rPr>
        <w:fldChar w:fldCharType="separate"/>
      </w:r>
      <w:r>
        <w:rPr>
          <w:rFonts w:ascii="黑体" w:hAnsi="黑体"/>
          <w:color w:val="auto"/>
          <w:highlight w:val="none"/>
        </w:rPr>
        <w:t>××</w:t>
      </w:r>
      <w:r>
        <w:rPr>
          <w:rFonts w:ascii="黑体" w:hAnsi="黑体"/>
          <w:color w:val="auto"/>
          <w:highlight w:val="none"/>
        </w:rPr>
        <w:fldChar w:fldCharType="end"/>
      </w:r>
      <w:bookmarkEnd w:id="13"/>
      <w:r>
        <w:rPr>
          <w:rFonts w:hint="eastAsia" w:ascii="黑体" w:hAnsi="黑体"/>
          <w:color w:val="auto"/>
          <w:highlight w:val="none"/>
        </w:rPr>
        <w:t>实施</w:t>
      </w:r>
    </w:p>
    <w:p>
      <w:pPr>
        <w:pStyle w:val="113"/>
        <w:rPr>
          <w:color w:val="auto"/>
          <w:highlight w:val="none"/>
        </w:rPr>
      </w:pPr>
      <w:r>
        <w:rPr>
          <w:color w:val="auto"/>
          <w:highlight w:val="none"/>
        </w:rPr>
        <w:fldChar w:fldCharType="begin">
          <w:ffData>
            <w:name w:val="fm"/>
            <w:enabled/>
            <w:calcOnExit w:val="0"/>
            <w:textInput/>
          </w:ffData>
        </w:fldChar>
      </w:r>
      <w:bookmarkStart w:id="14" w:name="fm"/>
      <w:r>
        <w:rPr>
          <w:color w:val="auto"/>
          <w:highlight w:val="none"/>
        </w:rPr>
        <w:instrText xml:space="preserve"> FORMTEXT </w:instrText>
      </w:r>
      <w:r>
        <w:rPr>
          <w:color w:val="auto"/>
          <w:highlight w:val="none"/>
        </w:rPr>
        <w:fldChar w:fldCharType="separate"/>
      </w:r>
      <w:r>
        <w:rPr>
          <w:rFonts w:hint="eastAsia"/>
          <w:color w:val="auto"/>
          <w:highlight w:val="none"/>
        </w:rPr>
        <w:t>北京市市场监督</w:t>
      </w:r>
      <w:r>
        <w:rPr>
          <w:color w:val="auto"/>
          <w:highlight w:val="none"/>
        </w:rPr>
        <w:t>管理局</w:t>
      </w:r>
      <w:r>
        <w:rPr>
          <w:color w:val="auto"/>
          <w:highlight w:val="none"/>
        </w:rPr>
        <w:fldChar w:fldCharType="end"/>
      </w:r>
      <w:bookmarkEnd w:id="14"/>
      <w:r>
        <w:rPr>
          <w:color w:val="auto"/>
          <w:highlight w:val="none"/>
        </w:rPr>
        <w:t xml:space="preserve"> </w:t>
      </w:r>
      <w:r>
        <w:rPr>
          <w:rStyle w:val="75"/>
          <w:color w:val="auto"/>
          <w:highlight w:val="none"/>
        </w:rPr>
        <w:t xml:space="preserve"> </w:t>
      </w:r>
      <w:r>
        <w:rPr>
          <w:rStyle w:val="75"/>
          <w:rFonts w:hint="eastAsia"/>
          <w:color w:val="auto"/>
          <w:highlight w:val="none"/>
        </w:rPr>
        <w:t>发布</w:t>
      </w:r>
    </w:p>
    <w:p>
      <w:pPr>
        <w:pStyle w:val="25"/>
        <w:rPr>
          <w:color w:val="auto"/>
          <w:highlight w:val="none"/>
        </w:rPr>
        <w:sectPr>
          <w:headerReference r:id="rId3" w:type="even"/>
          <w:footerReference r:id="rId4" w:type="even"/>
          <w:pgSz w:w="11906" w:h="16838"/>
          <w:pgMar w:top="567" w:right="1134" w:bottom="1134" w:left="1417" w:header="0" w:footer="0" w:gutter="0"/>
          <w:pgNumType w:fmt="upperRoman" w:start="1"/>
          <w:cols w:space="425" w:num="1"/>
          <w:docGrid w:type="lines" w:linePitch="312" w:charSpace="0"/>
        </w:sectPr>
      </w:pPr>
      <w:r>
        <w:rPr>
          <w:rFonts w:hint="eastAsia"/>
          <w:color w:val="auto"/>
          <w:highlight w:val="none"/>
        </w:rP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0" t="0" r="9525" b="0"/>
                <wp:wrapNone/>
                <wp:docPr id="8"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BAH" o:spid="_x0000_s1026" o:spt="1" style="position:absolute;left:0pt;margin-left:-5.25pt;margin-top:31.2pt;height:15.6pt;width:68.25pt;z-index:-251650048;v-text-anchor:middle;mso-width-relative:page;mso-height-relative:page;" fillcolor="#FFFFFF" filled="t" stroked="f" coordsize="21600,21600" o:gfxdata="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1ptsc1QAAAAkB&#10;AAAPAAAAAAAAAAEAIAAAADgAAABkcnMvZG93bnJldi54bWxQSwECFAAUAAAACACHTuJAniLTZUEC&#10;AAB9BAAADgAAAAAAAAABACAAAAA6AQAAZHJzL2Uyb0RvYy54bWxQSwUGAAAAAAYABgBZAQAA7QUA&#10;AAAA&#10;">
                <v:fill on="t" focussize="0,0"/>
                <v:stroke on="f" weight="2pt"/>
                <v:imagedata o:title=""/>
                <o:lock v:ext="edit" aspectratio="f"/>
              </v:rect>
            </w:pict>
          </mc:Fallback>
        </mc:AlternateContent>
      </w: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33655" b="19050"/>
                <wp:wrapNone/>
                <wp:docPr id="4" name="直接连接符 4"/>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3fKbPVAAAACAEAAA8AAAAAAAAAAQAgAAAAOAAA&#10;AGRycy9kb3ducmV2LnhtbFBLAQIUABQAAAAIAIdO4kAI0mPqvAEAAEwDAAAOAAAAAAAAAAEAIAAA&#10;ADoBAABkcnMvZTJvRG9jLnhtbFBLBQYAAAAABgAGAFkBAABoBQAAAAA=&#10;">
                <v:fill on="f" focussize="0,0"/>
                <v:stroke color="#000000 [3204]" joinstyle="round"/>
                <v:imagedata o:title=""/>
                <o:lock v:ext="edit" aspectratio="f"/>
              </v:line>
            </w:pict>
          </mc:Fallback>
        </mc:AlternateContent>
      </w: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33655" b="1905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Ov0ajVAAAACgEAAA8AAAAAAAAAAQAgAAAAOAAA&#10;AGRycy9kb3ducmV2LnhtbFBLAQIUABQAAAAIAIdO4kAmJjOGvAEAAEwDAAAOAAAAAAAAAAEAIAAA&#10;ADoBAABkcnMvZTJvRG9jLnhtbFBLBQYAAAAABgAGAFkBAABoBQAAAAA=&#10;">
                <v:fill on="f" focussize="0,0"/>
                <v:stroke color="#000000 [3204]" joinstyle="round"/>
                <v:imagedata o:title=""/>
                <o:lock v:ext="edit" aspectratio="f"/>
              </v:line>
            </w:pict>
          </mc:Fallback>
        </mc:AlternateContent>
      </w:r>
    </w:p>
    <w:p>
      <w:pPr>
        <w:pStyle w:val="52"/>
        <w:rPr>
          <w:color w:val="auto"/>
          <w:highlight w:val="none"/>
        </w:rPr>
      </w:pPr>
      <w:bookmarkStart w:id="15" w:name="_Toc204864098"/>
      <w:r>
        <w:rPr>
          <w:rFonts w:hint="eastAsia"/>
          <w:color w:val="auto"/>
          <w:highlight w:val="none"/>
        </w:rPr>
        <w:t>目</w:t>
      </w:r>
      <w:bookmarkStart w:id="16" w:name="BKML"/>
      <w:r>
        <w:rPr>
          <w:rFonts w:hAnsi="黑体"/>
          <w:color w:val="auto"/>
          <w:highlight w:val="none"/>
        </w:rPr>
        <w:t>  </w:t>
      </w:r>
      <w:r>
        <w:rPr>
          <w:rFonts w:hint="eastAsia"/>
          <w:color w:val="auto"/>
          <w:highlight w:val="none"/>
        </w:rPr>
        <w:t>次</w:t>
      </w:r>
      <w:bookmarkEnd w:id="15"/>
      <w:bookmarkEnd w:id="16"/>
    </w:p>
    <w:p>
      <w:pPr>
        <w:pStyle w:val="21"/>
        <w:spacing w:before="78" w:after="78"/>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"_Toc204864099" </w:instrText>
      </w:r>
      <w:r>
        <w:rPr>
          <w:color w:val="auto"/>
          <w:highlight w:val="none"/>
        </w:rPr>
        <w:fldChar w:fldCharType="separate"/>
      </w:r>
      <w:r>
        <w:rPr>
          <w:rStyle w:val="40"/>
          <w:color w:val="auto"/>
          <w:highlight w:val="none"/>
        </w:rPr>
        <w:t>前言</w:t>
      </w:r>
      <w:r>
        <w:rPr>
          <w:color w:val="auto"/>
          <w:highlight w:val="none"/>
        </w:rPr>
        <w:tab/>
      </w:r>
      <w:r>
        <w:rPr>
          <w:color w:val="auto"/>
          <w:highlight w:val="none"/>
        </w:rPr>
        <w:fldChar w:fldCharType="begin"/>
      </w:r>
      <w:r>
        <w:rPr>
          <w:color w:val="auto"/>
          <w:highlight w:val="none"/>
        </w:rPr>
        <w:instrText xml:space="preserve"> PAGEREF _Toc204864099 \h </w:instrText>
      </w:r>
      <w:r>
        <w:rPr>
          <w:color w:val="auto"/>
          <w:highlight w:val="none"/>
        </w:rPr>
        <w:fldChar w:fldCharType="separate"/>
      </w:r>
      <w:r>
        <w:rPr>
          <w:color w:val="auto"/>
          <w:highlight w:val="none"/>
        </w:rPr>
        <w:t>II</w:t>
      </w:r>
      <w:r>
        <w:rPr>
          <w:color w:val="auto"/>
          <w:highlight w:val="none"/>
        </w:rPr>
        <w:fldChar w:fldCharType="end"/>
      </w:r>
      <w:r>
        <w:rPr>
          <w:color w:val="auto"/>
          <w:highlight w:val="none"/>
        </w:rPr>
        <w:fldChar w:fldCharType="end"/>
      </w:r>
    </w:p>
    <w:p>
      <w:pPr>
        <w:pStyle w:val="21"/>
        <w:spacing w:before="78" w:after="78"/>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"_Toc204864100" </w:instrText>
      </w:r>
      <w:r>
        <w:rPr>
          <w:color w:val="auto"/>
          <w:highlight w:val="none"/>
        </w:rPr>
        <w:fldChar w:fldCharType="separate"/>
      </w:r>
      <w:r>
        <w:rPr>
          <w:rStyle w:val="40"/>
          <w:color w:val="auto"/>
          <w:highlight w:val="none"/>
        </w:rPr>
        <w:t>引言</w:t>
      </w:r>
      <w:r>
        <w:rPr>
          <w:color w:val="auto"/>
          <w:highlight w:val="none"/>
        </w:rPr>
        <w:tab/>
      </w:r>
      <w:r>
        <w:rPr>
          <w:color w:val="auto"/>
          <w:highlight w:val="none"/>
        </w:rPr>
        <w:fldChar w:fldCharType="begin"/>
      </w:r>
      <w:r>
        <w:rPr>
          <w:color w:val="auto"/>
          <w:highlight w:val="none"/>
        </w:rPr>
        <w:instrText xml:space="preserve"> PAGEREF _Toc204864100 \h </w:instrText>
      </w:r>
      <w:r>
        <w:rPr>
          <w:color w:val="auto"/>
          <w:highlight w:val="none"/>
        </w:rPr>
        <w:fldChar w:fldCharType="separate"/>
      </w:r>
      <w:r>
        <w:rPr>
          <w:color w:val="auto"/>
          <w:highlight w:val="none"/>
        </w:rPr>
        <w:t>III</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"_Toc204864102" </w:instrText>
      </w:r>
      <w:r>
        <w:rPr>
          <w:color w:val="auto"/>
          <w:highlight w:val="none"/>
        </w:rPr>
        <w:fldChar w:fldCharType="separate"/>
      </w:r>
      <w:r>
        <w:rPr>
          <w:rStyle w:val="40"/>
          <w:color w:val="auto"/>
          <w:highlight w:val="none"/>
        </w:rPr>
        <w:t>1 范围</w:t>
      </w:r>
      <w:r>
        <w:rPr>
          <w:color w:val="auto"/>
          <w:highlight w:val="none"/>
        </w:rPr>
        <w:tab/>
      </w:r>
      <w:r>
        <w:rPr>
          <w:color w:val="auto"/>
          <w:highlight w:val="none"/>
        </w:rPr>
        <w:fldChar w:fldCharType="begin"/>
      </w:r>
      <w:r>
        <w:rPr>
          <w:color w:val="auto"/>
          <w:highlight w:val="none"/>
        </w:rPr>
        <w:instrText xml:space="preserve"> PAGEREF _Toc204864102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"_Toc204864103" </w:instrText>
      </w:r>
      <w:r>
        <w:rPr>
          <w:color w:val="auto"/>
          <w:highlight w:val="none"/>
        </w:rPr>
        <w:fldChar w:fldCharType="separate"/>
      </w:r>
      <w:r>
        <w:rPr>
          <w:rStyle w:val="40"/>
          <w:color w:val="auto"/>
          <w:highlight w:val="none"/>
        </w:rPr>
        <w:t>2 规范性引用文件</w:t>
      </w:r>
      <w:r>
        <w:rPr>
          <w:color w:val="auto"/>
          <w:highlight w:val="none"/>
        </w:rPr>
        <w:tab/>
      </w:r>
      <w:r>
        <w:rPr>
          <w:color w:val="auto"/>
          <w:highlight w:val="none"/>
        </w:rPr>
        <w:fldChar w:fldCharType="begin"/>
      </w:r>
      <w:r>
        <w:rPr>
          <w:color w:val="auto"/>
          <w:highlight w:val="none"/>
        </w:rPr>
        <w:instrText xml:space="preserve"> PAGEREF _Toc204864103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"_Toc204864104" </w:instrText>
      </w:r>
      <w:r>
        <w:rPr>
          <w:color w:val="auto"/>
          <w:highlight w:val="none"/>
        </w:rPr>
        <w:fldChar w:fldCharType="separate"/>
      </w:r>
      <w:r>
        <w:rPr>
          <w:rStyle w:val="40"/>
          <w:color w:val="auto"/>
          <w:highlight w:val="none"/>
        </w:rPr>
        <w:t>3 术语和定义</w:t>
      </w:r>
      <w:r>
        <w:rPr>
          <w:color w:val="auto"/>
          <w:highlight w:val="none"/>
        </w:rPr>
        <w:tab/>
      </w:r>
      <w:r>
        <w:rPr>
          <w:color w:val="auto"/>
          <w:highlight w:val="none"/>
        </w:rPr>
        <w:fldChar w:fldCharType="begin"/>
      </w:r>
      <w:r>
        <w:rPr>
          <w:color w:val="auto"/>
          <w:highlight w:val="none"/>
        </w:rPr>
        <w:instrText xml:space="preserve"> PAGEREF _Toc204864104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"_Toc204864108" </w:instrText>
      </w:r>
      <w:r>
        <w:rPr>
          <w:color w:val="auto"/>
          <w:highlight w:val="none"/>
        </w:rPr>
        <w:fldChar w:fldCharType="separate"/>
      </w:r>
      <w:r>
        <w:rPr>
          <w:rStyle w:val="40"/>
          <w:color w:val="auto"/>
          <w:highlight w:val="none"/>
        </w:rPr>
        <w:t>4 基本要求</w:t>
      </w:r>
      <w:r>
        <w:rPr>
          <w:color w:val="auto"/>
          <w:highlight w:val="none"/>
        </w:rPr>
        <w:tab/>
      </w:r>
      <w:r>
        <w:rPr>
          <w:color w:val="auto"/>
          <w:highlight w:val="none"/>
        </w:rPr>
        <w:fldChar w:fldCharType="begin"/>
      </w:r>
      <w:r>
        <w:rPr>
          <w:color w:val="auto"/>
          <w:highlight w:val="none"/>
        </w:rPr>
        <w:instrText xml:space="preserve"> PAGEREF _Toc204864108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"_Toc204864109" </w:instrText>
      </w:r>
      <w:r>
        <w:rPr>
          <w:color w:val="auto"/>
          <w:highlight w:val="none"/>
        </w:rPr>
        <w:fldChar w:fldCharType="separate"/>
      </w:r>
      <w:r>
        <w:rPr>
          <w:rStyle w:val="40"/>
          <w:color w:val="auto"/>
          <w:highlight w:val="none"/>
        </w:rPr>
        <w:t>5 技术要求</w:t>
      </w:r>
      <w:r>
        <w:rPr>
          <w:color w:val="auto"/>
          <w:highlight w:val="none"/>
        </w:rPr>
        <w:tab/>
      </w:r>
      <w:r>
        <w:rPr>
          <w:color w:val="auto"/>
          <w:highlight w:val="none"/>
        </w:rPr>
        <w:fldChar w:fldCharType="begin"/>
      </w:r>
      <w:r>
        <w:rPr>
          <w:color w:val="auto"/>
          <w:highlight w:val="none"/>
        </w:rPr>
        <w:instrText xml:space="preserve"> PAGEREF _Toc204864109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"_Toc204864110" </w:instrText>
      </w:r>
      <w:r>
        <w:rPr>
          <w:color w:val="auto"/>
          <w:highlight w:val="none"/>
        </w:rPr>
        <w:fldChar w:fldCharType="separate"/>
      </w:r>
      <w:r>
        <w:rPr>
          <w:rStyle w:val="40"/>
          <w:color w:val="auto"/>
          <w:highlight w:val="none"/>
        </w:rPr>
        <w:t>5.1 热源</w:t>
      </w:r>
      <w:r>
        <w:rPr>
          <w:color w:val="auto"/>
          <w:highlight w:val="none"/>
        </w:rPr>
        <w:tab/>
      </w:r>
      <w:r>
        <w:rPr>
          <w:color w:val="auto"/>
          <w:highlight w:val="none"/>
        </w:rPr>
        <w:fldChar w:fldCharType="begin"/>
      </w:r>
      <w:r>
        <w:rPr>
          <w:color w:val="auto"/>
          <w:highlight w:val="none"/>
        </w:rPr>
        <w:instrText xml:space="preserve"> PAGEREF _Toc204864110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"_Toc204864111" </w:instrText>
      </w:r>
      <w:r>
        <w:rPr>
          <w:color w:val="auto"/>
          <w:highlight w:val="none"/>
        </w:rPr>
        <w:fldChar w:fldCharType="separate"/>
      </w:r>
      <w:r>
        <w:rPr>
          <w:rStyle w:val="40"/>
          <w:color w:val="auto"/>
          <w:highlight w:val="none"/>
        </w:rPr>
        <w:t>5.2 供热管网</w:t>
      </w:r>
      <w:r>
        <w:rPr>
          <w:color w:val="auto"/>
          <w:highlight w:val="none"/>
        </w:rPr>
        <w:tab/>
      </w:r>
      <w:r>
        <w:rPr>
          <w:color w:val="auto"/>
          <w:highlight w:val="none"/>
        </w:rPr>
        <w:fldChar w:fldCharType="begin"/>
      </w:r>
      <w:r>
        <w:rPr>
          <w:color w:val="auto"/>
          <w:highlight w:val="none"/>
        </w:rPr>
        <w:instrText xml:space="preserve"> PAGEREF _Toc204864111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"_Toc204864112" </w:instrText>
      </w:r>
      <w:r>
        <w:rPr>
          <w:color w:val="auto"/>
          <w:highlight w:val="none"/>
        </w:rPr>
        <w:fldChar w:fldCharType="separate"/>
      </w:r>
      <w:r>
        <w:rPr>
          <w:rStyle w:val="40"/>
          <w:color w:val="auto"/>
          <w:highlight w:val="none"/>
        </w:rPr>
        <w:t>5.3 热力站</w:t>
      </w:r>
      <w:r>
        <w:rPr>
          <w:color w:val="auto"/>
          <w:highlight w:val="none"/>
        </w:rPr>
        <w:tab/>
      </w:r>
      <w:r>
        <w:rPr>
          <w:color w:val="auto"/>
          <w:highlight w:val="none"/>
        </w:rPr>
        <w:fldChar w:fldCharType="begin"/>
      </w:r>
      <w:r>
        <w:rPr>
          <w:color w:val="auto"/>
          <w:highlight w:val="none"/>
        </w:rPr>
        <w:instrText xml:space="preserve"> PAGEREF _Toc204864112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"_Toc204864113" </w:instrText>
      </w:r>
      <w:r>
        <w:rPr>
          <w:color w:val="auto"/>
          <w:highlight w:val="none"/>
        </w:rPr>
        <w:fldChar w:fldCharType="separate"/>
      </w:r>
      <w:r>
        <w:rPr>
          <w:rStyle w:val="40"/>
          <w:color w:val="auto"/>
          <w:highlight w:val="none"/>
        </w:rPr>
        <w:t>5.4 热用户</w:t>
      </w:r>
      <w:r>
        <w:rPr>
          <w:color w:val="auto"/>
          <w:highlight w:val="none"/>
        </w:rPr>
        <w:tab/>
      </w:r>
      <w:r>
        <w:rPr>
          <w:color w:val="auto"/>
          <w:highlight w:val="none"/>
        </w:rPr>
        <w:fldChar w:fldCharType="begin"/>
      </w:r>
      <w:r>
        <w:rPr>
          <w:color w:val="auto"/>
          <w:highlight w:val="none"/>
        </w:rPr>
        <w:instrText xml:space="preserve"> PAGEREF _Toc204864113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"_Toc204864114" </w:instrText>
      </w:r>
      <w:r>
        <w:rPr>
          <w:color w:val="auto"/>
          <w:highlight w:val="none"/>
        </w:rPr>
        <w:fldChar w:fldCharType="separate"/>
      </w:r>
      <w:r>
        <w:rPr>
          <w:rStyle w:val="40"/>
          <w:color w:val="auto"/>
          <w:highlight w:val="none"/>
        </w:rPr>
        <w:t>5.5 协同要求</w:t>
      </w:r>
      <w:r>
        <w:rPr>
          <w:color w:val="auto"/>
          <w:highlight w:val="none"/>
        </w:rPr>
        <w:tab/>
      </w:r>
      <w:r>
        <w:rPr>
          <w:color w:val="auto"/>
          <w:highlight w:val="none"/>
        </w:rPr>
        <w:fldChar w:fldCharType="begin"/>
      </w:r>
      <w:r>
        <w:rPr>
          <w:color w:val="auto"/>
          <w:highlight w:val="none"/>
        </w:rPr>
        <w:instrText xml:space="preserve"> PAGEREF _Toc204864114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"_Toc204864115" </w:instrText>
      </w:r>
      <w:r>
        <w:rPr>
          <w:color w:val="auto"/>
          <w:highlight w:val="none"/>
        </w:rPr>
        <w:fldChar w:fldCharType="separate"/>
      </w:r>
      <w:r>
        <w:rPr>
          <w:rStyle w:val="40"/>
          <w:color w:val="auto"/>
          <w:highlight w:val="none"/>
        </w:rPr>
        <w:t>6 施工调试与验收</w:t>
      </w:r>
      <w:r>
        <w:rPr>
          <w:color w:val="auto"/>
          <w:highlight w:val="none"/>
        </w:rPr>
        <w:tab/>
      </w:r>
      <w:r>
        <w:rPr>
          <w:color w:val="auto"/>
          <w:highlight w:val="none"/>
        </w:rPr>
        <w:fldChar w:fldCharType="begin"/>
      </w:r>
      <w:r>
        <w:rPr>
          <w:color w:val="auto"/>
          <w:highlight w:val="none"/>
        </w:rPr>
        <w:instrText xml:space="preserve"> PAGEREF _Toc204864115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"_Toc204864116" </w:instrText>
      </w:r>
      <w:r>
        <w:rPr>
          <w:color w:val="auto"/>
          <w:highlight w:val="none"/>
        </w:rPr>
        <w:fldChar w:fldCharType="separate"/>
      </w:r>
      <w:r>
        <w:rPr>
          <w:rStyle w:val="40"/>
          <w:color w:val="auto"/>
          <w:highlight w:val="none"/>
        </w:rPr>
        <w:t>6.1 施工</w:t>
      </w:r>
      <w:r>
        <w:rPr>
          <w:color w:val="auto"/>
          <w:highlight w:val="none"/>
        </w:rPr>
        <w:tab/>
      </w:r>
      <w:r>
        <w:rPr>
          <w:color w:val="auto"/>
          <w:highlight w:val="none"/>
        </w:rPr>
        <w:fldChar w:fldCharType="begin"/>
      </w:r>
      <w:r>
        <w:rPr>
          <w:color w:val="auto"/>
          <w:highlight w:val="none"/>
        </w:rPr>
        <w:instrText xml:space="preserve"> PAGEREF _Toc204864116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"_Toc204864117" </w:instrText>
      </w:r>
      <w:r>
        <w:rPr>
          <w:color w:val="auto"/>
          <w:highlight w:val="none"/>
        </w:rPr>
        <w:fldChar w:fldCharType="separate"/>
      </w:r>
      <w:r>
        <w:rPr>
          <w:rStyle w:val="40"/>
          <w:color w:val="auto"/>
          <w:highlight w:val="none"/>
        </w:rPr>
        <w:t>6.2 调试</w:t>
      </w:r>
      <w:r>
        <w:rPr>
          <w:color w:val="auto"/>
          <w:highlight w:val="none"/>
        </w:rPr>
        <w:tab/>
      </w:r>
      <w:r>
        <w:rPr>
          <w:color w:val="auto"/>
          <w:highlight w:val="none"/>
        </w:rPr>
        <w:fldChar w:fldCharType="begin"/>
      </w:r>
      <w:r>
        <w:rPr>
          <w:color w:val="auto"/>
          <w:highlight w:val="none"/>
        </w:rPr>
        <w:instrText xml:space="preserve"> PAGEREF _Toc204864117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"_Toc204864118" </w:instrText>
      </w:r>
      <w:r>
        <w:rPr>
          <w:color w:val="auto"/>
          <w:highlight w:val="none"/>
        </w:rPr>
        <w:fldChar w:fldCharType="separate"/>
      </w:r>
      <w:r>
        <w:rPr>
          <w:rStyle w:val="40"/>
          <w:color w:val="auto"/>
          <w:highlight w:val="none"/>
        </w:rPr>
        <w:t>6.3 验收</w:t>
      </w:r>
      <w:r>
        <w:rPr>
          <w:color w:val="auto"/>
          <w:highlight w:val="none"/>
        </w:rPr>
        <w:tab/>
      </w:r>
      <w:r>
        <w:rPr>
          <w:color w:val="auto"/>
          <w:highlight w:val="none"/>
        </w:rPr>
        <w:fldChar w:fldCharType="begin"/>
      </w:r>
      <w:r>
        <w:rPr>
          <w:color w:val="auto"/>
          <w:highlight w:val="none"/>
        </w:rPr>
        <w:instrText xml:space="preserve"> PAGEREF _Toc204864118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0"/>
        <w:spacing w:before="25" w:after="25"/>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"_Toc204864119" </w:instrText>
      </w:r>
      <w:r>
        <w:rPr>
          <w:color w:val="auto"/>
          <w:highlight w:val="none"/>
        </w:rPr>
        <w:fldChar w:fldCharType="separate"/>
      </w:r>
      <w:r>
        <w:rPr>
          <w:rStyle w:val="40"/>
          <w:color w:val="auto"/>
          <w:highlight w:val="none"/>
        </w:rPr>
        <w:t>7 运行维护</w:t>
      </w:r>
      <w:r>
        <w:rPr>
          <w:color w:val="auto"/>
          <w:highlight w:val="none"/>
        </w:rPr>
        <w:tab/>
      </w:r>
      <w:r>
        <w:rPr>
          <w:color w:val="auto"/>
          <w:highlight w:val="none"/>
        </w:rPr>
        <w:fldChar w:fldCharType="begin"/>
      </w:r>
      <w:r>
        <w:rPr>
          <w:color w:val="auto"/>
          <w:highlight w:val="none"/>
        </w:rPr>
        <w:instrText xml:space="preserve"> PAGEREF _Toc204864119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"_Toc204864120" </w:instrText>
      </w:r>
      <w:r>
        <w:rPr>
          <w:color w:val="auto"/>
          <w:highlight w:val="none"/>
        </w:rPr>
        <w:fldChar w:fldCharType="separate"/>
      </w:r>
      <w:r>
        <w:rPr>
          <w:rStyle w:val="40"/>
          <w:color w:val="auto"/>
          <w:highlight w:val="none"/>
        </w:rPr>
        <w:t>7.1 运行</w:t>
      </w:r>
      <w:r>
        <w:rPr>
          <w:color w:val="auto"/>
          <w:highlight w:val="none"/>
        </w:rPr>
        <w:tab/>
      </w:r>
      <w:r>
        <w:rPr>
          <w:color w:val="auto"/>
          <w:highlight w:val="none"/>
        </w:rPr>
        <w:fldChar w:fldCharType="begin"/>
      </w:r>
      <w:r>
        <w:rPr>
          <w:color w:val="auto"/>
          <w:highlight w:val="none"/>
        </w:rPr>
        <w:instrText xml:space="preserve"> PAGEREF _Toc204864120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
        <w:spacing w:before="25" w:after="25"/>
        <w:ind w:firstLine="210"/>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"_Toc204864121" </w:instrText>
      </w:r>
      <w:r>
        <w:rPr>
          <w:color w:val="auto"/>
          <w:highlight w:val="none"/>
        </w:rPr>
        <w:fldChar w:fldCharType="separate"/>
      </w:r>
      <w:r>
        <w:rPr>
          <w:rStyle w:val="40"/>
          <w:color w:val="auto"/>
          <w:highlight w:val="none"/>
        </w:rPr>
        <w:t>7.2 维护</w:t>
      </w:r>
      <w:r>
        <w:rPr>
          <w:color w:val="auto"/>
          <w:highlight w:val="none"/>
        </w:rPr>
        <w:tab/>
      </w:r>
      <w:r>
        <w:rPr>
          <w:color w:val="auto"/>
          <w:highlight w:val="none"/>
        </w:rPr>
        <w:fldChar w:fldCharType="begin"/>
      </w:r>
      <w:r>
        <w:rPr>
          <w:color w:val="auto"/>
          <w:highlight w:val="none"/>
        </w:rPr>
        <w:instrText xml:space="preserve"> PAGEREF _Toc204864121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1"/>
        <w:spacing w:before="78" w:after="78"/>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"_Toc204864122" </w:instrText>
      </w:r>
      <w:r>
        <w:rPr>
          <w:color w:val="auto"/>
          <w:highlight w:val="none"/>
        </w:rPr>
        <w:fldChar w:fldCharType="separate"/>
      </w:r>
      <w:r>
        <w:rPr>
          <w:rStyle w:val="40"/>
          <w:color w:val="auto"/>
          <w:highlight w:val="none"/>
        </w:rPr>
        <w:t>附　录　A （规范性） 热计量和智能化供热数据采集</w:t>
      </w:r>
      <w:r>
        <w:rPr>
          <w:color w:val="auto"/>
          <w:highlight w:val="none"/>
        </w:rPr>
        <w:tab/>
      </w:r>
      <w:r>
        <w:rPr>
          <w:color w:val="auto"/>
          <w:highlight w:val="none"/>
        </w:rPr>
        <w:fldChar w:fldCharType="begin"/>
      </w:r>
      <w:r>
        <w:rPr>
          <w:color w:val="auto"/>
          <w:highlight w:val="none"/>
        </w:rPr>
        <w:instrText xml:space="preserve"> PAGEREF _Toc204864122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21"/>
        <w:spacing w:before="78" w:after="78"/>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"_Toc204864123" </w:instrText>
      </w:r>
      <w:r>
        <w:rPr>
          <w:color w:val="auto"/>
          <w:highlight w:val="none"/>
        </w:rPr>
        <w:fldChar w:fldCharType="separate"/>
      </w:r>
      <w:r>
        <w:rPr>
          <w:rStyle w:val="40"/>
          <w:color w:val="auto"/>
          <w:highlight w:val="none"/>
        </w:rPr>
        <w:t>参考文献</w:t>
      </w:r>
      <w:r>
        <w:rPr>
          <w:color w:val="auto"/>
          <w:highlight w:val="none"/>
        </w:rPr>
        <w:tab/>
      </w:r>
      <w:r>
        <w:rPr>
          <w:color w:val="auto"/>
          <w:highlight w:val="none"/>
        </w:rPr>
        <w:fldChar w:fldCharType="begin"/>
      </w:r>
      <w:r>
        <w:rPr>
          <w:color w:val="auto"/>
          <w:highlight w:val="none"/>
        </w:rPr>
        <w:instrText xml:space="preserve"> PAGEREF _Toc204864123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25"/>
        <w:ind w:firstLine="0" w:firstLineChars="0"/>
        <w:rPr>
          <w:color w:val="auto"/>
          <w:highlight w:val="none"/>
        </w:rPr>
      </w:pPr>
      <w:r>
        <w:rPr>
          <w:color w:val="auto"/>
          <w:kern w:val="2"/>
          <w:szCs w:val="21"/>
          <w:highlight w:val="none"/>
        </w:rPr>
        <w:fldChar w:fldCharType="end"/>
      </w:r>
    </w:p>
    <w:p>
      <w:pPr>
        <w:pStyle w:val="114"/>
        <w:tabs>
          <w:tab w:val="left" w:pos="1105"/>
          <w:tab w:val="center" w:pos="4677"/>
        </w:tabs>
        <w:jc w:val="left"/>
        <w:rPr>
          <w:color w:val="auto"/>
          <w:highlight w:val="none"/>
        </w:rPr>
      </w:pPr>
      <w:r>
        <w:rPr>
          <w:color w:val="auto"/>
          <w:highlight w:val="none"/>
        </w:rPr>
        <w:tab/>
      </w:r>
      <w:r>
        <w:rPr>
          <w:color w:val="auto"/>
          <w:highlight w:val="none"/>
        </w:rPr>
        <w:tab/>
      </w:r>
      <w:bookmarkStart w:id="17" w:name="_Toc204864099"/>
      <w:r>
        <w:rPr>
          <w:rFonts w:hint="eastAsia"/>
          <w:color w:val="auto"/>
          <w:highlight w:val="none"/>
        </w:rPr>
        <w:t>前</w:t>
      </w:r>
      <w:bookmarkStart w:id="18" w:name="BKQY"/>
      <w:r>
        <w:rPr>
          <w:rFonts w:hAnsi="黑体"/>
          <w:color w:val="auto"/>
          <w:highlight w:val="none"/>
        </w:rPr>
        <w:t>  </w:t>
      </w:r>
      <w:r>
        <w:rPr>
          <w:rFonts w:hint="eastAsia"/>
          <w:color w:val="auto"/>
          <w:highlight w:val="none"/>
        </w:rPr>
        <w:t>言</w:t>
      </w:r>
      <w:bookmarkEnd w:id="17"/>
      <w:bookmarkEnd w:id="18"/>
    </w:p>
    <w:p>
      <w:pPr>
        <w:pStyle w:val="25"/>
        <w:rPr>
          <w:color w:val="auto"/>
          <w:highlight w:val="none"/>
        </w:rPr>
      </w:pPr>
      <w:r>
        <w:rPr>
          <w:rFonts w:hint="eastAsia"/>
          <w:color w:val="auto"/>
          <w:highlight w:val="none"/>
        </w:rPr>
        <w:t>本</w:t>
      </w:r>
      <w:r>
        <w:rPr>
          <w:color w:val="auto"/>
          <w:highlight w:val="none"/>
        </w:rPr>
        <w:t>文件按照</w:t>
      </w:r>
      <w:r>
        <w:rPr>
          <w:rFonts w:hint="eastAsia"/>
          <w:color w:val="auto"/>
          <w:highlight w:val="none"/>
        </w:rPr>
        <w:t>GB/T 1.1—2020《标准化</w:t>
      </w:r>
      <w:r>
        <w:rPr>
          <w:color w:val="auto"/>
          <w:highlight w:val="none"/>
        </w:rPr>
        <w:t>工作导则</w:t>
      </w:r>
      <w:r>
        <w:rPr>
          <w:rFonts w:hint="eastAsia"/>
          <w:color w:val="auto"/>
          <w:highlight w:val="none"/>
        </w:rPr>
        <w:t xml:space="preserve"> </w:t>
      </w:r>
      <w:r>
        <w:rPr>
          <w:color w:val="auto"/>
          <w:highlight w:val="none"/>
        </w:rPr>
        <w:t xml:space="preserve"> </w:t>
      </w:r>
      <w:r>
        <w:rPr>
          <w:rFonts w:hint="eastAsia"/>
          <w:color w:val="auto"/>
          <w:highlight w:val="none"/>
        </w:rPr>
        <w:t>第1部分</w:t>
      </w:r>
      <w:r>
        <w:rPr>
          <w:color w:val="auto"/>
          <w:highlight w:val="none"/>
        </w:rPr>
        <w:t>：标准化文件的结构和起草规则</w:t>
      </w:r>
      <w:r>
        <w:rPr>
          <w:rFonts w:hint="eastAsia"/>
          <w:color w:val="auto"/>
          <w:highlight w:val="none"/>
        </w:rPr>
        <w:t>》的</w:t>
      </w:r>
      <w:r>
        <w:rPr>
          <w:color w:val="auto"/>
          <w:highlight w:val="none"/>
        </w:rPr>
        <w:t>规定起草。</w:t>
      </w:r>
    </w:p>
    <w:p>
      <w:pPr>
        <w:pStyle w:val="25"/>
        <w:rPr>
          <w:color w:val="auto"/>
          <w:highlight w:val="none"/>
        </w:rPr>
      </w:pPr>
      <w:r>
        <w:rPr>
          <w:rFonts w:hint="eastAsia"/>
          <w:color w:val="auto"/>
          <w:highlight w:val="none"/>
        </w:rPr>
        <w:t>本</w:t>
      </w:r>
      <w:r>
        <w:rPr>
          <w:color w:val="auto"/>
          <w:highlight w:val="none"/>
        </w:rPr>
        <w:t>文件由</w:t>
      </w:r>
      <w:r>
        <w:rPr>
          <w:rFonts w:asciiTheme="minorEastAsia" w:hAnsiTheme="minorEastAsia" w:eastAsiaTheme="minorEastAsia"/>
          <w:color w:val="auto"/>
          <w:szCs w:val="21"/>
          <w:highlight w:val="none"/>
        </w:rPr>
        <w:t>北京市</w:t>
      </w:r>
      <w:r>
        <w:rPr>
          <w:rFonts w:hint="eastAsia" w:asciiTheme="minorEastAsia" w:hAnsiTheme="minorEastAsia" w:eastAsiaTheme="minorEastAsia"/>
          <w:color w:val="auto"/>
          <w:szCs w:val="21"/>
          <w:highlight w:val="none"/>
        </w:rPr>
        <w:t>城市管理委员会</w:t>
      </w:r>
      <w:r>
        <w:rPr>
          <w:rFonts w:hint="eastAsia"/>
          <w:color w:val="auto"/>
          <w:highlight w:val="none"/>
        </w:rPr>
        <w:t>提出并归口</w:t>
      </w:r>
      <w:r>
        <w:rPr>
          <w:color w:val="auto"/>
          <w:highlight w:val="none"/>
        </w:rPr>
        <w:t>。</w:t>
      </w:r>
    </w:p>
    <w:p>
      <w:pPr>
        <w:pStyle w:val="25"/>
        <w:rPr>
          <w:color w:val="auto"/>
          <w:highlight w:val="none"/>
        </w:rPr>
      </w:pPr>
      <w:r>
        <w:rPr>
          <w:rFonts w:hint="eastAsia"/>
          <w:color w:val="auto"/>
          <w:highlight w:val="none"/>
        </w:rPr>
        <w:t>本文件</w:t>
      </w:r>
      <w:r>
        <w:rPr>
          <w:color w:val="auto"/>
          <w:highlight w:val="none"/>
        </w:rPr>
        <w:t>由</w:t>
      </w:r>
      <w:r>
        <w:rPr>
          <w:rFonts w:asciiTheme="minorEastAsia" w:hAnsiTheme="minorEastAsia" w:eastAsiaTheme="minorEastAsia"/>
          <w:color w:val="auto"/>
          <w:szCs w:val="21"/>
          <w:highlight w:val="none"/>
        </w:rPr>
        <w:t>北京市</w:t>
      </w:r>
      <w:r>
        <w:rPr>
          <w:rFonts w:hint="eastAsia" w:asciiTheme="minorEastAsia" w:hAnsiTheme="minorEastAsia" w:eastAsiaTheme="minorEastAsia"/>
          <w:color w:val="auto"/>
          <w:szCs w:val="21"/>
          <w:highlight w:val="none"/>
        </w:rPr>
        <w:t>城市管理委员会</w:t>
      </w:r>
      <w:r>
        <w:rPr>
          <w:rFonts w:hint="eastAsia"/>
          <w:color w:val="auto"/>
          <w:highlight w:val="none"/>
        </w:rPr>
        <w:t>组织</w:t>
      </w:r>
      <w:r>
        <w:rPr>
          <w:color w:val="auto"/>
          <w:highlight w:val="none"/>
        </w:rPr>
        <w:t>实施。</w:t>
      </w:r>
    </w:p>
    <w:p>
      <w:pPr>
        <w:pStyle w:val="25"/>
        <w:rPr>
          <w:color w:val="auto"/>
          <w:highlight w:val="none"/>
        </w:rPr>
      </w:pPr>
      <w:r>
        <w:rPr>
          <w:rFonts w:hint="eastAsia"/>
          <w:color w:val="auto"/>
          <w:highlight w:val="none"/>
        </w:rPr>
        <w:t>本</w:t>
      </w:r>
      <w:r>
        <w:rPr>
          <w:color w:val="auto"/>
          <w:highlight w:val="none"/>
        </w:rPr>
        <w:t>文件起草单位：</w:t>
      </w:r>
      <w:r>
        <w:rPr>
          <w:rFonts w:hint="eastAsia" w:asciiTheme="minorEastAsia" w:hAnsiTheme="minorEastAsia" w:eastAsiaTheme="minorEastAsia"/>
          <w:color w:val="auto"/>
          <w:szCs w:val="21"/>
          <w:highlight w:val="none"/>
        </w:rPr>
        <w:t>北京市煤气热力工程设计院有限公司、北京市热力工程设计有限责任公司、北京市热力集团有限责任公司、北京市计量检测科学研究院、北京纵横热力集团、北京优奈特能源工程技术有限公司、北京北燃实业集团有限公司、北京燃气能源发展有限公司。</w:t>
      </w:r>
    </w:p>
    <w:p>
      <w:pPr>
        <w:pStyle w:val="25"/>
        <w:rPr>
          <w:color w:val="auto"/>
          <w:highlight w:val="none"/>
        </w:rPr>
      </w:pPr>
      <w:r>
        <w:rPr>
          <w:rFonts w:hint="eastAsia"/>
          <w:color w:val="auto"/>
          <w:highlight w:val="none"/>
        </w:rPr>
        <w:t>本</w:t>
      </w:r>
      <w:r>
        <w:rPr>
          <w:color w:val="auto"/>
          <w:highlight w:val="none"/>
        </w:rPr>
        <w:t>文件主要起草人：</w:t>
      </w:r>
    </w:p>
    <w:p>
      <w:pPr>
        <w:pStyle w:val="114"/>
        <w:tabs>
          <w:tab w:val="left" w:pos="653"/>
          <w:tab w:val="center" w:pos="4677"/>
        </w:tabs>
        <w:jc w:val="left"/>
        <w:rPr>
          <w:color w:val="auto"/>
          <w:highlight w:val="none"/>
        </w:rPr>
      </w:pPr>
      <w:r>
        <w:rPr>
          <w:color w:val="auto"/>
          <w:highlight w:val="none"/>
        </w:rPr>
        <w:tab/>
      </w:r>
      <w:r>
        <w:rPr>
          <w:color w:val="auto"/>
          <w:highlight w:val="none"/>
        </w:rPr>
        <w:tab/>
      </w:r>
      <w:bookmarkStart w:id="19" w:name="_Toc204864100"/>
      <w:r>
        <w:rPr>
          <w:rFonts w:hint="eastAsia"/>
          <w:color w:val="auto"/>
          <w:highlight w:val="none"/>
        </w:rPr>
        <w:t>引</w:t>
      </w:r>
      <w:bookmarkStart w:id="20" w:name="BKYY"/>
      <w:r>
        <w:rPr>
          <w:rFonts w:hAnsi="黑体"/>
          <w:color w:val="auto"/>
          <w:highlight w:val="none"/>
        </w:rPr>
        <w:t>  </w:t>
      </w:r>
      <w:r>
        <w:rPr>
          <w:rFonts w:hint="eastAsia"/>
          <w:color w:val="auto"/>
          <w:highlight w:val="none"/>
        </w:rPr>
        <w:t>言</w:t>
      </w:r>
      <w:bookmarkEnd w:id="19"/>
      <w:bookmarkEnd w:id="20"/>
    </w:p>
    <w:p>
      <w:pPr>
        <w:pStyle w:val="25"/>
        <w:rPr>
          <w:color w:val="auto"/>
          <w:highlight w:val="none"/>
        </w:rPr>
      </w:pPr>
      <w:r>
        <w:rPr>
          <w:rFonts w:hint="eastAsia"/>
          <w:color w:val="auto"/>
          <w:highlight w:val="none"/>
        </w:rPr>
        <w:t>为推进北京市供热行业高质量发展，促进供热系统节能减排，实现按需供热、绿色供热的目标，指导我市供热系统热计量和智能化系统在新建民用建筑中的实施，制定本技术规范。</w:t>
      </w:r>
    </w:p>
    <w:p>
      <w:pPr>
        <w:pStyle w:val="25"/>
        <w:rPr>
          <w:color w:val="auto"/>
          <w:highlight w:val="none"/>
        </w:rPr>
        <w:sectPr>
          <w:headerReference r:id="rId5" w:type="default"/>
          <w:footerReference r:id="rId6" w:type="default"/>
          <w:pgSz w:w="11906" w:h="16838"/>
          <w:pgMar w:top="1418" w:right="1418" w:bottom="1134" w:left="1134" w:header="1418" w:footer="1134" w:gutter="0"/>
          <w:pgNumType w:fmt="upperRoman" w:start="1"/>
          <w:cols w:space="425" w:num="1"/>
          <w:formProt w:val="0"/>
          <w:docGrid w:type="lines" w:linePitch="312" w:charSpace="0"/>
        </w:sectPr>
      </w:pPr>
    </w:p>
    <w:p>
      <w:pPr>
        <w:pStyle w:val="139"/>
        <w:rPr>
          <w:color w:val="auto"/>
          <w:highlight w:val="none"/>
        </w:rPr>
      </w:pPr>
      <w:bookmarkStart w:id="21" w:name="_Toc204864101"/>
      <w:sdt>
        <w:sdtPr>
          <w:rPr>
            <w:color w:val="auto"/>
            <w:highlight w:val="none"/>
          </w:rPr>
          <w:alias w:val="标准名称"/>
          <w:tag w:val="标准名称"/>
          <w:id w:val="1795105741"/>
          <w:lock w:val="sdtLocked"/>
          <w:placeholder>
            <w:docPart w:val="111"/>
          </w:placeholder>
          <w:text w:multiLine="1"/>
        </w:sdtPr>
        <w:sdtEndPr>
          <w:rPr>
            <w:color w:val="auto"/>
            <w:highlight w:val="none"/>
          </w:rPr>
        </w:sdtEndPr>
        <w:sdtContent>
          <w:r>
            <w:rPr>
              <w:rFonts w:hint="eastAsia"/>
              <w:color w:val="auto"/>
              <w:highlight w:val="none"/>
            </w:rPr>
            <w:t>新建建筑热计量和智能化供热系统建设技术规范</w:t>
          </w:r>
        </w:sdtContent>
      </w:sdt>
      <w:bookmarkEnd w:id="21"/>
      <w:bookmarkStart w:id="22" w:name="StandardName"/>
      <w:bookmarkEnd w:id="22"/>
    </w:p>
    <w:p>
      <w:pPr>
        <w:pStyle w:val="47"/>
        <w:spacing w:before="312" w:after="312"/>
        <w:rPr>
          <w:color w:val="auto"/>
          <w:highlight w:val="none"/>
        </w:rPr>
      </w:pPr>
      <w:bookmarkStart w:id="23" w:name="_Toc204864102"/>
      <w:r>
        <w:rPr>
          <w:rFonts w:hint="eastAsia"/>
          <w:color w:val="auto"/>
          <w:highlight w:val="none"/>
        </w:rPr>
        <w:t>范围</w:t>
      </w:r>
      <w:bookmarkEnd w:id="23"/>
    </w:p>
    <w:p>
      <w:pPr>
        <w:pStyle w:val="25"/>
        <w:rPr>
          <w:color w:val="auto"/>
          <w:highlight w:val="none"/>
        </w:rPr>
      </w:pPr>
      <w:r>
        <w:rPr>
          <w:rFonts w:hint="eastAsia"/>
          <w:color w:val="auto"/>
          <w:highlight w:val="none"/>
        </w:rPr>
        <w:t>本文件规定了集中供热中供热计量和智能化系统热源、供热管网、热力站、热用户及协同的技术要求，以及施工调试与验收、运行维护的要求。</w:t>
      </w:r>
    </w:p>
    <w:p>
      <w:pPr>
        <w:pStyle w:val="25"/>
        <w:rPr>
          <w:color w:val="auto"/>
          <w:highlight w:val="none"/>
        </w:rPr>
      </w:pPr>
      <w:r>
        <w:rPr>
          <w:rFonts w:hint="eastAsia"/>
          <w:color w:val="auto"/>
          <w:highlight w:val="none"/>
        </w:rPr>
        <w:t>本文件适用于新建民用建筑供热系统热计量和智能化系统的建设。</w:t>
      </w:r>
    </w:p>
    <w:p>
      <w:pPr>
        <w:pStyle w:val="47"/>
        <w:spacing w:before="312" w:after="312"/>
        <w:rPr>
          <w:color w:val="auto"/>
          <w:highlight w:val="none"/>
        </w:rPr>
      </w:pPr>
      <w:bookmarkStart w:id="24" w:name="_Toc204864103"/>
      <w:r>
        <w:rPr>
          <w:rFonts w:hint="eastAsia"/>
          <w:color w:val="auto"/>
          <w:highlight w:val="none"/>
        </w:rPr>
        <w:t>规范性引用文件</w:t>
      </w:r>
      <w:bookmarkEnd w:id="24"/>
    </w:p>
    <w:p>
      <w:pPr>
        <w:ind w:firstLine="420" w:firstLineChars="200"/>
        <w:rPr>
          <w:rFonts w:ascii="宋体"/>
          <w:color w:val="auto"/>
          <w:kern w:val="0"/>
          <w:szCs w:val="20"/>
          <w:highlight w:val="none"/>
        </w:rPr>
      </w:pPr>
      <w:r>
        <w:rPr>
          <w:rFonts w:hint="eastAsia" w:ascii="宋体"/>
          <w:color w:val="auto"/>
          <w:kern w:val="0"/>
          <w:szCs w:val="20"/>
          <w:highlight w:val="none"/>
        </w:rPr>
        <w:t>下列</w:t>
      </w:r>
      <w:r>
        <w:rPr>
          <w:rFonts w:ascii="宋体"/>
          <w:color w:val="auto"/>
          <w:kern w:val="0"/>
          <w:szCs w:val="20"/>
          <w:highlight w:val="none"/>
        </w:rPr>
        <w:t>文件中的内容通过文中的规范性引用而构成本文件必不可少的条款。其中</w:t>
      </w:r>
      <w:r>
        <w:rPr>
          <w:rFonts w:hint="eastAsia" w:ascii="宋体"/>
          <w:color w:val="auto"/>
          <w:kern w:val="0"/>
          <w:szCs w:val="20"/>
          <w:highlight w:val="none"/>
        </w:rPr>
        <w:t>，</w:t>
      </w:r>
      <w:r>
        <w:rPr>
          <w:rFonts w:ascii="宋体"/>
          <w:color w:val="auto"/>
          <w:kern w:val="0"/>
          <w:szCs w:val="20"/>
          <w:highlight w:val="none"/>
        </w:rPr>
        <w:t>注日期的引用文件，仅该日期对应的版本适用于本文件；不注日期的引用文件，</w:t>
      </w:r>
      <w:r>
        <w:rPr>
          <w:rFonts w:hint="eastAsia" w:ascii="宋体"/>
          <w:color w:val="auto"/>
          <w:kern w:val="0"/>
          <w:szCs w:val="20"/>
          <w:highlight w:val="none"/>
        </w:rPr>
        <w:t>其</w:t>
      </w:r>
      <w:r>
        <w:rPr>
          <w:rFonts w:ascii="宋体"/>
          <w:color w:val="auto"/>
          <w:kern w:val="0"/>
          <w:szCs w:val="20"/>
          <w:highlight w:val="none"/>
        </w:rPr>
        <w:t>最新版本（</w:t>
      </w:r>
      <w:r>
        <w:rPr>
          <w:rFonts w:hint="eastAsia" w:ascii="宋体"/>
          <w:color w:val="auto"/>
          <w:kern w:val="0"/>
          <w:szCs w:val="20"/>
          <w:highlight w:val="none"/>
        </w:rPr>
        <w:t>包括</w:t>
      </w:r>
      <w:r>
        <w:rPr>
          <w:rFonts w:ascii="宋体"/>
          <w:color w:val="auto"/>
          <w:kern w:val="0"/>
          <w:szCs w:val="20"/>
          <w:highlight w:val="none"/>
        </w:rPr>
        <w:t>所有的修改</w:t>
      </w:r>
      <w:r>
        <w:rPr>
          <w:rFonts w:hint="eastAsia" w:ascii="宋体"/>
          <w:color w:val="auto"/>
          <w:kern w:val="0"/>
          <w:szCs w:val="20"/>
          <w:highlight w:val="none"/>
        </w:rPr>
        <w:t>单</w:t>
      </w:r>
      <w:r>
        <w:rPr>
          <w:rFonts w:ascii="宋体"/>
          <w:color w:val="auto"/>
          <w:kern w:val="0"/>
          <w:szCs w:val="20"/>
          <w:highlight w:val="none"/>
        </w:rPr>
        <w:t>）</w:t>
      </w:r>
      <w:r>
        <w:rPr>
          <w:rFonts w:hint="eastAsia" w:ascii="宋体"/>
          <w:color w:val="auto"/>
          <w:kern w:val="0"/>
          <w:szCs w:val="20"/>
          <w:highlight w:val="none"/>
        </w:rPr>
        <w:t>适用于</w:t>
      </w:r>
      <w:r>
        <w:rPr>
          <w:rFonts w:ascii="宋体"/>
          <w:color w:val="auto"/>
          <w:kern w:val="0"/>
          <w:szCs w:val="20"/>
          <w:highlight w:val="none"/>
        </w:rPr>
        <w:t>本文件。</w:t>
      </w:r>
    </w:p>
    <w:p>
      <w:pPr>
        <w:pStyle w:val="25"/>
        <w:rPr>
          <w:color w:val="auto"/>
          <w:highlight w:val="none"/>
        </w:rPr>
      </w:pPr>
      <w:r>
        <w:rPr>
          <w:rFonts w:hint="eastAsia"/>
          <w:color w:val="auto"/>
          <w:highlight w:val="none"/>
        </w:rPr>
        <w:t>GB/T</w:t>
      </w:r>
      <w:r>
        <w:rPr>
          <w:color w:val="auto"/>
          <w:highlight w:val="none"/>
        </w:rPr>
        <w:t xml:space="preserve"> </w:t>
      </w:r>
      <w:r>
        <w:rPr>
          <w:rFonts w:hint="eastAsia"/>
          <w:color w:val="auto"/>
          <w:highlight w:val="none"/>
        </w:rPr>
        <w:t>14394</w:t>
      </w:r>
      <w:r>
        <w:rPr>
          <w:color w:val="auto"/>
          <w:highlight w:val="none"/>
        </w:rPr>
        <w:t xml:space="preserve">  </w:t>
      </w:r>
      <w:r>
        <w:rPr>
          <w:rFonts w:hint="eastAsia"/>
          <w:color w:val="auto"/>
          <w:highlight w:val="none"/>
        </w:rPr>
        <w:t>计算机软件可靠性和可维护性管理</w:t>
      </w:r>
    </w:p>
    <w:p>
      <w:pPr>
        <w:pStyle w:val="25"/>
        <w:rPr>
          <w:color w:val="auto"/>
          <w:highlight w:val="none"/>
        </w:rPr>
      </w:pPr>
      <w:r>
        <w:rPr>
          <w:rFonts w:hint="eastAsia"/>
          <w:color w:val="auto"/>
          <w:highlight w:val="none"/>
        </w:rPr>
        <w:t>GB/T</w:t>
      </w:r>
      <w:r>
        <w:rPr>
          <w:color w:val="auto"/>
          <w:highlight w:val="none"/>
        </w:rPr>
        <w:t xml:space="preserve"> </w:t>
      </w:r>
      <w:r>
        <w:rPr>
          <w:rFonts w:hint="eastAsia"/>
          <w:color w:val="auto"/>
          <w:highlight w:val="none"/>
        </w:rPr>
        <w:t>16260</w:t>
      </w:r>
      <w:r>
        <w:rPr>
          <w:color w:val="auto"/>
          <w:highlight w:val="none"/>
        </w:rPr>
        <w:t xml:space="preserve">  </w:t>
      </w:r>
      <w:r>
        <w:rPr>
          <w:rFonts w:hint="eastAsia"/>
          <w:color w:val="auto"/>
          <w:highlight w:val="none"/>
        </w:rPr>
        <w:t>软件工程</w:t>
      </w:r>
      <w:r>
        <w:rPr>
          <w:color w:val="auto"/>
          <w:highlight w:val="none"/>
        </w:rPr>
        <w:t xml:space="preserve">  </w:t>
      </w:r>
      <w:r>
        <w:rPr>
          <w:rFonts w:hint="eastAsia"/>
          <w:color w:val="auto"/>
          <w:highlight w:val="none"/>
        </w:rPr>
        <w:t>产品质量</w:t>
      </w:r>
    </w:p>
    <w:p>
      <w:pPr>
        <w:pStyle w:val="25"/>
        <w:rPr>
          <w:color w:val="auto"/>
          <w:highlight w:val="none"/>
        </w:rPr>
      </w:pPr>
      <w:r>
        <w:rPr>
          <w:color w:val="auto"/>
          <w:highlight w:val="none"/>
        </w:rPr>
        <w:t xml:space="preserve">GB 17167  </w:t>
      </w:r>
      <w:r>
        <w:rPr>
          <w:rFonts w:hint="eastAsia"/>
          <w:color w:val="auto"/>
          <w:highlight w:val="none"/>
        </w:rPr>
        <w:t>用能单位能源计量器具配备和管理通则</w:t>
      </w:r>
    </w:p>
    <w:p>
      <w:pPr>
        <w:pStyle w:val="25"/>
        <w:rPr>
          <w:color w:val="auto"/>
          <w:highlight w:val="none"/>
        </w:rPr>
      </w:pPr>
      <w:r>
        <w:rPr>
          <w:rFonts w:hint="eastAsia"/>
          <w:color w:val="auto"/>
          <w:highlight w:val="none"/>
        </w:rPr>
        <w:t>GB/T</w:t>
      </w:r>
      <w:r>
        <w:rPr>
          <w:color w:val="auto"/>
          <w:highlight w:val="none"/>
        </w:rPr>
        <w:t xml:space="preserve"> </w:t>
      </w:r>
      <w:r>
        <w:rPr>
          <w:rFonts w:hint="eastAsia"/>
          <w:color w:val="auto"/>
          <w:highlight w:val="none"/>
        </w:rPr>
        <w:t>22239</w:t>
      </w:r>
      <w:r>
        <w:rPr>
          <w:color w:val="auto"/>
          <w:highlight w:val="none"/>
        </w:rPr>
        <w:t xml:space="preserve">  </w:t>
      </w:r>
      <w:r>
        <w:rPr>
          <w:rFonts w:hint="eastAsia"/>
          <w:color w:val="auto"/>
          <w:highlight w:val="none"/>
        </w:rPr>
        <w:t>信息安全技术</w:t>
      </w:r>
      <w:r>
        <w:rPr>
          <w:color w:val="auto"/>
          <w:highlight w:val="none"/>
        </w:rPr>
        <w:t xml:space="preserve">  </w:t>
      </w:r>
      <w:r>
        <w:rPr>
          <w:rFonts w:hint="eastAsia"/>
          <w:color w:val="auto"/>
          <w:highlight w:val="none"/>
        </w:rPr>
        <w:t>网络安全等级保护基本要求</w:t>
      </w:r>
    </w:p>
    <w:p>
      <w:pPr>
        <w:pStyle w:val="25"/>
        <w:rPr>
          <w:color w:val="auto"/>
          <w:highlight w:val="none"/>
        </w:rPr>
      </w:pPr>
      <w:r>
        <w:rPr>
          <w:color w:val="auto"/>
          <w:highlight w:val="none"/>
        </w:rPr>
        <w:t xml:space="preserve">GB 50093  </w:t>
      </w:r>
      <w:r>
        <w:rPr>
          <w:rFonts w:hint="eastAsia"/>
          <w:color w:val="auto"/>
          <w:highlight w:val="none"/>
        </w:rPr>
        <w:t>自动化仪表工程施工及质量验收规范</w:t>
      </w:r>
    </w:p>
    <w:p>
      <w:pPr>
        <w:pStyle w:val="25"/>
        <w:rPr>
          <w:color w:val="auto"/>
          <w:highlight w:val="none"/>
        </w:rPr>
      </w:pPr>
      <w:r>
        <w:rPr>
          <w:color w:val="auto"/>
          <w:highlight w:val="none"/>
        </w:rPr>
        <w:t xml:space="preserve">GB 50168  </w:t>
      </w:r>
      <w:r>
        <w:rPr>
          <w:rFonts w:hint="eastAsia"/>
          <w:color w:val="auto"/>
          <w:highlight w:val="none"/>
        </w:rPr>
        <w:t>电气装置安装工程电缆线路施工及验收标准</w:t>
      </w:r>
    </w:p>
    <w:p>
      <w:pPr>
        <w:pStyle w:val="25"/>
        <w:rPr>
          <w:color w:val="auto"/>
          <w:highlight w:val="none"/>
        </w:rPr>
      </w:pPr>
      <w:r>
        <w:rPr>
          <w:color w:val="auto"/>
          <w:highlight w:val="none"/>
        </w:rPr>
        <w:t xml:space="preserve">GB 50254  </w:t>
      </w:r>
      <w:r>
        <w:rPr>
          <w:rFonts w:hint="eastAsia"/>
          <w:color w:val="auto"/>
          <w:highlight w:val="none"/>
        </w:rPr>
        <w:t>电气装置安装工程低压电器施工及验收规范</w:t>
      </w:r>
    </w:p>
    <w:p>
      <w:pPr>
        <w:pStyle w:val="25"/>
        <w:rPr>
          <w:color w:val="auto"/>
          <w:highlight w:val="none"/>
        </w:rPr>
      </w:pPr>
      <w:r>
        <w:rPr>
          <w:color w:val="auto"/>
          <w:highlight w:val="none"/>
        </w:rPr>
        <w:t xml:space="preserve">GB 50303  </w:t>
      </w:r>
      <w:r>
        <w:rPr>
          <w:rFonts w:hint="eastAsia"/>
          <w:color w:val="auto"/>
          <w:highlight w:val="none"/>
        </w:rPr>
        <w:t>建筑电气工程施工质量验收规范</w:t>
      </w:r>
    </w:p>
    <w:p>
      <w:pPr>
        <w:pStyle w:val="25"/>
        <w:rPr>
          <w:color w:val="auto"/>
          <w:highlight w:val="none"/>
        </w:rPr>
      </w:pPr>
      <w:r>
        <w:rPr>
          <w:rFonts w:hint="eastAsia"/>
          <w:color w:val="auto"/>
          <w:highlight w:val="none"/>
        </w:rPr>
        <w:t>GB</w:t>
      </w:r>
      <w:r>
        <w:rPr>
          <w:color w:val="auto"/>
          <w:highlight w:val="none"/>
        </w:rPr>
        <w:t xml:space="preserve"> </w:t>
      </w:r>
      <w:r>
        <w:rPr>
          <w:rFonts w:hint="eastAsia"/>
          <w:color w:val="auto"/>
          <w:highlight w:val="none"/>
        </w:rPr>
        <w:t>50411</w:t>
      </w:r>
      <w:r>
        <w:rPr>
          <w:color w:val="auto"/>
          <w:highlight w:val="none"/>
        </w:rPr>
        <w:t xml:space="preserve">  </w:t>
      </w:r>
      <w:r>
        <w:rPr>
          <w:rFonts w:hint="eastAsia"/>
          <w:color w:val="auto"/>
          <w:highlight w:val="none"/>
        </w:rPr>
        <w:t>建筑节能工程施工质量验收规范</w:t>
      </w:r>
    </w:p>
    <w:p>
      <w:pPr>
        <w:pStyle w:val="25"/>
        <w:rPr>
          <w:color w:val="auto"/>
          <w:highlight w:val="none"/>
        </w:rPr>
      </w:pPr>
      <w:r>
        <w:rPr>
          <w:color w:val="auto"/>
          <w:highlight w:val="none"/>
        </w:rPr>
        <w:t xml:space="preserve">CJJ 28  </w:t>
      </w:r>
      <w:r>
        <w:rPr>
          <w:rFonts w:hint="eastAsia"/>
          <w:color w:val="auto"/>
          <w:highlight w:val="none"/>
        </w:rPr>
        <w:t>城镇供热管网工程施工及验收规范</w:t>
      </w:r>
    </w:p>
    <w:p>
      <w:pPr>
        <w:pStyle w:val="25"/>
        <w:rPr>
          <w:color w:val="auto"/>
          <w:highlight w:val="none"/>
        </w:rPr>
      </w:pPr>
      <w:r>
        <w:rPr>
          <w:color w:val="auto"/>
          <w:highlight w:val="none"/>
        </w:rPr>
        <w:t xml:space="preserve">CJJ/T </w:t>
      </w:r>
      <w:r>
        <w:rPr>
          <w:rFonts w:hint="eastAsia"/>
          <w:color w:val="auto"/>
          <w:highlight w:val="none"/>
        </w:rPr>
        <w:t>223</w:t>
      </w:r>
      <w:r>
        <w:rPr>
          <w:color w:val="auto"/>
          <w:highlight w:val="none"/>
        </w:rPr>
        <w:t xml:space="preserve">  </w:t>
      </w:r>
      <w:r>
        <w:rPr>
          <w:rFonts w:hint="eastAsia"/>
          <w:color w:val="auto"/>
          <w:highlight w:val="none"/>
        </w:rPr>
        <w:t>供热计量系统运行技术规程</w:t>
      </w:r>
    </w:p>
    <w:p>
      <w:pPr>
        <w:pStyle w:val="25"/>
        <w:rPr>
          <w:color w:val="auto"/>
          <w:highlight w:val="none"/>
        </w:rPr>
      </w:pPr>
      <w:r>
        <w:rPr>
          <w:rFonts w:hint="eastAsia"/>
          <w:color w:val="auto"/>
          <w:highlight w:val="none"/>
        </w:rPr>
        <w:t>JJG</w:t>
      </w:r>
      <w:r>
        <w:rPr>
          <w:color w:val="auto"/>
          <w:highlight w:val="none"/>
        </w:rPr>
        <w:t xml:space="preserve"> </w:t>
      </w:r>
      <w:r>
        <w:rPr>
          <w:rFonts w:hint="eastAsia"/>
          <w:color w:val="auto"/>
          <w:highlight w:val="none"/>
        </w:rPr>
        <w:t>225</w:t>
      </w:r>
      <w:r>
        <w:rPr>
          <w:color w:val="auto"/>
          <w:highlight w:val="none"/>
        </w:rPr>
        <w:t xml:space="preserve">  </w:t>
      </w:r>
      <w:r>
        <w:rPr>
          <w:rFonts w:hint="eastAsia"/>
          <w:color w:val="auto"/>
          <w:highlight w:val="none"/>
        </w:rPr>
        <w:t>热量表检定规程</w:t>
      </w:r>
    </w:p>
    <w:p>
      <w:pPr>
        <w:pStyle w:val="25"/>
        <w:rPr>
          <w:color w:val="auto"/>
          <w:highlight w:val="none"/>
        </w:rPr>
      </w:pPr>
      <w:r>
        <w:rPr>
          <w:color w:val="auto"/>
          <w:highlight w:val="none"/>
        </w:rPr>
        <w:t>DB11/T  1775</w:t>
      </w:r>
      <w:r>
        <w:rPr>
          <w:rFonts w:hint="eastAsia"/>
          <w:color w:val="auto"/>
          <w:highlight w:val="none"/>
        </w:rPr>
        <w:t>供热采暖系统水处理规程</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2035供暖民用建筑室温无线采集系统技术要求</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2106.1供热系统智能化改造技术规程</w:t>
      </w:r>
      <w:r>
        <w:rPr>
          <w:color w:val="auto"/>
          <w:highlight w:val="none"/>
        </w:rPr>
        <w:t xml:space="preserve">  </w:t>
      </w:r>
      <w:r>
        <w:rPr>
          <w:rFonts w:hint="eastAsia"/>
          <w:color w:val="auto"/>
          <w:highlight w:val="none"/>
        </w:rPr>
        <w:t>第1部分：热源、热网和热力站</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2106.2供热系统智能化改造技术规程</w:t>
      </w:r>
      <w:r>
        <w:rPr>
          <w:color w:val="auto"/>
          <w:highlight w:val="none"/>
        </w:rPr>
        <w:t xml:space="preserve">  </w:t>
      </w:r>
      <w:r>
        <w:rPr>
          <w:rFonts w:hint="eastAsia"/>
          <w:color w:val="auto"/>
          <w:highlight w:val="none"/>
        </w:rPr>
        <w:t>第2部分：热用户</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2106.3供热系统智能化改造技术规程</w:t>
      </w:r>
      <w:r>
        <w:rPr>
          <w:color w:val="auto"/>
          <w:highlight w:val="none"/>
        </w:rPr>
        <w:t xml:space="preserve">  </w:t>
      </w:r>
      <w:r>
        <w:rPr>
          <w:rFonts w:hint="eastAsia"/>
          <w:color w:val="auto"/>
          <w:highlight w:val="none"/>
        </w:rPr>
        <w:t>第3部分：验收与评估</w:t>
      </w:r>
    </w:p>
    <w:p>
      <w:pPr>
        <w:pStyle w:val="25"/>
        <w:rPr>
          <w:color w:val="auto"/>
          <w:highlight w:val="none"/>
        </w:rPr>
      </w:pPr>
      <w:r>
        <w:rPr>
          <w:color w:val="auto"/>
          <w:highlight w:val="none"/>
        </w:rPr>
        <w:t>DB</w:t>
      </w:r>
      <w:r>
        <w:rPr>
          <w:rFonts w:hint="eastAsia"/>
          <w:color w:val="auto"/>
          <w:highlight w:val="none"/>
        </w:rPr>
        <w:t>11/T</w:t>
      </w:r>
      <w:r>
        <w:rPr>
          <w:color w:val="auto"/>
          <w:highlight w:val="none"/>
        </w:rPr>
        <w:t xml:space="preserve">  </w:t>
      </w:r>
      <w:r>
        <w:rPr>
          <w:rFonts w:hint="eastAsia"/>
          <w:color w:val="auto"/>
          <w:highlight w:val="none"/>
        </w:rPr>
        <w:t>2107供热系统智能化数据采集及通信规范</w:t>
      </w:r>
    </w:p>
    <w:p>
      <w:pPr>
        <w:pStyle w:val="47"/>
        <w:spacing w:before="312" w:after="312"/>
        <w:rPr>
          <w:color w:val="auto"/>
          <w:highlight w:val="none"/>
        </w:rPr>
      </w:pPr>
      <w:bookmarkStart w:id="25" w:name="_Toc204864104"/>
      <w:r>
        <w:rPr>
          <w:rFonts w:hint="eastAsia"/>
          <w:color w:val="auto"/>
          <w:highlight w:val="none"/>
        </w:rPr>
        <w:t>术语</w:t>
      </w:r>
      <w:r>
        <w:rPr>
          <w:color w:val="auto"/>
          <w:highlight w:val="none"/>
        </w:rPr>
        <w:t>和定义</w:t>
      </w:r>
      <w:bookmarkEnd w:id="25"/>
    </w:p>
    <w:p>
      <w:pPr>
        <w:pStyle w:val="25"/>
        <w:rPr>
          <w:color w:val="auto"/>
          <w:highlight w:val="none"/>
        </w:rPr>
      </w:pPr>
      <w:r>
        <w:rPr>
          <w:rFonts w:hint="eastAsia"/>
          <w:color w:val="auto"/>
          <w:highlight w:val="none"/>
        </w:rPr>
        <w:t>下列</w:t>
      </w:r>
      <w:r>
        <w:rPr>
          <w:color w:val="auto"/>
          <w:highlight w:val="none"/>
        </w:rPr>
        <w:t>术语和定义适用于本文件。</w:t>
      </w:r>
    </w:p>
    <w:p>
      <w:pPr>
        <w:pStyle w:val="47"/>
        <w:numPr>
          <w:ilvl w:val="0"/>
          <w:numId w:val="0"/>
        </w:numPr>
        <w:spacing w:before="156" w:beforeLines="50" w:after="156" w:afterLines="50"/>
        <w:rPr>
          <w:color w:val="auto"/>
          <w:highlight w:val="none"/>
        </w:rPr>
      </w:pPr>
      <w:bookmarkStart w:id="26" w:name="_Toc204864105"/>
      <w:r>
        <w:rPr>
          <w:rFonts w:hint="eastAsia"/>
          <w:color w:val="auto"/>
          <w:highlight w:val="none"/>
        </w:rPr>
        <w:t>3.1</w:t>
      </w:r>
      <w:bookmarkEnd w:id="26"/>
    </w:p>
    <w:p>
      <w:pPr>
        <w:pStyle w:val="25"/>
        <w:rPr>
          <w:rFonts w:ascii="黑体" w:hAnsi="黑体" w:eastAsia="黑体"/>
          <w:color w:val="auto"/>
          <w:highlight w:val="none"/>
        </w:rPr>
      </w:pPr>
      <w:bookmarkStart w:id="27" w:name="_Toc204694813"/>
      <w:bookmarkStart w:id="28" w:name="_Toc195774822"/>
      <w:bookmarkStart w:id="29" w:name="_Toc203956807"/>
      <w:bookmarkStart w:id="30" w:name="_Toc195974297"/>
      <w:bookmarkStart w:id="31" w:name="_Toc200379810"/>
      <w:r>
        <w:rPr>
          <w:rFonts w:hint="eastAsia" w:ascii="黑体" w:hAnsi="黑体" w:eastAsia="黑体"/>
          <w:color w:val="auto"/>
          <w:highlight w:val="none"/>
        </w:rPr>
        <w:t xml:space="preserve">热计量和智能化系统 </w:t>
      </w:r>
      <w:r>
        <w:rPr>
          <w:rFonts w:ascii="黑体" w:hAnsi="黑体" w:eastAsia="黑体"/>
          <w:color w:val="auto"/>
          <w:highlight w:val="none"/>
        </w:rPr>
        <w:t>heat metering</w:t>
      </w:r>
      <w:r>
        <w:rPr>
          <w:rFonts w:hint="eastAsia" w:ascii="黑体" w:hAnsi="黑体" w:eastAsia="黑体"/>
          <w:color w:val="auto"/>
          <w:highlight w:val="none"/>
        </w:rPr>
        <w:t xml:space="preserve"> and i</w:t>
      </w:r>
      <w:r>
        <w:rPr>
          <w:rFonts w:ascii="黑体" w:hAnsi="黑体" w:eastAsia="黑体"/>
          <w:color w:val="auto"/>
          <w:highlight w:val="none"/>
        </w:rPr>
        <w:t>ntelligent system</w:t>
      </w:r>
      <w:bookmarkEnd w:id="27"/>
      <w:bookmarkEnd w:id="28"/>
      <w:bookmarkEnd w:id="29"/>
      <w:bookmarkEnd w:id="30"/>
      <w:bookmarkEnd w:id="31"/>
    </w:p>
    <w:p>
      <w:pPr>
        <w:pStyle w:val="25"/>
        <w:rPr>
          <w:rFonts w:ascii="黑体" w:hAnsi="黑体" w:eastAsia="黑体"/>
          <w:color w:val="auto"/>
          <w:highlight w:val="none"/>
        </w:rPr>
      </w:pPr>
    </w:p>
    <w:p>
      <w:pPr>
        <w:ind w:firstLine="420"/>
        <w:rPr>
          <w:color w:val="auto"/>
          <w:highlight w:val="none"/>
        </w:rPr>
      </w:pPr>
      <w:bookmarkStart w:id="32" w:name="_Toc203956808"/>
      <w:r>
        <w:rPr>
          <w:rFonts w:hint="eastAsia"/>
          <w:color w:val="auto"/>
          <w:highlight w:val="none"/>
        </w:rPr>
        <w:t>集中供热系统热量计量仪表以及用于供热量调节、水力调控、室温控制等智能化调控系统总称。</w:t>
      </w:r>
      <w:bookmarkEnd w:id="32"/>
      <w:bookmarkStart w:id="33" w:name="_Toc200379811"/>
      <w:bookmarkEnd w:id="33"/>
      <w:bookmarkStart w:id="34" w:name="_Toc195774827"/>
      <w:bookmarkEnd w:id="34"/>
      <w:bookmarkStart w:id="35" w:name="_Toc195974300"/>
      <w:bookmarkEnd w:id="35"/>
      <w:bookmarkStart w:id="36" w:name="_Toc195974302"/>
      <w:bookmarkEnd w:id="36"/>
      <w:bookmarkStart w:id="37" w:name="_Toc195774823"/>
      <w:bookmarkEnd w:id="37"/>
      <w:bookmarkStart w:id="38" w:name="_Toc195774825"/>
      <w:bookmarkEnd w:id="38"/>
      <w:bookmarkStart w:id="39" w:name="_Toc195974298"/>
      <w:bookmarkEnd w:id="39"/>
      <w:bookmarkStart w:id="40" w:name="_Toc203956809"/>
      <w:bookmarkEnd w:id="40"/>
    </w:p>
    <w:p>
      <w:pPr>
        <w:pStyle w:val="47"/>
        <w:numPr>
          <w:ilvl w:val="0"/>
          <w:numId w:val="0"/>
        </w:numPr>
        <w:spacing w:before="156" w:beforeLines="50" w:after="156" w:afterLines="50"/>
        <w:rPr>
          <w:color w:val="auto"/>
          <w:highlight w:val="none"/>
        </w:rPr>
      </w:pPr>
      <w:bookmarkStart w:id="41" w:name="_Toc204864106"/>
      <w:r>
        <w:rPr>
          <w:rFonts w:hint="eastAsia"/>
          <w:color w:val="auto"/>
          <w:highlight w:val="none"/>
        </w:rPr>
        <w:t>3.</w:t>
      </w:r>
      <w:r>
        <w:rPr>
          <w:color w:val="auto"/>
          <w:highlight w:val="none"/>
        </w:rPr>
        <w:t>2</w:t>
      </w:r>
      <w:bookmarkEnd w:id="41"/>
    </w:p>
    <w:p>
      <w:pPr>
        <w:pStyle w:val="25"/>
        <w:rPr>
          <w:rFonts w:ascii="黑体" w:hAnsi="黑体" w:eastAsia="黑体"/>
          <w:color w:val="auto"/>
          <w:highlight w:val="none"/>
        </w:rPr>
      </w:pPr>
      <w:bookmarkStart w:id="42" w:name="_Toc204694815"/>
      <w:r>
        <w:rPr>
          <w:rFonts w:hint="eastAsia" w:ascii="黑体" w:hAnsi="黑体" w:eastAsia="黑体"/>
          <w:color w:val="auto"/>
          <w:highlight w:val="none"/>
        </w:rPr>
        <w:t>智能监控管理平台</w:t>
      </w:r>
      <w:r>
        <w:rPr>
          <w:rFonts w:ascii="黑体" w:hAnsi="黑体" w:eastAsia="黑体"/>
          <w:color w:val="auto"/>
          <w:highlight w:val="none"/>
        </w:rPr>
        <w:t xml:space="preserve"> intelligent monitoring and management platform</w:t>
      </w:r>
      <w:bookmarkEnd w:id="42"/>
    </w:p>
    <w:p>
      <w:pPr>
        <w:ind w:firstLine="420"/>
        <w:rPr>
          <w:color w:val="auto"/>
          <w:highlight w:val="none"/>
        </w:rPr>
      </w:pPr>
      <w:r>
        <w:rPr>
          <w:rFonts w:hint="eastAsia"/>
          <w:color w:val="auto"/>
          <w:highlight w:val="none"/>
        </w:rPr>
        <w:t>通过建立覆盖供热系统的热源、热网、热力站及热用户全面感知软硬件设施，利用数字孪生、物联网、大数据、云计算、人工智能等信息技术，实现供热系统生产、管理、用户服务等功能的监控管理平台。</w:t>
      </w:r>
    </w:p>
    <w:p>
      <w:pPr>
        <w:pStyle w:val="47"/>
        <w:numPr>
          <w:ilvl w:val="0"/>
          <w:numId w:val="0"/>
        </w:numPr>
        <w:spacing w:before="156" w:beforeLines="50" w:after="156" w:afterLines="50"/>
        <w:rPr>
          <w:color w:val="auto"/>
          <w:highlight w:val="none"/>
        </w:rPr>
      </w:pPr>
      <w:bookmarkStart w:id="43" w:name="_Toc204864107"/>
      <w:r>
        <w:rPr>
          <w:rFonts w:hint="eastAsia"/>
          <w:color w:val="auto"/>
          <w:highlight w:val="none"/>
        </w:rPr>
        <w:t>3</w:t>
      </w:r>
      <w:r>
        <w:rPr>
          <w:color w:val="auto"/>
          <w:highlight w:val="none"/>
        </w:rPr>
        <w:t>.3</w:t>
      </w:r>
      <w:bookmarkEnd w:id="43"/>
    </w:p>
    <w:p>
      <w:pPr>
        <w:pStyle w:val="25"/>
        <w:rPr>
          <w:rFonts w:ascii="黑体" w:hAnsi="黑体" w:eastAsia="黑体"/>
          <w:color w:val="auto"/>
          <w:highlight w:val="none"/>
        </w:rPr>
      </w:pPr>
      <w:bookmarkStart w:id="44" w:name="_Toc204694817"/>
      <w:bookmarkStart w:id="45" w:name="_Toc203956812"/>
      <w:bookmarkStart w:id="46" w:name="_Toc195774836"/>
      <w:bookmarkStart w:id="47" w:name="_Toc195974311"/>
      <w:bookmarkStart w:id="48" w:name="_Toc200379814"/>
      <w:r>
        <w:rPr>
          <w:rFonts w:hint="eastAsia" w:ascii="黑体" w:hAnsi="黑体" w:eastAsia="黑体"/>
          <w:color w:val="auto"/>
          <w:highlight w:val="none"/>
        </w:rPr>
        <w:t>智能设备</w:t>
      </w:r>
      <w:r>
        <w:rPr>
          <w:rFonts w:ascii="黑体" w:hAnsi="黑体" w:eastAsia="黑体"/>
          <w:color w:val="auto"/>
          <w:highlight w:val="none"/>
        </w:rPr>
        <w:t>intelligent device</w:t>
      </w:r>
      <w:bookmarkEnd w:id="44"/>
      <w:bookmarkEnd w:id="45"/>
      <w:bookmarkEnd w:id="46"/>
      <w:bookmarkEnd w:id="47"/>
      <w:bookmarkEnd w:id="48"/>
    </w:p>
    <w:p>
      <w:pPr>
        <w:ind w:firstLine="420"/>
        <w:rPr>
          <w:color w:val="auto"/>
          <w:highlight w:val="none"/>
        </w:rPr>
      </w:pPr>
      <w:r>
        <w:rPr>
          <w:rFonts w:hint="eastAsia"/>
          <w:color w:val="auto"/>
          <w:highlight w:val="none"/>
        </w:rPr>
        <w:t>实现供热系统的物理感知、数据采集、数据通信、数据处理和驱动执行功能需求的设备的总称。</w:t>
      </w:r>
    </w:p>
    <w:p>
      <w:pPr>
        <w:pStyle w:val="25"/>
        <w:rPr>
          <w:color w:val="auto"/>
          <w:highlight w:val="none"/>
        </w:rPr>
      </w:pPr>
      <w:r>
        <w:rPr>
          <w:rFonts w:hint="eastAsia"/>
          <w:color w:val="auto"/>
          <w:highlight w:val="none"/>
        </w:rPr>
        <w:t>[来源：</w:t>
      </w:r>
      <w:r>
        <w:rPr>
          <w:color w:val="auto"/>
          <w:highlight w:val="none"/>
        </w:rPr>
        <w:t>DB11/T 2106.1</w:t>
      </w:r>
      <w:r>
        <w:rPr>
          <w:rFonts w:hint="eastAsia"/>
          <w:color w:val="auto"/>
          <w:highlight w:val="none"/>
        </w:rPr>
        <w:t>-2023,</w:t>
      </w:r>
      <w:r>
        <w:rPr>
          <w:color w:val="auto"/>
          <w:highlight w:val="none"/>
        </w:rPr>
        <w:t>3.4</w:t>
      </w:r>
      <w:r>
        <w:rPr>
          <w:rFonts w:hint="eastAsia"/>
          <w:color w:val="auto"/>
          <w:highlight w:val="none"/>
        </w:rPr>
        <w:t>，有修改]</w:t>
      </w:r>
    </w:p>
    <w:p>
      <w:pPr>
        <w:pStyle w:val="47"/>
        <w:spacing w:before="312" w:after="312"/>
        <w:rPr>
          <w:color w:val="auto"/>
          <w:highlight w:val="none"/>
        </w:rPr>
      </w:pPr>
      <w:bookmarkStart w:id="49" w:name="_Toc204864108"/>
      <w:r>
        <w:rPr>
          <w:rFonts w:hint="eastAsia"/>
          <w:color w:val="auto"/>
          <w:highlight w:val="none"/>
        </w:rPr>
        <w:t>基本要求</w:t>
      </w:r>
      <w:bookmarkEnd w:id="49"/>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供热计量和</w:t>
      </w:r>
      <w:r>
        <w:rPr>
          <w:rFonts w:asciiTheme="minorEastAsia" w:hAnsiTheme="minorEastAsia" w:eastAsiaTheme="minorEastAsia"/>
          <w:color w:val="auto"/>
          <w:highlight w:val="none"/>
        </w:rPr>
        <w:t>智能化</w:t>
      </w:r>
      <w:r>
        <w:rPr>
          <w:rFonts w:hint="eastAsia" w:asciiTheme="minorEastAsia" w:hAnsiTheme="minorEastAsia" w:eastAsiaTheme="minorEastAsia"/>
          <w:color w:val="auto"/>
          <w:highlight w:val="none"/>
        </w:rPr>
        <w:t>系统</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应结合</w:t>
      </w:r>
      <w:r>
        <w:rPr>
          <w:rFonts w:asciiTheme="minorEastAsia" w:hAnsiTheme="minorEastAsia" w:eastAsiaTheme="minorEastAsia"/>
          <w:color w:val="auto"/>
          <w:highlight w:val="none"/>
        </w:rPr>
        <w:t>工程规模、热源</w:t>
      </w:r>
      <w:r>
        <w:rPr>
          <w:rFonts w:hint="eastAsia" w:asciiTheme="minorEastAsia" w:hAnsiTheme="minorEastAsia" w:eastAsiaTheme="minorEastAsia"/>
          <w:color w:val="auto"/>
          <w:highlight w:val="none"/>
        </w:rPr>
        <w:t>构成、</w:t>
      </w:r>
      <w:r>
        <w:rPr>
          <w:rFonts w:asciiTheme="minorEastAsia" w:hAnsiTheme="minorEastAsia" w:eastAsiaTheme="minorEastAsia"/>
          <w:color w:val="auto"/>
          <w:highlight w:val="none"/>
        </w:rPr>
        <w:t>输配系统形式、</w:t>
      </w:r>
      <w:r>
        <w:rPr>
          <w:rFonts w:hint="eastAsia" w:asciiTheme="minorEastAsia" w:hAnsiTheme="minorEastAsia" w:eastAsiaTheme="minorEastAsia"/>
          <w:color w:val="auto"/>
          <w:highlight w:val="none"/>
        </w:rPr>
        <w:t>用</w:t>
      </w:r>
      <w:r>
        <w:rPr>
          <w:rFonts w:asciiTheme="minorEastAsia" w:hAnsiTheme="minorEastAsia" w:eastAsiaTheme="minorEastAsia"/>
          <w:color w:val="auto"/>
          <w:highlight w:val="none"/>
        </w:rPr>
        <w:t>户需求等进行整体</w:t>
      </w:r>
      <w:r>
        <w:rPr>
          <w:rFonts w:hint="eastAsia" w:asciiTheme="minorEastAsia" w:hAnsiTheme="minorEastAsia" w:eastAsiaTheme="minorEastAsia"/>
          <w:color w:val="auto"/>
          <w:highlight w:val="none"/>
        </w:rPr>
        <w:t>规划</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并与主体工程同步设计，</w:t>
      </w:r>
      <w:r>
        <w:rPr>
          <w:rFonts w:asciiTheme="minorEastAsia" w:hAnsiTheme="minorEastAsia" w:eastAsiaTheme="minorEastAsia"/>
          <w:color w:val="auto"/>
          <w:highlight w:val="none"/>
        </w:rPr>
        <w:t>同步实施</w:t>
      </w:r>
      <w:r>
        <w:rPr>
          <w:rFonts w:hint="eastAsia" w:asciiTheme="minorEastAsia" w:hAnsiTheme="minorEastAsia" w:eastAsiaTheme="minorEastAsia"/>
          <w:color w:val="auto"/>
          <w:highlight w:val="none"/>
        </w:rPr>
        <w:t>。</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供热计量和智能化系统数据采集要求应满足附录A的规定，其他数据按照</w:t>
      </w:r>
      <w:r>
        <w:rPr>
          <w:rFonts w:asciiTheme="minorEastAsia" w:hAnsiTheme="minorEastAsia" w:eastAsiaTheme="minorEastAsia"/>
          <w:color w:val="auto"/>
          <w:highlight w:val="none"/>
        </w:rPr>
        <w:t>DB11/T 2107</w:t>
      </w:r>
      <w:r>
        <w:rPr>
          <w:rFonts w:hint="eastAsia" w:asciiTheme="minorEastAsia" w:hAnsiTheme="minorEastAsia" w:eastAsiaTheme="minorEastAsia"/>
          <w:color w:val="auto"/>
          <w:highlight w:val="none"/>
        </w:rPr>
        <w:t>的要求进行采集，运行参数应上传至智能监控管理平台。</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热源、热力站及热用户（楼栋或单元、入户）应设置计量和自动控制装置，实现供热量可调节、用热量可计量、室内温度可控制。</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热量表应为有线通讯，</w:t>
      </w:r>
      <w:r>
        <w:rPr>
          <w:rFonts w:asciiTheme="minorEastAsia" w:hAnsiTheme="minorEastAsia" w:eastAsiaTheme="minorEastAsia"/>
          <w:color w:val="auto"/>
          <w:highlight w:val="none"/>
        </w:rPr>
        <w:t>具有</w:t>
      </w:r>
      <w:r>
        <w:rPr>
          <w:rFonts w:hint="eastAsia" w:asciiTheme="minorEastAsia" w:hAnsiTheme="minorEastAsia" w:eastAsiaTheme="minorEastAsia"/>
          <w:color w:val="auto"/>
          <w:highlight w:val="none"/>
        </w:rPr>
        <w:t>自动</w:t>
      </w:r>
      <w:r>
        <w:rPr>
          <w:rFonts w:asciiTheme="minorEastAsia" w:hAnsiTheme="minorEastAsia" w:eastAsiaTheme="minorEastAsia"/>
          <w:color w:val="auto"/>
          <w:highlight w:val="none"/>
        </w:rPr>
        <w:t>采集和远传功能</w:t>
      </w:r>
      <w:r>
        <w:rPr>
          <w:rFonts w:hint="eastAsia" w:asciiTheme="minorEastAsia" w:hAnsiTheme="minorEastAsia" w:eastAsiaTheme="minorEastAsia"/>
          <w:color w:val="auto"/>
          <w:highlight w:val="none"/>
        </w:rPr>
        <w:t>，测量准确度等级不应低于</w:t>
      </w:r>
      <w:r>
        <w:rPr>
          <w:rFonts w:asciiTheme="minorEastAsia" w:hAnsiTheme="minorEastAsia" w:eastAsiaTheme="minorEastAsia"/>
          <w:color w:val="auto"/>
          <w:highlight w:val="none"/>
        </w:rPr>
        <w:t xml:space="preserve">2 </w:t>
      </w:r>
      <w:r>
        <w:rPr>
          <w:rFonts w:hint="eastAsia" w:asciiTheme="minorEastAsia" w:hAnsiTheme="minorEastAsia" w:eastAsiaTheme="minorEastAsia"/>
          <w:color w:val="auto"/>
          <w:highlight w:val="none"/>
        </w:rPr>
        <w:t>级。</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供热系统能源消耗量应分别计量。电能的计量应按动力用电、照明用电及其它用电分项计量，设备</w:t>
      </w:r>
      <w:r>
        <w:rPr>
          <w:rFonts w:asciiTheme="minorEastAsia" w:hAnsiTheme="minorEastAsia" w:eastAsiaTheme="minorEastAsia"/>
          <w:color w:val="auto"/>
          <w:highlight w:val="none"/>
        </w:rPr>
        <w:t>额定功率较大的设备</w:t>
      </w:r>
      <w:r>
        <w:rPr>
          <w:rFonts w:hint="eastAsia" w:asciiTheme="minorEastAsia" w:hAnsiTheme="minorEastAsia" w:eastAsiaTheme="minorEastAsia"/>
          <w:color w:val="auto"/>
          <w:highlight w:val="none"/>
        </w:rPr>
        <w:t>应</w:t>
      </w:r>
      <w:r>
        <w:rPr>
          <w:rFonts w:asciiTheme="minorEastAsia" w:hAnsiTheme="minorEastAsia" w:eastAsiaTheme="minorEastAsia"/>
          <w:color w:val="auto"/>
          <w:highlight w:val="none"/>
        </w:rPr>
        <w:t>单独设置电计量</w:t>
      </w:r>
      <w:r>
        <w:rPr>
          <w:rFonts w:hint="eastAsia" w:asciiTheme="minorEastAsia" w:hAnsiTheme="minorEastAsia" w:eastAsiaTheme="minorEastAsia"/>
          <w:color w:val="auto"/>
          <w:highlight w:val="none"/>
        </w:rPr>
        <w:t>。补水量应按系统分别计量。</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能源计量器具配备原则应满足</w:t>
      </w:r>
      <w:r>
        <w:rPr>
          <w:rFonts w:asciiTheme="minorEastAsia" w:hAnsiTheme="minorEastAsia" w:eastAsiaTheme="minorEastAsia"/>
          <w:color w:val="auto"/>
          <w:highlight w:val="none"/>
        </w:rPr>
        <w:t>GB</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17167</w:t>
      </w:r>
      <w:r>
        <w:rPr>
          <w:rFonts w:hint="eastAsia" w:asciiTheme="minorEastAsia" w:hAnsiTheme="minorEastAsia" w:eastAsiaTheme="minorEastAsia"/>
          <w:color w:val="auto"/>
          <w:highlight w:val="none"/>
        </w:rPr>
        <w:t>的相关要求。能源应分类计量，满足用能单位分项考核和统计核算的要求，应选用具有自动采集和远传功能的智能化能源计量器具。</w:t>
      </w:r>
    </w:p>
    <w:p>
      <w:pPr>
        <w:pStyle w:val="48"/>
        <w:spacing w:before="0" w:beforeLines="0" w:after="0" w:afterLines="0"/>
        <w:rPr>
          <w:rFonts w:asciiTheme="minorEastAsia" w:hAnsiTheme="minorEastAsia" w:eastAsiaTheme="minorEastAsia"/>
          <w:color w:val="auto"/>
          <w:highlight w:val="none"/>
        </w:rPr>
      </w:pPr>
      <w:bookmarkStart w:id="50" w:name="_Toc192091561"/>
      <w:r>
        <w:rPr>
          <w:rFonts w:hint="eastAsia" w:asciiTheme="minorEastAsia" w:hAnsiTheme="minorEastAsia" w:eastAsiaTheme="minorEastAsia"/>
          <w:color w:val="auto"/>
          <w:highlight w:val="none"/>
        </w:rPr>
        <w:t>供热采暖系统水质应满足</w:t>
      </w:r>
      <w:r>
        <w:rPr>
          <w:rFonts w:asciiTheme="minorEastAsia" w:hAnsiTheme="minorEastAsia" w:eastAsiaTheme="minorEastAsia"/>
          <w:color w:val="auto"/>
          <w:highlight w:val="none"/>
        </w:rPr>
        <w:t>DB</w:t>
      </w:r>
      <w:r>
        <w:rPr>
          <w:rFonts w:hint="eastAsia" w:asciiTheme="minorEastAsia" w:hAnsiTheme="minorEastAsia" w:eastAsiaTheme="minorEastAsia"/>
          <w:color w:val="auto"/>
          <w:highlight w:val="none"/>
        </w:rPr>
        <w:t xml:space="preserve"> </w:t>
      </w:r>
      <w:r>
        <w:rPr>
          <w:rFonts w:asciiTheme="minorEastAsia" w:hAnsiTheme="minorEastAsia" w:eastAsiaTheme="minorEastAsia"/>
          <w:color w:val="auto"/>
          <w:highlight w:val="none"/>
        </w:rPr>
        <w:t>11/T</w:t>
      </w:r>
      <w:r>
        <w:rPr>
          <w:rFonts w:hint="eastAsia" w:asciiTheme="minorEastAsia" w:hAnsiTheme="minorEastAsia" w:eastAsiaTheme="minorEastAsia"/>
          <w:color w:val="auto"/>
          <w:highlight w:val="none"/>
          <w:lang w:val="en-US" w:eastAsia="zh-CN"/>
        </w:rPr>
        <w:t xml:space="preserve"> </w:t>
      </w:r>
      <w:r>
        <w:rPr>
          <w:rFonts w:asciiTheme="minorEastAsia" w:hAnsiTheme="minorEastAsia" w:eastAsiaTheme="minorEastAsia"/>
          <w:color w:val="auto"/>
          <w:highlight w:val="none"/>
        </w:rPr>
        <w:t>1775</w:t>
      </w:r>
      <w:r>
        <w:rPr>
          <w:rFonts w:hint="eastAsia" w:asciiTheme="minorEastAsia" w:hAnsiTheme="minorEastAsia" w:eastAsiaTheme="minorEastAsia"/>
          <w:color w:val="auto"/>
          <w:highlight w:val="none"/>
        </w:rPr>
        <w:t>的要求。</w:t>
      </w:r>
      <w:bookmarkEnd w:id="50"/>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热计量系统应利用数字技术实现能源计量数据的管理，数据应能溯源。</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智能监控管理平台应满足跨部门、跨系统的数据共享应用需求。</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供热单位应建立运行核查制度、档案管理制度及运行维护制度。</w:t>
      </w:r>
    </w:p>
    <w:p>
      <w:pPr>
        <w:pStyle w:val="47"/>
        <w:spacing w:before="312" w:after="312"/>
        <w:rPr>
          <w:color w:val="auto"/>
          <w:highlight w:val="none"/>
        </w:rPr>
      </w:pPr>
      <w:bookmarkStart w:id="51" w:name="_Toc204864109"/>
      <w:r>
        <w:rPr>
          <w:rFonts w:hint="eastAsia"/>
          <w:color w:val="auto"/>
          <w:highlight w:val="none"/>
        </w:rPr>
        <w:t>技术要求</w:t>
      </w:r>
      <w:bookmarkEnd w:id="51"/>
    </w:p>
    <w:p>
      <w:pPr>
        <w:pStyle w:val="44"/>
        <w:spacing w:before="156" w:after="156"/>
        <w:rPr>
          <w:color w:val="auto"/>
          <w:highlight w:val="none"/>
        </w:rPr>
      </w:pPr>
      <w:bookmarkStart w:id="52" w:name="_Toc204694821"/>
      <w:bookmarkStart w:id="53" w:name="_Toc204864110"/>
      <w:r>
        <w:rPr>
          <w:rFonts w:hint="eastAsia"/>
          <w:color w:val="auto"/>
          <w:highlight w:val="none"/>
        </w:rPr>
        <w:t>热源</w:t>
      </w:r>
      <w:bookmarkEnd w:id="52"/>
      <w:bookmarkEnd w:id="53"/>
    </w:p>
    <w:p>
      <w:pPr>
        <w:pStyle w:val="48"/>
        <w:spacing w:before="156" w:after="156"/>
        <w:rPr>
          <w:rFonts w:asciiTheme="minorEastAsia" w:hAnsiTheme="minorEastAsia" w:eastAsiaTheme="minorEastAsia"/>
          <w:color w:val="auto"/>
          <w:highlight w:val="none"/>
        </w:rPr>
      </w:pPr>
      <w:bookmarkStart w:id="54" w:name="_Toc192091536"/>
      <w:bookmarkStart w:id="55" w:name="_Toc192091535"/>
      <w:r>
        <w:rPr>
          <w:rFonts w:hint="eastAsia" w:asciiTheme="minorEastAsia" w:hAnsiTheme="minorEastAsia" w:eastAsiaTheme="minorEastAsia"/>
          <w:color w:val="auto"/>
          <w:highlight w:val="none"/>
        </w:rPr>
        <w:t>热源供热量应采用热量表进行计量监测，</w:t>
      </w:r>
      <w:bookmarkEnd w:id="54"/>
      <w:bookmarkEnd w:id="55"/>
      <w:r>
        <w:rPr>
          <w:rFonts w:hint="eastAsia" w:asciiTheme="minorEastAsia" w:hAnsiTheme="minorEastAsia" w:eastAsiaTheme="minorEastAsia"/>
          <w:color w:val="auto"/>
          <w:highlight w:val="none"/>
        </w:rPr>
        <w:t>多种热源系统应根据能源种类分别计量。</w:t>
      </w:r>
    </w:p>
    <w:p>
      <w:pPr>
        <w:pStyle w:val="48"/>
        <w:spacing w:before="156" w:after="15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热源设备应具备根据负荷需求自动调节的能力，循环泵、补水泵应分别实现以压差、定压值的本地及远程调控。</w:t>
      </w:r>
    </w:p>
    <w:p>
      <w:pPr>
        <w:pStyle w:val="48"/>
        <w:spacing w:before="156" w:after="156"/>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热源应具备系统超限、设备故障的报警及预警功能，宜实现基于智能监控管理平台的在线诊断功能。</w:t>
      </w:r>
    </w:p>
    <w:p>
      <w:pPr>
        <w:pStyle w:val="48"/>
        <w:spacing w:before="156" w:after="156"/>
        <w:rPr>
          <w:rFonts w:asciiTheme="minorEastAsia" w:hAnsiTheme="minorEastAsia" w:eastAsiaTheme="minorEastAsia"/>
          <w:color w:val="auto"/>
          <w:highlight w:val="none"/>
        </w:rPr>
      </w:pPr>
      <w:bookmarkStart w:id="56" w:name="_Toc192091540"/>
      <w:bookmarkStart w:id="57" w:name="_Toc192091539"/>
      <w:r>
        <w:rPr>
          <w:rFonts w:asciiTheme="minorEastAsia" w:hAnsiTheme="minorEastAsia" w:eastAsiaTheme="minorEastAsia"/>
          <w:color w:val="auto"/>
          <w:highlight w:val="none"/>
        </w:rPr>
        <w:t>多</w:t>
      </w:r>
      <w:r>
        <w:rPr>
          <w:rFonts w:hint="eastAsia" w:asciiTheme="minorEastAsia" w:hAnsiTheme="minorEastAsia" w:eastAsiaTheme="minorEastAsia"/>
          <w:color w:val="auto"/>
          <w:highlight w:val="none"/>
        </w:rPr>
        <w:t>能</w:t>
      </w:r>
      <w:r>
        <w:rPr>
          <w:rFonts w:asciiTheme="minorEastAsia" w:hAnsiTheme="minorEastAsia" w:eastAsiaTheme="minorEastAsia"/>
          <w:color w:val="auto"/>
          <w:highlight w:val="none"/>
        </w:rPr>
        <w:t>耦合系统</w:t>
      </w:r>
      <w:r>
        <w:rPr>
          <w:rFonts w:hint="eastAsia" w:asciiTheme="minorEastAsia" w:hAnsiTheme="minorEastAsia" w:eastAsiaTheme="minorEastAsia"/>
          <w:color w:val="auto"/>
          <w:highlight w:val="none"/>
        </w:rPr>
        <w:t>应建立能源调度模型，并</w:t>
      </w:r>
      <w:r>
        <w:rPr>
          <w:rFonts w:asciiTheme="minorEastAsia" w:hAnsiTheme="minorEastAsia" w:eastAsiaTheme="minorEastAsia"/>
          <w:color w:val="auto"/>
          <w:highlight w:val="none"/>
        </w:rPr>
        <w:t>具备根据</w:t>
      </w:r>
      <w:r>
        <w:rPr>
          <w:rFonts w:hint="eastAsia" w:asciiTheme="minorEastAsia" w:hAnsiTheme="minorEastAsia" w:eastAsiaTheme="minorEastAsia"/>
          <w:color w:val="auto"/>
          <w:highlight w:val="none"/>
        </w:rPr>
        <w:t>经济、环保等</w:t>
      </w:r>
      <w:r>
        <w:rPr>
          <w:rFonts w:asciiTheme="minorEastAsia" w:hAnsiTheme="minorEastAsia" w:eastAsiaTheme="minorEastAsia"/>
          <w:color w:val="auto"/>
          <w:highlight w:val="none"/>
        </w:rPr>
        <w:t>目标实现各类热源智能调节和切换功能</w:t>
      </w:r>
      <w:r>
        <w:rPr>
          <w:rFonts w:hint="eastAsia" w:asciiTheme="minorEastAsia" w:hAnsiTheme="minorEastAsia" w:eastAsiaTheme="minorEastAsia"/>
          <w:color w:val="auto"/>
          <w:highlight w:val="none"/>
        </w:rPr>
        <w:t>。</w:t>
      </w:r>
    </w:p>
    <w:bookmarkEnd w:id="56"/>
    <w:bookmarkEnd w:id="57"/>
    <w:p>
      <w:pPr>
        <w:pStyle w:val="44"/>
        <w:spacing w:before="156" w:after="156"/>
        <w:rPr>
          <w:color w:val="auto"/>
          <w:highlight w:val="none"/>
        </w:rPr>
      </w:pPr>
      <w:bookmarkStart w:id="58" w:name="_Toc204694822"/>
      <w:bookmarkStart w:id="59" w:name="_Toc204864111"/>
      <w:r>
        <w:rPr>
          <w:rFonts w:hint="eastAsia"/>
          <w:color w:val="auto"/>
          <w:highlight w:val="none"/>
        </w:rPr>
        <w:t>供热管网</w:t>
      </w:r>
      <w:bookmarkEnd w:id="58"/>
      <w:bookmarkEnd w:id="59"/>
    </w:p>
    <w:p>
      <w:pPr>
        <w:pStyle w:val="48"/>
        <w:spacing w:before="0" w:beforeLines="0" w:after="0" w:afterLines="0"/>
        <w:rPr>
          <w:rFonts w:asciiTheme="minorEastAsia" w:hAnsiTheme="minorEastAsia" w:eastAsiaTheme="minorEastAsia"/>
          <w:color w:val="auto"/>
          <w:highlight w:val="none"/>
        </w:rPr>
      </w:pPr>
      <w:bookmarkStart w:id="60" w:name="_Toc192091544"/>
      <w:bookmarkStart w:id="61" w:name="OLE_LINK7"/>
      <w:bookmarkStart w:id="62" w:name="OLE_LINK4"/>
      <w:r>
        <w:rPr>
          <w:rFonts w:hint="eastAsia" w:asciiTheme="minorEastAsia" w:hAnsiTheme="minorEastAsia" w:eastAsiaTheme="minorEastAsia"/>
          <w:color w:val="auto"/>
          <w:highlight w:val="none"/>
        </w:rPr>
        <w:t>一次管网重要监测点应根据实际需求采集温度、压力、阀门开度、补偿器位移量等参数。</w:t>
      </w:r>
      <w:bookmarkEnd w:id="60"/>
    </w:p>
    <w:p>
      <w:pPr>
        <w:pStyle w:val="48"/>
        <w:spacing w:before="0" w:beforeLines="0" w:after="0" w:afterLines="0"/>
        <w:rPr>
          <w:rFonts w:asciiTheme="minorEastAsia" w:hAnsiTheme="minorEastAsia" w:eastAsiaTheme="minorEastAsia"/>
          <w:color w:val="auto"/>
          <w:highlight w:val="none"/>
        </w:rPr>
      </w:pPr>
      <w:bookmarkStart w:id="63" w:name="_Toc192091545"/>
      <w:r>
        <w:rPr>
          <w:rFonts w:hint="eastAsia" w:asciiTheme="minorEastAsia" w:hAnsiTheme="minorEastAsia" w:eastAsiaTheme="minorEastAsia"/>
          <w:color w:val="auto"/>
          <w:highlight w:val="none"/>
        </w:rPr>
        <w:t>一次管网宜设置管道泄漏报警系统。</w:t>
      </w:r>
      <w:bookmarkEnd w:id="63"/>
    </w:p>
    <w:p>
      <w:pPr>
        <w:pStyle w:val="48"/>
        <w:spacing w:before="0" w:beforeLines="0" w:after="0" w:afterLines="0"/>
        <w:rPr>
          <w:rFonts w:asciiTheme="minorEastAsia" w:hAnsiTheme="minorEastAsia" w:eastAsiaTheme="minorEastAsia"/>
          <w:color w:val="auto"/>
          <w:highlight w:val="none"/>
        </w:rPr>
      </w:pPr>
      <w:bookmarkStart w:id="64" w:name="_Toc192091543"/>
      <w:bookmarkStart w:id="65" w:name="_Toc192091546"/>
      <w:r>
        <w:rPr>
          <w:rFonts w:hint="eastAsia" w:asciiTheme="minorEastAsia" w:hAnsiTheme="minorEastAsia" w:eastAsiaTheme="minorEastAsia"/>
          <w:color w:val="auto"/>
          <w:highlight w:val="none"/>
        </w:rPr>
        <w:t>管网宜建立基于G</w:t>
      </w:r>
      <w:r>
        <w:rPr>
          <w:rFonts w:asciiTheme="minorEastAsia" w:hAnsiTheme="minorEastAsia" w:eastAsiaTheme="minorEastAsia"/>
          <w:color w:val="auto"/>
          <w:highlight w:val="none"/>
        </w:rPr>
        <w:t>IS</w:t>
      </w:r>
      <w:r>
        <w:rPr>
          <w:rFonts w:hint="eastAsia" w:asciiTheme="minorEastAsia" w:hAnsiTheme="minorEastAsia" w:eastAsiaTheme="minorEastAsia"/>
          <w:color w:val="auto"/>
          <w:highlight w:val="none"/>
        </w:rPr>
        <w:t>的数字管网模型，实现实时运行工况分析和优化运行。</w:t>
      </w:r>
      <w:bookmarkEnd w:id="64"/>
    </w:p>
    <w:p>
      <w:pPr>
        <w:pStyle w:val="48"/>
        <w:spacing w:before="0" w:beforeLines="0" w:after="0" w:afterLines="0"/>
        <w:rPr>
          <w:color w:val="auto"/>
          <w:highlight w:val="none"/>
        </w:rPr>
      </w:pPr>
      <w:r>
        <w:rPr>
          <w:rFonts w:hint="eastAsia" w:asciiTheme="minorEastAsia" w:hAnsiTheme="minorEastAsia" w:eastAsiaTheme="minorEastAsia"/>
          <w:color w:val="auto"/>
          <w:highlight w:val="none"/>
        </w:rPr>
        <w:t>管网宜监测检查室内的环境温度、湿度、地面积水等参数，并对检查室内的地面积水水位和井底温度进行突变超限报警</w:t>
      </w:r>
      <w:r>
        <w:rPr>
          <w:rFonts w:hint="eastAsia"/>
          <w:color w:val="auto"/>
          <w:highlight w:val="none"/>
        </w:rPr>
        <w:t>。</w:t>
      </w:r>
      <w:bookmarkEnd w:id="65"/>
    </w:p>
    <w:bookmarkEnd w:id="61"/>
    <w:bookmarkEnd w:id="62"/>
    <w:p>
      <w:pPr>
        <w:pStyle w:val="44"/>
        <w:spacing w:before="156" w:after="156"/>
        <w:rPr>
          <w:color w:val="auto"/>
          <w:highlight w:val="none"/>
        </w:rPr>
      </w:pPr>
      <w:bookmarkStart w:id="66" w:name="_Toc204694823"/>
      <w:bookmarkStart w:id="67" w:name="_Toc204864112"/>
      <w:r>
        <w:rPr>
          <w:rFonts w:hint="eastAsia"/>
          <w:color w:val="auto"/>
          <w:highlight w:val="none"/>
        </w:rPr>
        <w:t>热力站</w:t>
      </w:r>
      <w:bookmarkEnd w:id="66"/>
      <w:bookmarkEnd w:id="67"/>
    </w:p>
    <w:p>
      <w:pPr>
        <w:pStyle w:val="48"/>
        <w:spacing w:before="0" w:beforeLines="0" w:after="0" w:afterLines="0"/>
        <w:rPr>
          <w:rFonts w:asciiTheme="minorEastAsia" w:hAnsiTheme="minorEastAsia" w:eastAsiaTheme="minorEastAsia"/>
          <w:color w:val="auto"/>
          <w:highlight w:val="none"/>
        </w:rPr>
      </w:pPr>
      <w:bookmarkStart w:id="68" w:name="_Toc192091556"/>
      <w:r>
        <w:rPr>
          <w:rFonts w:hint="eastAsia" w:asciiTheme="minorEastAsia" w:hAnsiTheme="minorEastAsia" w:eastAsiaTheme="minorEastAsia"/>
          <w:color w:val="auto"/>
          <w:highlight w:val="none"/>
        </w:rPr>
        <w:t>热力站供热量应采用热量表进行计量监测，多系统应根据能源种类、热用户需求分别计量。</w:t>
      </w:r>
    </w:p>
    <w:bookmarkEnd w:id="68"/>
    <w:p>
      <w:pPr>
        <w:pStyle w:val="48"/>
        <w:spacing w:before="156" w:after="156"/>
        <w:rPr>
          <w:rFonts w:asciiTheme="minorEastAsia" w:hAnsiTheme="minorEastAsia" w:eastAsiaTheme="minorEastAsia"/>
          <w:color w:val="auto"/>
          <w:highlight w:val="none"/>
        </w:rPr>
      </w:pPr>
      <w:bookmarkStart w:id="69" w:name="_Toc192091558"/>
      <w:r>
        <w:rPr>
          <w:rFonts w:hint="eastAsia" w:asciiTheme="minorEastAsia" w:hAnsiTheme="minorEastAsia" w:eastAsiaTheme="minorEastAsia"/>
          <w:color w:val="auto"/>
          <w:highlight w:val="none"/>
        </w:rPr>
        <w:t>热力站调控应</w:t>
      </w:r>
      <w:r>
        <w:rPr>
          <w:rFonts w:asciiTheme="minorEastAsia" w:hAnsiTheme="minorEastAsia" w:eastAsiaTheme="minorEastAsia"/>
          <w:color w:val="auto"/>
          <w:highlight w:val="none"/>
        </w:rPr>
        <w:t>具备下列功能：</w:t>
      </w:r>
    </w:p>
    <w:p>
      <w:pPr>
        <w:pStyle w:val="53"/>
        <w:numPr>
          <w:ilvl w:val="3"/>
          <w:numId w:val="19"/>
        </w:numPr>
        <w:spacing w:before="0" w:beforeLines="0" w:after="0" w:afterLines="0"/>
        <w:ind w:left="840" w:leftChars="400"/>
        <w:rPr>
          <w:rFonts w:asciiTheme="minorEastAsia" w:hAnsiTheme="minorEastAsia" w:eastAsiaTheme="minorEastAsia"/>
          <w:color w:val="auto"/>
          <w:highlight w:val="none"/>
        </w:rPr>
      </w:pPr>
      <w:r>
        <w:rPr>
          <w:rFonts w:asciiTheme="minorEastAsia" w:hAnsiTheme="minorEastAsia" w:eastAsiaTheme="minorEastAsia"/>
          <w:color w:val="auto"/>
          <w:highlight w:val="none"/>
        </w:rPr>
        <w:t>一次侧</w:t>
      </w:r>
      <w:r>
        <w:rPr>
          <w:rFonts w:hint="eastAsia" w:asciiTheme="minorEastAsia" w:hAnsiTheme="minorEastAsia" w:eastAsiaTheme="minorEastAsia"/>
          <w:color w:val="auto"/>
          <w:highlight w:val="none"/>
        </w:rPr>
        <w:t>应能</w:t>
      </w:r>
      <w:r>
        <w:rPr>
          <w:rFonts w:asciiTheme="minorEastAsia" w:hAnsiTheme="minorEastAsia" w:eastAsiaTheme="minorEastAsia"/>
          <w:color w:val="auto"/>
          <w:highlight w:val="none"/>
        </w:rPr>
        <w:t>根据负荷需求</w:t>
      </w:r>
      <w:r>
        <w:rPr>
          <w:rFonts w:hint="eastAsia" w:asciiTheme="minorEastAsia" w:hAnsiTheme="minorEastAsia" w:eastAsiaTheme="minorEastAsia"/>
          <w:color w:val="auto"/>
          <w:highlight w:val="none"/>
        </w:rPr>
        <w:t>及室温反馈实现</w:t>
      </w:r>
      <w:r>
        <w:rPr>
          <w:rFonts w:asciiTheme="minorEastAsia" w:hAnsiTheme="minorEastAsia" w:eastAsiaTheme="minorEastAsia"/>
          <w:color w:val="auto"/>
          <w:highlight w:val="none"/>
        </w:rPr>
        <w:t>自动调节</w:t>
      </w:r>
      <w:r>
        <w:rPr>
          <w:rFonts w:hint="eastAsia" w:asciiTheme="minorEastAsia" w:hAnsiTheme="minorEastAsia" w:eastAsiaTheme="minorEastAsia"/>
          <w:color w:val="auto"/>
          <w:highlight w:val="none"/>
        </w:rPr>
        <w:t>。</w:t>
      </w:r>
    </w:p>
    <w:p>
      <w:pPr>
        <w:pStyle w:val="53"/>
        <w:numPr>
          <w:ilvl w:val="3"/>
          <w:numId w:val="19"/>
        </w:numPr>
        <w:spacing w:before="0" w:beforeLines="0" w:after="0" w:afterLines="0"/>
        <w:ind w:left="840" w:leftChars="400"/>
        <w:rPr>
          <w:rFonts w:asciiTheme="minorEastAsia" w:hAnsiTheme="minorEastAsia" w:eastAsiaTheme="minorEastAsia"/>
          <w:color w:val="auto"/>
          <w:highlight w:val="none"/>
        </w:rPr>
      </w:pPr>
      <w:r>
        <w:rPr>
          <w:rFonts w:asciiTheme="minorEastAsia" w:hAnsiTheme="minorEastAsia" w:eastAsiaTheme="minorEastAsia"/>
          <w:color w:val="auto"/>
          <w:highlight w:val="none"/>
        </w:rPr>
        <w:t>二次侧循环水泵</w:t>
      </w:r>
      <w:r>
        <w:rPr>
          <w:rFonts w:hint="eastAsia" w:asciiTheme="minorEastAsia" w:hAnsiTheme="minorEastAsia" w:eastAsiaTheme="minorEastAsia"/>
          <w:color w:val="auto"/>
          <w:highlight w:val="none"/>
        </w:rPr>
        <w:t>应能</w:t>
      </w:r>
      <w:r>
        <w:rPr>
          <w:rFonts w:asciiTheme="minorEastAsia" w:hAnsiTheme="minorEastAsia" w:eastAsiaTheme="minorEastAsia"/>
          <w:color w:val="auto"/>
          <w:highlight w:val="none"/>
        </w:rPr>
        <w:t>根据水力工况进行变频调速</w:t>
      </w:r>
      <w:r>
        <w:rPr>
          <w:rFonts w:hint="eastAsia" w:asciiTheme="minorEastAsia" w:hAnsiTheme="minorEastAsia" w:eastAsiaTheme="minorEastAsia"/>
          <w:color w:val="auto"/>
          <w:highlight w:val="none"/>
        </w:rPr>
        <w:t>。</w:t>
      </w:r>
    </w:p>
    <w:p>
      <w:pPr>
        <w:pStyle w:val="53"/>
        <w:numPr>
          <w:ilvl w:val="3"/>
          <w:numId w:val="19"/>
        </w:numPr>
        <w:spacing w:before="0" w:beforeLines="0" w:after="0" w:afterLines="0"/>
        <w:ind w:left="840" w:leftChars="400"/>
        <w:rPr>
          <w:rFonts w:asciiTheme="minorEastAsia" w:hAnsiTheme="minorEastAsia" w:eastAsiaTheme="minorEastAsia"/>
          <w:color w:val="auto"/>
          <w:highlight w:val="none"/>
        </w:rPr>
      </w:pPr>
      <w:r>
        <w:rPr>
          <w:rFonts w:asciiTheme="minorEastAsia" w:hAnsiTheme="minorEastAsia" w:eastAsiaTheme="minorEastAsia"/>
          <w:color w:val="auto"/>
          <w:highlight w:val="none"/>
        </w:rPr>
        <w:t>电动调节阀、变频控制柜</w:t>
      </w:r>
      <w:r>
        <w:rPr>
          <w:rFonts w:hint="eastAsia" w:asciiTheme="minorEastAsia" w:hAnsiTheme="minorEastAsia" w:eastAsiaTheme="minorEastAsia"/>
          <w:color w:val="auto"/>
          <w:highlight w:val="none"/>
        </w:rPr>
        <w:t>应</w:t>
      </w:r>
      <w:r>
        <w:rPr>
          <w:rFonts w:asciiTheme="minorEastAsia" w:hAnsiTheme="minorEastAsia" w:eastAsiaTheme="minorEastAsia"/>
          <w:color w:val="auto"/>
          <w:highlight w:val="none"/>
        </w:rPr>
        <w:t>具备</w:t>
      </w:r>
      <w:r>
        <w:rPr>
          <w:rFonts w:hint="eastAsia" w:asciiTheme="minorEastAsia" w:hAnsiTheme="minorEastAsia" w:eastAsiaTheme="minorEastAsia"/>
          <w:color w:val="auto"/>
          <w:highlight w:val="none"/>
        </w:rPr>
        <w:t>本地</w:t>
      </w:r>
      <w:r>
        <w:rPr>
          <w:rFonts w:asciiTheme="minorEastAsia" w:hAnsiTheme="minorEastAsia" w:eastAsiaTheme="minorEastAsia"/>
          <w:color w:val="auto"/>
          <w:highlight w:val="none"/>
        </w:rPr>
        <w:t>和远程控制功能。</w:t>
      </w:r>
    </w:p>
    <w:p>
      <w:pPr>
        <w:pStyle w:val="53"/>
        <w:numPr>
          <w:ilvl w:val="3"/>
          <w:numId w:val="19"/>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联锁保护和故障报警功能。</w:t>
      </w:r>
    </w:p>
    <w:bookmarkEnd w:id="69"/>
    <w:p>
      <w:pPr>
        <w:pStyle w:val="48"/>
        <w:spacing w:before="0" w:beforeLines="0" w:after="0" w:afterLines="0"/>
        <w:rPr>
          <w:rFonts w:asciiTheme="minorEastAsia" w:hAnsiTheme="minorEastAsia" w:eastAsiaTheme="minorEastAsia"/>
          <w:color w:val="auto"/>
          <w:highlight w:val="none"/>
        </w:rPr>
      </w:pPr>
      <w:bookmarkStart w:id="70" w:name="_Toc192091555"/>
      <w:r>
        <w:rPr>
          <w:rFonts w:hint="eastAsia" w:asciiTheme="minorEastAsia" w:hAnsiTheme="minorEastAsia" w:eastAsiaTheme="minorEastAsia"/>
          <w:color w:val="auto"/>
          <w:highlight w:val="none"/>
        </w:rPr>
        <w:t>对用热性质和用热结算方式不同的热用户，应分系统设置。对在同一供热系统用热规律不同的热用户，应满足分时分区调节控制的要求。</w:t>
      </w:r>
    </w:p>
    <w:bookmarkEnd w:id="70"/>
    <w:p>
      <w:pPr>
        <w:pStyle w:val="48"/>
        <w:spacing w:before="0" w:beforeLines="0" w:after="0" w:afterLines="0"/>
        <w:rPr>
          <w:rFonts w:asciiTheme="minorEastAsia" w:hAnsiTheme="minorEastAsia" w:eastAsiaTheme="minorEastAsia"/>
          <w:color w:val="auto"/>
          <w:highlight w:val="none"/>
        </w:rPr>
      </w:pPr>
      <w:bookmarkStart w:id="71" w:name="_Toc192091560"/>
      <w:r>
        <w:rPr>
          <w:rFonts w:hint="eastAsia" w:asciiTheme="minorEastAsia" w:hAnsiTheme="minorEastAsia" w:eastAsiaTheme="minorEastAsia"/>
          <w:color w:val="auto"/>
          <w:highlight w:val="none"/>
        </w:rPr>
        <w:t>热力站</w:t>
      </w:r>
      <w:bookmarkEnd w:id="71"/>
      <w:bookmarkStart w:id="72" w:name="_Toc192091538"/>
      <w:bookmarkStart w:id="73" w:name="_Toc192091562"/>
      <w:r>
        <w:rPr>
          <w:rFonts w:hint="eastAsia" w:asciiTheme="minorEastAsia" w:hAnsiTheme="minorEastAsia" w:eastAsiaTheme="minorEastAsia"/>
          <w:color w:val="auto"/>
          <w:highlight w:val="none"/>
        </w:rPr>
        <w:t>应结合室外气象参数、建筑围护结构状况、用户用热需求，建立热力站负荷预测模型。</w:t>
      </w:r>
      <w:bookmarkEnd w:id="72"/>
    </w:p>
    <w:p>
      <w:pPr>
        <w:pStyle w:val="48"/>
        <w:spacing w:before="0" w:beforeLines="0" w:after="0" w:afterLines="0"/>
        <w:rPr>
          <w:rFonts w:asciiTheme="minorEastAsia" w:hAnsiTheme="minorEastAsia" w:eastAsiaTheme="minorEastAsia"/>
          <w:color w:val="auto"/>
          <w:highlight w:val="none"/>
        </w:rPr>
      </w:pPr>
      <w:bookmarkStart w:id="74" w:name="OLE_LINK8"/>
      <w:bookmarkStart w:id="75" w:name="OLE_LINK9"/>
      <w:bookmarkStart w:id="76" w:name="OLE_LINK6"/>
      <w:bookmarkStart w:id="77" w:name="OLE_LINK5"/>
      <w:r>
        <w:rPr>
          <w:rFonts w:hint="eastAsia" w:asciiTheme="minorEastAsia" w:hAnsiTheme="minorEastAsia" w:eastAsiaTheme="minorEastAsia"/>
          <w:color w:val="auto"/>
          <w:highlight w:val="none"/>
        </w:rPr>
        <w:t>热力站内宜设置蓄热设施，蓄热设施容量系数宜按照0.4考虑。蓄热设施热源形式、蓄热方式、蓄热量应根据热用户性质、用热特性、能源价格情况通过技术经济比较进行确定，并应满足用户实时控制蓄、放热量的需求。</w:t>
      </w:r>
    </w:p>
    <w:bookmarkEnd w:id="73"/>
    <w:bookmarkEnd w:id="74"/>
    <w:bookmarkEnd w:id="75"/>
    <w:p>
      <w:pPr>
        <w:pStyle w:val="48"/>
        <w:spacing w:before="0" w:beforeLines="0" w:after="0" w:afterLines="0"/>
        <w:rPr>
          <w:rFonts w:asciiTheme="minorEastAsia" w:hAnsiTheme="minorEastAsia" w:eastAsiaTheme="minorEastAsia"/>
          <w:color w:val="auto"/>
          <w:highlight w:val="none"/>
        </w:rPr>
      </w:pPr>
      <w:bookmarkStart w:id="78" w:name="_Toc192091548"/>
      <w:r>
        <w:rPr>
          <w:rFonts w:hint="eastAsia" w:asciiTheme="minorEastAsia" w:hAnsiTheme="minorEastAsia" w:eastAsiaTheme="minorEastAsia"/>
          <w:color w:val="auto"/>
          <w:highlight w:val="none"/>
        </w:rPr>
        <w:t>热力站应预留与新能源及可再生能源耦合的接口。</w:t>
      </w:r>
      <w:bookmarkEnd w:id="78"/>
      <w:bookmarkStart w:id="79" w:name="_Toc192091550"/>
    </w:p>
    <w:bookmarkEnd w:id="76"/>
    <w:bookmarkEnd w:id="77"/>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供热范围内楼栋用热性质不同、需求存在个性化差异的供热系统宜采用楼宇式换热机组</w:t>
      </w:r>
      <w:bookmarkEnd w:id="79"/>
      <w:r>
        <w:rPr>
          <w:rFonts w:hint="eastAsia" w:asciiTheme="minorEastAsia" w:hAnsiTheme="minorEastAsia" w:eastAsiaTheme="minorEastAsia"/>
          <w:color w:val="auto"/>
          <w:highlight w:val="none"/>
        </w:rPr>
        <w:t>。</w:t>
      </w:r>
    </w:p>
    <w:p>
      <w:pPr>
        <w:pStyle w:val="48"/>
        <w:spacing w:before="0" w:beforeLines="0" w:after="0" w:afterLines="0"/>
        <w:rPr>
          <w:rFonts w:asciiTheme="minorEastAsia" w:hAnsiTheme="minorEastAsia" w:eastAsiaTheme="minorEastAsia"/>
          <w:color w:val="auto"/>
          <w:highlight w:val="none"/>
        </w:rPr>
      </w:pPr>
      <w:bookmarkStart w:id="80" w:name="_Toc192091553"/>
      <w:r>
        <w:rPr>
          <w:rFonts w:hint="eastAsia" w:asciiTheme="minorEastAsia" w:hAnsiTheme="minorEastAsia" w:eastAsiaTheme="minorEastAsia"/>
          <w:color w:val="auto"/>
          <w:highlight w:val="none"/>
        </w:rPr>
        <w:t>热力站不应设置自力式流量控制阀或自力式压差控制阀。</w:t>
      </w:r>
      <w:bookmarkEnd w:id="80"/>
    </w:p>
    <w:p>
      <w:pPr>
        <w:pStyle w:val="44"/>
        <w:spacing w:before="156" w:after="156"/>
        <w:rPr>
          <w:color w:val="auto"/>
          <w:highlight w:val="none"/>
        </w:rPr>
      </w:pPr>
      <w:bookmarkStart w:id="81" w:name="_Toc204694824"/>
      <w:bookmarkStart w:id="82" w:name="_Toc204864113"/>
      <w:r>
        <w:rPr>
          <w:rFonts w:hint="eastAsia"/>
          <w:color w:val="auto"/>
          <w:highlight w:val="none"/>
        </w:rPr>
        <w:t>热用户</w:t>
      </w:r>
      <w:bookmarkEnd w:id="81"/>
      <w:bookmarkEnd w:id="82"/>
    </w:p>
    <w:p>
      <w:pPr>
        <w:pStyle w:val="48"/>
        <w:spacing w:before="0" w:beforeLines="0" w:after="0" w:afterLines="0"/>
        <w:rPr>
          <w:rFonts w:asciiTheme="minorEastAsia" w:hAnsiTheme="minorEastAsia" w:eastAsiaTheme="minorEastAsia"/>
          <w:color w:val="auto"/>
          <w:highlight w:val="none"/>
        </w:rPr>
      </w:pPr>
      <w:bookmarkStart w:id="83" w:name="_Toc192091569"/>
      <w:r>
        <w:rPr>
          <w:rFonts w:hint="eastAsia" w:asciiTheme="minorEastAsia" w:hAnsiTheme="minorEastAsia" w:eastAsiaTheme="minorEastAsia"/>
          <w:color w:val="auto"/>
          <w:highlight w:val="none"/>
        </w:rPr>
        <w:t>居住建筑的室内供暖系统，应采用共用立管的分户独立系统型式。</w:t>
      </w:r>
      <w:bookmarkEnd w:id="83"/>
      <w:r>
        <w:rPr>
          <w:rFonts w:hint="eastAsia" w:asciiTheme="minorEastAsia" w:hAnsiTheme="minorEastAsia" w:eastAsiaTheme="minorEastAsia"/>
          <w:color w:val="auto"/>
          <w:highlight w:val="none"/>
        </w:rPr>
        <w:t>楼栋或单元热力入口处应设置楼栋/单元热量表，用户热力入口应设置户用热量表，并应满足直接结算的要求。</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公共建筑应在热力入口、功能分区、控制分区处设置热量表并应满足直接结算的要求。</w:t>
      </w:r>
    </w:p>
    <w:p>
      <w:pPr>
        <w:pStyle w:val="48"/>
        <w:spacing w:before="0" w:beforeLines="0" w:after="0" w:afterLines="0"/>
        <w:rPr>
          <w:rFonts w:asciiTheme="minorEastAsia" w:hAnsiTheme="minorEastAsia" w:eastAsiaTheme="minorEastAsia"/>
          <w:color w:val="auto"/>
          <w:highlight w:val="none"/>
        </w:rPr>
      </w:pPr>
      <w:bookmarkStart w:id="84" w:name="_Toc192091566"/>
      <w:bookmarkStart w:id="85" w:name="_Toc192091564"/>
      <w:r>
        <w:rPr>
          <w:rFonts w:hint="eastAsia" w:asciiTheme="minorEastAsia" w:hAnsiTheme="minorEastAsia" w:eastAsiaTheme="minorEastAsia"/>
          <w:color w:val="auto"/>
          <w:highlight w:val="none"/>
        </w:rPr>
        <w:t>居住建筑楼内的公共用房和公共空间，应设置单独供暖系统，满足热计量和智能调控的要求。</w:t>
      </w:r>
    </w:p>
    <w:bookmarkEnd w:id="84"/>
    <w:bookmarkEnd w:id="85"/>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新建室内供暖系统应实现总体控制的室温调节，以及分环路（室）的室温控制调节。散热器系统每组散热器应设置散热器恒温控制阀，地板辐射供暖系统应采用分环路控制阀，调控装置宜采用智能设备。</w:t>
      </w:r>
    </w:p>
    <w:p>
      <w:pPr>
        <w:pStyle w:val="48"/>
        <w:spacing w:before="0" w:beforeLines="0" w:after="0" w:afterLines="0"/>
        <w:rPr>
          <w:rFonts w:asciiTheme="minorEastAsia" w:hAnsiTheme="minorEastAsia" w:eastAsiaTheme="minorEastAsia"/>
          <w:color w:val="auto"/>
          <w:highlight w:val="none"/>
        </w:rPr>
      </w:pPr>
      <w:bookmarkStart w:id="86" w:name="_Toc192091571"/>
      <w:bookmarkStart w:id="87" w:name="_Toc192091570"/>
      <w:bookmarkStart w:id="88" w:name="_Toc192091567"/>
      <w:bookmarkStart w:id="89" w:name="_Toc192091534"/>
      <w:r>
        <w:rPr>
          <w:rFonts w:asciiTheme="minorEastAsia" w:hAnsiTheme="minorEastAsia" w:eastAsiaTheme="minorEastAsia"/>
          <w:color w:val="auto"/>
          <w:highlight w:val="none"/>
        </w:rPr>
        <w:t>楼栋</w:t>
      </w:r>
      <w:r>
        <w:rPr>
          <w:rFonts w:hint="eastAsia" w:asciiTheme="minorEastAsia" w:hAnsiTheme="minorEastAsia" w:eastAsiaTheme="minorEastAsia"/>
          <w:color w:val="auto"/>
          <w:highlight w:val="none"/>
        </w:rPr>
        <w:t>或</w:t>
      </w:r>
      <w:r>
        <w:rPr>
          <w:rFonts w:asciiTheme="minorEastAsia" w:hAnsiTheme="minorEastAsia" w:eastAsiaTheme="minorEastAsia"/>
          <w:color w:val="auto"/>
          <w:highlight w:val="none"/>
        </w:rPr>
        <w:t>单元热力入口</w:t>
      </w:r>
      <w:r>
        <w:rPr>
          <w:rFonts w:hint="eastAsia" w:asciiTheme="minorEastAsia" w:hAnsiTheme="minorEastAsia" w:eastAsiaTheme="minorEastAsia"/>
          <w:color w:val="auto"/>
          <w:highlight w:val="none"/>
        </w:rPr>
        <w:t>热计量小室的供水管应设置关断阀、过滤器及热量表，回水管应设置关断阀、楼栋或单元智能阀，通过</w:t>
      </w:r>
      <w:r>
        <w:rPr>
          <w:rFonts w:asciiTheme="minorEastAsia" w:hAnsiTheme="minorEastAsia" w:eastAsiaTheme="minorEastAsia"/>
          <w:color w:val="auto"/>
          <w:highlight w:val="none"/>
        </w:rPr>
        <w:t>远程设定及</w:t>
      </w:r>
      <w:r>
        <w:rPr>
          <w:rFonts w:hint="eastAsia" w:asciiTheme="minorEastAsia" w:hAnsiTheme="minorEastAsia" w:eastAsiaTheme="minorEastAsia"/>
          <w:color w:val="auto"/>
          <w:highlight w:val="none"/>
        </w:rPr>
        <w:t>本地</w:t>
      </w:r>
      <w:r>
        <w:rPr>
          <w:rFonts w:asciiTheme="minorEastAsia" w:hAnsiTheme="minorEastAsia" w:eastAsiaTheme="minorEastAsia"/>
          <w:color w:val="auto"/>
          <w:highlight w:val="none"/>
        </w:rPr>
        <w:t>控制，</w:t>
      </w:r>
      <w:r>
        <w:rPr>
          <w:rFonts w:hint="eastAsia" w:asciiTheme="minorEastAsia" w:hAnsiTheme="minorEastAsia" w:eastAsiaTheme="minorEastAsia"/>
          <w:color w:val="auto"/>
          <w:highlight w:val="none"/>
        </w:rPr>
        <w:t>实现楼栋、单元热力入口间的平衡调控，最不利环路处应设置供、回水压力采集装置。热量表和智能阀应采用市电供电，有线通讯的方式。</w:t>
      </w:r>
    </w:p>
    <w:p>
      <w:pPr>
        <w:pStyle w:val="48"/>
        <w:spacing w:before="0" w:beforeLines="0" w:after="0" w:afterLines="0"/>
        <w:rPr>
          <w:rFonts w:asciiTheme="minorEastAsia" w:hAnsiTheme="minorEastAsia" w:eastAsiaTheme="minorEastAsia"/>
          <w:color w:val="auto"/>
          <w:highlight w:val="none"/>
        </w:rPr>
      </w:pPr>
      <w:bookmarkStart w:id="90" w:name="_Toc192091568"/>
      <w:r>
        <w:rPr>
          <w:rFonts w:hint="eastAsia" w:asciiTheme="minorEastAsia" w:hAnsiTheme="minorEastAsia" w:eastAsiaTheme="minorEastAsia"/>
          <w:color w:val="auto"/>
          <w:highlight w:val="none"/>
        </w:rPr>
        <w:t>用户热力入口的供水管应设置关断阀、过滤器及热量表，回水管应设置关断阀和户用智能阀</w:t>
      </w:r>
      <w:bookmarkEnd w:id="90"/>
      <w:r>
        <w:rPr>
          <w:rFonts w:hint="eastAsia" w:asciiTheme="minorEastAsia" w:hAnsiTheme="minorEastAsia" w:eastAsiaTheme="minorEastAsia"/>
          <w:color w:val="auto"/>
          <w:highlight w:val="none"/>
        </w:rPr>
        <w:t>，通过</w:t>
      </w:r>
      <w:r>
        <w:rPr>
          <w:rFonts w:asciiTheme="minorEastAsia" w:hAnsiTheme="minorEastAsia" w:eastAsiaTheme="minorEastAsia"/>
          <w:color w:val="auto"/>
          <w:highlight w:val="none"/>
        </w:rPr>
        <w:t>远程设定及</w:t>
      </w:r>
      <w:r>
        <w:rPr>
          <w:rFonts w:hint="eastAsia" w:asciiTheme="minorEastAsia" w:hAnsiTheme="minorEastAsia" w:eastAsiaTheme="minorEastAsia"/>
          <w:color w:val="auto"/>
          <w:highlight w:val="none"/>
        </w:rPr>
        <w:t>本地</w:t>
      </w:r>
      <w:r>
        <w:rPr>
          <w:rFonts w:asciiTheme="minorEastAsia" w:hAnsiTheme="minorEastAsia" w:eastAsiaTheme="minorEastAsia"/>
          <w:color w:val="auto"/>
          <w:highlight w:val="none"/>
        </w:rPr>
        <w:t>控制，</w:t>
      </w:r>
      <w:r>
        <w:rPr>
          <w:rFonts w:hint="eastAsia" w:asciiTheme="minorEastAsia" w:hAnsiTheme="minorEastAsia" w:eastAsiaTheme="minorEastAsia"/>
          <w:color w:val="auto"/>
          <w:highlight w:val="none"/>
        </w:rPr>
        <w:t>实现用户间热力平衡调控。热量表和智能阀应采用市电供电，有线通讯的方式。</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新建居住建筑室温控制器设置比例应为总用户数的100%。公共建筑应根据热用户不同的功能分区确定数量，每个功能分区室温采集装置不应低于2个，且每400平方米设置不少于1个。有分环路控制系统应按环路数量进行确定。</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室温控制器采用市电供电，无线通信，技术及安装要求按DB11/T</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2035执行。</w:t>
      </w:r>
      <w:bookmarkEnd w:id="86"/>
    </w:p>
    <w:p>
      <w:pPr>
        <w:pStyle w:val="48"/>
        <w:spacing w:before="0" w:beforeLines="0" w:after="0" w:afterLines="0"/>
        <w:rPr>
          <w:rFonts w:asciiTheme="minorEastAsia" w:hAnsiTheme="minorEastAsia" w:eastAsiaTheme="minorEastAsia"/>
          <w:color w:val="auto"/>
          <w:highlight w:val="none"/>
        </w:rPr>
      </w:pPr>
      <w:r>
        <w:rPr>
          <w:rFonts w:asciiTheme="minorEastAsia" w:hAnsiTheme="minorEastAsia" w:eastAsiaTheme="minorEastAsia"/>
          <w:color w:val="auto"/>
          <w:highlight w:val="none"/>
        </w:rPr>
        <w:t>户用智能阀</w:t>
      </w:r>
      <w:r>
        <w:rPr>
          <w:rFonts w:hint="eastAsia" w:asciiTheme="minorEastAsia" w:hAnsiTheme="minorEastAsia" w:eastAsiaTheme="minorEastAsia"/>
          <w:color w:val="auto"/>
          <w:highlight w:val="none"/>
        </w:rPr>
        <w:t>应</w:t>
      </w:r>
      <w:r>
        <w:rPr>
          <w:rFonts w:asciiTheme="minorEastAsia" w:hAnsiTheme="minorEastAsia" w:eastAsiaTheme="minorEastAsia"/>
          <w:color w:val="auto"/>
          <w:highlight w:val="none"/>
        </w:rPr>
        <w:t>与室温控制器联动，满足用户用热的个性化</w:t>
      </w:r>
      <w:r>
        <w:rPr>
          <w:rFonts w:hint="eastAsia" w:asciiTheme="minorEastAsia" w:hAnsiTheme="minorEastAsia" w:eastAsiaTheme="minorEastAsia"/>
          <w:color w:val="auto"/>
          <w:highlight w:val="none"/>
        </w:rPr>
        <w:t>调控</w:t>
      </w:r>
      <w:r>
        <w:rPr>
          <w:rFonts w:asciiTheme="minorEastAsia" w:hAnsiTheme="minorEastAsia" w:eastAsiaTheme="minorEastAsia"/>
          <w:color w:val="auto"/>
          <w:highlight w:val="none"/>
        </w:rPr>
        <w:t>需求。</w:t>
      </w:r>
    </w:p>
    <w:bookmarkEnd w:id="87"/>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新建建筑散热设施选型时，在计算负荷的基础上宜考虑30%富裕量，以满足室温调控下室温响应需求。</w:t>
      </w:r>
    </w:p>
    <w:bookmarkEnd w:id="88"/>
    <w:bookmarkEnd w:id="89"/>
    <w:p>
      <w:pPr>
        <w:pStyle w:val="44"/>
        <w:spacing w:before="156" w:after="156"/>
        <w:rPr>
          <w:color w:val="auto"/>
          <w:highlight w:val="none"/>
        </w:rPr>
      </w:pPr>
      <w:bookmarkStart w:id="91" w:name="_Toc204864114"/>
      <w:bookmarkStart w:id="92" w:name="_Toc192091573"/>
      <w:bookmarkStart w:id="93" w:name="_Toc204694825"/>
      <w:r>
        <w:rPr>
          <w:rFonts w:hint="eastAsia"/>
          <w:color w:val="auto"/>
          <w:highlight w:val="none"/>
        </w:rPr>
        <w:t>协同要求</w:t>
      </w:r>
      <w:bookmarkEnd w:id="91"/>
      <w:bookmarkEnd w:id="92"/>
      <w:bookmarkEnd w:id="93"/>
    </w:p>
    <w:p>
      <w:pPr>
        <w:pStyle w:val="48"/>
        <w:spacing w:before="0" w:beforeLines="0" w:after="0" w:afterLines="0"/>
        <w:rPr>
          <w:rFonts w:asciiTheme="minorEastAsia" w:hAnsiTheme="minorEastAsia" w:eastAsiaTheme="minorEastAsia"/>
          <w:color w:val="auto"/>
          <w:highlight w:val="none"/>
        </w:rPr>
      </w:pPr>
      <w:bookmarkStart w:id="94" w:name="_Toc192091574"/>
      <w:r>
        <w:rPr>
          <w:rFonts w:hint="eastAsia" w:asciiTheme="minorEastAsia" w:hAnsiTheme="minorEastAsia" w:eastAsiaTheme="minorEastAsia"/>
          <w:color w:val="auto"/>
          <w:highlight w:val="none"/>
        </w:rPr>
        <w:t>应搭建具备热计量和智能化等功能的智能监控管理平台，实时掌握相关数据，根据天气情况和用户室温等参数进行双向调节，提高系统安全运行管理水平。</w:t>
      </w:r>
      <w:bookmarkEnd w:id="94"/>
    </w:p>
    <w:p>
      <w:pPr>
        <w:pStyle w:val="48"/>
        <w:spacing w:before="0" w:beforeLines="0" w:after="0" w:afterLines="0"/>
        <w:rPr>
          <w:rFonts w:asciiTheme="minorEastAsia" w:hAnsiTheme="minorEastAsia" w:eastAsiaTheme="minorEastAsia"/>
          <w:color w:val="auto"/>
          <w:highlight w:val="none"/>
        </w:rPr>
      </w:pPr>
      <w:bookmarkStart w:id="95" w:name="_Toc192091576"/>
      <w:r>
        <w:rPr>
          <w:rFonts w:hint="eastAsia" w:asciiTheme="minorEastAsia" w:hAnsiTheme="minorEastAsia" w:eastAsiaTheme="minorEastAsia"/>
          <w:color w:val="auto"/>
          <w:highlight w:val="none"/>
        </w:rPr>
        <w:t>热源宜结合天气预测数据、热源群控模型、一次管网负荷输配模型、热力站负荷需求预测模型以及能源调度模型实现热源至热力站系统的联调联控。</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热力站宜结合天气预测数据、用户热负荷需求，蓄、放热量控制实现热力站与用户的联调联控以适应热用户自主调节的需求。</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用户智能化控制宜结合用户需求、二次管网负荷输配模型实现用户调节装置与室温模型联调联控。</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智能监控管理平台应具备对供热全系统的设备能耗和运行状态进行监测、对故障进行报警和预警的功能；应能利用图、表等手段对室温、管网压力、流量等全系统供热工况数据、GIS信息进行监测和展示，实现各类数据可视化。</w:t>
      </w:r>
      <w:bookmarkEnd w:id="95"/>
    </w:p>
    <w:p>
      <w:pPr>
        <w:pStyle w:val="47"/>
        <w:spacing w:before="312" w:after="312"/>
        <w:rPr>
          <w:color w:val="auto"/>
          <w:highlight w:val="none"/>
        </w:rPr>
      </w:pPr>
      <w:bookmarkStart w:id="96" w:name="_Toc204864115"/>
      <w:bookmarkStart w:id="97" w:name="_Toc204694829"/>
      <w:r>
        <w:rPr>
          <w:rFonts w:hint="eastAsia"/>
          <w:color w:val="auto"/>
          <w:highlight w:val="none"/>
        </w:rPr>
        <w:t>施工调试与验收</w:t>
      </w:r>
      <w:bookmarkEnd w:id="96"/>
      <w:bookmarkEnd w:id="97"/>
    </w:p>
    <w:p>
      <w:pPr>
        <w:pStyle w:val="44"/>
        <w:spacing w:before="156" w:after="156"/>
        <w:rPr>
          <w:color w:val="auto"/>
          <w:highlight w:val="none"/>
        </w:rPr>
      </w:pPr>
      <w:bookmarkStart w:id="98" w:name="_Toc204864116"/>
      <w:bookmarkStart w:id="99" w:name="_Toc204694830"/>
      <w:r>
        <w:rPr>
          <w:rFonts w:hint="eastAsia"/>
          <w:color w:val="auto"/>
          <w:highlight w:val="none"/>
        </w:rPr>
        <w:t>施工</w:t>
      </w:r>
      <w:bookmarkEnd w:id="98"/>
      <w:bookmarkEnd w:id="99"/>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建设单位应在施工前组织设计单位、施工单位及相关单位进行热计量和智能化供热系统施工图会审。</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施工应包括热计量和智能化系统的全部软硬件、仪表设备。</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热计量设备安装前应校验和检定，安装应符合现行国家标准GB</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50411的有关规定。</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监测与调控系统仪表的施工应符合现行国家标准</w:t>
      </w:r>
      <w:r>
        <w:rPr>
          <w:rFonts w:asciiTheme="minorEastAsia" w:hAnsiTheme="minorEastAsia" w:eastAsiaTheme="minorEastAsia"/>
          <w:color w:val="auto"/>
          <w:highlight w:val="none"/>
        </w:rPr>
        <w:t>GB 50093</w:t>
      </w:r>
      <w:r>
        <w:rPr>
          <w:rFonts w:hint="eastAsia" w:asciiTheme="minorEastAsia" w:hAnsiTheme="minorEastAsia" w:eastAsiaTheme="minorEastAsia"/>
          <w:color w:val="auto"/>
          <w:highlight w:val="none"/>
        </w:rPr>
        <w:t>等的有关规定。自动化仪表设备的安装应按产品安装说明书。</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仪表电气线路的施工应符合</w:t>
      </w:r>
      <w:r>
        <w:rPr>
          <w:rFonts w:asciiTheme="minorEastAsia" w:hAnsiTheme="minorEastAsia" w:eastAsiaTheme="minorEastAsia"/>
          <w:color w:val="auto"/>
          <w:highlight w:val="none"/>
        </w:rPr>
        <w:t>GB 50168</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GB 50303</w:t>
      </w:r>
      <w:r>
        <w:rPr>
          <w:rFonts w:hint="eastAsia" w:asciiTheme="minorEastAsia" w:hAnsiTheme="minorEastAsia" w:eastAsiaTheme="minorEastAsia"/>
          <w:color w:val="auto"/>
          <w:highlight w:val="none"/>
        </w:rPr>
        <w:t>和</w:t>
      </w:r>
      <w:r>
        <w:rPr>
          <w:rFonts w:asciiTheme="minorEastAsia" w:hAnsiTheme="minorEastAsia" w:eastAsiaTheme="minorEastAsia"/>
          <w:color w:val="auto"/>
          <w:highlight w:val="none"/>
        </w:rPr>
        <w:t xml:space="preserve">GB 50254 </w:t>
      </w:r>
      <w:r>
        <w:rPr>
          <w:rFonts w:hint="eastAsia" w:asciiTheme="minorEastAsia" w:hAnsiTheme="minorEastAsia" w:eastAsiaTheme="minorEastAsia"/>
          <w:color w:val="auto"/>
          <w:highlight w:val="none"/>
        </w:rPr>
        <w:t>的有关规定。</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信息系统网络的施工应符合</w:t>
      </w:r>
      <w:r>
        <w:rPr>
          <w:rFonts w:asciiTheme="minorEastAsia" w:hAnsiTheme="minorEastAsia" w:eastAsiaTheme="minorEastAsia"/>
          <w:color w:val="auto"/>
          <w:highlight w:val="none"/>
        </w:rPr>
        <w:t>GB/T 50312</w:t>
      </w:r>
      <w:r>
        <w:rPr>
          <w:rFonts w:hint="eastAsia" w:asciiTheme="minorEastAsia" w:hAnsiTheme="minorEastAsia" w:eastAsiaTheme="minorEastAsia"/>
          <w:color w:val="auto"/>
          <w:highlight w:val="none"/>
        </w:rPr>
        <w:t>的有关规定。</w:t>
      </w:r>
    </w:p>
    <w:p>
      <w:pPr>
        <w:pStyle w:val="44"/>
        <w:spacing w:before="156" w:after="156"/>
        <w:rPr>
          <w:color w:val="auto"/>
          <w:highlight w:val="none"/>
        </w:rPr>
      </w:pPr>
      <w:bookmarkStart w:id="100" w:name="_Toc204694831"/>
      <w:bookmarkStart w:id="101" w:name="_Toc204864117"/>
      <w:r>
        <w:rPr>
          <w:rFonts w:hint="eastAsia"/>
          <w:color w:val="auto"/>
          <w:highlight w:val="none"/>
        </w:rPr>
        <w:t>调试</w:t>
      </w:r>
      <w:bookmarkEnd w:id="100"/>
      <w:bookmarkEnd w:id="101"/>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热计量和智能化供热系统安装完成后工程验收前应按相关标准进行试验、清洗和试运行。</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系统调试应在热计量和智能化供热系统施工完毕后、竣工验收前，由施工单位提出申请，并应由建设单位组织各相关方参加调试工作。</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系统调试应包括单机试运转及调试、联合试运转及调试、监测与控制系统调试以及设备系统节能性能检测。</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调试应根据施工图纸、产品技术文件的要求进行。调试前建设单位应组织制定调试方案并确定调试目标，调试结果与调试目标一致视为合格。</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本地调试与智能监控平台调试还应符合</w:t>
      </w:r>
      <w:r>
        <w:rPr>
          <w:rFonts w:asciiTheme="minorEastAsia" w:hAnsiTheme="minorEastAsia" w:eastAsiaTheme="minorEastAsia"/>
          <w:color w:val="auto"/>
          <w:highlight w:val="none"/>
        </w:rPr>
        <w:t>DB11/T 2106.1</w:t>
      </w:r>
      <w:r>
        <w:rPr>
          <w:rFonts w:hint="eastAsia" w:asciiTheme="minorEastAsia" w:hAnsiTheme="minorEastAsia" w:eastAsiaTheme="minorEastAsia"/>
          <w:color w:val="auto"/>
          <w:highlight w:val="none"/>
        </w:rPr>
        <w:t>及</w:t>
      </w:r>
      <w:r>
        <w:rPr>
          <w:rFonts w:asciiTheme="minorEastAsia" w:hAnsiTheme="minorEastAsia" w:eastAsiaTheme="minorEastAsia"/>
          <w:color w:val="auto"/>
          <w:highlight w:val="none"/>
        </w:rPr>
        <w:t>DB11/T 2106.2</w:t>
      </w:r>
      <w:r>
        <w:rPr>
          <w:rFonts w:hint="eastAsia" w:asciiTheme="minorEastAsia" w:hAnsiTheme="minorEastAsia" w:eastAsiaTheme="minorEastAsia"/>
          <w:color w:val="auto"/>
          <w:highlight w:val="none"/>
        </w:rPr>
        <w:t>的相关规定。</w:t>
      </w:r>
    </w:p>
    <w:p>
      <w:pPr>
        <w:pStyle w:val="44"/>
        <w:spacing w:before="156" w:after="156"/>
        <w:rPr>
          <w:color w:val="auto"/>
          <w:highlight w:val="none"/>
        </w:rPr>
      </w:pPr>
      <w:bookmarkStart w:id="102" w:name="_Toc204864118"/>
      <w:bookmarkStart w:id="103" w:name="_Toc204694832"/>
      <w:r>
        <w:rPr>
          <w:rFonts w:hint="eastAsia"/>
          <w:color w:val="auto"/>
          <w:highlight w:val="none"/>
        </w:rPr>
        <w:t>验收</w:t>
      </w:r>
      <w:bookmarkEnd w:id="102"/>
      <w:bookmarkEnd w:id="103"/>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热计量系统的验收应符合CJJ</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28和</w:t>
      </w:r>
      <w:r>
        <w:rPr>
          <w:rFonts w:asciiTheme="minorEastAsia" w:hAnsiTheme="minorEastAsia" w:eastAsiaTheme="minorEastAsia"/>
          <w:color w:val="auto"/>
          <w:highlight w:val="none"/>
        </w:rPr>
        <w:t>GB 50411</w:t>
      </w:r>
      <w:r>
        <w:rPr>
          <w:rFonts w:hint="eastAsia" w:asciiTheme="minorEastAsia" w:hAnsiTheme="minorEastAsia" w:eastAsiaTheme="minorEastAsia"/>
          <w:color w:val="auto"/>
          <w:highlight w:val="none"/>
        </w:rPr>
        <w:t>的有关规定。</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智能设备和智能化系统的验收应符合DB11/T</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2106.3的有关规定。</w:t>
      </w:r>
    </w:p>
    <w:p>
      <w:pPr>
        <w:pStyle w:val="48"/>
        <w:spacing w:before="0" w:beforeLines="0" w:after="0" w:afterLines="0"/>
        <w:rPr>
          <w:rFonts w:asciiTheme="minorEastAsia" w:hAnsiTheme="minorEastAsia" w:eastAsiaTheme="minorEastAsia"/>
          <w:color w:val="auto"/>
          <w:highlight w:val="none"/>
        </w:rPr>
      </w:pPr>
      <w:bookmarkStart w:id="104" w:name="_Toc192091575"/>
      <w:r>
        <w:rPr>
          <w:rFonts w:hint="eastAsia" w:asciiTheme="minorEastAsia" w:hAnsiTheme="minorEastAsia" w:eastAsiaTheme="minorEastAsia"/>
          <w:color w:val="auto"/>
          <w:highlight w:val="none"/>
        </w:rPr>
        <w:t>供热计量系统应结合供热智能监控管理平台进行数字化档案管理。智能监控管理平台的验收应符合</w:t>
      </w:r>
      <w:r>
        <w:rPr>
          <w:rFonts w:asciiTheme="minorEastAsia" w:hAnsiTheme="minorEastAsia" w:eastAsiaTheme="minorEastAsia"/>
          <w:color w:val="auto"/>
          <w:highlight w:val="none"/>
        </w:rPr>
        <w:t>GB/T 16260</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GB/T 14394</w:t>
      </w: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GB/T 22239</w:t>
      </w:r>
      <w:r>
        <w:rPr>
          <w:rFonts w:hint="eastAsia" w:asciiTheme="minorEastAsia" w:hAnsiTheme="minorEastAsia" w:eastAsiaTheme="minorEastAsia"/>
          <w:color w:val="auto"/>
          <w:highlight w:val="none"/>
        </w:rPr>
        <w:t>的相关规定。</w:t>
      </w:r>
      <w:bookmarkEnd w:id="104"/>
    </w:p>
    <w:p>
      <w:pPr>
        <w:pStyle w:val="47"/>
        <w:spacing w:before="312" w:after="312"/>
        <w:rPr>
          <w:color w:val="auto"/>
          <w:highlight w:val="none"/>
        </w:rPr>
      </w:pPr>
      <w:bookmarkStart w:id="105" w:name="_Toc204694833"/>
      <w:bookmarkStart w:id="106" w:name="_Toc204864119"/>
      <w:r>
        <w:rPr>
          <w:rFonts w:hint="eastAsia"/>
          <w:color w:val="auto"/>
          <w:highlight w:val="none"/>
        </w:rPr>
        <w:t>运行维护</w:t>
      </w:r>
      <w:bookmarkEnd w:id="105"/>
      <w:bookmarkEnd w:id="106"/>
    </w:p>
    <w:p>
      <w:pPr>
        <w:pStyle w:val="44"/>
        <w:spacing w:before="156" w:after="156"/>
        <w:rPr>
          <w:color w:val="auto"/>
          <w:highlight w:val="none"/>
        </w:rPr>
      </w:pPr>
      <w:bookmarkStart w:id="107" w:name="_Toc204694834"/>
      <w:bookmarkStart w:id="108" w:name="_Toc204864120"/>
      <w:r>
        <w:rPr>
          <w:rFonts w:hint="eastAsia"/>
          <w:color w:val="auto"/>
          <w:highlight w:val="none"/>
        </w:rPr>
        <w:t>运行</w:t>
      </w:r>
      <w:bookmarkEnd w:id="107"/>
      <w:bookmarkEnd w:id="108"/>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供热计量系统设备及数据应利用智能监控管理平台进行管理，通过在线数据诊断与现场定期巡检结合进行设备维护管理，热表宜实现远程校准。</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供热系统数据应至少每天进行1次自动备份，热计量数据保存时间不少于5个采暖季，其他数据保存时间不少于3个采暖季。</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管理平台显示数据与现场数据一致性的核查应每年进行</w:t>
      </w: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次。</w:t>
      </w:r>
    </w:p>
    <w:p>
      <w:pPr>
        <w:pStyle w:val="44"/>
        <w:spacing w:before="156" w:after="156"/>
        <w:rPr>
          <w:color w:val="auto"/>
          <w:highlight w:val="none"/>
        </w:rPr>
      </w:pPr>
      <w:bookmarkStart w:id="109" w:name="_Toc204864121"/>
      <w:bookmarkStart w:id="110" w:name="_Toc204694836"/>
      <w:r>
        <w:rPr>
          <w:rFonts w:hint="eastAsia"/>
          <w:color w:val="auto"/>
          <w:highlight w:val="none"/>
        </w:rPr>
        <w:t>维护</w:t>
      </w:r>
      <w:bookmarkEnd w:id="109"/>
      <w:bookmarkEnd w:id="110"/>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供热单位应保障供热设备完好、系统调节控制功能有效，并具备持续更新的能力。</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供热单位应根据用户的用热需求，合理组织供热系统运行。</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供热单位应在供热前对下列内容进行检查：</w:t>
      </w:r>
    </w:p>
    <w:p>
      <w:pPr>
        <w:pStyle w:val="53"/>
        <w:numPr>
          <w:ilvl w:val="3"/>
          <w:numId w:val="20"/>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确保服务器运行正常；</w:t>
      </w:r>
    </w:p>
    <w:p>
      <w:pPr>
        <w:pStyle w:val="53"/>
        <w:numPr>
          <w:ilvl w:val="3"/>
          <w:numId w:val="20"/>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确保网络传输畅通；</w:t>
      </w:r>
    </w:p>
    <w:p>
      <w:pPr>
        <w:pStyle w:val="53"/>
        <w:numPr>
          <w:ilvl w:val="3"/>
          <w:numId w:val="20"/>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确保软件运行正常；</w:t>
      </w:r>
    </w:p>
    <w:p>
      <w:pPr>
        <w:pStyle w:val="53"/>
        <w:numPr>
          <w:ilvl w:val="3"/>
          <w:numId w:val="20"/>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确保热计量设备、智能设备正常。</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供热单位应制定热计量和智能化供热系统运行方案和应急预案。</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供热单位应按照</w:t>
      </w:r>
      <w:r>
        <w:rPr>
          <w:rFonts w:asciiTheme="minorEastAsia" w:hAnsiTheme="minorEastAsia" w:eastAsiaTheme="minorEastAsia"/>
          <w:color w:val="auto"/>
          <w:highlight w:val="none"/>
        </w:rPr>
        <w:t>CJJ/T 223</w:t>
      </w:r>
      <w:r>
        <w:rPr>
          <w:rFonts w:hint="eastAsia" w:asciiTheme="minorEastAsia" w:hAnsiTheme="minorEastAsia" w:eastAsiaTheme="minorEastAsia"/>
          <w:color w:val="auto"/>
          <w:highlight w:val="none"/>
        </w:rPr>
        <w:t>要求对热计量系统的设备进行运行核查。</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热量表的检定应执行</w:t>
      </w:r>
      <w:r>
        <w:rPr>
          <w:rFonts w:asciiTheme="minorEastAsia" w:hAnsiTheme="minorEastAsia" w:eastAsiaTheme="minorEastAsia"/>
          <w:color w:val="auto"/>
          <w:highlight w:val="none"/>
        </w:rPr>
        <w:t>JJG 225</w:t>
      </w:r>
      <w:r>
        <w:rPr>
          <w:rFonts w:hint="eastAsia" w:asciiTheme="minorEastAsia" w:hAnsiTheme="minorEastAsia" w:eastAsiaTheme="minorEastAsia"/>
          <w:color w:val="auto"/>
          <w:highlight w:val="none"/>
        </w:rPr>
        <w:t>的相关要求。</w:t>
      </w:r>
    </w:p>
    <w:p>
      <w:pPr>
        <w:pStyle w:val="48"/>
        <w:spacing w:before="0" w:beforeLines="0" w:after="0" w:afterLines="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供热单位应采取有效措施保证系统正常运行，并应符合下列规定：</w:t>
      </w:r>
    </w:p>
    <w:p>
      <w:pPr>
        <w:pStyle w:val="53"/>
        <w:numPr>
          <w:ilvl w:val="3"/>
          <w:numId w:val="21"/>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定期清洗供热计量系统中的过滤器；</w:t>
      </w:r>
    </w:p>
    <w:p>
      <w:pPr>
        <w:pStyle w:val="53"/>
        <w:numPr>
          <w:ilvl w:val="3"/>
          <w:numId w:val="21"/>
        </w:numPr>
        <w:spacing w:before="0" w:beforeLines="0" w:after="0" w:afterLines="0"/>
        <w:ind w:left="840" w:leftChars="4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定期检查热量表、智能阀、传感器、室温控制器等物联网设备供电、通讯状态，确保正   </w:t>
      </w:r>
    </w:p>
    <w:p>
      <w:pPr>
        <w:pStyle w:val="53"/>
        <w:numPr>
          <w:ilvl w:val="0"/>
          <w:numId w:val="0"/>
        </w:numPr>
        <w:spacing w:before="0" w:beforeLines="0" w:after="0" w:afterLines="0"/>
        <w:ind w:left="840"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常工作。</w:t>
      </w:r>
      <w:bookmarkStart w:id="124" w:name="_GoBack"/>
      <w:bookmarkEnd w:id="124"/>
    </w:p>
    <w:p>
      <w:pPr>
        <w:pStyle w:val="25"/>
        <w:rPr>
          <w:color w:val="auto"/>
          <w:highlight w:val="none"/>
        </w:rPr>
      </w:pPr>
    </w:p>
    <w:p>
      <w:pPr>
        <w:pStyle w:val="86"/>
        <w:pageBreakBefore/>
        <w:rPr>
          <w:color w:val="auto"/>
          <w:highlight w:val="none"/>
        </w:rPr>
      </w:pPr>
      <w:r>
        <w:rPr>
          <w:color w:val="auto"/>
          <w:highlight w:val="none"/>
        </w:rPr>
        <w:br w:type="textWrapping"/>
      </w:r>
      <w:bookmarkStart w:id="111" w:name="_Toc192091583"/>
      <w:bookmarkStart w:id="112" w:name="_Toc204694837"/>
      <w:bookmarkStart w:id="113" w:name="_Toc204864122"/>
      <w:r>
        <w:rPr>
          <w:rFonts w:hint="eastAsia"/>
          <w:color w:val="auto"/>
          <w:highlight w:val="none"/>
        </w:rPr>
        <w:t>（规范性）</w:t>
      </w:r>
      <w:r>
        <w:rPr>
          <w:color w:val="auto"/>
          <w:highlight w:val="none"/>
        </w:rPr>
        <w:br w:type="textWrapping"/>
      </w:r>
      <w:bookmarkEnd w:id="111"/>
      <w:r>
        <w:rPr>
          <w:rFonts w:hint="eastAsia"/>
          <w:color w:val="auto"/>
          <w:highlight w:val="none"/>
        </w:rPr>
        <w:t>热计量和智能化供热数据采集</w:t>
      </w:r>
      <w:bookmarkEnd w:id="112"/>
      <w:bookmarkEnd w:id="113"/>
    </w:p>
    <w:p>
      <w:pPr>
        <w:spacing w:before="156" w:beforeLines="50" w:after="156" w:afterLines="50"/>
        <w:rPr>
          <w:rFonts w:ascii="宋体" w:hAnsi="宋体"/>
          <w:color w:val="auto"/>
          <w:szCs w:val="21"/>
          <w:highlight w:val="none"/>
        </w:rPr>
      </w:pPr>
      <w:bookmarkStart w:id="114" w:name="_Toc192091587"/>
      <w:r>
        <w:rPr>
          <w:rFonts w:hint="eastAsia" w:ascii="宋体" w:hAnsi="宋体"/>
          <w:color w:val="auto"/>
          <w:szCs w:val="21"/>
          <w:highlight w:val="none"/>
        </w:rPr>
        <w:t>A</w:t>
      </w:r>
      <w:r>
        <w:rPr>
          <w:rFonts w:ascii="宋体" w:hAnsi="宋体"/>
          <w:color w:val="auto"/>
          <w:szCs w:val="21"/>
          <w:highlight w:val="none"/>
        </w:rPr>
        <w:t>.1　</w:t>
      </w:r>
      <w:r>
        <w:rPr>
          <w:rFonts w:hint="eastAsia" w:ascii="宋体" w:hAnsi="宋体"/>
          <w:color w:val="auto"/>
          <w:szCs w:val="21"/>
          <w:highlight w:val="none"/>
        </w:rPr>
        <w:t>热源数据采集应符合</w:t>
      </w:r>
      <w:r>
        <w:rPr>
          <w:rFonts w:ascii="宋体" w:hAnsi="宋体"/>
          <w:color w:val="auto"/>
          <w:szCs w:val="21"/>
          <w:highlight w:val="none"/>
        </w:rPr>
        <w:t>表A.1的</w:t>
      </w:r>
      <w:r>
        <w:rPr>
          <w:rFonts w:hint="eastAsia" w:ascii="宋体" w:hAnsi="宋体"/>
          <w:color w:val="auto"/>
          <w:szCs w:val="21"/>
          <w:highlight w:val="none"/>
        </w:rPr>
        <w:t>规定。</w:t>
      </w:r>
    </w:p>
    <w:p>
      <w:pPr>
        <w:snapToGrid w:val="0"/>
        <w:spacing w:before="156" w:beforeLines="50" w:after="156" w:afterLines="50"/>
        <w:jc w:val="center"/>
        <w:rPr>
          <w:rFonts w:ascii="黑体" w:hAnsi="黑体" w:eastAsia="黑体"/>
          <w:color w:val="auto"/>
          <w:szCs w:val="21"/>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A.1　热源数据</w:t>
      </w:r>
      <w:r>
        <w:rPr>
          <w:rFonts w:hint="eastAsia" w:ascii="黑体" w:hAnsi="黑体" w:eastAsia="黑体"/>
          <w:color w:val="auto"/>
          <w:szCs w:val="21"/>
          <w:highlight w:val="none"/>
        </w:rPr>
        <w:t>采集</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1750"/>
        <w:gridCol w:w="1263"/>
        <w:gridCol w:w="1587"/>
        <w:gridCol w:w="1838"/>
        <w:gridCol w:w="1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679" w:type="pct"/>
            <w:tcBorders>
              <w:top w:val="single" w:color="auto" w:sz="12" w:space="0"/>
              <w:left w:val="single" w:color="auto" w:sz="12" w:space="0"/>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类别</w:t>
            </w:r>
          </w:p>
        </w:tc>
        <w:tc>
          <w:tcPr>
            <w:tcW w:w="1574" w:type="pct"/>
            <w:gridSpan w:val="2"/>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项目</w:t>
            </w:r>
          </w:p>
        </w:tc>
        <w:tc>
          <w:tcPr>
            <w:tcW w:w="829" w:type="pct"/>
            <w:tcBorders>
              <w:top w:val="single" w:color="auto" w:sz="12" w:space="0"/>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单位</w:t>
            </w:r>
          </w:p>
        </w:tc>
        <w:tc>
          <w:tcPr>
            <w:tcW w:w="960" w:type="pct"/>
            <w:tcBorders>
              <w:top w:val="single" w:color="auto" w:sz="12" w:space="0"/>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数据类型</w:t>
            </w:r>
          </w:p>
        </w:tc>
        <w:tc>
          <w:tcPr>
            <w:tcW w:w="958" w:type="pct"/>
            <w:tcBorders>
              <w:top w:val="single" w:color="auto" w:sz="12" w:space="0"/>
              <w:bottom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采集周期</w:t>
            </w:r>
          </w:p>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9" w:type="pct"/>
            <w:vMerge w:val="restart"/>
            <w:tcBorders>
              <w:top w:val="single" w:color="auto" w:sz="12" w:space="0"/>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运行参数（总管及</w:t>
            </w:r>
            <w:r>
              <w:rPr>
                <w:rFonts w:hint="eastAsia" w:cs="Times New Roman" w:asciiTheme="minorEastAsia" w:hAnsiTheme="minorEastAsia" w:eastAsiaTheme="minorEastAsia"/>
                <w:color w:val="auto"/>
                <w:sz w:val="18"/>
                <w:szCs w:val="18"/>
                <w:highlight w:val="none"/>
              </w:rPr>
              <w:t>各分系统总管</w:t>
            </w:r>
            <w:r>
              <w:rPr>
                <w:rFonts w:cs="Times New Roman" w:asciiTheme="minorEastAsia" w:hAnsiTheme="minorEastAsia" w:eastAsiaTheme="minorEastAsia"/>
                <w:color w:val="auto"/>
                <w:sz w:val="18"/>
                <w:szCs w:val="18"/>
                <w:highlight w:val="none"/>
              </w:rPr>
              <w:t>）</w:t>
            </w:r>
          </w:p>
        </w:tc>
        <w:tc>
          <w:tcPr>
            <w:tcW w:w="914" w:type="pct"/>
            <w:vMerge w:val="restart"/>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流量</w:t>
            </w:r>
          </w:p>
        </w:tc>
        <w:tc>
          <w:tcPr>
            <w:tcW w:w="660" w:type="pct"/>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829" w:type="pct"/>
            <w:tcBorders>
              <w:top w:val="single" w:color="auto" w:sz="12" w:space="0"/>
              <w:bottom w:val="single" w:color="auto" w:sz="4"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960" w:type="pct"/>
            <w:vMerge w:val="restart"/>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vMerge w:val="restart"/>
            <w:tcBorders>
              <w:top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829" w:type="pct"/>
            <w:tcBorders>
              <w:top w:val="single" w:color="auto" w:sz="4"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t</w:t>
            </w:r>
          </w:p>
        </w:tc>
        <w:tc>
          <w:tcPr>
            <w:tcW w:w="960"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58" w:type="pct"/>
            <w:vMerge w:val="continue"/>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热量</w:t>
            </w: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w:t>
            </w:r>
          </w:p>
        </w:tc>
        <w:tc>
          <w:tcPr>
            <w:tcW w:w="960"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vMerge w:val="restar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GJ</w:t>
            </w:r>
          </w:p>
        </w:tc>
        <w:tc>
          <w:tcPr>
            <w:tcW w:w="960"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58" w:type="pct"/>
            <w:vMerge w:val="continue"/>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供水温度</w:t>
            </w:r>
          </w:p>
        </w:tc>
        <w:tc>
          <w:tcPr>
            <w:tcW w:w="829"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回水温度</w:t>
            </w:r>
          </w:p>
        </w:tc>
        <w:tc>
          <w:tcPr>
            <w:tcW w:w="829"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供水压力</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回水压力</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排烟温度</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9" w:type="pct"/>
            <w:vMerge w:val="restart"/>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能耗</w:t>
            </w:r>
          </w:p>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参数</w:t>
            </w:r>
          </w:p>
        </w:tc>
        <w:tc>
          <w:tcPr>
            <w:tcW w:w="914"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补水量</w:t>
            </w: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960"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vMerge w:val="restar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960" w:type="pct"/>
            <w:vMerge w:val="continue"/>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58" w:type="pct"/>
            <w:vMerge w:val="continue"/>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总用电量</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kWh</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1574" w:type="pct"/>
            <w:gridSpan w:val="2"/>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大于</w:t>
            </w:r>
            <w:r>
              <w:rPr>
                <w:rFonts w:hint="eastAsia" w:cs="Times New Roman" w:asciiTheme="minorEastAsia" w:hAnsiTheme="minorEastAsia" w:eastAsiaTheme="minorEastAsia"/>
                <w:color w:val="auto"/>
                <w:sz w:val="18"/>
                <w:szCs w:val="18"/>
                <w:highlight w:val="none"/>
              </w:rPr>
              <w:t>55k</w:t>
            </w:r>
            <w:r>
              <w:rPr>
                <w:rFonts w:cs="Times New Roman" w:asciiTheme="minorEastAsia" w:hAnsiTheme="minorEastAsia" w:eastAsiaTheme="minorEastAsia"/>
                <w:color w:val="auto"/>
                <w:sz w:val="18"/>
                <w:szCs w:val="18"/>
                <w:highlight w:val="none"/>
              </w:rPr>
              <w:t>W设备用电量</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kWh</w:t>
            </w:r>
          </w:p>
        </w:tc>
        <w:tc>
          <w:tcPr>
            <w:tcW w:w="960"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79" w:type="pct"/>
            <w:vMerge w:val="continue"/>
            <w:tcBorders>
              <w:lef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燃气流量</w:t>
            </w:r>
          </w:p>
        </w:tc>
        <w:tc>
          <w:tcPr>
            <w:tcW w:w="660"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829"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960" w:type="pct"/>
            <w:vMerge w:val="restar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8"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79" w:type="pct"/>
            <w:vMerge w:val="continue"/>
            <w:tcBorders>
              <w:left w:val="single" w:color="auto" w:sz="12" w:space="0"/>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14" w:type="pct"/>
            <w:vMerge w:val="continue"/>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660" w:type="pct"/>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829" w:type="pct"/>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960" w:type="pct"/>
            <w:vMerge w:val="continue"/>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p>
        </w:tc>
        <w:tc>
          <w:tcPr>
            <w:tcW w:w="958" w:type="pct"/>
            <w:tcBorders>
              <w:bottom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bl>
    <w:p>
      <w:pPr>
        <w:spacing w:before="156" w:beforeLines="50" w:after="156" w:afterLines="5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.2</w:t>
      </w:r>
      <w:r>
        <w:rPr>
          <w:rFonts w:hint="eastAsia" w:ascii="宋体" w:hAnsi="宋体"/>
          <w:color w:val="auto"/>
          <w:szCs w:val="21"/>
          <w:highlight w:val="none"/>
        </w:rPr>
        <w:t>供热管网数据采集应符合</w:t>
      </w:r>
      <w:r>
        <w:rPr>
          <w:rFonts w:ascii="宋体" w:hAnsi="宋体"/>
          <w:color w:val="auto"/>
          <w:szCs w:val="21"/>
          <w:highlight w:val="none"/>
        </w:rPr>
        <w:t>表A.2的</w:t>
      </w:r>
      <w:r>
        <w:rPr>
          <w:rFonts w:hint="eastAsia" w:ascii="宋体" w:hAnsi="宋体"/>
          <w:color w:val="auto"/>
          <w:szCs w:val="21"/>
          <w:highlight w:val="none"/>
        </w:rPr>
        <w:t>规定。</w:t>
      </w:r>
    </w:p>
    <w:p>
      <w:pPr>
        <w:snapToGrid w:val="0"/>
        <w:spacing w:before="156" w:beforeLines="50" w:after="156" w:afterLines="50"/>
        <w:jc w:val="center"/>
        <w:rPr>
          <w:rFonts w:ascii="黑体" w:hAnsi="黑体" w:eastAsia="黑体"/>
          <w:color w:val="auto"/>
          <w:szCs w:val="21"/>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A.2　</w:t>
      </w:r>
      <w:r>
        <w:rPr>
          <w:rFonts w:hint="eastAsia" w:ascii="黑体" w:hAnsi="黑体" w:eastAsia="黑体"/>
          <w:color w:val="auto"/>
          <w:szCs w:val="21"/>
          <w:highlight w:val="none"/>
        </w:rPr>
        <w:t>供热管网数据采集</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053"/>
        <w:gridCol w:w="1464"/>
        <w:gridCol w:w="1878"/>
        <w:gridCol w:w="18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678" w:type="pct"/>
            <w:tcBorders>
              <w:top w:val="single" w:color="auto" w:sz="12" w:space="0"/>
              <w:left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bookmarkStart w:id="115" w:name="_Toc162629246"/>
            <w:bookmarkStart w:id="116" w:name="_Toc162626657"/>
            <w:r>
              <w:rPr>
                <w:rFonts w:asciiTheme="minorEastAsia" w:hAnsiTheme="minorEastAsia" w:eastAsiaTheme="minorEastAsia"/>
                <w:bCs/>
                <w:color w:val="auto"/>
                <w:sz w:val="18"/>
                <w:szCs w:val="18"/>
                <w:highlight w:val="none"/>
              </w:rPr>
              <w:t>类别</w:t>
            </w:r>
          </w:p>
        </w:tc>
        <w:tc>
          <w:tcPr>
            <w:tcW w:w="1595" w:type="pct"/>
            <w:tcBorders>
              <w:top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项目</w:t>
            </w:r>
          </w:p>
        </w:tc>
        <w:tc>
          <w:tcPr>
            <w:tcW w:w="765" w:type="pct"/>
            <w:tcBorders>
              <w:top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单位</w:t>
            </w:r>
          </w:p>
        </w:tc>
        <w:tc>
          <w:tcPr>
            <w:tcW w:w="981" w:type="pct"/>
            <w:tcBorders>
              <w:top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数据类型</w:t>
            </w:r>
          </w:p>
        </w:tc>
        <w:tc>
          <w:tcPr>
            <w:tcW w:w="981" w:type="pct"/>
            <w:tcBorders>
              <w:top w:val="single" w:color="auto" w:sz="12" w:space="0"/>
              <w:bottom w:val="single" w:color="auto" w:sz="12" w:space="0"/>
              <w:right w:val="single" w:color="auto" w:sz="12" w:space="0"/>
            </w:tcBorders>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采集周期</w:t>
            </w:r>
          </w:p>
          <w:p>
            <w:pPr>
              <w:pStyle w:val="147"/>
              <w:spacing w:before="0" w:after="0"/>
              <w:ind w:firstLine="0" w:firstLineChars="0"/>
              <w:rPr>
                <w:rFonts w:asciiTheme="minorEastAsia" w:hAnsiTheme="minorEastAsia" w:eastAsiaTheme="minorEastAsia"/>
                <w:bCs/>
                <w:color w:val="auto"/>
                <w:sz w:val="18"/>
                <w:szCs w:val="18"/>
                <w:highlight w:val="none"/>
              </w:rPr>
            </w:pPr>
            <w:r>
              <w:rPr>
                <w:rFonts w:cs="Times New Roman" w:asciiTheme="minorEastAsia" w:hAnsiTheme="minorEastAsia" w:eastAsiaTheme="minorEastAsia"/>
                <w:bCs/>
                <w:color w:val="auto"/>
                <w:sz w:val="18"/>
                <w:szCs w:val="18"/>
                <w:highlight w:val="none"/>
              </w:rPr>
              <w:t>（min</w:t>
            </w:r>
            <w:r>
              <w:rPr>
                <w:rFonts w:hint="eastAsia" w:asciiTheme="minorEastAsia" w:hAnsiTheme="minorEastAsia" w:eastAsiaTheme="minorEastAsia"/>
                <w:bCs/>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8" w:type="pct"/>
            <w:vMerge w:val="restart"/>
            <w:tcBorders>
              <w:top w:val="single" w:color="auto" w:sz="12" w:space="0"/>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运行</w:t>
            </w:r>
          </w:p>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参数</w:t>
            </w:r>
          </w:p>
        </w:tc>
        <w:tc>
          <w:tcPr>
            <w:tcW w:w="1595" w:type="pct"/>
            <w:tcBorders>
              <w:top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供水温度</w:t>
            </w:r>
          </w:p>
        </w:tc>
        <w:tc>
          <w:tcPr>
            <w:tcW w:w="765" w:type="pct"/>
            <w:tcBorders>
              <w:top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81" w:type="pct"/>
            <w:tcBorders>
              <w:top w:val="single" w:color="auto" w:sz="12" w:space="0"/>
            </w:tcBorders>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top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供水压力</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回</w:t>
            </w:r>
            <w:r>
              <w:rPr>
                <w:rFonts w:hint="eastAsia" w:asciiTheme="minorEastAsia" w:hAnsiTheme="minorEastAsia" w:eastAsiaTheme="minorEastAsia"/>
                <w:color w:val="auto"/>
                <w:sz w:val="18"/>
                <w:szCs w:val="18"/>
                <w:highlight w:val="none"/>
              </w:rPr>
              <w:t>水</w:t>
            </w:r>
            <w:r>
              <w:rPr>
                <w:rFonts w:asciiTheme="minorEastAsia" w:hAnsiTheme="minorEastAsia" w:eastAsiaTheme="minorEastAsia"/>
                <w:color w:val="auto"/>
                <w:sz w:val="18"/>
                <w:szCs w:val="18"/>
                <w:highlight w:val="none"/>
              </w:rPr>
              <w:t>温度</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回水压力</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瞬时流量</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累计流量</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瞬时热量</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累计热量</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GJ</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bCs/>
                <w:color w:val="auto"/>
                <w:sz w:val="18"/>
                <w:szCs w:val="18"/>
                <w:highlight w:val="none"/>
              </w:rPr>
              <w:t>电动阀门开度</w:t>
            </w:r>
          </w:p>
        </w:tc>
        <w:tc>
          <w:tcPr>
            <w:tcW w:w="765" w:type="pct"/>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bCs/>
                <w:color w:val="auto"/>
                <w:sz w:val="18"/>
                <w:szCs w:val="18"/>
                <w:highlight w:val="none"/>
              </w:rPr>
              <w:t>%</w:t>
            </w:r>
          </w:p>
        </w:tc>
        <w:tc>
          <w:tcPr>
            <w:tcW w:w="981" w:type="pct"/>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bCs/>
                <w:color w:val="auto"/>
                <w:sz w:val="18"/>
                <w:szCs w:val="18"/>
                <w:highlight w:val="none"/>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restart"/>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设备</w:t>
            </w:r>
          </w:p>
          <w:p>
            <w:pPr>
              <w:pStyle w:val="147"/>
              <w:spacing w:before="0" w:after="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状态参数</w:t>
            </w:r>
          </w:p>
        </w:tc>
        <w:tc>
          <w:tcPr>
            <w:tcW w:w="1595" w:type="pct"/>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hint="eastAsia" w:asciiTheme="minorEastAsia" w:hAnsiTheme="minorEastAsia" w:eastAsiaTheme="minorEastAsia"/>
                <w:bCs/>
                <w:color w:val="auto"/>
                <w:sz w:val="18"/>
                <w:szCs w:val="18"/>
                <w:highlight w:val="none"/>
              </w:rPr>
              <w:t>补偿器状态</w:t>
            </w:r>
          </w:p>
        </w:tc>
        <w:tc>
          <w:tcPr>
            <w:tcW w:w="765" w:type="pct"/>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cs="Times New Roman" w:asciiTheme="minorEastAsia" w:hAnsiTheme="minorEastAsia" w:eastAsiaTheme="minorEastAsia"/>
                <w:bCs/>
                <w:color w:val="auto"/>
                <w:sz w:val="18"/>
                <w:szCs w:val="18"/>
                <w:highlight w:val="none"/>
              </w:rPr>
              <w:t>%</w:t>
            </w:r>
          </w:p>
        </w:tc>
        <w:tc>
          <w:tcPr>
            <w:tcW w:w="981" w:type="pct"/>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vAlign w:val="center"/>
          </w:tcPr>
          <w:p>
            <w:pPr>
              <w:pStyle w:val="147"/>
              <w:spacing w:before="0" w:after="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电动阀门</w:t>
            </w:r>
            <w:r>
              <w:rPr>
                <w:rFonts w:hint="eastAsia" w:asciiTheme="minorEastAsia" w:hAnsiTheme="minorEastAsia" w:eastAsiaTheme="minorEastAsia"/>
                <w:bCs/>
                <w:color w:val="auto"/>
                <w:sz w:val="18"/>
                <w:szCs w:val="18"/>
                <w:highlight w:val="none"/>
              </w:rPr>
              <w:t>状态</w:t>
            </w:r>
          </w:p>
        </w:tc>
        <w:tc>
          <w:tcPr>
            <w:tcW w:w="765" w:type="pct"/>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cs="Times New Roman" w:asciiTheme="minorEastAsia" w:hAnsiTheme="minorEastAsia" w:eastAsiaTheme="minorEastAsia"/>
                <w:bCs/>
                <w:color w:val="auto"/>
                <w:sz w:val="18"/>
                <w:szCs w:val="18"/>
                <w:highlight w:val="none"/>
              </w:rPr>
              <w:t>%</w:t>
            </w:r>
          </w:p>
        </w:tc>
        <w:tc>
          <w:tcPr>
            <w:tcW w:w="981" w:type="pct"/>
            <w:vAlign w:val="center"/>
          </w:tcPr>
          <w:p>
            <w:pPr>
              <w:pStyle w:val="147"/>
              <w:spacing w:before="0" w:after="0"/>
              <w:ind w:firstLine="0" w:firstLineChars="0"/>
              <w:rPr>
                <w:rFonts w:cs="Times New Roman" w:asciiTheme="minorEastAsia" w:hAnsiTheme="minorEastAsia" w:eastAsiaTheme="minorEastAsia"/>
                <w:bCs/>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81" w:type="pct"/>
            <w:tcBorders>
              <w:right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bottom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p>
        </w:tc>
        <w:tc>
          <w:tcPr>
            <w:tcW w:w="1595" w:type="pct"/>
            <w:tcBorders>
              <w:bottom w:val="single" w:color="auto" w:sz="12" w:space="0"/>
            </w:tcBorders>
            <w:vAlign w:val="center"/>
          </w:tcPr>
          <w:p>
            <w:pPr>
              <w:pStyle w:val="147"/>
              <w:spacing w:before="0" w:after="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通讯设备</w:t>
            </w:r>
            <w:r>
              <w:rPr>
                <w:rFonts w:asciiTheme="minorEastAsia" w:hAnsiTheme="minorEastAsia" w:eastAsiaTheme="minorEastAsia"/>
                <w:color w:val="auto"/>
                <w:sz w:val="18"/>
                <w:szCs w:val="18"/>
                <w:highlight w:val="none"/>
              </w:rPr>
              <w:t>状态</w:t>
            </w:r>
          </w:p>
        </w:tc>
        <w:tc>
          <w:tcPr>
            <w:tcW w:w="765" w:type="pct"/>
            <w:tcBorders>
              <w:bottom w:val="single" w:color="auto" w:sz="12" w:space="0"/>
            </w:tcBorders>
            <w:noWrap/>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w:t>
            </w:r>
          </w:p>
        </w:tc>
        <w:tc>
          <w:tcPr>
            <w:tcW w:w="981" w:type="pct"/>
            <w:tcBorders>
              <w:bottom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布尔型</w:t>
            </w:r>
          </w:p>
        </w:tc>
        <w:tc>
          <w:tcPr>
            <w:tcW w:w="981" w:type="pct"/>
            <w:tcBorders>
              <w:bottom w:val="single" w:color="auto" w:sz="12" w:space="0"/>
              <w:right w:val="single" w:color="auto" w:sz="12" w:space="0"/>
            </w:tcBorders>
            <w:vAlign w:val="center"/>
          </w:tcPr>
          <w:p>
            <w:pPr>
              <w:pStyle w:val="147"/>
              <w:spacing w:before="0" w:after="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 w:type="pct"/>
            <w:gridSpan w:val="5"/>
            <w:tcBorders>
              <w:left w:val="single" w:color="auto" w:sz="12" w:space="0"/>
              <w:bottom w:val="single" w:color="auto" w:sz="12" w:space="0"/>
              <w:right w:val="single" w:color="auto" w:sz="12" w:space="0"/>
            </w:tcBorders>
            <w:vAlign w:val="center"/>
          </w:tcPr>
          <w:p>
            <w:pPr>
              <w:pStyle w:val="147"/>
              <w:spacing w:before="0" w:after="0"/>
              <w:ind w:firstLine="0" w:firstLineChars="0"/>
              <w:jc w:val="left"/>
              <w:rPr>
                <w:rFonts w:asciiTheme="minorEastAsia" w:hAnsiTheme="minorEastAsia" w:eastAsiaTheme="minorEastAsia"/>
                <w:color w:val="auto"/>
                <w:sz w:val="18"/>
                <w:szCs w:val="18"/>
                <w:highlight w:val="none"/>
              </w:rPr>
            </w:pPr>
            <w:r>
              <w:rPr>
                <w:rFonts w:hint="eastAsia" w:ascii="黑体" w:hAnsi="黑体"/>
                <w:color w:val="auto"/>
                <w:sz w:val="18"/>
                <w:szCs w:val="18"/>
                <w:highlight w:val="none"/>
              </w:rPr>
              <w:t>注1：</w:t>
            </w:r>
            <w:r>
              <w:rPr>
                <w:rFonts w:hint="eastAsia" w:eastAsia="宋体"/>
                <w:color w:val="auto"/>
                <w:sz w:val="18"/>
                <w:szCs w:val="18"/>
                <w:highlight w:val="none"/>
              </w:rPr>
              <w:t>管网在关键节点配置采集装置并上传。</w:t>
            </w:r>
          </w:p>
        </w:tc>
      </w:tr>
    </w:tbl>
    <w:p>
      <w:pPr>
        <w:spacing w:before="156" w:beforeLines="50" w:after="156" w:afterLines="5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.3</w:t>
      </w:r>
      <w:bookmarkEnd w:id="115"/>
      <w:bookmarkEnd w:id="116"/>
      <w:r>
        <w:rPr>
          <w:rFonts w:ascii="宋体" w:hAnsi="宋体"/>
          <w:color w:val="auto"/>
          <w:szCs w:val="21"/>
          <w:highlight w:val="none"/>
        </w:rPr>
        <w:t>热力站数据采集</w:t>
      </w:r>
      <w:r>
        <w:rPr>
          <w:rFonts w:hint="eastAsia" w:ascii="宋体" w:hAnsi="宋体"/>
          <w:color w:val="auto"/>
          <w:szCs w:val="21"/>
          <w:highlight w:val="none"/>
        </w:rPr>
        <w:t>应</w:t>
      </w:r>
      <w:r>
        <w:rPr>
          <w:rFonts w:ascii="宋体" w:hAnsi="宋体"/>
          <w:color w:val="auto"/>
          <w:szCs w:val="21"/>
          <w:highlight w:val="none"/>
        </w:rPr>
        <w:t>符合表A.3的规定。</w:t>
      </w:r>
    </w:p>
    <w:p>
      <w:pPr>
        <w:spacing w:before="156" w:beforeLines="50" w:after="156" w:afterLines="50"/>
        <w:rPr>
          <w:rFonts w:ascii="宋体" w:hAnsi="宋体"/>
          <w:color w:val="auto"/>
          <w:szCs w:val="21"/>
          <w:highlight w:val="none"/>
        </w:rPr>
      </w:pPr>
    </w:p>
    <w:p>
      <w:pPr>
        <w:spacing w:before="156" w:beforeLines="50" w:after="156" w:afterLines="50"/>
        <w:rPr>
          <w:rFonts w:ascii="宋体" w:hAnsi="宋体"/>
          <w:color w:val="auto"/>
          <w:szCs w:val="21"/>
          <w:highlight w:val="none"/>
        </w:rPr>
      </w:pPr>
    </w:p>
    <w:p>
      <w:pPr>
        <w:snapToGrid w:val="0"/>
        <w:spacing w:before="156" w:beforeLines="50" w:after="156" w:afterLines="50"/>
        <w:jc w:val="center"/>
        <w:rPr>
          <w:rFonts w:ascii="黑体" w:hAnsi="黑体" w:eastAsia="黑体"/>
          <w:color w:val="auto"/>
          <w:highlight w:val="none"/>
        </w:rPr>
      </w:pPr>
      <w:r>
        <w:rPr>
          <w:rFonts w:hint="eastAsia" w:ascii="黑体" w:hAnsi="黑体" w:eastAsia="黑体"/>
          <w:color w:val="auto"/>
          <w:szCs w:val="21"/>
          <w:highlight w:val="none"/>
        </w:rPr>
        <w:t>表</w:t>
      </w:r>
      <w:r>
        <w:rPr>
          <w:rFonts w:ascii="黑体" w:hAnsi="黑体" w:eastAsia="黑体"/>
          <w:color w:val="auto"/>
          <w:szCs w:val="21"/>
          <w:highlight w:val="none"/>
        </w:rPr>
        <w:t>A.3　</w:t>
      </w:r>
      <w:r>
        <w:rPr>
          <w:rFonts w:hint="eastAsia" w:ascii="黑体" w:hAnsi="黑体" w:eastAsia="黑体"/>
          <w:color w:val="auto"/>
          <w:szCs w:val="21"/>
          <w:highlight w:val="none"/>
        </w:rPr>
        <w:t>热力站数据采集</w:t>
      </w:r>
    </w:p>
    <w:tbl>
      <w:tblPr>
        <w:tblStyle w:val="34"/>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735"/>
        <w:gridCol w:w="1340"/>
        <w:gridCol w:w="1392"/>
        <w:gridCol w:w="1936"/>
        <w:gridCol w:w="18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9" w:hRule="atLeast"/>
          <w:tblHeader/>
          <w:jc w:val="center"/>
        </w:trPr>
        <w:tc>
          <w:tcPr>
            <w:tcW w:w="698" w:type="pct"/>
            <w:tcBorders>
              <w:top w:val="single" w:color="auto" w:sz="12" w:space="0"/>
              <w:left w:val="single" w:color="auto" w:sz="12" w:space="0"/>
              <w:bottom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类别</w:t>
            </w:r>
          </w:p>
        </w:tc>
        <w:tc>
          <w:tcPr>
            <w:tcW w:w="1606" w:type="pct"/>
            <w:gridSpan w:val="2"/>
            <w:tcBorders>
              <w:top w:val="single" w:color="auto" w:sz="12" w:space="0"/>
              <w:bottom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项目</w:t>
            </w:r>
          </w:p>
        </w:tc>
        <w:tc>
          <w:tcPr>
            <w:tcW w:w="727" w:type="pct"/>
            <w:tcBorders>
              <w:top w:val="single" w:color="auto" w:sz="12" w:space="0"/>
              <w:bottom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单位</w:t>
            </w:r>
          </w:p>
        </w:tc>
        <w:tc>
          <w:tcPr>
            <w:tcW w:w="1011" w:type="pct"/>
            <w:tcBorders>
              <w:top w:val="single" w:color="auto" w:sz="12" w:space="0"/>
              <w:bottom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数据类型</w:t>
            </w:r>
          </w:p>
        </w:tc>
        <w:tc>
          <w:tcPr>
            <w:tcW w:w="957" w:type="pct"/>
            <w:tcBorders>
              <w:top w:val="single" w:color="auto" w:sz="12" w:space="0"/>
              <w:bottom w:val="single" w:color="auto" w:sz="12" w:space="0"/>
              <w:righ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asciiTheme="minorEastAsia" w:hAnsiTheme="minorEastAsia" w:eastAsiaTheme="minorEastAsia"/>
                <w:bCs/>
                <w:color w:val="auto"/>
                <w:sz w:val="18"/>
                <w:szCs w:val="18"/>
                <w:highlight w:val="none"/>
              </w:rPr>
              <w:t>采集周期</w:t>
            </w:r>
          </w:p>
          <w:p>
            <w:pPr>
              <w:pStyle w:val="147"/>
              <w:spacing w:before="31" w:beforeLines="10" w:after="31" w:afterLines="10"/>
              <w:ind w:firstLine="0" w:firstLineChars="0"/>
              <w:rPr>
                <w:rFonts w:asciiTheme="minorEastAsia" w:hAnsiTheme="minorEastAsia" w:eastAsiaTheme="minorEastAsia"/>
                <w:bCs/>
                <w:color w:val="auto"/>
                <w:sz w:val="18"/>
                <w:szCs w:val="18"/>
                <w:highlight w:val="none"/>
              </w:rPr>
            </w:pPr>
            <w:r>
              <w:rPr>
                <w:rFonts w:cs="Times New Roman" w:asciiTheme="minorEastAsia" w:hAnsiTheme="minorEastAsia" w:eastAsiaTheme="minorEastAsia"/>
                <w:bCs/>
                <w:color w:val="auto"/>
                <w:sz w:val="18"/>
                <w:szCs w:val="18"/>
                <w:highlight w:val="none"/>
              </w:rPr>
              <w:t>（min</w:t>
            </w:r>
            <w:r>
              <w:rPr>
                <w:rFonts w:hint="eastAsia" w:asciiTheme="minorEastAsia" w:hAnsiTheme="minorEastAsia" w:eastAsiaTheme="minorEastAsia"/>
                <w:bCs/>
                <w:color w:val="auto"/>
                <w:sz w:val="18"/>
                <w:szCs w:val="18"/>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98" w:type="pct"/>
            <w:vMerge w:val="restart"/>
            <w:tcBorders>
              <w:top w:val="single" w:color="auto" w:sz="12" w:space="0"/>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r>
              <w:rPr>
                <w:rFonts w:asciiTheme="minorEastAsia" w:hAnsiTheme="minorEastAsia" w:eastAsiaTheme="minorEastAsia"/>
                <w:color w:val="auto"/>
                <w:sz w:val="18"/>
                <w:szCs w:val="18"/>
                <w:highlight w:val="none"/>
              </w:rPr>
              <w:t>运行参数</w:t>
            </w:r>
          </w:p>
          <w:p>
            <w:pPr>
              <w:pStyle w:val="147"/>
              <w:spacing w:before="31" w:beforeLines="10" w:after="31" w:afterLines="1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总管及分支</w:t>
            </w:r>
            <w:r>
              <w:rPr>
                <w:rFonts w:hint="eastAsia" w:cs="Times New Roman" w:asciiTheme="minorEastAsia" w:hAnsiTheme="minorEastAsia" w:eastAsiaTheme="minorEastAsia"/>
                <w:color w:val="auto"/>
                <w:sz w:val="18"/>
                <w:szCs w:val="18"/>
                <w:highlight w:val="none"/>
              </w:rPr>
              <w:t>）</w:t>
            </w:r>
          </w:p>
        </w:tc>
        <w:tc>
          <w:tcPr>
            <w:tcW w:w="906" w:type="pct"/>
            <w:vMerge w:val="restart"/>
            <w:tcBorders>
              <w:top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w:t>
            </w:r>
            <w:r>
              <w:rPr>
                <w:rFonts w:hint="eastAsia" w:cs="Times New Roman" w:asciiTheme="minorEastAsia" w:hAnsiTheme="minorEastAsia" w:eastAsiaTheme="minorEastAsia"/>
                <w:color w:val="auto"/>
                <w:sz w:val="18"/>
                <w:szCs w:val="18"/>
                <w:highlight w:val="none"/>
              </w:rPr>
              <w:t>流量</w:t>
            </w:r>
          </w:p>
        </w:tc>
        <w:tc>
          <w:tcPr>
            <w:tcW w:w="700" w:type="pct"/>
            <w:tcBorders>
              <w:top w:val="single" w:color="auto" w:sz="12" w:space="0"/>
              <w:bottom w:val="single" w:color="auto" w:sz="4"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727" w:type="pct"/>
            <w:tcBorders>
              <w:top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1011" w:type="pct"/>
            <w:vMerge w:val="restart"/>
            <w:tcBorders>
              <w:top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vMerge w:val="restart"/>
            <w:tcBorders>
              <w:top w:val="single" w:color="auto" w:sz="12" w:space="0"/>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906"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700" w:type="pct"/>
            <w:tcBorders>
              <w:top w:val="single" w:color="auto" w:sz="4"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1011"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957" w:type="pct"/>
            <w:vMerge w:val="continue"/>
            <w:tcBorders>
              <w:righ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906" w:type="pct"/>
            <w:vMerge w:val="restar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一、</w:t>
            </w:r>
            <w:r>
              <w:rPr>
                <w:rFonts w:cs="Times New Roman" w:asciiTheme="minorEastAsia" w:hAnsiTheme="minorEastAsia" w:eastAsiaTheme="minorEastAsia"/>
                <w:color w:val="auto"/>
                <w:sz w:val="18"/>
                <w:szCs w:val="18"/>
                <w:highlight w:val="none"/>
              </w:rPr>
              <w:t>二次侧热量</w:t>
            </w:r>
          </w:p>
        </w:tc>
        <w:tc>
          <w:tcPr>
            <w:tcW w:w="700"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w:t>
            </w:r>
          </w:p>
        </w:tc>
        <w:tc>
          <w:tcPr>
            <w:tcW w:w="1011" w:type="pct"/>
            <w:vMerge w:val="restar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vMerge w:val="restar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906"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700"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GJ</w:t>
            </w:r>
          </w:p>
        </w:tc>
        <w:tc>
          <w:tcPr>
            <w:tcW w:w="1011"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957" w:type="pct"/>
            <w:vMerge w:val="continue"/>
            <w:tcBorders>
              <w:righ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一、二次侧供水温度</w:t>
            </w:r>
          </w:p>
        </w:tc>
        <w:tc>
          <w:tcPr>
            <w:tcW w:w="727" w:type="pct"/>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一、二次侧回水温度</w:t>
            </w:r>
          </w:p>
        </w:tc>
        <w:tc>
          <w:tcPr>
            <w:tcW w:w="727" w:type="pct"/>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一、二次侧供水压力</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698" w:type="pct"/>
            <w:vMerge w:val="continue"/>
            <w:tcBorders>
              <w:left w:val="single" w:color="auto" w:sz="12" w:space="0"/>
              <w:bottom w:val="single" w:color="auto" w:sz="4"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一、二次侧回水压力</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MPa</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98" w:type="pct"/>
            <w:vMerge w:val="restart"/>
            <w:tcBorders>
              <w:top w:val="single" w:color="auto" w:sz="4" w:space="0"/>
              <w:lef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能耗</w:t>
            </w:r>
          </w:p>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参数</w:t>
            </w:r>
          </w:p>
        </w:tc>
        <w:tc>
          <w:tcPr>
            <w:tcW w:w="906" w:type="pct"/>
            <w:vMerge w:val="restar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补水量</w:t>
            </w:r>
          </w:p>
        </w:tc>
        <w:tc>
          <w:tcPr>
            <w:tcW w:w="700"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瞬时</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cs="Times New Roman" w:asciiTheme="minorEastAsia" w:hAnsiTheme="minorEastAsia" w:eastAsiaTheme="minorEastAsia"/>
                <w:color w:val="auto"/>
                <w:sz w:val="18"/>
                <w:szCs w:val="18"/>
                <w:highlight w:val="none"/>
              </w:rPr>
              <w:t>/h</w:t>
            </w:r>
          </w:p>
        </w:tc>
        <w:tc>
          <w:tcPr>
            <w:tcW w:w="1011" w:type="pct"/>
            <w:vMerge w:val="restar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vMerge w:val="restar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906"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700"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累计</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1011" w:type="pct"/>
            <w:vMerge w:val="continue"/>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957" w:type="pct"/>
            <w:vMerge w:val="continue"/>
            <w:tcBorders>
              <w:right w:val="single" w:color="auto" w:sz="12" w:space="0"/>
            </w:tcBorders>
            <w:vAlign w:val="center"/>
          </w:tcPr>
          <w:p>
            <w:pPr>
              <w:pStyle w:val="147"/>
              <w:spacing w:before="31" w:beforeLines="10" w:after="31" w:afterLines="10"/>
              <w:ind w:firstLine="0" w:firstLineChars="0"/>
              <w:rPr>
                <w:rFonts w:asciiTheme="minorEastAsia" w:hAnsiTheme="minorEastAsia" w:eastAsiaTheme="minorEastAsia"/>
                <w:color w:val="auto"/>
                <w:sz w:val="18"/>
                <w:szCs w:val="1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1606" w:type="pct"/>
            <w:gridSpan w:val="2"/>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总用电量</w:t>
            </w:r>
          </w:p>
        </w:tc>
        <w:tc>
          <w:tcPr>
            <w:tcW w:w="727"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kWh</w:t>
            </w:r>
          </w:p>
        </w:tc>
        <w:tc>
          <w:tcPr>
            <w:tcW w:w="1011" w:type="pct"/>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98" w:type="pct"/>
            <w:vMerge w:val="continue"/>
            <w:tcBorders>
              <w:left w:val="single" w:color="auto" w:sz="12" w:space="0"/>
              <w:bottom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p>
        </w:tc>
        <w:tc>
          <w:tcPr>
            <w:tcW w:w="1606" w:type="pct"/>
            <w:gridSpan w:val="2"/>
            <w:tcBorders>
              <w:bottom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大于30</w:t>
            </w:r>
            <w:r>
              <w:rPr>
                <w:rFonts w:hint="eastAsia" w:cs="Times New Roman" w:asciiTheme="minorEastAsia" w:hAnsiTheme="minorEastAsia" w:eastAsiaTheme="minorEastAsia"/>
                <w:color w:val="auto"/>
                <w:sz w:val="18"/>
                <w:szCs w:val="18"/>
                <w:highlight w:val="none"/>
              </w:rPr>
              <w:t>k</w:t>
            </w:r>
            <w:r>
              <w:rPr>
                <w:rFonts w:cs="Times New Roman" w:asciiTheme="minorEastAsia" w:hAnsiTheme="minorEastAsia" w:eastAsiaTheme="minorEastAsia"/>
                <w:color w:val="auto"/>
                <w:sz w:val="18"/>
                <w:szCs w:val="18"/>
                <w:highlight w:val="none"/>
              </w:rPr>
              <w:t>W设备用电量</w:t>
            </w:r>
          </w:p>
        </w:tc>
        <w:tc>
          <w:tcPr>
            <w:tcW w:w="727" w:type="pct"/>
            <w:tcBorders>
              <w:bottom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cs="Times New Roman" w:asciiTheme="minorEastAsia" w:hAnsiTheme="minorEastAsia" w:eastAsiaTheme="minorEastAsia"/>
                <w:color w:val="auto"/>
                <w:sz w:val="18"/>
                <w:szCs w:val="18"/>
                <w:highlight w:val="none"/>
              </w:rPr>
              <w:t>kWh</w:t>
            </w:r>
          </w:p>
        </w:tc>
        <w:tc>
          <w:tcPr>
            <w:tcW w:w="1011" w:type="pct"/>
            <w:tcBorders>
              <w:bottom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cs="Times New Roman" w:asciiTheme="minorEastAsia" w:hAnsiTheme="minorEastAsia" w:eastAsiaTheme="minorEastAsia"/>
                <w:color w:val="auto"/>
                <w:sz w:val="18"/>
                <w:szCs w:val="18"/>
                <w:highlight w:val="none"/>
              </w:rPr>
              <w:t>浮点型</w:t>
            </w:r>
          </w:p>
        </w:tc>
        <w:tc>
          <w:tcPr>
            <w:tcW w:w="957" w:type="pct"/>
            <w:tcBorders>
              <w:bottom w:val="single" w:color="auto" w:sz="12" w:space="0"/>
              <w:right w:val="single" w:color="auto" w:sz="12" w:space="0"/>
            </w:tcBorders>
            <w:vAlign w:val="center"/>
          </w:tcPr>
          <w:p>
            <w:pPr>
              <w:pStyle w:val="147"/>
              <w:spacing w:before="31" w:beforeLines="10" w:after="31" w:afterLines="10"/>
              <w:ind w:firstLine="0" w:firstLineChars="0"/>
              <w:rPr>
                <w:rFonts w:cs="Times New Roman"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w:t>
            </w:r>
            <w:r>
              <w:rPr>
                <w:rFonts w:cs="Times New Roman" w:asciiTheme="minorEastAsia" w:hAnsiTheme="minorEastAsia" w:eastAsiaTheme="minorEastAsia"/>
                <w:color w:val="auto"/>
                <w:sz w:val="18"/>
                <w:szCs w:val="18"/>
                <w:highlight w:val="none"/>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 w:type="pct"/>
            <w:gridSpan w:val="6"/>
            <w:tcBorders>
              <w:top w:val="single" w:color="auto" w:sz="12" w:space="0"/>
              <w:left w:val="single" w:color="auto" w:sz="12" w:space="0"/>
              <w:bottom w:val="single" w:color="auto" w:sz="12" w:space="0"/>
              <w:right w:val="single" w:color="auto" w:sz="12" w:space="0"/>
            </w:tcBorders>
            <w:vAlign w:val="center"/>
          </w:tcPr>
          <w:p>
            <w:pPr>
              <w:snapToGrid w:val="0"/>
              <w:rPr>
                <w:rFonts w:asciiTheme="minorEastAsia" w:hAnsiTheme="minorEastAsia" w:eastAsiaTheme="minorEastAsia"/>
                <w:color w:val="auto"/>
                <w:sz w:val="18"/>
                <w:szCs w:val="18"/>
                <w:highlight w:val="none"/>
              </w:rPr>
            </w:pPr>
            <w:r>
              <w:rPr>
                <w:rFonts w:hint="eastAsia" w:ascii="黑体" w:hAnsi="黑体" w:eastAsia="黑体"/>
                <w:color w:val="auto"/>
                <w:sz w:val="18"/>
                <w:szCs w:val="18"/>
                <w:highlight w:val="none"/>
              </w:rPr>
              <w:t>注1</w:t>
            </w:r>
            <w:r>
              <w:rPr>
                <w:rFonts w:hint="eastAsia" w:asciiTheme="minorEastAsia" w:hAnsiTheme="minorEastAsia" w:eastAsiaTheme="minorEastAsia"/>
                <w:color w:val="auto"/>
                <w:sz w:val="18"/>
                <w:szCs w:val="18"/>
                <w:highlight w:val="none"/>
              </w:rPr>
              <w:t>：楼宇换热机组的数据采集要求参考热力站执行。</w:t>
            </w:r>
          </w:p>
        </w:tc>
      </w:tr>
    </w:tbl>
    <w:p>
      <w:pPr>
        <w:spacing w:before="156" w:beforeLines="50" w:after="156" w:afterLines="50"/>
        <w:rPr>
          <w:rFonts w:ascii="宋体" w:hAnsi="宋体"/>
          <w:color w:val="auto"/>
          <w:highlight w:val="none"/>
        </w:rPr>
      </w:pPr>
      <w:bookmarkStart w:id="117" w:name="_Toc162629247"/>
      <w:bookmarkStart w:id="118" w:name="_Toc162626658"/>
      <w:r>
        <w:rPr>
          <w:rFonts w:hint="eastAsia" w:ascii="宋体" w:hAnsi="宋体"/>
          <w:color w:val="auto"/>
          <w:szCs w:val="21"/>
          <w:highlight w:val="none"/>
        </w:rPr>
        <w:t>A</w:t>
      </w:r>
      <w:r>
        <w:rPr>
          <w:rFonts w:ascii="宋体" w:hAnsi="宋体"/>
          <w:color w:val="auto"/>
          <w:szCs w:val="21"/>
          <w:highlight w:val="none"/>
        </w:rPr>
        <w:t>.4</w:t>
      </w:r>
      <w:r>
        <w:rPr>
          <w:rFonts w:hint="eastAsia" w:ascii="宋体" w:hAnsi="宋体"/>
          <w:color w:val="auto"/>
          <w:szCs w:val="21"/>
          <w:highlight w:val="none"/>
        </w:rPr>
        <w:t>热力入口（楼栋/单元）数据采集应符合表</w:t>
      </w:r>
      <w:r>
        <w:rPr>
          <w:rFonts w:ascii="宋体" w:hAnsi="宋体"/>
          <w:color w:val="auto"/>
          <w:szCs w:val="21"/>
          <w:highlight w:val="none"/>
        </w:rPr>
        <w:t>A.4的</w:t>
      </w:r>
      <w:r>
        <w:rPr>
          <w:rFonts w:hint="eastAsia" w:ascii="宋体" w:hAnsi="宋体"/>
          <w:color w:val="auto"/>
          <w:szCs w:val="21"/>
          <w:highlight w:val="none"/>
        </w:rPr>
        <w:t>规定。</w:t>
      </w:r>
      <w:bookmarkEnd w:id="117"/>
      <w:bookmarkEnd w:id="118"/>
    </w:p>
    <w:p>
      <w:pPr>
        <w:snapToGrid w:val="0"/>
        <w:spacing w:before="156" w:beforeLines="50" w:after="156" w:afterLines="50"/>
        <w:ind w:firstLine="420"/>
        <w:jc w:val="center"/>
        <w:rPr>
          <w:rFonts w:ascii="黑体" w:hAnsi="黑体" w:eastAsia="黑体"/>
          <w:color w:val="auto"/>
          <w:szCs w:val="21"/>
          <w:highlight w:val="none"/>
        </w:rPr>
      </w:pPr>
      <w:r>
        <w:rPr>
          <w:rFonts w:hint="eastAsia" w:ascii="黑体" w:hAnsi="黑体" w:eastAsia="黑体"/>
          <w:color w:val="auto"/>
          <w:szCs w:val="21"/>
          <w:highlight w:val="none"/>
        </w:rPr>
        <w:t>表A.4</w:t>
      </w:r>
      <w:r>
        <w:rPr>
          <w:rFonts w:ascii="黑体" w:hAnsi="黑体" w:eastAsia="黑体"/>
          <w:color w:val="auto"/>
          <w:szCs w:val="21"/>
          <w:highlight w:val="none"/>
        </w:rPr>
        <w:t>　</w:t>
      </w:r>
      <w:r>
        <w:rPr>
          <w:rFonts w:hint="eastAsia" w:ascii="黑体" w:hAnsi="黑体" w:eastAsia="黑体"/>
          <w:color w:val="auto"/>
          <w:szCs w:val="21"/>
          <w:highlight w:val="none"/>
        </w:rPr>
        <w:t>热力入口数据采集</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3053"/>
        <w:gridCol w:w="1489"/>
        <w:gridCol w:w="1853"/>
        <w:gridCol w:w="1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jc w:val="center"/>
        </w:trPr>
        <w:tc>
          <w:tcPr>
            <w:tcW w:w="678" w:type="pct"/>
            <w:tcBorders>
              <w:top w:val="single" w:color="auto" w:sz="12" w:space="0"/>
              <w:left w:val="single" w:color="auto" w:sz="12" w:space="0"/>
              <w:bottom w:val="single" w:color="auto" w:sz="12" w:space="0"/>
            </w:tcBorders>
            <w:vAlign w:val="center"/>
          </w:tcPr>
          <w:p>
            <w:pPr>
              <w:pStyle w:val="147"/>
              <w:spacing w:before="31" w:beforeLines="10" w:after="31" w:afterLines="10"/>
              <w:ind w:firstLine="0" w:firstLineChars="0"/>
              <w:rPr>
                <w:rFonts w:eastAsia="宋体"/>
                <w:bCs/>
                <w:color w:val="auto"/>
                <w:sz w:val="18"/>
                <w:szCs w:val="18"/>
                <w:highlight w:val="none"/>
              </w:rPr>
            </w:pPr>
            <w:r>
              <w:rPr>
                <w:rFonts w:eastAsia="宋体"/>
                <w:bCs/>
                <w:color w:val="auto"/>
                <w:sz w:val="18"/>
                <w:szCs w:val="18"/>
                <w:highlight w:val="none"/>
              </w:rPr>
              <w:t>类别</w:t>
            </w:r>
          </w:p>
        </w:tc>
        <w:tc>
          <w:tcPr>
            <w:tcW w:w="1595"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项目</w:t>
            </w:r>
          </w:p>
        </w:tc>
        <w:tc>
          <w:tcPr>
            <w:tcW w:w="778"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单位</w:t>
            </w:r>
          </w:p>
        </w:tc>
        <w:tc>
          <w:tcPr>
            <w:tcW w:w="968"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数据类型</w:t>
            </w:r>
          </w:p>
        </w:tc>
        <w:tc>
          <w:tcPr>
            <w:tcW w:w="981" w:type="pct"/>
            <w:tcBorders>
              <w:top w:val="single" w:color="auto" w:sz="12" w:space="0"/>
              <w:bottom w:val="single" w:color="auto" w:sz="12" w:space="0"/>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采集周期</w:t>
            </w:r>
          </w:p>
          <w:p>
            <w:pPr>
              <w:pStyle w:val="147"/>
              <w:spacing w:before="31" w:beforeLines="10" w:after="31" w:afterLines="10"/>
              <w:ind w:firstLine="0" w:firstLineChars="0"/>
              <w:rPr>
                <w:rFonts w:ascii="Times New Roman" w:hAnsi="Times New Roman" w:eastAsia="宋体" w:cs="Times New Roman"/>
                <w:bCs/>
                <w:color w:val="auto"/>
                <w:sz w:val="18"/>
                <w:szCs w:val="18"/>
                <w:highlight w:val="none"/>
              </w:rPr>
            </w:pPr>
            <w:r>
              <w:rPr>
                <w:rFonts w:ascii="Times New Roman" w:hAnsi="Times New Roman" w:eastAsia="宋体" w:cs="Times New Roman"/>
                <w:bCs/>
                <w:color w:val="auto"/>
                <w:sz w:val="18"/>
                <w:szCs w:val="18"/>
                <w:highlight w:val="none"/>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restart"/>
            <w:tcBorders>
              <w:top w:val="single" w:color="auto" w:sz="12" w:space="0"/>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eastAsia="宋体"/>
                <w:color w:val="auto"/>
                <w:sz w:val="18"/>
                <w:szCs w:val="18"/>
                <w:highlight w:val="none"/>
              </w:rPr>
              <w:t>运行参数</w:t>
            </w:r>
          </w:p>
        </w:tc>
        <w:tc>
          <w:tcPr>
            <w:tcW w:w="1595" w:type="pct"/>
            <w:tcBorders>
              <w:top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回水温度</w:t>
            </w:r>
          </w:p>
        </w:tc>
        <w:tc>
          <w:tcPr>
            <w:tcW w:w="778" w:type="pct"/>
            <w:tcBorders>
              <w:top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hint="eastAsia" w:eastAsia="宋体"/>
                <w:color w:val="auto"/>
                <w:sz w:val="18"/>
                <w:szCs w:val="18"/>
                <w:highlight w:val="none"/>
              </w:rPr>
              <w:t>℃</w:t>
            </w:r>
          </w:p>
        </w:tc>
        <w:tc>
          <w:tcPr>
            <w:tcW w:w="968" w:type="pct"/>
            <w:tcBorders>
              <w:top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top w:val="single" w:color="auto" w:sz="12" w:space="0"/>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供水温度</w:t>
            </w:r>
          </w:p>
        </w:tc>
        <w:tc>
          <w:tcPr>
            <w:tcW w:w="778" w:type="pct"/>
            <w:vAlign w:val="center"/>
          </w:tcPr>
          <w:p>
            <w:pPr>
              <w:pStyle w:val="147"/>
              <w:spacing w:before="31" w:beforeLines="10" w:after="31" w:afterLines="10"/>
              <w:ind w:firstLine="0" w:firstLineChars="0"/>
              <w:rPr>
                <w:rFonts w:eastAsia="宋体"/>
                <w:color w:val="auto"/>
                <w:sz w:val="18"/>
                <w:szCs w:val="18"/>
                <w:highlight w:val="none"/>
              </w:rPr>
            </w:pPr>
            <w:r>
              <w:rPr>
                <w:rFonts w:hint="eastAsia" w:eastAsia="宋体"/>
                <w:color w:val="auto"/>
                <w:sz w:val="18"/>
                <w:szCs w:val="18"/>
                <w:highlight w:val="none"/>
              </w:rPr>
              <w:t>℃</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供水压力</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kPa</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回水压力</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kPa</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瞬时流量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t/h</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瞬时热量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kW</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累计流量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968"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累计热量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GJ</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热力入口</w:t>
            </w:r>
          </w:p>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智能阀开度</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eastAsia="宋体"/>
                <w:color w:val="auto"/>
                <w:sz w:val="18"/>
                <w:szCs w:val="18"/>
                <w:highlight w:val="none"/>
              </w:rPr>
            </w:pPr>
            <w:r>
              <w:rPr>
                <w:rFonts w:ascii="Times New Roman" w:hAnsi="Times New Roman" w:eastAsia="宋体" w:cs="Times New Roman"/>
                <w:color w:val="auto"/>
                <w:sz w:val="18"/>
                <w:szCs w:val="18"/>
                <w:highlight w:val="none"/>
              </w:rPr>
              <w:t>楼栋累计电量</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kWh</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pct"/>
            <w:vMerge w:val="restart"/>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eastAsia="宋体"/>
                <w:color w:val="auto"/>
                <w:sz w:val="18"/>
                <w:szCs w:val="18"/>
                <w:highlight w:val="none"/>
              </w:rPr>
              <w:t>设备状态参数</w:t>
            </w: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智能阀状态</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热表状态</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continue"/>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通讯设备状态</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w:t>
            </w:r>
            <w:r>
              <w:rPr>
                <w:rFonts w:hint="eastAsia" w:ascii="Times New Roman" w:hAnsi="Times New Roman" w:eastAsia="宋体" w:cs="Times New Roman"/>
                <w:color w:val="auto"/>
                <w:sz w:val="18"/>
                <w:szCs w:val="18"/>
                <w:highlight w:val="none"/>
              </w:rPr>
              <w:t>1</w:t>
            </w:r>
            <w:r>
              <w:rPr>
                <w:rFonts w:ascii="Times New Roman" w:hAnsi="Times New Roman" w:eastAsia="宋体" w:cs="Times New Roman"/>
                <w:color w:val="auto"/>
                <w:sz w:val="18"/>
                <w:szCs w:val="18"/>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pct"/>
            <w:vMerge w:val="restart"/>
            <w:tcBorders>
              <w:lef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eastAsia="宋体"/>
                <w:color w:val="auto"/>
                <w:sz w:val="18"/>
                <w:szCs w:val="18"/>
                <w:highlight w:val="none"/>
              </w:rPr>
              <w:t>报警参数</w:t>
            </w:r>
          </w:p>
        </w:tc>
        <w:tc>
          <w:tcPr>
            <w:tcW w:w="1595"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通信中断报警</w:t>
            </w:r>
          </w:p>
        </w:tc>
        <w:tc>
          <w:tcPr>
            <w:tcW w:w="77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eastAsia="宋体"/>
                <w:color w:val="auto"/>
                <w:sz w:val="18"/>
                <w:szCs w:val="18"/>
                <w:highlight w:val="none"/>
              </w:rPr>
              <w:t>主动上报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8" w:type="pct"/>
            <w:vMerge w:val="continue"/>
            <w:tcBorders>
              <w:left w:val="single" w:color="auto" w:sz="12" w:space="0"/>
              <w:bottom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p>
        </w:tc>
        <w:tc>
          <w:tcPr>
            <w:tcW w:w="1595"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设备离线报警</w:t>
            </w:r>
          </w:p>
        </w:tc>
        <w:tc>
          <w:tcPr>
            <w:tcW w:w="778"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968"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981" w:type="pct"/>
            <w:tcBorders>
              <w:bottom w:val="single" w:color="auto" w:sz="12" w:space="0"/>
              <w:right w:val="single" w:color="auto" w:sz="12" w:space="0"/>
            </w:tcBorders>
            <w:vAlign w:val="center"/>
          </w:tcPr>
          <w:p>
            <w:pPr>
              <w:pStyle w:val="147"/>
              <w:spacing w:before="31" w:beforeLines="10" w:after="31" w:afterLines="10"/>
              <w:ind w:firstLine="0" w:firstLineChars="0"/>
              <w:rPr>
                <w:rFonts w:eastAsia="宋体"/>
                <w:color w:val="auto"/>
                <w:sz w:val="18"/>
                <w:szCs w:val="18"/>
                <w:highlight w:val="none"/>
              </w:rPr>
            </w:pPr>
            <w:r>
              <w:rPr>
                <w:rFonts w:hint="eastAsia" w:ascii="Times New Roman" w:hAnsi="Times New Roman" w:eastAsia="宋体" w:cs="Times New Roman"/>
                <w:color w:val="auto"/>
                <w:sz w:val="18"/>
                <w:szCs w:val="18"/>
                <w:highlight w:val="none"/>
              </w:rPr>
              <w:t>主动</w:t>
            </w:r>
            <w:r>
              <w:rPr>
                <w:rFonts w:ascii="Times New Roman" w:hAnsi="Times New Roman" w:eastAsia="宋体" w:cs="Times New Roman"/>
                <w:color w:val="auto"/>
                <w:sz w:val="18"/>
                <w:szCs w:val="18"/>
                <w:highlight w:val="none"/>
              </w:rPr>
              <w:t>上报</w:t>
            </w:r>
          </w:p>
        </w:tc>
      </w:tr>
    </w:tbl>
    <w:p>
      <w:pPr>
        <w:spacing w:before="156" w:beforeLines="50" w:after="156" w:afterLines="50"/>
        <w:rPr>
          <w:rFonts w:ascii="宋体" w:hAnsi="宋体"/>
          <w:color w:val="auto"/>
          <w:szCs w:val="21"/>
          <w:highlight w:val="none"/>
        </w:rPr>
      </w:pPr>
      <w:bookmarkStart w:id="119" w:name="_Toc162626659"/>
      <w:bookmarkStart w:id="120" w:name="_Toc162629248"/>
      <w:r>
        <w:rPr>
          <w:rFonts w:hint="eastAsia" w:ascii="宋体" w:hAnsi="宋体"/>
          <w:color w:val="auto"/>
          <w:szCs w:val="21"/>
          <w:highlight w:val="none"/>
        </w:rPr>
        <w:t>A</w:t>
      </w:r>
      <w:r>
        <w:rPr>
          <w:rFonts w:ascii="宋体" w:hAnsi="宋体"/>
          <w:color w:val="auto"/>
          <w:szCs w:val="21"/>
          <w:highlight w:val="none"/>
        </w:rPr>
        <w:t>.5</w:t>
      </w:r>
      <w:r>
        <w:rPr>
          <w:rFonts w:hint="eastAsia" w:ascii="宋体" w:hAnsi="宋体"/>
          <w:color w:val="auto"/>
          <w:szCs w:val="21"/>
          <w:highlight w:val="none"/>
        </w:rPr>
        <w:t>热用户数据采集应符合表</w:t>
      </w:r>
      <w:r>
        <w:rPr>
          <w:rFonts w:ascii="宋体" w:hAnsi="宋体"/>
          <w:color w:val="auto"/>
          <w:szCs w:val="21"/>
          <w:highlight w:val="none"/>
        </w:rPr>
        <w:t>A.5</w:t>
      </w:r>
      <w:r>
        <w:rPr>
          <w:rFonts w:hint="eastAsia" w:ascii="宋体" w:hAnsi="宋体"/>
          <w:color w:val="auto"/>
          <w:szCs w:val="21"/>
          <w:highlight w:val="none"/>
        </w:rPr>
        <w:t>的规定。</w:t>
      </w:r>
      <w:bookmarkEnd w:id="119"/>
      <w:bookmarkEnd w:id="120"/>
    </w:p>
    <w:p>
      <w:pPr>
        <w:spacing w:before="156" w:beforeLines="50" w:after="156" w:afterLines="50"/>
        <w:rPr>
          <w:rFonts w:asciiTheme="minorEastAsia" w:hAnsiTheme="minorEastAsia" w:eastAsiaTheme="minorEastAsia"/>
          <w:color w:val="auto"/>
          <w:szCs w:val="21"/>
          <w:highlight w:val="none"/>
        </w:rPr>
      </w:pPr>
    </w:p>
    <w:p>
      <w:pPr>
        <w:snapToGrid w:val="0"/>
        <w:spacing w:before="156" w:beforeLines="50" w:after="156" w:afterLines="50"/>
        <w:jc w:val="center"/>
        <w:rPr>
          <w:rFonts w:ascii="黑体" w:hAnsi="黑体" w:eastAsia="黑体"/>
          <w:color w:val="auto"/>
          <w:szCs w:val="21"/>
          <w:highlight w:val="none"/>
        </w:rPr>
      </w:pPr>
      <w:r>
        <w:rPr>
          <w:rFonts w:hint="eastAsia" w:ascii="黑体" w:hAnsi="黑体" w:eastAsia="黑体"/>
          <w:color w:val="auto"/>
          <w:szCs w:val="21"/>
          <w:highlight w:val="none"/>
        </w:rPr>
        <w:t>表A</w:t>
      </w:r>
      <w:r>
        <w:rPr>
          <w:rFonts w:ascii="黑体" w:hAnsi="黑体" w:eastAsia="黑体"/>
          <w:color w:val="auto"/>
          <w:szCs w:val="21"/>
          <w:highlight w:val="none"/>
        </w:rPr>
        <w:t>.5　</w:t>
      </w:r>
      <w:r>
        <w:rPr>
          <w:rFonts w:hint="eastAsia" w:ascii="黑体" w:hAnsi="黑体" w:eastAsia="黑体"/>
          <w:color w:val="auto"/>
          <w:szCs w:val="21"/>
          <w:highlight w:val="none"/>
        </w:rPr>
        <w:t>热用户数据采集</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2837"/>
        <w:gridCol w:w="1558"/>
        <w:gridCol w:w="1692"/>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blHeader/>
        </w:trPr>
        <w:tc>
          <w:tcPr>
            <w:tcW w:w="791" w:type="pct"/>
            <w:tcBorders>
              <w:top w:val="single" w:color="auto" w:sz="12" w:space="0"/>
              <w:left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类别</w:t>
            </w:r>
          </w:p>
        </w:tc>
        <w:tc>
          <w:tcPr>
            <w:tcW w:w="1482"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项目</w:t>
            </w:r>
          </w:p>
        </w:tc>
        <w:tc>
          <w:tcPr>
            <w:tcW w:w="814"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单位</w:t>
            </w:r>
          </w:p>
        </w:tc>
        <w:tc>
          <w:tcPr>
            <w:tcW w:w="884" w:type="pct"/>
            <w:tcBorders>
              <w:top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数据类型</w:t>
            </w:r>
          </w:p>
        </w:tc>
        <w:tc>
          <w:tcPr>
            <w:tcW w:w="1029" w:type="pct"/>
            <w:tcBorders>
              <w:top w:val="single" w:color="auto" w:sz="12" w:space="0"/>
              <w:bottom w:val="single" w:color="auto" w:sz="12" w:space="0"/>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采集周期</w:t>
            </w:r>
          </w:p>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tcBorders>
              <w:top w:val="single" w:color="auto" w:sz="12" w:space="0"/>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运行参数</w:t>
            </w:r>
          </w:p>
        </w:tc>
        <w:tc>
          <w:tcPr>
            <w:tcW w:w="1482" w:type="pct"/>
            <w:tcBorders>
              <w:top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回水温度</w:t>
            </w:r>
          </w:p>
        </w:tc>
        <w:tc>
          <w:tcPr>
            <w:tcW w:w="814" w:type="pct"/>
            <w:tcBorders>
              <w:top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p>
        </w:tc>
        <w:tc>
          <w:tcPr>
            <w:tcW w:w="884" w:type="pct"/>
            <w:tcBorders>
              <w:top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top w:val="single" w:color="auto" w:sz="12" w:space="0"/>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tcBorders>
              <w:top w:val="single" w:color="auto" w:sz="8"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供水温度</w:t>
            </w:r>
          </w:p>
        </w:tc>
        <w:tc>
          <w:tcPr>
            <w:tcW w:w="814" w:type="pct"/>
            <w:tcBorders>
              <w:top w:val="single" w:color="auto" w:sz="8"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p>
        </w:tc>
        <w:tc>
          <w:tcPr>
            <w:tcW w:w="884" w:type="pct"/>
            <w:tcBorders>
              <w:top w:val="single" w:color="auto" w:sz="8"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top w:val="single" w:color="auto" w:sz="8" w:space="0"/>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tcBorders>
              <w:top w:val="single" w:color="auto" w:sz="8"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瞬时流量</w:t>
            </w:r>
          </w:p>
        </w:tc>
        <w:tc>
          <w:tcPr>
            <w:tcW w:w="814" w:type="pct"/>
            <w:tcBorders>
              <w:top w:val="single" w:color="auto" w:sz="8"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r>
              <w:rPr>
                <w:rFonts w:ascii="Times New Roman" w:hAnsi="Times New Roman" w:eastAsia="宋体" w:cs="Times New Roman"/>
                <w:color w:val="auto"/>
                <w:sz w:val="18"/>
                <w:szCs w:val="18"/>
                <w:highlight w:val="none"/>
              </w:rPr>
              <w:t>/h</w:t>
            </w:r>
          </w:p>
        </w:tc>
        <w:tc>
          <w:tcPr>
            <w:tcW w:w="884" w:type="pct"/>
            <w:tcBorders>
              <w:top w:val="single" w:color="auto" w:sz="8"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top w:val="single" w:color="auto" w:sz="8" w:space="0"/>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瞬时热量</w:t>
            </w:r>
          </w:p>
        </w:tc>
        <w:tc>
          <w:tcPr>
            <w:tcW w:w="81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kW</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累计流量</w:t>
            </w:r>
          </w:p>
        </w:tc>
        <w:tc>
          <w:tcPr>
            <w:tcW w:w="81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cs="Times New Roman" w:asciiTheme="minorEastAsia" w:hAnsiTheme="minorEastAsia" w:eastAsiaTheme="minorEastAsia"/>
                <w:color w:val="auto"/>
                <w:sz w:val="18"/>
                <w:szCs w:val="18"/>
                <w:highlight w:val="none"/>
              </w:rPr>
              <w:t>m</w:t>
            </w:r>
            <w:r>
              <w:rPr>
                <w:rFonts w:cs="Times New Roman" w:asciiTheme="minorEastAsia" w:hAnsiTheme="minorEastAsia" w:eastAsiaTheme="minorEastAsia"/>
                <w:color w:val="auto"/>
                <w:sz w:val="18"/>
                <w:szCs w:val="18"/>
                <w:highlight w:val="none"/>
                <w:vertAlign w:val="superscript"/>
              </w:rPr>
              <w:t>3</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累计热量</w:t>
            </w:r>
          </w:p>
        </w:tc>
        <w:tc>
          <w:tcPr>
            <w:tcW w:w="81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kWh</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户用智能阀开度</w:t>
            </w:r>
          </w:p>
        </w:tc>
        <w:tc>
          <w:tcPr>
            <w:tcW w:w="81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restart"/>
            <w:tcBorders>
              <w:left w:val="single" w:color="auto" w:sz="12" w:space="0"/>
            </w:tcBorders>
            <w:noWrap/>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室温采集器</w:t>
            </w:r>
            <w:r>
              <w:rPr>
                <w:rFonts w:ascii="Times New Roman" w:hAnsi="Times New Roman" w:eastAsia="宋体" w:cs="Times New Roman"/>
                <w:color w:val="auto"/>
                <w:sz w:val="18"/>
                <w:szCs w:val="18"/>
                <w:highlight w:val="none"/>
              </w:rPr>
              <w:t>参数</w:t>
            </w: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室内温度</w:t>
            </w:r>
          </w:p>
        </w:tc>
        <w:tc>
          <w:tcPr>
            <w:tcW w:w="814" w:type="pct"/>
            <w:noWrap/>
            <w:vAlign w:val="center"/>
          </w:tcPr>
          <w:p>
            <w:pPr>
              <w:snapToGrid w:val="0"/>
              <w:spacing w:before="31" w:beforeLines="10" w:after="31" w:afterLines="10"/>
              <w:jc w:val="center"/>
              <w:rPr>
                <w:color w:val="auto"/>
                <w:kern w:val="0"/>
                <w:sz w:val="18"/>
                <w:szCs w:val="18"/>
                <w:highlight w:val="none"/>
              </w:rPr>
            </w:pPr>
            <w:r>
              <w:rPr>
                <w:rFonts w:hint="eastAsia"/>
                <w:color w:val="auto"/>
                <w:kern w:val="0"/>
                <w:sz w:val="18"/>
                <w:szCs w:val="18"/>
                <w:highlight w:val="none"/>
              </w:rPr>
              <w:t>℃</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snapToGrid w:val="0"/>
              <w:spacing w:before="31" w:beforeLines="10" w:after="31" w:afterLines="10"/>
              <w:jc w:val="center"/>
              <w:rPr>
                <w:color w:val="auto"/>
                <w:kern w:val="0"/>
                <w:sz w:val="18"/>
                <w:szCs w:val="18"/>
                <w:highlight w:val="none"/>
              </w:rPr>
            </w:pPr>
            <w:r>
              <w:rPr>
                <w:rFonts w:hint="eastAsia"/>
                <w:color w:val="auto"/>
                <w:sz w:val="18"/>
                <w:szCs w:val="18"/>
                <w:highlight w:val="none"/>
              </w:rPr>
              <w:t>室内设定温度</w:t>
            </w:r>
          </w:p>
        </w:tc>
        <w:tc>
          <w:tcPr>
            <w:tcW w:w="814" w:type="pct"/>
            <w:noWrap/>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color w:val="auto"/>
                <w:sz w:val="18"/>
                <w:szCs w:val="18"/>
                <w:highlight w:val="none"/>
              </w:rPr>
              <w:t>℃</w:t>
            </w:r>
          </w:p>
        </w:tc>
        <w:tc>
          <w:tcPr>
            <w:tcW w:w="884" w:type="pct"/>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浮点型</w:t>
            </w:r>
          </w:p>
        </w:tc>
        <w:tc>
          <w:tcPr>
            <w:tcW w:w="1029" w:type="pct"/>
            <w:tcBorders>
              <w:right w:val="single" w:color="auto" w:sz="12" w:space="0"/>
            </w:tcBorders>
            <w:vAlign w:val="center"/>
          </w:tcPr>
          <w:p>
            <w:pPr>
              <w:widowControl/>
              <w:jc w:val="center"/>
              <w:rPr>
                <w:color w:val="auto"/>
                <w:kern w:val="0"/>
                <w:sz w:val="18"/>
                <w:szCs w:val="18"/>
                <w:highlight w:val="none"/>
              </w:rPr>
            </w:pPr>
            <w:r>
              <w:rPr>
                <w:rFonts w:hint="eastAsia"/>
                <w:color w:val="auto"/>
                <w:sz w:val="18"/>
                <w:szCs w:val="18"/>
                <w:highlight w:val="none"/>
              </w:rPr>
              <w:t>主动上报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室温控制器在线状态</w:t>
            </w:r>
          </w:p>
        </w:tc>
        <w:tc>
          <w:tcPr>
            <w:tcW w:w="814" w:type="pct"/>
            <w:vAlign w:val="center"/>
          </w:tcPr>
          <w:p>
            <w:pPr>
              <w:snapToGrid w:val="0"/>
              <w:spacing w:before="31" w:beforeLines="10" w:after="31" w:afterLines="10"/>
              <w:jc w:val="center"/>
              <w:rPr>
                <w:color w:val="auto"/>
                <w:kern w:val="0"/>
                <w:sz w:val="18"/>
                <w:szCs w:val="18"/>
                <w:highlight w:val="none"/>
              </w:rPr>
            </w:pPr>
            <w:r>
              <w:rPr>
                <w:color w:val="auto"/>
                <w:kern w:val="0"/>
                <w:sz w:val="18"/>
                <w:szCs w:val="18"/>
                <w:highlight w:val="none"/>
              </w:rPr>
              <w:t>—</w:t>
            </w:r>
          </w:p>
        </w:tc>
        <w:tc>
          <w:tcPr>
            <w:tcW w:w="88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1029"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w:t>
            </w:r>
            <w:r>
              <w:rPr>
                <w:rFonts w:ascii="Times New Roman" w:hAnsi="Times New Roman" w:eastAsia="宋体" w:cs="Times New Roman"/>
                <w:color w:val="auto"/>
                <w:sz w:val="18"/>
                <w:szCs w:val="18"/>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restart"/>
            <w:tcBorders>
              <w:lef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报警参数</w:t>
            </w:r>
          </w:p>
        </w:tc>
        <w:tc>
          <w:tcPr>
            <w:tcW w:w="1482"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通信中断报警</w:t>
            </w:r>
          </w:p>
        </w:tc>
        <w:tc>
          <w:tcPr>
            <w:tcW w:w="814" w:type="pct"/>
            <w:vAlign w:val="center"/>
          </w:tcPr>
          <w:p>
            <w:pPr>
              <w:snapToGrid w:val="0"/>
              <w:spacing w:before="31" w:beforeLines="10" w:after="31" w:afterLines="10"/>
              <w:jc w:val="center"/>
              <w:rPr>
                <w:color w:val="auto"/>
                <w:kern w:val="0"/>
                <w:sz w:val="18"/>
                <w:szCs w:val="18"/>
                <w:highlight w:val="none"/>
              </w:rPr>
            </w:pPr>
            <w:r>
              <w:rPr>
                <w:color w:val="auto"/>
                <w:kern w:val="0"/>
                <w:sz w:val="18"/>
                <w:szCs w:val="18"/>
                <w:highlight w:val="none"/>
              </w:rPr>
              <w:t>—</w:t>
            </w:r>
          </w:p>
        </w:tc>
        <w:tc>
          <w:tcPr>
            <w:tcW w:w="884" w:type="pct"/>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1029" w:type="pct"/>
            <w:tcBorders>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主动上报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pct"/>
            <w:vMerge w:val="continue"/>
            <w:tcBorders>
              <w:left w:val="single" w:color="auto" w:sz="12" w:space="0"/>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p>
        </w:tc>
        <w:tc>
          <w:tcPr>
            <w:tcW w:w="1482"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设备</w:t>
            </w:r>
            <w:r>
              <w:rPr>
                <w:rFonts w:ascii="Times New Roman" w:hAnsi="Times New Roman" w:eastAsia="宋体" w:cs="Times New Roman"/>
                <w:color w:val="auto"/>
                <w:sz w:val="18"/>
                <w:szCs w:val="18"/>
                <w:highlight w:val="none"/>
              </w:rPr>
              <w:t>离线报警</w:t>
            </w:r>
          </w:p>
        </w:tc>
        <w:tc>
          <w:tcPr>
            <w:tcW w:w="814" w:type="pct"/>
            <w:tcBorders>
              <w:bottom w:val="single" w:color="auto" w:sz="12" w:space="0"/>
            </w:tcBorders>
          </w:tcPr>
          <w:p>
            <w:pPr>
              <w:snapToGrid w:val="0"/>
              <w:spacing w:before="31" w:beforeLines="10" w:after="31" w:afterLines="10"/>
              <w:jc w:val="center"/>
              <w:rPr>
                <w:color w:val="auto"/>
                <w:kern w:val="0"/>
                <w:sz w:val="18"/>
                <w:szCs w:val="18"/>
                <w:highlight w:val="none"/>
              </w:rPr>
            </w:pPr>
            <w:r>
              <w:rPr>
                <w:color w:val="auto"/>
                <w:kern w:val="0"/>
                <w:sz w:val="18"/>
                <w:szCs w:val="18"/>
                <w:highlight w:val="none"/>
              </w:rPr>
              <w:t>—</w:t>
            </w:r>
          </w:p>
        </w:tc>
        <w:tc>
          <w:tcPr>
            <w:tcW w:w="884" w:type="pct"/>
            <w:tcBorders>
              <w:bottom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ascii="Times New Roman" w:hAnsi="Times New Roman" w:eastAsia="宋体" w:cs="Times New Roman"/>
                <w:color w:val="auto"/>
                <w:sz w:val="18"/>
                <w:szCs w:val="18"/>
                <w:highlight w:val="none"/>
              </w:rPr>
              <w:t>布尔型</w:t>
            </w:r>
          </w:p>
        </w:tc>
        <w:tc>
          <w:tcPr>
            <w:tcW w:w="1029" w:type="pct"/>
            <w:tcBorders>
              <w:bottom w:val="single" w:color="auto" w:sz="12" w:space="0"/>
              <w:right w:val="single" w:color="auto" w:sz="12" w:space="0"/>
            </w:tcBorders>
            <w:vAlign w:val="center"/>
          </w:tcPr>
          <w:p>
            <w:pPr>
              <w:pStyle w:val="147"/>
              <w:spacing w:before="31" w:beforeLines="10" w:after="31" w:afterLines="10"/>
              <w:ind w:firstLine="0" w:firstLineChars="0"/>
              <w:rPr>
                <w:rFonts w:ascii="Times New Roman" w:hAnsi="Times New Roman" w:eastAsia="宋体" w:cs="Times New Roman"/>
                <w:color w:val="auto"/>
                <w:sz w:val="18"/>
                <w:szCs w:val="18"/>
                <w:highlight w:val="none"/>
              </w:rPr>
            </w:pPr>
            <w:r>
              <w:rPr>
                <w:rFonts w:hint="eastAsia" w:ascii="Times New Roman" w:hAnsi="Times New Roman" w:eastAsia="宋体" w:cs="Times New Roman"/>
                <w:color w:val="auto"/>
                <w:sz w:val="18"/>
                <w:szCs w:val="18"/>
                <w:highlight w:val="none"/>
              </w:rPr>
              <w:t>主动</w:t>
            </w:r>
            <w:r>
              <w:rPr>
                <w:rFonts w:ascii="Times New Roman" w:hAnsi="Times New Roman" w:eastAsia="宋体" w:cs="Times New Roman"/>
                <w:color w:val="auto"/>
                <w:sz w:val="18"/>
                <w:szCs w:val="18"/>
                <w:highlight w:val="none"/>
              </w:rPr>
              <w:t>上报</w:t>
            </w:r>
          </w:p>
        </w:tc>
      </w:tr>
    </w:tbl>
    <w:p>
      <w:pPr>
        <w:ind w:firstLine="420"/>
        <w:rPr>
          <w:color w:val="auto"/>
          <w:highlight w:val="none"/>
        </w:rPr>
      </w:pPr>
    </w:p>
    <w:p>
      <w:pPr>
        <w:pStyle w:val="73"/>
        <w:ind w:firstLine="420"/>
        <w:rPr>
          <w:color w:val="auto"/>
          <w:highlight w:val="none"/>
        </w:rPr>
      </w:pPr>
      <w:bookmarkStart w:id="121" w:name="_Toc204694838"/>
      <w:bookmarkStart w:id="122" w:name="_Toc204864123"/>
      <w:r>
        <w:rPr>
          <w:rFonts w:hint="eastAsia"/>
          <w:color w:val="auto"/>
          <w:highlight w:val="none"/>
        </w:rPr>
        <w:t>参</w:t>
      </w:r>
      <w:r>
        <w:rPr>
          <w:rFonts w:hAnsi="黑体"/>
          <w:color w:val="auto"/>
          <w:highlight w:val="none"/>
        </w:rPr>
        <w:t> </w:t>
      </w:r>
      <w:r>
        <w:rPr>
          <w:rFonts w:hint="eastAsia"/>
          <w:color w:val="auto"/>
          <w:highlight w:val="none"/>
        </w:rPr>
        <w:t>考</w:t>
      </w:r>
      <w:r>
        <w:rPr>
          <w:rFonts w:hAnsi="黑体"/>
          <w:color w:val="auto"/>
          <w:highlight w:val="none"/>
        </w:rPr>
        <w:t> </w:t>
      </w:r>
      <w:r>
        <w:rPr>
          <w:rFonts w:hint="eastAsia"/>
          <w:color w:val="auto"/>
          <w:highlight w:val="none"/>
        </w:rPr>
        <w:t>文</w:t>
      </w:r>
      <w:bookmarkEnd w:id="114"/>
      <w:r>
        <w:rPr>
          <w:rFonts w:hAnsi="黑体"/>
          <w:color w:val="auto"/>
          <w:highlight w:val="none"/>
        </w:rPr>
        <w:t> </w:t>
      </w:r>
      <w:r>
        <w:rPr>
          <w:rFonts w:hint="eastAsia"/>
          <w:color w:val="auto"/>
          <w:highlight w:val="none"/>
        </w:rPr>
        <w:t>献</w:t>
      </w:r>
      <w:bookmarkEnd w:id="121"/>
      <w:bookmarkEnd w:id="122"/>
    </w:p>
    <w:p>
      <w:pPr>
        <w:pStyle w:val="25"/>
        <w:rPr>
          <w:color w:val="auto"/>
          <w:highlight w:val="none"/>
        </w:rPr>
      </w:pPr>
      <w:r>
        <w:rPr>
          <w:rFonts w:hint="eastAsia"/>
          <w:color w:val="auto"/>
          <w:highlight w:val="none"/>
        </w:rPr>
        <w:t>[1</w:t>
      </w:r>
      <w:r>
        <w:rPr>
          <w:color w:val="auto"/>
          <w:highlight w:val="none"/>
        </w:rPr>
        <w:t>]</w:t>
      </w:r>
      <w:r>
        <w:rPr>
          <w:rFonts w:hint="eastAsia"/>
          <w:color w:val="auto"/>
          <w:highlight w:val="none"/>
        </w:rPr>
        <w:t>JGJ</w:t>
      </w:r>
      <w:r>
        <w:rPr>
          <w:color w:val="auto"/>
          <w:highlight w:val="none"/>
        </w:rPr>
        <w:t xml:space="preserve"> </w:t>
      </w:r>
      <w:r>
        <w:rPr>
          <w:rFonts w:hint="eastAsia"/>
          <w:color w:val="auto"/>
          <w:highlight w:val="none"/>
        </w:rPr>
        <w:t>173-2009</w:t>
      </w:r>
      <w:r>
        <w:rPr>
          <w:color w:val="auto"/>
          <w:highlight w:val="none"/>
        </w:rPr>
        <w:t xml:space="preserve">  </w:t>
      </w:r>
      <w:r>
        <w:rPr>
          <w:rFonts w:hint="eastAsia"/>
          <w:color w:val="auto"/>
          <w:highlight w:val="none"/>
        </w:rPr>
        <w:t>供热计量技术规程</w:t>
      </w:r>
    </w:p>
    <w:p>
      <w:pPr>
        <w:pStyle w:val="25"/>
        <w:rPr>
          <w:color w:val="auto"/>
          <w:highlight w:val="none"/>
        </w:rPr>
      </w:pPr>
      <w:r>
        <w:rPr>
          <w:color w:val="auto"/>
          <w:highlight w:val="none"/>
        </w:rPr>
        <w:t>[</w:t>
      </w:r>
      <w:r>
        <w:rPr>
          <w:rFonts w:hint="eastAsia"/>
          <w:color w:val="auto"/>
          <w:highlight w:val="none"/>
        </w:rPr>
        <w:t>2</w:t>
      </w:r>
      <w:r>
        <w:rPr>
          <w:color w:val="auto"/>
          <w:highlight w:val="none"/>
        </w:rPr>
        <w:t>]</w:t>
      </w:r>
      <w:r>
        <w:rPr>
          <w:rFonts w:hint="eastAsia"/>
          <w:color w:val="auto"/>
          <w:highlight w:val="none"/>
        </w:rPr>
        <w:t>DB11/</w:t>
      </w:r>
      <w:r>
        <w:rPr>
          <w:color w:val="auto"/>
          <w:highlight w:val="none"/>
        </w:rPr>
        <w:t xml:space="preserve"> </w:t>
      </w:r>
      <w:r>
        <w:rPr>
          <w:rFonts w:hint="eastAsia"/>
          <w:color w:val="auto"/>
          <w:highlight w:val="none"/>
        </w:rPr>
        <w:t>1066-2014</w:t>
      </w:r>
      <w:r>
        <w:rPr>
          <w:color w:val="auto"/>
          <w:highlight w:val="none"/>
        </w:rPr>
        <w:t xml:space="preserve">  </w:t>
      </w:r>
      <w:r>
        <w:rPr>
          <w:rFonts w:hint="eastAsia"/>
          <w:color w:val="auto"/>
          <w:highlight w:val="none"/>
        </w:rPr>
        <w:t>供热计量设计技术规程</w:t>
      </w:r>
    </w:p>
    <w:p>
      <w:pPr>
        <w:pStyle w:val="25"/>
        <w:rPr>
          <w:color w:val="auto"/>
          <w:highlight w:val="none"/>
        </w:rPr>
      </w:pPr>
      <w:r>
        <w:rPr>
          <w:color w:val="auto"/>
          <w:highlight w:val="none"/>
        </w:rPr>
        <w:t>[3]</w:t>
      </w:r>
      <w:r>
        <w:rPr>
          <w:rFonts w:hint="eastAsia"/>
          <w:color w:val="auto"/>
          <w:highlight w:val="none"/>
        </w:rPr>
        <w:t>DB11/T</w:t>
      </w:r>
      <w:r>
        <w:rPr>
          <w:color w:val="auto"/>
          <w:highlight w:val="none"/>
        </w:rPr>
        <w:t xml:space="preserve"> </w:t>
      </w:r>
      <w:r>
        <w:rPr>
          <w:rFonts w:hint="eastAsia"/>
          <w:color w:val="auto"/>
          <w:highlight w:val="none"/>
        </w:rPr>
        <w:t>986-2013</w:t>
      </w:r>
      <w:r>
        <w:rPr>
          <w:color w:val="auto"/>
          <w:highlight w:val="none"/>
        </w:rPr>
        <w:t xml:space="preserve">  </w:t>
      </w:r>
      <w:r>
        <w:rPr>
          <w:rFonts w:hint="eastAsia"/>
          <w:color w:val="auto"/>
          <w:highlight w:val="none"/>
        </w:rPr>
        <w:t>居住建筑供热计量技术要求</w:t>
      </w:r>
    </w:p>
    <w:p>
      <w:pPr>
        <w:pStyle w:val="88"/>
        <w:rPr>
          <w:color w:val="auto"/>
          <w:highlight w:val="none"/>
        </w:rPr>
      </w:pPr>
      <w:bookmarkStart w:id="123" w:name="_Toc204864124"/>
      <w:bookmarkEnd w:id="123"/>
    </w:p>
    <w:p>
      <w:pPr>
        <w:pStyle w:val="131"/>
        <w:rPr>
          <w:color w:val="auto"/>
          <w:highlight w:val="none"/>
        </w:rPr>
      </w:pPr>
      <w:r>
        <w:rPr>
          <w:color w:val="auto"/>
          <w:highlight w:val="none"/>
        </w:rPr>
        <w:t>_________________________________</w:t>
      </w:r>
    </w:p>
    <w:sectPr>
      <w:headerReference r:id="rId7" w:type="default"/>
      <w:footerReference r:id="rId9" w:type="default"/>
      <w:headerReference r:id="rId8" w:type="even"/>
      <w:footerReference r:id="rId10" w:type="even"/>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Segoe UI">
    <w:altName w:val="Noto Music"/>
    <w:panose1 w:val="020B0502040204020203"/>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jc w:val="right"/>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III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fldChar w:fldCharType="begin"/>
    </w:r>
    <w:r>
      <w:instrText xml:space="preserve"> PAGE  \* MERGEFORMAT </w:instrText>
    </w:r>
    <w:r>
      <w:fldChar w:fldCharType="separate"/>
    </w:r>
    <w: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0"/>
    </w:pP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jc w:val="right"/>
    </w:pPr>
    <w:r>
      <w:t>DB11/T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rFonts w:hAnsi="黑体"/>
      </w:rPr>
    </w:pPr>
    <w:r>
      <w:rPr>
        <w:rFonts w:hAnsi="黑体"/>
      </w:rP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t>DB11/T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pPr>
    <w:r>
      <w:t>DB11/T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C7C7946"/>
    <w:multiLevelType w:val="multilevel"/>
    <w:tmpl w:val="1C7C7946"/>
    <w:lvl w:ilvl="0" w:tentative="0">
      <w:start w:val="1"/>
      <w:numFmt w:val="lowerLetter"/>
      <w:pStyle w:val="4"/>
      <w:lvlText w:val="%1)"/>
      <w:lvlJc w:val="left"/>
      <w:pPr>
        <w:ind w:left="1311" w:hanging="420"/>
      </w:pPr>
      <w:rPr>
        <w:rFonts w:hint="eastAsia" w:ascii="黑体" w:hAnsi="黑体" w:eastAsia="黑体"/>
        <w:b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642" w:hanging="420"/>
      </w:pPr>
      <w:rPr>
        <w:rFonts w:hint="eastAsia"/>
      </w:rPr>
    </w:lvl>
    <w:lvl w:ilvl="2" w:tentative="0">
      <w:start w:val="1"/>
      <w:numFmt w:val="lowerRoman"/>
      <w:lvlText w:val="%3."/>
      <w:lvlJc w:val="right"/>
      <w:pPr>
        <w:ind w:left="1062" w:hanging="420"/>
      </w:pPr>
      <w:rPr>
        <w:rFonts w:hint="eastAsia"/>
      </w:rPr>
    </w:lvl>
    <w:lvl w:ilvl="3" w:tentative="0">
      <w:start w:val="1"/>
      <w:numFmt w:val="decimal"/>
      <w:lvlText w:val="%4."/>
      <w:lvlJc w:val="left"/>
      <w:pPr>
        <w:ind w:left="1482" w:hanging="420"/>
      </w:pPr>
      <w:rPr>
        <w:rFonts w:hint="eastAsia"/>
      </w:rPr>
    </w:lvl>
    <w:lvl w:ilvl="4" w:tentative="0">
      <w:start w:val="1"/>
      <w:numFmt w:val="lowerLetter"/>
      <w:lvlText w:val="%5)"/>
      <w:lvlJc w:val="left"/>
      <w:pPr>
        <w:ind w:left="1902" w:hanging="420"/>
      </w:pPr>
      <w:rPr>
        <w:rFonts w:hint="eastAsia"/>
      </w:rPr>
    </w:lvl>
    <w:lvl w:ilvl="5" w:tentative="0">
      <w:start w:val="1"/>
      <w:numFmt w:val="lowerRoman"/>
      <w:lvlText w:val="%6."/>
      <w:lvlJc w:val="right"/>
      <w:pPr>
        <w:ind w:left="2322" w:hanging="420"/>
      </w:pPr>
      <w:rPr>
        <w:rFonts w:hint="eastAsia"/>
      </w:rPr>
    </w:lvl>
    <w:lvl w:ilvl="6" w:tentative="0">
      <w:start w:val="1"/>
      <w:numFmt w:val="decimal"/>
      <w:lvlText w:val="%7."/>
      <w:lvlJc w:val="left"/>
      <w:pPr>
        <w:ind w:left="2742" w:hanging="420"/>
      </w:pPr>
      <w:rPr>
        <w:rFonts w:hint="eastAsia"/>
      </w:rPr>
    </w:lvl>
    <w:lvl w:ilvl="7" w:tentative="0">
      <w:start w:val="1"/>
      <w:numFmt w:val="lowerLetter"/>
      <w:lvlText w:val="%8)"/>
      <w:lvlJc w:val="left"/>
      <w:pPr>
        <w:ind w:left="3162" w:hanging="420"/>
      </w:pPr>
      <w:rPr>
        <w:rFonts w:hint="eastAsia"/>
      </w:rPr>
    </w:lvl>
    <w:lvl w:ilvl="8" w:tentative="0">
      <w:start w:val="1"/>
      <w:numFmt w:val="lowerRoman"/>
      <w:lvlText w:val="%9."/>
      <w:lvlJc w:val="right"/>
      <w:pPr>
        <w:ind w:left="3582" w:hanging="420"/>
      </w:pPr>
      <w:rPr>
        <w:rFonts w:hint="eastAsia"/>
      </w:rPr>
    </w:lvl>
  </w:abstractNum>
  <w:abstractNum w:abstractNumId="3">
    <w:nsid w:val="1FC91163"/>
    <w:multiLevelType w:val="multilevel"/>
    <w:tmpl w:val="1FC91163"/>
    <w:lvl w:ilvl="0" w:tentative="0">
      <w:start w:val="1"/>
      <w:numFmt w:val="decimal"/>
      <w:pStyle w:val="4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8"/>
      <w:suff w:val="nothing"/>
      <w:lvlText w:val="%1.%2.%3　"/>
      <w:lvlJc w:val="left"/>
      <w:pPr>
        <w:ind w:left="0" w:firstLine="0"/>
      </w:pPr>
      <w:rPr>
        <w:rFonts w:hint="eastAsia" w:ascii="黑体" w:hAnsi="Times New Roman" w:eastAsia="黑体"/>
        <w:b w:val="0"/>
        <w:i w:val="0"/>
        <w:sz w:val="21"/>
      </w:rPr>
    </w:lvl>
    <w:lvl w:ilvl="3" w:tentative="0">
      <w:start w:val="1"/>
      <w:numFmt w:val="decimal"/>
      <w:pStyle w:val="53"/>
      <w:suff w:val="nothing"/>
      <w:lvlText w:val="%1.%2.%3.%4　"/>
      <w:lvlJc w:val="left"/>
      <w:pPr>
        <w:ind w:left="0" w:firstLine="0"/>
      </w:pPr>
      <w:rPr>
        <w:rFonts w:hint="eastAsia" w:ascii="黑体" w:hAnsi="Times New Roman" w:eastAsia="黑体"/>
        <w:b w:val="0"/>
        <w:i w:val="0"/>
        <w:sz w:val="21"/>
      </w:rPr>
    </w:lvl>
    <w:lvl w:ilvl="4" w:tentative="0">
      <w:start w:val="1"/>
      <w:numFmt w:val="decimal"/>
      <w:pStyle w:val="57"/>
      <w:suff w:val="nothing"/>
      <w:lvlText w:val="%1.%2.%3.%4.%5　"/>
      <w:lvlJc w:val="left"/>
      <w:pPr>
        <w:ind w:left="0" w:firstLine="0"/>
      </w:pPr>
      <w:rPr>
        <w:rFonts w:hint="eastAsia" w:ascii="黑体" w:hAnsi="Times New Roman" w:eastAsia="黑体"/>
        <w:b w:val="0"/>
        <w:i w:val="0"/>
        <w:sz w:val="21"/>
      </w:rPr>
    </w:lvl>
    <w:lvl w:ilvl="5" w:tentative="0">
      <w:start w:val="1"/>
      <w:numFmt w:val="decimal"/>
      <w:pStyle w:val="58"/>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1FD5569F"/>
    <w:multiLevelType w:val="multilevel"/>
    <w:tmpl w:val="1FD5569F"/>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lowerLetter"/>
      <w:lvlText w:val="%4)"/>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4B435DB"/>
    <w:multiLevelType w:val="multilevel"/>
    <w:tmpl w:val="24B435DB"/>
    <w:lvl w:ilvl="0" w:tentative="0">
      <w:start w:val="1"/>
      <w:numFmt w:val="lowerLetter"/>
      <w:pStyle w:val="12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29707437"/>
    <w:multiLevelType w:val="multilevel"/>
    <w:tmpl w:val="29707437"/>
    <w:lvl w:ilvl="0" w:tentative="0">
      <w:start w:val="1"/>
      <w:numFmt w:val="none"/>
      <w:pStyle w:val="66"/>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01"/>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0"/>
      <w:suff w:val="nothing"/>
      <w:lvlText w:val="%1——"/>
      <w:lvlJc w:val="left"/>
      <w:pPr>
        <w:ind w:left="833" w:hanging="408"/>
      </w:pPr>
      <w:rPr>
        <w:rFonts w:hint="eastAsia"/>
      </w:rPr>
    </w:lvl>
    <w:lvl w:ilvl="1" w:tentative="0">
      <w:start w:val="1"/>
      <w:numFmt w:val="bullet"/>
      <w:pStyle w:val="51"/>
      <w:lvlText w:val=""/>
      <w:lvlJc w:val="left"/>
      <w:pPr>
        <w:tabs>
          <w:tab w:val="left" w:pos="760"/>
        </w:tabs>
        <w:ind w:left="1264" w:hanging="413"/>
      </w:pPr>
      <w:rPr>
        <w:rFonts w:hint="default" w:ascii="Symbol" w:hAnsi="Symbol"/>
        <w:color w:val="auto"/>
      </w:rPr>
    </w:lvl>
    <w:lvl w:ilvl="2" w:tentative="0">
      <w:start w:val="1"/>
      <w:numFmt w:val="bullet"/>
      <w:pStyle w:val="62"/>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321458E"/>
    <w:multiLevelType w:val="multilevel"/>
    <w:tmpl w:val="3321458E"/>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lowerLetter"/>
      <w:lvlText w:val="%4)"/>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6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6"/>
      <w:lvlText w:val="%2)"/>
      <w:lvlJc w:val="left"/>
      <w:pPr>
        <w:tabs>
          <w:tab w:val="left" w:pos="1260"/>
        </w:tabs>
        <w:ind w:left="1259" w:hanging="419"/>
      </w:pPr>
      <w:rPr>
        <w:rFonts w:hint="eastAsia"/>
      </w:rPr>
    </w:lvl>
    <w:lvl w:ilvl="2" w:tentative="0">
      <w:start w:val="1"/>
      <w:numFmt w:val="decimal"/>
      <w:pStyle w:val="63"/>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E414764"/>
    <w:multiLevelType w:val="multilevel"/>
    <w:tmpl w:val="4E414764"/>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lowerLetter"/>
      <w:lvlText w:val="%4)"/>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520F62E9"/>
    <w:multiLevelType w:val="multilevel"/>
    <w:tmpl w:val="520F62E9"/>
    <w:lvl w:ilvl="0" w:tentative="0">
      <w:start w:val="1"/>
      <w:numFmt w:val="decimal"/>
      <w:pStyle w:val="130"/>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E63562F"/>
    <w:multiLevelType w:val="multilevel"/>
    <w:tmpl w:val="5E63562F"/>
    <w:lvl w:ilvl="0" w:tentative="0">
      <w:start w:val="1"/>
      <w:numFmt w:val="decimal"/>
      <w:pStyle w:val="6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5">
    <w:nsid w:val="60B55DC2"/>
    <w:multiLevelType w:val="multilevel"/>
    <w:tmpl w:val="60B55DC2"/>
    <w:lvl w:ilvl="0" w:tentative="0">
      <w:start w:val="1"/>
      <w:numFmt w:val="upperLetter"/>
      <w:pStyle w:val="88"/>
      <w:lvlText w:val="%1"/>
      <w:lvlJc w:val="left"/>
      <w:pPr>
        <w:tabs>
          <w:tab w:val="left" w:pos="0"/>
        </w:tabs>
        <w:ind w:left="0" w:hanging="425"/>
      </w:pPr>
      <w:rPr>
        <w:rFonts w:hint="eastAsia"/>
      </w:rPr>
    </w:lvl>
    <w:lvl w:ilvl="1" w:tentative="0">
      <w:start w:val="1"/>
      <w:numFmt w:val="decimal"/>
      <w:pStyle w:val="89"/>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3404DBE"/>
    <w:multiLevelType w:val="multilevel"/>
    <w:tmpl w:val="63404DBE"/>
    <w:lvl w:ilvl="0" w:tentative="0">
      <w:start w:val="1"/>
      <w:numFmt w:val="none"/>
      <w:pStyle w:val="5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3AF7EBF"/>
    <w:multiLevelType w:val="multilevel"/>
    <w:tmpl w:val="63AF7EBF"/>
    <w:lvl w:ilvl="0" w:tentative="0">
      <w:start w:val="1"/>
      <w:numFmt w:val="decimal"/>
      <w:pStyle w:val="128"/>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57D3FBC"/>
    <w:multiLevelType w:val="multilevel"/>
    <w:tmpl w:val="657D3FBC"/>
    <w:lvl w:ilvl="0" w:tentative="0">
      <w:start w:val="1"/>
      <w:numFmt w:val="upperLetter"/>
      <w:pStyle w:val="8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5"/>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8"/>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AB870ED"/>
    <w:multiLevelType w:val="multilevel"/>
    <w:tmpl w:val="6AB870ED"/>
    <w:lvl w:ilvl="0" w:tentative="0">
      <w:start w:val="1"/>
      <w:numFmt w:val="decimal"/>
      <w:pStyle w:val="64"/>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0">
    <w:nsid w:val="6D6C07CD"/>
    <w:multiLevelType w:val="multilevel"/>
    <w:tmpl w:val="6D6C07CD"/>
    <w:lvl w:ilvl="0" w:tentative="0">
      <w:start w:val="1"/>
      <w:numFmt w:val="lowerLetter"/>
      <w:pStyle w:val="107"/>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2"/>
  </w:num>
  <w:num w:numId="2">
    <w:abstractNumId w:val="10"/>
  </w:num>
  <w:num w:numId="3">
    <w:abstractNumId w:val="3"/>
  </w:num>
  <w:num w:numId="4">
    <w:abstractNumId w:val="8"/>
  </w:num>
  <w:num w:numId="5">
    <w:abstractNumId w:val="16"/>
  </w:num>
  <w:num w:numId="6">
    <w:abstractNumId w:val="11"/>
  </w:num>
  <w:num w:numId="7">
    <w:abstractNumId w:val="1"/>
  </w:num>
  <w:num w:numId="8">
    <w:abstractNumId w:val="14"/>
  </w:num>
  <w:num w:numId="9">
    <w:abstractNumId w:val="19"/>
  </w:num>
  <w:num w:numId="10">
    <w:abstractNumId w:val="6"/>
  </w:num>
  <w:num w:numId="11">
    <w:abstractNumId w:val="0"/>
  </w:num>
  <w:num w:numId="12">
    <w:abstractNumId w:val="18"/>
  </w:num>
  <w:num w:numId="13">
    <w:abstractNumId w:val="15"/>
  </w:num>
  <w:num w:numId="14">
    <w:abstractNumId w:val="20"/>
  </w:num>
  <w:num w:numId="15">
    <w:abstractNumId w:val="7"/>
  </w:num>
  <w:num w:numId="16">
    <w:abstractNumId w:val="5"/>
  </w:num>
  <w:num w:numId="17">
    <w:abstractNumId w:val="17"/>
  </w:num>
  <w:num w:numId="18">
    <w:abstractNumId w:val="13"/>
  </w:num>
  <w:num w:numId="19">
    <w:abstractNumId w:val="4"/>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true"/>
  <w:bordersDoNotSurroundHeader w:val="true"/>
  <w:bordersDoNotSurroundFooter w:val="tru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3F84"/>
    <w:rsid w:val="00035925"/>
    <w:rsid w:val="00036C2C"/>
    <w:rsid w:val="00044D1D"/>
    <w:rsid w:val="00045A7C"/>
    <w:rsid w:val="00052808"/>
    <w:rsid w:val="00055371"/>
    <w:rsid w:val="00056A24"/>
    <w:rsid w:val="00057CE5"/>
    <w:rsid w:val="000607A3"/>
    <w:rsid w:val="000657F7"/>
    <w:rsid w:val="00067CDF"/>
    <w:rsid w:val="0007150C"/>
    <w:rsid w:val="000746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090E"/>
    <w:rsid w:val="001124C0"/>
    <w:rsid w:val="00112EEC"/>
    <w:rsid w:val="00117A25"/>
    <w:rsid w:val="0012053B"/>
    <w:rsid w:val="00121293"/>
    <w:rsid w:val="00126539"/>
    <w:rsid w:val="0013175F"/>
    <w:rsid w:val="00132283"/>
    <w:rsid w:val="0013364D"/>
    <w:rsid w:val="001343BB"/>
    <w:rsid w:val="001405F1"/>
    <w:rsid w:val="00143E03"/>
    <w:rsid w:val="001512B4"/>
    <w:rsid w:val="00153A26"/>
    <w:rsid w:val="00155C90"/>
    <w:rsid w:val="001572A9"/>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05F5"/>
    <w:rsid w:val="00190F0C"/>
    <w:rsid w:val="00191258"/>
    <w:rsid w:val="00192680"/>
    <w:rsid w:val="00193037"/>
    <w:rsid w:val="00193375"/>
    <w:rsid w:val="00193A2C"/>
    <w:rsid w:val="001970DA"/>
    <w:rsid w:val="001A288E"/>
    <w:rsid w:val="001B36ED"/>
    <w:rsid w:val="001B4613"/>
    <w:rsid w:val="001B493C"/>
    <w:rsid w:val="001B6DC2"/>
    <w:rsid w:val="001B754B"/>
    <w:rsid w:val="001C149C"/>
    <w:rsid w:val="001C21AC"/>
    <w:rsid w:val="001C2FA4"/>
    <w:rsid w:val="001C3689"/>
    <w:rsid w:val="001C47BA"/>
    <w:rsid w:val="001C59EA"/>
    <w:rsid w:val="001D3556"/>
    <w:rsid w:val="001D406C"/>
    <w:rsid w:val="001D41EE"/>
    <w:rsid w:val="001D4BEB"/>
    <w:rsid w:val="001D71E6"/>
    <w:rsid w:val="001E02B5"/>
    <w:rsid w:val="001E0380"/>
    <w:rsid w:val="001E0B1B"/>
    <w:rsid w:val="001E13B1"/>
    <w:rsid w:val="001E1E6E"/>
    <w:rsid w:val="001E2153"/>
    <w:rsid w:val="001F2ACB"/>
    <w:rsid w:val="001F389D"/>
    <w:rsid w:val="001F3A19"/>
    <w:rsid w:val="002009E4"/>
    <w:rsid w:val="00201053"/>
    <w:rsid w:val="0020251B"/>
    <w:rsid w:val="002073D3"/>
    <w:rsid w:val="00215D48"/>
    <w:rsid w:val="0021624B"/>
    <w:rsid w:val="00217710"/>
    <w:rsid w:val="0022185E"/>
    <w:rsid w:val="00227FED"/>
    <w:rsid w:val="0023030A"/>
    <w:rsid w:val="00230F08"/>
    <w:rsid w:val="00234352"/>
    <w:rsid w:val="00234467"/>
    <w:rsid w:val="00235BE6"/>
    <w:rsid w:val="00236D31"/>
    <w:rsid w:val="00237D8D"/>
    <w:rsid w:val="00241DA2"/>
    <w:rsid w:val="00247FEE"/>
    <w:rsid w:val="00250E7D"/>
    <w:rsid w:val="002523DB"/>
    <w:rsid w:val="002527DD"/>
    <w:rsid w:val="00252DAA"/>
    <w:rsid w:val="002565D5"/>
    <w:rsid w:val="00260054"/>
    <w:rsid w:val="002622C0"/>
    <w:rsid w:val="002778AE"/>
    <w:rsid w:val="0028269A"/>
    <w:rsid w:val="00283590"/>
    <w:rsid w:val="0028488E"/>
    <w:rsid w:val="00286973"/>
    <w:rsid w:val="00287674"/>
    <w:rsid w:val="00291CF7"/>
    <w:rsid w:val="00292ECC"/>
    <w:rsid w:val="002938A4"/>
    <w:rsid w:val="00294E70"/>
    <w:rsid w:val="002954B8"/>
    <w:rsid w:val="002967B2"/>
    <w:rsid w:val="002A1924"/>
    <w:rsid w:val="002A7409"/>
    <w:rsid w:val="002A7420"/>
    <w:rsid w:val="002A7A7E"/>
    <w:rsid w:val="002B0F12"/>
    <w:rsid w:val="002B1308"/>
    <w:rsid w:val="002B2276"/>
    <w:rsid w:val="002B4554"/>
    <w:rsid w:val="002B707C"/>
    <w:rsid w:val="002C124B"/>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2F7AE7"/>
    <w:rsid w:val="003001EF"/>
    <w:rsid w:val="00301F39"/>
    <w:rsid w:val="00302A3F"/>
    <w:rsid w:val="00303D27"/>
    <w:rsid w:val="00305BEE"/>
    <w:rsid w:val="00313962"/>
    <w:rsid w:val="003234E0"/>
    <w:rsid w:val="00325350"/>
    <w:rsid w:val="00325926"/>
    <w:rsid w:val="00327A8A"/>
    <w:rsid w:val="003339A3"/>
    <w:rsid w:val="00336610"/>
    <w:rsid w:val="00341F5C"/>
    <w:rsid w:val="00343D23"/>
    <w:rsid w:val="00343F73"/>
    <w:rsid w:val="00344591"/>
    <w:rsid w:val="00345060"/>
    <w:rsid w:val="003451FB"/>
    <w:rsid w:val="003501B6"/>
    <w:rsid w:val="00352629"/>
    <w:rsid w:val="0035323B"/>
    <w:rsid w:val="00353D19"/>
    <w:rsid w:val="003549E0"/>
    <w:rsid w:val="0035785A"/>
    <w:rsid w:val="003609D2"/>
    <w:rsid w:val="00361785"/>
    <w:rsid w:val="00363F22"/>
    <w:rsid w:val="00364813"/>
    <w:rsid w:val="00364940"/>
    <w:rsid w:val="00375564"/>
    <w:rsid w:val="00376489"/>
    <w:rsid w:val="003820ED"/>
    <w:rsid w:val="00383191"/>
    <w:rsid w:val="00386DED"/>
    <w:rsid w:val="003912E7"/>
    <w:rsid w:val="00393947"/>
    <w:rsid w:val="00395141"/>
    <w:rsid w:val="003A0E27"/>
    <w:rsid w:val="003A2275"/>
    <w:rsid w:val="003A320A"/>
    <w:rsid w:val="003A4469"/>
    <w:rsid w:val="003A6A4F"/>
    <w:rsid w:val="003A7088"/>
    <w:rsid w:val="003B00DF"/>
    <w:rsid w:val="003B1275"/>
    <w:rsid w:val="003B1778"/>
    <w:rsid w:val="003B1E8E"/>
    <w:rsid w:val="003C11CB"/>
    <w:rsid w:val="003C3017"/>
    <w:rsid w:val="003C31E0"/>
    <w:rsid w:val="003C6A77"/>
    <w:rsid w:val="003C75F3"/>
    <w:rsid w:val="003C78A3"/>
    <w:rsid w:val="003D36AB"/>
    <w:rsid w:val="003E1867"/>
    <w:rsid w:val="003E2BDA"/>
    <w:rsid w:val="003E55D0"/>
    <w:rsid w:val="003E5729"/>
    <w:rsid w:val="003E5E8C"/>
    <w:rsid w:val="003E724E"/>
    <w:rsid w:val="003F1D40"/>
    <w:rsid w:val="003F22BB"/>
    <w:rsid w:val="003F2A5B"/>
    <w:rsid w:val="003F4EE0"/>
    <w:rsid w:val="003F5559"/>
    <w:rsid w:val="00400473"/>
    <w:rsid w:val="00401F95"/>
    <w:rsid w:val="00402153"/>
    <w:rsid w:val="00402E26"/>
    <w:rsid w:val="00402FC1"/>
    <w:rsid w:val="00404BCC"/>
    <w:rsid w:val="004200D9"/>
    <w:rsid w:val="00425082"/>
    <w:rsid w:val="00431DEB"/>
    <w:rsid w:val="00434AFB"/>
    <w:rsid w:val="0044259D"/>
    <w:rsid w:val="004439D9"/>
    <w:rsid w:val="004444E6"/>
    <w:rsid w:val="00446B29"/>
    <w:rsid w:val="004524BE"/>
    <w:rsid w:val="00453F9A"/>
    <w:rsid w:val="00454CC3"/>
    <w:rsid w:val="00464903"/>
    <w:rsid w:val="00471E91"/>
    <w:rsid w:val="00473D8E"/>
    <w:rsid w:val="00474079"/>
    <w:rsid w:val="00474675"/>
    <w:rsid w:val="0047470C"/>
    <w:rsid w:val="004826C0"/>
    <w:rsid w:val="00484C88"/>
    <w:rsid w:val="00491E71"/>
    <w:rsid w:val="004A203E"/>
    <w:rsid w:val="004A35F9"/>
    <w:rsid w:val="004A4662"/>
    <w:rsid w:val="004A6537"/>
    <w:rsid w:val="004A7E02"/>
    <w:rsid w:val="004B157A"/>
    <w:rsid w:val="004B24C1"/>
    <w:rsid w:val="004B3092"/>
    <w:rsid w:val="004B49B1"/>
    <w:rsid w:val="004B557C"/>
    <w:rsid w:val="004C292F"/>
    <w:rsid w:val="004C657F"/>
    <w:rsid w:val="004D306F"/>
    <w:rsid w:val="004D4B02"/>
    <w:rsid w:val="004D4F76"/>
    <w:rsid w:val="004E4B13"/>
    <w:rsid w:val="004E4B8C"/>
    <w:rsid w:val="004E5A47"/>
    <w:rsid w:val="004F2EF3"/>
    <w:rsid w:val="005036E2"/>
    <w:rsid w:val="00503892"/>
    <w:rsid w:val="005066B8"/>
    <w:rsid w:val="00510280"/>
    <w:rsid w:val="00513D73"/>
    <w:rsid w:val="005148B3"/>
    <w:rsid w:val="00514A43"/>
    <w:rsid w:val="00515E9C"/>
    <w:rsid w:val="005174E5"/>
    <w:rsid w:val="00520898"/>
    <w:rsid w:val="005211E6"/>
    <w:rsid w:val="00522393"/>
    <w:rsid w:val="00522620"/>
    <w:rsid w:val="005255B5"/>
    <w:rsid w:val="00525656"/>
    <w:rsid w:val="00525BF3"/>
    <w:rsid w:val="00534C02"/>
    <w:rsid w:val="0054044C"/>
    <w:rsid w:val="0054264B"/>
    <w:rsid w:val="00543786"/>
    <w:rsid w:val="00545A49"/>
    <w:rsid w:val="005463CC"/>
    <w:rsid w:val="00546D0D"/>
    <w:rsid w:val="0055099B"/>
    <w:rsid w:val="005511E7"/>
    <w:rsid w:val="0055153A"/>
    <w:rsid w:val="005533D7"/>
    <w:rsid w:val="00553FA5"/>
    <w:rsid w:val="00554096"/>
    <w:rsid w:val="00554B63"/>
    <w:rsid w:val="005615C6"/>
    <w:rsid w:val="00562CF6"/>
    <w:rsid w:val="0056544B"/>
    <w:rsid w:val="00567177"/>
    <w:rsid w:val="0057013F"/>
    <w:rsid w:val="005703DE"/>
    <w:rsid w:val="005710BC"/>
    <w:rsid w:val="005755F1"/>
    <w:rsid w:val="00577AE9"/>
    <w:rsid w:val="00582BBE"/>
    <w:rsid w:val="0058464E"/>
    <w:rsid w:val="0058650E"/>
    <w:rsid w:val="005A01CB"/>
    <w:rsid w:val="005A19A9"/>
    <w:rsid w:val="005A58FF"/>
    <w:rsid w:val="005A5EAF"/>
    <w:rsid w:val="005A6491"/>
    <w:rsid w:val="005A64C0"/>
    <w:rsid w:val="005B0D1D"/>
    <w:rsid w:val="005B1985"/>
    <w:rsid w:val="005B3C11"/>
    <w:rsid w:val="005C1C28"/>
    <w:rsid w:val="005C3B95"/>
    <w:rsid w:val="005C43D0"/>
    <w:rsid w:val="005C6DB5"/>
    <w:rsid w:val="005D21C5"/>
    <w:rsid w:val="005D3077"/>
    <w:rsid w:val="005D3842"/>
    <w:rsid w:val="005D405A"/>
    <w:rsid w:val="005E140F"/>
    <w:rsid w:val="005E19E7"/>
    <w:rsid w:val="005E2392"/>
    <w:rsid w:val="005F3CD8"/>
    <w:rsid w:val="0060073E"/>
    <w:rsid w:val="00601622"/>
    <w:rsid w:val="0060789B"/>
    <w:rsid w:val="0061037E"/>
    <w:rsid w:val="00613FAA"/>
    <w:rsid w:val="00616C36"/>
    <w:rsid w:val="0061716C"/>
    <w:rsid w:val="006171AF"/>
    <w:rsid w:val="00617868"/>
    <w:rsid w:val="006243A1"/>
    <w:rsid w:val="00626005"/>
    <w:rsid w:val="00630E71"/>
    <w:rsid w:val="00632E56"/>
    <w:rsid w:val="00635CBA"/>
    <w:rsid w:val="00636EFC"/>
    <w:rsid w:val="0064338B"/>
    <w:rsid w:val="00646542"/>
    <w:rsid w:val="006504F4"/>
    <w:rsid w:val="00650BB9"/>
    <w:rsid w:val="00652404"/>
    <w:rsid w:val="00653468"/>
    <w:rsid w:val="0065366F"/>
    <w:rsid w:val="00654BC9"/>
    <w:rsid w:val="006552FD"/>
    <w:rsid w:val="00656F0B"/>
    <w:rsid w:val="00661C12"/>
    <w:rsid w:val="00663733"/>
    <w:rsid w:val="00663AF3"/>
    <w:rsid w:val="00666B6C"/>
    <w:rsid w:val="006704E9"/>
    <w:rsid w:val="00677B54"/>
    <w:rsid w:val="00682682"/>
    <w:rsid w:val="00682702"/>
    <w:rsid w:val="00692368"/>
    <w:rsid w:val="00695192"/>
    <w:rsid w:val="00697792"/>
    <w:rsid w:val="006A2EBC"/>
    <w:rsid w:val="006A5EA0"/>
    <w:rsid w:val="006A783B"/>
    <w:rsid w:val="006A7B33"/>
    <w:rsid w:val="006B497F"/>
    <w:rsid w:val="006B4E13"/>
    <w:rsid w:val="006B75DD"/>
    <w:rsid w:val="006C047C"/>
    <w:rsid w:val="006C3C1D"/>
    <w:rsid w:val="006C3D8B"/>
    <w:rsid w:val="006C67E0"/>
    <w:rsid w:val="006C7ABA"/>
    <w:rsid w:val="006D0A13"/>
    <w:rsid w:val="006D0D60"/>
    <w:rsid w:val="006D1122"/>
    <w:rsid w:val="006D317E"/>
    <w:rsid w:val="006D3B1E"/>
    <w:rsid w:val="006D3C00"/>
    <w:rsid w:val="006D3E87"/>
    <w:rsid w:val="006E06AD"/>
    <w:rsid w:val="006E3675"/>
    <w:rsid w:val="006E4A7F"/>
    <w:rsid w:val="006E6D31"/>
    <w:rsid w:val="006F0967"/>
    <w:rsid w:val="006F18D2"/>
    <w:rsid w:val="006F2274"/>
    <w:rsid w:val="006F64A0"/>
    <w:rsid w:val="0070038F"/>
    <w:rsid w:val="007027B1"/>
    <w:rsid w:val="0070286C"/>
    <w:rsid w:val="00704DF6"/>
    <w:rsid w:val="0070641D"/>
    <w:rsid w:val="0070651C"/>
    <w:rsid w:val="007132A3"/>
    <w:rsid w:val="007157FD"/>
    <w:rsid w:val="00716421"/>
    <w:rsid w:val="00717BDA"/>
    <w:rsid w:val="00721419"/>
    <w:rsid w:val="00724EFB"/>
    <w:rsid w:val="00726575"/>
    <w:rsid w:val="00730310"/>
    <w:rsid w:val="007332A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8134D"/>
    <w:rsid w:val="007913AB"/>
    <w:rsid w:val="007914F7"/>
    <w:rsid w:val="00792245"/>
    <w:rsid w:val="0079573A"/>
    <w:rsid w:val="00795C73"/>
    <w:rsid w:val="007A2803"/>
    <w:rsid w:val="007A4809"/>
    <w:rsid w:val="007B1625"/>
    <w:rsid w:val="007B1D4F"/>
    <w:rsid w:val="007B5223"/>
    <w:rsid w:val="007B706E"/>
    <w:rsid w:val="007B71EB"/>
    <w:rsid w:val="007C0748"/>
    <w:rsid w:val="007C6205"/>
    <w:rsid w:val="007C686A"/>
    <w:rsid w:val="007C6E91"/>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6744"/>
    <w:rsid w:val="007F758D"/>
    <w:rsid w:val="007F7D52"/>
    <w:rsid w:val="00803802"/>
    <w:rsid w:val="0080484A"/>
    <w:rsid w:val="00805576"/>
    <w:rsid w:val="00805589"/>
    <w:rsid w:val="008057A5"/>
    <w:rsid w:val="00805E2F"/>
    <w:rsid w:val="0080654C"/>
    <w:rsid w:val="008071C6"/>
    <w:rsid w:val="00814708"/>
    <w:rsid w:val="00817A00"/>
    <w:rsid w:val="00820B95"/>
    <w:rsid w:val="00825891"/>
    <w:rsid w:val="00831631"/>
    <w:rsid w:val="0083228D"/>
    <w:rsid w:val="00833D07"/>
    <w:rsid w:val="00835DB3"/>
    <w:rsid w:val="0083617B"/>
    <w:rsid w:val="00836342"/>
    <w:rsid w:val="00836A2D"/>
    <w:rsid w:val="008371BD"/>
    <w:rsid w:val="00840EBF"/>
    <w:rsid w:val="008422EF"/>
    <w:rsid w:val="008504A8"/>
    <w:rsid w:val="008518FA"/>
    <w:rsid w:val="00851B58"/>
    <w:rsid w:val="0085282E"/>
    <w:rsid w:val="00865FDB"/>
    <w:rsid w:val="00867088"/>
    <w:rsid w:val="0087198C"/>
    <w:rsid w:val="00872C1F"/>
    <w:rsid w:val="00873B42"/>
    <w:rsid w:val="00877CB0"/>
    <w:rsid w:val="008805AC"/>
    <w:rsid w:val="00880D1A"/>
    <w:rsid w:val="008833B6"/>
    <w:rsid w:val="00884468"/>
    <w:rsid w:val="008856D8"/>
    <w:rsid w:val="00892E82"/>
    <w:rsid w:val="00893277"/>
    <w:rsid w:val="00895FA9"/>
    <w:rsid w:val="008A1035"/>
    <w:rsid w:val="008A2A0E"/>
    <w:rsid w:val="008A6E08"/>
    <w:rsid w:val="008B70BD"/>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75"/>
    <w:rsid w:val="009040DD"/>
    <w:rsid w:val="00905B47"/>
    <w:rsid w:val="0090690F"/>
    <w:rsid w:val="00910CE9"/>
    <w:rsid w:val="00911391"/>
    <w:rsid w:val="0091331C"/>
    <w:rsid w:val="009137BD"/>
    <w:rsid w:val="0091503D"/>
    <w:rsid w:val="00915DA9"/>
    <w:rsid w:val="009178AB"/>
    <w:rsid w:val="00920839"/>
    <w:rsid w:val="00923BEB"/>
    <w:rsid w:val="00925D64"/>
    <w:rsid w:val="00925F81"/>
    <w:rsid w:val="009279DE"/>
    <w:rsid w:val="00927A5E"/>
    <w:rsid w:val="00927AB9"/>
    <w:rsid w:val="00927B37"/>
    <w:rsid w:val="00930116"/>
    <w:rsid w:val="00930625"/>
    <w:rsid w:val="00933EA2"/>
    <w:rsid w:val="00935981"/>
    <w:rsid w:val="00941082"/>
    <w:rsid w:val="0094212C"/>
    <w:rsid w:val="009425CE"/>
    <w:rsid w:val="00944853"/>
    <w:rsid w:val="0094609D"/>
    <w:rsid w:val="0095378C"/>
    <w:rsid w:val="00954689"/>
    <w:rsid w:val="0095472A"/>
    <w:rsid w:val="0096085A"/>
    <w:rsid w:val="009617C9"/>
    <w:rsid w:val="00961C93"/>
    <w:rsid w:val="00962B4E"/>
    <w:rsid w:val="00965324"/>
    <w:rsid w:val="0097091E"/>
    <w:rsid w:val="009760D3"/>
    <w:rsid w:val="00977132"/>
    <w:rsid w:val="009771AB"/>
    <w:rsid w:val="00977D44"/>
    <w:rsid w:val="00981A4B"/>
    <w:rsid w:val="00982250"/>
    <w:rsid w:val="00982501"/>
    <w:rsid w:val="00983D33"/>
    <w:rsid w:val="00984358"/>
    <w:rsid w:val="00984F83"/>
    <w:rsid w:val="009877D3"/>
    <w:rsid w:val="00987E80"/>
    <w:rsid w:val="00994E8F"/>
    <w:rsid w:val="009951DC"/>
    <w:rsid w:val="009959BB"/>
    <w:rsid w:val="00997158"/>
    <w:rsid w:val="009A0827"/>
    <w:rsid w:val="009A3A7C"/>
    <w:rsid w:val="009A5D33"/>
    <w:rsid w:val="009A7D84"/>
    <w:rsid w:val="009B2323"/>
    <w:rsid w:val="009B2ADB"/>
    <w:rsid w:val="009B603A"/>
    <w:rsid w:val="009C2D0E"/>
    <w:rsid w:val="009C3018"/>
    <w:rsid w:val="009C3DAC"/>
    <w:rsid w:val="009C42E0"/>
    <w:rsid w:val="009D3230"/>
    <w:rsid w:val="009D5362"/>
    <w:rsid w:val="009E1415"/>
    <w:rsid w:val="009E2EEA"/>
    <w:rsid w:val="009E3EDD"/>
    <w:rsid w:val="009E6116"/>
    <w:rsid w:val="009E7E25"/>
    <w:rsid w:val="009F03EC"/>
    <w:rsid w:val="00A02E43"/>
    <w:rsid w:val="00A05368"/>
    <w:rsid w:val="00A065F9"/>
    <w:rsid w:val="00A07011"/>
    <w:rsid w:val="00A07F34"/>
    <w:rsid w:val="00A22154"/>
    <w:rsid w:val="00A24058"/>
    <w:rsid w:val="00A25C38"/>
    <w:rsid w:val="00A26108"/>
    <w:rsid w:val="00A3195E"/>
    <w:rsid w:val="00A35824"/>
    <w:rsid w:val="00A36BBE"/>
    <w:rsid w:val="00A37C20"/>
    <w:rsid w:val="00A40D9E"/>
    <w:rsid w:val="00A41DF7"/>
    <w:rsid w:val="00A420B1"/>
    <w:rsid w:val="00A42ECA"/>
    <w:rsid w:val="00A4307A"/>
    <w:rsid w:val="00A46DEF"/>
    <w:rsid w:val="00A47EBB"/>
    <w:rsid w:val="00A51CDD"/>
    <w:rsid w:val="00A563F8"/>
    <w:rsid w:val="00A56BBA"/>
    <w:rsid w:val="00A57635"/>
    <w:rsid w:val="00A6730D"/>
    <w:rsid w:val="00A71625"/>
    <w:rsid w:val="00A71B9B"/>
    <w:rsid w:val="00A751C7"/>
    <w:rsid w:val="00A80008"/>
    <w:rsid w:val="00A84CE5"/>
    <w:rsid w:val="00A86385"/>
    <w:rsid w:val="00A87844"/>
    <w:rsid w:val="00A9227B"/>
    <w:rsid w:val="00A97A55"/>
    <w:rsid w:val="00AA038C"/>
    <w:rsid w:val="00AA69AF"/>
    <w:rsid w:val="00AA7A09"/>
    <w:rsid w:val="00AB3B50"/>
    <w:rsid w:val="00AC05B1"/>
    <w:rsid w:val="00AC450C"/>
    <w:rsid w:val="00AC5665"/>
    <w:rsid w:val="00AD1CAB"/>
    <w:rsid w:val="00AD340B"/>
    <w:rsid w:val="00AD356C"/>
    <w:rsid w:val="00AE2914"/>
    <w:rsid w:val="00AE2C40"/>
    <w:rsid w:val="00AE6D15"/>
    <w:rsid w:val="00AE7023"/>
    <w:rsid w:val="00AE78AA"/>
    <w:rsid w:val="00AF0EF3"/>
    <w:rsid w:val="00AF1F49"/>
    <w:rsid w:val="00AF2D81"/>
    <w:rsid w:val="00AF52BE"/>
    <w:rsid w:val="00B0161B"/>
    <w:rsid w:val="00B04182"/>
    <w:rsid w:val="00B05ECF"/>
    <w:rsid w:val="00B07AE3"/>
    <w:rsid w:val="00B11430"/>
    <w:rsid w:val="00B12A5D"/>
    <w:rsid w:val="00B242F4"/>
    <w:rsid w:val="00B2477A"/>
    <w:rsid w:val="00B24D1C"/>
    <w:rsid w:val="00B2678A"/>
    <w:rsid w:val="00B30072"/>
    <w:rsid w:val="00B30481"/>
    <w:rsid w:val="00B30566"/>
    <w:rsid w:val="00B3312F"/>
    <w:rsid w:val="00B353EB"/>
    <w:rsid w:val="00B4016F"/>
    <w:rsid w:val="00B407AC"/>
    <w:rsid w:val="00B439C4"/>
    <w:rsid w:val="00B44C68"/>
    <w:rsid w:val="00B4535E"/>
    <w:rsid w:val="00B50F0D"/>
    <w:rsid w:val="00B52093"/>
    <w:rsid w:val="00B52A8C"/>
    <w:rsid w:val="00B54707"/>
    <w:rsid w:val="00B56155"/>
    <w:rsid w:val="00B62F11"/>
    <w:rsid w:val="00B63042"/>
    <w:rsid w:val="00B636A8"/>
    <w:rsid w:val="00B665C6"/>
    <w:rsid w:val="00B70925"/>
    <w:rsid w:val="00B717AB"/>
    <w:rsid w:val="00B72AD8"/>
    <w:rsid w:val="00B74441"/>
    <w:rsid w:val="00B758A5"/>
    <w:rsid w:val="00B805AF"/>
    <w:rsid w:val="00B818D9"/>
    <w:rsid w:val="00B82BD5"/>
    <w:rsid w:val="00B869EC"/>
    <w:rsid w:val="00B91131"/>
    <w:rsid w:val="00B92383"/>
    <w:rsid w:val="00B9261C"/>
    <w:rsid w:val="00B9397A"/>
    <w:rsid w:val="00B9633D"/>
    <w:rsid w:val="00B967D5"/>
    <w:rsid w:val="00BA2EBE"/>
    <w:rsid w:val="00BA3BB5"/>
    <w:rsid w:val="00BB0F28"/>
    <w:rsid w:val="00BB458A"/>
    <w:rsid w:val="00BB693F"/>
    <w:rsid w:val="00BB6C11"/>
    <w:rsid w:val="00BC27C4"/>
    <w:rsid w:val="00BC5953"/>
    <w:rsid w:val="00BD00D3"/>
    <w:rsid w:val="00BD0C9D"/>
    <w:rsid w:val="00BD1659"/>
    <w:rsid w:val="00BD2E1D"/>
    <w:rsid w:val="00BD33D1"/>
    <w:rsid w:val="00BD3AA9"/>
    <w:rsid w:val="00BD4A18"/>
    <w:rsid w:val="00BD6DB2"/>
    <w:rsid w:val="00BD73A1"/>
    <w:rsid w:val="00BE11CF"/>
    <w:rsid w:val="00BE21AB"/>
    <w:rsid w:val="00BE55CB"/>
    <w:rsid w:val="00BE7067"/>
    <w:rsid w:val="00BE7A50"/>
    <w:rsid w:val="00BF3BB2"/>
    <w:rsid w:val="00BF4503"/>
    <w:rsid w:val="00BF617A"/>
    <w:rsid w:val="00C0379D"/>
    <w:rsid w:val="00C03931"/>
    <w:rsid w:val="00C05FE3"/>
    <w:rsid w:val="00C11DA9"/>
    <w:rsid w:val="00C2136D"/>
    <w:rsid w:val="00C214EE"/>
    <w:rsid w:val="00C2226F"/>
    <w:rsid w:val="00C2314B"/>
    <w:rsid w:val="00C244A0"/>
    <w:rsid w:val="00C24971"/>
    <w:rsid w:val="00C25355"/>
    <w:rsid w:val="00C26BE5"/>
    <w:rsid w:val="00C26E4D"/>
    <w:rsid w:val="00C27909"/>
    <w:rsid w:val="00C27B03"/>
    <w:rsid w:val="00C314E1"/>
    <w:rsid w:val="00C34397"/>
    <w:rsid w:val="00C40503"/>
    <w:rsid w:val="00C4095D"/>
    <w:rsid w:val="00C56106"/>
    <w:rsid w:val="00C57A9C"/>
    <w:rsid w:val="00C601D2"/>
    <w:rsid w:val="00C6166B"/>
    <w:rsid w:val="00C65BCC"/>
    <w:rsid w:val="00C66970"/>
    <w:rsid w:val="00C71F4D"/>
    <w:rsid w:val="00C77588"/>
    <w:rsid w:val="00C8691C"/>
    <w:rsid w:val="00C86CB4"/>
    <w:rsid w:val="00C93547"/>
    <w:rsid w:val="00C96295"/>
    <w:rsid w:val="00C96364"/>
    <w:rsid w:val="00CA03DF"/>
    <w:rsid w:val="00CA168A"/>
    <w:rsid w:val="00CA2097"/>
    <w:rsid w:val="00CA357E"/>
    <w:rsid w:val="00CA44F9"/>
    <w:rsid w:val="00CA4A69"/>
    <w:rsid w:val="00CB722E"/>
    <w:rsid w:val="00CC3E0C"/>
    <w:rsid w:val="00CC58D3"/>
    <w:rsid w:val="00CC784D"/>
    <w:rsid w:val="00CD76B1"/>
    <w:rsid w:val="00CF1E15"/>
    <w:rsid w:val="00CF7725"/>
    <w:rsid w:val="00D00A8D"/>
    <w:rsid w:val="00D03268"/>
    <w:rsid w:val="00D0337B"/>
    <w:rsid w:val="00D05E23"/>
    <w:rsid w:val="00D07777"/>
    <w:rsid w:val="00D079B2"/>
    <w:rsid w:val="00D114E9"/>
    <w:rsid w:val="00D17CD8"/>
    <w:rsid w:val="00D17DC2"/>
    <w:rsid w:val="00D2527C"/>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3C6F"/>
    <w:rsid w:val="00D84271"/>
    <w:rsid w:val="00D847FE"/>
    <w:rsid w:val="00D86B9C"/>
    <w:rsid w:val="00D86CDA"/>
    <w:rsid w:val="00D900CD"/>
    <w:rsid w:val="00D90A39"/>
    <w:rsid w:val="00D91872"/>
    <w:rsid w:val="00D964EA"/>
    <w:rsid w:val="00D966D0"/>
    <w:rsid w:val="00DA0C59"/>
    <w:rsid w:val="00DA3991"/>
    <w:rsid w:val="00DA72A1"/>
    <w:rsid w:val="00DA7F95"/>
    <w:rsid w:val="00DB01F1"/>
    <w:rsid w:val="00DB3222"/>
    <w:rsid w:val="00DB7E6C"/>
    <w:rsid w:val="00DC4F68"/>
    <w:rsid w:val="00DC5E64"/>
    <w:rsid w:val="00DC64B0"/>
    <w:rsid w:val="00DC6B1E"/>
    <w:rsid w:val="00DD252A"/>
    <w:rsid w:val="00DD3D00"/>
    <w:rsid w:val="00DD5949"/>
    <w:rsid w:val="00DD5A29"/>
    <w:rsid w:val="00DD5D9D"/>
    <w:rsid w:val="00DE0129"/>
    <w:rsid w:val="00DE35CB"/>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50DF"/>
    <w:rsid w:val="00E21A65"/>
    <w:rsid w:val="00E21B55"/>
    <w:rsid w:val="00E221D3"/>
    <w:rsid w:val="00E226B0"/>
    <w:rsid w:val="00E24EB4"/>
    <w:rsid w:val="00E30635"/>
    <w:rsid w:val="00E320ED"/>
    <w:rsid w:val="00E33AFB"/>
    <w:rsid w:val="00E34218"/>
    <w:rsid w:val="00E378D8"/>
    <w:rsid w:val="00E4008C"/>
    <w:rsid w:val="00E4555B"/>
    <w:rsid w:val="00E46282"/>
    <w:rsid w:val="00E47B81"/>
    <w:rsid w:val="00E5216E"/>
    <w:rsid w:val="00E5529C"/>
    <w:rsid w:val="00E56D0E"/>
    <w:rsid w:val="00E643DB"/>
    <w:rsid w:val="00E657C6"/>
    <w:rsid w:val="00E748E9"/>
    <w:rsid w:val="00E75964"/>
    <w:rsid w:val="00E75D40"/>
    <w:rsid w:val="00E81965"/>
    <w:rsid w:val="00E81A88"/>
    <w:rsid w:val="00E82344"/>
    <w:rsid w:val="00E84C82"/>
    <w:rsid w:val="00E84D64"/>
    <w:rsid w:val="00E856C8"/>
    <w:rsid w:val="00E87408"/>
    <w:rsid w:val="00E914C4"/>
    <w:rsid w:val="00E934F5"/>
    <w:rsid w:val="00E96554"/>
    <w:rsid w:val="00E96961"/>
    <w:rsid w:val="00EA6449"/>
    <w:rsid w:val="00EA72EC"/>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EF6450"/>
    <w:rsid w:val="00EF6DC8"/>
    <w:rsid w:val="00F05D60"/>
    <w:rsid w:val="00F07224"/>
    <w:rsid w:val="00F07FD3"/>
    <w:rsid w:val="00F11BB5"/>
    <w:rsid w:val="00F1296C"/>
    <w:rsid w:val="00F1417B"/>
    <w:rsid w:val="00F14A99"/>
    <w:rsid w:val="00F1712D"/>
    <w:rsid w:val="00F17A17"/>
    <w:rsid w:val="00F17C94"/>
    <w:rsid w:val="00F208A0"/>
    <w:rsid w:val="00F2115E"/>
    <w:rsid w:val="00F25DD8"/>
    <w:rsid w:val="00F27B3D"/>
    <w:rsid w:val="00F30ABD"/>
    <w:rsid w:val="00F34B99"/>
    <w:rsid w:val="00F40B02"/>
    <w:rsid w:val="00F41E81"/>
    <w:rsid w:val="00F508D5"/>
    <w:rsid w:val="00F51720"/>
    <w:rsid w:val="00F51CF2"/>
    <w:rsid w:val="00F52DAB"/>
    <w:rsid w:val="00F543F0"/>
    <w:rsid w:val="00F55E3E"/>
    <w:rsid w:val="00F57601"/>
    <w:rsid w:val="00F66940"/>
    <w:rsid w:val="00F7028B"/>
    <w:rsid w:val="00F715C6"/>
    <w:rsid w:val="00F73F99"/>
    <w:rsid w:val="00F75F80"/>
    <w:rsid w:val="00F804D8"/>
    <w:rsid w:val="00F81D29"/>
    <w:rsid w:val="00F863C8"/>
    <w:rsid w:val="00F90BE5"/>
    <w:rsid w:val="00F90EE3"/>
    <w:rsid w:val="00F91C4D"/>
    <w:rsid w:val="00F92FD9"/>
    <w:rsid w:val="00FA37B1"/>
    <w:rsid w:val="00FA3E0B"/>
    <w:rsid w:val="00FA5C60"/>
    <w:rsid w:val="00FA5EF7"/>
    <w:rsid w:val="00FA6014"/>
    <w:rsid w:val="00FA6684"/>
    <w:rsid w:val="00FA731E"/>
    <w:rsid w:val="00FA7BD0"/>
    <w:rsid w:val="00FB0E6D"/>
    <w:rsid w:val="00FB15BB"/>
    <w:rsid w:val="00FB1DCF"/>
    <w:rsid w:val="00FB2B38"/>
    <w:rsid w:val="00FB61CE"/>
    <w:rsid w:val="00FB7A07"/>
    <w:rsid w:val="00FC04CC"/>
    <w:rsid w:val="00FC1C08"/>
    <w:rsid w:val="00FC2066"/>
    <w:rsid w:val="00FC6358"/>
    <w:rsid w:val="00FD1381"/>
    <w:rsid w:val="00FD320D"/>
    <w:rsid w:val="00FE1B98"/>
    <w:rsid w:val="00FE23DE"/>
    <w:rsid w:val="00FE5A3D"/>
    <w:rsid w:val="00FF10A1"/>
    <w:rsid w:val="00FF1801"/>
    <w:rsid w:val="00FF5728"/>
    <w:rsid w:val="00FF6842"/>
    <w:rsid w:val="2F55CC28"/>
    <w:rsid w:val="2FF3793A"/>
    <w:rsid w:val="5FFE76ED"/>
    <w:rsid w:val="7EDAA473"/>
    <w:rsid w:val="FF9FEDD0"/>
    <w:rsid w:val="FFAB03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8"/>
    <w:qFormat/>
    <w:uiPriority w:val="0"/>
    <w:pPr>
      <w:keepNext/>
      <w:keepLines/>
      <w:spacing w:before="340" w:after="330" w:line="578" w:lineRule="auto"/>
      <w:outlineLvl w:val="0"/>
    </w:pPr>
    <w:rPr>
      <w:b/>
      <w:bCs/>
      <w:kern w:val="44"/>
      <w:sz w:val="44"/>
      <w:szCs w:val="44"/>
    </w:rPr>
  </w:style>
  <w:style w:type="paragraph" w:styleId="4">
    <w:name w:val="heading 4"/>
    <w:basedOn w:val="1"/>
    <w:next w:val="5"/>
    <w:link w:val="146"/>
    <w:qFormat/>
    <w:uiPriority w:val="0"/>
    <w:pPr>
      <w:keepLines/>
      <w:widowControl/>
      <w:numPr>
        <w:ilvl w:val="0"/>
        <w:numId w:val="1"/>
      </w:numPr>
      <w:adjustRightInd w:val="0"/>
      <w:spacing w:before="50" w:beforeLines="50" w:after="50" w:afterLines="50"/>
      <w:jc w:val="left"/>
      <w:outlineLvl w:val="3"/>
    </w:pPr>
    <w:rPr>
      <w:rFonts w:ascii="宋体" w:hAnsi="宋体" w:cs="宋体"/>
      <w:bCs/>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tabs>
        <w:tab w:val="right" w:leader="dot" w:pos="9241"/>
      </w:tabs>
      <w:ind w:firstLine="102" w:firstLineChars="100"/>
      <w:jc w:val="left"/>
    </w:pPr>
    <w:rPr>
      <w:rFonts w:ascii="宋体"/>
      <w:szCs w:val="21"/>
    </w:rPr>
  </w:style>
  <w:style w:type="paragraph" w:customStyle="1" w:styleId="5">
    <w:name w:val="正文1"/>
    <w:link w:val="145"/>
    <w:qFormat/>
    <w:uiPriority w:val="0"/>
    <w:pPr>
      <w:ind w:firstLine="200" w:firstLineChars="200"/>
      <w:jc w:val="both"/>
    </w:pPr>
    <w:rPr>
      <w:rFonts w:ascii="Times New Roman" w:hAnsi="Times New Roman" w:eastAsia="宋体" w:cs="Times New Roman"/>
      <w:kern w:val="2"/>
      <w:sz w:val="24"/>
      <w:szCs w:val="28"/>
      <w:lang w:val="en-US" w:eastAsia="zh-CN" w:bidi="ar-SA"/>
    </w:r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annotation text"/>
    <w:basedOn w:val="1"/>
    <w:link w:val="151"/>
    <w:unhideWhenUsed/>
    <w:qFormat/>
    <w:uiPriority w:val="0"/>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3"/>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2"/>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11"/>
    <w:next w:val="11"/>
    <w:link w:val="152"/>
    <w:semiHidden/>
    <w:unhideWhenUsed/>
    <w:qFormat/>
    <w:uiPriority w:val="0"/>
    <w:rPr>
      <w:b/>
      <w:bCs/>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basedOn w:val="36"/>
    <w:semiHidden/>
    <w:unhideWhenUsed/>
    <w:qFormat/>
    <w:uiPriority w:val="0"/>
    <w:rPr>
      <w:sz w:val="21"/>
      <w:szCs w:val="21"/>
    </w:rPr>
  </w:style>
  <w:style w:type="character" w:styleId="42">
    <w:name w:val="footnote reference"/>
    <w:semiHidden/>
    <w:qFormat/>
    <w:uiPriority w:val="0"/>
    <w:rPr>
      <w:vertAlign w:val="superscript"/>
    </w:rPr>
  </w:style>
  <w:style w:type="character" w:customStyle="1" w:styleId="43">
    <w:name w:val="段 Char"/>
    <w:link w:val="25"/>
    <w:qFormat/>
    <w:uiPriority w:val="0"/>
    <w:rPr>
      <w:rFonts w:ascii="宋体"/>
      <w:sz w:val="21"/>
      <w:lang w:val="en-US" w:eastAsia="zh-CN" w:bidi="ar-SA"/>
    </w:rPr>
  </w:style>
  <w:style w:type="paragraph" w:customStyle="1" w:styleId="44">
    <w:name w:val="一级条标题"/>
    <w:next w:val="25"/>
    <w:link w:val="144"/>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章标题"/>
    <w:next w:val="25"/>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二级条标题"/>
    <w:basedOn w:val="44"/>
    <w:next w:val="25"/>
    <w:qFormat/>
    <w:uiPriority w:val="0"/>
    <w:pPr>
      <w:numPr>
        <w:ilvl w:val="2"/>
      </w:numPr>
      <w:spacing w:before="50" w:after="50"/>
      <w:outlineLvl w:val="3"/>
    </w:pPr>
  </w:style>
  <w:style w:type="paragraph" w:customStyle="1" w:styleId="4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1">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2">
    <w:name w:val="目次、标准名称标题"/>
    <w:basedOn w:val="1"/>
    <w:next w:val="25"/>
    <w:link w:val="141"/>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3">
    <w:name w:val="三级条标题"/>
    <w:basedOn w:val="48"/>
    <w:next w:val="25"/>
    <w:qFormat/>
    <w:uiPriority w:val="0"/>
    <w:pPr>
      <w:numPr>
        <w:ilvl w:val="3"/>
      </w:numPr>
      <w:outlineLvl w:val="4"/>
    </w:pPr>
  </w:style>
  <w:style w:type="paragraph" w:customStyle="1" w:styleId="54">
    <w:name w:val="示例"/>
    <w:next w:val="55"/>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5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6">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57">
    <w:name w:val="四级条标题"/>
    <w:basedOn w:val="53"/>
    <w:next w:val="25"/>
    <w:qFormat/>
    <w:uiPriority w:val="0"/>
    <w:pPr>
      <w:numPr>
        <w:ilvl w:val="4"/>
      </w:numPr>
      <w:outlineLvl w:val="5"/>
    </w:pPr>
  </w:style>
  <w:style w:type="paragraph" w:customStyle="1" w:styleId="58">
    <w:name w:val="五级条标题"/>
    <w:basedOn w:val="57"/>
    <w:next w:val="25"/>
    <w:qFormat/>
    <w:uiPriority w:val="0"/>
    <w:pPr>
      <w:numPr>
        <w:ilvl w:val="5"/>
      </w:numPr>
      <w:outlineLvl w:val="6"/>
    </w:pPr>
  </w:style>
  <w:style w:type="paragraph" w:customStyle="1" w:styleId="59">
    <w:name w:val="注："/>
    <w:next w:val="25"/>
    <w:qFormat/>
    <w:uiPriority w:val="0"/>
    <w:pPr>
      <w:widowControl w:val="0"/>
      <w:numPr>
        <w:ilvl w:val="0"/>
        <w:numId w:val="7"/>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0">
    <w:name w:val="注×："/>
    <w:qFormat/>
    <w:uiPriority w:val="0"/>
    <w:pPr>
      <w:widowControl w:val="0"/>
      <w:numPr>
        <w:ilvl w:val="0"/>
        <w:numId w:val="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1">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62">
    <w:name w:val="列项◆（三级）"/>
    <w:basedOn w:val="1"/>
    <w:qFormat/>
    <w:uiPriority w:val="0"/>
    <w:pPr>
      <w:numPr>
        <w:ilvl w:val="2"/>
        <w:numId w:val="4"/>
      </w:numPr>
    </w:pPr>
    <w:rPr>
      <w:rFonts w:ascii="宋体"/>
      <w:szCs w:val="21"/>
    </w:rPr>
  </w:style>
  <w:style w:type="paragraph" w:customStyle="1" w:styleId="63">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64">
    <w:name w:val="示例×："/>
    <w:basedOn w:val="47"/>
    <w:qFormat/>
    <w:uiPriority w:val="0"/>
    <w:pPr>
      <w:numPr>
        <w:numId w:val="9"/>
      </w:numPr>
      <w:spacing w:beforeLines="0" w:afterLines="0"/>
      <w:outlineLvl w:val="9"/>
    </w:pPr>
    <w:rPr>
      <w:rFonts w:ascii="宋体" w:eastAsia="宋体"/>
      <w:sz w:val="18"/>
      <w:szCs w:val="18"/>
    </w:rPr>
  </w:style>
  <w:style w:type="paragraph" w:customStyle="1" w:styleId="65">
    <w:name w:val="二级无"/>
    <w:basedOn w:val="48"/>
    <w:qFormat/>
    <w:uiPriority w:val="0"/>
    <w:pPr>
      <w:spacing w:beforeLines="0" w:afterLines="0"/>
    </w:pPr>
    <w:rPr>
      <w:rFonts w:ascii="宋体" w:eastAsia="宋体"/>
    </w:rPr>
  </w:style>
  <w:style w:type="paragraph" w:customStyle="1" w:styleId="66">
    <w:name w:val="注：（正文）"/>
    <w:basedOn w:val="59"/>
    <w:next w:val="25"/>
    <w:qFormat/>
    <w:uiPriority w:val="0"/>
    <w:pPr>
      <w:numPr>
        <w:numId w:val="10"/>
      </w:numPr>
      <w:ind w:left="726" w:hanging="363"/>
    </w:pPr>
  </w:style>
  <w:style w:type="paragraph" w:customStyle="1" w:styleId="67">
    <w:name w:val="注×：（正文）"/>
    <w:qFormat/>
    <w:uiPriority w:val="0"/>
    <w:pPr>
      <w:numPr>
        <w:ilvl w:val="0"/>
        <w:numId w:val="11"/>
      </w:numPr>
      <w:ind w:left="811" w:hanging="448"/>
      <w:jc w:val="both"/>
    </w:pPr>
    <w:rPr>
      <w:rFonts w:ascii="宋体" w:hAnsi="Times New Roman" w:eastAsia="宋体" w:cs="Times New Roman"/>
      <w:sz w:val="18"/>
      <w:szCs w:val="18"/>
      <w:lang w:val="en-US" w:eastAsia="zh-CN" w:bidi="ar-SA"/>
    </w:rPr>
  </w:style>
  <w:style w:type="paragraph" w:customStyle="1" w:styleId="6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1">
    <w:name w:val="标准书眉_偶数页"/>
    <w:basedOn w:val="46"/>
    <w:next w:val="1"/>
    <w:qFormat/>
    <w:uiPriority w:val="0"/>
    <w:pPr>
      <w:jc w:val="left"/>
    </w:pPr>
  </w:style>
  <w:style w:type="paragraph" w:customStyle="1" w:styleId="72">
    <w:name w:val="标准书眉一"/>
    <w:qFormat/>
    <w:uiPriority w:val="0"/>
    <w:pPr>
      <w:jc w:val="both"/>
    </w:pPr>
    <w:rPr>
      <w:rFonts w:ascii="Times New Roman" w:hAnsi="Times New Roman" w:eastAsia="宋体" w:cs="Times New Roman"/>
      <w:lang w:val="en-US" w:eastAsia="zh-CN" w:bidi="ar-SA"/>
    </w:rPr>
  </w:style>
  <w:style w:type="paragraph" w:customStyle="1" w:styleId="73">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4">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5">
    <w:name w:val="发布"/>
    <w:qFormat/>
    <w:uiPriority w:val="0"/>
    <w:rPr>
      <w:rFonts w:ascii="黑体" w:eastAsia="黑体"/>
      <w:spacing w:val="85"/>
      <w:w w:val="100"/>
      <w:position w:val="3"/>
      <w:sz w:val="28"/>
      <w:szCs w:val="28"/>
    </w:rPr>
  </w:style>
  <w:style w:type="paragraph" w:customStyle="1" w:styleId="76">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0">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1">
    <w:name w:val="封面标准英文名称"/>
    <w:basedOn w:val="80"/>
    <w:qFormat/>
    <w:uiPriority w:val="0"/>
    <w:pPr>
      <w:spacing w:before="370" w:line="400" w:lineRule="exact"/>
    </w:pPr>
    <w:rPr>
      <w:rFonts w:ascii="Times New Roman"/>
      <w:sz w:val="28"/>
      <w:szCs w:val="28"/>
    </w:rPr>
  </w:style>
  <w:style w:type="paragraph" w:customStyle="1" w:styleId="82">
    <w:name w:val="封面一致性程度标识"/>
    <w:basedOn w:val="81"/>
    <w:qFormat/>
    <w:uiPriority w:val="0"/>
    <w:pPr>
      <w:spacing w:before="440"/>
    </w:pPr>
    <w:rPr>
      <w:rFonts w:ascii="宋体" w:eastAsia="宋体"/>
    </w:rPr>
  </w:style>
  <w:style w:type="paragraph" w:customStyle="1" w:styleId="83">
    <w:name w:val="封面标准文稿类别"/>
    <w:basedOn w:val="82"/>
    <w:qFormat/>
    <w:uiPriority w:val="0"/>
    <w:pPr>
      <w:spacing w:after="160" w:line="240" w:lineRule="auto"/>
    </w:pPr>
    <w:rPr>
      <w:sz w:val="24"/>
    </w:rPr>
  </w:style>
  <w:style w:type="paragraph" w:customStyle="1" w:styleId="84">
    <w:name w:val="封面标准文稿编辑信息"/>
    <w:basedOn w:val="83"/>
    <w:qFormat/>
    <w:uiPriority w:val="0"/>
    <w:pPr>
      <w:spacing w:before="180" w:line="180" w:lineRule="exact"/>
    </w:pPr>
    <w:rPr>
      <w:sz w:val="21"/>
    </w:rPr>
  </w:style>
  <w:style w:type="paragraph" w:customStyle="1" w:styleId="85">
    <w:name w:val="封面正文"/>
    <w:qFormat/>
    <w:uiPriority w:val="0"/>
    <w:pPr>
      <w:jc w:val="both"/>
    </w:pPr>
    <w:rPr>
      <w:rFonts w:ascii="Times New Roman" w:hAnsi="Times New Roman" w:eastAsia="宋体" w:cs="Times New Roman"/>
      <w:lang w:val="en-US" w:eastAsia="zh-CN" w:bidi="ar-SA"/>
    </w:rPr>
  </w:style>
  <w:style w:type="paragraph" w:customStyle="1" w:styleId="86">
    <w:name w:val="附录标识"/>
    <w:basedOn w:val="1"/>
    <w:next w:val="25"/>
    <w:qFormat/>
    <w:uiPriority w:val="0"/>
    <w:pPr>
      <w:keepNext/>
      <w:widowControl/>
      <w:numPr>
        <w:ilvl w:val="0"/>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7">
    <w:name w:val="附录标题"/>
    <w:basedOn w:val="25"/>
    <w:next w:val="25"/>
    <w:qFormat/>
    <w:uiPriority w:val="0"/>
    <w:pPr>
      <w:ind w:firstLine="0" w:firstLineChars="0"/>
      <w:jc w:val="center"/>
    </w:pPr>
    <w:rPr>
      <w:rFonts w:ascii="黑体" w:eastAsia="黑体"/>
    </w:rPr>
  </w:style>
  <w:style w:type="paragraph" w:customStyle="1" w:styleId="88">
    <w:name w:val="附录表标号"/>
    <w:basedOn w:val="1"/>
    <w:next w:val="25"/>
    <w:qFormat/>
    <w:uiPriority w:val="0"/>
    <w:pPr>
      <w:numPr>
        <w:ilvl w:val="0"/>
        <w:numId w:val="13"/>
      </w:numPr>
      <w:tabs>
        <w:tab w:val="clear" w:pos="0"/>
      </w:tabs>
      <w:spacing w:line="14" w:lineRule="exact"/>
      <w:ind w:left="811" w:hanging="448"/>
      <w:jc w:val="center"/>
      <w:outlineLvl w:val="0"/>
    </w:pPr>
    <w:rPr>
      <w:color w:val="FFFFFF"/>
    </w:rPr>
  </w:style>
  <w:style w:type="paragraph" w:customStyle="1" w:styleId="89">
    <w:name w:val="附录表标题"/>
    <w:basedOn w:val="1"/>
    <w:next w:val="25"/>
    <w:qFormat/>
    <w:uiPriority w:val="0"/>
    <w:pPr>
      <w:numPr>
        <w:ilvl w:val="1"/>
        <w:numId w:val="13"/>
      </w:numPr>
      <w:tabs>
        <w:tab w:val="left" w:pos="180"/>
      </w:tabs>
      <w:spacing w:beforeLines="50" w:afterLines="50"/>
      <w:ind w:left="0" w:firstLine="0"/>
      <w:jc w:val="center"/>
    </w:pPr>
    <w:rPr>
      <w:rFonts w:ascii="黑体" w:eastAsia="黑体"/>
      <w:szCs w:val="21"/>
    </w:rPr>
  </w:style>
  <w:style w:type="paragraph" w:customStyle="1" w:styleId="90">
    <w:name w:val="附录二级条标题"/>
    <w:basedOn w:val="1"/>
    <w:next w:val="25"/>
    <w:qFormat/>
    <w:uiPriority w:val="0"/>
    <w:pPr>
      <w:widowControl/>
      <w:numPr>
        <w:ilvl w:val="3"/>
        <w:numId w:val="12"/>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1">
    <w:name w:val="附录二级无"/>
    <w:basedOn w:val="90"/>
    <w:qFormat/>
    <w:uiPriority w:val="0"/>
    <w:pPr>
      <w:tabs>
        <w:tab w:val="clear" w:pos="360"/>
      </w:tabs>
      <w:spacing w:beforeLines="0" w:afterLines="0"/>
    </w:pPr>
    <w:rPr>
      <w:rFonts w:ascii="宋体" w:eastAsia="宋体"/>
      <w:szCs w:val="21"/>
    </w:rPr>
  </w:style>
  <w:style w:type="paragraph" w:customStyle="1" w:styleId="92">
    <w:name w:val="附录公式"/>
    <w:basedOn w:val="25"/>
    <w:next w:val="25"/>
    <w:link w:val="93"/>
    <w:qFormat/>
    <w:uiPriority w:val="0"/>
  </w:style>
  <w:style w:type="character" w:customStyle="1" w:styleId="93">
    <w:name w:val="附录公式 Char"/>
    <w:basedOn w:val="43"/>
    <w:link w:val="92"/>
    <w:qFormat/>
    <w:uiPriority w:val="0"/>
    <w:rPr>
      <w:rFonts w:ascii="宋体"/>
      <w:sz w:val="21"/>
      <w:lang w:val="en-US" w:eastAsia="zh-CN" w:bidi="ar-SA"/>
    </w:rPr>
  </w:style>
  <w:style w:type="paragraph" w:customStyle="1" w:styleId="94">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5">
    <w:name w:val="附录三级条标题"/>
    <w:basedOn w:val="90"/>
    <w:next w:val="25"/>
    <w:qFormat/>
    <w:uiPriority w:val="0"/>
    <w:pPr>
      <w:numPr>
        <w:ilvl w:val="4"/>
      </w:numPr>
      <w:outlineLvl w:val="4"/>
    </w:pPr>
  </w:style>
  <w:style w:type="paragraph" w:customStyle="1" w:styleId="96">
    <w:name w:val="附录三级无"/>
    <w:basedOn w:val="95"/>
    <w:qFormat/>
    <w:uiPriority w:val="0"/>
    <w:pPr>
      <w:tabs>
        <w:tab w:val="clear" w:pos="360"/>
      </w:tabs>
      <w:spacing w:beforeLines="0" w:afterLines="0"/>
    </w:pPr>
    <w:rPr>
      <w:rFonts w:ascii="宋体" w:eastAsia="宋体"/>
      <w:szCs w:val="21"/>
    </w:rPr>
  </w:style>
  <w:style w:type="paragraph" w:customStyle="1" w:styleId="97">
    <w:name w:val="附录数字编号列项（二级）"/>
    <w:qFormat/>
    <w:uiPriority w:val="0"/>
    <w:pPr>
      <w:numPr>
        <w:ilvl w:val="1"/>
        <w:numId w:val="14"/>
      </w:numPr>
    </w:pPr>
    <w:rPr>
      <w:rFonts w:ascii="宋体" w:hAnsi="Times New Roman" w:eastAsia="宋体" w:cs="Times New Roman"/>
      <w:sz w:val="21"/>
      <w:lang w:val="en-US" w:eastAsia="zh-CN" w:bidi="ar-SA"/>
    </w:rPr>
  </w:style>
  <w:style w:type="paragraph" w:customStyle="1" w:styleId="98">
    <w:name w:val="附录四级条标题"/>
    <w:basedOn w:val="95"/>
    <w:next w:val="25"/>
    <w:qFormat/>
    <w:uiPriority w:val="0"/>
    <w:pPr>
      <w:numPr>
        <w:ilvl w:val="5"/>
      </w:numPr>
      <w:outlineLvl w:val="5"/>
    </w:pPr>
  </w:style>
  <w:style w:type="paragraph" w:customStyle="1" w:styleId="99">
    <w:name w:val="附录四级无"/>
    <w:basedOn w:val="98"/>
    <w:qFormat/>
    <w:uiPriority w:val="0"/>
    <w:pPr>
      <w:tabs>
        <w:tab w:val="clear" w:pos="360"/>
      </w:tabs>
      <w:spacing w:beforeLines="0" w:afterLines="0"/>
    </w:pPr>
    <w:rPr>
      <w:rFonts w:ascii="宋体" w:eastAsia="宋体"/>
      <w:szCs w:val="21"/>
    </w:rPr>
  </w:style>
  <w:style w:type="paragraph" w:customStyle="1" w:styleId="100">
    <w:name w:val="附录图标号"/>
    <w:basedOn w:val="1"/>
    <w:qFormat/>
    <w:uiPriority w:val="0"/>
    <w:pPr>
      <w:keepNext/>
      <w:pageBreakBefore/>
      <w:widowControl/>
      <w:numPr>
        <w:ilvl w:val="0"/>
        <w:numId w:val="15"/>
      </w:numPr>
      <w:spacing w:line="14" w:lineRule="exact"/>
      <w:ind w:left="0" w:firstLine="363"/>
      <w:jc w:val="center"/>
      <w:outlineLvl w:val="0"/>
    </w:pPr>
    <w:rPr>
      <w:color w:val="FFFFFF"/>
    </w:rPr>
  </w:style>
  <w:style w:type="paragraph" w:customStyle="1" w:styleId="101">
    <w:name w:val="附录图标题"/>
    <w:basedOn w:val="1"/>
    <w:next w:val="25"/>
    <w:qFormat/>
    <w:uiPriority w:val="0"/>
    <w:pPr>
      <w:numPr>
        <w:ilvl w:val="1"/>
        <w:numId w:val="15"/>
      </w:numPr>
      <w:tabs>
        <w:tab w:val="left" w:pos="363"/>
      </w:tabs>
      <w:spacing w:beforeLines="50" w:afterLines="50"/>
      <w:ind w:left="0" w:firstLine="0"/>
      <w:jc w:val="center"/>
    </w:pPr>
    <w:rPr>
      <w:rFonts w:ascii="黑体" w:eastAsia="黑体"/>
      <w:szCs w:val="21"/>
    </w:rPr>
  </w:style>
  <w:style w:type="paragraph" w:customStyle="1" w:styleId="102">
    <w:name w:val="附录五级条标题"/>
    <w:basedOn w:val="98"/>
    <w:next w:val="25"/>
    <w:qFormat/>
    <w:uiPriority w:val="0"/>
    <w:pPr>
      <w:numPr>
        <w:ilvl w:val="6"/>
      </w:numPr>
      <w:outlineLvl w:val="6"/>
    </w:pPr>
  </w:style>
  <w:style w:type="paragraph" w:customStyle="1" w:styleId="103">
    <w:name w:val="附录五级无"/>
    <w:basedOn w:val="102"/>
    <w:qFormat/>
    <w:uiPriority w:val="0"/>
    <w:pPr>
      <w:tabs>
        <w:tab w:val="clear" w:pos="360"/>
      </w:tabs>
      <w:spacing w:beforeLines="0" w:afterLines="0"/>
    </w:pPr>
    <w:rPr>
      <w:rFonts w:ascii="宋体" w:eastAsia="宋体"/>
      <w:szCs w:val="21"/>
    </w:rPr>
  </w:style>
  <w:style w:type="paragraph" w:customStyle="1" w:styleId="104">
    <w:name w:val="附录章标题"/>
    <w:next w:val="25"/>
    <w:qFormat/>
    <w:uiPriority w:val="0"/>
    <w:pPr>
      <w:numPr>
        <w:ilvl w:val="1"/>
        <w:numId w:val="1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一级条标题"/>
    <w:basedOn w:val="104"/>
    <w:next w:val="25"/>
    <w:qFormat/>
    <w:uiPriority w:val="0"/>
    <w:pPr>
      <w:numPr>
        <w:ilvl w:val="2"/>
      </w:numPr>
      <w:autoSpaceDN w:val="0"/>
      <w:spacing w:beforeLines="50" w:afterLines="50"/>
      <w:outlineLvl w:val="2"/>
    </w:pPr>
  </w:style>
  <w:style w:type="paragraph" w:customStyle="1" w:styleId="106">
    <w:name w:val="附录一级无"/>
    <w:basedOn w:val="105"/>
    <w:qFormat/>
    <w:uiPriority w:val="0"/>
    <w:pPr>
      <w:tabs>
        <w:tab w:val="clear" w:pos="360"/>
      </w:tabs>
      <w:spacing w:beforeLines="0" w:afterLines="0"/>
    </w:pPr>
    <w:rPr>
      <w:rFonts w:ascii="宋体" w:eastAsia="宋体"/>
      <w:szCs w:val="21"/>
    </w:rPr>
  </w:style>
  <w:style w:type="paragraph" w:customStyle="1" w:styleId="107">
    <w:name w:val="附录字母编号列项（一级）"/>
    <w:qFormat/>
    <w:uiPriority w:val="0"/>
    <w:pPr>
      <w:numPr>
        <w:ilvl w:val="0"/>
        <w:numId w:val="14"/>
      </w:numPr>
    </w:pPr>
    <w:rPr>
      <w:rFonts w:ascii="宋体" w:hAnsi="Times New Roman" w:eastAsia="宋体" w:cs="Times New Roman"/>
      <w:sz w:val="21"/>
      <w:lang w:val="en-US" w:eastAsia="zh-CN" w:bidi="ar-SA"/>
    </w:rPr>
  </w:style>
  <w:style w:type="paragraph" w:customStyle="1" w:styleId="108">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其他标准标志"/>
    <w:basedOn w:val="68"/>
    <w:qFormat/>
    <w:uiPriority w:val="0"/>
    <w:pPr>
      <w:framePr w:w="6101" w:vAnchor="page" w:hAnchor="page" w:x="4673" w:y="942"/>
    </w:pPr>
    <w:rPr>
      <w:w w:val="130"/>
    </w:rPr>
  </w:style>
  <w:style w:type="paragraph" w:customStyle="1" w:styleId="11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3">
    <w:name w:val="其他发布部门"/>
    <w:basedOn w:val="76"/>
    <w:qFormat/>
    <w:uiPriority w:val="0"/>
    <w:pPr>
      <w:framePr w:y="15310"/>
      <w:spacing w:line="0" w:lineRule="atLeast"/>
    </w:pPr>
    <w:rPr>
      <w:rFonts w:ascii="黑体" w:eastAsia="黑体"/>
      <w:b w:val="0"/>
    </w:rPr>
  </w:style>
  <w:style w:type="paragraph" w:customStyle="1" w:styleId="114">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5">
    <w:name w:val="三级无"/>
    <w:basedOn w:val="53"/>
    <w:qFormat/>
    <w:uiPriority w:val="0"/>
    <w:pPr>
      <w:spacing w:beforeLines="0" w:afterLines="0"/>
    </w:pPr>
    <w:rPr>
      <w:rFonts w:ascii="宋体" w:eastAsia="宋体"/>
    </w:rPr>
  </w:style>
  <w:style w:type="paragraph" w:customStyle="1" w:styleId="116">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7">
    <w:name w:val="示例后文字"/>
    <w:basedOn w:val="25"/>
    <w:next w:val="25"/>
    <w:qFormat/>
    <w:uiPriority w:val="0"/>
    <w:pPr>
      <w:ind w:firstLine="360"/>
    </w:pPr>
    <w:rPr>
      <w:sz w:val="18"/>
    </w:rPr>
  </w:style>
  <w:style w:type="paragraph" w:customStyle="1" w:styleId="118">
    <w:name w:val="首示例"/>
    <w:next w:val="25"/>
    <w:link w:val="119"/>
    <w:qFormat/>
    <w:uiPriority w:val="0"/>
    <w:pPr>
      <w:tabs>
        <w:tab w:val="left" w:pos="360"/>
      </w:tabs>
    </w:pPr>
    <w:rPr>
      <w:rFonts w:ascii="宋体" w:hAnsi="宋体" w:eastAsia="宋体" w:cs="Times New Roman"/>
      <w:kern w:val="2"/>
      <w:sz w:val="18"/>
      <w:szCs w:val="18"/>
      <w:lang w:val="en-US" w:eastAsia="zh-CN" w:bidi="ar-SA"/>
    </w:rPr>
  </w:style>
  <w:style w:type="character" w:customStyle="1" w:styleId="119">
    <w:name w:val="首示例 Char"/>
    <w:link w:val="118"/>
    <w:qFormat/>
    <w:uiPriority w:val="0"/>
    <w:rPr>
      <w:rFonts w:ascii="宋体" w:hAnsi="宋体"/>
      <w:kern w:val="2"/>
      <w:sz w:val="18"/>
      <w:szCs w:val="18"/>
    </w:rPr>
  </w:style>
  <w:style w:type="paragraph" w:customStyle="1" w:styleId="120">
    <w:name w:val="四级无"/>
    <w:basedOn w:val="57"/>
    <w:qFormat/>
    <w:uiPriority w:val="0"/>
    <w:pPr>
      <w:spacing w:beforeLines="0" w:afterLines="0"/>
    </w:pPr>
    <w:rPr>
      <w:rFonts w:ascii="宋体" w:eastAsia="宋体"/>
    </w:rPr>
  </w:style>
  <w:style w:type="paragraph" w:customStyle="1" w:styleId="121">
    <w:name w:val="条文脚注"/>
    <w:basedOn w:val="26"/>
    <w:qFormat/>
    <w:uiPriority w:val="0"/>
    <w:pPr>
      <w:numPr>
        <w:numId w:val="0"/>
      </w:numPr>
      <w:jc w:val="both"/>
    </w:pPr>
  </w:style>
  <w:style w:type="paragraph" w:customStyle="1" w:styleId="122">
    <w:name w:val="图标脚注说明"/>
    <w:basedOn w:val="25"/>
    <w:qFormat/>
    <w:uiPriority w:val="0"/>
    <w:pPr>
      <w:ind w:left="840" w:hanging="420" w:firstLineChars="0"/>
    </w:pPr>
    <w:rPr>
      <w:sz w:val="18"/>
      <w:szCs w:val="18"/>
    </w:rPr>
  </w:style>
  <w:style w:type="paragraph" w:customStyle="1" w:styleId="123">
    <w:name w:val="图表脚注说明"/>
    <w:basedOn w:val="1"/>
    <w:qFormat/>
    <w:uiPriority w:val="0"/>
    <w:pPr>
      <w:numPr>
        <w:ilvl w:val="0"/>
        <w:numId w:val="16"/>
      </w:numPr>
    </w:pPr>
    <w:rPr>
      <w:rFonts w:ascii="宋体"/>
      <w:sz w:val="18"/>
      <w:szCs w:val="18"/>
    </w:rPr>
  </w:style>
  <w:style w:type="paragraph" w:customStyle="1" w:styleId="124">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6">
    <w:name w:val="五级无"/>
    <w:basedOn w:val="58"/>
    <w:qFormat/>
    <w:uiPriority w:val="0"/>
    <w:pPr>
      <w:spacing w:beforeLines="0" w:afterLines="0"/>
    </w:pPr>
    <w:rPr>
      <w:rFonts w:ascii="宋体" w:eastAsia="宋体"/>
    </w:rPr>
  </w:style>
  <w:style w:type="paragraph" w:customStyle="1" w:styleId="127">
    <w:name w:val="一级无"/>
    <w:basedOn w:val="44"/>
    <w:qFormat/>
    <w:uiPriority w:val="0"/>
    <w:pPr>
      <w:spacing w:beforeLines="0" w:afterLines="0"/>
    </w:pPr>
    <w:rPr>
      <w:rFonts w:ascii="宋体" w:eastAsia="宋体"/>
    </w:rPr>
  </w:style>
  <w:style w:type="paragraph" w:customStyle="1" w:styleId="128">
    <w:name w:val="正文表标题"/>
    <w:next w:val="25"/>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9">
    <w:name w:val="正文公式编号制表符"/>
    <w:basedOn w:val="25"/>
    <w:next w:val="25"/>
    <w:qFormat/>
    <w:uiPriority w:val="0"/>
    <w:pPr>
      <w:ind w:firstLine="0" w:firstLineChars="0"/>
    </w:pPr>
  </w:style>
  <w:style w:type="paragraph" w:customStyle="1" w:styleId="130">
    <w:name w:val="正文图标题"/>
    <w:next w:val="25"/>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1">
    <w:name w:val="终结线"/>
    <w:basedOn w:val="1"/>
    <w:qFormat/>
    <w:uiPriority w:val="0"/>
    <w:pPr>
      <w:framePr w:hSpace="181" w:vSpace="181" w:wrap="around" w:vAnchor="text" w:hAnchor="margin" w:xAlign="center" w:y="285"/>
    </w:pPr>
  </w:style>
  <w:style w:type="paragraph" w:customStyle="1" w:styleId="132">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3">
    <w:name w:val="其他实施日期"/>
    <w:basedOn w:val="116"/>
    <w:qFormat/>
    <w:uiPriority w:val="0"/>
  </w:style>
  <w:style w:type="paragraph" w:customStyle="1" w:styleId="134">
    <w:name w:val="封面标准名称2"/>
    <w:basedOn w:val="80"/>
    <w:qFormat/>
    <w:uiPriority w:val="0"/>
    <w:pPr>
      <w:framePr w:y="4469"/>
      <w:spacing w:beforeLines="630"/>
    </w:pPr>
  </w:style>
  <w:style w:type="paragraph" w:customStyle="1" w:styleId="135">
    <w:name w:val="封面标准英文名称2"/>
    <w:basedOn w:val="81"/>
    <w:qFormat/>
    <w:uiPriority w:val="0"/>
    <w:pPr>
      <w:framePr w:y="4469"/>
    </w:pPr>
  </w:style>
  <w:style w:type="paragraph" w:customStyle="1" w:styleId="136">
    <w:name w:val="封面一致性程度标识2"/>
    <w:basedOn w:val="82"/>
    <w:qFormat/>
    <w:uiPriority w:val="0"/>
    <w:pPr>
      <w:framePr w:y="4469"/>
    </w:pPr>
  </w:style>
  <w:style w:type="paragraph" w:customStyle="1" w:styleId="137">
    <w:name w:val="封面标准文稿类别2"/>
    <w:basedOn w:val="83"/>
    <w:qFormat/>
    <w:uiPriority w:val="0"/>
    <w:pPr>
      <w:framePr w:y="4469"/>
    </w:pPr>
  </w:style>
  <w:style w:type="paragraph" w:customStyle="1" w:styleId="138">
    <w:name w:val="封面标准文稿编辑信息2"/>
    <w:basedOn w:val="84"/>
    <w:qFormat/>
    <w:uiPriority w:val="0"/>
    <w:pPr>
      <w:framePr w:y="4469"/>
    </w:pPr>
  </w:style>
  <w:style w:type="paragraph" w:customStyle="1" w:styleId="139">
    <w:name w:val="标准名称"/>
    <w:basedOn w:val="52"/>
    <w:link w:val="142"/>
    <w:qFormat/>
    <w:uiPriority w:val="0"/>
  </w:style>
  <w:style w:type="character" w:styleId="140">
    <w:name w:val="Placeholder Text"/>
    <w:basedOn w:val="36"/>
    <w:semiHidden/>
    <w:qFormat/>
    <w:uiPriority w:val="99"/>
    <w:rPr>
      <w:color w:val="808080"/>
    </w:rPr>
  </w:style>
  <w:style w:type="character" w:customStyle="1" w:styleId="141">
    <w:name w:val="目次、标准名称标题 Char"/>
    <w:basedOn w:val="36"/>
    <w:link w:val="52"/>
    <w:qFormat/>
    <w:uiPriority w:val="0"/>
    <w:rPr>
      <w:rFonts w:ascii="黑体" w:eastAsia="黑体"/>
      <w:sz w:val="32"/>
      <w:shd w:val="clear" w:color="FFFFFF" w:fill="FFFFFF"/>
    </w:rPr>
  </w:style>
  <w:style w:type="character" w:customStyle="1" w:styleId="142">
    <w:name w:val="标准名称 Char"/>
    <w:basedOn w:val="141"/>
    <w:link w:val="139"/>
    <w:qFormat/>
    <w:uiPriority w:val="0"/>
    <w:rPr>
      <w:rFonts w:ascii="黑体" w:eastAsia="黑体"/>
      <w:sz w:val="32"/>
      <w:shd w:val="clear" w:color="FFFFFF" w:fill="FFFFFF"/>
    </w:rPr>
  </w:style>
  <w:style w:type="character" w:customStyle="1" w:styleId="143">
    <w:name w:val="批注框文本 字符"/>
    <w:basedOn w:val="36"/>
    <w:link w:val="18"/>
    <w:qFormat/>
    <w:uiPriority w:val="0"/>
    <w:rPr>
      <w:kern w:val="2"/>
      <w:sz w:val="18"/>
      <w:szCs w:val="18"/>
    </w:rPr>
  </w:style>
  <w:style w:type="character" w:customStyle="1" w:styleId="144">
    <w:name w:val="一级条标题 Char"/>
    <w:link w:val="44"/>
    <w:qFormat/>
    <w:uiPriority w:val="0"/>
    <w:rPr>
      <w:rFonts w:ascii="黑体" w:eastAsia="黑体"/>
      <w:sz w:val="21"/>
      <w:szCs w:val="21"/>
    </w:rPr>
  </w:style>
  <w:style w:type="character" w:customStyle="1" w:styleId="145">
    <w:name w:val="正文1 Char"/>
    <w:link w:val="5"/>
    <w:qFormat/>
    <w:uiPriority w:val="0"/>
    <w:rPr>
      <w:kern w:val="2"/>
      <w:sz w:val="24"/>
      <w:szCs w:val="28"/>
    </w:rPr>
  </w:style>
  <w:style w:type="character" w:customStyle="1" w:styleId="146">
    <w:name w:val="标题 4 字符"/>
    <w:basedOn w:val="36"/>
    <w:link w:val="4"/>
    <w:qFormat/>
    <w:uiPriority w:val="0"/>
    <w:rPr>
      <w:rFonts w:ascii="宋体" w:hAnsi="宋体" w:cs="宋体"/>
      <w:bCs/>
      <w:sz w:val="21"/>
      <w:szCs w:val="24"/>
    </w:rPr>
  </w:style>
  <w:style w:type="paragraph" w:customStyle="1" w:styleId="147">
    <w:name w:val="表格文字"/>
    <w:basedOn w:val="1"/>
    <w:qFormat/>
    <w:uiPriority w:val="0"/>
    <w:pPr>
      <w:widowControl/>
      <w:snapToGrid w:val="0"/>
      <w:spacing w:before="60" w:after="60"/>
      <w:ind w:firstLine="200" w:firstLineChars="200"/>
      <w:jc w:val="center"/>
    </w:pPr>
    <w:rPr>
      <w:rFonts w:ascii="宋体" w:hAnsi="宋体" w:eastAsia="黑体" w:cs="宋体"/>
      <w:kern w:val="0"/>
    </w:rPr>
  </w:style>
  <w:style w:type="character" w:customStyle="1" w:styleId="148">
    <w:name w:val="标题 1 字符"/>
    <w:basedOn w:val="36"/>
    <w:link w:val="3"/>
    <w:qFormat/>
    <w:uiPriority w:val="0"/>
    <w:rPr>
      <w:b/>
      <w:bCs/>
      <w:kern w:val="44"/>
      <w:sz w:val="44"/>
      <w:szCs w:val="44"/>
    </w:rPr>
  </w:style>
  <w:style w:type="paragraph" w:customStyle="1" w:styleId="149">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5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51">
    <w:name w:val="批注文字 字符"/>
    <w:basedOn w:val="36"/>
    <w:link w:val="11"/>
    <w:qFormat/>
    <w:uiPriority w:val="0"/>
    <w:rPr>
      <w:kern w:val="2"/>
      <w:sz w:val="21"/>
      <w:szCs w:val="24"/>
    </w:rPr>
  </w:style>
  <w:style w:type="character" w:customStyle="1" w:styleId="152">
    <w:name w:val="批注主题 字符"/>
    <w:basedOn w:val="151"/>
    <w:link w:val="33"/>
    <w:semiHidden/>
    <w:qFormat/>
    <w:uiPriority w:val="0"/>
    <w:rPr>
      <w:b/>
      <w:bCs/>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3A"/>
    <w:rsid w:val="0002647A"/>
    <w:rsid w:val="0002653F"/>
    <w:rsid w:val="00080DE3"/>
    <w:rsid w:val="00087E40"/>
    <w:rsid w:val="000C73CF"/>
    <w:rsid w:val="000E7074"/>
    <w:rsid w:val="001132F9"/>
    <w:rsid w:val="00114ABC"/>
    <w:rsid w:val="001C16E0"/>
    <w:rsid w:val="001F38E8"/>
    <w:rsid w:val="002068C7"/>
    <w:rsid w:val="00290B1C"/>
    <w:rsid w:val="00323E80"/>
    <w:rsid w:val="003372E5"/>
    <w:rsid w:val="003750AF"/>
    <w:rsid w:val="003A320A"/>
    <w:rsid w:val="00430F92"/>
    <w:rsid w:val="00491E71"/>
    <w:rsid w:val="004F113A"/>
    <w:rsid w:val="004F1EC5"/>
    <w:rsid w:val="00515A81"/>
    <w:rsid w:val="005335DD"/>
    <w:rsid w:val="00595E09"/>
    <w:rsid w:val="005A0C44"/>
    <w:rsid w:val="00674FBA"/>
    <w:rsid w:val="00696321"/>
    <w:rsid w:val="006D02E4"/>
    <w:rsid w:val="007216E9"/>
    <w:rsid w:val="007A1AE8"/>
    <w:rsid w:val="007C2D6F"/>
    <w:rsid w:val="007C6ACB"/>
    <w:rsid w:val="007E2797"/>
    <w:rsid w:val="00800293"/>
    <w:rsid w:val="00820E7E"/>
    <w:rsid w:val="00830984"/>
    <w:rsid w:val="008D1688"/>
    <w:rsid w:val="008E024D"/>
    <w:rsid w:val="008F0268"/>
    <w:rsid w:val="00902EF8"/>
    <w:rsid w:val="00982DAC"/>
    <w:rsid w:val="009B16B1"/>
    <w:rsid w:val="009C1CB6"/>
    <w:rsid w:val="00A7421D"/>
    <w:rsid w:val="00A82EB5"/>
    <w:rsid w:val="00A94E45"/>
    <w:rsid w:val="00AC3109"/>
    <w:rsid w:val="00AD6808"/>
    <w:rsid w:val="00B00C16"/>
    <w:rsid w:val="00B17D39"/>
    <w:rsid w:val="00B717AC"/>
    <w:rsid w:val="00B82137"/>
    <w:rsid w:val="00BA5AE3"/>
    <w:rsid w:val="00BC67AA"/>
    <w:rsid w:val="00C0580C"/>
    <w:rsid w:val="00C56106"/>
    <w:rsid w:val="00C875D2"/>
    <w:rsid w:val="00CB0B2B"/>
    <w:rsid w:val="00D17DC2"/>
    <w:rsid w:val="00D4454B"/>
    <w:rsid w:val="00D65DD7"/>
    <w:rsid w:val="00DA4409"/>
    <w:rsid w:val="00DA595C"/>
    <w:rsid w:val="00DA7CE8"/>
    <w:rsid w:val="00E56F71"/>
    <w:rsid w:val="00E95A08"/>
    <w:rsid w:val="00EA15BD"/>
    <w:rsid w:val="00EA32AC"/>
    <w:rsid w:val="00F61EDB"/>
    <w:rsid w:val="00F93653"/>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kern w:val="0"/>
      <w:sz w:val="32"/>
      <w:szCs w:val="20"/>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15</Pages>
  <Words>1302</Words>
  <Characters>7422</Characters>
  <Lines>61</Lines>
  <Paragraphs>17</Paragraphs>
  <TotalTime>0</TotalTime>
  <ScaleCrop>false</ScaleCrop>
  <LinksUpToDate>false</LinksUpToDate>
  <CharactersWithSpaces>8707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2026-04-23T07:18:00Z</dcterms:created>
  <dc:creator>CNIS</dc:creator>
  <cp:lastModifiedBy>scjgj</cp:lastModifiedBy>
  <dcterms:modified xsi:type="dcterms:W3CDTF">2026-05-28T14:24:24Z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