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4C3730">
      <w:pPr>
        <w:widowControl/>
        <w:ind w:firstLine="5046" w:firstLineChars="1147"/>
        <w:rPr>
          <w:rFonts w:eastAsia="黑体"/>
          <w:color w:val="auto"/>
          <w:sz w:val="44"/>
          <w:szCs w:val="44"/>
          <w:highlight w:val="none"/>
        </w:rPr>
      </w:pPr>
    </w:p>
    <w:p w14:paraId="42AAE3B6">
      <w:pPr>
        <w:widowControl/>
        <w:jc w:val="center"/>
        <w:rPr>
          <w:rFonts w:eastAsia="黑体"/>
          <w:color w:val="auto"/>
          <w:sz w:val="44"/>
          <w:szCs w:val="44"/>
          <w:highlight w:val="none"/>
        </w:rPr>
      </w:pPr>
    </w:p>
    <w:p w14:paraId="453FECD1">
      <w:pPr>
        <w:widowControl/>
        <w:jc w:val="center"/>
        <w:rPr>
          <w:rFonts w:eastAsia="黑体"/>
          <w:color w:val="auto"/>
          <w:sz w:val="44"/>
          <w:szCs w:val="44"/>
          <w:highlight w:val="none"/>
        </w:rPr>
      </w:pPr>
    </w:p>
    <w:p w14:paraId="77E7E65A">
      <w:pPr>
        <w:widowControl/>
        <w:jc w:val="center"/>
        <w:rPr>
          <w:color w:val="auto"/>
          <w:kern w:val="0"/>
          <w:sz w:val="84"/>
          <w:szCs w:val="84"/>
          <w:highlight w:val="none"/>
        </w:rPr>
        <w:sectPr>
          <w:headerReference r:id="rId4" w:type="first"/>
          <w:footerReference r:id="rId6" w:type="first"/>
          <w:headerReference r:id="rId3" w:type="even"/>
          <w:footerReference r:id="rId5" w:type="even"/>
          <w:pgSz w:w="11907" w:h="16839"/>
          <w:pgMar w:top="734" w:right="1417" w:bottom="1361" w:left="1418" w:header="170" w:footer="611" w:gutter="0"/>
          <w:pgNumType w:fmt="decimal" w:start="1"/>
          <w:cols w:space="720" w:num="1"/>
          <w:docGrid w:type="lines" w:linePitch="312" w:charSpace="0"/>
        </w:sectPr>
      </w:pPr>
      <w:r>
        <w:rPr>
          <w:color w:val="auto"/>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4584065</wp:posOffset>
                </wp:positionH>
                <wp:positionV relativeFrom="paragraph">
                  <wp:posOffset>7786370</wp:posOffset>
                </wp:positionV>
                <wp:extent cx="1379220" cy="398780"/>
                <wp:effectExtent l="0" t="0" r="0" b="0"/>
                <wp:wrapNone/>
                <wp:docPr id="3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379220" cy="398780"/>
                        </a:xfrm>
                        <a:prstGeom prst="rect">
                          <a:avLst/>
                        </a:prstGeom>
                        <a:noFill/>
                        <a:ln>
                          <a:noFill/>
                        </a:ln>
                      </wps:spPr>
                      <wps:txbx>
                        <w:txbxContent>
                          <w:p w14:paraId="17F51E39">
                            <w:pPr>
                              <w:rPr>
                                <w:rStyle w:val="52"/>
                                <w:rFonts w:hint="eastAsia" w:hAnsi="宋体"/>
                                <w:b/>
                                <w:kern w:val="0"/>
                                <w:sz w:val="36"/>
                                <w:szCs w:val="22"/>
                              </w:rPr>
                            </w:pPr>
                            <w:r>
                              <w:rPr>
                                <w:rStyle w:val="52"/>
                                <w:rFonts w:hAnsi="宋体"/>
                                <w:b/>
                                <w:kern w:val="0"/>
                                <w:sz w:val="36"/>
                                <w:szCs w:val="22"/>
                              </w:rPr>
                              <w:t>联合发布</w:t>
                            </w:r>
                          </w:p>
                          <w:p w14:paraId="1009A80C">
                            <w:pPr>
                              <w:ind w:firstLine="811"/>
                              <w:rPr>
                                <w:rStyle w:val="52"/>
                                <w:rFonts w:hint="eastAsia" w:hAnsi="宋体"/>
                                <w:b/>
                                <w:kern w:val="0"/>
                                <w:sz w:val="36"/>
                                <w:szCs w:val="22"/>
                              </w:rPr>
                            </w:pP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360.95pt;margin-top:613.1pt;height:31.4pt;width:108.6pt;z-index:251660288;mso-width-relative:page;mso-height-relative:page;" filled="f" stroked="f" coordsize="21600,21600" o:gfxdata="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qkAz9gAAAANAQAADwAA&#10;AAAAAAABACAAAAAiAAAAZHJzL2Rvd25yZXYueG1sUEsBAhQAFAAAAAgAh07iQJTHK9UWAgAAFgQA&#10;AA4AAAAAAAAAAQAgAAAAJwEAAGRycy9lMm9Eb2MueG1sUEsFBgAAAAAGAAYAWQEAAK8FAAAAAA==&#10;">
                <v:fill on="f" focussize="0,0"/>
                <v:stroke on="f"/>
                <v:imagedata o:title=""/>
                <o:lock v:ext="edit" aspectratio="f"/>
                <v:textbox>
                  <w:txbxContent>
                    <w:p w14:paraId="17F51E39">
                      <w:pPr>
                        <w:rPr>
                          <w:rStyle w:val="52"/>
                          <w:rFonts w:hint="eastAsia" w:hAnsi="宋体"/>
                          <w:b/>
                          <w:kern w:val="0"/>
                          <w:sz w:val="36"/>
                          <w:szCs w:val="22"/>
                        </w:rPr>
                      </w:pPr>
                      <w:r>
                        <w:rPr>
                          <w:rStyle w:val="52"/>
                          <w:rFonts w:hAnsi="宋体"/>
                          <w:b/>
                          <w:kern w:val="0"/>
                          <w:sz w:val="36"/>
                          <w:szCs w:val="22"/>
                        </w:rPr>
                        <w:t>联合发布</w:t>
                      </w:r>
                    </w:p>
                    <w:p w14:paraId="1009A80C">
                      <w:pPr>
                        <w:ind w:firstLine="811"/>
                        <w:rPr>
                          <w:rStyle w:val="52"/>
                          <w:rFonts w:hint="eastAsia" w:hAnsi="宋体"/>
                          <w:b/>
                          <w:kern w:val="0"/>
                          <w:sz w:val="36"/>
                          <w:szCs w:val="22"/>
                        </w:rPr>
                      </w:pPr>
                    </w:p>
                  </w:txbxContent>
                </v:textbox>
              </v:shape>
            </w:pict>
          </mc:Fallback>
        </mc:AlternateContent>
      </w:r>
      <w:r>
        <w:rPr>
          <w:color w:val="auto"/>
          <w:sz w:val="44"/>
          <w:szCs w:val="44"/>
          <w:highlight w:val="none"/>
        </w:rPr>
        <mc:AlternateContent>
          <mc:Choice Requires="wpg">
            <w:drawing>
              <wp:anchor distT="0" distB="0" distL="114300" distR="114300" simplePos="0" relativeHeight="251664384" behindDoc="0" locked="0" layoutInCell="1" allowOverlap="1">
                <wp:simplePos x="0" y="0"/>
                <wp:positionH relativeFrom="column">
                  <wp:posOffset>-40005</wp:posOffset>
                </wp:positionH>
                <wp:positionV relativeFrom="paragraph">
                  <wp:posOffset>6992620</wp:posOffset>
                </wp:positionV>
                <wp:extent cx="5826760" cy="1294130"/>
                <wp:effectExtent l="0" t="0" r="2540" b="1270"/>
                <wp:wrapNone/>
                <wp:docPr id="1842497272" name="Group 15"/>
                <wp:cNvGraphicFramePr/>
                <a:graphic xmlns:a="http://schemas.openxmlformats.org/drawingml/2006/main">
                  <a:graphicData uri="http://schemas.microsoft.com/office/word/2010/wordprocessingGroup">
                    <wpg:wgp>
                      <wpg:cNvGrpSpPr/>
                      <wpg:grpSpPr>
                        <a:xfrm>
                          <a:off x="0" y="0"/>
                          <a:ext cx="5826760" cy="1294130"/>
                          <a:chOff x="1418" y="13141"/>
                          <a:chExt cx="9176" cy="2038"/>
                        </a:xfrm>
                      </wpg:grpSpPr>
                      <wps:wsp>
                        <wps:cNvPr id="1227457593" name="fmFrame5"/>
                        <wps:cNvSpPr txBox="1">
                          <a:spLocks noChangeArrowheads="1"/>
                        </wps:cNvSpPr>
                        <wps:spPr bwMode="auto">
                          <a:xfrm>
                            <a:off x="1778" y="13157"/>
                            <a:ext cx="2820" cy="593"/>
                          </a:xfrm>
                          <a:prstGeom prst="rect">
                            <a:avLst/>
                          </a:prstGeom>
                          <a:solidFill>
                            <a:srgbClr val="FFFFFF"/>
                          </a:solidFill>
                          <a:ln>
                            <a:noFill/>
                          </a:ln>
                          <a:effectLst/>
                        </wps:spPr>
                        <wps:txbx>
                          <w:txbxContent>
                            <w:p w14:paraId="1F1A1191">
                              <w:pPr>
                                <w:pStyle w:val="50"/>
                                <w:rPr>
                                  <w:rFonts w:ascii="黑体"/>
                                </w:rPr>
                              </w:pPr>
                              <w:r>
                                <w:rPr>
                                  <w:rFonts w:hint="eastAsia" w:ascii="黑体"/>
                                </w:rPr>
                                <w:t>202</w:t>
                              </w:r>
                              <w:r>
                                <w:rPr>
                                  <w:rFonts w:hint="eastAsia" w:ascii="黑体"/>
                                  <w:lang w:val="en-US" w:eastAsia="zh-CN"/>
                                </w:rPr>
                                <w:t>6</w:t>
                              </w:r>
                              <w:r>
                                <w:rPr>
                                  <w:rFonts w:hint="eastAsia" w:ascii="黑体"/>
                                </w:rPr>
                                <w:t>-××-××发布</w:t>
                              </w:r>
                            </w:p>
                            <w:p w14:paraId="686A03C1">
                              <w:pPr>
                                <w:ind w:firstLine="420"/>
                                <w:rPr>
                                  <w:rFonts w:ascii="黑体"/>
                                </w:rPr>
                              </w:pPr>
                            </w:p>
                          </w:txbxContent>
                        </wps:txbx>
                        <wps:bodyPr rot="0" vert="horz" wrap="square" lIns="0" tIns="0" rIns="0" bIns="0" anchor="t" anchorCtr="0" upright="1">
                          <a:noAutofit/>
                        </wps:bodyPr>
                      </wps:wsp>
                      <wps:wsp>
                        <wps:cNvPr id="35" name="fmFrame6"/>
                        <wps:cNvSpPr txBox="1">
                          <a:spLocks noChangeArrowheads="1"/>
                        </wps:cNvSpPr>
                        <wps:spPr bwMode="auto">
                          <a:xfrm>
                            <a:off x="7876" y="13141"/>
                            <a:ext cx="2581" cy="626"/>
                          </a:xfrm>
                          <a:prstGeom prst="rect">
                            <a:avLst/>
                          </a:prstGeom>
                          <a:solidFill>
                            <a:srgbClr val="FFFFFF"/>
                          </a:solidFill>
                          <a:ln>
                            <a:noFill/>
                          </a:ln>
                          <a:effectLst/>
                        </wps:spPr>
                        <wps:txbx>
                          <w:txbxContent>
                            <w:p w14:paraId="76EDCBF5">
                              <w:pPr>
                                <w:pStyle w:val="53"/>
                                <w:ind w:left="1860" w:hanging="1860"/>
                                <w:jc w:val="left"/>
                                <w:rPr>
                                  <w:rFonts w:ascii="黑体"/>
                                </w:rPr>
                              </w:pPr>
                              <w:r>
                                <w:rPr>
                                  <w:rFonts w:hint="eastAsia" w:ascii="黑体"/>
                                </w:rPr>
                                <w:t>202</w:t>
                              </w:r>
                              <w:r>
                                <w:rPr>
                                  <w:rFonts w:hint="eastAsia" w:ascii="黑体"/>
                                  <w:lang w:val="en-US" w:eastAsia="zh-CN"/>
                                </w:rPr>
                                <w:t>6</w:t>
                              </w:r>
                              <w:r>
                                <w:rPr>
                                  <w:rFonts w:hint="eastAsia" w:ascii="黑体"/>
                                </w:rPr>
                                <w:t>-××-××实施</w:t>
                              </w:r>
                            </w:p>
                            <w:p w14:paraId="17B4C758">
                              <w:pPr>
                                <w:ind w:firstLine="420"/>
                                <w:rPr>
                                  <w:rFonts w:ascii="黑体"/>
                                </w:rPr>
                              </w:pPr>
                            </w:p>
                          </w:txbxContent>
                        </wps:txbx>
                        <wps:bodyPr rot="0" vert="horz" wrap="square" lIns="0" tIns="0" rIns="0" bIns="0" anchor="t" anchorCtr="0" upright="1">
                          <a:noAutofit/>
                        </wps:bodyPr>
                      </wps:wsp>
                      <wps:wsp>
                        <wps:cNvPr id="36" name="fmFrame7"/>
                        <wps:cNvSpPr txBox="1">
                          <a:spLocks noChangeArrowheads="1"/>
                        </wps:cNvSpPr>
                        <wps:spPr bwMode="auto">
                          <a:xfrm>
                            <a:off x="2607" y="14132"/>
                            <a:ext cx="5861" cy="1047"/>
                          </a:xfrm>
                          <a:prstGeom prst="rect">
                            <a:avLst/>
                          </a:prstGeom>
                          <a:solidFill>
                            <a:srgbClr val="FFFFFF"/>
                          </a:solidFill>
                          <a:ln>
                            <a:noFill/>
                          </a:ln>
                          <a:effectLst/>
                        </wps:spPr>
                        <wps:txbx>
                          <w:txbxContent>
                            <w:p w14:paraId="5C033A5A">
                              <w:pPr>
                                <w:pStyle w:val="51"/>
                                <w:snapToGrid w:val="0"/>
                                <w:spacing w:line="300" w:lineRule="auto"/>
                                <w:ind w:firstLine="0" w:firstLineChars="0"/>
                                <w:jc w:val="distribute"/>
                                <w:rPr>
                                  <w:b/>
                                  <w:spacing w:val="-40"/>
                                  <w:w w:val="135"/>
                                  <w:sz w:val="36"/>
                                  <w:szCs w:val="36"/>
                                </w:rPr>
                              </w:pPr>
                              <w:r>
                                <w:rPr>
                                  <w:rFonts w:hint="eastAsia"/>
                                  <w:b/>
                                  <w:spacing w:val="-40"/>
                                  <w:w w:val="135"/>
                                  <w:sz w:val="36"/>
                                  <w:szCs w:val="36"/>
                                </w:rPr>
                                <w:t>北京市住房和</w:t>
                              </w:r>
                              <w:r>
                                <w:rPr>
                                  <w:rFonts w:hint="eastAsia"/>
                                  <w:b/>
                                  <w:spacing w:val="-20"/>
                                  <w:w w:val="135"/>
                                  <w:sz w:val="36"/>
                                  <w:szCs w:val="36"/>
                                </w:rPr>
                                <w:t>城乡</w:t>
                              </w:r>
                              <w:r>
                                <w:rPr>
                                  <w:rFonts w:hint="eastAsia"/>
                                  <w:b/>
                                  <w:spacing w:val="-40"/>
                                  <w:w w:val="135"/>
                                  <w:sz w:val="36"/>
                                  <w:szCs w:val="36"/>
                                </w:rPr>
                                <w:t>建设委员会</w:t>
                              </w:r>
                            </w:p>
                            <w:p w14:paraId="72312278">
                              <w:pPr>
                                <w:pStyle w:val="51"/>
                                <w:snapToGrid w:val="0"/>
                                <w:spacing w:line="300" w:lineRule="auto"/>
                                <w:ind w:firstLine="0" w:firstLineChars="0"/>
                                <w:jc w:val="distribute"/>
                                <w:rPr>
                                  <w:b/>
                                  <w:spacing w:val="-20"/>
                                  <w:w w:val="135"/>
                                  <w:sz w:val="36"/>
                                </w:rPr>
                              </w:pPr>
                              <w:r>
                                <w:rPr>
                                  <w:rFonts w:hint="eastAsia"/>
                                  <w:b/>
                                  <w:spacing w:val="-20"/>
                                  <w:w w:val="135"/>
                                  <w:sz w:val="36"/>
                                  <w:szCs w:val="36"/>
                                </w:rPr>
                                <w:t>北京市市场监督管理局</w:t>
                              </w:r>
                              <w:r>
                                <w:rPr>
                                  <w:rFonts w:hint="eastAsia"/>
                                  <w:b/>
                                  <w:spacing w:val="-20"/>
                                  <w:w w:val="135"/>
                                  <w:sz w:val="36"/>
                                </w:rPr>
                                <w:t xml:space="preserve"> </w:t>
                              </w:r>
                            </w:p>
                            <w:p w14:paraId="0785EA0A">
                              <w:pPr>
                                <w:pStyle w:val="51"/>
                                <w:ind w:firstLine="420"/>
                              </w:pPr>
                            </w:p>
                            <w:p w14:paraId="686E1DC6">
                              <w:pPr>
                                <w:ind w:firstLine="420"/>
                              </w:pPr>
                            </w:p>
                          </w:txbxContent>
                        </wps:txbx>
                        <wps:bodyPr rot="0" vert="horz" wrap="square" lIns="0" tIns="0" rIns="0" bIns="0" anchor="t" anchorCtr="0" upright="1">
                          <a:noAutofit/>
                        </wps:bodyPr>
                      </wps:wsp>
                      <wps:wsp>
                        <wps:cNvPr id="92060905" name="直线 31"/>
                        <wps:cNvCnPr>
                          <a:cxnSpLocks noChangeShapeType="1"/>
                        </wps:cNvCnPr>
                        <wps:spPr bwMode="auto">
                          <a:xfrm flipV="1">
                            <a:off x="1418" y="13767"/>
                            <a:ext cx="9176" cy="9"/>
                          </a:xfrm>
                          <a:prstGeom prst="line">
                            <a:avLst/>
                          </a:prstGeom>
                          <a:noFill/>
                          <a:ln w="12700">
                            <a:solidFill>
                              <a:srgbClr val="800008"/>
                            </a:solidFill>
                            <a:round/>
                          </a:ln>
                          <a:effectLst/>
                        </wps:spPr>
                        <wps:bodyPr/>
                      </wps:wsp>
                    </wpg:wgp>
                  </a:graphicData>
                </a:graphic>
              </wp:anchor>
            </w:drawing>
          </mc:Choice>
          <mc:Fallback>
            <w:pict>
              <v:group id="Group 15" o:spid="_x0000_s1026" o:spt="203" style="position:absolute;left:0pt;margin-left:-3.15pt;margin-top:550.6pt;height:101.9pt;width:458.8pt;z-index:251664384;mso-width-relative:page;mso-height-relative:page;" coordorigin="1418,13141" coordsize="9176,2038" o:gfxdata="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Mbg0mHZAAAA&#10;DAEAAA8AAAAAAAAAAQAgAAAAIgAAAGRycy9kb3ducmV2LnhtbFBLAQIUABQAAAAIAIdO4kBsuxpp&#10;cgMAACEMAAAOAAAAAAAAAAEAIAAAACgBAABkcnMvZTJvRG9jLnhtbFBLBQYAAAAABgAGAFkBAAAM&#10;BwAAAAA=&#10;">
                <o:lock v:ext="edit" aspectratio="f"/>
                <v:shape id="fmFrame5" o:spid="_x0000_s1026" o:spt="202" type="#_x0000_t202" style="position:absolute;left:1778;top:13157;height:593;width:2820;" fillcolor="#FFFFFF" filled="t" stroked="f" coordsize="21600,21600" o:gfxdata="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qp&#10;kMHCAAAA4wAAAA8AAAAAAAAAAQAgAAAAIgAAAGRycy9kb3ducmV2LnhtbFBLAQIUABQAAAAIAIdO&#10;4kAzLwWeOwAAADkAAAAQAAAAAAAAAAEAIAAAABEBAABkcnMvc2hhcGV4bWwueG1sUEsFBgAAAAAG&#10;AAYAWwEAALsDAAAAAA==&#10;">
                  <v:fill on="t" focussize="0,0"/>
                  <v:stroke on="f"/>
                  <v:imagedata o:title=""/>
                  <o:lock v:ext="edit" aspectratio="f"/>
                  <v:textbox inset="0mm,0mm,0mm,0mm">
                    <w:txbxContent>
                      <w:p w14:paraId="1F1A1191">
                        <w:pPr>
                          <w:pStyle w:val="50"/>
                          <w:rPr>
                            <w:rFonts w:ascii="黑体"/>
                          </w:rPr>
                        </w:pPr>
                        <w:r>
                          <w:rPr>
                            <w:rFonts w:hint="eastAsia" w:ascii="黑体"/>
                          </w:rPr>
                          <w:t>202</w:t>
                        </w:r>
                        <w:r>
                          <w:rPr>
                            <w:rFonts w:hint="eastAsia" w:ascii="黑体"/>
                            <w:lang w:val="en-US" w:eastAsia="zh-CN"/>
                          </w:rPr>
                          <w:t>6</w:t>
                        </w:r>
                        <w:r>
                          <w:rPr>
                            <w:rFonts w:hint="eastAsia" w:ascii="黑体"/>
                          </w:rPr>
                          <w:t>-××-××发布</w:t>
                        </w:r>
                      </w:p>
                      <w:p w14:paraId="686A03C1">
                        <w:pPr>
                          <w:ind w:firstLine="420"/>
                          <w:rPr>
                            <w:rFonts w:ascii="黑体"/>
                          </w:rPr>
                        </w:pPr>
                      </w:p>
                    </w:txbxContent>
                  </v:textbox>
                </v:shape>
                <v:shape id="fmFrame6" o:spid="_x0000_s1026" o:spt="202" type="#_x0000_t202" style="position:absolute;left:7876;top:13141;height:626;width:2581;" fillcolor="#FFFFFF" filled="t" stroked="f" coordsize="21600,21600" o:gfxdata="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N4q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76EDCBF5">
                        <w:pPr>
                          <w:pStyle w:val="53"/>
                          <w:ind w:left="1860" w:hanging="1860"/>
                          <w:jc w:val="left"/>
                          <w:rPr>
                            <w:rFonts w:ascii="黑体"/>
                          </w:rPr>
                        </w:pPr>
                        <w:r>
                          <w:rPr>
                            <w:rFonts w:hint="eastAsia" w:ascii="黑体"/>
                          </w:rPr>
                          <w:t>202</w:t>
                        </w:r>
                        <w:r>
                          <w:rPr>
                            <w:rFonts w:hint="eastAsia" w:ascii="黑体"/>
                            <w:lang w:val="en-US" w:eastAsia="zh-CN"/>
                          </w:rPr>
                          <w:t>6</w:t>
                        </w:r>
                        <w:r>
                          <w:rPr>
                            <w:rFonts w:hint="eastAsia" w:ascii="黑体"/>
                          </w:rPr>
                          <w:t>-××-××实施</w:t>
                        </w:r>
                      </w:p>
                      <w:p w14:paraId="17B4C758">
                        <w:pPr>
                          <w:ind w:firstLine="420"/>
                          <w:rPr>
                            <w:rFonts w:ascii="黑体"/>
                          </w:rPr>
                        </w:pPr>
                      </w:p>
                    </w:txbxContent>
                  </v:textbox>
                </v:shape>
                <v:shape id="fmFrame7" o:spid="_x0000_s1026" o:spt="202" type="#_x0000_t202" style="position:absolute;left:2607;top:14132;height:1047;width:5861;" fillcolor="#FFFFFF" filled="t" stroked="f" coordsize="21600,21600" o:gfxdata="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Hm3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5C033A5A">
                        <w:pPr>
                          <w:pStyle w:val="51"/>
                          <w:snapToGrid w:val="0"/>
                          <w:spacing w:line="300" w:lineRule="auto"/>
                          <w:ind w:firstLine="0" w:firstLineChars="0"/>
                          <w:jc w:val="distribute"/>
                          <w:rPr>
                            <w:b/>
                            <w:spacing w:val="-40"/>
                            <w:w w:val="135"/>
                            <w:sz w:val="36"/>
                            <w:szCs w:val="36"/>
                          </w:rPr>
                        </w:pPr>
                        <w:r>
                          <w:rPr>
                            <w:rFonts w:hint="eastAsia"/>
                            <w:b/>
                            <w:spacing w:val="-40"/>
                            <w:w w:val="135"/>
                            <w:sz w:val="36"/>
                            <w:szCs w:val="36"/>
                          </w:rPr>
                          <w:t>北京市住房和</w:t>
                        </w:r>
                        <w:r>
                          <w:rPr>
                            <w:rFonts w:hint="eastAsia"/>
                            <w:b/>
                            <w:spacing w:val="-20"/>
                            <w:w w:val="135"/>
                            <w:sz w:val="36"/>
                            <w:szCs w:val="36"/>
                          </w:rPr>
                          <w:t>城乡</w:t>
                        </w:r>
                        <w:r>
                          <w:rPr>
                            <w:rFonts w:hint="eastAsia"/>
                            <w:b/>
                            <w:spacing w:val="-40"/>
                            <w:w w:val="135"/>
                            <w:sz w:val="36"/>
                            <w:szCs w:val="36"/>
                          </w:rPr>
                          <w:t>建设委员会</w:t>
                        </w:r>
                      </w:p>
                      <w:p w14:paraId="72312278">
                        <w:pPr>
                          <w:pStyle w:val="51"/>
                          <w:snapToGrid w:val="0"/>
                          <w:spacing w:line="300" w:lineRule="auto"/>
                          <w:ind w:firstLine="0" w:firstLineChars="0"/>
                          <w:jc w:val="distribute"/>
                          <w:rPr>
                            <w:b/>
                            <w:spacing w:val="-20"/>
                            <w:w w:val="135"/>
                            <w:sz w:val="36"/>
                          </w:rPr>
                        </w:pPr>
                        <w:r>
                          <w:rPr>
                            <w:rFonts w:hint="eastAsia"/>
                            <w:b/>
                            <w:spacing w:val="-20"/>
                            <w:w w:val="135"/>
                            <w:sz w:val="36"/>
                            <w:szCs w:val="36"/>
                          </w:rPr>
                          <w:t>北京市市场监督管理局</w:t>
                        </w:r>
                        <w:r>
                          <w:rPr>
                            <w:rFonts w:hint="eastAsia"/>
                            <w:b/>
                            <w:spacing w:val="-20"/>
                            <w:w w:val="135"/>
                            <w:sz w:val="36"/>
                          </w:rPr>
                          <w:t xml:space="preserve"> </w:t>
                        </w:r>
                      </w:p>
                      <w:p w14:paraId="0785EA0A">
                        <w:pPr>
                          <w:pStyle w:val="51"/>
                          <w:ind w:firstLine="420"/>
                        </w:pPr>
                      </w:p>
                      <w:p w14:paraId="686E1DC6">
                        <w:pPr>
                          <w:ind w:firstLine="420"/>
                        </w:pPr>
                      </w:p>
                    </w:txbxContent>
                  </v:textbox>
                </v:shape>
                <v:line id="直线 31" o:spid="_x0000_s1026" o:spt="20" style="position:absolute;left:1418;top:13767;flip:y;height:9;width:9176;" filled="f" stroked="t" coordsize="21600,21600" o:gfxdata="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icz0cQAAADhAAAADwAAAAAAAAABACAAAAAiAAAAZHJzL2Rvd25yZXYueG1sUEsBAhQAFAAAAAgA&#10;h07iQDMvBZ47AAAAOQAAABAAAAAAAAAAAQAgAAAAEwEAAGRycy9zaGFwZXhtbC54bWxQSwUGAAAA&#10;AAYABgBbAQAAvQMAAAAA&#10;">
                  <v:fill on="f" focussize="0,0"/>
                  <v:stroke weight="1pt" color="#800008" joinstyle="round"/>
                  <v:imagedata o:title=""/>
                  <o:lock v:ext="edit" aspectratio="f"/>
                </v:line>
              </v:group>
            </w:pict>
          </mc:Fallback>
        </mc:AlternateContent>
      </w:r>
      <w:r>
        <w:rPr>
          <w:color w:val="auto"/>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913765</wp:posOffset>
                </wp:positionV>
                <wp:extent cx="5771515" cy="649605"/>
                <wp:effectExtent l="0" t="0" r="6985" b="10795"/>
                <wp:wrapNone/>
                <wp:docPr id="1318493939" name="fmFrame3"/>
                <wp:cNvGraphicFramePr/>
                <a:graphic xmlns:a="http://schemas.openxmlformats.org/drawingml/2006/main">
                  <a:graphicData uri="http://schemas.microsoft.com/office/word/2010/wordprocessingShape">
                    <wps:wsp>
                      <wps:cNvSpPr txBox="1">
                        <a:spLocks noChangeArrowheads="1"/>
                      </wps:cNvSpPr>
                      <wps:spPr bwMode="auto">
                        <a:xfrm>
                          <a:off x="0" y="0"/>
                          <a:ext cx="5771515" cy="649605"/>
                        </a:xfrm>
                        <a:prstGeom prst="rect">
                          <a:avLst/>
                        </a:prstGeom>
                        <a:solidFill>
                          <a:srgbClr val="FFFFFF"/>
                        </a:solidFill>
                        <a:ln>
                          <a:noFill/>
                        </a:ln>
                        <a:effectLst/>
                      </wps:spPr>
                      <wps:txbx>
                        <w:txbxContent>
                          <w:p w14:paraId="27C24BA6">
                            <w:pPr>
                              <w:autoSpaceDE w:val="0"/>
                              <w:autoSpaceDN w:val="0"/>
                              <w:adjustRightInd w:val="0"/>
                              <w:snapToGrid w:val="0"/>
                              <w:ind w:firstLine="6335" w:firstLineChars="3017"/>
                              <w:rPr>
                                <w:rFonts w:hint="eastAsia" w:ascii="方正黑体_GBK" w:hAnsi="方正黑体_GBK" w:eastAsia="方正黑体_GBK" w:cs="方正黑体_GBK"/>
                                <w:b w:val="0"/>
                                <w:bCs/>
                                <w:color w:val="000000"/>
                                <w:sz w:val="21"/>
                                <w:szCs w:val="21"/>
                                <w:lang w:val="nl-NL"/>
                              </w:rPr>
                            </w:pPr>
                            <w:r>
                              <w:rPr>
                                <w:rFonts w:hint="eastAsia" w:ascii="方正黑体_GBK" w:hAnsi="方正黑体_GBK" w:eastAsia="方正黑体_GBK" w:cs="方正黑体_GBK"/>
                                <w:b w:val="0"/>
                                <w:bCs/>
                                <w:sz w:val="21"/>
                                <w:szCs w:val="21"/>
                                <w:lang w:val="nl-NL"/>
                              </w:rPr>
                              <w:t xml:space="preserve">编  号：DB11/T </w:t>
                            </w:r>
                            <w:r>
                              <w:rPr>
                                <w:rFonts w:hint="eastAsia" w:ascii="方正黑体_GBK" w:hAnsi="方正黑体_GBK" w:eastAsia="方正黑体_GBK" w:cs="方正黑体_GBK"/>
                                <w:b w:val="0"/>
                                <w:bCs/>
                                <w:sz w:val="21"/>
                                <w:szCs w:val="21"/>
                                <w:lang w:val="en-US" w:eastAsia="zh-CN"/>
                              </w:rPr>
                              <w:t xml:space="preserve">    </w:t>
                            </w:r>
                            <w:r>
                              <w:rPr>
                                <w:rFonts w:hint="eastAsia" w:ascii="方正黑体_GBK" w:hAnsi="方正黑体_GBK" w:eastAsia="方正黑体_GBK" w:cs="方正黑体_GBK"/>
                                <w:b w:val="0"/>
                                <w:bCs/>
                                <w:color w:val="000000"/>
                                <w:sz w:val="21"/>
                                <w:szCs w:val="21"/>
                                <w:lang w:val="nl-NL"/>
                              </w:rPr>
                              <w:t>-202x</w:t>
                            </w:r>
                          </w:p>
                          <w:p w14:paraId="79FC8959">
                            <w:pPr>
                              <w:autoSpaceDE w:val="0"/>
                              <w:autoSpaceDN w:val="0"/>
                              <w:adjustRightInd w:val="0"/>
                              <w:snapToGrid w:val="0"/>
                              <w:ind w:firstLine="6337" w:firstLineChars="3018"/>
                              <w:rPr>
                                <w:rFonts w:ascii="黑体" w:eastAsia="黑体"/>
                                <w:lang w:val="nl-NL"/>
                              </w:rPr>
                            </w:pPr>
                            <w:r>
                              <w:rPr>
                                <w:rFonts w:hint="eastAsia" w:ascii="方正黑体_GBK" w:hAnsi="方正黑体_GBK" w:eastAsia="方正黑体_GBK" w:cs="方正黑体_GBK"/>
                                <w:b w:val="0"/>
                                <w:bCs/>
                                <w:color w:val="000000"/>
                                <w:sz w:val="21"/>
                                <w:szCs w:val="21"/>
                                <w:lang w:val="nl-NL"/>
                              </w:rPr>
                              <w:t>备案号：J1XXXX-202X</w:t>
                            </w:r>
                          </w:p>
                        </w:txbxContent>
                      </wps:txbx>
                      <wps:bodyPr rot="0" vert="horz" wrap="square" lIns="0" tIns="0" rIns="0" bIns="0" anchor="t" anchorCtr="0" upright="1">
                        <a:noAutofit/>
                      </wps:bodyPr>
                    </wps:wsp>
                  </a:graphicData>
                </a:graphic>
              </wp:anchor>
            </w:drawing>
          </mc:Choice>
          <mc:Fallback>
            <w:pict>
              <v:shape id="fmFrame3" o:spid="_x0000_s1026" o:spt="202" type="#_x0000_t202" style="position:absolute;left:0pt;margin-left:0.6pt;margin-top:71.95pt;height:51.15pt;width:454.45pt;z-index:251661312;mso-width-relative:page;mso-height-relative:page;" fillcolor="#FFFFFF" filled="t" stroked="f" coordsize="21600,21600" o:gfxdata="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waVR2AAA&#10;AAkBAAAPAAAAAAAAAAEAIAAAACIAAABkcnMvZG93bnJldi54bWxQSwECFAAUAAAACACHTuJAVFZt&#10;Fx4CAABCBAAADgAAAAAAAAABACAAAAAnAQAAZHJzL2Uyb0RvYy54bWxQSwUGAAAAAAYABgBZAQAA&#10;twUAAAAA&#10;">
                <v:fill on="t" focussize="0,0"/>
                <v:stroke on="f"/>
                <v:imagedata o:title=""/>
                <o:lock v:ext="edit" aspectratio="f"/>
                <v:textbox inset="0mm,0mm,0mm,0mm">
                  <w:txbxContent>
                    <w:p w14:paraId="27C24BA6">
                      <w:pPr>
                        <w:autoSpaceDE w:val="0"/>
                        <w:autoSpaceDN w:val="0"/>
                        <w:adjustRightInd w:val="0"/>
                        <w:snapToGrid w:val="0"/>
                        <w:ind w:firstLine="6335" w:firstLineChars="3017"/>
                        <w:rPr>
                          <w:rFonts w:hint="eastAsia" w:ascii="方正黑体_GBK" w:hAnsi="方正黑体_GBK" w:eastAsia="方正黑体_GBK" w:cs="方正黑体_GBK"/>
                          <w:b w:val="0"/>
                          <w:bCs/>
                          <w:color w:val="000000"/>
                          <w:sz w:val="21"/>
                          <w:szCs w:val="21"/>
                          <w:lang w:val="nl-NL"/>
                        </w:rPr>
                      </w:pPr>
                      <w:r>
                        <w:rPr>
                          <w:rFonts w:hint="eastAsia" w:ascii="方正黑体_GBK" w:hAnsi="方正黑体_GBK" w:eastAsia="方正黑体_GBK" w:cs="方正黑体_GBK"/>
                          <w:b w:val="0"/>
                          <w:bCs/>
                          <w:sz w:val="21"/>
                          <w:szCs w:val="21"/>
                          <w:lang w:val="nl-NL"/>
                        </w:rPr>
                        <w:t xml:space="preserve">编  号：DB11/T </w:t>
                      </w:r>
                      <w:r>
                        <w:rPr>
                          <w:rFonts w:hint="eastAsia" w:ascii="方正黑体_GBK" w:hAnsi="方正黑体_GBK" w:eastAsia="方正黑体_GBK" w:cs="方正黑体_GBK"/>
                          <w:b w:val="0"/>
                          <w:bCs/>
                          <w:sz w:val="21"/>
                          <w:szCs w:val="21"/>
                          <w:lang w:val="en-US" w:eastAsia="zh-CN"/>
                        </w:rPr>
                        <w:t xml:space="preserve">    </w:t>
                      </w:r>
                      <w:r>
                        <w:rPr>
                          <w:rFonts w:hint="eastAsia" w:ascii="方正黑体_GBK" w:hAnsi="方正黑体_GBK" w:eastAsia="方正黑体_GBK" w:cs="方正黑体_GBK"/>
                          <w:b w:val="0"/>
                          <w:bCs/>
                          <w:color w:val="000000"/>
                          <w:sz w:val="21"/>
                          <w:szCs w:val="21"/>
                          <w:lang w:val="nl-NL"/>
                        </w:rPr>
                        <w:t>-202x</w:t>
                      </w:r>
                    </w:p>
                    <w:p w14:paraId="79FC8959">
                      <w:pPr>
                        <w:autoSpaceDE w:val="0"/>
                        <w:autoSpaceDN w:val="0"/>
                        <w:adjustRightInd w:val="0"/>
                        <w:snapToGrid w:val="0"/>
                        <w:ind w:firstLine="6337" w:firstLineChars="3018"/>
                        <w:rPr>
                          <w:rFonts w:ascii="黑体" w:eastAsia="黑体"/>
                          <w:lang w:val="nl-NL"/>
                        </w:rPr>
                      </w:pPr>
                      <w:r>
                        <w:rPr>
                          <w:rFonts w:hint="eastAsia" w:ascii="方正黑体_GBK" w:hAnsi="方正黑体_GBK" w:eastAsia="方正黑体_GBK" w:cs="方正黑体_GBK"/>
                          <w:b w:val="0"/>
                          <w:bCs/>
                          <w:color w:val="000000"/>
                          <w:sz w:val="21"/>
                          <w:szCs w:val="21"/>
                          <w:lang w:val="nl-NL"/>
                        </w:rPr>
                        <w:t>备案号：J1XXXX-202X</w:t>
                      </w:r>
                    </w:p>
                  </w:txbxContent>
                </v:textbox>
              </v:shape>
            </w:pict>
          </mc:Fallback>
        </mc:AlternateContent>
      </w:r>
      <w:r>
        <w:rPr>
          <w:color w:val="auto"/>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1712595</wp:posOffset>
                </wp:positionV>
                <wp:extent cx="5867400" cy="0"/>
                <wp:effectExtent l="0" t="6350" r="0" b="6350"/>
                <wp:wrapNone/>
                <wp:docPr id="1944518963" name="直线 26"/>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2700">
                          <a:solidFill>
                            <a:srgbClr val="800008"/>
                          </a:solidFill>
                          <a:round/>
                        </a:ln>
                        <a:effectLst/>
                      </wps:spPr>
                      <wps:bodyPr/>
                    </wps:wsp>
                  </a:graphicData>
                </a:graphic>
              </wp:anchor>
            </w:drawing>
          </mc:Choice>
          <mc:Fallback>
            <w:pict>
              <v:line id="直线 26" o:spid="_x0000_s1026" o:spt="20" style="position:absolute;left:0pt;margin-left:-5.4pt;margin-top:134.85pt;height:0pt;width:462pt;z-index:251663360;mso-width-relative:page;mso-height-relative:page;" filled="f" stroked="t" coordsize="21600,21600" o:gfxdata="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VLlzNgA&#10;AAALAQAADwAAAAAAAAABACAAAAAiAAAAZHJzL2Rvd25yZXYueG1sUEsBAhQAFAAAAAgAh07iQLqm&#10;NxvmAQAAugMAAA4AAAAAAAAAAQAgAAAAJwEAAGRycy9lMm9Eb2MueG1sUEsFBgAAAAAGAAYAWQEA&#10;AH8FAAAAAA==&#10;">
                <v:fill on="f" focussize="0,0"/>
                <v:stroke weight="1pt" color="#800008" joinstyle="round"/>
                <v:imagedata o:title=""/>
                <o:lock v:ext="edit" aspectratio="f"/>
              </v:line>
            </w:pict>
          </mc:Fallback>
        </mc:AlternateContent>
      </w:r>
      <w:r>
        <w:rPr>
          <w:rFonts w:hint="eastAsia" w:eastAsia="黑体"/>
          <w:color w:val="auto"/>
          <w:sz w:val="44"/>
          <w:szCs w:val="44"/>
          <w:highlight w:val="none"/>
          <w:lang w:val="en-US" w:eastAsia="zh-CN"/>
        </w:rPr>
        <w:t xml:space="preserve"> </w:t>
      </w:r>
      <w:r>
        <w:rPr>
          <w:rFonts w:eastAsia="黑体"/>
          <w:color w:val="auto"/>
          <w:sz w:val="44"/>
          <w:szCs w:val="44"/>
          <w:highlight w:val="none"/>
        </w:rPr>
        <w:t>北京市地方标准</w:t>
      </w:r>
      <w:r>
        <w:rPr>
          <w:rFonts w:eastAsia="黑体"/>
          <w:color w:val="auto"/>
          <w:sz w:val="48"/>
          <w:highlight w:val="none"/>
        </w:rPr>
        <w:tab/>
      </w:r>
      <w:r>
        <w:rPr>
          <w:rFonts w:eastAsia="黑体"/>
          <w:color w:val="auto"/>
          <w:sz w:val="48"/>
          <w:highlight w:val="none"/>
        </w:rPr>
        <w:t xml:space="preserve">   </w:t>
      </w:r>
      <w:r>
        <w:rPr>
          <w:rFonts w:eastAsia="黑体"/>
          <w:color w:val="auto"/>
          <w:position w:val="-23"/>
          <w:sz w:val="84"/>
          <w:szCs w:val="84"/>
          <w:highlight w:val="none"/>
        </w:rPr>
        <w:t>DB</w:t>
      </w:r>
      <w:r>
        <w:rPr>
          <w:color w:val="auto"/>
          <w:sz w:val="84"/>
          <w:szCs w:val="84"/>
          <w:highlight w:val="none"/>
        </w:rPr>
        <mc:AlternateContent>
          <mc:Choice Requires="wps">
            <w:drawing>
              <wp:anchor distT="0" distB="0" distL="114300" distR="114300" simplePos="0" relativeHeight="251662336" behindDoc="0" locked="0" layoutInCell="1" allowOverlap="1">
                <wp:simplePos x="0" y="0"/>
                <wp:positionH relativeFrom="column">
                  <wp:posOffset>-78105</wp:posOffset>
                </wp:positionH>
                <wp:positionV relativeFrom="paragraph">
                  <wp:posOffset>2657475</wp:posOffset>
                </wp:positionV>
                <wp:extent cx="5771515" cy="3413125"/>
                <wp:effectExtent l="0" t="0" r="6985" b="3175"/>
                <wp:wrapNone/>
                <wp:docPr id="370206196" name="fmFrame4"/>
                <wp:cNvGraphicFramePr/>
                <a:graphic xmlns:a="http://schemas.openxmlformats.org/drawingml/2006/main">
                  <a:graphicData uri="http://schemas.microsoft.com/office/word/2010/wordprocessingShape">
                    <wps:wsp>
                      <wps:cNvSpPr txBox="1">
                        <a:spLocks noChangeArrowheads="1"/>
                      </wps:cNvSpPr>
                      <wps:spPr bwMode="auto">
                        <a:xfrm>
                          <a:off x="0" y="0"/>
                          <a:ext cx="5771515" cy="3413125"/>
                        </a:xfrm>
                        <a:prstGeom prst="rect">
                          <a:avLst/>
                        </a:prstGeom>
                        <a:solidFill>
                          <a:srgbClr val="FFFFFF"/>
                        </a:solidFill>
                        <a:ln>
                          <a:noFill/>
                        </a:ln>
                        <a:effectLst/>
                      </wps:spPr>
                      <wps:txbx>
                        <w:txbxContent>
                          <w:p w14:paraId="16E8B2FB">
                            <w:pPr>
                              <w:pStyle w:val="4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center"/>
                              <w:rPr>
                                <w:rFonts w:hint="eastAsia" w:cs="Times New Roman"/>
                                <w:sz w:val="48"/>
                                <w:szCs w:val="48"/>
                                <w:lang w:eastAsia="zh-CN"/>
                              </w:rPr>
                            </w:pPr>
                            <w:r>
                              <w:rPr>
                                <w:rFonts w:hint="eastAsia" w:cs="Times New Roman"/>
                                <w:sz w:val="48"/>
                                <w:szCs w:val="48"/>
                                <w:lang w:eastAsia="zh-CN"/>
                              </w:rPr>
                              <w:t>低层全装配混凝土集成箱式建筑</w:t>
                            </w:r>
                          </w:p>
                          <w:p w14:paraId="4A0DD7BA">
                            <w:pPr>
                              <w:pStyle w:val="4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黑体"/>
                                <w:color w:val="auto"/>
                                <w:sz w:val="52"/>
                                <w:szCs w:val="24"/>
                                <w:highlight w:val="none"/>
                                <w:lang w:eastAsia="zh-CN"/>
                              </w:rPr>
                            </w:pPr>
                            <w:r>
                              <w:rPr>
                                <w:rFonts w:hint="eastAsia" w:cs="Times New Roman"/>
                                <w:sz w:val="48"/>
                                <w:szCs w:val="48"/>
                                <w:lang w:eastAsia="zh-CN"/>
                              </w:rPr>
                              <w:t>技术规程</w:t>
                            </w:r>
                          </w:p>
                          <w:p w14:paraId="62BD4DE6">
                            <w:pPr>
                              <w:pStyle w:val="46"/>
                              <w:snapToGrid w:val="0"/>
                              <w:spacing w:before="312" w:beforeLines="100" w:line="240" w:lineRule="auto"/>
                              <w:rPr>
                                <w:rStyle w:val="19"/>
                                <w:rFonts w:hint="eastAsia" w:ascii="Calibri" w:hAnsi="Calibri" w:eastAsia="宋体" w:cs="Times New Roman"/>
                                <w:spacing w:val="20"/>
                                <w:sz w:val="36"/>
                                <w:szCs w:val="36"/>
                                <w:lang w:eastAsia="zh-CN"/>
                              </w:rPr>
                            </w:pPr>
                            <w:r>
                              <w:rPr>
                                <w:rStyle w:val="19"/>
                                <w:rFonts w:hint="eastAsia" w:ascii="Calibri" w:hAnsi="Calibri" w:cs="Times New Roman"/>
                                <w:spacing w:val="20"/>
                                <w:sz w:val="36"/>
                                <w:szCs w:val="36"/>
                                <w:lang w:eastAsia="zh-CN"/>
                              </w:rPr>
                              <w:t>Technical Specification for Fully Prefabricated Low-rise Concrete Modular Box Buildings</w:t>
                            </w:r>
                          </w:p>
                          <w:p w14:paraId="349E97F8">
                            <w:pPr>
                              <w:pStyle w:val="47"/>
                              <w:spacing w:line="240" w:lineRule="auto"/>
                              <w:ind w:firstLine="480"/>
                              <w:rPr>
                                <w:highlight w:val="yellow"/>
                              </w:rPr>
                            </w:pPr>
                            <w:r>
                              <w:rPr>
                                <w:rStyle w:val="19"/>
                                <w:rFonts w:hint="eastAsia" w:ascii="黑体" w:hAnsi="黑体" w:eastAsia="黑体" w:cs="Times New Roman"/>
                                <w:b w:val="0"/>
                                <w:bCs w:val="0"/>
                                <w:spacing w:val="20"/>
                                <w:kern w:val="0"/>
                                <w:sz w:val="28"/>
                                <w:szCs w:val="28"/>
                                <w:highlight w:val="none"/>
                                <w:lang w:val="en-US" w:eastAsia="zh-CN" w:bidi="ar-SA"/>
                              </w:rPr>
                              <w:t>（征求意见稿）</w:t>
                            </w:r>
                          </w:p>
                          <w:p w14:paraId="4F04BDFE">
                            <w:pPr>
                              <w:pStyle w:val="48"/>
                              <w:spacing w:line="240" w:lineRule="auto"/>
                              <w:ind w:firstLine="420"/>
                            </w:pPr>
                          </w:p>
                          <w:p w14:paraId="0FCACE29">
                            <w:pPr>
                              <w:pStyle w:val="49"/>
                              <w:spacing w:line="240" w:lineRule="auto"/>
                              <w:ind w:left="5250" w:firstLine="420"/>
                            </w:pPr>
                          </w:p>
                          <w:p w14:paraId="2C66295A">
                            <w:pPr>
                              <w:ind w:firstLine="420"/>
                            </w:pPr>
                          </w:p>
                          <w:p w14:paraId="72673CA8">
                            <w:pPr>
                              <w:ind w:firstLine="420"/>
                            </w:pPr>
                          </w:p>
                          <w:p w14:paraId="634F47BA">
                            <w:pPr>
                              <w:ind w:firstLine="420"/>
                            </w:pPr>
                          </w:p>
                          <w:p w14:paraId="2265D89B">
                            <w:pPr>
                              <w:ind w:firstLine="420"/>
                            </w:pPr>
                          </w:p>
                          <w:p w14:paraId="1DBCD933">
                            <w:pPr>
                              <w:ind w:firstLine="420"/>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left:-6.15pt;margin-top:209.25pt;height:268.75pt;width:454.45pt;z-index:251662336;mso-width-relative:page;mso-height-relative:page;" fillcolor="#FFFFFF" filled="t" stroked="f" coordsize="21600,21600" o:gfxdata="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ihJ&#10;wNsAAAALAQAADwAAAAAAAAABACAAAAAiAAAAZHJzL2Rvd25yZXYueG1sUEsBAhQAFAAAAAgAh07i&#10;QDMbJ1AfAgAAQgQAAA4AAAAAAAAAAQAgAAAAKgEAAGRycy9lMm9Eb2MueG1sUEsFBgAAAAAGAAYA&#10;WQEAALsFAAAAAA==&#10;">
                <v:fill on="t" focussize="0,0"/>
                <v:stroke on="f"/>
                <v:imagedata o:title=""/>
                <o:lock v:ext="edit" aspectratio="f"/>
                <v:textbox inset="0mm,0mm,0mm,0mm">
                  <w:txbxContent>
                    <w:p w14:paraId="16E8B2FB">
                      <w:pPr>
                        <w:pStyle w:val="4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center"/>
                        <w:rPr>
                          <w:rFonts w:hint="eastAsia" w:cs="Times New Roman"/>
                          <w:sz w:val="48"/>
                          <w:szCs w:val="48"/>
                          <w:lang w:eastAsia="zh-CN"/>
                        </w:rPr>
                      </w:pPr>
                      <w:r>
                        <w:rPr>
                          <w:rFonts w:hint="eastAsia" w:cs="Times New Roman"/>
                          <w:sz w:val="48"/>
                          <w:szCs w:val="48"/>
                          <w:lang w:eastAsia="zh-CN"/>
                        </w:rPr>
                        <w:t>低层全装配混凝土集成箱式建筑</w:t>
                      </w:r>
                    </w:p>
                    <w:p w14:paraId="4A0DD7BA">
                      <w:pPr>
                        <w:pStyle w:val="4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黑体"/>
                          <w:color w:val="auto"/>
                          <w:sz w:val="52"/>
                          <w:szCs w:val="24"/>
                          <w:highlight w:val="none"/>
                          <w:lang w:eastAsia="zh-CN"/>
                        </w:rPr>
                      </w:pPr>
                      <w:r>
                        <w:rPr>
                          <w:rFonts w:hint="eastAsia" w:cs="Times New Roman"/>
                          <w:sz w:val="48"/>
                          <w:szCs w:val="48"/>
                          <w:lang w:eastAsia="zh-CN"/>
                        </w:rPr>
                        <w:t>技术规程</w:t>
                      </w:r>
                    </w:p>
                    <w:p w14:paraId="62BD4DE6">
                      <w:pPr>
                        <w:pStyle w:val="46"/>
                        <w:snapToGrid w:val="0"/>
                        <w:spacing w:before="312" w:beforeLines="100" w:line="240" w:lineRule="auto"/>
                        <w:rPr>
                          <w:rStyle w:val="19"/>
                          <w:rFonts w:hint="eastAsia" w:ascii="Calibri" w:hAnsi="Calibri" w:eastAsia="宋体" w:cs="Times New Roman"/>
                          <w:spacing w:val="20"/>
                          <w:sz w:val="36"/>
                          <w:szCs w:val="36"/>
                          <w:lang w:eastAsia="zh-CN"/>
                        </w:rPr>
                      </w:pPr>
                      <w:r>
                        <w:rPr>
                          <w:rStyle w:val="19"/>
                          <w:rFonts w:hint="eastAsia" w:ascii="Calibri" w:hAnsi="Calibri" w:cs="Times New Roman"/>
                          <w:spacing w:val="20"/>
                          <w:sz w:val="36"/>
                          <w:szCs w:val="36"/>
                          <w:lang w:eastAsia="zh-CN"/>
                        </w:rPr>
                        <w:t>Technical Specification for Fully Prefabricated Low-rise Concrete Modular Box Buildings</w:t>
                      </w:r>
                    </w:p>
                    <w:p w14:paraId="349E97F8">
                      <w:pPr>
                        <w:pStyle w:val="47"/>
                        <w:spacing w:line="240" w:lineRule="auto"/>
                        <w:ind w:firstLine="480"/>
                        <w:rPr>
                          <w:highlight w:val="yellow"/>
                        </w:rPr>
                      </w:pPr>
                      <w:r>
                        <w:rPr>
                          <w:rStyle w:val="19"/>
                          <w:rFonts w:hint="eastAsia" w:ascii="黑体" w:hAnsi="黑体" w:eastAsia="黑体" w:cs="Times New Roman"/>
                          <w:b w:val="0"/>
                          <w:bCs w:val="0"/>
                          <w:spacing w:val="20"/>
                          <w:kern w:val="0"/>
                          <w:sz w:val="28"/>
                          <w:szCs w:val="28"/>
                          <w:highlight w:val="none"/>
                          <w:lang w:val="en-US" w:eastAsia="zh-CN" w:bidi="ar-SA"/>
                        </w:rPr>
                        <w:t>（征求意见稿）</w:t>
                      </w:r>
                    </w:p>
                    <w:p w14:paraId="4F04BDFE">
                      <w:pPr>
                        <w:pStyle w:val="48"/>
                        <w:spacing w:line="240" w:lineRule="auto"/>
                        <w:ind w:firstLine="420"/>
                      </w:pPr>
                    </w:p>
                    <w:p w14:paraId="0FCACE29">
                      <w:pPr>
                        <w:pStyle w:val="49"/>
                        <w:spacing w:line="240" w:lineRule="auto"/>
                        <w:ind w:left="5250" w:firstLine="420"/>
                      </w:pPr>
                    </w:p>
                    <w:p w14:paraId="2C66295A">
                      <w:pPr>
                        <w:ind w:firstLine="420"/>
                      </w:pPr>
                    </w:p>
                    <w:p w14:paraId="72673CA8">
                      <w:pPr>
                        <w:ind w:firstLine="420"/>
                      </w:pPr>
                    </w:p>
                    <w:p w14:paraId="634F47BA">
                      <w:pPr>
                        <w:ind w:firstLine="420"/>
                      </w:pPr>
                    </w:p>
                    <w:p w14:paraId="2265D89B">
                      <w:pPr>
                        <w:ind w:firstLine="420"/>
                      </w:pPr>
                    </w:p>
                    <w:p w14:paraId="1DBCD933">
                      <w:pPr>
                        <w:ind w:firstLine="420"/>
                      </w:pPr>
                    </w:p>
                  </w:txbxContent>
                </v:textbox>
              </v:shape>
            </w:pict>
          </mc:Fallback>
        </mc:AlternateContent>
      </w:r>
    </w:p>
    <w:p w14:paraId="699BC686">
      <w:pPr>
        <w:pStyle w:val="60"/>
        <w:rPr>
          <w:color w:val="auto"/>
          <w:highlight w:val="none"/>
        </w:rPr>
      </w:pPr>
    </w:p>
    <w:p w14:paraId="6FBDF198">
      <w:pPr>
        <w:rPr>
          <w:color w:val="auto"/>
          <w:highlight w:val="none"/>
        </w:rPr>
      </w:pPr>
    </w:p>
    <w:p w14:paraId="10F9326C">
      <w:pPr>
        <w:rPr>
          <w:color w:val="auto"/>
          <w:highlight w:val="none"/>
        </w:rPr>
      </w:pPr>
    </w:p>
    <w:p w14:paraId="37065DBB">
      <w:pPr>
        <w:spacing w:before="156" w:beforeLines="50"/>
        <w:jc w:val="center"/>
        <w:rPr>
          <w:rFonts w:hint="eastAsia" w:ascii="黑体" w:hAnsi="黑体" w:eastAsia="黑体"/>
          <w:color w:val="auto"/>
          <w:spacing w:val="56"/>
          <w:sz w:val="28"/>
          <w:szCs w:val="28"/>
          <w:highlight w:val="none"/>
        </w:rPr>
      </w:pPr>
      <w:r>
        <w:rPr>
          <w:rFonts w:hint="eastAsia" w:ascii="黑体" w:hAnsi="黑体" w:eastAsia="黑体"/>
          <w:color w:val="auto"/>
          <w:spacing w:val="56"/>
          <w:sz w:val="28"/>
          <w:szCs w:val="28"/>
          <w:highlight w:val="none"/>
        </w:rPr>
        <w:t>北</w:t>
      </w:r>
      <w:r>
        <w:rPr>
          <w:rFonts w:ascii="黑体" w:hAnsi="黑体" w:eastAsia="黑体"/>
          <w:color w:val="auto"/>
          <w:spacing w:val="56"/>
          <w:sz w:val="28"/>
          <w:szCs w:val="28"/>
          <w:highlight w:val="none"/>
        </w:rPr>
        <w:t xml:space="preserve"> </w:t>
      </w:r>
      <w:r>
        <w:rPr>
          <w:rFonts w:hint="eastAsia" w:ascii="黑体" w:hAnsi="黑体" w:eastAsia="黑体"/>
          <w:color w:val="auto"/>
          <w:spacing w:val="56"/>
          <w:sz w:val="28"/>
          <w:szCs w:val="28"/>
          <w:highlight w:val="none"/>
        </w:rPr>
        <w:t>京</w:t>
      </w:r>
      <w:r>
        <w:rPr>
          <w:rFonts w:ascii="黑体" w:hAnsi="黑体" w:eastAsia="黑体"/>
          <w:color w:val="auto"/>
          <w:spacing w:val="56"/>
          <w:sz w:val="28"/>
          <w:szCs w:val="28"/>
          <w:highlight w:val="none"/>
        </w:rPr>
        <w:t xml:space="preserve"> </w:t>
      </w:r>
      <w:r>
        <w:rPr>
          <w:rFonts w:hint="eastAsia" w:ascii="黑体" w:hAnsi="黑体" w:eastAsia="黑体"/>
          <w:color w:val="auto"/>
          <w:spacing w:val="56"/>
          <w:sz w:val="28"/>
          <w:szCs w:val="28"/>
          <w:highlight w:val="none"/>
        </w:rPr>
        <w:t>市</w:t>
      </w:r>
      <w:r>
        <w:rPr>
          <w:rFonts w:ascii="黑体" w:hAnsi="黑体" w:eastAsia="黑体"/>
          <w:color w:val="auto"/>
          <w:spacing w:val="56"/>
          <w:sz w:val="28"/>
          <w:szCs w:val="28"/>
          <w:highlight w:val="none"/>
        </w:rPr>
        <w:t xml:space="preserve"> </w:t>
      </w:r>
      <w:r>
        <w:rPr>
          <w:rFonts w:hint="eastAsia" w:ascii="黑体" w:hAnsi="黑体" w:eastAsia="黑体"/>
          <w:color w:val="auto"/>
          <w:spacing w:val="56"/>
          <w:sz w:val="28"/>
          <w:szCs w:val="28"/>
          <w:highlight w:val="none"/>
        </w:rPr>
        <w:t>地</w:t>
      </w:r>
      <w:r>
        <w:rPr>
          <w:rFonts w:ascii="黑体" w:hAnsi="黑体" w:eastAsia="黑体"/>
          <w:color w:val="auto"/>
          <w:spacing w:val="56"/>
          <w:sz w:val="28"/>
          <w:szCs w:val="28"/>
          <w:highlight w:val="none"/>
        </w:rPr>
        <w:t xml:space="preserve"> </w:t>
      </w:r>
      <w:r>
        <w:rPr>
          <w:rFonts w:hint="eastAsia" w:ascii="黑体" w:hAnsi="黑体" w:eastAsia="黑体"/>
          <w:color w:val="auto"/>
          <w:spacing w:val="56"/>
          <w:sz w:val="28"/>
          <w:szCs w:val="28"/>
          <w:highlight w:val="none"/>
        </w:rPr>
        <w:t>方</w:t>
      </w:r>
      <w:r>
        <w:rPr>
          <w:rFonts w:ascii="黑体" w:hAnsi="黑体" w:eastAsia="黑体"/>
          <w:color w:val="auto"/>
          <w:spacing w:val="56"/>
          <w:sz w:val="28"/>
          <w:szCs w:val="28"/>
          <w:highlight w:val="none"/>
        </w:rPr>
        <w:t xml:space="preserve"> </w:t>
      </w:r>
      <w:r>
        <w:rPr>
          <w:rFonts w:hint="eastAsia" w:ascii="黑体" w:hAnsi="黑体" w:eastAsia="黑体"/>
          <w:color w:val="auto"/>
          <w:spacing w:val="56"/>
          <w:sz w:val="28"/>
          <w:szCs w:val="28"/>
          <w:highlight w:val="none"/>
        </w:rPr>
        <w:t>标</w:t>
      </w:r>
      <w:r>
        <w:rPr>
          <w:rFonts w:ascii="黑体" w:hAnsi="黑体" w:eastAsia="黑体"/>
          <w:color w:val="auto"/>
          <w:spacing w:val="56"/>
          <w:sz w:val="28"/>
          <w:szCs w:val="28"/>
          <w:highlight w:val="none"/>
        </w:rPr>
        <w:t xml:space="preserve"> </w:t>
      </w:r>
      <w:r>
        <w:rPr>
          <w:rFonts w:hint="eastAsia" w:ascii="黑体" w:hAnsi="黑体" w:eastAsia="黑体"/>
          <w:color w:val="auto"/>
          <w:spacing w:val="56"/>
          <w:sz w:val="28"/>
          <w:szCs w:val="28"/>
          <w:highlight w:val="none"/>
        </w:rPr>
        <w:t>准</w:t>
      </w:r>
    </w:p>
    <w:p w14:paraId="26B92983">
      <w:pPr>
        <w:rPr>
          <w:rFonts w:eastAsia="黑体"/>
          <w:b/>
          <w:bCs/>
          <w:color w:val="auto"/>
          <w:sz w:val="36"/>
          <w:szCs w:val="36"/>
          <w:highlight w:val="none"/>
        </w:rPr>
      </w:pPr>
    </w:p>
    <w:p w14:paraId="3649DCD5">
      <w:pPr>
        <w:ind w:firstLine="480"/>
        <w:rPr>
          <w:color w:val="auto"/>
          <w:szCs w:val="28"/>
          <w:highlight w:val="none"/>
        </w:rPr>
      </w:pPr>
    </w:p>
    <w:p w14:paraId="618DF746">
      <w:pPr>
        <w:spacing w:line="480" w:lineRule="exact"/>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低层全装配混凝土集成箱式建筑技术规程</w:t>
      </w:r>
    </w:p>
    <w:p w14:paraId="517B87E2">
      <w:pPr>
        <w:spacing w:line="480" w:lineRule="exact"/>
        <w:jc w:val="center"/>
        <w:rPr>
          <w:rFonts w:hint="eastAsia" w:eastAsia="宋体" w:cs="Times New Roman"/>
          <w:color w:val="auto"/>
          <w:sz w:val="28"/>
          <w:szCs w:val="28"/>
          <w:highlight w:val="none"/>
          <w:lang w:eastAsia="zh-CN"/>
        </w:rPr>
      </w:pPr>
      <w:r>
        <w:rPr>
          <w:rFonts w:hint="eastAsia" w:cs="Times New Roman"/>
          <w:color w:val="auto"/>
          <w:sz w:val="28"/>
          <w:szCs w:val="28"/>
          <w:highlight w:val="none"/>
          <w:lang w:eastAsia="zh-CN"/>
        </w:rPr>
        <w:t>Technical Specification for Fully Prefabricated Low-rise Concrete Modular Box Buildings</w:t>
      </w:r>
    </w:p>
    <w:p w14:paraId="71562F84">
      <w:pPr>
        <w:autoSpaceDE w:val="0"/>
        <w:autoSpaceDN w:val="0"/>
        <w:adjustRightInd w:val="0"/>
        <w:ind w:firstLine="480"/>
        <w:jc w:val="center"/>
        <w:rPr>
          <w:color w:val="auto"/>
          <w:highlight w:val="none"/>
          <w:lang w:val="nl-NL"/>
        </w:rPr>
      </w:pPr>
    </w:p>
    <w:p w14:paraId="04F073F3">
      <w:pPr>
        <w:autoSpaceDE w:val="0"/>
        <w:autoSpaceDN w:val="0"/>
        <w:adjustRightInd w:val="0"/>
        <w:ind w:firstLine="480"/>
        <w:jc w:val="center"/>
        <w:rPr>
          <w:color w:val="auto"/>
          <w:highlight w:val="none"/>
          <w:lang w:val="nl-NL"/>
        </w:rPr>
      </w:pPr>
    </w:p>
    <w:p w14:paraId="2DC9467F">
      <w:pPr>
        <w:keepNext w:val="0"/>
        <w:keepLines w:val="0"/>
        <w:pageBreakBefore w:val="0"/>
        <w:tabs>
          <w:tab w:val="left" w:pos="3360"/>
        </w:tabs>
        <w:kinsoku/>
        <w:wordWrap/>
        <w:overflowPunct/>
        <w:topLinePunct w:val="0"/>
        <w:autoSpaceDE w:val="0"/>
        <w:autoSpaceDN w:val="0"/>
        <w:bidi w:val="0"/>
        <w:adjustRightInd w:val="0"/>
        <w:snapToGrid w:val="0"/>
        <w:spacing w:line="360" w:lineRule="auto"/>
        <w:ind w:firstLine="0" w:firstLineChars="0"/>
        <w:jc w:val="center"/>
        <w:rPr>
          <w:rFonts w:hint="eastAsia" w:ascii="Times New Roman" w:hAnsi="Times New Roman" w:eastAsia="宋体" w:cs="Times New Roman"/>
          <w:b/>
          <w:color w:val="auto"/>
          <w:sz w:val="28"/>
          <w:szCs w:val="24"/>
          <w:highlight w:val="none"/>
          <w:lang w:val="nl-NL"/>
        </w:rPr>
      </w:pPr>
      <w:r>
        <w:rPr>
          <w:rFonts w:hint="eastAsia" w:ascii="黑体" w:hAnsi="黑体" w:eastAsia="黑体" w:cs="Times New Roman"/>
          <w:bCs/>
          <w:color w:val="auto"/>
          <w:sz w:val="28"/>
          <w:szCs w:val="24"/>
          <w:highlight w:val="none"/>
          <w:lang w:val="nl-NL"/>
        </w:rPr>
        <w:t>编  号：</w:t>
      </w:r>
      <w:r>
        <w:rPr>
          <w:rFonts w:hint="eastAsia" w:ascii="Times New Roman" w:hAnsi="Times New Roman" w:eastAsia="宋体" w:cs="Times New Roman"/>
          <w:b/>
          <w:color w:val="auto"/>
          <w:sz w:val="28"/>
          <w:szCs w:val="24"/>
          <w:highlight w:val="none"/>
          <w:lang w:val="nl-NL"/>
        </w:rPr>
        <w:t>DB11/XXXX-202X</w:t>
      </w:r>
    </w:p>
    <w:p w14:paraId="38E6266E">
      <w:pPr>
        <w:keepNext w:val="0"/>
        <w:keepLines w:val="0"/>
        <w:pageBreakBefore w:val="0"/>
        <w:tabs>
          <w:tab w:val="left" w:pos="2880"/>
        </w:tabs>
        <w:kinsoku/>
        <w:wordWrap/>
        <w:overflowPunct/>
        <w:topLinePunct w:val="0"/>
        <w:autoSpaceDE w:val="0"/>
        <w:autoSpaceDN w:val="0"/>
        <w:bidi w:val="0"/>
        <w:adjustRightInd w:val="0"/>
        <w:snapToGrid w:val="0"/>
        <w:spacing w:line="360" w:lineRule="auto"/>
        <w:ind w:firstLine="0" w:firstLineChars="0"/>
        <w:jc w:val="both"/>
        <w:rPr>
          <w:rFonts w:ascii="宋体" w:hAnsi="宋体" w:cs="Times New Roman"/>
          <w:color w:val="auto"/>
          <w:sz w:val="21"/>
          <w:szCs w:val="21"/>
          <w:highlight w:val="none"/>
        </w:rPr>
      </w:pPr>
      <w:r>
        <w:rPr>
          <w:rFonts w:hint="eastAsia" w:ascii="黑体" w:hAnsi="黑体" w:eastAsia="黑体" w:cs="Times New Roman"/>
          <w:bCs/>
          <w:color w:val="auto"/>
          <w:sz w:val="28"/>
          <w:szCs w:val="24"/>
          <w:highlight w:val="none"/>
          <w:lang w:val="en-US" w:eastAsia="zh-CN"/>
        </w:rPr>
        <w:tab/>
      </w:r>
      <w:r>
        <w:rPr>
          <w:rFonts w:hint="eastAsia" w:ascii="黑体" w:hAnsi="黑体" w:eastAsia="黑体" w:cs="Times New Roman"/>
          <w:bCs/>
          <w:color w:val="auto"/>
          <w:sz w:val="28"/>
          <w:szCs w:val="24"/>
          <w:highlight w:val="none"/>
          <w:lang w:val="en-US" w:eastAsia="zh-CN"/>
        </w:rPr>
        <w:tab/>
      </w:r>
      <w:r>
        <w:rPr>
          <w:rFonts w:hint="eastAsia" w:ascii="黑体" w:hAnsi="黑体" w:eastAsia="黑体" w:cs="Times New Roman"/>
          <w:bCs/>
          <w:color w:val="auto"/>
          <w:sz w:val="28"/>
          <w:szCs w:val="24"/>
          <w:highlight w:val="none"/>
          <w:lang w:val="en-US" w:eastAsia="zh-CN"/>
        </w:rPr>
        <w:tab/>
      </w:r>
      <w:r>
        <w:rPr>
          <w:rFonts w:hint="eastAsia" w:ascii="黑体" w:hAnsi="黑体" w:eastAsia="黑体" w:cs="Times New Roman"/>
          <w:bCs/>
          <w:color w:val="auto"/>
          <w:sz w:val="28"/>
          <w:szCs w:val="24"/>
          <w:highlight w:val="none"/>
          <w:lang w:val="en-US" w:eastAsia="zh-CN"/>
        </w:rPr>
        <w:tab/>
      </w:r>
      <w:r>
        <w:rPr>
          <w:rFonts w:hint="eastAsia" w:ascii="黑体" w:hAnsi="黑体" w:eastAsia="黑体" w:cs="Times New Roman"/>
          <w:bCs/>
          <w:color w:val="auto"/>
          <w:sz w:val="28"/>
          <w:szCs w:val="24"/>
          <w:highlight w:val="none"/>
          <w:lang w:val="nl-NL"/>
        </w:rPr>
        <w:t>备案号：</w:t>
      </w:r>
      <w:r>
        <w:rPr>
          <w:rFonts w:hint="eastAsia" w:ascii="Times New Roman" w:hAnsi="Times New Roman" w:eastAsia="宋体" w:cs="Times New Roman"/>
          <w:b/>
          <w:color w:val="auto"/>
          <w:sz w:val="28"/>
          <w:szCs w:val="24"/>
          <w:highlight w:val="none"/>
          <w:lang w:val="nl-NL"/>
        </w:rPr>
        <w:t>J×   -202×</w:t>
      </w:r>
    </w:p>
    <w:p w14:paraId="22AC9192">
      <w:pPr>
        <w:autoSpaceDE w:val="0"/>
        <w:autoSpaceDN w:val="0"/>
        <w:adjustRightInd w:val="0"/>
        <w:jc w:val="center"/>
        <w:rPr>
          <w:b/>
          <w:color w:val="auto"/>
          <w:sz w:val="28"/>
          <w:highlight w:val="none"/>
          <w:lang w:val="nl-NL"/>
        </w:rPr>
      </w:pPr>
    </w:p>
    <w:p w14:paraId="040517CC">
      <w:pPr>
        <w:autoSpaceDE w:val="0"/>
        <w:autoSpaceDN w:val="0"/>
        <w:adjustRightInd w:val="0"/>
        <w:jc w:val="center"/>
        <w:rPr>
          <w:b/>
          <w:color w:val="auto"/>
          <w:sz w:val="28"/>
          <w:highlight w:val="none"/>
          <w:lang w:val="nl-NL"/>
        </w:rPr>
      </w:pPr>
    </w:p>
    <w:p w14:paraId="45B2811B">
      <w:pPr>
        <w:ind w:firstLine="2158" w:firstLineChars="771"/>
        <w:rPr>
          <w:rFonts w:hint="eastAsia"/>
          <w:color w:val="auto"/>
          <w:sz w:val="28"/>
          <w:highlight w:val="none"/>
          <w:lang w:val="nl-NL"/>
        </w:rPr>
      </w:pPr>
      <w:r>
        <w:rPr>
          <w:rFonts w:hint="eastAsia"/>
          <w:color w:val="auto"/>
          <w:sz w:val="28"/>
          <w:highlight w:val="none"/>
          <w:lang w:val="nl-NL"/>
        </w:rPr>
        <w:t>主编</w:t>
      </w:r>
      <w:r>
        <w:rPr>
          <w:rFonts w:hint="eastAsia"/>
          <w:color w:val="auto"/>
          <w:sz w:val="28"/>
          <w:highlight w:val="none"/>
          <w:lang w:val="nl-NL" w:eastAsia="zh-CN"/>
        </w:rPr>
        <w:t>单位</w:t>
      </w:r>
      <w:r>
        <w:rPr>
          <w:rFonts w:hint="eastAsia"/>
          <w:color w:val="auto"/>
          <w:sz w:val="28"/>
          <w:highlight w:val="none"/>
          <w:lang w:val="nl-NL"/>
        </w:rPr>
        <w:t>：中国建筑一局（集团）有限公司</w:t>
      </w:r>
    </w:p>
    <w:p w14:paraId="243160C8">
      <w:pPr>
        <w:ind w:firstLine="3558" w:firstLineChars="1271"/>
        <w:rPr>
          <w:rFonts w:hint="eastAsia"/>
          <w:color w:val="auto"/>
          <w:sz w:val="28"/>
          <w:highlight w:val="none"/>
          <w:lang w:val="nl-NL"/>
        </w:rPr>
      </w:pPr>
      <w:r>
        <w:rPr>
          <w:rFonts w:hint="eastAsia"/>
          <w:color w:val="auto"/>
          <w:sz w:val="28"/>
          <w:highlight w:val="none"/>
          <w:lang w:val="nl-NL"/>
        </w:rPr>
        <w:t>中建一局集团建设发展有限公司</w:t>
      </w:r>
    </w:p>
    <w:p w14:paraId="32C4CE5A">
      <w:pPr>
        <w:ind w:firstLine="3558" w:firstLineChars="1271"/>
        <w:rPr>
          <w:rFonts w:hint="eastAsia"/>
          <w:color w:val="auto"/>
          <w:sz w:val="28"/>
          <w:highlight w:val="none"/>
          <w:lang w:val="nl-NL"/>
        </w:rPr>
      </w:pPr>
      <w:r>
        <w:rPr>
          <w:rFonts w:hint="eastAsia"/>
          <w:color w:val="auto"/>
          <w:sz w:val="28"/>
          <w:highlight w:val="none"/>
          <w:lang w:val="nl-NL"/>
        </w:rPr>
        <w:t>北京市住房和城乡建设科技促进中心</w:t>
      </w:r>
    </w:p>
    <w:p w14:paraId="12CEF3C7">
      <w:pPr>
        <w:autoSpaceDE w:val="0"/>
        <w:autoSpaceDN w:val="0"/>
        <w:adjustRightInd w:val="0"/>
        <w:ind w:firstLine="2125" w:firstLineChars="759"/>
        <w:rPr>
          <w:color w:val="auto"/>
          <w:sz w:val="28"/>
          <w:highlight w:val="none"/>
          <w:lang w:val="nl-NL"/>
        </w:rPr>
      </w:pPr>
      <w:r>
        <w:rPr>
          <w:rFonts w:hint="eastAsia"/>
          <w:color w:val="auto"/>
          <w:sz w:val="28"/>
          <w:highlight w:val="none"/>
          <w:lang w:val="nl-NL"/>
        </w:rPr>
        <w:t>批准部门：北京市市场监督管理局</w:t>
      </w:r>
    </w:p>
    <w:p w14:paraId="2DB45EE6">
      <w:pPr>
        <w:autoSpaceDE w:val="0"/>
        <w:autoSpaceDN w:val="0"/>
        <w:adjustRightInd w:val="0"/>
        <w:ind w:firstLine="2125" w:firstLineChars="759"/>
        <w:rPr>
          <w:rFonts w:hint="eastAsia" w:ascii="Times New Roman" w:hAnsi="Times New Roman" w:eastAsia="宋体" w:cs="Times New Roman"/>
          <w:color w:val="auto"/>
          <w:sz w:val="28"/>
          <w:szCs w:val="24"/>
          <w:highlight w:val="none"/>
          <w:lang w:val="nl-NL"/>
        </w:rPr>
      </w:pPr>
      <w:r>
        <w:rPr>
          <w:rFonts w:hint="eastAsia"/>
          <w:color w:val="auto"/>
          <w:sz w:val="28"/>
          <w:highlight w:val="none"/>
          <w:lang w:val="nl-NL"/>
        </w:rPr>
        <w:t>施行日期：</w:t>
      </w:r>
      <w:r>
        <w:rPr>
          <w:rFonts w:hint="eastAsia" w:ascii="Times New Roman" w:hAnsi="Times New Roman" w:eastAsia="宋体" w:cs="Times New Roman"/>
          <w:color w:val="auto"/>
          <w:sz w:val="28"/>
          <w:szCs w:val="24"/>
          <w:highlight w:val="none"/>
          <w:lang w:val="nl-NL"/>
        </w:rPr>
        <w:t>20</w:t>
      </w:r>
      <w:r>
        <w:rPr>
          <w:rFonts w:hint="eastAsia" w:ascii="Times New Roman" w:hAnsi="Times New Roman" w:eastAsia="宋体" w:cs="Times New Roman"/>
          <w:color w:val="auto"/>
          <w:sz w:val="28"/>
          <w:szCs w:val="24"/>
          <w:highlight w:val="none"/>
          <w:lang w:val="en-US" w:eastAsia="zh-CN"/>
        </w:rPr>
        <w:t>26</w:t>
      </w:r>
      <w:r>
        <w:rPr>
          <w:rFonts w:hint="eastAsia" w:ascii="Times New Roman" w:hAnsi="Times New Roman" w:eastAsia="宋体" w:cs="Times New Roman"/>
          <w:color w:val="auto"/>
          <w:sz w:val="28"/>
          <w:szCs w:val="24"/>
          <w:highlight w:val="none"/>
          <w:lang w:val="nl-NL"/>
        </w:rPr>
        <w:t>年   月   日</w:t>
      </w:r>
    </w:p>
    <w:p w14:paraId="18D9984A">
      <w:pPr>
        <w:ind w:firstLine="420"/>
        <w:rPr>
          <w:color w:val="auto"/>
          <w:highlight w:val="none"/>
          <w:lang w:val="nl-NL"/>
        </w:rPr>
      </w:pPr>
    </w:p>
    <w:p w14:paraId="54B9D2AE">
      <w:pPr>
        <w:autoSpaceDE w:val="0"/>
        <w:autoSpaceDN w:val="0"/>
        <w:adjustRightInd w:val="0"/>
        <w:jc w:val="center"/>
        <w:rPr>
          <w:b/>
          <w:color w:val="auto"/>
          <w:sz w:val="28"/>
          <w:highlight w:val="none"/>
          <w:lang w:val="nl-NL"/>
        </w:rPr>
      </w:pPr>
    </w:p>
    <w:p w14:paraId="2F6D71A4">
      <w:pPr>
        <w:autoSpaceDE w:val="0"/>
        <w:autoSpaceDN w:val="0"/>
        <w:adjustRightInd w:val="0"/>
        <w:jc w:val="center"/>
        <w:rPr>
          <w:b/>
          <w:color w:val="auto"/>
          <w:sz w:val="28"/>
          <w:highlight w:val="none"/>
          <w:lang w:val="nl-NL"/>
        </w:rPr>
      </w:pPr>
    </w:p>
    <w:p w14:paraId="50ACA80D">
      <w:pPr>
        <w:autoSpaceDE w:val="0"/>
        <w:autoSpaceDN w:val="0"/>
        <w:adjustRightInd w:val="0"/>
        <w:jc w:val="center"/>
        <w:rPr>
          <w:b/>
          <w:color w:val="auto"/>
          <w:sz w:val="28"/>
          <w:highlight w:val="none"/>
          <w:lang w:val="nl-NL"/>
        </w:rPr>
      </w:pPr>
    </w:p>
    <w:p w14:paraId="6A32DF5D">
      <w:pPr>
        <w:autoSpaceDE w:val="0"/>
        <w:autoSpaceDN w:val="0"/>
        <w:adjustRightInd w:val="0"/>
        <w:jc w:val="center"/>
        <w:rPr>
          <w:rFonts w:cs="黑体"/>
          <w:color w:val="auto"/>
          <w:kern w:val="0"/>
          <w:sz w:val="44"/>
          <w:szCs w:val="44"/>
          <w:highlight w:val="none"/>
          <w:lang w:val="nl-NL"/>
        </w:rPr>
      </w:pPr>
      <w:r>
        <w:rPr>
          <w:rFonts w:hint="eastAsia"/>
          <w:b/>
          <w:color w:val="auto"/>
          <w:sz w:val="28"/>
          <w:highlight w:val="none"/>
          <w:lang w:val="nl-NL"/>
        </w:rPr>
        <w:t>202</w:t>
      </w:r>
      <w:r>
        <w:rPr>
          <w:rFonts w:hint="eastAsia"/>
          <w:b/>
          <w:color w:val="auto"/>
          <w:sz w:val="28"/>
          <w:highlight w:val="none"/>
          <w:lang w:val="en-US" w:eastAsia="zh-CN"/>
        </w:rPr>
        <w:t>6</w:t>
      </w:r>
      <w:r>
        <w:rPr>
          <w:rFonts w:hint="eastAsia"/>
          <w:b/>
          <w:color w:val="auto"/>
          <w:sz w:val="28"/>
          <w:highlight w:val="none"/>
          <w:lang w:val="nl-NL"/>
        </w:rPr>
        <w:t>年 北京</w:t>
      </w:r>
    </w:p>
    <w:p w14:paraId="2B7D8941">
      <w:pPr>
        <w:widowControl/>
        <w:wordWrap/>
        <w:overflowPunct/>
        <w:topLinePunct w:val="0"/>
        <w:bidi w:val="0"/>
        <w:snapToGrid w:val="0"/>
        <w:spacing w:line="300" w:lineRule="auto"/>
        <w:ind w:firstLine="880" w:firstLineChars="200"/>
        <w:jc w:val="center"/>
        <w:rPr>
          <w:rFonts w:hint="eastAsia" w:ascii="Times New Roman" w:hAnsi="Times New Roman" w:eastAsia="黑体" w:cs="Times New Roman"/>
          <w:color w:val="auto"/>
          <w:sz w:val="44"/>
          <w:szCs w:val="44"/>
          <w:highlight w:val="none"/>
        </w:rPr>
      </w:pPr>
    </w:p>
    <w:p w14:paraId="18723D4B">
      <w:pPr>
        <w:widowControl/>
        <w:wordWrap/>
        <w:overflowPunct/>
        <w:topLinePunct w:val="0"/>
        <w:bidi w:val="0"/>
        <w:snapToGrid w:val="0"/>
        <w:spacing w:line="300" w:lineRule="auto"/>
        <w:ind w:firstLine="880" w:firstLineChars="200"/>
        <w:jc w:val="center"/>
        <w:rPr>
          <w:rFonts w:hint="eastAsia" w:ascii="Times New Roman" w:hAnsi="Times New Roman" w:eastAsia="黑体" w:cs="Times New Roman"/>
          <w:color w:val="auto"/>
          <w:sz w:val="44"/>
          <w:szCs w:val="44"/>
          <w:highlight w:val="none"/>
        </w:rPr>
      </w:pPr>
    </w:p>
    <w:p w14:paraId="29EFD676">
      <w:pPr>
        <w:widowControl/>
        <w:wordWrap/>
        <w:overflowPunct/>
        <w:topLinePunct w:val="0"/>
        <w:bidi w:val="0"/>
        <w:snapToGrid w:val="0"/>
        <w:spacing w:line="300" w:lineRule="auto"/>
        <w:ind w:firstLine="880" w:firstLineChars="200"/>
        <w:jc w:val="center"/>
        <w:rPr>
          <w:rFonts w:hint="eastAsia" w:ascii="Times New Roman" w:hAnsi="Times New Roman" w:eastAsia="黑体" w:cs="Times New Roman"/>
          <w:color w:val="auto"/>
          <w:sz w:val="44"/>
          <w:szCs w:val="44"/>
          <w:highlight w:val="none"/>
        </w:rPr>
        <w:sectPr>
          <w:footerReference r:id="rId7" w:type="default"/>
          <w:pgSz w:w="11906" w:h="16838"/>
          <w:pgMar w:top="731" w:right="1417" w:bottom="1361" w:left="1417" w:header="851" w:footer="850" w:gutter="0"/>
          <w:pgNumType w:fmt="decimal" w:start="1"/>
          <w:cols w:space="425" w:num="1"/>
          <w:docGrid w:type="linesAndChars" w:linePitch="326" w:charSpace="0"/>
        </w:sectPr>
      </w:pPr>
    </w:p>
    <w:p w14:paraId="1F27C2A8">
      <w:pPr>
        <w:pStyle w:val="2"/>
        <w:bidi w:val="0"/>
        <w:rPr>
          <w:rFonts w:ascii="宋体" w:hAnsi="宋体" w:cs="宋体"/>
          <w:color w:val="auto"/>
          <w:kern w:val="1"/>
          <w:sz w:val="21"/>
          <w:szCs w:val="20"/>
          <w:highlight w:val="none"/>
        </w:rPr>
      </w:pPr>
      <w:bookmarkStart w:id="0" w:name="_Toc22630"/>
      <w:bookmarkStart w:id="1" w:name="_Toc22922"/>
      <w:bookmarkStart w:id="2" w:name="_Toc12657"/>
      <w:bookmarkStart w:id="3" w:name="_Toc1701"/>
      <w:r>
        <w:rPr>
          <w:rFonts w:hint="eastAsia" w:ascii="Times New Roman" w:hAnsi="Times New Roman" w:eastAsia="宋体" w:cs="Times New Roman"/>
          <w:b/>
          <w:color w:val="auto"/>
          <w:sz w:val="28"/>
          <w:szCs w:val="28"/>
          <w:highlight w:val="none"/>
        </w:rPr>
        <w:t>前  言</w:t>
      </w:r>
      <w:bookmarkEnd w:id="0"/>
      <w:bookmarkEnd w:id="1"/>
      <w:bookmarkEnd w:id="2"/>
      <w:bookmarkEnd w:id="3"/>
    </w:p>
    <w:p w14:paraId="77DE97CF">
      <w:pPr>
        <w:keepNext w:val="0"/>
        <w:keepLines w:val="0"/>
        <w:pageBreakBefore w:val="0"/>
        <w:widowControl w:val="0"/>
        <w:kinsoku/>
        <w:wordWrap/>
        <w:overflowPunct/>
        <w:topLinePunct w:val="0"/>
        <w:autoSpaceDE/>
        <w:autoSpaceDN/>
        <w:bidi w:val="0"/>
        <w:adjustRightInd/>
        <w:snapToGrid w:val="0"/>
        <w:spacing w:before="156" w:beforeLines="50" w:line="360" w:lineRule="auto"/>
        <w:ind w:firstLine="480" w:firstLineChars="200"/>
        <w:textAlignment w:val="auto"/>
        <w:rPr>
          <w:rFonts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根据北京市市场监督管理局关于印发《2025年北京市地方标准制定项目计划的通知》（京市监发〔2025〕1号）的要求，规程编制组经广泛调查研究，认真总结实践经验，参考有关国内外先进标准，并在广泛征求意见的基础上，修订本规程。</w:t>
      </w:r>
    </w:p>
    <w:p w14:paraId="5D48A802">
      <w:pPr>
        <w:keepNext w:val="0"/>
        <w:keepLines w:val="0"/>
        <w:pageBreakBefore w:val="0"/>
        <w:widowControl w:val="0"/>
        <w:kinsoku/>
        <w:wordWrap/>
        <w:overflowPunct/>
        <w:topLinePunct w:val="0"/>
        <w:autoSpaceDE/>
        <w:autoSpaceDN/>
        <w:bidi w:val="0"/>
        <w:adjustRightInd/>
        <w:snapToGrid w:val="0"/>
        <w:spacing w:before="156" w:beforeLines="50" w:line="360" w:lineRule="auto"/>
        <w:ind w:firstLine="480" w:firstLineChars="200"/>
        <w:textAlignment w:val="auto"/>
        <w:rPr>
          <w:rFonts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 xml:space="preserve">本标准的主要技术内容是：1 总则；2 术语；3 基本规定；4 材料；5 建筑设计；6 结构设计；7 </w:t>
      </w:r>
      <w:r>
        <w:rPr>
          <w:rFonts w:hint="eastAsia" w:cs="Times New Roman"/>
          <w:color w:val="auto"/>
          <w:sz w:val="24"/>
          <w:szCs w:val="21"/>
          <w:highlight w:val="none"/>
          <w:lang w:val="en-US" w:eastAsia="zh-CN"/>
        </w:rPr>
        <w:t>装修与管线</w:t>
      </w:r>
      <w:r>
        <w:rPr>
          <w:rFonts w:hint="eastAsia" w:ascii="Times New Roman" w:hAnsi="Times New Roman" w:eastAsia="宋体" w:cs="Times New Roman"/>
          <w:color w:val="auto"/>
          <w:sz w:val="24"/>
          <w:szCs w:val="21"/>
          <w:highlight w:val="none"/>
        </w:rPr>
        <w:t xml:space="preserve">设计；8 </w:t>
      </w:r>
      <w:r>
        <w:rPr>
          <w:rFonts w:hint="eastAsia" w:cs="Times New Roman"/>
          <w:color w:val="auto"/>
          <w:sz w:val="24"/>
          <w:szCs w:val="21"/>
          <w:highlight w:val="none"/>
          <w:lang w:val="en-US" w:eastAsia="zh-CN"/>
        </w:rPr>
        <w:t>模块</w:t>
      </w:r>
      <w:r>
        <w:rPr>
          <w:rFonts w:hint="eastAsia" w:cs="Times New Roman"/>
          <w:color w:val="auto"/>
          <w:sz w:val="24"/>
          <w:szCs w:val="21"/>
          <w:highlight w:val="none"/>
          <w:lang w:eastAsia="zh-CN"/>
        </w:rPr>
        <w:t>生产</w:t>
      </w:r>
      <w:r>
        <w:rPr>
          <w:rFonts w:hint="eastAsia" w:ascii="Times New Roman" w:hAnsi="Times New Roman" w:eastAsia="宋体" w:cs="Times New Roman"/>
          <w:color w:val="auto"/>
          <w:sz w:val="24"/>
          <w:szCs w:val="21"/>
          <w:highlight w:val="none"/>
        </w:rPr>
        <w:t>与运输；9 施工；10 质量验收。</w:t>
      </w:r>
    </w:p>
    <w:p w14:paraId="7FF1CB8D">
      <w:pPr>
        <w:keepNext w:val="0"/>
        <w:keepLines w:val="0"/>
        <w:pageBreakBefore w:val="0"/>
        <w:widowControl w:val="0"/>
        <w:kinsoku/>
        <w:wordWrap/>
        <w:overflowPunct/>
        <w:topLinePunct w:val="0"/>
        <w:autoSpaceDE/>
        <w:autoSpaceDN/>
        <w:bidi w:val="0"/>
        <w:adjustRightInd/>
        <w:snapToGrid w:val="0"/>
        <w:spacing w:before="156" w:beforeLines="50" w:line="360" w:lineRule="auto"/>
        <w:ind w:firstLine="480" w:firstLineChars="200"/>
        <w:textAlignment w:val="auto"/>
        <w:rPr>
          <w:rFonts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本规程由北京市住房和城乡建设委员会和北京市市场监督管理局共同管理，北京市住房和城乡建设委员会归口、组织实施，并组织编制单位对本规程技术内容进行解释。执行过程中如有意见或建议，请寄送</w:t>
      </w:r>
      <w:r>
        <w:rPr>
          <w:rFonts w:hint="eastAsia" w:ascii="宋体" w:hAnsi="宋体" w:cs="宋体"/>
          <w:color w:val="auto"/>
          <w:highlight w:val="none"/>
        </w:rPr>
        <w:t>中国建筑一局（集团）有限公司（地址：北京市西四环南路52号，邮编100161；电话：010-83982040；电子邮箱：csceczhj@163.com）</w:t>
      </w:r>
      <w:r>
        <w:rPr>
          <w:rFonts w:hint="eastAsia" w:ascii="Times New Roman" w:hAnsi="Times New Roman" w:eastAsia="宋体" w:cs="Times New Roman"/>
          <w:color w:val="auto"/>
          <w:sz w:val="24"/>
          <w:szCs w:val="21"/>
          <w:highlight w:val="none"/>
        </w:rPr>
        <w:t>。</w:t>
      </w:r>
    </w:p>
    <w:p w14:paraId="10E38CB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本</w:t>
      </w:r>
      <w:r>
        <w:rPr>
          <w:rFonts w:hint="eastAsia" w:cs="Times New Roman"/>
          <w:color w:val="auto"/>
          <w:sz w:val="24"/>
          <w:szCs w:val="21"/>
          <w:highlight w:val="none"/>
          <w:lang w:val="en-US" w:eastAsia="zh-CN"/>
        </w:rPr>
        <w:t>规程</w:t>
      </w:r>
      <w:r>
        <w:rPr>
          <w:rFonts w:hint="eastAsia" w:ascii="Times New Roman" w:hAnsi="Times New Roman" w:eastAsia="宋体" w:cs="Times New Roman"/>
          <w:color w:val="auto"/>
          <w:sz w:val="24"/>
          <w:szCs w:val="21"/>
          <w:highlight w:val="none"/>
        </w:rPr>
        <w:t>主编单位：中国建筑一局（集团）有限公司</w:t>
      </w:r>
    </w:p>
    <w:p w14:paraId="1AF8971D">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textAlignment w:val="auto"/>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中建一局集团建设发展有限公司</w:t>
      </w:r>
    </w:p>
    <w:p w14:paraId="71D894A1">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textAlignment w:val="auto"/>
        <w:rPr>
          <w:rFonts w:hint="eastAsia"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北京市住房和城乡建设科技促进中心</w:t>
      </w:r>
    </w:p>
    <w:p w14:paraId="1E187D1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本</w:t>
      </w:r>
      <w:r>
        <w:rPr>
          <w:rFonts w:hint="eastAsia" w:cs="Times New Roman"/>
          <w:color w:val="auto"/>
          <w:sz w:val="24"/>
          <w:szCs w:val="21"/>
          <w:highlight w:val="none"/>
          <w:lang w:val="en-US" w:eastAsia="zh-CN"/>
        </w:rPr>
        <w:t>规程</w:t>
      </w:r>
      <w:r>
        <w:rPr>
          <w:rFonts w:hint="eastAsia" w:ascii="Times New Roman" w:hAnsi="Times New Roman" w:eastAsia="宋体" w:cs="Times New Roman"/>
          <w:color w:val="auto"/>
          <w:sz w:val="24"/>
          <w:szCs w:val="21"/>
          <w:highlight w:val="none"/>
        </w:rPr>
        <w:t>参编单位：中建（天津）工业化建筑工程有限公司</w:t>
      </w:r>
    </w:p>
    <w:p w14:paraId="2CA06928">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北京市住宅建筑设计研究院有限公司</w:t>
      </w:r>
    </w:p>
    <w:p w14:paraId="13D32174">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中建二局第三建筑工程有限公司</w:t>
      </w:r>
    </w:p>
    <w:p w14:paraId="7E596F86">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北京城建北方集团有限公司</w:t>
      </w:r>
    </w:p>
    <w:p w14:paraId="3B8DCAA3">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北京市建筑工程研究院有限责任公司</w:t>
      </w:r>
    </w:p>
    <w:p w14:paraId="3B3DEBAB">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中建一局集团东南建设有限公司</w:t>
      </w:r>
    </w:p>
    <w:p w14:paraId="2FA1E436">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北京城建亚泰建设集团有限公司</w:t>
      </w:r>
    </w:p>
    <w:p w14:paraId="59EC0044">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北京兴电国际工程管理有限公司</w:t>
      </w:r>
    </w:p>
    <w:p w14:paraId="7B5EDED3">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中铁建设集团有限公司</w:t>
      </w:r>
    </w:p>
    <w:p w14:paraId="6B75DAB2">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北京住总第二开发建设有限公司</w:t>
      </w:r>
    </w:p>
    <w:p w14:paraId="05DEEA41">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北京住总建筑科技有限公司</w:t>
      </w:r>
    </w:p>
    <w:p w14:paraId="4EB19C7D">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北京京能建设集团有限公司</w:t>
      </w:r>
    </w:p>
    <w:p w14:paraId="41F18372">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中建二局安装工程有限公司</w:t>
      </w:r>
    </w:p>
    <w:p w14:paraId="2CA8C78D">
      <w:pPr>
        <w:keepNext w:val="0"/>
        <w:keepLines w:val="0"/>
        <w:pageBreakBefore w:val="0"/>
        <w:widowControl w:val="0"/>
        <w:kinsoku/>
        <w:wordWrap/>
        <w:overflowPunct/>
        <w:topLinePunct w:val="0"/>
        <w:autoSpaceDE/>
        <w:autoSpaceDN/>
        <w:bidi w:val="0"/>
        <w:adjustRightInd/>
        <w:snapToGrid w:val="0"/>
        <w:spacing w:line="360" w:lineRule="auto"/>
        <w:ind w:firstLine="2400" w:firstLineChars="1000"/>
        <w:jc w:val="left"/>
        <w:textAlignment w:val="auto"/>
        <w:rPr>
          <w:rFonts w:hint="eastAsia" w:ascii="Times New Roman" w:hAnsi="Times New Roman" w:eastAsia="宋体" w:cs="Times New Roman"/>
          <w:color w:val="auto"/>
          <w:sz w:val="24"/>
          <w:szCs w:val="21"/>
          <w:highlight w:val="none"/>
          <w:lang w:val="zh-CN"/>
        </w:rPr>
      </w:pPr>
      <w:r>
        <w:rPr>
          <w:rFonts w:hint="eastAsia" w:ascii="Times New Roman" w:hAnsi="Times New Roman" w:eastAsia="宋体" w:cs="Times New Roman"/>
          <w:color w:val="auto"/>
          <w:sz w:val="24"/>
          <w:szCs w:val="21"/>
          <w:highlight w:val="none"/>
          <w:lang w:val="zh-CN"/>
        </w:rPr>
        <w:t>中建一局集团第一建筑有限公司</w:t>
      </w:r>
    </w:p>
    <w:p w14:paraId="28A21A35">
      <w:pPr>
        <w:keepNext w:val="0"/>
        <w:keepLines w:val="0"/>
        <w:pageBreakBefore w:val="0"/>
        <w:widowControl w:val="0"/>
        <w:kinsoku/>
        <w:wordWrap/>
        <w:overflowPunct/>
        <w:topLinePunct w:val="0"/>
        <w:autoSpaceDE/>
        <w:autoSpaceDN/>
        <w:bidi w:val="0"/>
        <w:adjustRightInd/>
        <w:snapToGrid w:val="0"/>
        <w:spacing w:line="360" w:lineRule="auto"/>
        <w:ind w:left="2880" w:leftChars="200" w:hanging="2400" w:hangingChars="1000"/>
        <w:jc w:val="left"/>
        <w:textAlignment w:val="auto"/>
        <w:rPr>
          <w:rFonts w:hint="eastAsia"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zh-CN"/>
        </w:rPr>
        <w:t>本</w:t>
      </w:r>
      <w:r>
        <w:rPr>
          <w:rFonts w:hint="eastAsia" w:cs="Times New Roman"/>
          <w:color w:val="auto"/>
          <w:sz w:val="24"/>
          <w:szCs w:val="21"/>
          <w:highlight w:val="none"/>
          <w:lang w:val="en-US" w:eastAsia="zh-CN"/>
        </w:rPr>
        <w:t>规程</w:t>
      </w:r>
      <w:r>
        <w:rPr>
          <w:rFonts w:hint="eastAsia" w:ascii="Times New Roman" w:hAnsi="Times New Roman" w:eastAsia="宋体" w:cs="Times New Roman"/>
          <w:color w:val="auto"/>
          <w:sz w:val="24"/>
          <w:szCs w:val="21"/>
          <w:highlight w:val="none"/>
          <w:lang w:val="zh-CN"/>
        </w:rPr>
        <w:t>主要起草人</w:t>
      </w:r>
      <w:r>
        <w:rPr>
          <w:rFonts w:hint="eastAsia" w:cs="Times New Roman"/>
          <w:color w:val="auto"/>
          <w:sz w:val="24"/>
          <w:szCs w:val="21"/>
          <w:highlight w:val="none"/>
          <w:lang w:val="en-US" w:eastAsia="zh-CN"/>
        </w:rPr>
        <w:t>员</w:t>
      </w:r>
      <w:r>
        <w:rPr>
          <w:rFonts w:hint="eastAsia" w:ascii="Times New Roman" w:hAnsi="Times New Roman" w:eastAsia="宋体" w:cs="Times New Roman"/>
          <w:color w:val="auto"/>
          <w:sz w:val="24"/>
          <w:szCs w:val="21"/>
          <w:highlight w:val="none"/>
          <w:lang w:val="zh-CN"/>
        </w:rPr>
        <w:t>：</w:t>
      </w:r>
      <w:r>
        <w:rPr>
          <w:rFonts w:hint="eastAsia" w:cs="Times New Roman"/>
          <w:color w:val="auto"/>
          <w:szCs w:val="21"/>
          <w:highlight w:val="none"/>
          <w:lang w:val="zh-CN"/>
        </w:rPr>
        <w:t>周予启</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 xml:space="preserve">郭海山 刘卫未 吕雪源 汤庆轩 张惠丽 钱嘉宏 </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尹</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硕 刘敏敏 李永敢 韩友强 王振兴 李</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贝 孙岩波 沈冠杰 黄</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超 陈旭勃 张</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军 吴大伟 王志勇 刘宝权 刘</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宇 李长勇 张海松 赵维卿 荣立权 崔</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杰 杨</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 xml:space="preserve">萌 王洪旭 </w:t>
      </w:r>
      <w:r>
        <w:rPr>
          <w:rFonts w:hint="eastAsia" w:cs="Times New Roman"/>
          <w:color w:val="auto"/>
          <w:szCs w:val="21"/>
          <w:highlight w:val="none"/>
          <w:lang w:val="en-US" w:eastAsia="zh-CN"/>
        </w:rPr>
        <w:t xml:space="preserve">刘雅静 杨星河 </w:t>
      </w:r>
      <w:r>
        <w:rPr>
          <w:rFonts w:hint="eastAsia" w:cs="Times New Roman"/>
          <w:color w:val="auto"/>
          <w:szCs w:val="21"/>
          <w:highlight w:val="none"/>
          <w:lang w:val="zh-CN"/>
        </w:rPr>
        <w:t>阎明伟 刘</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炎 程</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侃 赖文桢 罗亚磊 刘</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强 王</w:t>
      </w:r>
      <w:r>
        <w:rPr>
          <w:rFonts w:hint="eastAsia" w:cs="Times New Roman"/>
          <w:color w:val="auto"/>
          <w:szCs w:val="21"/>
          <w:highlight w:val="none"/>
          <w:lang w:val="en-US" w:eastAsia="zh-CN"/>
        </w:rPr>
        <w:t xml:space="preserve">  </w:t>
      </w:r>
      <w:r>
        <w:rPr>
          <w:rFonts w:hint="eastAsia" w:cs="Times New Roman"/>
          <w:color w:val="auto"/>
          <w:szCs w:val="21"/>
          <w:highlight w:val="none"/>
          <w:lang w:val="zh-CN"/>
        </w:rPr>
        <w:t>鹏 周泽恩 杜建永 惠宝军</w:t>
      </w:r>
      <w:r>
        <w:rPr>
          <w:rFonts w:hint="eastAsia" w:cs="Times New Roman"/>
          <w:color w:val="auto"/>
          <w:szCs w:val="21"/>
          <w:highlight w:val="none"/>
          <w:lang w:val="en-US" w:eastAsia="zh-CN"/>
        </w:rPr>
        <w:t xml:space="preserve">  </w:t>
      </w:r>
    </w:p>
    <w:p w14:paraId="664C329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1"/>
          <w:highlight w:val="none"/>
          <w:lang w:val="en-US" w:eastAsia="zh-CN"/>
        </w:rPr>
      </w:pPr>
      <w:r>
        <w:rPr>
          <w:rFonts w:hint="eastAsia" w:cs="Times New Roman"/>
          <w:color w:val="auto"/>
          <w:sz w:val="24"/>
          <w:szCs w:val="21"/>
          <w:highlight w:val="none"/>
          <w:lang w:val="en-US" w:eastAsia="zh-CN"/>
        </w:rPr>
        <w:t>本规程</w:t>
      </w:r>
      <w:r>
        <w:rPr>
          <w:rFonts w:hint="eastAsia" w:ascii="Times New Roman" w:hAnsi="Times New Roman" w:eastAsia="宋体" w:cs="Times New Roman"/>
          <w:color w:val="auto"/>
          <w:sz w:val="24"/>
          <w:szCs w:val="21"/>
          <w:highlight w:val="none"/>
          <w:lang w:val="zh-CN"/>
        </w:rPr>
        <w:t>主要审查人</w:t>
      </w:r>
      <w:r>
        <w:rPr>
          <w:rFonts w:hint="eastAsia" w:cs="Times New Roman"/>
          <w:color w:val="auto"/>
          <w:sz w:val="24"/>
          <w:szCs w:val="21"/>
          <w:highlight w:val="none"/>
          <w:lang w:val="en-US" w:eastAsia="zh-CN"/>
        </w:rPr>
        <w:t>员</w:t>
      </w:r>
      <w:r>
        <w:rPr>
          <w:rFonts w:hint="eastAsia" w:ascii="Times New Roman" w:hAnsi="Times New Roman" w:eastAsia="宋体" w:cs="Times New Roman"/>
          <w:color w:val="auto"/>
          <w:sz w:val="24"/>
          <w:szCs w:val="21"/>
          <w:highlight w:val="none"/>
          <w:lang w:val="zh-CN"/>
        </w:rPr>
        <w:t>：</w:t>
      </w:r>
    </w:p>
    <w:p w14:paraId="3946C53F">
      <w:pPr>
        <w:keepNext w:val="0"/>
        <w:keepLines w:val="0"/>
        <w:pageBreakBefore w:val="0"/>
        <w:kinsoku/>
        <w:wordWrap/>
        <w:overflowPunct/>
        <w:topLinePunct w:val="0"/>
        <w:bidi w:val="0"/>
        <w:snapToGrid w:val="0"/>
        <w:spacing w:line="360" w:lineRule="auto"/>
        <w:ind w:firstLine="0" w:firstLineChars="0"/>
        <w:jc w:val="left"/>
        <w:rPr>
          <w:rFonts w:hint="eastAsia" w:ascii="Times New Roman" w:hAnsi="Times New Roman" w:eastAsia="宋体" w:cs="Times New Roman"/>
          <w:color w:val="auto"/>
          <w:sz w:val="24"/>
          <w:szCs w:val="21"/>
          <w:highlight w:val="none"/>
          <w:lang w:val="zh-CN"/>
        </w:rPr>
      </w:pPr>
    </w:p>
    <w:p w14:paraId="30DE6D88">
      <w:pPr>
        <w:pStyle w:val="13"/>
        <w:tabs>
          <w:tab w:val="right" w:leader="dot" w:pos="8777"/>
          <w:tab w:val="clear" w:pos="6000"/>
        </w:tabs>
        <w:wordWrap/>
        <w:overflowPunct/>
        <w:topLinePunct w:val="0"/>
        <w:bidi w:val="0"/>
        <w:spacing w:line="300" w:lineRule="auto"/>
        <w:ind w:firstLine="480" w:firstLineChars="200"/>
        <w:rPr>
          <w:rFonts w:ascii="宋体" w:hAnsi="宋体" w:cs="Times New Roman"/>
          <w:color w:val="auto"/>
          <w:szCs w:val="24"/>
          <w:highlight w:val="none"/>
        </w:rPr>
        <w:sectPr>
          <w:pgSz w:w="11906" w:h="16838"/>
          <w:pgMar w:top="737" w:right="1417" w:bottom="1361" w:left="1417" w:header="851" w:footer="850" w:gutter="0"/>
          <w:pgNumType w:fmt="decimal" w:start="1"/>
          <w:cols w:space="425" w:num="1"/>
          <w:docGrid w:type="linesAndChars" w:linePitch="326" w:charSpace="0"/>
        </w:sectPr>
      </w:pPr>
    </w:p>
    <w:sdt>
      <w:sdtPr>
        <w:rPr>
          <w:rFonts w:ascii="宋体" w:hAnsi="宋体" w:eastAsia="宋体" w:cstheme="minorBidi"/>
          <w:color w:val="auto"/>
          <w:kern w:val="2"/>
          <w:sz w:val="21"/>
          <w:szCs w:val="22"/>
          <w:highlight w:val="none"/>
          <w:lang w:val="en-US" w:eastAsia="zh-CN" w:bidi="ar-SA"/>
        </w:rPr>
        <w:id w:val="147464850"/>
        <w15:color w:val="DBDBDB"/>
        <w:docPartObj>
          <w:docPartGallery w:val="Table of Contents"/>
          <w:docPartUnique/>
        </w:docPartObj>
      </w:sdtPr>
      <w:sdtEndPr>
        <w:rPr>
          <w:rFonts w:hint="eastAsia" w:ascii="宋体" w:hAnsi="宋体" w:eastAsia="宋体" w:cs="宋体"/>
          <w:color w:val="auto"/>
          <w:kern w:val="2"/>
          <w:sz w:val="24"/>
          <w:szCs w:val="24"/>
          <w:highlight w:val="none"/>
          <w:lang w:val="en-US" w:eastAsia="zh-CN" w:bidi="ar-SA"/>
        </w:rPr>
      </w:sdtEndPr>
      <w:sdtContent>
        <w:p w14:paraId="77B5A230">
          <w:pPr>
            <w:spacing w:before="0" w:beforeLines="0" w:after="0" w:afterLines="0" w:line="240" w:lineRule="auto"/>
            <w:ind w:left="0" w:leftChars="0" w:right="0" w:rightChars="0" w:firstLine="0" w:firstLineChars="0"/>
            <w:jc w:val="center"/>
            <w:rPr>
              <w:color w:val="auto"/>
              <w:highlight w:val="none"/>
            </w:rPr>
          </w:pPr>
          <w:r>
            <w:rPr>
              <w:rFonts w:eastAsia="仿宋_GB2312"/>
              <w:bCs/>
              <w:color w:val="auto"/>
              <w:sz w:val="36"/>
              <w:highlight w:val="none"/>
            </w:rPr>
            <w:t>目</w:t>
          </w:r>
          <w:r>
            <w:rPr>
              <w:rFonts w:hint="eastAsia" w:eastAsia="仿宋_GB2312"/>
              <w:bCs/>
              <w:color w:val="auto"/>
              <w:sz w:val="36"/>
              <w:highlight w:val="none"/>
            </w:rPr>
            <w:t xml:space="preserve">   次</w:t>
          </w:r>
        </w:p>
        <w:p w14:paraId="189CB248">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 w:val="0"/>
              <w:bCs w:val="0"/>
              <w:color w:val="auto"/>
              <w:kern w:val="2"/>
              <w:sz w:val="24"/>
              <w:szCs w:val="24"/>
              <w:highlight w:val="none"/>
              <w:lang w:val="en-US" w:eastAsia="zh-CN" w:bidi="ar-SA"/>
            </w:rPr>
            <w:fldChar w:fldCharType="begin" w:fldLock="1"/>
          </w:r>
          <w:r>
            <w:rPr>
              <w:rFonts w:hint="eastAsia" w:ascii="宋体" w:hAnsi="宋体" w:eastAsia="宋体" w:cs="宋体"/>
              <w:b w:val="0"/>
              <w:bCs w:val="0"/>
              <w:color w:val="auto"/>
              <w:kern w:val="2"/>
              <w:sz w:val="24"/>
              <w:szCs w:val="24"/>
              <w:highlight w:val="none"/>
              <w:lang w:val="en-US" w:eastAsia="zh-CN" w:bidi="ar-SA"/>
            </w:rPr>
            <w:instrText xml:space="preserve">TOC \o "1-3" \h \u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_Toc15509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4"/>
              <w:highlight w:val="none"/>
              <w:lang w:val="zh-CN" w:eastAsia="zh-CN" w:bidi="ar-SA"/>
            </w:rPr>
            <w:t>1</w:t>
          </w:r>
          <w:r>
            <w:rPr>
              <w:rFonts w:hint="eastAsia" w:ascii="宋体" w:hAnsi="宋体" w:eastAsia="宋体" w:cs="宋体"/>
              <w:bCs/>
              <w:color w:val="auto"/>
              <w:kern w:val="44"/>
              <w:sz w:val="21"/>
              <w:szCs w:val="24"/>
              <w:highlight w:val="none"/>
              <w:lang w:val="zh-CN"/>
            </w:rPr>
            <w:t xml:space="preserve"> </w:t>
          </w:r>
          <w:r>
            <w:rPr>
              <w:rFonts w:hint="eastAsia" w:ascii="宋体" w:hAnsi="宋体" w:eastAsia="宋体" w:cs="宋体"/>
              <w:bCs w:val="0"/>
              <w:color w:val="auto"/>
              <w:kern w:val="44"/>
              <w:sz w:val="21"/>
              <w:szCs w:val="24"/>
              <w:highlight w:val="none"/>
              <w:lang w:val="zh-CN" w:eastAsia="zh-CN" w:bidi="ar-SA"/>
            </w:rPr>
            <w:t>总则</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_Toc15509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1</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6274614F">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_Toc20751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4"/>
              <w:highlight w:val="none"/>
              <w:lang w:val="zh-CN" w:eastAsia="zh-CN" w:bidi="ar-SA"/>
            </w:rPr>
            <w:t>2</w:t>
          </w:r>
          <w:r>
            <w:rPr>
              <w:rFonts w:hint="eastAsia" w:ascii="宋体" w:hAnsi="宋体" w:eastAsia="宋体" w:cs="宋体"/>
              <w:bCs w:val="0"/>
              <w:color w:val="auto"/>
              <w:kern w:val="44"/>
              <w:sz w:val="21"/>
              <w:szCs w:val="24"/>
              <w:highlight w:val="none"/>
              <w:lang w:val="zh-CN" w:eastAsia="zh-CN" w:bidi="ar-SA"/>
            </w:rPr>
            <w:t xml:space="preserve"> </w:t>
          </w:r>
          <w:r>
            <w:rPr>
              <w:rFonts w:hint="eastAsia" w:ascii="宋体" w:hAnsi="宋体" w:eastAsia="宋体" w:cs="宋体"/>
              <w:color w:val="auto"/>
              <w:kern w:val="44"/>
              <w:sz w:val="21"/>
              <w:szCs w:val="24"/>
              <w:highlight w:val="none"/>
              <w:lang w:val="zh-CN" w:eastAsia="zh-CN"/>
            </w:rPr>
            <w:t>术语</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_Toc20751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2</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13DD81F9">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_Toc28337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4"/>
              <w:highlight w:val="none"/>
              <w:lang w:val="zh-CN" w:eastAsia="zh-CN" w:bidi="ar-SA"/>
            </w:rPr>
            <w:t>3</w:t>
          </w:r>
          <w:r>
            <w:rPr>
              <w:rFonts w:hint="eastAsia" w:ascii="宋体" w:hAnsi="宋体" w:eastAsia="宋体" w:cs="宋体"/>
              <w:color w:val="auto"/>
              <w:kern w:val="44"/>
              <w:sz w:val="21"/>
              <w:szCs w:val="21"/>
              <w:highlight w:val="none"/>
              <w:lang w:val="zh-CN"/>
            </w:rPr>
            <w:t xml:space="preserve"> </w:t>
          </w:r>
          <w:r>
            <w:rPr>
              <w:rFonts w:hint="eastAsia" w:ascii="宋体" w:hAnsi="宋体" w:eastAsia="宋体" w:cs="宋体"/>
              <w:color w:val="auto"/>
              <w:kern w:val="44"/>
              <w:sz w:val="21"/>
              <w:szCs w:val="24"/>
              <w:highlight w:val="none"/>
              <w:lang w:val="zh-CN"/>
            </w:rPr>
            <w:t>基本规定</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_Toc28337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3</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64473BFE">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_Toc31532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4"/>
              <w:highlight w:val="none"/>
              <w:lang w:val="zh-CN" w:eastAsia="zh-CN" w:bidi="ar-SA"/>
            </w:rPr>
            <w:t>4</w:t>
          </w:r>
          <w:r>
            <w:rPr>
              <w:rFonts w:hint="eastAsia" w:ascii="宋体" w:hAnsi="宋体" w:eastAsia="宋体" w:cs="宋体"/>
              <w:color w:val="auto"/>
              <w:kern w:val="44"/>
              <w:sz w:val="21"/>
              <w:szCs w:val="21"/>
              <w:highlight w:val="none"/>
              <w:lang w:val="zh-CN"/>
            </w:rPr>
            <w:t xml:space="preserve"> </w:t>
          </w:r>
          <w:r>
            <w:rPr>
              <w:rFonts w:hint="eastAsia" w:ascii="宋体" w:hAnsi="宋体" w:eastAsia="宋体" w:cs="宋体"/>
              <w:color w:val="auto"/>
              <w:kern w:val="44"/>
              <w:sz w:val="21"/>
              <w:szCs w:val="24"/>
              <w:highlight w:val="none"/>
              <w:lang w:val="zh-CN"/>
            </w:rPr>
            <w:t>材料</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_Toc31532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4</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644B633B">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_Toc6282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4.1</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en-US" w:eastAsia="zh-CN" w:bidi="ar-SA"/>
            </w:rPr>
            <w:t>结构材料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_Toc6282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443680F2">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_Toc24369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4.2</w:t>
          </w:r>
          <w:r>
            <w:rPr>
              <w:rFonts w:hint="eastAsia" w:ascii="宋体" w:hAnsi="宋体" w:eastAsia="宋体" w:cs="宋体"/>
              <w:bCs/>
              <w:color w:val="auto"/>
              <w:kern w:val="44"/>
              <w:sz w:val="21"/>
              <w:szCs w:val="22"/>
              <w:highlight w:val="none"/>
              <w:lang w:val="zh-CN" w:eastAsia="zh-CN" w:bidi="ar-SA"/>
            </w:rPr>
            <w:t xml:space="preserve"> </w:t>
          </w:r>
          <w:r>
            <w:rPr>
              <w:rFonts w:hint="eastAsia" w:ascii="宋体" w:hAnsi="宋体" w:eastAsia="宋体" w:cs="宋体"/>
              <w:bCs w:val="0"/>
              <w:color w:val="auto"/>
              <w:kern w:val="44"/>
              <w:sz w:val="21"/>
              <w:szCs w:val="22"/>
              <w:highlight w:val="none"/>
              <w:lang w:val="zh-CN" w:eastAsia="zh-CN" w:bidi="ar-SA"/>
            </w:rPr>
            <w:t>连接材料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_Toc24369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3B7A90D2">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_Toc14700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4.3</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en-US" w:eastAsia="zh-CN" w:bidi="ar-SA"/>
            </w:rPr>
            <w:t>装修材料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_Toc14700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73D3048A">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_Toc16601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4.</w:t>
          </w:r>
          <w:r>
            <w:rPr>
              <w:rFonts w:hint="eastAsia" w:ascii="宋体" w:hAnsi="宋体" w:eastAsia="宋体" w:cs="宋体"/>
              <w:b/>
              <w:bCs w:val="0"/>
              <w:color w:val="auto"/>
              <w:kern w:val="44"/>
              <w:sz w:val="21"/>
              <w:szCs w:val="22"/>
              <w:highlight w:val="none"/>
              <w:lang w:val="en-US" w:eastAsia="zh-CN" w:bidi="ar-SA"/>
            </w:rPr>
            <w:t>4</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其他材料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_Toc16601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27804F34">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_Toc17957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4"/>
              <w:highlight w:val="none"/>
              <w:lang w:val="zh-CN" w:eastAsia="zh-CN" w:bidi="ar-SA"/>
            </w:rPr>
            <w:t>5</w:t>
          </w:r>
          <w:r>
            <w:rPr>
              <w:rFonts w:hint="eastAsia" w:ascii="宋体" w:hAnsi="宋体" w:eastAsia="宋体" w:cs="宋体"/>
              <w:color w:val="auto"/>
              <w:kern w:val="44"/>
              <w:sz w:val="21"/>
              <w:szCs w:val="21"/>
              <w:highlight w:val="none"/>
              <w:lang w:val="zh-CN"/>
            </w:rPr>
            <w:t xml:space="preserve"> </w:t>
          </w:r>
          <w:r>
            <w:rPr>
              <w:rFonts w:hint="eastAsia" w:ascii="宋体" w:hAnsi="宋体" w:eastAsia="宋体" w:cs="宋体"/>
              <w:color w:val="auto"/>
              <w:kern w:val="44"/>
              <w:sz w:val="21"/>
              <w:szCs w:val="24"/>
              <w:highlight w:val="none"/>
              <w:lang w:val="zh-CN"/>
            </w:rPr>
            <w:t>建筑设计</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_Toc17957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6</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1A97216D">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_Toc2486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5.1</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一般规定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7E838D22">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_Toc4628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5.2</w:t>
          </w:r>
          <w:r>
            <w:rPr>
              <w:rFonts w:hint="eastAsia" w:ascii="宋体" w:hAnsi="宋体" w:eastAsia="宋体" w:cs="宋体"/>
              <w:bCs/>
              <w:color w:val="auto"/>
              <w:kern w:val="44"/>
              <w:sz w:val="21"/>
              <w:szCs w:val="22"/>
              <w:highlight w:val="none"/>
              <w:lang w:val="zh-CN" w:eastAsia="zh-CN" w:bidi="ar-SA"/>
            </w:rPr>
            <w:t xml:space="preserve"> </w:t>
          </w:r>
          <w:r>
            <w:rPr>
              <w:rFonts w:hint="eastAsia" w:ascii="宋体" w:hAnsi="宋体" w:eastAsia="宋体" w:cs="宋体"/>
              <w:bCs w:val="0"/>
              <w:color w:val="auto"/>
              <w:kern w:val="44"/>
              <w:sz w:val="21"/>
              <w:szCs w:val="22"/>
              <w:highlight w:val="none"/>
              <w:lang w:val="zh-CN" w:eastAsia="zh-CN" w:bidi="ar-SA"/>
            </w:rPr>
            <w:t>平面设计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_Toc4628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5C7D8791">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_Toc22388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5.3</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立面、外墙设计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_Toc22388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26B49AB9">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_Toc9433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color w:val="auto"/>
              <w:sz w:val="21"/>
              <w:szCs w:val="24"/>
              <w:highlight w:val="none"/>
            </w:rPr>
            <w:t>6</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4"/>
              <w:highlight w:val="none"/>
            </w:rPr>
            <w:t>结构设计</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_Toc9433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8</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57C607D6">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_Toc31056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rPr>
            <w:t>6.1</w:t>
          </w:r>
          <w:r>
            <w:rPr>
              <w:rFonts w:hint="eastAsia" w:ascii="宋体" w:hAnsi="宋体" w:eastAsia="宋体" w:cs="宋体"/>
              <w:bCs/>
              <w:color w:val="auto"/>
              <w:kern w:val="44"/>
              <w:sz w:val="21"/>
              <w:szCs w:val="22"/>
              <w:highlight w:val="none"/>
              <w:lang w:val="zh-CN"/>
            </w:rPr>
            <w:t xml:space="preserve"> </w:t>
          </w:r>
          <w:r>
            <w:rPr>
              <w:rFonts w:hint="eastAsia" w:ascii="宋体" w:hAnsi="宋体" w:eastAsia="宋体" w:cs="宋体"/>
              <w:color w:val="auto"/>
              <w:kern w:val="44"/>
              <w:sz w:val="21"/>
              <w:szCs w:val="22"/>
              <w:highlight w:val="none"/>
              <w:lang w:val="zh-CN"/>
            </w:rPr>
            <w:t>一般规定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_Toc31056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288FB993">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_Toc18027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rPr>
            <w:t>6.2</w:t>
          </w:r>
          <w:r>
            <w:rPr>
              <w:rFonts w:hint="eastAsia" w:ascii="宋体" w:hAnsi="宋体" w:eastAsia="宋体" w:cs="宋体"/>
              <w:color w:val="auto"/>
              <w:kern w:val="44"/>
              <w:sz w:val="21"/>
              <w:szCs w:val="22"/>
              <w:highlight w:val="none"/>
              <w:lang w:val="zh-CN"/>
            </w:rPr>
            <w:t xml:space="preserve"> </w:t>
          </w:r>
          <w:r>
            <w:rPr>
              <w:rFonts w:hint="eastAsia" w:ascii="宋体" w:hAnsi="宋体" w:eastAsia="宋体" w:cs="宋体"/>
              <w:color w:val="auto"/>
              <w:kern w:val="44"/>
              <w:sz w:val="21"/>
              <w:szCs w:val="22"/>
              <w:highlight w:val="none"/>
              <w:lang w:val="en-US" w:eastAsia="zh-CN"/>
            </w:rPr>
            <w:t>结构分析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_Toc18027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37F01EC9">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_Toc15945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rPr>
            <w:t>6.3</w:t>
          </w:r>
          <w:r>
            <w:rPr>
              <w:rFonts w:hint="eastAsia" w:cs="宋体"/>
              <w:b/>
              <w:bCs w:val="0"/>
              <w:color w:val="auto"/>
              <w:kern w:val="44"/>
              <w:sz w:val="21"/>
              <w:szCs w:val="22"/>
              <w:highlight w:val="none"/>
              <w:lang w:val="en-US" w:eastAsia="zh-CN"/>
            </w:rPr>
            <w:t xml:space="preserve"> </w:t>
          </w:r>
          <w:r>
            <w:rPr>
              <w:rFonts w:hint="eastAsia" w:ascii="宋体" w:hAnsi="宋体" w:eastAsia="宋体" w:cs="宋体"/>
              <w:color w:val="auto"/>
              <w:kern w:val="44"/>
              <w:sz w:val="21"/>
              <w:szCs w:val="22"/>
              <w:highlight w:val="none"/>
              <w:lang w:val="zh-CN"/>
            </w:rPr>
            <w:t>结构设计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_Toc15945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59D1F131">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_Toc15629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rPr>
            <w:t>6.4</w:t>
          </w:r>
          <w:r>
            <w:rPr>
              <w:rFonts w:hint="eastAsia" w:ascii="宋体" w:hAnsi="宋体" w:eastAsia="宋体" w:cs="宋体"/>
              <w:color w:val="auto"/>
              <w:sz w:val="21"/>
              <w:szCs w:val="18"/>
              <w:highlight w:val="none"/>
            </w:rPr>
            <w:t xml:space="preserve"> </w:t>
          </w:r>
          <w:r>
            <w:rPr>
              <w:rFonts w:hint="eastAsia" w:ascii="宋体" w:hAnsi="宋体" w:eastAsia="宋体" w:cs="宋体"/>
              <w:color w:val="auto"/>
              <w:kern w:val="44"/>
              <w:sz w:val="21"/>
              <w:szCs w:val="22"/>
              <w:highlight w:val="none"/>
              <w:lang w:val="zh-CN"/>
            </w:rPr>
            <w:t>连接设计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_Toc15629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37BF0032">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_Toc16853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color w:val="auto"/>
              <w:sz w:val="21"/>
              <w:szCs w:val="24"/>
              <w:highlight w:val="none"/>
            </w:rPr>
            <w:t>7</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4"/>
              <w:highlight w:val="none"/>
              <w:lang w:val="en-US"/>
            </w:rPr>
            <w:t>装修与管线设计</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_Toc16853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14</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728D2EE7">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_Toc21432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rPr>
            <w:t>7</w:t>
          </w:r>
          <w:r>
            <w:rPr>
              <w:rFonts w:hint="eastAsia" w:ascii="宋体" w:hAnsi="宋体" w:eastAsia="宋体" w:cs="宋体"/>
              <w:b/>
              <w:bCs w:val="0"/>
              <w:color w:val="auto"/>
              <w:kern w:val="44"/>
              <w:sz w:val="21"/>
              <w:szCs w:val="22"/>
              <w:highlight w:val="none"/>
            </w:rPr>
            <w:t>.1</w:t>
          </w:r>
          <w:r>
            <w:rPr>
              <w:rFonts w:hint="eastAsia" w:ascii="宋体" w:hAnsi="宋体" w:eastAsia="宋体" w:cs="宋体"/>
              <w:b/>
              <w:color w:val="auto"/>
              <w:sz w:val="21"/>
              <w:szCs w:val="18"/>
              <w:highlight w:val="none"/>
            </w:rPr>
            <w:t xml:space="preserve"> </w:t>
          </w:r>
          <w:r>
            <w:rPr>
              <w:rFonts w:hint="eastAsia" w:cs="宋体"/>
              <w:color w:val="auto"/>
              <w:sz w:val="21"/>
              <w:szCs w:val="18"/>
              <w:highlight w:val="none"/>
              <w:lang w:val="en-US" w:eastAsia="zh-CN"/>
            </w:rPr>
            <w:t>一般规定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_Toc21432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32EE1298">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_Toc21432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rPr>
            <w:t>7</w:t>
          </w:r>
          <w:r>
            <w:rPr>
              <w:rFonts w:hint="eastAsia" w:ascii="宋体" w:hAnsi="宋体" w:eastAsia="宋体" w:cs="宋体"/>
              <w:b/>
              <w:bCs w:val="0"/>
              <w:color w:val="auto"/>
              <w:kern w:val="44"/>
              <w:sz w:val="21"/>
              <w:szCs w:val="22"/>
              <w:highlight w:val="none"/>
            </w:rPr>
            <w:t>.</w:t>
          </w:r>
          <w:r>
            <w:rPr>
              <w:rFonts w:hint="eastAsia" w:cs="宋体"/>
              <w:b/>
              <w:bCs w:val="0"/>
              <w:color w:val="auto"/>
              <w:kern w:val="44"/>
              <w:sz w:val="21"/>
              <w:szCs w:val="22"/>
              <w:highlight w:val="none"/>
              <w:lang w:val="en-US" w:eastAsia="zh-CN"/>
            </w:rPr>
            <w:t>2</w:t>
          </w:r>
          <w:r>
            <w:rPr>
              <w:rFonts w:hint="eastAsia" w:ascii="宋体" w:hAnsi="宋体" w:eastAsia="宋体" w:cs="宋体"/>
              <w:color w:val="auto"/>
              <w:sz w:val="21"/>
              <w:szCs w:val="18"/>
              <w:highlight w:val="none"/>
            </w:rPr>
            <w:t xml:space="preserve"> </w:t>
          </w:r>
          <w:r>
            <w:rPr>
              <w:rFonts w:hint="eastAsia" w:ascii="宋体" w:hAnsi="宋体" w:eastAsia="宋体" w:cs="宋体"/>
              <w:color w:val="auto"/>
              <w:kern w:val="44"/>
              <w:sz w:val="21"/>
              <w:szCs w:val="22"/>
              <w:highlight w:val="none"/>
            </w:rPr>
            <w:t>装修</w:t>
          </w:r>
          <w:r>
            <w:rPr>
              <w:rFonts w:hint="eastAsia" w:ascii="宋体" w:hAnsi="宋体" w:eastAsia="宋体" w:cs="宋体"/>
              <w:color w:val="auto"/>
              <w:kern w:val="44"/>
              <w:sz w:val="21"/>
              <w:szCs w:val="22"/>
              <w:highlight w:val="none"/>
              <w:lang w:val="zh-CN"/>
            </w:rPr>
            <w:t>设计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_Toc21432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2608B70F">
          <w:pPr>
            <w:pStyle w:val="13"/>
            <w:tabs>
              <w:tab w:val="right" w:leader="dot" w:pos="9072"/>
              <w:tab w:val="clear" w:pos="6000"/>
            </w:tabs>
            <w:rPr>
              <w:rFonts w:hint="eastAsia" w:eastAsia="宋体"/>
              <w:color w:val="auto"/>
              <w:sz w:val="21"/>
              <w:szCs w:val="21"/>
              <w:highlight w:val="none"/>
              <w:lang w:val="en-US" w:eastAsia="zh-CN"/>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_Toc4881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rPr>
            <w:t>7.</w:t>
          </w:r>
          <w:r>
            <w:rPr>
              <w:rFonts w:hint="eastAsia" w:cs="宋体"/>
              <w:b/>
              <w:bCs w:val="0"/>
              <w:color w:val="auto"/>
              <w:kern w:val="44"/>
              <w:sz w:val="21"/>
              <w:szCs w:val="22"/>
              <w:highlight w:val="none"/>
              <w:lang w:val="en-US" w:eastAsia="zh-CN"/>
            </w:rPr>
            <w:t>3</w:t>
          </w:r>
          <w:r>
            <w:rPr>
              <w:rFonts w:hint="eastAsia" w:ascii="宋体" w:hAnsi="宋体" w:eastAsia="宋体" w:cs="宋体"/>
              <w:color w:val="auto"/>
              <w:sz w:val="21"/>
              <w:szCs w:val="18"/>
              <w:highlight w:val="none"/>
            </w:rPr>
            <w:t xml:space="preserve"> </w:t>
          </w:r>
          <w:r>
            <w:rPr>
              <w:rFonts w:hint="eastAsia" w:ascii="宋体" w:hAnsi="宋体" w:eastAsia="宋体" w:cs="宋体"/>
              <w:color w:val="auto"/>
              <w:kern w:val="44"/>
              <w:sz w:val="21"/>
              <w:szCs w:val="22"/>
              <w:highlight w:val="none"/>
              <w:lang w:val="zh-CN"/>
            </w:rPr>
            <w:t>设备管线设计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_Toc4881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45F67EC1">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_Toc13547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4"/>
              <w:highlight w:val="none"/>
              <w:lang w:val="zh-CN" w:eastAsia="zh-CN" w:bidi="ar-SA"/>
            </w:rPr>
            <w:t>8</w:t>
          </w:r>
          <w:r>
            <w:rPr>
              <w:rFonts w:hint="eastAsia" w:ascii="宋体" w:hAnsi="宋体" w:eastAsia="宋体" w:cs="宋体"/>
              <w:color w:val="auto"/>
              <w:kern w:val="44"/>
              <w:sz w:val="21"/>
              <w:szCs w:val="21"/>
              <w:highlight w:val="none"/>
              <w:lang w:val="zh-CN"/>
            </w:rPr>
            <w:t xml:space="preserve"> </w:t>
          </w:r>
          <w:r>
            <w:rPr>
              <w:rFonts w:hint="eastAsia" w:ascii="宋体" w:hAnsi="宋体" w:eastAsia="宋体" w:cs="宋体"/>
              <w:color w:val="auto"/>
              <w:kern w:val="44"/>
              <w:sz w:val="21"/>
              <w:szCs w:val="24"/>
              <w:highlight w:val="none"/>
              <w:lang w:val="en-US" w:eastAsia="zh-CN"/>
            </w:rPr>
            <w:t>模块</w:t>
          </w:r>
          <w:r>
            <w:rPr>
              <w:rFonts w:hint="eastAsia" w:ascii="宋体" w:hAnsi="宋体" w:eastAsia="宋体" w:cs="宋体"/>
              <w:color w:val="auto"/>
              <w:kern w:val="44"/>
              <w:sz w:val="21"/>
              <w:szCs w:val="24"/>
              <w:highlight w:val="none"/>
              <w:lang w:val="zh-CN"/>
            </w:rPr>
            <w:t>生产与运输</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_Toc13547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16</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71978FE9">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_Toc17678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8.1</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一般规定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_Toc17678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1D07BB11">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_Toc1826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8.2</w:t>
          </w:r>
          <w:r>
            <w:rPr>
              <w:rFonts w:hint="eastAsia" w:ascii="宋体" w:hAnsi="宋体" w:eastAsia="宋体" w:cs="宋体"/>
              <w:bCs/>
              <w:color w:val="auto"/>
              <w:kern w:val="44"/>
              <w:sz w:val="21"/>
              <w:szCs w:val="22"/>
              <w:highlight w:val="none"/>
              <w:lang w:val="zh-CN" w:eastAsia="zh-CN" w:bidi="ar-SA"/>
            </w:rPr>
            <w:t xml:space="preserve"> </w:t>
          </w:r>
          <w:r>
            <w:rPr>
              <w:rFonts w:hint="eastAsia" w:ascii="宋体" w:hAnsi="宋体" w:eastAsia="宋体" w:cs="宋体"/>
              <w:bCs w:val="0"/>
              <w:color w:val="auto"/>
              <w:kern w:val="44"/>
              <w:sz w:val="21"/>
              <w:szCs w:val="22"/>
              <w:highlight w:val="none"/>
              <w:lang w:val="zh-CN" w:eastAsia="zh-CN" w:bidi="ar-SA"/>
            </w:rPr>
            <w:t>生产准备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_Toc1826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73075C5B">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_Toc16577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8.3</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en-US" w:eastAsia="zh-CN" w:bidi="ar-SA"/>
            </w:rPr>
            <w:t>混凝土模块</w:t>
          </w:r>
          <w:r>
            <w:rPr>
              <w:rFonts w:hint="eastAsia" w:ascii="宋体" w:hAnsi="宋体" w:eastAsia="宋体" w:cs="宋体"/>
              <w:bCs w:val="0"/>
              <w:color w:val="auto"/>
              <w:kern w:val="44"/>
              <w:sz w:val="21"/>
              <w:szCs w:val="22"/>
              <w:highlight w:val="none"/>
              <w:lang w:val="zh-CN" w:eastAsia="zh-CN" w:bidi="ar-SA"/>
            </w:rPr>
            <w:t>生产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_Toc16577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774BE1E2">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_Toc5762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8.4</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装修与机电集成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_Toc5762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64D67DC8">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_Toc18128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8.5</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运输与堆放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_Toc18128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3B707C96">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_Toc13538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4"/>
              <w:highlight w:val="none"/>
              <w:lang w:val="zh-CN" w:eastAsia="zh-CN" w:bidi="ar-SA"/>
            </w:rPr>
            <w:t>9</w:t>
          </w:r>
          <w:r>
            <w:rPr>
              <w:rFonts w:hint="eastAsia" w:ascii="宋体" w:hAnsi="宋体" w:eastAsia="宋体" w:cs="宋体"/>
              <w:color w:val="auto"/>
              <w:kern w:val="44"/>
              <w:sz w:val="21"/>
              <w:szCs w:val="21"/>
              <w:highlight w:val="none"/>
              <w:lang w:val="zh-CN"/>
            </w:rPr>
            <w:t xml:space="preserve"> </w:t>
          </w:r>
          <w:r>
            <w:rPr>
              <w:rFonts w:hint="eastAsia" w:ascii="宋体" w:hAnsi="宋体" w:eastAsia="宋体" w:cs="宋体"/>
              <w:color w:val="auto"/>
              <w:kern w:val="44"/>
              <w:sz w:val="21"/>
              <w:szCs w:val="24"/>
              <w:highlight w:val="none"/>
              <w:lang w:val="zh-CN"/>
            </w:rPr>
            <w:t>施工</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_Toc13538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20</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6B4D7BC7">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_Toc29351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9.1</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一般规定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_Toc29351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299E11BA">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_Toc21144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9.2</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安装准备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_Toc21144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0A4B0201">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_Toc4981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9.3</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安装与连接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_Toc4981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1A7C9920">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_Toc27009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4"/>
              <w:highlight w:val="none"/>
              <w:lang w:val="zh-CN" w:eastAsia="zh-CN" w:bidi="ar-SA"/>
            </w:rPr>
            <w:t>10</w:t>
          </w:r>
          <w:r>
            <w:rPr>
              <w:rFonts w:hint="eastAsia" w:ascii="宋体" w:hAnsi="宋体" w:eastAsia="宋体" w:cs="宋体"/>
              <w:color w:val="auto"/>
              <w:kern w:val="44"/>
              <w:sz w:val="21"/>
              <w:szCs w:val="21"/>
              <w:highlight w:val="none"/>
              <w:lang w:val="zh-CN"/>
            </w:rPr>
            <w:t xml:space="preserve"> </w:t>
          </w:r>
          <w:r>
            <w:rPr>
              <w:rFonts w:hint="eastAsia" w:ascii="宋体" w:hAnsi="宋体" w:eastAsia="宋体" w:cs="宋体"/>
              <w:color w:val="auto"/>
              <w:kern w:val="44"/>
              <w:sz w:val="21"/>
              <w:szCs w:val="24"/>
              <w:highlight w:val="none"/>
              <w:lang w:val="zh-CN"/>
            </w:rPr>
            <w:t>质量验收</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_Toc27009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22</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481D41EC">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_Toc11619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10.1</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zh-CN" w:eastAsia="zh-CN" w:bidi="ar-SA"/>
            </w:rPr>
            <w:t>一般规定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_Toc11619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376DFEC6">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_Toc8156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10.</w:t>
          </w:r>
          <w:r>
            <w:rPr>
              <w:rFonts w:hint="eastAsia" w:ascii="宋体" w:hAnsi="宋体" w:eastAsia="宋体" w:cs="宋体"/>
              <w:b/>
              <w:bCs w:val="0"/>
              <w:color w:val="auto"/>
              <w:kern w:val="44"/>
              <w:sz w:val="21"/>
              <w:szCs w:val="22"/>
              <w:highlight w:val="none"/>
              <w:lang w:val="en-US" w:eastAsia="zh-CN" w:bidi="ar-SA"/>
            </w:rPr>
            <w:t>2</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en-US" w:eastAsia="zh-CN" w:bidi="ar-SA"/>
            </w:rPr>
            <w:t>混凝土模块验收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_Toc8156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6C430C5A">
          <w:pPr>
            <w:pStyle w:val="13"/>
            <w:tabs>
              <w:tab w:val="right" w:leader="dot" w:pos="9072"/>
              <w:tab w:val="clear" w:pos="6000"/>
            </w:tabs>
            <w:rPr>
              <w:rFonts w:hint="eastAsia" w:ascii="宋体" w:hAnsi="宋体" w:eastAsia="宋体" w:cs="宋体"/>
              <w:color w:val="auto"/>
              <w:sz w:val="21"/>
              <w:szCs w:val="21"/>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_Toc16009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b/>
              <w:bCs w:val="0"/>
              <w:color w:val="auto"/>
              <w:kern w:val="44"/>
              <w:sz w:val="21"/>
              <w:szCs w:val="22"/>
              <w:highlight w:val="none"/>
              <w:lang w:val="zh-CN" w:eastAsia="zh-CN" w:bidi="ar-SA"/>
            </w:rPr>
            <w:t>10.</w:t>
          </w:r>
          <w:r>
            <w:rPr>
              <w:rFonts w:hint="eastAsia" w:ascii="宋体" w:hAnsi="宋体" w:eastAsia="宋体" w:cs="宋体"/>
              <w:b/>
              <w:bCs w:val="0"/>
              <w:color w:val="auto"/>
              <w:kern w:val="44"/>
              <w:sz w:val="21"/>
              <w:szCs w:val="22"/>
              <w:highlight w:val="none"/>
              <w:lang w:val="en-US" w:eastAsia="zh-CN" w:bidi="ar-SA"/>
            </w:rPr>
            <w:t>3</w:t>
          </w:r>
          <w:r>
            <w:rPr>
              <w:rFonts w:hint="eastAsia" w:ascii="宋体" w:hAnsi="宋体" w:eastAsia="宋体" w:cs="宋体"/>
              <w:color w:val="auto"/>
              <w:sz w:val="21"/>
              <w:szCs w:val="18"/>
              <w:highlight w:val="none"/>
            </w:rPr>
            <w:t xml:space="preserve"> </w:t>
          </w:r>
          <w:r>
            <w:rPr>
              <w:rFonts w:hint="eastAsia" w:ascii="宋体" w:hAnsi="宋体" w:eastAsia="宋体" w:cs="宋体"/>
              <w:bCs w:val="0"/>
              <w:color w:val="auto"/>
              <w:kern w:val="44"/>
              <w:sz w:val="21"/>
              <w:szCs w:val="22"/>
              <w:highlight w:val="none"/>
              <w:lang w:val="en-US" w:eastAsia="zh-CN" w:bidi="ar-SA"/>
            </w:rPr>
            <w:t>施工验收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fldLock="1"/>
          </w:r>
          <w:r>
            <w:rPr>
              <w:rFonts w:hint="eastAsia" w:ascii="宋体" w:hAnsi="宋体" w:eastAsia="宋体" w:cs="宋体"/>
              <w:color w:val="auto"/>
              <w:sz w:val="21"/>
              <w:szCs w:val="21"/>
              <w:highlight w:val="none"/>
            </w:rPr>
            <w:instrText xml:space="preserve"> PAGEREF _Toc16009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453B8577">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_Toc25068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color w:val="auto"/>
              <w:sz w:val="21"/>
              <w:szCs w:val="20"/>
              <w:highlight w:val="none"/>
              <w:lang w:val="zh-CN"/>
            </w:rPr>
            <w:t>本</w:t>
          </w:r>
          <w:r>
            <w:rPr>
              <w:rFonts w:hint="eastAsia" w:ascii="宋体" w:hAnsi="宋体" w:eastAsia="宋体" w:cs="宋体"/>
              <w:color w:val="auto"/>
              <w:sz w:val="21"/>
              <w:szCs w:val="20"/>
              <w:highlight w:val="none"/>
              <w:lang w:val="en-US" w:eastAsia="zh-CN"/>
            </w:rPr>
            <w:t>规程</w:t>
          </w:r>
          <w:r>
            <w:rPr>
              <w:rFonts w:hint="eastAsia" w:ascii="宋体" w:hAnsi="宋体" w:eastAsia="宋体" w:cs="宋体"/>
              <w:color w:val="auto"/>
              <w:sz w:val="21"/>
              <w:szCs w:val="20"/>
              <w:highlight w:val="none"/>
              <w:lang w:val="zh-CN"/>
            </w:rPr>
            <w:t>用词说明</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_Toc25068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26</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1F4582DB">
          <w:pPr>
            <w:pStyle w:val="12"/>
            <w:tabs>
              <w:tab w:val="right" w:leader="dot" w:pos="9072"/>
              <w:tab w:val="clear" w:pos="8296"/>
            </w:tabs>
            <w:rPr>
              <w:rFonts w:hint="eastAsia" w:ascii="宋体" w:hAnsi="宋体" w:eastAsia="宋体" w:cs="宋体"/>
              <w:color w:val="auto"/>
              <w:sz w:val="21"/>
              <w:szCs w:val="20"/>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_Toc25575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color w:val="auto"/>
              <w:sz w:val="21"/>
              <w:szCs w:val="20"/>
              <w:highlight w:val="none"/>
              <w:lang w:val="zh-CN" w:eastAsia="zh-CN"/>
            </w:rPr>
            <w:t>引用标准名录</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_Toc25575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27</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6D5A2A57">
          <w:pPr>
            <w:pStyle w:val="12"/>
            <w:tabs>
              <w:tab w:val="right" w:leader="dot" w:pos="9072"/>
              <w:tab w:val="clear" w:pos="8296"/>
            </w:tabs>
            <w:rPr>
              <w:color w:val="auto"/>
              <w:highlight w:val="none"/>
            </w:rPr>
          </w:pPr>
          <w:r>
            <w:rPr>
              <w:rFonts w:hint="eastAsia" w:ascii="宋体" w:hAnsi="宋体" w:eastAsia="宋体" w:cs="宋体"/>
              <w:bCs w:val="0"/>
              <w:color w:val="auto"/>
              <w:kern w:val="2"/>
              <w:sz w:val="21"/>
              <w:szCs w:val="21"/>
              <w:highlight w:val="none"/>
              <w:lang w:val="en-US" w:eastAsia="zh-CN" w:bidi="ar-SA"/>
            </w:rPr>
            <w:fldChar w:fldCharType="begin" w:fldLock="1"/>
          </w:r>
          <w:r>
            <w:rPr>
              <w:rFonts w:hint="eastAsia" w:ascii="宋体" w:hAnsi="宋体" w:eastAsia="宋体" w:cs="宋体"/>
              <w:bCs w:val="0"/>
              <w:color w:val="auto"/>
              <w:kern w:val="2"/>
              <w:sz w:val="21"/>
              <w:szCs w:val="21"/>
              <w:highlight w:val="none"/>
              <w:lang w:val="en-US" w:eastAsia="zh-CN" w:bidi="ar-SA"/>
            </w:rPr>
            <w:instrText xml:space="preserve"> HYPERLINK \l _Toc14210 </w:instrText>
          </w:r>
          <w:r>
            <w:rPr>
              <w:rFonts w:hint="eastAsia" w:ascii="宋体" w:hAnsi="宋体" w:eastAsia="宋体" w:cs="宋体"/>
              <w:bCs w:val="0"/>
              <w:color w:val="auto"/>
              <w:kern w:val="2"/>
              <w:sz w:val="21"/>
              <w:szCs w:val="21"/>
              <w:highlight w:val="none"/>
              <w:lang w:val="en-US" w:eastAsia="zh-CN" w:bidi="ar-SA"/>
            </w:rPr>
            <w:fldChar w:fldCharType="separate"/>
          </w:r>
          <w:r>
            <w:rPr>
              <w:rFonts w:hint="eastAsia" w:ascii="宋体" w:hAnsi="宋体" w:eastAsia="宋体" w:cs="宋体"/>
              <w:color w:val="auto"/>
              <w:sz w:val="21"/>
              <w:szCs w:val="20"/>
              <w:highlight w:val="none"/>
              <w:lang w:val="en-US" w:eastAsia="zh-CN"/>
            </w:rPr>
            <w:t>条文说明</w:t>
          </w:r>
          <w:r>
            <w:rPr>
              <w:rFonts w:hint="eastAsia" w:ascii="宋体" w:hAnsi="宋体" w:eastAsia="宋体" w:cs="宋体"/>
              <w:color w:val="auto"/>
              <w:sz w:val="21"/>
              <w:szCs w:val="20"/>
              <w:highlight w:val="none"/>
            </w:rPr>
            <w:tab/>
          </w:r>
          <w:r>
            <w:rPr>
              <w:rFonts w:hint="eastAsia" w:ascii="宋体" w:hAnsi="宋体" w:eastAsia="宋体" w:cs="宋体"/>
              <w:color w:val="auto"/>
              <w:sz w:val="21"/>
              <w:szCs w:val="20"/>
              <w:highlight w:val="none"/>
            </w:rPr>
            <w:fldChar w:fldCharType="begin" w:fldLock="1"/>
          </w:r>
          <w:r>
            <w:rPr>
              <w:rFonts w:hint="eastAsia" w:ascii="宋体" w:hAnsi="宋体" w:eastAsia="宋体" w:cs="宋体"/>
              <w:color w:val="auto"/>
              <w:sz w:val="21"/>
              <w:szCs w:val="20"/>
              <w:highlight w:val="none"/>
            </w:rPr>
            <w:instrText xml:space="preserve"> PAGEREF _Toc14210 \h </w:instrText>
          </w:r>
          <w:r>
            <w:rPr>
              <w:rFonts w:hint="eastAsia" w:ascii="宋体" w:hAnsi="宋体" w:eastAsia="宋体" w:cs="宋体"/>
              <w:color w:val="auto"/>
              <w:sz w:val="21"/>
              <w:szCs w:val="20"/>
              <w:highlight w:val="none"/>
            </w:rPr>
            <w:fldChar w:fldCharType="separate"/>
          </w:r>
          <w:r>
            <w:rPr>
              <w:rFonts w:hint="eastAsia" w:ascii="宋体" w:hAnsi="宋体" w:eastAsia="宋体" w:cs="宋体"/>
              <w:color w:val="auto"/>
              <w:sz w:val="21"/>
              <w:szCs w:val="20"/>
              <w:highlight w:val="none"/>
            </w:rPr>
            <w:t>28</w:t>
          </w:r>
          <w:r>
            <w:rPr>
              <w:rFonts w:hint="eastAsia" w:ascii="宋体" w:hAnsi="宋体" w:eastAsia="宋体" w:cs="宋体"/>
              <w:color w:val="auto"/>
              <w:sz w:val="21"/>
              <w:szCs w:val="20"/>
              <w:highlight w:val="none"/>
            </w:rPr>
            <w:fldChar w:fldCharType="end"/>
          </w:r>
          <w:r>
            <w:rPr>
              <w:rFonts w:hint="eastAsia" w:ascii="宋体" w:hAnsi="宋体" w:eastAsia="宋体" w:cs="宋体"/>
              <w:bCs w:val="0"/>
              <w:color w:val="auto"/>
              <w:kern w:val="2"/>
              <w:sz w:val="21"/>
              <w:szCs w:val="21"/>
              <w:highlight w:val="none"/>
              <w:lang w:val="en-US" w:eastAsia="zh-CN" w:bidi="ar-SA"/>
            </w:rPr>
            <w:fldChar w:fldCharType="end"/>
          </w:r>
        </w:p>
        <w:p w14:paraId="450C495D">
          <w:pPr>
            <w:pStyle w:val="12"/>
            <w:tabs>
              <w:tab w:val="right" w:leader="dot" w:pos="9072"/>
              <w:tab w:val="clear" w:pos="8296"/>
            </w:tabs>
            <w:rPr>
              <w:rFonts w:hint="eastAsia" w:ascii="宋体" w:hAnsi="宋体" w:eastAsia="宋体" w:cs="宋体"/>
              <w:bCs w:val="0"/>
              <w:color w:val="auto"/>
              <w:kern w:val="2"/>
              <w:szCs w:val="24"/>
              <w:highlight w:val="none"/>
              <w:lang w:val="en-US" w:eastAsia="zh-CN" w:bidi="ar-SA"/>
            </w:rPr>
          </w:pPr>
          <w:r>
            <w:rPr>
              <w:rFonts w:hint="eastAsia" w:ascii="宋体" w:hAnsi="宋体" w:eastAsia="宋体" w:cs="宋体"/>
              <w:bCs w:val="0"/>
              <w:color w:val="auto"/>
              <w:kern w:val="2"/>
              <w:szCs w:val="24"/>
              <w:highlight w:val="none"/>
              <w:lang w:val="en-US" w:eastAsia="zh-CN" w:bidi="ar-SA"/>
            </w:rPr>
            <w:fldChar w:fldCharType="end"/>
          </w:r>
        </w:p>
        <w:p w14:paraId="679A6C40">
          <w:pPr>
            <w:pStyle w:val="12"/>
            <w:tabs>
              <w:tab w:val="right" w:leader="dot" w:pos="9072"/>
              <w:tab w:val="clear" w:pos="8296"/>
            </w:tabs>
            <w:rPr>
              <w:rFonts w:hint="eastAsia" w:ascii="宋体" w:hAnsi="宋体" w:eastAsia="宋体" w:cs="宋体"/>
              <w:bCs w:val="0"/>
              <w:color w:val="auto"/>
              <w:kern w:val="2"/>
              <w:szCs w:val="24"/>
              <w:highlight w:val="none"/>
              <w:lang w:val="en-US" w:eastAsia="zh-CN" w:bidi="ar-SA"/>
            </w:rPr>
          </w:pPr>
        </w:p>
        <w:p w14:paraId="15AD738B">
          <w:pPr>
            <w:pStyle w:val="12"/>
            <w:tabs>
              <w:tab w:val="right" w:leader="dot" w:pos="9072"/>
              <w:tab w:val="clear" w:pos="8296"/>
            </w:tabs>
            <w:rPr>
              <w:rFonts w:hint="eastAsia" w:ascii="宋体" w:hAnsi="宋体" w:eastAsia="宋体" w:cs="宋体"/>
              <w:color w:val="auto"/>
              <w:kern w:val="2"/>
              <w:sz w:val="24"/>
              <w:szCs w:val="24"/>
              <w:highlight w:val="none"/>
              <w:lang w:val="en-US" w:eastAsia="zh-CN" w:bidi="ar-SA"/>
            </w:rPr>
          </w:pPr>
        </w:p>
        <w:p w14:paraId="0167CB2C">
          <w:pPr>
            <w:pStyle w:val="12"/>
            <w:tabs>
              <w:tab w:val="right" w:leader="dot" w:pos="9072"/>
              <w:tab w:val="clear" w:pos="8296"/>
            </w:tabs>
            <w:rPr>
              <w:rFonts w:ascii="宋体" w:hAnsi="宋体" w:eastAsia="宋体" w:cs="Times New Roman"/>
              <w:color w:val="auto"/>
              <w:kern w:val="2"/>
              <w:sz w:val="36"/>
              <w:szCs w:val="36"/>
              <w:highlight w:val="none"/>
              <w:lang w:val="en-US" w:eastAsia="zh-CN" w:bidi="ar-SA"/>
            </w:rPr>
          </w:pPr>
        </w:p>
      </w:sdtContent>
    </w:sdt>
    <w:p w14:paraId="05B7EC48">
      <w:pPr>
        <w:wordWrap/>
        <w:overflowPunct/>
        <w:topLinePunct w:val="0"/>
        <w:bidi w:val="0"/>
        <w:snapToGrid w:val="0"/>
        <w:spacing w:line="300" w:lineRule="auto"/>
        <w:ind w:firstLine="720" w:firstLineChars="200"/>
        <w:jc w:val="center"/>
        <w:outlineLvl w:val="0"/>
        <w:rPr>
          <w:rFonts w:hint="eastAsia" w:ascii="宋体" w:hAnsi="宋体" w:cs="Times New Roman"/>
          <w:color w:val="auto"/>
          <w:sz w:val="36"/>
          <w:szCs w:val="36"/>
          <w:highlight w:val="none"/>
        </w:rPr>
      </w:pPr>
      <w:r>
        <w:rPr>
          <w:rFonts w:hint="eastAsia" w:ascii="宋体" w:hAnsi="宋体" w:cs="Times New Roman"/>
          <w:color w:val="auto"/>
          <w:sz w:val="36"/>
          <w:szCs w:val="36"/>
          <w:highlight w:val="none"/>
        </w:rPr>
        <w:t>Contents</w:t>
      </w:r>
    </w:p>
    <w:p w14:paraId="220D85A9">
      <w:pPr>
        <w:wordWrap/>
        <w:overflowPunct/>
        <w:topLinePunct w:val="0"/>
        <w:bidi w:val="0"/>
        <w:snapToGrid w:val="0"/>
        <w:spacing w:line="300" w:lineRule="auto"/>
        <w:ind w:firstLine="480" w:firstLineChars="200"/>
        <w:jc w:val="left"/>
        <w:outlineLvl w:val="0"/>
        <w:rPr>
          <w:rFonts w:hint="eastAsia" w:ascii="宋体" w:hAnsi="宋体" w:cs="Times New Roman"/>
          <w:color w:val="auto"/>
          <w:szCs w:val="24"/>
          <w:highlight w:val="none"/>
        </w:rPr>
      </w:pPr>
    </w:p>
    <w:p w14:paraId="31AA8DEA">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1</w:t>
      </w:r>
      <w:r>
        <w:rPr>
          <w:rFonts w:hint="eastAsia"/>
          <w:color w:val="auto"/>
          <w:sz w:val="21"/>
          <w:szCs w:val="20"/>
          <w:highlight w:val="none"/>
        </w:rPr>
        <w:t xml:space="preserve"> General provisions</w:t>
      </w:r>
      <w:r>
        <w:rPr>
          <w:rFonts w:hint="eastAsia" w:ascii="宋体" w:hAnsi="宋体" w:eastAsia="宋体" w:cs="宋体"/>
          <w:color w:val="auto"/>
          <w:sz w:val="21"/>
          <w:szCs w:val="20"/>
          <w:highlight w:val="none"/>
        </w:rPr>
        <w:tab/>
      </w:r>
      <w:r>
        <w:rPr>
          <w:rFonts w:hint="eastAsia"/>
          <w:color w:val="auto"/>
          <w:sz w:val="21"/>
          <w:szCs w:val="20"/>
          <w:highlight w:val="none"/>
        </w:rPr>
        <w:t xml:space="preserve"> 1</w:t>
      </w:r>
    </w:p>
    <w:p w14:paraId="1C58E202">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2</w:t>
      </w:r>
      <w:r>
        <w:rPr>
          <w:rFonts w:hint="eastAsia"/>
          <w:color w:val="auto"/>
          <w:sz w:val="21"/>
          <w:szCs w:val="20"/>
          <w:highlight w:val="none"/>
        </w:rPr>
        <w:t xml:space="preserve"> Terms </w:t>
      </w:r>
      <w:r>
        <w:rPr>
          <w:rFonts w:hint="eastAsia" w:ascii="宋体" w:hAnsi="宋体" w:eastAsia="宋体" w:cs="宋体"/>
          <w:color w:val="auto"/>
          <w:sz w:val="21"/>
          <w:szCs w:val="20"/>
          <w:highlight w:val="none"/>
        </w:rPr>
        <w:tab/>
      </w:r>
      <w:r>
        <w:rPr>
          <w:rFonts w:hint="eastAsia"/>
          <w:color w:val="auto"/>
          <w:sz w:val="21"/>
          <w:szCs w:val="20"/>
          <w:highlight w:val="none"/>
        </w:rPr>
        <w:t>2</w:t>
      </w:r>
    </w:p>
    <w:p w14:paraId="47D90B37">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3</w:t>
      </w:r>
      <w:r>
        <w:rPr>
          <w:rFonts w:hint="eastAsia"/>
          <w:color w:val="auto"/>
          <w:sz w:val="21"/>
          <w:szCs w:val="20"/>
          <w:highlight w:val="none"/>
        </w:rPr>
        <w:t xml:space="preserve"> Basic requirements</w:t>
      </w:r>
      <w:r>
        <w:rPr>
          <w:rFonts w:hint="eastAsia" w:ascii="宋体" w:hAnsi="宋体" w:eastAsia="宋体" w:cs="宋体"/>
          <w:color w:val="auto"/>
          <w:sz w:val="21"/>
          <w:szCs w:val="20"/>
          <w:highlight w:val="none"/>
        </w:rPr>
        <w:tab/>
      </w:r>
      <w:r>
        <w:rPr>
          <w:rFonts w:hint="eastAsia"/>
          <w:color w:val="auto"/>
          <w:sz w:val="21"/>
          <w:szCs w:val="20"/>
          <w:highlight w:val="none"/>
        </w:rPr>
        <w:t xml:space="preserve"> 3</w:t>
      </w:r>
    </w:p>
    <w:p w14:paraId="7538AB8E">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4</w:t>
      </w:r>
      <w:r>
        <w:rPr>
          <w:rFonts w:hint="eastAsia"/>
          <w:color w:val="auto"/>
          <w:sz w:val="21"/>
          <w:szCs w:val="20"/>
          <w:highlight w:val="none"/>
        </w:rPr>
        <w:t xml:space="preserve"> Materials</w:t>
      </w:r>
      <w:r>
        <w:rPr>
          <w:rFonts w:hint="eastAsia" w:ascii="宋体" w:hAnsi="宋体" w:eastAsia="宋体" w:cs="宋体"/>
          <w:color w:val="auto"/>
          <w:sz w:val="21"/>
          <w:szCs w:val="20"/>
          <w:highlight w:val="none"/>
        </w:rPr>
        <w:tab/>
      </w:r>
      <w:r>
        <w:rPr>
          <w:rFonts w:hint="eastAsia"/>
          <w:color w:val="auto"/>
          <w:sz w:val="21"/>
          <w:szCs w:val="20"/>
          <w:highlight w:val="none"/>
        </w:rPr>
        <w:t xml:space="preserve"> 4</w:t>
      </w:r>
    </w:p>
    <w:p w14:paraId="0F6BC731">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4.1</w:t>
      </w:r>
      <w:r>
        <w:rPr>
          <w:rFonts w:hint="eastAsia"/>
          <w:color w:val="auto"/>
          <w:sz w:val="21"/>
          <w:szCs w:val="20"/>
          <w:highlight w:val="none"/>
        </w:rPr>
        <w:t xml:space="preserve"> Structural materials </w:t>
      </w:r>
      <w:r>
        <w:rPr>
          <w:rFonts w:hint="eastAsia" w:ascii="宋体" w:hAnsi="宋体" w:eastAsia="宋体" w:cs="宋体"/>
          <w:color w:val="auto"/>
          <w:sz w:val="21"/>
          <w:szCs w:val="20"/>
          <w:highlight w:val="none"/>
        </w:rPr>
        <w:tab/>
      </w:r>
      <w:r>
        <w:rPr>
          <w:rFonts w:hint="eastAsia"/>
          <w:color w:val="auto"/>
          <w:sz w:val="21"/>
          <w:szCs w:val="20"/>
          <w:highlight w:val="none"/>
        </w:rPr>
        <w:t>4</w:t>
      </w:r>
    </w:p>
    <w:p w14:paraId="19B1B63B">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4.2</w:t>
      </w:r>
      <w:r>
        <w:rPr>
          <w:rFonts w:hint="eastAsia"/>
          <w:color w:val="auto"/>
          <w:sz w:val="21"/>
          <w:szCs w:val="20"/>
          <w:highlight w:val="none"/>
        </w:rPr>
        <w:t xml:space="preserve"> Connection materials</w:t>
      </w:r>
      <w:r>
        <w:rPr>
          <w:rFonts w:hint="eastAsia" w:ascii="宋体" w:hAnsi="宋体" w:eastAsia="宋体" w:cs="宋体"/>
          <w:color w:val="auto"/>
          <w:sz w:val="21"/>
          <w:szCs w:val="20"/>
          <w:highlight w:val="none"/>
        </w:rPr>
        <w:tab/>
      </w:r>
      <w:r>
        <w:rPr>
          <w:rFonts w:hint="eastAsia"/>
          <w:color w:val="auto"/>
          <w:sz w:val="21"/>
          <w:szCs w:val="20"/>
          <w:highlight w:val="none"/>
        </w:rPr>
        <w:t xml:space="preserve"> 4</w:t>
      </w:r>
    </w:p>
    <w:p w14:paraId="0976071A">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4.3</w:t>
      </w:r>
      <w:r>
        <w:rPr>
          <w:rFonts w:hint="eastAsia"/>
          <w:color w:val="auto"/>
          <w:sz w:val="21"/>
          <w:szCs w:val="20"/>
          <w:highlight w:val="none"/>
        </w:rPr>
        <w:t xml:space="preserve"> Decoration materials </w:t>
      </w:r>
      <w:r>
        <w:rPr>
          <w:rFonts w:hint="eastAsia" w:ascii="宋体" w:hAnsi="宋体" w:eastAsia="宋体" w:cs="宋体"/>
          <w:color w:val="auto"/>
          <w:sz w:val="21"/>
          <w:szCs w:val="20"/>
          <w:highlight w:val="none"/>
        </w:rPr>
        <w:tab/>
      </w:r>
      <w:r>
        <w:rPr>
          <w:rFonts w:hint="eastAsia"/>
          <w:color w:val="auto"/>
          <w:sz w:val="21"/>
          <w:szCs w:val="20"/>
          <w:highlight w:val="none"/>
        </w:rPr>
        <w:t>5</w:t>
      </w:r>
    </w:p>
    <w:p w14:paraId="248250EB">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4.4</w:t>
      </w:r>
      <w:r>
        <w:rPr>
          <w:rFonts w:hint="eastAsia"/>
          <w:color w:val="auto"/>
          <w:sz w:val="21"/>
          <w:szCs w:val="20"/>
          <w:highlight w:val="none"/>
        </w:rPr>
        <w:t xml:space="preserve"> Other materials</w:t>
      </w:r>
      <w:r>
        <w:rPr>
          <w:rFonts w:hint="eastAsia" w:ascii="宋体" w:hAnsi="宋体" w:eastAsia="宋体" w:cs="宋体"/>
          <w:color w:val="auto"/>
          <w:sz w:val="21"/>
          <w:szCs w:val="20"/>
          <w:highlight w:val="none"/>
        </w:rPr>
        <w:tab/>
      </w:r>
      <w:r>
        <w:rPr>
          <w:rFonts w:hint="eastAsia"/>
          <w:color w:val="auto"/>
          <w:sz w:val="21"/>
          <w:szCs w:val="20"/>
          <w:highlight w:val="none"/>
        </w:rPr>
        <w:t xml:space="preserve"> 5</w:t>
      </w:r>
    </w:p>
    <w:p w14:paraId="4108D426">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5</w:t>
      </w:r>
      <w:r>
        <w:rPr>
          <w:rFonts w:hint="eastAsia"/>
          <w:color w:val="auto"/>
          <w:sz w:val="21"/>
          <w:szCs w:val="20"/>
          <w:highlight w:val="none"/>
        </w:rPr>
        <w:t xml:space="preserve"> Architectural design</w:t>
      </w:r>
      <w:r>
        <w:rPr>
          <w:rFonts w:hint="eastAsia" w:ascii="宋体" w:hAnsi="宋体" w:eastAsia="宋体" w:cs="宋体"/>
          <w:color w:val="auto"/>
          <w:sz w:val="21"/>
          <w:szCs w:val="20"/>
          <w:highlight w:val="none"/>
        </w:rPr>
        <w:tab/>
      </w:r>
      <w:r>
        <w:rPr>
          <w:rFonts w:hint="eastAsia"/>
          <w:color w:val="auto"/>
          <w:sz w:val="21"/>
          <w:szCs w:val="20"/>
          <w:highlight w:val="none"/>
        </w:rPr>
        <w:t xml:space="preserve"> 6</w:t>
      </w:r>
    </w:p>
    <w:p w14:paraId="13ECE67F">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5.1</w:t>
      </w:r>
      <w:r>
        <w:rPr>
          <w:rFonts w:hint="eastAsia"/>
          <w:color w:val="auto"/>
          <w:sz w:val="21"/>
          <w:szCs w:val="20"/>
          <w:highlight w:val="none"/>
        </w:rPr>
        <w:t xml:space="preserve"> General requirements </w:t>
      </w:r>
      <w:r>
        <w:rPr>
          <w:rFonts w:hint="eastAsia" w:ascii="宋体" w:hAnsi="宋体" w:eastAsia="宋体" w:cs="宋体"/>
          <w:color w:val="auto"/>
          <w:sz w:val="21"/>
          <w:szCs w:val="20"/>
          <w:highlight w:val="none"/>
        </w:rPr>
        <w:tab/>
      </w:r>
      <w:r>
        <w:rPr>
          <w:rFonts w:hint="eastAsia"/>
          <w:color w:val="auto"/>
          <w:sz w:val="21"/>
          <w:szCs w:val="20"/>
          <w:highlight w:val="none"/>
        </w:rPr>
        <w:t>6</w:t>
      </w:r>
    </w:p>
    <w:p w14:paraId="5F3EC036">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5.2</w:t>
      </w:r>
      <w:r>
        <w:rPr>
          <w:rFonts w:hint="eastAsia"/>
          <w:color w:val="auto"/>
          <w:sz w:val="21"/>
          <w:szCs w:val="20"/>
          <w:highlight w:val="none"/>
        </w:rPr>
        <w:t xml:space="preserve"> Plan design</w:t>
      </w:r>
      <w:r>
        <w:rPr>
          <w:rFonts w:hint="eastAsia" w:ascii="宋体" w:hAnsi="宋体" w:eastAsia="宋体" w:cs="宋体"/>
          <w:color w:val="auto"/>
          <w:sz w:val="21"/>
          <w:szCs w:val="20"/>
          <w:highlight w:val="none"/>
        </w:rPr>
        <w:tab/>
      </w:r>
      <w:r>
        <w:rPr>
          <w:rFonts w:hint="eastAsia"/>
          <w:color w:val="auto"/>
          <w:sz w:val="21"/>
          <w:szCs w:val="20"/>
          <w:highlight w:val="none"/>
        </w:rPr>
        <w:t xml:space="preserve"> 6</w:t>
      </w:r>
    </w:p>
    <w:p w14:paraId="700A7C93">
      <w:pPr>
        <w:pStyle w:val="12"/>
        <w:wordWrap/>
        <w:overflowPunct/>
        <w:topLinePunct w:val="0"/>
        <w:bidi w:val="0"/>
        <w:snapToGrid w:val="0"/>
        <w:ind w:firstLine="180" w:firstLineChars="100"/>
        <w:jc w:val="left"/>
        <w:outlineLvl w:val="1"/>
        <w:rPr>
          <w:rFonts w:hint="eastAsia"/>
          <w:color w:val="auto"/>
          <w:sz w:val="21"/>
          <w:szCs w:val="20"/>
          <w:highlight w:val="none"/>
        </w:rPr>
      </w:pPr>
      <w:r>
        <w:rPr>
          <w:rFonts w:hint="eastAsia"/>
          <w:b/>
          <w:bCs/>
          <w:color w:val="auto"/>
          <w:sz w:val="18"/>
          <w:szCs w:val="18"/>
          <w:highlight w:val="none"/>
        </w:rPr>
        <w:t>5.3</w:t>
      </w:r>
      <w:r>
        <w:rPr>
          <w:rFonts w:hint="eastAsia"/>
          <w:color w:val="auto"/>
          <w:sz w:val="21"/>
          <w:szCs w:val="20"/>
          <w:highlight w:val="none"/>
        </w:rPr>
        <w:t xml:space="preserve"> Elevation and exterior wall design</w:t>
      </w:r>
      <w:r>
        <w:rPr>
          <w:rFonts w:hint="eastAsia" w:ascii="宋体" w:hAnsi="宋体" w:eastAsia="宋体" w:cs="宋体"/>
          <w:color w:val="auto"/>
          <w:sz w:val="21"/>
          <w:szCs w:val="20"/>
          <w:highlight w:val="none"/>
        </w:rPr>
        <w:tab/>
      </w:r>
      <w:r>
        <w:rPr>
          <w:rFonts w:hint="eastAsia"/>
          <w:color w:val="auto"/>
          <w:sz w:val="21"/>
          <w:szCs w:val="20"/>
          <w:highlight w:val="none"/>
        </w:rPr>
        <w:t xml:space="preserve"> 7</w:t>
      </w:r>
    </w:p>
    <w:p w14:paraId="479E7D71">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color w:val="auto"/>
          <w:sz w:val="21"/>
          <w:szCs w:val="20"/>
          <w:highlight w:val="none"/>
        </w:rPr>
        <w:t>6 Structural design</w:t>
      </w:r>
      <w:r>
        <w:rPr>
          <w:rFonts w:hint="eastAsia" w:ascii="宋体" w:hAnsi="宋体" w:eastAsia="宋体" w:cs="宋体"/>
          <w:color w:val="auto"/>
          <w:sz w:val="21"/>
          <w:szCs w:val="20"/>
          <w:highlight w:val="none"/>
        </w:rPr>
        <w:tab/>
      </w:r>
      <w:r>
        <w:rPr>
          <w:rFonts w:hint="eastAsia"/>
          <w:color w:val="auto"/>
          <w:sz w:val="21"/>
          <w:szCs w:val="20"/>
          <w:highlight w:val="none"/>
        </w:rPr>
        <w:t xml:space="preserve"> 8</w:t>
      </w:r>
    </w:p>
    <w:p w14:paraId="2D2BEC94">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6.1</w:t>
      </w:r>
      <w:r>
        <w:rPr>
          <w:rFonts w:hint="eastAsia"/>
          <w:color w:val="auto"/>
          <w:sz w:val="21"/>
          <w:szCs w:val="20"/>
          <w:highlight w:val="none"/>
        </w:rPr>
        <w:t xml:space="preserve"> General requirements</w:t>
      </w:r>
      <w:r>
        <w:rPr>
          <w:rFonts w:hint="eastAsia" w:ascii="宋体" w:hAnsi="宋体" w:eastAsia="宋体" w:cs="宋体"/>
          <w:color w:val="auto"/>
          <w:sz w:val="21"/>
          <w:szCs w:val="20"/>
          <w:highlight w:val="none"/>
        </w:rPr>
        <w:tab/>
      </w:r>
      <w:r>
        <w:rPr>
          <w:rFonts w:hint="eastAsia"/>
          <w:color w:val="auto"/>
          <w:sz w:val="21"/>
          <w:szCs w:val="20"/>
          <w:highlight w:val="none"/>
        </w:rPr>
        <w:t xml:space="preserve"> 8</w:t>
      </w:r>
    </w:p>
    <w:p w14:paraId="3EB38ED6">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6.2</w:t>
      </w:r>
      <w:r>
        <w:rPr>
          <w:rFonts w:hint="eastAsia"/>
          <w:color w:val="auto"/>
          <w:sz w:val="21"/>
          <w:szCs w:val="20"/>
          <w:highlight w:val="none"/>
        </w:rPr>
        <w:t xml:space="preserve"> Structural analysis</w:t>
      </w:r>
      <w:r>
        <w:rPr>
          <w:rFonts w:hint="eastAsia" w:ascii="宋体" w:hAnsi="宋体" w:eastAsia="宋体" w:cs="宋体"/>
          <w:color w:val="auto"/>
          <w:sz w:val="21"/>
          <w:szCs w:val="20"/>
          <w:highlight w:val="none"/>
        </w:rPr>
        <w:tab/>
      </w:r>
      <w:r>
        <w:rPr>
          <w:rFonts w:hint="eastAsia"/>
          <w:color w:val="auto"/>
          <w:sz w:val="21"/>
          <w:szCs w:val="20"/>
          <w:highlight w:val="none"/>
        </w:rPr>
        <w:t xml:space="preserve"> 8</w:t>
      </w:r>
    </w:p>
    <w:p w14:paraId="1FD0E1F5">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6.3</w:t>
      </w:r>
      <w:r>
        <w:rPr>
          <w:rFonts w:hint="eastAsia"/>
          <w:color w:val="auto"/>
          <w:sz w:val="21"/>
          <w:szCs w:val="20"/>
          <w:highlight w:val="none"/>
        </w:rPr>
        <w:t xml:space="preserve"> Structural design </w:t>
      </w:r>
      <w:r>
        <w:rPr>
          <w:rFonts w:hint="eastAsia" w:ascii="宋体" w:hAnsi="宋体" w:eastAsia="宋体" w:cs="宋体"/>
          <w:color w:val="auto"/>
          <w:sz w:val="21"/>
          <w:szCs w:val="20"/>
          <w:highlight w:val="none"/>
        </w:rPr>
        <w:tab/>
      </w:r>
      <w:r>
        <w:rPr>
          <w:rFonts w:hint="eastAsia"/>
          <w:color w:val="auto"/>
          <w:sz w:val="21"/>
          <w:szCs w:val="20"/>
          <w:highlight w:val="none"/>
        </w:rPr>
        <w:t>9</w:t>
      </w:r>
    </w:p>
    <w:p w14:paraId="097693DE">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6.4</w:t>
      </w:r>
      <w:r>
        <w:rPr>
          <w:rFonts w:hint="eastAsia"/>
          <w:color w:val="auto"/>
          <w:sz w:val="21"/>
          <w:szCs w:val="20"/>
          <w:highlight w:val="none"/>
        </w:rPr>
        <w:t xml:space="preserve"> Connection design </w:t>
      </w:r>
      <w:r>
        <w:rPr>
          <w:rFonts w:hint="eastAsia" w:ascii="宋体" w:hAnsi="宋体" w:eastAsia="宋体" w:cs="宋体"/>
          <w:color w:val="auto"/>
          <w:sz w:val="21"/>
          <w:szCs w:val="20"/>
          <w:highlight w:val="none"/>
        </w:rPr>
        <w:tab/>
      </w:r>
      <w:r>
        <w:rPr>
          <w:rFonts w:hint="eastAsia"/>
          <w:color w:val="auto"/>
          <w:sz w:val="21"/>
          <w:szCs w:val="20"/>
          <w:highlight w:val="none"/>
        </w:rPr>
        <w:t>10</w:t>
      </w:r>
    </w:p>
    <w:p w14:paraId="5D669FF0">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7</w:t>
      </w:r>
      <w:r>
        <w:rPr>
          <w:rFonts w:hint="eastAsia"/>
          <w:color w:val="auto"/>
          <w:sz w:val="21"/>
          <w:szCs w:val="20"/>
          <w:highlight w:val="none"/>
        </w:rPr>
        <w:t xml:space="preserve"> Decoration and pipeline design </w:t>
      </w:r>
      <w:r>
        <w:rPr>
          <w:rFonts w:hint="eastAsia" w:ascii="宋体" w:hAnsi="宋体" w:eastAsia="宋体" w:cs="宋体"/>
          <w:color w:val="auto"/>
          <w:sz w:val="21"/>
          <w:szCs w:val="20"/>
          <w:highlight w:val="none"/>
        </w:rPr>
        <w:tab/>
      </w:r>
      <w:r>
        <w:rPr>
          <w:rFonts w:hint="eastAsia"/>
          <w:color w:val="auto"/>
          <w:sz w:val="21"/>
          <w:szCs w:val="20"/>
          <w:highlight w:val="none"/>
        </w:rPr>
        <w:t>14</w:t>
      </w:r>
    </w:p>
    <w:p w14:paraId="574EDBB4">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7.1</w:t>
      </w:r>
      <w:r>
        <w:rPr>
          <w:rFonts w:hint="eastAsia"/>
          <w:color w:val="auto"/>
          <w:sz w:val="21"/>
          <w:szCs w:val="20"/>
          <w:highlight w:val="none"/>
        </w:rPr>
        <w:t xml:space="preserve"> General requirements</w:t>
      </w:r>
      <w:r>
        <w:rPr>
          <w:rFonts w:hint="eastAsia" w:ascii="宋体" w:hAnsi="宋体" w:eastAsia="宋体" w:cs="宋体"/>
          <w:color w:val="auto"/>
          <w:sz w:val="21"/>
          <w:szCs w:val="20"/>
          <w:highlight w:val="none"/>
        </w:rPr>
        <w:tab/>
      </w:r>
      <w:r>
        <w:rPr>
          <w:rFonts w:hint="eastAsia"/>
          <w:color w:val="auto"/>
          <w:sz w:val="21"/>
          <w:szCs w:val="20"/>
          <w:highlight w:val="none"/>
        </w:rPr>
        <w:t xml:space="preserve"> 14</w:t>
      </w:r>
    </w:p>
    <w:p w14:paraId="4E1DFDA5">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7.2</w:t>
      </w:r>
      <w:r>
        <w:rPr>
          <w:rFonts w:hint="eastAsia"/>
          <w:color w:val="auto"/>
          <w:sz w:val="21"/>
          <w:szCs w:val="20"/>
          <w:highlight w:val="none"/>
        </w:rPr>
        <w:t xml:space="preserve"> Decoration design</w:t>
      </w:r>
      <w:r>
        <w:rPr>
          <w:rFonts w:hint="eastAsia" w:ascii="宋体" w:hAnsi="宋体" w:eastAsia="宋体" w:cs="宋体"/>
          <w:color w:val="auto"/>
          <w:sz w:val="21"/>
          <w:szCs w:val="20"/>
          <w:highlight w:val="none"/>
        </w:rPr>
        <w:tab/>
      </w:r>
      <w:r>
        <w:rPr>
          <w:rFonts w:hint="eastAsia"/>
          <w:color w:val="auto"/>
          <w:sz w:val="21"/>
          <w:szCs w:val="20"/>
          <w:highlight w:val="none"/>
        </w:rPr>
        <w:t xml:space="preserve"> 14</w:t>
      </w:r>
    </w:p>
    <w:p w14:paraId="140D8495">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7.3</w:t>
      </w:r>
      <w:r>
        <w:rPr>
          <w:rFonts w:hint="eastAsia"/>
          <w:color w:val="auto"/>
          <w:sz w:val="21"/>
          <w:szCs w:val="20"/>
          <w:highlight w:val="none"/>
        </w:rPr>
        <w:t xml:space="preserve"> Building service and pipeline design</w:t>
      </w:r>
      <w:r>
        <w:rPr>
          <w:rFonts w:hint="eastAsia" w:ascii="宋体" w:hAnsi="宋体" w:eastAsia="宋体" w:cs="宋体"/>
          <w:color w:val="auto"/>
          <w:sz w:val="21"/>
          <w:szCs w:val="20"/>
          <w:highlight w:val="none"/>
        </w:rPr>
        <w:tab/>
      </w:r>
      <w:r>
        <w:rPr>
          <w:rFonts w:hint="eastAsia"/>
          <w:color w:val="auto"/>
          <w:sz w:val="21"/>
          <w:szCs w:val="20"/>
          <w:highlight w:val="none"/>
        </w:rPr>
        <w:t xml:space="preserve"> 15</w:t>
      </w:r>
    </w:p>
    <w:p w14:paraId="3CDC2CDC">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8</w:t>
      </w:r>
      <w:r>
        <w:rPr>
          <w:rFonts w:hint="eastAsia"/>
          <w:color w:val="auto"/>
          <w:sz w:val="21"/>
          <w:szCs w:val="20"/>
          <w:highlight w:val="none"/>
        </w:rPr>
        <w:t xml:space="preserve"> Module production and transportation</w:t>
      </w:r>
      <w:r>
        <w:rPr>
          <w:rFonts w:hint="eastAsia" w:ascii="宋体" w:hAnsi="宋体" w:eastAsia="宋体" w:cs="宋体"/>
          <w:color w:val="auto"/>
          <w:sz w:val="21"/>
          <w:szCs w:val="20"/>
          <w:highlight w:val="none"/>
        </w:rPr>
        <w:tab/>
      </w:r>
      <w:r>
        <w:rPr>
          <w:rFonts w:hint="eastAsia"/>
          <w:color w:val="auto"/>
          <w:sz w:val="21"/>
          <w:szCs w:val="20"/>
          <w:highlight w:val="none"/>
        </w:rPr>
        <w:t xml:space="preserve"> 16</w:t>
      </w:r>
    </w:p>
    <w:p w14:paraId="7956A7AC">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8.1</w:t>
      </w:r>
      <w:r>
        <w:rPr>
          <w:rFonts w:hint="eastAsia"/>
          <w:color w:val="auto"/>
          <w:sz w:val="21"/>
          <w:szCs w:val="20"/>
          <w:highlight w:val="none"/>
        </w:rPr>
        <w:t xml:space="preserve"> General requirements </w:t>
      </w:r>
      <w:r>
        <w:rPr>
          <w:rFonts w:hint="eastAsia" w:ascii="宋体" w:hAnsi="宋体" w:eastAsia="宋体" w:cs="宋体"/>
          <w:color w:val="auto"/>
          <w:sz w:val="21"/>
          <w:szCs w:val="20"/>
          <w:highlight w:val="none"/>
        </w:rPr>
        <w:tab/>
      </w:r>
      <w:r>
        <w:rPr>
          <w:rFonts w:hint="eastAsia"/>
          <w:color w:val="auto"/>
          <w:sz w:val="21"/>
          <w:szCs w:val="20"/>
          <w:highlight w:val="none"/>
        </w:rPr>
        <w:t>16</w:t>
      </w:r>
    </w:p>
    <w:p w14:paraId="740FC51D">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8.2</w:t>
      </w:r>
      <w:r>
        <w:rPr>
          <w:rFonts w:hint="eastAsia"/>
          <w:color w:val="auto"/>
          <w:sz w:val="21"/>
          <w:szCs w:val="20"/>
          <w:highlight w:val="none"/>
        </w:rPr>
        <w:t xml:space="preserve"> Preparation for production</w:t>
      </w:r>
      <w:r>
        <w:rPr>
          <w:rFonts w:hint="eastAsia" w:ascii="宋体" w:hAnsi="宋体" w:eastAsia="宋体" w:cs="宋体"/>
          <w:color w:val="auto"/>
          <w:sz w:val="21"/>
          <w:szCs w:val="20"/>
          <w:highlight w:val="none"/>
        </w:rPr>
        <w:tab/>
      </w:r>
      <w:r>
        <w:rPr>
          <w:rFonts w:hint="eastAsia"/>
          <w:color w:val="auto"/>
          <w:sz w:val="21"/>
          <w:szCs w:val="20"/>
          <w:highlight w:val="none"/>
        </w:rPr>
        <w:t xml:space="preserve"> 16</w:t>
      </w:r>
    </w:p>
    <w:p w14:paraId="3E22592E">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8.3</w:t>
      </w:r>
      <w:r>
        <w:rPr>
          <w:rFonts w:hint="eastAsia"/>
          <w:color w:val="auto"/>
          <w:sz w:val="21"/>
          <w:szCs w:val="20"/>
          <w:highlight w:val="none"/>
        </w:rPr>
        <w:t xml:space="preserve"> Concrete module production</w:t>
      </w:r>
      <w:r>
        <w:rPr>
          <w:rFonts w:hint="eastAsia" w:ascii="宋体" w:hAnsi="宋体" w:eastAsia="宋体" w:cs="宋体"/>
          <w:color w:val="auto"/>
          <w:sz w:val="21"/>
          <w:szCs w:val="20"/>
          <w:highlight w:val="none"/>
        </w:rPr>
        <w:tab/>
      </w:r>
      <w:r>
        <w:rPr>
          <w:rFonts w:hint="eastAsia"/>
          <w:color w:val="auto"/>
          <w:sz w:val="21"/>
          <w:szCs w:val="20"/>
          <w:highlight w:val="none"/>
        </w:rPr>
        <w:t xml:space="preserve"> 17</w:t>
      </w:r>
    </w:p>
    <w:p w14:paraId="436CC6D9">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8.4</w:t>
      </w:r>
      <w:r>
        <w:rPr>
          <w:rFonts w:hint="eastAsia"/>
          <w:color w:val="auto"/>
          <w:sz w:val="21"/>
          <w:szCs w:val="20"/>
          <w:highlight w:val="none"/>
        </w:rPr>
        <w:t xml:space="preserve"> Integration of decoration and MEP </w:t>
      </w:r>
      <w:r>
        <w:rPr>
          <w:rFonts w:hint="eastAsia" w:ascii="宋体" w:hAnsi="宋体" w:eastAsia="宋体" w:cs="宋体"/>
          <w:color w:val="auto"/>
          <w:sz w:val="21"/>
          <w:szCs w:val="20"/>
          <w:highlight w:val="none"/>
        </w:rPr>
        <w:tab/>
      </w:r>
      <w:r>
        <w:rPr>
          <w:rFonts w:hint="eastAsia"/>
          <w:color w:val="auto"/>
          <w:sz w:val="21"/>
          <w:szCs w:val="20"/>
          <w:highlight w:val="none"/>
        </w:rPr>
        <w:t>18</w:t>
      </w:r>
    </w:p>
    <w:p w14:paraId="0DF09801">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8.5</w:t>
      </w:r>
      <w:r>
        <w:rPr>
          <w:rFonts w:hint="eastAsia"/>
          <w:color w:val="auto"/>
          <w:sz w:val="21"/>
          <w:szCs w:val="20"/>
          <w:highlight w:val="none"/>
        </w:rPr>
        <w:t xml:space="preserve"> Transportation and stacking </w:t>
      </w:r>
      <w:r>
        <w:rPr>
          <w:rFonts w:hint="eastAsia" w:ascii="宋体" w:hAnsi="宋体" w:eastAsia="宋体" w:cs="宋体"/>
          <w:color w:val="auto"/>
          <w:sz w:val="21"/>
          <w:szCs w:val="20"/>
          <w:highlight w:val="none"/>
        </w:rPr>
        <w:tab/>
      </w:r>
      <w:r>
        <w:rPr>
          <w:rFonts w:hint="eastAsia"/>
          <w:color w:val="auto"/>
          <w:sz w:val="21"/>
          <w:szCs w:val="20"/>
          <w:highlight w:val="none"/>
        </w:rPr>
        <w:t>19</w:t>
      </w:r>
    </w:p>
    <w:p w14:paraId="77A31CE5">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9</w:t>
      </w:r>
      <w:r>
        <w:rPr>
          <w:rFonts w:hint="eastAsia"/>
          <w:color w:val="auto"/>
          <w:sz w:val="21"/>
          <w:szCs w:val="20"/>
          <w:highlight w:val="none"/>
        </w:rPr>
        <w:t xml:space="preserve"> Construction  </w:t>
      </w:r>
      <w:r>
        <w:rPr>
          <w:rFonts w:hint="eastAsia" w:ascii="宋体" w:hAnsi="宋体" w:eastAsia="宋体" w:cs="宋体"/>
          <w:color w:val="auto"/>
          <w:sz w:val="21"/>
          <w:szCs w:val="20"/>
          <w:highlight w:val="none"/>
        </w:rPr>
        <w:tab/>
      </w:r>
      <w:r>
        <w:rPr>
          <w:rFonts w:hint="eastAsia"/>
          <w:color w:val="auto"/>
          <w:sz w:val="21"/>
          <w:szCs w:val="20"/>
          <w:highlight w:val="none"/>
        </w:rPr>
        <w:t>20</w:t>
      </w:r>
    </w:p>
    <w:p w14:paraId="1393AC22">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9.1</w:t>
      </w:r>
      <w:r>
        <w:rPr>
          <w:rFonts w:hint="eastAsia"/>
          <w:color w:val="auto"/>
          <w:sz w:val="21"/>
          <w:szCs w:val="20"/>
          <w:highlight w:val="none"/>
        </w:rPr>
        <w:t xml:space="preserve"> General requirements </w:t>
      </w:r>
      <w:r>
        <w:rPr>
          <w:rFonts w:hint="eastAsia" w:ascii="宋体" w:hAnsi="宋体" w:eastAsia="宋体" w:cs="宋体"/>
          <w:color w:val="auto"/>
          <w:sz w:val="21"/>
          <w:szCs w:val="20"/>
          <w:highlight w:val="none"/>
        </w:rPr>
        <w:tab/>
      </w:r>
      <w:r>
        <w:rPr>
          <w:rFonts w:hint="eastAsia"/>
          <w:color w:val="auto"/>
          <w:sz w:val="21"/>
          <w:szCs w:val="20"/>
          <w:highlight w:val="none"/>
        </w:rPr>
        <w:t>20</w:t>
      </w:r>
    </w:p>
    <w:p w14:paraId="30E9BC67">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9.2</w:t>
      </w:r>
      <w:r>
        <w:rPr>
          <w:rFonts w:hint="eastAsia"/>
          <w:color w:val="auto"/>
          <w:sz w:val="21"/>
          <w:szCs w:val="20"/>
          <w:highlight w:val="none"/>
        </w:rPr>
        <w:t xml:space="preserve"> Installation preparation </w:t>
      </w:r>
      <w:r>
        <w:rPr>
          <w:rFonts w:hint="eastAsia" w:ascii="宋体" w:hAnsi="宋体" w:eastAsia="宋体" w:cs="宋体"/>
          <w:color w:val="auto"/>
          <w:sz w:val="21"/>
          <w:szCs w:val="20"/>
          <w:highlight w:val="none"/>
        </w:rPr>
        <w:tab/>
      </w:r>
      <w:r>
        <w:rPr>
          <w:rFonts w:hint="eastAsia"/>
          <w:color w:val="auto"/>
          <w:sz w:val="21"/>
          <w:szCs w:val="20"/>
          <w:highlight w:val="none"/>
        </w:rPr>
        <w:t>20</w:t>
      </w:r>
    </w:p>
    <w:p w14:paraId="3B04BB16">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9.3</w:t>
      </w:r>
      <w:r>
        <w:rPr>
          <w:rFonts w:hint="eastAsia"/>
          <w:color w:val="auto"/>
          <w:sz w:val="21"/>
          <w:szCs w:val="20"/>
          <w:highlight w:val="none"/>
        </w:rPr>
        <w:t xml:space="preserve"> Installation and connection </w:t>
      </w:r>
      <w:r>
        <w:rPr>
          <w:rFonts w:hint="eastAsia" w:ascii="宋体" w:hAnsi="宋体" w:eastAsia="宋体" w:cs="宋体"/>
          <w:color w:val="auto"/>
          <w:sz w:val="21"/>
          <w:szCs w:val="20"/>
          <w:highlight w:val="none"/>
        </w:rPr>
        <w:tab/>
      </w:r>
      <w:r>
        <w:rPr>
          <w:rFonts w:hint="eastAsia"/>
          <w:color w:val="auto"/>
          <w:sz w:val="21"/>
          <w:szCs w:val="20"/>
          <w:highlight w:val="none"/>
        </w:rPr>
        <w:t>21</w:t>
      </w:r>
    </w:p>
    <w:p w14:paraId="3594B823">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b/>
          <w:bCs/>
          <w:color w:val="auto"/>
          <w:sz w:val="21"/>
          <w:szCs w:val="20"/>
          <w:highlight w:val="none"/>
        </w:rPr>
        <w:t>10</w:t>
      </w:r>
      <w:r>
        <w:rPr>
          <w:rFonts w:hint="eastAsia"/>
          <w:color w:val="auto"/>
          <w:sz w:val="21"/>
          <w:szCs w:val="20"/>
          <w:highlight w:val="none"/>
        </w:rPr>
        <w:t xml:space="preserve"> Quality acceptance</w:t>
      </w:r>
      <w:r>
        <w:rPr>
          <w:rFonts w:hint="eastAsia" w:ascii="宋体" w:hAnsi="宋体" w:eastAsia="宋体" w:cs="宋体"/>
          <w:color w:val="auto"/>
          <w:sz w:val="21"/>
          <w:szCs w:val="20"/>
          <w:highlight w:val="none"/>
        </w:rPr>
        <w:tab/>
      </w:r>
      <w:r>
        <w:rPr>
          <w:rFonts w:hint="eastAsia"/>
          <w:color w:val="auto"/>
          <w:sz w:val="21"/>
          <w:szCs w:val="20"/>
          <w:highlight w:val="none"/>
        </w:rPr>
        <w:t xml:space="preserve"> 22</w:t>
      </w:r>
    </w:p>
    <w:p w14:paraId="3DBEBA84">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10.1</w:t>
      </w:r>
      <w:r>
        <w:rPr>
          <w:rFonts w:hint="eastAsia"/>
          <w:color w:val="auto"/>
          <w:sz w:val="21"/>
          <w:szCs w:val="20"/>
          <w:highlight w:val="none"/>
        </w:rPr>
        <w:t xml:space="preserve"> General requirements </w:t>
      </w:r>
      <w:r>
        <w:rPr>
          <w:rFonts w:hint="eastAsia" w:ascii="宋体" w:hAnsi="宋体" w:eastAsia="宋体" w:cs="宋体"/>
          <w:color w:val="auto"/>
          <w:sz w:val="21"/>
          <w:szCs w:val="20"/>
          <w:highlight w:val="none"/>
        </w:rPr>
        <w:tab/>
      </w:r>
      <w:r>
        <w:rPr>
          <w:rFonts w:hint="eastAsia"/>
          <w:color w:val="auto"/>
          <w:sz w:val="21"/>
          <w:szCs w:val="20"/>
          <w:highlight w:val="none"/>
        </w:rPr>
        <w:t>22</w:t>
      </w:r>
    </w:p>
    <w:p w14:paraId="79C244DC">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10.2</w:t>
      </w:r>
      <w:r>
        <w:rPr>
          <w:rFonts w:hint="eastAsia"/>
          <w:color w:val="auto"/>
          <w:sz w:val="21"/>
          <w:szCs w:val="20"/>
          <w:highlight w:val="none"/>
        </w:rPr>
        <w:t xml:space="preserve"> Acceptance of concrete modules </w:t>
      </w:r>
      <w:r>
        <w:rPr>
          <w:rFonts w:hint="eastAsia" w:ascii="宋体" w:hAnsi="宋体" w:eastAsia="宋体" w:cs="宋体"/>
          <w:color w:val="auto"/>
          <w:sz w:val="21"/>
          <w:szCs w:val="20"/>
          <w:highlight w:val="none"/>
        </w:rPr>
        <w:tab/>
      </w:r>
      <w:r>
        <w:rPr>
          <w:rFonts w:hint="eastAsia"/>
          <w:color w:val="auto"/>
          <w:sz w:val="21"/>
          <w:szCs w:val="20"/>
          <w:highlight w:val="none"/>
        </w:rPr>
        <w:t>22</w:t>
      </w:r>
    </w:p>
    <w:p w14:paraId="57313F9C">
      <w:pPr>
        <w:pStyle w:val="12"/>
        <w:wordWrap/>
        <w:overflowPunct/>
        <w:topLinePunct w:val="0"/>
        <w:bidi w:val="0"/>
        <w:snapToGrid w:val="0"/>
        <w:ind w:firstLine="210" w:firstLineChars="100"/>
        <w:jc w:val="left"/>
        <w:outlineLvl w:val="1"/>
        <w:rPr>
          <w:rFonts w:hint="eastAsia"/>
          <w:color w:val="auto"/>
          <w:sz w:val="21"/>
          <w:szCs w:val="20"/>
          <w:highlight w:val="none"/>
        </w:rPr>
      </w:pPr>
      <w:r>
        <w:rPr>
          <w:rFonts w:hint="eastAsia"/>
          <w:b/>
          <w:bCs/>
          <w:color w:val="auto"/>
          <w:sz w:val="21"/>
          <w:szCs w:val="20"/>
          <w:highlight w:val="none"/>
        </w:rPr>
        <w:t>10.3</w:t>
      </w:r>
      <w:r>
        <w:rPr>
          <w:rFonts w:hint="eastAsia"/>
          <w:color w:val="auto"/>
          <w:sz w:val="21"/>
          <w:szCs w:val="20"/>
          <w:highlight w:val="none"/>
        </w:rPr>
        <w:t xml:space="preserve"> Construction acceptance</w:t>
      </w:r>
      <w:r>
        <w:rPr>
          <w:rFonts w:hint="eastAsia" w:ascii="宋体" w:hAnsi="宋体" w:eastAsia="宋体" w:cs="宋体"/>
          <w:color w:val="auto"/>
          <w:sz w:val="21"/>
          <w:szCs w:val="20"/>
          <w:highlight w:val="none"/>
        </w:rPr>
        <w:tab/>
      </w:r>
      <w:r>
        <w:rPr>
          <w:rFonts w:hint="eastAsia"/>
          <w:color w:val="auto"/>
          <w:sz w:val="21"/>
          <w:szCs w:val="20"/>
          <w:highlight w:val="none"/>
        </w:rPr>
        <w:t xml:space="preserve"> 24</w:t>
      </w:r>
    </w:p>
    <w:p w14:paraId="1ED8705B">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color w:val="auto"/>
          <w:sz w:val="21"/>
          <w:szCs w:val="20"/>
          <w:highlight w:val="none"/>
        </w:rPr>
        <w:t>Explanation of wording in this specification</w:t>
      </w:r>
      <w:r>
        <w:rPr>
          <w:rFonts w:hint="eastAsia" w:ascii="宋体" w:hAnsi="宋体" w:eastAsia="宋体" w:cs="宋体"/>
          <w:color w:val="auto"/>
          <w:sz w:val="21"/>
          <w:szCs w:val="20"/>
          <w:highlight w:val="none"/>
        </w:rPr>
        <w:tab/>
      </w:r>
      <w:r>
        <w:rPr>
          <w:rFonts w:hint="eastAsia"/>
          <w:color w:val="auto"/>
          <w:sz w:val="21"/>
          <w:szCs w:val="20"/>
          <w:highlight w:val="none"/>
        </w:rPr>
        <w:t xml:space="preserve"> 26</w:t>
      </w:r>
    </w:p>
    <w:p w14:paraId="781C3540">
      <w:pPr>
        <w:pStyle w:val="12"/>
        <w:wordWrap/>
        <w:overflowPunct/>
        <w:topLinePunct w:val="0"/>
        <w:bidi w:val="0"/>
        <w:snapToGrid w:val="0"/>
        <w:ind w:firstLine="0" w:firstLineChars="0"/>
        <w:jc w:val="left"/>
        <w:outlineLvl w:val="1"/>
        <w:rPr>
          <w:rFonts w:hint="eastAsia"/>
          <w:color w:val="auto"/>
          <w:sz w:val="21"/>
          <w:szCs w:val="20"/>
          <w:highlight w:val="none"/>
        </w:rPr>
      </w:pPr>
      <w:r>
        <w:rPr>
          <w:rFonts w:hint="eastAsia"/>
          <w:color w:val="auto"/>
          <w:sz w:val="21"/>
          <w:szCs w:val="20"/>
          <w:highlight w:val="none"/>
        </w:rPr>
        <w:t>List of quoted standards</w:t>
      </w:r>
      <w:r>
        <w:rPr>
          <w:rFonts w:hint="eastAsia" w:ascii="宋体" w:hAnsi="宋体" w:eastAsia="宋体" w:cs="宋体"/>
          <w:color w:val="auto"/>
          <w:sz w:val="21"/>
          <w:szCs w:val="20"/>
          <w:highlight w:val="none"/>
        </w:rPr>
        <w:tab/>
      </w:r>
      <w:r>
        <w:rPr>
          <w:rFonts w:hint="eastAsia"/>
          <w:color w:val="auto"/>
          <w:sz w:val="21"/>
          <w:szCs w:val="20"/>
          <w:highlight w:val="none"/>
        </w:rPr>
        <w:t xml:space="preserve"> 27</w:t>
      </w:r>
    </w:p>
    <w:p w14:paraId="271D84E8">
      <w:pPr>
        <w:pStyle w:val="12"/>
        <w:wordWrap/>
        <w:overflowPunct/>
        <w:topLinePunct w:val="0"/>
        <w:bidi w:val="0"/>
        <w:snapToGrid w:val="0"/>
        <w:ind w:firstLine="0" w:firstLineChars="0"/>
        <w:jc w:val="left"/>
        <w:outlineLvl w:val="1"/>
        <w:rPr>
          <w:color w:val="auto"/>
          <w:sz w:val="21"/>
          <w:szCs w:val="20"/>
          <w:highlight w:val="none"/>
        </w:rPr>
        <w:sectPr>
          <w:pgSz w:w="11906" w:h="16838"/>
          <w:pgMar w:top="737" w:right="1417" w:bottom="1361" w:left="1417" w:header="851" w:footer="850" w:gutter="0"/>
          <w:pgNumType w:fmt="decimal" w:start="1"/>
          <w:cols w:space="425" w:num="1"/>
          <w:docGrid w:type="linesAndChars" w:linePitch="326" w:charSpace="0"/>
        </w:sectPr>
      </w:pPr>
      <w:r>
        <w:rPr>
          <w:rFonts w:hint="eastAsia"/>
          <w:color w:val="auto"/>
          <w:sz w:val="21"/>
          <w:szCs w:val="20"/>
          <w:highlight w:val="none"/>
        </w:rPr>
        <w:t>Addition: Explanation of provisions</w:t>
      </w:r>
      <w:r>
        <w:rPr>
          <w:rFonts w:hint="eastAsia" w:ascii="宋体" w:hAnsi="宋体" w:eastAsia="宋体" w:cs="宋体"/>
          <w:color w:val="auto"/>
          <w:sz w:val="21"/>
          <w:szCs w:val="20"/>
          <w:highlight w:val="none"/>
        </w:rPr>
        <w:tab/>
      </w:r>
      <w:r>
        <w:rPr>
          <w:rFonts w:hint="eastAsia"/>
          <w:color w:val="auto"/>
          <w:sz w:val="21"/>
          <w:szCs w:val="20"/>
          <w:highlight w:val="none"/>
        </w:rPr>
        <w:t xml:space="preserve"> 28</w:t>
      </w:r>
    </w:p>
    <w:p w14:paraId="3DFF8A09">
      <w:pPr>
        <w:pStyle w:val="2"/>
        <w:bidi w:val="0"/>
        <w:rPr>
          <w:rFonts w:ascii="宋体" w:hAnsi="宋体" w:cs="Times New Roman"/>
          <w:color w:val="auto"/>
          <w:kern w:val="44"/>
          <w:szCs w:val="24"/>
          <w:highlight w:val="none"/>
          <w:lang w:val="zh-CN"/>
        </w:rPr>
      </w:pPr>
      <w:bookmarkStart w:id="4" w:name="_Toc30325"/>
      <w:bookmarkStart w:id="5" w:name="_Toc116115081"/>
      <w:bookmarkStart w:id="6" w:name="_Toc117005798"/>
      <w:bookmarkStart w:id="7" w:name="_Toc177840549"/>
      <w:bookmarkStart w:id="8" w:name="_Toc21590"/>
      <w:bookmarkStart w:id="9" w:name="_Toc4469"/>
      <w:bookmarkStart w:id="10" w:name="_Toc15257"/>
      <w:bookmarkStart w:id="11" w:name="_Toc154525519"/>
      <w:bookmarkStart w:id="12" w:name="_Toc15509"/>
      <w:bookmarkStart w:id="13" w:name="_Toc180613518"/>
      <w:bookmarkStart w:id="14" w:name="_Toc148909464"/>
      <w:bookmarkStart w:id="15" w:name="_Toc4456"/>
      <w:bookmarkStart w:id="16" w:name="_Toc132205472"/>
      <w:bookmarkStart w:id="17" w:name="_Toc153805640"/>
      <w:bookmarkStart w:id="18" w:name="_Toc134531817"/>
      <w:bookmarkStart w:id="19" w:name="_Toc177840157"/>
      <w:bookmarkStart w:id="20" w:name="_Toc154525982"/>
      <w:r>
        <w:rPr>
          <w:rFonts w:hint="default" w:ascii="Times New Roman" w:hAnsi="Times New Roman" w:eastAsia="黑体" w:cs="Times New Roman"/>
          <w:b/>
          <w:bCs/>
          <w:color w:val="auto"/>
          <w:kern w:val="44"/>
          <w:sz w:val="30"/>
          <w:szCs w:val="30"/>
          <w:highlight w:val="none"/>
          <w:lang w:val="zh-CN" w:eastAsia="zh-CN" w:bidi="ar-SA"/>
        </w:rPr>
        <w:t>1</w:t>
      </w:r>
      <w:r>
        <w:rPr>
          <w:rFonts w:hint="default" w:ascii="Times New Roman" w:hAnsi="Times New Roman" w:cs="Times New Roman"/>
          <w:b/>
          <w:bCs/>
          <w:color w:val="auto"/>
          <w:kern w:val="44"/>
          <w:sz w:val="30"/>
          <w:szCs w:val="30"/>
          <w:highlight w:val="none"/>
          <w:lang w:val="zh-CN"/>
        </w:rPr>
        <w:t xml:space="preserve"> </w:t>
      </w:r>
      <w:r>
        <w:rPr>
          <w:rFonts w:hint="eastAsia" w:eastAsia="宋体" w:cs="Times New Roman"/>
          <w:b/>
          <w:bCs/>
          <w:color w:val="auto"/>
          <w:kern w:val="44"/>
          <w:sz w:val="30"/>
          <w:szCs w:val="30"/>
          <w:highlight w:val="none"/>
          <w:lang w:val="en-US" w:eastAsia="zh-CN"/>
        </w:rPr>
        <w:t xml:space="preserve"> </w:t>
      </w:r>
      <w:r>
        <w:rPr>
          <w:rFonts w:ascii="黑体" w:hAnsi="黑体" w:eastAsia="黑体" w:cs="Times New Roman"/>
          <w:b w:val="0"/>
          <w:bCs w:val="0"/>
          <w:color w:val="auto"/>
          <w:kern w:val="44"/>
          <w:sz w:val="30"/>
          <w:szCs w:val="30"/>
          <w:highlight w:val="none"/>
          <w:lang w:val="zh-CN" w:eastAsia="zh-CN" w:bidi="ar-SA"/>
        </w:rPr>
        <w:t>总</w:t>
      </w:r>
      <w:r>
        <w:rPr>
          <w:rFonts w:hint="eastAsia" w:ascii="黑体" w:hAnsi="黑体" w:eastAsia="黑体" w:cs="Times New Roman"/>
          <w:b w:val="0"/>
          <w:bCs w:val="0"/>
          <w:color w:val="auto"/>
          <w:kern w:val="44"/>
          <w:sz w:val="30"/>
          <w:szCs w:val="30"/>
          <w:highlight w:val="none"/>
          <w:lang w:val="en-US" w:eastAsia="zh-CN" w:bidi="ar-SA"/>
        </w:rPr>
        <w:t xml:space="preserve">  </w:t>
      </w:r>
      <w:r>
        <w:rPr>
          <w:rFonts w:ascii="黑体" w:hAnsi="黑体" w:eastAsia="黑体" w:cs="Times New Roman"/>
          <w:b w:val="0"/>
          <w:bCs w:val="0"/>
          <w:color w:val="auto"/>
          <w:kern w:val="44"/>
          <w:sz w:val="30"/>
          <w:szCs w:val="30"/>
          <w:highlight w:val="none"/>
          <w:lang w:val="zh-CN" w:eastAsia="zh-CN" w:bidi="ar-SA"/>
        </w:rPr>
        <w:t>则</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B61F208">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1.0.1</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为</w:t>
      </w:r>
      <w:r>
        <w:rPr>
          <w:rFonts w:hint="eastAsia" w:cs="Times New Roman"/>
          <w:color w:val="auto"/>
          <w:kern w:val="0"/>
          <w:sz w:val="24"/>
          <w:szCs w:val="24"/>
          <w:highlight w:val="none"/>
          <w:lang w:val="en-US" w:eastAsia="zh-CN" w:bidi="ar-SA"/>
        </w:rPr>
        <w:t>规范低层模块化建筑</w:t>
      </w:r>
      <w:r>
        <w:rPr>
          <w:rFonts w:hint="eastAsia" w:ascii="Times New Roman" w:hAnsi="Times New Roman" w:eastAsia="宋体" w:cs="Times New Roman"/>
          <w:color w:val="auto"/>
          <w:kern w:val="0"/>
          <w:sz w:val="24"/>
          <w:szCs w:val="24"/>
          <w:highlight w:val="none"/>
          <w:lang w:val="en-US" w:eastAsia="zh-CN" w:bidi="ar-SA"/>
        </w:rPr>
        <w:t>的设计、生产</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运输、施</w:t>
      </w:r>
      <w:r>
        <w:rPr>
          <w:rFonts w:hint="eastAsia" w:cs="Times New Roman"/>
          <w:color w:val="auto"/>
          <w:kern w:val="0"/>
          <w:sz w:val="24"/>
          <w:szCs w:val="24"/>
          <w:highlight w:val="none"/>
          <w:lang w:val="en-US" w:eastAsia="zh-CN" w:bidi="ar-SA"/>
        </w:rPr>
        <w:t>工</w:t>
      </w:r>
      <w:r>
        <w:rPr>
          <w:rFonts w:hint="eastAsia" w:ascii="Times New Roman" w:hAnsi="Times New Roman" w:eastAsia="宋体" w:cs="Times New Roman"/>
          <w:color w:val="auto"/>
          <w:kern w:val="0"/>
          <w:sz w:val="24"/>
          <w:szCs w:val="24"/>
          <w:highlight w:val="none"/>
          <w:lang w:val="en-US" w:eastAsia="zh-CN" w:bidi="ar-SA"/>
        </w:rPr>
        <w:t>及验收</w:t>
      </w:r>
      <w:r>
        <w:rPr>
          <w:rFonts w:hint="eastAsia" w:cs="Times New Roman"/>
          <w:color w:val="auto"/>
          <w:kern w:val="0"/>
          <w:sz w:val="24"/>
          <w:szCs w:val="24"/>
          <w:highlight w:val="none"/>
          <w:lang w:val="en-US" w:eastAsia="zh-CN" w:bidi="ar-SA"/>
        </w:rPr>
        <w:t>管理</w:t>
      </w:r>
      <w:r>
        <w:rPr>
          <w:rFonts w:hint="eastAsia" w:ascii="Times New Roman" w:hAnsi="Times New Roman" w:eastAsia="宋体" w:cs="Times New Roman"/>
          <w:color w:val="auto"/>
          <w:kern w:val="0"/>
          <w:sz w:val="24"/>
          <w:szCs w:val="24"/>
          <w:highlight w:val="none"/>
          <w:lang w:val="en-US" w:eastAsia="zh-CN" w:bidi="ar-SA"/>
        </w:rPr>
        <w:t>，做到安全适用、技术先进、经济合理、质量可靠，制定本规程。</w:t>
      </w:r>
    </w:p>
    <w:p w14:paraId="52DDEB8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1.0.2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本规程适用于北京市行政区域内建筑高度不大于</w:t>
      </w:r>
      <w:r>
        <w:rPr>
          <w:rFonts w:hint="eastAsia" w:cs="Times New Roman"/>
          <w:color w:val="auto"/>
          <w:kern w:val="0"/>
          <w:sz w:val="24"/>
          <w:szCs w:val="24"/>
          <w:highlight w:val="none"/>
          <w:lang w:val="en-US" w:eastAsia="zh-CN" w:bidi="ar-SA"/>
        </w:rPr>
        <w:t>12</w:t>
      </w:r>
      <w:r>
        <w:rPr>
          <w:rFonts w:hint="eastAsia" w:ascii="Times New Roman" w:hAnsi="Times New Roman" w:eastAsia="宋体" w:cs="Times New Roman"/>
          <w:color w:val="auto"/>
          <w:kern w:val="0"/>
          <w:sz w:val="24"/>
          <w:szCs w:val="24"/>
          <w:highlight w:val="none"/>
          <w:lang w:val="en-US" w:eastAsia="zh-CN" w:bidi="ar-SA"/>
        </w:rPr>
        <w:t>m，且层数不超过</w:t>
      </w:r>
      <w:r>
        <w:rPr>
          <w:rFonts w:hint="eastAsia" w:cs="Times New Roman"/>
          <w:color w:val="auto"/>
          <w:kern w:val="0"/>
          <w:sz w:val="24"/>
          <w:szCs w:val="24"/>
          <w:highlight w:val="none"/>
          <w:lang w:val="en-US" w:eastAsia="zh-CN" w:bidi="ar-SA"/>
        </w:rPr>
        <w:t>3层</w:t>
      </w:r>
      <w:r>
        <w:rPr>
          <w:rFonts w:hint="eastAsia" w:ascii="Times New Roman" w:hAnsi="Times New Roman" w:eastAsia="宋体" w:cs="Times New Roman"/>
          <w:color w:val="auto"/>
          <w:kern w:val="0"/>
          <w:sz w:val="24"/>
          <w:szCs w:val="24"/>
          <w:highlight w:val="none"/>
          <w:lang w:val="en-US" w:eastAsia="zh-CN" w:bidi="ar-SA"/>
        </w:rPr>
        <w:t>的</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的设计、</w:t>
      </w:r>
      <w:r>
        <w:rPr>
          <w:rFonts w:hint="eastAsia" w:cs="Times New Roman"/>
          <w:color w:val="auto"/>
          <w:kern w:val="0"/>
          <w:sz w:val="24"/>
          <w:szCs w:val="24"/>
          <w:highlight w:val="none"/>
          <w:lang w:val="en-US" w:eastAsia="zh-CN" w:bidi="ar-SA"/>
        </w:rPr>
        <w:t>生产、运输、</w:t>
      </w:r>
      <w:r>
        <w:rPr>
          <w:rFonts w:hint="eastAsia" w:ascii="Times New Roman" w:hAnsi="Times New Roman" w:eastAsia="宋体" w:cs="Times New Roman"/>
          <w:color w:val="auto"/>
          <w:kern w:val="0"/>
          <w:sz w:val="24"/>
          <w:szCs w:val="24"/>
          <w:highlight w:val="none"/>
          <w:lang w:val="en-US" w:eastAsia="zh-CN" w:bidi="ar-SA"/>
        </w:rPr>
        <w:t>施工及验收。</w:t>
      </w:r>
    </w:p>
    <w:p w14:paraId="7A560A20">
      <w:pPr>
        <w:wordWrap/>
        <w:overflowPunct/>
        <w:topLinePunct w:val="0"/>
        <w:bidi w:val="0"/>
        <w:snapToGrid w:val="0"/>
        <w:spacing w:line="300" w:lineRule="auto"/>
        <w:rPr>
          <w:rFonts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w:t>
      </w:r>
      <w:r>
        <w:rPr>
          <w:rFonts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低层模块化建筑</w:t>
      </w:r>
      <w:r>
        <w:rPr>
          <w:rFonts w:hint="eastAsia" w:ascii="Times New Roman" w:hAnsi="Times New Roman" w:eastAsia="宋体" w:cs="Times New Roman"/>
          <w:color w:val="auto"/>
          <w:kern w:val="0"/>
          <w:sz w:val="24"/>
          <w:szCs w:val="24"/>
          <w:highlight w:val="none"/>
          <w:lang w:val="en-US" w:eastAsia="zh-CN" w:bidi="ar-SA"/>
        </w:rPr>
        <w:t>的设计、</w:t>
      </w:r>
      <w:r>
        <w:rPr>
          <w:rFonts w:hint="eastAsia" w:cs="Times New Roman"/>
          <w:color w:val="auto"/>
          <w:kern w:val="0"/>
          <w:sz w:val="24"/>
          <w:szCs w:val="24"/>
          <w:highlight w:val="none"/>
          <w:lang w:val="en-US" w:eastAsia="zh-CN" w:bidi="ar-SA"/>
        </w:rPr>
        <w:t>生产、运输、</w:t>
      </w:r>
      <w:r>
        <w:rPr>
          <w:rFonts w:hint="eastAsia" w:ascii="Times New Roman" w:hAnsi="Times New Roman" w:eastAsia="宋体" w:cs="Times New Roman"/>
          <w:color w:val="auto"/>
          <w:kern w:val="0"/>
          <w:sz w:val="24"/>
          <w:szCs w:val="24"/>
          <w:highlight w:val="none"/>
          <w:lang w:val="en-US" w:eastAsia="zh-CN" w:bidi="ar-SA"/>
        </w:rPr>
        <w:t>施工及验收除应符合本规程外，尚应符合国家</w:t>
      </w:r>
      <w:r>
        <w:rPr>
          <w:rFonts w:hint="eastAsia" w:cs="Times New Roman"/>
          <w:color w:val="auto"/>
          <w:kern w:val="0"/>
          <w:sz w:val="24"/>
          <w:szCs w:val="24"/>
          <w:highlight w:val="none"/>
          <w:lang w:val="en-US" w:eastAsia="zh-CN" w:bidi="ar-SA"/>
        </w:rPr>
        <w:t>和北京市</w:t>
      </w:r>
      <w:r>
        <w:rPr>
          <w:rFonts w:hint="eastAsia" w:ascii="Times New Roman" w:hAnsi="Times New Roman" w:eastAsia="宋体" w:cs="Times New Roman"/>
          <w:color w:val="auto"/>
          <w:kern w:val="0"/>
          <w:sz w:val="24"/>
          <w:szCs w:val="24"/>
          <w:highlight w:val="none"/>
          <w:lang w:val="en-US" w:eastAsia="zh-CN" w:bidi="ar-SA"/>
        </w:rPr>
        <w:t>现行有关标准的规定。</w:t>
      </w:r>
    </w:p>
    <w:p w14:paraId="03E14555">
      <w:pPr>
        <w:wordWrap/>
        <w:overflowPunct/>
        <w:topLinePunct w:val="0"/>
        <w:bidi w:val="0"/>
        <w:snapToGrid w:val="0"/>
        <w:spacing w:line="300" w:lineRule="auto"/>
        <w:ind w:firstLine="420" w:firstLineChars="200"/>
        <w:rPr>
          <w:rFonts w:ascii="宋体" w:hAnsi="宋体" w:cs="Times New Roman"/>
          <w:color w:val="auto"/>
          <w:sz w:val="21"/>
          <w:szCs w:val="21"/>
          <w:highlight w:val="none"/>
        </w:rPr>
      </w:pPr>
    </w:p>
    <w:p w14:paraId="4D235AAF">
      <w:pPr>
        <w:wordWrap/>
        <w:overflowPunct/>
        <w:topLinePunct w:val="0"/>
        <w:bidi w:val="0"/>
        <w:snapToGrid w:val="0"/>
        <w:spacing w:line="300" w:lineRule="auto"/>
        <w:ind w:firstLine="420" w:firstLineChars="200"/>
        <w:rPr>
          <w:rFonts w:ascii="宋体" w:hAnsi="宋体" w:cs="Times New Roman"/>
          <w:color w:val="auto"/>
          <w:sz w:val="21"/>
          <w:szCs w:val="21"/>
          <w:highlight w:val="none"/>
        </w:rPr>
        <w:sectPr>
          <w:headerReference r:id="rId8" w:type="default"/>
          <w:footerReference r:id="rId9" w:type="default"/>
          <w:pgSz w:w="11906" w:h="16838"/>
          <w:pgMar w:top="1077" w:right="1191" w:bottom="1077" w:left="1191" w:header="851" w:footer="850" w:gutter="0"/>
          <w:pgNumType w:fmt="decimal" w:start="1"/>
          <w:cols w:space="425" w:num="1"/>
          <w:docGrid w:type="linesAndChars" w:linePitch="326" w:charSpace="0"/>
        </w:sectPr>
      </w:pPr>
    </w:p>
    <w:p w14:paraId="31CCE32D">
      <w:pPr>
        <w:pStyle w:val="2"/>
        <w:bidi w:val="0"/>
        <w:rPr>
          <w:rFonts w:ascii="宋体" w:hAnsi="宋体" w:cs="Times New Roman"/>
          <w:color w:val="auto"/>
          <w:kern w:val="44"/>
          <w:szCs w:val="24"/>
          <w:highlight w:val="none"/>
          <w:lang w:val="zh-CN"/>
        </w:rPr>
      </w:pPr>
      <w:bookmarkStart w:id="21" w:name="_Toc180613519"/>
      <w:bookmarkStart w:id="22" w:name="_Toc28263"/>
      <w:bookmarkStart w:id="23" w:name="_Toc154525520"/>
      <w:bookmarkStart w:id="24" w:name="_Toc177840158"/>
      <w:bookmarkStart w:id="25" w:name="_Toc154525983"/>
      <w:bookmarkStart w:id="26" w:name="_Toc148909465"/>
      <w:bookmarkStart w:id="27" w:name="_Toc23245"/>
      <w:bookmarkStart w:id="28" w:name="_Toc20751"/>
      <w:bookmarkStart w:id="29" w:name="_Toc2192"/>
      <w:bookmarkStart w:id="30" w:name="_Toc153805641"/>
      <w:bookmarkStart w:id="31" w:name="_Toc29390"/>
      <w:bookmarkStart w:id="32" w:name="_Toc177840550"/>
      <w:bookmarkStart w:id="33" w:name="_Toc116115082"/>
      <w:bookmarkStart w:id="34" w:name="_Toc134531818"/>
      <w:bookmarkStart w:id="35" w:name="_Toc117005799"/>
      <w:bookmarkStart w:id="36" w:name="_Toc132205473"/>
      <w:bookmarkStart w:id="37" w:name="_Toc25410"/>
      <w:r>
        <w:rPr>
          <w:rFonts w:hint="default" w:ascii="Times New Roman" w:hAnsi="Times New Roman" w:eastAsia="黑体" w:cs="Times New Roman"/>
          <w:b/>
          <w:bCs/>
          <w:color w:val="auto"/>
          <w:kern w:val="44"/>
          <w:sz w:val="30"/>
          <w:szCs w:val="30"/>
          <w:highlight w:val="none"/>
          <w:lang w:val="zh-CN" w:eastAsia="zh-CN" w:bidi="ar-SA"/>
        </w:rPr>
        <w:t>2</w:t>
      </w:r>
      <w:r>
        <w:rPr>
          <w:rFonts w:hint="default" w:ascii="Times New Roman" w:hAnsi="Times New Roman" w:eastAsia="黑体" w:cs="Times New Roman"/>
          <w:b w:val="0"/>
          <w:bCs w:val="0"/>
          <w:color w:val="auto"/>
          <w:kern w:val="44"/>
          <w:sz w:val="30"/>
          <w:szCs w:val="30"/>
          <w:highlight w:val="none"/>
          <w:lang w:val="zh-CN" w:eastAsia="zh-CN" w:bidi="ar-SA"/>
        </w:rPr>
        <w:t xml:space="preserve"> </w:t>
      </w:r>
      <w:r>
        <w:rPr>
          <w:rFonts w:hint="eastAsia" w:eastAsia="黑体" w:cs="Times New Roman"/>
          <w:b w:val="0"/>
          <w:bCs w:val="0"/>
          <w:color w:val="auto"/>
          <w:kern w:val="44"/>
          <w:sz w:val="30"/>
          <w:szCs w:val="30"/>
          <w:highlight w:val="none"/>
          <w:lang w:val="en-US" w:eastAsia="zh-CN" w:bidi="ar-SA"/>
        </w:rPr>
        <w:t xml:space="preserve"> </w:t>
      </w:r>
      <w:r>
        <w:rPr>
          <w:rFonts w:hint="eastAsia" w:ascii="黑体" w:hAnsi="黑体" w:eastAsia="黑体" w:cs="黑体"/>
          <w:b w:val="0"/>
          <w:bCs w:val="0"/>
          <w:color w:val="auto"/>
          <w:kern w:val="44"/>
          <w:sz w:val="30"/>
          <w:szCs w:val="30"/>
          <w:highlight w:val="none"/>
          <w:lang w:val="zh-CN" w:eastAsia="zh-CN"/>
        </w:rPr>
        <w:t>术语</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98B3A91">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b/>
          <w:bCs/>
          <w:snapToGrid w:val="0"/>
          <w:color w:val="auto"/>
          <w:kern w:val="0"/>
          <w:sz w:val="20"/>
          <w:szCs w:val="20"/>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2.</w:t>
      </w:r>
      <w:r>
        <w:rPr>
          <w:rFonts w:hint="eastAsia" w:cs="Times New Roman"/>
          <w:b/>
          <w:bCs/>
          <w:snapToGrid w:val="0"/>
          <w:color w:val="auto"/>
          <w:kern w:val="0"/>
          <w:sz w:val="20"/>
          <w:szCs w:val="20"/>
          <w:highlight w:val="none"/>
          <w:lang w:val="en-US" w:eastAsia="zh-CN" w:bidi="ar-SA"/>
        </w:rPr>
        <w:t>0</w:t>
      </w:r>
      <w:r>
        <w:rPr>
          <w:rFonts w:hint="eastAsia" w:ascii="Times New Roman" w:hAnsi="Times New Roman" w:eastAsia="宋体" w:cs="Times New Roman"/>
          <w:b/>
          <w:bCs/>
          <w:snapToGrid w:val="0"/>
          <w:color w:val="auto"/>
          <w:kern w:val="0"/>
          <w:sz w:val="20"/>
          <w:szCs w:val="20"/>
          <w:highlight w:val="none"/>
          <w:lang w:val="en-US" w:eastAsia="zh-CN" w:bidi="ar-SA"/>
        </w:rPr>
        <w:t>.1</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 xml:space="preserve">预制混凝土模块 </w:t>
      </w:r>
      <w:r>
        <w:rPr>
          <w:rFonts w:hint="eastAsia" w:cs="Times New Roman"/>
          <w:color w:val="auto"/>
          <w:kern w:val="0"/>
          <w:sz w:val="24"/>
          <w:szCs w:val="24"/>
          <w:highlight w:val="none"/>
          <w:lang w:val="en-US" w:eastAsia="zh-CN" w:bidi="ar-SA"/>
        </w:rPr>
        <w:t>c</w:t>
      </w:r>
      <w:r>
        <w:rPr>
          <w:rFonts w:hint="eastAsia" w:ascii="Times New Roman" w:hAnsi="Times New Roman" w:eastAsia="宋体" w:cs="Times New Roman"/>
          <w:color w:val="auto"/>
          <w:kern w:val="0"/>
          <w:sz w:val="24"/>
          <w:szCs w:val="24"/>
          <w:highlight w:val="none"/>
          <w:lang w:val="en-US" w:eastAsia="zh-CN" w:bidi="ar-SA"/>
        </w:rPr>
        <w:t xml:space="preserve">oncrete </w:t>
      </w:r>
      <w:r>
        <w:rPr>
          <w:rFonts w:hint="eastAsia" w:cs="Times New Roman"/>
          <w:color w:val="auto"/>
          <w:kern w:val="0"/>
          <w:sz w:val="24"/>
          <w:szCs w:val="24"/>
          <w:highlight w:val="none"/>
          <w:lang w:val="en-US" w:eastAsia="zh-CN" w:bidi="ar-SA"/>
        </w:rPr>
        <w:t>i</w:t>
      </w:r>
      <w:r>
        <w:rPr>
          <w:rFonts w:hint="eastAsia" w:ascii="Times New Roman" w:hAnsi="Times New Roman" w:eastAsia="宋体" w:cs="Times New Roman"/>
          <w:color w:val="auto"/>
          <w:kern w:val="0"/>
          <w:sz w:val="24"/>
          <w:szCs w:val="24"/>
          <w:highlight w:val="none"/>
          <w:lang w:val="en-US" w:eastAsia="zh-CN" w:bidi="ar-SA"/>
        </w:rPr>
        <w:t xml:space="preserve">ntegrated </w:t>
      </w:r>
      <w:r>
        <w:rPr>
          <w:rFonts w:hint="eastAsia" w:cs="Times New Roman"/>
          <w:color w:val="auto"/>
          <w:kern w:val="0"/>
          <w:sz w:val="24"/>
          <w:szCs w:val="24"/>
          <w:highlight w:val="none"/>
          <w:lang w:val="en-US" w:eastAsia="zh-CN" w:bidi="ar-SA"/>
        </w:rPr>
        <w:t>m</w:t>
      </w:r>
      <w:r>
        <w:rPr>
          <w:rFonts w:hint="eastAsia" w:ascii="Times New Roman" w:hAnsi="Times New Roman" w:eastAsia="宋体" w:cs="Times New Roman"/>
          <w:color w:val="auto"/>
          <w:kern w:val="0"/>
          <w:sz w:val="24"/>
          <w:szCs w:val="24"/>
          <w:highlight w:val="none"/>
          <w:lang w:val="en-US" w:eastAsia="zh-CN" w:bidi="ar-SA"/>
        </w:rPr>
        <w:t>odular</w:t>
      </w:r>
    </w:p>
    <w:p w14:paraId="543D498E">
      <w:pPr>
        <w:wordWrap/>
        <w:overflowPunct/>
        <w:topLinePunct w:val="0"/>
        <w:bidi w:val="0"/>
        <w:snapToGrid w:val="0"/>
        <w:spacing w:line="300" w:lineRule="auto"/>
        <w:ind w:firstLine="480" w:firstLineChars="200"/>
        <w:rPr>
          <w:rFonts w:hint="eastAsia"/>
          <w:color w:val="auto"/>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在工厂内生产的预制混凝土构件，由顶板、墙板组成，按设计要求可设置底板。简称“混凝土模块”。</w:t>
      </w:r>
    </w:p>
    <w:p w14:paraId="4122F477">
      <w:pPr>
        <w:wordWrap/>
        <w:overflowPunct/>
        <w:topLinePunct w:val="0"/>
        <w:bidi w:val="0"/>
        <w:snapToGrid w:val="0"/>
        <w:spacing w:line="300" w:lineRule="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2.</w:t>
      </w:r>
      <w:r>
        <w:rPr>
          <w:rFonts w:hint="eastAsia" w:cs="Times New Roman"/>
          <w:b/>
          <w:bCs/>
          <w:snapToGrid w:val="0"/>
          <w:color w:val="auto"/>
          <w:kern w:val="0"/>
          <w:sz w:val="20"/>
          <w:szCs w:val="20"/>
          <w:highlight w:val="none"/>
          <w:lang w:val="en-US" w:eastAsia="zh-CN" w:bidi="ar-SA"/>
        </w:rPr>
        <w:t>0</w:t>
      </w:r>
      <w:r>
        <w:rPr>
          <w:rFonts w:hint="eastAsia" w:ascii="Times New Roman" w:hAnsi="Times New Roman" w:eastAsia="宋体" w:cs="Times New Roman"/>
          <w:b/>
          <w:bCs/>
          <w:snapToGrid w:val="0"/>
          <w:color w:val="auto"/>
          <w:kern w:val="0"/>
          <w:sz w:val="20"/>
          <w:szCs w:val="20"/>
          <w:highlight w:val="none"/>
          <w:lang w:val="en-US" w:eastAsia="zh-CN" w:bidi="ar-SA"/>
        </w:rPr>
        <w:t>.2</w:t>
      </w:r>
      <w:r>
        <w:rPr>
          <w:rFonts w:hint="eastAsia" w:cs="Times New Roman"/>
          <w:b/>
          <w:bCs/>
          <w:snapToGrid w:val="0"/>
          <w:color w:val="auto"/>
          <w:kern w:val="0"/>
          <w:sz w:val="20"/>
          <w:szCs w:val="20"/>
          <w:highlight w:val="none"/>
          <w:lang w:val="en-US" w:eastAsia="zh-CN" w:bidi="ar-SA"/>
        </w:rPr>
        <w:t xml:space="preserve">  </w:t>
      </w:r>
      <w:r>
        <w:rPr>
          <w:rFonts w:hint="eastAsia" w:cs="Times New Roman"/>
          <w:snapToGrid w:val="0"/>
          <w:color w:val="auto"/>
          <w:kern w:val="0"/>
          <w:sz w:val="24"/>
          <w:szCs w:val="24"/>
          <w:highlight w:val="none"/>
          <w:lang w:val="en-US" w:eastAsia="zh-CN" w:bidi="ar-SA"/>
        </w:rPr>
        <w:t>模块化建筑 c</w:t>
      </w:r>
      <w:r>
        <w:rPr>
          <w:rFonts w:hint="eastAsia" w:ascii="Times New Roman" w:hAnsi="Times New Roman" w:eastAsia="宋体" w:cs="Times New Roman"/>
          <w:snapToGrid w:val="0"/>
          <w:color w:val="auto"/>
          <w:kern w:val="0"/>
          <w:sz w:val="24"/>
          <w:szCs w:val="24"/>
          <w:highlight w:val="none"/>
          <w:lang w:val="en-US" w:eastAsia="zh-CN" w:bidi="ar-SA"/>
        </w:rPr>
        <w:t xml:space="preserve">oncrete </w:t>
      </w:r>
      <w:r>
        <w:rPr>
          <w:rFonts w:hint="eastAsia" w:cs="Times New Roman"/>
          <w:snapToGrid w:val="0"/>
          <w:color w:val="auto"/>
          <w:kern w:val="0"/>
          <w:sz w:val="24"/>
          <w:szCs w:val="24"/>
          <w:highlight w:val="none"/>
          <w:lang w:val="en-US" w:eastAsia="zh-CN" w:bidi="ar-SA"/>
        </w:rPr>
        <w:t>i</w:t>
      </w:r>
      <w:r>
        <w:rPr>
          <w:rFonts w:hint="eastAsia" w:ascii="Times New Roman" w:hAnsi="Times New Roman" w:eastAsia="宋体" w:cs="Times New Roman"/>
          <w:snapToGrid w:val="0"/>
          <w:color w:val="auto"/>
          <w:kern w:val="0"/>
          <w:sz w:val="24"/>
          <w:szCs w:val="24"/>
          <w:highlight w:val="none"/>
          <w:lang w:val="en-US" w:eastAsia="zh-CN" w:bidi="ar-SA"/>
        </w:rPr>
        <w:t xml:space="preserve">ntegrated </w:t>
      </w:r>
      <w:r>
        <w:rPr>
          <w:rFonts w:hint="eastAsia" w:cs="Times New Roman"/>
          <w:snapToGrid w:val="0"/>
          <w:color w:val="auto"/>
          <w:kern w:val="0"/>
          <w:sz w:val="24"/>
          <w:szCs w:val="24"/>
          <w:highlight w:val="none"/>
          <w:lang w:val="en-US" w:eastAsia="zh-CN" w:bidi="ar-SA"/>
        </w:rPr>
        <w:t>m</w:t>
      </w:r>
      <w:r>
        <w:rPr>
          <w:rFonts w:hint="eastAsia" w:ascii="Times New Roman" w:hAnsi="Times New Roman" w:eastAsia="宋体" w:cs="Times New Roman"/>
          <w:snapToGrid w:val="0"/>
          <w:color w:val="auto"/>
          <w:kern w:val="0"/>
          <w:sz w:val="24"/>
          <w:szCs w:val="24"/>
          <w:highlight w:val="none"/>
          <w:lang w:val="en-US" w:eastAsia="zh-CN" w:bidi="ar-SA"/>
        </w:rPr>
        <w:t xml:space="preserve">odular </w:t>
      </w:r>
      <w:r>
        <w:rPr>
          <w:rFonts w:hint="eastAsia" w:cs="Times New Roman"/>
          <w:snapToGrid w:val="0"/>
          <w:color w:val="auto"/>
          <w:kern w:val="0"/>
          <w:sz w:val="24"/>
          <w:szCs w:val="24"/>
          <w:highlight w:val="none"/>
          <w:lang w:val="en-US" w:eastAsia="zh-CN" w:bidi="ar-SA"/>
        </w:rPr>
        <w:t>b</w:t>
      </w:r>
      <w:r>
        <w:rPr>
          <w:rFonts w:hint="eastAsia" w:ascii="Times New Roman" w:hAnsi="Times New Roman" w:eastAsia="宋体" w:cs="Times New Roman"/>
          <w:snapToGrid w:val="0"/>
          <w:color w:val="auto"/>
          <w:kern w:val="0"/>
          <w:sz w:val="24"/>
          <w:szCs w:val="24"/>
          <w:highlight w:val="none"/>
          <w:lang w:val="en-US" w:eastAsia="zh-CN" w:bidi="ar-SA"/>
        </w:rPr>
        <w:t>uilding</w:t>
      </w:r>
    </w:p>
    <w:p w14:paraId="4562D8F2">
      <w:pPr>
        <w:wordWrap/>
        <w:overflowPunct/>
        <w:topLinePunct w:val="0"/>
        <w:bidi w:val="0"/>
        <w:snapToGrid w:val="0"/>
        <w:spacing w:line="300" w:lineRule="auto"/>
        <w:ind w:firstLine="480" w:firstLineChars="200"/>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由在工厂内制作完成且具有一定使用功能的预制混凝土模块单元，通过现场装配连接而成的混凝土结构建筑。本标准中简称为“模块化建筑”。</w:t>
      </w:r>
    </w:p>
    <w:p w14:paraId="45EDE795">
      <w:pPr>
        <w:wordWrap/>
        <w:overflowPunct/>
        <w:topLinePunct w:val="0"/>
        <w:bidi w:val="0"/>
        <w:snapToGrid w:val="0"/>
        <w:spacing w:line="300" w:lineRule="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2.</w:t>
      </w:r>
      <w:r>
        <w:rPr>
          <w:rFonts w:hint="eastAsia" w:cs="Times New Roman"/>
          <w:b/>
          <w:bCs/>
          <w:snapToGrid w:val="0"/>
          <w:color w:val="auto"/>
          <w:kern w:val="0"/>
          <w:sz w:val="20"/>
          <w:szCs w:val="20"/>
          <w:highlight w:val="none"/>
          <w:lang w:val="en-US" w:eastAsia="zh-CN" w:bidi="ar-SA"/>
        </w:rPr>
        <w:t>0</w:t>
      </w:r>
      <w:r>
        <w:rPr>
          <w:rFonts w:hint="eastAsia" w:ascii="Times New Roman" w:hAnsi="Times New Roman" w:eastAsia="宋体" w:cs="Times New Roman"/>
          <w:b/>
          <w:bCs/>
          <w:snapToGrid w:val="0"/>
          <w:color w:val="auto"/>
          <w:kern w:val="0"/>
          <w:sz w:val="20"/>
          <w:szCs w:val="20"/>
          <w:highlight w:val="none"/>
          <w:lang w:val="en-US" w:eastAsia="zh-CN" w:bidi="ar-SA"/>
        </w:rPr>
        <w:t>.3</w:t>
      </w:r>
      <w:r>
        <w:rPr>
          <w:rFonts w:hint="eastAsia" w:ascii="Times New Roman" w:hAnsi="Times New Roman" w:eastAsia="宋体" w:cs="Times New Roman"/>
          <w:snapToGrid w:val="0"/>
          <w:color w:val="auto"/>
          <w:kern w:val="0"/>
          <w:sz w:val="24"/>
          <w:szCs w:val="24"/>
          <w:highlight w:val="none"/>
          <w:lang w:val="en-US" w:eastAsia="zh-CN" w:bidi="ar-SA"/>
        </w:rPr>
        <w:t xml:space="preserve"> </w:t>
      </w:r>
      <w:r>
        <w:rPr>
          <w:rFonts w:hint="eastAsia" w:cs="Times New Roman"/>
          <w:snapToGrid w:val="0"/>
          <w:color w:val="auto"/>
          <w:kern w:val="0"/>
          <w:sz w:val="24"/>
          <w:szCs w:val="24"/>
          <w:highlight w:val="none"/>
          <w:lang w:val="en-US" w:eastAsia="zh-CN" w:bidi="ar-SA"/>
        </w:rPr>
        <w:t xml:space="preserve"> </w:t>
      </w:r>
      <w:r>
        <w:rPr>
          <w:rFonts w:hint="eastAsia" w:ascii="Times New Roman" w:hAnsi="Times New Roman" w:eastAsia="宋体" w:cs="Times New Roman"/>
          <w:snapToGrid w:val="0"/>
          <w:color w:val="auto"/>
          <w:kern w:val="0"/>
          <w:sz w:val="24"/>
          <w:szCs w:val="24"/>
          <w:highlight w:val="none"/>
          <w:lang w:val="en-US" w:eastAsia="zh-CN" w:bidi="ar-SA"/>
        </w:rPr>
        <w:t xml:space="preserve">干式连接 </w:t>
      </w:r>
      <w:r>
        <w:rPr>
          <w:rFonts w:hint="eastAsia" w:cs="Times New Roman"/>
          <w:snapToGrid w:val="0"/>
          <w:color w:val="auto"/>
          <w:kern w:val="0"/>
          <w:sz w:val="24"/>
          <w:szCs w:val="24"/>
          <w:highlight w:val="none"/>
          <w:lang w:val="en-US" w:eastAsia="zh-CN" w:bidi="ar-SA"/>
        </w:rPr>
        <w:t>d</w:t>
      </w:r>
      <w:r>
        <w:rPr>
          <w:rFonts w:hint="eastAsia" w:ascii="Times New Roman" w:hAnsi="Times New Roman" w:eastAsia="宋体" w:cs="Times New Roman"/>
          <w:snapToGrid w:val="0"/>
          <w:color w:val="auto"/>
          <w:kern w:val="0"/>
          <w:sz w:val="24"/>
          <w:szCs w:val="24"/>
          <w:highlight w:val="none"/>
          <w:lang w:val="en-US" w:eastAsia="zh-CN" w:bidi="ar-SA"/>
        </w:rPr>
        <w:t xml:space="preserve">ry </w:t>
      </w:r>
      <w:r>
        <w:rPr>
          <w:rFonts w:hint="eastAsia" w:cs="Times New Roman"/>
          <w:snapToGrid w:val="0"/>
          <w:color w:val="auto"/>
          <w:kern w:val="0"/>
          <w:sz w:val="24"/>
          <w:szCs w:val="24"/>
          <w:highlight w:val="none"/>
          <w:lang w:val="en-US" w:eastAsia="zh-CN" w:bidi="ar-SA"/>
        </w:rPr>
        <w:t>c</w:t>
      </w:r>
      <w:r>
        <w:rPr>
          <w:rFonts w:hint="eastAsia" w:ascii="Times New Roman" w:hAnsi="Times New Roman" w:eastAsia="宋体" w:cs="Times New Roman"/>
          <w:snapToGrid w:val="0"/>
          <w:color w:val="auto"/>
          <w:kern w:val="0"/>
          <w:sz w:val="24"/>
          <w:szCs w:val="24"/>
          <w:highlight w:val="none"/>
          <w:lang w:val="en-US" w:eastAsia="zh-CN" w:bidi="ar-SA"/>
        </w:rPr>
        <w:t>onnection</w:t>
      </w:r>
    </w:p>
    <w:p w14:paraId="4464672A">
      <w:pPr>
        <w:wordWrap/>
        <w:overflowPunct/>
        <w:topLinePunct w:val="0"/>
        <w:bidi w:val="0"/>
        <w:snapToGrid w:val="0"/>
        <w:spacing w:line="300" w:lineRule="auto"/>
        <w:ind w:firstLine="480" w:firstLineChars="200"/>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预制构件间通过螺栓、焊接或其他机械方式实现可靠传力的连接方式。</w:t>
      </w:r>
    </w:p>
    <w:p w14:paraId="46D5314A">
      <w:pPr>
        <w:widowControl/>
        <w:wordWrap/>
        <w:overflowPunct/>
        <w:topLinePunct w:val="0"/>
        <w:bidi w:val="0"/>
        <w:snapToGrid w:val="0"/>
        <w:spacing w:line="300" w:lineRule="auto"/>
        <w:ind w:firstLine="420" w:firstLineChars="200"/>
        <w:jc w:val="left"/>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4D83391A">
      <w:pPr>
        <w:pStyle w:val="2"/>
        <w:bidi w:val="0"/>
        <w:rPr>
          <w:rFonts w:hint="eastAsia" w:ascii="宋体" w:hAnsi="宋体" w:eastAsia="宋体" w:cs="Times New Roman"/>
          <w:color w:val="auto"/>
          <w:kern w:val="44"/>
          <w:szCs w:val="24"/>
          <w:highlight w:val="none"/>
          <w:lang w:val="zh-CN" w:eastAsia="zh-CN"/>
        </w:rPr>
      </w:pPr>
      <w:bookmarkStart w:id="38" w:name="_Toc116115085"/>
      <w:bookmarkStart w:id="39" w:name="_Toc134531821"/>
      <w:bookmarkStart w:id="40" w:name="_Toc177840161"/>
      <w:bookmarkStart w:id="41" w:name="_Toc27030"/>
      <w:bookmarkStart w:id="42" w:name="_Toc153805644"/>
      <w:bookmarkStart w:id="43" w:name="_Toc117005802"/>
      <w:bookmarkStart w:id="44" w:name="_Toc15731"/>
      <w:bookmarkStart w:id="45" w:name="_Toc13762"/>
      <w:bookmarkStart w:id="46" w:name="_Toc148909468"/>
      <w:bookmarkStart w:id="47" w:name="_Toc28337"/>
      <w:bookmarkStart w:id="48" w:name="_Toc177840553"/>
      <w:bookmarkStart w:id="49" w:name="_Toc27691"/>
      <w:bookmarkStart w:id="50" w:name="_Toc154525986"/>
      <w:bookmarkStart w:id="51" w:name="_Toc132205476"/>
      <w:bookmarkStart w:id="52" w:name="_Toc154525523"/>
      <w:bookmarkStart w:id="53" w:name="_Toc180613522"/>
      <w:bookmarkStart w:id="54" w:name="_Toc7054"/>
      <w:r>
        <w:rPr>
          <w:rFonts w:hint="default" w:ascii="Times New Roman" w:hAnsi="Times New Roman" w:eastAsia="黑体" w:cs="Times New Roman"/>
          <w:b/>
          <w:bCs/>
          <w:color w:val="auto"/>
          <w:kern w:val="44"/>
          <w:sz w:val="30"/>
          <w:szCs w:val="30"/>
          <w:highlight w:val="none"/>
          <w:lang w:val="zh-CN" w:eastAsia="zh-CN" w:bidi="ar-SA"/>
        </w:rPr>
        <w:t>3</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zh-CN"/>
        </w:rPr>
        <w:t>基本规定</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07AA85D">
      <w:pPr>
        <w:wordWrap/>
        <w:overflowPunct/>
        <w:topLinePunct w:val="0"/>
        <w:bidi w:val="0"/>
        <w:spacing w:line="300" w:lineRule="auto"/>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3.0.1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宋体" w:hAnsi="宋体" w:cs="Times New Roman"/>
          <w:color w:val="auto"/>
          <w:szCs w:val="24"/>
          <w:highlight w:val="none"/>
        </w:rPr>
        <w:t>模块化建筑应在方案设计阶段开展多专业协同设计，统筹空间布局、结构构造、设备管线布置、内装做法及接口设计。</w:t>
      </w:r>
    </w:p>
    <w:p w14:paraId="35A5D7A3">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3.0.</w:t>
      </w:r>
      <w:r>
        <w:rPr>
          <w:rFonts w:hint="eastAsia" w:cs="Times New Roman"/>
          <w:b/>
          <w:bCs/>
          <w:snapToGrid w:val="0"/>
          <w:color w:val="auto"/>
          <w:kern w:val="0"/>
          <w:sz w:val="20"/>
          <w:szCs w:val="20"/>
          <w:highlight w:val="none"/>
          <w:lang w:val="en-US" w:eastAsia="zh-CN" w:bidi="ar-SA"/>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模块化建筑设计应遵循模数化、标准化设计原则，以标准化</w:t>
      </w:r>
      <w:r>
        <w:rPr>
          <w:rFonts w:hint="eastAsia" w:cs="Times New Roman"/>
          <w:color w:val="auto"/>
          <w:kern w:val="0"/>
          <w:sz w:val="24"/>
          <w:szCs w:val="24"/>
          <w:highlight w:val="none"/>
          <w:lang w:val="en-US" w:eastAsia="zh-CN" w:bidi="ar-SA"/>
        </w:rPr>
        <w:t>的</w:t>
      </w:r>
      <w:r>
        <w:rPr>
          <w:rFonts w:hint="eastAsia" w:ascii="Times New Roman" w:hAnsi="Times New Roman" w:eastAsia="宋体" w:cs="Times New Roman"/>
          <w:color w:val="auto"/>
          <w:kern w:val="0"/>
          <w:sz w:val="24"/>
          <w:szCs w:val="24"/>
          <w:highlight w:val="none"/>
          <w:lang w:val="en-US" w:eastAsia="zh-CN" w:bidi="ar-SA"/>
        </w:rPr>
        <w:t>模块组合成多样化的建筑形式（图3.0.</w:t>
      </w:r>
      <w:r>
        <w:rPr>
          <w:rFonts w:hint="eastAsia" w:cs="Times New Roman"/>
          <w:color w:val="auto"/>
          <w:kern w:val="0"/>
          <w:sz w:val="24"/>
          <w:szCs w:val="24"/>
          <w:highlight w:val="none"/>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76"/>
      </w:tblGrid>
      <w:tr w14:paraId="212B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6" w:type="dxa"/>
            <w:vAlign w:val="center"/>
          </w:tcPr>
          <w:p w14:paraId="13A0496B">
            <w:pPr>
              <w:wordWrap/>
              <w:overflowPunct/>
              <w:topLinePunct w:val="0"/>
              <w:bidi w:val="0"/>
              <w:snapToGrid w:val="0"/>
              <w:spacing w:line="300" w:lineRule="auto"/>
              <w:ind w:firstLine="480" w:firstLineChars="200"/>
              <w:jc w:val="center"/>
              <w:rPr>
                <w:rFonts w:ascii="宋体" w:hAnsi="宋体" w:cs="Times New Roman"/>
                <w:color w:val="auto"/>
                <w:sz w:val="18"/>
                <w:szCs w:val="18"/>
                <w:highlight w:val="none"/>
              </w:rPr>
            </w:pPr>
            <w:r>
              <w:rPr>
                <w:rFonts w:ascii="宋体" w:hAnsi="宋体" w:cs="Times New Roman"/>
                <w:color w:val="auto"/>
                <w:highlight w:val="none"/>
              </w:rPr>
              <w:drawing>
                <wp:inline distT="0" distB="0" distL="0" distR="0">
                  <wp:extent cx="2778760" cy="2259965"/>
                  <wp:effectExtent l="0" t="0" r="2540" b="6985"/>
                  <wp:docPr id="1388174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74908"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02562" cy="2279821"/>
                          </a:xfrm>
                          <a:prstGeom prst="rect">
                            <a:avLst/>
                          </a:prstGeom>
                          <a:noFill/>
                          <a:ln>
                            <a:noFill/>
                          </a:ln>
                        </pic:spPr>
                      </pic:pic>
                    </a:graphicData>
                  </a:graphic>
                </wp:inline>
              </w:drawing>
            </w:r>
          </w:p>
        </w:tc>
      </w:tr>
      <w:tr w14:paraId="46681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6" w:type="dxa"/>
            <w:vAlign w:val="center"/>
          </w:tcPr>
          <w:p w14:paraId="56821DDA">
            <w:pPr>
              <w:wordWrap/>
              <w:overflowPunct/>
              <w:topLinePunct w:val="0"/>
              <w:bidi w:val="0"/>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图</w:t>
            </w:r>
            <w:r>
              <w:rPr>
                <w:rFonts w:ascii="宋体" w:hAnsi="宋体" w:cs="Times New Roman"/>
                <w:color w:val="auto"/>
                <w:sz w:val="18"/>
                <w:szCs w:val="18"/>
                <w:highlight w:val="none"/>
              </w:rPr>
              <w:t>3.0.</w:t>
            </w:r>
            <w:r>
              <w:rPr>
                <w:rFonts w:hint="eastAsia" w:ascii="宋体" w:hAnsi="宋体" w:cs="Times New Roman"/>
                <w:color w:val="auto"/>
                <w:sz w:val="18"/>
                <w:szCs w:val="18"/>
                <w:highlight w:val="none"/>
                <w:lang w:val="en-US" w:eastAsia="zh-CN"/>
              </w:rPr>
              <w:t>2</w:t>
            </w:r>
            <w:r>
              <w:rPr>
                <w:rFonts w:ascii="宋体" w:hAnsi="宋体" w:cs="Times New Roman"/>
                <w:color w:val="auto"/>
                <w:sz w:val="18"/>
                <w:szCs w:val="18"/>
                <w:highlight w:val="none"/>
              </w:rPr>
              <w:t xml:space="preserve"> </w:t>
            </w:r>
            <w:r>
              <w:rPr>
                <w:rFonts w:hint="eastAsia" w:ascii="宋体" w:hAnsi="宋体" w:cs="Times New Roman"/>
                <w:color w:val="auto"/>
                <w:sz w:val="18"/>
                <w:szCs w:val="18"/>
                <w:highlight w:val="none"/>
                <w:lang w:eastAsia="zh-CN"/>
              </w:rPr>
              <w:t>混凝土模块</w:t>
            </w:r>
            <w:r>
              <w:rPr>
                <w:rFonts w:hint="eastAsia" w:ascii="宋体" w:hAnsi="宋体" w:cs="Times New Roman"/>
                <w:color w:val="auto"/>
                <w:sz w:val="18"/>
                <w:szCs w:val="18"/>
                <w:highlight w:val="none"/>
              </w:rPr>
              <w:t>组合示意</w:t>
            </w:r>
          </w:p>
        </w:tc>
      </w:tr>
    </w:tbl>
    <w:p w14:paraId="57D358C3">
      <w:pPr>
        <w:wordWrap/>
        <w:overflowPunct/>
        <w:topLinePunct w:val="0"/>
        <w:bidi w:val="0"/>
        <w:snapToGrid w:val="0"/>
        <w:spacing w:line="300" w:lineRule="auto"/>
        <w:rPr>
          <w:rFonts w:ascii="宋体" w:hAnsi="宋体" w:cs="Times New Roman"/>
          <w:color w:val="auto"/>
          <w:sz w:val="21"/>
          <w:szCs w:val="21"/>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3.0.</w:t>
      </w:r>
      <w:r>
        <w:rPr>
          <w:rFonts w:hint="eastAsia" w:cs="Times New Roman"/>
          <w:b/>
          <w:bCs/>
          <w:snapToGrid w:val="0"/>
          <w:color w:val="auto"/>
          <w:kern w:val="0"/>
          <w:sz w:val="20"/>
          <w:szCs w:val="20"/>
          <w:highlight w:val="none"/>
          <w:lang w:val="en-US" w:eastAsia="zh-CN" w:bidi="ar-SA"/>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olor w:val="auto"/>
          <w:highlight w:val="none"/>
          <w:lang w:val="en-US" w:eastAsia="zh-CN"/>
        </w:rPr>
        <w:t>模块化建筑的结构设计应符合现行国家标准《混凝土结构设计标准》GB/T 50010的规定，并应符合下列规定</w:t>
      </w:r>
      <w:r>
        <w:rPr>
          <w:rFonts w:hint="eastAsia" w:ascii="Times New Roman" w:hAnsi="Times New Roman" w:eastAsia="宋体" w:cs="Times New Roman"/>
          <w:color w:val="auto"/>
          <w:kern w:val="0"/>
          <w:sz w:val="24"/>
          <w:szCs w:val="24"/>
          <w:highlight w:val="none"/>
          <w:lang w:val="en-US" w:eastAsia="zh-CN" w:bidi="ar-SA"/>
        </w:rPr>
        <w:t>：</w:t>
      </w:r>
    </w:p>
    <w:p w14:paraId="44E64946">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 采取有效措施加强结构的整体性；</w:t>
      </w:r>
    </w:p>
    <w:p w14:paraId="5ABF4322">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的连接节点和接缝应受力明确、构造可靠，</w:t>
      </w:r>
      <w:r>
        <w:rPr>
          <w:rFonts w:hint="eastAsia" w:cs="Times New Roman"/>
          <w:color w:val="auto"/>
          <w:kern w:val="0"/>
          <w:sz w:val="24"/>
          <w:szCs w:val="24"/>
          <w:highlight w:val="none"/>
          <w:lang w:val="en-US" w:eastAsia="zh-CN" w:bidi="ar-SA"/>
        </w:rPr>
        <w:t>且</w:t>
      </w:r>
      <w:r>
        <w:rPr>
          <w:rFonts w:hint="eastAsia" w:ascii="Times New Roman" w:hAnsi="Times New Roman" w:eastAsia="宋体" w:cs="Times New Roman"/>
          <w:color w:val="auto"/>
          <w:kern w:val="0"/>
          <w:sz w:val="24"/>
          <w:szCs w:val="24"/>
          <w:highlight w:val="none"/>
          <w:lang w:val="en-US" w:eastAsia="zh-CN" w:bidi="ar-SA"/>
        </w:rPr>
        <w:t>满足承载力、延性和耐久性等要求；</w:t>
      </w:r>
    </w:p>
    <w:p w14:paraId="609BF87C">
      <w:pPr>
        <w:wordWrap/>
        <w:overflowPunct/>
        <w:topLinePunct w:val="0"/>
        <w:bidi w:val="0"/>
        <w:snapToGrid w:val="0"/>
        <w:spacing w:line="300" w:lineRule="auto"/>
        <w:ind w:firstLine="480" w:firstLineChars="200"/>
        <w:rPr>
          <w:rFonts w:hint="eastAsia"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 根据连接节点和接缝的构造方式和性能，确定结构的整体计算模型</w:t>
      </w:r>
      <w:r>
        <w:rPr>
          <w:rFonts w:hint="eastAsia" w:cs="Times New Roman"/>
          <w:color w:val="auto"/>
          <w:kern w:val="0"/>
          <w:sz w:val="24"/>
          <w:szCs w:val="24"/>
          <w:highlight w:val="none"/>
          <w:lang w:val="en-US" w:eastAsia="zh-CN" w:bidi="ar-SA"/>
        </w:rPr>
        <w:t>。</w:t>
      </w:r>
    </w:p>
    <w:p w14:paraId="23D66DD4">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3.0.</w:t>
      </w:r>
      <w:r>
        <w:rPr>
          <w:rFonts w:hint="eastAsia" w:cs="Times New Roman"/>
          <w:b/>
          <w:bCs/>
          <w:snapToGrid w:val="0"/>
          <w:color w:val="auto"/>
          <w:kern w:val="0"/>
          <w:sz w:val="20"/>
          <w:szCs w:val="20"/>
          <w:highlight w:val="none"/>
          <w:lang w:val="en-US" w:eastAsia="zh-CN" w:bidi="ar-SA"/>
        </w:rPr>
        <w:t>4</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混凝土模块的尺寸和形状应满足生产、运输要求。</w:t>
      </w:r>
    </w:p>
    <w:p w14:paraId="31552CC8">
      <w:pPr>
        <w:wordWrap/>
        <w:overflowPunct/>
        <w:topLinePunct w:val="0"/>
        <w:bidi w:val="0"/>
        <w:spacing w:line="300" w:lineRule="auto"/>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3.0.</w:t>
      </w:r>
      <w:r>
        <w:rPr>
          <w:rFonts w:hint="eastAsia" w:cs="Times New Roman"/>
          <w:b/>
          <w:bCs/>
          <w:snapToGrid w:val="0"/>
          <w:color w:val="auto"/>
          <w:kern w:val="0"/>
          <w:sz w:val="20"/>
          <w:szCs w:val="20"/>
          <w:highlight w:val="none"/>
          <w:lang w:val="en-US" w:eastAsia="zh-CN" w:bidi="ar-SA"/>
        </w:rPr>
        <w:t>5</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深化设计文件应经原设计单位确认后</w:t>
      </w:r>
      <w:r>
        <w:rPr>
          <w:rFonts w:hint="eastAsia" w:cs="Times New Roman"/>
          <w:color w:val="auto"/>
          <w:kern w:val="0"/>
          <w:sz w:val="24"/>
          <w:szCs w:val="24"/>
          <w:highlight w:val="none"/>
          <w:lang w:val="en-US" w:eastAsia="zh-CN" w:bidi="ar-SA"/>
        </w:rPr>
        <w:t>方可</w:t>
      </w:r>
      <w:r>
        <w:rPr>
          <w:rFonts w:hint="eastAsia" w:ascii="Times New Roman" w:hAnsi="Times New Roman" w:eastAsia="宋体" w:cs="Times New Roman"/>
          <w:color w:val="auto"/>
          <w:kern w:val="0"/>
          <w:sz w:val="24"/>
          <w:szCs w:val="24"/>
          <w:highlight w:val="none"/>
          <w:lang w:val="en-US" w:eastAsia="zh-CN" w:bidi="ar-SA"/>
        </w:rPr>
        <w:t>用于</w:t>
      </w:r>
      <w:r>
        <w:rPr>
          <w:rFonts w:hint="eastAsia" w:cs="Times New Roman"/>
          <w:color w:val="auto"/>
          <w:kern w:val="0"/>
          <w:sz w:val="24"/>
          <w:szCs w:val="24"/>
          <w:highlight w:val="none"/>
          <w:lang w:val="en-US" w:eastAsia="zh-CN" w:bidi="ar-SA"/>
        </w:rPr>
        <w:t>混凝土模块生产</w:t>
      </w:r>
      <w:r>
        <w:rPr>
          <w:rFonts w:hint="eastAsia" w:ascii="Times New Roman" w:hAnsi="Times New Roman" w:eastAsia="宋体" w:cs="Times New Roman"/>
          <w:color w:val="auto"/>
          <w:kern w:val="0"/>
          <w:sz w:val="24"/>
          <w:szCs w:val="24"/>
          <w:highlight w:val="none"/>
          <w:lang w:val="en-US" w:eastAsia="zh-CN" w:bidi="ar-SA"/>
        </w:rPr>
        <w:t>。</w:t>
      </w:r>
    </w:p>
    <w:p w14:paraId="0CC97939">
      <w:pPr>
        <w:wordWrap/>
        <w:overflowPunct/>
        <w:topLinePunct w:val="0"/>
        <w:bidi w:val="0"/>
        <w:spacing w:line="300" w:lineRule="auto"/>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3.0.</w:t>
      </w:r>
      <w:r>
        <w:rPr>
          <w:rFonts w:hint="eastAsia" w:cs="Times New Roman"/>
          <w:b/>
          <w:bCs/>
          <w:snapToGrid w:val="0"/>
          <w:color w:val="auto"/>
          <w:kern w:val="0"/>
          <w:sz w:val="20"/>
          <w:szCs w:val="20"/>
          <w:highlight w:val="none"/>
          <w:lang w:val="en-US" w:eastAsia="zh-CN" w:bidi="ar-SA"/>
        </w:rPr>
        <w:t>6</w:t>
      </w:r>
      <w:r>
        <w:rPr>
          <w:rFonts w:hint="eastAsia" w:cs="Times New Roman"/>
          <w:color w:val="auto"/>
          <w:kern w:val="0"/>
          <w:sz w:val="24"/>
          <w:szCs w:val="24"/>
          <w:highlight w:val="none"/>
          <w:lang w:val="en-US" w:eastAsia="zh-CN" w:bidi="ar-SA"/>
        </w:rPr>
        <w:t xml:space="preserve">  模块化建筑施工安装应与设计和模块生产统筹衔接，施工前应编制专项施工方案或施工组织设计，明确模块运输、堆放、安装顺序、连接工艺及成品保护措施，并应按经批准的方案组织实施。</w:t>
      </w:r>
    </w:p>
    <w:p w14:paraId="5677EA77">
      <w:pPr>
        <w:wordWrap/>
        <w:overflowPunct/>
        <w:topLinePunct w:val="0"/>
        <w:bidi w:val="0"/>
        <w:spacing w:line="300" w:lineRule="auto"/>
        <w:rPr>
          <w:rFonts w:hint="default" w:cs="Times New Roman"/>
          <w:color w:val="auto"/>
          <w:kern w:val="0"/>
          <w:sz w:val="24"/>
          <w:szCs w:val="24"/>
          <w:highlight w:val="none"/>
          <w:lang w:val="en-US" w:eastAsia="zh-CN" w:bidi="ar-SA"/>
        </w:rPr>
      </w:pPr>
    </w:p>
    <w:p w14:paraId="03C286D7">
      <w:pPr>
        <w:wordWrap/>
        <w:overflowPunct/>
        <w:topLinePunct w:val="0"/>
        <w:bidi w:val="0"/>
        <w:snapToGrid w:val="0"/>
        <w:spacing w:line="300" w:lineRule="auto"/>
        <w:ind w:firstLine="420" w:firstLineChars="200"/>
        <w:rPr>
          <w:rFonts w:ascii="宋体" w:hAnsi="宋体" w:cs="Times New Roman"/>
          <w:color w:val="auto"/>
          <w:sz w:val="21"/>
          <w:szCs w:val="21"/>
          <w:highlight w:val="none"/>
        </w:rPr>
        <w:sectPr>
          <w:headerReference r:id="rId10" w:type="even"/>
          <w:footerReference r:id="rId11" w:type="even"/>
          <w:pgSz w:w="11906" w:h="16838"/>
          <w:pgMar w:top="1077" w:right="1191" w:bottom="1077" w:left="1191" w:header="851" w:footer="850" w:gutter="0"/>
          <w:pgNumType w:fmt="decimal"/>
          <w:cols w:space="425" w:num="1"/>
          <w:docGrid w:type="linesAndChars" w:linePitch="326" w:charSpace="0"/>
        </w:sectPr>
      </w:pPr>
    </w:p>
    <w:p w14:paraId="6603C823">
      <w:pPr>
        <w:pStyle w:val="2"/>
        <w:bidi w:val="0"/>
        <w:rPr>
          <w:rFonts w:ascii="宋体" w:hAnsi="宋体" w:cs="Times New Roman"/>
          <w:color w:val="auto"/>
          <w:kern w:val="44"/>
          <w:szCs w:val="24"/>
          <w:highlight w:val="none"/>
          <w:lang w:val="zh-CN"/>
        </w:rPr>
      </w:pPr>
      <w:bookmarkStart w:id="55" w:name="_Toc153805645"/>
      <w:bookmarkStart w:id="56" w:name="_Toc180613523"/>
      <w:bookmarkStart w:id="57" w:name="_Toc117005805"/>
      <w:bookmarkStart w:id="58" w:name="_Toc154525987"/>
      <w:bookmarkStart w:id="59" w:name="_Toc16724"/>
      <w:bookmarkStart w:id="60" w:name="_Toc132205479"/>
      <w:bookmarkStart w:id="61" w:name="_Toc148909469"/>
      <w:bookmarkStart w:id="62" w:name="_Toc177840162"/>
      <w:bookmarkStart w:id="63" w:name="_Toc11477"/>
      <w:bookmarkStart w:id="64" w:name="_Toc154525524"/>
      <w:bookmarkStart w:id="65" w:name="_Toc28110"/>
      <w:bookmarkStart w:id="66" w:name="_Toc31532"/>
      <w:bookmarkStart w:id="67" w:name="_Toc116115088"/>
      <w:bookmarkStart w:id="68" w:name="_Toc177840554"/>
      <w:bookmarkStart w:id="69" w:name="_Toc21762"/>
      <w:bookmarkStart w:id="70" w:name="_Toc134531824"/>
      <w:bookmarkStart w:id="71" w:name="_Toc17834"/>
      <w:r>
        <w:rPr>
          <w:rFonts w:hint="default" w:ascii="Times New Roman" w:hAnsi="Times New Roman" w:eastAsia="黑体" w:cs="Times New Roman"/>
          <w:b/>
          <w:bCs/>
          <w:color w:val="auto"/>
          <w:kern w:val="44"/>
          <w:sz w:val="30"/>
          <w:szCs w:val="30"/>
          <w:highlight w:val="none"/>
          <w:lang w:val="zh-CN" w:eastAsia="zh-CN" w:bidi="ar-SA"/>
        </w:rPr>
        <w:t>4</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zh-CN"/>
        </w:rPr>
        <w:t>材</w:t>
      </w:r>
      <w:r>
        <w:rPr>
          <w:rFonts w:hint="eastAsia" w:ascii="黑体" w:hAnsi="黑体" w:eastAsia="黑体" w:cs="黑体"/>
          <w:b w:val="0"/>
          <w:bCs w:val="0"/>
          <w:color w:val="auto"/>
          <w:kern w:val="44"/>
          <w:sz w:val="30"/>
          <w:szCs w:val="30"/>
          <w:highlight w:val="none"/>
          <w:lang w:val="en-US" w:eastAsia="zh-CN"/>
        </w:rPr>
        <w:t xml:space="preserve">  </w:t>
      </w:r>
      <w:r>
        <w:rPr>
          <w:rFonts w:hint="eastAsia" w:ascii="黑体" w:hAnsi="黑体" w:eastAsia="黑体" w:cs="黑体"/>
          <w:b w:val="0"/>
          <w:bCs w:val="0"/>
          <w:color w:val="auto"/>
          <w:kern w:val="44"/>
          <w:sz w:val="30"/>
          <w:szCs w:val="30"/>
          <w:highlight w:val="none"/>
          <w:lang w:val="zh-CN"/>
        </w:rPr>
        <w:t>料</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44ACD87">
      <w:pPr>
        <w:pStyle w:val="3"/>
        <w:bidi w:val="0"/>
        <w:rPr>
          <w:rFonts w:hint="default" w:ascii="宋体" w:hAnsi="宋体" w:cs="Times New Roman"/>
          <w:color w:val="auto"/>
          <w:sz w:val="21"/>
          <w:szCs w:val="21"/>
          <w:highlight w:val="none"/>
          <w:lang w:val="en-US"/>
        </w:rPr>
      </w:pPr>
      <w:bookmarkStart w:id="72" w:name="_Toc116115089"/>
      <w:bookmarkStart w:id="73" w:name="_Toc134531825"/>
      <w:bookmarkStart w:id="74" w:name="_Toc117005806"/>
      <w:bookmarkStart w:id="75" w:name="_Toc132205480"/>
      <w:bookmarkStart w:id="76" w:name="_Toc3555"/>
      <w:bookmarkStart w:id="77" w:name="_Toc6282"/>
      <w:r>
        <w:rPr>
          <w:rFonts w:hint="default" w:ascii="Times New Roman" w:hAnsi="Times New Roman" w:eastAsia="黑体" w:cs="Times New Roman"/>
          <w:b/>
          <w:bCs/>
          <w:color w:val="auto"/>
          <w:kern w:val="44"/>
          <w:sz w:val="28"/>
          <w:szCs w:val="28"/>
          <w:highlight w:val="none"/>
          <w:lang w:val="zh-CN" w:eastAsia="zh-CN" w:bidi="ar-SA"/>
        </w:rPr>
        <w:t>4.1</w:t>
      </w:r>
      <w:r>
        <w:rPr>
          <w:rFonts w:ascii="宋体" w:hAnsi="宋体" w:cs="Times New Roman"/>
          <w:color w:val="auto"/>
          <w:sz w:val="21"/>
          <w:szCs w:val="21"/>
          <w:highlight w:val="none"/>
        </w:rPr>
        <w:t xml:space="preserve"> </w:t>
      </w:r>
      <w:bookmarkEnd w:id="72"/>
      <w:bookmarkEnd w:id="73"/>
      <w:bookmarkEnd w:id="74"/>
      <w:bookmarkEnd w:id="75"/>
      <w:r>
        <w:rPr>
          <w:rFonts w:hint="eastAsia" w:ascii="宋体" w:hAnsi="宋体" w:cs="Times New Roman"/>
          <w:color w:val="auto"/>
          <w:sz w:val="21"/>
          <w:szCs w:val="21"/>
          <w:highlight w:val="none"/>
          <w:lang w:val="en-US" w:eastAsia="zh-CN"/>
        </w:rPr>
        <w:t xml:space="preserve"> </w:t>
      </w:r>
      <w:r>
        <w:rPr>
          <w:rFonts w:hint="eastAsia" w:ascii="黑体" w:hAnsi="黑体" w:cs="Times New Roman"/>
          <w:b w:val="0"/>
          <w:bCs w:val="0"/>
          <w:color w:val="auto"/>
          <w:kern w:val="44"/>
          <w:sz w:val="28"/>
          <w:szCs w:val="28"/>
          <w:highlight w:val="none"/>
          <w:lang w:val="en-US" w:eastAsia="zh-CN" w:bidi="ar-SA"/>
        </w:rPr>
        <w:t>结构材料</w:t>
      </w:r>
      <w:bookmarkEnd w:id="76"/>
      <w:bookmarkEnd w:id="77"/>
    </w:p>
    <w:p w14:paraId="37F94286">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bookmarkStart w:id="78" w:name="_Hlk28271597"/>
      <w:r>
        <w:rPr>
          <w:rFonts w:hint="eastAsia" w:ascii="Times New Roman" w:hAnsi="Times New Roman" w:eastAsia="宋体" w:cs="Times New Roman"/>
          <w:b/>
          <w:bCs/>
          <w:snapToGrid w:val="0"/>
          <w:color w:val="auto"/>
          <w:kern w:val="0"/>
          <w:sz w:val="20"/>
          <w:szCs w:val="20"/>
          <w:highlight w:val="none"/>
          <w:lang w:val="en-US" w:eastAsia="zh-CN" w:bidi="ar-SA"/>
        </w:rPr>
        <w:t>4.1.1</w:t>
      </w:r>
      <w:r>
        <w:rPr>
          <w:rFonts w:ascii="宋体" w:hAnsi="宋体" w:cs="Times New Roman"/>
          <w:color w:val="auto"/>
          <w:sz w:val="21"/>
          <w:szCs w:val="21"/>
          <w:highlight w:val="none"/>
        </w:rPr>
        <w:t xml:space="preserve"> </w:t>
      </w:r>
      <w:bookmarkEnd w:id="78"/>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混凝土、钢筋和钢材的性能指标和耐久性等应符合国家现行标准</w:t>
      </w:r>
      <w:r>
        <w:rPr>
          <w:rFonts w:hint="eastAsia" w:cs="Times New Roman"/>
          <w:color w:val="auto"/>
          <w:kern w:val="0"/>
          <w:sz w:val="24"/>
          <w:szCs w:val="24"/>
          <w:highlight w:val="none"/>
          <w:lang w:val="en-US" w:eastAsia="zh-CN" w:bidi="ar-SA"/>
        </w:rPr>
        <w:t>《混凝土结构设计标准》GB/T 50010</w:t>
      </w:r>
      <w:r>
        <w:rPr>
          <w:rFonts w:hint="eastAsia" w:ascii="Times New Roman" w:hAnsi="Times New Roman" w:eastAsia="宋体" w:cs="Times New Roman"/>
          <w:color w:val="auto"/>
          <w:kern w:val="0"/>
          <w:sz w:val="24"/>
          <w:szCs w:val="24"/>
          <w:highlight w:val="none"/>
          <w:lang w:val="en-US" w:eastAsia="zh-CN" w:bidi="ar-SA"/>
        </w:rPr>
        <w:t>和《</w:t>
      </w:r>
      <w:r>
        <w:rPr>
          <w:rFonts w:hint="eastAsia" w:cs="Times New Roman"/>
          <w:color w:val="auto"/>
          <w:kern w:val="0"/>
          <w:sz w:val="24"/>
          <w:szCs w:val="24"/>
          <w:highlight w:val="none"/>
          <w:lang w:val="en-US" w:eastAsia="zh-CN" w:bidi="ar-SA"/>
        </w:rPr>
        <w:t>钢结构设计标准</w:t>
      </w:r>
      <w:r>
        <w:rPr>
          <w:rFonts w:hint="eastAsia" w:ascii="Times New Roman" w:hAnsi="Times New Roman" w:eastAsia="宋体" w:cs="Times New Roman"/>
          <w:color w:val="auto"/>
          <w:kern w:val="0"/>
          <w:sz w:val="24"/>
          <w:szCs w:val="24"/>
          <w:highlight w:val="none"/>
          <w:lang w:val="en-US" w:eastAsia="zh-CN" w:bidi="ar-SA"/>
        </w:rPr>
        <w:t>》GB 50017的规定。</w:t>
      </w:r>
    </w:p>
    <w:p w14:paraId="0672EAF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bookmarkStart w:id="79" w:name="_Hlk28074376"/>
      <w:r>
        <w:rPr>
          <w:rFonts w:hint="eastAsia" w:ascii="Times New Roman" w:hAnsi="Times New Roman" w:eastAsia="宋体" w:cs="Times New Roman"/>
          <w:b/>
          <w:bCs/>
          <w:snapToGrid w:val="0"/>
          <w:color w:val="auto"/>
          <w:kern w:val="0"/>
          <w:sz w:val="20"/>
          <w:szCs w:val="20"/>
          <w:highlight w:val="none"/>
          <w:lang w:val="en-US" w:eastAsia="zh-CN" w:bidi="ar-SA"/>
        </w:rPr>
        <w:t>4.1.2</w:t>
      </w:r>
      <w:r>
        <w:rPr>
          <w:rFonts w:ascii="宋体" w:hAnsi="宋体" w:cs="Times New Roman"/>
          <w:color w:val="auto"/>
          <w:sz w:val="21"/>
          <w:szCs w:val="21"/>
          <w:highlight w:val="none"/>
        </w:rPr>
        <w:t xml:space="preserve"> </w:t>
      </w:r>
      <w:bookmarkEnd w:id="79"/>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混凝土模块结构部分采用</w:t>
      </w:r>
      <w:r>
        <w:rPr>
          <w:rFonts w:hint="eastAsia" w:ascii="Times New Roman" w:hAnsi="Times New Roman" w:eastAsia="宋体" w:cs="Times New Roman"/>
          <w:color w:val="auto"/>
          <w:kern w:val="0"/>
          <w:sz w:val="24"/>
          <w:szCs w:val="24"/>
          <w:highlight w:val="none"/>
          <w:lang w:val="en-US" w:eastAsia="zh-CN" w:bidi="ar-SA"/>
        </w:rPr>
        <w:t>的混凝土强度等级不</w:t>
      </w:r>
      <w:r>
        <w:rPr>
          <w:rFonts w:hint="eastAsia" w:cs="Times New Roman"/>
          <w:color w:val="auto"/>
          <w:kern w:val="0"/>
          <w:sz w:val="24"/>
          <w:szCs w:val="24"/>
          <w:highlight w:val="none"/>
          <w:lang w:val="en-US" w:eastAsia="zh-CN" w:bidi="ar-SA"/>
        </w:rPr>
        <w:t>应</w:t>
      </w:r>
      <w:r>
        <w:rPr>
          <w:rFonts w:hint="eastAsia" w:ascii="Times New Roman" w:hAnsi="Times New Roman" w:eastAsia="宋体" w:cs="Times New Roman"/>
          <w:color w:val="auto"/>
          <w:kern w:val="0"/>
          <w:sz w:val="24"/>
          <w:szCs w:val="24"/>
          <w:highlight w:val="none"/>
          <w:lang w:val="en-US" w:eastAsia="zh-CN" w:bidi="ar-SA"/>
        </w:rPr>
        <w:t>低于C30；</w:t>
      </w:r>
      <w:r>
        <w:rPr>
          <w:rFonts w:hint="eastAsia" w:cs="Times New Roman"/>
          <w:color w:val="auto"/>
          <w:kern w:val="0"/>
          <w:sz w:val="24"/>
          <w:szCs w:val="24"/>
          <w:highlight w:val="none"/>
          <w:lang w:val="en-US" w:eastAsia="zh-CN" w:bidi="ar-SA"/>
        </w:rPr>
        <w:t>连接用</w:t>
      </w:r>
      <w:r>
        <w:rPr>
          <w:rFonts w:hint="eastAsia" w:ascii="Times New Roman" w:hAnsi="Times New Roman" w:eastAsia="宋体" w:cs="Times New Roman"/>
          <w:color w:val="auto"/>
          <w:kern w:val="0"/>
          <w:sz w:val="24"/>
          <w:szCs w:val="24"/>
          <w:highlight w:val="none"/>
          <w:lang w:val="en-US" w:eastAsia="zh-CN" w:bidi="ar-SA"/>
        </w:rPr>
        <w:t>现浇混凝土强度等级不应低于</w:t>
      </w:r>
      <w:r>
        <w:rPr>
          <w:rFonts w:hint="eastAsia" w:cs="Times New Roman"/>
          <w:color w:val="auto"/>
          <w:kern w:val="0"/>
          <w:sz w:val="24"/>
          <w:szCs w:val="24"/>
          <w:highlight w:val="none"/>
          <w:lang w:val="en-US" w:eastAsia="zh-CN" w:bidi="ar-SA"/>
        </w:rPr>
        <w:t>模块中被连接部位</w:t>
      </w:r>
      <w:r>
        <w:rPr>
          <w:rFonts w:hint="eastAsia" w:ascii="Times New Roman" w:hAnsi="Times New Roman" w:eastAsia="宋体" w:cs="Times New Roman"/>
          <w:color w:val="auto"/>
          <w:kern w:val="0"/>
          <w:sz w:val="24"/>
          <w:szCs w:val="24"/>
          <w:highlight w:val="none"/>
          <w:lang w:val="en-US" w:eastAsia="zh-CN" w:bidi="ar-SA"/>
        </w:rPr>
        <w:t>的混凝土强度等级。</w:t>
      </w:r>
    </w:p>
    <w:p w14:paraId="737D5B2D">
      <w:pPr>
        <w:wordWrap/>
        <w:overflowPunct/>
        <w:topLinePunct w:val="0"/>
        <w:bidi w:val="0"/>
        <w:snapToGrid w:val="0"/>
        <w:spacing w:line="300" w:lineRule="auto"/>
        <w:rPr>
          <w:rFonts w:hint="eastAsia" w:ascii="Times New Roman" w:hAnsi="Times New Roman" w:eastAsia="宋体" w:cs="Times New Roman"/>
          <w:b/>
          <w:bCs/>
          <w:snapToGrid w:val="0"/>
          <w:color w:val="auto"/>
          <w:kern w:val="0"/>
          <w:sz w:val="20"/>
          <w:szCs w:val="20"/>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4.1.3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混凝土原材料及配合比设计应符合国家</w:t>
      </w:r>
      <w:r>
        <w:rPr>
          <w:rFonts w:hint="eastAsia" w:cs="Times New Roman"/>
          <w:color w:val="auto"/>
          <w:kern w:val="0"/>
          <w:sz w:val="24"/>
          <w:szCs w:val="24"/>
          <w:highlight w:val="none"/>
          <w:lang w:val="en-US" w:eastAsia="zh-CN" w:bidi="ar-SA"/>
        </w:rPr>
        <w:t>现行</w:t>
      </w:r>
      <w:r>
        <w:rPr>
          <w:rFonts w:hint="eastAsia" w:ascii="Times New Roman" w:hAnsi="Times New Roman" w:eastAsia="宋体" w:cs="Times New Roman"/>
          <w:color w:val="auto"/>
          <w:kern w:val="0"/>
          <w:sz w:val="24"/>
          <w:szCs w:val="24"/>
          <w:highlight w:val="none"/>
          <w:lang w:val="en-US" w:eastAsia="zh-CN" w:bidi="ar-SA"/>
        </w:rPr>
        <w:t>标准《混凝土结构工程施工规范》GB 50666、《普通混凝土配合比设计规程》JGJ 55和《高强混凝土应用技术规程》JGJ/T 281等</w:t>
      </w:r>
      <w:r>
        <w:rPr>
          <w:rFonts w:hint="eastAsia" w:cs="Times New Roman"/>
          <w:color w:val="auto"/>
          <w:kern w:val="0"/>
          <w:sz w:val="24"/>
          <w:szCs w:val="24"/>
          <w:highlight w:val="none"/>
          <w:lang w:val="en-US" w:eastAsia="zh-CN" w:bidi="ar-SA"/>
        </w:rPr>
        <w:t>规定。</w:t>
      </w:r>
    </w:p>
    <w:p w14:paraId="1CC85DF3">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4.1.4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钢筋的选用应符合现行国家标准《混凝土结构设计</w:t>
      </w:r>
      <w:r>
        <w:rPr>
          <w:rFonts w:hint="eastAsia" w:cs="Times New Roman"/>
          <w:color w:val="auto"/>
          <w:kern w:val="0"/>
          <w:sz w:val="24"/>
          <w:szCs w:val="24"/>
          <w:highlight w:val="none"/>
          <w:lang w:val="en-US" w:eastAsia="zh-CN" w:bidi="ar-SA"/>
        </w:rPr>
        <w:t>标准</w:t>
      </w:r>
      <w:r>
        <w:rPr>
          <w:rFonts w:hint="eastAsia" w:ascii="Times New Roman" w:hAnsi="Times New Roman" w:eastAsia="宋体" w:cs="Times New Roman"/>
          <w:color w:val="auto"/>
          <w:kern w:val="0"/>
          <w:sz w:val="24"/>
          <w:szCs w:val="24"/>
          <w:highlight w:val="none"/>
          <w:lang w:val="en-US" w:eastAsia="zh-CN" w:bidi="ar-SA"/>
        </w:rPr>
        <w:t>》GB</w:t>
      </w:r>
      <w:r>
        <w:rPr>
          <w:rFonts w:hint="eastAsia" w:cs="Times New Roman"/>
          <w:color w:val="auto"/>
          <w:kern w:val="0"/>
          <w:sz w:val="24"/>
          <w:szCs w:val="24"/>
          <w:highlight w:val="none"/>
          <w:lang w:val="en-US" w:eastAsia="zh-CN" w:bidi="ar-SA"/>
        </w:rPr>
        <w:t>/T</w:t>
      </w:r>
      <w:r>
        <w:rPr>
          <w:rFonts w:hint="eastAsia" w:ascii="Times New Roman" w:hAnsi="Times New Roman" w:eastAsia="宋体" w:cs="Times New Roman"/>
          <w:color w:val="auto"/>
          <w:kern w:val="0"/>
          <w:sz w:val="24"/>
          <w:szCs w:val="24"/>
          <w:highlight w:val="none"/>
          <w:lang w:val="en-US" w:eastAsia="zh-CN" w:bidi="ar-SA"/>
        </w:rPr>
        <w:t xml:space="preserve"> 50010的</w:t>
      </w:r>
      <w:r>
        <w:rPr>
          <w:rFonts w:hint="eastAsia" w:cs="Times New Roman"/>
          <w:color w:val="auto"/>
          <w:kern w:val="0"/>
          <w:sz w:val="24"/>
          <w:szCs w:val="24"/>
          <w:highlight w:val="none"/>
          <w:lang w:val="en-US" w:eastAsia="zh-CN" w:bidi="ar-SA"/>
        </w:rPr>
        <w:t>规定</w:t>
      </w:r>
      <w:r>
        <w:rPr>
          <w:rFonts w:hint="eastAsia" w:ascii="Times New Roman" w:hAnsi="Times New Roman" w:eastAsia="宋体" w:cs="Times New Roman"/>
          <w:color w:val="auto"/>
          <w:kern w:val="0"/>
          <w:sz w:val="24"/>
          <w:szCs w:val="24"/>
          <w:highlight w:val="none"/>
          <w:lang w:val="en-US" w:eastAsia="zh-CN" w:bidi="ar-SA"/>
        </w:rPr>
        <w:t>。普通钢筋采用套筒灌浆连接或浆锚搭接连接时，钢筋应采用热轧带肋钢筋。</w:t>
      </w:r>
    </w:p>
    <w:p w14:paraId="0FAE1579">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4.1.5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钢筋焊接网应符合现行行业标准《钢筋焊接网混凝土结构技术规程》JGJ 114的</w:t>
      </w:r>
      <w:r>
        <w:rPr>
          <w:rFonts w:hint="eastAsia" w:cs="Times New Roman"/>
          <w:color w:val="auto"/>
          <w:kern w:val="0"/>
          <w:sz w:val="24"/>
          <w:szCs w:val="24"/>
          <w:highlight w:val="none"/>
          <w:lang w:val="en-US" w:eastAsia="zh-CN" w:bidi="ar-SA"/>
        </w:rPr>
        <w:t>规定</w:t>
      </w:r>
      <w:r>
        <w:rPr>
          <w:rFonts w:hint="eastAsia" w:ascii="Times New Roman" w:hAnsi="Times New Roman" w:eastAsia="宋体" w:cs="Times New Roman"/>
          <w:color w:val="auto"/>
          <w:kern w:val="0"/>
          <w:sz w:val="24"/>
          <w:szCs w:val="24"/>
          <w:highlight w:val="none"/>
          <w:lang w:val="en-US" w:eastAsia="zh-CN" w:bidi="ar-SA"/>
        </w:rPr>
        <w:t>。</w:t>
      </w:r>
    </w:p>
    <w:p w14:paraId="117122F2">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4.1.</w:t>
      </w:r>
      <w:r>
        <w:rPr>
          <w:rFonts w:hint="eastAsia" w:cs="Times New Roman"/>
          <w:b/>
          <w:bCs/>
          <w:snapToGrid w:val="0"/>
          <w:color w:val="auto"/>
          <w:kern w:val="0"/>
          <w:sz w:val="20"/>
          <w:szCs w:val="20"/>
          <w:highlight w:val="none"/>
          <w:lang w:val="en-US" w:eastAsia="zh-CN" w:bidi="ar-SA"/>
        </w:rPr>
        <w:t>6</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rPr>
        <w:t>安</w:t>
      </w:r>
      <w:r>
        <w:rPr>
          <w:rFonts w:hint="eastAsia" w:ascii="Times New Roman" w:hAnsi="Times New Roman" w:cs="Times New Roman"/>
          <w:color w:val="auto"/>
          <w:kern w:val="0"/>
          <w:sz w:val="24"/>
          <w:szCs w:val="24"/>
          <w:highlight w:val="none"/>
          <w:lang w:val="en-US" w:eastAsia="zh-CN"/>
        </w:rPr>
        <w:t>装用</w:t>
      </w:r>
      <w:r>
        <w:rPr>
          <w:rFonts w:hint="eastAsia" w:ascii="Times New Roman" w:hAnsi="Times New Roman" w:eastAsia="宋体" w:cs="Times New Roman"/>
          <w:color w:val="auto"/>
          <w:kern w:val="0"/>
          <w:sz w:val="24"/>
          <w:szCs w:val="24"/>
          <w:highlight w:val="none"/>
          <w:lang w:val="en-US" w:eastAsia="zh-CN" w:bidi="ar-SA"/>
        </w:rPr>
        <w:t>吊环应采用HPB300钢筋或Q235B圆钢，并应符合《</w:t>
      </w:r>
      <w:r>
        <w:rPr>
          <w:rFonts w:hint="eastAsia" w:cs="Times New Roman"/>
          <w:color w:val="auto"/>
          <w:kern w:val="0"/>
          <w:sz w:val="24"/>
          <w:szCs w:val="24"/>
          <w:highlight w:val="none"/>
          <w:lang w:val="en-US" w:eastAsia="zh-CN" w:bidi="ar-SA"/>
        </w:rPr>
        <w:t>混凝土结构设计标准</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 xml:space="preserve">GB/T </w:t>
      </w:r>
      <w:r>
        <w:rPr>
          <w:rFonts w:hint="eastAsia" w:ascii="Times New Roman" w:hAnsi="Times New Roman" w:eastAsia="宋体" w:cs="Times New Roman"/>
          <w:color w:val="auto"/>
          <w:kern w:val="0"/>
          <w:sz w:val="24"/>
          <w:szCs w:val="24"/>
          <w:highlight w:val="none"/>
          <w:lang w:val="en-US" w:eastAsia="zh-CN" w:bidi="ar-SA"/>
        </w:rPr>
        <w:t>50010的</w:t>
      </w:r>
      <w:r>
        <w:rPr>
          <w:rFonts w:hint="eastAsia" w:cs="Times New Roman"/>
          <w:color w:val="auto"/>
          <w:kern w:val="0"/>
          <w:sz w:val="24"/>
          <w:szCs w:val="24"/>
          <w:highlight w:val="none"/>
          <w:lang w:val="en-US" w:eastAsia="zh-CN" w:bidi="ar-SA"/>
        </w:rPr>
        <w:t>规定</w:t>
      </w:r>
      <w:r>
        <w:rPr>
          <w:rFonts w:hint="eastAsia" w:ascii="Times New Roman" w:hAnsi="Times New Roman" w:eastAsia="宋体" w:cs="Times New Roman"/>
          <w:color w:val="auto"/>
          <w:kern w:val="0"/>
          <w:sz w:val="24"/>
          <w:szCs w:val="24"/>
          <w:highlight w:val="none"/>
          <w:lang w:val="en-US" w:eastAsia="zh-CN" w:bidi="ar-SA"/>
        </w:rPr>
        <w:t>。</w:t>
      </w:r>
    </w:p>
    <w:p w14:paraId="22D26ACA">
      <w:pPr>
        <w:pStyle w:val="3"/>
        <w:bidi w:val="0"/>
        <w:rPr>
          <w:rFonts w:ascii="宋体" w:hAnsi="宋体" w:cs="Times New Roman"/>
          <w:color w:val="auto"/>
          <w:sz w:val="21"/>
          <w:szCs w:val="21"/>
          <w:highlight w:val="none"/>
        </w:rPr>
      </w:pPr>
      <w:bookmarkStart w:id="80" w:name="_Toc177840164"/>
      <w:bookmarkStart w:id="81" w:name="_Toc153805647"/>
      <w:bookmarkStart w:id="82" w:name="_Toc148909471"/>
      <w:bookmarkStart w:id="83" w:name="_Toc154525526"/>
      <w:bookmarkStart w:id="84" w:name="_Toc19887"/>
      <w:bookmarkStart w:id="85" w:name="_Toc535359670"/>
      <w:bookmarkStart w:id="86" w:name="_Toc116115090"/>
      <w:bookmarkStart w:id="87" w:name="_Toc180613525"/>
      <w:bookmarkStart w:id="88" w:name="_Toc16183209"/>
      <w:bookmarkStart w:id="89" w:name="_Toc1283_WPSOffice_Level2"/>
      <w:bookmarkStart w:id="90" w:name="_Toc117005807"/>
      <w:bookmarkStart w:id="91" w:name="_Toc154525989"/>
      <w:bookmarkStart w:id="92" w:name="_Toc24369"/>
      <w:bookmarkStart w:id="93" w:name="_Toc17354"/>
      <w:bookmarkStart w:id="94" w:name="_Toc17025"/>
      <w:bookmarkStart w:id="95" w:name="_Toc177840556"/>
      <w:bookmarkStart w:id="96" w:name="_Toc132205481"/>
      <w:bookmarkStart w:id="97" w:name="_Toc88219926"/>
      <w:bookmarkStart w:id="98" w:name="_Toc8422"/>
      <w:bookmarkStart w:id="99" w:name="_Toc26392"/>
      <w:bookmarkStart w:id="100" w:name="_Toc134531826"/>
      <w:r>
        <w:rPr>
          <w:rFonts w:hint="default" w:ascii="Times New Roman" w:hAnsi="Times New Roman" w:eastAsia="黑体" w:cs="Times New Roman"/>
          <w:b/>
          <w:bCs/>
          <w:color w:val="auto"/>
          <w:kern w:val="44"/>
          <w:sz w:val="28"/>
          <w:szCs w:val="28"/>
          <w:highlight w:val="none"/>
          <w:lang w:val="zh-CN" w:eastAsia="zh-CN" w:bidi="ar-SA"/>
        </w:rPr>
        <w:t xml:space="preserve">4.2 </w:t>
      </w:r>
      <w:r>
        <w:rPr>
          <w:rFonts w:hint="eastAsia" w:cs="Times New Roman"/>
          <w:b/>
          <w:bCs/>
          <w:color w:val="auto"/>
          <w:kern w:val="44"/>
          <w:sz w:val="28"/>
          <w:szCs w:val="28"/>
          <w:highlight w:val="none"/>
          <w:lang w:val="en-US" w:eastAsia="zh-CN" w:bidi="ar-SA"/>
        </w:rPr>
        <w:t xml:space="preserve"> </w:t>
      </w:r>
      <w:r>
        <w:rPr>
          <w:rFonts w:hint="eastAsia" w:ascii="黑体" w:hAnsi="黑体" w:eastAsia="黑体" w:cs="Times New Roman"/>
          <w:b w:val="0"/>
          <w:bCs w:val="0"/>
          <w:color w:val="auto"/>
          <w:kern w:val="44"/>
          <w:sz w:val="28"/>
          <w:szCs w:val="28"/>
          <w:highlight w:val="none"/>
          <w:lang w:val="zh-CN" w:eastAsia="zh-CN" w:bidi="ar-SA"/>
        </w:rPr>
        <w:t>连接</w:t>
      </w:r>
      <w:r>
        <w:rPr>
          <w:rFonts w:ascii="黑体" w:hAnsi="黑体" w:eastAsia="黑体" w:cs="Times New Roman"/>
          <w:b w:val="0"/>
          <w:bCs w:val="0"/>
          <w:color w:val="auto"/>
          <w:kern w:val="44"/>
          <w:sz w:val="28"/>
          <w:szCs w:val="28"/>
          <w:highlight w:val="none"/>
          <w:lang w:val="zh-CN" w:eastAsia="zh-CN" w:bidi="ar-SA"/>
        </w:rPr>
        <w:t>材料</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6589327">
      <w:pPr>
        <w:wordWrap/>
        <w:overflowPunct/>
        <w:topLinePunct w:val="0"/>
        <w:bidi w:val="0"/>
        <w:snapToGrid w:val="0"/>
        <w:spacing w:line="300" w:lineRule="auto"/>
        <w:rPr>
          <w:rFonts w:ascii="宋体" w:hAnsi="宋体" w:cs="Times New Roman"/>
          <w:color w:val="auto"/>
          <w:sz w:val="21"/>
          <w:szCs w:val="21"/>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4.2.1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当钢筋采用套筒灌浆连接时，灌浆料</w:t>
      </w:r>
      <w:r>
        <w:rPr>
          <w:rFonts w:hint="eastAsia" w:cs="Times New Roman"/>
          <w:color w:val="auto"/>
          <w:kern w:val="0"/>
          <w:sz w:val="24"/>
          <w:szCs w:val="24"/>
          <w:highlight w:val="none"/>
          <w:lang w:val="en-US" w:eastAsia="zh-CN" w:bidi="ar-SA"/>
        </w:rPr>
        <w:t>的性能</w:t>
      </w:r>
      <w:r>
        <w:rPr>
          <w:rFonts w:hint="eastAsia" w:ascii="Times New Roman" w:hAnsi="Times New Roman" w:eastAsia="宋体" w:cs="Times New Roman"/>
          <w:color w:val="auto"/>
          <w:kern w:val="0"/>
          <w:sz w:val="24"/>
          <w:szCs w:val="24"/>
          <w:highlight w:val="none"/>
          <w:lang w:val="en-US" w:eastAsia="zh-CN" w:bidi="ar-SA"/>
        </w:rPr>
        <w:t>应</w:t>
      </w:r>
      <w:r>
        <w:rPr>
          <w:rFonts w:hint="eastAsia" w:cs="Times New Roman"/>
          <w:color w:val="auto"/>
          <w:kern w:val="0"/>
          <w:sz w:val="24"/>
          <w:szCs w:val="24"/>
          <w:highlight w:val="none"/>
          <w:lang w:val="en-US" w:eastAsia="zh-CN" w:bidi="ar-SA"/>
        </w:rPr>
        <w:t>满足现行行业标准</w:t>
      </w:r>
      <w:r>
        <w:rPr>
          <w:rFonts w:hint="eastAsia" w:ascii="Times New Roman" w:hAnsi="Times New Roman" w:eastAsia="宋体" w:cs="Times New Roman"/>
          <w:color w:val="auto"/>
          <w:kern w:val="0"/>
          <w:sz w:val="24"/>
          <w:szCs w:val="24"/>
          <w:highlight w:val="none"/>
          <w:lang w:val="en-US" w:eastAsia="zh-CN" w:bidi="ar-SA"/>
        </w:rPr>
        <w:t>《钢筋连接用套筒灌浆料》JG/T 408的</w:t>
      </w:r>
      <w:r>
        <w:rPr>
          <w:rFonts w:hint="eastAsia" w:cs="Times New Roman"/>
          <w:color w:val="auto"/>
          <w:kern w:val="0"/>
          <w:sz w:val="24"/>
          <w:szCs w:val="24"/>
          <w:highlight w:val="none"/>
          <w:lang w:val="en-US" w:eastAsia="zh-CN" w:bidi="ar-SA"/>
        </w:rPr>
        <w:t>规定，套筒应符合</w:t>
      </w:r>
      <w:r>
        <w:rPr>
          <w:rFonts w:hint="eastAsia" w:ascii="Times New Roman" w:hAnsi="Times New Roman" w:eastAsia="宋体" w:cs="Times New Roman"/>
          <w:b w:val="0"/>
          <w:bCs w:val="0"/>
          <w:color w:val="auto"/>
          <w:kern w:val="0"/>
          <w:sz w:val="24"/>
          <w:szCs w:val="24"/>
          <w:highlight w:val="none"/>
        </w:rPr>
        <w:t>现行行业标准《钢筋连接用灌浆套筒》JG/T</w:t>
      </w:r>
      <w:r>
        <w:rPr>
          <w:rFonts w:hint="eastAsia" w:cs="Times New Roman"/>
          <w:b w:val="0"/>
          <w:bCs w:val="0"/>
          <w:color w:val="auto"/>
          <w:kern w:val="0"/>
          <w:sz w:val="24"/>
          <w:szCs w:val="24"/>
          <w:highlight w:val="none"/>
          <w:lang w:val="en-US" w:eastAsia="zh-CN"/>
        </w:rPr>
        <w:t xml:space="preserve"> </w:t>
      </w:r>
      <w:r>
        <w:rPr>
          <w:rFonts w:hint="eastAsia" w:ascii="Times New Roman" w:hAnsi="Times New Roman" w:eastAsia="宋体" w:cs="Times New Roman"/>
          <w:b w:val="0"/>
          <w:bCs w:val="0"/>
          <w:color w:val="auto"/>
          <w:kern w:val="0"/>
          <w:sz w:val="24"/>
          <w:szCs w:val="24"/>
          <w:highlight w:val="none"/>
        </w:rPr>
        <w:t>398的</w:t>
      </w:r>
      <w:r>
        <w:rPr>
          <w:rFonts w:hint="eastAsia" w:cs="Times New Roman"/>
          <w:b w:val="0"/>
          <w:bCs w:val="0"/>
          <w:color w:val="auto"/>
          <w:kern w:val="0"/>
          <w:sz w:val="24"/>
          <w:szCs w:val="24"/>
          <w:highlight w:val="none"/>
          <w:lang w:val="en-US" w:eastAsia="zh-CN"/>
        </w:rPr>
        <w:t>规定</w:t>
      </w:r>
      <w:r>
        <w:rPr>
          <w:rFonts w:hint="eastAsia" w:ascii="Times New Roman" w:hAnsi="Times New Roman" w:eastAsia="宋体" w:cs="Times New Roman"/>
          <w:b w:val="0"/>
          <w:bCs w:val="0"/>
          <w:color w:val="auto"/>
          <w:kern w:val="0"/>
          <w:sz w:val="24"/>
          <w:szCs w:val="24"/>
          <w:highlight w:val="none"/>
          <w:lang w:eastAsia="zh-CN"/>
        </w:rPr>
        <w:t>，</w:t>
      </w:r>
      <w:r>
        <w:rPr>
          <w:rFonts w:hint="eastAsia" w:ascii="Times New Roman" w:hAnsi="Times New Roman" w:eastAsia="宋体" w:cs="Times New Roman"/>
          <w:b w:val="0"/>
          <w:bCs w:val="0"/>
          <w:color w:val="auto"/>
          <w:kern w:val="0"/>
          <w:sz w:val="24"/>
          <w:szCs w:val="24"/>
          <w:highlight w:val="none"/>
          <w:lang w:val="en-US" w:eastAsia="zh-CN"/>
        </w:rPr>
        <w:t>连接接头应符合</w:t>
      </w:r>
      <w:r>
        <w:rPr>
          <w:rFonts w:hint="eastAsia" w:cs="Times New Roman"/>
          <w:color w:val="auto"/>
          <w:kern w:val="0"/>
          <w:sz w:val="24"/>
          <w:szCs w:val="24"/>
          <w:highlight w:val="none"/>
          <w:lang w:val="en-US" w:eastAsia="zh-CN" w:bidi="ar-SA"/>
        </w:rPr>
        <w:t>现行行业标准</w:t>
      </w:r>
      <w:r>
        <w:rPr>
          <w:rFonts w:hint="eastAsia" w:ascii="Times New Roman" w:hAnsi="Times New Roman" w:eastAsia="宋体" w:cs="Times New Roman"/>
          <w:b w:val="0"/>
          <w:bCs w:val="0"/>
          <w:color w:val="auto"/>
          <w:kern w:val="0"/>
          <w:sz w:val="24"/>
          <w:szCs w:val="24"/>
          <w:highlight w:val="none"/>
        </w:rPr>
        <w:t>《钢筋</w:t>
      </w:r>
      <w:r>
        <w:rPr>
          <w:rFonts w:hint="eastAsia" w:cs="Times New Roman"/>
          <w:b w:val="0"/>
          <w:bCs w:val="0"/>
          <w:color w:val="auto"/>
          <w:kern w:val="0"/>
          <w:sz w:val="24"/>
          <w:szCs w:val="24"/>
          <w:highlight w:val="none"/>
          <w:lang w:val="en-US" w:eastAsia="zh-CN"/>
        </w:rPr>
        <w:t>套筒灌浆</w:t>
      </w:r>
      <w:r>
        <w:rPr>
          <w:rFonts w:hint="eastAsia" w:ascii="Times New Roman" w:hAnsi="Times New Roman" w:eastAsia="宋体" w:cs="Times New Roman"/>
          <w:b w:val="0"/>
          <w:bCs w:val="0"/>
          <w:color w:val="auto"/>
          <w:kern w:val="0"/>
          <w:sz w:val="24"/>
          <w:szCs w:val="24"/>
          <w:highlight w:val="none"/>
        </w:rPr>
        <w:t>连接</w:t>
      </w:r>
      <w:r>
        <w:rPr>
          <w:rFonts w:hint="eastAsia" w:cs="Times New Roman"/>
          <w:b w:val="0"/>
          <w:bCs w:val="0"/>
          <w:color w:val="auto"/>
          <w:kern w:val="0"/>
          <w:sz w:val="24"/>
          <w:szCs w:val="24"/>
          <w:highlight w:val="none"/>
          <w:lang w:val="en-US" w:eastAsia="zh-CN"/>
        </w:rPr>
        <w:t>应</w:t>
      </w:r>
      <w:r>
        <w:rPr>
          <w:rFonts w:hint="eastAsia" w:ascii="Times New Roman" w:hAnsi="Times New Roman" w:eastAsia="宋体" w:cs="Times New Roman"/>
          <w:b w:val="0"/>
          <w:bCs w:val="0"/>
          <w:color w:val="auto"/>
          <w:kern w:val="0"/>
          <w:sz w:val="24"/>
          <w:szCs w:val="24"/>
          <w:highlight w:val="none"/>
        </w:rPr>
        <w:t>用</w:t>
      </w:r>
      <w:r>
        <w:rPr>
          <w:rFonts w:hint="eastAsia" w:cs="Times New Roman"/>
          <w:b w:val="0"/>
          <w:bCs w:val="0"/>
          <w:color w:val="auto"/>
          <w:kern w:val="0"/>
          <w:sz w:val="24"/>
          <w:szCs w:val="24"/>
          <w:highlight w:val="none"/>
          <w:lang w:val="en-US" w:eastAsia="zh-CN"/>
        </w:rPr>
        <w:t>技术规程</w:t>
      </w:r>
      <w:r>
        <w:rPr>
          <w:rFonts w:hint="eastAsia" w:ascii="Times New Roman" w:hAnsi="Times New Roman" w:eastAsia="宋体" w:cs="Times New Roman"/>
          <w:b w:val="0"/>
          <w:bCs w:val="0"/>
          <w:color w:val="auto"/>
          <w:kern w:val="0"/>
          <w:sz w:val="24"/>
          <w:szCs w:val="24"/>
          <w:highlight w:val="none"/>
        </w:rPr>
        <w:t>》</w:t>
      </w:r>
      <w:r>
        <w:rPr>
          <w:rFonts w:hint="eastAsia" w:cs="Times New Roman"/>
          <w:b w:val="0"/>
          <w:bCs w:val="0"/>
          <w:color w:val="auto"/>
          <w:kern w:val="0"/>
          <w:sz w:val="24"/>
          <w:szCs w:val="24"/>
          <w:highlight w:val="none"/>
          <w:lang w:eastAsia="zh-CN"/>
        </w:rPr>
        <w:t>JGJ/T 355</w:t>
      </w:r>
      <w:r>
        <w:rPr>
          <w:rFonts w:hint="eastAsia" w:cs="Times New Roman"/>
          <w:b w:val="0"/>
          <w:bCs w:val="0"/>
          <w:color w:val="auto"/>
          <w:kern w:val="0"/>
          <w:sz w:val="24"/>
          <w:szCs w:val="24"/>
          <w:highlight w:val="none"/>
          <w:lang w:val="en-US" w:eastAsia="zh-CN"/>
        </w:rPr>
        <w:t>的规定</w:t>
      </w:r>
      <w:r>
        <w:rPr>
          <w:rFonts w:hint="eastAsia" w:ascii="Times New Roman" w:hAnsi="Times New Roman" w:eastAsia="宋体" w:cs="Times New Roman"/>
          <w:color w:val="auto"/>
          <w:kern w:val="0"/>
          <w:sz w:val="24"/>
          <w:szCs w:val="24"/>
          <w:highlight w:val="none"/>
          <w:lang w:val="en-US" w:eastAsia="zh-CN" w:bidi="ar-SA"/>
        </w:rPr>
        <w:t>。</w:t>
      </w:r>
    </w:p>
    <w:p w14:paraId="772C980F">
      <w:pPr>
        <w:wordWrap/>
        <w:overflowPunct/>
        <w:topLinePunct w:val="0"/>
        <w:bidi w:val="0"/>
        <w:snapToGrid w:val="0"/>
        <w:spacing w:before="164" w:beforeLines="50" w:line="300" w:lineRule="auto"/>
        <w:rPr>
          <w:rFonts w:hint="eastAsia" w:ascii="宋体" w:hAnsi="宋体" w:eastAsia="宋体" w:cs="Times New Roman"/>
          <w:color w:val="auto"/>
          <w:sz w:val="21"/>
          <w:szCs w:val="21"/>
          <w:highlight w:val="none"/>
          <w:lang w:eastAsia="zh-CN"/>
        </w:rPr>
      </w:pPr>
      <w:r>
        <w:rPr>
          <w:rFonts w:hint="eastAsia" w:ascii="Times New Roman" w:hAnsi="Times New Roman" w:eastAsia="宋体" w:cs="Times New Roman"/>
          <w:b/>
          <w:bCs/>
          <w:snapToGrid w:val="0"/>
          <w:color w:val="auto"/>
          <w:kern w:val="0"/>
          <w:sz w:val="20"/>
          <w:szCs w:val="20"/>
          <w:highlight w:val="none"/>
          <w:lang w:val="en-US" w:eastAsia="zh-CN" w:bidi="ar-SA"/>
        </w:rPr>
        <w:t>4.2.2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钢筋浆锚搭接连接接头、螺栓连接或焊接连接水平接缝应采用水泥基灌浆料，灌浆料的性能应满足表4.2.2的要求</w:t>
      </w:r>
      <w:r>
        <w:rPr>
          <w:rFonts w:hint="eastAsia" w:ascii="宋体" w:hAnsi="宋体" w:cs="Times New Roman"/>
          <w:color w:val="auto"/>
          <w:sz w:val="21"/>
          <w:szCs w:val="21"/>
          <w:highlight w:val="none"/>
        </w:rPr>
        <w:t>。</w:t>
      </w:r>
    </w:p>
    <w:p w14:paraId="1836B063">
      <w:pPr>
        <w:wordWrap/>
        <w:overflowPunct/>
        <w:topLinePunct w:val="0"/>
        <w:bidi w:val="0"/>
        <w:snapToGrid w:val="0"/>
        <w:spacing w:line="300" w:lineRule="auto"/>
        <w:ind w:firstLine="360" w:firstLineChars="200"/>
        <w:jc w:val="center"/>
        <w:rPr>
          <w:rFonts w:ascii="宋体" w:hAnsi="宋体" w:cs="Times New Roman"/>
          <w:color w:val="auto"/>
          <w:kern w:val="0"/>
          <w:sz w:val="18"/>
          <w:szCs w:val="18"/>
          <w:highlight w:val="none"/>
        </w:rPr>
      </w:pPr>
      <w:r>
        <w:rPr>
          <w:rFonts w:ascii="宋体" w:hAnsi="宋体" w:cs="Times New Roman"/>
          <w:color w:val="auto"/>
          <w:kern w:val="0"/>
          <w:sz w:val="18"/>
          <w:szCs w:val="18"/>
          <w:highlight w:val="none"/>
        </w:rPr>
        <w:t>表4.2.</w:t>
      </w:r>
      <w:r>
        <w:rPr>
          <w:rFonts w:hint="eastAsia" w:ascii="宋体" w:hAnsi="宋体" w:cs="Times New Roman"/>
          <w:color w:val="auto"/>
          <w:kern w:val="0"/>
          <w:sz w:val="18"/>
          <w:szCs w:val="18"/>
          <w:highlight w:val="none"/>
          <w:lang w:val="en-US" w:eastAsia="zh-CN"/>
        </w:rPr>
        <w:t>2</w:t>
      </w:r>
      <w:r>
        <w:rPr>
          <w:rFonts w:ascii="宋体" w:hAnsi="宋体" w:cs="Times New Roman"/>
          <w:color w:val="auto"/>
          <w:kern w:val="0"/>
          <w:sz w:val="18"/>
          <w:szCs w:val="18"/>
          <w:highlight w:val="none"/>
        </w:rPr>
        <w:t xml:space="preserve"> </w:t>
      </w:r>
      <w:r>
        <w:rPr>
          <w:rFonts w:hint="eastAsia" w:ascii="宋体" w:hAnsi="宋体" w:cs="Times New Roman"/>
          <w:color w:val="auto"/>
          <w:kern w:val="0"/>
          <w:sz w:val="18"/>
          <w:szCs w:val="18"/>
          <w:highlight w:val="none"/>
        </w:rPr>
        <w:t>钢筋浆锚搭接连接接头用灌浆料性能要求</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075"/>
        <w:gridCol w:w="1613"/>
        <w:gridCol w:w="4225"/>
      </w:tblGrid>
      <w:tr w14:paraId="56517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03" w:type="pct"/>
            <w:gridSpan w:val="2"/>
            <w:vAlign w:val="center"/>
          </w:tcPr>
          <w:p w14:paraId="2A39D358">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项  目</w:t>
            </w:r>
          </w:p>
        </w:tc>
        <w:tc>
          <w:tcPr>
            <w:tcW w:w="828" w:type="pct"/>
            <w:vAlign w:val="center"/>
          </w:tcPr>
          <w:p w14:paraId="2B5FFF5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性能指标</w:t>
            </w:r>
          </w:p>
        </w:tc>
        <w:tc>
          <w:tcPr>
            <w:tcW w:w="2169" w:type="pct"/>
            <w:vAlign w:val="center"/>
          </w:tcPr>
          <w:p w14:paraId="4B621D79">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试验方法标准</w:t>
            </w:r>
          </w:p>
        </w:tc>
      </w:tr>
      <w:tr w14:paraId="3837F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3" w:type="pct"/>
            <w:gridSpan w:val="2"/>
            <w:vAlign w:val="center"/>
          </w:tcPr>
          <w:p w14:paraId="6C70307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泌水率（%）</w:t>
            </w:r>
          </w:p>
        </w:tc>
        <w:tc>
          <w:tcPr>
            <w:tcW w:w="828" w:type="pct"/>
            <w:vAlign w:val="center"/>
          </w:tcPr>
          <w:p w14:paraId="5F5901A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0</w:t>
            </w:r>
          </w:p>
        </w:tc>
        <w:tc>
          <w:tcPr>
            <w:tcW w:w="2169" w:type="pct"/>
            <w:vAlign w:val="center"/>
          </w:tcPr>
          <w:p w14:paraId="0049DB0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《普通混凝土拌合物性能试验方法标准》GB/T 50080</w:t>
            </w:r>
          </w:p>
        </w:tc>
      </w:tr>
      <w:tr w14:paraId="482BF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restart"/>
            <w:vAlign w:val="center"/>
          </w:tcPr>
          <w:p w14:paraId="1F2AEB1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流动度</w:t>
            </w:r>
          </w:p>
          <w:p w14:paraId="05A2595D">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（mm）</w:t>
            </w:r>
          </w:p>
        </w:tc>
        <w:tc>
          <w:tcPr>
            <w:tcW w:w="1065" w:type="pct"/>
            <w:vAlign w:val="center"/>
          </w:tcPr>
          <w:p w14:paraId="790D59D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初始值</w:t>
            </w:r>
          </w:p>
        </w:tc>
        <w:tc>
          <w:tcPr>
            <w:tcW w:w="828" w:type="pct"/>
            <w:vAlign w:val="center"/>
          </w:tcPr>
          <w:p w14:paraId="4F919578">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≥290</w:t>
            </w:r>
          </w:p>
        </w:tc>
        <w:tc>
          <w:tcPr>
            <w:tcW w:w="2169" w:type="pct"/>
            <w:vMerge w:val="restart"/>
            <w:vAlign w:val="center"/>
          </w:tcPr>
          <w:p w14:paraId="418B2C8B">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《水泥基灌浆材料应用技术规范》GB/T 50448</w:t>
            </w:r>
          </w:p>
        </w:tc>
      </w:tr>
      <w:tr w14:paraId="0CA23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continue"/>
            <w:vAlign w:val="center"/>
          </w:tcPr>
          <w:p w14:paraId="40A3AC6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c>
          <w:tcPr>
            <w:tcW w:w="1065" w:type="pct"/>
            <w:vAlign w:val="center"/>
          </w:tcPr>
          <w:p w14:paraId="0A575F93">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30min保留值</w:t>
            </w:r>
          </w:p>
        </w:tc>
        <w:tc>
          <w:tcPr>
            <w:tcW w:w="828" w:type="pct"/>
            <w:vAlign w:val="center"/>
          </w:tcPr>
          <w:p w14:paraId="54BB1217">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≥260</w:t>
            </w:r>
          </w:p>
        </w:tc>
        <w:tc>
          <w:tcPr>
            <w:tcW w:w="2169" w:type="pct"/>
            <w:vMerge w:val="continue"/>
            <w:vAlign w:val="center"/>
          </w:tcPr>
          <w:p w14:paraId="0166F46F">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r>
      <w:tr w14:paraId="18FEE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restart"/>
            <w:vAlign w:val="center"/>
          </w:tcPr>
          <w:p w14:paraId="6B8AA4C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竖向膨胀率</w:t>
            </w:r>
          </w:p>
          <w:p w14:paraId="07983DAC">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w:t>
            </w:r>
          </w:p>
        </w:tc>
        <w:tc>
          <w:tcPr>
            <w:tcW w:w="1065" w:type="pct"/>
            <w:vAlign w:val="center"/>
          </w:tcPr>
          <w:p w14:paraId="5ADCF79B">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3h</w:t>
            </w:r>
          </w:p>
        </w:tc>
        <w:tc>
          <w:tcPr>
            <w:tcW w:w="828" w:type="pct"/>
            <w:vAlign w:val="center"/>
          </w:tcPr>
          <w:p w14:paraId="359D8BBD">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≥0.02</w:t>
            </w:r>
          </w:p>
        </w:tc>
        <w:tc>
          <w:tcPr>
            <w:tcW w:w="2169" w:type="pct"/>
            <w:vMerge w:val="continue"/>
            <w:vAlign w:val="center"/>
          </w:tcPr>
          <w:p w14:paraId="1E7A305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r>
      <w:tr w14:paraId="0361F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continue"/>
            <w:vAlign w:val="center"/>
          </w:tcPr>
          <w:p w14:paraId="597EF29B">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c>
          <w:tcPr>
            <w:tcW w:w="1065" w:type="pct"/>
            <w:vAlign w:val="center"/>
          </w:tcPr>
          <w:p w14:paraId="7553DF1C">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24h与3h的膨胀率之差</w:t>
            </w:r>
          </w:p>
        </w:tc>
        <w:tc>
          <w:tcPr>
            <w:tcW w:w="828" w:type="pct"/>
            <w:vAlign w:val="center"/>
          </w:tcPr>
          <w:p w14:paraId="6FC2918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0.02~0.5</w:t>
            </w:r>
          </w:p>
        </w:tc>
        <w:tc>
          <w:tcPr>
            <w:tcW w:w="2169" w:type="pct"/>
            <w:vMerge w:val="continue"/>
            <w:vAlign w:val="center"/>
          </w:tcPr>
          <w:p w14:paraId="0E488E19">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r>
      <w:tr w14:paraId="20194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restart"/>
            <w:vAlign w:val="center"/>
          </w:tcPr>
          <w:p w14:paraId="557CC9F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抗压强度</w:t>
            </w:r>
          </w:p>
          <w:p w14:paraId="1AD05213">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（N/mm</w:t>
            </w:r>
            <w:r>
              <w:rPr>
                <w:rFonts w:ascii="宋体" w:hAnsi="宋体" w:cs="Times New Roman"/>
                <w:color w:val="auto"/>
                <w:sz w:val="18"/>
                <w:szCs w:val="18"/>
                <w:highlight w:val="none"/>
                <w:vertAlign w:val="superscript"/>
              </w:rPr>
              <w:t>2</w:t>
            </w:r>
            <w:r>
              <w:rPr>
                <w:rFonts w:ascii="宋体" w:hAnsi="宋体" w:cs="Times New Roman"/>
                <w:color w:val="auto"/>
                <w:sz w:val="18"/>
                <w:szCs w:val="18"/>
                <w:highlight w:val="none"/>
              </w:rPr>
              <w:t>）</w:t>
            </w:r>
          </w:p>
        </w:tc>
        <w:tc>
          <w:tcPr>
            <w:tcW w:w="1065" w:type="pct"/>
            <w:vAlign w:val="center"/>
          </w:tcPr>
          <w:p w14:paraId="7DB8BB8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1d</w:t>
            </w:r>
          </w:p>
        </w:tc>
        <w:tc>
          <w:tcPr>
            <w:tcW w:w="828" w:type="pct"/>
            <w:vAlign w:val="center"/>
          </w:tcPr>
          <w:p w14:paraId="53A64608">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≥29</w:t>
            </w:r>
          </w:p>
        </w:tc>
        <w:tc>
          <w:tcPr>
            <w:tcW w:w="2169" w:type="pct"/>
            <w:vMerge w:val="continue"/>
            <w:vAlign w:val="center"/>
          </w:tcPr>
          <w:p w14:paraId="27A6C992">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r>
      <w:tr w14:paraId="51EC4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continue"/>
            <w:vAlign w:val="center"/>
          </w:tcPr>
          <w:p w14:paraId="454CFDC2">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c>
          <w:tcPr>
            <w:tcW w:w="1065" w:type="pct"/>
            <w:vAlign w:val="center"/>
          </w:tcPr>
          <w:p w14:paraId="13DF556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2d</w:t>
            </w:r>
          </w:p>
        </w:tc>
        <w:tc>
          <w:tcPr>
            <w:tcW w:w="828" w:type="pct"/>
            <w:vAlign w:val="center"/>
          </w:tcPr>
          <w:p w14:paraId="11A89367">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≥40</w:t>
            </w:r>
          </w:p>
        </w:tc>
        <w:tc>
          <w:tcPr>
            <w:tcW w:w="2169" w:type="pct"/>
            <w:vMerge w:val="continue"/>
            <w:vAlign w:val="center"/>
          </w:tcPr>
          <w:p w14:paraId="4E174FDF">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r>
      <w:tr w14:paraId="4AF79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continue"/>
            <w:vAlign w:val="center"/>
          </w:tcPr>
          <w:p w14:paraId="22D7389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c>
          <w:tcPr>
            <w:tcW w:w="1065" w:type="pct"/>
            <w:vAlign w:val="center"/>
          </w:tcPr>
          <w:p w14:paraId="7AC2B473">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28d</w:t>
            </w:r>
          </w:p>
        </w:tc>
        <w:tc>
          <w:tcPr>
            <w:tcW w:w="828" w:type="pct"/>
            <w:vAlign w:val="center"/>
          </w:tcPr>
          <w:p w14:paraId="6C46669F">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≥60</w:t>
            </w:r>
          </w:p>
        </w:tc>
        <w:tc>
          <w:tcPr>
            <w:tcW w:w="2169" w:type="pct"/>
            <w:vMerge w:val="continue"/>
            <w:vAlign w:val="center"/>
          </w:tcPr>
          <w:p w14:paraId="5FFCED0D">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p>
        </w:tc>
      </w:tr>
      <w:tr w14:paraId="0E5FB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3" w:type="pct"/>
            <w:gridSpan w:val="2"/>
            <w:vAlign w:val="center"/>
          </w:tcPr>
          <w:p w14:paraId="4401917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氯离子含量（%）</w:t>
            </w:r>
          </w:p>
        </w:tc>
        <w:tc>
          <w:tcPr>
            <w:tcW w:w="828" w:type="pct"/>
            <w:vAlign w:val="center"/>
          </w:tcPr>
          <w:p w14:paraId="51AEDC7F">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≤0.1</w:t>
            </w:r>
          </w:p>
        </w:tc>
        <w:tc>
          <w:tcPr>
            <w:tcW w:w="2169" w:type="pct"/>
            <w:vAlign w:val="center"/>
          </w:tcPr>
          <w:p w14:paraId="1C59B72B">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rPr>
            </w:pPr>
            <w:r>
              <w:rPr>
                <w:rFonts w:ascii="宋体" w:hAnsi="宋体" w:cs="Times New Roman"/>
                <w:color w:val="auto"/>
                <w:sz w:val="18"/>
                <w:szCs w:val="18"/>
                <w:highlight w:val="none"/>
              </w:rPr>
              <w:t>《混凝土外加剂匀质性试验方法》GB/T 8077</w:t>
            </w:r>
          </w:p>
        </w:tc>
      </w:tr>
    </w:tbl>
    <w:p w14:paraId="1CB95B37">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4.2.3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受力预埋件的锚板及锚筋应符合现行国家标准</w:t>
      </w:r>
      <w:r>
        <w:rPr>
          <w:rFonts w:hint="eastAsia" w:cs="Times New Roman"/>
          <w:color w:val="auto"/>
          <w:kern w:val="0"/>
          <w:sz w:val="24"/>
          <w:szCs w:val="24"/>
          <w:highlight w:val="none"/>
          <w:lang w:val="en-US" w:eastAsia="zh-CN" w:bidi="ar-SA"/>
        </w:rPr>
        <w:t>《混凝土结构设计标准》GB/T 50010</w:t>
      </w:r>
      <w:r>
        <w:rPr>
          <w:rFonts w:hint="eastAsia" w:ascii="Times New Roman" w:hAnsi="Times New Roman" w:eastAsia="宋体" w:cs="Times New Roman"/>
          <w:color w:val="auto"/>
          <w:kern w:val="0"/>
          <w:sz w:val="24"/>
          <w:szCs w:val="24"/>
          <w:highlight w:val="none"/>
          <w:lang w:val="en-US" w:eastAsia="zh-CN" w:bidi="ar-SA"/>
        </w:rPr>
        <w:t>的</w:t>
      </w:r>
      <w:r>
        <w:rPr>
          <w:rFonts w:hint="eastAsia" w:cs="Times New Roman"/>
          <w:color w:val="auto"/>
          <w:kern w:val="0"/>
          <w:sz w:val="24"/>
          <w:szCs w:val="24"/>
          <w:highlight w:val="none"/>
          <w:lang w:val="en-US" w:eastAsia="zh-CN" w:bidi="ar-SA"/>
        </w:rPr>
        <w:t>规定</w:t>
      </w:r>
      <w:r>
        <w:rPr>
          <w:rFonts w:hint="eastAsia" w:ascii="Times New Roman" w:hAnsi="Times New Roman" w:eastAsia="宋体" w:cs="Times New Roman"/>
          <w:color w:val="auto"/>
          <w:kern w:val="0"/>
          <w:sz w:val="24"/>
          <w:szCs w:val="24"/>
          <w:highlight w:val="none"/>
          <w:lang w:val="en-US" w:eastAsia="zh-CN" w:bidi="ar-SA"/>
        </w:rPr>
        <w:t>。</w:t>
      </w:r>
    </w:p>
    <w:p w14:paraId="7BDCDFE9">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4.2.4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连接用焊接材料</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螺栓和锚栓等紧固件材料应符合国家</w:t>
      </w:r>
      <w:r>
        <w:rPr>
          <w:rFonts w:hint="eastAsia" w:cs="Times New Roman"/>
          <w:color w:val="auto"/>
          <w:kern w:val="0"/>
          <w:sz w:val="24"/>
          <w:szCs w:val="24"/>
          <w:highlight w:val="none"/>
          <w:lang w:val="en-US" w:eastAsia="zh-CN" w:bidi="ar-SA"/>
        </w:rPr>
        <w:t>现行</w:t>
      </w:r>
      <w:r>
        <w:rPr>
          <w:rFonts w:hint="eastAsia" w:ascii="Times New Roman" w:hAnsi="Times New Roman" w:eastAsia="宋体" w:cs="Times New Roman"/>
          <w:color w:val="auto"/>
          <w:kern w:val="0"/>
          <w:sz w:val="24"/>
          <w:szCs w:val="24"/>
          <w:highlight w:val="none"/>
          <w:lang w:val="en-US" w:eastAsia="zh-CN" w:bidi="ar-SA"/>
        </w:rPr>
        <w:t>标准《</w:t>
      </w:r>
      <w:r>
        <w:rPr>
          <w:rFonts w:hint="eastAsia" w:cs="Times New Roman"/>
          <w:color w:val="auto"/>
          <w:kern w:val="0"/>
          <w:sz w:val="24"/>
          <w:szCs w:val="24"/>
          <w:highlight w:val="none"/>
          <w:lang w:val="en-US" w:eastAsia="zh-CN" w:bidi="ar-SA"/>
        </w:rPr>
        <w:t>钢结构设计标准</w:t>
      </w:r>
      <w:r>
        <w:rPr>
          <w:rFonts w:hint="eastAsia" w:ascii="Times New Roman" w:hAnsi="Times New Roman" w:eastAsia="宋体" w:cs="Times New Roman"/>
          <w:color w:val="auto"/>
          <w:kern w:val="0"/>
          <w:sz w:val="24"/>
          <w:szCs w:val="24"/>
          <w:highlight w:val="none"/>
          <w:lang w:val="en-US" w:eastAsia="zh-CN" w:bidi="ar-SA"/>
        </w:rPr>
        <w:t>》GB 50017、《钢结构焊接规范》GB 50661和《钢筋焊接及验收规程》JGJ 18的</w:t>
      </w:r>
      <w:r>
        <w:rPr>
          <w:rFonts w:hint="eastAsia" w:cs="Times New Roman"/>
          <w:color w:val="auto"/>
          <w:kern w:val="0"/>
          <w:sz w:val="24"/>
          <w:szCs w:val="24"/>
          <w:highlight w:val="none"/>
          <w:lang w:val="en-US" w:eastAsia="zh-CN" w:bidi="ar-SA"/>
        </w:rPr>
        <w:t>规定</w:t>
      </w:r>
      <w:r>
        <w:rPr>
          <w:rFonts w:hint="eastAsia" w:ascii="Times New Roman" w:hAnsi="Times New Roman" w:eastAsia="宋体" w:cs="Times New Roman"/>
          <w:color w:val="auto"/>
          <w:kern w:val="0"/>
          <w:sz w:val="24"/>
          <w:szCs w:val="24"/>
          <w:highlight w:val="none"/>
          <w:lang w:val="en-US" w:eastAsia="zh-CN" w:bidi="ar-SA"/>
        </w:rPr>
        <w:t>。</w:t>
      </w:r>
    </w:p>
    <w:p w14:paraId="18B37D8C">
      <w:pPr>
        <w:wordWrap/>
        <w:overflowPunct/>
        <w:topLinePunct w:val="0"/>
        <w:bidi w:val="0"/>
        <w:snapToGrid w:val="0"/>
        <w:spacing w:before="179" w:line="300" w:lineRule="auto"/>
        <w:ind w:firstLine="0" w:firstLineChars="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4.2.5 </w:t>
      </w:r>
      <w:r>
        <w:rPr>
          <w:rFonts w:hint="eastAsia" w:cs="Times New Roman"/>
          <w:b/>
          <w:bCs/>
          <w:snapToGrid w:val="0"/>
          <w:color w:val="auto"/>
          <w:kern w:val="0"/>
          <w:sz w:val="20"/>
          <w:szCs w:val="20"/>
          <w:highlight w:val="none"/>
          <w:lang w:val="en-US" w:eastAsia="zh-CN" w:bidi="ar-SA"/>
        </w:rPr>
        <w:t xml:space="preserve"> </w:t>
      </w:r>
      <w:r>
        <w:rPr>
          <w:rFonts w:ascii="宋体" w:hAnsi="宋体" w:eastAsia="宋体" w:cs="宋体"/>
          <w:b w:val="0"/>
          <w:bCs w:val="0"/>
          <w:color w:val="auto"/>
          <w:sz w:val="24"/>
          <w:szCs w:val="24"/>
          <w:highlight w:val="none"/>
        </w:rPr>
        <w:t>钢</w:t>
      </w:r>
      <w:r>
        <w:rPr>
          <w:rFonts w:hint="eastAsia" w:ascii="宋体" w:hAnsi="宋体" w:eastAsia="宋体" w:cs="宋体"/>
          <w:b w:val="0"/>
          <w:bCs w:val="0"/>
          <w:color w:val="auto"/>
          <w:sz w:val="24"/>
          <w:szCs w:val="24"/>
          <w:highlight w:val="none"/>
          <w:lang w:val="en-US" w:eastAsia="zh-CN"/>
        </w:rPr>
        <w:t>连接部件</w:t>
      </w:r>
      <w:r>
        <w:rPr>
          <w:rFonts w:ascii="宋体" w:hAnsi="宋体" w:eastAsia="宋体" w:cs="宋体"/>
          <w:b w:val="0"/>
          <w:bCs w:val="0"/>
          <w:color w:val="auto"/>
          <w:sz w:val="24"/>
          <w:szCs w:val="24"/>
          <w:highlight w:val="none"/>
        </w:rPr>
        <w:t>的防腐和防火材料，</w:t>
      </w:r>
      <w:r>
        <w:rPr>
          <w:rFonts w:hint="eastAsia" w:ascii="Times New Roman" w:hAnsi="Times New Roman" w:eastAsia="宋体" w:cs="Times New Roman"/>
          <w:color w:val="auto"/>
          <w:kern w:val="0"/>
          <w:sz w:val="24"/>
          <w:szCs w:val="24"/>
          <w:highlight w:val="none"/>
          <w:lang w:val="en-US" w:eastAsia="zh-CN" w:bidi="ar-SA"/>
        </w:rPr>
        <w:t>应符合下列规定：</w:t>
      </w:r>
    </w:p>
    <w:p w14:paraId="506C7561">
      <w:pPr>
        <w:wordWrap/>
        <w:overflowPunct/>
        <w:topLinePunct w:val="0"/>
        <w:bidi w:val="0"/>
        <w:snapToGrid w:val="0"/>
        <w:spacing w:line="30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 当采用镀锌防腐时，应符合现行国家标准《金属覆盖层钢铁制件热浸镀锌层技术要求及试验方法》GB/T 13912的</w:t>
      </w:r>
      <w:r>
        <w:rPr>
          <w:rFonts w:hint="eastAsia" w:ascii="宋体" w:hAnsi="宋体" w:cs="宋体"/>
          <w:color w:val="auto"/>
          <w:kern w:val="0"/>
          <w:sz w:val="24"/>
          <w:szCs w:val="24"/>
          <w:highlight w:val="none"/>
          <w:lang w:val="en-US" w:eastAsia="zh-CN" w:bidi="ar-SA"/>
        </w:rPr>
        <w:t>规定</w:t>
      </w:r>
      <w:r>
        <w:rPr>
          <w:rFonts w:hint="eastAsia" w:ascii="宋体" w:hAnsi="宋体" w:eastAsia="宋体" w:cs="宋体"/>
          <w:color w:val="auto"/>
          <w:kern w:val="0"/>
          <w:sz w:val="24"/>
          <w:szCs w:val="24"/>
          <w:highlight w:val="none"/>
          <w:lang w:val="en-US" w:eastAsia="zh-CN" w:bidi="ar-SA"/>
        </w:rPr>
        <w:t>；</w:t>
      </w:r>
    </w:p>
    <w:p w14:paraId="31CE152A">
      <w:pPr>
        <w:wordWrap/>
        <w:overflowPunct/>
        <w:topLinePunct w:val="0"/>
        <w:bidi w:val="0"/>
        <w:snapToGrid w:val="0"/>
        <w:spacing w:line="30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 当采用涂层防腐时，应符合现行行业标准《建筑钢结构防腐蚀技术规程》JGJ/T 251的</w:t>
      </w:r>
      <w:r>
        <w:rPr>
          <w:rFonts w:hint="eastAsia" w:ascii="宋体" w:hAnsi="宋体" w:cs="宋体"/>
          <w:color w:val="auto"/>
          <w:kern w:val="0"/>
          <w:sz w:val="24"/>
          <w:szCs w:val="24"/>
          <w:highlight w:val="none"/>
          <w:lang w:val="en-US" w:eastAsia="zh-CN" w:bidi="ar-SA"/>
        </w:rPr>
        <w:t>规定；</w:t>
      </w:r>
    </w:p>
    <w:p w14:paraId="7F28445C">
      <w:pPr>
        <w:wordWrap/>
        <w:overflowPunct/>
        <w:topLinePunct w:val="0"/>
        <w:bidi w:val="0"/>
        <w:snapToGrid w:val="0"/>
        <w:spacing w:line="300" w:lineRule="auto"/>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SA"/>
        </w:rPr>
        <w:t xml:space="preserve">3 </w:t>
      </w:r>
      <w:r>
        <w:rPr>
          <w:rFonts w:hint="eastAsia" w:ascii="宋体" w:hAnsi="宋体" w:eastAsia="宋体" w:cs="宋体"/>
          <w:b w:val="0"/>
          <w:bCs w:val="0"/>
          <w:color w:val="auto"/>
          <w:sz w:val="24"/>
          <w:szCs w:val="24"/>
          <w:highlight w:val="none"/>
        </w:rPr>
        <w:t>防火材</w:t>
      </w:r>
      <w:r>
        <w:rPr>
          <w:rFonts w:ascii="宋体" w:hAnsi="宋体" w:eastAsia="宋体" w:cs="宋体"/>
          <w:b w:val="0"/>
          <w:bCs w:val="0"/>
          <w:color w:val="auto"/>
          <w:sz w:val="24"/>
          <w:szCs w:val="24"/>
          <w:highlight w:val="none"/>
        </w:rPr>
        <w:t>料应符合现行国家标准《钢结构设计标准》</w:t>
      </w:r>
      <w:r>
        <w:rPr>
          <w:rFonts w:ascii="TimesNewRomanPSMT" w:hAnsi="TimesNewRomanPSMT" w:eastAsia="TimesNewRomanPSMT" w:cs="TimesNewRomanPSMT"/>
          <w:b w:val="0"/>
          <w:bCs w:val="0"/>
          <w:color w:val="auto"/>
          <w:sz w:val="24"/>
          <w:szCs w:val="24"/>
          <w:highlight w:val="none"/>
        </w:rPr>
        <w:t>GB</w:t>
      </w:r>
      <w:r>
        <w:rPr>
          <w:rFonts w:hint="eastAsia" w:ascii="TimesNewRomanPSMT" w:hAnsi="TimesNewRomanPSMT" w:eastAsia="宋体" w:cs="TimesNewRomanPSMT"/>
          <w:b w:val="0"/>
          <w:bCs w:val="0"/>
          <w:color w:val="auto"/>
          <w:sz w:val="24"/>
          <w:szCs w:val="24"/>
          <w:highlight w:val="none"/>
          <w:lang w:val="en-US" w:eastAsia="zh-CN"/>
        </w:rPr>
        <w:t xml:space="preserve"> </w:t>
      </w:r>
      <w:r>
        <w:rPr>
          <w:rFonts w:ascii="TimesNewRomanPSMT" w:hAnsi="TimesNewRomanPSMT" w:eastAsia="TimesNewRomanPSMT" w:cs="TimesNewRomanPSMT"/>
          <w:b w:val="0"/>
          <w:bCs w:val="0"/>
          <w:color w:val="auto"/>
          <w:sz w:val="24"/>
          <w:szCs w:val="24"/>
          <w:highlight w:val="none"/>
        </w:rPr>
        <w:t>50017</w:t>
      </w:r>
      <w:r>
        <w:rPr>
          <w:rFonts w:ascii="宋体" w:hAnsi="宋体" w:eastAsia="宋体" w:cs="宋体"/>
          <w:b w:val="0"/>
          <w:bCs w:val="0"/>
          <w:color w:val="auto"/>
          <w:sz w:val="24"/>
          <w:szCs w:val="24"/>
          <w:highlight w:val="none"/>
        </w:rPr>
        <w:t>的</w:t>
      </w:r>
      <w:r>
        <w:rPr>
          <w:rFonts w:hint="eastAsia" w:ascii="宋体" w:hAnsi="宋体" w:cs="宋体"/>
          <w:b w:val="0"/>
          <w:bCs w:val="0"/>
          <w:color w:val="auto"/>
          <w:sz w:val="24"/>
          <w:szCs w:val="24"/>
          <w:highlight w:val="none"/>
          <w:lang w:val="en-US" w:eastAsia="zh-CN"/>
        </w:rPr>
        <w:t>规定</w:t>
      </w:r>
      <w:r>
        <w:rPr>
          <w:rFonts w:hint="eastAsia" w:ascii="宋体" w:hAnsi="宋体" w:eastAsia="宋体" w:cs="宋体"/>
          <w:b w:val="0"/>
          <w:bCs w:val="0"/>
          <w:color w:val="auto"/>
          <w:sz w:val="24"/>
          <w:szCs w:val="24"/>
          <w:highlight w:val="none"/>
          <w:lang w:eastAsia="zh-CN"/>
        </w:rPr>
        <w:t>。</w:t>
      </w:r>
    </w:p>
    <w:p w14:paraId="3606BD5F">
      <w:pPr>
        <w:pStyle w:val="3"/>
        <w:bidi w:val="0"/>
        <w:rPr>
          <w:rFonts w:ascii="黑体" w:hAnsi="黑体" w:eastAsia="黑体" w:cs="Times New Roman"/>
          <w:b w:val="0"/>
          <w:bCs w:val="0"/>
          <w:color w:val="auto"/>
          <w:kern w:val="44"/>
          <w:sz w:val="28"/>
          <w:szCs w:val="28"/>
          <w:highlight w:val="none"/>
          <w:lang w:val="zh-CN" w:eastAsia="zh-CN" w:bidi="ar-SA"/>
        </w:rPr>
      </w:pPr>
      <w:bookmarkStart w:id="101" w:name="_Toc18058"/>
      <w:bookmarkStart w:id="102" w:name="_Toc177840557"/>
      <w:bookmarkStart w:id="103" w:name="_Toc180613526"/>
      <w:bookmarkStart w:id="104" w:name="_Toc16849"/>
      <w:bookmarkStart w:id="105" w:name="_Toc153805648"/>
      <w:bookmarkStart w:id="106" w:name="_Toc3520"/>
      <w:bookmarkStart w:id="107" w:name="_Toc21220"/>
      <w:bookmarkStart w:id="108" w:name="_Toc154525990"/>
      <w:bookmarkStart w:id="109" w:name="_Toc177840165"/>
      <w:bookmarkStart w:id="110" w:name="_Toc148909472"/>
      <w:bookmarkStart w:id="111" w:name="_Toc154525527"/>
      <w:bookmarkStart w:id="112" w:name="_Toc14700"/>
      <w:bookmarkStart w:id="113" w:name="_Toc19751"/>
      <w:r>
        <w:rPr>
          <w:rFonts w:hint="default" w:ascii="Times New Roman" w:hAnsi="Times New Roman" w:eastAsia="黑体" w:cs="Times New Roman"/>
          <w:b/>
          <w:bCs/>
          <w:color w:val="auto"/>
          <w:kern w:val="44"/>
          <w:sz w:val="28"/>
          <w:szCs w:val="28"/>
          <w:highlight w:val="none"/>
          <w:lang w:val="zh-CN" w:eastAsia="zh-CN" w:bidi="ar-SA"/>
        </w:rPr>
        <w:t>4.3</w:t>
      </w:r>
      <w:r>
        <w:rPr>
          <w:rFonts w:ascii="宋体" w:hAnsi="宋体" w:cs="Times New Roman"/>
          <w:color w:val="auto"/>
          <w:sz w:val="21"/>
          <w:szCs w:val="21"/>
          <w:highlight w:val="none"/>
        </w:rPr>
        <w:t xml:space="preserve"> </w:t>
      </w:r>
      <w:bookmarkEnd w:id="101"/>
      <w:bookmarkEnd w:id="102"/>
      <w:bookmarkEnd w:id="103"/>
      <w:bookmarkEnd w:id="104"/>
      <w:bookmarkEnd w:id="105"/>
      <w:bookmarkEnd w:id="106"/>
      <w:bookmarkEnd w:id="107"/>
      <w:bookmarkEnd w:id="108"/>
      <w:bookmarkEnd w:id="109"/>
      <w:bookmarkEnd w:id="110"/>
      <w:bookmarkEnd w:id="111"/>
      <w:r>
        <w:rPr>
          <w:rFonts w:hint="eastAsia" w:ascii="宋体" w:hAnsi="宋体" w:cs="Times New Roman"/>
          <w:color w:val="auto"/>
          <w:sz w:val="21"/>
          <w:szCs w:val="21"/>
          <w:highlight w:val="none"/>
          <w:lang w:val="en-US" w:eastAsia="zh-CN"/>
        </w:rPr>
        <w:t xml:space="preserve"> </w:t>
      </w:r>
      <w:r>
        <w:rPr>
          <w:rFonts w:hint="eastAsia" w:ascii="黑体" w:hAnsi="黑体" w:cs="Times New Roman"/>
          <w:b w:val="0"/>
          <w:bCs w:val="0"/>
          <w:color w:val="auto"/>
          <w:kern w:val="44"/>
          <w:sz w:val="28"/>
          <w:szCs w:val="28"/>
          <w:highlight w:val="none"/>
          <w:lang w:val="en-US" w:eastAsia="zh-CN" w:bidi="ar-SA"/>
        </w:rPr>
        <w:t>装修材料</w:t>
      </w:r>
      <w:bookmarkEnd w:id="112"/>
      <w:bookmarkEnd w:id="113"/>
    </w:p>
    <w:p w14:paraId="4F76B5DF">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4.3.1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外墙接缝处的密封材料应符合下列规定：</w:t>
      </w:r>
    </w:p>
    <w:p w14:paraId="566F5C40">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 密封胶应与混凝土基材</w:t>
      </w:r>
      <w:r>
        <w:rPr>
          <w:rFonts w:hint="eastAsia" w:cs="Times New Roman"/>
          <w:color w:val="auto"/>
          <w:kern w:val="0"/>
          <w:sz w:val="24"/>
          <w:szCs w:val="24"/>
          <w:highlight w:val="none"/>
          <w:lang w:val="en-US" w:eastAsia="zh-CN" w:bidi="ar-SA"/>
        </w:rPr>
        <w:t>具有</w:t>
      </w:r>
      <w:r>
        <w:rPr>
          <w:rFonts w:hint="eastAsia" w:ascii="Times New Roman" w:hAnsi="Times New Roman" w:eastAsia="宋体" w:cs="Times New Roman"/>
          <w:color w:val="auto"/>
          <w:kern w:val="0"/>
          <w:sz w:val="24"/>
          <w:szCs w:val="24"/>
          <w:highlight w:val="none"/>
          <w:lang w:val="en-US" w:eastAsia="zh-CN" w:bidi="ar-SA"/>
        </w:rPr>
        <w:t>相容</w:t>
      </w:r>
      <w:r>
        <w:rPr>
          <w:rFonts w:hint="eastAsia" w:cs="Times New Roman"/>
          <w:color w:val="auto"/>
          <w:kern w:val="0"/>
          <w:sz w:val="24"/>
          <w:szCs w:val="24"/>
          <w:highlight w:val="none"/>
          <w:lang w:val="en-US" w:eastAsia="zh-CN" w:bidi="ar-SA"/>
        </w:rPr>
        <w:t>性</w:t>
      </w:r>
      <w:r>
        <w:rPr>
          <w:rFonts w:hint="eastAsia" w:ascii="Times New Roman" w:hAnsi="Times New Roman" w:eastAsia="宋体" w:cs="Times New Roman"/>
          <w:color w:val="auto"/>
          <w:kern w:val="0"/>
          <w:sz w:val="24"/>
          <w:szCs w:val="24"/>
          <w:highlight w:val="none"/>
          <w:lang w:val="en-US" w:eastAsia="zh-CN" w:bidi="ar-SA"/>
        </w:rPr>
        <w:t>，并具备适应接缝</w:t>
      </w:r>
      <w:r>
        <w:rPr>
          <w:rFonts w:hint="eastAsia" w:cs="Times New Roman"/>
          <w:color w:val="auto"/>
          <w:kern w:val="0"/>
          <w:sz w:val="24"/>
          <w:szCs w:val="24"/>
          <w:highlight w:val="none"/>
          <w:lang w:val="en-US" w:eastAsia="zh-CN" w:bidi="ar-SA"/>
        </w:rPr>
        <w:t>变形的能力</w:t>
      </w:r>
      <w:r>
        <w:rPr>
          <w:rFonts w:hint="eastAsia" w:ascii="Times New Roman" w:hAnsi="Times New Roman" w:eastAsia="宋体" w:cs="Times New Roman"/>
          <w:color w:val="auto"/>
          <w:kern w:val="0"/>
          <w:sz w:val="24"/>
          <w:szCs w:val="24"/>
          <w:highlight w:val="none"/>
          <w:lang w:val="en-US" w:eastAsia="zh-CN" w:bidi="ar-SA"/>
        </w:rPr>
        <w:t>；</w:t>
      </w:r>
    </w:p>
    <w:p w14:paraId="1460FA15">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 密封胶应具有防霉、防水、防火等性能；</w:t>
      </w:r>
    </w:p>
    <w:p w14:paraId="3D7CA14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 硅酮、聚氨酯、聚硫建筑密封胶应分别符合国家现行标准《硅酮建筑密封胶》GB/T 14683、《聚氨酯建筑密封胶》JC/T 482、《聚硫建筑密封胶》JC/T 483的</w:t>
      </w:r>
      <w:r>
        <w:rPr>
          <w:rFonts w:hint="eastAsia" w:cs="Times New Roman"/>
          <w:color w:val="auto"/>
          <w:kern w:val="0"/>
          <w:sz w:val="24"/>
          <w:szCs w:val="24"/>
          <w:highlight w:val="none"/>
          <w:lang w:val="en-US" w:eastAsia="zh-CN" w:bidi="ar-SA"/>
        </w:rPr>
        <w:t>规定</w:t>
      </w:r>
      <w:r>
        <w:rPr>
          <w:rFonts w:hint="eastAsia" w:ascii="Times New Roman" w:hAnsi="Times New Roman" w:eastAsia="宋体" w:cs="Times New Roman"/>
          <w:color w:val="auto"/>
          <w:kern w:val="0"/>
          <w:sz w:val="24"/>
          <w:szCs w:val="24"/>
          <w:highlight w:val="none"/>
          <w:lang w:val="en-US" w:eastAsia="zh-CN" w:bidi="ar-SA"/>
        </w:rPr>
        <w:t>。</w:t>
      </w:r>
    </w:p>
    <w:p w14:paraId="1EAD069E">
      <w:pPr>
        <w:wordWrap/>
        <w:overflowPunct/>
        <w:topLinePunct w:val="0"/>
        <w:bidi w:val="0"/>
        <w:snapToGrid w:val="0"/>
        <w:spacing w:line="300" w:lineRule="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4.3.2 </w:t>
      </w:r>
      <w:r>
        <w:rPr>
          <w:rFonts w:hint="eastAsia" w:cs="Times New Roman"/>
          <w:b/>
          <w:bCs/>
          <w:snapToGrid w:val="0"/>
          <w:color w:val="auto"/>
          <w:kern w:val="0"/>
          <w:sz w:val="20"/>
          <w:szCs w:val="20"/>
          <w:highlight w:val="none"/>
          <w:lang w:val="en-US" w:eastAsia="zh-CN" w:bidi="ar-SA"/>
        </w:rPr>
        <w:t xml:space="preserve"> </w:t>
      </w:r>
      <w:r>
        <w:rPr>
          <w:rFonts w:hint="eastAsia" w:cs="Times New Roman"/>
          <w:b w:val="0"/>
          <w:bCs w:val="0"/>
          <w:snapToGrid/>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外墙中的保温材料，应符合下列要求：</w:t>
      </w:r>
    </w:p>
    <w:p w14:paraId="3AA8ED79">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 保温材料的导热系数不宜大于0.040</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W/(m·K)，体积比吸水率不宜大于0.3%；</w:t>
      </w:r>
    </w:p>
    <w:p w14:paraId="47887E26">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 保温材料的燃烧性能应满足《建筑设计防火规范》GB 50016相关要求。</w:t>
      </w:r>
    </w:p>
    <w:p w14:paraId="31C2C21A">
      <w:pPr>
        <w:wordWrap/>
        <w:overflowPunct/>
        <w:topLinePunct w:val="0"/>
        <w:bidi w:val="0"/>
        <w:snapToGrid w:val="0"/>
        <w:spacing w:line="300" w:lineRule="auto"/>
        <w:ind w:firstLine="0" w:firstLineChars="0"/>
        <w:rPr>
          <w:rFonts w:hint="default" w:cs="Times New Roman"/>
          <w:b/>
          <w:bCs/>
          <w:snapToGrid w:val="0"/>
          <w:color w:val="auto"/>
          <w:kern w:val="0"/>
          <w:sz w:val="20"/>
          <w:szCs w:val="20"/>
          <w:highlight w:val="none"/>
          <w:lang w:val="en-US" w:eastAsia="zh-CN" w:bidi="ar-SA"/>
        </w:rPr>
      </w:pPr>
      <w:r>
        <w:rPr>
          <w:rFonts w:hint="eastAsia" w:cs="Times New Roman"/>
          <w:b/>
          <w:bCs/>
          <w:snapToGrid w:val="0"/>
          <w:color w:val="auto"/>
          <w:kern w:val="0"/>
          <w:sz w:val="20"/>
          <w:szCs w:val="20"/>
          <w:highlight w:val="none"/>
          <w:lang w:val="en-US" w:eastAsia="zh-CN" w:bidi="ar-SA"/>
        </w:rPr>
        <w:t>4.3.3</w:t>
      </w:r>
      <w:r>
        <w:rPr>
          <w:rFonts w:hint="eastAsia" w:cs="Times New Roman"/>
          <w:color w:val="auto"/>
          <w:kern w:val="0"/>
          <w:sz w:val="24"/>
          <w:szCs w:val="24"/>
          <w:highlight w:val="none"/>
          <w:lang w:val="en-US" w:eastAsia="zh-CN" w:bidi="ar-SA"/>
        </w:rPr>
        <w:t xml:space="preserve">  建筑外墙采用的保温材料及其系统，应符合国家现行有关节能、防火和耐久性标准的规定，并应与混凝土模块外墙形成可靠连接，连接构造应满足安全和耐久性要求。</w:t>
      </w:r>
    </w:p>
    <w:p w14:paraId="498B9A27">
      <w:pPr>
        <w:wordWrap/>
        <w:overflowPunct/>
        <w:topLinePunct w:val="0"/>
        <w:bidi w:val="0"/>
        <w:snapToGrid w:val="0"/>
        <w:spacing w:line="300" w:lineRule="auto"/>
        <w:ind w:firstLine="0" w:firstLineChars="0"/>
        <w:rPr>
          <w:rFonts w:hint="default"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4.3.4</w:t>
      </w:r>
      <w:r>
        <w:rPr>
          <w:rFonts w:hint="eastAsia" w:cs="Times New Roman"/>
          <w:color w:val="auto"/>
          <w:kern w:val="0"/>
          <w:sz w:val="24"/>
          <w:szCs w:val="24"/>
          <w:highlight w:val="none"/>
          <w:lang w:val="en-US" w:eastAsia="zh-CN" w:bidi="ar-SA"/>
        </w:rPr>
        <w:t xml:space="preserve">  室内装修材料应符合现行国家标准《民用建筑工程室内环境污染控制规范》GB 50325和《建筑内部装修设计防火规范》GB 50222的规定。</w:t>
      </w:r>
    </w:p>
    <w:p w14:paraId="262F4B17">
      <w:pPr>
        <w:pStyle w:val="3"/>
        <w:bidi w:val="0"/>
        <w:rPr>
          <w:rFonts w:hint="eastAsia" w:ascii="黑体" w:hAnsi="黑体" w:eastAsia="黑体" w:cs="Times New Roman"/>
          <w:b w:val="0"/>
          <w:bCs w:val="0"/>
          <w:color w:val="auto"/>
          <w:kern w:val="44"/>
          <w:sz w:val="28"/>
          <w:szCs w:val="28"/>
          <w:highlight w:val="none"/>
          <w:lang w:val="zh-CN" w:eastAsia="zh-CN" w:bidi="ar-SA"/>
        </w:rPr>
      </w:pPr>
      <w:bookmarkStart w:id="114" w:name="_Toc22380"/>
      <w:bookmarkStart w:id="115" w:name="_Toc16601"/>
      <w:r>
        <w:rPr>
          <w:rFonts w:hint="default" w:ascii="Times New Roman" w:hAnsi="Times New Roman" w:eastAsia="黑体" w:cs="Times New Roman"/>
          <w:b/>
          <w:bCs/>
          <w:color w:val="auto"/>
          <w:kern w:val="44"/>
          <w:sz w:val="28"/>
          <w:szCs w:val="28"/>
          <w:highlight w:val="none"/>
          <w:lang w:val="zh-CN" w:eastAsia="zh-CN" w:bidi="ar-SA"/>
        </w:rPr>
        <w:t>4.</w:t>
      </w:r>
      <w:r>
        <w:rPr>
          <w:rFonts w:hint="eastAsia" w:cs="Times New Roman"/>
          <w:b/>
          <w:bCs/>
          <w:color w:val="auto"/>
          <w:kern w:val="44"/>
          <w:sz w:val="28"/>
          <w:szCs w:val="28"/>
          <w:highlight w:val="none"/>
          <w:lang w:val="en-US" w:eastAsia="zh-CN" w:bidi="ar-SA"/>
        </w:rPr>
        <w:t>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其他材料</w:t>
      </w:r>
      <w:bookmarkEnd w:id="114"/>
      <w:bookmarkEnd w:id="115"/>
    </w:p>
    <w:p w14:paraId="240706A7">
      <w:pPr>
        <w:wordWrap/>
        <w:overflowPunct/>
        <w:topLinePunct w:val="0"/>
        <w:bidi w:val="0"/>
        <w:snapToGrid w:val="0"/>
        <w:spacing w:before="164" w:beforeLines="50" w:line="300" w:lineRule="auto"/>
        <w:ind w:firstLine="0" w:firstLineChars="0"/>
        <w:rPr>
          <w:rFonts w:hint="default" w:cs="Times New Roman"/>
          <w:color w:val="auto"/>
          <w:kern w:val="0"/>
          <w:szCs w:val="24"/>
          <w:highlight w:val="none"/>
        </w:rPr>
      </w:pPr>
      <w:r>
        <w:rPr>
          <w:rFonts w:hint="eastAsia" w:cs="Times New Roman"/>
          <w:b/>
          <w:bCs/>
          <w:snapToGrid w:val="0"/>
          <w:color w:val="auto"/>
          <w:kern w:val="0"/>
          <w:sz w:val="20"/>
          <w:szCs w:val="20"/>
          <w:highlight w:val="none"/>
          <w:lang w:val="en-US" w:eastAsia="zh-CN"/>
        </w:rPr>
        <w:t>4.4.1</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lang w:eastAsia="zh-CN"/>
        </w:rPr>
        <w:t>混凝土模块</w:t>
      </w:r>
      <w:r>
        <w:rPr>
          <w:rFonts w:hint="default" w:cs="Times New Roman"/>
          <w:color w:val="auto"/>
          <w:kern w:val="0"/>
          <w:szCs w:val="24"/>
          <w:highlight w:val="none"/>
        </w:rPr>
        <w:t>内预埋的给排水管、电气管线、线盒及连接配件应符合国家现行标准的</w:t>
      </w:r>
      <w:r>
        <w:rPr>
          <w:rFonts w:hint="eastAsia" w:cs="Times New Roman"/>
          <w:color w:val="auto"/>
          <w:kern w:val="0"/>
          <w:szCs w:val="24"/>
          <w:highlight w:val="none"/>
          <w:lang w:val="en-US" w:eastAsia="zh-CN"/>
        </w:rPr>
        <w:t>规定</w:t>
      </w:r>
      <w:r>
        <w:rPr>
          <w:rFonts w:hint="default" w:cs="Times New Roman"/>
          <w:color w:val="auto"/>
          <w:kern w:val="0"/>
          <w:szCs w:val="24"/>
          <w:highlight w:val="none"/>
        </w:rPr>
        <w:t>，并应具有耐腐蚀、耐老化性能。给水管材应符合生活饮用水卫生标准。</w:t>
      </w:r>
    </w:p>
    <w:p w14:paraId="106B8D4E">
      <w:pPr>
        <w:wordWrap/>
        <w:overflowPunct/>
        <w:topLinePunct w:val="0"/>
        <w:bidi w:val="0"/>
        <w:snapToGrid w:val="0"/>
        <w:spacing w:before="164" w:beforeLines="50" w:line="300" w:lineRule="auto"/>
        <w:ind w:firstLine="0" w:firstLineChars="0"/>
        <w:rPr>
          <w:rFonts w:ascii="宋体" w:hAnsi="宋体" w:cs="Times New Roman"/>
          <w:color w:val="auto"/>
          <w:sz w:val="21"/>
          <w:szCs w:val="21"/>
          <w:highlight w:val="none"/>
        </w:rPr>
      </w:pPr>
      <w:r>
        <w:rPr>
          <w:rFonts w:hint="eastAsia" w:cs="Times New Roman"/>
          <w:b/>
          <w:bCs/>
          <w:snapToGrid w:val="0"/>
          <w:color w:val="auto"/>
          <w:kern w:val="0"/>
          <w:sz w:val="20"/>
          <w:szCs w:val="20"/>
          <w:highlight w:val="none"/>
          <w:lang w:val="en-US" w:eastAsia="zh-CN"/>
        </w:rPr>
        <w:t>4.4.2</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rPr>
        <w:t>墙体或楼板预留孔洞的封堵材料，其燃烧性能应符合现行国家标准《建筑设计防火规范》GB 50016的规定。</w:t>
      </w:r>
    </w:p>
    <w:p w14:paraId="3FB3BD75">
      <w:pPr>
        <w:wordWrap/>
        <w:overflowPunct/>
        <w:topLinePunct w:val="0"/>
        <w:bidi w:val="0"/>
        <w:snapToGrid w:val="0"/>
        <w:spacing w:line="300" w:lineRule="auto"/>
        <w:ind w:firstLine="480" w:firstLineChars="200"/>
        <w:jc w:val="center"/>
        <w:outlineLvl w:val="0"/>
        <w:rPr>
          <w:rFonts w:ascii="宋体" w:hAnsi="宋体" w:cs="Times New Roman"/>
          <w:color w:val="auto"/>
          <w:szCs w:val="24"/>
          <w:highlight w:val="none"/>
        </w:rPr>
        <w:sectPr>
          <w:pgSz w:w="11906" w:h="16838"/>
          <w:pgMar w:top="1077" w:right="1191" w:bottom="1077" w:left="1191" w:header="851" w:footer="850" w:gutter="0"/>
          <w:pgNumType w:fmt="decimal"/>
          <w:cols w:space="425" w:num="1"/>
          <w:docGrid w:type="linesAndChars" w:linePitch="326" w:charSpace="0"/>
        </w:sectPr>
      </w:pPr>
    </w:p>
    <w:p w14:paraId="49015FDE">
      <w:pPr>
        <w:pStyle w:val="2"/>
        <w:bidi w:val="0"/>
        <w:rPr>
          <w:rFonts w:ascii="宋体" w:hAnsi="宋体" w:cs="Times New Roman"/>
          <w:color w:val="auto"/>
          <w:kern w:val="44"/>
          <w:szCs w:val="24"/>
          <w:highlight w:val="none"/>
          <w:lang w:val="zh-CN"/>
        </w:rPr>
      </w:pPr>
      <w:bookmarkStart w:id="116" w:name="_Toc16133"/>
      <w:bookmarkStart w:id="117" w:name="_Toc30994"/>
      <w:bookmarkStart w:id="118" w:name="_Toc177840558"/>
      <w:bookmarkStart w:id="119" w:name="_Toc134531827"/>
      <w:bookmarkStart w:id="120" w:name="_Toc177840166"/>
      <w:bookmarkStart w:id="121" w:name="_Toc8306"/>
      <w:bookmarkStart w:id="122" w:name="_Toc116115091"/>
      <w:bookmarkStart w:id="123" w:name="_Toc16088"/>
      <w:bookmarkStart w:id="124" w:name="_Toc132205482"/>
      <w:bookmarkStart w:id="125" w:name="_Toc154525528"/>
      <w:bookmarkStart w:id="126" w:name="_Toc148909473"/>
      <w:bookmarkStart w:id="127" w:name="_Toc154525991"/>
      <w:bookmarkStart w:id="128" w:name="_Toc153805649"/>
      <w:bookmarkStart w:id="129" w:name="_Toc180613527"/>
      <w:bookmarkStart w:id="130" w:name="_Toc117005808"/>
      <w:bookmarkStart w:id="131" w:name="_Toc17957"/>
      <w:bookmarkStart w:id="132" w:name="_Toc19736"/>
      <w:r>
        <w:rPr>
          <w:rFonts w:hint="default" w:ascii="Times New Roman" w:hAnsi="Times New Roman" w:eastAsia="黑体" w:cs="Times New Roman"/>
          <w:b/>
          <w:bCs/>
          <w:color w:val="auto"/>
          <w:kern w:val="44"/>
          <w:sz w:val="30"/>
          <w:szCs w:val="30"/>
          <w:highlight w:val="none"/>
          <w:lang w:val="zh-CN" w:eastAsia="zh-CN" w:bidi="ar-SA"/>
        </w:rPr>
        <w:t>5</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zh-CN"/>
        </w:rPr>
        <w:t>建筑设计</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1476068A">
      <w:pPr>
        <w:pStyle w:val="3"/>
        <w:bidi w:val="0"/>
        <w:rPr>
          <w:rFonts w:ascii="宋体" w:hAnsi="宋体" w:cs="Times New Roman"/>
          <w:color w:val="auto"/>
          <w:sz w:val="21"/>
          <w:szCs w:val="21"/>
          <w:highlight w:val="none"/>
        </w:rPr>
      </w:pPr>
      <w:bookmarkStart w:id="133" w:name="_Toc177840167"/>
      <w:bookmarkStart w:id="134" w:name="_Toc11127"/>
      <w:bookmarkStart w:id="135" w:name="_Toc177840559"/>
      <w:bookmarkStart w:id="136" w:name="_Toc148909474"/>
      <w:bookmarkStart w:id="137" w:name="_Toc2486"/>
      <w:bookmarkStart w:id="138" w:name="_Toc154525992"/>
      <w:bookmarkStart w:id="139" w:name="_Toc21424"/>
      <w:bookmarkStart w:id="140" w:name="_Toc15374"/>
      <w:bookmarkStart w:id="141" w:name="_Toc180613528"/>
      <w:bookmarkStart w:id="142" w:name="_Toc153805650"/>
      <w:bookmarkStart w:id="143" w:name="_Toc154525529"/>
      <w:bookmarkStart w:id="144" w:name="_Toc4832"/>
      <w:bookmarkStart w:id="145" w:name="_Toc14631"/>
      <w:r>
        <w:rPr>
          <w:rFonts w:hint="default" w:ascii="Times New Roman" w:hAnsi="Times New Roman" w:eastAsia="黑体" w:cs="Times New Roman"/>
          <w:b/>
          <w:bCs/>
          <w:color w:val="auto"/>
          <w:kern w:val="44"/>
          <w:sz w:val="28"/>
          <w:szCs w:val="28"/>
          <w:highlight w:val="none"/>
          <w:lang w:val="zh-CN" w:eastAsia="zh-CN" w:bidi="ar-SA"/>
        </w:rPr>
        <w:t>5.1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一般规定</w:t>
      </w:r>
      <w:bookmarkEnd w:id="133"/>
      <w:bookmarkEnd w:id="134"/>
      <w:bookmarkEnd w:id="135"/>
      <w:bookmarkEnd w:id="136"/>
      <w:bookmarkEnd w:id="137"/>
      <w:bookmarkEnd w:id="138"/>
      <w:bookmarkEnd w:id="139"/>
      <w:bookmarkEnd w:id="140"/>
      <w:bookmarkEnd w:id="141"/>
      <w:bookmarkEnd w:id="142"/>
      <w:bookmarkEnd w:id="143"/>
      <w:bookmarkEnd w:id="144"/>
      <w:bookmarkEnd w:id="145"/>
    </w:p>
    <w:p w14:paraId="11A1B972">
      <w:pPr>
        <w:wordWrap/>
        <w:overflowPunct/>
        <w:topLinePunct w:val="0"/>
        <w:bidi w:val="0"/>
        <w:snapToGrid w:val="0"/>
        <w:spacing w:line="300" w:lineRule="auto"/>
        <w:ind w:left="0" w:leftChars="0" w:firstLine="0" w:firstLineChars="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5.1.</w:t>
      </w:r>
      <w:r>
        <w:rPr>
          <w:rFonts w:hint="eastAsia" w:cs="Times New Roman"/>
          <w:b/>
          <w:bCs/>
          <w:snapToGrid w:val="0"/>
          <w:color w:val="auto"/>
          <w:kern w:val="0"/>
          <w:sz w:val="20"/>
          <w:szCs w:val="20"/>
          <w:highlight w:val="none"/>
          <w:lang w:val="en-US" w:eastAsia="zh-CN" w:bidi="ar-SA"/>
        </w:rPr>
        <w:t>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模块化建筑宜进行模数协调设计，通过调整模块尺寸及模块间拼缝宽度，优先选用标准尺寸模块；建筑开间、进深及门窗洞口尺寸宜采用3M或6M的整数倍。当采用非模数尺寸门窗时，应预留整板的调整空间，不得出现小于50mm的板材拼接。</w:t>
      </w:r>
    </w:p>
    <w:p w14:paraId="1230F68F">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5.1.</w:t>
      </w:r>
      <w:r>
        <w:rPr>
          <w:rFonts w:hint="eastAsia" w:cs="Times New Roman"/>
          <w:b/>
          <w:bCs/>
          <w:snapToGrid w:val="0"/>
          <w:color w:val="auto"/>
          <w:kern w:val="0"/>
          <w:sz w:val="20"/>
          <w:szCs w:val="20"/>
          <w:highlight w:val="none"/>
          <w:lang w:val="en-US" w:eastAsia="zh-CN" w:bidi="ar-SA"/>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建筑的楼梯、隔墙、空调板、管井等宜采用符合模数协调要求的标准化部品部件产品。</w:t>
      </w:r>
    </w:p>
    <w:p w14:paraId="0BB62272">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 xml:space="preserve">5.1.3  </w:t>
      </w:r>
      <w:r>
        <w:rPr>
          <w:rFonts w:hint="eastAsia" w:cs="Times New Roman"/>
          <w:b w:val="0"/>
          <w:bCs w:val="0"/>
          <w:snapToGrid/>
          <w:color w:val="auto"/>
          <w:kern w:val="0"/>
          <w:sz w:val="24"/>
          <w:szCs w:val="24"/>
          <w:highlight w:val="none"/>
          <w:lang w:val="en-US" w:eastAsia="zh-CN" w:bidi="ar-SA"/>
        </w:rPr>
        <w:t>设计阶段确定</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的尺寸</w:t>
      </w:r>
      <w:r>
        <w:rPr>
          <w:rFonts w:hint="eastAsia" w:cs="Times New Roman"/>
          <w:color w:val="auto"/>
          <w:kern w:val="0"/>
          <w:sz w:val="24"/>
          <w:szCs w:val="24"/>
          <w:highlight w:val="none"/>
          <w:lang w:val="en-US" w:eastAsia="zh-CN" w:bidi="ar-SA"/>
        </w:rPr>
        <w:t>、重量时，</w:t>
      </w:r>
      <w:r>
        <w:rPr>
          <w:rFonts w:hint="eastAsia" w:ascii="Times New Roman" w:hAnsi="Times New Roman" w:eastAsia="宋体" w:cs="Times New Roman"/>
          <w:color w:val="auto"/>
          <w:kern w:val="0"/>
          <w:sz w:val="24"/>
          <w:szCs w:val="24"/>
          <w:highlight w:val="none"/>
          <w:lang w:val="en-US" w:eastAsia="zh-CN" w:bidi="ar-SA"/>
        </w:rPr>
        <w:t>应</w:t>
      </w:r>
      <w:r>
        <w:rPr>
          <w:rFonts w:hint="eastAsia" w:cs="Times New Roman"/>
          <w:color w:val="auto"/>
          <w:kern w:val="0"/>
          <w:sz w:val="24"/>
          <w:szCs w:val="24"/>
          <w:highlight w:val="none"/>
          <w:lang w:val="en-US" w:eastAsia="zh-CN" w:bidi="ar-SA"/>
        </w:rPr>
        <w:t>充分考虑模块生产、</w:t>
      </w:r>
      <w:r>
        <w:rPr>
          <w:rFonts w:hint="eastAsia" w:ascii="Times New Roman" w:hAnsi="Times New Roman" w:eastAsia="宋体" w:cs="Times New Roman"/>
          <w:color w:val="auto"/>
          <w:kern w:val="0"/>
          <w:sz w:val="24"/>
          <w:szCs w:val="24"/>
          <w:highlight w:val="none"/>
          <w:lang w:val="en-US" w:eastAsia="zh-CN" w:bidi="ar-SA"/>
        </w:rPr>
        <w:t>运输</w:t>
      </w:r>
      <w:r>
        <w:rPr>
          <w:rFonts w:hint="eastAsia" w:cs="Times New Roman"/>
          <w:color w:val="auto"/>
          <w:kern w:val="0"/>
          <w:sz w:val="24"/>
          <w:szCs w:val="24"/>
          <w:highlight w:val="none"/>
          <w:lang w:val="en-US" w:eastAsia="zh-CN" w:bidi="ar-SA"/>
        </w:rPr>
        <w:t>和安装的要求</w:t>
      </w:r>
      <w:r>
        <w:rPr>
          <w:rFonts w:hint="eastAsia" w:ascii="Times New Roman" w:hAnsi="Times New Roman" w:eastAsia="宋体" w:cs="Times New Roman"/>
          <w:color w:val="auto"/>
          <w:kern w:val="0"/>
          <w:sz w:val="24"/>
          <w:szCs w:val="24"/>
          <w:highlight w:val="none"/>
          <w:lang w:val="en-US" w:eastAsia="zh-CN" w:bidi="ar-SA"/>
        </w:rPr>
        <w:t>。</w:t>
      </w:r>
    </w:p>
    <w:p w14:paraId="516D9D9B">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5.1.</w:t>
      </w:r>
      <w:r>
        <w:rPr>
          <w:rFonts w:hint="eastAsia" w:cs="Times New Roman"/>
          <w:b/>
          <w:bCs/>
          <w:snapToGrid w:val="0"/>
          <w:color w:val="auto"/>
          <w:kern w:val="0"/>
          <w:sz w:val="20"/>
          <w:szCs w:val="20"/>
          <w:highlight w:val="none"/>
          <w:lang w:val="en-US" w:eastAsia="zh-CN" w:bidi="ar-SA"/>
        </w:rPr>
        <w:t>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模块化建筑的消防、节能及防水设计应</w:t>
      </w:r>
      <w:r>
        <w:rPr>
          <w:rFonts w:hint="eastAsia" w:cs="Times New Roman"/>
          <w:color w:val="auto"/>
          <w:kern w:val="0"/>
          <w:sz w:val="24"/>
          <w:szCs w:val="24"/>
          <w:highlight w:val="none"/>
          <w:lang w:val="en-US" w:eastAsia="zh-CN" w:bidi="ar-SA"/>
        </w:rPr>
        <w:t>符合</w:t>
      </w:r>
      <w:r>
        <w:rPr>
          <w:rFonts w:hint="eastAsia" w:ascii="Times New Roman" w:hAnsi="Times New Roman" w:eastAsia="宋体" w:cs="Times New Roman"/>
          <w:b w:val="0"/>
          <w:bCs w:val="0"/>
          <w:color w:val="auto"/>
          <w:kern w:val="0"/>
          <w:sz w:val="24"/>
          <w:szCs w:val="24"/>
          <w:highlight w:val="none"/>
        </w:rPr>
        <w:t>现行国家标准</w:t>
      </w:r>
      <w:r>
        <w:rPr>
          <w:rFonts w:hint="eastAsia" w:cs="Times New Roman"/>
          <w:b w:val="0"/>
          <w:bCs w:val="0"/>
          <w:color w:val="auto"/>
          <w:kern w:val="0"/>
          <w:sz w:val="24"/>
          <w:szCs w:val="24"/>
          <w:highlight w:val="none"/>
          <w:lang w:eastAsia="zh-CN"/>
        </w:rPr>
        <w:t>、</w:t>
      </w:r>
      <w:r>
        <w:rPr>
          <w:rFonts w:hint="eastAsia" w:ascii="Times New Roman" w:hAnsi="Times New Roman" w:eastAsia="宋体" w:cs="Times New Roman"/>
          <w:b w:val="0"/>
          <w:bCs w:val="0"/>
          <w:color w:val="auto"/>
          <w:kern w:val="0"/>
          <w:sz w:val="24"/>
          <w:szCs w:val="24"/>
          <w:highlight w:val="none"/>
        </w:rPr>
        <w:t>行业</w:t>
      </w:r>
      <w:r>
        <w:rPr>
          <w:rFonts w:hint="eastAsia" w:cs="Times New Roman"/>
          <w:b w:val="0"/>
          <w:bCs w:val="0"/>
          <w:color w:val="auto"/>
          <w:kern w:val="0"/>
          <w:sz w:val="24"/>
          <w:szCs w:val="24"/>
          <w:highlight w:val="none"/>
          <w:lang w:val="en-US" w:eastAsia="zh-CN"/>
        </w:rPr>
        <w:t>与地方</w:t>
      </w:r>
      <w:r>
        <w:rPr>
          <w:rFonts w:hint="eastAsia" w:ascii="Times New Roman" w:hAnsi="Times New Roman" w:eastAsia="宋体" w:cs="Times New Roman"/>
          <w:b w:val="0"/>
          <w:bCs w:val="0"/>
          <w:color w:val="auto"/>
          <w:kern w:val="0"/>
          <w:sz w:val="24"/>
          <w:szCs w:val="24"/>
          <w:highlight w:val="none"/>
        </w:rPr>
        <w:t>标准的规定</w:t>
      </w:r>
      <w:r>
        <w:rPr>
          <w:rFonts w:hint="eastAsia" w:ascii="Times New Roman" w:hAnsi="Times New Roman" w:eastAsia="宋体" w:cs="Times New Roman"/>
          <w:color w:val="auto"/>
          <w:kern w:val="0"/>
          <w:sz w:val="24"/>
          <w:szCs w:val="24"/>
          <w:highlight w:val="none"/>
          <w:lang w:val="en-US" w:eastAsia="zh-CN" w:bidi="ar-SA"/>
        </w:rPr>
        <w:t>。</w:t>
      </w:r>
    </w:p>
    <w:p w14:paraId="53A1A231">
      <w:pPr>
        <w:wordWrap/>
        <w:overflowPunct/>
        <w:topLinePunct w:val="0"/>
        <w:bidi w:val="0"/>
        <w:snapToGrid w:val="0"/>
        <w:spacing w:line="300" w:lineRule="auto"/>
        <w:rPr>
          <w:rFonts w:hint="default" w:ascii="Times New Roman" w:hAnsi="Times New Roman" w:eastAsia="宋体" w:cs="Times New Roman"/>
          <w:b/>
          <w:bCs/>
          <w:snapToGrid w:val="0"/>
          <w:color w:val="auto"/>
          <w:kern w:val="0"/>
          <w:sz w:val="20"/>
          <w:szCs w:val="20"/>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5.1.</w:t>
      </w:r>
      <w:r>
        <w:rPr>
          <w:rFonts w:hint="eastAsia" w:cs="Times New Roman"/>
          <w:b/>
          <w:bCs/>
          <w:snapToGrid w:val="0"/>
          <w:color w:val="auto"/>
          <w:kern w:val="0"/>
          <w:sz w:val="20"/>
          <w:szCs w:val="20"/>
          <w:highlight w:val="none"/>
          <w:lang w:val="en-US" w:eastAsia="zh-CN" w:bidi="ar-SA"/>
        </w:rPr>
        <w:t>5</w:t>
      </w:r>
      <w:r>
        <w:rPr>
          <w:rFonts w:hint="eastAsia" w:ascii="Times New Roman" w:hAnsi="Times New Roman"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住宅类模块化建筑的</w:t>
      </w:r>
      <w:r>
        <w:rPr>
          <w:rFonts w:hint="eastAsia" w:cs="Times New Roman"/>
          <w:color w:val="auto"/>
          <w:kern w:val="0"/>
          <w:szCs w:val="24"/>
          <w:highlight w:val="none"/>
          <w:lang w:val="en-US" w:eastAsia="zh-CN"/>
        </w:rPr>
        <w:t>层</w:t>
      </w:r>
      <w:r>
        <w:rPr>
          <w:rFonts w:hint="eastAsia" w:cs="Times New Roman"/>
          <w:color w:val="auto"/>
          <w:kern w:val="0"/>
          <w:szCs w:val="24"/>
          <w:highlight w:val="none"/>
        </w:rPr>
        <w:t>高不应低于3.00m</w:t>
      </w:r>
      <w:r>
        <w:rPr>
          <w:rFonts w:hint="eastAsia" w:cs="Times New Roman"/>
          <w:color w:val="auto"/>
          <w:kern w:val="0"/>
          <w:szCs w:val="24"/>
          <w:highlight w:val="none"/>
          <w:lang w:eastAsia="zh-CN"/>
        </w:rPr>
        <w:t>，</w:t>
      </w:r>
      <w:r>
        <w:rPr>
          <w:rFonts w:hint="eastAsia" w:cs="Times New Roman"/>
          <w:color w:val="auto"/>
          <w:kern w:val="0"/>
          <w:szCs w:val="24"/>
          <w:highlight w:val="none"/>
        </w:rPr>
        <w:t>室内净高不应</w:t>
      </w:r>
      <w:r>
        <w:rPr>
          <w:rFonts w:hint="eastAsia" w:cs="Times New Roman"/>
          <w:color w:val="auto"/>
          <w:kern w:val="0"/>
          <w:szCs w:val="24"/>
          <w:highlight w:val="none"/>
          <w:lang w:val="en-US" w:eastAsia="zh-CN"/>
        </w:rPr>
        <w:t>小</w:t>
      </w:r>
      <w:r>
        <w:rPr>
          <w:rFonts w:hint="eastAsia" w:cs="Times New Roman"/>
          <w:color w:val="auto"/>
          <w:kern w:val="0"/>
          <w:szCs w:val="24"/>
          <w:highlight w:val="none"/>
        </w:rPr>
        <w:t>于2.60m</w:t>
      </w:r>
      <w:r>
        <w:rPr>
          <w:rFonts w:hint="eastAsia" w:ascii="Times New Roman" w:hAnsi="Times New Roman" w:eastAsia="宋体" w:cs="Times New Roman"/>
          <w:color w:val="auto"/>
          <w:kern w:val="0"/>
          <w:sz w:val="24"/>
          <w:szCs w:val="24"/>
          <w:highlight w:val="none"/>
          <w:lang w:val="en-US" w:eastAsia="zh-CN" w:bidi="ar-SA"/>
        </w:rPr>
        <w:t>。</w:t>
      </w:r>
    </w:p>
    <w:p w14:paraId="662B5F52">
      <w:pPr>
        <w:pStyle w:val="3"/>
        <w:bidi w:val="0"/>
        <w:rPr>
          <w:rFonts w:ascii="宋体" w:hAnsi="宋体" w:cs="Times New Roman"/>
          <w:color w:val="auto"/>
          <w:sz w:val="21"/>
          <w:szCs w:val="21"/>
          <w:highlight w:val="none"/>
        </w:rPr>
      </w:pPr>
      <w:bookmarkStart w:id="146" w:name="_Toc154525993"/>
      <w:bookmarkStart w:id="147" w:name="_Toc22326"/>
      <w:bookmarkStart w:id="148" w:name="_Toc153805651"/>
      <w:bookmarkStart w:id="149" w:name="_Toc30719"/>
      <w:bookmarkStart w:id="150" w:name="_Toc177840560"/>
      <w:bookmarkStart w:id="151" w:name="_Toc148909475"/>
      <w:bookmarkStart w:id="152" w:name="_Toc177840168"/>
      <w:bookmarkStart w:id="153" w:name="_Toc17052"/>
      <w:bookmarkStart w:id="154" w:name="_Toc180613529"/>
      <w:bookmarkStart w:id="155" w:name="_Toc154525530"/>
      <w:bookmarkStart w:id="156" w:name="_Toc4628"/>
      <w:bookmarkStart w:id="157" w:name="_Toc27580"/>
      <w:bookmarkStart w:id="158" w:name="_Toc7373"/>
      <w:r>
        <w:rPr>
          <w:rFonts w:hint="default" w:ascii="Times New Roman" w:hAnsi="Times New Roman" w:eastAsia="黑体" w:cs="Times New Roman"/>
          <w:b/>
          <w:bCs/>
          <w:color w:val="auto"/>
          <w:kern w:val="44"/>
          <w:sz w:val="28"/>
          <w:szCs w:val="28"/>
          <w:highlight w:val="none"/>
          <w:lang w:val="zh-CN" w:eastAsia="zh-CN" w:bidi="ar-SA"/>
        </w:rPr>
        <w:t xml:space="preserve">5.2 </w:t>
      </w:r>
      <w:r>
        <w:rPr>
          <w:rFonts w:hint="eastAsia" w:cs="Times New Roman"/>
          <w:b/>
          <w:bCs/>
          <w:color w:val="auto"/>
          <w:kern w:val="44"/>
          <w:sz w:val="28"/>
          <w:szCs w:val="28"/>
          <w:highlight w:val="none"/>
          <w:lang w:val="en-US" w:eastAsia="zh-CN" w:bidi="ar-SA"/>
        </w:rPr>
        <w:t xml:space="preserve"> </w:t>
      </w:r>
      <w:r>
        <w:rPr>
          <w:rFonts w:hint="eastAsia" w:ascii="黑体" w:hAnsi="黑体" w:eastAsia="黑体" w:cs="Times New Roman"/>
          <w:b w:val="0"/>
          <w:bCs w:val="0"/>
          <w:color w:val="auto"/>
          <w:kern w:val="44"/>
          <w:sz w:val="28"/>
          <w:szCs w:val="28"/>
          <w:highlight w:val="none"/>
          <w:lang w:val="zh-CN" w:eastAsia="zh-CN" w:bidi="ar-SA"/>
        </w:rPr>
        <w:t>平面设计</w:t>
      </w:r>
      <w:bookmarkEnd w:id="146"/>
      <w:bookmarkEnd w:id="147"/>
      <w:bookmarkEnd w:id="148"/>
      <w:bookmarkEnd w:id="149"/>
      <w:bookmarkEnd w:id="150"/>
      <w:bookmarkEnd w:id="151"/>
      <w:bookmarkEnd w:id="152"/>
      <w:bookmarkEnd w:id="153"/>
      <w:bookmarkEnd w:id="154"/>
      <w:bookmarkEnd w:id="155"/>
      <w:bookmarkEnd w:id="156"/>
      <w:bookmarkEnd w:id="157"/>
      <w:bookmarkEnd w:id="158"/>
    </w:p>
    <w:p w14:paraId="6AF9F6EE">
      <w:pPr>
        <w:keepNext w:val="0"/>
        <w:keepLines w:val="0"/>
        <w:pageBreakBefore w:val="0"/>
        <w:widowControl/>
        <w:kinsoku/>
        <w:wordWrap/>
        <w:overflowPunct/>
        <w:topLinePunct w:val="0"/>
        <w:autoSpaceDE/>
        <w:autoSpaceDN/>
        <w:bidi w:val="0"/>
        <w:adjustRightInd/>
        <w:snapToGrid/>
        <w:spacing w:before="0" w:beforeLines="-2147483648" w:line="240" w:lineRule="auto"/>
        <w:jc w:val="left"/>
        <w:textAlignment w:val="auto"/>
        <w:rPr>
          <w:rFonts w:hint="eastAsia" w:ascii="Segoe UI" w:hAnsi="Segoe UI" w:eastAsia="宋体" w:cs="Segoe UI"/>
          <w:i w:val="0"/>
          <w:iCs w:val="0"/>
          <w:caps w:val="0"/>
          <w:color w:val="auto"/>
          <w:spacing w:val="0"/>
          <w:sz w:val="24"/>
          <w:szCs w:val="24"/>
          <w:highlight w:val="none"/>
          <w:shd w:val="clear" w:fill="FFFFFF"/>
          <w:lang w:eastAsia="zh-CN"/>
        </w:rPr>
      </w:pPr>
      <w:r>
        <w:rPr>
          <w:rFonts w:hint="eastAsia" w:ascii="Times New Roman" w:hAnsi="Times New Roman" w:eastAsia="宋体" w:cs="Times New Roman"/>
          <w:b/>
          <w:bCs/>
          <w:snapToGrid w:val="0"/>
          <w:color w:val="auto"/>
          <w:kern w:val="0"/>
          <w:sz w:val="20"/>
          <w:szCs w:val="20"/>
          <w:highlight w:val="none"/>
          <w:lang w:val="en-US" w:eastAsia="zh-CN" w:bidi="ar-SA"/>
        </w:rPr>
        <w:t>5.2.1</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建筑平面应由标准化模块单元通过</w:t>
      </w:r>
      <w:r>
        <w:rPr>
          <w:rFonts w:hint="eastAsia" w:cs="Times New Roman"/>
          <w:color w:val="auto"/>
          <w:kern w:val="0"/>
          <w:sz w:val="24"/>
          <w:szCs w:val="24"/>
          <w:highlight w:val="none"/>
          <w:lang w:val="en-US" w:eastAsia="zh-CN" w:bidi="ar-SA"/>
        </w:rPr>
        <w:t>并列</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交错</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悬挑</w:t>
      </w:r>
      <w:r>
        <w:rPr>
          <w:rFonts w:hint="default" w:ascii="Times New Roman" w:hAnsi="Times New Roman" w:eastAsia="宋体" w:cs="Times New Roman"/>
          <w:color w:val="auto"/>
          <w:kern w:val="0"/>
          <w:sz w:val="24"/>
          <w:szCs w:val="24"/>
          <w:highlight w:val="none"/>
          <w:lang w:val="en-US" w:eastAsia="zh-CN" w:bidi="ar-SA"/>
        </w:rPr>
        <w:t>等方式组合而成。组合应遵循结构合理、连接可靠、空间高效的原则</w:t>
      </w:r>
      <w:r>
        <w:rPr>
          <w:rFonts w:hint="eastAsia" w:ascii="Segoe UI" w:hAnsi="Segoe UI" w:eastAsia="宋体" w:cs="Segoe UI"/>
          <w:i w:val="0"/>
          <w:iCs w:val="0"/>
          <w:caps w:val="0"/>
          <w:color w:val="auto"/>
          <w:spacing w:val="0"/>
          <w:sz w:val="24"/>
          <w:szCs w:val="24"/>
          <w:highlight w:val="none"/>
          <w:shd w:val="clear" w:fill="FFFFFF"/>
          <w:lang w:eastAsia="zh-CN"/>
        </w:rPr>
        <w:t>。当采用悬挑布置时，宜在并列式组合的基础上形成。</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80"/>
        <w:gridCol w:w="3490"/>
        <w:gridCol w:w="3370"/>
      </w:tblGrid>
      <w:tr w14:paraId="30FE9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0" w:type="dxa"/>
            <w:vAlign w:val="center"/>
          </w:tcPr>
          <w:p w14:paraId="43077021">
            <w:pPr>
              <w:wordWrap/>
              <w:overflowPunct/>
              <w:topLinePunct w:val="0"/>
              <w:bidi w:val="0"/>
              <w:snapToGrid w:val="0"/>
              <w:spacing w:line="300" w:lineRule="auto"/>
              <w:ind w:left="0" w:leftChars="0" w:firstLine="0" w:firstLineChars="0"/>
              <w:jc w:val="center"/>
              <w:rPr>
                <w:rFonts w:hint="eastAsia" w:ascii="宋体" w:hAnsi="宋体" w:eastAsia="宋体"/>
                <w:color w:val="auto"/>
                <w:highlight w:val="none"/>
                <w:lang w:eastAsia="zh-CN"/>
              </w:rPr>
            </w:pPr>
            <w:r>
              <w:rPr>
                <w:color w:val="auto"/>
                <w:highlight w:val="none"/>
              </w:rPr>
              <w:drawing>
                <wp:inline distT="0" distB="0" distL="114300" distR="114300">
                  <wp:extent cx="1685290" cy="1259840"/>
                  <wp:effectExtent l="0" t="0" r="6350" b="508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7"/>
                          <a:stretch>
                            <a:fillRect/>
                          </a:stretch>
                        </pic:blipFill>
                        <pic:spPr>
                          <a:xfrm>
                            <a:off x="0" y="0"/>
                            <a:ext cx="1685290" cy="1259840"/>
                          </a:xfrm>
                          <a:prstGeom prst="rect">
                            <a:avLst/>
                          </a:prstGeom>
                          <a:noFill/>
                          <a:ln>
                            <a:noFill/>
                          </a:ln>
                        </pic:spPr>
                      </pic:pic>
                    </a:graphicData>
                  </a:graphic>
                </wp:inline>
              </w:drawing>
            </w:r>
          </w:p>
        </w:tc>
        <w:tc>
          <w:tcPr>
            <w:tcW w:w="3490" w:type="dxa"/>
            <w:vAlign w:val="center"/>
          </w:tcPr>
          <w:p w14:paraId="1EFF8C18">
            <w:pPr>
              <w:wordWrap/>
              <w:overflowPunct/>
              <w:topLinePunct w:val="0"/>
              <w:bidi w:val="0"/>
              <w:snapToGrid w:val="0"/>
              <w:spacing w:line="300" w:lineRule="auto"/>
              <w:ind w:left="0" w:leftChars="0" w:firstLine="0" w:firstLineChars="0"/>
              <w:jc w:val="center"/>
              <w:rPr>
                <w:rFonts w:hint="eastAsia" w:ascii="宋体" w:hAnsi="宋体" w:eastAsia="宋体" w:cs="Times New Roman"/>
                <w:color w:val="auto"/>
                <w:sz w:val="18"/>
                <w:szCs w:val="18"/>
                <w:highlight w:val="none"/>
                <w:lang w:eastAsia="zh-CN"/>
              </w:rPr>
            </w:pPr>
            <w:r>
              <w:rPr>
                <w:color w:val="auto"/>
                <w:highlight w:val="none"/>
              </w:rPr>
              <w:drawing>
                <wp:inline distT="0" distB="0" distL="114300" distR="114300">
                  <wp:extent cx="1893570" cy="1259840"/>
                  <wp:effectExtent l="0" t="0" r="11430" b="508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8"/>
                          <a:stretch>
                            <a:fillRect/>
                          </a:stretch>
                        </pic:blipFill>
                        <pic:spPr>
                          <a:xfrm>
                            <a:off x="0" y="0"/>
                            <a:ext cx="1893570" cy="1259840"/>
                          </a:xfrm>
                          <a:prstGeom prst="rect">
                            <a:avLst/>
                          </a:prstGeom>
                          <a:noFill/>
                          <a:ln>
                            <a:noFill/>
                          </a:ln>
                        </pic:spPr>
                      </pic:pic>
                    </a:graphicData>
                  </a:graphic>
                </wp:inline>
              </w:drawing>
            </w:r>
          </w:p>
        </w:tc>
        <w:tc>
          <w:tcPr>
            <w:tcW w:w="3370" w:type="dxa"/>
            <w:vAlign w:val="center"/>
          </w:tcPr>
          <w:p w14:paraId="2B53C42F">
            <w:pPr>
              <w:wordWrap/>
              <w:overflowPunct/>
              <w:topLinePunct w:val="0"/>
              <w:bidi w:val="0"/>
              <w:snapToGrid w:val="0"/>
              <w:spacing w:line="300" w:lineRule="auto"/>
              <w:ind w:left="0" w:leftChars="0" w:firstLine="0" w:firstLineChars="0"/>
              <w:jc w:val="center"/>
              <w:rPr>
                <w:rFonts w:hint="eastAsia" w:ascii="宋体" w:hAnsi="宋体" w:eastAsia="宋体" w:cs="Times New Roman"/>
                <w:color w:val="auto"/>
                <w:sz w:val="18"/>
                <w:szCs w:val="18"/>
                <w:highlight w:val="none"/>
                <w:lang w:eastAsia="zh-CN"/>
              </w:rPr>
            </w:pPr>
            <w:r>
              <w:rPr>
                <w:color w:val="auto"/>
                <w:highlight w:val="none"/>
              </w:rPr>
              <w:drawing>
                <wp:inline distT="0" distB="0" distL="114300" distR="114300">
                  <wp:extent cx="1793875" cy="1259840"/>
                  <wp:effectExtent l="0" t="0" r="4445" b="50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9"/>
                          <a:stretch>
                            <a:fillRect/>
                          </a:stretch>
                        </pic:blipFill>
                        <pic:spPr>
                          <a:xfrm>
                            <a:off x="0" y="0"/>
                            <a:ext cx="1793875" cy="1259840"/>
                          </a:xfrm>
                          <a:prstGeom prst="rect">
                            <a:avLst/>
                          </a:prstGeom>
                          <a:noFill/>
                          <a:ln>
                            <a:noFill/>
                          </a:ln>
                        </pic:spPr>
                      </pic:pic>
                    </a:graphicData>
                  </a:graphic>
                </wp:inline>
              </w:drawing>
            </w:r>
          </w:p>
        </w:tc>
      </w:tr>
      <w:tr w14:paraId="52280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0" w:type="dxa"/>
            <w:vAlign w:val="center"/>
          </w:tcPr>
          <w:p w14:paraId="2543F605">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rPr>
            </w:pPr>
            <w:r>
              <w:rPr>
                <w:rFonts w:ascii="宋体" w:hAnsi="宋体" w:cs="Times New Roman"/>
                <w:color w:val="auto"/>
                <w:sz w:val="18"/>
                <w:szCs w:val="18"/>
                <w:highlight w:val="none"/>
              </w:rPr>
              <w:t>a</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并列式</w:t>
            </w:r>
          </w:p>
        </w:tc>
        <w:tc>
          <w:tcPr>
            <w:tcW w:w="3490" w:type="dxa"/>
            <w:vAlign w:val="center"/>
          </w:tcPr>
          <w:p w14:paraId="5BDD436C">
            <w:pPr>
              <w:wordWrap/>
              <w:overflowPunct/>
              <w:topLinePunct w:val="0"/>
              <w:bidi w:val="0"/>
              <w:snapToGrid w:val="0"/>
              <w:spacing w:line="300" w:lineRule="auto"/>
              <w:ind w:left="0" w:leftChars="0" w:firstLine="0" w:firstLineChars="0"/>
              <w:jc w:val="center"/>
              <w:rPr>
                <w:rFonts w:hint="eastAsia" w:ascii="宋体" w:hAnsi="宋体" w:eastAsia="宋体" w:cs="Times New Roman"/>
                <w:color w:val="auto"/>
                <w:sz w:val="18"/>
                <w:szCs w:val="18"/>
                <w:highlight w:val="none"/>
                <w:lang w:eastAsia="zh-CN"/>
              </w:rPr>
            </w:pPr>
            <w:r>
              <w:rPr>
                <w:rFonts w:hint="eastAsia" w:ascii="宋体" w:hAnsi="宋体" w:cs="Times New Roman"/>
                <w:color w:val="auto"/>
                <w:sz w:val="18"/>
                <w:szCs w:val="18"/>
                <w:highlight w:val="none"/>
              </w:rPr>
              <w:t>b）</w:t>
            </w:r>
            <w:r>
              <w:rPr>
                <w:rFonts w:hint="eastAsia" w:ascii="宋体" w:hAnsi="宋体" w:cs="Times New Roman"/>
                <w:color w:val="auto"/>
                <w:sz w:val="18"/>
                <w:szCs w:val="18"/>
                <w:highlight w:val="none"/>
                <w:lang w:val="en-US" w:eastAsia="zh-CN"/>
              </w:rPr>
              <w:t>交错式</w:t>
            </w:r>
          </w:p>
        </w:tc>
        <w:tc>
          <w:tcPr>
            <w:tcW w:w="3370" w:type="dxa"/>
            <w:vAlign w:val="center"/>
          </w:tcPr>
          <w:p w14:paraId="7BB730D7">
            <w:pPr>
              <w:wordWrap/>
              <w:overflowPunct/>
              <w:topLinePunct w:val="0"/>
              <w:bidi w:val="0"/>
              <w:snapToGrid w:val="0"/>
              <w:spacing w:line="300" w:lineRule="auto"/>
              <w:ind w:left="0" w:leftChars="0" w:firstLine="0" w:firstLineChars="0"/>
              <w:jc w:val="center"/>
              <w:rPr>
                <w:rFonts w:hint="eastAsia" w:ascii="宋体" w:hAnsi="宋体" w:cs="Times New Roman"/>
                <w:color w:val="auto"/>
                <w:sz w:val="18"/>
                <w:szCs w:val="18"/>
                <w:highlight w:val="none"/>
              </w:rPr>
            </w:pPr>
            <w:r>
              <w:rPr>
                <w:rFonts w:hint="eastAsia" w:ascii="宋体" w:hAnsi="宋体" w:cs="Times New Roman"/>
                <w:color w:val="auto"/>
                <w:sz w:val="18"/>
                <w:szCs w:val="18"/>
                <w:highlight w:val="none"/>
                <w:lang w:val="en-US" w:eastAsia="zh-CN"/>
              </w:rPr>
              <w:t>c</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悬挑式</w:t>
            </w:r>
          </w:p>
        </w:tc>
      </w:tr>
      <w:tr w14:paraId="5CB0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40" w:type="dxa"/>
            <w:gridSpan w:val="3"/>
            <w:vAlign w:val="center"/>
          </w:tcPr>
          <w:p w14:paraId="7B2CADE0">
            <w:pPr>
              <w:wordWrap/>
              <w:overflowPunct/>
              <w:topLinePunct w:val="0"/>
              <w:bidi w:val="0"/>
              <w:snapToGrid w:val="0"/>
              <w:spacing w:line="300" w:lineRule="auto"/>
              <w:ind w:left="0" w:leftChars="0" w:firstLine="0" w:firstLineChars="0"/>
              <w:jc w:val="center"/>
              <w:rPr>
                <w:rFonts w:hint="default" w:ascii="宋体" w:hAnsi="宋体" w:cs="Times New Roman"/>
                <w:color w:val="auto"/>
                <w:sz w:val="18"/>
                <w:szCs w:val="18"/>
                <w:highlight w:val="none"/>
                <w:lang w:val="en-US" w:eastAsia="zh-CN"/>
              </w:rPr>
            </w:pPr>
            <w:r>
              <w:rPr>
                <w:rFonts w:hint="eastAsia" w:ascii="宋体" w:hAnsi="宋体" w:cs="Times New Roman"/>
                <w:color w:val="auto"/>
                <w:sz w:val="18"/>
                <w:szCs w:val="18"/>
                <w:highlight w:val="none"/>
                <w:lang w:val="en-US" w:eastAsia="zh-CN"/>
              </w:rPr>
              <w:t>图5.2.1 建筑模块单元组合方式</w:t>
            </w:r>
          </w:p>
        </w:tc>
      </w:tr>
    </w:tbl>
    <w:p w14:paraId="2BED50AD">
      <w:pPr>
        <w:keepNext w:val="0"/>
        <w:keepLines w:val="0"/>
        <w:pageBreakBefore w:val="0"/>
        <w:widowControl/>
        <w:kinsoku/>
        <w:wordWrap/>
        <w:overflowPunct/>
        <w:topLinePunct w:val="0"/>
        <w:autoSpaceDE/>
        <w:autoSpaceDN/>
        <w:bidi w:val="0"/>
        <w:adjustRightInd/>
        <w:snapToGrid/>
        <w:spacing w:before="0" w:beforeLines="-2147483648" w:line="240" w:lineRule="auto"/>
        <w:jc w:val="left"/>
        <w:textAlignment w:val="auto"/>
        <w:rPr>
          <w:rFonts w:hint="eastAsia" w:ascii="Segoe UI" w:hAnsi="Segoe UI" w:eastAsia="宋体" w:cs="Segoe UI"/>
          <w:i w:val="0"/>
          <w:iCs w:val="0"/>
          <w:caps w:val="0"/>
          <w:color w:val="auto"/>
          <w:spacing w:val="0"/>
          <w:sz w:val="24"/>
          <w:szCs w:val="24"/>
          <w:highlight w:val="none"/>
          <w:shd w:val="clear" w:fill="FFFFFF"/>
          <w:lang w:eastAsia="zh-CN"/>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5.2.2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建筑平面布置宜</w:t>
      </w:r>
      <w:r>
        <w:rPr>
          <w:rFonts w:hint="eastAsia" w:cs="Times New Roman"/>
          <w:color w:val="auto"/>
          <w:kern w:val="0"/>
          <w:sz w:val="24"/>
          <w:szCs w:val="24"/>
          <w:highlight w:val="none"/>
          <w:lang w:val="en-US" w:eastAsia="zh-CN" w:bidi="ar-SA"/>
        </w:rPr>
        <w:t>简洁、</w:t>
      </w:r>
      <w:r>
        <w:rPr>
          <w:rFonts w:hint="eastAsia" w:ascii="Times New Roman" w:hAnsi="Times New Roman" w:eastAsia="宋体" w:cs="Times New Roman"/>
          <w:color w:val="auto"/>
          <w:kern w:val="0"/>
          <w:sz w:val="24"/>
          <w:szCs w:val="24"/>
          <w:highlight w:val="none"/>
          <w:lang w:val="en-US" w:eastAsia="zh-CN" w:bidi="ar-SA"/>
        </w:rPr>
        <w:t>规则</w:t>
      </w:r>
      <w:r>
        <w:rPr>
          <w:rFonts w:hint="eastAsia" w:ascii="宋体" w:hAnsi="宋体" w:cs="宋体"/>
          <w:color w:val="auto"/>
          <w:kern w:val="0"/>
          <w:sz w:val="24"/>
          <w:szCs w:val="24"/>
          <w:highlight w:val="none"/>
          <w:lang w:val="en-US" w:eastAsia="zh-CN" w:bidi="ar"/>
        </w:rPr>
        <w:t>，</w:t>
      </w:r>
      <w:r>
        <w:rPr>
          <w:rFonts w:ascii="宋体" w:hAnsi="宋体" w:eastAsia="宋体" w:cs="宋体"/>
          <w:color w:val="auto"/>
          <w:kern w:val="0"/>
          <w:sz w:val="24"/>
          <w:szCs w:val="24"/>
          <w:highlight w:val="none"/>
          <w:lang w:val="en-US" w:eastAsia="zh-CN" w:bidi="ar"/>
        </w:rPr>
        <w:t>功能分区应清晰有</w:t>
      </w:r>
      <w:r>
        <w:rPr>
          <w:rFonts w:hint="eastAsia" w:ascii="宋体" w:hAnsi="宋体" w:eastAsia="宋体" w:cs="宋体"/>
          <w:color w:val="auto"/>
          <w:kern w:val="0"/>
          <w:sz w:val="24"/>
          <w:szCs w:val="24"/>
          <w:highlight w:val="none"/>
          <w:lang w:val="en-US" w:eastAsia="zh-CN" w:bidi="ar"/>
        </w:rPr>
        <w:t>序</w:t>
      </w:r>
      <w:r>
        <w:rPr>
          <w:rFonts w:hint="eastAsia" w:cs="Times New Roman"/>
          <w:color w:val="auto"/>
          <w:kern w:val="0"/>
          <w:sz w:val="24"/>
          <w:szCs w:val="24"/>
          <w:highlight w:val="none"/>
          <w:lang w:val="en-US" w:eastAsia="zh-CN" w:bidi="ar-SA"/>
        </w:rPr>
        <w:t>，</w:t>
      </w:r>
      <w:r>
        <w:rPr>
          <w:rFonts w:hint="default" w:ascii="Segoe UI" w:hAnsi="Segoe UI" w:eastAsia="Segoe UI" w:cs="Segoe UI"/>
          <w:color w:val="auto"/>
          <w:kern w:val="2"/>
          <w:sz w:val="24"/>
          <w:szCs w:val="24"/>
          <w:highlight w:val="none"/>
          <w:shd w:val="clear" w:fill="FFFFFF"/>
          <w:lang w:val="en-US" w:eastAsia="zh-CN" w:bidi="ar-SA"/>
        </w:rPr>
        <w:t>建筑平面</w:t>
      </w:r>
      <w:r>
        <w:rPr>
          <w:rFonts w:ascii="Segoe UI" w:hAnsi="Segoe UI" w:eastAsia="Segoe UI" w:cs="Segoe UI"/>
          <w:b w:val="0"/>
          <w:bCs w:val="0"/>
          <w:i w:val="0"/>
          <w:iCs w:val="0"/>
          <w:caps w:val="0"/>
          <w:color w:val="auto"/>
          <w:spacing w:val="0"/>
          <w:sz w:val="24"/>
          <w:szCs w:val="24"/>
          <w:highlight w:val="none"/>
          <w:shd w:val="clear" w:fill="FFFFFF"/>
        </w:rPr>
        <w:t>开间与进深尺寸</w:t>
      </w:r>
      <w:r>
        <w:rPr>
          <w:rFonts w:hint="eastAsia" w:ascii="Segoe UI" w:hAnsi="Segoe UI" w:eastAsia="宋体" w:cs="Segoe UI"/>
          <w:i w:val="0"/>
          <w:iCs w:val="0"/>
          <w:caps w:val="0"/>
          <w:color w:val="auto"/>
          <w:spacing w:val="0"/>
          <w:sz w:val="24"/>
          <w:szCs w:val="24"/>
          <w:highlight w:val="none"/>
          <w:shd w:val="clear" w:fill="FFFFFF"/>
          <w:lang w:eastAsia="zh-CN"/>
        </w:rPr>
        <w:t>宜</w:t>
      </w:r>
      <w:r>
        <w:rPr>
          <w:rFonts w:hint="default" w:ascii="Segoe UI" w:hAnsi="Segoe UI" w:eastAsia="Segoe UI" w:cs="Segoe UI"/>
          <w:i w:val="0"/>
          <w:iCs w:val="0"/>
          <w:caps w:val="0"/>
          <w:color w:val="auto"/>
          <w:spacing w:val="0"/>
          <w:sz w:val="24"/>
          <w:szCs w:val="24"/>
          <w:highlight w:val="none"/>
          <w:shd w:val="clear" w:fill="FFFFFF"/>
        </w:rPr>
        <w:t>规</w:t>
      </w:r>
      <w:r>
        <w:rPr>
          <w:rFonts w:hint="eastAsia" w:ascii="Segoe UI" w:hAnsi="Segoe UI" w:eastAsia="宋体" w:cs="Segoe UI"/>
          <w:i w:val="0"/>
          <w:iCs w:val="0"/>
          <w:caps w:val="0"/>
          <w:color w:val="auto"/>
          <w:spacing w:val="0"/>
          <w:sz w:val="24"/>
          <w:szCs w:val="24"/>
          <w:highlight w:val="none"/>
          <w:shd w:val="clear" w:fill="FFFFFF"/>
          <w:lang w:val="en-US" w:eastAsia="zh-CN"/>
        </w:rPr>
        <w:t>则</w:t>
      </w:r>
      <w:r>
        <w:rPr>
          <w:rFonts w:hint="default" w:ascii="Segoe UI" w:hAnsi="Segoe UI" w:eastAsia="Segoe UI" w:cs="Segoe UI"/>
          <w:i w:val="0"/>
          <w:iCs w:val="0"/>
          <w:caps w:val="0"/>
          <w:color w:val="auto"/>
          <w:spacing w:val="0"/>
          <w:sz w:val="24"/>
          <w:szCs w:val="24"/>
          <w:highlight w:val="none"/>
          <w:shd w:val="clear" w:fill="FFFFFF"/>
        </w:rPr>
        <w:t>统一</w:t>
      </w:r>
      <w:r>
        <w:rPr>
          <w:rFonts w:hint="eastAsia" w:ascii="Segoe UI" w:hAnsi="Segoe UI" w:eastAsia="宋体" w:cs="Segoe UI"/>
          <w:i w:val="0"/>
          <w:iCs w:val="0"/>
          <w:caps w:val="0"/>
          <w:color w:val="auto"/>
          <w:spacing w:val="0"/>
          <w:sz w:val="24"/>
          <w:szCs w:val="24"/>
          <w:highlight w:val="none"/>
          <w:shd w:val="clear" w:fill="FFFFFF"/>
          <w:lang w:eastAsia="zh-CN"/>
        </w:rPr>
        <w:t>。</w:t>
      </w:r>
    </w:p>
    <w:p w14:paraId="5475497D">
      <w:pPr>
        <w:widowControl/>
        <w:tabs>
          <w:tab w:val="right" w:pos="1512"/>
          <w:tab w:val="left" w:pos="1560"/>
        </w:tabs>
        <w:wordWrap/>
        <w:overflowPunct/>
        <w:topLinePunct w:val="0"/>
        <w:autoSpaceDE w:val="0"/>
        <w:autoSpaceDN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5.2.</w:t>
      </w:r>
      <w:r>
        <w:rPr>
          <w:rFonts w:hint="eastAsia" w:cs="Times New Roman"/>
          <w:b/>
          <w:bCs/>
          <w:snapToGrid w:val="0"/>
          <w:color w:val="auto"/>
          <w:kern w:val="0"/>
          <w:sz w:val="20"/>
          <w:szCs w:val="20"/>
          <w:highlight w:val="none"/>
          <w:lang w:val="en-US" w:eastAsia="zh-CN" w:bidi="ar-SA"/>
        </w:rPr>
        <w:t>3</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s="Times New Roman"/>
          <w:b w:val="0"/>
          <w:bCs w:val="0"/>
          <w:snapToGrid/>
          <w:color w:val="auto"/>
          <w:kern w:val="0"/>
          <w:sz w:val="24"/>
          <w:szCs w:val="24"/>
          <w:highlight w:val="none"/>
          <w:lang w:val="en-US" w:eastAsia="zh-CN" w:bidi="ar-SA"/>
        </w:rPr>
        <w:t>模块中的</w:t>
      </w:r>
      <w:r>
        <w:rPr>
          <w:rFonts w:hint="eastAsia" w:ascii="Times New Roman" w:hAnsi="Times New Roman" w:eastAsia="宋体" w:cs="Times New Roman"/>
          <w:color w:val="auto"/>
          <w:kern w:val="0"/>
          <w:sz w:val="24"/>
          <w:szCs w:val="24"/>
          <w:highlight w:val="none"/>
          <w:lang w:val="en-US" w:eastAsia="zh-CN" w:bidi="ar-SA"/>
        </w:rPr>
        <w:t>墙、柱等竖向</w:t>
      </w:r>
      <w:r>
        <w:rPr>
          <w:rFonts w:hint="eastAsia" w:cs="Times New Roman"/>
          <w:color w:val="auto"/>
          <w:kern w:val="0"/>
          <w:sz w:val="24"/>
          <w:szCs w:val="24"/>
          <w:highlight w:val="none"/>
          <w:lang w:val="en-US" w:eastAsia="zh-CN" w:bidi="ar-SA"/>
        </w:rPr>
        <w:t>受力</w:t>
      </w:r>
      <w:r>
        <w:rPr>
          <w:rFonts w:hint="eastAsia" w:ascii="Times New Roman" w:hAnsi="Times New Roman" w:eastAsia="宋体" w:cs="Times New Roman"/>
          <w:color w:val="auto"/>
          <w:kern w:val="0"/>
          <w:sz w:val="24"/>
          <w:szCs w:val="24"/>
          <w:highlight w:val="none"/>
          <w:lang w:val="en-US" w:eastAsia="zh-CN" w:bidi="ar-SA"/>
        </w:rPr>
        <w:t>构件</w:t>
      </w:r>
      <w:r>
        <w:rPr>
          <w:rFonts w:hint="eastAsia" w:cs="Times New Roman"/>
          <w:color w:val="auto"/>
          <w:kern w:val="0"/>
          <w:sz w:val="24"/>
          <w:szCs w:val="24"/>
          <w:highlight w:val="none"/>
          <w:lang w:val="en-US" w:eastAsia="zh-CN" w:bidi="ar-SA"/>
        </w:rPr>
        <w:t>宜</w:t>
      </w:r>
      <w:r>
        <w:rPr>
          <w:rFonts w:hint="eastAsia" w:ascii="Times New Roman" w:hAnsi="Times New Roman" w:eastAsia="宋体" w:cs="Times New Roman"/>
          <w:color w:val="auto"/>
          <w:kern w:val="0"/>
          <w:sz w:val="24"/>
          <w:szCs w:val="24"/>
          <w:highlight w:val="none"/>
          <w:lang w:val="en-US" w:eastAsia="zh-CN" w:bidi="ar-SA"/>
        </w:rPr>
        <w:t>上、下连续</w:t>
      </w:r>
      <w:r>
        <w:rPr>
          <w:rFonts w:hint="eastAsia" w:cs="Times New Roman"/>
          <w:color w:val="auto"/>
          <w:kern w:val="0"/>
          <w:sz w:val="24"/>
          <w:szCs w:val="24"/>
          <w:highlight w:val="none"/>
          <w:lang w:val="en-US" w:eastAsia="zh-CN" w:bidi="ar-SA"/>
        </w:rPr>
        <w:t>，当存在局部错位时，应有可靠传力路径</w:t>
      </w:r>
      <w:r>
        <w:rPr>
          <w:rFonts w:hint="eastAsia" w:ascii="Times New Roman" w:hAnsi="Times New Roman" w:eastAsia="宋体" w:cs="Times New Roman"/>
          <w:color w:val="auto"/>
          <w:kern w:val="0"/>
          <w:sz w:val="24"/>
          <w:szCs w:val="24"/>
          <w:highlight w:val="none"/>
          <w:lang w:val="en-US" w:eastAsia="zh-CN" w:bidi="ar-SA"/>
        </w:rPr>
        <w:t>。</w:t>
      </w:r>
    </w:p>
    <w:p w14:paraId="244C2610">
      <w:pPr>
        <w:widowControl/>
        <w:tabs>
          <w:tab w:val="right" w:pos="1512"/>
          <w:tab w:val="left" w:pos="1560"/>
        </w:tabs>
        <w:wordWrap/>
        <w:overflowPunct/>
        <w:topLinePunct w:val="0"/>
        <w:autoSpaceDE w:val="0"/>
        <w:autoSpaceDN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5.2.</w:t>
      </w:r>
      <w:r>
        <w:rPr>
          <w:rFonts w:hint="eastAsia" w:cs="Times New Roman"/>
          <w:b/>
          <w:bCs/>
          <w:snapToGrid w:val="0"/>
          <w:color w:val="auto"/>
          <w:kern w:val="0"/>
          <w:sz w:val="20"/>
          <w:szCs w:val="20"/>
          <w:highlight w:val="none"/>
          <w:lang w:val="en-US" w:eastAsia="zh-CN" w:bidi="ar-SA"/>
        </w:rPr>
        <w:t>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门窗洞口宜上下对齐，其位置和尺寸应满足结构受力及</w:t>
      </w:r>
      <w:r>
        <w:rPr>
          <w:rFonts w:hint="eastAsia" w:cs="Times New Roman"/>
          <w:color w:val="auto"/>
          <w:kern w:val="0"/>
          <w:sz w:val="24"/>
          <w:szCs w:val="24"/>
          <w:highlight w:val="none"/>
          <w:lang w:val="en-US" w:eastAsia="zh-CN" w:bidi="ar-SA"/>
        </w:rPr>
        <w:t>模块</w:t>
      </w:r>
      <w:r>
        <w:rPr>
          <w:rFonts w:hint="eastAsia" w:ascii="Times New Roman" w:hAnsi="Times New Roman" w:eastAsia="宋体" w:cs="Times New Roman"/>
          <w:color w:val="auto"/>
          <w:kern w:val="0"/>
          <w:sz w:val="24"/>
          <w:szCs w:val="24"/>
          <w:highlight w:val="none"/>
          <w:lang w:val="en-US" w:eastAsia="zh-CN" w:bidi="ar-SA"/>
        </w:rPr>
        <w:t>生产、运输和安装要求。</w:t>
      </w:r>
    </w:p>
    <w:p w14:paraId="7D10E66F">
      <w:pPr>
        <w:keepNext w:val="0"/>
        <w:keepLines w:val="0"/>
        <w:pageBreakBefore w:val="0"/>
        <w:widowControl/>
        <w:kinsoku/>
        <w:wordWrap/>
        <w:overflowPunct/>
        <w:topLinePunct w:val="0"/>
        <w:autoSpaceDE/>
        <w:autoSpaceDN/>
        <w:bidi w:val="0"/>
        <w:adjustRightInd/>
        <w:snapToGrid/>
        <w:spacing w:before="0" w:beforeLines="-2147483648" w:line="240" w:lineRule="auto"/>
        <w:jc w:val="left"/>
        <w:textAlignment w:val="auto"/>
        <w:rPr>
          <w:rFonts w:hint="eastAsia" w:ascii="Segoe UI" w:hAnsi="Segoe UI" w:eastAsia="宋体" w:cs="Segoe UI"/>
          <w:i w:val="0"/>
          <w:iCs w:val="0"/>
          <w:caps w:val="0"/>
          <w:color w:val="auto"/>
          <w:spacing w:val="0"/>
          <w:sz w:val="24"/>
          <w:szCs w:val="24"/>
          <w:highlight w:val="none"/>
          <w:shd w:val="clear" w:fill="FFFFFF"/>
          <w:lang w:eastAsia="zh-CN"/>
        </w:rPr>
      </w:pPr>
      <w:r>
        <w:rPr>
          <w:rFonts w:hint="eastAsia" w:ascii="Times New Roman" w:hAnsi="Times New Roman" w:eastAsia="宋体" w:cs="Times New Roman"/>
          <w:b/>
          <w:bCs/>
          <w:snapToGrid w:val="0"/>
          <w:color w:val="auto"/>
          <w:kern w:val="0"/>
          <w:sz w:val="20"/>
          <w:szCs w:val="20"/>
          <w:highlight w:val="none"/>
          <w:lang w:val="en-US" w:eastAsia="zh-CN" w:bidi="ar-SA"/>
        </w:rPr>
        <w:t>5.2.</w:t>
      </w:r>
      <w:r>
        <w:rPr>
          <w:rFonts w:hint="eastAsia" w:cs="Times New Roman"/>
          <w:b/>
          <w:bCs/>
          <w:snapToGrid w:val="0"/>
          <w:color w:val="auto"/>
          <w:kern w:val="0"/>
          <w:sz w:val="20"/>
          <w:szCs w:val="20"/>
          <w:highlight w:val="none"/>
          <w:lang w:val="en-US" w:eastAsia="zh-CN" w:bidi="ar-SA"/>
        </w:rPr>
        <w:t>5</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设备管井宜集中设置，并宜布置在公共区域或模块连接处。</w:t>
      </w:r>
    </w:p>
    <w:p w14:paraId="49AE1FEC">
      <w:pPr>
        <w:widowControl/>
        <w:tabs>
          <w:tab w:val="right" w:pos="1512"/>
          <w:tab w:val="left" w:pos="1560"/>
        </w:tabs>
        <w:wordWrap/>
        <w:overflowPunct/>
        <w:topLinePunct w:val="0"/>
        <w:autoSpaceDE w:val="0"/>
        <w:autoSpaceDN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5.2.6</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部品部件尺寸及安装位置的公差</w:t>
      </w:r>
      <w:r>
        <w:rPr>
          <w:rFonts w:hint="eastAsia" w:cs="Times New Roman"/>
          <w:color w:val="auto"/>
          <w:kern w:val="0"/>
          <w:sz w:val="24"/>
          <w:szCs w:val="24"/>
          <w:highlight w:val="none"/>
          <w:lang w:val="en-US" w:eastAsia="zh-CN" w:bidi="ar-SA"/>
        </w:rPr>
        <w:t>配合</w:t>
      </w:r>
      <w:r>
        <w:rPr>
          <w:rFonts w:hint="eastAsia" w:ascii="Times New Roman" w:hAnsi="Times New Roman" w:eastAsia="宋体" w:cs="Times New Roman"/>
          <w:color w:val="auto"/>
          <w:kern w:val="0"/>
          <w:sz w:val="24"/>
          <w:szCs w:val="24"/>
          <w:highlight w:val="none"/>
          <w:lang w:val="en-US" w:eastAsia="zh-CN" w:bidi="ar-SA"/>
        </w:rPr>
        <w:t>应根据生产装配要求、密封材料变形能力、施工误差等确定。</w:t>
      </w:r>
    </w:p>
    <w:p w14:paraId="0E0E425E">
      <w:pPr>
        <w:wordWrap/>
        <w:overflowPunct/>
        <w:topLinePunct w:val="0"/>
        <w:bidi w:val="0"/>
        <w:snapToGrid w:val="0"/>
        <w:spacing w:line="300" w:lineRule="auto"/>
        <w:rPr>
          <w:rFonts w:ascii="宋体" w:hAnsi="宋体" w:cs="Times New Roman"/>
          <w:color w:val="auto"/>
          <w:sz w:val="21"/>
          <w:szCs w:val="21"/>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5.</w:t>
      </w:r>
      <w:r>
        <w:rPr>
          <w:rFonts w:hint="eastAsia" w:cs="Times New Roman"/>
          <w:b/>
          <w:bCs/>
          <w:snapToGrid w:val="0"/>
          <w:color w:val="auto"/>
          <w:kern w:val="0"/>
          <w:sz w:val="20"/>
          <w:szCs w:val="20"/>
          <w:highlight w:val="none"/>
          <w:lang w:val="en-US" w:eastAsia="zh-CN" w:bidi="ar-SA"/>
        </w:rPr>
        <w:t>2</w:t>
      </w:r>
      <w:r>
        <w:rPr>
          <w:rFonts w:hint="eastAsia" w:ascii="Times New Roman" w:hAnsi="Times New Roman" w:eastAsia="宋体" w:cs="Times New Roman"/>
          <w:b/>
          <w:bCs/>
          <w:snapToGrid w:val="0"/>
          <w:color w:val="auto"/>
          <w:kern w:val="0"/>
          <w:sz w:val="20"/>
          <w:szCs w:val="20"/>
          <w:highlight w:val="none"/>
          <w:lang w:val="en-US" w:eastAsia="zh-CN" w:bidi="ar-SA"/>
        </w:rPr>
        <w:t>.</w:t>
      </w:r>
      <w:r>
        <w:rPr>
          <w:rFonts w:hint="eastAsia" w:cs="Times New Roman"/>
          <w:b/>
          <w:bCs/>
          <w:snapToGrid w:val="0"/>
          <w:color w:val="auto"/>
          <w:kern w:val="0"/>
          <w:sz w:val="20"/>
          <w:szCs w:val="20"/>
          <w:highlight w:val="none"/>
          <w:lang w:val="en-US" w:eastAsia="zh-CN" w:bidi="ar-SA"/>
        </w:rPr>
        <w:t>7</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当采用坡屋面时，宜采用标准化的轻钢架体单元作为坡屋面的支撑结构</w:t>
      </w:r>
      <w:r>
        <w:rPr>
          <w:rFonts w:hint="eastAsia" w:ascii="宋体" w:hAnsi="宋体" w:cs="Times New Roman"/>
          <w:color w:val="auto"/>
          <w:sz w:val="21"/>
          <w:szCs w:val="21"/>
          <w:highlight w:val="none"/>
        </w:rPr>
        <w:t>。</w:t>
      </w:r>
    </w:p>
    <w:p w14:paraId="2A00D601">
      <w:pPr>
        <w:widowControl/>
        <w:tabs>
          <w:tab w:val="right" w:pos="1512"/>
          <w:tab w:val="left" w:pos="1560"/>
        </w:tabs>
        <w:wordWrap/>
        <w:overflowPunct/>
        <w:topLinePunct w:val="0"/>
        <w:autoSpaceDE w:val="0"/>
        <w:autoSpaceDN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p>
    <w:p w14:paraId="0F9DFEA4">
      <w:pPr>
        <w:pStyle w:val="3"/>
        <w:bidi w:val="0"/>
        <w:rPr>
          <w:rFonts w:ascii="黑体" w:hAnsi="黑体" w:eastAsia="黑体" w:cs="Times New Roman"/>
          <w:b w:val="0"/>
          <w:bCs w:val="0"/>
          <w:color w:val="auto"/>
          <w:kern w:val="44"/>
          <w:sz w:val="28"/>
          <w:szCs w:val="28"/>
          <w:highlight w:val="none"/>
          <w:lang w:val="zh-CN" w:eastAsia="zh-CN" w:bidi="ar-SA"/>
        </w:rPr>
      </w:pPr>
      <w:bookmarkStart w:id="159" w:name="_Toc17381"/>
      <w:bookmarkStart w:id="160" w:name="_Toc3387"/>
      <w:bookmarkStart w:id="161" w:name="_Toc22388"/>
      <w:bookmarkStart w:id="162" w:name="_Toc177840169"/>
      <w:bookmarkStart w:id="163" w:name="_Toc154525531"/>
      <w:bookmarkStart w:id="164" w:name="_Toc20657"/>
      <w:bookmarkStart w:id="165" w:name="_Toc14367"/>
      <w:bookmarkStart w:id="166" w:name="_Toc154525994"/>
      <w:bookmarkStart w:id="167" w:name="_Toc153805652"/>
      <w:bookmarkStart w:id="168" w:name="_Toc23615"/>
      <w:bookmarkStart w:id="169" w:name="_Toc148909476"/>
      <w:bookmarkStart w:id="170" w:name="_Toc177840561"/>
      <w:bookmarkStart w:id="171" w:name="_Toc180613530"/>
      <w:r>
        <w:rPr>
          <w:rFonts w:hint="default" w:ascii="Times New Roman" w:hAnsi="Times New Roman" w:eastAsia="黑体" w:cs="Times New Roman"/>
          <w:b/>
          <w:bCs/>
          <w:color w:val="auto"/>
          <w:kern w:val="44"/>
          <w:sz w:val="28"/>
          <w:szCs w:val="28"/>
          <w:highlight w:val="none"/>
          <w:lang w:val="zh-CN" w:eastAsia="zh-CN" w:bidi="ar-SA"/>
        </w:rPr>
        <w:t>5.3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立面、外墙设计</w:t>
      </w:r>
      <w:bookmarkEnd w:id="159"/>
      <w:bookmarkEnd w:id="160"/>
      <w:bookmarkEnd w:id="161"/>
      <w:bookmarkEnd w:id="162"/>
      <w:bookmarkEnd w:id="163"/>
      <w:bookmarkEnd w:id="164"/>
      <w:bookmarkEnd w:id="165"/>
      <w:bookmarkEnd w:id="166"/>
      <w:bookmarkEnd w:id="167"/>
      <w:bookmarkEnd w:id="168"/>
      <w:bookmarkEnd w:id="169"/>
      <w:bookmarkEnd w:id="170"/>
      <w:bookmarkEnd w:id="171"/>
    </w:p>
    <w:p w14:paraId="29BE143B">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5.3.1 </w:t>
      </w:r>
      <w:r>
        <w:rPr>
          <w:rFonts w:hint="eastAsia" w:cs="Times New Roman"/>
          <w:b/>
          <w:bCs/>
          <w:snapToGrid w:val="0"/>
          <w:color w:val="auto"/>
          <w:kern w:val="0"/>
          <w:sz w:val="20"/>
          <w:szCs w:val="20"/>
          <w:highlight w:val="none"/>
          <w:lang w:val="en-US" w:eastAsia="zh-CN" w:bidi="ar-SA"/>
        </w:rPr>
        <w:t xml:space="preserve"> </w:t>
      </w:r>
      <w:r>
        <w:rPr>
          <w:rFonts w:ascii="宋体" w:hAnsi="宋体" w:eastAsia="宋体" w:cs="宋体"/>
          <w:color w:val="auto"/>
          <w:kern w:val="0"/>
          <w:sz w:val="24"/>
          <w:szCs w:val="24"/>
          <w:highlight w:val="none"/>
          <w:lang w:val="en-US" w:eastAsia="zh-CN" w:bidi="ar"/>
        </w:rPr>
        <w:t>立面</w:t>
      </w:r>
      <w:r>
        <w:rPr>
          <w:rFonts w:hint="eastAsia" w:ascii="宋体" w:hAnsi="宋体" w:eastAsia="宋体" w:cs="宋体"/>
          <w:color w:val="auto"/>
          <w:kern w:val="0"/>
          <w:sz w:val="24"/>
          <w:szCs w:val="24"/>
          <w:highlight w:val="none"/>
          <w:lang w:val="en-US" w:eastAsia="zh-CN" w:bidi="ar"/>
        </w:rPr>
        <w:t>设计</w:t>
      </w:r>
      <w:r>
        <w:rPr>
          <w:rFonts w:ascii="宋体" w:hAnsi="宋体" w:eastAsia="宋体" w:cs="宋体"/>
          <w:color w:val="auto"/>
          <w:kern w:val="0"/>
          <w:sz w:val="24"/>
          <w:szCs w:val="24"/>
          <w:highlight w:val="none"/>
          <w:lang w:val="en-US" w:eastAsia="zh-CN" w:bidi="ar"/>
        </w:rPr>
        <w:t>应注重整体性和连续性，模块</w:t>
      </w:r>
      <w:r>
        <w:rPr>
          <w:rFonts w:hint="eastAsia" w:ascii="宋体" w:hAnsi="宋体" w:eastAsia="宋体" w:cs="宋体"/>
          <w:color w:val="auto"/>
          <w:kern w:val="0"/>
          <w:sz w:val="24"/>
          <w:szCs w:val="24"/>
          <w:highlight w:val="none"/>
          <w:lang w:val="en-US" w:eastAsia="zh-CN" w:bidi="ar"/>
        </w:rPr>
        <w:t>连</w:t>
      </w:r>
      <w:r>
        <w:rPr>
          <w:rFonts w:ascii="宋体" w:hAnsi="宋体" w:eastAsia="宋体" w:cs="宋体"/>
          <w:color w:val="auto"/>
          <w:kern w:val="0"/>
          <w:sz w:val="24"/>
          <w:szCs w:val="24"/>
          <w:highlight w:val="none"/>
          <w:lang w:val="en-US" w:eastAsia="zh-CN" w:bidi="ar"/>
        </w:rPr>
        <w:t>接后的竖向、水平线条应规整有序，接缝应与立面造型有机结合</w:t>
      </w:r>
      <w:r>
        <w:rPr>
          <w:rFonts w:hint="eastAsia" w:ascii="宋体" w:hAnsi="宋体" w:eastAsia="宋体" w:cs="宋体"/>
          <w:color w:val="auto"/>
          <w:kern w:val="0"/>
          <w:sz w:val="24"/>
          <w:szCs w:val="24"/>
          <w:highlight w:val="none"/>
          <w:lang w:val="en-US" w:eastAsia="zh-CN" w:bidi="ar"/>
        </w:rPr>
        <w:t>。</w:t>
      </w:r>
      <w:r>
        <w:rPr>
          <w:rFonts w:ascii="宋体" w:hAnsi="宋体" w:eastAsia="宋体" w:cs="宋体"/>
          <w:color w:val="auto"/>
          <w:kern w:val="0"/>
          <w:sz w:val="24"/>
          <w:szCs w:val="24"/>
          <w:highlight w:val="none"/>
          <w:lang w:val="en-US" w:eastAsia="zh-CN" w:bidi="ar"/>
        </w:rPr>
        <w:t>立面造型应与周边建筑环境</w:t>
      </w:r>
      <w:r>
        <w:rPr>
          <w:rFonts w:hint="eastAsia" w:ascii="宋体" w:hAnsi="宋体" w:eastAsia="宋体" w:cs="宋体"/>
          <w:color w:val="auto"/>
          <w:kern w:val="0"/>
          <w:sz w:val="24"/>
          <w:szCs w:val="24"/>
          <w:highlight w:val="none"/>
          <w:lang w:val="en-US" w:eastAsia="zh-CN" w:bidi="ar"/>
        </w:rPr>
        <w:t>相协调。</w:t>
      </w:r>
    </w:p>
    <w:p w14:paraId="2E854948">
      <w:pPr>
        <w:widowControl/>
        <w:tabs>
          <w:tab w:val="right" w:pos="1512"/>
          <w:tab w:val="left" w:pos="1560"/>
        </w:tabs>
        <w:wordWrap/>
        <w:overflowPunct/>
        <w:topLinePunct w:val="0"/>
        <w:autoSpaceDE w:val="0"/>
        <w:autoSpaceDN w:val="0"/>
        <w:bidi w:val="0"/>
        <w:snapToGrid w:val="0"/>
        <w:spacing w:line="300" w:lineRule="auto"/>
        <w:rPr>
          <w:rFonts w:hint="default" w:ascii="Times New Roman" w:hAnsi="Times New Roman" w:eastAsia="宋体" w:cs="Times New Roman"/>
          <w:b/>
          <w:bCs/>
          <w:snapToGrid w:val="0"/>
          <w:color w:val="auto"/>
          <w:kern w:val="0"/>
          <w:sz w:val="20"/>
          <w:szCs w:val="20"/>
          <w:highlight w:val="none"/>
          <w:lang w:val="en-US" w:eastAsia="zh-CN" w:bidi="ar-SA"/>
        </w:rPr>
      </w:pPr>
      <w:r>
        <w:rPr>
          <w:rFonts w:hint="eastAsia" w:cs="Times New Roman"/>
          <w:b/>
          <w:bCs/>
          <w:snapToGrid w:val="0"/>
          <w:color w:val="auto"/>
          <w:kern w:val="0"/>
          <w:sz w:val="20"/>
          <w:szCs w:val="20"/>
          <w:highlight w:val="none"/>
          <w:lang w:val="en-US" w:eastAsia="zh-CN" w:bidi="ar-SA"/>
        </w:rPr>
        <w:t xml:space="preserve">5.3.2  </w:t>
      </w:r>
      <w:r>
        <w:rPr>
          <w:rFonts w:hint="eastAsia" w:cs="Times New Roman"/>
          <w:color w:val="auto"/>
          <w:kern w:val="0"/>
          <w:sz w:val="24"/>
          <w:szCs w:val="24"/>
          <w:highlight w:val="none"/>
          <w:lang w:val="en-US" w:eastAsia="zh-CN" w:bidi="ar-SA"/>
        </w:rPr>
        <w:t>建筑外墙模块的拼缝宽度不宜小于20mm，并应与立面设计相协调，保证立面整体性。</w:t>
      </w:r>
    </w:p>
    <w:p w14:paraId="3A225ADE">
      <w:pPr>
        <w:widowControl/>
        <w:wordWrap/>
        <w:overflowPunct/>
        <w:topLinePunct w:val="0"/>
        <w:bidi w:val="0"/>
        <w:snapToGrid/>
        <w:spacing w:line="240" w:lineRule="auto"/>
        <w:jc w:val="left"/>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5.3.</w:t>
      </w:r>
      <w:r>
        <w:rPr>
          <w:rFonts w:hint="eastAsia" w:cs="Times New Roman"/>
          <w:b/>
          <w:bCs/>
          <w:snapToGrid w:val="0"/>
          <w:color w:val="auto"/>
          <w:kern w:val="0"/>
          <w:sz w:val="20"/>
          <w:szCs w:val="20"/>
          <w:highlight w:val="none"/>
          <w:lang w:val="en-US" w:eastAsia="zh-CN" w:bidi="ar-SA"/>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外墙构造节点及饰面材料宜采用保温装饰一体化材料</w:t>
      </w:r>
      <w:r>
        <w:rPr>
          <w:rFonts w:hint="eastAsia" w:cs="Times New Roman"/>
          <w:color w:val="auto"/>
          <w:kern w:val="0"/>
          <w:szCs w:val="24"/>
          <w:highlight w:val="none"/>
          <w:lang w:eastAsia="zh-CN"/>
        </w:rPr>
        <w:t>，</w:t>
      </w:r>
      <w:r>
        <w:rPr>
          <w:rFonts w:hint="eastAsia" w:cs="Times New Roman"/>
          <w:color w:val="auto"/>
          <w:kern w:val="0"/>
          <w:szCs w:val="24"/>
          <w:highlight w:val="none"/>
          <w:lang w:val="en-US" w:eastAsia="zh-CN"/>
        </w:rPr>
        <w:t>且满足耐久性和便于维护的要求</w:t>
      </w:r>
      <w:r>
        <w:rPr>
          <w:rFonts w:hint="eastAsia" w:ascii="Times New Roman" w:hAnsi="Times New Roman" w:eastAsia="宋体" w:cs="Times New Roman"/>
          <w:color w:val="auto"/>
          <w:kern w:val="0"/>
          <w:sz w:val="24"/>
          <w:szCs w:val="24"/>
          <w:highlight w:val="none"/>
          <w:lang w:val="en-US" w:eastAsia="zh-CN" w:bidi="ar-SA"/>
        </w:rPr>
        <w:t>。</w:t>
      </w:r>
    </w:p>
    <w:p w14:paraId="315417E5">
      <w:pPr>
        <w:wordWrap/>
        <w:overflowPunct/>
        <w:topLinePunct w:val="0"/>
        <w:bidi w:val="0"/>
        <w:snapToGrid w:val="0"/>
        <w:spacing w:line="300" w:lineRule="auto"/>
        <w:rPr>
          <w:rFonts w:hint="eastAsia" w:ascii="宋体" w:hAnsi="宋体" w:cs="Times New Roman"/>
          <w:color w:val="auto"/>
          <w:sz w:val="21"/>
          <w:szCs w:val="21"/>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5.3.</w:t>
      </w:r>
      <w:r>
        <w:rPr>
          <w:rFonts w:hint="eastAsia" w:cs="Times New Roman"/>
          <w:b/>
          <w:bCs/>
          <w:snapToGrid w:val="0"/>
          <w:color w:val="auto"/>
          <w:kern w:val="0"/>
          <w:sz w:val="20"/>
          <w:szCs w:val="20"/>
          <w:highlight w:val="none"/>
          <w:lang w:val="en-US" w:eastAsia="zh-CN" w:bidi="ar-SA"/>
        </w:rPr>
        <w:t>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外墙的接缝</w:t>
      </w:r>
      <w:r>
        <w:rPr>
          <w:rFonts w:hint="eastAsia" w:cs="Times New Roman"/>
          <w:color w:val="auto"/>
          <w:kern w:val="0"/>
          <w:sz w:val="24"/>
          <w:szCs w:val="24"/>
          <w:highlight w:val="none"/>
          <w:lang w:val="en-US" w:eastAsia="zh-CN" w:bidi="ar-SA"/>
        </w:rPr>
        <w:t>做法</w:t>
      </w:r>
      <w:r>
        <w:rPr>
          <w:rFonts w:hint="eastAsia" w:ascii="Times New Roman" w:hAnsi="Times New Roman" w:eastAsia="宋体" w:cs="Times New Roman"/>
          <w:color w:val="auto"/>
          <w:kern w:val="0"/>
          <w:sz w:val="24"/>
          <w:szCs w:val="24"/>
          <w:highlight w:val="none"/>
          <w:lang w:val="en-US" w:eastAsia="zh-CN" w:bidi="ar-SA"/>
        </w:rPr>
        <w:t>应满足保温、防火、防水、隔声和平整美观</w:t>
      </w:r>
      <w:r>
        <w:rPr>
          <w:rFonts w:hint="eastAsia" w:cs="Times New Roman"/>
          <w:color w:val="auto"/>
          <w:kern w:val="0"/>
          <w:sz w:val="24"/>
          <w:szCs w:val="24"/>
          <w:highlight w:val="none"/>
          <w:lang w:val="en-US" w:eastAsia="zh-CN" w:bidi="ar-SA"/>
        </w:rPr>
        <w:t>等</w:t>
      </w:r>
      <w:r>
        <w:rPr>
          <w:rFonts w:hint="eastAsia" w:ascii="Times New Roman" w:hAnsi="Times New Roman" w:eastAsia="宋体" w:cs="Times New Roman"/>
          <w:color w:val="auto"/>
          <w:kern w:val="0"/>
          <w:sz w:val="24"/>
          <w:szCs w:val="24"/>
          <w:highlight w:val="none"/>
          <w:lang w:val="en-US" w:eastAsia="zh-CN" w:bidi="ar-SA"/>
        </w:rPr>
        <w:t>的要求</w:t>
      </w:r>
      <w:r>
        <w:rPr>
          <w:rFonts w:hint="eastAsia" w:ascii="宋体" w:hAnsi="宋体" w:cs="Times New Roman"/>
          <w:color w:val="auto"/>
          <w:sz w:val="21"/>
          <w:szCs w:val="21"/>
          <w:highlight w:val="none"/>
        </w:rPr>
        <w:t>。</w:t>
      </w:r>
    </w:p>
    <w:p w14:paraId="6E1993BB">
      <w:pPr>
        <w:wordWrap/>
        <w:overflowPunct/>
        <w:topLinePunct w:val="0"/>
        <w:bidi w:val="0"/>
        <w:snapToGrid w:val="0"/>
        <w:spacing w:line="300" w:lineRule="auto"/>
        <w:rPr>
          <w:rFonts w:hint="eastAsia" w:ascii="宋体" w:hAnsi="宋体" w:eastAsia="宋体" w:cs="Times New Roman"/>
          <w:color w:val="auto"/>
          <w:sz w:val="21"/>
          <w:szCs w:val="21"/>
          <w:highlight w:val="none"/>
          <w:lang w:eastAsia="zh-CN"/>
        </w:rPr>
      </w:pPr>
      <w:r>
        <w:rPr>
          <w:rFonts w:hint="eastAsia" w:ascii="Times New Roman" w:hAnsi="Times New Roman" w:eastAsia="宋体" w:cs="Times New Roman"/>
          <w:b/>
          <w:bCs/>
          <w:i w:val="0"/>
          <w:iCs w:val="0"/>
          <w:caps w:val="0"/>
          <w:snapToGrid w:val="0"/>
          <w:color w:val="auto"/>
          <w:spacing w:val="0"/>
          <w:kern w:val="0"/>
          <w:sz w:val="20"/>
          <w:szCs w:val="20"/>
          <w:highlight w:val="none"/>
          <w:shd w:val="clear" w:fill="auto"/>
          <w:lang w:val="en-US" w:eastAsia="zh-CN"/>
        </w:rPr>
        <w:t>5.3.</w:t>
      </w:r>
      <w:r>
        <w:rPr>
          <w:rFonts w:hint="eastAsia" w:cs="Times New Roman"/>
          <w:b/>
          <w:bCs/>
          <w:i w:val="0"/>
          <w:iCs w:val="0"/>
          <w:caps w:val="0"/>
          <w:snapToGrid w:val="0"/>
          <w:color w:val="auto"/>
          <w:spacing w:val="0"/>
          <w:kern w:val="0"/>
          <w:sz w:val="20"/>
          <w:szCs w:val="20"/>
          <w:highlight w:val="none"/>
          <w:shd w:val="clear"/>
          <w:lang w:val="en-US" w:eastAsia="zh-CN"/>
        </w:rPr>
        <w:t xml:space="preserve">5  </w:t>
      </w:r>
      <w:r>
        <w:rPr>
          <w:rFonts w:hint="eastAsia" w:ascii="Segoe UI" w:hAnsi="Segoe UI" w:eastAsia="Segoe UI" w:cs="Segoe UI"/>
          <w:i w:val="0"/>
          <w:iCs w:val="0"/>
          <w:caps w:val="0"/>
          <w:color w:val="auto"/>
          <w:spacing w:val="0"/>
          <w:sz w:val="24"/>
          <w:szCs w:val="24"/>
          <w:highlight w:val="none"/>
          <w:shd w:val="clear" w:fill="FFFFFF"/>
        </w:rPr>
        <w:t>当采用模块交错、悬挑等组合方式时，应进行专项设计；应对模块之间形成的空腔进行封闭处理。封闭底板的底面应与模块底板平齐或设置滴水构造，不应出现空腔外露</w:t>
      </w:r>
      <w:r>
        <w:rPr>
          <w:rFonts w:hint="eastAsia" w:ascii="Segoe UI" w:hAnsi="Segoe UI" w:eastAsia="宋体" w:cs="Segoe UI"/>
          <w:i w:val="0"/>
          <w:iCs w:val="0"/>
          <w:caps w:val="0"/>
          <w:color w:val="auto"/>
          <w:spacing w:val="0"/>
          <w:sz w:val="24"/>
          <w:szCs w:val="24"/>
          <w:highlight w:val="none"/>
          <w:shd w:val="clear" w:fill="FFFFFF"/>
          <w:lang w:eastAsia="zh-CN"/>
        </w:rPr>
        <w:t>。</w:t>
      </w:r>
    </w:p>
    <w:p w14:paraId="0E956723">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5.3.</w:t>
      </w:r>
      <w:r>
        <w:rPr>
          <w:rFonts w:hint="eastAsia" w:cs="Times New Roman"/>
          <w:b/>
          <w:bCs/>
          <w:snapToGrid w:val="0"/>
          <w:color w:val="auto"/>
          <w:kern w:val="0"/>
          <w:sz w:val="20"/>
          <w:szCs w:val="20"/>
          <w:highlight w:val="none"/>
          <w:lang w:val="en-US" w:eastAsia="zh-CN" w:bidi="ar-SA"/>
        </w:rPr>
        <w:t>6</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外墙的接缝及门窗洞口等防水薄弱部位宜采用材料防水和构造防水相结合的做法，并应符合下列规定：</w:t>
      </w:r>
    </w:p>
    <w:p w14:paraId="58CAF27D">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 外墙水平接缝</w:t>
      </w:r>
      <w:r>
        <w:rPr>
          <w:rFonts w:hint="eastAsia" w:cs="Times New Roman"/>
          <w:color w:val="auto"/>
          <w:kern w:val="0"/>
          <w:sz w:val="24"/>
          <w:szCs w:val="24"/>
          <w:highlight w:val="none"/>
          <w:lang w:val="en-US" w:eastAsia="zh-CN" w:bidi="ar-SA"/>
        </w:rPr>
        <w:t>应</w:t>
      </w:r>
      <w:r>
        <w:rPr>
          <w:rFonts w:hint="eastAsia" w:ascii="Times New Roman" w:hAnsi="Times New Roman" w:eastAsia="宋体" w:cs="Times New Roman"/>
          <w:color w:val="auto"/>
          <w:kern w:val="0"/>
          <w:sz w:val="24"/>
          <w:szCs w:val="24"/>
          <w:highlight w:val="none"/>
          <w:lang w:val="en-US" w:eastAsia="zh-CN" w:bidi="ar-SA"/>
        </w:rPr>
        <w:t>采取构造防水措施；</w:t>
      </w:r>
    </w:p>
    <w:p w14:paraId="6658AC4B">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 外墙竖缝可采用平口或槽口构造；</w:t>
      </w:r>
    </w:p>
    <w:p w14:paraId="1C6FA46A">
      <w:pPr>
        <w:wordWrap/>
        <w:overflowPunct/>
        <w:topLinePunct w:val="0"/>
        <w:bidi w:val="0"/>
        <w:snapToGrid w:val="0"/>
        <w:spacing w:line="300" w:lineRule="auto"/>
        <w:ind w:firstLine="480" w:firstLineChars="200"/>
        <w:rPr>
          <w:rFonts w:hint="eastAsia"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 当板缝空腔需设置导水管排水时，板缝内侧应增设气密条密封构造</w:t>
      </w:r>
      <w:r>
        <w:rPr>
          <w:rFonts w:hint="eastAsia" w:cs="Times New Roman"/>
          <w:color w:val="auto"/>
          <w:kern w:val="0"/>
          <w:sz w:val="24"/>
          <w:szCs w:val="24"/>
          <w:highlight w:val="none"/>
          <w:lang w:val="en-US" w:eastAsia="zh-CN" w:bidi="ar-SA"/>
        </w:rPr>
        <w:t>；</w:t>
      </w:r>
    </w:p>
    <w:p w14:paraId="5C662634">
      <w:pPr>
        <w:wordWrap/>
        <w:overflowPunct/>
        <w:topLinePunct w:val="0"/>
        <w:bidi w:val="0"/>
        <w:snapToGrid w:val="0"/>
        <w:spacing w:line="300" w:lineRule="auto"/>
        <w:ind w:firstLine="480" w:firstLineChars="200"/>
        <w:rPr>
          <w:rFonts w:hint="default"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4 悬挑板</w:t>
      </w:r>
      <w:r>
        <w:rPr>
          <w:rFonts w:hint="eastAsia" w:ascii="Times New Roman" w:hAnsi="Times New Roman" w:eastAsia="宋体" w:cs="Times New Roman"/>
          <w:color w:val="auto"/>
          <w:kern w:val="0"/>
          <w:sz w:val="24"/>
          <w:szCs w:val="24"/>
          <w:highlight w:val="none"/>
          <w:lang w:val="en-US" w:eastAsia="zh-CN" w:bidi="ar-SA"/>
        </w:rPr>
        <w:t>、外墙门窗洞口顶部宜设置滴水线，外墙门窗洞口周围宜设置企口。</w:t>
      </w:r>
    </w:p>
    <w:p w14:paraId="53F6AED0">
      <w:pPr>
        <w:wordWrap/>
        <w:overflowPunct/>
        <w:topLinePunct w:val="0"/>
        <w:bidi w:val="0"/>
        <w:snapToGrid w:val="0"/>
        <w:spacing w:line="300" w:lineRule="auto"/>
        <w:rPr>
          <w:rFonts w:hint="eastAsia" w:ascii="Segoe UI" w:hAnsi="Segoe UI" w:eastAsia="宋体" w:cs="Segoe UI"/>
          <w:i w:val="0"/>
          <w:iCs w:val="0"/>
          <w:caps w:val="0"/>
          <w:color w:val="auto"/>
          <w:spacing w:val="0"/>
          <w:sz w:val="24"/>
          <w:szCs w:val="24"/>
          <w:highlight w:val="none"/>
          <w:shd w:val="clear" w:fill="FFFFFF"/>
          <w:lang w:eastAsia="zh-CN"/>
        </w:rPr>
      </w:pPr>
      <w:r>
        <w:rPr>
          <w:rFonts w:hint="eastAsia" w:ascii="Times New Roman" w:hAnsi="Times New Roman" w:eastAsia="宋体" w:cs="Times New Roman"/>
          <w:b/>
          <w:bCs/>
          <w:snapToGrid w:val="0"/>
          <w:color w:val="auto"/>
          <w:kern w:val="0"/>
          <w:sz w:val="20"/>
          <w:szCs w:val="20"/>
          <w:highlight w:val="none"/>
          <w:lang w:val="en-US" w:eastAsia="zh-CN" w:bidi="ar-SA"/>
        </w:rPr>
        <w:t>5.3.</w:t>
      </w:r>
      <w:r>
        <w:rPr>
          <w:rFonts w:hint="eastAsia" w:cs="Times New Roman"/>
          <w:b/>
          <w:bCs/>
          <w:snapToGrid w:val="0"/>
          <w:color w:val="auto"/>
          <w:kern w:val="0"/>
          <w:sz w:val="20"/>
          <w:szCs w:val="20"/>
          <w:highlight w:val="none"/>
          <w:lang w:val="en-US" w:eastAsia="zh-CN" w:bidi="ar-SA"/>
        </w:rPr>
        <w:t>7</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门窗应采用标准化部品，尺寸应与模块的模数网格相协调，并宜采用缺口、预留副框或预埋件等方式与墙体可靠连接，满足防水、气密等性能要求。门窗宜采用易于在工厂预装的门窗单元</w:t>
      </w:r>
      <w:r>
        <w:rPr>
          <w:rFonts w:hint="eastAsia" w:ascii="Segoe UI" w:hAnsi="Segoe UI" w:eastAsia="宋体" w:cs="Segoe UI"/>
          <w:i w:val="0"/>
          <w:iCs w:val="0"/>
          <w:caps w:val="0"/>
          <w:color w:val="auto"/>
          <w:spacing w:val="0"/>
          <w:sz w:val="24"/>
          <w:szCs w:val="24"/>
          <w:highlight w:val="none"/>
          <w:shd w:val="clear" w:fill="FFFFFF"/>
          <w:lang w:eastAsia="zh-CN"/>
        </w:rPr>
        <w:t>。</w:t>
      </w:r>
    </w:p>
    <w:p w14:paraId="3078509D">
      <w:pPr>
        <w:wordWrap/>
        <w:overflowPunct/>
        <w:topLinePunct w:val="0"/>
        <w:bidi w:val="0"/>
        <w:snapToGrid w:val="0"/>
        <w:spacing w:line="300" w:lineRule="auto"/>
        <w:rPr>
          <w:rFonts w:hint="eastAsia" w:ascii="Segoe UI" w:hAnsi="Segoe UI" w:eastAsia="宋体" w:cs="Segoe UI"/>
          <w:i w:val="0"/>
          <w:iCs w:val="0"/>
          <w:caps w:val="0"/>
          <w:color w:val="auto"/>
          <w:spacing w:val="0"/>
          <w:sz w:val="24"/>
          <w:szCs w:val="24"/>
          <w:highlight w:val="none"/>
          <w:shd w:val="clear" w:fill="FFFFFF"/>
          <w:lang w:eastAsia="zh-CN"/>
        </w:rPr>
      </w:pPr>
      <w:r>
        <w:rPr>
          <w:rFonts w:hint="eastAsia" w:ascii="Times New Roman" w:hAnsi="Times New Roman" w:eastAsia="宋体" w:cs="Times New Roman"/>
          <w:b/>
          <w:bCs/>
          <w:snapToGrid w:val="0"/>
          <w:color w:val="auto"/>
          <w:kern w:val="0"/>
          <w:sz w:val="20"/>
          <w:szCs w:val="20"/>
          <w:highlight w:val="none"/>
          <w:lang w:val="en-US" w:eastAsia="zh-CN" w:bidi="ar-SA"/>
        </w:rPr>
        <w:t>5.3.</w:t>
      </w:r>
      <w:r>
        <w:rPr>
          <w:rFonts w:hint="eastAsia" w:cs="Times New Roman"/>
          <w:b/>
          <w:bCs/>
          <w:snapToGrid w:val="0"/>
          <w:color w:val="auto"/>
          <w:kern w:val="0"/>
          <w:sz w:val="20"/>
          <w:szCs w:val="20"/>
          <w:highlight w:val="none"/>
          <w:lang w:val="en-US" w:eastAsia="zh-CN" w:bidi="ar-SA"/>
        </w:rPr>
        <w:t>8</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ascii="Segoe UI" w:hAnsi="Segoe UI" w:eastAsia="Segoe UI" w:cs="Segoe UI"/>
          <w:i w:val="0"/>
          <w:iCs w:val="0"/>
          <w:caps w:val="0"/>
          <w:color w:val="auto"/>
          <w:spacing w:val="0"/>
          <w:sz w:val="24"/>
          <w:szCs w:val="24"/>
          <w:highlight w:val="none"/>
          <w:shd w:val="clear" w:fill="FFFFFF"/>
        </w:rPr>
        <w:t>空调室外机位、阳台、栏杆、雨水管、标识系统等建筑部品应进行集成化、模块化设计</w:t>
      </w:r>
      <w:r>
        <w:rPr>
          <w:rFonts w:hint="eastAsia" w:ascii="Segoe UI" w:hAnsi="Segoe UI" w:eastAsia="宋体" w:cs="Segoe UI"/>
          <w:i w:val="0"/>
          <w:iCs w:val="0"/>
          <w:caps w:val="0"/>
          <w:color w:val="auto"/>
          <w:spacing w:val="0"/>
          <w:sz w:val="24"/>
          <w:szCs w:val="24"/>
          <w:highlight w:val="none"/>
          <w:shd w:val="clear" w:fill="FFFFFF"/>
          <w:lang w:eastAsia="zh-CN"/>
        </w:rPr>
        <w:t>。</w:t>
      </w:r>
    </w:p>
    <w:p w14:paraId="70F11462">
      <w:pPr>
        <w:wordWrap/>
        <w:overflowPunct/>
        <w:topLinePunct w:val="0"/>
        <w:bidi w:val="0"/>
        <w:snapToGrid w:val="0"/>
        <w:spacing w:line="300" w:lineRule="auto"/>
        <w:rPr>
          <w:rFonts w:hint="eastAsia" w:ascii="宋体" w:hAnsi="宋体" w:eastAsia="宋体" w:cs="Times New Roman"/>
          <w:color w:val="auto"/>
          <w:sz w:val="21"/>
          <w:szCs w:val="21"/>
          <w:highlight w:val="none"/>
          <w:lang w:eastAsia="zh-CN"/>
        </w:rPr>
      </w:pPr>
      <w:r>
        <w:rPr>
          <w:rFonts w:hint="eastAsia" w:cs="Times New Roman"/>
          <w:b/>
          <w:bCs/>
          <w:snapToGrid w:val="0"/>
          <w:color w:val="auto"/>
          <w:kern w:val="0"/>
          <w:sz w:val="20"/>
          <w:szCs w:val="20"/>
          <w:highlight w:val="none"/>
          <w:lang w:val="en-US" w:eastAsia="zh-CN" w:bidi="ar-SA"/>
        </w:rPr>
        <w:t xml:space="preserve">5.3.9  </w:t>
      </w:r>
      <w:r>
        <w:rPr>
          <w:rFonts w:hint="eastAsia" w:ascii="Times New Roman" w:hAnsi="Times New Roman" w:eastAsia="宋体" w:cs="Times New Roman"/>
          <w:color w:val="auto"/>
          <w:kern w:val="0"/>
          <w:sz w:val="24"/>
          <w:szCs w:val="24"/>
          <w:highlight w:val="none"/>
          <w:lang w:val="en-US" w:eastAsia="zh-CN" w:bidi="ar-SA"/>
        </w:rPr>
        <w:t>女儿墙板内侧在要求的泛水高度处应设凹槽、挑檐或其他泛水收头等构造。</w:t>
      </w:r>
    </w:p>
    <w:p w14:paraId="3BB6B37E">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p>
    <w:p w14:paraId="0F39E49F">
      <w:pPr>
        <w:widowControl/>
        <w:wordWrap/>
        <w:overflowPunct/>
        <w:topLinePunct w:val="0"/>
        <w:bidi w:val="0"/>
        <w:snapToGrid w:val="0"/>
        <w:spacing w:line="300" w:lineRule="auto"/>
        <w:ind w:firstLine="420" w:firstLineChars="200"/>
        <w:jc w:val="left"/>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2C41FFD3">
      <w:pPr>
        <w:pStyle w:val="2"/>
        <w:rPr>
          <w:rFonts w:ascii="宋体" w:hAnsi="宋体"/>
          <w:color w:val="auto"/>
          <w:szCs w:val="24"/>
          <w:highlight w:val="none"/>
        </w:rPr>
      </w:pPr>
      <w:bookmarkStart w:id="172" w:name="_Toc20016"/>
      <w:bookmarkStart w:id="173" w:name="_Toc177840171"/>
      <w:bookmarkStart w:id="174" w:name="_Toc132205483"/>
      <w:bookmarkStart w:id="175" w:name="_Toc154525996"/>
      <w:bookmarkStart w:id="176" w:name="_Toc116115092"/>
      <w:bookmarkStart w:id="177" w:name="_Toc9387"/>
      <w:bookmarkStart w:id="178" w:name="_Toc134531828"/>
      <w:bookmarkStart w:id="179" w:name="_Toc6138"/>
      <w:bookmarkStart w:id="180" w:name="_Toc180613532"/>
      <w:bookmarkStart w:id="181" w:name="_Toc154525533"/>
      <w:bookmarkStart w:id="182" w:name="_Toc25029"/>
      <w:bookmarkStart w:id="183" w:name="_Toc153805654"/>
      <w:bookmarkStart w:id="184" w:name="_Toc14733"/>
      <w:bookmarkStart w:id="185" w:name="_Toc117005809"/>
      <w:bookmarkStart w:id="186" w:name="_Toc9433"/>
      <w:bookmarkStart w:id="187" w:name="_Toc177840563"/>
      <w:bookmarkStart w:id="188" w:name="_Toc148909478"/>
      <w:r>
        <w:rPr>
          <w:rFonts w:eastAsia="黑体"/>
          <w:color w:val="auto"/>
          <w:sz w:val="30"/>
          <w:szCs w:val="30"/>
          <w:highlight w:val="none"/>
        </w:rPr>
        <w:t>6</w:t>
      </w:r>
      <w:r>
        <w:rPr>
          <w:rFonts w:ascii="宋体" w:hAnsi="宋体"/>
          <w:color w:val="auto"/>
          <w:szCs w:val="24"/>
          <w:highlight w:val="none"/>
        </w:rPr>
        <w:t xml:space="preserve"> </w:t>
      </w:r>
      <w:r>
        <w:rPr>
          <w:rFonts w:hint="eastAsia" w:ascii="宋体" w:hAnsi="宋体" w:eastAsia="宋体"/>
          <w:color w:val="auto"/>
          <w:szCs w:val="24"/>
          <w:highlight w:val="none"/>
          <w:lang w:val="en-US" w:eastAsia="zh-CN"/>
        </w:rPr>
        <w:t xml:space="preserve"> </w:t>
      </w:r>
      <w:r>
        <w:rPr>
          <w:rFonts w:hint="eastAsia" w:ascii="黑体" w:hAnsi="黑体" w:eastAsia="黑体" w:cs="黑体"/>
          <w:b w:val="0"/>
          <w:bCs w:val="0"/>
          <w:color w:val="auto"/>
          <w:sz w:val="30"/>
          <w:szCs w:val="30"/>
          <w:highlight w:val="none"/>
        </w:rPr>
        <w:t>结构设计</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1601A18D">
      <w:pPr>
        <w:pStyle w:val="3"/>
        <w:rPr>
          <w:rFonts w:ascii="黑体" w:hAnsi="黑体" w:cs="Times New Roman"/>
          <w:b w:val="0"/>
          <w:color w:val="auto"/>
          <w:kern w:val="44"/>
          <w:szCs w:val="28"/>
          <w:highlight w:val="none"/>
          <w:lang w:val="zh-CN"/>
        </w:rPr>
      </w:pPr>
      <w:bookmarkStart w:id="189" w:name="_Toc177840564"/>
      <w:bookmarkStart w:id="190" w:name="_Toc154525997"/>
      <w:bookmarkStart w:id="191" w:name="_Toc21188"/>
      <w:bookmarkStart w:id="192" w:name="_Toc153805655"/>
      <w:bookmarkStart w:id="193" w:name="_Toc154525534"/>
      <w:bookmarkStart w:id="194" w:name="_Toc117005810"/>
      <w:bookmarkStart w:id="195" w:name="_Toc31056"/>
      <w:bookmarkStart w:id="196" w:name="_Toc2304"/>
      <w:bookmarkStart w:id="197" w:name="_Toc31763"/>
      <w:bookmarkStart w:id="198" w:name="_Toc180613533"/>
      <w:bookmarkStart w:id="199" w:name="_Toc134531829"/>
      <w:bookmarkStart w:id="200" w:name="_Toc13822"/>
      <w:bookmarkStart w:id="201" w:name="_Toc177840172"/>
      <w:bookmarkStart w:id="202" w:name="_Toc116115093"/>
      <w:bookmarkStart w:id="203" w:name="_Toc132205484"/>
      <w:bookmarkStart w:id="204" w:name="_Toc148909479"/>
      <w:bookmarkStart w:id="205" w:name="_Toc26035"/>
      <w:r>
        <w:rPr>
          <w:rFonts w:cs="Times New Roman"/>
          <w:bCs/>
          <w:color w:val="auto"/>
          <w:kern w:val="44"/>
          <w:szCs w:val="28"/>
          <w:highlight w:val="none"/>
          <w:lang w:val="zh-CN"/>
        </w:rPr>
        <w:t xml:space="preserve">6.1 </w:t>
      </w:r>
      <w:r>
        <w:rPr>
          <w:rFonts w:hint="eastAsia" w:cs="Times New Roman"/>
          <w:bCs/>
          <w:color w:val="auto"/>
          <w:kern w:val="44"/>
          <w:szCs w:val="28"/>
          <w:highlight w:val="none"/>
          <w:lang w:val="en-US" w:eastAsia="zh-CN"/>
        </w:rPr>
        <w:t xml:space="preserve"> </w:t>
      </w:r>
      <w:r>
        <w:rPr>
          <w:rFonts w:ascii="黑体" w:hAnsi="黑体" w:cs="Times New Roman"/>
          <w:b w:val="0"/>
          <w:color w:val="auto"/>
          <w:kern w:val="44"/>
          <w:szCs w:val="28"/>
          <w:highlight w:val="none"/>
          <w:lang w:val="zh-CN"/>
        </w:rPr>
        <w:t>一般</w:t>
      </w:r>
      <w:r>
        <w:rPr>
          <w:rFonts w:hint="eastAsia" w:ascii="黑体" w:hAnsi="黑体" w:cs="Times New Roman"/>
          <w:b w:val="0"/>
          <w:color w:val="auto"/>
          <w:kern w:val="44"/>
          <w:szCs w:val="28"/>
          <w:highlight w:val="none"/>
          <w:lang w:val="zh-CN"/>
        </w:rPr>
        <w:t>规定</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392A52B">
      <w:pPr>
        <w:snapToGrid w:val="0"/>
        <w:spacing w:before="163" w:beforeLines="50"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6.1.1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模块化建筑可采用剪力墙结构形式，构件之间可采用</w:t>
      </w:r>
      <w:r>
        <w:rPr>
          <w:rFonts w:hint="eastAsia" w:cs="Times New Roman"/>
          <w:color w:val="auto"/>
          <w:kern w:val="0"/>
          <w:szCs w:val="24"/>
          <w:highlight w:val="none"/>
          <w:lang w:val="en-US" w:eastAsia="zh-CN"/>
        </w:rPr>
        <w:t>螺栓连接、焊接、钢筋套筒灌浆连接和浆锚连接等连接方式</w:t>
      </w:r>
      <w:r>
        <w:rPr>
          <w:rFonts w:hint="eastAsia" w:cs="Times New Roman"/>
          <w:color w:val="auto"/>
          <w:kern w:val="0"/>
          <w:szCs w:val="24"/>
          <w:highlight w:val="none"/>
        </w:rPr>
        <w:t>。</w:t>
      </w:r>
    </w:p>
    <w:p w14:paraId="57F4F9BE">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 xml:space="preserve">6.1.2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结构设计的作用及作用组合、结构构件和节点进行承载能力极限状态及正常使用极限状态设计等应根据</w:t>
      </w:r>
      <w:r>
        <w:rPr>
          <w:rFonts w:hint="eastAsia" w:cs="Times New Roman"/>
          <w:color w:val="auto"/>
          <w:kern w:val="0"/>
          <w:szCs w:val="24"/>
          <w:highlight w:val="none"/>
          <w:lang w:val="en-US" w:eastAsia="zh-CN"/>
        </w:rPr>
        <w:t>国家现行</w:t>
      </w:r>
      <w:r>
        <w:rPr>
          <w:rFonts w:hint="eastAsia" w:cs="Times New Roman"/>
          <w:color w:val="auto"/>
          <w:kern w:val="0"/>
          <w:szCs w:val="24"/>
          <w:highlight w:val="none"/>
        </w:rPr>
        <w:t>标准《工程结构通用规范》GB 55001、《建筑抗震设计标准》</w:t>
      </w:r>
      <w:r>
        <w:rPr>
          <w:rFonts w:hint="eastAsia" w:cs="Times New Roman"/>
          <w:color w:val="auto"/>
          <w:kern w:val="0"/>
          <w:szCs w:val="24"/>
          <w:highlight w:val="none"/>
          <w:lang w:eastAsia="zh-CN"/>
        </w:rPr>
        <w:t>GB/T 50011</w:t>
      </w:r>
      <w:r>
        <w:rPr>
          <w:rFonts w:hint="eastAsia" w:cs="Times New Roman"/>
          <w:color w:val="auto"/>
          <w:kern w:val="0"/>
          <w:szCs w:val="24"/>
          <w:highlight w:val="none"/>
        </w:rPr>
        <w:t>、《装配式混凝土结构技术规程》JGJ 1和《混凝土结构工程施工规范》GB 50666有关确定。</w:t>
      </w:r>
    </w:p>
    <w:p w14:paraId="15C7E89E">
      <w:pPr>
        <w:snapToGrid w:val="0"/>
        <w:spacing w:line="300" w:lineRule="auto"/>
        <w:rPr>
          <w:rFonts w:hint="default" w:ascii="Times New Roman" w:hAnsi="Times New Roman" w:eastAsia="宋体" w:cs="Times New Roman"/>
          <w:b w:val="0"/>
          <w:bCs w:val="0"/>
          <w:snapToGrid w:val="0"/>
          <w:color w:val="auto"/>
          <w:kern w:val="0"/>
          <w:sz w:val="20"/>
          <w:szCs w:val="20"/>
          <w:highlight w:val="none"/>
        </w:rPr>
      </w:pPr>
      <w:r>
        <w:rPr>
          <w:rFonts w:hint="default" w:ascii="Times New Roman" w:hAnsi="Times New Roman" w:eastAsia="宋体" w:cs="Times New Roman"/>
          <w:b/>
          <w:bCs/>
          <w:snapToGrid w:val="0"/>
          <w:color w:val="auto"/>
          <w:kern w:val="0"/>
          <w:sz w:val="20"/>
          <w:szCs w:val="20"/>
          <w:highlight w:val="none"/>
        </w:rPr>
        <w:t>6.1.</w:t>
      </w:r>
      <w:r>
        <w:rPr>
          <w:rFonts w:hint="eastAsia" w:cs="Times New Roman"/>
          <w:b/>
          <w:bCs/>
          <w:snapToGrid w:val="0"/>
          <w:color w:val="auto"/>
          <w:kern w:val="0"/>
          <w:sz w:val="20"/>
          <w:szCs w:val="20"/>
          <w:highlight w:val="none"/>
          <w:lang w:val="en-US" w:eastAsia="zh-CN"/>
        </w:rPr>
        <w:t>3</w:t>
      </w:r>
      <w:r>
        <w:rPr>
          <w:rFonts w:hint="default" w:ascii="Times New Roman" w:hAnsi="Times New Roman" w:eastAsia="宋体"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default" w:cs="Times New Roman"/>
          <w:color w:val="auto"/>
          <w:kern w:val="0"/>
          <w:szCs w:val="24"/>
          <w:highlight w:val="none"/>
        </w:rPr>
        <w:t>模块化建筑剪力墙结构构件的抗震等级</w:t>
      </w:r>
      <w:r>
        <w:rPr>
          <w:rFonts w:hint="eastAsia" w:cs="Times New Roman"/>
          <w:color w:val="auto"/>
          <w:kern w:val="0"/>
          <w:szCs w:val="24"/>
          <w:highlight w:val="none"/>
          <w:lang w:val="en-US" w:eastAsia="zh-CN"/>
        </w:rPr>
        <w:t>应为</w:t>
      </w:r>
      <w:r>
        <w:rPr>
          <w:rFonts w:hint="default" w:cs="Times New Roman"/>
          <w:color w:val="auto"/>
          <w:kern w:val="0"/>
          <w:szCs w:val="24"/>
          <w:highlight w:val="none"/>
        </w:rPr>
        <w:t>三级。</w:t>
      </w:r>
    </w:p>
    <w:p w14:paraId="6013A303">
      <w:pPr>
        <w:snapToGrid w:val="0"/>
        <w:spacing w:line="300" w:lineRule="auto"/>
        <w:rPr>
          <w:rFonts w:hint="eastAsia" w:ascii="Times New Roman" w:hAnsi="Times New Roman" w:eastAsia="宋体" w:cs="Times New Roman"/>
          <w:b w:val="0"/>
          <w:bCs w:val="0"/>
          <w:snapToGrid w:val="0"/>
          <w:color w:val="auto"/>
          <w:kern w:val="0"/>
          <w:sz w:val="20"/>
          <w:szCs w:val="20"/>
          <w:highlight w:val="none"/>
          <w:lang w:eastAsia="zh-CN"/>
        </w:rPr>
      </w:pPr>
      <w:r>
        <w:rPr>
          <w:rFonts w:hint="default" w:ascii="Times New Roman" w:hAnsi="Times New Roman" w:eastAsia="宋体" w:cs="Times New Roman"/>
          <w:b/>
          <w:bCs/>
          <w:snapToGrid w:val="0"/>
          <w:color w:val="auto"/>
          <w:kern w:val="0"/>
          <w:sz w:val="20"/>
          <w:szCs w:val="20"/>
          <w:highlight w:val="none"/>
        </w:rPr>
        <w:t>6.1.</w:t>
      </w:r>
      <w:r>
        <w:rPr>
          <w:rFonts w:hint="eastAsia" w:cs="Times New Roman"/>
          <w:b/>
          <w:bCs/>
          <w:snapToGrid w:val="0"/>
          <w:color w:val="auto"/>
          <w:kern w:val="0"/>
          <w:sz w:val="20"/>
          <w:szCs w:val="20"/>
          <w:highlight w:val="none"/>
          <w:lang w:val="en-US" w:eastAsia="zh-CN"/>
        </w:rPr>
        <w:t>4</w:t>
      </w:r>
      <w:r>
        <w:rPr>
          <w:rFonts w:hint="default" w:ascii="Times New Roman" w:hAnsi="Times New Roman" w:eastAsia="宋体"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default" w:cs="Times New Roman"/>
          <w:color w:val="auto"/>
          <w:kern w:val="0"/>
          <w:szCs w:val="24"/>
          <w:highlight w:val="none"/>
        </w:rPr>
        <w:t>模块化建筑结构体系及墙体布置应符合下列规定</w:t>
      </w:r>
      <w:r>
        <w:rPr>
          <w:rFonts w:hint="eastAsia" w:cs="Times New Roman"/>
          <w:color w:val="auto"/>
          <w:kern w:val="0"/>
          <w:szCs w:val="24"/>
          <w:highlight w:val="none"/>
          <w:lang w:eastAsia="zh-CN"/>
        </w:rPr>
        <w:t>：</w:t>
      </w:r>
    </w:p>
    <w:p w14:paraId="468238B8">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1 墙体布置宜均匀对称，沿平面内宜对齐，沿竖向应上下连续；应采用纵、横墙共同承重</w:t>
      </w:r>
      <w:r>
        <w:rPr>
          <w:rFonts w:hint="eastAsia" w:cs="Times New Roman"/>
          <w:color w:val="auto"/>
          <w:kern w:val="0"/>
          <w:szCs w:val="24"/>
          <w:highlight w:val="none"/>
          <w:lang w:eastAsia="zh-CN"/>
        </w:rPr>
        <w:t>。</w:t>
      </w:r>
      <w:r>
        <w:rPr>
          <w:rFonts w:hint="eastAsia" w:cs="Times New Roman"/>
          <w:color w:val="auto"/>
          <w:kern w:val="0"/>
          <w:szCs w:val="24"/>
          <w:highlight w:val="none"/>
        </w:rPr>
        <w:t>且纵</w:t>
      </w:r>
      <w:r>
        <w:rPr>
          <w:rFonts w:hint="eastAsia" w:cs="Times New Roman"/>
          <w:color w:val="auto"/>
          <w:kern w:val="0"/>
          <w:szCs w:val="24"/>
          <w:highlight w:val="none"/>
          <w:lang w:eastAsia="zh-CN"/>
        </w:rPr>
        <w:t>、</w:t>
      </w:r>
      <w:r>
        <w:rPr>
          <w:rFonts w:hint="eastAsia" w:cs="Times New Roman"/>
          <w:color w:val="auto"/>
          <w:kern w:val="0"/>
          <w:szCs w:val="24"/>
          <w:highlight w:val="none"/>
        </w:rPr>
        <w:t>横向</w:t>
      </w:r>
      <w:r>
        <w:rPr>
          <w:rFonts w:hint="eastAsia"/>
          <w:color w:val="auto"/>
          <w:highlight w:val="none"/>
        </w:rPr>
        <w:t>抗侧力构件的布置应均匀，避免刚度分布明显不均或产生较大扭转效应</w:t>
      </w:r>
      <w:r>
        <w:rPr>
          <w:rFonts w:hint="eastAsia"/>
          <w:color w:val="auto"/>
          <w:highlight w:val="none"/>
          <w:lang w:eastAsia="zh-CN"/>
        </w:rPr>
        <w:t>；</w:t>
      </w:r>
    </w:p>
    <w:p w14:paraId="50CC00DD">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2 建筑物平面布置宜符合现行行业标准《装配式混凝土结构技术规程》JGJ 1的有关规定。不宜采用平面不规则及开大洞的平面</w:t>
      </w:r>
      <w:r>
        <w:rPr>
          <w:rFonts w:hint="eastAsia" w:cs="Times New Roman"/>
          <w:color w:val="auto"/>
          <w:kern w:val="0"/>
          <w:szCs w:val="24"/>
          <w:highlight w:val="none"/>
          <w:lang w:eastAsia="zh-CN"/>
        </w:rPr>
        <w:t>；</w:t>
      </w:r>
    </w:p>
    <w:p w14:paraId="1877ECCF">
      <w:pPr>
        <w:snapToGrid w:val="0"/>
        <w:spacing w:line="300" w:lineRule="auto"/>
        <w:ind w:firstLine="480" w:firstLineChars="200"/>
        <w:rPr>
          <w:rFonts w:ascii="宋体" w:hAnsi="宋体" w:cs="Times New Roman"/>
          <w:color w:val="auto"/>
          <w:sz w:val="21"/>
          <w:szCs w:val="21"/>
          <w:highlight w:val="none"/>
        </w:rPr>
      </w:pPr>
      <w:r>
        <w:rPr>
          <w:rFonts w:hint="eastAsia" w:cs="Times New Roman"/>
          <w:color w:val="auto"/>
          <w:kern w:val="0"/>
          <w:szCs w:val="24"/>
          <w:highlight w:val="none"/>
        </w:rPr>
        <w:t>3 承重墙间距不宜超过9</w:t>
      </w:r>
      <w:r>
        <w:rPr>
          <w:rFonts w:cs="Times New Roman"/>
          <w:color w:val="auto"/>
          <w:kern w:val="0"/>
          <w:szCs w:val="24"/>
          <w:highlight w:val="none"/>
        </w:rPr>
        <w:t>m</w:t>
      </w:r>
      <w:r>
        <w:rPr>
          <w:rFonts w:hint="eastAsia" w:cs="Times New Roman"/>
          <w:color w:val="auto"/>
          <w:kern w:val="0"/>
          <w:szCs w:val="24"/>
          <w:highlight w:val="none"/>
        </w:rPr>
        <w:t>。</w:t>
      </w:r>
    </w:p>
    <w:p w14:paraId="349439DB">
      <w:pPr>
        <w:snapToGrid w:val="0"/>
        <w:spacing w:line="300" w:lineRule="auto"/>
        <w:rPr>
          <w:rFonts w:hint="eastAsia" w:cs="Times New Roman"/>
          <w:color w:val="auto"/>
          <w:kern w:val="0"/>
          <w:szCs w:val="24"/>
          <w:highlight w:val="none"/>
        </w:rPr>
      </w:pPr>
      <w:r>
        <w:rPr>
          <w:rFonts w:hint="default" w:ascii="Times New Roman" w:hAnsi="Times New Roman" w:eastAsia="宋体" w:cs="Times New Roman"/>
          <w:b/>
          <w:bCs/>
          <w:snapToGrid w:val="0"/>
          <w:color w:val="auto"/>
          <w:kern w:val="0"/>
          <w:sz w:val="20"/>
          <w:szCs w:val="20"/>
          <w:highlight w:val="none"/>
        </w:rPr>
        <w:t>6.1</w:t>
      </w:r>
      <w:r>
        <w:rPr>
          <w:rFonts w:hint="eastAsia" w:cs="Times New Roman"/>
          <w:b/>
          <w:bCs/>
          <w:snapToGrid w:val="0"/>
          <w:color w:val="auto"/>
          <w:kern w:val="0"/>
          <w:sz w:val="20"/>
          <w:szCs w:val="20"/>
          <w:highlight w:val="none"/>
          <w:lang w:val="en-US" w:eastAsia="zh-CN"/>
        </w:rPr>
        <w:t>.5</w:t>
      </w:r>
      <w:r>
        <w:rPr>
          <w:rFonts w:hint="default" w:ascii="Times New Roman" w:hAnsi="Times New Roman" w:eastAsia="宋体"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模块化建筑应根据岩土工程地质、水文地质、上部结构布置、使用要求及施工条件等因素选择基础形式，基础形式可以选用独立基础和拉梁组合、砌体条形基础和现浇混凝土地梁组合、混凝土条形基础等形式；若地质条件较差也可采用筏板基础、桩基础承台和拉梁组合等形式。基础和拉梁宜采用预制构件。</w:t>
      </w:r>
    </w:p>
    <w:p w14:paraId="4D984858">
      <w:pPr>
        <w:pStyle w:val="3"/>
        <w:rPr>
          <w:rFonts w:hint="default" w:ascii="宋体" w:hAnsi="宋体" w:eastAsia="黑体" w:cs="Times New Roman"/>
          <w:color w:val="auto"/>
          <w:sz w:val="21"/>
          <w:szCs w:val="21"/>
          <w:highlight w:val="none"/>
          <w:lang w:val="en-US" w:eastAsia="zh-CN"/>
        </w:rPr>
      </w:pPr>
      <w:bookmarkStart w:id="206" w:name="_Toc177840173"/>
      <w:bookmarkStart w:id="207" w:name="_Toc148909480"/>
      <w:bookmarkStart w:id="208" w:name="_Toc153805656"/>
      <w:bookmarkStart w:id="209" w:name="_Toc180613534"/>
      <w:bookmarkStart w:id="210" w:name="_Toc154525998"/>
      <w:bookmarkStart w:id="211" w:name="_Toc132205485"/>
      <w:bookmarkStart w:id="212" w:name="_Toc117005811"/>
      <w:bookmarkStart w:id="213" w:name="_Toc116115094"/>
      <w:bookmarkStart w:id="214" w:name="_Toc134531830"/>
      <w:bookmarkStart w:id="215" w:name="_Toc9077"/>
      <w:bookmarkStart w:id="216" w:name="_Toc1740"/>
      <w:bookmarkStart w:id="217" w:name="_Toc177840565"/>
      <w:bookmarkStart w:id="218" w:name="_Toc154525535"/>
      <w:bookmarkStart w:id="219" w:name="_Toc17714"/>
      <w:bookmarkStart w:id="220" w:name="_Toc27043"/>
      <w:bookmarkStart w:id="221" w:name="_Toc19164"/>
      <w:bookmarkStart w:id="222" w:name="_Toc18027"/>
      <w:r>
        <w:rPr>
          <w:rFonts w:cs="Times New Roman"/>
          <w:bCs/>
          <w:color w:val="auto"/>
          <w:kern w:val="44"/>
          <w:szCs w:val="28"/>
          <w:highlight w:val="none"/>
          <w:lang w:val="zh-CN"/>
        </w:rPr>
        <w:t>6.2</w:t>
      </w:r>
      <w:r>
        <w:rPr>
          <w:rFonts w:ascii="黑体" w:hAnsi="黑体" w:cs="Times New Roman"/>
          <w:b w:val="0"/>
          <w:color w:val="auto"/>
          <w:kern w:val="44"/>
          <w:szCs w:val="28"/>
          <w:highlight w:val="none"/>
          <w:lang w:val="zh-CN"/>
        </w:rPr>
        <w:t xml:space="preserve"> </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rFonts w:hint="eastAsia" w:ascii="黑体" w:hAnsi="黑体" w:cs="Times New Roman"/>
          <w:b w:val="0"/>
          <w:color w:val="auto"/>
          <w:kern w:val="44"/>
          <w:szCs w:val="28"/>
          <w:highlight w:val="none"/>
          <w:lang w:val="en-US" w:eastAsia="zh-CN"/>
        </w:rPr>
        <w:t xml:space="preserve"> 结构分析</w:t>
      </w:r>
      <w:bookmarkEnd w:id="221"/>
      <w:bookmarkEnd w:id="222"/>
    </w:p>
    <w:p w14:paraId="6131D7E6">
      <w:pPr>
        <w:snapToGrid w:val="0"/>
        <w:spacing w:before="163" w:beforeLines="50"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6.2.1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结构应进行多遇地震作用下的内力和变形验算，模块化建筑的墙板、连梁、框架梁、水平接缝等应满足承载力要求；并应进行设防烈度地震作用下的水平接缝承载力验算，水平接缝的承载力应满足设防地震不屈服的要求。多遇地震和设防地震均可采用线性分析方法。</w:t>
      </w:r>
    </w:p>
    <w:p w14:paraId="00D71E19">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6.2.</w:t>
      </w:r>
      <w:r>
        <w:rPr>
          <w:rFonts w:cs="Times New Roman"/>
          <w:b/>
          <w:bCs/>
          <w:snapToGrid w:val="0"/>
          <w:color w:val="auto"/>
          <w:kern w:val="0"/>
          <w:sz w:val="20"/>
          <w:szCs w:val="20"/>
          <w:highlight w:val="none"/>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在非地震控制的重力、活荷载、风荷载、雪荷载以及收缩、徐变和温度作用等作用效应下，</w:t>
      </w:r>
      <w:r>
        <w:rPr>
          <w:rFonts w:hint="eastAsia" w:cs="Times New Roman"/>
          <w:color w:val="auto"/>
          <w:kern w:val="0"/>
          <w:szCs w:val="24"/>
          <w:highlight w:val="none"/>
          <w:lang w:eastAsia="zh-CN"/>
        </w:rPr>
        <w:t>模块化建筑</w:t>
      </w:r>
      <w:r>
        <w:rPr>
          <w:rFonts w:hint="eastAsia" w:cs="Times New Roman"/>
          <w:color w:val="auto"/>
          <w:kern w:val="0"/>
          <w:szCs w:val="24"/>
          <w:highlight w:val="none"/>
        </w:rPr>
        <w:t>结构整体内力和变形分析可采用线性分析方法。</w:t>
      </w:r>
    </w:p>
    <w:p w14:paraId="1A50DA25">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6.2.</w:t>
      </w:r>
      <w:r>
        <w:rPr>
          <w:rFonts w:cs="Times New Roman"/>
          <w:b/>
          <w:bCs/>
          <w:snapToGrid w:val="0"/>
          <w:color w:val="auto"/>
          <w:kern w:val="0"/>
          <w:sz w:val="20"/>
          <w:szCs w:val="20"/>
          <w:highlight w:val="none"/>
        </w:rPr>
        <w:t>3</w:t>
      </w:r>
      <w:r>
        <w:rPr>
          <w:rFonts w:hint="eastAsia"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结构分析模型中，构件之间的连接节点和接缝应按其实际构造及受力特性进行模拟；当箱体之间的水平接缝满足本标准要求时，钢筋套筒灌浆连接和浆锚连接在整体分析中可忽略其影响；螺栓连接、焊接连接采用刚性梁进行模拟。</w:t>
      </w:r>
    </w:p>
    <w:p w14:paraId="5D032E49">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6.2.</w:t>
      </w:r>
      <w:r>
        <w:rPr>
          <w:rFonts w:cs="Times New Roman"/>
          <w:b/>
          <w:bCs/>
          <w:snapToGrid w:val="0"/>
          <w:color w:val="auto"/>
          <w:kern w:val="0"/>
          <w:sz w:val="20"/>
          <w:szCs w:val="20"/>
          <w:highlight w:val="none"/>
        </w:rPr>
        <w:t>4</w:t>
      </w:r>
      <w:r>
        <w:rPr>
          <w:rFonts w:hint="eastAsia"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在进行结构弹性分析时，模块化建筑的楼盖在工厂内与墙板整体预制，箱体与箱体之间通过干式节点连接时，箱体的楼盖按照弹性楼盖进行模拟，干式节点连接采用刚性梁进行模拟。</w:t>
      </w:r>
    </w:p>
    <w:p w14:paraId="51143933">
      <w:pPr>
        <w:snapToGrid w:val="0"/>
        <w:spacing w:line="300" w:lineRule="auto"/>
        <w:rPr>
          <w:color w:val="auto"/>
          <w:highlight w:val="none"/>
        </w:rPr>
      </w:pPr>
      <w:r>
        <w:rPr>
          <w:rFonts w:hint="eastAsia" w:cs="Times New Roman"/>
          <w:b/>
          <w:bCs/>
          <w:snapToGrid w:val="0"/>
          <w:color w:val="auto"/>
          <w:kern w:val="0"/>
          <w:sz w:val="20"/>
          <w:szCs w:val="20"/>
          <w:highlight w:val="none"/>
        </w:rPr>
        <w:t xml:space="preserve">6.2.5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在进行结构多遇地震作用下内力及变形分析时，当箱体之间采用湿式连接节点时，结构的阻尼比可取0.05。</w:t>
      </w:r>
    </w:p>
    <w:p w14:paraId="44CD45E2">
      <w:pPr>
        <w:snapToGrid w:val="0"/>
        <w:spacing w:line="300" w:lineRule="auto"/>
        <w:rPr>
          <w:rFonts w:ascii="宋体" w:hAnsi="宋体" w:cs="Times New Roman"/>
          <w:color w:val="auto"/>
          <w:sz w:val="21"/>
          <w:szCs w:val="21"/>
          <w:highlight w:val="none"/>
        </w:rPr>
      </w:pPr>
      <w:r>
        <w:rPr>
          <w:rFonts w:hint="eastAsia" w:cs="Times New Roman"/>
          <w:b/>
          <w:bCs/>
          <w:snapToGrid w:val="0"/>
          <w:color w:val="auto"/>
          <w:kern w:val="0"/>
          <w:sz w:val="20"/>
          <w:szCs w:val="20"/>
          <w:highlight w:val="none"/>
        </w:rPr>
        <w:t>6.2.6</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在风荷载或多遇地震标准值作用下，结构楼层内最大的弹性层间位移应符合下式规定：</w:t>
      </w:r>
    </w:p>
    <w:p w14:paraId="41D95159">
      <w:pPr>
        <w:snapToGrid w:val="0"/>
        <w:spacing w:line="300" w:lineRule="auto"/>
        <w:ind w:firstLine="420" w:firstLineChars="200"/>
        <w:jc w:val="right"/>
        <w:rPr>
          <w:rFonts w:ascii="宋体" w:hAnsi="宋体" w:cs="Times New Roman"/>
          <w:color w:val="auto"/>
          <w:sz w:val="21"/>
          <w:szCs w:val="21"/>
          <w:highlight w:val="none"/>
        </w:rPr>
      </w:pPr>
      <w:r>
        <w:rPr>
          <w:rFonts w:ascii="宋体" w:hAnsi="宋体" w:cs="Times New Roman"/>
          <w:color w:val="auto"/>
          <w:position w:val="-12"/>
          <w:sz w:val="21"/>
          <w:szCs w:val="21"/>
          <w:highlight w:val="none"/>
        </w:rPr>
        <w:object>
          <v:shape id="_x0000_i1025" o:spt="75" type="#_x0000_t75" style="height:17pt;width:52pt;" o:ole="t" filled="f" o:preferrelative="t" stroked="f" coordsize="21600,21600">
            <v:path/>
            <v:fill on="f" focussize="0,0"/>
            <v:stroke on="f"/>
            <v:imagedata r:id="rId21" o:title=""/>
            <o:lock v:ext="edit" aspectratio="f"/>
            <w10:wrap type="none"/>
            <w10:anchorlock/>
          </v:shape>
          <o:OLEObject Type="Embed" ProgID="Equation.DSMT4" ShapeID="_x0000_i1025" DrawAspect="Content" ObjectID="_1468075725" r:id="rId20">
            <o:LockedField>false</o:LockedField>
          </o:OLEObject>
        </w:objec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ascii="宋体" w:hAnsi="宋体" w:cs="Times New Roman"/>
          <w:color w:val="auto"/>
          <w:sz w:val="21"/>
          <w:szCs w:val="21"/>
          <w:highlight w:val="none"/>
        </w:rPr>
        <w:t xml:space="preserve">             （6.2.</w:t>
      </w:r>
      <w:r>
        <w:rPr>
          <w:rFonts w:hint="eastAsia" w:ascii="宋体" w:hAnsi="宋体" w:cs="Times New Roman"/>
          <w:color w:val="auto"/>
          <w:sz w:val="21"/>
          <w:szCs w:val="21"/>
          <w:highlight w:val="none"/>
          <w:lang w:val="en-US" w:eastAsia="zh-CN"/>
        </w:rPr>
        <w:t>6</w:t>
      </w:r>
      <w:r>
        <w:rPr>
          <w:rFonts w:ascii="宋体" w:hAnsi="宋体" w:cs="Times New Roman"/>
          <w:color w:val="auto"/>
          <w:sz w:val="21"/>
          <w:szCs w:val="21"/>
          <w:highlight w:val="none"/>
        </w:rPr>
        <w:t>）</w:t>
      </w:r>
    </w:p>
    <w:p w14:paraId="4084A6AC">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式中：</w:t>
      </w:r>
    </w:p>
    <w:p w14:paraId="108E0451">
      <w:pPr>
        <w:snapToGrid w:val="0"/>
        <w:spacing w:line="300" w:lineRule="auto"/>
        <w:ind w:firstLine="480" w:firstLineChars="200"/>
        <w:rPr>
          <w:rFonts w:cs="Times New Roman"/>
          <w:color w:val="auto"/>
          <w:kern w:val="0"/>
          <w:szCs w:val="24"/>
          <w:highlight w:val="none"/>
        </w:rPr>
      </w:pPr>
      <w:r>
        <w:rPr>
          <w:rFonts w:hint="eastAsia" w:cs="Times New Roman"/>
          <w:color w:val="auto"/>
          <w:kern w:val="0"/>
          <w:position w:val="-10"/>
          <w:szCs w:val="24"/>
          <w:highlight w:val="none"/>
        </w:rPr>
        <w:object>
          <v:shape id="_x0000_i1026" o:spt="75" type="#_x0000_t75" style="height:16pt;width:18pt;" o:ole="t" filled="f" o:preferrelative="t" stroked="f" coordsize="21600,21600">
            <v:path/>
            <v:fill on="f" focussize="0,0"/>
            <v:stroke on="f"/>
            <v:imagedata r:id="rId23" o:title=""/>
            <o:lock v:ext="edit" aspectratio="f"/>
            <w10:wrap type="none"/>
            <w10:anchorlock/>
          </v:shape>
          <o:OLEObject Type="Embed" ProgID="Equation.DSMT4" ShapeID="_x0000_i1026" DrawAspect="Content" ObjectID="_1468075726" r:id="rId22">
            <o:LockedField>false</o:LockedField>
          </o:OLEObject>
        </w:object>
      </w:r>
      <w:r>
        <w:rPr>
          <w:rFonts w:hint="eastAsia" w:cs="Times New Roman"/>
          <w:color w:val="auto"/>
          <w:kern w:val="0"/>
          <w:szCs w:val="24"/>
          <w:highlight w:val="none"/>
        </w:rPr>
        <w:t>——楼层内最大弹性层间位移；</w:t>
      </w:r>
    </w:p>
    <w:p w14:paraId="415BBEAE">
      <w:pPr>
        <w:snapToGrid w:val="0"/>
        <w:spacing w:line="300" w:lineRule="auto"/>
        <w:ind w:firstLine="480" w:firstLineChars="200"/>
        <w:rPr>
          <w:rFonts w:cs="Times New Roman"/>
          <w:color w:val="auto"/>
          <w:kern w:val="0"/>
          <w:szCs w:val="24"/>
          <w:highlight w:val="none"/>
        </w:rPr>
      </w:pPr>
      <w:r>
        <w:rPr>
          <w:rFonts w:hint="eastAsia" w:cs="Times New Roman"/>
          <w:color w:val="auto"/>
          <w:kern w:val="0"/>
          <w:position w:val="-6"/>
          <w:szCs w:val="24"/>
          <w:highlight w:val="none"/>
        </w:rPr>
        <w:object>
          <v:shape id="_x0000_i1027" o:spt="75" type="#_x0000_t75" style="height:13pt;width:9pt;" o:ole="t" filled="f" o:preferrelative="t" stroked="f" coordsize="21600,21600">
            <v:path/>
            <v:fill on="f" focussize="0,0"/>
            <v:stroke on="f"/>
            <v:imagedata r:id="rId25" o:title=""/>
            <o:lock v:ext="edit" aspectratio="f"/>
            <w10:wrap type="none"/>
            <w10:anchorlock/>
          </v:shape>
          <o:OLEObject Type="Embed" ProgID="Equation.DSMT4" ShapeID="_x0000_i1027" DrawAspect="Content" ObjectID="_1468075727" r:id="rId24">
            <o:LockedField>false</o:LockedField>
          </o:OLEObject>
        </w:object>
      </w:r>
      <w:r>
        <w:rPr>
          <w:rFonts w:hint="eastAsia" w:cs="Times New Roman"/>
          <w:color w:val="auto"/>
          <w:kern w:val="0"/>
          <w:szCs w:val="24"/>
          <w:highlight w:val="none"/>
        </w:rPr>
        <w:t>——层高。</w:t>
      </w:r>
    </w:p>
    <w:p w14:paraId="1AC23E70">
      <w:pPr>
        <w:snapToGrid w:val="0"/>
        <w:spacing w:line="300" w:lineRule="auto"/>
        <w:ind w:firstLine="480" w:firstLineChars="200"/>
        <w:rPr>
          <w:rFonts w:cs="Times New Roman"/>
          <w:color w:val="auto"/>
          <w:kern w:val="0"/>
          <w:szCs w:val="24"/>
          <w:highlight w:val="none"/>
        </w:rPr>
      </w:pPr>
      <w:r>
        <w:rPr>
          <w:rFonts w:hint="eastAsia" w:cs="Times New Roman"/>
          <w:color w:val="auto"/>
          <w:kern w:val="0"/>
          <w:position w:val="-12"/>
          <w:szCs w:val="24"/>
          <w:highlight w:val="none"/>
        </w:rPr>
        <w:object>
          <v:shape id="_x0000_i1028" o:spt="75" type="#_x0000_t75" style="height:17.6pt;width:21.9pt;" o:ole="t" filled="f" o:preferrelative="t" stroked="f" coordsize="21600,21600">
            <v:path/>
            <v:fill on="f" focussize="0,0"/>
            <v:stroke on="f"/>
            <v:imagedata r:id="rId27" o:title=""/>
            <o:lock v:ext="edit" aspectratio="t"/>
            <w10:wrap type="none"/>
            <w10:anchorlock/>
          </v:shape>
          <o:OLEObject Type="Embed" ProgID="Equation.DSMT4" ShapeID="_x0000_i1028" DrawAspect="Content" ObjectID="_1468075728" r:id="rId26">
            <o:LockedField>false</o:LockedField>
          </o:OLEObject>
        </w:object>
      </w:r>
      <w:r>
        <w:rPr>
          <w:rFonts w:hint="eastAsia" w:cs="Times New Roman"/>
          <w:color w:val="auto"/>
          <w:kern w:val="0"/>
          <w:szCs w:val="24"/>
          <w:highlight w:val="none"/>
        </w:rPr>
        <w:t>——弹性层间位移角限值，剪力墙结构</w:t>
      </w:r>
      <w:r>
        <w:rPr>
          <w:rFonts w:hint="eastAsia" w:cs="Times New Roman"/>
          <w:color w:val="auto"/>
          <w:kern w:val="0"/>
          <w:szCs w:val="24"/>
          <w:highlight w:val="none"/>
          <w:lang w:val="en-US" w:eastAsia="zh-CN"/>
        </w:rPr>
        <w:t>取</w:t>
      </w:r>
      <w:r>
        <w:rPr>
          <w:rFonts w:hint="eastAsia" w:cs="Times New Roman"/>
          <w:color w:val="auto"/>
          <w:kern w:val="0"/>
          <w:szCs w:val="24"/>
          <w:highlight w:val="none"/>
        </w:rPr>
        <w:t>1/1000；</w:t>
      </w:r>
    </w:p>
    <w:p w14:paraId="258A0A0D">
      <w:pPr>
        <w:pStyle w:val="3"/>
        <w:rPr>
          <w:rFonts w:ascii="黑体" w:hAnsi="黑体" w:cs="Times New Roman"/>
          <w:b w:val="0"/>
          <w:color w:val="auto"/>
          <w:kern w:val="44"/>
          <w:szCs w:val="28"/>
          <w:highlight w:val="none"/>
          <w:lang w:val="zh-CN"/>
        </w:rPr>
      </w:pPr>
      <w:bookmarkStart w:id="223" w:name="_Toc154525536"/>
      <w:bookmarkStart w:id="224" w:name="_Toc25198"/>
      <w:bookmarkStart w:id="225" w:name="_Toc15945"/>
      <w:bookmarkStart w:id="226" w:name="_Toc177840566"/>
      <w:bookmarkStart w:id="227" w:name="_Toc153805657"/>
      <w:bookmarkStart w:id="228" w:name="_Toc154525999"/>
      <w:bookmarkStart w:id="229" w:name="_Toc148909481"/>
      <w:bookmarkStart w:id="230" w:name="_Toc180613535"/>
      <w:bookmarkStart w:id="231" w:name="_Toc9504"/>
      <w:bookmarkStart w:id="232" w:name="_Toc9581"/>
      <w:bookmarkStart w:id="233" w:name="_Toc22446"/>
      <w:bookmarkStart w:id="234" w:name="_Toc459"/>
      <w:bookmarkStart w:id="235" w:name="_Toc177840174"/>
      <w:r>
        <w:rPr>
          <w:rFonts w:cs="Times New Roman"/>
          <w:bCs/>
          <w:color w:val="auto"/>
          <w:kern w:val="44"/>
          <w:szCs w:val="28"/>
          <w:highlight w:val="none"/>
          <w:lang w:val="zh-CN"/>
        </w:rPr>
        <w:t>6.3</w:t>
      </w:r>
      <w:r>
        <w:rPr>
          <w:rFonts w:hint="eastAsia" w:cs="Times New Roman"/>
          <w:bCs/>
          <w:color w:val="auto"/>
          <w:kern w:val="44"/>
          <w:szCs w:val="28"/>
          <w:highlight w:val="none"/>
          <w:lang w:val="en-US" w:eastAsia="zh-CN"/>
        </w:rPr>
        <w:t xml:space="preserve">  </w:t>
      </w:r>
      <w:r>
        <w:rPr>
          <w:rFonts w:hint="eastAsia" w:ascii="黑体" w:hAnsi="黑体" w:cs="Times New Roman"/>
          <w:b w:val="0"/>
          <w:color w:val="auto"/>
          <w:kern w:val="44"/>
          <w:szCs w:val="28"/>
          <w:highlight w:val="none"/>
          <w:lang w:val="zh-CN"/>
        </w:rPr>
        <w:t>结构设计</w:t>
      </w:r>
      <w:bookmarkEnd w:id="223"/>
      <w:bookmarkEnd w:id="224"/>
      <w:bookmarkEnd w:id="225"/>
      <w:bookmarkEnd w:id="226"/>
      <w:bookmarkEnd w:id="227"/>
      <w:bookmarkEnd w:id="228"/>
      <w:bookmarkEnd w:id="229"/>
      <w:bookmarkEnd w:id="230"/>
      <w:bookmarkEnd w:id="231"/>
      <w:bookmarkEnd w:id="232"/>
      <w:bookmarkEnd w:id="233"/>
      <w:bookmarkEnd w:id="234"/>
      <w:bookmarkEnd w:id="235"/>
    </w:p>
    <w:p w14:paraId="5333FDB9">
      <w:pPr>
        <w:snapToGrid w:val="0"/>
        <w:spacing w:before="163" w:beforeLines="50"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模块化建筑结构的梁、剪力墙及连梁截面承载力验算，应按承载力抗震调整系数</w:t>
      </w:r>
      <w:r>
        <w:rPr>
          <w:rFonts w:hint="eastAsia" w:cs="Times New Roman"/>
          <w:color w:val="auto"/>
          <w:kern w:val="0"/>
          <w:szCs w:val="24"/>
          <w:highlight w:val="none"/>
        </w:rPr>
        <w:object>
          <v:shape id="_x0000_i1029" o:spt="75" type="#_x0000_t75" style="height:17.55pt;width:17.55pt;" o:ole="t" filled="f" o:preferrelative="t" stroked="f" coordsize="21600,21600">
            <v:path/>
            <v:fill on="f" focussize="0,0"/>
            <v:stroke on="f" joinstyle="miter"/>
            <v:imagedata r:id="rId29" o:title=""/>
            <o:lock v:ext="edit" aspectratio="t"/>
            <w10:wrap type="none"/>
            <w10:anchorlock/>
          </v:shape>
          <o:OLEObject Type="Embed" ProgID="Equation.DSMT4" ShapeID="_x0000_i1029" DrawAspect="Content" ObjectID="_1468075729" r:id="rId28">
            <o:LockedField>false</o:LockedField>
          </o:OLEObject>
        </w:object>
      </w:r>
      <w:r>
        <w:rPr>
          <w:rFonts w:hint="eastAsia" w:cs="Times New Roman"/>
          <w:color w:val="auto"/>
          <w:kern w:val="0"/>
          <w:szCs w:val="24"/>
          <w:highlight w:val="none"/>
        </w:rPr>
        <w:t>进行调整，并应符合现行国家标准《工程结构通用规范》GB 55001和《混凝土结构通用规范》GB</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55008的规定。</w:t>
      </w:r>
    </w:p>
    <w:p w14:paraId="40E574EA">
      <w:pPr>
        <w:snapToGrid w:val="0"/>
        <w:spacing w:line="300" w:lineRule="auto"/>
        <w:ind w:left="0" w:leftChars="0" w:firstLine="0" w:firstLineChars="0"/>
        <w:rPr>
          <w:rFonts w:hint="eastAsia" w:eastAsia="宋体" w:cs="Times New Roman"/>
          <w:color w:val="auto"/>
          <w:kern w:val="0"/>
          <w:szCs w:val="24"/>
          <w:highlight w:val="none"/>
          <w:lang w:eastAsia="zh-CN"/>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模块化建筑墙厚不宜小于140mm且不宜小于层高的1/25</w:t>
      </w:r>
      <w:r>
        <w:rPr>
          <w:rFonts w:hint="eastAsia" w:cs="Times New Roman"/>
          <w:color w:val="auto"/>
          <w:kern w:val="0"/>
          <w:szCs w:val="24"/>
          <w:highlight w:val="none"/>
          <w:lang w:eastAsia="zh-CN"/>
        </w:rPr>
        <w:t>。</w:t>
      </w:r>
    </w:p>
    <w:p w14:paraId="6575DAE5">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抗震墙竖向和横向分布钢筋的配置，应符合下列规定：</w:t>
      </w:r>
    </w:p>
    <w:p w14:paraId="47067548">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1 当剪力墙截面厚度大于140mm时，应配置双排双向分布钢筋网；</w:t>
      </w:r>
    </w:p>
    <w:p w14:paraId="27C4DB0D">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lang w:val="en-US" w:eastAsia="zh-CN"/>
        </w:rPr>
        <w:t>2</w:t>
      </w:r>
      <w:r>
        <w:rPr>
          <w:rFonts w:hint="eastAsia" w:cs="Times New Roman"/>
          <w:color w:val="auto"/>
          <w:kern w:val="0"/>
          <w:szCs w:val="24"/>
          <w:highlight w:val="none"/>
        </w:rPr>
        <w:t xml:space="preserve"> 剪力墙中水平及竖向分布筋的最小配筋率不应小于0.15%，钢筋直径不应小于8mm，间距不应大于300mm；</w:t>
      </w:r>
    </w:p>
    <w:p w14:paraId="31DD6867">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lang w:val="en-US" w:eastAsia="zh-CN"/>
        </w:rPr>
        <w:t>3</w:t>
      </w:r>
      <w:r>
        <w:rPr>
          <w:rFonts w:hint="eastAsia" w:cs="Times New Roman"/>
          <w:color w:val="auto"/>
          <w:kern w:val="0"/>
          <w:szCs w:val="24"/>
          <w:highlight w:val="none"/>
        </w:rPr>
        <w:t xml:space="preserve"> 与剪力墙一起浇筑的填充墙中水平及竖向分布筋单排布置，钢筋直径不应小于8mm，间距不应大于300mm。</w:t>
      </w:r>
    </w:p>
    <w:p w14:paraId="4C0AA312">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4</w:t>
      </w:r>
      <w:r>
        <w:rPr>
          <w:rFonts w:hint="eastAsia"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抗震等级为三级时，剪力墙在重力荷载代表值作用下的墙肢轴压比不应大于0.6。</w:t>
      </w:r>
    </w:p>
    <w:p w14:paraId="34BECF18">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剪力墙墙肢的最大轴压比应符合</w:t>
      </w:r>
      <w:r>
        <w:rPr>
          <w:rFonts w:hint="eastAsia" w:cs="Times New Roman"/>
          <w:color w:val="auto"/>
          <w:kern w:val="0"/>
          <w:szCs w:val="24"/>
          <w:highlight w:val="none"/>
          <w:lang w:val="en-US" w:eastAsia="zh-CN"/>
        </w:rPr>
        <w:t>现行国家标准</w:t>
      </w:r>
      <w:r>
        <w:rPr>
          <w:rFonts w:hint="eastAsia" w:cs="Times New Roman"/>
          <w:color w:val="auto"/>
          <w:kern w:val="0"/>
          <w:szCs w:val="24"/>
          <w:highlight w:val="none"/>
        </w:rPr>
        <w:t>《建筑</w:t>
      </w:r>
      <w:r>
        <w:rPr>
          <w:rFonts w:hint="eastAsia" w:cs="Times New Roman"/>
          <w:color w:val="auto"/>
          <w:kern w:val="0"/>
          <w:szCs w:val="24"/>
          <w:highlight w:val="none"/>
          <w:lang w:eastAsia="zh-CN"/>
        </w:rPr>
        <w:t>抗震设计标准</w:t>
      </w:r>
      <w:r>
        <w:rPr>
          <w:rFonts w:hint="eastAsia" w:cs="Times New Roman"/>
          <w:color w:val="auto"/>
          <w:kern w:val="0"/>
          <w:szCs w:val="24"/>
          <w:highlight w:val="none"/>
        </w:rPr>
        <w:t>》</w:t>
      </w:r>
      <w:r>
        <w:rPr>
          <w:rFonts w:hint="eastAsia" w:cs="Times New Roman"/>
          <w:color w:val="auto"/>
          <w:kern w:val="0"/>
          <w:szCs w:val="24"/>
          <w:highlight w:val="none"/>
          <w:lang w:eastAsia="zh-CN"/>
        </w:rPr>
        <w:t>GB/T 50011</w:t>
      </w:r>
      <w:r>
        <w:rPr>
          <w:rFonts w:hint="eastAsia" w:cs="Times New Roman"/>
          <w:color w:val="auto"/>
          <w:kern w:val="0"/>
          <w:szCs w:val="24"/>
          <w:highlight w:val="none"/>
        </w:rPr>
        <w:t>的规定。</w:t>
      </w:r>
    </w:p>
    <w:p w14:paraId="4873780C">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6</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应在箱体剪力墙的四角设置L形构造边缘构件，L形转角部位构造边缘构件每肢的截面高度不宜小于墙厚且不宜小于450mm，L形墙体另外一端设置矩形构造边缘构件，构造边缘构件截面高度不宜小于墙厚且不宜小于200mm，若两端的构造边缘构件有重叠，合并为一个构造边缘构件，构造边缘构件截面宽度同墙厚，构造示意见图6.3.</w:t>
      </w:r>
      <w:r>
        <w:rPr>
          <w:rFonts w:hint="eastAsia" w:cs="Times New Roman"/>
          <w:color w:val="auto"/>
          <w:kern w:val="0"/>
          <w:szCs w:val="24"/>
          <w:highlight w:val="none"/>
          <w:lang w:val="en-US" w:eastAsia="zh-CN"/>
        </w:rPr>
        <w:t>6</w:t>
      </w:r>
      <w:r>
        <w:rPr>
          <w:rFonts w:hint="eastAsia" w:cs="Times New Roman"/>
          <w:color w:val="auto"/>
          <w:kern w:val="0"/>
          <w:szCs w:val="24"/>
          <w:highlight w:val="none"/>
        </w:rPr>
        <w:t>。</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21"/>
      </w:tblGrid>
      <w:tr w14:paraId="7B7C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21" w:type="dxa"/>
            <w:vAlign w:val="center"/>
          </w:tcPr>
          <w:p w14:paraId="4403CEBB">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2258060" cy="972185"/>
                  <wp:effectExtent l="0" t="0" r="12700" b="317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30"/>
                          <a:stretch>
                            <a:fillRect/>
                          </a:stretch>
                        </pic:blipFill>
                        <pic:spPr>
                          <a:xfrm>
                            <a:off x="0" y="0"/>
                            <a:ext cx="2258060" cy="972185"/>
                          </a:xfrm>
                          <a:prstGeom prst="rect">
                            <a:avLst/>
                          </a:prstGeom>
                          <a:noFill/>
                          <a:ln>
                            <a:noFill/>
                          </a:ln>
                        </pic:spPr>
                      </pic:pic>
                    </a:graphicData>
                  </a:graphic>
                </wp:inline>
              </w:drawing>
            </w:r>
          </w:p>
        </w:tc>
      </w:tr>
      <w:tr w14:paraId="5DC39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21" w:type="dxa"/>
            <w:vAlign w:val="center"/>
          </w:tcPr>
          <w:p w14:paraId="0D7E9BCE">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1—边缘构件；2—剪力墙</w:t>
            </w:r>
          </w:p>
        </w:tc>
      </w:tr>
      <w:tr w14:paraId="26936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21" w:type="dxa"/>
            <w:vAlign w:val="center"/>
          </w:tcPr>
          <w:p w14:paraId="57121804">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图6.3.</w:t>
            </w:r>
            <w:r>
              <w:rPr>
                <w:rFonts w:hint="eastAsia" w:ascii="宋体" w:hAnsi="宋体" w:cs="Times New Roman"/>
                <w:color w:val="auto"/>
                <w:sz w:val="18"/>
                <w:szCs w:val="18"/>
                <w:highlight w:val="none"/>
                <w:lang w:val="en-US" w:eastAsia="zh-CN"/>
              </w:rPr>
              <w:t>6</w:t>
            </w:r>
            <w:r>
              <w:rPr>
                <w:rFonts w:hint="eastAsia" w:ascii="宋体" w:hAnsi="宋体" w:cs="Times New Roman"/>
                <w:color w:val="auto"/>
                <w:sz w:val="18"/>
                <w:szCs w:val="18"/>
                <w:highlight w:val="none"/>
              </w:rPr>
              <w:t xml:space="preserve"> 构造边缘构件示意</w:t>
            </w:r>
          </w:p>
        </w:tc>
      </w:tr>
    </w:tbl>
    <w:p w14:paraId="25241128">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7</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模块化建筑构造边缘构件内应配置纵向受力钢筋、箍筋，配筋量应满足承载力要求，并应满足表6.3.</w:t>
      </w:r>
      <w:r>
        <w:rPr>
          <w:rFonts w:hint="eastAsia" w:cs="Times New Roman"/>
          <w:color w:val="auto"/>
          <w:kern w:val="0"/>
          <w:szCs w:val="24"/>
          <w:highlight w:val="none"/>
          <w:lang w:val="en-US" w:eastAsia="zh-CN"/>
        </w:rPr>
        <w:t>7</w:t>
      </w:r>
      <w:r>
        <w:rPr>
          <w:rFonts w:hint="eastAsia" w:cs="Times New Roman"/>
          <w:color w:val="auto"/>
          <w:kern w:val="0"/>
          <w:szCs w:val="24"/>
          <w:highlight w:val="none"/>
        </w:rPr>
        <w:t>的构造要求；箍筋可采用封闭箍的形式或拉钩形式。</w:t>
      </w:r>
    </w:p>
    <w:p w14:paraId="206850F6">
      <w:pPr>
        <w:snapToGrid w:val="0"/>
        <w:spacing w:line="300" w:lineRule="auto"/>
        <w:ind w:firstLine="360" w:firstLineChars="200"/>
        <w:jc w:val="center"/>
        <w:rPr>
          <w:rFonts w:ascii="宋体" w:hAnsi="宋体"/>
          <w:color w:val="auto"/>
          <w:sz w:val="18"/>
          <w:szCs w:val="18"/>
          <w:highlight w:val="none"/>
          <w:lang w:bidi="en-US"/>
        </w:rPr>
      </w:pPr>
      <w:r>
        <w:rPr>
          <w:rFonts w:ascii="宋体" w:hAnsi="宋体"/>
          <w:color w:val="auto"/>
          <w:sz w:val="18"/>
          <w:szCs w:val="18"/>
          <w:highlight w:val="none"/>
          <w:lang w:bidi="en-US"/>
        </w:rPr>
        <w:t>表6.3.</w:t>
      </w:r>
      <w:r>
        <w:rPr>
          <w:rFonts w:hint="eastAsia" w:ascii="宋体" w:hAnsi="宋体"/>
          <w:color w:val="auto"/>
          <w:sz w:val="18"/>
          <w:szCs w:val="18"/>
          <w:highlight w:val="none"/>
          <w:lang w:val="en-US" w:eastAsia="zh-CN" w:bidi="en-US"/>
        </w:rPr>
        <w:t>7</w:t>
      </w:r>
      <w:r>
        <w:rPr>
          <w:rFonts w:ascii="宋体" w:hAnsi="宋体"/>
          <w:color w:val="auto"/>
          <w:sz w:val="18"/>
          <w:szCs w:val="18"/>
          <w:highlight w:val="none"/>
          <w:lang w:bidi="en-US"/>
        </w:rPr>
        <w:t xml:space="preserve"> 构造边缘构件配筋要求</w:t>
      </w:r>
    </w:p>
    <w:tbl>
      <w:tblPr>
        <w:tblStyle w:val="16"/>
        <w:tblW w:w="504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76"/>
        <w:gridCol w:w="1189"/>
        <w:gridCol w:w="1587"/>
        <w:gridCol w:w="1374"/>
        <w:gridCol w:w="1368"/>
        <w:gridCol w:w="1597"/>
        <w:gridCol w:w="1441"/>
      </w:tblGrid>
      <w:tr w14:paraId="61DF0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3" w:hRule="atLeast"/>
        </w:trPr>
        <w:tc>
          <w:tcPr>
            <w:tcW w:w="559" w:type="pct"/>
            <w:vMerge w:val="restart"/>
            <w:shd w:val="clear" w:color="auto" w:fill="auto"/>
            <w:vAlign w:val="center"/>
          </w:tcPr>
          <w:p w14:paraId="6A122372">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抗震</w:t>
            </w:r>
          </w:p>
          <w:p w14:paraId="61A7DD47">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等级</w:t>
            </w:r>
          </w:p>
        </w:tc>
        <w:tc>
          <w:tcPr>
            <w:tcW w:w="2154" w:type="pct"/>
            <w:gridSpan w:val="3"/>
            <w:shd w:val="clear" w:color="auto" w:fill="auto"/>
            <w:vAlign w:val="center"/>
          </w:tcPr>
          <w:p w14:paraId="3B86ED26">
            <w:pPr>
              <w:snapToGrid w:val="0"/>
              <w:spacing w:line="300" w:lineRule="auto"/>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L形</w:t>
            </w:r>
          </w:p>
        </w:tc>
        <w:tc>
          <w:tcPr>
            <w:tcW w:w="2287" w:type="pct"/>
            <w:gridSpan w:val="3"/>
            <w:shd w:val="clear" w:color="auto" w:fill="auto"/>
            <w:vAlign w:val="center"/>
          </w:tcPr>
          <w:p w14:paraId="41C5B6B7">
            <w:pPr>
              <w:snapToGrid w:val="0"/>
              <w:spacing w:line="300" w:lineRule="auto"/>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矩形</w:t>
            </w:r>
          </w:p>
        </w:tc>
      </w:tr>
      <w:tr w14:paraId="0547E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559" w:type="pct"/>
            <w:vMerge w:val="continue"/>
            <w:shd w:val="clear" w:color="auto" w:fill="auto"/>
            <w:vAlign w:val="center"/>
          </w:tcPr>
          <w:p w14:paraId="553EB6A2">
            <w:pPr>
              <w:pStyle w:val="39"/>
              <w:autoSpaceDE/>
              <w:autoSpaceDN/>
              <w:spacing w:line="300" w:lineRule="auto"/>
              <w:jc w:val="center"/>
              <w:rPr>
                <w:rFonts w:ascii="宋体" w:hAnsi="宋体" w:eastAsia="宋体"/>
                <w:snapToGrid/>
                <w:color w:val="auto"/>
                <w:kern w:val="2"/>
                <w:sz w:val="18"/>
                <w:szCs w:val="18"/>
                <w:highlight w:val="none"/>
                <w:lang w:eastAsia="zh-CN" w:bidi="en-US"/>
              </w:rPr>
            </w:pPr>
          </w:p>
        </w:tc>
        <w:tc>
          <w:tcPr>
            <w:tcW w:w="617" w:type="pct"/>
            <w:vMerge w:val="restart"/>
            <w:shd w:val="clear" w:color="auto" w:fill="auto"/>
            <w:vAlign w:val="center"/>
          </w:tcPr>
          <w:p w14:paraId="4A38C53C">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纵筋</w:t>
            </w:r>
          </w:p>
          <w:p w14:paraId="40824ABB">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最小量</w:t>
            </w:r>
          </w:p>
        </w:tc>
        <w:tc>
          <w:tcPr>
            <w:tcW w:w="1536" w:type="pct"/>
            <w:gridSpan w:val="2"/>
            <w:shd w:val="clear" w:color="auto" w:fill="auto"/>
            <w:vAlign w:val="center"/>
          </w:tcPr>
          <w:p w14:paraId="0FD8884D">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箍筋(mm)</w:t>
            </w:r>
          </w:p>
        </w:tc>
        <w:tc>
          <w:tcPr>
            <w:tcW w:w="710" w:type="pct"/>
            <w:vMerge w:val="restart"/>
            <w:shd w:val="clear" w:color="auto" w:fill="auto"/>
            <w:vAlign w:val="center"/>
          </w:tcPr>
          <w:p w14:paraId="4216167F">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纵筋</w:t>
            </w:r>
          </w:p>
          <w:p w14:paraId="78368418">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最小量</w:t>
            </w:r>
          </w:p>
        </w:tc>
        <w:tc>
          <w:tcPr>
            <w:tcW w:w="1577" w:type="pct"/>
            <w:gridSpan w:val="2"/>
            <w:shd w:val="clear" w:color="auto" w:fill="auto"/>
            <w:vAlign w:val="center"/>
          </w:tcPr>
          <w:p w14:paraId="632AFC64">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箍筋(mm)</w:t>
            </w:r>
          </w:p>
        </w:tc>
      </w:tr>
      <w:tr w14:paraId="74531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559" w:type="pct"/>
            <w:vMerge w:val="continue"/>
            <w:shd w:val="clear" w:color="auto" w:fill="auto"/>
            <w:vAlign w:val="center"/>
          </w:tcPr>
          <w:p w14:paraId="3304E0B2">
            <w:pPr>
              <w:pStyle w:val="39"/>
              <w:autoSpaceDE/>
              <w:autoSpaceDN/>
              <w:spacing w:line="300" w:lineRule="auto"/>
              <w:jc w:val="center"/>
              <w:rPr>
                <w:rFonts w:ascii="宋体" w:hAnsi="宋体" w:eastAsia="宋体"/>
                <w:snapToGrid/>
                <w:color w:val="auto"/>
                <w:kern w:val="2"/>
                <w:sz w:val="18"/>
                <w:szCs w:val="18"/>
                <w:highlight w:val="none"/>
                <w:lang w:eastAsia="zh-CN" w:bidi="en-US"/>
              </w:rPr>
            </w:pPr>
          </w:p>
        </w:tc>
        <w:tc>
          <w:tcPr>
            <w:tcW w:w="617" w:type="pct"/>
            <w:vMerge w:val="continue"/>
            <w:shd w:val="clear" w:color="auto" w:fill="auto"/>
            <w:vAlign w:val="center"/>
          </w:tcPr>
          <w:p w14:paraId="5CDBBB4A">
            <w:pPr>
              <w:pStyle w:val="39"/>
              <w:autoSpaceDE/>
              <w:autoSpaceDN/>
              <w:spacing w:line="300" w:lineRule="auto"/>
              <w:jc w:val="center"/>
              <w:rPr>
                <w:rFonts w:ascii="宋体" w:hAnsi="宋体" w:eastAsia="宋体"/>
                <w:snapToGrid/>
                <w:color w:val="auto"/>
                <w:kern w:val="2"/>
                <w:sz w:val="18"/>
                <w:szCs w:val="18"/>
                <w:highlight w:val="none"/>
                <w:lang w:eastAsia="zh-CN" w:bidi="en-US"/>
              </w:rPr>
            </w:pPr>
          </w:p>
        </w:tc>
        <w:tc>
          <w:tcPr>
            <w:tcW w:w="824" w:type="pct"/>
            <w:shd w:val="clear" w:color="auto" w:fill="auto"/>
            <w:vAlign w:val="center"/>
          </w:tcPr>
          <w:p w14:paraId="652DED71">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最小直径</w:t>
            </w:r>
          </w:p>
        </w:tc>
        <w:tc>
          <w:tcPr>
            <w:tcW w:w="712" w:type="pct"/>
            <w:shd w:val="clear" w:color="auto" w:fill="auto"/>
            <w:vAlign w:val="center"/>
          </w:tcPr>
          <w:p w14:paraId="038DDD27">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最大间距</w:t>
            </w:r>
          </w:p>
        </w:tc>
        <w:tc>
          <w:tcPr>
            <w:tcW w:w="710" w:type="pct"/>
            <w:vMerge w:val="continue"/>
            <w:shd w:val="clear" w:color="auto" w:fill="auto"/>
            <w:vAlign w:val="center"/>
          </w:tcPr>
          <w:p w14:paraId="3329403E">
            <w:pPr>
              <w:pStyle w:val="39"/>
              <w:autoSpaceDE/>
              <w:autoSpaceDN/>
              <w:spacing w:line="300" w:lineRule="auto"/>
              <w:jc w:val="center"/>
              <w:rPr>
                <w:rFonts w:ascii="宋体" w:hAnsi="宋体" w:eastAsia="宋体"/>
                <w:snapToGrid/>
                <w:color w:val="auto"/>
                <w:kern w:val="2"/>
                <w:sz w:val="18"/>
                <w:szCs w:val="18"/>
                <w:highlight w:val="none"/>
                <w:lang w:eastAsia="zh-CN" w:bidi="en-US"/>
              </w:rPr>
            </w:pPr>
          </w:p>
        </w:tc>
        <w:tc>
          <w:tcPr>
            <w:tcW w:w="829" w:type="pct"/>
            <w:shd w:val="clear" w:color="auto" w:fill="auto"/>
            <w:vAlign w:val="center"/>
          </w:tcPr>
          <w:p w14:paraId="4E4B7852">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最小直径</w:t>
            </w:r>
          </w:p>
        </w:tc>
        <w:tc>
          <w:tcPr>
            <w:tcW w:w="748" w:type="pct"/>
            <w:shd w:val="clear" w:color="auto" w:fill="auto"/>
            <w:vAlign w:val="center"/>
          </w:tcPr>
          <w:p w14:paraId="47EC3472">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最大间距</w:t>
            </w:r>
          </w:p>
        </w:tc>
      </w:tr>
      <w:tr w14:paraId="1E7E0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59" w:type="pct"/>
            <w:shd w:val="clear" w:color="auto" w:fill="auto"/>
            <w:vAlign w:val="center"/>
          </w:tcPr>
          <w:p w14:paraId="12F8C909">
            <w:pPr>
              <w:pStyle w:val="39"/>
              <w:autoSpaceDE/>
              <w:autoSpaceDN/>
              <w:spacing w:line="300" w:lineRule="auto"/>
              <w:jc w:val="center"/>
              <w:rPr>
                <w:rFonts w:ascii="宋体" w:hAnsi="宋体" w:eastAsia="宋体"/>
                <w:snapToGrid/>
                <w:color w:val="auto"/>
                <w:kern w:val="2"/>
                <w:sz w:val="18"/>
                <w:szCs w:val="18"/>
                <w:highlight w:val="none"/>
                <w:lang w:eastAsia="zh-CN" w:bidi="en-US"/>
              </w:rPr>
            </w:pPr>
            <w:r>
              <w:rPr>
                <w:rFonts w:ascii="宋体" w:hAnsi="宋体" w:eastAsia="宋体"/>
                <w:snapToGrid/>
                <w:color w:val="auto"/>
                <w:kern w:val="2"/>
                <w:sz w:val="18"/>
                <w:szCs w:val="18"/>
                <w:highlight w:val="none"/>
                <w:lang w:eastAsia="zh-CN" w:bidi="en-US"/>
              </w:rPr>
              <w:t>三级</w:t>
            </w:r>
          </w:p>
        </w:tc>
        <w:tc>
          <w:tcPr>
            <w:tcW w:w="617" w:type="pct"/>
            <w:shd w:val="clear" w:color="auto" w:fill="auto"/>
            <w:vAlign w:val="center"/>
          </w:tcPr>
          <w:p w14:paraId="2C63CC6A">
            <w:pPr>
              <w:autoSpaceDE w:val="0"/>
              <w:autoSpaceDN w:val="0"/>
              <w:snapToGrid w:val="0"/>
              <w:spacing w:line="300" w:lineRule="auto"/>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8</w:t>
            </w:r>
            <w:r>
              <w:rPr>
                <w:rFonts w:ascii="Cambria" w:hAnsi="Cambria" w:cs="Cambria"/>
                <w:color w:val="auto"/>
                <w:sz w:val="18"/>
                <w:szCs w:val="18"/>
                <w:highlight w:val="none"/>
                <w:lang w:bidi="en-US"/>
              </w:rPr>
              <w:t>ϕ</w:t>
            </w:r>
            <w:r>
              <w:rPr>
                <w:rFonts w:ascii="宋体" w:hAnsi="宋体" w:cs="Times New Roman"/>
                <w:color w:val="auto"/>
                <w:sz w:val="18"/>
                <w:szCs w:val="18"/>
                <w:highlight w:val="none"/>
                <w:lang w:bidi="en-US"/>
              </w:rPr>
              <w:t>12</w:t>
            </w:r>
          </w:p>
        </w:tc>
        <w:tc>
          <w:tcPr>
            <w:tcW w:w="824" w:type="pct"/>
            <w:shd w:val="clear" w:color="auto" w:fill="auto"/>
            <w:vAlign w:val="center"/>
          </w:tcPr>
          <w:p w14:paraId="65EE0C16">
            <w:pPr>
              <w:autoSpaceDE w:val="0"/>
              <w:autoSpaceDN w:val="0"/>
              <w:snapToGrid w:val="0"/>
              <w:spacing w:line="300" w:lineRule="auto"/>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6</w:t>
            </w:r>
          </w:p>
        </w:tc>
        <w:tc>
          <w:tcPr>
            <w:tcW w:w="712" w:type="pct"/>
            <w:shd w:val="clear" w:color="auto" w:fill="auto"/>
            <w:vAlign w:val="center"/>
          </w:tcPr>
          <w:p w14:paraId="6B955F0F">
            <w:pPr>
              <w:autoSpaceDE w:val="0"/>
              <w:autoSpaceDN w:val="0"/>
              <w:snapToGrid w:val="0"/>
              <w:spacing w:line="300" w:lineRule="auto"/>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200</w:t>
            </w:r>
          </w:p>
        </w:tc>
        <w:tc>
          <w:tcPr>
            <w:tcW w:w="710" w:type="pct"/>
            <w:shd w:val="clear" w:color="auto" w:fill="auto"/>
            <w:vAlign w:val="center"/>
          </w:tcPr>
          <w:p w14:paraId="2769E385">
            <w:pPr>
              <w:autoSpaceDE w:val="0"/>
              <w:autoSpaceDN w:val="0"/>
              <w:snapToGrid w:val="0"/>
              <w:spacing w:line="300" w:lineRule="auto"/>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4</w:t>
            </w:r>
            <w:r>
              <w:rPr>
                <w:rFonts w:ascii="Cambria" w:hAnsi="Cambria" w:cs="Cambria"/>
                <w:color w:val="auto"/>
                <w:sz w:val="18"/>
                <w:szCs w:val="18"/>
                <w:highlight w:val="none"/>
                <w:lang w:bidi="en-US"/>
              </w:rPr>
              <w:t>ϕ</w:t>
            </w:r>
            <w:r>
              <w:rPr>
                <w:rFonts w:ascii="宋体" w:hAnsi="宋体" w:cs="Times New Roman"/>
                <w:color w:val="auto"/>
                <w:sz w:val="18"/>
                <w:szCs w:val="18"/>
                <w:highlight w:val="none"/>
                <w:lang w:bidi="en-US"/>
              </w:rPr>
              <w:t>12</w:t>
            </w:r>
          </w:p>
        </w:tc>
        <w:tc>
          <w:tcPr>
            <w:tcW w:w="829" w:type="pct"/>
            <w:shd w:val="clear" w:color="auto" w:fill="auto"/>
            <w:vAlign w:val="center"/>
          </w:tcPr>
          <w:p w14:paraId="337387F6">
            <w:pPr>
              <w:autoSpaceDE w:val="0"/>
              <w:autoSpaceDN w:val="0"/>
              <w:snapToGrid w:val="0"/>
              <w:spacing w:line="300" w:lineRule="auto"/>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6</w:t>
            </w:r>
          </w:p>
        </w:tc>
        <w:tc>
          <w:tcPr>
            <w:tcW w:w="748" w:type="pct"/>
            <w:shd w:val="clear" w:color="auto" w:fill="auto"/>
            <w:vAlign w:val="center"/>
          </w:tcPr>
          <w:p w14:paraId="0AB00FD4">
            <w:pPr>
              <w:autoSpaceDE w:val="0"/>
              <w:autoSpaceDN w:val="0"/>
              <w:snapToGrid w:val="0"/>
              <w:spacing w:line="300" w:lineRule="auto"/>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200</w:t>
            </w:r>
          </w:p>
        </w:tc>
      </w:tr>
    </w:tbl>
    <w:p w14:paraId="1E311D04">
      <w:pPr>
        <w:snapToGrid w:val="0"/>
        <w:spacing w:line="300" w:lineRule="auto"/>
        <w:rPr>
          <w:rFonts w:hint="eastAsia" w:cs="Times New Roman"/>
          <w:b/>
          <w:bCs/>
          <w:snapToGrid w:val="0"/>
          <w:color w:val="auto"/>
          <w:kern w:val="0"/>
          <w:sz w:val="20"/>
          <w:szCs w:val="20"/>
          <w:highlight w:val="none"/>
        </w:rPr>
      </w:pPr>
    </w:p>
    <w:p w14:paraId="2F0F16E3">
      <w:pPr>
        <w:snapToGrid w:val="0"/>
        <w:spacing w:line="300" w:lineRule="auto"/>
        <w:ind w:left="0" w:leftChars="0" w:firstLine="0" w:firstLineChars="0"/>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8</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剪力墙连梁截面高度不宜小于250mm，纵筋不应少于4根且直径不应小于10mm，并应伸入墙肢不小于500mm；箍筋直径不宜小于8mm，间距不宜大于150mm且不应大于200mm，布置范围不应小于洞口宽度；连梁处剪力墙横向分布钢筋应贯通。</w:t>
      </w:r>
    </w:p>
    <w:p w14:paraId="406C2EBA">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9</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模块化建筑剪力墙洞口四周设置构造钢筋，应符合下列规定：</w:t>
      </w:r>
    </w:p>
    <w:p w14:paraId="291BCE42">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 xml:space="preserve">1 </w:t>
      </w:r>
      <w:r>
        <w:rPr>
          <w:rFonts w:hint="eastAsia" w:cs="Times New Roman"/>
          <w:color w:val="auto"/>
          <w:kern w:val="0"/>
          <w:szCs w:val="24"/>
          <w:highlight w:val="none"/>
          <w:lang w:val="en-US" w:eastAsia="zh-CN"/>
        </w:rPr>
        <w:t xml:space="preserve"> </w:t>
      </w:r>
      <w:r>
        <w:rPr>
          <w:rFonts w:cs="Times New Roman"/>
          <w:color w:val="auto"/>
          <w:kern w:val="0"/>
          <w:szCs w:val="24"/>
          <w:highlight w:val="none"/>
        </w:rPr>
        <w:t>构造钢筋不应少于</w:t>
      </w:r>
      <w:r>
        <w:rPr>
          <w:rFonts w:hint="eastAsia" w:cs="Times New Roman"/>
          <w:color w:val="auto"/>
          <w:kern w:val="0"/>
          <w:szCs w:val="24"/>
          <w:highlight w:val="none"/>
        </w:rPr>
        <w:t>2</w:t>
      </w:r>
      <w:r>
        <w:rPr>
          <w:rFonts w:cs="Times New Roman"/>
          <w:color w:val="auto"/>
          <w:kern w:val="0"/>
          <w:szCs w:val="24"/>
          <w:highlight w:val="none"/>
        </w:rPr>
        <w:t>根且直径不应小于</w:t>
      </w:r>
      <w:r>
        <w:rPr>
          <w:rFonts w:hint="eastAsia" w:cs="Times New Roman"/>
          <w:color w:val="auto"/>
          <w:kern w:val="0"/>
          <w:szCs w:val="24"/>
          <w:highlight w:val="none"/>
        </w:rPr>
        <w:t>12mm</w:t>
      </w:r>
      <w:r>
        <w:rPr>
          <w:rFonts w:cs="Times New Roman"/>
          <w:color w:val="auto"/>
          <w:kern w:val="0"/>
          <w:szCs w:val="24"/>
          <w:highlight w:val="none"/>
        </w:rPr>
        <w:t>，构造钢筋伸入墙肢长度不宜小于</w:t>
      </w:r>
      <w:r>
        <w:rPr>
          <w:rFonts w:hint="eastAsia" w:cs="Times New Roman"/>
          <w:color w:val="auto"/>
          <w:kern w:val="0"/>
          <w:szCs w:val="24"/>
          <w:highlight w:val="none"/>
        </w:rPr>
        <w:t>500mm</w:t>
      </w:r>
      <w:r>
        <w:rPr>
          <w:rFonts w:cs="Times New Roman"/>
          <w:color w:val="auto"/>
          <w:kern w:val="0"/>
          <w:szCs w:val="24"/>
          <w:highlight w:val="none"/>
        </w:rPr>
        <w:t>或至距短肢墙远端边缘</w:t>
      </w:r>
      <w:r>
        <w:rPr>
          <w:rFonts w:hint="eastAsia" w:cs="Times New Roman"/>
          <w:color w:val="auto"/>
          <w:kern w:val="0"/>
          <w:szCs w:val="24"/>
          <w:highlight w:val="none"/>
        </w:rPr>
        <w:t>50mm</w:t>
      </w:r>
      <w:r>
        <w:rPr>
          <w:rFonts w:cs="Times New Roman"/>
          <w:color w:val="auto"/>
          <w:kern w:val="0"/>
          <w:szCs w:val="24"/>
          <w:highlight w:val="none"/>
        </w:rPr>
        <w:t>，</w:t>
      </w:r>
      <w:r>
        <w:rPr>
          <w:rFonts w:hint="eastAsia" w:cs="Times New Roman"/>
          <w:color w:val="auto"/>
          <w:kern w:val="0"/>
          <w:szCs w:val="24"/>
          <w:highlight w:val="none"/>
        </w:rPr>
        <w:t>2</w:t>
      </w:r>
      <w:r>
        <w:rPr>
          <w:rFonts w:cs="Times New Roman"/>
          <w:color w:val="auto"/>
          <w:kern w:val="0"/>
          <w:szCs w:val="24"/>
          <w:highlight w:val="none"/>
        </w:rPr>
        <w:t>根构造钢筋间应设置直径不小于</w:t>
      </w:r>
      <w:r>
        <w:rPr>
          <w:rFonts w:hint="eastAsia" w:cs="Times New Roman"/>
          <w:color w:val="auto"/>
          <w:kern w:val="0"/>
          <w:szCs w:val="24"/>
          <w:highlight w:val="none"/>
        </w:rPr>
        <w:t>8mm</w:t>
      </w:r>
      <w:r>
        <w:rPr>
          <w:rFonts w:cs="Times New Roman"/>
          <w:color w:val="auto"/>
          <w:kern w:val="0"/>
          <w:szCs w:val="24"/>
          <w:highlight w:val="none"/>
        </w:rPr>
        <w:t>、间距不大于</w:t>
      </w:r>
      <w:r>
        <w:rPr>
          <w:rFonts w:hint="eastAsia" w:cs="Times New Roman"/>
          <w:color w:val="auto"/>
          <w:kern w:val="0"/>
          <w:szCs w:val="24"/>
          <w:highlight w:val="none"/>
        </w:rPr>
        <w:t>200mm</w:t>
      </w:r>
      <w:r>
        <w:rPr>
          <w:rFonts w:cs="Times New Roman"/>
          <w:color w:val="auto"/>
          <w:kern w:val="0"/>
          <w:szCs w:val="24"/>
          <w:highlight w:val="none"/>
        </w:rPr>
        <w:t>的拉结钢筋，拉结钢筋范围不应小于洞口范围；</w:t>
      </w:r>
    </w:p>
    <w:p w14:paraId="5527B84B">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2</w:t>
      </w:r>
      <w:r>
        <w:rPr>
          <w:rFonts w:hint="eastAsia" w:cs="Times New Roman"/>
          <w:color w:val="auto"/>
          <w:kern w:val="0"/>
          <w:szCs w:val="24"/>
          <w:highlight w:val="none"/>
          <w:lang w:val="en-US" w:eastAsia="zh-CN"/>
        </w:rPr>
        <w:t xml:space="preserve">  </w:t>
      </w:r>
      <w:r>
        <w:rPr>
          <w:rFonts w:cs="Times New Roman"/>
          <w:color w:val="auto"/>
          <w:kern w:val="0"/>
          <w:szCs w:val="24"/>
          <w:highlight w:val="none"/>
        </w:rPr>
        <w:t>洞口的四个角部设置构造斜筋，每个角部斜筋设置2根且直径不应小于</w:t>
      </w:r>
      <w:r>
        <w:rPr>
          <w:rFonts w:hint="eastAsia" w:cs="Times New Roman"/>
          <w:color w:val="auto"/>
          <w:kern w:val="0"/>
          <w:szCs w:val="24"/>
          <w:highlight w:val="none"/>
        </w:rPr>
        <w:t>8mm，</w:t>
      </w:r>
      <w:r>
        <w:rPr>
          <w:rFonts w:cs="Times New Roman"/>
          <w:color w:val="auto"/>
          <w:kern w:val="0"/>
          <w:szCs w:val="24"/>
          <w:highlight w:val="none"/>
        </w:rPr>
        <w:t>钢筋长度不宜小于</w:t>
      </w:r>
      <w:r>
        <w:rPr>
          <w:rFonts w:hint="eastAsia" w:cs="Times New Roman"/>
          <w:color w:val="auto"/>
          <w:kern w:val="0"/>
          <w:szCs w:val="24"/>
          <w:highlight w:val="none"/>
        </w:rPr>
        <w:t>500mm。</w:t>
      </w:r>
    </w:p>
    <w:p w14:paraId="2F40CB7D">
      <w:pPr>
        <w:snapToGrid w:val="0"/>
        <w:spacing w:line="300" w:lineRule="auto"/>
        <w:rPr>
          <w:rFonts w:hint="eastAsia" w:eastAsia="宋体" w:cs="Times New Roman"/>
          <w:color w:val="auto"/>
          <w:sz w:val="21"/>
          <w:szCs w:val="21"/>
          <w:highlight w:val="none"/>
          <w:lang w:eastAsia="zh-CN"/>
        </w:rPr>
      </w:pPr>
      <w:r>
        <w:rPr>
          <w:rFonts w:hint="eastAsia" w:cs="Times New Roman"/>
          <w:b/>
          <w:bCs/>
          <w:snapToGrid w:val="0"/>
          <w:color w:val="auto"/>
          <w:kern w:val="0"/>
          <w:sz w:val="20"/>
          <w:szCs w:val="20"/>
          <w:highlight w:val="none"/>
        </w:rPr>
        <w:t>6.3.1</w:t>
      </w:r>
      <w:r>
        <w:rPr>
          <w:rFonts w:hint="eastAsia" w:cs="Times New Roman"/>
          <w:b/>
          <w:bCs/>
          <w:snapToGrid w:val="0"/>
          <w:color w:val="auto"/>
          <w:kern w:val="0"/>
          <w:sz w:val="20"/>
          <w:szCs w:val="20"/>
          <w:highlight w:val="none"/>
          <w:lang w:val="en-US" w:eastAsia="zh-CN"/>
        </w:rPr>
        <w:t>0</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模块化建筑的楼（屋）面与墙体宜整体浇筑。楼（屋）面板可采用分离式配筋，其厚度及配筋</w:t>
      </w:r>
      <w:r>
        <w:rPr>
          <w:rFonts w:hint="eastAsia" w:cs="Times New Roman"/>
          <w:color w:val="auto"/>
          <w:kern w:val="0"/>
          <w:szCs w:val="24"/>
          <w:highlight w:val="none"/>
          <w:lang w:val="en-US" w:eastAsia="zh-CN"/>
        </w:rPr>
        <w:t>尚</w:t>
      </w:r>
      <w:r>
        <w:rPr>
          <w:rFonts w:hint="eastAsia" w:cs="Times New Roman"/>
          <w:color w:val="auto"/>
          <w:kern w:val="0"/>
          <w:szCs w:val="24"/>
          <w:highlight w:val="none"/>
        </w:rPr>
        <w:t>应符合现行国家标准《混凝土结构设计</w:t>
      </w:r>
      <w:r>
        <w:rPr>
          <w:rFonts w:hint="eastAsia" w:cs="Times New Roman"/>
          <w:color w:val="auto"/>
          <w:kern w:val="0"/>
          <w:szCs w:val="24"/>
          <w:highlight w:val="none"/>
          <w:lang w:val="en-US" w:eastAsia="zh-CN"/>
        </w:rPr>
        <w:t>标准</w:t>
      </w:r>
      <w:r>
        <w:rPr>
          <w:rFonts w:hint="eastAsia" w:cs="Times New Roman"/>
          <w:color w:val="auto"/>
          <w:kern w:val="0"/>
          <w:szCs w:val="24"/>
          <w:highlight w:val="none"/>
        </w:rPr>
        <w:t>》GB/T 50010的有关规定</w:t>
      </w:r>
      <w:r>
        <w:rPr>
          <w:rFonts w:hint="eastAsia" w:cs="Times New Roman"/>
          <w:color w:val="auto"/>
          <w:kern w:val="0"/>
          <w:szCs w:val="24"/>
          <w:highlight w:val="none"/>
          <w:lang w:eastAsia="zh-CN"/>
        </w:rPr>
        <w:t>。</w:t>
      </w:r>
    </w:p>
    <w:p w14:paraId="0979163C">
      <w:pPr>
        <w:snapToGrid w:val="0"/>
        <w:spacing w:line="300" w:lineRule="auto"/>
        <w:rPr>
          <w:rFonts w:ascii="宋体" w:hAnsi="宋体" w:cs="Times New Roman"/>
          <w:color w:val="auto"/>
          <w:sz w:val="21"/>
          <w:szCs w:val="21"/>
          <w:highlight w:val="none"/>
        </w:rPr>
      </w:pPr>
      <w:r>
        <w:rPr>
          <w:rFonts w:hint="eastAsia" w:cs="Times New Roman"/>
          <w:b/>
          <w:bCs/>
          <w:snapToGrid w:val="0"/>
          <w:color w:val="auto"/>
          <w:kern w:val="0"/>
          <w:sz w:val="20"/>
          <w:szCs w:val="20"/>
          <w:highlight w:val="none"/>
        </w:rPr>
        <w:t>6.3.1</w:t>
      </w:r>
      <w:r>
        <w:rPr>
          <w:rFonts w:hint="eastAsia" w:cs="Times New Roman"/>
          <w:b/>
          <w:bCs/>
          <w:snapToGrid w:val="0"/>
          <w:color w:val="auto"/>
          <w:kern w:val="0"/>
          <w:sz w:val="20"/>
          <w:szCs w:val="20"/>
          <w:highlight w:val="none"/>
          <w:lang w:val="en-US" w:eastAsia="zh-CN"/>
        </w:rPr>
        <w:t>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楼梯</w:t>
      </w:r>
      <w:r>
        <w:rPr>
          <w:rFonts w:hint="eastAsia" w:cs="Times New Roman"/>
          <w:color w:val="auto"/>
          <w:kern w:val="0"/>
          <w:szCs w:val="24"/>
          <w:highlight w:val="none"/>
          <w:lang w:val="en-US" w:eastAsia="zh-CN"/>
        </w:rPr>
        <w:t>宜</w:t>
      </w:r>
      <w:r>
        <w:rPr>
          <w:rFonts w:hint="eastAsia" w:cs="Times New Roman"/>
          <w:color w:val="auto"/>
          <w:kern w:val="0"/>
          <w:szCs w:val="24"/>
          <w:highlight w:val="none"/>
        </w:rPr>
        <w:t>采用混凝土预制楼梯或钢梯，楼梯与支承构件之间宜采用简支连接，并应符合现行行业标准《装配式混凝土结构设计规程》JGJ 1或《钢结构设计标准》</w:t>
      </w:r>
      <w:r>
        <w:rPr>
          <w:rFonts w:hint="eastAsia" w:cs="Times New Roman"/>
          <w:color w:val="auto"/>
          <w:kern w:val="0"/>
          <w:szCs w:val="24"/>
          <w:highlight w:val="none"/>
          <w:lang w:val="en-US" w:eastAsia="zh-CN"/>
        </w:rPr>
        <w:t xml:space="preserve">GB </w:t>
      </w:r>
      <w:r>
        <w:rPr>
          <w:rFonts w:hint="eastAsia" w:cs="Times New Roman"/>
          <w:color w:val="auto"/>
          <w:kern w:val="0"/>
          <w:szCs w:val="24"/>
          <w:highlight w:val="none"/>
        </w:rPr>
        <w:t>50017的有关规定。</w:t>
      </w:r>
    </w:p>
    <w:p w14:paraId="1CC7E1B2">
      <w:pPr>
        <w:pStyle w:val="3"/>
        <w:rPr>
          <w:rFonts w:ascii="黑体" w:hAnsi="黑体" w:cs="Times New Roman"/>
          <w:b w:val="0"/>
          <w:color w:val="auto"/>
          <w:kern w:val="44"/>
          <w:szCs w:val="28"/>
          <w:highlight w:val="none"/>
          <w:lang w:val="zh-CN"/>
        </w:rPr>
      </w:pPr>
      <w:bookmarkStart w:id="236" w:name="_Toc180613536"/>
      <w:bookmarkStart w:id="237" w:name="_Toc15847"/>
      <w:bookmarkStart w:id="238" w:name="_Toc154525537"/>
      <w:bookmarkStart w:id="239" w:name="_Toc29482"/>
      <w:bookmarkStart w:id="240" w:name="_Toc177840567"/>
      <w:bookmarkStart w:id="241" w:name="_Toc8217"/>
      <w:bookmarkStart w:id="242" w:name="_Toc3615"/>
      <w:bookmarkStart w:id="243" w:name="_Toc153805658"/>
      <w:bookmarkStart w:id="244" w:name="_Toc154526000"/>
      <w:bookmarkStart w:id="245" w:name="_Toc15629"/>
      <w:bookmarkStart w:id="246" w:name="_Toc11293"/>
      <w:bookmarkStart w:id="247" w:name="_Toc177840175"/>
      <w:r>
        <w:rPr>
          <w:rFonts w:cs="Times New Roman"/>
          <w:bCs/>
          <w:color w:val="auto"/>
          <w:kern w:val="44"/>
          <w:szCs w:val="28"/>
          <w:highlight w:val="none"/>
          <w:lang w:val="zh-CN"/>
        </w:rPr>
        <w:t>6.4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cs="Times New Roman"/>
          <w:b w:val="0"/>
          <w:color w:val="auto"/>
          <w:kern w:val="44"/>
          <w:szCs w:val="28"/>
          <w:highlight w:val="none"/>
          <w:lang w:val="zh-CN"/>
        </w:rPr>
        <w:t>连接设计</w:t>
      </w:r>
      <w:bookmarkEnd w:id="236"/>
      <w:bookmarkEnd w:id="237"/>
      <w:bookmarkEnd w:id="238"/>
      <w:bookmarkEnd w:id="239"/>
      <w:bookmarkEnd w:id="240"/>
      <w:bookmarkEnd w:id="241"/>
      <w:bookmarkEnd w:id="242"/>
      <w:bookmarkEnd w:id="243"/>
      <w:bookmarkEnd w:id="244"/>
      <w:bookmarkEnd w:id="245"/>
      <w:bookmarkEnd w:id="246"/>
      <w:bookmarkEnd w:id="247"/>
    </w:p>
    <w:p w14:paraId="16E8C7E8">
      <w:pPr>
        <w:snapToGrid w:val="0"/>
        <w:spacing w:before="163" w:beforeLines="50"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 xml:space="preserve">6.4.1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模块化建筑水平接缝宜设置在楼面结构标高和一层室内地面以下-0.06m处，并应满足下列要求：</w:t>
      </w:r>
    </w:p>
    <w:p w14:paraId="7CDD3B0B">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 xml:space="preserve">1 </w:t>
      </w:r>
      <w:r>
        <w:rPr>
          <w:rFonts w:hint="eastAsia" w:cs="Times New Roman"/>
          <w:color w:val="auto"/>
          <w:kern w:val="0"/>
          <w:szCs w:val="24"/>
          <w:highlight w:val="none"/>
          <w:lang w:val="en-US" w:eastAsia="zh-CN"/>
        </w:rPr>
        <w:t xml:space="preserve"> </w:t>
      </w:r>
      <w:r>
        <w:rPr>
          <w:rFonts w:cs="Times New Roman"/>
          <w:color w:val="auto"/>
          <w:kern w:val="0"/>
          <w:szCs w:val="24"/>
          <w:highlight w:val="none"/>
        </w:rPr>
        <w:t>接缝高度宜为20mm，接缝应采用座浆</w:t>
      </w:r>
      <w:r>
        <w:rPr>
          <w:rFonts w:hint="eastAsia" w:cs="Times New Roman"/>
          <w:color w:val="auto"/>
          <w:kern w:val="0"/>
          <w:szCs w:val="24"/>
          <w:highlight w:val="none"/>
        </w:rPr>
        <w:t>法</w:t>
      </w:r>
      <w:r>
        <w:rPr>
          <w:rFonts w:cs="Times New Roman"/>
          <w:color w:val="auto"/>
          <w:kern w:val="0"/>
          <w:szCs w:val="24"/>
          <w:highlight w:val="none"/>
        </w:rPr>
        <w:t>或者灌浆料填实；</w:t>
      </w:r>
    </w:p>
    <w:p w14:paraId="5286A535">
      <w:pPr>
        <w:snapToGrid w:val="0"/>
        <w:spacing w:line="300" w:lineRule="auto"/>
        <w:ind w:firstLine="480" w:firstLineChars="200"/>
        <w:rPr>
          <w:rFonts w:cs="Times New Roman"/>
          <w:color w:val="auto"/>
          <w:kern w:val="0"/>
          <w:szCs w:val="24"/>
          <w:highlight w:val="none"/>
        </w:rPr>
      </w:pPr>
      <w:r>
        <w:rPr>
          <w:rFonts w:cs="Times New Roman"/>
          <w:color w:val="auto"/>
          <w:kern w:val="0"/>
          <w:szCs w:val="24"/>
          <w:highlight w:val="none"/>
        </w:rPr>
        <w:t>2</w:t>
      </w:r>
      <w:r>
        <w:rPr>
          <w:rFonts w:hint="eastAsia" w:cs="Times New Roman"/>
          <w:color w:val="auto"/>
          <w:kern w:val="0"/>
          <w:szCs w:val="24"/>
          <w:highlight w:val="none"/>
          <w:lang w:val="en-US" w:eastAsia="zh-CN"/>
        </w:rPr>
        <w:t xml:space="preserve">  </w:t>
      </w:r>
      <w:r>
        <w:rPr>
          <w:rFonts w:cs="Times New Roman"/>
          <w:color w:val="auto"/>
          <w:kern w:val="0"/>
          <w:szCs w:val="24"/>
          <w:highlight w:val="none"/>
        </w:rPr>
        <w:t>接缝处应设置连接节点，连接节点可采用焊接连接、螺栓连接、浆锚搭接连接、灌浆套筒连接等形式；</w:t>
      </w:r>
    </w:p>
    <w:p w14:paraId="363E91A0">
      <w:pPr>
        <w:snapToGrid w:val="0"/>
        <w:spacing w:line="300" w:lineRule="auto"/>
        <w:ind w:firstLine="480" w:firstLineChars="200"/>
        <w:rPr>
          <w:rFonts w:cs="Times New Roman"/>
          <w:color w:val="auto"/>
          <w:kern w:val="0"/>
          <w:szCs w:val="24"/>
          <w:highlight w:val="none"/>
        </w:rPr>
      </w:pPr>
      <w:r>
        <w:rPr>
          <w:rFonts w:cs="Times New Roman"/>
          <w:color w:val="auto"/>
          <w:kern w:val="0"/>
          <w:szCs w:val="24"/>
          <w:highlight w:val="none"/>
        </w:rPr>
        <w:t xml:space="preserve">3 </w:t>
      </w:r>
      <w:r>
        <w:rPr>
          <w:rFonts w:hint="eastAsia" w:cs="Times New Roman"/>
          <w:color w:val="auto"/>
          <w:kern w:val="0"/>
          <w:szCs w:val="24"/>
          <w:highlight w:val="none"/>
          <w:lang w:val="en-US" w:eastAsia="zh-CN"/>
        </w:rPr>
        <w:t xml:space="preserve"> </w:t>
      </w:r>
      <w:r>
        <w:rPr>
          <w:rFonts w:cs="Times New Roman"/>
          <w:color w:val="auto"/>
          <w:kern w:val="0"/>
          <w:szCs w:val="24"/>
          <w:highlight w:val="none"/>
        </w:rPr>
        <w:t>边缘构件位置应设置连接节点，连接钢筋或螺栓应位于构造柱的中心位置附近；连接钢筋、连接板或螺栓焊接连接面积不应小于</w:t>
      </w:r>
      <w:r>
        <w:rPr>
          <w:rFonts w:hint="eastAsia" w:cs="Times New Roman"/>
          <w:color w:val="auto"/>
          <w:kern w:val="0"/>
          <w:szCs w:val="24"/>
          <w:highlight w:val="none"/>
        </w:rPr>
        <w:t>边缘构件</w:t>
      </w:r>
      <w:r>
        <w:rPr>
          <w:rFonts w:cs="Times New Roman"/>
          <w:color w:val="auto"/>
          <w:kern w:val="0"/>
          <w:szCs w:val="24"/>
          <w:highlight w:val="none"/>
        </w:rPr>
        <w:t>的纵筋总面积；</w:t>
      </w:r>
    </w:p>
    <w:p w14:paraId="3E8BA8D2">
      <w:pPr>
        <w:snapToGrid w:val="0"/>
        <w:spacing w:line="300" w:lineRule="auto"/>
        <w:ind w:firstLine="480" w:firstLineChars="200"/>
        <w:rPr>
          <w:rFonts w:cs="Times New Roman"/>
          <w:color w:val="auto"/>
          <w:kern w:val="0"/>
          <w:szCs w:val="24"/>
          <w:highlight w:val="none"/>
        </w:rPr>
      </w:pPr>
      <w:r>
        <w:rPr>
          <w:rFonts w:cs="Times New Roman"/>
          <w:color w:val="auto"/>
          <w:kern w:val="0"/>
          <w:szCs w:val="24"/>
          <w:highlight w:val="none"/>
        </w:rPr>
        <w:t xml:space="preserve">4 </w:t>
      </w:r>
      <w:r>
        <w:rPr>
          <w:rFonts w:hint="eastAsia" w:cs="Times New Roman"/>
          <w:color w:val="auto"/>
          <w:kern w:val="0"/>
          <w:szCs w:val="24"/>
          <w:highlight w:val="none"/>
          <w:lang w:val="en-US" w:eastAsia="zh-CN"/>
        </w:rPr>
        <w:t xml:space="preserve"> </w:t>
      </w:r>
      <w:r>
        <w:rPr>
          <w:rFonts w:cs="Times New Roman"/>
          <w:color w:val="auto"/>
          <w:kern w:val="0"/>
          <w:szCs w:val="24"/>
          <w:highlight w:val="none"/>
        </w:rPr>
        <w:t>采用各种连接节点时，连接钢筋或预埋件应在墙板中可靠锚固，锚固区域宜设置横向加强筋；</w:t>
      </w:r>
    </w:p>
    <w:p w14:paraId="7769575A">
      <w:pPr>
        <w:snapToGrid w:val="0"/>
        <w:spacing w:line="300" w:lineRule="auto"/>
        <w:ind w:firstLine="480" w:firstLineChars="200"/>
        <w:rPr>
          <w:rFonts w:cs="Times New Roman"/>
          <w:color w:val="auto"/>
          <w:kern w:val="0"/>
          <w:szCs w:val="24"/>
          <w:highlight w:val="none"/>
        </w:rPr>
      </w:pPr>
      <w:r>
        <w:rPr>
          <w:rFonts w:cs="Times New Roman"/>
          <w:color w:val="auto"/>
          <w:kern w:val="0"/>
          <w:szCs w:val="24"/>
          <w:highlight w:val="none"/>
        </w:rPr>
        <w:t xml:space="preserve">5 </w:t>
      </w:r>
      <w:r>
        <w:rPr>
          <w:rFonts w:hint="eastAsia" w:cs="Times New Roman"/>
          <w:color w:val="auto"/>
          <w:kern w:val="0"/>
          <w:szCs w:val="24"/>
          <w:highlight w:val="none"/>
          <w:lang w:val="en-US" w:eastAsia="zh-CN"/>
        </w:rPr>
        <w:t xml:space="preserve"> </w:t>
      </w:r>
      <w:r>
        <w:rPr>
          <w:rFonts w:cs="Times New Roman"/>
          <w:color w:val="auto"/>
          <w:kern w:val="0"/>
          <w:szCs w:val="24"/>
          <w:highlight w:val="none"/>
        </w:rPr>
        <w:t>穿过接缝的连接钢筋</w:t>
      </w:r>
      <w:r>
        <w:rPr>
          <w:rFonts w:hint="eastAsia" w:cs="Times New Roman"/>
          <w:color w:val="auto"/>
          <w:kern w:val="0"/>
          <w:szCs w:val="24"/>
          <w:highlight w:val="none"/>
          <w:lang w:val="en-US" w:eastAsia="zh-CN"/>
        </w:rPr>
        <w:t>配筋</w:t>
      </w:r>
      <w:r>
        <w:rPr>
          <w:rFonts w:cs="Times New Roman"/>
          <w:color w:val="auto"/>
          <w:kern w:val="0"/>
          <w:szCs w:val="24"/>
          <w:highlight w:val="none"/>
        </w:rPr>
        <w:t>应满足接缝受剪承载力的要求，且配筋率不应低于墙板竖向钢筋配筋率，连接钢筋直径不宜小于14mm。</w:t>
      </w:r>
    </w:p>
    <w:p w14:paraId="7859B073">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6.4.2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宋体" w:hAnsi="宋体" w:cs="Times New Roman"/>
          <w:color w:val="auto"/>
          <w:sz w:val="21"/>
          <w:szCs w:val="21"/>
          <w:highlight w:val="none"/>
        </w:rPr>
        <w:t>模块化建筑</w:t>
      </w:r>
      <w:r>
        <w:rPr>
          <w:rFonts w:hint="eastAsia" w:cs="Times New Roman"/>
          <w:color w:val="auto"/>
          <w:kern w:val="0"/>
          <w:szCs w:val="24"/>
          <w:highlight w:val="none"/>
        </w:rPr>
        <w:t>水平接缝受剪承载力设计值应按下式计算：</w:t>
      </w:r>
    </w:p>
    <w:p w14:paraId="5E776D65">
      <w:pPr>
        <w:snapToGrid w:val="0"/>
        <w:spacing w:line="300" w:lineRule="auto"/>
        <w:ind w:firstLine="480" w:firstLineChars="200"/>
        <w:jc w:val="right"/>
        <w:rPr>
          <w:rFonts w:cs="Times New Roman"/>
          <w:color w:val="auto"/>
          <w:kern w:val="0"/>
          <w:szCs w:val="24"/>
          <w:highlight w:val="none"/>
        </w:rPr>
      </w:pPr>
      <w:r>
        <w:rPr>
          <w:rFonts w:hint="eastAsia" w:cs="Times New Roman"/>
          <w:color w:val="auto"/>
          <w:kern w:val="0"/>
          <w:position w:val="-14"/>
          <w:szCs w:val="24"/>
          <w:highlight w:val="none"/>
        </w:rPr>
        <w:object>
          <v:shape id="_x0000_i1030" o:spt="75" type="#_x0000_t75" style="height:18.15pt;width:95.2pt;" o:ole="t" filled="f" o:preferrelative="t" stroked="f" coordsize="21600,21600">
            <v:path/>
            <v:fill on="f" focussize="0,0"/>
            <v:stroke on="f"/>
            <v:imagedata r:id="rId32" o:title=""/>
            <o:lock v:ext="edit" aspectratio="f"/>
            <w10:wrap type="none"/>
            <w10:anchorlock/>
          </v:shape>
          <o:OLEObject Type="Embed" ProgID="Equation.DSMT4" ShapeID="_x0000_i1030" DrawAspect="Content" ObjectID="_1468075730" r:id="rId31">
            <o:LockedField>false</o:LockedField>
          </o:OLEObject>
        </w:object>
      </w:r>
      <w:r>
        <w:rPr>
          <w:rFonts w:hint="eastAsia" w:cs="Times New Roman"/>
          <w:color w:val="auto"/>
          <w:kern w:val="0"/>
          <w:szCs w:val="24"/>
          <w:highlight w:val="none"/>
        </w:rPr>
        <w:t xml:space="preserve">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 xml:space="preserve">      （6.4.2）</w:t>
      </w:r>
    </w:p>
    <w:p w14:paraId="6817B2D0">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式中：</w:t>
      </w:r>
      <w:r>
        <w:rPr>
          <w:rFonts w:hint="eastAsia" w:cs="Times New Roman"/>
          <w:color w:val="auto"/>
          <w:kern w:val="0"/>
          <w:position w:val="-14"/>
          <w:szCs w:val="24"/>
          <w:highlight w:val="none"/>
        </w:rPr>
        <w:object>
          <v:shape id="_x0000_i1031" o:spt="75" type="#_x0000_t75" style="height:18pt;width:13pt;" o:ole="t" filled="f" o:preferrelative="t" stroked="f" coordsize="21600,21600">
            <v:path/>
            <v:fill on="f" focussize="0,0"/>
            <v:stroke on="f"/>
            <v:imagedata r:id="rId34" o:title=""/>
            <o:lock v:ext="edit" aspectratio="f"/>
            <w10:wrap type="none"/>
            <w10:anchorlock/>
          </v:shape>
          <o:OLEObject Type="Embed" ProgID="Equation.DSMT4" ShapeID="_x0000_i1031" DrawAspect="Content" ObjectID="_1468075731" r:id="rId33">
            <o:LockedField>false</o:LockedField>
          </o:OLEObject>
        </w:object>
      </w:r>
      <w:r>
        <w:rPr>
          <w:rFonts w:hint="eastAsia" w:cs="Times New Roman"/>
          <w:color w:val="auto"/>
          <w:kern w:val="0"/>
          <w:szCs w:val="24"/>
          <w:highlight w:val="none"/>
        </w:rPr>
        <w:t>——垂直穿过结合面的连接钢筋、螺栓或连接钢板抗拉强度设计值；</w:t>
      </w:r>
    </w:p>
    <w:p w14:paraId="521B491C">
      <w:pPr>
        <w:snapToGrid w:val="0"/>
        <w:spacing w:line="300" w:lineRule="auto"/>
        <w:ind w:firstLine="1200" w:firstLineChars="500"/>
        <w:rPr>
          <w:rFonts w:cs="Times New Roman"/>
          <w:color w:val="auto"/>
          <w:kern w:val="0"/>
          <w:szCs w:val="24"/>
          <w:highlight w:val="none"/>
        </w:rPr>
      </w:pPr>
      <w:r>
        <w:rPr>
          <w:rFonts w:hint="eastAsia" w:cs="Times New Roman"/>
          <w:color w:val="auto"/>
          <w:kern w:val="0"/>
          <w:szCs w:val="24"/>
          <w:highlight w:val="none"/>
        </w:rPr>
        <w:object>
          <v:shape id="_x0000_i1032" o:spt="75" type="#_x0000_t75" style="height:11.9pt;width:11.9pt;" o:ole="t" filled="f" o:preferrelative="t" stroked="f" coordsize="21600,21600">
            <v:path/>
            <v:fill on="f" focussize="0,0"/>
            <v:stroke on="f" joinstyle="miter"/>
            <v:imagedata r:id="rId36" o:title=""/>
            <o:lock v:ext="edit" aspectratio="t"/>
            <w10:wrap type="none"/>
            <w10:anchorlock/>
          </v:shape>
          <o:OLEObject Type="Embed" ProgID="Equation.DSMT4" ShapeID="_x0000_i1032" DrawAspect="Content" ObjectID="_1468075732" r:id="rId35">
            <o:LockedField>false</o:LockedField>
          </o:OLEObject>
        </w:object>
      </w:r>
      <w:r>
        <w:rPr>
          <w:rFonts w:hint="eastAsia" w:cs="Times New Roman"/>
          <w:color w:val="auto"/>
          <w:kern w:val="0"/>
          <w:szCs w:val="24"/>
          <w:highlight w:val="none"/>
        </w:rPr>
        <w:t>——与设防地震作用下不屈服剪力设计值V相应的垂直于结合面的轴向力设计值，压力时取正，且不大于</w:t>
      </w:r>
      <w:r>
        <w:rPr>
          <w:rFonts w:hint="eastAsia" w:cs="Times New Roman"/>
          <w:color w:val="auto"/>
          <w:kern w:val="0"/>
          <w:position w:val="-10"/>
          <w:szCs w:val="24"/>
          <w:highlight w:val="none"/>
        </w:rPr>
        <w:object>
          <v:shape id="_x0000_i1033" o:spt="75" type="#_x0000_t75" style="height:16pt;width:36pt;" o:ole="t" filled="f" o:preferrelative="t" stroked="f" coordsize="21600,21600">
            <v:path/>
            <v:fill on="f" focussize="0,0"/>
            <v:stroke on="f"/>
            <v:imagedata r:id="rId38" o:title=""/>
            <o:lock v:ext="edit" aspectratio="f"/>
            <w10:wrap type="none"/>
            <w10:anchorlock/>
          </v:shape>
          <o:OLEObject Type="Embed" ProgID="Equation.DSMT4" ShapeID="_x0000_i1033" DrawAspect="Content" ObjectID="_1468075733" r:id="rId37">
            <o:LockedField>false</o:LockedField>
          </o:OLEObject>
        </w:object>
      </w:r>
      <w:r>
        <w:rPr>
          <w:rFonts w:hint="eastAsia" w:cs="Times New Roman"/>
          <w:color w:val="auto"/>
          <w:kern w:val="0"/>
          <w:szCs w:val="24"/>
          <w:highlight w:val="none"/>
        </w:rPr>
        <w:t>，拉力时取负；</w:t>
      </w:r>
    </w:p>
    <w:p w14:paraId="4BC9320A">
      <w:pPr>
        <w:snapToGrid w:val="0"/>
        <w:spacing w:line="300" w:lineRule="auto"/>
        <w:ind w:firstLine="1200" w:firstLineChars="500"/>
        <w:rPr>
          <w:rFonts w:cs="Times New Roman"/>
          <w:color w:val="auto"/>
          <w:kern w:val="0"/>
          <w:szCs w:val="24"/>
          <w:highlight w:val="none"/>
        </w:rPr>
      </w:pPr>
      <w:r>
        <w:rPr>
          <w:rFonts w:hint="eastAsia" w:cs="Times New Roman"/>
          <w:color w:val="auto"/>
          <w:kern w:val="0"/>
          <w:position w:val="-10"/>
          <w:szCs w:val="24"/>
          <w:highlight w:val="none"/>
        </w:rPr>
        <w:object>
          <v:shape id="_x0000_i1034" o:spt="75" type="#_x0000_t75" style="height:16pt;width:16pt;" o:ole="t" filled="f" o:preferrelative="t" stroked="f" coordsize="21600,21600">
            <v:path/>
            <v:fill on="f" focussize="0,0"/>
            <v:stroke on="f"/>
            <v:imagedata r:id="rId40" o:title=""/>
            <o:lock v:ext="edit" aspectratio="f"/>
            <w10:wrap type="none"/>
            <w10:anchorlock/>
          </v:shape>
          <o:OLEObject Type="Embed" ProgID="Equation.DSMT4" ShapeID="_x0000_i1034" DrawAspect="Content" ObjectID="_1468075734" r:id="rId39">
            <o:LockedField>false</o:LockedField>
          </o:OLEObject>
        </w:object>
      </w:r>
      <w:r>
        <w:rPr>
          <w:rFonts w:hint="eastAsia" w:cs="Times New Roman"/>
          <w:color w:val="auto"/>
          <w:kern w:val="0"/>
          <w:szCs w:val="24"/>
          <w:highlight w:val="none"/>
        </w:rPr>
        <w:t>——垂直穿过结合面的抗剪钢筋或连接钢板面积。</w:t>
      </w:r>
    </w:p>
    <w:p w14:paraId="7639E18A">
      <w:pPr>
        <w:snapToGrid w:val="0"/>
        <w:spacing w:line="300" w:lineRule="auto"/>
        <w:rPr>
          <w:rFonts w:ascii="宋体" w:hAnsi="宋体" w:cs="Times New Roman"/>
          <w:color w:val="auto"/>
          <w:sz w:val="21"/>
          <w:szCs w:val="21"/>
          <w:highlight w:val="none"/>
        </w:rPr>
      </w:pPr>
      <w:r>
        <w:rPr>
          <w:rFonts w:hint="eastAsia" w:cs="Times New Roman"/>
          <w:b/>
          <w:bCs/>
          <w:snapToGrid w:val="0"/>
          <w:color w:val="auto"/>
          <w:kern w:val="0"/>
          <w:sz w:val="20"/>
          <w:szCs w:val="20"/>
          <w:highlight w:val="none"/>
        </w:rPr>
        <w:t>6.4.3</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模块化建筑水平接缝及楼（屋）面板应设置连接节点，节点连接形式可采用焊接连接（图6.4.3），并应符合下列规定：</w:t>
      </w:r>
    </w:p>
    <w:p w14:paraId="043F75F1">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 xml:space="preserve">1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拼缝处可采用顶面或侧面预埋钢板、现场附加钢板焊接的形式连接；</w:t>
      </w:r>
    </w:p>
    <w:p w14:paraId="5433C252">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 xml:space="preserve">2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预埋钢板在墙内应可靠锚固，锚固承载力应大于连接钢板或角钢的承载力；</w:t>
      </w:r>
    </w:p>
    <w:p w14:paraId="35C33499">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 xml:space="preserve">3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连接节点布置在墙体的下端，距墙底不宜大于600mm且不宜小于100mm；连接节点布置在楼（屋）面板需要连接一侧，距连接一侧墙面水平距离不宜大于600mm且不宜小于100mm；</w:t>
      </w:r>
    </w:p>
    <w:p w14:paraId="3DB42706">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 xml:space="preserve">4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水平拼缝宜为20mm；</w:t>
      </w:r>
    </w:p>
    <w:p w14:paraId="3B9D57E0">
      <w:pPr>
        <w:snapToGrid w:val="0"/>
        <w:spacing w:line="300" w:lineRule="auto"/>
        <w:ind w:firstLine="480" w:firstLineChars="200"/>
        <w:rPr>
          <w:rFonts w:cs="Times New Roman"/>
          <w:color w:val="auto"/>
          <w:kern w:val="0"/>
          <w:szCs w:val="24"/>
          <w:highlight w:val="none"/>
        </w:rPr>
      </w:pPr>
      <w:r>
        <w:rPr>
          <w:rFonts w:hint="eastAsia" w:cs="Times New Roman"/>
          <w:color w:val="auto"/>
          <w:kern w:val="0"/>
          <w:szCs w:val="24"/>
          <w:highlight w:val="none"/>
        </w:rPr>
        <w:t xml:space="preserve">5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节点内力按设防地震作用下不屈服剪力设计值取值，节点承载力可按照现行国家标准《</w:t>
      </w:r>
      <w:r>
        <w:rPr>
          <w:rFonts w:hint="eastAsia" w:cs="Times New Roman"/>
          <w:color w:val="auto"/>
          <w:kern w:val="0"/>
          <w:szCs w:val="24"/>
          <w:highlight w:val="none"/>
          <w:lang w:eastAsia="zh-CN"/>
        </w:rPr>
        <w:t>钢结构设计标准</w:t>
      </w:r>
      <w:r>
        <w:rPr>
          <w:rFonts w:hint="eastAsia" w:cs="Times New Roman"/>
          <w:color w:val="auto"/>
          <w:kern w:val="0"/>
          <w:szCs w:val="24"/>
          <w:highlight w:val="none"/>
        </w:rPr>
        <w:t>》GB 50017进行计算。</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36"/>
        <w:gridCol w:w="5804"/>
      </w:tblGrid>
      <w:tr w14:paraId="7C12B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86" w:type="dxa"/>
            <w:vAlign w:val="center"/>
          </w:tcPr>
          <w:p w14:paraId="3E2A0C99">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2042795" cy="1440180"/>
                  <wp:effectExtent l="0" t="0" r="14605" b="762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41"/>
                          <a:stretch>
                            <a:fillRect/>
                          </a:stretch>
                        </pic:blipFill>
                        <pic:spPr>
                          <a:xfrm>
                            <a:off x="0" y="0"/>
                            <a:ext cx="2042795" cy="1440180"/>
                          </a:xfrm>
                          <a:prstGeom prst="rect">
                            <a:avLst/>
                          </a:prstGeom>
                          <a:noFill/>
                          <a:ln>
                            <a:noFill/>
                          </a:ln>
                        </pic:spPr>
                      </pic:pic>
                    </a:graphicData>
                  </a:graphic>
                </wp:inline>
              </w:drawing>
            </w:r>
          </w:p>
        </w:tc>
        <w:tc>
          <w:tcPr>
            <w:tcW w:w="5935" w:type="dxa"/>
            <w:vAlign w:val="center"/>
          </w:tcPr>
          <w:p w14:paraId="3552802B">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2139315" cy="1440180"/>
                  <wp:effectExtent l="0" t="0" r="9525"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2"/>
                          <a:stretch>
                            <a:fillRect/>
                          </a:stretch>
                        </pic:blipFill>
                        <pic:spPr>
                          <a:xfrm>
                            <a:off x="0" y="0"/>
                            <a:ext cx="2139315" cy="1440180"/>
                          </a:xfrm>
                          <a:prstGeom prst="rect">
                            <a:avLst/>
                          </a:prstGeom>
                          <a:noFill/>
                          <a:ln>
                            <a:noFill/>
                          </a:ln>
                        </pic:spPr>
                      </pic:pic>
                    </a:graphicData>
                  </a:graphic>
                </wp:inline>
              </w:drawing>
            </w:r>
          </w:p>
        </w:tc>
      </w:tr>
      <w:tr w14:paraId="63BFF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86" w:type="dxa"/>
            <w:vAlign w:val="center"/>
          </w:tcPr>
          <w:p w14:paraId="77B6741A">
            <w:pPr>
              <w:snapToGrid w:val="0"/>
              <w:spacing w:line="300" w:lineRule="auto"/>
              <w:ind w:firstLine="360" w:firstLineChars="200"/>
              <w:jc w:val="center"/>
              <w:rPr>
                <w:rFonts w:ascii="宋体" w:hAnsi="宋体" w:cs="Times New Roman"/>
                <w:color w:val="auto"/>
                <w:sz w:val="18"/>
                <w:szCs w:val="18"/>
                <w:highlight w:val="none"/>
              </w:rPr>
            </w:pPr>
            <w:r>
              <w:rPr>
                <w:rFonts w:ascii="宋体" w:hAnsi="宋体" w:cs="Times New Roman"/>
                <w:color w:val="auto"/>
                <w:sz w:val="18"/>
                <w:szCs w:val="18"/>
                <w:highlight w:val="none"/>
              </w:rPr>
              <w:t>a</w:t>
            </w:r>
            <w:r>
              <w:rPr>
                <w:rFonts w:hint="eastAsia" w:ascii="宋体" w:hAnsi="宋体" w:cs="Times New Roman"/>
                <w:color w:val="auto"/>
                <w:sz w:val="18"/>
                <w:szCs w:val="18"/>
                <w:highlight w:val="none"/>
              </w:rPr>
              <w:t>）内墙连接节点</w:t>
            </w:r>
          </w:p>
        </w:tc>
        <w:tc>
          <w:tcPr>
            <w:tcW w:w="5935" w:type="dxa"/>
            <w:vAlign w:val="center"/>
          </w:tcPr>
          <w:p w14:paraId="77BF7B2E">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b）外墙连接节点</w:t>
            </w:r>
          </w:p>
        </w:tc>
      </w:tr>
      <w:tr w14:paraId="7492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21" w:type="dxa"/>
            <w:gridSpan w:val="2"/>
            <w:vAlign w:val="center"/>
          </w:tcPr>
          <w:p w14:paraId="6E36480D">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3479800" cy="1080135"/>
                  <wp:effectExtent l="0" t="0" r="10160" b="190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43"/>
                          <a:stretch>
                            <a:fillRect/>
                          </a:stretch>
                        </pic:blipFill>
                        <pic:spPr>
                          <a:xfrm>
                            <a:off x="0" y="0"/>
                            <a:ext cx="3479800" cy="1080135"/>
                          </a:xfrm>
                          <a:prstGeom prst="rect">
                            <a:avLst/>
                          </a:prstGeom>
                          <a:noFill/>
                          <a:ln>
                            <a:noFill/>
                          </a:ln>
                        </pic:spPr>
                      </pic:pic>
                    </a:graphicData>
                  </a:graphic>
                </wp:inline>
              </w:drawing>
            </w:r>
          </w:p>
        </w:tc>
      </w:tr>
      <w:tr w14:paraId="06575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21" w:type="dxa"/>
            <w:gridSpan w:val="2"/>
            <w:vAlign w:val="center"/>
          </w:tcPr>
          <w:p w14:paraId="13F95BB0">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c）楼（屋）面连接节点</w:t>
            </w:r>
          </w:p>
        </w:tc>
      </w:tr>
      <w:tr w14:paraId="349BA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21" w:type="dxa"/>
            <w:gridSpan w:val="2"/>
            <w:vAlign w:val="center"/>
          </w:tcPr>
          <w:p w14:paraId="0B78D889">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1—预埋件1；2—预埋件2；3—连接板；4—层间座浆/灌浆；</w:t>
            </w:r>
          </w:p>
        </w:tc>
      </w:tr>
      <w:tr w14:paraId="62167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21" w:type="dxa"/>
            <w:gridSpan w:val="2"/>
            <w:vAlign w:val="center"/>
          </w:tcPr>
          <w:p w14:paraId="1C43237F">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图6.4.</w:t>
            </w:r>
            <w:r>
              <w:rPr>
                <w:rFonts w:hint="eastAsia" w:ascii="宋体" w:hAnsi="宋体" w:cs="Times New Roman"/>
                <w:color w:val="auto"/>
                <w:sz w:val="18"/>
                <w:szCs w:val="18"/>
                <w:highlight w:val="none"/>
                <w:lang w:val="en-US" w:eastAsia="zh-CN"/>
              </w:rPr>
              <w:t>3</w:t>
            </w:r>
            <w:r>
              <w:rPr>
                <w:rFonts w:hint="eastAsia" w:ascii="宋体" w:hAnsi="宋体" w:cs="Times New Roman"/>
                <w:color w:val="auto"/>
                <w:sz w:val="18"/>
                <w:szCs w:val="18"/>
                <w:highlight w:val="none"/>
              </w:rPr>
              <w:t xml:space="preserve"> 模块化建筑焊接连接构造</w:t>
            </w:r>
          </w:p>
        </w:tc>
      </w:tr>
    </w:tbl>
    <w:p w14:paraId="55020E27">
      <w:pPr>
        <w:snapToGrid w:val="0"/>
        <w:spacing w:line="300" w:lineRule="auto"/>
        <w:rPr>
          <w:rFonts w:cs="Times New Roman"/>
          <w:color w:val="auto"/>
          <w:kern w:val="0"/>
          <w:szCs w:val="24"/>
          <w:highlight w:val="none"/>
        </w:rPr>
      </w:pPr>
    </w:p>
    <w:p w14:paraId="6BF6110C">
      <w:pPr>
        <w:snapToGrid w:val="0"/>
        <w:spacing w:line="300" w:lineRule="auto"/>
        <w:rPr>
          <w:rFonts w:ascii="宋体" w:hAnsi="宋体" w:cs="Times New Roman"/>
          <w:color w:val="auto"/>
          <w:sz w:val="21"/>
          <w:szCs w:val="21"/>
          <w:highlight w:val="none"/>
        </w:rPr>
      </w:pPr>
      <w:r>
        <w:rPr>
          <w:rFonts w:hint="eastAsia" w:cs="Times New Roman"/>
          <w:b/>
          <w:bCs/>
          <w:snapToGrid w:val="0"/>
          <w:color w:val="auto"/>
          <w:kern w:val="0"/>
          <w:sz w:val="20"/>
          <w:szCs w:val="20"/>
          <w:highlight w:val="none"/>
        </w:rPr>
        <w:t>6.4.4</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模块化建筑水平接缝连接采用螺栓连接时，可采用图6.4.</w:t>
      </w:r>
      <w:r>
        <w:rPr>
          <w:rFonts w:hint="eastAsia" w:cs="Times New Roman"/>
          <w:color w:val="auto"/>
          <w:kern w:val="0"/>
          <w:szCs w:val="24"/>
          <w:highlight w:val="none"/>
          <w:lang w:val="en-US" w:eastAsia="zh-CN"/>
        </w:rPr>
        <w:t>4</w:t>
      </w:r>
      <w:r>
        <w:rPr>
          <w:rFonts w:hint="eastAsia" w:cs="Times New Roman"/>
          <w:color w:val="auto"/>
          <w:kern w:val="0"/>
          <w:szCs w:val="24"/>
          <w:highlight w:val="none"/>
        </w:rPr>
        <w:t>构造：</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0"/>
        <w:gridCol w:w="5885"/>
      </w:tblGrid>
      <w:tr w14:paraId="6F37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6" w:type="dxa"/>
            <w:tcBorders>
              <w:top w:val="nil"/>
              <w:left w:val="nil"/>
              <w:bottom w:val="nil"/>
              <w:right w:val="nil"/>
            </w:tcBorders>
            <w:vAlign w:val="center"/>
          </w:tcPr>
          <w:p w14:paraId="17E67728">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1908175" cy="1943735"/>
                  <wp:effectExtent l="0" t="0" r="12065" b="698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44"/>
                          <a:stretch>
                            <a:fillRect/>
                          </a:stretch>
                        </pic:blipFill>
                        <pic:spPr>
                          <a:xfrm>
                            <a:off x="0" y="0"/>
                            <a:ext cx="1908175" cy="1943735"/>
                          </a:xfrm>
                          <a:prstGeom prst="rect">
                            <a:avLst/>
                          </a:prstGeom>
                          <a:noFill/>
                          <a:ln>
                            <a:noFill/>
                          </a:ln>
                        </pic:spPr>
                      </pic:pic>
                    </a:graphicData>
                  </a:graphic>
                </wp:inline>
              </w:drawing>
            </w:r>
          </w:p>
        </w:tc>
        <w:tc>
          <w:tcPr>
            <w:tcW w:w="5885" w:type="dxa"/>
            <w:tcBorders>
              <w:top w:val="nil"/>
              <w:left w:val="nil"/>
              <w:bottom w:val="nil"/>
              <w:right w:val="nil"/>
            </w:tcBorders>
            <w:vAlign w:val="center"/>
          </w:tcPr>
          <w:p w14:paraId="3CB04D93">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1675765" cy="1943735"/>
                  <wp:effectExtent l="0" t="0" r="635" b="698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45"/>
                          <a:stretch>
                            <a:fillRect/>
                          </a:stretch>
                        </pic:blipFill>
                        <pic:spPr>
                          <a:xfrm>
                            <a:off x="0" y="0"/>
                            <a:ext cx="1675765" cy="1943735"/>
                          </a:xfrm>
                          <a:prstGeom prst="rect">
                            <a:avLst/>
                          </a:prstGeom>
                          <a:noFill/>
                          <a:ln>
                            <a:noFill/>
                          </a:ln>
                        </pic:spPr>
                      </pic:pic>
                    </a:graphicData>
                  </a:graphic>
                </wp:inline>
              </w:drawing>
            </w:r>
          </w:p>
        </w:tc>
      </w:tr>
      <w:tr w14:paraId="5656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6" w:type="dxa"/>
            <w:tcBorders>
              <w:top w:val="nil"/>
              <w:left w:val="nil"/>
              <w:bottom w:val="nil"/>
              <w:right w:val="nil"/>
            </w:tcBorders>
            <w:vAlign w:val="center"/>
          </w:tcPr>
          <w:p w14:paraId="0746D841">
            <w:pPr>
              <w:snapToGrid w:val="0"/>
              <w:spacing w:line="300" w:lineRule="auto"/>
              <w:ind w:firstLine="360" w:firstLineChars="200"/>
              <w:jc w:val="center"/>
              <w:rPr>
                <w:rFonts w:ascii="宋体" w:hAnsi="宋体" w:cs="Times New Roman"/>
                <w:color w:val="auto"/>
                <w:sz w:val="18"/>
                <w:szCs w:val="18"/>
                <w:highlight w:val="none"/>
              </w:rPr>
            </w:pPr>
            <w:r>
              <w:rPr>
                <w:rFonts w:ascii="宋体" w:hAnsi="宋体" w:cs="Times New Roman"/>
                <w:color w:val="auto"/>
                <w:sz w:val="18"/>
                <w:szCs w:val="18"/>
                <w:highlight w:val="none"/>
              </w:rPr>
              <w:t>a</w:t>
            </w:r>
            <w:r>
              <w:rPr>
                <w:rFonts w:hint="eastAsia" w:ascii="宋体" w:hAnsi="宋体" w:cs="Times New Roman"/>
                <w:color w:val="auto"/>
                <w:sz w:val="18"/>
                <w:szCs w:val="18"/>
                <w:highlight w:val="none"/>
              </w:rPr>
              <w:t>）拉剪混合连接件</w:t>
            </w:r>
          </w:p>
        </w:tc>
        <w:tc>
          <w:tcPr>
            <w:tcW w:w="5885" w:type="dxa"/>
            <w:tcBorders>
              <w:top w:val="nil"/>
              <w:left w:val="nil"/>
              <w:bottom w:val="nil"/>
              <w:right w:val="nil"/>
            </w:tcBorders>
            <w:vAlign w:val="center"/>
          </w:tcPr>
          <w:p w14:paraId="3C748C1F">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b）抗拉连接件</w:t>
            </w:r>
          </w:p>
        </w:tc>
      </w:tr>
      <w:tr w14:paraId="6335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6" w:type="dxa"/>
            <w:tcBorders>
              <w:top w:val="nil"/>
              <w:left w:val="nil"/>
              <w:bottom w:val="nil"/>
              <w:right w:val="nil"/>
            </w:tcBorders>
            <w:vAlign w:val="center"/>
          </w:tcPr>
          <w:p w14:paraId="322F8CBF">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1917065" cy="1440180"/>
                  <wp:effectExtent l="0" t="0" r="3175" b="762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46"/>
                          <a:stretch>
                            <a:fillRect/>
                          </a:stretch>
                        </pic:blipFill>
                        <pic:spPr>
                          <a:xfrm>
                            <a:off x="0" y="0"/>
                            <a:ext cx="1917065" cy="1440180"/>
                          </a:xfrm>
                          <a:prstGeom prst="rect">
                            <a:avLst/>
                          </a:prstGeom>
                          <a:noFill/>
                          <a:ln>
                            <a:noFill/>
                          </a:ln>
                        </pic:spPr>
                      </pic:pic>
                    </a:graphicData>
                  </a:graphic>
                </wp:inline>
              </w:drawing>
            </w:r>
          </w:p>
        </w:tc>
        <w:tc>
          <w:tcPr>
            <w:tcW w:w="5885" w:type="dxa"/>
            <w:tcBorders>
              <w:top w:val="nil"/>
              <w:left w:val="nil"/>
              <w:bottom w:val="nil"/>
              <w:right w:val="nil"/>
            </w:tcBorders>
            <w:vAlign w:val="center"/>
          </w:tcPr>
          <w:p w14:paraId="301A499B">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1578610" cy="1619885"/>
                  <wp:effectExtent l="0" t="0" r="6350" b="1079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47"/>
                          <a:stretch>
                            <a:fillRect/>
                          </a:stretch>
                        </pic:blipFill>
                        <pic:spPr>
                          <a:xfrm>
                            <a:off x="0" y="0"/>
                            <a:ext cx="1578610" cy="1619885"/>
                          </a:xfrm>
                          <a:prstGeom prst="rect">
                            <a:avLst/>
                          </a:prstGeom>
                          <a:noFill/>
                          <a:ln>
                            <a:noFill/>
                          </a:ln>
                        </pic:spPr>
                      </pic:pic>
                    </a:graphicData>
                  </a:graphic>
                </wp:inline>
              </w:drawing>
            </w:r>
          </w:p>
        </w:tc>
      </w:tr>
      <w:tr w14:paraId="24D4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6" w:type="dxa"/>
            <w:tcBorders>
              <w:top w:val="nil"/>
              <w:left w:val="nil"/>
              <w:bottom w:val="nil"/>
              <w:right w:val="nil"/>
            </w:tcBorders>
            <w:vAlign w:val="center"/>
          </w:tcPr>
          <w:p w14:paraId="3F7C7EBA">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c）抗剪连接件一</w:t>
            </w:r>
          </w:p>
        </w:tc>
        <w:tc>
          <w:tcPr>
            <w:tcW w:w="5885" w:type="dxa"/>
            <w:tcBorders>
              <w:top w:val="nil"/>
              <w:left w:val="nil"/>
              <w:bottom w:val="nil"/>
              <w:right w:val="nil"/>
            </w:tcBorders>
            <w:vAlign w:val="center"/>
          </w:tcPr>
          <w:p w14:paraId="4C60F140">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d）抗剪连接件二</w:t>
            </w:r>
          </w:p>
        </w:tc>
      </w:tr>
      <w:tr w14:paraId="628E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gridSpan w:val="2"/>
            <w:tcBorders>
              <w:top w:val="nil"/>
              <w:left w:val="nil"/>
              <w:bottom w:val="nil"/>
              <w:right w:val="nil"/>
            </w:tcBorders>
            <w:vAlign w:val="center"/>
          </w:tcPr>
          <w:p w14:paraId="3AAD23D9">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1—标高调节螺栓；2—抗拉螺杆；3—抗剪螺杆；4—层间座浆/灌浆；</w:t>
            </w:r>
          </w:p>
          <w:p w14:paraId="567ACD7A">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5—灌浆料；</w:t>
            </w:r>
            <w:r>
              <w:rPr>
                <w:rFonts w:ascii="宋体" w:hAnsi="宋体" w:cs="Times New Roman"/>
                <w:color w:val="auto"/>
                <w:sz w:val="18"/>
                <w:szCs w:val="18"/>
                <w:highlight w:val="none"/>
              </w:rPr>
              <w:t>6</w:t>
            </w:r>
            <w:r>
              <w:rPr>
                <w:rFonts w:hint="eastAsia" w:ascii="宋体" w:hAnsi="宋体" w:cs="Times New Roman"/>
                <w:color w:val="auto"/>
                <w:sz w:val="18"/>
                <w:szCs w:val="18"/>
                <w:highlight w:val="none"/>
              </w:rPr>
              <w:t>—波纹管；7—槽钢</w:t>
            </w:r>
          </w:p>
        </w:tc>
      </w:tr>
      <w:tr w14:paraId="5FE2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gridSpan w:val="2"/>
            <w:tcBorders>
              <w:top w:val="nil"/>
              <w:left w:val="nil"/>
              <w:bottom w:val="nil"/>
              <w:right w:val="nil"/>
            </w:tcBorders>
            <w:vAlign w:val="center"/>
          </w:tcPr>
          <w:p w14:paraId="54346E72">
            <w:pPr>
              <w:snapToGrid w:val="0"/>
              <w:spacing w:line="300" w:lineRule="auto"/>
              <w:ind w:firstLine="360" w:firstLineChars="200"/>
              <w:jc w:val="center"/>
              <w:rPr>
                <w:rFonts w:hint="eastAsia" w:ascii="宋体" w:hAnsi="宋体" w:cs="Times New Roman"/>
                <w:color w:val="auto"/>
                <w:sz w:val="18"/>
                <w:szCs w:val="18"/>
                <w:highlight w:val="none"/>
              </w:rPr>
            </w:pPr>
            <w:r>
              <w:rPr>
                <w:rFonts w:hint="eastAsia" w:ascii="宋体" w:hAnsi="宋体" w:cs="Times New Roman"/>
                <w:color w:val="auto"/>
                <w:sz w:val="18"/>
                <w:szCs w:val="18"/>
                <w:highlight w:val="none"/>
              </w:rPr>
              <w:t>图6.4.</w:t>
            </w:r>
            <w:r>
              <w:rPr>
                <w:rFonts w:hint="eastAsia" w:ascii="宋体" w:hAnsi="宋体" w:cs="Times New Roman"/>
                <w:color w:val="auto"/>
                <w:sz w:val="18"/>
                <w:szCs w:val="18"/>
                <w:highlight w:val="none"/>
                <w:lang w:val="en-US" w:eastAsia="zh-CN"/>
              </w:rPr>
              <w:t>4</w:t>
            </w:r>
            <w:r>
              <w:rPr>
                <w:rFonts w:hint="eastAsia" w:ascii="宋体" w:hAnsi="宋体" w:cs="Times New Roman"/>
                <w:color w:val="auto"/>
                <w:sz w:val="18"/>
                <w:szCs w:val="18"/>
                <w:highlight w:val="none"/>
              </w:rPr>
              <w:t xml:space="preserve"> </w:t>
            </w:r>
            <w:r>
              <w:rPr>
                <w:rFonts w:hint="eastAsia" w:ascii="宋体" w:hAnsi="宋体" w:cs="Times New Roman"/>
                <w:color w:val="auto"/>
                <w:sz w:val="18"/>
                <w:szCs w:val="18"/>
                <w:highlight w:val="none"/>
                <w:lang w:val="en-US" w:eastAsia="zh-CN"/>
              </w:rPr>
              <w:t xml:space="preserve"> </w:t>
            </w:r>
            <w:r>
              <w:rPr>
                <w:rFonts w:hint="eastAsia" w:ascii="宋体" w:hAnsi="宋体" w:cs="Times New Roman"/>
                <w:color w:val="auto"/>
                <w:sz w:val="18"/>
                <w:szCs w:val="18"/>
                <w:highlight w:val="none"/>
              </w:rPr>
              <w:t>模块化建筑</w:t>
            </w:r>
            <w:r>
              <w:rPr>
                <w:rFonts w:hint="eastAsia" w:ascii="宋体" w:hAnsi="宋体" w:cs="Times New Roman"/>
                <w:color w:val="auto"/>
                <w:sz w:val="18"/>
                <w:szCs w:val="18"/>
                <w:highlight w:val="none"/>
                <w:lang w:val="en-US" w:eastAsia="zh-CN"/>
              </w:rPr>
              <w:t>螺栓</w:t>
            </w:r>
            <w:r>
              <w:rPr>
                <w:rFonts w:hint="eastAsia" w:ascii="宋体" w:hAnsi="宋体" w:cs="Times New Roman"/>
                <w:color w:val="auto"/>
                <w:sz w:val="18"/>
                <w:szCs w:val="18"/>
                <w:highlight w:val="none"/>
              </w:rPr>
              <w:t>连接构造</w:t>
            </w:r>
          </w:p>
        </w:tc>
      </w:tr>
    </w:tbl>
    <w:p w14:paraId="05AE5133">
      <w:pPr>
        <w:snapToGrid w:val="0"/>
        <w:spacing w:line="300" w:lineRule="auto"/>
        <w:rPr>
          <w:rFonts w:cs="Times New Roman"/>
          <w:color w:val="auto"/>
          <w:kern w:val="0"/>
          <w:szCs w:val="24"/>
          <w:highlight w:val="none"/>
        </w:rPr>
      </w:pPr>
    </w:p>
    <w:p w14:paraId="48EE6B2F">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6.4.5</w:t>
      </w:r>
      <w:r>
        <w:rPr>
          <w:rFonts w:hint="eastAsia" w:cs="Times New Roman"/>
          <w:b/>
          <w:bCs/>
          <w:snapToGrid w:val="0"/>
          <w:color w:val="auto"/>
          <w:kern w:val="0"/>
          <w:sz w:val="20"/>
          <w:szCs w:val="20"/>
          <w:highlight w:val="none"/>
          <w:lang w:val="en-US" w:eastAsia="zh-CN"/>
        </w:rPr>
        <w:t xml:space="preserve"> </w:t>
      </w:r>
      <w:r>
        <w:rPr>
          <w:rFonts w:ascii="宋体" w:hAnsi="宋体" w:cs="Times New Roman"/>
          <w:color w:val="auto"/>
          <w:sz w:val="21"/>
          <w:szCs w:val="21"/>
          <w:highlight w:val="none"/>
        </w:rPr>
        <w:t xml:space="preserve"> </w:t>
      </w:r>
      <w:r>
        <w:rPr>
          <w:rFonts w:hint="eastAsia" w:cs="Times New Roman"/>
          <w:color w:val="auto"/>
          <w:kern w:val="0"/>
          <w:szCs w:val="24"/>
          <w:highlight w:val="none"/>
        </w:rPr>
        <w:t>模块化建筑水平接缝连接可采用浆锚连接，灌浆口应设置在房屋内侧。浆锚连接还应符合现行国家标准《装配式混凝土建筑技术标准》GB/T 51231的相关要求。</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81"/>
      </w:tblGrid>
      <w:tr w14:paraId="170FC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81" w:type="dxa"/>
            <w:vAlign w:val="center"/>
          </w:tcPr>
          <w:p w14:paraId="02DA0B1C">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2212340" cy="1800225"/>
                  <wp:effectExtent l="0" t="0" r="12700" b="1333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48"/>
                          <a:stretch>
                            <a:fillRect/>
                          </a:stretch>
                        </pic:blipFill>
                        <pic:spPr>
                          <a:xfrm>
                            <a:off x="0" y="0"/>
                            <a:ext cx="2212340" cy="1800225"/>
                          </a:xfrm>
                          <a:prstGeom prst="rect">
                            <a:avLst/>
                          </a:prstGeom>
                          <a:noFill/>
                          <a:ln>
                            <a:noFill/>
                          </a:ln>
                        </pic:spPr>
                      </pic:pic>
                    </a:graphicData>
                  </a:graphic>
                </wp:inline>
              </w:drawing>
            </w:r>
          </w:p>
        </w:tc>
      </w:tr>
      <w:tr w14:paraId="67E67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81" w:type="dxa"/>
            <w:vAlign w:val="center"/>
          </w:tcPr>
          <w:p w14:paraId="20277B28">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1—上层钢筋；2—下层插筋；</w:t>
            </w:r>
            <w:r>
              <w:rPr>
                <w:rFonts w:ascii="宋体" w:hAnsi="宋体" w:cs="Times New Roman"/>
                <w:color w:val="auto"/>
                <w:sz w:val="18"/>
                <w:szCs w:val="18"/>
                <w:highlight w:val="none"/>
              </w:rPr>
              <w:t>3</w:t>
            </w:r>
            <w:r>
              <w:rPr>
                <w:rFonts w:hint="eastAsia" w:ascii="宋体" w:hAnsi="宋体" w:cs="Times New Roman"/>
                <w:color w:val="auto"/>
                <w:sz w:val="18"/>
                <w:szCs w:val="18"/>
                <w:highlight w:val="none"/>
              </w:rPr>
              <w:t>—灌浆料；</w:t>
            </w:r>
            <w:r>
              <w:rPr>
                <w:rFonts w:ascii="宋体" w:hAnsi="宋体" w:cs="Times New Roman"/>
                <w:color w:val="auto"/>
                <w:sz w:val="18"/>
                <w:szCs w:val="18"/>
                <w:highlight w:val="none"/>
              </w:rPr>
              <w:t>4</w:t>
            </w:r>
            <w:r>
              <w:rPr>
                <w:rFonts w:hint="eastAsia" w:ascii="宋体" w:hAnsi="宋体" w:cs="Times New Roman"/>
                <w:color w:val="auto"/>
                <w:sz w:val="18"/>
                <w:szCs w:val="18"/>
                <w:highlight w:val="none"/>
              </w:rPr>
              <w:t>—层间座浆/灌浆；</w:t>
            </w:r>
          </w:p>
          <w:p w14:paraId="57706BFB">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5—金属波纹管</w:t>
            </w:r>
          </w:p>
        </w:tc>
      </w:tr>
      <w:tr w14:paraId="07023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81" w:type="dxa"/>
            <w:vAlign w:val="center"/>
          </w:tcPr>
          <w:p w14:paraId="14F6F1FE">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rPr>
              <w:t>图6.4.</w:t>
            </w:r>
            <w:r>
              <w:rPr>
                <w:rFonts w:hint="eastAsia" w:ascii="宋体" w:hAnsi="宋体" w:cs="Times New Roman"/>
                <w:color w:val="auto"/>
                <w:sz w:val="18"/>
                <w:szCs w:val="18"/>
                <w:highlight w:val="none"/>
                <w:lang w:val="en-US" w:eastAsia="zh-CN"/>
              </w:rPr>
              <w:t>5</w:t>
            </w:r>
            <w:r>
              <w:rPr>
                <w:rFonts w:hint="eastAsia" w:ascii="宋体" w:hAnsi="宋体" w:cs="Times New Roman"/>
                <w:color w:val="auto"/>
                <w:sz w:val="18"/>
                <w:szCs w:val="18"/>
                <w:highlight w:val="none"/>
              </w:rPr>
              <w:t xml:space="preserve"> 浆锚连接节点示意</w:t>
            </w:r>
          </w:p>
        </w:tc>
      </w:tr>
    </w:tbl>
    <w:p w14:paraId="41120C7B">
      <w:pPr>
        <w:rPr>
          <w:color w:val="auto"/>
          <w:highlight w:val="none"/>
        </w:rPr>
      </w:pPr>
      <w:r>
        <w:rPr>
          <w:rFonts w:hint="eastAsia" w:cs="Times New Roman"/>
          <w:b/>
          <w:bCs/>
          <w:snapToGrid w:val="0"/>
          <w:color w:val="auto"/>
          <w:kern w:val="0"/>
          <w:sz w:val="20"/>
          <w:szCs w:val="20"/>
          <w:highlight w:val="none"/>
        </w:rPr>
        <w:t>6.4.6</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模块化建筑水平接缝连接可采用灌浆套筒连接，纵向受力钢筋可采用单排钢筋连接，连接方式应符合现行北京地方标准《装配式剪力墙结构设计规程》DB11</w:t>
      </w:r>
      <w:r>
        <w:rPr>
          <w:rFonts w:hint="eastAsia" w:cs="Times New Roman"/>
          <w:color w:val="auto"/>
          <w:kern w:val="0"/>
          <w:szCs w:val="24"/>
          <w:highlight w:val="none"/>
          <w:lang w:val="en-US" w:eastAsia="zh-CN"/>
        </w:rPr>
        <w:t>/T</w:t>
      </w:r>
      <w:r>
        <w:rPr>
          <w:rFonts w:hint="eastAsia" w:cs="Times New Roman"/>
          <w:color w:val="auto"/>
          <w:kern w:val="0"/>
          <w:szCs w:val="24"/>
          <w:highlight w:val="none"/>
        </w:rPr>
        <w:t>-1003的相关要求。</w:t>
      </w:r>
    </w:p>
    <w:p w14:paraId="09C6E4AD">
      <w:pPr>
        <w:rPr>
          <w:rFonts w:hint="eastAsia" w:eastAsia="宋体"/>
          <w:color w:val="auto"/>
          <w:highlight w:val="none"/>
          <w:lang w:eastAsia="zh-CN"/>
        </w:rPr>
      </w:pPr>
      <w:r>
        <w:rPr>
          <w:rFonts w:hint="eastAsia" w:cs="Times New Roman"/>
          <w:b/>
          <w:bCs/>
          <w:snapToGrid w:val="0"/>
          <w:color w:val="auto"/>
          <w:kern w:val="0"/>
          <w:sz w:val="20"/>
          <w:szCs w:val="20"/>
          <w:highlight w:val="none"/>
        </w:rPr>
        <w:t>6.4.7</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模块化建筑楼（屋）面板水平接缝连接可采用开槽布筋连接方式或开槽布筋方式与榫卯连接</w:t>
      </w:r>
      <w:r>
        <w:rPr>
          <w:rFonts w:hint="eastAsia" w:cs="Times New Roman"/>
          <w:color w:val="auto"/>
          <w:kern w:val="0"/>
          <w:szCs w:val="24"/>
          <w:highlight w:val="none"/>
          <w:lang w:val="en-US" w:eastAsia="zh-CN"/>
        </w:rPr>
        <w:t>相结合的连接方式；</w:t>
      </w:r>
      <w:r>
        <w:rPr>
          <w:rFonts w:hint="eastAsia" w:cs="Times New Roman"/>
          <w:color w:val="auto"/>
          <w:kern w:val="0"/>
          <w:szCs w:val="24"/>
          <w:highlight w:val="none"/>
        </w:rPr>
        <w:t>开槽布筋连接</w:t>
      </w:r>
      <w:r>
        <w:rPr>
          <w:rFonts w:hint="eastAsia" w:cs="Times New Roman"/>
          <w:color w:val="auto"/>
          <w:kern w:val="0"/>
          <w:szCs w:val="24"/>
          <w:highlight w:val="none"/>
          <w:lang w:val="en-US" w:eastAsia="zh-CN"/>
        </w:rPr>
        <w:t>构造</w:t>
      </w:r>
      <w:r>
        <w:rPr>
          <w:rFonts w:hint="eastAsia" w:cs="Times New Roman"/>
          <w:color w:val="auto"/>
          <w:kern w:val="0"/>
          <w:szCs w:val="24"/>
          <w:highlight w:val="none"/>
          <w:lang w:eastAsia="zh-CN"/>
        </w:rPr>
        <w:t>如</w:t>
      </w:r>
      <w:r>
        <w:rPr>
          <w:rFonts w:hint="eastAsia" w:cs="Times New Roman"/>
          <w:color w:val="auto"/>
          <w:kern w:val="0"/>
          <w:szCs w:val="24"/>
          <w:highlight w:val="none"/>
        </w:rPr>
        <w:t>图6.4.7-1</w:t>
      </w:r>
      <w:r>
        <w:rPr>
          <w:rFonts w:hint="eastAsia" w:cs="Times New Roman"/>
          <w:color w:val="auto"/>
          <w:kern w:val="0"/>
          <w:szCs w:val="24"/>
          <w:highlight w:val="none"/>
          <w:lang w:val="en-US" w:eastAsia="zh-CN"/>
        </w:rPr>
        <w:t>所示；榫卯</w:t>
      </w:r>
      <w:r>
        <w:rPr>
          <w:rFonts w:hint="eastAsia" w:cs="Times New Roman"/>
          <w:color w:val="auto"/>
          <w:kern w:val="0"/>
          <w:szCs w:val="24"/>
          <w:highlight w:val="none"/>
        </w:rPr>
        <w:t>连接</w:t>
      </w:r>
      <w:r>
        <w:rPr>
          <w:rFonts w:hint="eastAsia" w:cs="Times New Roman"/>
          <w:color w:val="auto"/>
          <w:kern w:val="0"/>
          <w:szCs w:val="24"/>
          <w:highlight w:val="none"/>
          <w:lang w:val="en-US" w:eastAsia="zh-CN"/>
        </w:rPr>
        <w:t>构造如</w:t>
      </w:r>
      <w:r>
        <w:rPr>
          <w:rFonts w:hint="eastAsia" w:cs="Times New Roman"/>
          <w:color w:val="auto"/>
          <w:kern w:val="0"/>
          <w:szCs w:val="24"/>
          <w:highlight w:val="none"/>
        </w:rPr>
        <w:t>图6.4.7-2</w:t>
      </w:r>
      <w:r>
        <w:rPr>
          <w:rFonts w:hint="eastAsia" w:cs="Times New Roman"/>
          <w:color w:val="auto"/>
          <w:kern w:val="0"/>
          <w:szCs w:val="24"/>
          <w:highlight w:val="none"/>
          <w:lang w:val="en-US" w:eastAsia="zh-CN"/>
        </w:rPr>
        <w:t>所示。</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1"/>
      </w:tblGrid>
      <w:tr w14:paraId="0026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523EFAB3">
            <w:pPr>
              <w:snapToGrid w:val="0"/>
              <w:spacing w:line="300" w:lineRule="auto"/>
              <w:ind w:firstLine="480" w:firstLineChars="200"/>
              <w:jc w:val="center"/>
              <w:rPr>
                <w:rFonts w:ascii="宋体" w:hAnsi="宋体" w:cs="Times New Roman"/>
                <w:color w:val="auto"/>
                <w:sz w:val="21"/>
                <w:szCs w:val="21"/>
                <w:highlight w:val="none"/>
              </w:rPr>
            </w:pPr>
            <w:r>
              <w:rPr>
                <w:color w:val="auto"/>
                <w:highlight w:val="none"/>
              </w:rPr>
              <w:drawing>
                <wp:inline distT="0" distB="0" distL="114300" distR="114300">
                  <wp:extent cx="2112645" cy="2232025"/>
                  <wp:effectExtent l="0" t="0" r="5715" b="825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49"/>
                          <a:stretch>
                            <a:fillRect/>
                          </a:stretch>
                        </pic:blipFill>
                        <pic:spPr>
                          <a:xfrm>
                            <a:off x="0" y="0"/>
                            <a:ext cx="2112645" cy="2232025"/>
                          </a:xfrm>
                          <a:prstGeom prst="rect">
                            <a:avLst/>
                          </a:prstGeom>
                          <a:noFill/>
                          <a:ln>
                            <a:noFill/>
                          </a:ln>
                        </pic:spPr>
                      </pic:pic>
                    </a:graphicData>
                  </a:graphic>
                </wp:inline>
              </w:drawing>
            </w:r>
          </w:p>
          <w:p w14:paraId="6FC11EA6">
            <w:pPr>
              <w:snapToGrid w:val="0"/>
              <w:spacing w:line="300" w:lineRule="auto"/>
              <w:ind w:firstLine="360" w:firstLineChars="200"/>
              <w:jc w:val="center"/>
              <w:rPr>
                <w:rFonts w:ascii="宋体" w:hAnsi="宋体" w:cs="Times New Roman"/>
                <w:color w:val="auto"/>
                <w:sz w:val="18"/>
                <w:szCs w:val="18"/>
                <w:highlight w:val="none"/>
              </w:rPr>
            </w:pPr>
          </w:p>
        </w:tc>
      </w:tr>
      <w:tr w14:paraId="3454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12C92A8B">
            <w:pPr>
              <w:snapToGrid w:val="0"/>
              <w:spacing w:line="300" w:lineRule="auto"/>
              <w:ind w:firstLine="360" w:firstLineChars="200"/>
              <w:jc w:val="center"/>
              <w:rPr>
                <w:rFonts w:hint="eastAsia" w:ascii="宋体" w:hAnsi="宋体" w:cs="Times New Roman"/>
                <w:color w:val="auto"/>
                <w:sz w:val="18"/>
                <w:szCs w:val="18"/>
                <w:highlight w:val="none"/>
              </w:rPr>
            </w:pPr>
            <w:r>
              <w:rPr>
                <w:rFonts w:hint="eastAsia" w:ascii="宋体" w:hAnsi="宋体" w:cs="Times New Roman"/>
                <w:color w:val="auto"/>
                <w:sz w:val="18"/>
                <w:szCs w:val="18"/>
                <w:highlight w:val="none"/>
              </w:rPr>
              <w:t>1—</w:t>
            </w:r>
            <w:r>
              <w:rPr>
                <w:rFonts w:hint="eastAsia" w:ascii="宋体" w:hAnsi="宋体" w:cs="Times New Roman"/>
                <w:color w:val="auto"/>
                <w:sz w:val="18"/>
                <w:szCs w:val="18"/>
                <w:highlight w:val="none"/>
                <w:lang w:val="en-US" w:eastAsia="zh-CN"/>
              </w:rPr>
              <w:t>梁</w:t>
            </w:r>
            <w:r>
              <w:rPr>
                <w:rFonts w:hint="eastAsia" w:ascii="宋体" w:hAnsi="宋体" w:cs="Times New Roman"/>
                <w:color w:val="auto"/>
                <w:sz w:val="18"/>
                <w:szCs w:val="18"/>
                <w:highlight w:val="none"/>
              </w:rPr>
              <w:t>；2—</w:t>
            </w:r>
            <w:r>
              <w:rPr>
                <w:rFonts w:hint="eastAsia" w:ascii="宋体" w:hAnsi="宋体" w:cs="Times New Roman"/>
                <w:color w:val="auto"/>
                <w:sz w:val="18"/>
                <w:szCs w:val="18"/>
                <w:highlight w:val="none"/>
                <w:lang w:val="en-US" w:eastAsia="zh-CN"/>
              </w:rPr>
              <w:t>梁</w:t>
            </w:r>
            <w:r>
              <w:rPr>
                <w:rFonts w:hint="eastAsia" w:ascii="宋体" w:hAnsi="宋体" w:cs="Times New Roman"/>
                <w:color w:val="auto"/>
                <w:sz w:val="18"/>
                <w:szCs w:val="18"/>
                <w:highlight w:val="none"/>
              </w:rPr>
              <w:t>插筋；</w:t>
            </w:r>
            <w:r>
              <w:rPr>
                <w:rFonts w:ascii="宋体" w:hAnsi="宋体" w:cs="Times New Roman"/>
                <w:color w:val="auto"/>
                <w:sz w:val="18"/>
                <w:szCs w:val="18"/>
                <w:highlight w:val="none"/>
              </w:rPr>
              <w:t>3</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边缘构件纵筋</w:t>
            </w:r>
            <w:r>
              <w:rPr>
                <w:rFonts w:hint="eastAsia" w:ascii="宋体" w:hAnsi="宋体" w:cs="Times New Roman"/>
                <w:color w:val="auto"/>
                <w:sz w:val="18"/>
                <w:szCs w:val="18"/>
                <w:highlight w:val="none"/>
              </w:rPr>
              <w:t>；</w:t>
            </w:r>
            <w:r>
              <w:rPr>
                <w:rFonts w:ascii="宋体" w:hAnsi="宋体" w:cs="Times New Roman"/>
                <w:color w:val="auto"/>
                <w:sz w:val="18"/>
                <w:szCs w:val="18"/>
                <w:highlight w:val="none"/>
              </w:rPr>
              <w:t>4</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拉结钢筋</w:t>
            </w:r>
            <w:r>
              <w:rPr>
                <w:rFonts w:hint="eastAsia" w:ascii="宋体" w:hAnsi="宋体" w:cs="Times New Roman"/>
                <w:color w:val="auto"/>
                <w:sz w:val="18"/>
                <w:szCs w:val="18"/>
                <w:highlight w:val="none"/>
              </w:rPr>
              <w:t>；</w:t>
            </w:r>
          </w:p>
          <w:p w14:paraId="673540A0">
            <w:pPr>
              <w:snapToGrid w:val="0"/>
              <w:spacing w:line="300" w:lineRule="auto"/>
              <w:ind w:firstLine="360" w:firstLineChars="200"/>
              <w:jc w:val="center"/>
              <w:rPr>
                <w:rFonts w:ascii="宋体" w:hAnsi="宋体" w:cs="Times New Roman"/>
                <w:color w:val="auto"/>
                <w:sz w:val="18"/>
                <w:szCs w:val="18"/>
                <w:highlight w:val="none"/>
              </w:rPr>
            </w:pPr>
            <w:r>
              <w:rPr>
                <w:rFonts w:hint="eastAsia" w:ascii="宋体" w:hAnsi="宋体" w:cs="Times New Roman"/>
                <w:color w:val="auto"/>
                <w:sz w:val="18"/>
                <w:szCs w:val="18"/>
                <w:highlight w:val="none"/>
                <w:lang w:val="en-US" w:eastAsia="zh-CN"/>
              </w:rPr>
              <w:t>5</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预留槽（布筋后灌浆）</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6</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模块A</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7</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板缝灌浆</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8</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模块B</w:t>
            </w:r>
          </w:p>
        </w:tc>
      </w:tr>
      <w:tr w14:paraId="645E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688F7205">
            <w:pPr>
              <w:snapToGrid w:val="0"/>
              <w:spacing w:line="300" w:lineRule="auto"/>
              <w:ind w:firstLine="360" w:firstLineChars="200"/>
              <w:jc w:val="center"/>
              <w:rPr>
                <w:rFonts w:hint="eastAsia" w:ascii="宋体" w:hAnsi="宋体" w:cs="Times New Roman"/>
                <w:color w:val="auto"/>
                <w:sz w:val="18"/>
                <w:szCs w:val="18"/>
                <w:highlight w:val="none"/>
              </w:rPr>
            </w:pPr>
            <w:r>
              <w:rPr>
                <w:rFonts w:hint="eastAsia" w:ascii="宋体" w:hAnsi="宋体" w:cs="Times New Roman"/>
                <w:color w:val="auto"/>
                <w:sz w:val="18"/>
                <w:szCs w:val="18"/>
                <w:highlight w:val="none"/>
              </w:rPr>
              <w:t>图6.4.7-1模块化建筑楼（屋）面板水平接缝开槽布筋连接</w:t>
            </w:r>
          </w:p>
        </w:tc>
      </w:tr>
      <w:tr w14:paraId="3727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02A46356">
            <w:pPr>
              <w:snapToGrid w:val="0"/>
              <w:spacing w:line="300" w:lineRule="auto"/>
              <w:ind w:firstLine="480" w:firstLineChars="200"/>
              <w:jc w:val="center"/>
              <w:rPr>
                <w:rFonts w:hint="eastAsia"/>
                <w:color w:val="auto"/>
                <w:highlight w:val="none"/>
              </w:rPr>
            </w:pPr>
            <w:r>
              <w:rPr>
                <w:color w:val="auto"/>
                <w:highlight w:val="none"/>
              </w:rPr>
              <w:drawing>
                <wp:inline distT="0" distB="0" distL="114300" distR="114300">
                  <wp:extent cx="3740785" cy="2988310"/>
                  <wp:effectExtent l="0" t="0" r="825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0"/>
                          <a:stretch>
                            <a:fillRect/>
                          </a:stretch>
                        </pic:blipFill>
                        <pic:spPr>
                          <a:xfrm>
                            <a:off x="0" y="0"/>
                            <a:ext cx="3740785" cy="2988310"/>
                          </a:xfrm>
                          <a:prstGeom prst="rect">
                            <a:avLst/>
                          </a:prstGeom>
                          <a:noFill/>
                          <a:ln>
                            <a:noFill/>
                          </a:ln>
                        </pic:spPr>
                      </pic:pic>
                    </a:graphicData>
                  </a:graphic>
                </wp:inline>
              </w:drawing>
            </w:r>
          </w:p>
        </w:tc>
      </w:tr>
      <w:tr w14:paraId="7201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4AC7B973">
            <w:pPr>
              <w:snapToGrid w:val="0"/>
              <w:spacing w:line="300" w:lineRule="auto"/>
              <w:ind w:firstLine="360" w:firstLineChars="200"/>
              <w:jc w:val="center"/>
              <w:rPr>
                <w:rFonts w:hint="eastAsia" w:ascii="宋体" w:hAnsi="宋体" w:cs="Times New Roman"/>
                <w:color w:val="auto"/>
                <w:sz w:val="18"/>
                <w:szCs w:val="18"/>
                <w:highlight w:val="none"/>
              </w:rPr>
            </w:pPr>
            <w:r>
              <w:rPr>
                <w:rFonts w:hint="eastAsia" w:ascii="宋体" w:hAnsi="宋体" w:cs="Times New Roman"/>
                <w:color w:val="auto"/>
                <w:sz w:val="18"/>
                <w:szCs w:val="18"/>
                <w:highlight w:val="none"/>
              </w:rPr>
              <w:t>1—</w:t>
            </w:r>
            <w:r>
              <w:rPr>
                <w:rFonts w:hint="eastAsia" w:ascii="宋体" w:hAnsi="宋体" w:cs="Times New Roman"/>
                <w:color w:val="auto"/>
                <w:sz w:val="18"/>
                <w:szCs w:val="18"/>
                <w:highlight w:val="none"/>
                <w:lang w:val="en-US" w:eastAsia="zh-CN"/>
              </w:rPr>
              <w:t>预制板</w:t>
            </w:r>
            <w:r>
              <w:rPr>
                <w:rFonts w:hint="eastAsia" w:ascii="宋体" w:hAnsi="宋体" w:cs="Times New Roman"/>
                <w:color w:val="auto"/>
                <w:sz w:val="18"/>
                <w:szCs w:val="18"/>
                <w:highlight w:val="none"/>
              </w:rPr>
              <w:t>；2—</w:t>
            </w:r>
            <w:r>
              <w:rPr>
                <w:rFonts w:hint="eastAsia" w:ascii="宋体" w:hAnsi="宋体" w:cs="Times New Roman"/>
                <w:color w:val="auto"/>
                <w:sz w:val="18"/>
                <w:szCs w:val="18"/>
                <w:highlight w:val="none"/>
                <w:lang w:val="en-US" w:eastAsia="zh-CN"/>
              </w:rPr>
              <w:t>边缘构件纵筋</w:t>
            </w:r>
            <w:r>
              <w:rPr>
                <w:rFonts w:hint="eastAsia" w:ascii="宋体" w:hAnsi="宋体" w:cs="Times New Roman"/>
                <w:color w:val="auto"/>
                <w:sz w:val="18"/>
                <w:szCs w:val="18"/>
                <w:highlight w:val="none"/>
              </w:rPr>
              <w:t>；</w:t>
            </w:r>
            <w:r>
              <w:rPr>
                <w:rFonts w:ascii="宋体" w:hAnsi="宋体" w:cs="Times New Roman"/>
                <w:color w:val="auto"/>
                <w:sz w:val="18"/>
                <w:szCs w:val="18"/>
                <w:highlight w:val="none"/>
              </w:rPr>
              <w:t>3</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模块顶板</w:t>
            </w:r>
            <w:r>
              <w:rPr>
                <w:rFonts w:hint="eastAsia" w:ascii="宋体" w:hAnsi="宋体" w:cs="Times New Roman"/>
                <w:color w:val="auto"/>
                <w:sz w:val="18"/>
                <w:szCs w:val="18"/>
                <w:highlight w:val="none"/>
              </w:rPr>
              <w:t>；</w:t>
            </w:r>
            <w:r>
              <w:rPr>
                <w:rFonts w:ascii="宋体" w:hAnsi="宋体" w:cs="Times New Roman"/>
                <w:color w:val="auto"/>
                <w:sz w:val="18"/>
                <w:szCs w:val="18"/>
                <w:highlight w:val="none"/>
              </w:rPr>
              <w:t>4</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板插筋</w:t>
            </w:r>
            <w:r>
              <w:rPr>
                <w:rFonts w:hint="eastAsia" w:ascii="宋体" w:hAnsi="宋体" w:cs="Times New Roman"/>
                <w:color w:val="auto"/>
                <w:sz w:val="18"/>
                <w:szCs w:val="18"/>
                <w:highlight w:val="none"/>
              </w:rPr>
              <w:t>；</w:t>
            </w:r>
          </w:p>
          <w:p w14:paraId="6AF31E45">
            <w:pPr>
              <w:snapToGrid w:val="0"/>
              <w:spacing w:line="300" w:lineRule="auto"/>
              <w:ind w:firstLine="360" w:firstLineChars="200"/>
              <w:jc w:val="center"/>
              <w:rPr>
                <w:rFonts w:hint="eastAsia" w:ascii="宋体" w:hAnsi="宋体" w:cs="Times New Roman"/>
                <w:color w:val="auto"/>
                <w:sz w:val="18"/>
                <w:szCs w:val="18"/>
                <w:highlight w:val="none"/>
              </w:rPr>
            </w:pPr>
            <w:r>
              <w:rPr>
                <w:rFonts w:hint="eastAsia" w:ascii="宋体" w:hAnsi="宋体" w:cs="Times New Roman"/>
                <w:color w:val="auto"/>
                <w:sz w:val="18"/>
                <w:szCs w:val="18"/>
                <w:highlight w:val="none"/>
                <w:lang w:val="en-US" w:eastAsia="zh-CN"/>
              </w:rPr>
              <w:t>5</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构造钢筋</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6</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板缝灌浆</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7</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拉结加强筋</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8</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梁</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9</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模块A</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10</w:t>
            </w:r>
            <w:r>
              <w:rPr>
                <w:rFonts w:hint="eastAsia" w:ascii="宋体" w:hAnsi="宋体" w:cs="Times New Roman"/>
                <w:color w:val="auto"/>
                <w:sz w:val="18"/>
                <w:szCs w:val="18"/>
                <w:highlight w:val="none"/>
              </w:rPr>
              <w:t>—</w:t>
            </w:r>
            <w:r>
              <w:rPr>
                <w:rFonts w:hint="eastAsia" w:ascii="宋体" w:hAnsi="宋体" w:cs="Times New Roman"/>
                <w:color w:val="auto"/>
                <w:sz w:val="18"/>
                <w:szCs w:val="18"/>
                <w:highlight w:val="none"/>
                <w:lang w:val="en-US" w:eastAsia="zh-CN"/>
              </w:rPr>
              <w:t>模块B</w:t>
            </w:r>
          </w:p>
        </w:tc>
      </w:tr>
      <w:tr w14:paraId="07B9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18FB3267">
            <w:pPr>
              <w:snapToGrid w:val="0"/>
              <w:spacing w:line="300" w:lineRule="auto"/>
              <w:ind w:firstLine="360" w:firstLineChars="200"/>
              <w:jc w:val="center"/>
              <w:rPr>
                <w:rFonts w:hint="eastAsia" w:ascii="宋体" w:hAnsi="宋体" w:cs="Times New Roman"/>
                <w:color w:val="auto"/>
                <w:sz w:val="18"/>
                <w:szCs w:val="18"/>
                <w:highlight w:val="none"/>
              </w:rPr>
            </w:pPr>
            <w:r>
              <w:rPr>
                <w:rFonts w:hint="eastAsia" w:ascii="宋体" w:hAnsi="宋体" w:cs="Times New Roman"/>
                <w:color w:val="auto"/>
                <w:sz w:val="18"/>
                <w:szCs w:val="18"/>
                <w:highlight w:val="none"/>
              </w:rPr>
              <w:t>图6.4.7-2模块化建筑楼（屋）面板水平接缝榫卯连接</w:t>
            </w:r>
          </w:p>
        </w:tc>
      </w:tr>
      <w:tr w14:paraId="2860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766D253D">
            <w:pPr>
              <w:snapToGrid w:val="0"/>
              <w:spacing w:line="300" w:lineRule="auto"/>
              <w:ind w:firstLine="360" w:firstLineChars="200"/>
              <w:jc w:val="center"/>
              <w:rPr>
                <w:rFonts w:hint="eastAsia" w:ascii="宋体" w:hAnsi="宋体" w:cs="Times New Roman"/>
                <w:color w:val="auto"/>
                <w:sz w:val="18"/>
                <w:szCs w:val="18"/>
                <w:highlight w:val="none"/>
              </w:rPr>
            </w:pPr>
          </w:p>
        </w:tc>
      </w:tr>
    </w:tbl>
    <w:p w14:paraId="2D24AA40">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p>
    <w:p w14:paraId="62E51D4B">
      <w:pPr>
        <w:widowControl/>
        <w:wordWrap/>
        <w:overflowPunct/>
        <w:topLinePunct w:val="0"/>
        <w:bidi w:val="0"/>
        <w:snapToGrid w:val="0"/>
        <w:spacing w:line="300" w:lineRule="auto"/>
        <w:ind w:firstLine="420" w:firstLineChars="200"/>
        <w:jc w:val="left"/>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6CEF1786">
      <w:pPr>
        <w:pStyle w:val="2"/>
        <w:rPr>
          <w:rFonts w:ascii="宋体" w:hAnsi="宋体"/>
          <w:color w:val="auto"/>
          <w:szCs w:val="24"/>
          <w:highlight w:val="none"/>
          <w:lang w:val="en-US"/>
        </w:rPr>
      </w:pPr>
      <w:bookmarkStart w:id="248" w:name="_Toc180613538"/>
      <w:bookmarkStart w:id="249" w:name="_Toc19973"/>
      <w:bookmarkStart w:id="250" w:name="_Toc25430"/>
      <w:bookmarkStart w:id="251" w:name="_Toc177840177"/>
      <w:bookmarkStart w:id="252" w:name="_Toc177840569"/>
      <w:bookmarkStart w:id="253" w:name="_Toc17304"/>
      <w:bookmarkStart w:id="254" w:name="_Toc16853"/>
      <w:bookmarkStart w:id="255" w:name="_Toc9100"/>
      <w:r>
        <w:rPr>
          <w:rFonts w:hint="eastAsia" w:eastAsia="黑体"/>
          <w:color w:val="auto"/>
          <w:sz w:val="30"/>
          <w:szCs w:val="30"/>
          <w:highlight w:val="none"/>
        </w:rPr>
        <w:t>7</w:t>
      </w:r>
      <w:r>
        <w:rPr>
          <w:rFonts w:ascii="宋体" w:hAnsi="宋体"/>
          <w:color w:val="auto"/>
          <w:szCs w:val="24"/>
          <w:highlight w:val="none"/>
        </w:rPr>
        <w:t xml:space="preserve"> </w:t>
      </w:r>
      <w:bookmarkEnd w:id="248"/>
      <w:bookmarkEnd w:id="249"/>
      <w:bookmarkEnd w:id="250"/>
      <w:bookmarkEnd w:id="251"/>
      <w:bookmarkEnd w:id="252"/>
      <w:bookmarkEnd w:id="253"/>
      <w:r>
        <w:rPr>
          <w:rFonts w:hint="eastAsia" w:ascii="宋体" w:hAnsi="宋体" w:eastAsia="宋体"/>
          <w:color w:val="auto"/>
          <w:szCs w:val="24"/>
          <w:highlight w:val="none"/>
          <w:lang w:val="en-US" w:eastAsia="zh-CN"/>
        </w:rPr>
        <w:t xml:space="preserve"> </w:t>
      </w:r>
      <w:r>
        <w:rPr>
          <w:rFonts w:hint="eastAsia" w:ascii="黑体" w:hAnsi="黑体" w:eastAsia="黑体" w:cs="黑体"/>
          <w:b w:val="0"/>
          <w:bCs w:val="0"/>
          <w:color w:val="auto"/>
          <w:sz w:val="30"/>
          <w:szCs w:val="30"/>
          <w:highlight w:val="none"/>
          <w:lang w:val="en-US"/>
        </w:rPr>
        <w:t>装修与</w:t>
      </w:r>
      <w:r>
        <w:rPr>
          <w:rFonts w:hint="eastAsia" w:ascii="黑体" w:hAnsi="黑体" w:eastAsia="黑体" w:cs="黑体"/>
          <w:b w:val="0"/>
          <w:bCs w:val="0"/>
          <w:color w:val="auto"/>
          <w:sz w:val="30"/>
          <w:szCs w:val="30"/>
          <w:highlight w:val="none"/>
          <w:lang w:val="en-US" w:eastAsia="zh-CN"/>
        </w:rPr>
        <w:t>设备</w:t>
      </w:r>
      <w:r>
        <w:rPr>
          <w:rFonts w:hint="eastAsia" w:ascii="黑体" w:hAnsi="黑体" w:eastAsia="黑体" w:cs="黑体"/>
          <w:b w:val="0"/>
          <w:bCs w:val="0"/>
          <w:color w:val="auto"/>
          <w:sz w:val="30"/>
          <w:szCs w:val="30"/>
          <w:highlight w:val="none"/>
          <w:lang w:val="en-US"/>
        </w:rPr>
        <w:t>管线设计</w:t>
      </w:r>
      <w:bookmarkEnd w:id="254"/>
      <w:bookmarkEnd w:id="255"/>
    </w:p>
    <w:p w14:paraId="3A196E25">
      <w:pPr>
        <w:pStyle w:val="3"/>
        <w:rPr>
          <w:rFonts w:hint="default" w:ascii="黑体" w:hAnsi="黑体" w:eastAsia="黑体" w:cs="Times New Roman"/>
          <w:b w:val="0"/>
          <w:color w:val="auto"/>
          <w:kern w:val="44"/>
          <w:szCs w:val="28"/>
          <w:highlight w:val="none"/>
          <w:lang w:val="en-US" w:eastAsia="zh-CN"/>
        </w:rPr>
      </w:pPr>
      <w:bookmarkStart w:id="256" w:name="_Toc5061"/>
      <w:bookmarkStart w:id="257" w:name="_Toc11937"/>
      <w:bookmarkStart w:id="258" w:name="_Toc177840571"/>
      <w:bookmarkStart w:id="259" w:name="_Toc180613540"/>
      <w:bookmarkStart w:id="260" w:name="_Toc17243"/>
      <w:bookmarkStart w:id="261" w:name="_Toc21432"/>
      <w:bookmarkStart w:id="262" w:name="_Toc177840179"/>
      <w:bookmarkStart w:id="263" w:name="_Toc2381"/>
      <w:r>
        <w:rPr>
          <w:rFonts w:hint="eastAsia" w:cs="Times New Roman"/>
          <w:bCs/>
          <w:color w:val="auto"/>
          <w:kern w:val="44"/>
          <w:szCs w:val="28"/>
          <w:highlight w:val="none"/>
          <w:lang w:val="en-US" w:eastAsia="zh-CN"/>
        </w:rPr>
        <w:t>7</w:t>
      </w:r>
      <w:r>
        <w:rPr>
          <w:rFonts w:cs="Times New Roman"/>
          <w:bCs/>
          <w:color w:val="auto"/>
          <w:kern w:val="44"/>
          <w:szCs w:val="28"/>
          <w:highlight w:val="none"/>
          <w:lang w:val="zh-CN"/>
        </w:rPr>
        <w:t>.</w:t>
      </w:r>
      <w:r>
        <w:rPr>
          <w:rFonts w:hint="eastAsia" w:cs="Times New Roman"/>
          <w:bCs/>
          <w:color w:val="auto"/>
          <w:kern w:val="44"/>
          <w:szCs w:val="28"/>
          <w:highlight w:val="none"/>
          <w:lang w:val="en-US" w:eastAsia="zh-CN"/>
        </w:rPr>
        <w:t>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cs="Times New Roman"/>
          <w:b w:val="0"/>
          <w:color w:val="auto"/>
          <w:kern w:val="44"/>
          <w:szCs w:val="28"/>
          <w:highlight w:val="none"/>
          <w:lang w:val="en-US" w:eastAsia="zh-CN"/>
        </w:rPr>
        <w:t>一般规定</w:t>
      </w:r>
    </w:p>
    <w:p w14:paraId="54F67943">
      <w:pPr>
        <w:snapToGrid w:val="0"/>
        <w:spacing w:line="300" w:lineRule="auto"/>
        <w:rPr>
          <w:rFonts w:hint="eastAsia" w:ascii="宋体" w:hAnsi="宋体" w:eastAsia="宋体" w:cs="宋体"/>
          <w:b w:val="0"/>
          <w:bCs w:val="0"/>
          <w:snapToGrid w:val="0"/>
          <w:color w:val="auto"/>
          <w:kern w:val="0"/>
          <w:sz w:val="24"/>
          <w:szCs w:val="24"/>
          <w:highlight w:val="none"/>
          <w:lang w:val="zh-CN" w:eastAsia="zh-CN"/>
        </w:rPr>
      </w:pPr>
      <w:r>
        <w:rPr>
          <w:rFonts w:hint="eastAsia"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zh-CN" w:eastAsia="zh-CN"/>
        </w:rPr>
        <w:t>1</w:t>
      </w:r>
      <w:r>
        <w:rPr>
          <w:rFonts w:hint="eastAsia" w:cs="Times New Roman"/>
          <w:b/>
          <w:bCs/>
          <w:snapToGrid w:val="0"/>
          <w:color w:val="auto"/>
          <w:kern w:val="0"/>
          <w:sz w:val="20"/>
          <w:szCs w:val="20"/>
          <w:highlight w:val="none"/>
          <w:lang w:val="en-US" w:eastAsia="zh-CN"/>
        </w:rPr>
        <w:t>.</w:t>
      </w:r>
      <w:r>
        <w:rPr>
          <w:rFonts w:hint="eastAsia" w:cs="Times New Roman"/>
          <w:b/>
          <w:bCs/>
          <w:snapToGrid w:val="0"/>
          <w:color w:val="auto"/>
          <w:kern w:val="0"/>
          <w:sz w:val="20"/>
          <w:szCs w:val="20"/>
          <w:highlight w:val="none"/>
          <w:lang w:val="zh-CN"/>
        </w:rPr>
        <w:t>1</w:t>
      </w:r>
      <w:r>
        <w:rPr>
          <w:rFonts w:hint="eastAsia" w:ascii="宋体" w:hAnsi="宋体" w:eastAsia="宋体" w:cs="宋体"/>
          <w:b w:val="0"/>
          <w:bCs w:val="0"/>
          <w:snapToGrid w:val="0"/>
          <w:color w:val="auto"/>
          <w:kern w:val="0"/>
          <w:sz w:val="24"/>
          <w:szCs w:val="24"/>
          <w:highlight w:val="none"/>
          <w:lang w:val="zh-CN" w:eastAsia="zh-CN"/>
        </w:rPr>
        <w:t xml:space="preserve"> </w:t>
      </w:r>
      <w:r>
        <w:rPr>
          <w:rFonts w:hint="eastAsia" w:ascii="宋体" w:hAnsi="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val="zh-CN" w:eastAsia="zh-CN"/>
        </w:rPr>
        <w:t>模块化建筑</w:t>
      </w:r>
      <w:r>
        <w:rPr>
          <w:rFonts w:hint="eastAsia" w:ascii="宋体" w:hAnsi="宋体" w:eastAsia="宋体" w:cs="宋体"/>
          <w:b w:val="0"/>
          <w:bCs w:val="0"/>
          <w:snapToGrid w:val="0"/>
          <w:color w:val="auto"/>
          <w:kern w:val="0"/>
          <w:sz w:val="24"/>
          <w:szCs w:val="24"/>
          <w:highlight w:val="none"/>
          <w:lang w:val="en-US" w:eastAsia="zh-CN"/>
        </w:rPr>
        <w:t>的</w:t>
      </w:r>
      <w:r>
        <w:rPr>
          <w:rFonts w:hint="eastAsia" w:ascii="宋体" w:hAnsi="宋体" w:eastAsia="宋体" w:cs="宋体"/>
          <w:b w:val="0"/>
          <w:bCs w:val="0"/>
          <w:snapToGrid w:val="0"/>
          <w:color w:val="auto"/>
          <w:kern w:val="0"/>
          <w:sz w:val="24"/>
          <w:szCs w:val="24"/>
          <w:highlight w:val="none"/>
          <w:lang w:val="zh-CN" w:eastAsia="zh-CN"/>
        </w:rPr>
        <w:t>预留预埋设计应符合</w:t>
      </w:r>
      <w:r>
        <w:rPr>
          <w:rFonts w:hint="eastAsia" w:ascii="宋体" w:hAnsi="宋体" w:eastAsia="宋体" w:cs="宋体"/>
          <w:b w:val="0"/>
          <w:bCs w:val="0"/>
          <w:snapToGrid w:val="0"/>
          <w:color w:val="auto"/>
          <w:kern w:val="0"/>
          <w:sz w:val="24"/>
          <w:szCs w:val="24"/>
          <w:highlight w:val="none"/>
          <w:lang w:val="en-US" w:eastAsia="zh-CN"/>
        </w:rPr>
        <w:t>下</w:t>
      </w:r>
      <w:r>
        <w:rPr>
          <w:rFonts w:hint="eastAsia" w:ascii="宋体" w:hAnsi="宋体" w:eastAsia="宋体" w:cs="宋体"/>
          <w:b w:val="0"/>
          <w:bCs w:val="0"/>
          <w:snapToGrid w:val="0"/>
          <w:color w:val="auto"/>
          <w:kern w:val="0"/>
          <w:sz w:val="24"/>
          <w:szCs w:val="24"/>
          <w:highlight w:val="none"/>
          <w:lang w:val="zh-CN" w:eastAsia="zh-CN"/>
        </w:rPr>
        <w:t>列规定：</w:t>
      </w:r>
    </w:p>
    <w:p w14:paraId="3C77FC4C">
      <w:pPr>
        <w:snapToGrid w:val="0"/>
        <w:spacing w:line="300" w:lineRule="auto"/>
        <w:ind w:firstLine="480" w:firstLineChars="200"/>
        <w:rPr>
          <w:rFonts w:hint="default" w:cs="Times New Roman"/>
          <w:color w:val="auto"/>
          <w:kern w:val="0"/>
          <w:szCs w:val="24"/>
          <w:highlight w:val="none"/>
          <w:lang w:val="zh-CN"/>
        </w:rPr>
      </w:pPr>
      <w:r>
        <w:rPr>
          <w:rFonts w:hint="eastAsia" w:cs="Times New Roman"/>
          <w:color w:val="auto"/>
          <w:kern w:val="0"/>
          <w:szCs w:val="24"/>
          <w:highlight w:val="none"/>
          <w:lang w:val="en-US" w:eastAsia="zh-CN"/>
        </w:rPr>
        <w:t xml:space="preserve">1  </w:t>
      </w:r>
      <w:r>
        <w:rPr>
          <w:rFonts w:hint="default" w:cs="Times New Roman"/>
          <w:color w:val="auto"/>
          <w:kern w:val="0"/>
          <w:szCs w:val="24"/>
          <w:highlight w:val="none"/>
          <w:lang w:val="zh-CN"/>
        </w:rPr>
        <w:t>混凝土模块中电气接口及吊挂配件的孔洞、沟槽应根据装修和设备要求预留</w:t>
      </w:r>
      <w:r>
        <w:rPr>
          <w:rFonts w:hint="eastAsia" w:cs="Times New Roman"/>
          <w:color w:val="auto"/>
          <w:kern w:val="0"/>
          <w:szCs w:val="24"/>
          <w:highlight w:val="none"/>
          <w:lang w:val="zh-CN"/>
        </w:rPr>
        <w:t>；</w:t>
      </w:r>
    </w:p>
    <w:p w14:paraId="1F90EDBE">
      <w:pPr>
        <w:snapToGrid w:val="0"/>
        <w:spacing w:line="300" w:lineRule="auto"/>
        <w:ind w:firstLine="480" w:firstLineChars="200"/>
        <w:rPr>
          <w:rFonts w:hint="default" w:cs="Times New Roman"/>
          <w:color w:val="auto"/>
          <w:kern w:val="0"/>
          <w:szCs w:val="24"/>
          <w:highlight w:val="none"/>
          <w:lang w:val="zh-CN"/>
        </w:rPr>
      </w:pPr>
      <w:r>
        <w:rPr>
          <w:rFonts w:hint="default" w:cs="Times New Roman"/>
          <w:color w:val="auto"/>
          <w:kern w:val="0"/>
          <w:szCs w:val="24"/>
          <w:highlight w:val="none"/>
          <w:lang w:val="zh-CN"/>
        </w:rPr>
        <w:t>2</w:t>
      </w:r>
      <w:r>
        <w:rPr>
          <w:rFonts w:hint="eastAsia" w:cs="Times New Roman"/>
          <w:b w:val="0"/>
          <w:bCs w:val="0"/>
          <w:snapToGrid/>
          <w:color w:val="auto"/>
          <w:kern w:val="0"/>
          <w:sz w:val="24"/>
          <w:szCs w:val="24"/>
          <w:highlight w:val="none"/>
          <w:lang w:val="en-US" w:eastAsia="zh-CN"/>
        </w:rPr>
        <w:t xml:space="preserve">  </w:t>
      </w:r>
      <w:r>
        <w:rPr>
          <w:rFonts w:hint="default" w:cs="Times New Roman"/>
          <w:color w:val="auto"/>
          <w:kern w:val="0"/>
          <w:szCs w:val="24"/>
          <w:highlight w:val="none"/>
          <w:lang w:val="zh-CN"/>
        </w:rPr>
        <w:t>应在设备管线穿过楼板的部位预留孔洞或预埋套管，并采取防水、防火、隔声等措施</w:t>
      </w:r>
      <w:r>
        <w:rPr>
          <w:rFonts w:hint="eastAsia" w:cs="Times New Roman"/>
          <w:color w:val="auto"/>
          <w:kern w:val="0"/>
          <w:szCs w:val="24"/>
          <w:highlight w:val="none"/>
          <w:lang w:val="zh-CN"/>
        </w:rPr>
        <w:t>。</w:t>
      </w:r>
    </w:p>
    <w:p w14:paraId="659A066C">
      <w:pPr>
        <w:snapToGrid w:val="0"/>
        <w:spacing w:line="300" w:lineRule="auto"/>
        <w:ind w:firstLine="480" w:firstLineChars="200"/>
        <w:rPr>
          <w:rFonts w:hint="default" w:cs="Times New Roman"/>
          <w:color w:val="auto"/>
          <w:kern w:val="0"/>
          <w:szCs w:val="24"/>
          <w:highlight w:val="none"/>
          <w:lang w:val="zh-CN"/>
        </w:rPr>
      </w:pPr>
      <w:r>
        <w:rPr>
          <w:rFonts w:hint="default" w:cs="Times New Roman"/>
          <w:color w:val="auto"/>
          <w:kern w:val="0"/>
          <w:szCs w:val="24"/>
          <w:highlight w:val="none"/>
          <w:lang w:val="zh-CN"/>
        </w:rPr>
        <w:t>3</w:t>
      </w:r>
      <w:r>
        <w:rPr>
          <w:rFonts w:hint="eastAsia" w:cs="Times New Roman"/>
          <w:b w:val="0"/>
          <w:bCs w:val="0"/>
          <w:snapToGrid/>
          <w:color w:val="auto"/>
          <w:kern w:val="0"/>
          <w:sz w:val="24"/>
          <w:szCs w:val="24"/>
          <w:highlight w:val="none"/>
          <w:lang w:val="en-US" w:eastAsia="zh-CN"/>
        </w:rPr>
        <w:t xml:space="preserve">  </w:t>
      </w:r>
      <w:r>
        <w:rPr>
          <w:rFonts w:hint="default" w:cs="Times New Roman"/>
          <w:color w:val="auto"/>
          <w:kern w:val="0"/>
          <w:szCs w:val="24"/>
          <w:highlight w:val="none"/>
          <w:lang w:val="zh-CN"/>
        </w:rPr>
        <w:t>建筑的部件之间、部件与设备之间的连接应采用标准化接口</w:t>
      </w:r>
      <w:r>
        <w:rPr>
          <w:rFonts w:hint="eastAsia" w:cs="Times New Roman"/>
          <w:color w:val="auto"/>
          <w:kern w:val="0"/>
          <w:szCs w:val="24"/>
          <w:highlight w:val="none"/>
          <w:lang w:val="zh-CN"/>
        </w:rPr>
        <w:t>；</w:t>
      </w:r>
    </w:p>
    <w:p w14:paraId="6C7BABBF">
      <w:pPr>
        <w:snapToGrid w:val="0"/>
        <w:spacing w:line="300" w:lineRule="auto"/>
        <w:ind w:firstLine="480" w:firstLineChars="200"/>
        <w:rPr>
          <w:rFonts w:hint="eastAsia" w:cs="Times New Roman"/>
          <w:color w:val="auto"/>
          <w:kern w:val="0"/>
          <w:szCs w:val="24"/>
          <w:highlight w:val="none"/>
          <w:lang w:val="en-US"/>
        </w:rPr>
      </w:pPr>
      <w:r>
        <w:rPr>
          <w:rFonts w:hint="default" w:cs="Times New Roman"/>
          <w:color w:val="auto"/>
          <w:kern w:val="0"/>
          <w:szCs w:val="24"/>
          <w:highlight w:val="none"/>
          <w:lang w:val="zh-CN"/>
        </w:rPr>
        <w:t>4</w:t>
      </w:r>
      <w:r>
        <w:rPr>
          <w:rFonts w:hint="eastAsia" w:cs="Times New Roman"/>
          <w:b w:val="0"/>
          <w:bCs w:val="0"/>
          <w:snapToGrid/>
          <w:color w:val="auto"/>
          <w:kern w:val="0"/>
          <w:sz w:val="24"/>
          <w:szCs w:val="24"/>
          <w:highlight w:val="none"/>
          <w:lang w:val="en-US" w:eastAsia="zh-CN"/>
        </w:rPr>
        <w:t xml:space="preserve">  </w:t>
      </w:r>
      <w:r>
        <w:rPr>
          <w:rFonts w:hint="default" w:cs="Times New Roman"/>
          <w:color w:val="auto"/>
          <w:kern w:val="0"/>
          <w:szCs w:val="24"/>
          <w:highlight w:val="none"/>
          <w:lang w:val="zh-CN"/>
        </w:rPr>
        <w:t>设备管线与混凝土模块预埋件的连接应合理确定连接方式及接口形式，并预留相应的安装条件。</w:t>
      </w:r>
    </w:p>
    <w:p w14:paraId="7E7DC32B">
      <w:pPr>
        <w:snapToGrid w:val="0"/>
        <w:spacing w:line="300" w:lineRule="auto"/>
        <w:rPr>
          <w:rFonts w:hint="default" w:cs="Times New Roman"/>
          <w:color w:val="auto"/>
          <w:kern w:val="0"/>
          <w:szCs w:val="24"/>
          <w:highlight w:val="none"/>
          <w:lang w:val="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1</w:t>
      </w:r>
      <w:r>
        <w:rPr>
          <w:rFonts w:hint="default" w:cs="Times New Roman"/>
          <w:b/>
          <w:bCs/>
          <w:snapToGrid w:val="0"/>
          <w:color w:val="auto"/>
          <w:kern w:val="0"/>
          <w:sz w:val="20"/>
          <w:szCs w:val="20"/>
          <w:highlight w:val="none"/>
          <w:lang w:val="zh-CN" w:eastAsia="zh-CN"/>
        </w:rPr>
        <w:t>.</w:t>
      </w:r>
      <w:r>
        <w:rPr>
          <w:rFonts w:hint="eastAsia" w:cs="Times New Roman"/>
          <w:b/>
          <w:bCs/>
          <w:snapToGrid w:val="0"/>
          <w:color w:val="auto"/>
          <w:kern w:val="0"/>
          <w:sz w:val="20"/>
          <w:szCs w:val="20"/>
          <w:highlight w:val="none"/>
          <w:lang w:val="en-US" w:eastAsia="zh-CN"/>
        </w:rPr>
        <w:t>2</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卫生间及厨房</w:t>
      </w:r>
      <w:r>
        <w:rPr>
          <w:rFonts w:hint="eastAsia" w:cs="Times New Roman"/>
          <w:color w:val="auto"/>
          <w:kern w:val="0"/>
          <w:szCs w:val="24"/>
          <w:highlight w:val="none"/>
          <w:lang w:val="en-US" w:eastAsia="zh-CN"/>
        </w:rPr>
        <w:t>同步</w:t>
      </w:r>
      <w:r>
        <w:rPr>
          <w:rFonts w:hint="default" w:cs="Times New Roman"/>
          <w:color w:val="auto"/>
          <w:kern w:val="0"/>
          <w:szCs w:val="24"/>
          <w:highlight w:val="none"/>
          <w:lang w:val="zh-CN"/>
        </w:rPr>
        <w:t>安装</w:t>
      </w:r>
      <w:r>
        <w:rPr>
          <w:rFonts w:hint="eastAsia" w:cs="Times New Roman"/>
          <w:color w:val="auto"/>
          <w:kern w:val="0"/>
          <w:szCs w:val="24"/>
          <w:highlight w:val="none"/>
          <w:lang w:val="en-US" w:eastAsia="zh-CN"/>
        </w:rPr>
        <w:t>时</w:t>
      </w:r>
      <w:r>
        <w:rPr>
          <w:rFonts w:hint="default" w:cs="Times New Roman"/>
          <w:color w:val="auto"/>
          <w:kern w:val="0"/>
          <w:szCs w:val="24"/>
          <w:highlight w:val="none"/>
          <w:lang w:val="zh-CN"/>
        </w:rPr>
        <w:t>宜采用管线分离技术，管线分离设计应符合《装配式混凝土建筑技术标准》GB/T 51231规定。</w:t>
      </w:r>
    </w:p>
    <w:p w14:paraId="1A53A20C">
      <w:pPr>
        <w:snapToGrid w:val="0"/>
        <w:spacing w:line="300" w:lineRule="auto"/>
        <w:rPr>
          <w:rFonts w:hint="eastAsia" w:cs="Times New Roman"/>
          <w:color w:val="auto"/>
          <w:kern w:val="0"/>
          <w:szCs w:val="24"/>
          <w:highlight w:val="none"/>
          <w:lang w:val="en-US" w:eastAsia="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1</w:t>
      </w:r>
      <w:r>
        <w:rPr>
          <w:rFonts w:hint="default" w:cs="Times New Roman"/>
          <w:b/>
          <w:bCs/>
          <w:snapToGrid w:val="0"/>
          <w:color w:val="auto"/>
          <w:kern w:val="0"/>
          <w:sz w:val="20"/>
          <w:szCs w:val="20"/>
          <w:highlight w:val="none"/>
          <w:lang w:val="zh-CN" w:eastAsia="zh-CN"/>
        </w:rPr>
        <w:t>.</w:t>
      </w:r>
      <w:r>
        <w:rPr>
          <w:rFonts w:hint="eastAsia" w:cs="Times New Roman"/>
          <w:b/>
          <w:bCs/>
          <w:snapToGrid w:val="0"/>
          <w:color w:val="auto"/>
          <w:kern w:val="0"/>
          <w:sz w:val="20"/>
          <w:szCs w:val="20"/>
          <w:highlight w:val="none"/>
          <w:lang w:val="en-US" w:eastAsia="zh-CN"/>
        </w:rPr>
        <w:t>3</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混凝土模块建筑与市政管线接驳前应核对市政给水、排水、供电、燃气、通信等管线的位置、标高、规格及接口参数</w:t>
      </w:r>
      <w:r>
        <w:rPr>
          <w:rFonts w:hint="eastAsia" w:cs="Times New Roman"/>
          <w:color w:val="auto"/>
          <w:kern w:val="0"/>
          <w:szCs w:val="24"/>
          <w:highlight w:val="none"/>
        </w:rPr>
        <w:t>。</w:t>
      </w:r>
    </w:p>
    <w:p w14:paraId="6408DEE6">
      <w:pPr>
        <w:pStyle w:val="3"/>
        <w:rPr>
          <w:rFonts w:hint="default" w:cs="Times New Roman"/>
          <w:bCs/>
          <w:color w:val="auto"/>
          <w:kern w:val="44"/>
          <w:szCs w:val="28"/>
          <w:highlight w:val="none"/>
        </w:rPr>
      </w:pPr>
      <w:r>
        <w:rPr>
          <w:rFonts w:hint="eastAsia" w:cs="Times New Roman"/>
          <w:bCs/>
          <w:color w:val="auto"/>
          <w:kern w:val="44"/>
          <w:szCs w:val="28"/>
          <w:highlight w:val="none"/>
          <w:lang w:val="en-US" w:eastAsia="zh-CN"/>
        </w:rPr>
        <w:t xml:space="preserve">7.2  </w:t>
      </w:r>
      <w:r>
        <w:rPr>
          <w:rFonts w:hint="eastAsia" w:cs="Times New Roman"/>
          <w:b w:val="0"/>
          <w:bCs w:val="0"/>
          <w:color w:val="auto"/>
          <w:kern w:val="44"/>
          <w:szCs w:val="28"/>
          <w:highlight w:val="none"/>
          <w:lang w:val="en-US" w:eastAsia="zh-CN"/>
        </w:rPr>
        <w:t>装修设计</w:t>
      </w:r>
    </w:p>
    <w:p w14:paraId="13B896EE">
      <w:pPr>
        <w:snapToGrid w:val="0"/>
        <w:spacing w:line="300" w:lineRule="auto"/>
        <w:rPr>
          <w:rFonts w:hint="eastAsia" w:cs="Times New Roman"/>
          <w:color w:val="auto"/>
          <w:kern w:val="0"/>
          <w:szCs w:val="24"/>
          <w:highlight w:val="none"/>
          <w:lang w:val="en-US" w:eastAsia="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2</w:t>
      </w:r>
      <w:r>
        <w:rPr>
          <w:rFonts w:hint="default" w:cs="Times New Roman"/>
          <w:b/>
          <w:bCs/>
          <w:snapToGrid w:val="0"/>
          <w:color w:val="auto"/>
          <w:kern w:val="0"/>
          <w:sz w:val="20"/>
          <w:szCs w:val="20"/>
          <w:highlight w:val="none"/>
          <w:lang w:val="zh-CN" w:eastAsia="zh-CN"/>
        </w:rPr>
        <w:t>.</w:t>
      </w:r>
      <w:r>
        <w:rPr>
          <w:rFonts w:hint="eastAsia" w:cs="Times New Roman"/>
          <w:b/>
          <w:bCs/>
          <w:snapToGrid w:val="0"/>
          <w:color w:val="auto"/>
          <w:kern w:val="0"/>
          <w:sz w:val="20"/>
          <w:szCs w:val="20"/>
          <w:highlight w:val="none"/>
          <w:lang w:val="en-US" w:eastAsia="zh-CN"/>
        </w:rPr>
        <w:t xml:space="preserve">1  </w:t>
      </w:r>
      <w:r>
        <w:rPr>
          <w:rFonts w:hint="eastAsia" w:ascii="宋体" w:hAnsi="宋体" w:cs="宋体"/>
          <w:b w:val="0"/>
          <w:bCs w:val="0"/>
          <w:snapToGrid w:val="0"/>
          <w:color w:val="auto"/>
          <w:kern w:val="0"/>
          <w:sz w:val="24"/>
          <w:szCs w:val="24"/>
          <w:highlight w:val="none"/>
          <w:lang w:val="zh-CN" w:eastAsia="zh-CN"/>
        </w:rPr>
        <w:t>模块化建筑</w:t>
      </w:r>
      <w:r>
        <w:rPr>
          <w:rFonts w:hint="eastAsia" w:ascii="宋体" w:hAnsi="宋体" w:cs="宋体"/>
          <w:b w:val="0"/>
          <w:bCs w:val="0"/>
          <w:snapToGrid w:val="0"/>
          <w:color w:val="auto"/>
          <w:kern w:val="0"/>
          <w:sz w:val="24"/>
          <w:szCs w:val="24"/>
          <w:highlight w:val="none"/>
          <w:lang w:val="en-US" w:eastAsia="zh-CN"/>
        </w:rPr>
        <w:t>的</w:t>
      </w:r>
      <w:r>
        <w:rPr>
          <w:rFonts w:hint="default" w:ascii="宋体" w:hAnsi="宋体" w:cs="宋体"/>
          <w:snapToGrid w:val="0"/>
          <w:color w:val="auto"/>
          <w:kern w:val="0"/>
          <w:szCs w:val="24"/>
          <w:highlight w:val="none"/>
          <w:lang w:val="zh-CN"/>
        </w:rPr>
        <w:t>内</w:t>
      </w:r>
      <w:r>
        <w:rPr>
          <w:rFonts w:hint="default" w:cs="Times New Roman"/>
          <w:color w:val="auto"/>
          <w:kern w:val="0"/>
          <w:szCs w:val="24"/>
          <w:highlight w:val="none"/>
          <w:lang w:val="zh-CN"/>
        </w:rPr>
        <w:t>装部品</w:t>
      </w:r>
      <w:r>
        <w:rPr>
          <w:rFonts w:hint="eastAsia" w:cs="Times New Roman"/>
          <w:color w:val="auto"/>
          <w:kern w:val="0"/>
          <w:szCs w:val="24"/>
          <w:highlight w:val="none"/>
          <w:lang w:val="en-US" w:eastAsia="zh-CN"/>
        </w:rPr>
        <w:t>设计应符合下列规定：</w:t>
      </w:r>
    </w:p>
    <w:p w14:paraId="4292FA48">
      <w:pPr>
        <w:snapToGrid w:val="0"/>
        <w:spacing w:line="300" w:lineRule="auto"/>
        <w:ind w:firstLine="480" w:firstLineChars="200"/>
        <w:rPr>
          <w:rFonts w:hint="default" w:cs="Times New Roman"/>
          <w:color w:val="auto"/>
          <w:kern w:val="0"/>
          <w:szCs w:val="24"/>
          <w:highlight w:val="none"/>
          <w:lang w:val="zh-CN"/>
        </w:rPr>
      </w:pPr>
      <w:r>
        <w:rPr>
          <w:rFonts w:hint="eastAsia" w:cs="Times New Roman"/>
          <w:color w:val="auto"/>
          <w:kern w:val="0"/>
          <w:szCs w:val="24"/>
          <w:highlight w:val="none"/>
          <w:lang w:val="en-US" w:eastAsia="zh-CN"/>
        </w:rPr>
        <w:t xml:space="preserve">1  </w:t>
      </w:r>
      <w:r>
        <w:rPr>
          <w:rFonts w:hint="default" w:cs="Times New Roman"/>
          <w:color w:val="auto"/>
          <w:kern w:val="0"/>
          <w:szCs w:val="24"/>
          <w:highlight w:val="none"/>
          <w:lang w:val="zh-CN"/>
        </w:rPr>
        <w:t>应与室内管线进行集成设计，并应满足干式工法的要求</w:t>
      </w:r>
      <w:r>
        <w:rPr>
          <w:rFonts w:hint="eastAsia" w:cs="Times New Roman"/>
          <w:color w:val="auto"/>
          <w:kern w:val="0"/>
          <w:szCs w:val="24"/>
          <w:highlight w:val="none"/>
          <w:lang w:val="zh-CN"/>
        </w:rPr>
        <w:t>；</w:t>
      </w:r>
    </w:p>
    <w:p w14:paraId="2B98DA04">
      <w:pPr>
        <w:snapToGrid w:val="0"/>
        <w:spacing w:line="300" w:lineRule="auto"/>
        <w:ind w:firstLine="480" w:firstLineChars="200"/>
        <w:rPr>
          <w:rFonts w:hint="eastAsia" w:cs="Times New Roman"/>
          <w:color w:val="auto"/>
          <w:kern w:val="0"/>
          <w:szCs w:val="24"/>
          <w:highlight w:val="none"/>
          <w:lang w:val="zh-CN"/>
        </w:rPr>
      </w:pPr>
      <w:r>
        <w:rPr>
          <w:rFonts w:hint="eastAsia" w:cs="Times New Roman"/>
          <w:b w:val="0"/>
          <w:bCs w:val="0"/>
          <w:snapToGrid/>
          <w:color w:val="auto"/>
          <w:kern w:val="0"/>
          <w:sz w:val="24"/>
          <w:szCs w:val="24"/>
          <w:highlight w:val="none"/>
          <w:lang w:val="en-US" w:eastAsia="zh-CN"/>
        </w:rPr>
        <w:t>2</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内装部品应具有通用性和互换性</w:t>
      </w:r>
      <w:r>
        <w:rPr>
          <w:rFonts w:hint="eastAsia" w:cs="Times New Roman"/>
          <w:color w:val="auto"/>
          <w:kern w:val="0"/>
          <w:szCs w:val="24"/>
          <w:highlight w:val="none"/>
          <w:lang w:val="zh-CN"/>
        </w:rPr>
        <w:t>；</w:t>
      </w:r>
    </w:p>
    <w:p w14:paraId="47690A00">
      <w:pPr>
        <w:snapToGrid w:val="0"/>
        <w:spacing w:line="300" w:lineRule="auto"/>
        <w:ind w:firstLine="480" w:firstLineChars="200"/>
        <w:rPr>
          <w:rFonts w:hint="eastAsia" w:cs="Times New Roman"/>
          <w:color w:val="auto"/>
          <w:kern w:val="0"/>
          <w:szCs w:val="24"/>
          <w:highlight w:val="none"/>
          <w:lang w:val="zh-CN"/>
        </w:rPr>
      </w:pPr>
      <w:r>
        <w:rPr>
          <w:rFonts w:hint="eastAsia" w:cs="Times New Roman"/>
          <w:b w:val="0"/>
          <w:bCs w:val="0"/>
          <w:snapToGrid/>
          <w:color w:val="auto"/>
          <w:kern w:val="0"/>
          <w:sz w:val="24"/>
          <w:szCs w:val="24"/>
          <w:highlight w:val="none"/>
          <w:lang w:val="en-US" w:eastAsia="zh-CN"/>
        </w:rPr>
        <w:t>3</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隔墙内预留有电气设备时，应采取有效措施满足隔声及防火的要求。</w:t>
      </w:r>
    </w:p>
    <w:p w14:paraId="38083E28">
      <w:pPr>
        <w:snapToGrid w:val="0"/>
        <w:spacing w:line="300" w:lineRule="auto"/>
        <w:rPr>
          <w:rFonts w:hint="default" w:cs="Times New Roman"/>
          <w:bCs/>
          <w:color w:val="auto"/>
          <w:kern w:val="44"/>
          <w:szCs w:val="28"/>
          <w:highlight w:val="none"/>
          <w:lang w:val="en-US"/>
        </w:rPr>
      </w:pPr>
      <w:r>
        <w:rPr>
          <w:rFonts w:hint="default" w:cs="Times New Roman"/>
          <w:b/>
          <w:bCs/>
          <w:snapToGrid w:val="0"/>
          <w:color w:val="auto"/>
          <w:kern w:val="0"/>
          <w:sz w:val="20"/>
          <w:szCs w:val="20"/>
          <w:highlight w:val="none"/>
          <w:lang w:val="zh-CN" w:eastAsia="zh-CN"/>
        </w:rPr>
        <w:t>7.2.2</w:t>
      </w:r>
      <w:r>
        <w:rPr>
          <w:rFonts w:hint="eastAsia" w:cs="Times New Roman"/>
          <w:color w:val="auto"/>
          <w:kern w:val="0"/>
          <w:szCs w:val="24"/>
          <w:highlight w:val="none"/>
          <w:lang w:val="en-US" w:eastAsia="zh-CN"/>
        </w:rPr>
        <w:t xml:space="preserve">  </w:t>
      </w:r>
      <w:r>
        <w:rPr>
          <w:rFonts w:hint="eastAsia" w:ascii="宋体" w:hAnsi="宋体" w:cs="宋体"/>
          <w:b w:val="0"/>
          <w:bCs w:val="0"/>
          <w:snapToGrid w:val="0"/>
          <w:color w:val="auto"/>
          <w:kern w:val="0"/>
          <w:sz w:val="24"/>
          <w:szCs w:val="24"/>
          <w:highlight w:val="none"/>
          <w:lang w:val="zh-CN" w:eastAsia="zh-CN"/>
        </w:rPr>
        <w:t>模块化建筑</w:t>
      </w:r>
      <w:r>
        <w:rPr>
          <w:rFonts w:hint="eastAsia" w:ascii="宋体" w:hAnsi="宋体" w:cs="宋体"/>
          <w:b w:val="0"/>
          <w:bCs w:val="0"/>
          <w:snapToGrid w:val="0"/>
          <w:color w:val="auto"/>
          <w:kern w:val="0"/>
          <w:sz w:val="24"/>
          <w:szCs w:val="24"/>
          <w:highlight w:val="none"/>
          <w:lang w:val="en-US" w:eastAsia="zh-CN"/>
        </w:rPr>
        <w:t>的</w:t>
      </w:r>
      <w:r>
        <w:rPr>
          <w:rFonts w:hint="eastAsia" w:cs="Times New Roman"/>
          <w:bCs/>
          <w:color w:val="auto"/>
          <w:kern w:val="44"/>
          <w:szCs w:val="28"/>
          <w:highlight w:val="none"/>
          <w:lang w:val="en-US" w:eastAsia="zh-CN"/>
        </w:rPr>
        <w:t>厨房设计应符合下列规定：</w:t>
      </w:r>
    </w:p>
    <w:p w14:paraId="2B46C914">
      <w:pPr>
        <w:snapToGrid w:val="0"/>
        <w:spacing w:line="300" w:lineRule="auto"/>
        <w:ind w:firstLine="480" w:firstLineChars="200"/>
        <w:rPr>
          <w:rFonts w:hint="eastAsia" w:cs="Times New Roman"/>
          <w:color w:val="auto"/>
          <w:kern w:val="0"/>
          <w:szCs w:val="24"/>
          <w:highlight w:val="none"/>
          <w:lang w:val="en-US"/>
        </w:rPr>
      </w:pPr>
      <w:r>
        <w:rPr>
          <w:rFonts w:hint="eastAsia" w:cs="Times New Roman"/>
          <w:b w:val="0"/>
          <w:bCs w:val="0"/>
          <w:snapToGrid/>
          <w:color w:val="auto"/>
          <w:kern w:val="0"/>
          <w:sz w:val="24"/>
          <w:szCs w:val="24"/>
          <w:highlight w:val="none"/>
          <w:lang w:val="en-US" w:eastAsia="zh-CN"/>
        </w:rPr>
        <w:t xml:space="preserve">1  </w:t>
      </w:r>
      <w:r>
        <w:rPr>
          <w:rFonts w:hint="eastAsia" w:cs="Times New Roman"/>
          <w:color w:val="auto"/>
          <w:kern w:val="0"/>
          <w:szCs w:val="24"/>
          <w:highlight w:val="none"/>
          <w:lang w:val="en-US" w:eastAsia="zh-CN"/>
        </w:rPr>
        <w:t>宜采用集成厨房部品、集成厨房的给水、排水、电气及通风等管线应与模块主体结构进行一体化设计，合理确定管线布置及接口位置，并应采用标准化连接方式；</w:t>
      </w:r>
    </w:p>
    <w:p w14:paraId="3ABDD573">
      <w:pPr>
        <w:snapToGrid w:val="0"/>
        <w:spacing w:line="300" w:lineRule="auto"/>
        <w:ind w:firstLine="480" w:firstLineChars="200"/>
        <w:rPr>
          <w:rFonts w:hint="eastAsia" w:cs="Times New Roman"/>
          <w:color w:val="auto"/>
          <w:kern w:val="0"/>
          <w:szCs w:val="24"/>
          <w:highlight w:val="none"/>
          <w:lang w:val="zh-CN"/>
        </w:rPr>
      </w:pPr>
      <w:r>
        <w:rPr>
          <w:rFonts w:hint="eastAsia" w:cs="Times New Roman"/>
          <w:b w:val="0"/>
          <w:bCs w:val="0"/>
          <w:snapToGrid/>
          <w:color w:val="auto"/>
          <w:kern w:val="0"/>
          <w:sz w:val="24"/>
          <w:szCs w:val="24"/>
          <w:highlight w:val="none"/>
          <w:lang w:val="en-US" w:eastAsia="zh-CN"/>
        </w:rPr>
        <w:t>2</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集成厨房与模块主体结构连接，应采用可拆卸、可更换的标准化连接件，连接应牢固、可靠，满足使用荷载要求；集成厨房与模块内预留管线接驳，应采用标准化接口</w:t>
      </w:r>
      <w:r>
        <w:rPr>
          <w:rFonts w:hint="eastAsia" w:cs="Times New Roman"/>
          <w:color w:val="auto"/>
          <w:kern w:val="0"/>
          <w:szCs w:val="24"/>
          <w:highlight w:val="none"/>
          <w:lang w:val="zh-CN"/>
        </w:rPr>
        <w:t>；</w:t>
      </w:r>
    </w:p>
    <w:p w14:paraId="53A1A68B">
      <w:pPr>
        <w:snapToGrid w:val="0"/>
        <w:spacing w:line="300" w:lineRule="auto"/>
        <w:ind w:firstLine="480" w:firstLineChars="200"/>
        <w:rPr>
          <w:rFonts w:hint="eastAsia" w:cs="Times New Roman"/>
          <w:color w:val="auto"/>
          <w:kern w:val="0"/>
          <w:szCs w:val="24"/>
          <w:highlight w:val="none"/>
          <w:lang w:val="en-US"/>
        </w:rPr>
      </w:pPr>
      <w:r>
        <w:rPr>
          <w:rFonts w:hint="eastAsia" w:cs="Times New Roman"/>
          <w:b w:val="0"/>
          <w:bCs w:val="0"/>
          <w:snapToGrid/>
          <w:color w:val="auto"/>
          <w:kern w:val="0"/>
          <w:sz w:val="24"/>
          <w:szCs w:val="24"/>
          <w:highlight w:val="none"/>
          <w:lang w:val="en-US" w:eastAsia="zh-CN"/>
        </w:rPr>
        <w:t>3</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集成厨房的防水、防火、隔声性能应符合设计要求，地面应设置防水挡坎，墙面、地面饰面材料应符合防火规范及环保要求；并应符合国家现行标准《建筑内部装修设计防火规范》GB 50222、《</w:t>
      </w:r>
      <w:r>
        <w:rPr>
          <w:rFonts w:hint="eastAsia" w:cs="Times New Roman"/>
          <w:color w:val="auto"/>
          <w:kern w:val="0"/>
          <w:szCs w:val="24"/>
          <w:highlight w:val="none"/>
          <w:lang w:val="en-US" w:eastAsia="zh-CN"/>
        </w:rPr>
        <w:t>装配式整体厨房应用技术标准</w:t>
      </w:r>
      <w:r>
        <w:rPr>
          <w:rFonts w:hint="default" w:cs="Times New Roman"/>
          <w:color w:val="auto"/>
          <w:kern w:val="0"/>
          <w:szCs w:val="24"/>
          <w:highlight w:val="none"/>
          <w:lang w:val="zh-CN"/>
        </w:rPr>
        <w:t>》JGJ/T 477的规定。</w:t>
      </w:r>
    </w:p>
    <w:p w14:paraId="71A71F61">
      <w:pPr>
        <w:snapToGrid w:val="0"/>
        <w:spacing w:line="300" w:lineRule="auto"/>
        <w:rPr>
          <w:rFonts w:hint="default" w:eastAsia="宋体" w:cs="Times New Roman"/>
          <w:b/>
          <w:bCs/>
          <w:snapToGrid w:val="0"/>
          <w:color w:val="auto"/>
          <w:kern w:val="0"/>
          <w:sz w:val="20"/>
          <w:szCs w:val="20"/>
          <w:highlight w:val="none"/>
          <w:lang w:val="en-US" w:eastAsia="zh-CN"/>
        </w:rPr>
      </w:pPr>
      <w:r>
        <w:rPr>
          <w:rFonts w:hint="default" w:cs="Times New Roman"/>
          <w:b/>
          <w:bCs/>
          <w:snapToGrid w:val="0"/>
          <w:color w:val="auto"/>
          <w:kern w:val="0"/>
          <w:sz w:val="20"/>
          <w:szCs w:val="20"/>
          <w:highlight w:val="none"/>
          <w:lang w:val="zh-CN" w:eastAsia="zh-CN"/>
        </w:rPr>
        <w:t>7.2.3</w:t>
      </w:r>
      <w:r>
        <w:rPr>
          <w:rFonts w:hint="eastAsia" w:cs="Times New Roman"/>
          <w:b/>
          <w:bCs/>
          <w:snapToGrid w:val="0"/>
          <w:color w:val="auto"/>
          <w:kern w:val="0"/>
          <w:sz w:val="20"/>
          <w:szCs w:val="20"/>
          <w:highlight w:val="none"/>
          <w:lang w:val="en-US" w:eastAsia="zh-CN"/>
        </w:rPr>
        <w:t xml:space="preserve">  </w:t>
      </w:r>
      <w:r>
        <w:rPr>
          <w:rFonts w:hint="eastAsia" w:ascii="宋体" w:hAnsi="宋体" w:cs="宋体"/>
          <w:b w:val="0"/>
          <w:bCs w:val="0"/>
          <w:snapToGrid w:val="0"/>
          <w:color w:val="auto"/>
          <w:kern w:val="0"/>
          <w:sz w:val="24"/>
          <w:szCs w:val="24"/>
          <w:highlight w:val="none"/>
          <w:lang w:val="zh-CN" w:eastAsia="zh-CN"/>
        </w:rPr>
        <w:t>模块化建筑的</w:t>
      </w:r>
      <w:r>
        <w:rPr>
          <w:rFonts w:hint="eastAsia" w:ascii="宋体" w:hAnsi="宋体" w:cs="宋体"/>
          <w:b w:val="0"/>
          <w:bCs w:val="0"/>
          <w:snapToGrid w:val="0"/>
          <w:color w:val="auto"/>
          <w:kern w:val="0"/>
          <w:sz w:val="24"/>
          <w:szCs w:val="24"/>
          <w:highlight w:val="none"/>
          <w:lang w:val="en-US" w:eastAsia="zh-CN"/>
        </w:rPr>
        <w:t>卫生间</w:t>
      </w:r>
      <w:r>
        <w:rPr>
          <w:rFonts w:hint="eastAsia" w:ascii="宋体" w:hAnsi="宋体" w:cs="宋体"/>
          <w:b w:val="0"/>
          <w:bCs w:val="0"/>
          <w:snapToGrid w:val="0"/>
          <w:color w:val="auto"/>
          <w:kern w:val="0"/>
          <w:sz w:val="24"/>
          <w:szCs w:val="24"/>
          <w:highlight w:val="none"/>
          <w:lang w:val="zh-CN" w:eastAsia="zh-CN"/>
        </w:rPr>
        <w:t>设计应符合下列规定：</w:t>
      </w:r>
    </w:p>
    <w:p w14:paraId="5DD396C5">
      <w:pPr>
        <w:snapToGrid w:val="0"/>
        <w:spacing w:line="300" w:lineRule="auto"/>
        <w:ind w:firstLine="480" w:firstLineChars="200"/>
        <w:rPr>
          <w:rFonts w:hint="default" w:cs="Times New Roman"/>
          <w:color w:val="auto"/>
          <w:kern w:val="0"/>
          <w:szCs w:val="24"/>
          <w:highlight w:val="none"/>
          <w:lang w:val="zh-CN"/>
        </w:rPr>
      </w:pPr>
      <w:r>
        <w:rPr>
          <w:rFonts w:hint="default" w:cs="Times New Roman"/>
          <w:b w:val="0"/>
          <w:bCs w:val="0"/>
          <w:snapToGrid/>
          <w:color w:val="auto"/>
          <w:kern w:val="0"/>
          <w:sz w:val="24"/>
          <w:szCs w:val="24"/>
          <w:highlight w:val="none"/>
          <w:lang w:val="zh-CN"/>
        </w:rPr>
        <w:t>1</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应优先采用集成卫生间部品，集成卫生间应与模块主体结构、管线系统、防水构造一体化设计</w:t>
      </w:r>
      <w:r>
        <w:rPr>
          <w:rFonts w:hint="eastAsia" w:cs="Times New Roman"/>
          <w:color w:val="auto"/>
          <w:kern w:val="0"/>
          <w:szCs w:val="24"/>
          <w:highlight w:val="none"/>
          <w:lang w:val="zh-CN"/>
        </w:rPr>
        <w:t>；</w:t>
      </w:r>
    </w:p>
    <w:p w14:paraId="3E1C9BDD">
      <w:pPr>
        <w:snapToGrid w:val="0"/>
        <w:spacing w:line="300" w:lineRule="auto"/>
        <w:ind w:firstLine="480" w:firstLineChars="200"/>
        <w:rPr>
          <w:rFonts w:hint="default" w:cs="Times New Roman"/>
          <w:color w:val="auto"/>
          <w:kern w:val="0"/>
          <w:szCs w:val="24"/>
          <w:highlight w:val="none"/>
          <w:lang w:val="zh-CN"/>
        </w:rPr>
      </w:pPr>
      <w:r>
        <w:rPr>
          <w:rFonts w:hint="eastAsia" w:cs="Times New Roman"/>
          <w:b w:val="0"/>
          <w:bCs w:val="0"/>
          <w:snapToGrid/>
          <w:color w:val="auto"/>
          <w:kern w:val="0"/>
          <w:sz w:val="24"/>
          <w:szCs w:val="24"/>
          <w:highlight w:val="none"/>
          <w:lang w:val="en-US" w:eastAsia="zh-CN"/>
        </w:rPr>
        <w:t>2</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集成卫生间防水底盘应与模块地面可靠连接，连接部位应做好密封防水处理，防止渗漏；壁板、顶板与模块主体结构连接应牢固，缝隙应采用密封材料封堵，满足隔声、防火要求</w:t>
      </w:r>
      <w:r>
        <w:rPr>
          <w:rFonts w:hint="eastAsia" w:cs="Times New Roman"/>
          <w:color w:val="auto"/>
          <w:kern w:val="0"/>
          <w:szCs w:val="24"/>
          <w:highlight w:val="none"/>
          <w:lang w:val="zh-CN"/>
        </w:rPr>
        <w:t>；</w:t>
      </w:r>
    </w:p>
    <w:p w14:paraId="254A50CA">
      <w:pPr>
        <w:snapToGrid w:val="0"/>
        <w:spacing w:line="300" w:lineRule="auto"/>
        <w:ind w:firstLine="480" w:firstLineChars="200"/>
        <w:rPr>
          <w:rFonts w:hint="default" w:cs="Times New Roman"/>
          <w:color w:val="auto"/>
          <w:kern w:val="0"/>
          <w:szCs w:val="24"/>
          <w:highlight w:val="none"/>
          <w:lang w:val="zh-CN"/>
        </w:rPr>
      </w:pPr>
      <w:r>
        <w:rPr>
          <w:rFonts w:hint="eastAsia" w:cs="Times New Roman"/>
          <w:b w:val="0"/>
          <w:bCs w:val="0"/>
          <w:snapToGrid/>
          <w:color w:val="auto"/>
          <w:kern w:val="0"/>
          <w:sz w:val="24"/>
          <w:szCs w:val="24"/>
          <w:highlight w:val="none"/>
          <w:lang w:val="en-US" w:eastAsia="zh-CN"/>
        </w:rPr>
        <w:t>3</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集成卫生间内管线应采用集成布置，与模块预留管线接驳应采用标准化接口，排水管线应设置存水弯，防止返味；接驳后应进行水压、灌水试验及电气安全检测，验收合格后可投入使用</w:t>
      </w:r>
      <w:r>
        <w:rPr>
          <w:rFonts w:hint="eastAsia" w:cs="Times New Roman"/>
          <w:color w:val="auto"/>
          <w:kern w:val="0"/>
          <w:szCs w:val="24"/>
          <w:highlight w:val="none"/>
          <w:lang w:val="zh-CN"/>
        </w:rPr>
        <w:t>；</w:t>
      </w:r>
    </w:p>
    <w:p w14:paraId="40A30961">
      <w:pPr>
        <w:snapToGrid w:val="0"/>
        <w:spacing w:line="300" w:lineRule="auto"/>
        <w:ind w:firstLine="480" w:firstLineChars="200"/>
        <w:rPr>
          <w:rFonts w:hint="eastAsia" w:cs="Times New Roman"/>
          <w:color w:val="auto"/>
          <w:kern w:val="0"/>
          <w:szCs w:val="24"/>
          <w:highlight w:val="none"/>
          <w:lang w:val="en-US"/>
        </w:rPr>
      </w:pPr>
      <w:r>
        <w:rPr>
          <w:rFonts w:hint="eastAsia" w:cs="Times New Roman"/>
          <w:b w:val="0"/>
          <w:bCs w:val="0"/>
          <w:snapToGrid/>
          <w:color w:val="auto"/>
          <w:kern w:val="0"/>
          <w:sz w:val="24"/>
          <w:szCs w:val="24"/>
          <w:highlight w:val="none"/>
          <w:lang w:val="en-US" w:eastAsia="zh-CN"/>
        </w:rPr>
        <w:t>4</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集成卫生间的防水等级、排水坡度、通风换气量应符合《</w:t>
      </w:r>
      <w:r>
        <w:rPr>
          <w:rFonts w:hint="eastAsia" w:cs="Times New Roman"/>
          <w:color w:val="auto"/>
          <w:kern w:val="0"/>
          <w:szCs w:val="24"/>
          <w:highlight w:val="none"/>
          <w:lang w:val="en-US" w:eastAsia="zh-CN"/>
        </w:rPr>
        <w:t>装配式整体卫生间应用技术标准</w:t>
      </w:r>
      <w:r>
        <w:rPr>
          <w:rFonts w:hint="default" w:cs="Times New Roman"/>
          <w:color w:val="auto"/>
          <w:kern w:val="0"/>
          <w:szCs w:val="24"/>
          <w:highlight w:val="none"/>
          <w:lang w:val="zh-CN"/>
        </w:rPr>
        <w:t>》JGJ/T 467等相关标准规定。</w:t>
      </w:r>
    </w:p>
    <w:p w14:paraId="7262566B">
      <w:pPr>
        <w:pStyle w:val="3"/>
        <w:rPr>
          <w:rFonts w:hint="default" w:cs="Times New Roman"/>
          <w:bCs/>
          <w:color w:val="auto"/>
          <w:kern w:val="44"/>
          <w:szCs w:val="28"/>
          <w:highlight w:val="none"/>
        </w:rPr>
      </w:pPr>
      <w:r>
        <w:rPr>
          <w:rFonts w:hint="eastAsia" w:cs="Times New Roman"/>
          <w:bCs/>
          <w:color w:val="auto"/>
          <w:kern w:val="44"/>
          <w:szCs w:val="28"/>
          <w:highlight w:val="none"/>
          <w:lang w:val="en-US" w:eastAsia="zh-CN"/>
        </w:rPr>
        <w:t xml:space="preserve">7.3  </w:t>
      </w:r>
      <w:r>
        <w:rPr>
          <w:rFonts w:hint="eastAsia" w:cs="Times New Roman"/>
          <w:b w:val="0"/>
          <w:bCs w:val="0"/>
          <w:color w:val="auto"/>
          <w:kern w:val="44"/>
          <w:szCs w:val="28"/>
          <w:highlight w:val="none"/>
          <w:lang w:val="en-US" w:eastAsia="zh-CN"/>
        </w:rPr>
        <w:t>设备管线设计</w:t>
      </w:r>
    </w:p>
    <w:p w14:paraId="10273842">
      <w:pPr>
        <w:snapToGrid w:val="0"/>
        <w:spacing w:line="300" w:lineRule="auto"/>
        <w:rPr>
          <w:rFonts w:hint="default" w:cs="Times New Roman"/>
          <w:color w:val="auto"/>
          <w:kern w:val="0"/>
          <w:szCs w:val="24"/>
          <w:highlight w:val="none"/>
          <w:lang w:val="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3</w:t>
      </w:r>
      <w:r>
        <w:rPr>
          <w:rFonts w:hint="default" w:cs="Times New Roman"/>
          <w:b/>
          <w:bCs/>
          <w:snapToGrid w:val="0"/>
          <w:color w:val="auto"/>
          <w:kern w:val="0"/>
          <w:sz w:val="20"/>
          <w:szCs w:val="20"/>
          <w:highlight w:val="none"/>
          <w:lang w:val="zh-CN" w:eastAsia="zh-CN"/>
        </w:rPr>
        <w:t>.</w:t>
      </w:r>
      <w:r>
        <w:rPr>
          <w:rFonts w:hint="default" w:cs="Times New Roman"/>
          <w:b/>
          <w:bCs/>
          <w:snapToGrid w:val="0"/>
          <w:color w:val="auto"/>
          <w:kern w:val="0"/>
          <w:sz w:val="20"/>
          <w:szCs w:val="20"/>
          <w:highlight w:val="none"/>
          <w:lang w:val="zh-CN"/>
        </w:rPr>
        <w:t>1</w:t>
      </w:r>
      <w:r>
        <w:rPr>
          <w:rFonts w:hint="eastAsia" w:cs="Times New Roman"/>
          <w:b/>
          <w:bCs/>
          <w:snapToGrid w:val="0"/>
          <w:color w:val="auto"/>
          <w:kern w:val="0"/>
          <w:sz w:val="20"/>
          <w:szCs w:val="20"/>
          <w:highlight w:val="none"/>
          <w:lang w:val="en-US" w:eastAsia="zh-CN"/>
        </w:rPr>
        <w:t xml:space="preserve">  </w:t>
      </w:r>
      <w:r>
        <w:rPr>
          <w:rFonts w:hint="default" w:cs="Times New Roman"/>
          <w:color w:val="auto"/>
          <w:kern w:val="0"/>
          <w:szCs w:val="24"/>
          <w:highlight w:val="none"/>
          <w:lang w:val="zh-CN"/>
        </w:rPr>
        <w:t>设备管线应进行综合设计，减少平面交叉；竖向管线宜集中布置，并应满足维修更换的要求。</w:t>
      </w:r>
    </w:p>
    <w:p w14:paraId="644C4C01">
      <w:pPr>
        <w:snapToGrid w:val="0"/>
        <w:spacing w:line="300" w:lineRule="auto"/>
        <w:rPr>
          <w:rFonts w:hint="default" w:cs="Times New Roman"/>
          <w:color w:val="auto"/>
          <w:kern w:val="0"/>
          <w:szCs w:val="24"/>
          <w:highlight w:val="none"/>
          <w:lang w:val="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3</w:t>
      </w:r>
      <w:r>
        <w:rPr>
          <w:rFonts w:hint="default" w:cs="Times New Roman"/>
          <w:b/>
          <w:bCs/>
          <w:snapToGrid w:val="0"/>
          <w:color w:val="auto"/>
          <w:kern w:val="0"/>
          <w:sz w:val="20"/>
          <w:szCs w:val="20"/>
          <w:highlight w:val="none"/>
          <w:lang w:val="zh-CN" w:eastAsia="zh-CN"/>
        </w:rPr>
        <w:t>.</w:t>
      </w:r>
      <w:r>
        <w:rPr>
          <w:rFonts w:hint="eastAsia" w:cs="Times New Roman"/>
          <w:b/>
          <w:bCs/>
          <w:snapToGrid w:val="0"/>
          <w:color w:val="auto"/>
          <w:kern w:val="0"/>
          <w:sz w:val="20"/>
          <w:szCs w:val="20"/>
          <w:highlight w:val="none"/>
          <w:lang w:val="en-US" w:eastAsia="zh-CN"/>
        </w:rPr>
        <w:t>2</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竖向电气管线宜设置在预制板内或装饰墙面内。墙板内竖向电气管线布置应保持安全间距。</w:t>
      </w:r>
    </w:p>
    <w:p w14:paraId="569D0B58">
      <w:pPr>
        <w:snapToGrid w:val="0"/>
        <w:spacing w:line="300" w:lineRule="auto"/>
        <w:rPr>
          <w:rFonts w:hint="default" w:cs="Times New Roman"/>
          <w:color w:val="auto"/>
          <w:kern w:val="0"/>
          <w:szCs w:val="24"/>
          <w:highlight w:val="none"/>
          <w:lang w:val="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3.3</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模块设计时，应在模块端部、侧面等接驳位置，将管线（给水、排水、电气、暖通等）预制至接驳接口处，接口应采用标准化连接件，做好标识、封堵及防护，确保运输、安装过程中不损坏、不堵塞。</w:t>
      </w:r>
    </w:p>
    <w:p w14:paraId="51AD76FC">
      <w:pPr>
        <w:snapToGrid w:val="0"/>
        <w:spacing w:line="300" w:lineRule="auto"/>
        <w:rPr>
          <w:rFonts w:hint="default" w:cs="Times New Roman"/>
          <w:color w:val="auto"/>
          <w:kern w:val="0"/>
          <w:szCs w:val="24"/>
          <w:highlight w:val="none"/>
          <w:lang w:val="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3.4</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模块间管线接驳应提前确定接驳方式、接口规格、密封要求及防护措施，纳入模块深化设计文件。</w:t>
      </w:r>
    </w:p>
    <w:p w14:paraId="748F567B">
      <w:pPr>
        <w:snapToGrid w:val="0"/>
        <w:spacing w:line="300" w:lineRule="auto"/>
        <w:rPr>
          <w:rFonts w:hint="default" w:cs="Times New Roman"/>
          <w:color w:val="auto"/>
          <w:kern w:val="0"/>
          <w:szCs w:val="24"/>
          <w:highlight w:val="none"/>
          <w:lang w:val="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3.5</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给水、排水管线模块间应采用柔性密封接头或专用接驳件，密封材料应具有耐老化、耐腐蚀、密封性好的性能。</w:t>
      </w:r>
    </w:p>
    <w:p w14:paraId="3FA80B16">
      <w:pPr>
        <w:snapToGrid w:val="0"/>
        <w:spacing w:line="300" w:lineRule="auto"/>
        <w:rPr>
          <w:rFonts w:hint="default" w:cs="Times New Roman"/>
          <w:color w:val="auto"/>
          <w:kern w:val="0"/>
          <w:szCs w:val="24"/>
          <w:highlight w:val="none"/>
          <w:lang w:val="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3.6</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电气管线模块间应采用防水、防火型接线盒或专用接驳接头。</w:t>
      </w:r>
    </w:p>
    <w:p w14:paraId="151D8F74">
      <w:pPr>
        <w:snapToGrid w:val="0"/>
        <w:spacing w:line="300" w:lineRule="auto"/>
        <w:rPr>
          <w:rFonts w:hint="default" w:cs="Times New Roman"/>
          <w:color w:val="auto"/>
          <w:kern w:val="0"/>
          <w:szCs w:val="24"/>
          <w:highlight w:val="none"/>
          <w:lang w:val="zh-CN"/>
        </w:rPr>
      </w:pPr>
      <w:r>
        <w:rPr>
          <w:rFonts w:hint="default" w:cs="Times New Roman"/>
          <w:b/>
          <w:bCs/>
          <w:snapToGrid w:val="0"/>
          <w:color w:val="auto"/>
          <w:kern w:val="0"/>
          <w:sz w:val="20"/>
          <w:szCs w:val="20"/>
          <w:highlight w:val="none"/>
          <w:lang w:val="zh-CN"/>
        </w:rPr>
        <w:t>7.</w:t>
      </w:r>
      <w:r>
        <w:rPr>
          <w:rFonts w:hint="eastAsia" w:cs="Times New Roman"/>
          <w:b/>
          <w:bCs/>
          <w:snapToGrid w:val="0"/>
          <w:color w:val="auto"/>
          <w:kern w:val="0"/>
          <w:sz w:val="20"/>
          <w:szCs w:val="20"/>
          <w:highlight w:val="none"/>
          <w:lang w:val="en-US" w:eastAsia="zh-CN"/>
        </w:rPr>
        <w:t>3.7</w:t>
      </w:r>
      <w:r>
        <w:rPr>
          <w:rFonts w:hint="eastAsia" w:cs="Times New Roman"/>
          <w:color w:val="auto"/>
          <w:kern w:val="0"/>
          <w:szCs w:val="24"/>
          <w:highlight w:val="none"/>
          <w:lang w:val="en-US" w:eastAsia="zh-CN"/>
        </w:rPr>
        <w:t xml:space="preserve">  </w:t>
      </w:r>
      <w:r>
        <w:rPr>
          <w:rFonts w:hint="default" w:cs="Times New Roman"/>
          <w:color w:val="auto"/>
          <w:kern w:val="0"/>
          <w:szCs w:val="24"/>
          <w:highlight w:val="none"/>
          <w:lang w:val="zh-CN"/>
        </w:rPr>
        <w:t>暖通管线模块间接驳，接驳后应进行气密性、水压试验，确保无泄漏；保温管线接驳处，应同步做好保温处理，接口保温层应连续、严密，无破损、缝隙，防止冷凝结露。</w:t>
      </w:r>
    </w:p>
    <w:bookmarkEnd w:id="256"/>
    <w:bookmarkEnd w:id="257"/>
    <w:bookmarkEnd w:id="258"/>
    <w:bookmarkEnd w:id="259"/>
    <w:bookmarkEnd w:id="260"/>
    <w:bookmarkEnd w:id="261"/>
    <w:bookmarkEnd w:id="262"/>
    <w:bookmarkEnd w:id="263"/>
    <w:p w14:paraId="2B1D4337">
      <w:pPr>
        <w:wordWrap/>
        <w:overflowPunct/>
        <w:topLinePunct w:val="0"/>
        <w:bidi w:val="0"/>
        <w:snapToGrid w:val="0"/>
        <w:spacing w:line="300" w:lineRule="auto"/>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22A76C78">
      <w:pPr>
        <w:pStyle w:val="2"/>
        <w:bidi w:val="0"/>
        <w:rPr>
          <w:rFonts w:ascii="宋体" w:hAnsi="宋体" w:cs="Times New Roman"/>
          <w:color w:val="auto"/>
          <w:kern w:val="44"/>
          <w:szCs w:val="24"/>
          <w:highlight w:val="none"/>
          <w:lang w:val="zh-CN"/>
        </w:rPr>
      </w:pPr>
      <w:bookmarkStart w:id="264" w:name="_Toc154526002"/>
      <w:bookmarkStart w:id="265" w:name="_Toc180613542"/>
      <w:bookmarkStart w:id="266" w:name="_Toc6366"/>
      <w:bookmarkStart w:id="267" w:name="_Toc28701"/>
      <w:bookmarkStart w:id="268" w:name="_Toc148909482"/>
      <w:bookmarkStart w:id="269" w:name="_Toc177840572"/>
      <w:bookmarkStart w:id="270" w:name="_Toc2128"/>
      <w:bookmarkStart w:id="271" w:name="_Toc13547"/>
      <w:bookmarkStart w:id="272" w:name="_Toc154525539"/>
      <w:bookmarkStart w:id="273" w:name="_Toc153805660"/>
      <w:bookmarkStart w:id="274" w:name="_Toc9159"/>
      <w:bookmarkStart w:id="275" w:name="_Toc8502"/>
      <w:bookmarkStart w:id="276" w:name="_Toc177840180"/>
      <w:r>
        <w:rPr>
          <w:rFonts w:hint="eastAsia" w:ascii="Times New Roman" w:hAnsi="Times New Roman" w:eastAsia="黑体" w:cs="Times New Roman"/>
          <w:b/>
          <w:bCs/>
          <w:color w:val="auto"/>
          <w:kern w:val="44"/>
          <w:sz w:val="30"/>
          <w:szCs w:val="30"/>
          <w:highlight w:val="none"/>
          <w:lang w:val="zh-CN" w:eastAsia="zh-CN" w:bidi="ar-SA"/>
        </w:rPr>
        <w:t>8</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en-US" w:eastAsia="zh-CN"/>
        </w:rPr>
        <w:t>模块</w:t>
      </w:r>
      <w:r>
        <w:rPr>
          <w:rFonts w:hint="eastAsia" w:ascii="黑体" w:hAnsi="黑体" w:eastAsia="黑体" w:cs="黑体"/>
          <w:b w:val="0"/>
          <w:bCs w:val="0"/>
          <w:color w:val="auto"/>
          <w:kern w:val="44"/>
          <w:sz w:val="30"/>
          <w:szCs w:val="30"/>
          <w:highlight w:val="none"/>
          <w:lang w:val="zh-CN"/>
        </w:rPr>
        <w:t>生产与运输</w:t>
      </w:r>
      <w:bookmarkEnd w:id="264"/>
      <w:bookmarkEnd w:id="265"/>
      <w:bookmarkEnd w:id="266"/>
      <w:bookmarkEnd w:id="267"/>
      <w:bookmarkEnd w:id="268"/>
      <w:bookmarkEnd w:id="269"/>
      <w:bookmarkEnd w:id="270"/>
      <w:bookmarkEnd w:id="271"/>
      <w:bookmarkEnd w:id="272"/>
      <w:bookmarkEnd w:id="273"/>
      <w:bookmarkEnd w:id="274"/>
      <w:bookmarkEnd w:id="275"/>
      <w:bookmarkEnd w:id="276"/>
    </w:p>
    <w:p w14:paraId="2BA983D7">
      <w:pPr>
        <w:pStyle w:val="3"/>
        <w:bidi w:val="0"/>
        <w:rPr>
          <w:rFonts w:ascii="宋体" w:hAnsi="宋体" w:cs="Times New Roman"/>
          <w:color w:val="auto"/>
          <w:sz w:val="21"/>
          <w:szCs w:val="21"/>
          <w:highlight w:val="none"/>
        </w:rPr>
      </w:pPr>
      <w:bookmarkStart w:id="277" w:name="_Toc17678"/>
      <w:bookmarkStart w:id="278" w:name="_Toc26588"/>
      <w:bookmarkStart w:id="279" w:name="_Toc153805661"/>
      <w:bookmarkStart w:id="280" w:name="_Toc180613543"/>
      <w:bookmarkStart w:id="281" w:name="_Toc154526003"/>
      <w:bookmarkStart w:id="282" w:name="_Toc26418"/>
      <w:bookmarkStart w:id="283" w:name="_Toc177840181"/>
      <w:bookmarkStart w:id="284" w:name="_Toc177840573"/>
      <w:bookmarkStart w:id="285" w:name="_Toc15139"/>
      <w:bookmarkStart w:id="286" w:name="_Toc154525540"/>
      <w:bookmarkStart w:id="287" w:name="_Toc12755"/>
      <w:bookmarkStart w:id="288" w:name="_Toc148909483"/>
      <w:bookmarkStart w:id="289" w:name="_Toc4968"/>
      <w:r>
        <w:rPr>
          <w:rFonts w:hint="eastAsia" w:ascii="Times New Roman" w:hAnsi="Times New Roman" w:eastAsia="黑体" w:cs="Times New Roman"/>
          <w:b/>
          <w:bCs/>
          <w:color w:val="auto"/>
          <w:kern w:val="44"/>
          <w:sz w:val="28"/>
          <w:szCs w:val="28"/>
          <w:highlight w:val="none"/>
          <w:lang w:val="zh-CN" w:eastAsia="zh-CN" w:bidi="ar-SA"/>
        </w:rPr>
        <w:t>8</w:t>
      </w:r>
      <w:r>
        <w:rPr>
          <w:rFonts w:hint="default" w:ascii="Times New Roman" w:hAnsi="Times New Roman" w:eastAsia="黑体" w:cs="Times New Roman"/>
          <w:b/>
          <w:bCs/>
          <w:color w:val="auto"/>
          <w:kern w:val="44"/>
          <w:sz w:val="28"/>
          <w:szCs w:val="28"/>
          <w:highlight w:val="none"/>
          <w:lang w:val="zh-CN" w:eastAsia="zh-CN" w:bidi="ar-SA"/>
        </w:rPr>
        <w:t>.1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一般规定</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E3C0018">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8.1.1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混凝土模块生产</w:t>
      </w:r>
      <w:r>
        <w:rPr>
          <w:rFonts w:hint="eastAsia" w:ascii="Times New Roman" w:hAnsi="Times New Roman" w:eastAsia="宋体" w:cs="Times New Roman"/>
          <w:color w:val="auto"/>
          <w:kern w:val="0"/>
          <w:sz w:val="24"/>
          <w:szCs w:val="24"/>
          <w:highlight w:val="none"/>
          <w:lang w:val="en-US" w:eastAsia="zh-CN" w:bidi="ar-SA"/>
        </w:rPr>
        <w:t>前，应对其技术要求和质量标准进行技术交底，并应制定生产方案；生产方案应包括生产工艺、模具方案、生产计划、技术质量控制措施、成品保护、堆放及运输方案等内容。</w:t>
      </w:r>
    </w:p>
    <w:p w14:paraId="737158E8">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8.1.</w:t>
      </w:r>
      <w:r>
        <w:rPr>
          <w:rFonts w:hint="eastAsia" w:cs="Times New Roman"/>
          <w:b/>
          <w:bCs/>
          <w:snapToGrid w:val="0"/>
          <w:color w:val="auto"/>
          <w:kern w:val="0"/>
          <w:sz w:val="20"/>
          <w:szCs w:val="20"/>
          <w:highlight w:val="none"/>
          <w:lang w:val="en-US" w:eastAsia="zh-CN" w:bidi="ar-SA"/>
        </w:rPr>
        <w:t>2</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当混凝土模块尺寸或重量受道路运输条件限制时，可在施工现场附近设置临时生产基地进行生产，并应符合本规程有关规定。</w:t>
      </w:r>
    </w:p>
    <w:p w14:paraId="43DF4630">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8</w:t>
      </w:r>
      <w:r>
        <w:rPr>
          <w:rFonts w:hint="eastAsia" w:ascii="Times New Roman" w:hAnsi="Times New Roman" w:eastAsia="宋体" w:cs="Times New Roman"/>
          <w:b/>
          <w:bCs/>
          <w:snapToGrid w:val="0"/>
          <w:color w:val="auto"/>
          <w:kern w:val="0"/>
          <w:sz w:val="20"/>
          <w:szCs w:val="20"/>
          <w:highlight w:val="none"/>
          <w:lang w:val="en-US" w:eastAsia="zh-CN" w:bidi="ar-SA"/>
        </w:rPr>
        <w:t>.1.</w:t>
      </w:r>
      <w:r>
        <w:rPr>
          <w:rFonts w:hint="eastAsia" w:cs="Times New Roman"/>
          <w:b/>
          <w:bCs/>
          <w:snapToGrid w:val="0"/>
          <w:color w:val="auto"/>
          <w:kern w:val="0"/>
          <w:sz w:val="20"/>
          <w:szCs w:val="20"/>
          <w:highlight w:val="none"/>
          <w:lang w:val="en-US" w:eastAsia="zh-CN" w:bidi="ar-SA"/>
        </w:rPr>
        <w:t>3</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宜采用内埋式螺母、内埋式吊杆</w:t>
      </w:r>
      <w:r>
        <w:rPr>
          <w:rFonts w:hint="eastAsia" w:cs="Times New Roman"/>
          <w:color w:val="auto"/>
          <w:kern w:val="0"/>
          <w:sz w:val="24"/>
          <w:szCs w:val="24"/>
          <w:highlight w:val="none"/>
          <w:lang w:val="en-US" w:eastAsia="zh-CN" w:bidi="ar-SA"/>
        </w:rPr>
        <w:t>、吊环</w:t>
      </w:r>
      <w:r>
        <w:rPr>
          <w:rFonts w:hint="eastAsia" w:ascii="Times New Roman" w:hAnsi="Times New Roman" w:eastAsia="宋体" w:cs="Times New Roman"/>
          <w:color w:val="auto"/>
          <w:kern w:val="0"/>
          <w:sz w:val="24"/>
          <w:szCs w:val="24"/>
          <w:highlight w:val="none"/>
          <w:lang w:val="en-US" w:eastAsia="zh-CN" w:bidi="ar-SA"/>
        </w:rPr>
        <w:t>或预留吊装孔，并采用专用吊具进行</w:t>
      </w:r>
      <w:r>
        <w:rPr>
          <w:rFonts w:hint="eastAsia" w:cs="Times New Roman"/>
          <w:color w:val="auto"/>
          <w:kern w:val="0"/>
          <w:sz w:val="24"/>
          <w:szCs w:val="24"/>
          <w:highlight w:val="none"/>
          <w:lang w:val="en-US" w:eastAsia="zh-CN" w:bidi="ar-SA"/>
        </w:rPr>
        <w:t>起吊</w:t>
      </w:r>
      <w:r>
        <w:rPr>
          <w:rFonts w:hint="eastAsia" w:ascii="Times New Roman" w:hAnsi="Times New Roman" w:eastAsia="宋体" w:cs="Times New Roman"/>
          <w:color w:val="auto"/>
          <w:kern w:val="0"/>
          <w:sz w:val="24"/>
          <w:szCs w:val="24"/>
          <w:highlight w:val="none"/>
          <w:lang w:val="en-US" w:eastAsia="zh-CN" w:bidi="ar-SA"/>
        </w:rPr>
        <w:t>，也可采用吊环</w:t>
      </w:r>
      <w:r>
        <w:rPr>
          <w:rFonts w:hint="eastAsia" w:cs="Times New Roman"/>
          <w:color w:val="auto"/>
          <w:kern w:val="0"/>
          <w:sz w:val="24"/>
          <w:szCs w:val="24"/>
          <w:highlight w:val="none"/>
          <w:lang w:val="en-US" w:eastAsia="zh-CN" w:bidi="ar-SA"/>
        </w:rPr>
        <w:t>起吊</w:t>
      </w:r>
      <w:r>
        <w:rPr>
          <w:rFonts w:hint="eastAsia" w:ascii="Times New Roman" w:hAnsi="Times New Roman" w:eastAsia="宋体" w:cs="Times New Roman"/>
          <w:color w:val="auto"/>
          <w:kern w:val="0"/>
          <w:sz w:val="24"/>
          <w:szCs w:val="24"/>
          <w:highlight w:val="none"/>
          <w:lang w:val="en-US" w:eastAsia="zh-CN" w:bidi="ar-SA"/>
        </w:rPr>
        <w:t>。</w:t>
      </w:r>
    </w:p>
    <w:p w14:paraId="4A97D652">
      <w:pPr>
        <w:wordWrap/>
        <w:overflowPunct/>
        <w:topLinePunct w:val="0"/>
        <w:bidi w:val="0"/>
        <w:snapToGrid w:val="0"/>
        <w:spacing w:line="300" w:lineRule="auto"/>
        <w:rPr>
          <w:rFonts w:hint="eastAsia"/>
          <w:color w:val="auto"/>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8.1.</w:t>
      </w:r>
      <w:r>
        <w:rPr>
          <w:rFonts w:hint="eastAsia" w:cs="Times New Roman"/>
          <w:b/>
          <w:bCs/>
          <w:snapToGrid w:val="0"/>
          <w:color w:val="auto"/>
          <w:kern w:val="0"/>
          <w:sz w:val="20"/>
          <w:szCs w:val="20"/>
          <w:highlight w:val="none"/>
          <w:lang w:val="en-US" w:eastAsia="zh-CN" w:bidi="ar-SA"/>
        </w:rPr>
        <w:t>4</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olor w:val="auto"/>
          <w:highlight w:val="none"/>
        </w:rPr>
        <w:t>混凝土模块采用螺栓连接、焊接连接</w:t>
      </w:r>
      <w:r>
        <w:rPr>
          <w:rFonts w:hint="eastAsia"/>
          <w:color w:val="auto"/>
          <w:highlight w:val="none"/>
          <w:lang w:eastAsia="zh-CN"/>
        </w:rPr>
        <w:t>、</w:t>
      </w:r>
      <w:r>
        <w:rPr>
          <w:rFonts w:hint="eastAsia"/>
          <w:color w:val="auto"/>
          <w:highlight w:val="none"/>
        </w:rPr>
        <w:t>钢筋浆锚搭接连接或钢筋套筒灌浆连接时，应在</w:t>
      </w:r>
      <w:r>
        <w:rPr>
          <w:rFonts w:hint="eastAsia"/>
          <w:color w:val="auto"/>
          <w:highlight w:val="none"/>
          <w:lang w:eastAsia="zh-CN"/>
        </w:rPr>
        <w:t>模块生产</w:t>
      </w:r>
      <w:r>
        <w:rPr>
          <w:rFonts w:hint="eastAsia"/>
          <w:color w:val="auto"/>
          <w:highlight w:val="none"/>
        </w:rPr>
        <w:t>前进行连接性能的检验，并应符合下列规定：</w:t>
      </w:r>
    </w:p>
    <w:p w14:paraId="4E16879B">
      <w:pPr>
        <w:snapToGrid w:val="0"/>
        <w:spacing w:line="300" w:lineRule="auto"/>
        <w:ind w:firstLine="480" w:firstLineChars="200"/>
        <w:rPr>
          <w:rFonts w:hint="eastAsia" w:cs="Times New Roman"/>
          <w:color w:val="auto"/>
          <w:kern w:val="0"/>
          <w:szCs w:val="24"/>
          <w:highlight w:val="none"/>
        </w:rPr>
      </w:pPr>
      <w:r>
        <w:rPr>
          <w:rFonts w:hint="eastAsia" w:cs="Times New Roman"/>
          <w:color w:val="auto"/>
          <w:kern w:val="0"/>
          <w:szCs w:val="24"/>
          <w:highlight w:val="none"/>
        </w:rPr>
        <w:t xml:space="preserve">1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螺栓连接用连接件、螺栓及预埋件应提供产品出厂合格证及相关质量证明文件，并应按现行国家标准《钢结构工程施工质量验收规范》GB 50205的有关规定进行复验；必要时应进行连接节点承载力验证试验。</w:t>
      </w:r>
    </w:p>
    <w:p w14:paraId="33A96802">
      <w:pPr>
        <w:snapToGrid w:val="0"/>
        <w:spacing w:line="300" w:lineRule="auto"/>
        <w:ind w:firstLine="480" w:firstLineChars="200"/>
        <w:rPr>
          <w:rFonts w:hint="eastAsia" w:cs="Times New Roman"/>
          <w:color w:val="auto"/>
          <w:kern w:val="0"/>
          <w:szCs w:val="24"/>
          <w:highlight w:val="none"/>
        </w:rPr>
      </w:pPr>
      <w:r>
        <w:rPr>
          <w:rFonts w:hint="eastAsia" w:cs="Times New Roman"/>
          <w:color w:val="auto"/>
          <w:kern w:val="0"/>
          <w:szCs w:val="24"/>
          <w:highlight w:val="none"/>
          <w:lang w:val="en-US" w:eastAsia="zh-CN"/>
        </w:rPr>
        <w:t>2</w:t>
      </w:r>
      <w:r>
        <w:rPr>
          <w:rFonts w:hint="eastAsia" w:cs="Times New Roman"/>
          <w:color w:val="auto"/>
          <w:kern w:val="0"/>
          <w:szCs w:val="24"/>
          <w:highlight w:val="none"/>
        </w:rPr>
        <w:t xml:space="preserve">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焊接连接所用钢材、焊接材料及预埋件等应提供产品出厂合格证及相关质量证明文件，并应按现行国家标准《钢结构焊接规范》GB 50661和《钢结构工程施工质量验收规范》GB 50205的有关规定进行焊接工艺评定和焊缝质量检验；必要时应制作焊接试件进行力学性能试验。</w:t>
      </w:r>
    </w:p>
    <w:p w14:paraId="69D8DB4B">
      <w:pPr>
        <w:snapToGrid w:val="0"/>
        <w:spacing w:line="300" w:lineRule="auto"/>
        <w:ind w:firstLine="480" w:firstLineChars="200"/>
        <w:rPr>
          <w:rFonts w:hint="eastAsia" w:cs="Times New Roman"/>
          <w:color w:val="auto"/>
          <w:kern w:val="0"/>
          <w:szCs w:val="24"/>
          <w:highlight w:val="none"/>
        </w:rPr>
      </w:pPr>
      <w:r>
        <w:rPr>
          <w:rFonts w:hint="eastAsia" w:cs="Times New Roman"/>
          <w:color w:val="auto"/>
          <w:kern w:val="0"/>
          <w:szCs w:val="24"/>
          <w:highlight w:val="none"/>
          <w:lang w:val="en-US" w:eastAsia="zh-CN"/>
        </w:rPr>
        <w:t>3</w:t>
      </w:r>
      <w:r>
        <w:rPr>
          <w:rFonts w:hint="eastAsia" w:cs="Times New Roman"/>
          <w:color w:val="auto"/>
          <w:kern w:val="0"/>
          <w:szCs w:val="24"/>
          <w:highlight w:val="none"/>
        </w:rPr>
        <w:t xml:space="preserve">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钢筋浆锚搭接连接接头所用钢筋、灌浆料及相关连接材料应提供产品出厂合格证及相关质量证明文件，并应按现行行业标准《装配式混凝土结构技术规程》JGJ 1的有关规定进行适用性验证。</w:t>
      </w:r>
    </w:p>
    <w:p w14:paraId="4ED5314C">
      <w:pPr>
        <w:snapToGrid w:val="0"/>
        <w:spacing w:line="300" w:lineRule="auto"/>
        <w:ind w:firstLine="480" w:firstLineChars="200"/>
        <w:rPr>
          <w:rFonts w:hint="eastAsia" w:cs="Times New Roman"/>
          <w:color w:val="auto"/>
          <w:kern w:val="0"/>
          <w:szCs w:val="24"/>
          <w:highlight w:val="none"/>
        </w:rPr>
      </w:pPr>
      <w:r>
        <w:rPr>
          <w:rFonts w:hint="eastAsia" w:cs="Times New Roman"/>
          <w:color w:val="auto"/>
          <w:kern w:val="0"/>
          <w:szCs w:val="24"/>
          <w:highlight w:val="none"/>
        </w:rPr>
        <w:t xml:space="preserve">4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钢筋套筒灌浆连接接头所用套筒、灌浆料、钢筋等应提供产品出厂合格证及相关质量证明文件，并应按现行行业标准《钢筋套筒灌浆连接应用技术规程》JGJ/T 355的有关规定进行验证性试验。</w:t>
      </w:r>
    </w:p>
    <w:p w14:paraId="59D6C396">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8.1.</w:t>
      </w:r>
      <w:r>
        <w:rPr>
          <w:rFonts w:hint="eastAsia" w:cs="Times New Roman"/>
          <w:b/>
          <w:bCs/>
          <w:snapToGrid w:val="0"/>
          <w:color w:val="auto"/>
          <w:kern w:val="0"/>
          <w:sz w:val="20"/>
          <w:szCs w:val="20"/>
          <w:highlight w:val="none"/>
          <w:lang w:val="en-US" w:eastAsia="zh-CN" w:bidi="ar-SA"/>
        </w:rPr>
        <w:t>5</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用钢筋的加工、连接与安装应符合现行国家标准《混凝土结构工程施工规范》GB 50666和《混凝土结构工程施工质量验收规范》GB 50204等的有关规定。</w:t>
      </w:r>
    </w:p>
    <w:p w14:paraId="2D09D328">
      <w:pPr>
        <w:wordWrap/>
        <w:overflowPunct/>
        <w:topLinePunct w:val="0"/>
        <w:bidi w:val="0"/>
        <w:snapToGrid w:val="0"/>
        <w:spacing w:line="300" w:lineRule="auto"/>
        <w:rPr>
          <w:rFonts w:ascii="宋体" w:hAnsi="宋体" w:eastAsia="宋体" w:cs="宋体"/>
          <w:color w:val="auto"/>
          <w:sz w:val="24"/>
          <w:szCs w:val="24"/>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8.1.</w:t>
      </w:r>
      <w:r>
        <w:rPr>
          <w:rFonts w:hint="eastAsia" w:cs="Times New Roman"/>
          <w:b/>
          <w:bCs/>
          <w:snapToGrid w:val="0"/>
          <w:color w:val="auto"/>
          <w:kern w:val="0"/>
          <w:sz w:val="20"/>
          <w:szCs w:val="20"/>
          <w:highlight w:val="none"/>
          <w:lang w:val="en-US" w:eastAsia="zh-CN" w:bidi="ar-SA"/>
        </w:rPr>
        <w:t>6</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ascii="宋体" w:hAnsi="宋体" w:eastAsia="宋体" w:cs="宋体"/>
          <w:color w:val="auto"/>
          <w:sz w:val="24"/>
          <w:szCs w:val="24"/>
          <w:highlight w:val="none"/>
        </w:rPr>
        <w:t>宜采用信息化技术对混凝土模块生产全过程进行管理，并宜实现模块单元身份标识与生产数据的关联追溯。</w:t>
      </w:r>
    </w:p>
    <w:p w14:paraId="08F4E076">
      <w:pPr>
        <w:pStyle w:val="3"/>
        <w:bidi w:val="0"/>
        <w:rPr>
          <w:rFonts w:hint="eastAsia" w:ascii="Times New Roman" w:hAnsi="Times New Roman" w:eastAsia="黑体" w:cs="Times New Roman"/>
          <w:b/>
          <w:bCs/>
          <w:color w:val="auto"/>
          <w:kern w:val="44"/>
          <w:sz w:val="28"/>
          <w:szCs w:val="28"/>
          <w:highlight w:val="none"/>
          <w:lang w:val="zh-CN" w:eastAsia="zh-CN" w:bidi="ar-SA"/>
        </w:rPr>
      </w:pPr>
      <w:bookmarkStart w:id="290" w:name="_Toc154525541"/>
      <w:bookmarkStart w:id="291" w:name="_Toc9831"/>
      <w:bookmarkStart w:id="292" w:name="_Toc148909484"/>
      <w:bookmarkStart w:id="293" w:name="_Toc1826"/>
      <w:bookmarkStart w:id="294" w:name="_Toc153805662"/>
      <w:bookmarkStart w:id="295" w:name="_Toc154526004"/>
      <w:bookmarkStart w:id="296" w:name="_Toc177840182"/>
      <w:bookmarkStart w:id="297" w:name="_Toc180613544"/>
      <w:bookmarkStart w:id="298" w:name="_Toc5898"/>
      <w:bookmarkStart w:id="299" w:name="_Toc6226"/>
      <w:bookmarkStart w:id="300" w:name="_Toc22658"/>
      <w:bookmarkStart w:id="301" w:name="_Toc27707"/>
      <w:bookmarkStart w:id="302" w:name="_Toc177840574"/>
      <w:r>
        <w:rPr>
          <w:rFonts w:hint="eastAsia" w:ascii="Times New Roman" w:hAnsi="Times New Roman" w:eastAsia="黑体" w:cs="Times New Roman"/>
          <w:b/>
          <w:bCs/>
          <w:color w:val="auto"/>
          <w:kern w:val="44"/>
          <w:sz w:val="28"/>
          <w:szCs w:val="28"/>
          <w:highlight w:val="none"/>
          <w:lang w:val="zh-CN" w:eastAsia="zh-CN" w:bidi="ar-SA"/>
        </w:rPr>
        <w:t>8</w:t>
      </w:r>
      <w:r>
        <w:rPr>
          <w:rFonts w:hint="default" w:ascii="Times New Roman" w:hAnsi="Times New Roman" w:eastAsia="黑体" w:cs="Times New Roman"/>
          <w:b/>
          <w:bCs/>
          <w:color w:val="auto"/>
          <w:kern w:val="44"/>
          <w:sz w:val="28"/>
          <w:szCs w:val="28"/>
          <w:highlight w:val="none"/>
          <w:lang w:val="zh-CN" w:eastAsia="zh-CN" w:bidi="ar-SA"/>
        </w:rPr>
        <w:t>.2</w:t>
      </w:r>
      <w:r>
        <w:rPr>
          <w:rFonts w:hint="eastAsia" w:ascii="Times New Roman" w:hAnsi="Times New Roman" w:eastAsia="黑体" w:cs="Times New Roman"/>
          <w:b/>
          <w:bCs/>
          <w:color w:val="auto"/>
          <w:kern w:val="44"/>
          <w:sz w:val="28"/>
          <w:szCs w:val="28"/>
          <w:highlight w:val="none"/>
          <w:lang w:val="zh-CN" w:eastAsia="zh-CN" w:bidi="ar-SA"/>
        </w:rPr>
        <w:t xml:space="preserve"> </w:t>
      </w:r>
      <w:r>
        <w:rPr>
          <w:rFonts w:hint="eastAsia" w:cs="Times New Roman"/>
          <w:b w:val="0"/>
          <w:bCs w:val="0"/>
          <w:color w:val="auto"/>
          <w:kern w:val="44"/>
          <w:sz w:val="28"/>
          <w:szCs w:val="28"/>
          <w:highlight w:val="none"/>
          <w:lang w:val="zh-CN" w:eastAsia="zh-CN" w:bidi="ar-SA"/>
        </w:rPr>
        <w:t>生产</w:t>
      </w:r>
      <w:r>
        <w:rPr>
          <w:rFonts w:hint="eastAsia" w:ascii="Times New Roman" w:hAnsi="Times New Roman" w:eastAsia="黑体" w:cs="Times New Roman"/>
          <w:b w:val="0"/>
          <w:bCs w:val="0"/>
          <w:color w:val="auto"/>
          <w:kern w:val="44"/>
          <w:sz w:val="28"/>
          <w:szCs w:val="28"/>
          <w:highlight w:val="none"/>
          <w:lang w:val="zh-CN" w:eastAsia="zh-CN" w:bidi="ar-SA"/>
        </w:rPr>
        <w:t>准备</w:t>
      </w:r>
      <w:bookmarkEnd w:id="290"/>
      <w:bookmarkEnd w:id="291"/>
      <w:bookmarkEnd w:id="292"/>
      <w:bookmarkEnd w:id="293"/>
      <w:bookmarkEnd w:id="294"/>
      <w:bookmarkEnd w:id="295"/>
      <w:bookmarkEnd w:id="296"/>
      <w:bookmarkEnd w:id="297"/>
      <w:bookmarkEnd w:id="298"/>
      <w:bookmarkEnd w:id="299"/>
      <w:bookmarkEnd w:id="300"/>
      <w:bookmarkEnd w:id="301"/>
      <w:bookmarkEnd w:id="302"/>
    </w:p>
    <w:p w14:paraId="50D8D46D">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8.2.1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生产用模具除应满足承载力、刚度和整体稳定性要求外，尚应符合下列规定：</w:t>
      </w:r>
    </w:p>
    <w:p w14:paraId="09E83A46">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应满足混凝土模块尺寸精度和表观质量要求，</w:t>
      </w:r>
      <w:r>
        <w:rPr>
          <w:rFonts w:hint="eastAsia" w:cs="Times New Roman"/>
          <w:color w:val="auto"/>
          <w:kern w:val="0"/>
          <w:sz w:val="24"/>
          <w:szCs w:val="24"/>
          <w:highlight w:val="none"/>
          <w:lang w:val="en-US" w:eastAsia="zh-CN" w:bidi="ar-SA"/>
        </w:rPr>
        <w:t>并满足</w:t>
      </w:r>
      <w:r>
        <w:rPr>
          <w:rFonts w:hint="eastAsia" w:ascii="Times New Roman" w:hAnsi="Times New Roman" w:eastAsia="宋体" w:cs="Times New Roman"/>
          <w:color w:val="auto"/>
          <w:kern w:val="0"/>
          <w:sz w:val="24"/>
          <w:szCs w:val="24"/>
          <w:highlight w:val="none"/>
          <w:lang w:val="en-US" w:eastAsia="zh-CN" w:bidi="ar-SA"/>
        </w:rPr>
        <w:t>生产工艺、模具组装与拆卸、周转次数</w:t>
      </w:r>
      <w:r>
        <w:rPr>
          <w:rFonts w:hint="eastAsia" w:cs="Times New Roman"/>
          <w:color w:val="auto"/>
          <w:kern w:val="0"/>
          <w:sz w:val="24"/>
          <w:szCs w:val="24"/>
          <w:highlight w:val="none"/>
          <w:lang w:val="en-US" w:eastAsia="zh-CN" w:bidi="ar-SA"/>
        </w:rPr>
        <w:t>的</w:t>
      </w:r>
      <w:r>
        <w:rPr>
          <w:rFonts w:hint="eastAsia" w:ascii="Times New Roman" w:hAnsi="Times New Roman" w:eastAsia="宋体" w:cs="Times New Roman"/>
          <w:color w:val="auto"/>
          <w:kern w:val="0"/>
          <w:sz w:val="24"/>
          <w:szCs w:val="24"/>
          <w:highlight w:val="none"/>
          <w:lang w:val="en-US" w:eastAsia="zh-CN" w:bidi="ar-SA"/>
        </w:rPr>
        <w:t>要求；</w:t>
      </w:r>
    </w:p>
    <w:p w14:paraId="51B21520">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应满足</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预留孔洞、插筋、预埋件的安装定位要求；</w:t>
      </w:r>
    </w:p>
    <w:p w14:paraId="47F7D580">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3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宜采用尺寸可调的模具。</w:t>
      </w:r>
    </w:p>
    <w:p w14:paraId="5E747C9B">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8.2.2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模具尺寸的允许偏差和检验方法应符合表</w:t>
      </w:r>
      <w:r>
        <w:rPr>
          <w:rFonts w:hint="eastAsia" w:cs="Times New Roman"/>
          <w:color w:val="auto"/>
          <w:kern w:val="0"/>
          <w:sz w:val="24"/>
          <w:szCs w:val="24"/>
          <w:highlight w:val="none"/>
          <w:lang w:val="en-US" w:eastAsia="zh-CN" w:bidi="ar-SA"/>
        </w:rPr>
        <w:t>8</w:t>
      </w:r>
      <w:r>
        <w:rPr>
          <w:rFonts w:hint="eastAsia" w:ascii="Times New Roman" w:hAnsi="Times New Roman" w:eastAsia="宋体" w:cs="Times New Roman"/>
          <w:color w:val="auto"/>
          <w:kern w:val="0"/>
          <w:sz w:val="24"/>
          <w:szCs w:val="24"/>
          <w:highlight w:val="none"/>
          <w:lang w:val="en-US" w:eastAsia="zh-CN" w:bidi="ar-SA"/>
        </w:rPr>
        <w:t>.2.2的规定。当设计有要求时，模具尺寸的允许偏差应按设计要求确定。</w:t>
      </w:r>
    </w:p>
    <w:p w14:paraId="7868C2B9">
      <w:pPr>
        <w:wordWrap/>
        <w:overflowPunct/>
        <w:topLinePunct w:val="0"/>
        <w:bidi w:val="0"/>
        <w:snapToGrid w:val="0"/>
        <w:spacing w:line="300" w:lineRule="auto"/>
        <w:ind w:firstLine="360" w:firstLineChars="200"/>
        <w:jc w:val="center"/>
        <w:rPr>
          <w:rFonts w:ascii="宋体" w:hAnsi="宋体"/>
          <w:color w:val="auto"/>
          <w:sz w:val="18"/>
          <w:szCs w:val="18"/>
          <w:highlight w:val="none"/>
          <w:lang w:bidi="en-US"/>
        </w:rPr>
      </w:pPr>
      <w:r>
        <w:rPr>
          <w:rFonts w:ascii="宋体" w:hAnsi="宋体"/>
          <w:color w:val="auto"/>
          <w:sz w:val="18"/>
          <w:szCs w:val="18"/>
          <w:highlight w:val="none"/>
          <w:lang w:bidi="en-US"/>
        </w:rPr>
        <w:tab/>
      </w:r>
      <w:r>
        <w:rPr>
          <w:rFonts w:hint="eastAsia" w:ascii="宋体" w:hAnsi="宋体"/>
          <w:color w:val="auto"/>
          <w:sz w:val="18"/>
          <w:szCs w:val="18"/>
          <w:highlight w:val="none"/>
          <w:lang w:bidi="en-US"/>
        </w:rPr>
        <w:t>表8</w:t>
      </w:r>
      <w:r>
        <w:rPr>
          <w:rFonts w:ascii="宋体" w:hAnsi="宋体"/>
          <w:color w:val="auto"/>
          <w:sz w:val="18"/>
          <w:szCs w:val="18"/>
          <w:highlight w:val="none"/>
          <w:lang w:bidi="en-US"/>
        </w:rPr>
        <w:t>.2.2</w:t>
      </w:r>
      <w:r>
        <w:rPr>
          <w:rFonts w:hint="eastAsia" w:ascii="宋体" w:hAnsi="宋体"/>
          <w:color w:val="auto"/>
          <w:sz w:val="18"/>
          <w:szCs w:val="18"/>
          <w:highlight w:val="none"/>
          <w:lang w:bidi="en-US"/>
        </w:rPr>
        <w:t xml:space="preserve"> </w:t>
      </w:r>
      <w:r>
        <w:rPr>
          <w:rFonts w:hint="eastAsia" w:ascii="宋体" w:hAnsi="宋体"/>
          <w:color w:val="auto"/>
          <w:sz w:val="18"/>
          <w:szCs w:val="18"/>
          <w:highlight w:val="none"/>
          <w:lang w:val="en-US" w:eastAsia="zh-CN" w:bidi="en-US"/>
        </w:rPr>
        <w:t xml:space="preserve"> </w:t>
      </w:r>
      <w:r>
        <w:rPr>
          <w:rFonts w:hint="eastAsia" w:ascii="宋体" w:hAnsi="宋体"/>
          <w:color w:val="auto"/>
          <w:sz w:val="18"/>
          <w:szCs w:val="18"/>
          <w:highlight w:val="none"/>
          <w:lang w:eastAsia="zh-CN" w:bidi="en-US"/>
        </w:rPr>
        <w:t>混凝土模块</w:t>
      </w:r>
      <w:r>
        <w:rPr>
          <w:rFonts w:hint="eastAsia" w:ascii="宋体" w:hAnsi="宋体"/>
          <w:color w:val="auto"/>
          <w:sz w:val="18"/>
          <w:szCs w:val="18"/>
          <w:highlight w:val="none"/>
          <w:lang w:bidi="en-US"/>
        </w:rPr>
        <w:t>模具尺寸允许偏差及检验方法</w:t>
      </w:r>
    </w:p>
    <w:tbl>
      <w:tblPr>
        <w:tblStyle w:val="16"/>
        <w:tblW w:w="40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845"/>
        <w:gridCol w:w="1779"/>
        <w:gridCol w:w="3134"/>
      </w:tblGrid>
      <w:tr w14:paraId="1EF83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4371ABED">
            <w:pPr>
              <w:wordWrap/>
              <w:overflowPunct/>
              <w:topLinePunct w:val="0"/>
              <w:bidi w:val="0"/>
              <w:snapToGrid w:val="0"/>
              <w:spacing w:line="300" w:lineRule="auto"/>
              <w:ind w:firstLine="360" w:firstLineChars="20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检验项目及内容</w:t>
            </w:r>
          </w:p>
        </w:tc>
        <w:tc>
          <w:tcPr>
            <w:tcW w:w="1141" w:type="pct"/>
            <w:shd w:val="clear" w:color="auto" w:fill="auto"/>
            <w:vAlign w:val="center"/>
          </w:tcPr>
          <w:p w14:paraId="128A6CE4">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允许偏差（mm）</w:t>
            </w:r>
          </w:p>
        </w:tc>
        <w:tc>
          <w:tcPr>
            <w:tcW w:w="2010" w:type="pct"/>
            <w:shd w:val="clear" w:color="auto" w:fill="auto"/>
            <w:vAlign w:val="center"/>
          </w:tcPr>
          <w:p w14:paraId="57CDBE0B">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检验方法</w:t>
            </w:r>
          </w:p>
        </w:tc>
      </w:tr>
      <w:tr w14:paraId="0042C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5" w:type="pct"/>
            <w:vMerge w:val="restart"/>
            <w:shd w:val="clear" w:color="auto" w:fill="FFFFFF" w:themeFill="background1"/>
            <w:vAlign w:val="center"/>
          </w:tcPr>
          <w:p w14:paraId="021DAEF6">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bidi="en-US"/>
              </w:rPr>
            </w:pPr>
            <w:r>
              <w:rPr>
                <w:rFonts w:ascii="宋体" w:hAnsi="宋体" w:cs="Times New Roman"/>
                <w:color w:val="auto"/>
                <w:sz w:val="18"/>
                <w:szCs w:val="18"/>
                <w:highlight w:val="none"/>
                <w:lang w:bidi="en-US"/>
              </w:rPr>
              <w:t>长度</w:t>
            </w:r>
            <w:r>
              <w:rPr>
                <w:rFonts w:hint="eastAsia" w:ascii="宋体" w:hAnsi="宋体" w:cs="Times New Roman"/>
                <w:color w:val="auto"/>
                <w:sz w:val="18"/>
                <w:szCs w:val="18"/>
                <w:highlight w:val="none"/>
                <w:lang w:eastAsia="zh-CN" w:bidi="en-US"/>
              </w:rPr>
              <w:t>、</w:t>
            </w:r>
            <w:r>
              <w:rPr>
                <w:rFonts w:hint="eastAsia" w:ascii="宋体" w:hAnsi="宋体" w:cs="Times New Roman"/>
                <w:color w:val="auto"/>
                <w:sz w:val="18"/>
                <w:szCs w:val="18"/>
                <w:highlight w:val="none"/>
                <w:lang w:val="en-US" w:eastAsia="zh-CN" w:bidi="en-US"/>
              </w:rPr>
              <w:t>宽度</w:t>
            </w:r>
          </w:p>
        </w:tc>
        <w:tc>
          <w:tcPr>
            <w:tcW w:w="1182" w:type="pct"/>
            <w:shd w:val="clear" w:color="auto" w:fill="FFFFFF" w:themeFill="background1"/>
            <w:vAlign w:val="center"/>
          </w:tcPr>
          <w:p w14:paraId="061067A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≤6m</w:t>
            </w:r>
          </w:p>
        </w:tc>
        <w:tc>
          <w:tcPr>
            <w:tcW w:w="1141" w:type="pct"/>
            <w:shd w:val="clear" w:color="auto" w:fill="FFFFFF" w:themeFill="background1"/>
            <w:vAlign w:val="center"/>
          </w:tcPr>
          <w:p w14:paraId="596DE3D8">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w:t>
            </w:r>
            <w:r>
              <w:rPr>
                <w:rFonts w:hint="eastAsia" w:ascii="宋体" w:hAnsi="宋体" w:cs="Times New Roman"/>
                <w:color w:val="auto"/>
                <w:sz w:val="18"/>
                <w:szCs w:val="18"/>
                <w:highlight w:val="none"/>
                <w:lang w:val="en-US" w:eastAsia="zh-CN" w:bidi="en-US"/>
              </w:rPr>
              <w:t>3，且≤</w:t>
            </w:r>
            <w:r>
              <w:rPr>
                <w:rFonts w:ascii="宋体" w:hAnsi="宋体" w:cs="Times New Roman"/>
                <w:color w:val="auto"/>
                <w:sz w:val="18"/>
                <w:szCs w:val="18"/>
                <w:highlight w:val="none"/>
                <w:lang w:bidi="en-US"/>
              </w:rPr>
              <w:t>1</w:t>
            </w:r>
          </w:p>
        </w:tc>
        <w:tc>
          <w:tcPr>
            <w:tcW w:w="2010" w:type="pct"/>
            <w:shd w:val="clear" w:color="auto" w:fill="FFFFFF" w:themeFill="background1"/>
            <w:vAlign w:val="center"/>
          </w:tcPr>
          <w:p w14:paraId="098530C8">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1B3E7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5" w:type="pct"/>
            <w:vMerge w:val="continue"/>
            <w:shd w:val="clear" w:color="auto" w:fill="FFFFFF" w:themeFill="background1"/>
            <w:vAlign w:val="center"/>
          </w:tcPr>
          <w:p w14:paraId="78DC859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c>
          <w:tcPr>
            <w:tcW w:w="1182" w:type="pct"/>
            <w:shd w:val="clear" w:color="auto" w:fill="FFFFFF" w:themeFill="background1"/>
            <w:vAlign w:val="center"/>
          </w:tcPr>
          <w:p w14:paraId="18D10E6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＞6m</w:t>
            </w:r>
          </w:p>
        </w:tc>
        <w:tc>
          <w:tcPr>
            <w:tcW w:w="1141" w:type="pct"/>
            <w:shd w:val="clear" w:color="auto" w:fill="FFFFFF" w:themeFill="background1"/>
            <w:vAlign w:val="center"/>
          </w:tcPr>
          <w:p w14:paraId="280A6E1F">
            <w:pPr>
              <w:wordWrap/>
              <w:overflowPunct/>
              <w:topLinePunct w:val="0"/>
              <w:bidi w:val="0"/>
              <w:snapToGrid w:val="0"/>
              <w:spacing w:line="300" w:lineRule="auto"/>
              <w:ind w:left="0" w:leftChars="0" w:firstLine="0" w:firstLineChars="0"/>
              <w:jc w:val="center"/>
              <w:rPr>
                <w:rFonts w:hint="eastAsia"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w:t>
            </w:r>
            <w:r>
              <w:rPr>
                <w:rFonts w:hint="eastAsia" w:ascii="宋体" w:hAnsi="宋体" w:cs="Times New Roman"/>
                <w:color w:val="auto"/>
                <w:sz w:val="18"/>
                <w:szCs w:val="18"/>
                <w:highlight w:val="none"/>
                <w:lang w:val="en-US" w:eastAsia="zh-CN" w:bidi="en-US"/>
              </w:rPr>
              <w:t>5</w:t>
            </w:r>
            <w:r>
              <w:rPr>
                <w:rFonts w:ascii="宋体" w:hAnsi="宋体" w:cs="Times New Roman"/>
                <w:color w:val="auto"/>
                <w:sz w:val="18"/>
                <w:szCs w:val="18"/>
                <w:highlight w:val="none"/>
                <w:lang w:bidi="en-US"/>
              </w:rPr>
              <w:t>，</w:t>
            </w:r>
            <w:r>
              <w:rPr>
                <w:rFonts w:hint="eastAsia" w:ascii="宋体" w:hAnsi="宋体" w:cs="Times New Roman"/>
                <w:color w:val="auto"/>
                <w:sz w:val="18"/>
                <w:szCs w:val="18"/>
                <w:highlight w:val="none"/>
                <w:lang w:val="en-US" w:eastAsia="zh-CN" w:bidi="en-US"/>
              </w:rPr>
              <w:t>且≤</w:t>
            </w:r>
            <w:r>
              <w:rPr>
                <w:rFonts w:ascii="宋体" w:hAnsi="宋体" w:cs="Times New Roman"/>
                <w:color w:val="auto"/>
                <w:sz w:val="18"/>
                <w:szCs w:val="18"/>
                <w:highlight w:val="none"/>
                <w:lang w:bidi="en-US"/>
              </w:rPr>
              <w:t>2</w:t>
            </w:r>
          </w:p>
        </w:tc>
        <w:tc>
          <w:tcPr>
            <w:tcW w:w="2010" w:type="pct"/>
            <w:shd w:val="clear" w:color="auto" w:fill="FFFFFF" w:themeFill="background1"/>
            <w:vAlign w:val="center"/>
          </w:tcPr>
          <w:p w14:paraId="19595CC4">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6528F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16AD2A7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高度</w:t>
            </w:r>
          </w:p>
        </w:tc>
        <w:tc>
          <w:tcPr>
            <w:tcW w:w="1141" w:type="pct"/>
            <w:shd w:val="clear" w:color="auto" w:fill="auto"/>
            <w:vAlign w:val="center"/>
          </w:tcPr>
          <w:p w14:paraId="486D4561">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-2</w:t>
            </w:r>
            <w:r>
              <w:rPr>
                <w:rFonts w:hint="eastAsia" w:ascii="宋体" w:hAnsi="宋体" w:cs="Times New Roman"/>
                <w:color w:val="auto"/>
                <w:sz w:val="18"/>
                <w:szCs w:val="18"/>
                <w:highlight w:val="none"/>
                <w:lang w:eastAsia="zh-CN" w:bidi="en-US"/>
              </w:rPr>
              <w:t>，</w:t>
            </w:r>
            <w:r>
              <w:rPr>
                <w:rFonts w:hint="eastAsia" w:ascii="宋体" w:hAnsi="宋体" w:cs="Times New Roman"/>
                <w:color w:val="auto"/>
                <w:sz w:val="18"/>
                <w:szCs w:val="18"/>
                <w:highlight w:val="none"/>
                <w:lang w:val="en-US" w:eastAsia="zh-CN" w:bidi="en-US"/>
              </w:rPr>
              <w:t>且≤</w:t>
            </w:r>
            <w:r>
              <w:rPr>
                <w:rFonts w:ascii="宋体" w:hAnsi="宋体" w:cs="Times New Roman"/>
                <w:color w:val="auto"/>
                <w:sz w:val="18"/>
                <w:szCs w:val="18"/>
                <w:highlight w:val="none"/>
                <w:lang w:bidi="en-US"/>
              </w:rPr>
              <w:t>1</w:t>
            </w:r>
          </w:p>
        </w:tc>
        <w:tc>
          <w:tcPr>
            <w:tcW w:w="2010" w:type="pct"/>
            <w:shd w:val="clear" w:color="auto" w:fill="auto"/>
            <w:vAlign w:val="center"/>
          </w:tcPr>
          <w:p w14:paraId="411B73ED">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07F1C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47BCDC69">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边线尺寸</w:t>
            </w:r>
          </w:p>
        </w:tc>
        <w:tc>
          <w:tcPr>
            <w:tcW w:w="1141" w:type="pct"/>
            <w:shd w:val="clear" w:color="auto" w:fill="auto"/>
            <w:vAlign w:val="center"/>
          </w:tcPr>
          <w:p w14:paraId="03B9D3C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-2</w:t>
            </w:r>
            <w:r>
              <w:rPr>
                <w:rFonts w:hint="eastAsia" w:ascii="宋体" w:hAnsi="宋体" w:cs="Times New Roman"/>
                <w:color w:val="auto"/>
                <w:sz w:val="18"/>
                <w:szCs w:val="18"/>
                <w:highlight w:val="none"/>
                <w:lang w:eastAsia="zh-CN" w:bidi="en-US"/>
              </w:rPr>
              <w:t>，</w:t>
            </w:r>
            <w:r>
              <w:rPr>
                <w:rFonts w:hint="eastAsia" w:ascii="宋体" w:hAnsi="宋体" w:cs="Times New Roman"/>
                <w:color w:val="auto"/>
                <w:sz w:val="18"/>
                <w:szCs w:val="18"/>
                <w:highlight w:val="none"/>
                <w:lang w:val="en-US" w:eastAsia="zh-CN" w:bidi="en-US"/>
              </w:rPr>
              <w:t>且≤</w:t>
            </w:r>
            <w:r>
              <w:rPr>
                <w:rFonts w:ascii="宋体" w:hAnsi="宋体" w:cs="Times New Roman"/>
                <w:color w:val="auto"/>
                <w:sz w:val="18"/>
                <w:szCs w:val="18"/>
                <w:highlight w:val="none"/>
                <w:lang w:bidi="en-US"/>
              </w:rPr>
              <w:t>1</w:t>
            </w:r>
          </w:p>
        </w:tc>
        <w:tc>
          <w:tcPr>
            <w:tcW w:w="2010" w:type="pct"/>
            <w:shd w:val="clear" w:color="auto" w:fill="auto"/>
            <w:vAlign w:val="center"/>
          </w:tcPr>
          <w:p w14:paraId="1BE6E2E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673F2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01AA081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表面</w:t>
            </w:r>
            <w:r>
              <w:rPr>
                <w:rFonts w:ascii="宋体" w:hAnsi="宋体" w:cs="Times New Roman"/>
                <w:color w:val="auto"/>
                <w:sz w:val="18"/>
                <w:szCs w:val="18"/>
                <w:highlight w:val="none"/>
                <w:lang w:bidi="en-US"/>
              </w:rPr>
              <w:t>对角线差</w:t>
            </w:r>
          </w:p>
        </w:tc>
        <w:tc>
          <w:tcPr>
            <w:tcW w:w="1141" w:type="pct"/>
            <w:shd w:val="clear" w:color="auto" w:fill="auto"/>
            <w:vAlign w:val="center"/>
          </w:tcPr>
          <w:p w14:paraId="4023926B">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3</w:t>
            </w:r>
          </w:p>
        </w:tc>
        <w:tc>
          <w:tcPr>
            <w:tcW w:w="2010" w:type="pct"/>
            <w:shd w:val="clear" w:color="auto" w:fill="auto"/>
            <w:vAlign w:val="center"/>
          </w:tcPr>
          <w:p w14:paraId="226B5FA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用钢尺量纵、横两个方向对角线</w:t>
            </w:r>
          </w:p>
        </w:tc>
      </w:tr>
      <w:tr w14:paraId="170CE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5" w:type="pct"/>
            <w:vMerge w:val="restart"/>
            <w:shd w:val="clear" w:color="auto" w:fill="auto"/>
            <w:vAlign w:val="center"/>
          </w:tcPr>
          <w:p w14:paraId="6A3E6B3B">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门窗口</w:t>
            </w:r>
          </w:p>
        </w:tc>
        <w:tc>
          <w:tcPr>
            <w:tcW w:w="1182" w:type="pct"/>
            <w:shd w:val="clear" w:color="auto" w:fill="auto"/>
            <w:vAlign w:val="center"/>
          </w:tcPr>
          <w:p w14:paraId="62C08689">
            <w:pPr>
              <w:wordWrap/>
              <w:overflowPunct/>
              <w:topLinePunct w:val="0"/>
              <w:bidi w:val="0"/>
              <w:snapToGrid w:val="0"/>
              <w:spacing w:line="300" w:lineRule="auto"/>
              <w:ind w:left="0" w:leftChars="0" w:firstLine="0" w:firstLineChars="0"/>
              <w:jc w:val="center"/>
              <w:rPr>
                <w:rFonts w:hint="default" w:ascii="宋体" w:hAnsi="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位置偏移</w:t>
            </w:r>
          </w:p>
        </w:tc>
        <w:tc>
          <w:tcPr>
            <w:tcW w:w="1141" w:type="pct"/>
            <w:shd w:val="clear" w:color="auto" w:fill="auto"/>
            <w:vAlign w:val="center"/>
          </w:tcPr>
          <w:p w14:paraId="34C99A37">
            <w:pPr>
              <w:wordWrap/>
              <w:overflowPunct/>
              <w:topLinePunct w:val="0"/>
              <w:bidi w:val="0"/>
              <w:snapToGrid w:val="0"/>
              <w:spacing w:line="300" w:lineRule="auto"/>
              <w:ind w:left="0" w:leftChars="0" w:firstLine="0" w:firstLineChars="0"/>
              <w:jc w:val="center"/>
              <w:rPr>
                <w:rFonts w:hint="eastAsia"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≤2</w:t>
            </w:r>
          </w:p>
        </w:tc>
        <w:tc>
          <w:tcPr>
            <w:tcW w:w="2010" w:type="pct"/>
            <w:shd w:val="clear" w:color="auto" w:fill="auto"/>
            <w:vAlign w:val="center"/>
          </w:tcPr>
          <w:p w14:paraId="53D02FC6">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按《预制混凝土构件质量检验标准》（DB/T 968）相关方法</w:t>
            </w:r>
          </w:p>
        </w:tc>
      </w:tr>
      <w:tr w14:paraId="6CC30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5" w:type="pct"/>
            <w:vMerge w:val="continue"/>
            <w:shd w:val="clear" w:color="auto" w:fill="auto"/>
            <w:vAlign w:val="center"/>
          </w:tcPr>
          <w:p w14:paraId="7878F0D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c>
          <w:tcPr>
            <w:tcW w:w="1182" w:type="pct"/>
            <w:shd w:val="clear" w:color="auto" w:fill="auto"/>
            <w:vAlign w:val="center"/>
          </w:tcPr>
          <w:p w14:paraId="19B0D844">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墙板洞口尺寸</w:t>
            </w:r>
          </w:p>
        </w:tc>
        <w:tc>
          <w:tcPr>
            <w:tcW w:w="1141" w:type="pct"/>
            <w:shd w:val="clear" w:color="auto" w:fill="auto"/>
            <w:vAlign w:val="center"/>
          </w:tcPr>
          <w:p w14:paraId="1DACA39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2</w:t>
            </w:r>
          </w:p>
        </w:tc>
        <w:tc>
          <w:tcPr>
            <w:tcW w:w="2010" w:type="pct"/>
            <w:shd w:val="clear" w:color="auto" w:fill="auto"/>
            <w:vAlign w:val="center"/>
          </w:tcPr>
          <w:p w14:paraId="354930B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76386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5" w:type="pct"/>
            <w:vMerge w:val="continue"/>
            <w:shd w:val="clear" w:color="auto" w:fill="auto"/>
            <w:vAlign w:val="center"/>
          </w:tcPr>
          <w:p w14:paraId="37DAD4DC">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c>
          <w:tcPr>
            <w:tcW w:w="1182" w:type="pct"/>
            <w:shd w:val="clear" w:color="auto" w:fill="auto"/>
            <w:vAlign w:val="center"/>
          </w:tcPr>
          <w:p w14:paraId="0102A29D">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墙板洞口对角线</w:t>
            </w:r>
          </w:p>
        </w:tc>
        <w:tc>
          <w:tcPr>
            <w:tcW w:w="1141" w:type="pct"/>
            <w:shd w:val="clear" w:color="auto" w:fill="auto"/>
            <w:vAlign w:val="center"/>
          </w:tcPr>
          <w:p w14:paraId="16445057">
            <w:pPr>
              <w:wordWrap/>
              <w:overflowPunct/>
              <w:topLinePunct w:val="0"/>
              <w:bidi w:val="0"/>
              <w:snapToGrid w:val="0"/>
              <w:spacing w:line="300" w:lineRule="auto"/>
              <w:ind w:left="0" w:leftChars="0" w:firstLine="0" w:firstLineChars="0"/>
              <w:jc w:val="center"/>
              <w:rPr>
                <w:rFonts w:hint="eastAsia" w:ascii="宋体" w:hAnsi="宋体" w:eastAsia="宋体" w:cs="Times New Roman"/>
                <w:color w:val="auto"/>
                <w:sz w:val="18"/>
                <w:szCs w:val="18"/>
                <w:highlight w:val="none"/>
                <w:lang w:eastAsia="zh-CN" w:bidi="en-US"/>
              </w:rPr>
            </w:pPr>
            <w:r>
              <w:rPr>
                <w:rFonts w:hint="eastAsia" w:ascii="宋体" w:hAnsi="宋体" w:cs="Times New Roman"/>
                <w:color w:val="auto"/>
                <w:sz w:val="18"/>
                <w:szCs w:val="18"/>
                <w:highlight w:val="none"/>
                <w:lang w:val="en-US" w:eastAsia="zh-CN" w:bidi="en-US"/>
              </w:rPr>
              <w:t>≤2</w:t>
            </w:r>
          </w:p>
        </w:tc>
        <w:tc>
          <w:tcPr>
            <w:tcW w:w="2010" w:type="pct"/>
            <w:shd w:val="clear" w:color="auto" w:fill="auto"/>
            <w:vAlign w:val="center"/>
          </w:tcPr>
          <w:p w14:paraId="3FFA27A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1580E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1B22DE4F">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侧向弯曲</w:t>
            </w:r>
          </w:p>
        </w:tc>
        <w:tc>
          <w:tcPr>
            <w:tcW w:w="1141" w:type="pct"/>
            <w:shd w:val="clear" w:color="auto" w:fill="auto"/>
            <w:vAlign w:val="center"/>
          </w:tcPr>
          <w:p w14:paraId="3CBD3521">
            <w:pPr>
              <w:wordWrap/>
              <w:overflowPunct/>
              <w:topLinePunct w:val="0"/>
              <w:bidi w:val="0"/>
              <w:snapToGrid w:val="0"/>
              <w:spacing w:line="300" w:lineRule="auto"/>
              <w:ind w:left="0" w:leftChars="0" w:firstLine="0" w:firstLineChars="0"/>
              <w:jc w:val="center"/>
              <w:rPr>
                <w:rFonts w:hint="eastAsia" w:ascii="宋体" w:hAnsi="宋体" w:cs="Times New Roman"/>
                <w:i w:val="0"/>
                <w:iCs w:val="0"/>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s="Times New Roman"/>
                <w:i w:val="0"/>
                <w:iCs w:val="0"/>
                <w:color w:val="auto"/>
                <w:sz w:val="18"/>
                <w:szCs w:val="18"/>
                <w:highlight w:val="none"/>
                <w:lang w:val="en-US" w:eastAsia="zh-CN" w:bidi="en-US"/>
              </w:rPr>
              <w:t>L</w:t>
            </w:r>
            <w:r>
              <w:rPr>
                <w:rFonts w:ascii="宋体" w:hAnsi="宋体" w:cs="Times New Roman"/>
                <w:color w:val="auto"/>
                <w:sz w:val="18"/>
                <w:szCs w:val="18"/>
                <w:highlight w:val="none"/>
                <w:lang w:bidi="en-US"/>
              </w:rPr>
              <w:t>/1500</w:t>
            </w:r>
          </w:p>
        </w:tc>
        <w:tc>
          <w:tcPr>
            <w:tcW w:w="2010" w:type="pct"/>
            <w:shd w:val="clear" w:color="auto" w:fill="auto"/>
            <w:vAlign w:val="center"/>
          </w:tcPr>
          <w:p w14:paraId="15E6EDC2">
            <w:pPr>
              <w:wordWrap/>
              <w:overflowPunct/>
              <w:topLinePunct w:val="0"/>
              <w:bidi w:val="0"/>
              <w:snapToGrid w:val="0"/>
              <w:spacing w:line="300" w:lineRule="auto"/>
              <w:ind w:left="0" w:leftChars="0" w:firstLine="0" w:firstLineChars="0"/>
              <w:jc w:val="left"/>
              <w:rPr>
                <w:rFonts w:hint="default"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bidi="en-US"/>
              </w:rPr>
              <w:t>沿侧模长度方向拉线，</w:t>
            </w:r>
            <w:r>
              <w:rPr>
                <w:rFonts w:hint="eastAsia" w:ascii="宋体" w:hAnsi="宋体" w:cs="Times New Roman"/>
                <w:color w:val="auto"/>
                <w:sz w:val="18"/>
                <w:szCs w:val="18"/>
                <w:highlight w:val="none"/>
                <w:lang w:val="en-US" w:eastAsia="zh-CN" w:bidi="en-US"/>
              </w:rPr>
              <w:t>用钢尺量测与混凝土接触的侧模面和拉线之间的最大水平距离，减去拉线端定线垫板的厚度</w:t>
            </w:r>
          </w:p>
        </w:tc>
      </w:tr>
      <w:tr w14:paraId="039B9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3A4E5734">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翘曲</w:t>
            </w:r>
          </w:p>
        </w:tc>
        <w:tc>
          <w:tcPr>
            <w:tcW w:w="1141" w:type="pct"/>
            <w:shd w:val="clear" w:color="auto" w:fill="auto"/>
            <w:vAlign w:val="center"/>
          </w:tcPr>
          <w:p w14:paraId="22EF7FE5">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s="Times New Roman"/>
                <w:i w:val="0"/>
                <w:iCs w:val="0"/>
                <w:color w:val="auto"/>
                <w:sz w:val="18"/>
                <w:szCs w:val="18"/>
                <w:highlight w:val="none"/>
                <w:lang w:val="en-US" w:eastAsia="zh-CN" w:bidi="en-US"/>
              </w:rPr>
              <w:t>L</w:t>
            </w:r>
            <w:r>
              <w:rPr>
                <w:rFonts w:ascii="宋体" w:hAnsi="宋体" w:cs="Times New Roman"/>
                <w:color w:val="auto"/>
                <w:sz w:val="18"/>
                <w:szCs w:val="18"/>
                <w:highlight w:val="none"/>
                <w:lang w:bidi="en-US"/>
              </w:rPr>
              <w:t>/1500</w:t>
            </w:r>
          </w:p>
        </w:tc>
        <w:tc>
          <w:tcPr>
            <w:tcW w:w="2010" w:type="pct"/>
            <w:shd w:val="clear" w:color="auto" w:fill="auto"/>
            <w:vAlign w:val="center"/>
          </w:tcPr>
          <w:p w14:paraId="68B4CCC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对角拉线测量交点间距离值的2倍</w:t>
            </w:r>
          </w:p>
        </w:tc>
      </w:tr>
      <w:tr w14:paraId="40B3C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5" w:type="pct"/>
            <w:vMerge w:val="restart"/>
            <w:shd w:val="clear" w:color="auto" w:fill="auto"/>
            <w:vAlign w:val="center"/>
          </w:tcPr>
          <w:p w14:paraId="21E9343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模具表面平整度</w:t>
            </w:r>
          </w:p>
        </w:tc>
        <w:tc>
          <w:tcPr>
            <w:tcW w:w="1182" w:type="pct"/>
            <w:shd w:val="clear" w:color="auto" w:fill="auto"/>
            <w:vAlign w:val="center"/>
          </w:tcPr>
          <w:p w14:paraId="36DBA68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清水面</w:t>
            </w:r>
          </w:p>
        </w:tc>
        <w:tc>
          <w:tcPr>
            <w:tcW w:w="1141" w:type="pct"/>
            <w:shd w:val="clear" w:color="auto" w:fill="auto"/>
            <w:vAlign w:val="center"/>
          </w:tcPr>
          <w:p w14:paraId="41A38CC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1</w:t>
            </w:r>
          </w:p>
        </w:tc>
        <w:tc>
          <w:tcPr>
            <w:tcW w:w="2010" w:type="pct"/>
            <w:vMerge w:val="restart"/>
            <w:shd w:val="clear" w:color="auto" w:fill="auto"/>
            <w:vAlign w:val="center"/>
          </w:tcPr>
          <w:p w14:paraId="496F598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用2m靠尺和塞尺量</w:t>
            </w:r>
          </w:p>
        </w:tc>
      </w:tr>
      <w:tr w14:paraId="491A2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5" w:type="pct"/>
            <w:vMerge w:val="continue"/>
            <w:shd w:val="clear" w:color="auto" w:fill="auto"/>
            <w:vAlign w:val="center"/>
          </w:tcPr>
          <w:p w14:paraId="70798F9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c>
          <w:tcPr>
            <w:tcW w:w="1182" w:type="pct"/>
            <w:shd w:val="clear" w:color="auto" w:fill="auto"/>
            <w:vAlign w:val="center"/>
          </w:tcPr>
          <w:p w14:paraId="71AAAF0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非清水面</w:t>
            </w:r>
          </w:p>
        </w:tc>
        <w:tc>
          <w:tcPr>
            <w:tcW w:w="1141" w:type="pct"/>
            <w:shd w:val="clear" w:color="auto" w:fill="auto"/>
            <w:vAlign w:val="center"/>
          </w:tcPr>
          <w:p w14:paraId="5B2B63FC">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2</w:t>
            </w:r>
          </w:p>
        </w:tc>
        <w:tc>
          <w:tcPr>
            <w:tcW w:w="2010" w:type="pct"/>
            <w:vMerge w:val="continue"/>
            <w:shd w:val="clear" w:color="auto" w:fill="auto"/>
            <w:vAlign w:val="center"/>
          </w:tcPr>
          <w:p w14:paraId="02DE506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r>
      <w:tr w14:paraId="56A47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48" w:type="pct"/>
            <w:gridSpan w:val="2"/>
            <w:shd w:val="clear" w:color="auto" w:fill="auto"/>
            <w:vAlign w:val="center"/>
          </w:tcPr>
          <w:p w14:paraId="1F18F58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组装缝隙</w:t>
            </w:r>
          </w:p>
        </w:tc>
        <w:tc>
          <w:tcPr>
            <w:tcW w:w="1141" w:type="pct"/>
            <w:shd w:val="clear" w:color="auto" w:fill="auto"/>
            <w:vAlign w:val="center"/>
          </w:tcPr>
          <w:p w14:paraId="274BF2FC">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1</w:t>
            </w:r>
          </w:p>
        </w:tc>
        <w:tc>
          <w:tcPr>
            <w:tcW w:w="2010" w:type="pct"/>
            <w:shd w:val="clear" w:color="auto" w:fill="auto"/>
            <w:vAlign w:val="center"/>
          </w:tcPr>
          <w:p w14:paraId="6CEA797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用塞片或塞尺量</w:t>
            </w:r>
          </w:p>
        </w:tc>
      </w:tr>
      <w:tr w14:paraId="3B367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1BFC4D4C">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相邻竖向模具高差</w:t>
            </w:r>
          </w:p>
        </w:tc>
        <w:tc>
          <w:tcPr>
            <w:tcW w:w="1141" w:type="pct"/>
            <w:shd w:val="clear" w:color="auto" w:fill="auto"/>
            <w:vAlign w:val="center"/>
          </w:tcPr>
          <w:p w14:paraId="4B9325B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1</w:t>
            </w:r>
          </w:p>
        </w:tc>
        <w:tc>
          <w:tcPr>
            <w:tcW w:w="2010" w:type="pct"/>
            <w:shd w:val="clear" w:color="auto" w:fill="auto"/>
            <w:vAlign w:val="center"/>
          </w:tcPr>
          <w:p w14:paraId="12D1AC5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37C32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7214009C">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模具体对角线</w:t>
            </w:r>
          </w:p>
        </w:tc>
        <w:tc>
          <w:tcPr>
            <w:tcW w:w="1141" w:type="pct"/>
            <w:shd w:val="clear" w:color="auto" w:fill="auto"/>
            <w:vAlign w:val="center"/>
          </w:tcPr>
          <w:p w14:paraId="398AEBAF">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5</w:t>
            </w:r>
          </w:p>
        </w:tc>
        <w:tc>
          <w:tcPr>
            <w:tcW w:w="2010" w:type="pct"/>
            <w:shd w:val="clear" w:color="auto" w:fill="auto"/>
            <w:vAlign w:val="center"/>
          </w:tcPr>
          <w:p w14:paraId="6FF4172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201E1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8" w:type="pct"/>
            <w:gridSpan w:val="2"/>
            <w:shd w:val="clear" w:color="auto" w:fill="auto"/>
            <w:vAlign w:val="center"/>
          </w:tcPr>
          <w:p w14:paraId="4180F5F9">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模具垂直度</w:t>
            </w:r>
          </w:p>
        </w:tc>
        <w:tc>
          <w:tcPr>
            <w:tcW w:w="1141" w:type="pct"/>
            <w:shd w:val="clear" w:color="auto" w:fill="auto"/>
            <w:vAlign w:val="center"/>
          </w:tcPr>
          <w:p w14:paraId="6C431FD9">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s="Times New Roman"/>
                <w:color w:val="auto"/>
                <w:sz w:val="18"/>
                <w:szCs w:val="18"/>
                <w:highlight w:val="none"/>
                <w:lang w:bidi="en-US"/>
              </w:rPr>
              <w:t>1mm/m</w:t>
            </w:r>
          </w:p>
        </w:tc>
        <w:tc>
          <w:tcPr>
            <w:tcW w:w="2010" w:type="pct"/>
            <w:shd w:val="clear" w:color="auto" w:fill="auto"/>
            <w:vAlign w:val="center"/>
          </w:tcPr>
          <w:p w14:paraId="5D003A1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经纬仪或吊坠</w:t>
            </w:r>
          </w:p>
        </w:tc>
      </w:tr>
    </w:tbl>
    <w:p w14:paraId="3EC1F2DE">
      <w:pPr>
        <w:wordWrap/>
        <w:overflowPunct/>
        <w:topLinePunct w:val="0"/>
        <w:bidi w:val="0"/>
        <w:snapToGrid w:val="0"/>
        <w:spacing w:line="300" w:lineRule="auto"/>
        <w:ind w:firstLine="360" w:firstLineChars="200"/>
        <w:jc w:val="left"/>
        <w:rPr>
          <w:rFonts w:hint="eastAsia" w:ascii="宋体" w:hAnsi="宋体" w:eastAsia="宋体"/>
          <w:color w:val="auto"/>
          <w:sz w:val="18"/>
          <w:szCs w:val="18"/>
          <w:highlight w:val="none"/>
          <w:lang w:eastAsia="zh-CN" w:bidi="en-US"/>
        </w:rPr>
      </w:pPr>
      <w:r>
        <w:rPr>
          <w:rFonts w:hint="eastAsia" w:ascii="宋体" w:hAnsi="宋体"/>
          <w:color w:val="auto"/>
          <w:sz w:val="18"/>
          <w:szCs w:val="18"/>
          <w:highlight w:val="none"/>
          <w:lang w:bidi="en-US"/>
        </w:rPr>
        <w:t>注：</w:t>
      </w:r>
      <w:r>
        <w:rPr>
          <w:rFonts w:hint="eastAsia" w:ascii="宋体" w:hAnsi="宋体" w:cs="Times New Roman"/>
          <w:color w:val="auto"/>
          <w:sz w:val="18"/>
          <w:szCs w:val="18"/>
          <w:highlight w:val="none"/>
          <w:lang w:val="en-US" w:eastAsia="zh-CN" w:bidi="en-US"/>
        </w:rPr>
        <w:t>L</w:t>
      </w:r>
      <w:r>
        <w:rPr>
          <w:rFonts w:hint="eastAsia" w:ascii="宋体" w:hAnsi="宋体"/>
          <w:color w:val="auto"/>
          <w:sz w:val="18"/>
          <w:szCs w:val="18"/>
          <w:highlight w:val="none"/>
          <w:lang w:bidi="en-US"/>
        </w:rPr>
        <w:t>为模具与混凝土接触面中最长边的尺寸</w:t>
      </w:r>
      <w:r>
        <w:rPr>
          <w:rFonts w:hint="eastAsia" w:ascii="宋体" w:hAnsi="宋体"/>
          <w:color w:val="auto"/>
          <w:sz w:val="18"/>
          <w:szCs w:val="18"/>
          <w:highlight w:val="none"/>
          <w:lang w:eastAsia="zh-CN" w:bidi="en-US"/>
        </w:rPr>
        <w:t>。</w:t>
      </w:r>
    </w:p>
    <w:p w14:paraId="3C49055E">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8.2.3</w:t>
      </w:r>
      <w:r>
        <w:rPr>
          <w:rFonts w:hint="eastAsia" w:cs="Times New Roman"/>
          <w:b/>
          <w:bCs/>
          <w:snapToGrid w:val="0"/>
          <w:color w:val="auto"/>
          <w:kern w:val="0"/>
          <w:sz w:val="20"/>
          <w:szCs w:val="20"/>
          <w:highlight w:val="none"/>
          <w:lang w:val="en-US" w:eastAsia="zh-CN" w:bidi="ar-SA"/>
        </w:rPr>
        <w:t xml:space="preserve"> </w:t>
      </w:r>
      <w:r>
        <w:rPr>
          <w:rFonts w:ascii="宋体" w:hAnsi="宋体" w:cs="Times New Roman"/>
          <w:color w:val="auto"/>
          <w:sz w:val="21"/>
          <w:szCs w:val="21"/>
          <w:highlight w:val="none"/>
        </w:rPr>
        <w:t xml:space="preserve"> </w:t>
      </w:r>
      <w:r>
        <w:rPr>
          <w:rFonts w:hint="eastAsia" w:ascii="Times New Roman" w:hAnsi="Times New Roman" w:eastAsia="宋体" w:cs="Times New Roman"/>
          <w:color w:val="auto"/>
          <w:kern w:val="0"/>
          <w:sz w:val="24"/>
          <w:szCs w:val="24"/>
          <w:highlight w:val="none"/>
          <w:lang w:val="en-US" w:eastAsia="zh-CN" w:bidi="ar-SA"/>
        </w:rPr>
        <w:t>预埋件加工的允许偏差应符合表8.2.3的规定。</w:t>
      </w:r>
    </w:p>
    <w:p w14:paraId="5FA2CD8D">
      <w:pPr>
        <w:wordWrap/>
        <w:overflowPunct/>
        <w:topLinePunct w:val="0"/>
        <w:bidi w:val="0"/>
        <w:snapToGrid w:val="0"/>
        <w:spacing w:line="300" w:lineRule="auto"/>
        <w:ind w:firstLine="360" w:firstLineChars="20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表</w:t>
      </w:r>
      <w:r>
        <w:rPr>
          <w:rFonts w:ascii="宋体" w:hAnsi="宋体"/>
          <w:color w:val="auto"/>
          <w:sz w:val="18"/>
          <w:szCs w:val="18"/>
          <w:highlight w:val="none"/>
          <w:lang w:bidi="en-US"/>
        </w:rPr>
        <w:t>8.2.3</w:t>
      </w:r>
      <w:r>
        <w:rPr>
          <w:rFonts w:hint="eastAsia" w:ascii="宋体" w:hAnsi="宋体"/>
          <w:color w:val="auto"/>
          <w:sz w:val="18"/>
          <w:szCs w:val="18"/>
          <w:highlight w:val="none"/>
          <w:lang w:bidi="en-US"/>
        </w:rPr>
        <w:t xml:space="preserve"> </w:t>
      </w:r>
      <w:r>
        <w:rPr>
          <w:rFonts w:hint="eastAsia" w:ascii="宋体" w:hAnsi="宋体"/>
          <w:color w:val="auto"/>
          <w:sz w:val="18"/>
          <w:szCs w:val="18"/>
          <w:highlight w:val="none"/>
          <w:lang w:val="en-US" w:eastAsia="zh-CN" w:bidi="en-US"/>
        </w:rPr>
        <w:t xml:space="preserve"> </w:t>
      </w:r>
      <w:r>
        <w:rPr>
          <w:rFonts w:hint="eastAsia" w:ascii="宋体" w:hAnsi="宋体"/>
          <w:color w:val="auto"/>
          <w:sz w:val="18"/>
          <w:szCs w:val="18"/>
          <w:highlight w:val="none"/>
          <w:lang w:bidi="en-US"/>
        </w:rPr>
        <w:t>预埋件加工允许偏差</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823"/>
        <w:gridCol w:w="3166"/>
        <w:gridCol w:w="2928"/>
      </w:tblGrid>
      <w:tr w14:paraId="05EDC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2" w:type="pct"/>
            <w:gridSpan w:val="2"/>
            <w:shd w:val="clear" w:color="auto" w:fill="auto"/>
            <w:vAlign w:val="center"/>
          </w:tcPr>
          <w:p w14:paraId="780CE8B9">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检验项目及内容</w:t>
            </w:r>
          </w:p>
        </w:tc>
        <w:tc>
          <w:tcPr>
            <w:tcW w:w="1625" w:type="pct"/>
            <w:shd w:val="clear" w:color="auto" w:fill="auto"/>
            <w:vAlign w:val="center"/>
          </w:tcPr>
          <w:p w14:paraId="107270F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允许偏差（m</w:t>
            </w:r>
            <w:r>
              <w:rPr>
                <w:rFonts w:ascii="宋体" w:hAnsi="宋体"/>
                <w:color w:val="auto"/>
                <w:sz w:val="18"/>
                <w:szCs w:val="18"/>
                <w:highlight w:val="none"/>
                <w:lang w:bidi="en-US"/>
              </w:rPr>
              <w:t>m</w:t>
            </w:r>
            <w:r>
              <w:rPr>
                <w:rFonts w:hint="eastAsia" w:ascii="宋体" w:hAnsi="宋体"/>
                <w:color w:val="auto"/>
                <w:sz w:val="18"/>
                <w:szCs w:val="18"/>
                <w:highlight w:val="none"/>
                <w:lang w:bidi="en-US"/>
              </w:rPr>
              <w:t>）</w:t>
            </w:r>
          </w:p>
        </w:tc>
        <w:tc>
          <w:tcPr>
            <w:tcW w:w="1503" w:type="pct"/>
            <w:shd w:val="clear" w:color="auto" w:fill="auto"/>
            <w:vAlign w:val="center"/>
          </w:tcPr>
          <w:p w14:paraId="12C86ED2">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检验方法</w:t>
            </w:r>
          </w:p>
        </w:tc>
      </w:tr>
      <w:tr w14:paraId="2CC28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2" w:type="pct"/>
            <w:gridSpan w:val="2"/>
            <w:shd w:val="clear" w:color="auto" w:fill="auto"/>
            <w:vAlign w:val="center"/>
          </w:tcPr>
          <w:p w14:paraId="3152A66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预埋件锚板的边长</w:t>
            </w:r>
          </w:p>
        </w:tc>
        <w:tc>
          <w:tcPr>
            <w:tcW w:w="1625" w:type="pct"/>
            <w:shd w:val="clear" w:color="auto" w:fill="auto"/>
            <w:vAlign w:val="center"/>
          </w:tcPr>
          <w:p w14:paraId="752ECFC0">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bidi="en-US"/>
              </w:rPr>
              <w:t>-</w:t>
            </w:r>
            <w:r>
              <w:rPr>
                <w:rFonts w:ascii="宋体" w:hAnsi="宋体"/>
                <w:color w:val="auto"/>
                <w:sz w:val="18"/>
                <w:szCs w:val="18"/>
                <w:highlight w:val="none"/>
                <w:lang w:bidi="en-US"/>
              </w:rPr>
              <w:t>5</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且</w:t>
            </w:r>
            <w:r>
              <w:rPr>
                <w:rFonts w:hint="eastAsia" w:ascii="宋体" w:hAnsi="宋体" w:cs="Times New Roman"/>
                <w:color w:val="auto"/>
                <w:sz w:val="18"/>
                <w:szCs w:val="18"/>
                <w:highlight w:val="none"/>
                <w:lang w:val="en-US" w:eastAsia="zh-CN" w:bidi="en-US"/>
              </w:rPr>
              <w:t>≤0</w:t>
            </w:r>
          </w:p>
        </w:tc>
        <w:tc>
          <w:tcPr>
            <w:tcW w:w="1503" w:type="pct"/>
            <w:shd w:val="clear" w:color="auto" w:fill="auto"/>
            <w:vAlign w:val="center"/>
          </w:tcPr>
          <w:p w14:paraId="57A4883D">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444F7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2" w:type="pct"/>
            <w:gridSpan w:val="2"/>
            <w:shd w:val="clear" w:color="auto" w:fill="auto"/>
            <w:vAlign w:val="center"/>
          </w:tcPr>
          <w:p w14:paraId="42DA5CD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预埋件锚板的平整度</w:t>
            </w:r>
          </w:p>
        </w:tc>
        <w:tc>
          <w:tcPr>
            <w:tcW w:w="1625" w:type="pct"/>
            <w:shd w:val="clear" w:color="auto" w:fill="auto"/>
            <w:vAlign w:val="center"/>
          </w:tcPr>
          <w:p w14:paraId="3DC9859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bidi="en-US"/>
              </w:rPr>
              <w:t>1</w:t>
            </w:r>
          </w:p>
        </w:tc>
        <w:tc>
          <w:tcPr>
            <w:tcW w:w="1503" w:type="pct"/>
            <w:shd w:val="clear" w:color="auto" w:fill="auto"/>
            <w:vAlign w:val="center"/>
          </w:tcPr>
          <w:p w14:paraId="7D3F86BC">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用直尺和塞尺量</w:t>
            </w:r>
          </w:p>
        </w:tc>
      </w:tr>
      <w:tr w14:paraId="0F36A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Merge w:val="restart"/>
            <w:shd w:val="clear" w:color="auto" w:fill="auto"/>
            <w:vAlign w:val="center"/>
          </w:tcPr>
          <w:p w14:paraId="18273A0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锚筋</w:t>
            </w:r>
          </w:p>
        </w:tc>
        <w:tc>
          <w:tcPr>
            <w:tcW w:w="936" w:type="pct"/>
            <w:shd w:val="clear" w:color="auto" w:fill="auto"/>
            <w:vAlign w:val="center"/>
          </w:tcPr>
          <w:p w14:paraId="24A21B0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长度</w:t>
            </w:r>
          </w:p>
        </w:tc>
        <w:tc>
          <w:tcPr>
            <w:tcW w:w="1625" w:type="pct"/>
            <w:shd w:val="clear" w:color="auto" w:fill="auto"/>
            <w:vAlign w:val="center"/>
          </w:tcPr>
          <w:p w14:paraId="639EFDD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val="en-US" w:eastAsia="zh-CN" w:bidi="en-US"/>
              </w:rPr>
              <w:t>0</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且</w:t>
            </w:r>
            <w:r>
              <w:rPr>
                <w:rFonts w:hint="eastAsia" w:ascii="宋体" w:hAnsi="宋体" w:cs="Times New Roman"/>
                <w:color w:val="auto"/>
                <w:sz w:val="18"/>
                <w:szCs w:val="18"/>
                <w:highlight w:val="none"/>
                <w:lang w:val="en-US" w:eastAsia="zh-CN" w:bidi="en-US"/>
              </w:rPr>
              <w:t>≤10</w:t>
            </w:r>
          </w:p>
        </w:tc>
        <w:tc>
          <w:tcPr>
            <w:tcW w:w="1503" w:type="pct"/>
            <w:shd w:val="clear" w:color="auto" w:fill="auto"/>
            <w:vAlign w:val="center"/>
          </w:tcPr>
          <w:p w14:paraId="2CB3570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15DCC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Merge w:val="continue"/>
            <w:shd w:val="clear" w:color="auto" w:fill="auto"/>
            <w:vAlign w:val="center"/>
          </w:tcPr>
          <w:p w14:paraId="1E4FA21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936" w:type="pct"/>
            <w:shd w:val="clear" w:color="auto" w:fill="auto"/>
            <w:vAlign w:val="center"/>
          </w:tcPr>
          <w:p w14:paraId="0507F24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间距</w:t>
            </w:r>
          </w:p>
        </w:tc>
        <w:tc>
          <w:tcPr>
            <w:tcW w:w="1625" w:type="pct"/>
            <w:shd w:val="clear" w:color="auto" w:fill="auto"/>
            <w:vAlign w:val="center"/>
          </w:tcPr>
          <w:p w14:paraId="2944852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s="Times New Roman"/>
                <w:color w:val="auto"/>
                <w:sz w:val="18"/>
                <w:szCs w:val="18"/>
                <w:highlight w:val="none"/>
                <w:lang w:val="en-US" w:eastAsia="zh-CN" w:bidi="en-US"/>
              </w:rPr>
              <w:t>≥-1</w:t>
            </w:r>
            <w:r>
              <w:rPr>
                <w:rFonts w:hint="eastAsia" w:ascii="宋体" w:hAnsi="宋体"/>
                <w:color w:val="auto"/>
                <w:sz w:val="18"/>
                <w:szCs w:val="18"/>
                <w:highlight w:val="none"/>
                <w:lang w:val="en-US" w:eastAsia="zh-CN" w:bidi="en-US"/>
              </w:rPr>
              <w:t>0</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且</w:t>
            </w:r>
            <w:r>
              <w:rPr>
                <w:rFonts w:hint="eastAsia" w:ascii="宋体" w:hAnsi="宋体" w:cs="Times New Roman"/>
                <w:color w:val="auto"/>
                <w:sz w:val="18"/>
                <w:szCs w:val="18"/>
                <w:highlight w:val="none"/>
                <w:lang w:val="en-US" w:eastAsia="zh-CN" w:bidi="en-US"/>
              </w:rPr>
              <w:t>≤10</w:t>
            </w:r>
          </w:p>
        </w:tc>
        <w:tc>
          <w:tcPr>
            <w:tcW w:w="1503" w:type="pct"/>
            <w:shd w:val="clear" w:color="auto" w:fill="auto"/>
            <w:vAlign w:val="center"/>
          </w:tcPr>
          <w:p w14:paraId="62B7F43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bl>
    <w:p w14:paraId="65C8700A">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8.2.4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固定在模具上的预埋件、预留孔洞中心位置的允许偏差应符合表8.2.4的规定。</w:t>
      </w:r>
    </w:p>
    <w:p w14:paraId="0A18788C">
      <w:pPr>
        <w:wordWrap/>
        <w:overflowPunct/>
        <w:topLinePunct w:val="0"/>
        <w:bidi w:val="0"/>
        <w:snapToGrid w:val="0"/>
        <w:spacing w:line="300" w:lineRule="auto"/>
        <w:ind w:firstLine="360" w:firstLineChars="200"/>
        <w:jc w:val="center"/>
        <w:rPr>
          <w:rFonts w:ascii="宋体" w:hAnsi="宋体"/>
          <w:color w:val="auto"/>
          <w:sz w:val="18"/>
          <w:szCs w:val="18"/>
          <w:highlight w:val="none"/>
          <w:lang w:bidi="en-US"/>
        </w:rPr>
      </w:pPr>
      <w:bookmarkStart w:id="303" w:name="_Hlk147924414"/>
      <w:r>
        <w:rPr>
          <w:rFonts w:hint="eastAsia" w:ascii="宋体" w:hAnsi="宋体"/>
          <w:color w:val="auto"/>
          <w:sz w:val="18"/>
          <w:szCs w:val="18"/>
          <w:highlight w:val="none"/>
          <w:lang w:bidi="en-US"/>
        </w:rPr>
        <w:t>表8</w:t>
      </w:r>
      <w:r>
        <w:rPr>
          <w:rFonts w:ascii="宋体" w:hAnsi="宋体"/>
          <w:color w:val="auto"/>
          <w:sz w:val="18"/>
          <w:szCs w:val="18"/>
          <w:highlight w:val="none"/>
          <w:lang w:bidi="en-US"/>
        </w:rPr>
        <w:t xml:space="preserve">.2.4 </w:t>
      </w:r>
      <w:r>
        <w:rPr>
          <w:rFonts w:hint="eastAsia" w:ascii="宋体" w:hAnsi="宋体"/>
          <w:color w:val="auto"/>
          <w:sz w:val="18"/>
          <w:szCs w:val="18"/>
          <w:highlight w:val="none"/>
          <w:lang w:bidi="en-US"/>
        </w:rPr>
        <w:t>模具预留孔洞中心位置的允许偏差</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11"/>
        <w:gridCol w:w="2697"/>
        <w:gridCol w:w="2607"/>
        <w:gridCol w:w="1925"/>
      </w:tblGrid>
      <w:tr w14:paraId="59CCB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73" w:type="pct"/>
            <w:gridSpan w:val="2"/>
            <w:shd w:val="clear" w:color="auto" w:fill="auto"/>
            <w:vAlign w:val="center"/>
          </w:tcPr>
          <w:p w14:paraId="5863DC71">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检验项目及内容</w:t>
            </w:r>
          </w:p>
        </w:tc>
        <w:tc>
          <w:tcPr>
            <w:tcW w:w="1338" w:type="pct"/>
            <w:shd w:val="clear" w:color="auto" w:fill="auto"/>
            <w:vAlign w:val="center"/>
          </w:tcPr>
          <w:p w14:paraId="4FA63F3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允许偏差（m</w:t>
            </w:r>
            <w:r>
              <w:rPr>
                <w:rFonts w:ascii="宋体" w:hAnsi="宋体"/>
                <w:color w:val="auto"/>
                <w:sz w:val="18"/>
                <w:szCs w:val="18"/>
                <w:highlight w:val="none"/>
                <w:lang w:bidi="en-US"/>
              </w:rPr>
              <w:t>m</w:t>
            </w:r>
            <w:r>
              <w:rPr>
                <w:rFonts w:hint="eastAsia" w:ascii="宋体" w:hAnsi="宋体"/>
                <w:color w:val="auto"/>
                <w:sz w:val="18"/>
                <w:szCs w:val="18"/>
                <w:highlight w:val="none"/>
                <w:lang w:bidi="en-US"/>
              </w:rPr>
              <w:t>）</w:t>
            </w:r>
          </w:p>
        </w:tc>
        <w:tc>
          <w:tcPr>
            <w:tcW w:w="988" w:type="pct"/>
            <w:shd w:val="clear" w:color="auto" w:fill="auto"/>
            <w:vAlign w:val="center"/>
          </w:tcPr>
          <w:p w14:paraId="54575D7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检验方法</w:t>
            </w:r>
          </w:p>
        </w:tc>
      </w:tr>
      <w:tr w14:paraId="1B641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73" w:type="pct"/>
            <w:gridSpan w:val="2"/>
            <w:shd w:val="clear" w:color="auto" w:fill="auto"/>
            <w:vAlign w:val="center"/>
          </w:tcPr>
          <w:p w14:paraId="03B27B4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预埋件、吊环、预留孔洞中心线位置</w:t>
            </w:r>
          </w:p>
        </w:tc>
        <w:tc>
          <w:tcPr>
            <w:tcW w:w="1338" w:type="pct"/>
            <w:shd w:val="clear" w:color="auto" w:fill="auto"/>
            <w:vAlign w:val="center"/>
          </w:tcPr>
          <w:p w14:paraId="2FC10741">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bidi="en-US"/>
              </w:rPr>
              <w:t>3</w:t>
            </w:r>
          </w:p>
        </w:tc>
        <w:tc>
          <w:tcPr>
            <w:tcW w:w="988" w:type="pct"/>
            <w:shd w:val="clear" w:color="auto" w:fill="auto"/>
            <w:vAlign w:val="center"/>
          </w:tcPr>
          <w:p w14:paraId="6A1B1F8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1E90C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restart"/>
            <w:shd w:val="clear" w:color="auto" w:fill="auto"/>
            <w:vAlign w:val="center"/>
          </w:tcPr>
          <w:p w14:paraId="65D1AA5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val="en-US" w:eastAsia="zh-CN" w:bidi="en-US"/>
              </w:rPr>
              <w:t>螺栓孔</w:t>
            </w:r>
            <w:r>
              <w:rPr>
                <w:rFonts w:hint="eastAsia" w:ascii="宋体" w:hAnsi="宋体"/>
                <w:color w:val="auto"/>
                <w:sz w:val="18"/>
                <w:szCs w:val="18"/>
                <w:highlight w:val="none"/>
                <w:lang w:bidi="en-US"/>
              </w:rPr>
              <w:t>、预埋螺栓中心线位置</w:t>
            </w:r>
          </w:p>
        </w:tc>
        <w:tc>
          <w:tcPr>
            <w:tcW w:w="1383" w:type="pct"/>
            <w:shd w:val="clear" w:color="auto" w:fill="auto"/>
            <w:vAlign w:val="center"/>
          </w:tcPr>
          <w:p w14:paraId="1D563385">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螺栓孔中心线位置</w:t>
            </w:r>
          </w:p>
        </w:tc>
        <w:tc>
          <w:tcPr>
            <w:tcW w:w="1338" w:type="pct"/>
            <w:shd w:val="clear" w:color="auto" w:fill="auto"/>
            <w:vAlign w:val="center"/>
          </w:tcPr>
          <w:p w14:paraId="0926B8C0">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val="en-US" w:eastAsia="zh-CN" w:bidi="en-US"/>
              </w:rPr>
              <w:t>3</w:t>
            </w:r>
          </w:p>
        </w:tc>
        <w:tc>
          <w:tcPr>
            <w:tcW w:w="988" w:type="pct"/>
            <w:shd w:val="clear" w:color="auto" w:fill="auto"/>
            <w:vAlign w:val="center"/>
          </w:tcPr>
          <w:p w14:paraId="2BB266AD">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5E3D9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continue"/>
            <w:shd w:val="clear" w:color="auto" w:fill="auto"/>
            <w:vAlign w:val="center"/>
          </w:tcPr>
          <w:p w14:paraId="564E4DF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383" w:type="pct"/>
            <w:shd w:val="clear" w:color="auto" w:fill="auto"/>
            <w:vAlign w:val="center"/>
          </w:tcPr>
          <w:p w14:paraId="0B2E5771">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val="en-US" w:eastAsia="zh-CN" w:bidi="en-US"/>
              </w:rPr>
              <w:t>预埋螺栓中心线位置</w:t>
            </w:r>
          </w:p>
        </w:tc>
        <w:tc>
          <w:tcPr>
            <w:tcW w:w="1338" w:type="pct"/>
            <w:shd w:val="clear" w:color="auto" w:fill="auto"/>
            <w:vAlign w:val="center"/>
          </w:tcPr>
          <w:p w14:paraId="595572C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bidi="en-US"/>
              </w:rPr>
              <w:t>2</w:t>
            </w:r>
          </w:p>
        </w:tc>
        <w:tc>
          <w:tcPr>
            <w:tcW w:w="988" w:type="pct"/>
            <w:shd w:val="clear" w:color="auto" w:fill="auto"/>
            <w:vAlign w:val="center"/>
          </w:tcPr>
          <w:p w14:paraId="5B3534F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56DB6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continue"/>
            <w:shd w:val="clear" w:color="auto" w:fill="auto"/>
            <w:vAlign w:val="center"/>
          </w:tcPr>
          <w:p w14:paraId="2941586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383" w:type="pct"/>
            <w:shd w:val="clear" w:color="auto" w:fill="auto"/>
            <w:vAlign w:val="center"/>
          </w:tcPr>
          <w:p w14:paraId="197CBF7E">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val="en-US" w:eastAsia="zh-CN" w:bidi="en-US"/>
              </w:rPr>
              <w:t>预埋螺栓外露长度</w:t>
            </w:r>
          </w:p>
        </w:tc>
        <w:tc>
          <w:tcPr>
            <w:tcW w:w="1338" w:type="pct"/>
            <w:shd w:val="clear" w:color="auto" w:fill="auto"/>
            <w:vAlign w:val="center"/>
          </w:tcPr>
          <w:p w14:paraId="668D0DE8">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bidi="en-US"/>
              </w:rPr>
              <w:t>-</w:t>
            </w:r>
            <w:r>
              <w:rPr>
                <w:rFonts w:ascii="宋体" w:hAnsi="宋体"/>
                <w:color w:val="auto"/>
                <w:sz w:val="18"/>
                <w:szCs w:val="18"/>
                <w:highlight w:val="none"/>
                <w:lang w:bidi="en-US"/>
              </w:rPr>
              <w:t>5</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且</w:t>
            </w:r>
            <w:r>
              <w:rPr>
                <w:rFonts w:hint="eastAsia" w:ascii="宋体" w:hAnsi="宋体" w:cs="Times New Roman"/>
                <w:color w:val="auto"/>
                <w:sz w:val="18"/>
                <w:szCs w:val="18"/>
                <w:highlight w:val="none"/>
                <w:lang w:val="en-US" w:eastAsia="zh-CN" w:bidi="en-US"/>
              </w:rPr>
              <w:t>≤10</w:t>
            </w:r>
          </w:p>
        </w:tc>
        <w:tc>
          <w:tcPr>
            <w:tcW w:w="988" w:type="pct"/>
            <w:shd w:val="clear" w:color="auto" w:fill="auto"/>
            <w:vAlign w:val="center"/>
          </w:tcPr>
          <w:p w14:paraId="3F6CDDBC">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2B6D9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restart"/>
            <w:shd w:val="clear" w:color="auto" w:fill="auto"/>
            <w:vAlign w:val="center"/>
          </w:tcPr>
          <w:p w14:paraId="7C8E282E">
            <w:pPr>
              <w:wordWrap/>
              <w:overflowPunct/>
              <w:topLinePunct w:val="0"/>
              <w:bidi w:val="0"/>
              <w:snapToGrid w:val="0"/>
              <w:spacing w:line="300" w:lineRule="auto"/>
              <w:ind w:left="0" w:leftChars="0" w:firstLine="0" w:firstLineChars="0"/>
              <w:jc w:val="center"/>
              <w:rPr>
                <w:rFonts w:hint="default"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bidi="en-US"/>
              </w:rPr>
              <w:t>灌浆套筒</w:t>
            </w:r>
            <w:r>
              <w:rPr>
                <w:rFonts w:hint="eastAsia" w:ascii="宋体" w:hAnsi="宋体"/>
                <w:color w:val="auto"/>
                <w:sz w:val="18"/>
                <w:szCs w:val="18"/>
                <w:highlight w:val="none"/>
                <w:lang w:val="en-US" w:eastAsia="zh-CN" w:bidi="en-US"/>
              </w:rPr>
              <w:t>及连接钢筋定位</w:t>
            </w:r>
          </w:p>
        </w:tc>
        <w:tc>
          <w:tcPr>
            <w:tcW w:w="1383" w:type="pct"/>
            <w:shd w:val="clear" w:color="auto" w:fill="auto"/>
            <w:vAlign w:val="center"/>
          </w:tcPr>
          <w:p w14:paraId="777CA4AA">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val="en-US" w:eastAsia="zh-CN" w:bidi="en-US"/>
              </w:rPr>
              <w:t>灌浆套筒中心线</w:t>
            </w:r>
            <w:r>
              <w:rPr>
                <w:rFonts w:hint="eastAsia" w:ascii="宋体" w:hAnsi="宋体"/>
                <w:color w:val="auto"/>
                <w:sz w:val="18"/>
                <w:szCs w:val="18"/>
                <w:highlight w:val="none"/>
                <w:lang w:bidi="en-US"/>
              </w:rPr>
              <w:t>位置</w:t>
            </w:r>
          </w:p>
        </w:tc>
        <w:tc>
          <w:tcPr>
            <w:tcW w:w="1338" w:type="pct"/>
            <w:shd w:val="clear" w:color="auto" w:fill="auto"/>
            <w:vAlign w:val="center"/>
          </w:tcPr>
          <w:p w14:paraId="6BA32B2E">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bidi="en-US"/>
              </w:rPr>
              <w:t>1</w:t>
            </w:r>
          </w:p>
        </w:tc>
        <w:tc>
          <w:tcPr>
            <w:tcW w:w="988" w:type="pct"/>
            <w:shd w:val="clear" w:color="auto" w:fill="auto"/>
            <w:vAlign w:val="center"/>
          </w:tcPr>
          <w:p w14:paraId="15B88C23">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bidi="en-US"/>
              </w:rPr>
              <w:t>尺量检查</w:t>
            </w:r>
          </w:p>
        </w:tc>
      </w:tr>
      <w:tr w14:paraId="5A98D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continue"/>
            <w:shd w:val="clear" w:color="auto" w:fill="auto"/>
            <w:vAlign w:val="center"/>
          </w:tcPr>
          <w:p w14:paraId="49FF51E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383" w:type="pct"/>
            <w:shd w:val="clear" w:color="auto" w:fill="auto"/>
            <w:vAlign w:val="center"/>
          </w:tcPr>
          <w:p w14:paraId="329FA2EB">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连接钢筋中心线位置</w:t>
            </w:r>
          </w:p>
        </w:tc>
        <w:tc>
          <w:tcPr>
            <w:tcW w:w="1338" w:type="pct"/>
            <w:shd w:val="clear" w:color="auto" w:fill="auto"/>
            <w:vAlign w:val="center"/>
          </w:tcPr>
          <w:p w14:paraId="16485354">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val="en-US" w:eastAsia="zh-CN" w:bidi="en-US"/>
              </w:rPr>
              <w:t>2</w:t>
            </w:r>
          </w:p>
        </w:tc>
        <w:tc>
          <w:tcPr>
            <w:tcW w:w="988" w:type="pct"/>
            <w:shd w:val="clear" w:color="auto" w:fill="auto"/>
            <w:vAlign w:val="center"/>
          </w:tcPr>
          <w:p w14:paraId="06855AE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05B29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continue"/>
            <w:shd w:val="clear" w:color="auto" w:fill="auto"/>
            <w:vAlign w:val="center"/>
          </w:tcPr>
          <w:p w14:paraId="12375A9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383" w:type="pct"/>
            <w:shd w:val="clear" w:color="auto" w:fill="auto"/>
            <w:vAlign w:val="center"/>
          </w:tcPr>
          <w:p w14:paraId="655E7A67">
            <w:pPr>
              <w:wordWrap/>
              <w:overflowPunct/>
              <w:topLinePunct w:val="0"/>
              <w:bidi w:val="0"/>
              <w:snapToGrid w:val="0"/>
              <w:spacing w:line="300" w:lineRule="auto"/>
              <w:ind w:left="0" w:leftChars="0" w:firstLine="0" w:firstLineChars="0"/>
              <w:jc w:val="center"/>
              <w:rPr>
                <w:rFonts w:hint="default" w:ascii="宋体" w:hAnsi="宋体"/>
                <w:color w:val="auto"/>
                <w:sz w:val="18"/>
                <w:szCs w:val="18"/>
                <w:highlight w:val="none"/>
                <w:lang w:val="en-US" w:eastAsia="zh-CN" w:bidi="en-US"/>
              </w:rPr>
            </w:pPr>
            <w:r>
              <w:rPr>
                <w:rFonts w:hint="eastAsia" w:ascii="宋体" w:hAnsi="宋体"/>
                <w:color w:val="auto"/>
                <w:sz w:val="18"/>
                <w:szCs w:val="18"/>
                <w:highlight w:val="none"/>
                <w:lang w:val="en-US" w:eastAsia="zh-CN" w:bidi="en-US"/>
              </w:rPr>
              <w:t>连接钢筋外露长度</w:t>
            </w:r>
          </w:p>
        </w:tc>
        <w:tc>
          <w:tcPr>
            <w:tcW w:w="1338" w:type="pct"/>
            <w:shd w:val="clear" w:color="auto" w:fill="auto"/>
            <w:vAlign w:val="center"/>
          </w:tcPr>
          <w:p w14:paraId="2D77C047">
            <w:pPr>
              <w:wordWrap/>
              <w:overflowPunct/>
              <w:topLinePunct w:val="0"/>
              <w:bidi w:val="0"/>
              <w:snapToGrid w:val="0"/>
              <w:spacing w:line="300" w:lineRule="auto"/>
              <w:ind w:left="0" w:leftChars="0" w:firstLine="0" w:firstLineChars="0"/>
              <w:jc w:val="center"/>
              <w:rPr>
                <w:rFonts w:hint="default" w:ascii="宋体" w:hAnsi="宋体"/>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val="en-US" w:eastAsia="zh-CN" w:bidi="en-US"/>
              </w:rPr>
              <w:t>0</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且</w:t>
            </w:r>
            <w:r>
              <w:rPr>
                <w:rFonts w:hint="eastAsia" w:ascii="宋体" w:hAnsi="宋体" w:cs="Times New Roman"/>
                <w:color w:val="auto"/>
                <w:sz w:val="18"/>
                <w:szCs w:val="18"/>
                <w:highlight w:val="none"/>
                <w:lang w:val="en-US" w:eastAsia="zh-CN" w:bidi="en-US"/>
              </w:rPr>
              <w:t>≤10</w:t>
            </w:r>
          </w:p>
        </w:tc>
        <w:tc>
          <w:tcPr>
            <w:tcW w:w="988" w:type="pct"/>
            <w:shd w:val="clear" w:color="auto" w:fill="auto"/>
            <w:vAlign w:val="center"/>
          </w:tcPr>
          <w:p w14:paraId="3A3D70FC">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21814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restart"/>
            <w:shd w:val="clear" w:color="auto" w:fill="auto"/>
            <w:vAlign w:val="center"/>
          </w:tcPr>
          <w:p w14:paraId="1CBB217C">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浆锚波纹管</w:t>
            </w:r>
            <w:r>
              <w:rPr>
                <w:rFonts w:hint="eastAsia" w:ascii="宋体" w:hAnsi="宋体"/>
                <w:color w:val="auto"/>
                <w:sz w:val="18"/>
                <w:szCs w:val="18"/>
                <w:highlight w:val="none"/>
                <w:lang w:val="en-US" w:eastAsia="zh-CN" w:bidi="en-US"/>
              </w:rPr>
              <w:t>及连接钢筋定位</w:t>
            </w:r>
          </w:p>
        </w:tc>
        <w:tc>
          <w:tcPr>
            <w:tcW w:w="1383" w:type="pct"/>
            <w:shd w:val="clear" w:color="auto" w:fill="auto"/>
            <w:vAlign w:val="center"/>
          </w:tcPr>
          <w:p w14:paraId="72D89705">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波纹管中心线</w:t>
            </w:r>
            <w:r>
              <w:rPr>
                <w:rFonts w:hint="eastAsia" w:ascii="宋体" w:hAnsi="宋体"/>
                <w:color w:val="auto"/>
                <w:sz w:val="18"/>
                <w:szCs w:val="18"/>
                <w:highlight w:val="none"/>
                <w:lang w:bidi="en-US"/>
              </w:rPr>
              <w:t>位置</w:t>
            </w:r>
          </w:p>
        </w:tc>
        <w:tc>
          <w:tcPr>
            <w:tcW w:w="1338" w:type="pct"/>
            <w:shd w:val="clear" w:color="auto" w:fill="auto"/>
            <w:vAlign w:val="center"/>
          </w:tcPr>
          <w:p w14:paraId="01CCCC56">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val="en-US" w:eastAsia="zh-CN" w:bidi="en-US"/>
              </w:rPr>
              <w:t>3</w:t>
            </w:r>
          </w:p>
        </w:tc>
        <w:tc>
          <w:tcPr>
            <w:tcW w:w="988" w:type="pct"/>
            <w:shd w:val="clear" w:color="auto" w:fill="auto"/>
            <w:vAlign w:val="center"/>
          </w:tcPr>
          <w:p w14:paraId="567F2059">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57F33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continue"/>
            <w:shd w:val="clear" w:color="auto" w:fill="auto"/>
            <w:vAlign w:val="center"/>
          </w:tcPr>
          <w:p w14:paraId="02AF9B9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383" w:type="pct"/>
            <w:shd w:val="clear" w:color="auto" w:fill="auto"/>
            <w:vAlign w:val="center"/>
          </w:tcPr>
          <w:p w14:paraId="7398F280">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连接钢筋中心线位置</w:t>
            </w:r>
          </w:p>
        </w:tc>
        <w:tc>
          <w:tcPr>
            <w:tcW w:w="1338" w:type="pct"/>
            <w:shd w:val="clear" w:color="auto" w:fill="auto"/>
            <w:vAlign w:val="center"/>
          </w:tcPr>
          <w:p w14:paraId="146A2791">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s="Times New Roman"/>
                <w:color w:val="auto"/>
                <w:sz w:val="18"/>
                <w:szCs w:val="18"/>
                <w:highlight w:val="none"/>
                <w:lang w:val="en-US" w:eastAsia="zh-CN" w:bidi="en-US"/>
              </w:rPr>
              <w:t>≤</w:t>
            </w:r>
            <w:r>
              <w:rPr>
                <w:rFonts w:ascii="宋体" w:hAnsi="宋体"/>
                <w:color w:val="auto"/>
                <w:sz w:val="18"/>
                <w:szCs w:val="18"/>
                <w:highlight w:val="none"/>
                <w:lang w:bidi="en-US"/>
              </w:rPr>
              <w:t>3</w:t>
            </w:r>
          </w:p>
        </w:tc>
        <w:tc>
          <w:tcPr>
            <w:tcW w:w="988" w:type="pct"/>
            <w:shd w:val="clear" w:color="auto" w:fill="auto"/>
            <w:vAlign w:val="center"/>
          </w:tcPr>
          <w:p w14:paraId="35D56E3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73B41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9" w:type="pct"/>
            <w:vMerge w:val="continue"/>
            <w:shd w:val="clear" w:color="auto" w:fill="auto"/>
            <w:vAlign w:val="center"/>
          </w:tcPr>
          <w:p w14:paraId="78B4115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383" w:type="pct"/>
            <w:shd w:val="clear" w:color="auto" w:fill="auto"/>
            <w:vAlign w:val="center"/>
          </w:tcPr>
          <w:p w14:paraId="5966C1F8">
            <w:pPr>
              <w:wordWrap/>
              <w:overflowPunct/>
              <w:topLinePunct w:val="0"/>
              <w:bidi w:val="0"/>
              <w:snapToGrid w:val="0"/>
              <w:spacing w:line="300" w:lineRule="auto"/>
              <w:ind w:left="0" w:leftChars="0" w:firstLine="0" w:firstLineChars="0"/>
              <w:jc w:val="center"/>
              <w:rPr>
                <w:rFonts w:hint="default" w:ascii="宋体" w:hAnsi="宋体"/>
                <w:color w:val="auto"/>
                <w:sz w:val="18"/>
                <w:szCs w:val="18"/>
                <w:highlight w:val="none"/>
                <w:lang w:val="en-US" w:eastAsia="zh-CN" w:bidi="en-US"/>
              </w:rPr>
            </w:pPr>
            <w:r>
              <w:rPr>
                <w:rFonts w:hint="eastAsia" w:ascii="宋体" w:hAnsi="宋体"/>
                <w:color w:val="auto"/>
                <w:sz w:val="18"/>
                <w:szCs w:val="18"/>
                <w:highlight w:val="none"/>
                <w:lang w:val="en-US" w:eastAsia="zh-CN" w:bidi="en-US"/>
              </w:rPr>
              <w:t>连接钢筋外露长度</w:t>
            </w:r>
          </w:p>
        </w:tc>
        <w:tc>
          <w:tcPr>
            <w:tcW w:w="1338" w:type="pct"/>
            <w:shd w:val="clear" w:color="auto" w:fill="auto"/>
            <w:vAlign w:val="center"/>
          </w:tcPr>
          <w:p w14:paraId="3D2D4329">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w:t>
            </w:r>
            <w:r>
              <w:rPr>
                <w:rFonts w:hint="eastAsia" w:ascii="宋体" w:hAnsi="宋体"/>
                <w:color w:val="auto"/>
                <w:sz w:val="18"/>
                <w:szCs w:val="18"/>
                <w:highlight w:val="none"/>
                <w:lang w:val="en-US" w:eastAsia="zh-CN" w:bidi="en-US"/>
              </w:rPr>
              <w:t>0</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且</w:t>
            </w:r>
            <w:r>
              <w:rPr>
                <w:rFonts w:hint="eastAsia" w:ascii="宋体" w:hAnsi="宋体" w:cs="Times New Roman"/>
                <w:color w:val="auto"/>
                <w:sz w:val="18"/>
                <w:szCs w:val="18"/>
                <w:highlight w:val="none"/>
                <w:lang w:val="en-US" w:eastAsia="zh-CN" w:bidi="en-US"/>
              </w:rPr>
              <w:t>≤20</w:t>
            </w:r>
          </w:p>
        </w:tc>
        <w:tc>
          <w:tcPr>
            <w:tcW w:w="988" w:type="pct"/>
            <w:shd w:val="clear" w:color="auto" w:fill="auto"/>
            <w:vAlign w:val="center"/>
          </w:tcPr>
          <w:p w14:paraId="2E0230FA">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bookmarkEnd w:id="303"/>
    </w:tbl>
    <w:p w14:paraId="55FEAC6A">
      <w:pPr>
        <w:wordWrap/>
        <w:overflowPunct/>
        <w:topLinePunct w:val="0"/>
        <w:bidi w:val="0"/>
        <w:snapToGrid w:val="0"/>
        <w:spacing w:line="300" w:lineRule="auto"/>
        <w:ind w:firstLine="360" w:firstLineChars="200"/>
        <w:jc w:val="left"/>
        <w:rPr>
          <w:rFonts w:ascii="宋体" w:hAnsi="宋体"/>
          <w:color w:val="auto"/>
          <w:sz w:val="18"/>
          <w:szCs w:val="18"/>
          <w:highlight w:val="none"/>
          <w:lang w:bidi="en-US"/>
        </w:rPr>
      </w:pPr>
      <w:r>
        <w:rPr>
          <w:rFonts w:hint="eastAsia" w:ascii="宋体" w:hAnsi="宋体"/>
          <w:color w:val="auto"/>
          <w:sz w:val="18"/>
          <w:szCs w:val="18"/>
          <w:highlight w:val="none"/>
          <w:lang w:bidi="en-US"/>
        </w:rPr>
        <w:t>注：检查中心线位置时，应沿纵、横两个方向量测，并取其中的较大值。</w:t>
      </w:r>
    </w:p>
    <w:p w14:paraId="0D113AB0">
      <w:pPr>
        <w:pStyle w:val="3"/>
        <w:bidi w:val="0"/>
        <w:rPr>
          <w:rFonts w:ascii="宋体" w:hAnsi="宋体" w:cs="Times New Roman"/>
          <w:color w:val="auto"/>
          <w:sz w:val="21"/>
          <w:szCs w:val="21"/>
          <w:highlight w:val="none"/>
        </w:rPr>
      </w:pPr>
      <w:bookmarkStart w:id="304" w:name="_Toc153805663"/>
      <w:bookmarkStart w:id="305" w:name="_Toc154526005"/>
      <w:bookmarkStart w:id="306" w:name="_Toc154525542"/>
      <w:bookmarkStart w:id="307" w:name="_Toc177840575"/>
      <w:bookmarkStart w:id="308" w:name="_Toc12965"/>
      <w:bookmarkStart w:id="309" w:name="_Toc148909485"/>
      <w:bookmarkStart w:id="310" w:name="_Toc180613545"/>
      <w:bookmarkStart w:id="311" w:name="_Toc177840183"/>
      <w:bookmarkStart w:id="312" w:name="_Toc22149"/>
      <w:bookmarkStart w:id="313" w:name="_Toc10937"/>
      <w:bookmarkStart w:id="314" w:name="_Toc22459"/>
      <w:bookmarkStart w:id="315" w:name="_Toc16577"/>
      <w:bookmarkStart w:id="316" w:name="_Toc1053"/>
      <w:r>
        <w:rPr>
          <w:rFonts w:hint="default" w:ascii="Times New Roman" w:hAnsi="Times New Roman" w:eastAsia="黑体" w:cs="Times New Roman"/>
          <w:b/>
          <w:bCs/>
          <w:color w:val="auto"/>
          <w:kern w:val="44"/>
          <w:sz w:val="28"/>
          <w:szCs w:val="28"/>
          <w:highlight w:val="none"/>
          <w:lang w:val="zh-CN" w:eastAsia="zh-CN" w:bidi="ar-SA"/>
        </w:rPr>
        <w:t>8.3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cs="Times New Roman"/>
          <w:b w:val="0"/>
          <w:bCs w:val="0"/>
          <w:color w:val="auto"/>
          <w:kern w:val="44"/>
          <w:sz w:val="28"/>
          <w:szCs w:val="28"/>
          <w:highlight w:val="none"/>
          <w:lang w:val="en-US" w:eastAsia="zh-CN" w:bidi="ar-SA"/>
        </w:rPr>
        <w:t>混凝土模块</w:t>
      </w:r>
      <w:bookmarkEnd w:id="304"/>
      <w:bookmarkEnd w:id="305"/>
      <w:bookmarkEnd w:id="306"/>
      <w:bookmarkEnd w:id="307"/>
      <w:bookmarkEnd w:id="308"/>
      <w:bookmarkEnd w:id="309"/>
      <w:bookmarkEnd w:id="310"/>
      <w:bookmarkEnd w:id="311"/>
      <w:bookmarkEnd w:id="312"/>
      <w:bookmarkEnd w:id="313"/>
      <w:bookmarkEnd w:id="314"/>
      <w:r>
        <w:rPr>
          <w:rFonts w:hint="eastAsia" w:ascii="黑体" w:hAnsi="黑体" w:cs="Times New Roman"/>
          <w:b w:val="0"/>
          <w:bCs w:val="0"/>
          <w:color w:val="auto"/>
          <w:kern w:val="44"/>
          <w:sz w:val="28"/>
          <w:szCs w:val="28"/>
          <w:highlight w:val="none"/>
          <w:lang w:val="zh-CN" w:eastAsia="zh-CN" w:bidi="ar-SA"/>
        </w:rPr>
        <w:t>生产</w:t>
      </w:r>
      <w:bookmarkEnd w:id="315"/>
      <w:bookmarkEnd w:id="316"/>
    </w:p>
    <w:p w14:paraId="1E42CF61">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8.3.1</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混凝土模块</w:t>
      </w:r>
      <w:r>
        <w:rPr>
          <w:rFonts w:hint="eastAsia" w:ascii="Times New Roman" w:hAnsi="Times New Roman" w:eastAsia="宋体" w:cs="Times New Roman"/>
          <w:color w:val="auto"/>
          <w:kern w:val="0"/>
          <w:sz w:val="24"/>
          <w:szCs w:val="24"/>
          <w:highlight w:val="none"/>
          <w:lang w:val="en-US" w:eastAsia="zh-CN" w:bidi="ar-SA"/>
        </w:rPr>
        <w:t>应根据是否设置底板确定成型方法：</w:t>
      </w:r>
    </w:p>
    <w:p w14:paraId="5B24C8DE">
      <w:pPr>
        <w:wordWrap/>
        <w:overflowPunct/>
        <w:topLinePunct w:val="0"/>
        <w:bidi w:val="0"/>
        <w:snapToGrid w:val="0"/>
        <w:spacing w:line="300" w:lineRule="auto"/>
        <w:ind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1  当混凝土模块无底板时，墙体与顶板宜整体浇筑成型；</w:t>
      </w:r>
    </w:p>
    <w:p w14:paraId="287709E1">
      <w:pPr>
        <w:wordWrap/>
        <w:overflowPunct/>
        <w:topLinePunct w:val="0"/>
        <w:bidi w:val="0"/>
        <w:snapToGrid w:val="0"/>
        <w:spacing w:line="300" w:lineRule="auto"/>
        <w:ind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2  当混凝土模块有底板时，墙体与顶板宜先整体浇筑成型，墙体与顶板脱模并达到规定条件后，进行底板二次浇筑成型；</w:t>
      </w:r>
    </w:p>
    <w:p w14:paraId="63CCFBB3">
      <w:pPr>
        <w:wordWrap/>
        <w:overflowPunct/>
        <w:topLinePunct w:val="0"/>
        <w:bidi w:val="0"/>
        <w:snapToGrid w:val="0"/>
        <w:spacing w:line="300" w:lineRule="auto"/>
        <w:ind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3  采用二次浇筑时，新老混凝土结合面应按设计要求进行处理；设计无具体要求时，结合面应剔槽形成凹凸深度不小于4mm的粗糙面，并应清理干净后再浇筑。</w:t>
      </w:r>
    </w:p>
    <w:p w14:paraId="5294A7BD">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8.3.2</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在混凝土浇筑前应进行</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的隐蔽工程检查，检查项目应包括下列内容：</w:t>
      </w:r>
    </w:p>
    <w:p w14:paraId="1EF183E3">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钢筋的牌号、规格、数量、位置、间距，箍筋弯钩的弯折角度及平直段长度；</w:t>
      </w:r>
    </w:p>
    <w:p w14:paraId="58FF0B49">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钢筋的连接方式、接头位置、接头数量、接头面积百分率、搭接长度、锚固方式及锚固长度；</w:t>
      </w:r>
    </w:p>
    <w:p w14:paraId="03F94B93">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3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预埋件、吊环、插筋的规格、数量、位置等；</w:t>
      </w:r>
    </w:p>
    <w:p w14:paraId="2DEDA4CF">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4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灌浆套筒、浆锚套管、预留孔洞的规格、数量、位置等；</w:t>
      </w:r>
    </w:p>
    <w:p w14:paraId="7BE1B82B">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5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预埋管线、线盒的规格、数量、位置及固定措施；</w:t>
      </w:r>
    </w:p>
    <w:p w14:paraId="5174389F">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6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门、窗洞口的位置和尺寸。</w:t>
      </w:r>
    </w:p>
    <w:p w14:paraId="08B46F05">
      <w:pPr>
        <w:wordWrap/>
        <w:overflowPunct/>
        <w:topLinePunct w:val="0"/>
        <w:bidi w:val="0"/>
        <w:snapToGrid w:val="0"/>
        <w:spacing w:line="300" w:lineRule="auto"/>
        <w:ind w:firstLine="0" w:firstLineChars="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w:t>
      </w:r>
      <w:r>
        <w:rPr>
          <w:rFonts w:hint="eastAsia" w:cs="Times New Roman"/>
          <w:b/>
          <w:bCs/>
          <w:snapToGrid w:val="0"/>
          <w:color w:val="auto"/>
          <w:kern w:val="0"/>
          <w:sz w:val="20"/>
          <w:szCs w:val="20"/>
          <w:highlight w:val="none"/>
          <w:lang w:val="en-US" w:eastAsia="zh-CN" w:bidi="ar-SA"/>
        </w:rPr>
        <w:t xml:space="preserve">3 </w:t>
      </w:r>
      <w:r>
        <w:rPr>
          <w:rFonts w:ascii="宋体" w:hAnsi="宋体" w:cs="Times New Roman"/>
          <w:color w:val="auto"/>
          <w:sz w:val="21"/>
          <w:szCs w:val="21"/>
          <w:highlight w:val="none"/>
        </w:rPr>
        <w:t xml:space="preserve"> </w:t>
      </w:r>
      <w:r>
        <w:rPr>
          <w:rFonts w:hint="eastAsia" w:ascii="Times New Roman" w:hAnsi="Times New Roman" w:eastAsia="宋体" w:cs="Times New Roman"/>
          <w:color w:val="auto"/>
          <w:kern w:val="0"/>
          <w:sz w:val="24"/>
          <w:szCs w:val="24"/>
          <w:highlight w:val="none"/>
          <w:lang w:val="en-US" w:eastAsia="zh-CN" w:bidi="ar-SA"/>
        </w:rPr>
        <w:t>当采用洒水、覆盖等方式进行常温养护时，应符合现行国家标准《混凝土结构工程施工规范》GB 50666的要求。采用</w:t>
      </w:r>
      <w:r>
        <w:rPr>
          <w:rFonts w:hint="eastAsia" w:cs="Times New Roman"/>
          <w:color w:val="auto"/>
          <w:kern w:val="0"/>
          <w:sz w:val="24"/>
          <w:szCs w:val="24"/>
          <w:highlight w:val="none"/>
          <w:lang w:val="en-US" w:eastAsia="zh-CN" w:bidi="ar-SA"/>
        </w:rPr>
        <w:t>蒸汽</w:t>
      </w:r>
      <w:r>
        <w:rPr>
          <w:rFonts w:hint="eastAsia" w:ascii="Times New Roman" w:hAnsi="Times New Roman" w:eastAsia="宋体" w:cs="Times New Roman"/>
          <w:color w:val="auto"/>
          <w:kern w:val="0"/>
          <w:sz w:val="24"/>
          <w:szCs w:val="24"/>
          <w:highlight w:val="none"/>
          <w:lang w:val="en-US" w:eastAsia="zh-CN" w:bidi="ar-SA"/>
        </w:rPr>
        <w:t>养护时，应制定养护制度对静停、升温、恒温和降温时间进行控制，宜在常温下静停2h~6h，升温、降温速度不应超过20℃/h，最高养护温度不宜超过70℃，预制构件脱模时的表面温度与环境温度的差值不宜超过25℃。</w:t>
      </w:r>
    </w:p>
    <w:p w14:paraId="5DCE597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w:t>
      </w:r>
      <w:r>
        <w:rPr>
          <w:rFonts w:hint="eastAsia" w:cs="Times New Roman"/>
          <w:b/>
          <w:bCs/>
          <w:snapToGrid w:val="0"/>
          <w:color w:val="auto"/>
          <w:kern w:val="0"/>
          <w:sz w:val="20"/>
          <w:szCs w:val="20"/>
          <w:highlight w:val="none"/>
          <w:lang w:val="en-US" w:eastAsia="zh-CN" w:bidi="ar-SA"/>
        </w:rPr>
        <w:t>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脱模起吊时，同条件养护的混凝土立方体抗压强度应满足设计要求，且不应低于混凝土设计强度等级值的75%。</w:t>
      </w:r>
    </w:p>
    <w:p w14:paraId="1BB81E2A">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w:t>
      </w:r>
      <w:r>
        <w:rPr>
          <w:rFonts w:hint="eastAsia" w:cs="Times New Roman"/>
          <w:b/>
          <w:bCs/>
          <w:snapToGrid w:val="0"/>
          <w:color w:val="auto"/>
          <w:kern w:val="0"/>
          <w:sz w:val="20"/>
          <w:szCs w:val="20"/>
          <w:highlight w:val="none"/>
          <w:lang w:val="en-US" w:eastAsia="zh-CN" w:bidi="ar-SA"/>
        </w:rPr>
        <w:t>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采用后浇混凝土或砂浆、灌浆料连接的预制构件结合面，</w:t>
      </w:r>
      <w:r>
        <w:rPr>
          <w:rFonts w:hint="eastAsia" w:cs="Times New Roman"/>
          <w:color w:val="auto"/>
          <w:kern w:val="0"/>
          <w:sz w:val="24"/>
          <w:szCs w:val="24"/>
          <w:highlight w:val="none"/>
          <w:lang w:val="en-US" w:eastAsia="zh-CN" w:bidi="ar-SA"/>
        </w:rPr>
        <w:t>生产</w:t>
      </w:r>
      <w:r>
        <w:rPr>
          <w:rFonts w:hint="eastAsia" w:ascii="Times New Roman" w:hAnsi="Times New Roman" w:eastAsia="宋体" w:cs="Times New Roman"/>
          <w:color w:val="auto"/>
          <w:kern w:val="0"/>
          <w:sz w:val="24"/>
          <w:szCs w:val="24"/>
          <w:highlight w:val="none"/>
          <w:lang w:val="en-US" w:eastAsia="zh-CN" w:bidi="ar-SA"/>
        </w:rPr>
        <w:t>时应按设计要求进行粗糙面处理。设计无具体要求时，可采用化学处理、拉毛或凿毛等方法</w:t>
      </w:r>
      <w:r>
        <w:rPr>
          <w:rFonts w:hint="eastAsia" w:cs="Times New Roman"/>
          <w:color w:val="auto"/>
          <w:kern w:val="0"/>
          <w:sz w:val="24"/>
          <w:szCs w:val="24"/>
          <w:highlight w:val="none"/>
          <w:lang w:val="en-US" w:eastAsia="zh-CN" w:bidi="ar-SA"/>
        </w:rPr>
        <w:t>生产</w:t>
      </w:r>
      <w:r>
        <w:rPr>
          <w:rFonts w:hint="eastAsia" w:ascii="Times New Roman" w:hAnsi="Times New Roman" w:eastAsia="宋体" w:cs="Times New Roman"/>
          <w:color w:val="auto"/>
          <w:kern w:val="0"/>
          <w:sz w:val="24"/>
          <w:szCs w:val="24"/>
          <w:highlight w:val="none"/>
          <w:lang w:val="en-US" w:eastAsia="zh-CN" w:bidi="ar-SA"/>
        </w:rPr>
        <w:t>粗糙面。粗糙面设置应满足《装配式混凝土结构技术规程》JGJ 1的要求。</w:t>
      </w:r>
    </w:p>
    <w:p w14:paraId="387E6823">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w:t>
      </w:r>
      <w:r>
        <w:rPr>
          <w:rFonts w:hint="eastAsia" w:cs="Times New Roman"/>
          <w:b/>
          <w:bCs/>
          <w:snapToGrid w:val="0"/>
          <w:color w:val="auto"/>
          <w:kern w:val="0"/>
          <w:sz w:val="20"/>
          <w:szCs w:val="20"/>
          <w:highlight w:val="none"/>
          <w:lang w:val="en-US" w:eastAsia="zh-CN" w:bidi="ar-SA"/>
        </w:rPr>
        <w:t>6</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检查合格后，应在构件表面设置合格证明标识，内容应包括构件编号、</w:t>
      </w:r>
      <w:r>
        <w:rPr>
          <w:rFonts w:hint="eastAsia" w:cs="Times New Roman"/>
          <w:color w:val="auto"/>
          <w:kern w:val="0"/>
          <w:sz w:val="24"/>
          <w:szCs w:val="24"/>
          <w:highlight w:val="none"/>
          <w:lang w:val="en-US" w:eastAsia="zh-CN" w:bidi="ar-SA"/>
        </w:rPr>
        <w:t>生产</w:t>
      </w:r>
      <w:r>
        <w:rPr>
          <w:rFonts w:hint="eastAsia" w:ascii="Times New Roman" w:hAnsi="Times New Roman" w:eastAsia="宋体" w:cs="Times New Roman"/>
          <w:color w:val="auto"/>
          <w:kern w:val="0"/>
          <w:sz w:val="24"/>
          <w:szCs w:val="24"/>
          <w:highlight w:val="none"/>
          <w:lang w:val="en-US" w:eastAsia="zh-CN" w:bidi="ar-SA"/>
        </w:rPr>
        <w:t>日期、生产单位、合格状态等信息。</w:t>
      </w:r>
    </w:p>
    <w:p w14:paraId="1B022CEE">
      <w:pPr>
        <w:pStyle w:val="3"/>
        <w:bidi w:val="0"/>
        <w:rPr>
          <w:rFonts w:hint="eastAsia" w:ascii="黑体" w:hAnsi="黑体" w:eastAsia="黑体" w:cs="Times New Roman"/>
          <w:b w:val="0"/>
          <w:bCs w:val="0"/>
          <w:color w:val="auto"/>
          <w:kern w:val="44"/>
          <w:sz w:val="28"/>
          <w:szCs w:val="28"/>
          <w:highlight w:val="none"/>
          <w:lang w:val="zh-CN" w:eastAsia="zh-CN" w:bidi="ar-SA"/>
        </w:rPr>
      </w:pPr>
      <w:bookmarkStart w:id="317" w:name="_Toc5762"/>
      <w:bookmarkStart w:id="318" w:name="_Toc12115"/>
      <w:r>
        <w:rPr>
          <w:rFonts w:hint="eastAsia" w:ascii="Times New Roman" w:hAnsi="Times New Roman" w:eastAsia="黑体" w:cs="Times New Roman"/>
          <w:b/>
          <w:bCs/>
          <w:color w:val="auto"/>
          <w:kern w:val="44"/>
          <w:sz w:val="28"/>
          <w:szCs w:val="28"/>
          <w:highlight w:val="none"/>
          <w:lang w:val="zh-CN" w:eastAsia="zh-CN" w:bidi="ar-SA"/>
        </w:rPr>
        <w:t>8.4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装修与机电集成</w:t>
      </w:r>
      <w:bookmarkEnd w:id="317"/>
      <w:bookmarkEnd w:id="318"/>
    </w:p>
    <w:p w14:paraId="31B780B4">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混凝土模块内装、设备与管线的集成应与模块生产工艺统筹协调，并应依据深化设计文件进行施工</w:t>
      </w:r>
      <w:r>
        <w:rPr>
          <w:rFonts w:hint="eastAsia" w:ascii="Times New Roman" w:hAnsi="Times New Roman" w:eastAsia="宋体" w:cs="Times New Roman"/>
          <w:color w:val="auto"/>
          <w:kern w:val="0"/>
          <w:sz w:val="24"/>
          <w:szCs w:val="24"/>
          <w:highlight w:val="none"/>
          <w:lang w:val="en-US" w:eastAsia="zh-CN" w:bidi="ar-SA"/>
        </w:rPr>
        <w:t>。</w:t>
      </w:r>
    </w:p>
    <w:p w14:paraId="00B4DC26">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lang w:val="en-US" w:eastAsia="zh-CN"/>
        </w:rPr>
        <w:t>混凝土</w:t>
      </w:r>
      <w:r>
        <w:rPr>
          <w:rFonts w:hint="eastAsia" w:cs="Times New Roman"/>
          <w:color w:val="auto"/>
          <w:kern w:val="0"/>
          <w:szCs w:val="24"/>
          <w:highlight w:val="none"/>
        </w:rPr>
        <w:t>模块内装及机电管线安装前，应对预埋件、预留孔洞、管线接口位置、规格及标高进行复核，复核合格后方可进行安装</w:t>
      </w:r>
      <w:r>
        <w:rPr>
          <w:rFonts w:hint="eastAsia" w:ascii="Times New Roman" w:hAnsi="Times New Roman" w:eastAsia="宋体" w:cs="Times New Roman"/>
          <w:color w:val="auto"/>
          <w:kern w:val="0"/>
          <w:sz w:val="24"/>
          <w:szCs w:val="24"/>
          <w:highlight w:val="none"/>
          <w:lang w:val="en-US" w:eastAsia="zh-CN" w:bidi="ar-SA"/>
        </w:rPr>
        <w:t>。</w:t>
      </w:r>
    </w:p>
    <w:p w14:paraId="544F2753">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lang w:val="en-US" w:eastAsia="zh-CN"/>
        </w:rPr>
        <w:t>混凝土</w:t>
      </w:r>
      <w:r>
        <w:rPr>
          <w:rFonts w:hint="eastAsia" w:cs="Times New Roman"/>
          <w:color w:val="auto"/>
          <w:kern w:val="0"/>
          <w:szCs w:val="24"/>
          <w:highlight w:val="none"/>
        </w:rPr>
        <w:t>模块内装及机电管线宜采用标准化、模块化部品部件，并应满足装配化安装和运输条件要求</w:t>
      </w:r>
      <w:r>
        <w:rPr>
          <w:rFonts w:hint="eastAsia" w:ascii="Times New Roman" w:hAnsi="Times New Roman" w:eastAsia="宋体" w:cs="Times New Roman"/>
          <w:color w:val="auto"/>
          <w:kern w:val="0"/>
          <w:sz w:val="24"/>
          <w:szCs w:val="24"/>
          <w:highlight w:val="none"/>
          <w:lang w:val="en-US" w:eastAsia="zh-CN" w:bidi="ar-SA"/>
        </w:rPr>
        <w:t>。</w:t>
      </w:r>
    </w:p>
    <w:p w14:paraId="67BCF561">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 xml:space="preserve">.4  </w:t>
      </w:r>
      <w:r>
        <w:rPr>
          <w:rFonts w:hint="eastAsia" w:cs="Times New Roman"/>
          <w:color w:val="auto"/>
          <w:kern w:val="0"/>
          <w:szCs w:val="24"/>
          <w:highlight w:val="none"/>
          <w:lang w:val="en-US" w:eastAsia="zh-CN"/>
        </w:rPr>
        <w:t>混凝土</w:t>
      </w:r>
      <w:r>
        <w:rPr>
          <w:rFonts w:hint="eastAsia" w:cs="Times New Roman"/>
          <w:color w:val="auto"/>
          <w:kern w:val="0"/>
          <w:szCs w:val="24"/>
          <w:highlight w:val="none"/>
        </w:rPr>
        <w:t>模块内机电管线、设备及内装部品安装完成后，应进行隐蔽工程验收和功能检查，并应形成可追溯的质量记录</w:t>
      </w:r>
      <w:r>
        <w:rPr>
          <w:rFonts w:hint="eastAsia" w:ascii="Times New Roman" w:hAnsi="Times New Roman" w:eastAsia="宋体" w:cs="Times New Roman"/>
          <w:color w:val="auto"/>
          <w:kern w:val="0"/>
          <w:sz w:val="24"/>
          <w:szCs w:val="24"/>
          <w:highlight w:val="none"/>
          <w:lang w:val="en-US" w:eastAsia="zh-CN" w:bidi="ar-SA"/>
        </w:rPr>
        <w:t>。</w:t>
      </w:r>
    </w:p>
    <w:p w14:paraId="5B483743">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 xml:space="preserve">.5  </w:t>
      </w:r>
      <w:r>
        <w:rPr>
          <w:rFonts w:hint="eastAsia" w:cs="Times New Roman"/>
          <w:color w:val="auto"/>
          <w:kern w:val="0"/>
          <w:szCs w:val="24"/>
          <w:highlight w:val="none"/>
          <w:lang w:val="en-US" w:eastAsia="zh-CN"/>
        </w:rPr>
        <w:t>混凝土模块出厂前，管线接口、设备端口及预留孔洞应采取封堵、防护措施，并应对易损部品部件采取成品保护措施</w:t>
      </w:r>
      <w:r>
        <w:rPr>
          <w:rFonts w:hint="eastAsia" w:ascii="Times New Roman" w:hAnsi="Times New Roman" w:eastAsia="宋体" w:cs="Times New Roman"/>
          <w:color w:val="auto"/>
          <w:kern w:val="0"/>
          <w:sz w:val="24"/>
          <w:szCs w:val="24"/>
          <w:highlight w:val="none"/>
          <w:lang w:val="en-US" w:eastAsia="zh-CN" w:bidi="ar-SA"/>
        </w:rPr>
        <w:t>。</w:t>
      </w:r>
    </w:p>
    <w:p w14:paraId="79B5018C">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 xml:space="preserve">.6  </w:t>
      </w:r>
      <w:r>
        <w:rPr>
          <w:rFonts w:hint="eastAsia" w:cs="Times New Roman"/>
          <w:color w:val="auto"/>
          <w:kern w:val="0"/>
          <w:szCs w:val="24"/>
          <w:highlight w:val="none"/>
          <w:lang w:val="en-US" w:eastAsia="zh-CN"/>
        </w:rPr>
        <w:t>混凝土模块内装及机电管线安装完成后，应对模块内主要部品部件的固定措施进行检查，固定应牢固可靠，并应满足运输与吊装过程的安全要求。</w:t>
      </w:r>
    </w:p>
    <w:p w14:paraId="2524916F">
      <w:pPr>
        <w:pStyle w:val="3"/>
        <w:bidi w:val="0"/>
        <w:rPr>
          <w:rFonts w:hint="eastAsia" w:ascii="黑体" w:hAnsi="黑体" w:eastAsia="黑体" w:cs="Times New Roman"/>
          <w:b w:val="0"/>
          <w:bCs w:val="0"/>
          <w:color w:val="auto"/>
          <w:kern w:val="44"/>
          <w:sz w:val="28"/>
          <w:szCs w:val="28"/>
          <w:highlight w:val="none"/>
          <w:lang w:val="zh-CN" w:eastAsia="zh-CN" w:bidi="ar-SA"/>
        </w:rPr>
      </w:pPr>
      <w:bookmarkStart w:id="319" w:name="_Toc148909487"/>
      <w:bookmarkStart w:id="320" w:name="_Toc153805665"/>
      <w:bookmarkStart w:id="321" w:name="_Toc28949"/>
      <w:bookmarkStart w:id="322" w:name="_Toc177840577"/>
      <w:bookmarkStart w:id="323" w:name="_Toc18128"/>
      <w:bookmarkStart w:id="324" w:name="_Toc154525544"/>
      <w:bookmarkStart w:id="325" w:name="_Toc154526007"/>
      <w:bookmarkStart w:id="326" w:name="_Toc15517"/>
      <w:bookmarkStart w:id="327" w:name="_Toc180613547"/>
      <w:bookmarkStart w:id="328" w:name="_Toc177840185"/>
      <w:bookmarkStart w:id="329" w:name="_Toc10585"/>
      <w:bookmarkStart w:id="330" w:name="_Toc5042"/>
      <w:bookmarkStart w:id="331" w:name="_Toc20369"/>
      <w:r>
        <w:rPr>
          <w:rFonts w:hint="eastAsia" w:cs="Times New Roman"/>
          <w:b/>
          <w:bCs/>
          <w:color w:val="auto"/>
          <w:kern w:val="44"/>
          <w:sz w:val="28"/>
          <w:szCs w:val="28"/>
          <w:highlight w:val="none"/>
          <w:lang w:val="zh-CN" w:eastAsia="zh-CN" w:bidi="ar-SA"/>
        </w:rPr>
        <w:t>8.5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运输与堆放</w:t>
      </w:r>
      <w:bookmarkEnd w:id="319"/>
      <w:bookmarkEnd w:id="320"/>
      <w:bookmarkEnd w:id="321"/>
      <w:bookmarkEnd w:id="322"/>
      <w:bookmarkEnd w:id="323"/>
      <w:bookmarkEnd w:id="324"/>
      <w:bookmarkEnd w:id="325"/>
      <w:bookmarkEnd w:id="326"/>
      <w:bookmarkEnd w:id="327"/>
      <w:bookmarkEnd w:id="328"/>
      <w:bookmarkEnd w:id="329"/>
      <w:bookmarkEnd w:id="330"/>
      <w:bookmarkEnd w:id="331"/>
    </w:p>
    <w:p w14:paraId="55653C04">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8.5</w:t>
      </w:r>
      <w:r>
        <w:rPr>
          <w:rFonts w:hint="eastAsia" w:ascii="Times New Roman" w:hAnsi="Times New Roman" w:eastAsia="宋体" w:cs="Times New Roman"/>
          <w:b/>
          <w:bCs/>
          <w:snapToGrid w:val="0"/>
          <w:color w:val="auto"/>
          <w:kern w:val="0"/>
          <w:sz w:val="20"/>
          <w:szCs w:val="20"/>
          <w:highlight w:val="none"/>
          <w:lang w:val="en-US" w:eastAsia="zh-CN" w:bidi="ar-SA"/>
        </w:rPr>
        <w:t>.1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混凝土模块运输与堆放前，生产单位应制定专项</w:t>
      </w:r>
      <w:r>
        <w:rPr>
          <w:rFonts w:hint="eastAsia" w:cs="Times New Roman"/>
          <w:color w:val="auto"/>
          <w:kern w:val="0"/>
          <w:szCs w:val="24"/>
          <w:highlight w:val="none"/>
          <w:lang w:val="en-US" w:eastAsia="zh-CN"/>
        </w:rPr>
        <w:t>运输</w:t>
      </w:r>
      <w:r>
        <w:rPr>
          <w:rFonts w:hint="eastAsia" w:cs="Times New Roman"/>
          <w:color w:val="auto"/>
          <w:kern w:val="0"/>
          <w:szCs w:val="24"/>
          <w:highlight w:val="none"/>
        </w:rPr>
        <w:t>方案，方案内容应包括运输时间、</w:t>
      </w:r>
      <w:r>
        <w:rPr>
          <w:rFonts w:hint="eastAsia" w:cs="Times New Roman"/>
          <w:color w:val="auto"/>
          <w:kern w:val="0"/>
          <w:szCs w:val="24"/>
          <w:highlight w:val="none"/>
          <w:lang w:val="en-US" w:eastAsia="zh-CN"/>
        </w:rPr>
        <w:t>安装顺序</w:t>
      </w:r>
      <w:r>
        <w:rPr>
          <w:rFonts w:hint="eastAsia" w:cs="Times New Roman"/>
          <w:color w:val="auto"/>
          <w:kern w:val="0"/>
          <w:szCs w:val="24"/>
          <w:highlight w:val="none"/>
        </w:rPr>
        <w:t>、堆放场地、运输线路、固定要求、起重设备规格、堆放支垫及成品保护措施等。</w:t>
      </w:r>
    </w:p>
    <w:p w14:paraId="3552ABF0">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8.5</w:t>
      </w:r>
      <w:r>
        <w:rPr>
          <w:rFonts w:hint="eastAsia" w:ascii="Times New Roman" w:hAnsi="Times New Roman" w:eastAsia="宋体" w:cs="Times New Roman"/>
          <w:b/>
          <w:bCs/>
          <w:snapToGrid w:val="0"/>
          <w:color w:val="auto"/>
          <w:kern w:val="0"/>
          <w:sz w:val="20"/>
          <w:szCs w:val="20"/>
          <w:highlight w:val="none"/>
          <w:lang w:val="en-US" w:eastAsia="zh-CN" w:bidi="ar-SA"/>
        </w:rPr>
        <w:t xml:space="preserve">.2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Cs w:val="24"/>
          <w:highlight w:val="none"/>
        </w:rPr>
        <w:t>混凝土模块的运输与堆放应按经批准的运输与堆放方案实施，运输车辆及装卸、运输、堆放作业应满足构件尺寸和载重要求，并应符合下列规定：</w:t>
      </w:r>
    </w:p>
    <w:p w14:paraId="71F4C7CD">
      <w:pPr>
        <w:wordWrap/>
        <w:overflowPunct/>
        <w:topLinePunct w:val="0"/>
        <w:bidi w:val="0"/>
        <w:snapToGrid w:val="0"/>
        <w:spacing w:line="300" w:lineRule="auto"/>
        <w:ind w:left="0" w:leftChars="0" w:firstLine="480" w:firstLineChars="200"/>
        <w:rPr>
          <w:rFonts w:hint="eastAsia" w:cs="Times New Roman"/>
          <w:color w:val="auto"/>
          <w:kern w:val="0"/>
          <w:szCs w:val="24"/>
          <w:highlight w:val="none"/>
        </w:rPr>
      </w:pPr>
      <w:r>
        <w:rPr>
          <w:rFonts w:hint="eastAsia" w:cs="Times New Roman"/>
          <w:color w:val="auto"/>
          <w:kern w:val="0"/>
          <w:szCs w:val="24"/>
          <w:highlight w:val="none"/>
        </w:rPr>
        <w:t xml:space="preserve">1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装卸构件时，应采取保证车体平衡和构件稳定的措施；</w:t>
      </w:r>
    </w:p>
    <w:p w14:paraId="6DCF5937">
      <w:pPr>
        <w:wordWrap/>
        <w:overflowPunct/>
        <w:topLinePunct w:val="0"/>
        <w:bidi w:val="0"/>
        <w:snapToGrid w:val="0"/>
        <w:spacing w:line="300" w:lineRule="auto"/>
        <w:ind w:left="0" w:leftChars="0" w:firstLine="480" w:firstLineChars="200"/>
        <w:rPr>
          <w:rFonts w:hint="eastAsia" w:cs="Times New Roman"/>
          <w:color w:val="auto"/>
          <w:kern w:val="0"/>
          <w:szCs w:val="24"/>
          <w:highlight w:val="none"/>
        </w:rPr>
      </w:pPr>
      <w:r>
        <w:rPr>
          <w:rFonts w:hint="eastAsia" w:cs="Times New Roman"/>
          <w:color w:val="auto"/>
          <w:kern w:val="0"/>
          <w:szCs w:val="24"/>
          <w:highlight w:val="none"/>
        </w:rPr>
        <w:t xml:space="preserve">2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运输构件时，应采取必要的固定或加固措施，防止构件滑动、倾倒和开裂等不利情况；</w:t>
      </w:r>
    </w:p>
    <w:p w14:paraId="162C98CE">
      <w:pPr>
        <w:wordWrap/>
        <w:overflowPunct/>
        <w:topLinePunct w:val="0"/>
        <w:bidi w:val="0"/>
        <w:snapToGrid w:val="0"/>
        <w:spacing w:line="300" w:lineRule="auto"/>
        <w:ind w:left="0" w:leftChars="0" w:firstLine="480" w:firstLineChars="200"/>
        <w:rPr>
          <w:rFonts w:hint="eastAsia" w:cs="Times New Roman"/>
          <w:color w:val="auto"/>
          <w:kern w:val="0"/>
          <w:szCs w:val="24"/>
          <w:highlight w:val="none"/>
        </w:rPr>
      </w:pPr>
      <w:r>
        <w:rPr>
          <w:rFonts w:hint="eastAsia" w:cs="Times New Roman"/>
          <w:color w:val="auto"/>
          <w:kern w:val="0"/>
          <w:szCs w:val="24"/>
          <w:highlight w:val="none"/>
        </w:rPr>
        <w:t xml:space="preserve">3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运输构件时，应采取防止构件损坏的措施，对构件边角部或链索接触处的混凝土，宜设置保护衬垫；</w:t>
      </w:r>
    </w:p>
    <w:p w14:paraId="247BB909">
      <w:pPr>
        <w:wordWrap/>
        <w:overflowPunct/>
        <w:topLinePunct w:val="0"/>
        <w:bidi w:val="0"/>
        <w:snapToGrid w:val="0"/>
        <w:spacing w:line="300" w:lineRule="auto"/>
        <w:ind w:left="0" w:leftChars="0"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Cs w:val="24"/>
          <w:highlight w:val="none"/>
        </w:rPr>
        <w:t xml:space="preserve">4 </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rPr>
        <w:t>运输与堆放作业应采取成品保护和安全防护措施，避免构件损坏，并保障操作人员安全。</w:t>
      </w:r>
    </w:p>
    <w:p w14:paraId="2F175995">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8.5</w:t>
      </w:r>
      <w:r>
        <w:rPr>
          <w:rFonts w:hint="eastAsia" w:ascii="Times New Roman" w:hAnsi="Times New Roman" w:eastAsia="宋体" w:cs="Times New Roman"/>
          <w:b/>
          <w:bCs/>
          <w:snapToGrid w:val="0"/>
          <w:color w:val="auto"/>
          <w:kern w:val="0"/>
          <w:sz w:val="20"/>
          <w:szCs w:val="20"/>
          <w:highlight w:val="none"/>
          <w:lang w:val="en-US" w:eastAsia="zh-CN" w:bidi="ar-SA"/>
        </w:rPr>
        <w:t>.</w:t>
      </w:r>
      <w:r>
        <w:rPr>
          <w:rFonts w:hint="eastAsia" w:cs="Times New Roman"/>
          <w:b/>
          <w:bCs/>
          <w:snapToGrid w:val="0"/>
          <w:color w:val="auto"/>
          <w:kern w:val="0"/>
          <w:sz w:val="20"/>
          <w:szCs w:val="20"/>
          <w:highlight w:val="none"/>
          <w:lang w:val="en-US" w:eastAsia="zh-CN" w:bidi="ar-SA"/>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堆放应符合下列规定：</w:t>
      </w:r>
    </w:p>
    <w:p w14:paraId="41B7706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堆放场地应平整、坚实，其地基承载力和整体稳定性应满足模块堆放荷载要求，并应采取排水措施；</w:t>
      </w:r>
    </w:p>
    <w:p w14:paraId="4628CBBF">
      <w:pPr>
        <w:wordWrap/>
        <w:overflowPunct/>
        <w:topLinePunct w:val="0"/>
        <w:bidi w:val="0"/>
        <w:snapToGrid w:val="0"/>
        <w:spacing w:line="300" w:lineRule="auto"/>
        <w:ind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 xml:space="preserve">2  </w:t>
      </w:r>
      <w:r>
        <w:rPr>
          <w:rFonts w:hint="eastAsia" w:ascii="Times New Roman" w:hAnsi="Times New Roman" w:eastAsia="宋体" w:cs="Times New Roman"/>
          <w:color w:val="auto"/>
          <w:kern w:val="0"/>
          <w:sz w:val="24"/>
          <w:szCs w:val="24"/>
          <w:highlight w:val="none"/>
          <w:lang w:val="en-US" w:eastAsia="zh-CN" w:bidi="ar-SA"/>
        </w:rPr>
        <w:t>构件支垫应坚实，垫块在构件下的位置宜与脱模、</w:t>
      </w:r>
      <w:r>
        <w:rPr>
          <w:rFonts w:hint="eastAsia" w:cs="Times New Roman"/>
          <w:color w:val="auto"/>
          <w:kern w:val="0"/>
          <w:sz w:val="24"/>
          <w:szCs w:val="24"/>
          <w:highlight w:val="none"/>
          <w:lang w:val="en-US" w:eastAsia="zh-CN" w:bidi="ar-SA"/>
        </w:rPr>
        <w:t>安</w:t>
      </w:r>
      <w:r>
        <w:rPr>
          <w:rFonts w:hint="eastAsia" w:ascii="Times New Roman" w:hAnsi="Times New Roman" w:eastAsia="宋体" w:cs="Times New Roman"/>
          <w:color w:val="auto"/>
          <w:kern w:val="0"/>
          <w:sz w:val="24"/>
          <w:szCs w:val="24"/>
          <w:highlight w:val="none"/>
          <w:lang w:val="en-US" w:eastAsia="zh-CN" w:bidi="ar-SA"/>
        </w:rPr>
        <w:t>装时的起吊位置一致；</w:t>
      </w:r>
    </w:p>
    <w:p w14:paraId="0274795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3  混凝土模块宜单层堆放，堆叠高度不应超过2层；当采用2层堆放时，堆放场地应平整、坚实，具备满足堆放要求的地基承载力，各层构件间的支垫应上下对齐，堆放状态应保持稳定，并应根据需要采取防止构件错位或倾覆的措施</w:t>
      </w:r>
      <w:r>
        <w:rPr>
          <w:rFonts w:hint="eastAsia" w:ascii="Times New Roman" w:hAnsi="Times New Roman" w:eastAsia="宋体" w:cs="Times New Roman"/>
          <w:color w:val="auto"/>
          <w:kern w:val="0"/>
          <w:sz w:val="24"/>
          <w:szCs w:val="24"/>
          <w:highlight w:val="none"/>
          <w:lang w:val="en-US" w:eastAsia="zh-CN" w:bidi="ar-SA"/>
        </w:rPr>
        <w:t>；</w:t>
      </w:r>
    </w:p>
    <w:p w14:paraId="5EF5ACEC">
      <w:pPr>
        <w:wordWrap/>
        <w:overflowPunct/>
        <w:topLinePunct w:val="0"/>
        <w:bidi w:val="0"/>
        <w:snapToGrid w:val="0"/>
        <w:spacing w:line="300" w:lineRule="auto"/>
        <w:ind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 xml:space="preserve">4  </w:t>
      </w:r>
      <w:r>
        <w:rPr>
          <w:rFonts w:hint="eastAsia" w:ascii="Times New Roman" w:hAnsi="Times New Roman" w:eastAsia="宋体" w:cs="Times New Roman"/>
          <w:color w:val="auto"/>
          <w:kern w:val="0"/>
          <w:sz w:val="24"/>
          <w:szCs w:val="24"/>
          <w:highlight w:val="none"/>
          <w:lang w:val="en-US" w:eastAsia="zh-CN" w:bidi="ar-SA"/>
        </w:rPr>
        <w:t>当两模块有支承点不能布置在同一条竖直线上时，仅允许单层堆放</w:t>
      </w:r>
      <w:r>
        <w:rPr>
          <w:rFonts w:hint="eastAsia" w:cs="Times New Roman"/>
          <w:color w:val="auto"/>
          <w:kern w:val="0"/>
          <w:sz w:val="24"/>
          <w:szCs w:val="24"/>
          <w:highlight w:val="none"/>
          <w:lang w:val="en-US" w:eastAsia="zh-CN" w:bidi="ar-SA"/>
        </w:rPr>
        <w:t>；</w:t>
      </w:r>
    </w:p>
    <w:p w14:paraId="78A668E2">
      <w:pPr>
        <w:wordWrap/>
        <w:overflowPunct/>
        <w:topLinePunct w:val="0"/>
        <w:bidi w:val="0"/>
        <w:snapToGrid w:val="0"/>
        <w:spacing w:line="300" w:lineRule="auto"/>
        <w:ind w:firstLine="480" w:firstLineChars="200"/>
        <w:rPr>
          <w:rFonts w:hint="default"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 xml:space="preserve">5  </w:t>
      </w:r>
      <w:r>
        <w:rPr>
          <w:rFonts w:hint="eastAsia" w:ascii="Times New Roman" w:hAnsi="Times New Roman" w:eastAsia="宋体" w:cs="Times New Roman"/>
          <w:color w:val="auto"/>
          <w:kern w:val="0"/>
          <w:sz w:val="24"/>
          <w:szCs w:val="24"/>
          <w:highlight w:val="none"/>
          <w:lang w:val="en-US" w:eastAsia="zh-CN" w:bidi="ar-SA"/>
        </w:rPr>
        <w:t>标识宜朝向堆叠间的通道</w:t>
      </w:r>
      <w:r>
        <w:rPr>
          <w:rFonts w:hint="eastAsia" w:cs="Times New Roman"/>
          <w:color w:val="auto"/>
          <w:kern w:val="0"/>
          <w:sz w:val="24"/>
          <w:szCs w:val="24"/>
          <w:highlight w:val="none"/>
          <w:lang w:val="en-US" w:eastAsia="zh-CN" w:bidi="ar-SA"/>
        </w:rPr>
        <w:t>。</w:t>
      </w:r>
    </w:p>
    <w:p w14:paraId="2618F5AA">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p>
    <w:p w14:paraId="5F6E63DC">
      <w:pPr>
        <w:wordWrap/>
        <w:overflowPunct/>
        <w:topLinePunct w:val="0"/>
        <w:bidi w:val="0"/>
        <w:snapToGrid w:val="0"/>
        <w:spacing w:line="30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p>
    <w:p w14:paraId="17D86890">
      <w:pPr>
        <w:wordWrap/>
        <w:overflowPunct/>
        <w:topLinePunct w:val="0"/>
        <w:bidi w:val="0"/>
        <w:snapToGrid w:val="0"/>
        <w:spacing w:line="300" w:lineRule="auto"/>
        <w:ind w:firstLine="420" w:firstLineChars="200"/>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4A981FE6">
      <w:pPr>
        <w:pStyle w:val="2"/>
        <w:bidi w:val="0"/>
        <w:rPr>
          <w:rFonts w:hint="eastAsia" w:ascii="黑体" w:hAnsi="黑体" w:eastAsia="黑体" w:cs="黑体"/>
          <w:color w:val="auto"/>
          <w:kern w:val="44"/>
          <w:sz w:val="30"/>
          <w:szCs w:val="30"/>
          <w:highlight w:val="none"/>
          <w:lang w:val="zh-CN"/>
        </w:rPr>
      </w:pPr>
      <w:bookmarkStart w:id="332" w:name="_Toc154525545"/>
      <w:bookmarkStart w:id="333" w:name="_Toc32610"/>
      <w:bookmarkStart w:id="334" w:name="_Toc154526008"/>
      <w:bookmarkStart w:id="335" w:name="_Toc177840186"/>
      <w:bookmarkStart w:id="336" w:name="_Toc148909488"/>
      <w:bookmarkStart w:id="337" w:name="_Toc153805666"/>
      <w:bookmarkStart w:id="338" w:name="_Toc3086"/>
      <w:bookmarkStart w:id="339" w:name="_Toc31730"/>
      <w:bookmarkStart w:id="340" w:name="_Toc180613548"/>
      <w:bookmarkStart w:id="341" w:name="_Toc177840578"/>
      <w:bookmarkStart w:id="342" w:name="_Toc3213"/>
      <w:bookmarkStart w:id="343" w:name="_Toc6126"/>
      <w:bookmarkStart w:id="344" w:name="_Toc13538"/>
      <w:r>
        <w:rPr>
          <w:rFonts w:hint="eastAsia" w:ascii="Times New Roman" w:hAnsi="Times New Roman" w:eastAsia="黑体" w:cs="Times New Roman"/>
          <w:b/>
          <w:bCs/>
          <w:color w:val="auto"/>
          <w:kern w:val="44"/>
          <w:sz w:val="30"/>
          <w:szCs w:val="30"/>
          <w:highlight w:val="none"/>
          <w:lang w:val="zh-CN" w:eastAsia="zh-CN" w:bidi="ar-SA"/>
        </w:rPr>
        <w:t>9</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zh-CN"/>
        </w:rPr>
        <w:t>施工安装</w:t>
      </w:r>
      <w:bookmarkEnd w:id="332"/>
      <w:bookmarkEnd w:id="333"/>
      <w:bookmarkEnd w:id="334"/>
      <w:bookmarkEnd w:id="335"/>
      <w:bookmarkEnd w:id="336"/>
      <w:bookmarkEnd w:id="337"/>
      <w:bookmarkEnd w:id="338"/>
      <w:bookmarkEnd w:id="339"/>
      <w:bookmarkEnd w:id="340"/>
      <w:bookmarkEnd w:id="341"/>
      <w:bookmarkEnd w:id="342"/>
      <w:bookmarkEnd w:id="343"/>
      <w:bookmarkEnd w:id="344"/>
    </w:p>
    <w:p w14:paraId="0DA538CB">
      <w:pPr>
        <w:pStyle w:val="3"/>
        <w:bidi w:val="0"/>
        <w:rPr>
          <w:rFonts w:ascii="宋体" w:hAnsi="宋体" w:cs="Times New Roman"/>
          <w:color w:val="auto"/>
          <w:sz w:val="21"/>
          <w:szCs w:val="21"/>
          <w:highlight w:val="none"/>
        </w:rPr>
      </w:pPr>
      <w:bookmarkStart w:id="345" w:name="_Toc177840187"/>
      <w:bookmarkStart w:id="346" w:name="_Toc17274"/>
      <w:bookmarkStart w:id="347" w:name="_Toc154526009"/>
      <w:bookmarkStart w:id="348" w:name="_Toc148909489"/>
      <w:bookmarkStart w:id="349" w:name="_Toc7669"/>
      <w:bookmarkStart w:id="350" w:name="_Toc24125"/>
      <w:bookmarkStart w:id="351" w:name="_Toc177840579"/>
      <w:bookmarkStart w:id="352" w:name="_Toc11422"/>
      <w:bookmarkStart w:id="353" w:name="_Toc180613549"/>
      <w:bookmarkStart w:id="354" w:name="_Toc20564"/>
      <w:bookmarkStart w:id="355" w:name="_Toc29351"/>
      <w:bookmarkStart w:id="356" w:name="_Toc154525546"/>
      <w:bookmarkStart w:id="357" w:name="_Toc153805667"/>
      <w:r>
        <w:rPr>
          <w:rFonts w:hint="eastAsia" w:ascii="Times New Roman" w:hAnsi="Times New Roman" w:eastAsia="黑体" w:cs="Times New Roman"/>
          <w:b/>
          <w:bCs/>
          <w:color w:val="auto"/>
          <w:kern w:val="44"/>
          <w:sz w:val="28"/>
          <w:szCs w:val="28"/>
          <w:highlight w:val="none"/>
          <w:lang w:val="zh-CN" w:eastAsia="zh-CN" w:bidi="ar-SA"/>
        </w:rPr>
        <w:t>9.1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一般规定</w:t>
      </w:r>
      <w:bookmarkEnd w:id="345"/>
      <w:bookmarkEnd w:id="346"/>
      <w:bookmarkEnd w:id="347"/>
      <w:bookmarkEnd w:id="348"/>
      <w:bookmarkEnd w:id="349"/>
      <w:bookmarkEnd w:id="350"/>
      <w:bookmarkEnd w:id="351"/>
      <w:bookmarkEnd w:id="352"/>
      <w:bookmarkEnd w:id="353"/>
      <w:bookmarkEnd w:id="354"/>
      <w:bookmarkEnd w:id="355"/>
      <w:bookmarkEnd w:id="356"/>
      <w:bookmarkEnd w:id="357"/>
    </w:p>
    <w:p w14:paraId="29F64B1E">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9.1.1</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施工前应制定施工组织设计</w:t>
      </w:r>
      <w:r>
        <w:rPr>
          <w:rFonts w:hint="eastAsia" w:cs="Times New Roman"/>
          <w:color w:val="auto"/>
          <w:kern w:val="0"/>
          <w:sz w:val="24"/>
          <w:szCs w:val="24"/>
          <w:highlight w:val="none"/>
          <w:lang w:val="en-US" w:eastAsia="zh-CN" w:bidi="ar-SA"/>
        </w:rPr>
        <w:t>及混凝土模块专项</w:t>
      </w:r>
      <w:r>
        <w:rPr>
          <w:rFonts w:hint="eastAsia" w:ascii="Times New Roman" w:hAnsi="Times New Roman" w:eastAsia="宋体" w:cs="Times New Roman"/>
          <w:color w:val="auto"/>
          <w:kern w:val="0"/>
          <w:sz w:val="24"/>
          <w:szCs w:val="24"/>
          <w:highlight w:val="none"/>
          <w:lang w:val="en-US" w:eastAsia="zh-CN" w:bidi="ar-SA"/>
        </w:rPr>
        <w:t>施工方案；施工组织设计的内容应符合现行国家标准《建筑工程施工组织设计规范》GB/T 50502</w:t>
      </w:r>
      <w:r>
        <w:rPr>
          <w:rFonts w:hint="eastAsia" w:cs="Times New Roman"/>
          <w:color w:val="auto"/>
          <w:kern w:val="0"/>
          <w:sz w:val="24"/>
          <w:szCs w:val="24"/>
          <w:highlight w:val="none"/>
          <w:lang w:val="en-US" w:eastAsia="zh-CN" w:bidi="ar-SA"/>
        </w:rPr>
        <w:t>、《装配式混凝土建筑技术标准》GB/T 51231</w:t>
      </w:r>
      <w:r>
        <w:rPr>
          <w:rFonts w:hint="eastAsia" w:ascii="Times New Roman" w:hAnsi="Times New Roman" w:eastAsia="宋体" w:cs="Times New Roman"/>
          <w:color w:val="auto"/>
          <w:kern w:val="0"/>
          <w:sz w:val="24"/>
          <w:szCs w:val="24"/>
          <w:highlight w:val="none"/>
          <w:lang w:val="en-US" w:eastAsia="zh-CN" w:bidi="ar-SA"/>
        </w:rPr>
        <w:t>的规定；</w:t>
      </w:r>
      <w:r>
        <w:rPr>
          <w:rFonts w:hint="eastAsia" w:cs="Times New Roman"/>
          <w:color w:val="auto"/>
          <w:kern w:val="0"/>
          <w:sz w:val="24"/>
          <w:szCs w:val="24"/>
          <w:highlight w:val="none"/>
          <w:lang w:val="en-US" w:eastAsia="zh-CN" w:bidi="ar-SA"/>
        </w:rPr>
        <w:t>混凝土模块专项</w:t>
      </w:r>
      <w:r>
        <w:rPr>
          <w:rFonts w:hint="eastAsia" w:ascii="Times New Roman" w:hAnsi="Times New Roman" w:eastAsia="宋体" w:cs="Times New Roman"/>
          <w:color w:val="auto"/>
          <w:kern w:val="0"/>
          <w:sz w:val="24"/>
          <w:szCs w:val="24"/>
          <w:highlight w:val="none"/>
          <w:lang w:val="en-US" w:eastAsia="zh-CN" w:bidi="ar-SA"/>
        </w:rPr>
        <w:t>施工方案的内容应包括</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安装及节点施工方案、质量管理及安全措施。</w:t>
      </w:r>
      <w:r>
        <w:rPr>
          <w:rFonts w:hint="eastAsia" w:cs="Times New Roman"/>
          <w:color w:val="auto"/>
          <w:kern w:val="0"/>
          <w:sz w:val="24"/>
          <w:szCs w:val="24"/>
          <w:highlight w:val="none"/>
          <w:lang w:val="en-US" w:eastAsia="zh-CN" w:bidi="ar-SA"/>
        </w:rPr>
        <w:t xml:space="preserve"> </w:t>
      </w:r>
    </w:p>
    <w:p w14:paraId="2783B62D">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default" w:cs="Times New Roman"/>
          <w:b/>
          <w:bCs/>
          <w:color w:val="auto"/>
          <w:kern w:val="0"/>
          <w:sz w:val="24"/>
          <w:szCs w:val="24"/>
          <w:highlight w:val="none"/>
          <w:lang w:val="en-US" w:eastAsia="zh-CN" w:bidi="ar-SA"/>
        </w:rPr>
      </w:pPr>
      <w:r>
        <w:rPr>
          <w:rFonts w:hint="eastAsia" w:cs="Times New Roman"/>
          <w:b/>
          <w:bCs/>
          <w:color w:val="auto"/>
          <w:kern w:val="0"/>
          <w:sz w:val="20"/>
          <w:szCs w:val="20"/>
          <w:highlight w:val="none"/>
          <w:lang w:val="en-US" w:eastAsia="zh-CN" w:bidi="ar-SA"/>
        </w:rPr>
        <w:t xml:space="preserve">9.1.2  </w:t>
      </w:r>
      <w:r>
        <w:rPr>
          <w:rFonts w:hint="eastAsia" w:cs="Times New Roman"/>
          <w:b w:val="0"/>
          <w:bCs w:val="0"/>
          <w:color w:val="auto"/>
          <w:kern w:val="0"/>
          <w:sz w:val="24"/>
          <w:szCs w:val="24"/>
          <w:highlight w:val="none"/>
          <w:lang w:val="en-US" w:eastAsia="zh-CN" w:bidi="ar-SA"/>
        </w:rPr>
        <w:t>混凝土模块进场时，生产单位应提供出厂合格证及相关质量证明文件。</w:t>
      </w:r>
    </w:p>
    <w:p w14:paraId="6E8AC029">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default" w:cs="Times New Roman"/>
          <w:b/>
          <w:bCs/>
          <w:color w:val="auto"/>
          <w:kern w:val="0"/>
          <w:sz w:val="20"/>
          <w:szCs w:val="20"/>
          <w:highlight w:val="none"/>
          <w:lang w:val="en-US" w:eastAsia="zh-CN" w:bidi="ar-SA"/>
        </w:rPr>
      </w:pPr>
      <w:r>
        <w:rPr>
          <w:rFonts w:hint="eastAsia" w:cs="Times New Roman"/>
          <w:b/>
          <w:bCs/>
          <w:color w:val="auto"/>
          <w:kern w:val="0"/>
          <w:sz w:val="20"/>
          <w:szCs w:val="20"/>
          <w:highlight w:val="none"/>
          <w:lang w:val="en-US" w:eastAsia="zh-CN" w:bidi="ar-SA"/>
        </w:rPr>
        <w:t xml:space="preserve">9.1.3  </w:t>
      </w:r>
      <w:r>
        <w:rPr>
          <w:rFonts w:hint="eastAsia" w:cs="Times New Roman"/>
          <w:b w:val="0"/>
          <w:bCs w:val="0"/>
          <w:color w:val="auto"/>
          <w:kern w:val="0"/>
          <w:sz w:val="24"/>
          <w:szCs w:val="24"/>
          <w:highlight w:val="none"/>
          <w:lang w:val="en-US" w:eastAsia="zh-CN" w:bidi="ar-SA"/>
        </w:rPr>
        <w:t>混凝土模块、连接材料、配件等应按国家现行相关标准的规定进行进场验收，未经验收或验收不合格的产品不得使用。</w:t>
      </w:r>
    </w:p>
    <w:p w14:paraId="4A90799B">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9.1.</w:t>
      </w:r>
      <w:r>
        <w:rPr>
          <w:rFonts w:hint="eastAsia" w:cs="Times New Roman"/>
          <w:b/>
          <w:bCs/>
          <w:snapToGrid w:val="0"/>
          <w:color w:val="auto"/>
          <w:kern w:val="0"/>
          <w:sz w:val="20"/>
          <w:szCs w:val="20"/>
          <w:highlight w:val="none"/>
          <w:lang w:val="en-US" w:eastAsia="zh-CN" w:bidi="ar-SA"/>
        </w:rPr>
        <w:t>4</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安装宜采用</w:t>
      </w:r>
      <w:r>
        <w:rPr>
          <w:rFonts w:hint="eastAsia" w:cs="Times New Roman"/>
          <w:color w:val="auto"/>
          <w:kern w:val="0"/>
          <w:sz w:val="24"/>
          <w:szCs w:val="24"/>
          <w:highlight w:val="none"/>
          <w:lang w:val="en-US" w:eastAsia="zh-CN" w:bidi="ar-SA"/>
        </w:rPr>
        <w:t>模数</w:t>
      </w:r>
      <w:r>
        <w:rPr>
          <w:rFonts w:hint="eastAsia" w:ascii="Times New Roman" w:hAnsi="Times New Roman" w:eastAsia="宋体" w:cs="Times New Roman"/>
          <w:color w:val="auto"/>
          <w:kern w:val="0"/>
          <w:sz w:val="24"/>
          <w:szCs w:val="24"/>
          <w:highlight w:val="none"/>
          <w:lang w:val="en-US" w:eastAsia="zh-CN" w:bidi="ar-SA"/>
        </w:rPr>
        <w:t>化、标准化的工装系统。</w:t>
      </w:r>
    </w:p>
    <w:p w14:paraId="0924BCEF">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9.1.</w:t>
      </w:r>
      <w:r>
        <w:rPr>
          <w:rFonts w:hint="eastAsia" w:cs="Times New Roman"/>
          <w:b/>
          <w:bCs/>
          <w:snapToGrid w:val="0"/>
          <w:color w:val="auto"/>
          <w:kern w:val="0"/>
          <w:sz w:val="20"/>
          <w:szCs w:val="20"/>
          <w:highlight w:val="none"/>
          <w:lang w:val="en-US" w:eastAsia="zh-CN" w:bidi="ar-SA"/>
        </w:rPr>
        <w:t>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安</w:t>
      </w:r>
      <w:r>
        <w:rPr>
          <w:rFonts w:hint="eastAsia" w:ascii="Times New Roman" w:hAnsi="Times New Roman" w:eastAsia="宋体" w:cs="Times New Roman"/>
          <w:color w:val="auto"/>
          <w:kern w:val="0"/>
          <w:sz w:val="24"/>
          <w:szCs w:val="24"/>
          <w:highlight w:val="none"/>
          <w:lang w:val="en-US" w:eastAsia="zh-CN" w:bidi="ar-SA"/>
        </w:rPr>
        <w:t>装用吊具应按现行国家有关标准的规定进行验算或试验检验。</w:t>
      </w:r>
    </w:p>
    <w:p w14:paraId="2ABEE6FA">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吊具应根据</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形状、尺寸及重量等参数进行配置，吊索水平夹角不宜小于60°，且不应小于45°。</w:t>
      </w:r>
    </w:p>
    <w:p w14:paraId="73660EBE">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9.1.</w:t>
      </w:r>
      <w:r>
        <w:rPr>
          <w:rFonts w:hint="eastAsia" w:cs="Times New Roman"/>
          <w:b/>
          <w:bCs/>
          <w:snapToGrid w:val="0"/>
          <w:color w:val="auto"/>
          <w:kern w:val="0"/>
          <w:sz w:val="20"/>
          <w:szCs w:val="20"/>
          <w:highlight w:val="none"/>
          <w:lang w:val="en-US" w:eastAsia="zh-CN" w:bidi="ar-SA"/>
        </w:rPr>
        <w:t>6</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在</w:t>
      </w:r>
      <w:r>
        <w:rPr>
          <w:rFonts w:hint="eastAsia" w:cs="Times New Roman"/>
          <w:color w:val="auto"/>
          <w:kern w:val="0"/>
          <w:sz w:val="24"/>
          <w:szCs w:val="24"/>
          <w:highlight w:val="none"/>
          <w:lang w:val="en-US" w:eastAsia="zh-CN" w:bidi="ar-SA"/>
        </w:rPr>
        <w:t>模块化建筑安装全过程中，应对混凝土模块及其门窗、栏杆、装饰构件、预埋件、预埋吊件等采取成品保护措施，避免损伤和污染</w:t>
      </w:r>
      <w:r>
        <w:rPr>
          <w:rFonts w:hint="eastAsia" w:ascii="Times New Roman" w:hAnsi="Times New Roman" w:eastAsia="宋体" w:cs="Times New Roman"/>
          <w:color w:val="auto"/>
          <w:kern w:val="0"/>
          <w:sz w:val="24"/>
          <w:szCs w:val="24"/>
          <w:highlight w:val="none"/>
          <w:lang w:val="en-US" w:eastAsia="zh-CN" w:bidi="ar-SA"/>
        </w:rPr>
        <w:t>。</w:t>
      </w:r>
    </w:p>
    <w:p w14:paraId="44B1BFC0">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9.1.</w:t>
      </w:r>
      <w:r>
        <w:rPr>
          <w:rFonts w:hint="eastAsia" w:cs="Times New Roman"/>
          <w:b/>
          <w:bCs/>
          <w:snapToGrid w:val="0"/>
          <w:color w:val="auto"/>
          <w:kern w:val="0"/>
          <w:sz w:val="20"/>
          <w:szCs w:val="20"/>
          <w:highlight w:val="none"/>
          <w:lang w:val="en-US" w:eastAsia="zh-CN" w:bidi="ar-SA"/>
        </w:rPr>
        <w:t>7</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施工过程中的安全措施应符合《建筑机械使用安全技术规程》JGJ 33、《建筑施工高处作业安全技术规范》JGJ 80和《施工现场临时用电安全技术规范》JGJ 46等现行行业标准</w:t>
      </w:r>
      <w:r>
        <w:rPr>
          <w:rFonts w:hint="eastAsia" w:cs="Times New Roman"/>
          <w:color w:val="auto"/>
          <w:kern w:val="0"/>
          <w:sz w:val="24"/>
          <w:szCs w:val="24"/>
          <w:highlight w:val="none"/>
          <w:lang w:val="en-US" w:eastAsia="zh-CN" w:bidi="ar-SA"/>
        </w:rPr>
        <w:t>的</w:t>
      </w:r>
      <w:r>
        <w:rPr>
          <w:rFonts w:hint="eastAsia" w:ascii="Times New Roman" w:hAnsi="Times New Roman" w:eastAsia="宋体" w:cs="Times New Roman"/>
          <w:color w:val="auto"/>
          <w:kern w:val="0"/>
          <w:sz w:val="24"/>
          <w:szCs w:val="24"/>
          <w:highlight w:val="none"/>
          <w:lang w:val="en-US" w:eastAsia="zh-CN" w:bidi="ar-SA"/>
        </w:rPr>
        <w:t>规定。</w:t>
      </w:r>
    </w:p>
    <w:p w14:paraId="3DE5946C">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9.1.8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施工安装应根据季节性施工条件采取相应技术措施，并应符合国家现行标准《建筑工程冬期施工规程》JGJ/T 104等规定。</w:t>
      </w:r>
    </w:p>
    <w:p w14:paraId="4BE46955">
      <w:pPr>
        <w:pStyle w:val="3"/>
        <w:bidi w:val="0"/>
        <w:rPr>
          <w:rFonts w:hint="eastAsia" w:ascii="黑体" w:hAnsi="黑体" w:eastAsia="黑体" w:cs="Times New Roman"/>
          <w:b w:val="0"/>
          <w:bCs w:val="0"/>
          <w:color w:val="auto"/>
          <w:kern w:val="44"/>
          <w:sz w:val="28"/>
          <w:szCs w:val="28"/>
          <w:highlight w:val="none"/>
          <w:lang w:val="zh-CN" w:eastAsia="zh-CN" w:bidi="ar-SA"/>
        </w:rPr>
      </w:pPr>
      <w:bookmarkStart w:id="358" w:name="_Toc21144"/>
      <w:bookmarkStart w:id="359" w:name="_Toc19064"/>
      <w:bookmarkStart w:id="360" w:name="_Toc177840580"/>
      <w:bookmarkStart w:id="361" w:name="_Toc153805668"/>
      <w:bookmarkStart w:id="362" w:name="_Toc10768"/>
      <w:bookmarkStart w:id="363" w:name="_Toc180613550"/>
      <w:bookmarkStart w:id="364" w:name="_Toc148909490"/>
      <w:bookmarkStart w:id="365" w:name="_Toc12884"/>
      <w:bookmarkStart w:id="366" w:name="_Toc177840188"/>
      <w:bookmarkStart w:id="367" w:name="_Toc21602"/>
      <w:bookmarkStart w:id="368" w:name="_Toc154525547"/>
      <w:bookmarkStart w:id="369" w:name="_Toc154526010"/>
      <w:bookmarkStart w:id="370" w:name="_Toc7228"/>
      <w:r>
        <w:rPr>
          <w:rFonts w:hint="eastAsia" w:ascii="Times New Roman" w:hAnsi="Times New Roman" w:eastAsia="黑体" w:cs="Times New Roman"/>
          <w:b/>
          <w:bCs/>
          <w:color w:val="auto"/>
          <w:kern w:val="44"/>
          <w:sz w:val="28"/>
          <w:szCs w:val="28"/>
          <w:highlight w:val="none"/>
          <w:lang w:val="zh-CN" w:eastAsia="zh-CN" w:bidi="ar-SA"/>
        </w:rPr>
        <w:t>9</w:t>
      </w:r>
      <w:r>
        <w:rPr>
          <w:rFonts w:hint="default" w:ascii="Times New Roman" w:hAnsi="Times New Roman" w:eastAsia="黑体" w:cs="Times New Roman"/>
          <w:b/>
          <w:bCs/>
          <w:color w:val="auto"/>
          <w:kern w:val="44"/>
          <w:sz w:val="28"/>
          <w:szCs w:val="28"/>
          <w:highlight w:val="none"/>
          <w:lang w:val="zh-CN" w:eastAsia="zh-CN" w:bidi="ar-SA"/>
        </w:rPr>
        <w:t>.2</w:t>
      </w:r>
      <w:r>
        <w:rPr>
          <w:rFonts w:hint="eastAsia" w:cs="Times New Roman"/>
          <w:b/>
          <w:bCs/>
          <w:color w:val="auto"/>
          <w:kern w:val="44"/>
          <w:sz w:val="28"/>
          <w:szCs w:val="28"/>
          <w:highlight w:val="none"/>
          <w:lang w:val="en-US" w:eastAsia="zh-CN" w:bidi="ar-SA"/>
        </w:rPr>
        <w:t xml:space="preserve"> </w:t>
      </w:r>
      <w:r>
        <w:rPr>
          <w:rFonts w:ascii="宋体" w:hAnsi="宋体" w:cs="Times New Roman"/>
          <w:color w:val="auto"/>
          <w:sz w:val="21"/>
          <w:szCs w:val="21"/>
          <w:highlight w:val="none"/>
        </w:rPr>
        <w:t xml:space="preserve"> </w:t>
      </w:r>
      <w:r>
        <w:rPr>
          <w:rFonts w:hint="eastAsia" w:ascii="黑体" w:hAnsi="黑体" w:eastAsia="黑体" w:cs="Times New Roman"/>
          <w:b w:val="0"/>
          <w:bCs w:val="0"/>
          <w:color w:val="auto"/>
          <w:kern w:val="44"/>
          <w:sz w:val="28"/>
          <w:szCs w:val="28"/>
          <w:highlight w:val="none"/>
          <w:lang w:val="zh-CN" w:eastAsia="zh-CN" w:bidi="ar-SA"/>
        </w:rPr>
        <w:t>安装准备</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5720E714">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宋体" w:hAnsi="宋体" w:cs="Times New Roman"/>
          <w:color w:val="auto"/>
          <w:sz w:val="21"/>
          <w:szCs w:val="21"/>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9.2.1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应合理规划构件运输</w:t>
      </w:r>
      <w:r>
        <w:rPr>
          <w:rFonts w:hint="eastAsia" w:cs="Times New Roman"/>
          <w:color w:val="auto"/>
          <w:kern w:val="0"/>
          <w:sz w:val="24"/>
          <w:szCs w:val="24"/>
          <w:highlight w:val="none"/>
          <w:lang w:val="en-US" w:eastAsia="zh-CN" w:bidi="ar-SA"/>
        </w:rPr>
        <w:t>路线</w:t>
      </w:r>
      <w:r>
        <w:rPr>
          <w:rFonts w:hint="eastAsia" w:ascii="Times New Roman" w:hAnsi="Times New Roman" w:eastAsia="宋体" w:cs="Times New Roman"/>
          <w:color w:val="auto"/>
          <w:kern w:val="0"/>
          <w:sz w:val="24"/>
          <w:szCs w:val="24"/>
          <w:highlight w:val="none"/>
          <w:lang w:val="en-US" w:eastAsia="zh-CN" w:bidi="ar-SA"/>
        </w:rPr>
        <w:t>和临时堆放场地，并应采取成品保护措施</w:t>
      </w:r>
      <w:r>
        <w:rPr>
          <w:rFonts w:hint="eastAsia" w:ascii="宋体" w:hAnsi="宋体" w:cs="Times New Roman"/>
          <w:color w:val="auto"/>
          <w:sz w:val="21"/>
          <w:szCs w:val="21"/>
          <w:highlight w:val="none"/>
        </w:rPr>
        <w:t>。</w:t>
      </w:r>
    </w:p>
    <w:p w14:paraId="6B29B740">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9.2.</w:t>
      </w:r>
      <w:r>
        <w:rPr>
          <w:rFonts w:hint="eastAsia" w:cs="Times New Roman"/>
          <w:b/>
          <w:bCs/>
          <w:snapToGrid w:val="0"/>
          <w:color w:val="auto"/>
          <w:kern w:val="0"/>
          <w:sz w:val="20"/>
          <w:szCs w:val="20"/>
          <w:highlight w:val="none"/>
          <w:lang w:val="en-US" w:eastAsia="zh-CN" w:bidi="ar-SA"/>
        </w:rPr>
        <w:t>2</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安装施工前，宜选择有代表性的单元进行</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试安装，并应根据试安装结果及时调整施工工艺、完善施工方案。</w:t>
      </w:r>
    </w:p>
    <w:p w14:paraId="0C271714">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9.2.</w:t>
      </w:r>
      <w:r>
        <w:rPr>
          <w:rFonts w:hint="eastAsia" w:cs="Times New Roman"/>
          <w:b/>
          <w:bCs/>
          <w:snapToGrid w:val="0"/>
          <w:color w:val="auto"/>
          <w:kern w:val="0"/>
          <w:sz w:val="20"/>
          <w:szCs w:val="20"/>
          <w:highlight w:val="none"/>
          <w:lang w:val="en-US" w:eastAsia="zh-CN" w:bidi="ar-SA"/>
        </w:rPr>
        <w:t>3</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安装施工前，应进行测量放线，确定模块安装定位控制线和控制点。</w:t>
      </w:r>
    </w:p>
    <w:p w14:paraId="05E40364">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9.2.</w:t>
      </w:r>
      <w:r>
        <w:rPr>
          <w:rFonts w:hint="eastAsia" w:cs="Times New Roman"/>
          <w:b/>
          <w:bCs/>
          <w:snapToGrid w:val="0"/>
          <w:color w:val="auto"/>
          <w:kern w:val="0"/>
          <w:sz w:val="20"/>
          <w:szCs w:val="20"/>
          <w:highlight w:val="none"/>
          <w:lang w:val="en-US" w:eastAsia="zh-CN" w:bidi="ar-SA"/>
        </w:rPr>
        <w:t>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安装施工前，应核实现场环境、天气、道路状况等满足</w:t>
      </w:r>
      <w:r>
        <w:rPr>
          <w:rFonts w:hint="eastAsia" w:cs="Times New Roman"/>
          <w:color w:val="auto"/>
          <w:kern w:val="0"/>
          <w:sz w:val="24"/>
          <w:szCs w:val="24"/>
          <w:highlight w:val="none"/>
          <w:lang w:val="en-US" w:eastAsia="zh-CN" w:bidi="ar-SA"/>
        </w:rPr>
        <w:t>安</w:t>
      </w:r>
      <w:r>
        <w:rPr>
          <w:rFonts w:hint="eastAsia" w:ascii="Times New Roman" w:hAnsi="Times New Roman" w:eastAsia="宋体" w:cs="Times New Roman"/>
          <w:color w:val="auto"/>
          <w:kern w:val="0"/>
          <w:sz w:val="24"/>
          <w:szCs w:val="24"/>
          <w:highlight w:val="none"/>
          <w:lang w:val="en-US" w:eastAsia="zh-CN" w:bidi="ar-SA"/>
        </w:rPr>
        <w:t>装施工要求。</w:t>
      </w:r>
    </w:p>
    <w:p w14:paraId="4D31C8D8">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9.2.</w:t>
      </w:r>
      <w:r>
        <w:rPr>
          <w:rFonts w:hint="eastAsia" w:cs="Times New Roman"/>
          <w:b/>
          <w:bCs/>
          <w:snapToGrid w:val="0"/>
          <w:color w:val="auto"/>
          <w:kern w:val="0"/>
          <w:sz w:val="20"/>
          <w:szCs w:val="20"/>
          <w:highlight w:val="none"/>
          <w:lang w:val="en-US" w:eastAsia="zh-CN" w:bidi="ar-SA"/>
        </w:rPr>
        <w:t>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采用钢筋套筒灌浆连接、钢筋浆锚搭接连接的</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安装施工前，应检查下列内容：</w:t>
      </w:r>
    </w:p>
    <w:p w14:paraId="0AFE3C3D">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套筒、预留孔的规格、位置、数量和深度；</w:t>
      </w:r>
    </w:p>
    <w:p w14:paraId="42E54D1C">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被连接钢筋的规格、数量、位置和长度</w:t>
      </w:r>
      <w:r>
        <w:rPr>
          <w:rFonts w:hint="eastAsia" w:cs="Times New Roman"/>
          <w:color w:val="auto"/>
          <w:kern w:val="0"/>
          <w:sz w:val="24"/>
          <w:szCs w:val="24"/>
          <w:highlight w:val="none"/>
          <w:lang w:val="en-US" w:eastAsia="zh-CN" w:bidi="ar-SA"/>
        </w:rPr>
        <w:t>；</w:t>
      </w:r>
    </w:p>
    <w:p w14:paraId="23512507">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3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当套筒、预留孔内有杂物时，应清理干净；当连接钢筋倾斜时，应进行矫直。矫直后的连接钢筋偏离套筒中心线不应超过3mm，偏离孔洞中心线不应超过5mm。</w:t>
      </w:r>
    </w:p>
    <w:p w14:paraId="12287B17">
      <w:pPr>
        <w:pStyle w:val="3"/>
        <w:bidi w:val="0"/>
        <w:rPr>
          <w:rFonts w:ascii="宋体" w:hAnsi="宋体" w:cs="Times New Roman"/>
          <w:color w:val="auto"/>
          <w:sz w:val="21"/>
          <w:szCs w:val="21"/>
          <w:highlight w:val="none"/>
        </w:rPr>
      </w:pPr>
      <w:bookmarkStart w:id="371" w:name="_Toc177840581"/>
      <w:bookmarkStart w:id="372" w:name="_Toc7288"/>
      <w:bookmarkStart w:id="373" w:name="_Toc4981"/>
      <w:bookmarkStart w:id="374" w:name="_Toc154526011"/>
      <w:bookmarkStart w:id="375" w:name="_Toc12521"/>
      <w:bookmarkStart w:id="376" w:name="_Toc154525548"/>
      <w:bookmarkStart w:id="377" w:name="_Toc180613551"/>
      <w:bookmarkStart w:id="378" w:name="_Toc19346"/>
      <w:bookmarkStart w:id="379" w:name="_Toc153805669"/>
      <w:bookmarkStart w:id="380" w:name="_Toc9712"/>
      <w:bookmarkStart w:id="381" w:name="_Toc10326"/>
      <w:bookmarkStart w:id="382" w:name="_Toc148909491"/>
      <w:bookmarkStart w:id="383" w:name="_Toc177840189"/>
      <w:r>
        <w:rPr>
          <w:rFonts w:hint="eastAsia" w:ascii="Times New Roman" w:hAnsi="Times New Roman" w:eastAsia="黑体" w:cs="Times New Roman"/>
          <w:b/>
          <w:bCs/>
          <w:color w:val="auto"/>
          <w:kern w:val="44"/>
          <w:sz w:val="28"/>
          <w:szCs w:val="28"/>
          <w:highlight w:val="none"/>
          <w:lang w:val="zh-CN" w:eastAsia="zh-CN" w:bidi="ar-SA"/>
        </w:rPr>
        <w:t>9</w:t>
      </w:r>
      <w:r>
        <w:rPr>
          <w:rFonts w:hint="default" w:ascii="Times New Roman" w:hAnsi="Times New Roman" w:eastAsia="黑体" w:cs="Times New Roman"/>
          <w:b/>
          <w:bCs/>
          <w:color w:val="auto"/>
          <w:kern w:val="44"/>
          <w:sz w:val="28"/>
          <w:szCs w:val="28"/>
          <w:highlight w:val="none"/>
          <w:lang w:val="zh-CN" w:eastAsia="zh-CN" w:bidi="ar-SA"/>
        </w:rPr>
        <w:t>.3</w:t>
      </w:r>
      <w:r>
        <w:rPr>
          <w:rFonts w:ascii="宋体" w:hAnsi="宋体" w:cs="Times New Roman"/>
          <w:color w:val="auto"/>
          <w:sz w:val="21"/>
          <w:szCs w:val="21"/>
          <w:highlight w:val="none"/>
        </w:rPr>
        <w:t xml:space="preserve"> </w:t>
      </w:r>
      <w:r>
        <w:rPr>
          <w:rFonts w:hint="eastAsia" w:ascii="黑体" w:hAnsi="黑体" w:eastAsia="黑体" w:cs="Times New Roman"/>
          <w:b w:val="0"/>
          <w:bCs w:val="0"/>
          <w:color w:val="auto"/>
          <w:kern w:val="44"/>
          <w:sz w:val="28"/>
          <w:szCs w:val="28"/>
          <w:highlight w:val="none"/>
          <w:lang w:val="zh-CN" w:eastAsia="zh-CN" w:bidi="ar-SA"/>
        </w:rPr>
        <w:t>安装与连接</w:t>
      </w:r>
      <w:bookmarkEnd w:id="371"/>
      <w:bookmarkEnd w:id="372"/>
      <w:bookmarkEnd w:id="373"/>
      <w:bookmarkEnd w:id="374"/>
      <w:bookmarkEnd w:id="375"/>
      <w:bookmarkEnd w:id="376"/>
      <w:bookmarkEnd w:id="377"/>
      <w:bookmarkEnd w:id="378"/>
      <w:bookmarkEnd w:id="379"/>
      <w:bookmarkEnd w:id="380"/>
      <w:bookmarkEnd w:id="381"/>
      <w:bookmarkEnd w:id="382"/>
      <w:bookmarkEnd w:id="383"/>
      <w:r>
        <w:rPr>
          <w:rFonts w:hint="eastAsia" w:ascii="宋体" w:hAnsi="宋体" w:cs="Times New Roman"/>
          <w:color w:val="auto"/>
          <w:sz w:val="21"/>
          <w:szCs w:val="21"/>
          <w:highlight w:val="none"/>
        </w:rPr>
        <w:t xml:space="preserve"> </w:t>
      </w:r>
    </w:p>
    <w:p w14:paraId="4869CA7A">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9.3.1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安装</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时，预制拉梁、预制基础梁与基础连接节点后浇混凝土的同条件养护试块抗压强度不应小于设计强度等级值的75%。</w:t>
      </w:r>
    </w:p>
    <w:p w14:paraId="15EAEA9D">
      <w:pPr>
        <w:wordWrap/>
        <w:overflowPunct/>
        <w:topLinePunct w:val="0"/>
        <w:bidi w:val="0"/>
        <w:snapToGrid w:val="0"/>
        <w:spacing w:line="300" w:lineRule="auto"/>
        <w:rPr>
          <w:rFonts w:ascii="宋体" w:hAnsi="宋体" w:cs="Times New Roman"/>
          <w:color w:val="auto"/>
          <w:sz w:val="21"/>
          <w:szCs w:val="21"/>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9.3.2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的安装应符合下列规定：</w:t>
      </w:r>
    </w:p>
    <w:p w14:paraId="412EC4AB">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模块安装前，应清洁结合面；</w:t>
      </w:r>
    </w:p>
    <w:p w14:paraId="5C7E161A">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模块底部应设置可调整接缝厚度和底部标高的钢垫片；</w:t>
      </w:r>
    </w:p>
    <w:p w14:paraId="0CC52613">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3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钢筋套筒灌浆连接接头、钢筋浆锚搭接连接接头灌浆前，应对接缝周围进行封堵，封堵措施应符合结合面承载力设计要求。</w:t>
      </w:r>
    </w:p>
    <w:p w14:paraId="2442424E">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9.3.3</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混凝土模块安</w:t>
      </w:r>
      <w:r>
        <w:rPr>
          <w:rFonts w:hint="eastAsia" w:ascii="Times New Roman" w:hAnsi="Times New Roman" w:eastAsia="宋体" w:cs="Times New Roman"/>
          <w:color w:val="auto"/>
          <w:kern w:val="0"/>
          <w:sz w:val="24"/>
          <w:szCs w:val="24"/>
          <w:highlight w:val="none"/>
          <w:lang w:val="en-US" w:eastAsia="zh-CN" w:bidi="ar-SA"/>
        </w:rPr>
        <w:t>装就位后，应及时校准，</w:t>
      </w:r>
      <w:r>
        <w:rPr>
          <w:rFonts w:hint="eastAsia" w:cs="Times New Roman"/>
          <w:color w:val="auto"/>
          <w:kern w:val="0"/>
          <w:sz w:val="24"/>
          <w:szCs w:val="24"/>
          <w:highlight w:val="none"/>
          <w:lang w:val="en-US" w:eastAsia="zh-CN" w:bidi="ar-SA"/>
        </w:rPr>
        <w:t>必要时应</w:t>
      </w:r>
      <w:r>
        <w:rPr>
          <w:rFonts w:hint="eastAsia" w:ascii="Times New Roman" w:hAnsi="Times New Roman" w:eastAsia="宋体" w:cs="Times New Roman"/>
          <w:color w:val="auto"/>
          <w:kern w:val="0"/>
          <w:sz w:val="24"/>
          <w:szCs w:val="24"/>
          <w:highlight w:val="none"/>
          <w:lang w:val="en-US" w:eastAsia="zh-CN" w:bidi="ar-SA"/>
        </w:rPr>
        <w:t>采取临时固定措施，并应符合现行国家标准《混凝土结构工程施工规范》GB 50666的规定。</w:t>
      </w:r>
    </w:p>
    <w:p w14:paraId="1F04A59C">
      <w:pPr>
        <w:wordWrap/>
        <w:overflowPunct/>
        <w:topLinePunct w:val="0"/>
        <w:bidi w:val="0"/>
        <w:snapToGrid w:val="0"/>
        <w:spacing w:line="300" w:lineRule="auto"/>
        <w:rPr>
          <w:rFonts w:ascii="宋体" w:hAnsi="宋体" w:cs="Times New Roman"/>
          <w:color w:val="auto"/>
          <w:sz w:val="21"/>
          <w:szCs w:val="21"/>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9.3.4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焊接或螺栓连接的施工应符合现行国家标准《钢筋焊接及验收规程》JGJ 18、《钢结构焊接规范》GB 50661、《钢结构工程施工规范》GB 50755和《钢结构工程施工质量验收规范》GB 50205的有关规定。</w:t>
      </w:r>
    </w:p>
    <w:p w14:paraId="501444EB">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采用焊接连接时，应采取防止因连续施焊引起的连接部位混凝土开裂的措施。</w:t>
      </w:r>
    </w:p>
    <w:p w14:paraId="62F4678E">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9.3.5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钢筋套筒灌浆连接接头、钢筋浆锚搭接连接接头应按检验批划分要求及时灌浆，灌浆作业应符合国家现行有关标准及施工方案的要求，并应符合下列规定：</w:t>
      </w:r>
    </w:p>
    <w:p w14:paraId="2A42B56E">
      <w:pPr>
        <w:wordWrap/>
        <w:overflowPunct/>
        <w:topLinePunct w:val="0"/>
        <w:bidi w:val="0"/>
        <w:snapToGrid w:val="0"/>
        <w:spacing w:line="300" w:lineRule="auto"/>
        <w:ind w:firstLine="480" w:firstLineChars="200"/>
        <w:rPr>
          <w:rFonts w:hint="default"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灌浆施工时，</w:t>
      </w:r>
      <w:r>
        <w:rPr>
          <w:rFonts w:hint="eastAsia" w:cs="Times New Roman"/>
          <w:color w:val="auto"/>
          <w:kern w:val="0"/>
          <w:sz w:val="24"/>
          <w:szCs w:val="24"/>
          <w:highlight w:val="none"/>
          <w:lang w:val="en-US" w:eastAsia="zh-CN" w:bidi="ar-SA"/>
        </w:rPr>
        <w:t>应根据环境温度编制相应的灌浆施工专项方案；</w:t>
      </w:r>
    </w:p>
    <w:p w14:paraId="3AF76B7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灌浆操作全过程应有专职检验人员负责旁站监督并及时形成施工质量检查记录；</w:t>
      </w:r>
    </w:p>
    <w:p w14:paraId="08019B48">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3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应按产品使用说明书的要求计量灌浆料和水的用量，并搅拌均匀；每次拌制的灌浆料拌合物应进行流动度的检测，且其流动度应满足本规程的规定；</w:t>
      </w:r>
    </w:p>
    <w:p w14:paraId="20C64CE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4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灌浆作业应采用压浆法从下口灌注，当浆料从上口流出后应及时封堵，必要时可设分仓进行灌浆，分仓长度不应大于</w:t>
      </w:r>
      <w:r>
        <w:rPr>
          <w:rFonts w:hint="eastAsia" w:cs="Times New Roman"/>
          <w:color w:val="auto"/>
          <w:kern w:val="0"/>
          <w:sz w:val="24"/>
          <w:szCs w:val="24"/>
          <w:highlight w:val="none"/>
          <w:lang w:val="en-US" w:eastAsia="zh-CN" w:bidi="ar-SA"/>
        </w:rPr>
        <w:t>1.5</w:t>
      </w:r>
      <w:r>
        <w:rPr>
          <w:rFonts w:hint="eastAsia" w:ascii="Times New Roman" w:hAnsi="Times New Roman" w:eastAsia="宋体" w:cs="Times New Roman"/>
          <w:color w:val="auto"/>
          <w:kern w:val="0"/>
          <w:sz w:val="24"/>
          <w:szCs w:val="24"/>
          <w:highlight w:val="none"/>
          <w:lang w:val="en-US" w:eastAsia="zh-CN" w:bidi="ar-SA"/>
        </w:rPr>
        <w:t>m；</w:t>
      </w:r>
    </w:p>
    <w:p w14:paraId="67558069">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5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灌浆料拌合物</w:t>
      </w:r>
      <w:r>
        <w:rPr>
          <w:rFonts w:hint="eastAsia" w:cs="Times New Roman"/>
          <w:color w:val="auto"/>
          <w:kern w:val="0"/>
          <w:sz w:val="24"/>
          <w:szCs w:val="24"/>
          <w:highlight w:val="none"/>
          <w:lang w:val="en-US" w:eastAsia="zh-CN" w:bidi="ar-SA"/>
        </w:rPr>
        <w:t>宜</w:t>
      </w:r>
      <w:r>
        <w:rPr>
          <w:rFonts w:hint="eastAsia" w:ascii="Times New Roman" w:hAnsi="Times New Roman" w:eastAsia="宋体" w:cs="Times New Roman"/>
          <w:color w:val="auto"/>
          <w:kern w:val="0"/>
          <w:sz w:val="24"/>
          <w:szCs w:val="24"/>
          <w:highlight w:val="none"/>
          <w:lang w:val="en-US" w:eastAsia="zh-CN" w:bidi="ar-SA"/>
        </w:rPr>
        <w:t>在</w:t>
      </w:r>
      <w:r>
        <w:rPr>
          <w:rFonts w:hint="eastAsia" w:cs="Times New Roman"/>
          <w:color w:val="auto"/>
          <w:kern w:val="0"/>
          <w:sz w:val="24"/>
          <w:szCs w:val="24"/>
          <w:highlight w:val="none"/>
          <w:lang w:val="en-US" w:eastAsia="zh-CN" w:bidi="ar-SA"/>
        </w:rPr>
        <w:t>加水</w:t>
      </w:r>
      <w:r>
        <w:rPr>
          <w:rFonts w:hint="eastAsia" w:ascii="Times New Roman" w:hAnsi="Times New Roman" w:eastAsia="宋体" w:cs="Times New Roman"/>
          <w:color w:val="auto"/>
          <w:kern w:val="0"/>
          <w:sz w:val="24"/>
          <w:szCs w:val="24"/>
          <w:highlight w:val="none"/>
          <w:lang w:val="en-US" w:eastAsia="zh-CN" w:bidi="ar-SA"/>
        </w:rPr>
        <w:t>后30min内用完。</w:t>
      </w:r>
    </w:p>
    <w:p w14:paraId="7441596F">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9.3.6</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钢筋机械连接的施工应符合现行行业标准《钢筋机械连接技术规程》JGJ 107的有关规定。</w:t>
      </w:r>
    </w:p>
    <w:p w14:paraId="0C226F0A">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9.3.</w:t>
      </w:r>
      <w:r>
        <w:rPr>
          <w:rFonts w:hint="eastAsia" w:cs="Times New Roman"/>
          <w:b/>
          <w:bCs/>
          <w:snapToGrid w:val="0"/>
          <w:color w:val="auto"/>
          <w:kern w:val="0"/>
          <w:sz w:val="20"/>
          <w:szCs w:val="20"/>
          <w:highlight w:val="none"/>
          <w:lang w:val="en-US" w:eastAsia="zh-CN" w:bidi="ar-SA"/>
        </w:rPr>
        <w:t>7</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混凝土模块连接节点应</w:t>
      </w:r>
      <w:r>
        <w:rPr>
          <w:rFonts w:hint="eastAsia" w:ascii="Times New Roman" w:hAnsi="Times New Roman" w:eastAsia="宋体" w:cs="Times New Roman"/>
          <w:color w:val="auto"/>
          <w:kern w:val="0"/>
          <w:sz w:val="24"/>
          <w:szCs w:val="24"/>
          <w:highlight w:val="none"/>
          <w:lang w:val="en-US" w:eastAsia="zh-CN" w:bidi="ar-SA"/>
        </w:rPr>
        <w:t>用</w:t>
      </w:r>
      <w:r>
        <w:rPr>
          <w:rFonts w:hint="eastAsia" w:cs="Times New Roman"/>
          <w:color w:val="auto"/>
          <w:kern w:val="0"/>
          <w:sz w:val="24"/>
          <w:szCs w:val="24"/>
          <w:highlight w:val="none"/>
          <w:lang w:val="en-US" w:eastAsia="zh-CN" w:bidi="ar-SA"/>
        </w:rPr>
        <w:t>后</w:t>
      </w:r>
      <w:r>
        <w:rPr>
          <w:rFonts w:hint="eastAsia" w:ascii="Times New Roman" w:hAnsi="Times New Roman" w:eastAsia="宋体" w:cs="Times New Roman"/>
          <w:color w:val="auto"/>
          <w:kern w:val="0"/>
          <w:sz w:val="24"/>
          <w:szCs w:val="24"/>
          <w:highlight w:val="none"/>
          <w:lang w:val="en-US" w:eastAsia="zh-CN" w:bidi="ar-SA"/>
        </w:rPr>
        <w:t>浇混凝土或灌浆料连接时，应符合下列规定：</w:t>
      </w:r>
    </w:p>
    <w:p w14:paraId="690B68D8">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接头部位的积雪、冰霜及其他杂物应清除干净；</w:t>
      </w:r>
    </w:p>
    <w:p w14:paraId="095C2C31">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采用后浇混凝土连接时，</w:t>
      </w:r>
      <w:r>
        <w:rPr>
          <w:rFonts w:hint="eastAsia" w:ascii="Times New Roman" w:hAnsi="Times New Roman" w:eastAsia="宋体" w:cs="Times New Roman"/>
          <w:color w:val="auto"/>
          <w:kern w:val="0"/>
          <w:sz w:val="24"/>
          <w:szCs w:val="24"/>
          <w:highlight w:val="none"/>
          <w:lang w:val="en-US" w:eastAsia="zh-CN" w:bidi="ar-SA"/>
        </w:rPr>
        <w:t>其受冻临界强度应满足《建筑工程冬期施工规程》JGJ/T 104的要求。</w:t>
      </w:r>
    </w:p>
    <w:p w14:paraId="06F6D3C1">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9.3.</w:t>
      </w:r>
      <w:r>
        <w:rPr>
          <w:rFonts w:hint="eastAsia" w:cs="Times New Roman"/>
          <w:b/>
          <w:bCs/>
          <w:snapToGrid w:val="0"/>
          <w:color w:val="auto"/>
          <w:kern w:val="0"/>
          <w:sz w:val="20"/>
          <w:szCs w:val="20"/>
          <w:highlight w:val="none"/>
          <w:lang w:val="en-US" w:eastAsia="zh-CN" w:bidi="ar-SA"/>
        </w:rPr>
        <w:t>8</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有</w:t>
      </w:r>
      <w:r>
        <w:rPr>
          <w:rFonts w:hint="eastAsia" w:cs="Times New Roman"/>
          <w:color w:val="auto"/>
          <w:kern w:val="0"/>
          <w:sz w:val="24"/>
          <w:szCs w:val="24"/>
          <w:highlight w:val="none"/>
          <w:lang w:val="en-US" w:eastAsia="zh-CN" w:bidi="ar-SA"/>
        </w:rPr>
        <w:t>后</w:t>
      </w:r>
      <w:r>
        <w:rPr>
          <w:rFonts w:hint="eastAsia" w:ascii="Times New Roman" w:hAnsi="Times New Roman" w:eastAsia="宋体" w:cs="Times New Roman"/>
          <w:color w:val="auto"/>
          <w:kern w:val="0"/>
          <w:sz w:val="24"/>
          <w:szCs w:val="24"/>
          <w:highlight w:val="none"/>
          <w:lang w:val="en-US" w:eastAsia="zh-CN" w:bidi="ar-SA"/>
        </w:rPr>
        <w:t>浇混凝土作业时，混凝土养护和温度测量应满足《建筑工程冬期施工规程》JGJ/T 104的要求。</w:t>
      </w:r>
    </w:p>
    <w:p w14:paraId="5CF356F8">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9.3.</w:t>
      </w:r>
      <w:r>
        <w:rPr>
          <w:rFonts w:hint="eastAsia" w:cs="Times New Roman"/>
          <w:b/>
          <w:bCs/>
          <w:snapToGrid w:val="0"/>
          <w:color w:val="auto"/>
          <w:kern w:val="0"/>
          <w:sz w:val="20"/>
          <w:szCs w:val="20"/>
          <w:highlight w:val="none"/>
          <w:lang w:val="en-US" w:eastAsia="zh-CN" w:bidi="ar-SA"/>
        </w:rPr>
        <w:t>9</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外墙板接缝防水施工应符合下列规定：</w:t>
      </w:r>
    </w:p>
    <w:p w14:paraId="75D3F5BD">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防水施工前，应将模块间的缝空腔清理干净；</w:t>
      </w:r>
    </w:p>
    <w:p w14:paraId="2A8052A4">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应按设计要求填塞背衬材料；</w:t>
      </w:r>
    </w:p>
    <w:p w14:paraId="75DB24AA">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3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密封材料嵌填应饱满、密实、均匀、顺直、表面平滑，其厚度应符合设计要求。</w:t>
      </w:r>
    </w:p>
    <w:p w14:paraId="1BDF76BD">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p>
    <w:p w14:paraId="402BC0E0">
      <w:pPr>
        <w:widowControl/>
        <w:wordWrap/>
        <w:overflowPunct/>
        <w:topLinePunct w:val="0"/>
        <w:bidi w:val="0"/>
        <w:snapToGrid w:val="0"/>
        <w:spacing w:line="300" w:lineRule="auto"/>
        <w:ind w:firstLine="420" w:firstLineChars="200"/>
        <w:jc w:val="left"/>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78ADF3E1">
      <w:pPr>
        <w:pStyle w:val="2"/>
        <w:bidi w:val="0"/>
        <w:rPr>
          <w:rFonts w:ascii="宋体" w:hAnsi="宋体" w:cs="Times New Roman"/>
          <w:color w:val="auto"/>
          <w:kern w:val="44"/>
          <w:szCs w:val="24"/>
          <w:highlight w:val="none"/>
          <w:lang w:val="zh-CN"/>
        </w:rPr>
      </w:pPr>
      <w:bookmarkStart w:id="384" w:name="_Toc14840"/>
      <w:bookmarkStart w:id="385" w:name="_Toc153805670"/>
      <w:bookmarkStart w:id="386" w:name="_Toc154526012"/>
      <w:bookmarkStart w:id="387" w:name="_Toc177840190"/>
      <w:bookmarkStart w:id="388" w:name="_Toc180613552"/>
      <w:bookmarkStart w:id="389" w:name="_Toc177840582"/>
      <w:bookmarkStart w:id="390" w:name="_Toc12346"/>
      <w:bookmarkStart w:id="391" w:name="_Toc148909492"/>
      <w:bookmarkStart w:id="392" w:name="_Toc6430"/>
      <w:bookmarkStart w:id="393" w:name="_Toc18884"/>
      <w:bookmarkStart w:id="394" w:name="_Toc13017"/>
      <w:bookmarkStart w:id="395" w:name="_Toc27009"/>
      <w:bookmarkStart w:id="396" w:name="_Toc154525549"/>
      <w:r>
        <w:rPr>
          <w:rFonts w:hint="eastAsia" w:ascii="Times New Roman" w:hAnsi="Times New Roman" w:eastAsia="黑体" w:cs="Times New Roman"/>
          <w:b/>
          <w:bCs/>
          <w:color w:val="auto"/>
          <w:kern w:val="44"/>
          <w:sz w:val="30"/>
          <w:szCs w:val="30"/>
          <w:highlight w:val="none"/>
          <w:lang w:val="zh-CN" w:eastAsia="zh-CN" w:bidi="ar-SA"/>
        </w:rPr>
        <w:t>10</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zh-CN"/>
        </w:rPr>
        <w:t>质量验收</w:t>
      </w:r>
      <w:bookmarkEnd w:id="384"/>
      <w:bookmarkEnd w:id="385"/>
      <w:bookmarkEnd w:id="386"/>
      <w:bookmarkEnd w:id="387"/>
      <w:bookmarkEnd w:id="388"/>
      <w:bookmarkEnd w:id="389"/>
      <w:bookmarkEnd w:id="390"/>
      <w:bookmarkEnd w:id="391"/>
      <w:bookmarkEnd w:id="392"/>
      <w:bookmarkEnd w:id="393"/>
      <w:bookmarkEnd w:id="394"/>
      <w:bookmarkEnd w:id="395"/>
      <w:bookmarkEnd w:id="396"/>
    </w:p>
    <w:p w14:paraId="45516DEE">
      <w:pPr>
        <w:pStyle w:val="3"/>
        <w:bidi w:val="0"/>
        <w:rPr>
          <w:rFonts w:hint="eastAsia" w:ascii="黑体" w:hAnsi="黑体" w:eastAsia="黑体" w:cs="Times New Roman"/>
          <w:b w:val="0"/>
          <w:bCs w:val="0"/>
          <w:color w:val="auto"/>
          <w:kern w:val="44"/>
          <w:sz w:val="28"/>
          <w:szCs w:val="28"/>
          <w:highlight w:val="none"/>
          <w:lang w:val="zh-CN" w:eastAsia="zh-CN" w:bidi="ar-SA"/>
        </w:rPr>
      </w:pPr>
      <w:bookmarkStart w:id="397" w:name="_Toc153805671"/>
      <w:bookmarkStart w:id="398" w:name="_Toc177840583"/>
      <w:bookmarkStart w:id="399" w:name="_Toc29955"/>
      <w:bookmarkStart w:id="400" w:name="_Toc8618"/>
      <w:bookmarkStart w:id="401" w:name="_Toc11619"/>
      <w:bookmarkStart w:id="402" w:name="_Toc154526013"/>
      <w:bookmarkStart w:id="403" w:name="_Toc15829"/>
      <w:bookmarkStart w:id="404" w:name="_Toc154525550"/>
      <w:bookmarkStart w:id="405" w:name="_Toc180613553"/>
      <w:bookmarkStart w:id="406" w:name="_Toc13874"/>
      <w:bookmarkStart w:id="407" w:name="_Toc148909493"/>
      <w:bookmarkStart w:id="408" w:name="_Toc177840191"/>
      <w:bookmarkStart w:id="409" w:name="_Toc22660"/>
      <w:r>
        <w:rPr>
          <w:rFonts w:hint="eastAsia" w:ascii="Times New Roman" w:hAnsi="Times New Roman" w:eastAsia="黑体" w:cs="Times New Roman"/>
          <w:b/>
          <w:bCs/>
          <w:color w:val="auto"/>
          <w:kern w:val="44"/>
          <w:sz w:val="28"/>
          <w:szCs w:val="28"/>
          <w:highlight w:val="none"/>
          <w:lang w:val="zh-CN" w:eastAsia="zh-CN" w:bidi="ar-SA"/>
        </w:rPr>
        <w:t>10.1</w:t>
      </w:r>
      <w:r>
        <w:rPr>
          <w:rFonts w:ascii="宋体" w:hAnsi="宋体" w:cs="Times New Roman"/>
          <w:color w:val="auto"/>
          <w:sz w:val="21"/>
          <w:szCs w:val="21"/>
          <w:highlight w:val="none"/>
        </w:rPr>
        <w:t xml:space="preserve">  </w:t>
      </w:r>
      <w:r>
        <w:rPr>
          <w:rFonts w:hint="eastAsia" w:ascii="黑体" w:hAnsi="黑体" w:eastAsia="黑体" w:cs="Times New Roman"/>
          <w:b w:val="0"/>
          <w:bCs w:val="0"/>
          <w:color w:val="auto"/>
          <w:kern w:val="44"/>
          <w:sz w:val="28"/>
          <w:szCs w:val="28"/>
          <w:highlight w:val="none"/>
          <w:lang w:val="zh-CN" w:eastAsia="zh-CN" w:bidi="ar-SA"/>
        </w:rPr>
        <w:t>一般规定</w:t>
      </w:r>
      <w:bookmarkEnd w:id="397"/>
      <w:bookmarkEnd w:id="398"/>
      <w:bookmarkEnd w:id="399"/>
      <w:bookmarkEnd w:id="400"/>
      <w:bookmarkEnd w:id="401"/>
      <w:bookmarkEnd w:id="402"/>
      <w:bookmarkEnd w:id="403"/>
      <w:bookmarkEnd w:id="404"/>
      <w:bookmarkEnd w:id="405"/>
      <w:bookmarkEnd w:id="406"/>
      <w:bookmarkEnd w:id="407"/>
      <w:bookmarkEnd w:id="408"/>
      <w:bookmarkEnd w:id="409"/>
    </w:p>
    <w:p w14:paraId="5D4CE1C5">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10.1.1</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的进场质量验收应符合本规程表</w:t>
      </w:r>
      <w:r>
        <w:rPr>
          <w:rFonts w:hint="eastAsia" w:cs="Times New Roman"/>
          <w:color w:val="auto"/>
          <w:kern w:val="0"/>
          <w:sz w:val="24"/>
          <w:szCs w:val="24"/>
          <w:highlight w:val="none"/>
          <w:lang w:val="en-US" w:eastAsia="zh-CN" w:bidi="ar-SA"/>
        </w:rPr>
        <w:t>10.2.3</w:t>
      </w:r>
      <w:r>
        <w:rPr>
          <w:rFonts w:hint="eastAsia" w:ascii="Times New Roman" w:hAnsi="Times New Roman" w:eastAsia="宋体" w:cs="Times New Roman"/>
          <w:color w:val="auto"/>
          <w:kern w:val="0"/>
          <w:sz w:val="24"/>
          <w:szCs w:val="24"/>
          <w:highlight w:val="none"/>
          <w:lang w:val="en-US" w:eastAsia="zh-CN" w:bidi="ar-SA"/>
        </w:rPr>
        <w:t>和现行国家标准《混凝土结构工程施工质量验收规范》GB 50204的有关规定。</w:t>
      </w:r>
    </w:p>
    <w:p w14:paraId="1385572F">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10.1.2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模块化建筑焊接、</w:t>
      </w:r>
      <w:r>
        <w:rPr>
          <w:rFonts w:hint="eastAsia" w:ascii="Times New Roman" w:hAnsi="Times New Roman" w:eastAsia="宋体" w:cs="Times New Roman"/>
          <w:color w:val="auto"/>
          <w:kern w:val="0"/>
          <w:sz w:val="24"/>
          <w:szCs w:val="24"/>
          <w:highlight w:val="none"/>
          <w:lang w:val="en-US" w:eastAsia="zh-CN" w:bidi="ar-SA"/>
        </w:rPr>
        <w:t>螺栓</w:t>
      </w:r>
      <w:r>
        <w:rPr>
          <w:rFonts w:hint="eastAsia" w:cs="Times New Roman"/>
          <w:color w:val="auto"/>
          <w:kern w:val="0"/>
          <w:sz w:val="24"/>
          <w:szCs w:val="24"/>
          <w:highlight w:val="none"/>
          <w:lang w:val="en-US" w:eastAsia="zh-CN" w:bidi="ar-SA"/>
        </w:rPr>
        <w:t>、灌浆套筒</w:t>
      </w:r>
      <w:r>
        <w:rPr>
          <w:rFonts w:hint="eastAsia" w:ascii="Times New Roman" w:hAnsi="Times New Roman" w:eastAsia="宋体" w:cs="Times New Roman"/>
          <w:color w:val="auto"/>
          <w:kern w:val="0"/>
          <w:sz w:val="24"/>
          <w:szCs w:val="24"/>
          <w:highlight w:val="none"/>
          <w:lang w:val="en-US" w:eastAsia="zh-CN" w:bidi="ar-SA"/>
        </w:rPr>
        <w:t>等连接用材料的进场验收应符合国家现行标准《钢结构工程施工质量验收</w:t>
      </w:r>
      <w:r>
        <w:rPr>
          <w:rFonts w:hint="eastAsia" w:cs="Times New Roman"/>
          <w:color w:val="auto"/>
          <w:kern w:val="0"/>
          <w:sz w:val="24"/>
          <w:szCs w:val="24"/>
          <w:highlight w:val="none"/>
          <w:lang w:val="en-US" w:eastAsia="zh-CN" w:bidi="ar-SA"/>
        </w:rPr>
        <w:t>标准</w:t>
      </w:r>
      <w:r>
        <w:rPr>
          <w:rFonts w:hint="eastAsia" w:ascii="Times New Roman" w:hAnsi="Times New Roman" w:eastAsia="宋体" w:cs="Times New Roman"/>
          <w:color w:val="auto"/>
          <w:kern w:val="0"/>
          <w:sz w:val="24"/>
          <w:szCs w:val="24"/>
          <w:highlight w:val="none"/>
          <w:lang w:val="en-US" w:eastAsia="zh-CN" w:bidi="ar-SA"/>
        </w:rPr>
        <w:t>》GB 50205</w:t>
      </w:r>
      <w:r>
        <w:rPr>
          <w:rFonts w:hint="eastAsia" w:cs="Times New Roman"/>
          <w:color w:val="auto"/>
          <w:kern w:val="0"/>
          <w:sz w:val="24"/>
          <w:szCs w:val="24"/>
          <w:highlight w:val="none"/>
          <w:lang w:val="en-US" w:eastAsia="zh-CN" w:bidi="ar-SA"/>
        </w:rPr>
        <w:t>和《钢筋连接用灌浆套筒》JG/T 398</w:t>
      </w:r>
      <w:r>
        <w:rPr>
          <w:rFonts w:hint="eastAsia" w:ascii="Times New Roman" w:hAnsi="Times New Roman" w:eastAsia="宋体" w:cs="Times New Roman"/>
          <w:color w:val="auto"/>
          <w:kern w:val="0"/>
          <w:sz w:val="24"/>
          <w:szCs w:val="24"/>
          <w:highlight w:val="none"/>
          <w:lang w:val="en-US" w:eastAsia="zh-CN" w:bidi="ar-SA"/>
        </w:rPr>
        <w:t>的有关规定。</w:t>
      </w:r>
    </w:p>
    <w:p w14:paraId="3088ECF0">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10.1.3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的饰面质量应符合设计要求，并应符合现行国家标准《建筑装饰装修工程质量验收规范》GB 50210的有关规定。</w:t>
      </w:r>
    </w:p>
    <w:p w14:paraId="1D1E366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10.1.4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项目验收应符合以下规定：</w:t>
      </w:r>
    </w:p>
    <w:p w14:paraId="6891F90F">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由建设单位组织勘察、设计、施工、工程监理</w:t>
      </w:r>
      <w:r>
        <w:rPr>
          <w:rFonts w:hint="eastAsia" w:cs="Times New Roman"/>
          <w:color w:val="auto"/>
          <w:kern w:val="0"/>
          <w:sz w:val="24"/>
          <w:szCs w:val="24"/>
          <w:highlight w:val="none"/>
          <w:lang w:val="en-US" w:eastAsia="zh-CN" w:bidi="ar-SA"/>
        </w:rPr>
        <w:t>四</w:t>
      </w:r>
      <w:r>
        <w:rPr>
          <w:rFonts w:hint="eastAsia" w:ascii="Times New Roman" w:hAnsi="Times New Roman" w:eastAsia="宋体" w:cs="Times New Roman"/>
          <w:color w:val="auto"/>
          <w:kern w:val="0"/>
          <w:sz w:val="24"/>
          <w:szCs w:val="24"/>
          <w:highlight w:val="none"/>
          <w:lang w:val="en-US" w:eastAsia="zh-CN" w:bidi="ar-SA"/>
        </w:rPr>
        <w:t>方单位进行竣工验收；</w:t>
      </w:r>
    </w:p>
    <w:p w14:paraId="5639DE16">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一般建设项目，总包单位应配合建设单位在工程竣工验收后三个月内，向城建档案馆报送符合规定的建设工程资料；</w:t>
      </w:r>
    </w:p>
    <w:p w14:paraId="1BCD18B7">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10.1.5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验收时，除应按现行国家标准《混凝土结构工程施工质量验收规范》GB 50204的要求提供文件和记录外，尚应提供下列文件和记录：</w:t>
      </w:r>
    </w:p>
    <w:p w14:paraId="3098CC4F">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1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工程设计</w:t>
      </w:r>
      <w:r>
        <w:rPr>
          <w:rFonts w:hint="eastAsia" w:cs="Times New Roman"/>
          <w:color w:val="auto"/>
          <w:kern w:val="0"/>
          <w:sz w:val="24"/>
          <w:szCs w:val="24"/>
          <w:highlight w:val="none"/>
          <w:lang w:val="en-US" w:eastAsia="zh-CN" w:bidi="ar-SA"/>
        </w:rPr>
        <w:t>单位已确认的模块生产</w:t>
      </w:r>
      <w:r>
        <w:rPr>
          <w:rFonts w:hint="eastAsia" w:ascii="Times New Roman" w:hAnsi="Times New Roman" w:eastAsia="宋体" w:cs="Times New Roman"/>
          <w:color w:val="auto"/>
          <w:kern w:val="0"/>
          <w:sz w:val="24"/>
          <w:szCs w:val="24"/>
          <w:highlight w:val="none"/>
          <w:lang w:val="en-US" w:eastAsia="zh-CN" w:bidi="ar-SA"/>
        </w:rPr>
        <w:t>深化设计图</w:t>
      </w:r>
      <w:r>
        <w:rPr>
          <w:rFonts w:hint="eastAsia" w:cs="Times New Roman"/>
          <w:color w:val="auto"/>
          <w:kern w:val="0"/>
          <w:sz w:val="24"/>
          <w:szCs w:val="24"/>
          <w:highlight w:val="none"/>
          <w:lang w:val="en-US" w:eastAsia="zh-CN" w:bidi="ar-SA"/>
        </w:rPr>
        <w:t>、设计变更文件；</w:t>
      </w:r>
    </w:p>
    <w:p w14:paraId="52E5129F">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2 </w:t>
      </w:r>
      <w:r>
        <w:rPr>
          <w:rFonts w:hint="eastAsia" w:cs="Times New Roman"/>
          <w:color w:val="auto"/>
          <w:kern w:val="0"/>
          <w:sz w:val="24"/>
          <w:szCs w:val="24"/>
          <w:highlight w:val="none"/>
          <w:lang w:val="en-US" w:eastAsia="zh-CN" w:bidi="ar-SA"/>
        </w:rPr>
        <w:t xml:space="preserve"> 混凝土模块</w:t>
      </w:r>
      <w:r>
        <w:rPr>
          <w:rFonts w:hint="eastAsia" w:ascii="Times New Roman" w:hAnsi="Times New Roman" w:eastAsia="宋体" w:cs="Times New Roman"/>
          <w:color w:val="auto"/>
          <w:kern w:val="0"/>
          <w:sz w:val="24"/>
          <w:szCs w:val="24"/>
          <w:highlight w:val="none"/>
          <w:lang w:val="en-US" w:eastAsia="zh-CN" w:bidi="ar-SA"/>
        </w:rPr>
        <w:t>、主要材料及配件的质量证明文件、进场验收记录、抽样复验报告；</w:t>
      </w:r>
    </w:p>
    <w:p w14:paraId="09F014E1">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3 </w:t>
      </w:r>
      <w:r>
        <w:rPr>
          <w:rFonts w:hint="eastAsia" w:cs="Times New Roman"/>
          <w:color w:val="auto"/>
          <w:kern w:val="0"/>
          <w:sz w:val="24"/>
          <w:szCs w:val="24"/>
          <w:highlight w:val="none"/>
          <w:lang w:val="en-US" w:eastAsia="zh-CN" w:bidi="ar-SA"/>
        </w:rPr>
        <w:t xml:space="preserve"> 混凝土模块</w:t>
      </w:r>
      <w:r>
        <w:rPr>
          <w:rFonts w:hint="eastAsia" w:ascii="Times New Roman" w:hAnsi="Times New Roman" w:eastAsia="宋体" w:cs="Times New Roman"/>
          <w:color w:val="auto"/>
          <w:kern w:val="0"/>
          <w:sz w:val="24"/>
          <w:szCs w:val="24"/>
          <w:highlight w:val="none"/>
          <w:lang w:val="en-US" w:eastAsia="zh-CN" w:bidi="ar-SA"/>
        </w:rPr>
        <w:t>安装施工记录；</w:t>
      </w:r>
    </w:p>
    <w:p w14:paraId="679250B5">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 xml:space="preserve">4 </w:t>
      </w:r>
      <w:r>
        <w:rPr>
          <w:rFonts w:hint="eastAsia" w:cs="Times New Roman"/>
          <w:color w:val="auto"/>
          <w:kern w:val="0"/>
          <w:sz w:val="24"/>
          <w:szCs w:val="24"/>
          <w:highlight w:val="none"/>
          <w:lang w:val="en-US" w:eastAsia="zh-CN" w:bidi="ar-SA"/>
        </w:rPr>
        <w:t xml:space="preserve"> 螺栓连接、焊接连接、钢筋套筒灌浆及浆锚搭接的施工检验记录；钢筋套筒灌浆和浆锚搭接连接还应提供施工过程影像资料</w:t>
      </w:r>
      <w:r>
        <w:rPr>
          <w:rFonts w:hint="eastAsia" w:ascii="Times New Roman" w:hAnsi="Times New Roman" w:eastAsia="宋体" w:cs="Times New Roman"/>
          <w:color w:val="auto"/>
          <w:kern w:val="0"/>
          <w:sz w:val="24"/>
          <w:szCs w:val="24"/>
          <w:highlight w:val="none"/>
          <w:lang w:val="en-US" w:eastAsia="zh-CN" w:bidi="ar-SA"/>
        </w:rPr>
        <w:t>；</w:t>
      </w:r>
    </w:p>
    <w:p w14:paraId="5EBAC1E5">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5</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连接构造节点的</w:t>
      </w:r>
      <w:r>
        <w:rPr>
          <w:rFonts w:hint="eastAsia" w:ascii="Times New Roman" w:hAnsi="Times New Roman" w:eastAsia="宋体" w:cs="Times New Roman"/>
          <w:color w:val="auto"/>
          <w:kern w:val="0"/>
          <w:sz w:val="24"/>
          <w:szCs w:val="24"/>
          <w:highlight w:val="none"/>
          <w:lang w:val="en-US" w:eastAsia="zh-CN" w:bidi="ar-SA"/>
        </w:rPr>
        <w:t>隐蔽工程检查验收文件；</w:t>
      </w:r>
    </w:p>
    <w:p w14:paraId="0DB28986">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6</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后浇筑混凝土、</w:t>
      </w:r>
      <w:r>
        <w:rPr>
          <w:rFonts w:hint="eastAsia" w:ascii="Times New Roman" w:hAnsi="Times New Roman" w:eastAsia="宋体" w:cs="Times New Roman"/>
          <w:color w:val="auto"/>
          <w:kern w:val="0"/>
          <w:sz w:val="24"/>
          <w:szCs w:val="24"/>
          <w:highlight w:val="none"/>
          <w:lang w:val="en-US" w:eastAsia="zh-CN" w:bidi="ar-SA"/>
        </w:rPr>
        <w:t>灌浆料、座浆材料强度检测报告；</w:t>
      </w:r>
    </w:p>
    <w:p w14:paraId="0D07ED3F">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 xml:space="preserve">7  </w:t>
      </w:r>
      <w:r>
        <w:rPr>
          <w:rFonts w:hint="eastAsia" w:ascii="Times New Roman" w:hAnsi="Times New Roman" w:eastAsia="宋体" w:cs="Times New Roman"/>
          <w:color w:val="auto"/>
          <w:kern w:val="0"/>
          <w:sz w:val="24"/>
          <w:szCs w:val="24"/>
          <w:highlight w:val="none"/>
          <w:lang w:val="en-US" w:eastAsia="zh-CN" w:bidi="ar-SA"/>
        </w:rPr>
        <w:t>焊接材料检测报告；</w:t>
      </w:r>
    </w:p>
    <w:p w14:paraId="2E4DCED9">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 xml:space="preserve">8  </w:t>
      </w:r>
      <w:r>
        <w:rPr>
          <w:rFonts w:hint="eastAsia" w:ascii="Times New Roman" w:hAnsi="Times New Roman" w:eastAsia="宋体" w:cs="Times New Roman"/>
          <w:color w:val="auto"/>
          <w:kern w:val="0"/>
          <w:sz w:val="24"/>
          <w:szCs w:val="24"/>
          <w:highlight w:val="none"/>
          <w:lang w:val="en-US" w:eastAsia="zh-CN" w:bidi="ar-SA"/>
        </w:rPr>
        <w:t>密封材料及接缝防水检测报告；</w:t>
      </w:r>
    </w:p>
    <w:p w14:paraId="302FCF07">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9</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外墙防水施工质量检验记录；</w:t>
      </w:r>
    </w:p>
    <w:p w14:paraId="36885A73">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10</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装配式结构分项工程质量验收</w:t>
      </w:r>
      <w:r>
        <w:rPr>
          <w:rFonts w:hint="eastAsia" w:cs="Times New Roman"/>
          <w:color w:val="auto"/>
          <w:kern w:val="0"/>
          <w:sz w:val="24"/>
          <w:szCs w:val="24"/>
          <w:highlight w:val="none"/>
          <w:lang w:val="en-US" w:eastAsia="zh-CN" w:bidi="ar-SA"/>
        </w:rPr>
        <w:t>记录</w:t>
      </w:r>
      <w:r>
        <w:rPr>
          <w:rFonts w:hint="eastAsia" w:ascii="Times New Roman" w:hAnsi="Times New Roman" w:eastAsia="宋体" w:cs="Times New Roman"/>
          <w:color w:val="auto"/>
          <w:kern w:val="0"/>
          <w:sz w:val="24"/>
          <w:szCs w:val="24"/>
          <w:highlight w:val="none"/>
          <w:lang w:val="en-US" w:eastAsia="zh-CN" w:bidi="ar-SA"/>
        </w:rPr>
        <w:t>；</w:t>
      </w:r>
    </w:p>
    <w:p w14:paraId="23BD60EA">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11</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其他</w:t>
      </w:r>
      <w:r>
        <w:rPr>
          <w:rFonts w:hint="eastAsia" w:cs="Times New Roman"/>
          <w:color w:val="auto"/>
          <w:kern w:val="0"/>
          <w:sz w:val="24"/>
          <w:szCs w:val="24"/>
          <w:highlight w:val="none"/>
          <w:lang w:val="en-US" w:eastAsia="zh-CN" w:bidi="ar-SA"/>
        </w:rPr>
        <w:t>必要</w:t>
      </w:r>
      <w:r>
        <w:rPr>
          <w:rFonts w:hint="eastAsia" w:ascii="Times New Roman" w:hAnsi="Times New Roman" w:eastAsia="宋体" w:cs="Times New Roman"/>
          <w:color w:val="auto"/>
          <w:kern w:val="0"/>
          <w:sz w:val="24"/>
          <w:szCs w:val="24"/>
          <w:highlight w:val="none"/>
          <w:lang w:val="en-US" w:eastAsia="zh-CN" w:bidi="ar-SA"/>
        </w:rPr>
        <w:t>文件和记录。</w:t>
      </w:r>
    </w:p>
    <w:p w14:paraId="00A23523">
      <w:pPr>
        <w:pStyle w:val="3"/>
        <w:bidi w:val="0"/>
        <w:rPr>
          <w:rFonts w:hint="eastAsia" w:ascii="宋体" w:hAnsi="宋体" w:cs="Times New Roman"/>
          <w:color w:val="auto"/>
          <w:sz w:val="21"/>
          <w:szCs w:val="21"/>
          <w:highlight w:val="none"/>
          <w:lang w:val="en-US" w:eastAsia="zh-CN"/>
        </w:rPr>
      </w:pPr>
      <w:bookmarkStart w:id="410" w:name="_Toc20062"/>
      <w:bookmarkStart w:id="411" w:name="_Toc8156"/>
      <w:bookmarkStart w:id="412" w:name="_Toc6602"/>
      <w:r>
        <w:rPr>
          <w:rFonts w:hint="default" w:ascii="Times New Roman" w:hAnsi="Times New Roman" w:eastAsia="黑体" w:cs="Times New Roman"/>
          <w:b/>
          <w:bCs/>
          <w:color w:val="auto"/>
          <w:kern w:val="44"/>
          <w:sz w:val="28"/>
          <w:szCs w:val="28"/>
          <w:highlight w:val="none"/>
          <w:lang w:val="zh-CN" w:eastAsia="zh-CN" w:bidi="ar-SA"/>
        </w:rPr>
        <w:t>10.</w:t>
      </w:r>
      <w:r>
        <w:rPr>
          <w:rFonts w:hint="eastAsia" w:ascii="Times New Roman" w:hAnsi="Times New Roman" w:eastAsia="黑体" w:cs="Times New Roman"/>
          <w:b/>
          <w:bCs/>
          <w:color w:val="auto"/>
          <w:kern w:val="44"/>
          <w:sz w:val="28"/>
          <w:szCs w:val="28"/>
          <w:highlight w:val="none"/>
          <w:lang w:val="en-US" w:eastAsia="zh-CN" w:bidi="ar-SA"/>
        </w:rPr>
        <w:t>2</w:t>
      </w:r>
      <w:r>
        <w:rPr>
          <w:rFonts w:ascii="宋体" w:hAnsi="宋体" w:cs="Times New Roman"/>
          <w:color w:val="auto"/>
          <w:sz w:val="21"/>
          <w:szCs w:val="21"/>
          <w:highlight w:val="none"/>
        </w:rPr>
        <w:t xml:space="preserve">  </w:t>
      </w:r>
      <w:r>
        <w:rPr>
          <w:rFonts w:hint="eastAsia" w:ascii="黑体" w:hAnsi="黑体" w:cs="Times New Roman"/>
          <w:b w:val="0"/>
          <w:bCs w:val="0"/>
          <w:color w:val="auto"/>
          <w:kern w:val="44"/>
          <w:sz w:val="28"/>
          <w:szCs w:val="28"/>
          <w:highlight w:val="none"/>
          <w:lang w:val="en-US" w:eastAsia="zh-CN" w:bidi="ar-SA"/>
        </w:rPr>
        <w:t>混凝土模块</w:t>
      </w:r>
      <w:r>
        <w:rPr>
          <w:rFonts w:hint="eastAsia" w:ascii="黑体" w:hAnsi="黑体" w:eastAsia="黑体" w:cs="Times New Roman"/>
          <w:b w:val="0"/>
          <w:bCs w:val="0"/>
          <w:color w:val="auto"/>
          <w:kern w:val="44"/>
          <w:sz w:val="28"/>
          <w:szCs w:val="28"/>
          <w:highlight w:val="none"/>
          <w:lang w:val="en-US" w:eastAsia="zh-CN" w:bidi="ar-SA"/>
        </w:rPr>
        <w:t>验收</w:t>
      </w:r>
      <w:bookmarkEnd w:id="410"/>
      <w:bookmarkEnd w:id="411"/>
      <w:bookmarkEnd w:id="412"/>
    </w:p>
    <w:p w14:paraId="16D6D19D">
      <w:pPr>
        <w:pStyle w:val="4"/>
        <w:bidi w:val="0"/>
        <w:rPr>
          <w:rFonts w:hint="default"/>
          <w:b/>
          <w:bCs/>
          <w:color w:val="auto"/>
          <w:highlight w:val="none"/>
          <w:lang w:val="en-US" w:eastAsia="zh-CN"/>
        </w:rPr>
      </w:pPr>
      <w:bookmarkStart w:id="413" w:name="_Toc9767"/>
      <w:bookmarkStart w:id="414" w:name="_Toc5212"/>
      <w:bookmarkStart w:id="415" w:name="_Toc7561"/>
      <w:r>
        <w:rPr>
          <w:rFonts w:hint="default"/>
          <w:b w:val="0"/>
          <w:bCs/>
          <w:color w:val="auto"/>
          <w:highlight w:val="none"/>
          <w:lang w:val="en-US" w:eastAsia="zh-CN"/>
        </w:rPr>
        <w:t>主控项目</w:t>
      </w:r>
      <w:bookmarkEnd w:id="413"/>
      <w:bookmarkEnd w:id="414"/>
      <w:bookmarkEnd w:id="415"/>
    </w:p>
    <w:p w14:paraId="1054B1A9">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10.2.1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的外观质量不应有严重缺陷。</w:t>
      </w:r>
    </w:p>
    <w:p w14:paraId="69A736E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检查数量：全数检查。</w:t>
      </w:r>
    </w:p>
    <w:p w14:paraId="1B6DF40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检验方法：按现行国家标准《装配式混凝土建筑技术标准》GB/T 51231的相关要求执行。</w:t>
      </w:r>
    </w:p>
    <w:p w14:paraId="52FD21A8">
      <w:pPr>
        <w:pStyle w:val="4"/>
        <w:bidi w:val="0"/>
        <w:rPr>
          <w:rFonts w:hint="default"/>
          <w:color w:val="auto"/>
          <w:highlight w:val="none"/>
          <w:lang w:val="en-US" w:eastAsia="zh-CN"/>
        </w:rPr>
      </w:pPr>
      <w:bookmarkStart w:id="416" w:name="_Toc14056"/>
      <w:bookmarkStart w:id="417" w:name="_Toc21461"/>
      <w:bookmarkStart w:id="418" w:name="_Toc10686"/>
      <w:r>
        <w:rPr>
          <w:rFonts w:hint="eastAsia"/>
          <w:b w:val="0"/>
          <w:bCs/>
          <w:color w:val="auto"/>
          <w:highlight w:val="none"/>
          <w:lang w:val="en-US" w:eastAsia="zh-CN"/>
        </w:rPr>
        <w:t>一般</w:t>
      </w:r>
      <w:r>
        <w:rPr>
          <w:rFonts w:hint="default"/>
          <w:b w:val="0"/>
          <w:bCs/>
          <w:color w:val="auto"/>
          <w:highlight w:val="none"/>
          <w:lang w:val="en-US" w:eastAsia="zh-CN"/>
        </w:rPr>
        <w:t>项目</w:t>
      </w:r>
      <w:bookmarkEnd w:id="416"/>
      <w:bookmarkEnd w:id="417"/>
      <w:bookmarkEnd w:id="418"/>
    </w:p>
    <w:p w14:paraId="082D5D58">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10.2.2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的外观质量不宜有一般缺陷。</w:t>
      </w:r>
    </w:p>
    <w:p w14:paraId="6B45AAC9">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检查数量：全数检查。</w:t>
      </w:r>
    </w:p>
    <w:p w14:paraId="3CB83023">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检验方法：按现行国家标准《装配式混凝土建筑技术标准》GB/T 51231的相关要求执行。</w:t>
      </w:r>
    </w:p>
    <w:p w14:paraId="7E6AC976">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10.2.3</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的构件允许尺寸偏差及检验方法应符合表10.2.3的规定。</w:t>
      </w:r>
    </w:p>
    <w:p w14:paraId="466151D1">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检查数量：按同一生产企业、同一品种的构件，不超过50个为一批，每批抽查构件数量的5%，且不少于3件。</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1"/>
      </w:tblGrid>
      <w:tr w14:paraId="2D07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7A385D4F">
            <w:pPr>
              <w:snapToGrid w:val="0"/>
              <w:spacing w:line="300" w:lineRule="auto"/>
              <w:ind w:firstLine="480" w:firstLineChars="200"/>
              <w:jc w:val="center"/>
              <w:rPr>
                <w:rFonts w:ascii="宋体" w:hAnsi="宋体" w:cs="Times New Roman"/>
                <w:color w:val="auto"/>
                <w:sz w:val="18"/>
                <w:szCs w:val="18"/>
                <w:highlight w:val="none"/>
              </w:rPr>
            </w:pPr>
            <w:r>
              <w:rPr>
                <w:color w:val="auto"/>
                <w:highlight w:val="none"/>
              </w:rPr>
              <w:drawing>
                <wp:inline distT="0" distB="0" distL="114300" distR="114300">
                  <wp:extent cx="2821305" cy="1800225"/>
                  <wp:effectExtent l="0" t="0" r="13335" b="1333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51"/>
                          <a:stretch>
                            <a:fillRect/>
                          </a:stretch>
                        </pic:blipFill>
                        <pic:spPr>
                          <a:xfrm>
                            <a:off x="0" y="0"/>
                            <a:ext cx="2821305" cy="1800225"/>
                          </a:xfrm>
                          <a:prstGeom prst="rect">
                            <a:avLst/>
                          </a:prstGeom>
                          <a:noFill/>
                          <a:ln>
                            <a:noFill/>
                          </a:ln>
                        </pic:spPr>
                      </pic:pic>
                    </a:graphicData>
                  </a:graphic>
                </wp:inline>
              </w:drawing>
            </w:r>
          </w:p>
        </w:tc>
      </w:tr>
      <w:tr w14:paraId="6979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1" w:type="dxa"/>
            <w:tcBorders>
              <w:top w:val="nil"/>
              <w:left w:val="nil"/>
              <w:bottom w:val="nil"/>
              <w:right w:val="nil"/>
            </w:tcBorders>
            <w:vAlign w:val="center"/>
          </w:tcPr>
          <w:p w14:paraId="387D90C3">
            <w:pPr>
              <w:snapToGrid w:val="0"/>
              <w:spacing w:line="300" w:lineRule="auto"/>
              <w:ind w:firstLine="360" w:firstLineChars="200"/>
              <w:jc w:val="center"/>
              <w:rPr>
                <w:rFonts w:hint="default" w:ascii="宋体" w:hAnsi="宋体" w:eastAsia="宋体" w:cs="Times New Roman"/>
                <w:color w:val="auto"/>
                <w:sz w:val="18"/>
                <w:szCs w:val="18"/>
                <w:highlight w:val="none"/>
                <w:lang w:val="en-US" w:eastAsia="zh-CN"/>
              </w:rPr>
            </w:pPr>
            <w:r>
              <w:rPr>
                <w:rFonts w:hint="eastAsia" w:ascii="宋体" w:hAnsi="宋体" w:cs="Times New Roman"/>
                <w:color w:val="auto"/>
                <w:sz w:val="18"/>
                <w:szCs w:val="18"/>
                <w:highlight w:val="none"/>
              </w:rPr>
              <w:t>图</w:t>
            </w:r>
            <w:r>
              <w:rPr>
                <w:rFonts w:hint="eastAsia" w:ascii="宋体" w:hAnsi="宋体" w:cs="Times New Roman"/>
                <w:color w:val="auto"/>
                <w:sz w:val="18"/>
                <w:szCs w:val="18"/>
                <w:highlight w:val="none"/>
                <w:lang w:val="en-US" w:eastAsia="zh-CN"/>
              </w:rPr>
              <w:t xml:space="preserve">10.2.3 </w:t>
            </w:r>
            <w:r>
              <w:rPr>
                <w:rFonts w:hint="eastAsia" w:ascii="宋体" w:hAnsi="宋体" w:cs="Times New Roman"/>
                <w:color w:val="auto"/>
                <w:sz w:val="18"/>
                <w:szCs w:val="18"/>
                <w:highlight w:val="none"/>
              </w:rPr>
              <w:t>模块</w:t>
            </w:r>
            <w:r>
              <w:rPr>
                <w:rFonts w:hint="eastAsia" w:ascii="宋体" w:hAnsi="宋体" w:cs="Times New Roman"/>
                <w:color w:val="auto"/>
                <w:sz w:val="18"/>
                <w:szCs w:val="18"/>
                <w:highlight w:val="none"/>
                <w:lang w:val="en-US" w:eastAsia="zh-CN"/>
              </w:rPr>
              <w:t>单元示意图</w:t>
            </w:r>
          </w:p>
        </w:tc>
      </w:tr>
    </w:tbl>
    <w:p w14:paraId="42AF758C">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p>
    <w:p w14:paraId="3C1ECAA4">
      <w:pPr>
        <w:tabs>
          <w:tab w:val="left" w:pos="960"/>
          <w:tab w:val="center" w:pos="3005"/>
        </w:tabs>
        <w:wordWrap/>
        <w:overflowPunct/>
        <w:topLinePunct w:val="0"/>
        <w:bidi w:val="0"/>
        <w:snapToGrid w:val="0"/>
        <w:spacing w:line="300" w:lineRule="auto"/>
        <w:ind w:firstLine="360" w:firstLineChars="200"/>
        <w:jc w:val="center"/>
        <w:rPr>
          <w:rFonts w:ascii="宋体" w:hAnsi="宋体"/>
          <w:color w:val="auto"/>
          <w:sz w:val="18"/>
          <w:szCs w:val="18"/>
          <w:highlight w:val="none"/>
          <w:lang w:bidi="en-US"/>
        </w:rPr>
      </w:pPr>
      <w:r>
        <w:rPr>
          <w:rFonts w:ascii="宋体" w:hAnsi="宋体"/>
          <w:color w:val="auto"/>
          <w:sz w:val="18"/>
          <w:szCs w:val="18"/>
          <w:highlight w:val="none"/>
          <w:lang w:bidi="en-US"/>
        </w:rPr>
        <w:t>表</w:t>
      </w:r>
      <w:r>
        <w:rPr>
          <w:rFonts w:hint="eastAsia" w:ascii="宋体" w:hAnsi="宋体"/>
          <w:color w:val="auto"/>
          <w:sz w:val="18"/>
          <w:szCs w:val="18"/>
          <w:highlight w:val="none"/>
          <w:lang w:val="en-US" w:eastAsia="zh-CN" w:bidi="en-US"/>
        </w:rPr>
        <w:t>10</w:t>
      </w:r>
      <w:r>
        <w:rPr>
          <w:rFonts w:ascii="宋体" w:hAnsi="宋体"/>
          <w:color w:val="auto"/>
          <w:sz w:val="18"/>
          <w:szCs w:val="18"/>
          <w:highlight w:val="none"/>
          <w:lang w:bidi="en-US"/>
        </w:rPr>
        <w:t>.</w:t>
      </w:r>
      <w:r>
        <w:rPr>
          <w:rFonts w:hint="eastAsia" w:ascii="宋体" w:hAnsi="宋体"/>
          <w:color w:val="auto"/>
          <w:sz w:val="18"/>
          <w:szCs w:val="18"/>
          <w:highlight w:val="none"/>
          <w:lang w:val="en-US" w:eastAsia="zh-CN" w:bidi="en-US"/>
        </w:rPr>
        <w:t>2</w:t>
      </w:r>
      <w:r>
        <w:rPr>
          <w:rFonts w:ascii="宋体" w:hAnsi="宋体"/>
          <w:color w:val="auto"/>
          <w:sz w:val="18"/>
          <w:szCs w:val="18"/>
          <w:highlight w:val="none"/>
          <w:lang w:bidi="en-US"/>
        </w:rPr>
        <w:t>.</w:t>
      </w:r>
      <w:r>
        <w:rPr>
          <w:rFonts w:hint="eastAsia" w:ascii="宋体" w:hAnsi="宋体"/>
          <w:color w:val="auto"/>
          <w:sz w:val="18"/>
          <w:szCs w:val="18"/>
          <w:highlight w:val="none"/>
          <w:lang w:val="en-US" w:eastAsia="zh-CN" w:bidi="en-US"/>
        </w:rPr>
        <w:t>3</w:t>
      </w:r>
      <w:r>
        <w:rPr>
          <w:rFonts w:ascii="宋体" w:hAnsi="宋体"/>
          <w:color w:val="auto"/>
          <w:sz w:val="18"/>
          <w:szCs w:val="18"/>
          <w:highlight w:val="none"/>
          <w:lang w:bidi="en-US"/>
        </w:rPr>
        <w:t xml:space="preserve"> </w:t>
      </w:r>
      <w:r>
        <w:rPr>
          <w:rFonts w:hint="eastAsia" w:ascii="宋体" w:hAnsi="宋体"/>
          <w:color w:val="auto"/>
          <w:sz w:val="18"/>
          <w:szCs w:val="18"/>
          <w:highlight w:val="none"/>
          <w:lang w:val="en-US" w:eastAsia="zh-CN" w:bidi="en-US"/>
        </w:rPr>
        <w:t xml:space="preserve"> </w:t>
      </w:r>
      <w:r>
        <w:rPr>
          <w:rFonts w:hint="eastAsia" w:ascii="宋体" w:hAnsi="宋体"/>
          <w:color w:val="auto"/>
          <w:sz w:val="18"/>
          <w:szCs w:val="18"/>
          <w:highlight w:val="none"/>
          <w:lang w:eastAsia="zh-CN" w:bidi="en-US"/>
        </w:rPr>
        <w:t>混凝土模块</w:t>
      </w:r>
      <w:r>
        <w:rPr>
          <w:rFonts w:hint="eastAsia" w:ascii="宋体" w:hAnsi="宋体"/>
          <w:color w:val="auto"/>
          <w:sz w:val="18"/>
          <w:szCs w:val="18"/>
          <w:highlight w:val="none"/>
          <w:lang w:bidi="en-US"/>
        </w:rPr>
        <w:t>的构件尺寸允许偏差</w:t>
      </w:r>
    </w:p>
    <w:tbl>
      <w:tblPr>
        <w:tblStyle w:val="16"/>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409"/>
        <w:gridCol w:w="1766"/>
        <w:gridCol w:w="1765"/>
        <w:gridCol w:w="1605"/>
      </w:tblGrid>
      <w:tr w14:paraId="7B1CA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270" w:type="pct"/>
            <w:gridSpan w:val="3"/>
            <w:vAlign w:val="center"/>
          </w:tcPr>
          <w:p w14:paraId="1FEC6E4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项目</w:t>
            </w:r>
          </w:p>
        </w:tc>
        <w:tc>
          <w:tcPr>
            <w:tcW w:w="906" w:type="pct"/>
            <w:shd w:val="clear" w:color="auto" w:fill="auto"/>
            <w:vAlign w:val="center"/>
          </w:tcPr>
          <w:p w14:paraId="4879A93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允许偏差（m</w:t>
            </w:r>
            <w:r>
              <w:rPr>
                <w:rFonts w:ascii="宋体" w:hAnsi="宋体"/>
                <w:color w:val="auto"/>
                <w:sz w:val="18"/>
                <w:szCs w:val="18"/>
                <w:highlight w:val="none"/>
                <w:lang w:bidi="en-US"/>
              </w:rPr>
              <w:t>m</w:t>
            </w:r>
            <w:r>
              <w:rPr>
                <w:rFonts w:hint="eastAsia" w:ascii="宋体" w:hAnsi="宋体"/>
                <w:color w:val="auto"/>
                <w:sz w:val="18"/>
                <w:szCs w:val="18"/>
                <w:highlight w:val="none"/>
                <w:lang w:bidi="en-US"/>
              </w:rPr>
              <w:t>）</w:t>
            </w:r>
          </w:p>
        </w:tc>
        <w:tc>
          <w:tcPr>
            <w:tcW w:w="822" w:type="pct"/>
            <w:shd w:val="clear" w:color="auto" w:fill="auto"/>
            <w:vAlign w:val="center"/>
          </w:tcPr>
          <w:p w14:paraId="6A785CC1">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检验方法</w:t>
            </w:r>
          </w:p>
        </w:tc>
      </w:tr>
      <w:tr w14:paraId="23C7A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Align w:val="center"/>
          </w:tcPr>
          <w:p w14:paraId="7FFE8464">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bidi="en-US"/>
              </w:rPr>
              <w:t>长度</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宽度</w:t>
            </w:r>
          </w:p>
        </w:tc>
        <w:tc>
          <w:tcPr>
            <w:tcW w:w="2143" w:type="pct"/>
            <w:gridSpan w:val="2"/>
            <w:shd w:val="clear" w:color="auto" w:fill="auto"/>
            <w:vAlign w:val="center"/>
          </w:tcPr>
          <w:p w14:paraId="34152550">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AB、AD、BC、CD、ab、ad、cb、cd</w:t>
            </w:r>
          </w:p>
        </w:tc>
        <w:tc>
          <w:tcPr>
            <w:tcW w:w="906" w:type="pct"/>
            <w:shd w:val="clear" w:color="auto" w:fill="auto"/>
            <w:vAlign w:val="center"/>
          </w:tcPr>
          <w:p w14:paraId="2571323F">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eastAsia="zh-CN" w:bidi="en-US"/>
              </w:rPr>
              <w:t>5</w:t>
            </w:r>
          </w:p>
        </w:tc>
        <w:tc>
          <w:tcPr>
            <w:tcW w:w="822" w:type="pct"/>
            <w:shd w:val="clear" w:color="auto" w:fill="auto"/>
            <w:vAlign w:val="center"/>
          </w:tcPr>
          <w:p w14:paraId="5730D0E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2DC1D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Align w:val="center"/>
          </w:tcPr>
          <w:p w14:paraId="2ABF3C61">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高度</w:t>
            </w:r>
          </w:p>
        </w:tc>
        <w:tc>
          <w:tcPr>
            <w:tcW w:w="2143" w:type="pct"/>
            <w:gridSpan w:val="2"/>
            <w:shd w:val="clear" w:color="auto" w:fill="auto"/>
            <w:vAlign w:val="center"/>
          </w:tcPr>
          <w:p w14:paraId="1F10CE33">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Aa、Bb、Cc、Dd</w:t>
            </w:r>
          </w:p>
        </w:tc>
        <w:tc>
          <w:tcPr>
            <w:tcW w:w="906" w:type="pct"/>
            <w:shd w:val="clear" w:color="auto" w:fill="auto"/>
            <w:vAlign w:val="center"/>
          </w:tcPr>
          <w:p w14:paraId="19447CA5">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eastAsia="zh-CN" w:bidi="en-US"/>
              </w:rPr>
              <w:t>5</w:t>
            </w:r>
          </w:p>
        </w:tc>
        <w:tc>
          <w:tcPr>
            <w:tcW w:w="822" w:type="pct"/>
            <w:shd w:val="clear" w:color="auto" w:fill="auto"/>
            <w:vAlign w:val="center"/>
          </w:tcPr>
          <w:p w14:paraId="05616BD6">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1920A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Align w:val="center"/>
          </w:tcPr>
          <w:p w14:paraId="38F8D78E">
            <w:pPr>
              <w:wordWrap/>
              <w:overflowPunct/>
              <w:topLinePunct w:val="0"/>
              <w:bidi w:val="0"/>
              <w:snapToGrid w:val="0"/>
              <w:spacing w:line="300" w:lineRule="auto"/>
              <w:ind w:left="0" w:leftChars="0" w:firstLine="0" w:firstLineChars="0"/>
              <w:jc w:val="center"/>
              <w:rPr>
                <w:rFonts w:hint="default" w:ascii="宋体" w:hAnsi="宋体"/>
                <w:color w:val="auto"/>
                <w:sz w:val="18"/>
                <w:szCs w:val="18"/>
                <w:highlight w:val="none"/>
                <w:lang w:val="en-US" w:eastAsia="zh-CN" w:bidi="en-US"/>
              </w:rPr>
            </w:pPr>
            <w:r>
              <w:rPr>
                <w:rFonts w:hint="eastAsia" w:ascii="宋体" w:hAnsi="宋体"/>
                <w:color w:val="auto"/>
                <w:sz w:val="18"/>
                <w:szCs w:val="18"/>
                <w:highlight w:val="none"/>
                <w:lang w:val="en-US" w:eastAsia="zh-CN" w:bidi="en-US"/>
              </w:rPr>
              <w:t>对角线差</w:t>
            </w:r>
          </w:p>
        </w:tc>
        <w:tc>
          <w:tcPr>
            <w:tcW w:w="2143" w:type="pct"/>
            <w:gridSpan w:val="2"/>
            <w:shd w:val="clear" w:color="auto" w:fill="auto"/>
            <w:vAlign w:val="center"/>
          </w:tcPr>
          <w:p w14:paraId="51F2EB8A">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val="en-US" w:eastAsia="zh-CN" w:bidi="en-US"/>
              </w:rPr>
            </w:pPr>
            <w:r>
              <w:rPr>
                <w:rFonts w:hint="eastAsia" w:ascii="宋体" w:hAnsi="宋体"/>
                <w:color w:val="auto"/>
                <w:sz w:val="18"/>
                <w:szCs w:val="18"/>
                <w:highlight w:val="none"/>
                <w:lang w:val="en-US" w:eastAsia="zh-CN" w:bidi="en-US"/>
              </w:rPr>
              <w:t>（AC-BD）、（ac-bd）、（Ab-aB）</w:t>
            </w:r>
          </w:p>
          <w:p w14:paraId="3A0B99C2">
            <w:pPr>
              <w:wordWrap/>
              <w:overflowPunct/>
              <w:topLinePunct w:val="0"/>
              <w:bidi w:val="0"/>
              <w:snapToGrid w:val="0"/>
              <w:spacing w:line="300" w:lineRule="auto"/>
              <w:ind w:left="0" w:leftChars="0" w:firstLine="0" w:firstLineChars="0"/>
              <w:jc w:val="center"/>
              <w:rPr>
                <w:rFonts w:hint="default" w:ascii="宋体" w:hAnsi="宋体"/>
                <w:color w:val="auto"/>
                <w:sz w:val="18"/>
                <w:szCs w:val="18"/>
                <w:highlight w:val="none"/>
                <w:lang w:val="en-US" w:eastAsia="zh-CN" w:bidi="en-US"/>
              </w:rPr>
            </w:pPr>
            <w:r>
              <w:rPr>
                <w:rFonts w:hint="eastAsia" w:ascii="宋体" w:hAnsi="宋体"/>
                <w:color w:val="auto"/>
                <w:sz w:val="18"/>
                <w:szCs w:val="18"/>
                <w:highlight w:val="none"/>
                <w:lang w:val="en-US" w:eastAsia="zh-CN" w:bidi="en-US"/>
              </w:rPr>
              <w:t>（Cd-cD）、（Ad-aD）、（Bc-bC）</w:t>
            </w:r>
          </w:p>
        </w:tc>
        <w:tc>
          <w:tcPr>
            <w:tcW w:w="906" w:type="pct"/>
            <w:shd w:val="clear" w:color="auto" w:fill="auto"/>
            <w:vAlign w:val="center"/>
          </w:tcPr>
          <w:p w14:paraId="5F94ABA8">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10</w:t>
            </w:r>
          </w:p>
        </w:tc>
        <w:tc>
          <w:tcPr>
            <w:tcW w:w="822" w:type="pct"/>
            <w:shd w:val="clear" w:color="auto" w:fill="auto"/>
            <w:vAlign w:val="center"/>
          </w:tcPr>
          <w:p w14:paraId="6295C915">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458F8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26" w:type="pct"/>
            <w:vMerge w:val="restart"/>
            <w:vAlign w:val="center"/>
          </w:tcPr>
          <w:p w14:paraId="3A6586DD">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表面平整度</w:t>
            </w:r>
          </w:p>
        </w:tc>
        <w:tc>
          <w:tcPr>
            <w:tcW w:w="2143" w:type="pct"/>
            <w:gridSpan w:val="2"/>
            <w:shd w:val="clear" w:color="auto" w:fill="auto"/>
            <w:vAlign w:val="center"/>
          </w:tcPr>
          <w:p w14:paraId="18A511CC">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清水面</w:t>
            </w:r>
          </w:p>
        </w:tc>
        <w:tc>
          <w:tcPr>
            <w:tcW w:w="906" w:type="pct"/>
            <w:shd w:val="clear" w:color="auto" w:fill="auto"/>
            <w:vAlign w:val="center"/>
          </w:tcPr>
          <w:p w14:paraId="58F9371C">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2</w:t>
            </w:r>
          </w:p>
        </w:tc>
        <w:tc>
          <w:tcPr>
            <w:tcW w:w="822" w:type="pct"/>
            <w:vMerge w:val="restart"/>
            <w:shd w:val="clear" w:color="auto" w:fill="auto"/>
            <w:vAlign w:val="center"/>
          </w:tcPr>
          <w:p w14:paraId="3F6E6779">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2m靠尺和塞尺</w:t>
            </w:r>
          </w:p>
          <w:p w14:paraId="776109F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检查</w:t>
            </w:r>
          </w:p>
        </w:tc>
      </w:tr>
      <w:tr w14:paraId="1D00B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126" w:type="pct"/>
            <w:vMerge w:val="continue"/>
            <w:vAlign w:val="center"/>
          </w:tcPr>
          <w:p w14:paraId="339D42E2">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2143" w:type="pct"/>
            <w:gridSpan w:val="2"/>
            <w:shd w:val="clear" w:color="auto" w:fill="auto"/>
            <w:vAlign w:val="center"/>
          </w:tcPr>
          <w:p w14:paraId="19E0910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普通面</w:t>
            </w:r>
          </w:p>
        </w:tc>
        <w:tc>
          <w:tcPr>
            <w:tcW w:w="906" w:type="pct"/>
            <w:shd w:val="clear" w:color="auto" w:fill="auto"/>
            <w:vAlign w:val="center"/>
          </w:tcPr>
          <w:p w14:paraId="69DE8DD7">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3</w:t>
            </w:r>
          </w:p>
        </w:tc>
        <w:tc>
          <w:tcPr>
            <w:tcW w:w="822" w:type="pct"/>
            <w:vMerge w:val="continue"/>
            <w:shd w:val="clear" w:color="auto" w:fill="auto"/>
            <w:vAlign w:val="center"/>
          </w:tcPr>
          <w:p w14:paraId="7B7EE7B1">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66ABD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restart"/>
            <w:vAlign w:val="center"/>
          </w:tcPr>
          <w:p w14:paraId="11DECF76">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预留孔</w:t>
            </w:r>
          </w:p>
        </w:tc>
        <w:tc>
          <w:tcPr>
            <w:tcW w:w="2143" w:type="pct"/>
            <w:gridSpan w:val="2"/>
            <w:shd w:val="clear" w:color="auto" w:fill="auto"/>
            <w:vAlign w:val="center"/>
          </w:tcPr>
          <w:p w14:paraId="684ACD1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中心线位置</w:t>
            </w:r>
          </w:p>
        </w:tc>
        <w:tc>
          <w:tcPr>
            <w:tcW w:w="906" w:type="pct"/>
            <w:shd w:val="clear" w:color="auto" w:fill="auto"/>
            <w:vAlign w:val="center"/>
          </w:tcPr>
          <w:p w14:paraId="359FF4C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≤5</w:t>
            </w:r>
          </w:p>
        </w:tc>
        <w:tc>
          <w:tcPr>
            <w:tcW w:w="822" w:type="pct"/>
            <w:vMerge w:val="restart"/>
            <w:shd w:val="clear" w:color="auto" w:fill="auto"/>
            <w:vAlign w:val="center"/>
          </w:tcPr>
          <w:p w14:paraId="32550E0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6B798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54E52091">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2143" w:type="pct"/>
            <w:gridSpan w:val="2"/>
            <w:shd w:val="clear" w:color="auto" w:fill="auto"/>
            <w:vAlign w:val="center"/>
          </w:tcPr>
          <w:p w14:paraId="7D0E718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孔尺寸</w:t>
            </w:r>
          </w:p>
        </w:tc>
        <w:tc>
          <w:tcPr>
            <w:tcW w:w="906" w:type="pct"/>
            <w:shd w:val="clear" w:color="auto" w:fill="auto"/>
            <w:vAlign w:val="center"/>
          </w:tcPr>
          <w:p w14:paraId="45D41171">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eastAsia="zh-CN" w:bidi="en-US"/>
              </w:rPr>
              <w:t>5</w:t>
            </w:r>
          </w:p>
        </w:tc>
        <w:tc>
          <w:tcPr>
            <w:tcW w:w="822" w:type="pct"/>
            <w:vMerge w:val="continue"/>
            <w:shd w:val="clear" w:color="auto" w:fill="auto"/>
            <w:vAlign w:val="center"/>
          </w:tcPr>
          <w:p w14:paraId="4225F73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608BF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restart"/>
            <w:vAlign w:val="center"/>
          </w:tcPr>
          <w:p w14:paraId="68B1B3C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预留洞</w:t>
            </w:r>
          </w:p>
        </w:tc>
        <w:tc>
          <w:tcPr>
            <w:tcW w:w="2143" w:type="pct"/>
            <w:gridSpan w:val="2"/>
            <w:shd w:val="clear" w:color="auto" w:fill="auto"/>
            <w:vAlign w:val="center"/>
          </w:tcPr>
          <w:p w14:paraId="266C43B6">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中心线位置</w:t>
            </w:r>
          </w:p>
        </w:tc>
        <w:tc>
          <w:tcPr>
            <w:tcW w:w="906" w:type="pct"/>
            <w:shd w:val="clear" w:color="auto" w:fill="auto"/>
            <w:vAlign w:val="center"/>
          </w:tcPr>
          <w:p w14:paraId="36831FD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eastAsia="zh-CN" w:bidi="en-US"/>
              </w:rPr>
              <w:t>5</w:t>
            </w:r>
          </w:p>
        </w:tc>
        <w:tc>
          <w:tcPr>
            <w:tcW w:w="822" w:type="pct"/>
            <w:vMerge w:val="restart"/>
            <w:shd w:val="clear" w:color="auto" w:fill="auto"/>
            <w:vAlign w:val="center"/>
          </w:tcPr>
          <w:p w14:paraId="5D38705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07FF2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6B070C6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2143" w:type="pct"/>
            <w:gridSpan w:val="2"/>
            <w:shd w:val="clear" w:color="auto" w:fill="auto"/>
            <w:vAlign w:val="center"/>
          </w:tcPr>
          <w:p w14:paraId="039A4C8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洞口尺寸、深度</w:t>
            </w:r>
          </w:p>
        </w:tc>
        <w:tc>
          <w:tcPr>
            <w:tcW w:w="906" w:type="pct"/>
            <w:shd w:val="clear" w:color="auto" w:fill="auto"/>
            <w:vAlign w:val="center"/>
          </w:tcPr>
          <w:p w14:paraId="366A62EF">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eastAsia="zh-CN" w:bidi="en-US"/>
              </w:rPr>
              <w:t>5</w:t>
            </w:r>
          </w:p>
        </w:tc>
        <w:tc>
          <w:tcPr>
            <w:tcW w:w="822" w:type="pct"/>
            <w:vMerge w:val="continue"/>
            <w:shd w:val="clear" w:color="auto" w:fill="auto"/>
            <w:vAlign w:val="center"/>
          </w:tcPr>
          <w:p w14:paraId="5C2CF1F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7B622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restart"/>
            <w:vAlign w:val="center"/>
          </w:tcPr>
          <w:p w14:paraId="1BE7B535">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门窗洞口</w:t>
            </w:r>
          </w:p>
        </w:tc>
        <w:tc>
          <w:tcPr>
            <w:tcW w:w="2143" w:type="pct"/>
            <w:gridSpan w:val="2"/>
            <w:shd w:val="clear" w:color="auto" w:fill="auto"/>
            <w:vAlign w:val="center"/>
          </w:tcPr>
          <w:p w14:paraId="5A6B2F5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中心线位置</w:t>
            </w:r>
          </w:p>
        </w:tc>
        <w:tc>
          <w:tcPr>
            <w:tcW w:w="906" w:type="pct"/>
            <w:shd w:val="clear" w:color="auto" w:fill="auto"/>
            <w:vAlign w:val="center"/>
          </w:tcPr>
          <w:p w14:paraId="2C3A021C">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5</w:t>
            </w:r>
          </w:p>
        </w:tc>
        <w:tc>
          <w:tcPr>
            <w:tcW w:w="822" w:type="pct"/>
            <w:vMerge w:val="restart"/>
            <w:shd w:val="clear" w:color="auto" w:fill="auto"/>
            <w:vAlign w:val="center"/>
          </w:tcPr>
          <w:p w14:paraId="263AB2C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4B090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104CCBB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2143" w:type="pct"/>
            <w:gridSpan w:val="2"/>
            <w:shd w:val="clear" w:color="auto" w:fill="auto"/>
            <w:vAlign w:val="center"/>
          </w:tcPr>
          <w:p w14:paraId="214F6532">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宽度、高度</w:t>
            </w:r>
          </w:p>
        </w:tc>
        <w:tc>
          <w:tcPr>
            <w:tcW w:w="906" w:type="pct"/>
            <w:shd w:val="clear" w:color="auto" w:fill="auto"/>
            <w:vAlign w:val="center"/>
          </w:tcPr>
          <w:p w14:paraId="58CD07F3">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4</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4</w:t>
            </w:r>
          </w:p>
        </w:tc>
        <w:tc>
          <w:tcPr>
            <w:tcW w:w="822" w:type="pct"/>
            <w:vMerge w:val="continue"/>
            <w:shd w:val="clear" w:color="auto" w:fill="auto"/>
            <w:vAlign w:val="center"/>
          </w:tcPr>
          <w:p w14:paraId="1F6B9AD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3B92A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0F21275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2143" w:type="pct"/>
            <w:gridSpan w:val="2"/>
            <w:shd w:val="clear" w:color="auto" w:fill="auto"/>
            <w:vAlign w:val="center"/>
          </w:tcPr>
          <w:p w14:paraId="56006B8B">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对角线差</w:t>
            </w:r>
          </w:p>
        </w:tc>
        <w:tc>
          <w:tcPr>
            <w:tcW w:w="906" w:type="pct"/>
            <w:shd w:val="clear" w:color="auto" w:fill="auto"/>
            <w:vAlign w:val="center"/>
          </w:tcPr>
          <w:p w14:paraId="1A942777">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4</w:t>
            </w:r>
          </w:p>
        </w:tc>
        <w:tc>
          <w:tcPr>
            <w:tcW w:w="822" w:type="pct"/>
            <w:shd w:val="clear" w:color="auto" w:fill="auto"/>
            <w:vAlign w:val="center"/>
          </w:tcPr>
          <w:p w14:paraId="231831E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07F3D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restart"/>
            <w:vAlign w:val="center"/>
          </w:tcPr>
          <w:p w14:paraId="3CFB0C1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预埋件</w:t>
            </w:r>
          </w:p>
        </w:tc>
        <w:tc>
          <w:tcPr>
            <w:tcW w:w="1237" w:type="pct"/>
            <w:vMerge w:val="restart"/>
            <w:shd w:val="clear" w:color="auto" w:fill="auto"/>
            <w:vAlign w:val="center"/>
          </w:tcPr>
          <w:p w14:paraId="0B0B4A1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预埋</w:t>
            </w:r>
            <w:r>
              <w:rPr>
                <w:rFonts w:hint="eastAsia" w:ascii="宋体" w:hAnsi="宋体"/>
                <w:color w:val="auto"/>
                <w:sz w:val="18"/>
                <w:szCs w:val="18"/>
                <w:highlight w:val="none"/>
                <w:lang w:val="en-US" w:eastAsia="zh-CN" w:bidi="en-US"/>
              </w:rPr>
              <w:t>钢板、木砖</w:t>
            </w:r>
          </w:p>
        </w:tc>
        <w:tc>
          <w:tcPr>
            <w:tcW w:w="906" w:type="pct"/>
            <w:shd w:val="clear" w:color="auto" w:fill="auto"/>
            <w:vAlign w:val="center"/>
          </w:tcPr>
          <w:p w14:paraId="1C58513F">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中心线位置</w:t>
            </w:r>
          </w:p>
        </w:tc>
        <w:tc>
          <w:tcPr>
            <w:tcW w:w="906" w:type="pct"/>
            <w:shd w:val="clear" w:color="auto" w:fill="auto"/>
            <w:vAlign w:val="center"/>
          </w:tcPr>
          <w:p w14:paraId="323D9496">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≤5</w:t>
            </w:r>
          </w:p>
        </w:tc>
        <w:tc>
          <w:tcPr>
            <w:tcW w:w="822" w:type="pct"/>
            <w:vMerge w:val="restart"/>
            <w:shd w:val="clear" w:color="auto" w:fill="auto"/>
            <w:vAlign w:val="center"/>
          </w:tcPr>
          <w:p w14:paraId="246C669F">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3801B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4E0A562C">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continue"/>
            <w:shd w:val="clear" w:color="auto" w:fill="auto"/>
            <w:vAlign w:val="center"/>
          </w:tcPr>
          <w:p w14:paraId="0642EF16">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906" w:type="pct"/>
            <w:shd w:val="clear" w:color="auto" w:fill="auto"/>
            <w:vAlign w:val="center"/>
          </w:tcPr>
          <w:p w14:paraId="3777FC71">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与混凝土面高差</w:t>
            </w:r>
          </w:p>
        </w:tc>
        <w:tc>
          <w:tcPr>
            <w:tcW w:w="906" w:type="pct"/>
            <w:shd w:val="clear" w:color="auto" w:fill="auto"/>
            <w:vAlign w:val="center"/>
          </w:tcPr>
          <w:p w14:paraId="184D8AE6">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0</w:t>
            </w:r>
          </w:p>
        </w:tc>
        <w:tc>
          <w:tcPr>
            <w:tcW w:w="822" w:type="pct"/>
            <w:vMerge w:val="continue"/>
            <w:shd w:val="clear" w:color="auto" w:fill="auto"/>
            <w:vAlign w:val="center"/>
          </w:tcPr>
          <w:p w14:paraId="2A6D3381">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05877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3E017649">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restart"/>
            <w:shd w:val="clear" w:color="auto" w:fill="auto"/>
            <w:vAlign w:val="center"/>
          </w:tcPr>
          <w:p w14:paraId="74252FC7">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预埋套筒、螺母</w:t>
            </w:r>
          </w:p>
        </w:tc>
        <w:tc>
          <w:tcPr>
            <w:tcW w:w="906" w:type="pct"/>
            <w:shd w:val="clear" w:color="auto" w:fill="auto"/>
            <w:vAlign w:val="center"/>
          </w:tcPr>
          <w:p w14:paraId="2DE13540">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中心线位置</w:t>
            </w:r>
          </w:p>
        </w:tc>
        <w:tc>
          <w:tcPr>
            <w:tcW w:w="906" w:type="pct"/>
            <w:shd w:val="clear" w:color="auto" w:fill="auto"/>
            <w:vAlign w:val="center"/>
          </w:tcPr>
          <w:p w14:paraId="2912D8C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≤2</w:t>
            </w:r>
          </w:p>
        </w:tc>
        <w:tc>
          <w:tcPr>
            <w:tcW w:w="822" w:type="pct"/>
            <w:vMerge w:val="continue"/>
            <w:shd w:val="clear" w:color="auto" w:fill="auto"/>
            <w:vAlign w:val="center"/>
          </w:tcPr>
          <w:p w14:paraId="2769DCD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7E9AF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1B04AF3B">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continue"/>
            <w:shd w:val="clear" w:color="auto" w:fill="auto"/>
            <w:vAlign w:val="center"/>
          </w:tcPr>
          <w:p w14:paraId="303230E9">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906" w:type="pct"/>
            <w:shd w:val="clear" w:color="auto" w:fill="auto"/>
            <w:vAlign w:val="center"/>
          </w:tcPr>
          <w:p w14:paraId="58E6BAB7">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平面高差</w:t>
            </w:r>
          </w:p>
        </w:tc>
        <w:tc>
          <w:tcPr>
            <w:tcW w:w="906" w:type="pct"/>
            <w:shd w:val="clear" w:color="auto" w:fill="auto"/>
            <w:vAlign w:val="center"/>
          </w:tcPr>
          <w:p w14:paraId="33C2DEC5">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≥-5，且≤</w:t>
            </w:r>
            <w:r>
              <w:rPr>
                <w:rFonts w:hint="eastAsia" w:ascii="宋体" w:hAnsi="宋体"/>
                <w:color w:val="auto"/>
                <w:sz w:val="18"/>
                <w:szCs w:val="18"/>
                <w:highlight w:val="none"/>
                <w:lang w:eastAsia="zh-CN" w:bidi="en-US"/>
              </w:rPr>
              <w:t>0</w:t>
            </w:r>
          </w:p>
        </w:tc>
        <w:tc>
          <w:tcPr>
            <w:tcW w:w="822" w:type="pct"/>
            <w:vMerge w:val="continue"/>
            <w:shd w:val="clear" w:color="auto" w:fill="auto"/>
            <w:vAlign w:val="center"/>
          </w:tcPr>
          <w:p w14:paraId="65AFD7E2">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179E7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5F7E8BD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restart"/>
            <w:shd w:val="clear" w:color="auto" w:fill="auto"/>
            <w:vAlign w:val="center"/>
          </w:tcPr>
          <w:p w14:paraId="025E4F5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val="en-US" w:eastAsia="zh-CN" w:bidi="en-US"/>
              </w:rPr>
              <w:t>预埋</w:t>
            </w:r>
            <w:r>
              <w:rPr>
                <w:rFonts w:hint="eastAsia" w:ascii="宋体" w:hAnsi="宋体"/>
                <w:color w:val="auto"/>
                <w:sz w:val="18"/>
                <w:szCs w:val="18"/>
                <w:highlight w:val="none"/>
                <w:lang w:bidi="en-US"/>
              </w:rPr>
              <w:t>电盒、木砖、吊环</w:t>
            </w:r>
          </w:p>
        </w:tc>
        <w:tc>
          <w:tcPr>
            <w:tcW w:w="906" w:type="pct"/>
            <w:shd w:val="clear" w:color="auto" w:fill="auto"/>
            <w:vAlign w:val="center"/>
          </w:tcPr>
          <w:p w14:paraId="396C5676">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val="en-US" w:eastAsia="zh-CN" w:bidi="en-US"/>
              </w:rPr>
              <w:t>中心线位置</w:t>
            </w:r>
          </w:p>
        </w:tc>
        <w:tc>
          <w:tcPr>
            <w:tcW w:w="906" w:type="pct"/>
            <w:shd w:val="clear" w:color="auto" w:fill="auto"/>
            <w:vAlign w:val="center"/>
          </w:tcPr>
          <w:p w14:paraId="5FD6B256">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1</w:t>
            </w:r>
            <w:r>
              <w:rPr>
                <w:rFonts w:ascii="宋体" w:hAnsi="宋体"/>
                <w:color w:val="auto"/>
                <w:sz w:val="18"/>
                <w:szCs w:val="18"/>
                <w:highlight w:val="none"/>
                <w:lang w:bidi="en-US"/>
              </w:rPr>
              <w:t>0</w:t>
            </w:r>
          </w:p>
        </w:tc>
        <w:tc>
          <w:tcPr>
            <w:tcW w:w="822" w:type="pct"/>
            <w:vMerge w:val="continue"/>
            <w:shd w:val="clear" w:color="auto" w:fill="auto"/>
            <w:vAlign w:val="center"/>
          </w:tcPr>
          <w:p w14:paraId="6F3F9B56">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642ED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23AE2E55">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continue"/>
            <w:shd w:val="clear" w:color="auto" w:fill="auto"/>
            <w:vAlign w:val="center"/>
          </w:tcPr>
          <w:p w14:paraId="1129C17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906" w:type="pct"/>
            <w:shd w:val="clear" w:color="auto" w:fill="auto"/>
            <w:vAlign w:val="center"/>
          </w:tcPr>
          <w:p w14:paraId="42920FEE">
            <w:pPr>
              <w:wordWrap/>
              <w:overflowPunct/>
              <w:topLinePunct w:val="0"/>
              <w:bidi w:val="0"/>
              <w:snapToGrid w:val="0"/>
              <w:spacing w:line="300" w:lineRule="auto"/>
              <w:ind w:left="0" w:leftChars="0" w:firstLine="0" w:firstLineChars="0"/>
              <w:jc w:val="center"/>
              <w:rPr>
                <w:rFonts w:hint="eastAsia" w:ascii="宋体" w:hAnsi="宋体"/>
                <w:color w:val="auto"/>
                <w:sz w:val="18"/>
                <w:szCs w:val="18"/>
                <w:highlight w:val="none"/>
                <w:lang w:bidi="en-US"/>
              </w:rPr>
            </w:pPr>
            <w:r>
              <w:rPr>
                <w:rFonts w:hint="eastAsia" w:ascii="宋体" w:hAnsi="宋体"/>
                <w:color w:val="auto"/>
                <w:sz w:val="18"/>
                <w:szCs w:val="18"/>
                <w:highlight w:val="none"/>
                <w:lang w:bidi="en-US"/>
              </w:rPr>
              <w:t>平面高差</w:t>
            </w:r>
          </w:p>
        </w:tc>
        <w:tc>
          <w:tcPr>
            <w:tcW w:w="906" w:type="pct"/>
            <w:shd w:val="clear" w:color="auto" w:fill="auto"/>
            <w:vAlign w:val="center"/>
          </w:tcPr>
          <w:p w14:paraId="33796F6C">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eastAsia="zh-CN" w:bidi="en-US"/>
              </w:rPr>
            </w:pPr>
            <w:r>
              <w:rPr>
                <w:rFonts w:hint="eastAsia" w:ascii="宋体" w:hAnsi="宋体"/>
                <w:color w:val="auto"/>
                <w:sz w:val="18"/>
                <w:szCs w:val="18"/>
                <w:highlight w:val="none"/>
                <w:lang w:bidi="en-US"/>
              </w:rPr>
              <w:t xml:space="preserve">≥-5，且≤0 </w:t>
            </w:r>
          </w:p>
        </w:tc>
        <w:tc>
          <w:tcPr>
            <w:tcW w:w="822" w:type="pct"/>
            <w:vMerge w:val="continue"/>
            <w:shd w:val="clear" w:color="auto" w:fill="auto"/>
            <w:vAlign w:val="center"/>
          </w:tcPr>
          <w:p w14:paraId="48347298">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48D6E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restart"/>
            <w:vAlign w:val="center"/>
          </w:tcPr>
          <w:p w14:paraId="5A0655C4">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val="en-US" w:eastAsia="zh-CN" w:bidi="en-US"/>
              </w:rPr>
              <w:t>预埋螺栓及钢连接件</w:t>
            </w:r>
          </w:p>
        </w:tc>
        <w:tc>
          <w:tcPr>
            <w:tcW w:w="1237" w:type="pct"/>
            <w:shd w:val="clear" w:color="auto" w:fill="auto"/>
            <w:vAlign w:val="center"/>
          </w:tcPr>
          <w:p w14:paraId="3376C957">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钢连接件</w:t>
            </w:r>
          </w:p>
        </w:tc>
        <w:tc>
          <w:tcPr>
            <w:tcW w:w="906" w:type="pct"/>
            <w:shd w:val="clear" w:color="auto" w:fill="auto"/>
            <w:vAlign w:val="center"/>
          </w:tcPr>
          <w:p w14:paraId="6CE3F0D1">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中心线位置</w:t>
            </w:r>
          </w:p>
        </w:tc>
        <w:tc>
          <w:tcPr>
            <w:tcW w:w="906" w:type="pct"/>
            <w:shd w:val="clear" w:color="auto" w:fill="auto"/>
            <w:vAlign w:val="center"/>
          </w:tcPr>
          <w:p w14:paraId="361F51F2">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2</w:t>
            </w:r>
          </w:p>
        </w:tc>
        <w:tc>
          <w:tcPr>
            <w:tcW w:w="822" w:type="pct"/>
            <w:vMerge w:val="restart"/>
            <w:shd w:val="clear" w:color="auto" w:fill="auto"/>
            <w:vAlign w:val="center"/>
          </w:tcPr>
          <w:p w14:paraId="12BBEADD">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尺量检查</w:t>
            </w:r>
          </w:p>
        </w:tc>
      </w:tr>
      <w:tr w14:paraId="2337E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0B04344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restart"/>
            <w:shd w:val="clear" w:color="auto" w:fill="auto"/>
            <w:vAlign w:val="center"/>
          </w:tcPr>
          <w:p w14:paraId="5F9BE6E1">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预埋螺栓</w:t>
            </w:r>
          </w:p>
        </w:tc>
        <w:tc>
          <w:tcPr>
            <w:tcW w:w="906" w:type="pct"/>
            <w:shd w:val="clear" w:color="auto" w:fill="auto"/>
            <w:vAlign w:val="center"/>
          </w:tcPr>
          <w:p w14:paraId="7F19EF23">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中心线位置</w:t>
            </w:r>
          </w:p>
        </w:tc>
        <w:tc>
          <w:tcPr>
            <w:tcW w:w="906" w:type="pct"/>
            <w:shd w:val="clear" w:color="auto" w:fill="auto"/>
            <w:vAlign w:val="center"/>
          </w:tcPr>
          <w:p w14:paraId="26864074">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2</w:t>
            </w:r>
          </w:p>
        </w:tc>
        <w:tc>
          <w:tcPr>
            <w:tcW w:w="822" w:type="pct"/>
            <w:vMerge w:val="continue"/>
            <w:shd w:val="clear" w:color="auto" w:fill="auto"/>
            <w:vAlign w:val="center"/>
          </w:tcPr>
          <w:p w14:paraId="62CB782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0EBCB2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5288C202">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continue"/>
            <w:shd w:val="clear" w:color="auto" w:fill="auto"/>
            <w:vAlign w:val="center"/>
          </w:tcPr>
          <w:p w14:paraId="2508107A">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906" w:type="pct"/>
            <w:shd w:val="clear" w:color="auto" w:fill="auto"/>
            <w:vAlign w:val="center"/>
          </w:tcPr>
          <w:p w14:paraId="744ADC58">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外露长度</w:t>
            </w:r>
          </w:p>
        </w:tc>
        <w:tc>
          <w:tcPr>
            <w:tcW w:w="906" w:type="pct"/>
            <w:shd w:val="clear" w:color="auto" w:fill="auto"/>
            <w:vAlign w:val="center"/>
          </w:tcPr>
          <w:p w14:paraId="50412FCF">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eastAsia="zh-CN"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10</w:t>
            </w:r>
          </w:p>
        </w:tc>
        <w:tc>
          <w:tcPr>
            <w:tcW w:w="822" w:type="pct"/>
            <w:vMerge w:val="continue"/>
            <w:shd w:val="clear" w:color="auto" w:fill="auto"/>
            <w:vAlign w:val="center"/>
          </w:tcPr>
          <w:p w14:paraId="46D41A57">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1DF2D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restart"/>
            <w:vAlign w:val="center"/>
          </w:tcPr>
          <w:p w14:paraId="11A66925">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灌浆套筒及其插筋</w:t>
            </w:r>
          </w:p>
        </w:tc>
        <w:tc>
          <w:tcPr>
            <w:tcW w:w="1237" w:type="pct"/>
            <w:shd w:val="clear" w:color="auto" w:fill="auto"/>
            <w:vAlign w:val="center"/>
          </w:tcPr>
          <w:p w14:paraId="47F50603">
            <w:pPr>
              <w:wordWrap/>
              <w:overflowPunct/>
              <w:topLinePunct w:val="0"/>
              <w:bidi w:val="0"/>
              <w:snapToGrid w:val="0"/>
              <w:spacing w:line="300" w:lineRule="auto"/>
              <w:ind w:left="0" w:leftChars="0" w:firstLine="0" w:firstLineChars="0"/>
              <w:jc w:val="center"/>
              <w:rPr>
                <w:rFonts w:hint="default" w:ascii="宋体" w:hAnsi="宋体" w:eastAsia="宋体" w:cstheme="minorBidi"/>
                <w:color w:val="auto"/>
                <w:kern w:val="2"/>
                <w:sz w:val="18"/>
                <w:szCs w:val="18"/>
                <w:highlight w:val="none"/>
                <w:lang w:val="en-US" w:eastAsia="zh-CN" w:bidi="en-US"/>
              </w:rPr>
            </w:pPr>
            <w:r>
              <w:rPr>
                <w:rFonts w:hint="eastAsia" w:ascii="宋体" w:hAnsi="宋体" w:cstheme="minorBidi"/>
                <w:color w:val="auto"/>
                <w:kern w:val="2"/>
                <w:sz w:val="18"/>
                <w:szCs w:val="18"/>
                <w:highlight w:val="none"/>
                <w:lang w:val="en-US" w:eastAsia="zh-CN" w:bidi="en-US"/>
              </w:rPr>
              <w:t>灌浆套筒</w:t>
            </w:r>
          </w:p>
        </w:tc>
        <w:tc>
          <w:tcPr>
            <w:tcW w:w="906" w:type="pct"/>
            <w:shd w:val="clear" w:color="auto" w:fill="auto"/>
            <w:vAlign w:val="center"/>
          </w:tcPr>
          <w:p w14:paraId="74E05071">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stheme="minorBidi"/>
                <w:color w:val="auto"/>
                <w:kern w:val="2"/>
                <w:sz w:val="18"/>
                <w:szCs w:val="18"/>
                <w:highlight w:val="none"/>
                <w:lang w:val="en-US" w:eastAsia="zh-CN" w:bidi="en-US"/>
              </w:rPr>
              <w:t>中心线位置</w:t>
            </w:r>
          </w:p>
        </w:tc>
        <w:tc>
          <w:tcPr>
            <w:tcW w:w="906" w:type="pct"/>
            <w:shd w:val="clear" w:color="auto" w:fill="auto"/>
            <w:vAlign w:val="center"/>
          </w:tcPr>
          <w:p w14:paraId="76498D1C">
            <w:pPr>
              <w:wordWrap/>
              <w:overflowPunct/>
              <w:topLinePunct w:val="0"/>
              <w:bidi w:val="0"/>
              <w:snapToGrid w:val="0"/>
              <w:spacing w:line="300" w:lineRule="auto"/>
              <w:ind w:left="0" w:leftChars="0" w:firstLine="0" w:firstLineChars="0"/>
              <w:jc w:val="center"/>
              <w:rPr>
                <w:rFonts w:hint="default" w:ascii="宋体" w:hAnsi="宋体"/>
                <w:color w:val="auto"/>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2</w:t>
            </w:r>
          </w:p>
        </w:tc>
        <w:tc>
          <w:tcPr>
            <w:tcW w:w="822" w:type="pct"/>
            <w:vMerge w:val="restart"/>
            <w:shd w:val="clear" w:color="auto" w:fill="auto"/>
            <w:vAlign w:val="center"/>
          </w:tcPr>
          <w:p w14:paraId="6C80A000">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尺量检查</w:t>
            </w:r>
          </w:p>
        </w:tc>
      </w:tr>
      <w:tr w14:paraId="60F28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4BB7558F">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restart"/>
            <w:shd w:val="clear" w:color="auto" w:fill="auto"/>
            <w:vAlign w:val="center"/>
          </w:tcPr>
          <w:p w14:paraId="30FFD397">
            <w:pPr>
              <w:wordWrap/>
              <w:overflowPunct/>
              <w:topLinePunct w:val="0"/>
              <w:bidi w:val="0"/>
              <w:snapToGrid w:val="0"/>
              <w:spacing w:line="300" w:lineRule="auto"/>
              <w:ind w:left="0" w:leftChars="0" w:firstLine="0" w:firstLineChars="0"/>
              <w:jc w:val="center"/>
              <w:rPr>
                <w:rFonts w:hint="default"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灌浆套筒插筋</w:t>
            </w:r>
          </w:p>
        </w:tc>
        <w:tc>
          <w:tcPr>
            <w:tcW w:w="906" w:type="pct"/>
            <w:shd w:val="clear" w:color="auto" w:fill="auto"/>
            <w:vAlign w:val="center"/>
          </w:tcPr>
          <w:p w14:paraId="095F7F28">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中心线位置</w:t>
            </w:r>
          </w:p>
        </w:tc>
        <w:tc>
          <w:tcPr>
            <w:tcW w:w="906" w:type="pct"/>
            <w:shd w:val="clear" w:color="auto" w:fill="auto"/>
            <w:vAlign w:val="center"/>
          </w:tcPr>
          <w:p w14:paraId="1ED9C9A1">
            <w:pPr>
              <w:wordWrap/>
              <w:overflowPunct/>
              <w:topLinePunct w:val="0"/>
              <w:bidi w:val="0"/>
              <w:snapToGrid w:val="0"/>
              <w:spacing w:line="300" w:lineRule="auto"/>
              <w:ind w:left="0" w:leftChars="0" w:firstLine="0" w:firstLineChars="0"/>
              <w:jc w:val="center"/>
              <w:rPr>
                <w:rFonts w:hint="eastAsia" w:ascii="宋体" w:hAnsi="宋体" w:eastAsia="宋体"/>
                <w:color w:val="auto"/>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2</w:t>
            </w:r>
          </w:p>
        </w:tc>
        <w:tc>
          <w:tcPr>
            <w:tcW w:w="822" w:type="pct"/>
            <w:vMerge w:val="continue"/>
            <w:shd w:val="clear" w:color="auto" w:fill="auto"/>
            <w:vAlign w:val="center"/>
          </w:tcPr>
          <w:p w14:paraId="35966BB7">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19F45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05F536E6">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continue"/>
            <w:shd w:val="clear" w:color="auto" w:fill="auto"/>
            <w:vAlign w:val="center"/>
          </w:tcPr>
          <w:p w14:paraId="771FF6AC">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906" w:type="pct"/>
            <w:shd w:val="clear" w:color="auto" w:fill="auto"/>
            <w:vAlign w:val="center"/>
          </w:tcPr>
          <w:p w14:paraId="367F4AAD">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外露长度</w:t>
            </w:r>
          </w:p>
        </w:tc>
        <w:tc>
          <w:tcPr>
            <w:tcW w:w="906" w:type="pct"/>
            <w:shd w:val="clear" w:color="auto" w:fill="auto"/>
            <w:vAlign w:val="center"/>
          </w:tcPr>
          <w:p w14:paraId="447DA273">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0</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10</w:t>
            </w:r>
          </w:p>
        </w:tc>
        <w:tc>
          <w:tcPr>
            <w:tcW w:w="822" w:type="pct"/>
            <w:vMerge w:val="continue"/>
            <w:shd w:val="clear" w:color="auto" w:fill="auto"/>
            <w:vAlign w:val="center"/>
          </w:tcPr>
          <w:p w14:paraId="6B64FBA5">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59907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restart"/>
            <w:vAlign w:val="center"/>
          </w:tcPr>
          <w:p w14:paraId="0A671A22">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浆锚波纹管及其插筋</w:t>
            </w:r>
          </w:p>
        </w:tc>
        <w:tc>
          <w:tcPr>
            <w:tcW w:w="1237" w:type="pct"/>
            <w:shd w:val="clear" w:color="auto" w:fill="auto"/>
            <w:vAlign w:val="center"/>
          </w:tcPr>
          <w:p w14:paraId="58335E6F">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波纹管</w:t>
            </w:r>
          </w:p>
        </w:tc>
        <w:tc>
          <w:tcPr>
            <w:tcW w:w="906" w:type="pct"/>
            <w:shd w:val="clear" w:color="auto" w:fill="auto"/>
            <w:vAlign w:val="center"/>
          </w:tcPr>
          <w:p w14:paraId="2697CAE5">
            <w:pPr>
              <w:wordWrap/>
              <w:overflowPunct/>
              <w:topLinePunct w:val="0"/>
              <w:bidi w:val="0"/>
              <w:snapToGrid w:val="0"/>
              <w:spacing w:line="300" w:lineRule="auto"/>
              <w:ind w:left="0" w:leftChars="0" w:firstLine="0" w:firstLineChars="0"/>
              <w:jc w:val="center"/>
              <w:rPr>
                <w:rFonts w:hint="default" w:ascii="宋体" w:hAnsi="宋体" w:eastAsia="宋体" w:cstheme="minorBidi"/>
                <w:color w:val="auto"/>
                <w:kern w:val="2"/>
                <w:sz w:val="18"/>
                <w:szCs w:val="18"/>
                <w:highlight w:val="none"/>
                <w:lang w:val="en-US" w:eastAsia="zh-CN" w:bidi="en-US"/>
              </w:rPr>
            </w:pPr>
            <w:r>
              <w:rPr>
                <w:rFonts w:hint="eastAsia" w:ascii="宋体" w:hAnsi="宋体" w:cstheme="minorBidi"/>
                <w:color w:val="auto"/>
                <w:kern w:val="2"/>
                <w:sz w:val="18"/>
                <w:szCs w:val="18"/>
                <w:highlight w:val="none"/>
                <w:lang w:val="en-US" w:eastAsia="zh-CN" w:bidi="en-US"/>
              </w:rPr>
              <w:t>中心线位置</w:t>
            </w:r>
          </w:p>
        </w:tc>
        <w:tc>
          <w:tcPr>
            <w:tcW w:w="906" w:type="pct"/>
            <w:shd w:val="clear" w:color="auto" w:fill="auto"/>
            <w:vAlign w:val="center"/>
          </w:tcPr>
          <w:p w14:paraId="50C2143B">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3</w:t>
            </w:r>
          </w:p>
        </w:tc>
        <w:tc>
          <w:tcPr>
            <w:tcW w:w="822" w:type="pct"/>
            <w:vMerge w:val="restart"/>
            <w:shd w:val="clear" w:color="auto" w:fill="auto"/>
            <w:vAlign w:val="center"/>
          </w:tcPr>
          <w:p w14:paraId="7D565B87">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尺量检查</w:t>
            </w:r>
          </w:p>
        </w:tc>
      </w:tr>
      <w:tr w14:paraId="53269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68AE1C82">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restart"/>
            <w:shd w:val="clear" w:color="auto" w:fill="auto"/>
            <w:vAlign w:val="center"/>
          </w:tcPr>
          <w:p w14:paraId="15312C65">
            <w:pPr>
              <w:wordWrap/>
              <w:overflowPunct/>
              <w:topLinePunct w:val="0"/>
              <w:bidi w:val="0"/>
              <w:snapToGrid w:val="0"/>
              <w:spacing w:line="300" w:lineRule="auto"/>
              <w:ind w:left="0" w:leftChars="0" w:firstLine="0" w:firstLineChars="0"/>
              <w:jc w:val="center"/>
              <w:rPr>
                <w:rFonts w:hint="default"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浆锚插筋</w:t>
            </w:r>
          </w:p>
        </w:tc>
        <w:tc>
          <w:tcPr>
            <w:tcW w:w="906" w:type="pct"/>
            <w:shd w:val="clear" w:color="auto" w:fill="auto"/>
            <w:vAlign w:val="center"/>
          </w:tcPr>
          <w:p w14:paraId="6BF18F3F">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中心线位置</w:t>
            </w:r>
          </w:p>
        </w:tc>
        <w:tc>
          <w:tcPr>
            <w:tcW w:w="906" w:type="pct"/>
            <w:shd w:val="clear" w:color="auto" w:fill="auto"/>
            <w:vAlign w:val="center"/>
          </w:tcPr>
          <w:p w14:paraId="6E36CF9A">
            <w:pPr>
              <w:wordWrap/>
              <w:overflowPunct/>
              <w:topLinePunct w:val="0"/>
              <w:bidi w:val="0"/>
              <w:snapToGrid w:val="0"/>
              <w:spacing w:line="300" w:lineRule="auto"/>
              <w:ind w:left="0" w:leftChars="0" w:firstLine="0" w:firstLineChars="0"/>
              <w:jc w:val="center"/>
              <w:rPr>
                <w:rFonts w:hint="default"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5</w:t>
            </w:r>
          </w:p>
        </w:tc>
        <w:tc>
          <w:tcPr>
            <w:tcW w:w="822" w:type="pct"/>
            <w:vMerge w:val="continue"/>
            <w:shd w:val="clear" w:color="auto" w:fill="auto"/>
            <w:vAlign w:val="center"/>
          </w:tcPr>
          <w:p w14:paraId="58E79437">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0B487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68346F45">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237" w:type="pct"/>
            <w:vMerge w:val="continue"/>
            <w:shd w:val="clear" w:color="auto" w:fill="auto"/>
            <w:vAlign w:val="center"/>
          </w:tcPr>
          <w:p w14:paraId="59705298">
            <w:pPr>
              <w:wordWrap/>
              <w:overflowPunct/>
              <w:topLinePunct w:val="0"/>
              <w:bidi w:val="0"/>
              <w:snapToGrid w:val="0"/>
              <w:spacing w:line="300" w:lineRule="auto"/>
              <w:ind w:left="0" w:leftChars="0" w:firstLine="0" w:firstLineChars="0"/>
              <w:jc w:val="center"/>
              <w:rPr>
                <w:rFonts w:hint="default" w:ascii="宋体" w:hAnsi="宋体" w:eastAsia="宋体" w:cstheme="minorBidi"/>
                <w:color w:val="auto"/>
                <w:kern w:val="2"/>
                <w:sz w:val="18"/>
                <w:szCs w:val="18"/>
                <w:highlight w:val="none"/>
                <w:lang w:val="en-US" w:eastAsia="zh-CN" w:bidi="en-US"/>
              </w:rPr>
            </w:pPr>
          </w:p>
        </w:tc>
        <w:tc>
          <w:tcPr>
            <w:tcW w:w="906" w:type="pct"/>
            <w:shd w:val="clear" w:color="auto" w:fill="auto"/>
            <w:vAlign w:val="center"/>
          </w:tcPr>
          <w:p w14:paraId="60B32C5B">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val="en-US" w:eastAsia="zh-CN" w:bidi="en-US"/>
              </w:rPr>
              <w:t>外露长度</w:t>
            </w:r>
          </w:p>
        </w:tc>
        <w:tc>
          <w:tcPr>
            <w:tcW w:w="906" w:type="pct"/>
            <w:shd w:val="clear" w:color="auto" w:fill="auto"/>
            <w:vAlign w:val="center"/>
          </w:tcPr>
          <w:p w14:paraId="468812DF">
            <w:pPr>
              <w:wordWrap/>
              <w:overflowPunct/>
              <w:topLinePunct w:val="0"/>
              <w:bidi w:val="0"/>
              <w:snapToGrid w:val="0"/>
              <w:spacing w:line="300" w:lineRule="auto"/>
              <w:ind w:left="0" w:leftChars="0" w:firstLine="0" w:firstLineChars="0"/>
              <w:jc w:val="center"/>
              <w:rPr>
                <w:rFonts w:hint="eastAsia" w:ascii="宋体" w:hAnsi="宋体" w:eastAsia="宋体" w:cstheme="minorBidi"/>
                <w:color w:val="auto"/>
                <w:kern w:val="2"/>
                <w:sz w:val="18"/>
                <w:szCs w:val="18"/>
                <w:highlight w:val="none"/>
                <w:lang w:val="en-US" w:eastAsia="zh-CN"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0</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20</w:t>
            </w:r>
          </w:p>
        </w:tc>
        <w:tc>
          <w:tcPr>
            <w:tcW w:w="822" w:type="pct"/>
            <w:vMerge w:val="continue"/>
            <w:shd w:val="clear" w:color="auto" w:fill="auto"/>
            <w:vAlign w:val="center"/>
          </w:tcPr>
          <w:p w14:paraId="6B881F5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r>
      <w:tr w14:paraId="1AE16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restart"/>
            <w:vAlign w:val="center"/>
          </w:tcPr>
          <w:p w14:paraId="3E001075">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键槽</w:t>
            </w:r>
          </w:p>
        </w:tc>
        <w:tc>
          <w:tcPr>
            <w:tcW w:w="2143" w:type="pct"/>
            <w:gridSpan w:val="2"/>
            <w:shd w:val="clear" w:color="auto" w:fill="auto"/>
            <w:vAlign w:val="center"/>
          </w:tcPr>
          <w:p w14:paraId="5AA039AC">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中心线位置</w:t>
            </w:r>
          </w:p>
        </w:tc>
        <w:tc>
          <w:tcPr>
            <w:tcW w:w="906" w:type="pct"/>
            <w:shd w:val="clear" w:color="auto" w:fill="auto"/>
            <w:vAlign w:val="center"/>
          </w:tcPr>
          <w:p w14:paraId="2598AFDD">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≤5</w:t>
            </w:r>
          </w:p>
        </w:tc>
        <w:tc>
          <w:tcPr>
            <w:tcW w:w="822" w:type="pct"/>
            <w:vMerge w:val="restart"/>
            <w:shd w:val="clear" w:color="auto" w:fill="auto"/>
            <w:vAlign w:val="center"/>
          </w:tcPr>
          <w:p w14:paraId="12DEA110">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尺量检查</w:t>
            </w:r>
          </w:p>
        </w:tc>
      </w:tr>
      <w:tr w14:paraId="32525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pct"/>
            <w:vMerge w:val="continue"/>
            <w:vAlign w:val="center"/>
          </w:tcPr>
          <w:p w14:paraId="16DA28F8">
            <w:pPr>
              <w:wordWrap/>
              <w:overflowPunct/>
              <w:topLinePunct w:val="0"/>
              <w:bidi w:val="0"/>
              <w:snapToGrid w:val="0"/>
              <w:spacing w:line="300" w:lineRule="auto"/>
              <w:ind w:firstLine="360" w:firstLineChars="200"/>
              <w:jc w:val="center"/>
              <w:rPr>
                <w:rFonts w:ascii="宋体" w:hAnsi="宋体"/>
                <w:color w:val="auto"/>
                <w:sz w:val="18"/>
                <w:szCs w:val="18"/>
                <w:highlight w:val="none"/>
                <w:lang w:bidi="en-US"/>
              </w:rPr>
            </w:pPr>
          </w:p>
        </w:tc>
        <w:tc>
          <w:tcPr>
            <w:tcW w:w="2143" w:type="pct"/>
            <w:gridSpan w:val="2"/>
            <w:shd w:val="clear" w:color="auto" w:fill="auto"/>
            <w:vAlign w:val="center"/>
          </w:tcPr>
          <w:p w14:paraId="7F0BC32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长度、宽度、深度</w:t>
            </w:r>
          </w:p>
        </w:tc>
        <w:tc>
          <w:tcPr>
            <w:tcW w:w="906" w:type="pct"/>
            <w:shd w:val="clear" w:color="auto" w:fill="auto"/>
            <w:vAlign w:val="center"/>
          </w:tcPr>
          <w:p w14:paraId="326DE893">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5</w:t>
            </w:r>
          </w:p>
        </w:tc>
        <w:tc>
          <w:tcPr>
            <w:tcW w:w="822" w:type="pct"/>
            <w:vMerge w:val="continue"/>
            <w:shd w:val="clear" w:color="auto" w:fill="auto"/>
            <w:vAlign w:val="center"/>
          </w:tcPr>
          <w:p w14:paraId="3FAE2DE9">
            <w:pPr>
              <w:wordWrap/>
              <w:overflowPunct/>
              <w:topLinePunct w:val="0"/>
              <w:bidi w:val="0"/>
              <w:snapToGrid w:val="0"/>
              <w:spacing w:line="300" w:lineRule="auto"/>
              <w:ind w:firstLine="360" w:firstLineChars="200"/>
              <w:jc w:val="center"/>
              <w:rPr>
                <w:rFonts w:ascii="宋体" w:hAnsi="宋体"/>
                <w:color w:val="auto"/>
                <w:sz w:val="18"/>
                <w:szCs w:val="18"/>
                <w:highlight w:val="none"/>
                <w:lang w:bidi="en-US"/>
              </w:rPr>
            </w:pPr>
          </w:p>
        </w:tc>
      </w:tr>
      <w:tr w14:paraId="46F7D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3F42E19C">
            <w:pPr>
              <w:wordWrap/>
              <w:overflowPunct/>
              <w:topLinePunct w:val="0"/>
              <w:bidi w:val="0"/>
              <w:snapToGrid w:val="0"/>
              <w:spacing w:line="300" w:lineRule="auto"/>
              <w:ind w:left="10" w:leftChars="0" w:hanging="10" w:hangingChars="6"/>
              <w:jc w:val="left"/>
              <w:rPr>
                <w:rFonts w:ascii="宋体" w:hAnsi="宋体"/>
                <w:color w:val="auto"/>
                <w:sz w:val="18"/>
                <w:szCs w:val="18"/>
                <w:highlight w:val="none"/>
                <w:lang w:bidi="en-US"/>
              </w:rPr>
            </w:pPr>
            <w:r>
              <w:rPr>
                <w:rFonts w:hint="eastAsia" w:ascii="宋体" w:hAnsi="宋体" w:cs="Times New Roman"/>
                <w:color w:val="auto"/>
                <w:sz w:val="18"/>
                <w:szCs w:val="18"/>
                <w:highlight w:val="none"/>
                <w:lang w:bidi="en-US"/>
              </w:rPr>
              <w:t>注：</w:t>
            </w:r>
            <w:r>
              <w:rPr>
                <w:rFonts w:ascii="宋体" w:hAnsi="宋体" w:cs="Times New Roman"/>
                <w:color w:val="auto"/>
                <w:sz w:val="18"/>
                <w:szCs w:val="18"/>
                <w:highlight w:val="none"/>
                <w:lang w:bidi="en-US"/>
              </w:rPr>
              <w:t>1</w:t>
            </w:r>
            <w:r>
              <w:rPr>
                <w:rFonts w:hint="eastAsia" w:ascii="宋体" w:hAnsi="宋体" w:cs="Times New Roman"/>
                <w:color w:val="auto"/>
                <w:sz w:val="18"/>
                <w:szCs w:val="18"/>
                <w:highlight w:val="none"/>
                <w:lang w:bidi="en-US"/>
              </w:rPr>
              <w:t>、检查中心线、螺栓和孔道位置偏差时，应沿纵横两个方向量测，并取其中偏差较大值。</w:t>
            </w:r>
          </w:p>
        </w:tc>
      </w:tr>
    </w:tbl>
    <w:p w14:paraId="238C035E">
      <w:pPr>
        <w:pStyle w:val="3"/>
        <w:bidi w:val="0"/>
        <w:rPr>
          <w:rFonts w:hint="eastAsia" w:ascii="黑体" w:hAnsi="黑体" w:eastAsia="黑体" w:cs="Times New Roman"/>
          <w:b w:val="0"/>
          <w:bCs w:val="0"/>
          <w:color w:val="auto"/>
          <w:kern w:val="44"/>
          <w:sz w:val="28"/>
          <w:szCs w:val="28"/>
          <w:highlight w:val="none"/>
          <w:lang w:val="en-US" w:eastAsia="zh-CN" w:bidi="ar-SA"/>
        </w:rPr>
      </w:pPr>
      <w:bookmarkStart w:id="419" w:name="_Toc10717"/>
      <w:bookmarkStart w:id="420" w:name="_Toc4225"/>
      <w:bookmarkStart w:id="421" w:name="_Toc16009"/>
      <w:r>
        <w:rPr>
          <w:rFonts w:hint="default" w:ascii="Times New Roman" w:hAnsi="Times New Roman" w:eastAsia="黑体" w:cs="Times New Roman"/>
          <w:b/>
          <w:bCs/>
          <w:color w:val="auto"/>
          <w:kern w:val="44"/>
          <w:sz w:val="28"/>
          <w:szCs w:val="28"/>
          <w:highlight w:val="none"/>
          <w:lang w:val="zh-CN" w:eastAsia="zh-CN" w:bidi="ar-SA"/>
        </w:rPr>
        <w:t>10.</w:t>
      </w:r>
      <w:r>
        <w:rPr>
          <w:rFonts w:hint="eastAsia" w:ascii="Times New Roman" w:hAnsi="Times New Roman" w:eastAsia="黑体" w:cs="Times New Roman"/>
          <w:b/>
          <w:bCs/>
          <w:color w:val="auto"/>
          <w:kern w:val="44"/>
          <w:sz w:val="28"/>
          <w:szCs w:val="28"/>
          <w:highlight w:val="none"/>
          <w:lang w:val="en-US" w:eastAsia="zh-CN" w:bidi="ar-SA"/>
        </w:rPr>
        <w:t>3</w:t>
      </w:r>
      <w:r>
        <w:rPr>
          <w:rFonts w:ascii="宋体" w:hAnsi="宋体" w:cs="Times New Roman"/>
          <w:color w:val="auto"/>
          <w:sz w:val="21"/>
          <w:szCs w:val="21"/>
          <w:highlight w:val="none"/>
        </w:rPr>
        <w:t xml:space="preserve">  </w:t>
      </w:r>
      <w:r>
        <w:rPr>
          <w:rFonts w:hint="eastAsia" w:ascii="黑体" w:hAnsi="黑体" w:cs="Times New Roman"/>
          <w:b w:val="0"/>
          <w:bCs w:val="0"/>
          <w:color w:val="auto"/>
          <w:kern w:val="44"/>
          <w:sz w:val="28"/>
          <w:szCs w:val="28"/>
          <w:highlight w:val="none"/>
          <w:lang w:val="en-US" w:eastAsia="zh-CN" w:bidi="ar-SA"/>
        </w:rPr>
        <w:t>施工</w:t>
      </w:r>
      <w:r>
        <w:rPr>
          <w:rFonts w:hint="eastAsia" w:ascii="黑体" w:hAnsi="黑体" w:eastAsia="黑体" w:cs="Times New Roman"/>
          <w:b w:val="0"/>
          <w:bCs w:val="0"/>
          <w:color w:val="auto"/>
          <w:kern w:val="44"/>
          <w:sz w:val="28"/>
          <w:szCs w:val="28"/>
          <w:highlight w:val="none"/>
          <w:lang w:val="en-US" w:eastAsia="zh-CN" w:bidi="ar-SA"/>
        </w:rPr>
        <w:t>验收</w:t>
      </w:r>
      <w:bookmarkEnd w:id="419"/>
      <w:bookmarkEnd w:id="420"/>
      <w:bookmarkEnd w:id="421"/>
    </w:p>
    <w:p w14:paraId="1DBFBE0B">
      <w:pPr>
        <w:pStyle w:val="4"/>
        <w:bidi w:val="0"/>
        <w:rPr>
          <w:rFonts w:hint="default"/>
          <w:color w:val="auto"/>
          <w:highlight w:val="none"/>
          <w:lang w:val="en-US" w:eastAsia="zh-CN"/>
        </w:rPr>
      </w:pPr>
      <w:bookmarkStart w:id="422" w:name="_Toc19355"/>
      <w:bookmarkStart w:id="423" w:name="_Toc9353"/>
      <w:bookmarkStart w:id="424" w:name="_Toc20476"/>
      <w:bookmarkStart w:id="425" w:name="_Toc19653"/>
      <w:bookmarkStart w:id="426" w:name="_Toc1264"/>
      <w:r>
        <w:rPr>
          <w:rFonts w:hint="default"/>
          <w:b w:val="0"/>
          <w:bCs/>
          <w:color w:val="auto"/>
          <w:highlight w:val="none"/>
          <w:lang w:val="en-US" w:eastAsia="zh-CN"/>
        </w:rPr>
        <w:t>主控项目</w:t>
      </w:r>
      <w:bookmarkEnd w:id="422"/>
      <w:bookmarkEnd w:id="423"/>
      <w:bookmarkEnd w:id="424"/>
      <w:bookmarkEnd w:id="425"/>
      <w:bookmarkEnd w:id="426"/>
    </w:p>
    <w:p w14:paraId="2B594AEE">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10.3.1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采用焊接连接时，钢材焊接的焊缝尺寸应满足设计要求，焊缝质量应符合现行国家标准《钢结构焊接规范》GB 50661和《钢结构工程施工质量验收规范》GB 50205的有关规定。</w:t>
      </w:r>
    </w:p>
    <w:p w14:paraId="5EFE6679">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检查数量：全数检查。</w:t>
      </w:r>
    </w:p>
    <w:p w14:paraId="58825C84">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检验方法：按现行国家标准《钢结构工程施工质量验收规范》GB 50205的要求进行。</w:t>
      </w:r>
    </w:p>
    <w:p w14:paraId="168C978C">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10.3.2</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采用螺栓连接时，螺栓的材质、规格、拧紧力矩应符合设计要求及现行国家标准《</w:t>
      </w:r>
      <w:r>
        <w:rPr>
          <w:rFonts w:hint="eastAsia" w:cs="Times New Roman"/>
          <w:color w:val="auto"/>
          <w:kern w:val="0"/>
          <w:sz w:val="24"/>
          <w:szCs w:val="24"/>
          <w:highlight w:val="none"/>
          <w:lang w:val="en-US" w:eastAsia="zh-CN" w:bidi="ar-SA"/>
        </w:rPr>
        <w:t>钢结构设计标准</w:t>
      </w:r>
      <w:r>
        <w:rPr>
          <w:rFonts w:hint="eastAsia" w:ascii="Times New Roman" w:hAnsi="Times New Roman" w:eastAsia="宋体" w:cs="Times New Roman"/>
          <w:color w:val="auto"/>
          <w:kern w:val="0"/>
          <w:sz w:val="24"/>
          <w:szCs w:val="24"/>
          <w:highlight w:val="none"/>
          <w:lang w:val="en-US" w:eastAsia="zh-CN" w:bidi="ar-SA"/>
        </w:rPr>
        <w:t>》GB 50017和《钢结构工程施工质量验收规范》GB 50205的有关规定。</w:t>
      </w:r>
    </w:p>
    <w:p w14:paraId="3F5AC05D">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检查数量：全数检查。</w:t>
      </w:r>
    </w:p>
    <w:p w14:paraId="59F63095">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检验方法：按现行国家标准《钢结构工程施工质量验收规范》GB 50205的要求进行。</w:t>
      </w:r>
    </w:p>
    <w:p w14:paraId="0540EF14">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10.3.3</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钢筋采用机械连接时，其接头质量应符合现行行业标准《钢筋机械连接技术规程》JGJ 107的有关规定。</w:t>
      </w:r>
    </w:p>
    <w:p w14:paraId="374D720C">
      <w:pPr>
        <w:wordWrap/>
        <w:overflowPunct/>
        <w:topLinePunct w:val="0"/>
        <w:bidi w:val="0"/>
        <w:snapToGrid w:val="0"/>
        <w:spacing w:line="300" w:lineRule="auto"/>
        <w:ind w:firstLine="480" w:firstLineChars="200"/>
        <w:rPr>
          <w:rFonts w:ascii="宋体" w:hAnsi="宋体" w:cs="Times New Roman"/>
          <w:color w:val="auto"/>
          <w:sz w:val="21"/>
          <w:szCs w:val="21"/>
          <w:highlight w:val="none"/>
        </w:rPr>
      </w:pPr>
      <w:r>
        <w:rPr>
          <w:rFonts w:hint="eastAsia" w:ascii="Times New Roman" w:hAnsi="Times New Roman" w:eastAsia="宋体" w:cs="Times New Roman"/>
          <w:color w:val="auto"/>
          <w:kern w:val="0"/>
          <w:sz w:val="24"/>
          <w:szCs w:val="24"/>
          <w:highlight w:val="none"/>
          <w:lang w:val="en-US" w:eastAsia="zh-CN" w:bidi="ar-SA"/>
        </w:rPr>
        <w:t>检查数量：按现行行业标准《钢筋机械连接技术规程》JGJ 107的规定确定。</w:t>
      </w:r>
    </w:p>
    <w:p w14:paraId="2BD08BCA">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检验方法：检查钢筋机械连接施工记录及平行加工试件的强度试验报告。</w:t>
      </w:r>
    </w:p>
    <w:p w14:paraId="190A710A">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10.3.4</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钢筋采用焊接连接时，其焊接质量应符合现行行业标准《钢筋焊接及验收规程》JGJ 18的有关规定。</w:t>
      </w:r>
    </w:p>
    <w:p w14:paraId="7485206C">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检查数量：按现行行业标准《钢筋焊接及验收规程》JGJ 18的规定确定。</w:t>
      </w:r>
    </w:p>
    <w:p w14:paraId="1B4780CD">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检验方法：检查钢筋焊接施工记录及平行加工试件的强度试验报告。</w:t>
      </w:r>
    </w:p>
    <w:p w14:paraId="40A11ADE">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10.3.5</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钢筋套筒灌浆连接及浆锚搭接连接的灌浆应密实饱满，并应满足《钢筋套筒灌浆连接应用技术规程》</w:t>
      </w:r>
      <w:r>
        <w:rPr>
          <w:rFonts w:hint="eastAsia" w:cs="Times New Roman"/>
          <w:color w:val="auto"/>
          <w:kern w:val="0"/>
          <w:sz w:val="24"/>
          <w:szCs w:val="24"/>
          <w:highlight w:val="none"/>
          <w:lang w:val="en-US" w:eastAsia="zh-CN" w:bidi="ar-SA"/>
        </w:rPr>
        <w:t>JGJ/T 355</w:t>
      </w:r>
      <w:r>
        <w:rPr>
          <w:rFonts w:hint="eastAsia" w:ascii="Times New Roman" w:hAnsi="Times New Roman" w:eastAsia="宋体" w:cs="Times New Roman"/>
          <w:color w:val="auto"/>
          <w:kern w:val="0"/>
          <w:sz w:val="24"/>
          <w:szCs w:val="24"/>
          <w:highlight w:val="none"/>
          <w:lang w:val="en-US" w:eastAsia="zh-CN" w:bidi="ar-SA"/>
        </w:rPr>
        <w:t>的要求。</w:t>
      </w:r>
    </w:p>
    <w:p w14:paraId="36B0D891">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检查数量：全数检查。</w:t>
      </w:r>
    </w:p>
    <w:p w14:paraId="0FA05D80">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检验方法：检查灌浆施工质量检查记录。</w:t>
      </w:r>
    </w:p>
    <w:p w14:paraId="2F629DAE">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10.3.6 </w:t>
      </w:r>
      <w:r>
        <w:rPr>
          <w:rFonts w:hint="eastAsia" w:cs="Times New Roman"/>
          <w:b/>
          <w:bCs/>
          <w:snapToGrid w:val="0"/>
          <w:color w:val="auto"/>
          <w:kern w:val="0"/>
          <w:sz w:val="20"/>
          <w:szCs w:val="20"/>
          <w:highlight w:val="none"/>
          <w:lang w:val="en-US" w:eastAsia="zh-CN" w:bidi="ar-SA"/>
        </w:rPr>
        <w:t xml:space="preserve"> </w:t>
      </w:r>
      <w:r>
        <w:rPr>
          <w:rFonts w:hint="eastAsia" w:ascii="Times New Roman" w:hAnsi="Times New Roman" w:eastAsia="宋体" w:cs="Times New Roman"/>
          <w:color w:val="auto"/>
          <w:kern w:val="0"/>
          <w:sz w:val="24"/>
          <w:szCs w:val="24"/>
          <w:highlight w:val="none"/>
          <w:lang w:val="en-US" w:eastAsia="zh-CN" w:bidi="ar-SA"/>
        </w:rPr>
        <w:t>钢筋套筒灌浆连接及浆锚搭接连接用的灌浆料强度应满足设计要求。</w:t>
      </w:r>
    </w:p>
    <w:p w14:paraId="704D0240">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检查数量：按批检验，以每10户或1000m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为一检验批，不足时也应划分为一个检验批；每工作班应</w:t>
      </w:r>
      <w:r>
        <w:rPr>
          <w:rFonts w:hint="eastAsia" w:cs="Times New Roman"/>
          <w:color w:val="auto"/>
          <w:kern w:val="0"/>
          <w:sz w:val="24"/>
          <w:szCs w:val="24"/>
          <w:highlight w:val="none"/>
          <w:lang w:val="en-US" w:eastAsia="zh-CN" w:bidi="ar-SA"/>
        </w:rPr>
        <w:t>生产</w:t>
      </w:r>
      <w:r>
        <w:rPr>
          <w:rFonts w:hint="eastAsia" w:ascii="Times New Roman" w:hAnsi="Times New Roman" w:eastAsia="宋体" w:cs="Times New Roman"/>
          <w:color w:val="auto"/>
          <w:kern w:val="0"/>
          <w:sz w:val="24"/>
          <w:szCs w:val="24"/>
          <w:highlight w:val="none"/>
          <w:lang w:val="en-US" w:eastAsia="zh-CN" w:bidi="ar-SA"/>
        </w:rPr>
        <w:t>1组且每户不应少于3组40mm×40mm×160mm的长方体试件，标准养护28d后进行抗压强度试验。</w:t>
      </w:r>
    </w:p>
    <w:p w14:paraId="2E5B28D2">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检验方法：检查灌浆料强度试验报告及评定记录。</w:t>
      </w:r>
    </w:p>
    <w:p w14:paraId="02FE39B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10.3.7</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w:t>
      </w:r>
      <w:r>
        <w:rPr>
          <w:rFonts w:hint="eastAsia" w:ascii="Times New Roman" w:hAnsi="Times New Roman" w:eastAsia="宋体" w:cs="Times New Roman"/>
          <w:color w:val="auto"/>
          <w:kern w:val="0"/>
          <w:sz w:val="24"/>
          <w:szCs w:val="24"/>
          <w:highlight w:val="none"/>
          <w:lang w:val="en-US" w:eastAsia="zh-CN" w:bidi="ar-SA"/>
        </w:rPr>
        <w:t>底部接缝座浆强度应满足设计要求。</w:t>
      </w:r>
    </w:p>
    <w:p w14:paraId="5C825AF8">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检查数量：按批检验，以每10户或1000m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为一检验批，不足时也应划分为一个检验批，每批不应少于3组边长为70.7mm的立方体试件，标准养护28d后进行抗压强度试验。</w:t>
      </w:r>
    </w:p>
    <w:p w14:paraId="3D6AEEB8">
      <w:pPr>
        <w:wordWrap/>
        <w:overflowPunct/>
        <w:topLinePunct w:val="0"/>
        <w:bidi w:val="0"/>
        <w:snapToGrid w:val="0"/>
        <w:spacing w:line="300" w:lineRule="auto"/>
        <w:ind w:firstLine="480" w:firstLineChars="200"/>
        <w:rPr>
          <w:rFonts w:ascii="宋体" w:hAnsi="宋体" w:cs="Times New Roman"/>
          <w:color w:val="auto"/>
          <w:sz w:val="21"/>
          <w:szCs w:val="21"/>
          <w:highlight w:val="none"/>
        </w:rPr>
      </w:pPr>
      <w:r>
        <w:rPr>
          <w:rFonts w:hint="eastAsia" w:ascii="Times New Roman" w:hAnsi="Times New Roman" w:eastAsia="宋体" w:cs="Times New Roman"/>
          <w:color w:val="auto"/>
          <w:kern w:val="0"/>
          <w:sz w:val="24"/>
          <w:szCs w:val="24"/>
          <w:highlight w:val="none"/>
          <w:lang w:val="en-US" w:eastAsia="zh-CN" w:bidi="ar-SA"/>
        </w:rPr>
        <w:t>检验方法：检查座浆材料强度试验报告及评定记录。</w:t>
      </w:r>
    </w:p>
    <w:p w14:paraId="0445D5E8">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10.3.8</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后浇混凝土强度应符合设计要求。</w:t>
      </w:r>
    </w:p>
    <w:p w14:paraId="06F4DA72">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检查数量：同一配合比的混凝土，以每10户或1000m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为一检验批，不足时也应划分为一个检验批，每工作班应</w:t>
      </w:r>
      <w:r>
        <w:rPr>
          <w:rFonts w:hint="eastAsia" w:cs="Times New Roman"/>
          <w:color w:val="auto"/>
          <w:kern w:val="0"/>
          <w:sz w:val="24"/>
          <w:szCs w:val="24"/>
          <w:highlight w:val="none"/>
          <w:lang w:val="en-US" w:eastAsia="zh-CN" w:bidi="ar-SA"/>
        </w:rPr>
        <w:t>生产</w:t>
      </w:r>
      <w:r>
        <w:rPr>
          <w:rFonts w:hint="eastAsia" w:ascii="Times New Roman" w:hAnsi="Times New Roman" w:eastAsia="宋体" w:cs="Times New Roman"/>
          <w:color w:val="auto"/>
          <w:kern w:val="0"/>
          <w:sz w:val="24"/>
          <w:szCs w:val="24"/>
          <w:highlight w:val="none"/>
          <w:lang w:val="en-US" w:eastAsia="zh-CN" w:bidi="ar-SA"/>
        </w:rPr>
        <w:t>不少于3组标准养护试件。</w:t>
      </w:r>
    </w:p>
    <w:p w14:paraId="05003E5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检验方法：按现行国家标准《混凝土强度检验评定标准》GB/T 50107的要求进行。</w:t>
      </w:r>
    </w:p>
    <w:p w14:paraId="0C095AE5">
      <w:pPr>
        <w:pStyle w:val="4"/>
        <w:bidi w:val="0"/>
        <w:rPr>
          <w:rFonts w:hint="default"/>
          <w:color w:val="auto"/>
          <w:highlight w:val="none"/>
          <w:lang w:val="en-US" w:eastAsia="zh-CN"/>
        </w:rPr>
      </w:pPr>
      <w:bookmarkStart w:id="427" w:name="_Toc21671"/>
      <w:bookmarkStart w:id="428" w:name="_Toc3992"/>
      <w:bookmarkStart w:id="429" w:name="_Toc6900"/>
      <w:bookmarkStart w:id="430" w:name="_Toc5425"/>
      <w:bookmarkStart w:id="431" w:name="_Toc20862"/>
      <w:r>
        <w:rPr>
          <w:rFonts w:hint="eastAsia"/>
          <w:b w:val="0"/>
          <w:bCs/>
          <w:color w:val="auto"/>
          <w:highlight w:val="none"/>
          <w:lang w:val="en-US" w:eastAsia="zh-CN"/>
        </w:rPr>
        <w:t>一般项目</w:t>
      </w:r>
      <w:bookmarkEnd w:id="427"/>
      <w:bookmarkEnd w:id="428"/>
      <w:bookmarkEnd w:id="429"/>
      <w:bookmarkEnd w:id="430"/>
      <w:bookmarkEnd w:id="431"/>
    </w:p>
    <w:p w14:paraId="11E4C0FD">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10.3.9</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模块化建筑</w:t>
      </w:r>
      <w:r>
        <w:rPr>
          <w:rFonts w:hint="eastAsia" w:ascii="Times New Roman" w:hAnsi="Times New Roman" w:eastAsia="宋体" w:cs="Times New Roman"/>
          <w:color w:val="auto"/>
          <w:kern w:val="0"/>
          <w:sz w:val="24"/>
          <w:szCs w:val="24"/>
          <w:highlight w:val="none"/>
          <w:lang w:val="en-US" w:eastAsia="zh-CN" w:bidi="ar-SA"/>
        </w:rPr>
        <w:t>安装尺寸允许偏差应符合设计要求，并应符合表10.3.9的规定。</w:t>
      </w:r>
    </w:p>
    <w:p w14:paraId="510D4A87">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检查数量：按楼层、结构缝或施工段划分检验批。在同一检验批内，对梁、柱，应抽查构件数量的10%，且不少于3件；</w:t>
      </w:r>
    </w:p>
    <w:p w14:paraId="0A1460B5">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对墙和板应按有代表性的自然间抽查10%，且不少于3件；对大空间结构，墙可按相邻轴线间高度5m左右划分检查面，板可按纵、横轴线划分检查面，抽查10%，且均不少于3面。</w:t>
      </w:r>
    </w:p>
    <w:p w14:paraId="2608DD87">
      <w:pPr>
        <w:wordWrap/>
        <w:overflowPunct/>
        <w:topLinePunct w:val="0"/>
        <w:bidi w:val="0"/>
        <w:snapToGrid w:val="0"/>
        <w:spacing w:line="300" w:lineRule="auto"/>
        <w:ind w:firstLine="360" w:firstLineChars="20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表</w:t>
      </w:r>
      <w:r>
        <w:rPr>
          <w:rFonts w:ascii="宋体" w:hAnsi="宋体" w:cs="Times New Roman"/>
          <w:color w:val="auto"/>
          <w:sz w:val="18"/>
          <w:szCs w:val="18"/>
          <w:highlight w:val="none"/>
        </w:rPr>
        <w:t>10.3.</w:t>
      </w:r>
      <w:r>
        <w:rPr>
          <w:rFonts w:hint="eastAsia" w:ascii="宋体" w:hAnsi="宋体" w:cs="Times New Roman"/>
          <w:color w:val="auto"/>
          <w:sz w:val="18"/>
          <w:szCs w:val="18"/>
          <w:highlight w:val="none"/>
          <w:lang w:val="en-US" w:eastAsia="zh-CN"/>
        </w:rPr>
        <w:t>9</w:t>
      </w:r>
      <w:r>
        <w:rPr>
          <w:rFonts w:ascii="宋体" w:hAnsi="宋体"/>
          <w:color w:val="auto"/>
          <w:sz w:val="18"/>
          <w:szCs w:val="18"/>
          <w:highlight w:val="none"/>
          <w:lang w:bidi="en-US"/>
        </w:rPr>
        <w:t xml:space="preserve"> </w:t>
      </w:r>
      <w:r>
        <w:rPr>
          <w:rFonts w:hint="eastAsia" w:ascii="宋体" w:hAnsi="宋体"/>
          <w:color w:val="auto"/>
          <w:sz w:val="18"/>
          <w:szCs w:val="18"/>
          <w:highlight w:val="none"/>
          <w:lang w:val="en-US" w:eastAsia="zh-CN" w:bidi="en-US"/>
        </w:rPr>
        <w:t xml:space="preserve"> </w:t>
      </w:r>
      <w:r>
        <w:rPr>
          <w:rFonts w:hint="eastAsia" w:ascii="宋体" w:hAnsi="宋体"/>
          <w:color w:val="auto"/>
          <w:sz w:val="18"/>
          <w:szCs w:val="18"/>
          <w:highlight w:val="none"/>
          <w:lang w:eastAsia="zh-CN" w:bidi="en-US"/>
        </w:rPr>
        <w:t>模块化建筑</w:t>
      </w:r>
      <w:r>
        <w:rPr>
          <w:rFonts w:hint="eastAsia" w:ascii="宋体" w:hAnsi="宋体"/>
          <w:color w:val="auto"/>
          <w:sz w:val="18"/>
          <w:szCs w:val="18"/>
          <w:highlight w:val="none"/>
          <w:lang w:bidi="en-US"/>
        </w:rPr>
        <w:t>安装尺寸允许偏差及检验方法</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2310"/>
        <w:gridCol w:w="2768"/>
        <w:gridCol w:w="2839"/>
      </w:tblGrid>
      <w:tr w14:paraId="0AFDA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1" w:type="pct"/>
            <w:gridSpan w:val="2"/>
            <w:shd w:val="clear" w:color="auto" w:fill="auto"/>
            <w:vAlign w:val="center"/>
          </w:tcPr>
          <w:p w14:paraId="01FDEE94">
            <w:pPr>
              <w:wordWrap/>
              <w:overflowPunct/>
              <w:topLinePunct w:val="0"/>
              <w:bidi w:val="0"/>
              <w:snapToGrid w:val="0"/>
              <w:spacing w:line="300" w:lineRule="auto"/>
              <w:ind w:firstLine="360" w:firstLineChars="20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项目</w:t>
            </w:r>
          </w:p>
        </w:tc>
        <w:tc>
          <w:tcPr>
            <w:tcW w:w="1421" w:type="pct"/>
            <w:shd w:val="clear" w:color="auto" w:fill="auto"/>
            <w:vAlign w:val="center"/>
          </w:tcPr>
          <w:p w14:paraId="4399A97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允许偏差（mm）</w:t>
            </w:r>
          </w:p>
        </w:tc>
        <w:tc>
          <w:tcPr>
            <w:tcW w:w="1457" w:type="pct"/>
            <w:shd w:val="clear" w:color="auto" w:fill="auto"/>
            <w:vAlign w:val="center"/>
          </w:tcPr>
          <w:p w14:paraId="6D84F70F">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检验方法</w:t>
            </w:r>
          </w:p>
        </w:tc>
      </w:tr>
      <w:tr w14:paraId="50500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shd w:val="clear" w:color="auto" w:fill="auto"/>
            <w:vAlign w:val="center"/>
          </w:tcPr>
          <w:p w14:paraId="25B33ACF">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构件中心线</w:t>
            </w:r>
          </w:p>
        </w:tc>
        <w:tc>
          <w:tcPr>
            <w:tcW w:w="1186" w:type="pct"/>
            <w:shd w:val="clear" w:color="auto" w:fill="auto"/>
            <w:vAlign w:val="center"/>
          </w:tcPr>
          <w:p w14:paraId="5CD12D03">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基础</w:t>
            </w:r>
          </w:p>
        </w:tc>
        <w:tc>
          <w:tcPr>
            <w:tcW w:w="1421" w:type="pct"/>
            <w:shd w:val="clear" w:color="auto" w:fill="auto"/>
            <w:vAlign w:val="center"/>
          </w:tcPr>
          <w:p w14:paraId="2036A394">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ascii="宋体" w:hAnsi="宋体" w:cs="Times New Roman"/>
                <w:color w:val="auto"/>
                <w:sz w:val="18"/>
                <w:szCs w:val="18"/>
                <w:highlight w:val="none"/>
                <w:lang w:bidi="en-US"/>
              </w:rPr>
              <w:t>15</w:t>
            </w:r>
          </w:p>
        </w:tc>
        <w:tc>
          <w:tcPr>
            <w:tcW w:w="1457" w:type="pct"/>
            <w:vMerge w:val="restart"/>
            <w:shd w:val="clear" w:color="auto" w:fill="auto"/>
            <w:vAlign w:val="center"/>
          </w:tcPr>
          <w:p w14:paraId="49882DA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4A81B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shd w:val="clear" w:color="auto" w:fill="auto"/>
            <w:vAlign w:val="center"/>
          </w:tcPr>
          <w:p w14:paraId="33C6B71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构件边线</w:t>
            </w:r>
          </w:p>
        </w:tc>
        <w:tc>
          <w:tcPr>
            <w:tcW w:w="1186" w:type="pct"/>
            <w:shd w:val="clear" w:color="auto" w:fill="auto"/>
            <w:vAlign w:val="center"/>
          </w:tcPr>
          <w:p w14:paraId="2227E2D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模块</w:t>
            </w:r>
          </w:p>
        </w:tc>
        <w:tc>
          <w:tcPr>
            <w:tcW w:w="1421" w:type="pct"/>
            <w:shd w:val="clear" w:color="auto" w:fill="auto"/>
            <w:vAlign w:val="center"/>
          </w:tcPr>
          <w:p w14:paraId="2504385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ascii="宋体" w:hAnsi="宋体" w:cs="Times New Roman"/>
                <w:color w:val="auto"/>
                <w:sz w:val="18"/>
                <w:szCs w:val="18"/>
                <w:highlight w:val="none"/>
                <w:lang w:bidi="en-US"/>
              </w:rPr>
              <w:t>10</w:t>
            </w:r>
          </w:p>
        </w:tc>
        <w:tc>
          <w:tcPr>
            <w:tcW w:w="1457" w:type="pct"/>
            <w:vMerge w:val="continue"/>
            <w:shd w:val="clear" w:color="auto" w:fill="auto"/>
            <w:vAlign w:val="center"/>
          </w:tcPr>
          <w:p w14:paraId="054E3143">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r>
      <w:tr w14:paraId="27270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shd w:val="clear" w:color="auto" w:fill="auto"/>
            <w:vAlign w:val="center"/>
          </w:tcPr>
          <w:p w14:paraId="7FABEFC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构件标高</w:t>
            </w:r>
          </w:p>
        </w:tc>
        <w:tc>
          <w:tcPr>
            <w:tcW w:w="1186" w:type="pct"/>
            <w:shd w:val="clear" w:color="auto" w:fill="auto"/>
            <w:vAlign w:val="center"/>
          </w:tcPr>
          <w:p w14:paraId="6D7ACF6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模块底面或顶面的4个角点</w:t>
            </w:r>
          </w:p>
        </w:tc>
        <w:tc>
          <w:tcPr>
            <w:tcW w:w="1421" w:type="pct"/>
            <w:shd w:val="clear" w:color="auto" w:fill="auto"/>
            <w:vAlign w:val="center"/>
          </w:tcPr>
          <w:p w14:paraId="36DE689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5</w:t>
            </w:r>
          </w:p>
        </w:tc>
        <w:tc>
          <w:tcPr>
            <w:tcW w:w="1457" w:type="pct"/>
            <w:shd w:val="clear" w:color="auto" w:fill="auto"/>
            <w:vAlign w:val="center"/>
          </w:tcPr>
          <w:p w14:paraId="7BE42E6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水准仪或尺量检查</w:t>
            </w:r>
          </w:p>
        </w:tc>
      </w:tr>
      <w:tr w14:paraId="0E99D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936" w:type="pct"/>
            <w:vMerge w:val="restart"/>
            <w:shd w:val="clear" w:color="auto" w:fill="auto"/>
            <w:vAlign w:val="center"/>
          </w:tcPr>
          <w:p w14:paraId="35493FF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构件垂直度</w:t>
            </w:r>
          </w:p>
        </w:tc>
        <w:tc>
          <w:tcPr>
            <w:tcW w:w="1186" w:type="pct"/>
            <w:shd w:val="clear" w:color="auto" w:fill="auto"/>
            <w:vAlign w:val="center"/>
          </w:tcPr>
          <w:p w14:paraId="303F919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模块</w:t>
            </w:r>
          </w:p>
        </w:tc>
        <w:tc>
          <w:tcPr>
            <w:tcW w:w="1421" w:type="pct"/>
            <w:shd w:val="clear" w:color="auto" w:fill="auto"/>
            <w:vAlign w:val="center"/>
          </w:tcPr>
          <w:p w14:paraId="514546F3">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ascii="宋体" w:hAnsi="宋体" w:cs="Times New Roman"/>
                <w:color w:val="auto"/>
                <w:sz w:val="18"/>
                <w:szCs w:val="18"/>
                <w:highlight w:val="none"/>
                <w:lang w:bidi="en-US"/>
              </w:rPr>
              <w:t>10</w:t>
            </w:r>
          </w:p>
        </w:tc>
        <w:tc>
          <w:tcPr>
            <w:tcW w:w="1457" w:type="pct"/>
            <w:vMerge w:val="restart"/>
            <w:shd w:val="clear" w:color="auto" w:fill="auto"/>
            <w:vAlign w:val="center"/>
          </w:tcPr>
          <w:p w14:paraId="3B3C2F1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经纬仪或尺量检查</w:t>
            </w:r>
          </w:p>
        </w:tc>
      </w:tr>
      <w:tr w14:paraId="15D41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36" w:type="pct"/>
            <w:vMerge w:val="continue"/>
            <w:shd w:val="clear" w:color="auto" w:fill="auto"/>
            <w:vAlign w:val="center"/>
          </w:tcPr>
          <w:p w14:paraId="14F5B177">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c>
          <w:tcPr>
            <w:tcW w:w="1186" w:type="pct"/>
            <w:shd w:val="clear" w:color="auto" w:fill="auto"/>
            <w:vAlign w:val="center"/>
          </w:tcPr>
          <w:p w14:paraId="0220F963">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结构全高</w:t>
            </w:r>
          </w:p>
        </w:tc>
        <w:tc>
          <w:tcPr>
            <w:tcW w:w="1421" w:type="pct"/>
            <w:shd w:val="clear" w:color="auto" w:fill="auto"/>
            <w:vAlign w:val="center"/>
          </w:tcPr>
          <w:p w14:paraId="411A5AA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ascii="宋体" w:hAnsi="宋体" w:cs="Times New Roman"/>
                <w:color w:val="auto"/>
                <w:sz w:val="18"/>
                <w:szCs w:val="18"/>
                <w:highlight w:val="none"/>
                <w:lang w:bidi="en-US"/>
              </w:rPr>
              <w:t>20</w:t>
            </w:r>
          </w:p>
        </w:tc>
        <w:tc>
          <w:tcPr>
            <w:tcW w:w="1457" w:type="pct"/>
            <w:vMerge w:val="continue"/>
            <w:shd w:val="clear" w:color="auto" w:fill="auto"/>
            <w:vAlign w:val="center"/>
          </w:tcPr>
          <w:p w14:paraId="3909740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r>
      <w:tr w14:paraId="7CDF7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Merge w:val="restart"/>
            <w:shd w:val="clear" w:color="auto" w:fill="auto"/>
            <w:vAlign w:val="center"/>
          </w:tcPr>
          <w:p w14:paraId="3F1367F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相邻模块</w:t>
            </w:r>
          </w:p>
          <w:p w14:paraId="33AF103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平整度</w:t>
            </w:r>
          </w:p>
        </w:tc>
        <w:tc>
          <w:tcPr>
            <w:tcW w:w="1186" w:type="pct"/>
            <w:shd w:val="clear" w:color="auto" w:fill="auto"/>
            <w:vAlign w:val="center"/>
          </w:tcPr>
          <w:p w14:paraId="2E35C824">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板端面</w:t>
            </w:r>
          </w:p>
        </w:tc>
        <w:tc>
          <w:tcPr>
            <w:tcW w:w="1421" w:type="pct"/>
            <w:shd w:val="clear" w:color="auto" w:fill="auto"/>
            <w:vAlign w:val="center"/>
          </w:tcPr>
          <w:p w14:paraId="5D37CE4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ascii="宋体" w:hAnsi="宋体" w:cs="Times New Roman"/>
                <w:color w:val="auto"/>
                <w:sz w:val="18"/>
                <w:szCs w:val="18"/>
                <w:highlight w:val="none"/>
                <w:lang w:bidi="en-US"/>
              </w:rPr>
              <w:t>5</w:t>
            </w:r>
          </w:p>
        </w:tc>
        <w:tc>
          <w:tcPr>
            <w:tcW w:w="1457" w:type="pct"/>
            <w:vMerge w:val="restart"/>
            <w:shd w:val="clear" w:color="auto" w:fill="auto"/>
            <w:vAlign w:val="center"/>
          </w:tcPr>
          <w:p w14:paraId="6A1FAF0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钢尺、塞尺量测</w:t>
            </w:r>
          </w:p>
        </w:tc>
      </w:tr>
      <w:tr w14:paraId="02AEC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Merge w:val="continue"/>
            <w:shd w:val="clear" w:color="auto" w:fill="auto"/>
            <w:vAlign w:val="center"/>
          </w:tcPr>
          <w:p w14:paraId="795E5AA3">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c>
          <w:tcPr>
            <w:tcW w:w="1186" w:type="pct"/>
            <w:shd w:val="clear" w:color="auto" w:fill="auto"/>
            <w:vAlign w:val="center"/>
          </w:tcPr>
          <w:p w14:paraId="09338711">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板顶面</w:t>
            </w:r>
          </w:p>
        </w:tc>
        <w:tc>
          <w:tcPr>
            <w:tcW w:w="1421" w:type="pct"/>
            <w:shd w:val="clear" w:color="auto" w:fill="auto"/>
            <w:vAlign w:val="center"/>
          </w:tcPr>
          <w:p w14:paraId="33DE35D7">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ascii="宋体" w:hAnsi="宋体" w:cs="Times New Roman"/>
                <w:color w:val="auto"/>
                <w:sz w:val="18"/>
                <w:szCs w:val="18"/>
                <w:highlight w:val="none"/>
                <w:lang w:bidi="en-US"/>
              </w:rPr>
              <w:t>5</w:t>
            </w:r>
          </w:p>
        </w:tc>
        <w:tc>
          <w:tcPr>
            <w:tcW w:w="1457" w:type="pct"/>
            <w:vMerge w:val="continue"/>
            <w:shd w:val="clear" w:color="auto" w:fill="auto"/>
            <w:vAlign w:val="center"/>
          </w:tcPr>
          <w:p w14:paraId="111AC726">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r>
      <w:tr w14:paraId="64D4D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Merge w:val="continue"/>
            <w:shd w:val="clear" w:color="auto" w:fill="auto"/>
            <w:vAlign w:val="center"/>
          </w:tcPr>
          <w:p w14:paraId="144F7ABE">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c>
          <w:tcPr>
            <w:tcW w:w="1186" w:type="pct"/>
            <w:shd w:val="clear" w:color="auto" w:fill="auto"/>
            <w:vAlign w:val="center"/>
          </w:tcPr>
          <w:p w14:paraId="5680F6E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梁底面</w:t>
            </w:r>
          </w:p>
        </w:tc>
        <w:tc>
          <w:tcPr>
            <w:tcW w:w="1421" w:type="pct"/>
            <w:shd w:val="clear" w:color="auto" w:fill="auto"/>
            <w:vAlign w:val="center"/>
          </w:tcPr>
          <w:p w14:paraId="2B4470F4">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ascii="宋体" w:hAnsi="宋体" w:cs="Times New Roman"/>
                <w:color w:val="auto"/>
                <w:sz w:val="18"/>
                <w:szCs w:val="18"/>
                <w:highlight w:val="none"/>
                <w:lang w:bidi="en-US"/>
              </w:rPr>
              <w:t>3</w:t>
            </w:r>
          </w:p>
        </w:tc>
        <w:tc>
          <w:tcPr>
            <w:tcW w:w="1457" w:type="pct"/>
            <w:vMerge w:val="continue"/>
            <w:shd w:val="clear" w:color="auto" w:fill="auto"/>
            <w:vAlign w:val="center"/>
          </w:tcPr>
          <w:p w14:paraId="3F647BC9">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r>
      <w:tr w14:paraId="28D28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Merge w:val="continue"/>
            <w:shd w:val="clear" w:color="auto" w:fill="auto"/>
            <w:vAlign w:val="center"/>
          </w:tcPr>
          <w:p w14:paraId="5B4B9AF4">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c>
          <w:tcPr>
            <w:tcW w:w="1186" w:type="pct"/>
            <w:shd w:val="clear" w:color="auto" w:fill="auto"/>
            <w:vAlign w:val="center"/>
          </w:tcPr>
          <w:p w14:paraId="7C96E527">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墙、柱侧面</w:t>
            </w:r>
          </w:p>
        </w:tc>
        <w:tc>
          <w:tcPr>
            <w:tcW w:w="1421" w:type="pct"/>
            <w:shd w:val="clear" w:color="auto" w:fill="auto"/>
            <w:vAlign w:val="center"/>
          </w:tcPr>
          <w:p w14:paraId="6B945DB7">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ascii="宋体" w:hAnsi="宋体" w:cs="Times New Roman"/>
                <w:color w:val="auto"/>
                <w:sz w:val="18"/>
                <w:szCs w:val="18"/>
                <w:highlight w:val="none"/>
                <w:lang w:bidi="en-US"/>
              </w:rPr>
              <w:t>5</w:t>
            </w:r>
          </w:p>
        </w:tc>
        <w:tc>
          <w:tcPr>
            <w:tcW w:w="1457" w:type="pct"/>
            <w:vMerge w:val="continue"/>
            <w:shd w:val="clear" w:color="auto" w:fill="auto"/>
            <w:vAlign w:val="center"/>
          </w:tcPr>
          <w:p w14:paraId="28B9E21D">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p>
        </w:tc>
      </w:tr>
      <w:tr w14:paraId="26D51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Merge w:val="restart"/>
            <w:shd w:val="clear" w:color="auto" w:fill="auto"/>
            <w:vAlign w:val="center"/>
          </w:tcPr>
          <w:p w14:paraId="2FC9ED65">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构件接缝</w:t>
            </w:r>
          </w:p>
          <w:p w14:paraId="44607F4C">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宽度</w:t>
            </w:r>
          </w:p>
        </w:tc>
        <w:tc>
          <w:tcPr>
            <w:tcW w:w="1186" w:type="pct"/>
            <w:shd w:val="clear" w:color="auto" w:fill="auto"/>
            <w:vAlign w:val="center"/>
          </w:tcPr>
          <w:p w14:paraId="6D2D790E">
            <w:pPr>
              <w:wordWrap/>
              <w:overflowPunct/>
              <w:topLinePunct w:val="0"/>
              <w:bidi w:val="0"/>
              <w:snapToGrid w:val="0"/>
              <w:spacing w:line="300" w:lineRule="auto"/>
              <w:ind w:left="0" w:leftChars="0" w:firstLine="0" w:firstLineChars="0"/>
              <w:jc w:val="center"/>
              <w:rPr>
                <w:rFonts w:hint="default" w:ascii="宋体" w:hAnsi="宋体" w:eastAsia="宋体" w:cs="Times New Roman"/>
                <w:color w:val="auto"/>
                <w:sz w:val="18"/>
                <w:szCs w:val="18"/>
                <w:highlight w:val="none"/>
                <w:lang w:val="en-US" w:eastAsia="zh-CN" w:bidi="en-US"/>
              </w:rPr>
            </w:pPr>
            <w:r>
              <w:rPr>
                <w:rFonts w:hint="eastAsia" w:ascii="宋体" w:hAnsi="宋体" w:cs="Times New Roman"/>
                <w:color w:val="auto"/>
                <w:sz w:val="18"/>
                <w:szCs w:val="18"/>
                <w:highlight w:val="none"/>
                <w:lang w:val="en-US" w:eastAsia="zh-CN" w:bidi="en-US"/>
              </w:rPr>
              <w:t>水平接缝</w:t>
            </w:r>
          </w:p>
        </w:tc>
        <w:tc>
          <w:tcPr>
            <w:tcW w:w="1421" w:type="pct"/>
            <w:shd w:val="clear" w:color="auto" w:fill="auto"/>
            <w:vAlign w:val="center"/>
          </w:tcPr>
          <w:p w14:paraId="0669204A">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5</w:t>
            </w:r>
          </w:p>
        </w:tc>
        <w:tc>
          <w:tcPr>
            <w:tcW w:w="1457" w:type="pct"/>
            <w:vMerge w:val="restart"/>
            <w:shd w:val="clear" w:color="auto" w:fill="auto"/>
            <w:vAlign w:val="center"/>
          </w:tcPr>
          <w:p w14:paraId="23021EB0">
            <w:pPr>
              <w:wordWrap/>
              <w:overflowPunct/>
              <w:topLinePunct w:val="0"/>
              <w:bidi w:val="0"/>
              <w:snapToGrid w:val="0"/>
              <w:spacing w:line="300" w:lineRule="auto"/>
              <w:ind w:left="0" w:leftChars="0" w:firstLine="0" w:firstLineChars="0"/>
              <w:jc w:val="center"/>
              <w:rPr>
                <w:rFonts w:ascii="宋体" w:hAnsi="宋体" w:cs="Times New Roman"/>
                <w:color w:val="auto"/>
                <w:sz w:val="18"/>
                <w:szCs w:val="18"/>
                <w:highlight w:val="none"/>
                <w:lang w:bidi="en-US"/>
              </w:rPr>
            </w:pPr>
            <w:r>
              <w:rPr>
                <w:rFonts w:ascii="宋体" w:hAnsi="宋体" w:cs="Times New Roman"/>
                <w:color w:val="auto"/>
                <w:sz w:val="18"/>
                <w:szCs w:val="18"/>
                <w:highlight w:val="none"/>
                <w:lang w:bidi="en-US"/>
              </w:rPr>
              <w:t>尺量检查</w:t>
            </w:r>
          </w:p>
        </w:tc>
      </w:tr>
      <w:tr w14:paraId="6EDBE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Merge w:val="continue"/>
            <w:shd w:val="clear" w:color="auto" w:fill="auto"/>
            <w:vAlign w:val="center"/>
          </w:tcPr>
          <w:p w14:paraId="19515E9E">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p>
        </w:tc>
        <w:tc>
          <w:tcPr>
            <w:tcW w:w="1186" w:type="pct"/>
            <w:shd w:val="clear" w:color="auto" w:fill="auto"/>
            <w:vAlign w:val="center"/>
          </w:tcPr>
          <w:p w14:paraId="4F945835">
            <w:pPr>
              <w:wordWrap/>
              <w:overflowPunct/>
              <w:topLinePunct w:val="0"/>
              <w:bidi w:val="0"/>
              <w:snapToGrid w:val="0"/>
              <w:spacing w:line="300" w:lineRule="auto"/>
              <w:ind w:left="0" w:leftChars="0" w:firstLine="0" w:firstLineChars="0"/>
              <w:jc w:val="center"/>
              <w:rPr>
                <w:rFonts w:hint="default" w:ascii="宋体" w:hAnsi="宋体" w:eastAsia="宋体"/>
                <w:color w:val="auto"/>
                <w:sz w:val="18"/>
                <w:szCs w:val="18"/>
                <w:highlight w:val="none"/>
                <w:lang w:val="en-US" w:eastAsia="zh-CN" w:bidi="en-US"/>
              </w:rPr>
            </w:pPr>
            <w:r>
              <w:rPr>
                <w:rFonts w:hint="eastAsia" w:ascii="宋体" w:hAnsi="宋体"/>
                <w:color w:val="auto"/>
                <w:sz w:val="18"/>
                <w:szCs w:val="18"/>
                <w:highlight w:val="none"/>
                <w:lang w:val="en-US" w:eastAsia="zh-CN" w:bidi="en-US"/>
              </w:rPr>
              <w:t>竖向接缝</w:t>
            </w:r>
          </w:p>
        </w:tc>
        <w:tc>
          <w:tcPr>
            <w:tcW w:w="1421" w:type="pct"/>
            <w:shd w:val="clear" w:color="auto" w:fill="auto"/>
            <w:vAlign w:val="center"/>
          </w:tcPr>
          <w:p w14:paraId="346ACF17">
            <w:pPr>
              <w:wordWrap/>
              <w:overflowPunct/>
              <w:topLinePunct w:val="0"/>
              <w:bidi w:val="0"/>
              <w:snapToGrid w:val="0"/>
              <w:spacing w:line="300" w:lineRule="auto"/>
              <w:ind w:left="0" w:leftChars="0" w:firstLine="0" w:firstLineChars="0"/>
              <w:jc w:val="center"/>
              <w:rPr>
                <w:rFonts w:ascii="宋体" w:hAnsi="宋体"/>
                <w:color w:val="auto"/>
                <w:sz w:val="18"/>
                <w:szCs w:val="18"/>
                <w:highlight w:val="none"/>
                <w:lang w:bidi="en-US"/>
              </w:rPr>
            </w:pPr>
            <w:r>
              <w:rPr>
                <w:rFonts w:hint="eastAsia" w:ascii="宋体" w:hAnsi="宋体"/>
                <w:color w:val="auto"/>
                <w:sz w:val="18"/>
                <w:szCs w:val="18"/>
                <w:highlight w:val="none"/>
                <w:lang w:bidi="en-US"/>
              </w:rPr>
              <w:t>≥</w:t>
            </w:r>
            <w:r>
              <w:rPr>
                <w:rFonts w:hint="eastAsia" w:ascii="宋体" w:hAnsi="宋体"/>
                <w:color w:val="auto"/>
                <w:sz w:val="18"/>
                <w:szCs w:val="18"/>
                <w:highlight w:val="none"/>
                <w:lang w:val="en-US" w:eastAsia="zh-CN" w:bidi="en-US"/>
              </w:rPr>
              <w:t>-5</w:t>
            </w:r>
            <w:r>
              <w:rPr>
                <w:rFonts w:hint="eastAsia" w:ascii="宋体" w:hAnsi="宋体"/>
                <w:color w:val="auto"/>
                <w:sz w:val="18"/>
                <w:szCs w:val="18"/>
                <w:highlight w:val="none"/>
                <w:lang w:bidi="en-US"/>
              </w:rPr>
              <w:t>，且≤</w:t>
            </w:r>
            <w:r>
              <w:rPr>
                <w:rFonts w:hint="eastAsia" w:ascii="宋体" w:hAnsi="宋体"/>
                <w:color w:val="auto"/>
                <w:sz w:val="18"/>
                <w:szCs w:val="18"/>
                <w:highlight w:val="none"/>
                <w:lang w:val="en-US" w:eastAsia="zh-CN" w:bidi="en-US"/>
              </w:rPr>
              <w:t>5</w:t>
            </w:r>
          </w:p>
        </w:tc>
        <w:tc>
          <w:tcPr>
            <w:tcW w:w="1457" w:type="pct"/>
            <w:vMerge w:val="continue"/>
            <w:shd w:val="clear" w:color="auto" w:fill="auto"/>
            <w:vAlign w:val="center"/>
          </w:tcPr>
          <w:p w14:paraId="46BA79BF">
            <w:pPr>
              <w:wordWrap/>
              <w:overflowPunct/>
              <w:topLinePunct w:val="0"/>
              <w:bidi w:val="0"/>
              <w:snapToGrid w:val="0"/>
              <w:spacing w:line="300" w:lineRule="auto"/>
              <w:ind w:firstLine="360" w:firstLineChars="200"/>
              <w:jc w:val="center"/>
              <w:rPr>
                <w:rFonts w:ascii="宋体" w:hAnsi="宋体"/>
                <w:color w:val="auto"/>
                <w:sz w:val="18"/>
                <w:szCs w:val="18"/>
                <w:highlight w:val="none"/>
                <w:lang w:bidi="en-US"/>
              </w:rPr>
            </w:pPr>
          </w:p>
        </w:tc>
      </w:tr>
    </w:tbl>
    <w:p w14:paraId="6F53B2F2">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10.3.10</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bidi="ar-SA"/>
        </w:rPr>
        <w:t>外墙接缝的防水性能应符合设计要求。</w:t>
      </w:r>
    </w:p>
    <w:p w14:paraId="78843C7E">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检查数量：按批检验。每10户和1000m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的较小值外墙应划分为一个检验批，不足10户或1000m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时也应划分为一个检验批；每个检验批每100m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应至少抽查一处，每处不得少于10m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w:t>
      </w:r>
    </w:p>
    <w:p w14:paraId="309BA64C">
      <w:pPr>
        <w:wordWrap/>
        <w:overflowPunct/>
        <w:topLinePunct w:val="0"/>
        <w:bidi w:val="0"/>
        <w:snapToGrid w:val="0"/>
        <w:spacing w:line="300" w:lineRule="auto"/>
        <w:ind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检验方法：按现行国家标准《装配式混凝土建筑技术标准》GB/T 51231的要求进行。</w:t>
      </w:r>
    </w:p>
    <w:p w14:paraId="7D356AB4">
      <w:pPr>
        <w:widowControl/>
        <w:wordWrap/>
        <w:overflowPunct/>
        <w:topLinePunct w:val="0"/>
        <w:bidi w:val="0"/>
        <w:snapToGrid w:val="0"/>
        <w:spacing w:line="300" w:lineRule="auto"/>
        <w:ind w:firstLine="420" w:firstLineChars="200"/>
        <w:jc w:val="left"/>
        <w:rPr>
          <w:rFonts w:ascii="宋体" w:hAnsi="宋体" w:cs="Times New Roman"/>
          <w:color w:val="auto"/>
          <w:kern w:val="44"/>
          <w:szCs w:val="24"/>
          <w:highlight w:val="none"/>
          <w:lang w:val="zh-CN"/>
        </w:rPr>
      </w:pPr>
      <w:r>
        <w:rPr>
          <w:rFonts w:ascii="宋体" w:hAnsi="宋体" w:cs="Times New Roman"/>
          <w:color w:val="auto"/>
          <w:sz w:val="21"/>
          <w:szCs w:val="21"/>
          <w:highlight w:val="none"/>
        </w:rPr>
        <w:br w:type="page"/>
      </w:r>
      <w:bookmarkStart w:id="432" w:name="_Toc117005628"/>
      <w:bookmarkStart w:id="433" w:name="_Toc132205497"/>
      <w:bookmarkStart w:id="434" w:name="_Toc134531842"/>
      <w:bookmarkStart w:id="435" w:name="_Toc116115107"/>
      <w:bookmarkStart w:id="436" w:name="_Toc117005824"/>
      <w:bookmarkStart w:id="437" w:name="_Toc132205393"/>
      <w:bookmarkStart w:id="438" w:name="_Toc148909496"/>
      <w:bookmarkStart w:id="439" w:name="_Toc24903416"/>
      <w:bookmarkStart w:id="440" w:name="_Toc154525553"/>
      <w:bookmarkStart w:id="441" w:name="_Toc134531777"/>
      <w:bookmarkStart w:id="442" w:name="_Toc153805674"/>
      <w:bookmarkStart w:id="443" w:name="_Toc154526016"/>
      <w:bookmarkStart w:id="444" w:name="_Hlk114229219"/>
    </w:p>
    <w:p w14:paraId="497AE9E3">
      <w:pPr>
        <w:pStyle w:val="61"/>
        <w:bidi w:val="0"/>
        <w:rPr>
          <w:rFonts w:hint="eastAsia" w:cs="Times New Roman"/>
          <w:bCs w:val="0"/>
          <w:color w:val="auto"/>
          <w:highlight w:val="none"/>
          <w:lang w:val="en-US"/>
        </w:rPr>
      </w:pPr>
      <w:bookmarkStart w:id="445" w:name="_Toc177840591"/>
      <w:bookmarkStart w:id="446" w:name="_Toc177840199"/>
      <w:bookmarkStart w:id="447" w:name="_Toc21119"/>
      <w:bookmarkStart w:id="448" w:name="_Toc9396"/>
      <w:bookmarkStart w:id="449" w:name="_Toc4071"/>
      <w:bookmarkStart w:id="450" w:name="_Toc29398"/>
      <w:bookmarkStart w:id="451" w:name="_Toc10484"/>
      <w:bookmarkStart w:id="452" w:name="_Toc25068"/>
      <w:bookmarkStart w:id="453" w:name="_Toc180613556"/>
      <w:r>
        <w:rPr>
          <w:rFonts w:hint="eastAsia" w:cs="Times New Roman"/>
          <w:b w:val="0"/>
          <w:bCs w:val="0"/>
          <w:color w:val="auto"/>
          <w:highlight w:val="none"/>
          <w:lang w:val="en-US"/>
        </w:rPr>
        <w:t>本</w:t>
      </w:r>
      <w:r>
        <w:rPr>
          <w:rFonts w:hint="eastAsia" w:eastAsia="黑体" w:cs="Times New Roman"/>
          <w:b w:val="0"/>
          <w:bCs w:val="0"/>
          <w:color w:val="auto"/>
          <w:highlight w:val="none"/>
          <w:lang w:val="en-US" w:eastAsia="zh-CN"/>
        </w:rPr>
        <w:t>规程</w:t>
      </w:r>
      <w:r>
        <w:rPr>
          <w:rFonts w:hint="eastAsia" w:cs="Times New Roman"/>
          <w:b w:val="0"/>
          <w:bCs w:val="0"/>
          <w:color w:val="auto"/>
          <w:highlight w:val="none"/>
          <w:lang w:val="en-US"/>
        </w:rPr>
        <w:t>用词说明</w:t>
      </w:r>
      <w:bookmarkEnd w:id="432"/>
      <w:bookmarkEnd w:id="433"/>
      <w:bookmarkEnd w:id="434"/>
      <w:bookmarkEnd w:id="435"/>
      <w:bookmarkEnd w:id="436"/>
      <w:bookmarkEnd w:id="437"/>
      <w:bookmarkEnd w:id="438"/>
      <w:bookmarkEnd w:id="439"/>
      <w:bookmarkEnd w:id="440"/>
      <w:bookmarkEnd w:id="441"/>
      <w:bookmarkEnd w:id="442"/>
      <w:bookmarkEnd w:id="443"/>
      <w:bookmarkEnd w:id="445"/>
      <w:bookmarkEnd w:id="446"/>
      <w:bookmarkEnd w:id="447"/>
      <w:bookmarkEnd w:id="448"/>
      <w:bookmarkEnd w:id="449"/>
      <w:bookmarkEnd w:id="450"/>
      <w:bookmarkEnd w:id="451"/>
      <w:bookmarkEnd w:id="452"/>
      <w:bookmarkEnd w:id="453"/>
    </w:p>
    <w:p w14:paraId="4F790E82">
      <w:pPr>
        <w:pStyle w:val="36"/>
        <w:tabs>
          <w:tab w:val="left" w:pos="993"/>
        </w:tabs>
        <w:wordWrap/>
        <w:overflowPunct/>
        <w:topLinePunct w:val="0"/>
        <w:bidi w:val="0"/>
        <w:snapToGrid w:val="0"/>
        <w:spacing w:line="300" w:lineRule="auto"/>
        <w:ind w:firstLine="480" w:firstLineChars="200"/>
        <w:rPr>
          <w:rFonts w:ascii="宋体" w:hAnsi="宋体" w:cs="Times New Roman"/>
          <w:color w:val="auto"/>
          <w:sz w:val="24"/>
          <w:szCs w:val="24"/>
          <w:highlight w:val="none"/>
        </w:rPr>
      </w:pPr>
      <w:r>
        <w:rPr>
          <w:rFonts w:ascii="Times New Roman" w:hAnsi="Times New Roman" w:cs="Courier New"/>
          <w:b/>
          <w:bCs/>
          <w:color w:val="auto"/>
          <w:sz w:val="24"/>
          <w:szCs w:val="24"/>
          <w:highlight w:val="none"/>
        </w:rPr>
        <w:t>1</w:t>
      </w:r>
      <w:r>
        <w:rPr>
          <w:rFonts w:ascii="宋体" w:hAnsi="宋体" w:cs="Times New Roman"/>
          <w:color w:val="auto"/>
          <w:sz w:val="24"/>
          <w:szCs w:val="24"/>
          <w:highlight w:val="none"/>
        </w:rPr>
        <w:t xml:space="preserve"> 为便于在执行本</w:t>
      </w:r>
      <w:r>
        <w:rPr>
          <w:rFonts w:hint="eastAsia" w:ascii="宋体" w:hAnsi="宋体" w:cs="Times New Roman"/>
          <w:color w:val="auto"/>
          <w:sz w:val="24"/>
          <w:szCs w:val="24"/>
          <w:highlight w:val="none"/>
          <w:lang w:val="en-US" w:eastAsia="zh-CN"/>
        </w:rPr>
        <w:t>规程</w:t>
      </w:r>
      <w:r>
        <w:rPr>
          <w:rFonts w:ascii="宋体" w:hAnsi="宋体" w:cs="Times New Roman"/>
          <w:color w:val="auto"/>
          <w:sz w:val="24"/>
          <w:szCs w:val="24"/>
          <w:highlight w:val="none"/>
        </w:rPr>
        <w:t>条文时区别对待，对要求严格程度不同的用词说明如下：</w:t>
      </w:r>
    </w:p>
    <w:p w14:paraId="02329BDA">
      <w:pPr>
        <w:pStyle w:val="7"/>
        <w:wordWrap/>
        <w:overflowPunct/>
        <w:topLinePunct w:val="0"/>
        <w:bidi w:val="0"/>
        <w:snapToGrid w:val="0"/>
        <w:spacing w:before="120" w:beforeLines="0" w:afterLines="0"/>
        <w:ind w:firstLine="720" w:firstLineChars="300"/>
        <w:outlineLvl w:val="9"/>
        <w:rPr>
          <w:rFonts w:ascii="Times New Roman" w:hAnsi="Times New Roman" w:eastAsia="宋体"/>
          <w:color w:val="auto"/>
          <w:sz w:val="24"/>
          <w:szCs w:val="24"/>
          <w:highlight w:val="none"/>
        </w:rPr>
      </w:pPr>
      <w:bookmarkStart w:id="454" w:name="_Toc8368"/>
      <w:bookmarkStart w:id="455" w:name="_Toc14950"/>
      <w:bookmarkStart w:id="456" w:name="_Toc30329"/>
      <w:bookmarkStart w:id="457" w:name="_Toc7219"/>
      <w:bookmarkStart w:id="458" w:name="_Toc5386"/>
      <w:r>
        <w:rPr>
          <w:rFonts w:ascii="Times New Roman" w:hAnsi="Times New Roman" w:eastAsia="宋体"/>
          <w:color w:val="auto"/>
          <w:sz w:val="24"/>
          <w:szCs w:val="24"/>
          <w:highlight w:val="none"/>
        </w:rPr>
        <w:t>1）表示很严格，非这样做不可的：</w:t>
      </w:r>
      <w:bookmarkEnd w:id="454"/>
      <w:bookmarkEnd w:id="455"/>
      <w:bookmarkEnd w:id="456"/>
      <w:bookmarkEnd w:id="457"/>
      <w:bookmarkEnd w:id="458"/>
    </w:p>
    <w:p w14:paraId="1E4B616A">
      <w:pPr>
        <w:pStyle w:val="7"/>
        <w:wordWrap/>
        <w:overflowPunct/>
        <w:topLinePunct w:val="0"/>
        <w:bidi w:val="0"/>
        <w:snapToGrid w:val="0"/>
        <w:spacing w:before="120" w:beforeLines="0" w:afterLines="0"/>
        <w:ind w:firstLine="1080" w:firstLineChars="450"/>
        <w:outlineLvl w:val="9"/>
        <w:rPr>
          <w:rFonts w:ascii="Times New Roman" w:hAnsi="Times New Roman" w:eastAsia="宋体"/>
          <w:color w:val="auto"/>
          <w:sz w:val="24"/>
          <w:szCs w:val="24"/>
          <w:highlight w:val="none"/>
        </w:rPr>
      </w:pPr>
      <w:bookmarkStart w:id="459" w:name="_Toc30053"/>
      <w:bookmarkStart w:id="460" w:name="_Toc16171"/>
      <w:bookmarkStart w:id="461" w:name="_Toc22691"/>
      <w:bookmarkStart w:id="462" w:name="_Toc18342"/>
      <w:bookmarkStart w:id="463" w:name="_Toc1784"/>
      <w:r>
        <w:rPr>
          <w:rFonts w:ascii="Times New Roman" w:hAnsi="Times New Roman" w:eastAsia="宋体"/>
          <w:color w:val="auto"/>
          <w:sz w:val="24"/>
          <w:szCs w:val="24"/>
          <w:highlight w:val="none"/>
        </w:rPr>
        <w:t>正面词采用“必须”，反面词采用“严禁”；</w:t>
      </w:r>
      <w:bookmarkEnd w:id="459"/>
      <w:bookmarkEnd w:id="460"/>
      <w:bookmarkEnd w:id="461"/>
      <w:bookmarkEnd w:id="462"/>
      <w:bookmarkEnd w:id="463"/>
    </w:p>
    <w:p w14:paraId="7A7A422D">
      <w:pPr>
        <w:pStyle w:val="7"/>
        <w:wordWrap/>
        <w:overflowPunct/>
        <w:topLinePunct w:val="0"/>
        <w:bidi w:val="0"/>
        <w:snapToGrid w:val="0"/>
        <w:spacing w:before="120" w:beforeLines="0" w:afterLines="0"/>
        <w:ind w:firstLine="720" w:firstLineChars="300"/>
        <w:outlineLvl w:val="9"/>
        <w:rPr>
          <w:rFonts w:ascii="Times New Roman" w:hAnsi="Times New Roman" w:eastAsia="宋体"/>
          <w:color w:val="auto"/>
          <w:sz w:val="24"/>
          <w:szCs w:val="24"/>
          <w:highlight w:val="none"/>
        </w:rPr>
      </w:pPr>
      <w:bookmarkStart w:id="464" w:name="_Toc22671"/>
      <w:bookmarkStart w:id="465" w:name="_Toc28644"/>
      <w:bookmarkStart w:id="466" w:name="_Toc31536"/>
      <w:bookmarkStart w:id="467" w:name="_Toc27778"/>
      <w:bookmarkStart w:id="468" w:name="_Toc26991"/>
      <w:r>
        <w:rPr>
          <w:rFonts w:ascii="Times New Roman" w:hAnsi="Times New Roman" w:eastAsia="宋体"/>
          <w:color w:val="auto"/>
          <w:sz w:val="24"/>
          <w:szCs w:val="24"/>
          <w:highlight w:val="none"/>
        </w:rPr>
        <w:t>2）表示严格，在正常情况下均应这样做的：</w:t>
      </w:r>
      <w:bookmarkEnd w:id="464"/>
      <w:bookmarkEnd w:id="465"/>
      <w:bookmarkEnd w:id="466"/>
      <w:bookmarkEnd w:id="467"/>
      <w:bookmarkEnd w:id="468"/>
    </w:p>
    <w:p w14:paraId="1CA6F63B">
      <w:pPr>
        <w:pStyle w:val="7"/>
        <w:wordWrap/>
        <w:overflowPunct/>
        <w:topLinePunct w:val="0"/>
        <w:bidi w:val="0"/>
        <w:snapToGrid w:val="0"/>
        <w:spacing w:before="120" w:beforeLines="0" w:afterLines="0"/>
        <w:ind w:firstLine="1080" w:firstLineChars="450"/>
        <w:outlineLvl w:val="9"/>
        <w:rPr>
          <w:rFonts w:ascii="Times New Roman" w:hAnsi="Times New Roman" w:eastAsia="宋体"/>
          <w:color w:val="auto"/>
          <w:sz w:val="24"/>
          <w:szCs w:val="24"/>
          <w:highlight w:val="none"/>
        </w:rPr>
      </w:pPr>
      <w:bookmarkStart w:id="469" w:name="_Toc5394"/>
      <w:bookmarkStart w:id="470" w:name="_Toc2170"/>
      <w:bookmarkStart w:id="471" w:name="_Toc7252"/>
      <w:bookmarkStart w:id="472" w:name="_Toc1480"/>
      <w:bookmarkStart w:id="473" w:name="_Toc24349"/>
      <w:r>
        <w:rPr>
          <w:rFonts w:ascii="Times New Roman" w:hAnsi="Times New Roman" w:eastAsia="宋体"/>
          <w:color w:val="auto"/>
          <w:sz w:val="24"/>
          <w:szCs w:val="24"/>
          <w:highlight w:val="none"/>
        </w:rPr>
        <w:t>正面词采用“应”，反面词采用“不应”或“不得”；</w:t>
      </w:r>
      <w:bookmarkEnd w:id="469"/>
      <w:bookmarkEnd w:id="470"/>
      <w:bookmarkEnd w:id="471"/>
      <w:bookmarkEnd w:id="472"/>
      <w:bookmarkEnd w:id="473"/>
    </w:p>
    <w:p w14:paraId="62428315">
      <w:pPr>
        <w:pStyle w:val="7"/>
        <w:wordWrap/>
        <w:overflowPunct/>
        <w:topLinePunct w:val="0"/>
        <w:bidi w:val="0"/>
        <w:snapToGrid w:val="0"/>
        <w:spacing w:before="120" w:beforeLines="0" w:afterLines="0"/>
        <w:ind w:firstLine="720" w:firstLineChars="300"/>
        <w:outlineLvl w:val="9"/>
        <w:rPr>
          <w:rFonts w:ascii="Times New Roman" w:hAnsi="Times New Roman" w:eastAsia="宋体"/>
          <w:color w:val="auto"/>
          <w:sz w:val="24"/>
          <w:szCs w:val="24"/>
          <w:highlight w:val="none"/>
        </w:rPr>
      </w:pPr>
      <w:bookmarkStart w:id="474" w:name="_Toc30889"/>
      <w:bookmarkStart w:id="475" w:name="_Toc1556"/>
      <w:bookmarkStart w:id="476" w:name="_Toc23002"/>
      <w:bookmarkStart w:id="477" w:name="_Toc5476"/>
      <w:bookmarkStart w:id="478" w:name="_Toc23284"/>
      <w:r>
        <w:rPr>
          <w:rFonts w:ascii="Times New Roman" w:hAnsi="Times New Roman" w:eastAsia="宋体"/>
          <w:color w:val="auto"/>
          <w:sz w:val="24"/>
          <w:szCs w:val="24"/>
          <w:highlight w:val="none"/>
        </w:rPr>
        <w:t>3）表示允许稍有选择，在条件许可时首先这样做的：</w:t>
      </w:r>
      <w:bookmarkEnd w:id="474"/>
      <w:bookmarkEnd w:id="475"/>
      <w:bookmarkEnd w:id="476"/>
      <w:bookmarkEnd w:id="477"/>
      <w:bookmarkEnd w:id="478"/>
    </w:p>
    <w:p w14:paraId="60349B5A">
      <w:pPr>
        <w:pStyle w:val="7"/>
        <w:wordWrap/>
        <w:overflowPunct/>
        <w:topLinePunct w:val="0"/>
        <w:bidi w:val="0"/>
        <w:snapToGrid w:val="0"/>
        <w:spacing w:before="120" w:beforeLines="0" w:afterLines="0"/>
        <w:ind w:firstLine="1080" w:firstLineChars="450"/>
        <w:outlineLvl w:val="9"/>
        <w:rPr>
          <w:rFonts w:ascii="Times New Roman" w:hAnsi="Times New Roman" w:eastAsia="宋体"/>
          <w:color w:val="auto"/>
          <w:sz w:val="24"/>
          <w:szCs w:val="24"/>
          <w:highlight w:val="none"/>
        </w:rPr>
      </w:pPr>
      <w:bookmarkStart w:id="479" w:name="_Toc2271"/>
      <w:bookmarkStart w:id="480" w:name="_Toc21963"/>
      <w:bookmarkStart w:id="481" w:name="_Toc22919"/>
      <w:bookmarkStart w:id="482" w:name="_Toc26379"/>
      <w:bookmarkStart w:id="483" w:name="_Toc24175"/>
      <w:r>
        <w:rPr>
          <w:rFonts w:ascii="Times New Roman" w:hAnsi="Times New Roman" w:eastAsia="宋体"/>
          <w:color w:val="auto"/>
          <w:sz w:val="24"/>
          <w:szCs w:val="24"/>
          <w:highlight w:val="none"/>
        </w:rPr>
        <w:t>正面词采用“宜”，反面词采用“不宜”；</w:t>
      </w:r>
      <w:bookmarkEnd w:id="479"/>
      <w:bookmarkEnd w:id="480"/>
      <w:bookmarkEnd w:id="481"/>
      <w:bookmarkEnd w:id="482"/>
      <w:bookmarkEnd w:id="483"/>
    </w:p>
    <w:p w14:paraId="1C620236">
      <w:pPr>
        <w:pStyle w:val="7"/>
        <w:wordWrap/>
        <w:overflowPunct/>
        <w:topLinePunct w:val="0"/>
        <w:bidi w:val="0"/>
        <w:snapToGrid w:val="0"/>
        <w:spacing w:before="120" w:beforeLines="0" w:afterLines="0"/>
        <w:ind w:firstLine="720" w:firstLineChars="300"/>
        <w:outlineLvl w:val="9"/>
        <w:rPr>
          <w:rFonts w:ascii="Times New Roman" w:hAnsi="Times New Roman" w:eastAsia="宋体"/>
          <w:color w:val="auto"/>
          <w:sz w:val="24"/>
          <w:szCs w:val="24"/>
          <w:highlight w:val="none"/>
        </w:rPr>
      </w:pPr>
      <w:bookmarkStart w:id="484" w:name="_Toc3254"/>
      <w:bookmarkStart w:id="485" w:name="_Toc26546"/>
      <w:bookmarkStart w:id="486" w:name="_Toc10233"/>
      <w:bookmarkStart w:id="487" w:name="_Toc7618"/>
      <w:bookmarkStart w:id="488" w:name="_Toc10847"/>
      <w:r>
        <w:rPr>
          <w:rFonts w:ascii="Times New Roman" w:hAnsi="Times New Roman" w:eastAsia="宋体"/>
          <w:color w:val="auto"/>
          <w:sz w:val="24"/>
          <w:szCs w:val="24"/>
          <w:highlight w:val="none"/>
        </w:rPr>
        <w:t>4）表示有选择，在一定条件下可以这样做的，采用“可”。</w:t>
      </w:r>
      <w:bookmarkEnd w:id="484"/>
      <w:bookmarkEnd w:id="485"/>
      <w:bookmarkEnd w:id="486"/>
      <w:bookmarkEnd w:id="487"/>
      <w:bookmarkEnd w:id="488"/>
    </w:p>
    <w:p w14:paraId="7955631E">
      <w:pPr>
        <w:pStyle w:val="62"/>
        <w:wordWrap/>
        <w:overflowPunct/>
        <w:topLinePunct w:val="0"/>
        <w:bidi w:val="0"/>
        <w:snapToGrid w:val="0"/>
        <w:spacing w:line="360" w:lineRule="auto"/>
        <w:ind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 条文中指明应按其他有关标准执行的写法为：</w:t>
      </w:r>
      <w:bookmarkStart w:id="489" w:name="_Toc9826"/>
      <w:bookmarkStart w:id="490" w:name="_Toc21865"/>
      <w:r>
        <w:rPr>
          <w:rFonts w:ascii="Times New Roman" w:hAnsi="Times New Roman" w:eastAsia="宋体" w:cs="Times New Roman"/>
          <w:color w:val="auto"/>
          <w:sz w:val="24"/>
          <w:szCs w:val="24"/>
          <w:highlight w:val="none"/>
        </w:rPr>
        <w:t>“应符合……的规定”或“应按……执行”。</w:t>
      </w:r>
      <w:bookmarkEnd w:id="489"/>
      <w:bookmarkEnd w:id="490"/>
    </w:p>
    <w:p w14:paraId="40D675D1">
      <w:pPr>
        <w:wordWrap/>
        <w:overflowPunct/>
        <w:topLinePunct w:val="0"/>
        <w:bidi w:val="0"/>
        <w:snapToGrid w:val="0"/>
        <w:spacing w:line="300" w:lineRule="auto"/>
        <w:ind w:firstLine="480" w:firstLineChars="200"/>
        <w:rPr>
          <w:rFonts w:ascii="宋体" w:hAnsi="宋体" w:cs="Times New Roman"/>
          <w:color w:val="auto"/>
          <w:highlight w:val="none"/>
        </w:rPr>
      </w:pPr>
    </w:p>
    <w:p w14:paraId="33389F77">
      <w:pPr>
        <w:wordWrap/>
        <w:overflowPunct/>
        <w:topLinePunct w:val="0"/>
        <w:bidi w:val="0"/>
        <w:snapToGrid w:val="0"/>
        <w:spacing w:line="300" w:lineRule="auto"/>
        <w:ind w:firstLine="480" w:firstLineChars="200"/>
        <w:rPr>
          <w:rFonts w:ascii="宋体" w:hAnsi="宋体" w:cs="Times New Roman"/>
          <w:color w:val="auto"/>
          <w:highlight w:val="none"/>
          <w:lang w:val="zh-CN"/>
        </w:rPr>
      </w:pPr>
    </w:p>
    <w:p w14:paraId="1AEADE3E">
      <w:pPr>
        <w:wordWrap/>
        <w:overflowPunct/>
        <w:topLinePunct w:val="0"/>
        <w:bidi w:val="0"/>
        <w:snapToGrid w:val="0"/>
        <w:spacing w:line="300" w:lineRule="auto"/>
        <w:ind w:firstLine="480" w:firstLineChars="200"/>
        <w:rPr>
          <w:rFonts w:ascii="宋体" w:hAnsi="宋体" w:cs="Times New Roman"/>
          <w:color w:val="auto"/>
          <w:highlight w:val="none"/>
          <w:lang w:val="zh-CN"/>
        </w:rPr>
        <w:sectPr>
          <w:pgSz w:w="11906" w:h="16838"/>
          <w:pgMar w:top="1077" w:right="1191" w:bottom="1077" w:left="1191" w:header="851" w:footer="850" w:gutter="0"/>
          <w:pgNumType w:fmt="decimal"/>
          <w:cols w:space="425" w:num="1"/>
          <w:docGrid w:type="linesAndChars" w:linePitch="326" w:charSpace="0"/>
        </w:sectPr>
      </w:pPr>
    </w:p>
    <w:p w14:paraId="54055D87">
      <w:pPr>
        <w:pStyle w:val="61"/>
        <w:bidi w:val="0"/>
        <w:rPr>
          <w:rFonts w:hint="eastAsia" w:cs="Times New Roman"/>
          <w:b w:val="0"/>
          <w:bCs w:val="0"/>
          <w:color w:val="auto"/>
          <w:highlight w:val="none"/>
          <w:lang w:val="en-US" w:eastAsia="zh-CN"/>
        </w:rPr>
      </w:pPr>
      <w:bookmarkStart w:id="491" w:name="_Toc23172"/>
      <w:bookmarkStart w:id="492" w:name="_Toc9374"/>
      <w:bookmarkStart w:id="493" w:name="_Toc177840592"/>
      <w:bookmarkStart w:id="494" w:name="_Toc13931"/>
      <w:bookmarkStart w:id="495" w:name="_Toc134531778"/>
      <w:bookmarkStart w:id="496" w:name="_Toc154525554"/>
      <w:bookmarkStart w:id="497" w:name="_Toc117005825"/>
      <w:bookmarkStart w:id="498" w:name="_Toc132205394"/>
      <w:bookmarkStart w:id="499" w:name="_Toc116115108"/>
      <w:bookmarkStart w:id="500" w:name="_Toc148909497"/>
      <w:bookmarkStart w:id="501" w:name="_Toc25575"/>
      <w:bookmarkStart w:id="502" w:name="_Toc11015"/>
      <w:bookmarkStart w:id="503" w:name="_Toc134531843"/>
      <w:bookmarkStart w:id="504" w:name="_Toc117005629"/>
      <w:bookmarkStart w:id="505" w:name="_Toc180613249"/>
      <w:bookmarkStart w:id="506" w:name="_Toc132205498"/>
      <w:bookmarkStart w:id="507" w:name="_Toc177840200"/>
      <w:bookmarkStart w:id="508" w:name="_Toc8859"/>
      <w:bookmarkStart w:id="509" w:name="_Toc154526017"/>
      <w:bookmarkStart w:id="510" w:name="_Toc153805675"/>
      <w:bookmarkStart w:id="511" w:name="_Toc180613557"/>
      <w:r>
        <w:rPr>
          <w:rFonts w:hint="eastAsia" w:cs="Times New Roman"/>
          <w:b w:val="0"/>
          <w:bCs w:val="0"/>
          <w:color w:val="auto"/>
          <w:highlight w:val="none"/>
          <w:lang w:val="en-US" w:eastAsia="zh-CN"/>
        </w:rPr>
        <w:t>引用标准名录</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4A5C1E2A">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p>
    <w:p w14:paraId="5A565F20">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w:t>
      </w:r>
      <w:r>
        <w:rPr>
          <w:rFonts w:hint="eastAsia" w:ascii="宋体" w:hAnsi="宋体" w:cs="Times New Roman"/>
          <w:color w:val="auto"/>
          <w:kern w:val="2"/>
          <w:sz w:val="24"/>
          <w:szCs w:val="24"/>
          <w:highlight w:val="none"/>
          <w:lang w:val="en-US" w:eastAsia="zh-CN" w:bidi="ar-SA"/>
        </w:rPr>
        <w:t xml:space="preserve"> </w:t>
      </w:r>
      <w:r>
        <w:rPr>
          <w:rFonts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混凝土结构设计标准</w:t>
      </w:r>
      <w:r>
        <w:rPr>
          <w:rFonts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 xml:space="preserve">                                          GB/T 50010</w:t>
      </w:r>
    </w:p>
    <w:p w14:paraId="5E6516DD">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《建筑</w:t>
      </w:r>
      <w:r>
        <w:rPr>
          <w:rFonts w:hint="eastAsia" w:ascii="宋体" w:hAnsi="宋体" w:cs="Times New Roman"/>
          <w:color w:val="auto"/>
          <w:kern w:val="2"/>
          <w:sz w:val="24"/>
          <w:szCs w:val="24"/>
          <w:highlight w:val="none"/>
          <w:lang w:val="en-US" w:eastAsia="zh-CN" w:bidi="ar-SA"/>
        </w:rPr>
        <w:t>抗震设计标准</w:t>
      </w:r>
      <w:r>
        <w:rPr>
          <w:rFonts w:hint="eastAsia"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GB/T</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50011</w:t>
      </w:r>
    </w:p>
    <w:p w14:paraId="0FD3138E">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w:t>
      </w:r>
      <w:r>
        <w:rPr>
          <w:rFonts w:hint="eastAsia" w:ascii="宋体" w:hAnsi="宋体" w:cs="Times New Roman"/>
          <w:color w:val="auto"/>
          <w:kern w:val="2"/>
          <w:sz w:val="24"/>
          <w:szCs w:val="24"/>
          <w:highlight w:val="none"/>
          <w:lang w:val="en-US" w:eastAsia="zh-CN" w:bidi="ar-SA"/>
        </w:rPr>
        <w:t xml:space="preserve"> </w:t>
      </w:r>
      <w:r>
        <w:rPr>
          <w:rFonts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钢结构设计标准</w:t>
      </w:r>
      <w:r>
        <w:rPr>
          <w:rFonts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 xml:space="preserve">                                               </w:t>
      </w:r>
      <w:r>
        <w:rPr>
          <w:rFonts w:ascii="宋体" w:hAnsi="宋体" w:eastAsia="宋体" w:cs="Times New Roman"/>
          <w:color w:val="auto"/>
          <w:kern w:val="2"/>
          <w:sz w:val="24"/>
          <w:szCs w:val="24"/>
          <w:highlight w:val="none"/>
          <w:lang w:val="en-US" w:eastAsia="zh-CN" w:bidi="ar-SA"/>
        </w:rPr>
        <w:t>GB 50017</w:t>
      </w:r>
    </w:p>
    <w:p w14:paraId="3A25D914">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4</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《普通混凝土拌合物性能试验方法标准》</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GB/T 50080</w:t>
      </w:r>
    </w:p>
    <w:p w14:paraId="1B68732B">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5</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《混凝土结构工程施工质量验收规范》</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w:t>
      </w:r>
      <w:r>
        <w:rPr>
          <w:rFonts w:ascii="宋体" w:hAnsi="宋体" w:eastAsia="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50204</w:t>
      </w:r>
    </w:p>
    <w:p w14:paraId="3A1AC1B3">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6</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《钢结构工程施工质量验收规范》</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 50205</w:t>
      </w:r>
    </w:p>
    <w:p w14:paraId="6F886E60">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7</w:t>
      </w:r>
      <w:r>
        <w:rPr>
          <w:rFonts w:hint="eastAsia" w:ascii="宋体" w:hAnsi="宋体" w:cs="Times New Roman"/>
          <w:color w:val="auto"/>
          <w:kern w:val="2"/>
          <w:sz w:val="24"/>
          <w:szCs w:val="24"/>
          <w:highlight w:val="none"/>
          <w:lang w:val="en-US" w:eastAsia="zh-CN" w:bidi="ar-SA"/>
        </w:rPr>
        <w:t xml:space="preserve"> 《建筑内部装修设计防火规范》                                     GB 50222</w:t>
      </w:r>
    </w:p>
    <w:p w14:paraId="4081B139">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8</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《水泥基灌浆材料应用技术规范》</w:t>
      </w:r>
      <w:r>
        <w:rPr>
          <w:rFonts w:hint="eastAsia" w:ascii="宋体" w:hAnsi="宋体" w:cs="Times New Roman"/>
          <w:color w:val="auto"/>
          <w:kern w:val="2"/>
          <w:sz w:val="24"/>
          <w:szCs w:val="24"/>
          <w:highlight w:val="none"/>
          <w:lang w:val="en-US" w:eastAsia="zh-CN" w:bidi="ar-SA"/>
        </w:rPr>
        <w:t xml:space="preserve">                                 GB/T 50448</w:t>
      </w:r>
    </w:p>
    <w:p w14:paraId="3EF70C97">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9</w:t>
      </w:r>
      <w:r>
        <w:rPr>
          <w:rFonts w:hint="eastAsia" w:ascii="宋体" w:hAnsi="宋体" w:cs="Times New Roman"/>
          <w:color w:val="auto"/>
          <w:kern w:val="2"/>
          <w:sz w:val="24"/>
          <w:szCs w:val="24"/>
          <w:highlight w:val="none"/>
          <w:lang w:val="en-US" w:eastAsia="zh-CN" w:bidi="ar-SA"/>
        </w:rPr>
        <w:t xml:space="preserve"> 《建筑工程施工组织设计规范》                                   GB/T 50502</w:t>
      </w:r>
    </w:p>
    <w:p w14:paraId="4080884D">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0</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《钢结构焊接规范》</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 50661</w:t>
      </w:r>
    </w:p>
    <w:p w14:paraId="2F574348">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1</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《混凝土结构工程施工规范》</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w:t>
      </w:r>
      <w:r>
        <w:rPr>
          <w:rFonts w:ascii="宋体" w:hAnsi="宋体" w:eastAsia="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50666</w:t>
      </w:r>
    </w:p>
    <w:p w14:paraId="749A614C">
      <w:pPr>
        <w:wordWrap/>
        <w:overflowPunct/>
        <w:topLinePunct w:val="0"/>
        <w:bidi w:val="0"/>
        <w:snapToGrid w:val="0"/>
        <w:spacing w:line="30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2</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《钢结构工程施工规范》</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 50755</w:t>
      </w:r>
    </w:p>
    <w:p w14:paraId="76A6BEA3">
      <w:pPr>
        <w:wordWrap/>
        <w:overflowPunct/>
        <w:topLinePunct w:val="0"/>
        <w:bidi w:val="0"/>
        <w:snapToGrid w:val="0"/>
        <w:spacing w:line="300" w:lineRule="auto"/>
        <w:ind w:firstLine="480" w:firstLineChars="200"/>
        <w:rPr>
          <w:rFonts w:hint="default"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3</w:t>
      </w:r>
      <w:r>
        <w:rPr>
          <w:rFonts w:hint="eastAsia" w:ascii="宋体" w:hAnsi="宋体" w:cs="Times New Roman"/>
          <w:color w:val="auto"/>
          <w:kern w:val="2"/>
          <w:sz w:val="24"/>
          <w:szCs w:val="24"/>
          <w:highlight w:val="none"/>
          <w:lang w:val="en-US" w:eastAsia="zh-CN" w:bidi="ar-SA"/>
        </w:rPr>
        <w:t xml:space="preserve"> 《装配式混</w:t>
      </w:r>
      <w:r>
        <w:rPr>
          <w:rFonts w:hint="eastAsia" w:hAnsi="宋体" w:cs="Times New Roman"/>
          <w:color w:val="auto"/>
          <w:kern w:val="2"/>
          <w:sz w:val="24"/>
          <w:szCs w:val="24"/>
          <w:highlight w:val="none"/>
          <w:lang w:val="en-US" w:eastAsia="zh-CN" w:bidi="ar-SA"/>
        </w:rPr>
        <w:t xml:space="preserve">凝土建筑技术标准》                                   </w:t>
      </w:r>
      <w:r>
        <w:rPr>
          <w:rFonts w:hint="eastAsia" w:ascii="宋体" w:hAnsi="宋体" w:eastAsia="宋体" w:cs="Times New Roman"/>
          <w:color w:val="auto"/>
          <w:kern w:val="2"/>
          <w:sz w:val="24"/>
          <w:szCs w:val="24"/>
          <w:highlight w:val="none"/>
          <w:lang w:val="en-US" w:eastAsia="zh-CN" w:bidi="ar-SA"/>
        </w:rPr>
        <w:t>GB</w:t>
      </w:r>
      <w:r>
        <w:rPr>
          <w:rFonts w:hint="eastAsia" w:ascii="宋体" w:hAnsi="宋体" w:cs="Times New Roman"/>
          <w:color w:val="auto"/>
          <w:kern w:val="2"/>
          <w:sz w:val="24"/>
          <w:szCs w:val="24"/>
          <w:highlight w:val="none"/>
          <w:lang w:val="en-US" w:eastAsia="zh-CN" w:bidi="ar-SA"/>
        </w:rPr>
        <w:t>/T</w:t>
      </w:r>
      <w:r>
        <w:rPr>
          <w:rFonts w:hint="eastAsia" w:ascii="宋体" w:hAnsi="宋体" w:eastAsia="宋体" w:cs="Times New Roman"/>
          <w:color w:val="auto"/>
          <w:kern w:val="2"/>
          <w:sz w:val="24"/>
          <w:szCs w:val="24"/>
          <w:highlight w:val="none"/>
          <w:lang w:val="en-US" w:eastAsia="zh-CN" w:bidi="ar-SA"/>
        </w:rPr>
        <w:t xml:space="preserve"> 51231</w:t>
      </w:r>
    </w:p>
    <w:p w14:paraId="02F2955B">
      <w:pPr>
        <w:wordWrap/>
        <w:overflowPunct/>
        <w:topLinePunct w:val="0"/>
        <w:bidi w:val="0"/>
        <w:snapToGrid w:val="0"/>
        <w:spacing w:line="300" w:lineRule="auto"/>
        <w:ind w:firstLine="480" w:firstLineChars="200"/>
        <w:rPr>
          <w:rFonts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4</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《工程结构通用规范》</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 55001</w:t>
      </w:r>
    </w:p>
    <w:p w14:paraId="5F4C5CB0">
      <w:pPr>
        <w:wordWrap/>
        <w:overflowPunct/>
        <w:topLinePunct w:val="0"/>
        <w:bidi w:val="0"/>
        <w:snapToGrid w:val="0"/>
        <w:spacing w:line="30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5</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《混凝土外加剂匀质性试验方法》</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GB/T 8077</w:t>
      </w:r>
    </w:p>
    <w:p w14:paraId="5994A599">
      <w:pPr>
        <w:wordWrap/>
        <w:overflowPunct/>
        <w:topLinePunct w:val="0"/>
        <w:bidi w:val="0"/>
        <w:snapToGrid w:val="0"/>
        <w:spacing w:line="30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6</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《金属覆盖层钢铁制件热浸镀锌层技术要求及试验方法》</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GB/T 13912</w:t>
      </w:r>
    </w:p>
    <w:p w14:paraId="719590C4">
      <w:pPr>
        <w:wordWrap/>
        <w:overflowPunct/>
        <w:topLinePunct w:val="0"/>
        <w:bidi w:val="0"/>
        <w:snapToGrid w:val="0"/>
        <w:spacing w:line="30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7</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《装配式混凝土结构技术规程》</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JGJ 1</w:t>
      </w:r>
    </w:p>
    <w:p w14:paraId="595A65B9">
      <w:pPr>
        <w:wordWrap/>
        <w:overflowPunct/>
        <w:topLinePunct w:val="0"/>
        <w:bidi w:val="0"/>
        <w:snapToGrid w:val="0"/>
        <w:spacing w:line="30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8</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《钢筋焊接及验收规程》</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JGJ 18</w:t>
      </w:r>
    </w:p>
    <w:p w14:paraId="38EDCC2D">
      <w:pPr>
        <w:wordWrap/>
        <w:overflowPunct/>
        <w:topLinePunct w:val="0"/>
        <w:bidi w:val="0"/>
        <w:snapToGrid w:val="0"/>
        <w:spacing w:line="30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19</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《普通混凝土配合比设计规程》</w:t>
      </w:r>
      <w:r>
        <w:rPr>
          <w:rFonts w:hint="eastAsia" w:ascii="宋体" w:hAnsi="宋体" w:cs="Times New Roman"/>
          <w:color w:val="auto"/>
          <w:kern w:val="2"/>
          <w:sz w:val="24"/>
          <w:szCs w:val="24"/>
          <w:highlight w:val="non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JGJ 55</w:t>
      </w:r>
    </w:p>
    <w:p w14:paraId="39036C6D">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0</w:t>
      </w:r>
      <w:r>
        <w:rPr>
          <w:rFonts w:hint="eastAsia" w:ascii="宋体" w:hAnsi="宋体" w:cs="Times New Roman"/>
          <w:color w:val="auto"/>
          <w:kern w:val="2"/>
          <w:sz w:val="24"/>
          <w:szCs w:val="24"/>
          <w:highlight w:val="none"/>
          <w:lang w:val="en-US" w:eastAsia="zh-CN" w:bidi="ar-SA"/>
        </w:rPr>
        <w:t xml:space="preserve"> 《建筑工程冬期施工规程》                                       JGJ/T 104</w:t>
      </w:r>
    </w:p>
    <w:p w14:paraId="474ACD23">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1</w:t>
      </w:r>
      <w:r>
        <w:rPr>
          <w:rFonts w:hint="eastAsia" w:ascii="宋体" w:hAnsi="宋体" w:cs="Times New Roman"/>
          <w:color w:val="auto"/>
          <w:kern w:val="2"/>
          <w:sz w:val="24"/>
          <w:szCs w:val="24"/>
          <w:highlight w:val="none"/>
          <w:lang w:val="en-US" w:eastAsia="zh-CN" w:bidi="ar-SA"/>
        </w:rPr>
        <w:t xml:space="preserve"> 《钢筋焊接网混凝土结构技术规程》                                  JGJ 114</w:t>
      </w:r>
    </w:p>
    <w:p w14:paraId="709D0823">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2</w:t>
      </w:r>
      <w:r>
        <w:rPr>
          <w:rFonts w:hint="eastAsia" w:ascii="宋体" w:hAnsi="宋体" w:cs="Times New Roman"/>
          <w:color w:val="auto"/>
          <w:kern w:val="2"/>
          <w:sz w:val="24"/>
          <w:szCs w:val="24"/>
          <w:highlight w:val="none"/>
          <w:lang w:val="en-US" w:eastAsia="zh-CN" w:bidi="ar-SA"/>
        </w:rPr>
        <w:t xml:space="preserve"> 《建筑钢结构防腐蚀技术规程》                                    JGJ/T 251</w:t>
      </w:r>
    </w:p>
    <w:p w14:paraId="23B52AB9">
      <w:pPr>
        <w:wordWrap/>
        <w:overflowPunct/>
        <w:topLinePunct w:val="0"/>
        <w:bidi w:val="0"/>
        <w:snapToGrid w:val="0"/>
        <w:spacing w:line="300" w:lineRule="auto"/>
        <w:ind w:firstLine="480" w:firstLineChars="200"/>
        <w:rPr>
          <w:rFonts w:hint="default"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3</w:t>
      </w:r>
      <w:r>
        <w:rPr>
          <w:rFonts w:hint="eastAsia" w:ascii="宋体" w:hAnsi="宋体" w:cs="Times New Roman"/>
          <w:color w:val="auto"/>
          <w:kern w:val="2"/>
          <w:sz w:val="24"/>
          <w:szCs w:val="24"/>
          <w:highlight w:val="none"/>
          <w:lang w:val="en-US" w:eastAsia="zh-CN" w:bidi="ar-SA"/>
        </w:rPr>
        <w:t xml:space="preserve"> </w:t>
      </w:r>
      <w:r>
        <w:rPr>
          <w:rFonts w:hint="default" w:ascii="宋体" w:hAnsi="宋体" w:cs="Times New Roman"/>
          <w:color w:val="auto"/>
          <w:kern w:val="2"/>
          <w:sz w:val="24"/>
          <w:szCs w:val="24"/>
          <w:highlight w:val="none"/>
          <w:lang w:val="en-US" w:eastAsia="zh-CN" w:bidi="ar-SA"/>
        </w:rPr>
        <w:t>《高强混凝土应用技术规程》</w:t>
      </w:r>
      <w:r>
        <w:rPr>
          <w:rFonts w:hint="eastAsia" w:ascii="宋体" w:hAnsi="宋体" w:cs="Times New Roman"/>
          <w:color w:val="auto"/>
          <w:kern w:val="2"/>
          <w:sz w:val="24"/>
          <w:szCs w:val="24"/>
          <w:highlight w:val="none"/>
          <w:lang w:val="en-US" w:eastAsia="zh-CN" w:bidi="ar-SA"/>
        </w:rPr>
        <w:t xml:space="preserve">                                     </w:t>
      </w:r>
      <w:r>
        <w:rPr>
          <w:rFonts w:hint="default" w:ascii="宋体" w:hAnsi="宋体" w:cs="Times New Roman"/>
          <w:color w:val="auto"/>
          <w:kern w:val="2"/>
          <w:sz w:val="24"/>
          <w:szCs w:val="24"/>
          <w:highlight w:val="none"/>
          <w:lang w:val="en-US" w:eastAsia="zh-CN" w:bidi="ar-SA"/>
        </w:rPr>
        <w:t>JGJ/T 281</w:t>
      </w:r>
    </w:p>
    <w:p w14:paraId="45DA6968">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4</w:t>
      </w:r>
      <w:r>
        <w:rPr>
          <w:rFonts w:hint="eastAsia" w:ascii="宋体" w:hAnsi="宋体" w:cs="Times New Roman"/>
          <w:color w:val="auto"/>
          <w:kern w:val="2"/>
          <w:sz w:val="24"/>
          <w:szCs w:val="24"/>
          <w:highlight w:val="none"/>
          <w:lang w:val="en-US" w:eastAsia="zh-CN" w:bidi="ar-SA"/>
        </w:rPr>
        <w:t xml:space="preserve"> 《钢筋套筒灌浆连接应用技术规程》                                JGJ/T 355</w:t>
      </w:r>
    </w:p>
    <w:p w14:paraId="0CD9D4EC">
      <w:pPr>
        <w:wordWrap/>
        <w:overflowPunct/>
        <w:topLinePunct w:val="0"/>
        <w:bidi w:val="0"/>
        <w:snapToGrid w:val="0"/>
        <w:spacing w:line="300" w:lineRule="auto"/>
        <w:ind w:firstLine="480" w:firstLineChars="200"/>
        <w:rPr>
          <w:rFonts w:hint="default"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5</w:t>
      </w:r>
      <w:r>
        <w:rPr>
          <w:rFonts w:hint="eastAsia" w:ascii="宋体" w:hAnsi="宋体" w:cs="Times New Roman"/>
          <w:color w:val="auto"/>
          <w:kern w:val="2"/>
          <w:sz w:val="24"/>
          <w:szCs w:val="24"/>
          <w:highlight w:val="none"/>
          <w:lang w:val="en-US" w:eastAsia="zh-CN" w:bidi="ar-SA"/>
        </w:rPr>
        <w:t xml:space="preserve"> 《钢筋连接用灌浆套筒》                                          JG/T 398</w:t>
      </w:r>
    </w:p>
    <w:p w14:paraId="4AFC828B">
      <w:pPr>
        <w:wordWrap/>
        <w:overflowPunct/>
        <w:topLinePunct w:val="0"/>
        <w:bidi w:val="0"/>
        <w:snapToGrid w:val="0"/>
        <w:spacing w:line="300" w:lineRule="auto"/>
        <w:ind w:firstLine="480" w:firstLineChars="200"/>
        <w:rPr>
          <w:rFonts w:hint="default"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6</w:t>
      </w:r>
      <w:r>
        <w:rPr>
          <w:rFonts w:hint="eastAsia" w:ascii="宋体" w:hAnsi="宋体" w:cs="Times New Roman"/>
          <w:color w:val="auto"/>
          <w:kern w:val="2"/>
          <w:sz w:val="24"/>
          <w:szCs w:val="24"/>
          <w:highlight w:val="none"/>
          <w:lang w:val="en-US" w:eastAsia="zh-CN" w:bidi="ar-SA"/>
        </w:rPr>
        <w:t xml:space="preserve"> </w:t>
      </w:r>
      <w:r>
        <w:rPr>
          <w:rFonts w:hint="default" w:ascii="宋体" w:hAnsi="宋体" w:cs="Times New Roman"/>
          <w:color w:val="auto"/>
          <w:kern w:val="2"/>
          <w:sz w:val="24"/>
          <w:szCs w:val="24"/>
          <w:highlight w:val="none"/>
          <w:lang w:val="en-US" w:eastAsia="zh-CN" w:bidi="ar-SA"/>
        </w:rPr>
        <w:t>《钢筋连接用套筒灌浆料》</w:t>
      </w:r>
      <w:r>
        <w:rPr>
          <w:rFonts w:hint="eastAsia" w:ascii="宋体" w:hAnsi="宋体" w:cs="Times New Roman"/>
          <w:color w:val="auto"/>
          <w:kern w:val="2"/>
          <w:sz w:val="24"/>
          <w:szCs w:val="24"/>
          <w:highlight w:val="none"/>
          <w:lang w:val="en-US" w:eastAsia="zh-CN" w:bidi="ar-SA"/>
        </w:rPr>
        <w:t xml:space="preserve">                                         </w:t>
      </w:r>
      <w:r>
        <w:rPr>
          <w:rFonts w:hint="default" w:ascii="宋体" w:hAnsi="宋体" w:cs="Times New Roman"/>
          <w:color w:val="auto"/>
          <w:kern w:val="2"/>
          <w:sz w:val="24"/>
          <w:szCs w:val="24"/>
          <w:highlight w:val="none"/>
          <w:lang w:val="en-US" w:eastAsia="zh-CN" w:bidi="ar-SA"/>
        </w:rPr>
        <w:t>JG/T 408</w:t>
      </w:r>
    </w:p>
    <w:p w14:paraId="11A511C5">
      <w:pPr>
        <w:wordWrap/>
        <w:overflowPunct/>
        <w:topLinePunct w:val="0"/>
        <w:bidi w:val="0"/>
        <w:snapToGrid w:val="0"/>
        <w:spacing w:line="300" w:lineRule="auto"/>
        <w:ind w:firstLine="480" w:firstLineChars="200"/>
        <w:rPr>
          <w:rFonts w:hint="default"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7</w:t>
      </w:r>
      <w:r>
        <w:rPr>
          <w:rFonts w:hint="eastAsia" w:ascii="宋体" w:hAnsi="宋体" w:cs="Times New Roman"/>
          <w:color w:val="auto"/>
          <w:kern w:val="2"/>
          <w:sz w:val="24"/>
          <w:szCs w:val="24"/>
          <w:highlight w:val="none"/>
          <w:lang w:val="en-US" w:eastAsia="zh-CN" w:bidi="ar-SA"/>
        </w:rPr>
        <w:t xml:space="preserve"> 《装配式整体卫生间应用技术标准》                               </w:t>
      </w:r>
      <w:bookmarkStart w:id="559" w:name="_GoBack"/>
      <w:bookmarkEnd w:id="559"/>
      <w:r>
        <w:rPr>
          <w:rFonts w:hint="eastAsia" w:ascii="宋体" w:hAnsi="宋体" w:cs="Times New Roman"/>
          <w:color w:val="auto"/>
          <w:kern w:val="2"/>
          <w:sz w:val="24"/>
          <w:szCs w:val="24"/>
          <w:highlight w:val="none"/>
          <w:lang w:val="en-US" w:eastAsia="zh-CN" w:bidi="ar-SA"/>
        </w:rPr>
        <w:t>JGJ/T 467</w:t>
      </w:r>
    </w:p>
    <w:p w14:paraId="2CAB0950">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8</w:t>
      </w:r>
      <w:r>
        <w:rPr>
          <w:rFonts w:hint="eastAsia" w:ascii="宋体" w:hAnsi="宋体" w:cs="Times New Roman"/>
          <w:color w:val="auto"/>
          <w:kern w:val="2"/>
          <w:sz w:val="24"/>
          <w:szCs w:val="24"/>
          <w:highlight w:val="none"/>
          <w:lang w:val="en-US" w:eastAsia="zh-CN" w:bidi="ar-SA"/>
        </w:rPr>
        <w:t xml:space="preserve"> 《装配式整体厨房应用技术标准》                                  JGJ/T 477</w:t>
      </w:r>
    </w:p>
    <w:p w14:paraId="7C488DF8">
      <w:pPr>
        <w:wordWrap/>
        <w:overflowPunct/>
        <w:topLinePunct w:val="0"/>
        <w:bidi w:val="0"/>
        <w:snapToGrid w:val="0"/>
        <w:spacing w:line="300" w:lineRule="auto"/>
        <w:ind w:firstLine="480" w:firstLineChars="200"/>
        <w:rPr>
          <w:rFonts w:hint="eastAsia" w:ascii="宋体" w:hAnsi="宋体" w:cs="Times New Roman"/>
          <w:color w:val="auto"/>
          <w:kern w:val="2"/>
          <w:sz w:val="24"/>
          <w:szCs w:val="24"/>
          <w:highlight w:val="none"/>
          <w:lang w:val="en-US" w:eastAsia="zh-CN" w:bidi="ar-SA"/>
        </w:rPr>
      </w:pPr>
    </w:p>
    <w:bookmarkEnd w:id="444"/>
    <w:p w14:paraId="62DEA72F">
      <w:pPr>
        <w:keepNext/>
        <w:keepLines/>
        <w:wordWrap/>
        <w:overflowPunct/>
        <w:topLinePunct w:val="0"/>
        <w:bidi w:val="0"/>
        <w:snapToGrid w:val="0"/>
        <w:spacing w:line="300" w:lineRule="auto"/>
        <w:ind w:firstLine="480" w:firstLineChars="200"/>
        <w:jc w:val="center"/>
        <w:outlineLvl w:val="0"/>
        <w:rPr>
          <w:rFonts w:ascii="宋体" w:hAnsi="宋体" w:eastAsia="宋体" w:cs="Times New Roman"/>
          <w:color w:val="auto"/>
          <w:kern w:val="2"/>
          <w:sz w:val="24"/>
          <w:szCs w:val="24"/>
          <w:highlight w:val="none"/>
          <w:lang w:val="zh-CN" w:eastAsia="zh-CN" w:bidi="ar-SA"/>
        </w:rPr>
        <w:sectPr>
          <w:pgSz w:w="11906" w:h="16838"/>
          <w:pgMar w:top="1077" w:right="1191" w:bottom="1077" w:left="1191" w:header="851" w:footer="850" w:gutter="0"/>
          <w:pgNumType w:fmt="decimal"/>
          <w:cols w:space="425" w:num="1"/>
          <w:docGrid w:type="linesAndChars" w:linePitch="326" w:charSpace="0"/>
        </w:sectPr>
      </w:pPr>
    </w:p>
    <w:p w14:paraId="2C401A6F">
      <w:pPr>
        <w:tabs>
          <w:tab w:val="center" w:pos="4140"/>
          <w:tab w:val="left" w:pos="6660"/>
        </w:tabs>
        <w:spacing w:line="360" w:lineRule="auto"/>
        <w:jc w:val="center"/>
        <w:rPr>
          <w:b/>
          <w:bCs/>
          <w:color w:val="auto"/>
          <w:sz w:val="30"/>
          <w:szCs w:val="30"/>
          <w:highlight w:val="none"/>
        </w:rPr>
      </w:pPr>
      <w:bookmarkStart w:id="512" w:name="_Toc14210"/>
      <w:r>
        <w:rPr>
          <w:rFonts w:hint="eastAsia"/>
          <w:b/>
          <w:bCs/>
          <w:color w:val="auto"/>
          <w:sz w:val="30"/>
          <w:szCs w:val="30"/>
          <w:highlight w:val="none"/>
        </w:rPr>
        <w:t>北京市地方标准</w:t>
      </w:r>
    </w:p>
    <w:p w14:paraId="02BCB625">
      <w:pPr>
        <w:jc w:val="center"/>
        <w:rPr>
          <w:color w:val="auto"/>
          <w:spacing w:val="20"/>
          <w:sz w:val="44"/>
          <w:szCs w:val="44"/>
          <w:highlight w:val="none"/>
        </w:rPr>
      </w:pPr>
    </w:p>
    <w:p w14:paraId="5249E677">
      <w:pPr>
        <w:spacing w:line="480" w:lineRule="exact"/>
        <w:jc w:val="center"/>
        <w:rPr>
          <w:rFonts w:hint="eastAsia" w:eastAsia="黑体"/>
          <w:color w:val="auto"/>
          <w:sz w:val="44"/>
          <w:szCs w:val="44"/>
          <w:highlight w:val="none"/>
          <w:lang w:eastAsia="zh-CN"/>
        </w:rPr>
      </w:pPr>
    </w:p>
    <w:p w14:paraId="350B93EF">
      <w:pPr>
        <w:spacing w:line="360" w:lineRule="auto"/>
        <w:jc w:val="center"/>
        <w:rPr>
          <w:rFonts w:ascii="黑体" w:eastAsia="黑体"/>
          <w:color w:val="auto"/>
          <w:sz w:val="36"/>
          <w:szCs w:val="36"/>
          <w:highlight w:val="none"/>
        </w:rPr>
      </w:pPr>
      <w:r>
        <w:rPr>
          <w:rFonts w:hint="default" w:ascii="黑体" w:eastAsia="黑体"/>
          <w:color w:val="auto"/>
          <w:sz w:val="36"/>
          <w:szCs w:val="36"/>
          <w:highlight w:val="none"/>
          <w:lang w:eastAsia="zh-CN"/>
        </w:rPr>
        <w:t>低层全装配混凝土集成箱式建筑技术规程</w:t>
      </w:r>
    </w:p>
    <w:p w14:paraId="39813DA0">
      <w:pPr>
        <w:jc w:val="center"/>
        <w:rPr>
          <w:rFonts w:eastAsia="微软雅黑"/>
          <w:color w:val="auto"/>
          <w:spacing w:val="20"/>
          <w:sz w:val="44"/>
          <w:szCs w:val="44"/>
          <w:highlight w:val="none"/>
        </w:rPr>
      </w:pPr>
      <w:r>
        <w:rPr>
          <w:rFonts w:hint="default" w:cstheme="minorBidi"/>
          <w:b/>
          <w:bCs/>
          <w:color w:val="auto"/>
          <w:sz w:val="32"/>
          <w:szCs w:val="32"/>
          <w:highlight w:val="none"/>
          <w:lang w:eastAsia="zh-CN"/>
        </w:rPr>
        <w:t xml:space="preserve">Technical Specification for Fully Prefabricated </w:t>
      </w:r>
      <w:r>
        <w:rPr>
          <w:rFonts w:hint="eastAsia" w:cstheme="minorBidi"/>
          <w:b/>
          <w:bCs/>
          <w:color w:val="auto"/>
          <w:sz w:val="32"/>
          <w:szCs w:val="32"/>
          <w:highlight w:val="none"/>
          <w:lang w:eastAsia="zh-CN"/>
        </w:rPr>
        <w:t>Low-rise</w:t>
      </w:r>
      <w:r>
        <w:rPr>
          <w:rFonts w:hint="default" w:cstheme="minorBidi"/>
          <w:b/>
          <w:bCs/>
          <w:color w:val="auto"/>
          <w:sz w:val="32"/>
          <w:szCs w:val="32"/>
          <w:highlight w:val="none"/>
          <w:lang w:eastAsia="zh-CN"/>
        </w:rPr>
        <w:t xml:space="preserve"> Concrete Modular Box Buildings</w:t>
      </w:r>
    </w:p>
    <w:p w14:paraId="2A87D4E5">
      <w:pPr>
        <w:spacing w:line="360" w:lineRule="auto"/>
        <w:jc w:val="center"/>
        <w:rPr>
          <w:b/>
          <w:bCs/>
          <w:color w:val="auto"/>
          <w:sz w:val="32"/>
          <w:szCs w:val="32"/>
          <w:highlight w:val="none"/>
        </w:rPr>
      </w:pPr>
    </w:p>
    <w:p w14:paraId="6B5F4E9C">
      <w:pPr>
        <w:jc w:val="center"/>
        <w:rPr>
          <w:color w:val="auto"/>
          <w:sz w:val="44"/>
          <w:szCs w:val="44"/>
          <w:highlight w:val="none"/>
        </w:rPr>
      </w:pPr>
    </w:p>
    <w:p w14:paraId="2581C93D">
      <w:pPr>
        <w:tabs>
          <w:tab w:val="left" w:pos="2520"/>
        </w:tabs>
        <w:spacing w:line="360" w:lineRule="auto"/>
        <w:rPr>
          <w:rFonts w:hint="eastAsia" w:eastAsia="宋体"/>
          <w:b/>
          <w:bCs/>
          <w:color w:val="auto"/>
          <w:sz w:val="28"/>
          <w:highlight w:val="none"/>
          <w:lang w:eastAsia="zh-CN"/>
        </w:rPr>
      </w:pPr>
      <w:r>
        <w:rPr>
          <w:b/>
          <w:bCs/>
          <w:color w:val="auto"/>
          <w:sz w:val="28"/>
          <w:highlight w:val="none"/>
        </w:rPr>
        <w:tab/>
      </w:r>
      <w:r>
        <w:rPr>
          <w:rFonts w:hint="eastAsia"/>
          <w:b/>
          <w:bCs/>
          <w:color w:val="auto"/>
          <w:sz w:val="28"/>
          <w:highlight w:val="none"/>
        </w:rPr>
        <w:t>编  号：</w:t>
      </w:r>
      <w:r>
        <w:rPr>
          <w:b/>
          <w:bCs/>
          <w:color w:val="auto"/>
          <w:sz w:val="28"/>
          <w:highlight w:val="none"/>
        </w:rPr>
        <w:t>DB</w:t>
      </w:r>
      <w:r>
        <w:rPr>
          <w:rFonts w:hint="eastAsia"/>
          <w:b/>
          <w:bCs/>
          <w:color w:val="auto"/>
          <w:sz w:val="28"/>
          <w:highlight w:val="none"/>
        </w:rPr>
        <w:t>11</w:t>
      </w:r>
      <w:r>
        <w:rPr>
          <w:b/>
          <w:bCs/>
          <w:color w:val="auto"/>
          <w:sz w:val="28"/>
          <w:highlight w:val="none"/>
        </w:rPr>
        <w:t>/</w:t>
      </w:r>
      <w:r>
        <w:rPr>
          <w:rFonts w:hint="eastAsia"/>
          <w:b/>
          <w:bCs/>
          <w:color w:val="auto"/>
          <w:sz w:val="28"/>
          <w:highlight w:val="none"/>
        </w:rPr>
        <w:t>T</w:t>
      </w:r>
      <w:r>
        <w:rPr>
          <w:b/>
          <w:bCs/>
          <w:color w:val="auto"/>
          <w:sz w:val="28"/>
          <w:highlight w:val="none"/>
        </w:rPr>
        <w:t xml:space="preserve"> </w:t>
      </w:r>
      <w:r>
        <w:rPr>
          <w:rFonts w:hint="eastAsia"/>
          <w:b/>
          <w:bCs/>
          <w:color w:val="auto"/>
          <w:sz w:val="28"/>
          <w:highlight w:val="none"/>
          <w:lang w:val="en-US" w:eastAsia="zh-CN"/>
        </w:rPr>
        <w:t>xx</w:t>
      </w:r>
      <w:r>
        <w:rPr>
          <w:b/>
          <w:bCs/>
          <w:color w:val="auto"/>
          <w:sz w:val="28"/>
          <w:highlight w:val="none"/>
        </w:rPr>
        <w:t>-202</w:t>
      </w:r>
      <w:r>
        <w:rPr>
          <w:rFonts w:hint="eastAsia"/>
          <w:b/>
          <w:bCs/>
          <w:color w:val="auto"/>
          <w:sz w:val="28"/>
          <w:highlight w:val="none"/>
        </w:rPr>
        <w:t>X</w:t>
      </w:r>
    </w:p>
    <w:p w14:paraId="6222BD9B">
      <w:pPr>
        <w:tabs>
          <w:tab w:val="left" w:pos="2520"/>
        </w:tabs>
        <w:spacing w:line="360" w:lineRule="auto"/>
        <w:rPr>
          <w:b/>
          <w:bCs/>
          <w:color w:val="auto"/>
          <w:sz w:val="28"/>
          <w:highlight w:val="none"/>
        </w:rPr>
      </w:pPr>
      <w:r>
        <w:rPr>
          <w:b/>
          <w:bCs/>
          <w:color w:val="auto"/>
          <w:sz w:val="28"/>
          <w:highlight w:val="none"/>
        </w:rPr>
        <w:tab/>
      </w:r>
      <w:r>
        <w:rPr>
          <w:rFonts w:hint="eastAsia"/>
          <w:b/>
          <w:bCs/>
          <w:color w:val="auto"/>
          <w:sz w:val="28"/>
          <w:highlight w:val="none"/>
        </w:rPr>
        <w:t>备案号：J10xxx-20</w:t>
      </w:r>
      <w:r>
        <w:rPr>
          <w:b/>
          <w:bCs/>
          <w:color w:val="auto"/>
          <w:sz w:val="28"/>
          <w:highlight w:val="none"/>
        </w:rPr>
        <w:t>2</w:t>
      </w:r>
      <w:r>
        <w:rPr>
          <w:rFonts w:hint="eastAsia"/>
          <w:b/>
          <w:bCs/>
          <w:color w:val="auto"/>
          <w:sz w:val="28"/>
          <w:highlight w:val="none"/>
        </w:rPr>
        <w:t>X</w:t>
      </w:r>
    </w:p>
    <w:p w14:paraId="40145DAA">
      <w:pPr>
        <w:jc w:val="center"/>
        <w:rPr>
          <w:color w:val="auto"/>
          <w:sz w:val="44"/>
          <w:szCs w:val="44"/>
          <w:highlight w:val="none"/>
        </w:rPr>
      </w:pPr>
    </w:p>
    <w:p w14:paraId="11DC75FB">
      <w:pPr>
        <w:pStyle w:val="61"/>
        <w:rPr>
          <w:rFonts w:hint="eastAsia"/>
          <w:color w:val="auto"/>
          <w:highlight w:val="none"/>
        </w:rPr>
      </w:pPr>
      <w:bookmarkStart w:id="513" w:name="_Toc149815254"/>
      <w:bookmarkStart w:id="514" w:name="_Toc170996619"/>
      <w:bookmarkStart w:id="515" w:name="_Toc187007109"/>
      <w:r>
        <w:rPr>
          <w:color w:val="auto"/>
          <w:highlight w:val="none"/>
        </w:rPr>
        <w:t>条文说明</w:t>
      </w:r>
      <w:bookmarkEnd w:id="513"/>
      <w:bookmarkEnd w:id="514"/>
      <w:bookmarkEnd w:id="515"/>
      <w:bookmarkStart w:id="516" w:name="条文说明"/>
    </w:p>
    <w:bookmarkEnd w:id="516"/>
    <w:p w14:paraId="1AC130E0">
      <w:pPr>
        <w:jc w:val="center"/>
        <w:rPr>
          <w:color w:val="auto"/>
          <w:sz w:val="44"/>
          <w:szCs w:val="44"/>
          <w:highlight w:val="none"/>
        </w:rPr>
      </w:pPr>
    </w:p>
    <w:p w14:paraId="4DBBEC6C">
      <w:pPr>
        <w:jc w:val="center"/>
        <w:rPr>
          <w:color w:val="auto"/>
          <w:sz w:val="44"/>
          <w:szCs w:val="44"/>
          <w:highlight w:val="none"/>
        </w:rPr>
      </w:pPr>
    </w:p>
    <w:p w14:paraId="020B51E9">
      <w:pPr>
        <w:jc w:val="center"/>
        <w:rPr>
          <w:color w:val="auto"/>
          <w:sz w:val="44"/>
          <w:szCs w:val="44"/>
          <w:highlight w:val="none"/>
        </w:rPr>
      </w:pPr>
    </w:p>
    <w:p w14:paraId="2634F9AC">
      <w:pPr>
        <w:jc w:val="center"/>
        <w:rPr>
          <w:color w:val="auto"/>
          <w:sz w:val="44"/>
          <w:szCs w:val="44"/>
          <w:highlight w:val="none"/>
        </w:rPr>
      </w:pPr>
    </w:p>
    <w:p w14:paraId="19946EB2">
      <w:pPr>
        <w:jc w:val="center"/>
        <w:rPr>
          <w:color w:val="auto"/>
          <w:sz w:val="44"/>
          <w:szCs w:val="44"/>
          <w:highlight w:val="none"/>
        </w:rPr>
      </w:pPr>
    </w:p>
    <w:p w14:paraId="03F53D3F">
      <w:pPr>
        <w:jc w:val="center"/>
        <w:rPr>
          <w:rFonts w:eastAsia="黑体"/>
          <w:b/>
          <w:color w:val="auto"/>
          <w:sz w:val="28"/>
          <w:szCs w:val="28"/>
          <w:highlight w:val="none"/>
        </w:rPr>
      </w:pPr>
      <w:r>
        <w:rPr>
          <w:rFonts w:hint="eastAsia" w:eastAsia="黑体"/>
          <w:b/>
          <w:color w:val="auto"/>
          <w:sz w:val="28"/>
          <w:szCs w:val="28"/>
          <w:highlight w:val="none"/>
        </w:rPr>
        <w:t>20</w:t>
      </w:r>
      <w:r>
        <w:rPr>
          <w:rFonts w:eastAsia="黑体"/>
          <w:b/>
          <w:color w:val="auto"/>
          <w:sz w:val="28"/>
          <w:szCs w:val="28"/>
          <w:highlight w:val="none"/>
        </w:rPr>
        <w:t>2</w:t>
      </w:r>
      <w:r>
        <w:rPr>
          <w:rFonts w:hint="eastAsia" w:eastAsia="黑体"/>
          <w:b/>
          <w:color w:val="auto"/>
          <w:sz w:val="28"/>
          <w:szCs w:val="28"/>
          <w:highlight w:val="none"/>
          <w:lang w:val="en-US" w:eastAsia="zh-CN"/>
        </w:rPr>
        <w:t>6</w:t>
      </w:r>
      <w:r>
        <w:rPr>
          <w:rFonts w:hint="eastAsia" w:eastAsia="黑体"/>
          <w:b/>
          <w:color w:val="auto"/>
          <w:sz w:val="28"/>
          <w:szCs w:val="28"/>
          <w:highlight w:val="none"/>
        </w:rPr>
        <w:t xml:space="preserve">  北  京</w:t>
      </w:r>
    </w:p>
    <w:bookmarkEnd w:id="512"/>
    <w:p w14:paraId="3E580E58">
      <w:pPr>
        <w:rPr>
          <w:rFonts w:hint="eastAsia"/>
          <w:color w:val="auto"/>
          <w:highlight w:val="none"/>
          <w:lang w:val="en-US" w:eastAsia="zh-CN"/>
        </w:rPr>
      </w:pPr>
      <w:r>
        <w:rPr>
          <w:rFonts w:hint="eastAsia"/>
          <w:color w:val="auto"/>
          <w:highlight w:val="none"/>
          <w:lang w:val="en-US" w:eastAsia="zh-CN"/>
        </w:rPr>
        <w:br w:type="page"/>
      </w:r>
    </w:p>
    <w:p w14:paraId="16CE027F">
      <w:pPr>
        <w:pStyle w:val="2"/>
        <w:bidi w:val="0"/>
        <w:rPr>
          <w:rFonts w:hint="eastAsia" w:ascii="Times New Roman" w:hAnsi="Times New Roman" w:eastAsia="黑体" w:cs="Times New Roman"/>
          <w:b/>
          <w:bCs/>
          <w:color w:val="auto"/>
          <w:kern w:val="44"/>
          <w:sz w:val="30"/>
          <w:szCs w:val="30"/>
          <w:highlight w:val="none"/>
          <w:lang w:val="en-US" w:eastAsia="zh-CN" w:bidi="ar-SA"/>
        </w:rPr>
        <w:sectPr>
          <w:pgSz w:w="11906" w:h="16838"/>
          <w:pgMar w:top="1077" w:right="1191" w:bottom="1077" w:left="1191" w:header="851" w:footer="850" w:gutter="0"/>
          <w:pgNumType w:fmt="decimal"/>
          <w:cols w:space="425" w:num="1"/>
          <w:docGrid w:type="linesAndChars" w:linePitch="326" w:charSpace="0"/>
        </w:sectPr>
      </w:pPr>
      <w:bookmarkStart w:id="517" w:name="_Toc18005"/>
      <w:bookmarkStart w:id="518" w:name="_Toc21887"/>
    </w:p>
    <w:p w14:paraId="3A857509">
      <w:pPr>
        <w:jc w:val="center"/>
        <w:rPr>
          <w:rFonts w:hint="default" w:eastAsia="仿宋_GB2312" w:cs="Times New Roman"/>
          <w:bCs/>
          <w:color w:val="auto"/>
          <w:sz w:val="36"/>
          <w:szCs w:val="24"/>
          <w:highlight w:val="none"/>
        </w:rPr>
      </w:pPr>
      <w:r>
        <w:rPr>
          <w:rFonts w:hint="default" w:eastAsia="仿宋_GB2312" w:cs="Times New Roman"/>
          <w:bCs/>
          <w:color w:val="auto"/>
          <w:sz w:val="36"/>
          <w:szCs w:val="24"/>
          <w:highlight w:val="none"/>
        </w:rPr>
        <w:t>目 次</w:t>
      </w:r>
    </w:p>
    <w:p w14:paraId="5DB64885">
      <w:pPr>
        <w:pStyle w:val="12"/>
        <w:rPr>
          <w:rFonts w:hint="default" w:ascii="宋体" w:hAnsi="宋体" w:cs="宋体"/>
          <w:color w:val="auto"/>
          <w:highlight w:val="none"/>
          <w:lang w:val="en-US" w:eastAsia="zh-CN"/>
        </w:rPr>
      </w:pPr>
      <w:r>
        <w:rPr>
          <w:rFonts w:hint="eastAsia" w:ascii="宋体" w:hAnsi="宋体" w:cs="宋体"/>
          <w:b/>
          <w:bCs/>
          <w:color w:val="auto"/>
          <w:highlight w:val="none"/>
        </w:rPr>
        <w:t>3</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基本规定 </w:t>
      </w:r>
      <w:r>
        <w:rPr>
          <w:rFonts w:hint="eastAsia" w:ascii="宋体" w:hAnsi="宋体" w:eastAsia="宋体" w:cs="宋体"/>
          <w:color w:val="auto"/>
          <w:highlight w:val="none"/>
        </w:rPr>
        <w:tab/>
      </w:r>
      <w:r>
        <w:rPr>
          <w:rFonts w:hint="eastAsia" w:ascii="宋体" w:hAnsi="宋体" w:cs="宋体"/>
          <w:color w:val="auto"/>
          <w:highlight w:val="none"/>
          <w:lang w:val="en-US" w:eastAsia="zh-CN"/>
        </w:rPr>
        <w:t xml:space="preserve"> 30</w:t>
      </w:r>
    </w:p>
    <w:p w14:paraId="6B690ACA">
      <w:pPr>
        <w:pStyle w:val="12"/>
        <w:rPr>
          <w:rFonts w:hint="default" w:ascii="宋体" w:hAnsi="宋体" w:cs="宋体"/>
          <w:color w:val="auto"/>
          <w:highlight w:val="none"/>
          <w:lang w:val="en-US" w:eastAsia="zh-CN"/>
        </w:rPr>
      </w:pPr>
      <w:r>
        <w:rPr>
          <w:rFonts w:hint="eastAsia" w:ascii="宋体" w:hAnsi="宋体" w:cs="宋体"/>
          <w:b/>
          <w:bCs/>
          <w:color w:val="auto"/>
          <w:highlight w:val="none"/>
        </w:rPr>
        <w:t>4</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材料</w:t>
      </w:r>
      <w:r>
        <w:rPr>
          <w:rFonts w:hint="eastAsia" w:ascii="宋体" w:hAnsi="宋体" w:eastAsia="宋体" w:cs="宋体"/>
          <w:color w:val="auto"/>
          <w:highlight w:val="none"/>
        </w:rPr>
        <w:tab/>
      </w:r>
      <w:r>
        <w:rPr>
          <w:rFonts w:hint="eastAsia" w:ascii="宋体" w:hAnsi="宋体" w:cs="宋体"/>
          <w:color w:val="auto"/>
          <w:highlight w:val="none"/>
          <w:lang w:val="en-US" w:eastAsia="zh-CN"/>
        </w:rPr>
        <w:t>31</w:t>
      </w:r>
    </w:p>
    <w:p w14:paraId="729A618A">
      <w:pPr>
        <w:pStyle w:val="12"/>
        <w:rPr>
          <w:rFonts w:hint="default" w:ascii="宋体" w:hAnsi="宋体" w:cs="宋体"/>
          <w:color w:val="auto"/>
          <w:highlight w:val="none"/>
          <w:lang w:val="en-US" w:eastAsia="zh-CN"/>
        </w:rPr>
      </w:pPr>
      <w:r>
        <w:rPr>
          <w:rFonts w:hint="eastAsia" w:ascii="宋体" w:hAnsi="宋体" w:cs="宋体"/>
          <w:b/>
          <w:bCs/>
          <w:color w:val="auto"/>
          <w:highlight w:val="none"/>
        </w:rPr>
        <w:t>5</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建筑设计</w:t>
      </w:r>
      <w:r>
        <w:rPr>
          <w:rFonts w:hint="eastAsia" w:ascii="宋体" w:hAnsi="宋体" w:eastAsia="宋体" w:cs="宋体"/>
          <w:color w:val="auto"/>
          <w:highlight w:val="none"/>
        </w:rPr>
        <w:tab/>
      </w:r>
      <w:r>
        <w:rPr>
          <w:rFonts w:hint="eastAsia" w:ascii="宋体" w:hAnsi="宋体" w:cs="宋体"/>
          <w:color w:val="auto"/>
          <w:highlight w:val="none"/>
          <w:lang w:val="en-US" w:eastAsia="zh-CN"/>
        </w:rPr>
        <w:t>32</w:t>
      </w:r>
    </w:p>
    <w:p w14:paraId="4AC72580">
      <w:pPr>
        <w:pStyle w:val="12"/>
        <w:ind w:firstLine="240" w:firstLineChars="100"/>
        <w:rPr>
          <w:rFonts w:hint="default" w:ascii="宋体" w:hAnsi="宋体" w:cs="宋体"/>
          <w:color w:val="auto"/>
          <w:highlight w:val="none"/>
          <w:lang w:val="en-US" w:eastAsia="zh-CN"/>
        </w:rPr>
      </w:pPr>
      <w:r>
        <w:rPr>
          <w:rFonts w:hint="eastAsia" w:ascii="宋体" w:hAnsi="宋体" w:cs="宋体"/>
          <w:b/>
          <w:bCs/>
          <w:color w:val="auto"/>
          <w:highlight w:val="none"/>
        </w:rPr>
        <w:t>5.1</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一般规定</w:t>
      </w:r>
      <w:r>
        <w:rPr>
          <w:rFonts w:hint="eastAsia" w:ascii="宋体" w:hAnsi="宋体" w:eastAsia="宋体" w:cs="宋体"/>
          <w:color w:val="auto"/>
          <w:highlight w:val="none"/>
        </w:rPr>
        <w:tab/>
      </w:r>
      <w:r>
        <w:rPr>
          <w:rFonts w:hint="eastAsia" w:ascii="宋体" w:hAnsi="宋体" w:cs="宋体"/>
          <w:color w:val="auto"/>
          <w:highlight w:val="none"/>
          <w:lang w:val="en-US" w:eastAsia="zh-CN"/>
        </w:rPr>
        <w:t>32</w:t>
      </w:r>
    </w:p>
    <w:p w14:paraId="513C42FE">
      <w:pPr>
        <w:pStyle w:val="12"/>
        <w:ind w:firstLine="240" w:firstLineChars="100"/>
        <w:rPr>
          <w:rFonts w:hint="default" w:ascii="宋体" w:hAnsi="宋体" w:cs="宋体"/>
          <w:color w:val="auto"/>
          <w:highlight w:val="none"/>
          <w:lang w:val="en-US"/>
        </w:rPr>
      </w:pPr>
      <w:r>
        <w:rPr>
          <w:rFonts w:hint="eastAsia" w:ascii="宋体" w:hAnsi="宋体" w:cs="宋体"/>
          <w:b/>
          <w:bCs/>
          <w:color w:val="auto"/>
          <w:highlight w:val="none"/>
        </w:rPr>
        <w:t>5.2</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平面设计</w:t>
      </w:r>
      <w:r>
        <w:rPr>
          <w:rFonts w:hint="eastAsia" w:ascii="宋体" w:hAnsi="宋体" w:eastAsia="宋体" w:cs="宋体"/>
          <w:color w:val="auto"/>
          <w:highlight w:val="none"/>
        </w:rPr>
        <w:tab/>
      </w:r>
      <w:r>
        <w:rPr>
          <w:rFonts w:hint="eastAsia" w:ascii="宋体" w:hAnsi="宋体" w:cs="宋体"/>
          <w:color w:val="auto"/>
          <w:highlight w:val="none"/>
          <w:lang w:val="en-US" w:eastAsia="zh-CN"/>
        </w:rPr>
        <w:t>32</w:t>
      </w:r>
    </w:p>
    <w:p w14:paraId="31759CB9">
      <w:pPr>
        <w:pStyle w:val="12"/>
        <w:rPr>
          <w:rFonts w:hint="default" w:ascii="宋体" w:hAnsi="宋体" w:cs="宋体"/>
          <w:color w:val="auto"/>
          <w:highlight w:val="none"/>
          <w:lang w:val="en-US" w:eastAsia="zh-CN"/>
        </w:rPr>
      </w:pPr>
      <w:r>
        <w:rPr>
          <w:rFonts w:hint="eastAsia" w:ascii="宋体" w:hAnsi="宋体" w:cs="宋体"/>
          <w:b/>
          <w:bCs/>
          <w:color w:val="auto"/>
          <w:highlight w:val="none"/>
        </w:rPr>
        <w:t>6</w:t>
      </w:r>
      <w:r>
        <w:rPr>
          <w:rFonts w:hint="eastAsia" w:ascii="宋体" w:hAnsi="宋体" w:cs="宋体"/>
          <w:color w:val="auto"/>
          <w:highlight w:val="none"/>
        </w:rPr>
        <w:t xml:space="preserve"> 结构设计</w:t>
      </w:r>
      <w:r>
        <w:rPr>
          <w:rFonts w:hint="eastAsia" w:ascii="宋体" w:hAnsi="宋体" w:eastAsia="宋体" w:cs="宋体"/>
          <w:color w:val="auto"/>
          <w:highlight w:val="none"/>
        </w:rPr>
        <w:tab/>
      </w:r>
      <w:r>
        <w:rPr>
          <w:rFonts w:hint="eastAsia" w:ascii="宋体" w:hAnsi="宋体" w:cs="宋体"/>
          <w:color w:val="auto"/>
          <w:highlight w:val="none"/>
          <w:lang w:val="en-US" w:eastAsia="zh-CN"/>
        </w:rPr>
        <w:t>33</w:t>
      </w:r>
    </w:p>
    <w:p w14:paraId="6BBCB2CF">
      <w:pPr>
        <w:pStyle w:val="12"/>
        <w:ind w:firstLine="240" w:firstLineChars="100"/>
        <w:rPr>
          <w:rFonts w:hint="default" w:ascii="宋体" w:hAnsi="宋体" w:cs="宋体"/>
          <w:color w:val="auto"/>
          <w:highlight w:val="none"/>
          <w:lang w:val="en-US" w:eastAsia="zh-CN"/>
        </w:rPr>
      </w:pPr>
      <w:r>
        <w:rPr>
          <w:rFonts w:hint="eastAsia" w:ascii="宋体" w:hAnsi="宋体" w:cs="宋体"/>
          <w:b/>
          <w:bCs/>
          <w:color w:val="auto"/>
          <w:highlight w:val="none"/>
        </w:rPr>
        <w:t>6.1</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一般规定</w:t>
      </w:r>
      <w:r>
        <w:rPr>
          <w:rFonts w:hint="eastAsia" w:ascii="宋体" w:hAnsi="宋体" w:eastAsia="宋体" w:cs="宋体"/>
          <w:color w:val="auto"/>
          <w:highlight w:val="none"/>
        </w:rPr>
        <w:tab/>
      </w:r>
      <w:r>
        <w:rPr>
          <w:rFonts w:hint="eastAsia" w:ascii="宋体" w:hAnsi="宋体" w:cs="宋体"/>
          <w:color w:val="auto"/>
          <w:highlight w:val="none"/>
          <w:lang w:val="en-US" w:eastAsia="zh-CN"/>
        </w:rPr>
        <w:t>33</w:t>
      </w:r>
    </w:p>
    <w:p w14:paraId="6D07A65B">
      <w:pPr>
        <w:pStyle w:val="12"/>
        <w:ind w:firstLine="240" w:firstLineChars="100"/>
        <w:rPr>
          <w:rFonts w:hint="default" w:ascii="宋体" w:hAnsi="宋体" w:cs="宋体"/>
          <w:color w:val="auto"/>
          <w:highlight w:val="none"/>
          <w:lang w:val="en-US" w:eastAsia="zh-CN"/>
        </w:rPr>
      </w:pPr>
      <w:r>
        <w:rPr>
          <w:rFonts w:hint="eastAsia" w:ascii="宋体" w:hAnsi="宋体" w:cs="宋体"/>
          <w:b/>
          <w:bCs/>
          <w:color w:val="auto"/>
          <w:highlight w:val="none"/>
        </w:rPr>
        <w:t>6.2</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结构</w:t>
      </w:r>
      <w:r>
        <w:rPr>
          <w:rFonts w:hint="eastAsia" w:ascii="宋体" w:hAnsi="宋体" w:cs="宋体"/>
          <w:color w:val="auto"/>
          <w:highlight w:val="none"/>
          <w:lang w:val="en-US" w:eastAsia="zh-CN"/>
        </w:rPr>
        <w:t>分析</w:t>
      </w:r>
      <w:r>
        <w:rPr>
          <w:rFonts w:hint="eastAsia" w:ascii="宋体" w:hAnsi="宋体" w:eastAsia="宋体" w:cs="宋体"/>
          <w:color w:val="auto"/>
          <w:highlight w:val="none"/>
        </w:rPr>
        <w:tab/>
      </w:r>
      <w:r>
        <w:rPr>
          <w:rFonts w:hint="eastAsia" w:ascii="宋体" w:hAnsi="宋体" w:cs="宋体"/>
          <w:color w:val="auto"/>
          <w:highlight w:val="none"/>
          <w:lang w:val="en-US" w:eastAsia="zh-CN"/>
        </w:rPr>
        <w:t>33</w:t>
      </w:r>
    </w:p>
    <w:p w14:paraId="14434F3B">
      <w:pPr>
        <w:pStyle w:val="12"/>
        <w:ind w:firstLine="240" w:firstLineChars="100"/>
        <w:rPr>
          <w:rFonts w:hint="default" w:ascii="宋体" w:hAnsi="宋体" w:cs="宋体"/>
          <w:color w:val="auto"/>
          <w:highlight w:val="none"/>
          <w:lang w:val="en-US" w:eastAsia="zh-CN"/>
        </w:rPr>
      </w:pPr>
      <w:r>
        <w:rPr>
          <w:rFonts w:hint="eastAsia" w:ascii="宋体" w:hAnsi="宋体" w:cs="宋体"/>
          <w:b/>
          <w:bCs/>
          <w:color w:val="auto"/>
          <w:highlight w:val="none"/>
        </w:rPr>
        <w:t>6.3</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结构设计</w:t>
      </w:r>
      <w:r>
        <w:rPr>
          <w:rFonts w:hint="eastAsia" w:ascii="宋体" w:hAnsi="宋体" w:eastAsia="宋体" w:cs="宋体"/>
          <w:color w:val="auto"/>
          <w:highlight w:val="none"/>
        </w:rPr>
        <w:tab/>
      </w:r>
      <w:r>
        <w:rPr>
          <w:rFonts w:hint="eastAsia" w:ascii="宋体" w:hAnsi="宋体" w:cs="宋体"/>
          <w:color w:val="auto"/>
          <w:highlight w:val="none"/>
          <w:lang w:val="en-US" w:eastAsia="zh-CN"/>
        </w:rPr>
        <w:t>34</w:t>
      </w:r>
    </w:p>
    <w:p w14:paraId="404F8C22">
      <w:pPr>
        <w:pStyle w:val="12"/>
        <w:ind w:firstLine="240" w:firstLineChars="100"/>
        <w:rPr>
          <w:rFonts w:hint="default" w:ascii="宋体" w:hAnsi="宋体" w:cs="宋体"/>
          <w:color w:val="auto"/>
          <w:highlight w:val="none"/>
          <w:lang w:val="en-US"/>
        </w:rPr>
      </w:pPr>
      <w:r>
        <w:rPr>
          <w:rFonts w:hint="eastAsia" w:ascii="宋体" w:hAnsi="宋体" w:cs="宋体"/>
          <w:b/>
          <w:bCs/>
          <w:color w:val="auto"/>
          <w:highlight w:val="none"/>
        </w:rPr>
        <w:t>6.4</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连接设计</w:t>
      </w:r>
      <w:r>
        <w:rPr>
          <w:rFonts w:hint="eastAsia" w:ascii="宋体" w:hAnsi="宋体" w:eastAsia="宋体" w:cs="宋体"/>
          <w:color w:val="auto"/>
          <w:highlight w:val="none"/>
        </w:rPr>
        <w:tab/>
      </w:r>
      <w:r>
        <w:rPr>
          <w:rFonts w:hint="eastAsia" w:ascii="宋体" w:hAnsi="宋体" w:cs="宋体"/>
          <w:color w:val="auto"/>
          <w:highlight w:val="none"/>
          <w:lang w:val="en-US" w:eastAsia="zh-CN"/>
        </w:rPr>
        <w:t>34</w:t>
      </w:r>
    </w:p>
    <w:p w14:paraId="4C375092">
      <w:pPr>
        <w:pStyle w:val="12"/>
        <w:rPr>
          <w:rFonts w:hint="default" w:ascii="宋体" w:hAnsi="宋体" w:cs="宋体"/>
          <w:color w:val="auto"/>
          <w:highlight w:val="none"/>
          <w:lang w:val="en-US" w:eastAsia="zh-CN"/>
        </w:rPr>
      </w:pPr>
      <w:r>
        <w:rPr>
          <w:rFonts w:hint="eastAsia" w:ascii="宋体" w:hAnsi="宋体" w:cs="宋体"/>
          <w:b/>
          <w:bCs/>
          <w:color w:val="auto"/>
          <w:highlight w:val="none"/>
        </w:rPr>
        <w:t>8</w:t>
      </w:r>
      <w:r>
        <w:rPr>
          <w:rFonts w:hint="eastAsia" w:ascii="宋体" w:hAnsi="宋体" w:cs="宋体"/>
          <w:color w:val="auto"/>
          <w:highlight w:val="none"/>
        </w:rPr>
        <w:t xml:space="preserve"> 模块生产与运输 </w:t>
      </w:r>
      <w:r>
        <w:rPr>
          <w:rFonts w:hint="eastAsia" w:ascii="宋体" w:hAnsi="宋体" w:eastAsia="宋体" w:cs="宋体"/>
          <w:color w:val="auto"/>
          <w:highlight w:val="none"/>
        </w:rPr>
        <w:tab/>
      </w:r>
      <w:r>
        <w:rPr>
          <w:rFonts w:hint="eastAsia" w:ascii="宋体" w:hAnsi="宋体" w:cs="宋体"/>
          <w:color w:val="auto"/>
          <w:highlight w:val="none"/>
          <w:lang w:val="en-US" w:eastAsia="zh-CN"/>
        </w:rPr>
        <w:t>35</w:t>
      </w:r>
    </w:p>
    <w:p w14:paraId="756571A8">
      <w:pPr>
        <w:pStyle w:val="12"/>
        <w:ind w:firstLine="240" w:firstLineChars="100"/>
        <w:rPr>
          <w:rFonts w:hint="default" w:ascii="宋体" w:hAnsi="宋体" w:cs="宋体"/>
          <w:color w:val="auto"/>
          <w:highlight w:val="none"/>
          <w:lang w:val="en-US" w:eastAsia="zh-CN"/>
        </w:rPr>
      </w:pPr>
      <w:r>
        <w:rPr>
          <w:rFonts w:hint="eastAsia" w:ascii="宋体" w:hAnsi="宋体" w:cs="宋体"/>
          <w:b/>
          <w:bCs/>
          <w:color w:val="auto"/>
          <w:highlight w:val="none"/>
        </w:rPr>
        <w:t>8.1</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一般</w:t>
      </w:r>
      <w:r>
        <w:rPr>
          <w:rFonts w:hint="eastAsia" w:ascii="宋体" w:hAnsi="宋体" w:cs="宋体"/>
          <w:color w:val="auto"/>
          <w:highlight w:val="none"/>
          <w:lang w:val="en-US" w:eastAsia="zh-CN"/>
        </w:rPr>
        <w:t>规定</w:t>
      </w:r>
      <w:r>
        <w:rPr>
          <w:rFonts w:hint="eastAsia" w:ascii="宋体" w:hAnsi="宋体" w:eastAsia="宋体" w:cs="宋体"/>
          <w:color w:val="auto"/>
          <w:highlight w:val="none"/>
        </w:rPr>
        <w:tab/>
      </w:r>
      <w:r>
        <w:rPr>
          <w:rFonts w:hint="eastAsia" w:ascii="宋体" w:hAnsi="宋体" w:cs="宋体"/>
          <w:color w:val="auto"/>
          <w:highlight w:val="none"/>
          <w:lang w:val="en-US" w:eastAsia="zh-CN"/>
        </w:rPr>
        <w:t>35</w:t>
      </w:r>
    </w:p>
    <w:p w14:paraId="4F3A9111">
      <w:pPr>
        <w:pStyle w:val="12"/>
        <w:ind w:firstLine="240" w:firstLineChars="100"/>
        <w:rPr>
          <w:rFonts w:hint="default" w:ascii="宋体" w:hAnsi="宋体" w:cs="宋体"/>
          <w:color w:val="auto"/>
          <w:highlight w:val="none"/>
          <w:lang w:val="en-US" w:eastAsia="zh-CN"/>
        </w:rPr>
      </w:pPr>
      <w:r>
        <w:rPr>
          <w:rFonts w:hint="eastAsia" w:ascii="宋体" w:hAnsi="宋体" w:cs="宋体"/>
          <w:b/>
          <w:bCs/>
          <w:color w:val="auto"/>
          <w:highlight w:val="none"/>
        </w:rPr>
        <w:t>8.2</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生产准备</w:t>
      </w:r>
      <w:r>
        <w:rPr>
          <w:rFonts w:hint="eastAsia" w:ascii="宋体" w:hAnsi="宋体" w:eastAsia="宋体" w:cs="宋体"/>
          <w:color w:val="auto"/>
          <w:highlight w:val="none"/>
        </w:rPr>
        <w:tab/>
      </w:r>
      <w:r>
        <w:rPr>
          <w:rFonts w:hint="eastAsia" w:ascii="宋体" w:hAnsi="宋体" w:cs="宋体"/>
          <w:color w:val="auto"/>
          <w:highlight w:val="none"/>
          <w:lang w:val="en-US" w:eastAsia="zh-CN"/>
        </w:rPr>
        <w:t>35</w:t>
      </w:r>
    </w:p>
    <w:p w14:paraId="509DACCD">
      <w:pPr>
        <w:pStyle w:val="12"/>
        <w:ind w:firstLine="240" w:firstLineChars="100"/>
        <w:rPr>
          <w:rFonts w:hint="default" w:ascii="宋体" w:hAnsi="宋体" w:cs="宋体"/>
          <w:color w:val="auto"/>
          <w:highlight w:val="none"/>
          <w:lang w:val="en-US" w:eastAsia="zh-CN"/>
        </w:rPr>
      </w:pPr>
      <w:r>
        <w:rPr>
          <w:rFonts w:hint="eastAsia" w:ascii="宋体" w:hAnsi="宋体" w:cs="宋体"/>
          <w:b/>
          <w:bCs/>
          <w:color w:val="auto"/>
          <w:highlight w:val="none"/>
        </w:rPr>
        <w:t>8.3</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混凝土模块</w:t>
      </w:r>
      <w:r>
        <w:rPr>
          <w:rFonts w:hint="eastAsia" w:ascii="宋体" w:hAnsi="宋体" w:cs="宋体"/>
          <w:color w:val="auto"/>
          <w:highlight w:val="none"/>
          <w:lang w:val="en-US" w:eastAsia="zh-CN"/>
        </w:rPr>
        <w:t>生产</w:t>
      </w:r>
      <w:r>
        <w:rPr>
          <w:rFonts w:hint="eastAsia" w:ascii="宋体" w:hAnsi="宋体" w:eastAsia="宋体" w:cs="宋体"/>
          <w:color w:val="auto"/>
          <w:highlight w:val="none"/>
        </w:rPr>
        <w:tab/>
      </w:r>
      <w:r>
        <w:rPr>
          <w:rFonts w:hint="eastAsia" w:ascii="宋体" w:hAnsi="宋体" w:cs="宋体"/>
          <w:color w:val="auto"/>
          <w:highlight w:val="none"/>
          <w:lang w:val="en-US" w:eastAsia="zh-CN"/>
        </w:rPr>
        <w:t>36</w:t>
      </w:r>
    </w:p>
    <w:p w14:paraId="4B00B967">
      <w:pPr>
        <w:pStyle w:val="12"/>
        <w:ind w:firstLine="240" w:firstLineChars="100"/>
        <w:rPr>
          <w:rFonts w:hint="default" w:ascii="宋体" w:hAnsi="宋体" w:cs="宋体"/>
          <w:color w:val="auto"/>
          <w:highlight w:val="none"/>
          <w:lang w:val="en-US" w:eastAsia="zh-CN"/>
        </w:rPr>
      </w:pPr>
      <w:r>
        <w:rPr>
          <w:rFonts w:hint="eastAsia" w:ascii="宋体" w:hAnsi="宋体" w:cs="宋体"/>
          <w:b/>
          <w:bCs/>
          <w:color w:val="auto"/>
          <w:highlight w:val="none"/>
        </w:rPr>
        <w:t>8.4</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装修与机电</w:t>
      </w:r>
      <w:r>
        <w:rPr>
          <w:rFonts w:hint="eastAsia" w:ascii="宋体" w:hAnsi="宋体" w:cs="宋体"/>
          <w:color w:val="auto"/>
          <w:highlight w:val="none"/>
          <w:lang w:val="en-US" w:eastAsia="zh-CN"/>
        </w:rPr>
        <w:t>集成</w:t>
      </w:r>
      <w:r>
        <w:rPr>
          <w:rFonts w:hint="eastAsia" w:ascii="宋体" w:hAnsi="宋体" w:eastAsia="宋体" w:cs="宋体"/>
          <w:color w:val="auto"/>
          <w:highlight w:val="none"/>
        </w:rPr>
        <w:tab/>
      </w:r>
      <w:r>
        <w:rPr>
          <w:rFonts w:hint="eastAsia" w:ascii="宋体" w:hAnsi="宋体" w:cs="宋体"/>
          <w:color w:val="auto"/>
          <w:highlight w:val="none"/>
          <w:lang w:val="en-US" w:eastAsia="zh-CN"/>
        </w:rPr>
        <w:t>36</w:t>
      </w:r>
    </w:p>
    <w:p w14:paraId="6EB38A9B">
      <w:pPr>
        <w:pStyle w:val="12"/>
        <w:ind w:firstLine="240" w:firstLineChars="100"/>
        <w:rPr>
          <w:rFonts w:hint="default" w:ascii="宋体" w:hAnsi="宋体" w:cs="宋体"/>
          <w:color w:val="auto"/>
          <w:highlight w:val="none"/>
          <w:lang w:val="en-US"/>
        </w:rPr>
      </w:pPr>
      <w:r>
        <w:rPr>
          <w:rFonts w:hint="eastAsia" w:ascii="宋体" w:hAnsi="宋体" w:cs="宋体"/>
          <w:b/>
          <w:bCs/>
          <w:color w:val="auto"/>
          <w:highlight w:val="none"/>
        </w:rPr>
        <w:t>8.5</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运输与</w:t>
      </w:r>
      <w:r>
        <w:rPr>
          <w:rFonts w:hint="eastAsia" w:ascii="宋体" w:hAnsi="宋体" w:cs="宋体"/>
          <w:color w:val="auto"/>
          <w:highlight w:val="none"/>
          <w:lang w:val="en-US" w:eastAsia="zh-CN"/>
        </w:rPr>
        <w:t>堆放</w:t>
      </w:r>
      <w:r>
        <w:rPr>
          <w:rFonts w:hint="eastAsia" w:ascii="宋体" w:hAnsi="宋体" w:eastAsia="宋体" w:cs="宋体"/>
          <w:color w:val="auto"/>
          <w:highlight w:val="none"/>
        </w:rPr>
        <w:tab/>
      </w:r>
      <w:r>
        <w:rPr>
          <w:rFonts w:hint="eastAsia" w:ascii="宋体" w:hAnsi="宋体" w:cs="宋体"/>
          <w:color w:val="auto"/>
          <w:highlight w:val="none"/>
          <w:lang w:val="en-US" w:eastAsia="zh-CN"/>
        </w:rPr>
        <w:t>36</w:t>
      </w:r>
    </w:p>
    <w:p w14:paraId="0C411A34">
      <w:pPr>
        <w:pStyle w:val="12"/>
        <w:rPr>
          <w:rFonts w:hint="eastAsia" w:ascii="宋体" w:hAnsi="宋体" w:cs="宋体"/>
          <w:color w:val="auto"/>
          <w:highlight w:val="none"/>
          <w:lang w:val="en-US" w:eastAsia="zh-CN"/>
        </w:rPr>
      </w:pPr>
      <w:r>
        <w:rPr>
          <w:rFonts w:hint="eastAsia" w:ascii="宋体" w:hAnsi="宋体" w:cs="宋体"/>
          <w:b/>
          <w:bCs/>
          <w:color w:val="auto"/>
          <w:highlight w:val="none"/>
        </w:rPr>
        <w:t>9</w:t>
      </w:r>
      <w:r>
        <w:rPr>
          <w:rFonts w:hint="eastAsia" w:ascii="宋体" w:hAnsi="宋体" w:cs="宋体"/>
          <w:color w:val="auto"/>
          <w:highlight w:val="none"/>
        </w:rPr>
        <w:t xml:space="preserve"> 施工</w:t>
      </w:r>
      <w:r>
        <w:rPr>
          <w:rFonts w:hint="eastAsia" w:ascii="宋体" w:hAnsi="宋体" w:eastAsia="宋体" w:cs="宋体"/>
          <w:color w:val="auto"/>
          <w:highlight w:val="none"/>
        </w:rPr>
        <w:tab/>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8</w:t>
      </w:r>
    </w:p>
    <w:p w14:paraId="4E8152CE">
      <w:pPr>
        <w:pStyle w:val="12"/>
        <w:ind w:firstLine="240" w:firstLineChars="100"/>
        <w:rPr>
          <w:rFonts w:hint="eastAsia" w:ascii="宋体" w:hAnsi="宋体" w:cs="宋体"/>
          <w:color w:val="auto"/>
          <w:highlight w:val="none"/>
          <w:lang w:val="en-US" w:eastAsia="zh-CN"/>
        </w:rPr>
      </w:pPr>
      <w:r>
        <w:rPr>
          <w:rFonts w:hint="eastAsia" w:ascii="宋体" w:hAnsi="宋体" w:cs="宋体"/>
          <w:b/>
          <w:bCs/>
          <w:color w:val="auto"/>
          <w:highlight w:val="none"/>
        </w:rPr>
        <w:t>9.1</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一般</w:t>
      </w:r>
      <w:r>
        <w:rPr>
          <w:rFonts w:hint="eastAsia" w:ascii="宋体" w:hAnsi="宋体" w:cs="宋体"/>
          <w:color w:val="auto"/>
          <w:highlight w:val="none"/>
          <w:lang w:val="en-US" w:eastAsia="zh-CN"/>
        </w:rPr>
        <w:t>规定</w:t>
      </w:r>
      <w:r>
        <w:rPr>
          <w:rFonts w:hint="eastAsia" w:ascii="宋体" w:hAnsi="宋体" w:eastAsia="宋体" w:cs="宋体"/>
          <w:color w:val="auto"/>
          <w:highlight w:val="none"/>
        </w:rPr>
        <w:tab/>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8</w:t>
      </w:r>
    </w:p>
    <w:p w14:paraId="52D924C4">
      <w:pPr>
        <w:pStyle w:val="12"/>
        <w:ind w:firstLine="240" w:firstLineChars="100"/>
        <w:rPr>
          <w:rFonts w:hint="eastAsia" w:ascii="宋体" w:hAnsi="宋体" w:eastAsia="宋体" w:cs="宋体"/>
          <w:color w:val="auto"/>
          <w:highlight w:val="none"/>
          <w:lang w:val="en-US" w:eastAsia="zh-CN"/>
        </w:rPr>
      </w:pPr>
      <w:r>
        <w:rPr>
          <w:rFonts w:hint="eastAsia" w:ascii="宋体" w:hAnsi="宋体" w:cs="宋体"/>
          <w:b/>
          <w:bCs/>
          <w:color w:val="auto"/>
          <w:highlight w:val="none"/>
        </w:rPr>
        <w:t>9.2</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安装</w:t>
      </w:r>
      <w:r>
        <w:rPr>
          <w:rFonts w:hint="eastAsia" w:ascii="宋体" w:hAnsi="宋体" w:cs="宋体"/>
          <w:color w:val="auto"/>
          <w:highlight w:val="none"/>
          <w:lang w:val="en-US" w:eastAsia="zh-CN"/>
        </w:rPr>
        <w:t>准备</w:t>
      </w:r>
      <w:r>
        <w:rPr>
          <w:rFonts w:hint="eastAsia" w:ascii="宋体" w:hAnsi="宋体" w:eastAsia="宋体" w:cs="宋体"/>
          <w:color w:val="auto"/>
          <w:highlight w:val="none"/>
        </w:rPr>
        <w:tab/>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8</w:t>
      </w:r>
    </w:p>
    <w:p w14:paraId="631E47E5">
      <w:pPr>
        <w:pStyle w:val="12"/>
        <w:ind w:firstLine="240" w:firstLineChars="100"/>
        <w:rPr>
          <w:rFonts w:hint="eastAsia" w:ascii="宋体" w:hAnsi="宋体" w:cs="宋体"/>
          <w:color w:val="auto"/>
          <w:highlight w:val="none"/>
          <w:lang w:val="en-US" w:eastAsia="zh-CN"/>
        </w:rPr>
      </w:pPr>
      <w:r>
        <w:rPr>
          <w:rFonts w:hint="eastAsia" w:ascii="宋体" w:hAnsi="宋体" w:cs="宋体"/>
          <w:b/>
          <w:bCs/>
          <w:color w:val="auto"/>
          <w:highlight w:val="none"/>
        </w:rPr>
        <w:t>9.3</w:t>
      </w: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安装与</w:t>
      </w:r>
      <w:r>
        <w:rPr>
          <w:rFonts w:hint="eastAsia" w:ascii="宋体" w:hAnsi="宋体" w:cs="宋体"/>
          <w:color w:val="auto"/>
          <w:highlight w:val="none"/>
          <w:lang w:val="en-US" w:eastAsia="zh-CN"/>
        </w:rPr>
        <w:t>连接</w:t>
      </w:r>
      <w:r>
        <w:rPr>
          <w:rFonts w:hint="eastAsia" w:ascii="宋体" w:hAnsi="宋体" w:eastAsia="宋体" w:cs="宋体"/>
          <w:color w:val="auto"/>
          <w:highlight w:val="none"/>
        </w:rPr>
        <w:tab/>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8</w:t>
      </w:r>
    </w:p>
    <w:p w14:paraId="0F7CE3A7">
      <w:pPr>
        <w:rPr>
          <w:rFonts w:hint="eastAsia"/>
          <w:color w:val="auto"/>
          <w:highlight w:val="none"/>
          <w:lang w:val="en-US" w:eastAsia="zh-CN"/>
        </w:rPr>
      </w:pPr>
    </w:p>
    <w:p w14:paraId="298B304D">
      <w:pPr>
        <w:rPr>
          <w:rFonts w:hint="eastAsia"/>
          <w:color w:val="auto"/>
          <w:highlight w:val="none"/>
          <w:lang w:val="en-US" w:eastAsia="zh-CN"/>
        </w:rPr>
      </w:pPr>
    </w:p>
    <w:p w14:paraId="01B1DFB6">
      <w:pPr>
        <w:rPr>
          <w:rFonts w:hint="eastAsia"/>
          <w:color w:val="auto"/>
          <w:highlight w:val="none"/>
          <w:lang w:val="en-US" w:eastAsia="zh-CN"/>
        </w:rPr>
      </w:pPr>
    </w:p>
    <w:p w14:paraId="1FE5AAA9">
      <w:pPr>
        <w:rPr>
          <w:rFonts w:hint="eastAsia"/>
          <w:color w:val="auto"/>
          <w:highlight w:val="none"/>
          <w:lang w:val="en-US" w:eastAsia="zh-CN"/>
        </w:rPr>
      </w:pPr>
    </w:p>
    <w:p w14:paraId="05887FB3">
      <w:pPr>
        <w:rPr>
          <w:rFonts w:hint="eastAsia"/>
          <w:color w:val="auto"/>
          <w:highlight w:val="none"/>
          <w:lang w:val="en-US" w:eastAsia="zh-CN"/>
        </w:rPr>
      </w:pPr>
    </w:p>
    <w:p w14:paraId="6B92FC97">
      <w:pPr>
        <w:rPr>
          <w:rFonts w:hint="eastAsia"/>
          <w:color w:val="auto"/>
          <w:highlight w:val="none"/>
          <w:lang w:val="en-US" w:eastAsia="zh-CN"/>
        </w:rPr>
      </w:pPr>
    </w:p>
    <w:p w14:paraId="5144B404">
      <w:pPr>
        <w:rPr>
          <w:rFonts w:hint="eastAsia"/>
          <w:color w:val="auto"/>
          <w:highlight w:val="none"/>
          <w:lang w:val="en-US" w:eastAsia="zh-CN"/>
        </w:rPr>
      </w:pPr>
    </w:p>
    <w:p w14:paraId="514664F5">
      <w:pPr>
        <w:rPr>
          <w:rFonts w:hint="eastAsia"/>
          <w:color w:val="auto"/>
          <w:highlight w:val="none"/>
          <w:lang w:val="en-US" w:eastAsia="zh-CN"/>
        </w:rPr>
      </w:pPr>
    </w:p>
    <w:p w14:paraId="04859B5C">
      <w:pPr>
        <w:rPr>
          <w:rFonts w:hint="eastAsia"/>
          <w:color w:val="auto"/>
          <w:highlight w:val="none"/>
          <w:lang w:val="en-US" w:eastAsia="zh-CN"/>
        </w:rPr>
      </w:pPr>
    </w:p>
    <w:p w14:paraId="1FA86985">
      <w:pPr>
        <w:rPr>
          <w:rFonts w:hint="eastAsia"/>
          <w:color w:val="auto"/>
          <w:highlight w:val="none"/>
          <w:lang w:val="en-US" w:eastAsia="zh-CN"/>
        </w:rPr>
      </w:pPr>
    </w:p>
    <w:p w14:paraId="63EF4DC2">
      <w:pPr>
        <w:rPr>
          <w:rFonts w:hint="eastAsia"/>
          <w:color w:val="auto"/>
          <w:highlight w:val="none"/>
          <w:lang w:val="en-US" w:eastAsia="zh-CN"/>
        </w:rPr>
      </w:pPr>
    </w:p>
    <w:p w14:paraId="650BF9A8">
      <w:pPr>
        <w:rPr>
          <w:rFonts w:hint="eastAsia"/>
          <w:color w:val="auto"/>
          <w:highlight w:val="none"/>
          <w:lang w:val="en-US" w:eastAsia="zh-CN"/>
        </w:rPr>
      </w:pPr>
    </w:p>
    <w:p w14:paraId="6D5EDF98">
      <w:pPr>
        <w:rPr>
          <w:rFonts w:hint="eastAsia"/>
          <w:color w:val="auto"/>
          <w:highlight w:val="none"/>
          <w:lang w:val="en-US" w:eastAsia="zh-CN"/>
        </w:rPr>
      </w:pPr>
    </w:p>
    <w:p w14:paraId="57DBD5CE">
      <w:pPr>
        <w:rPr>
          <w:rFonts w:hint="eastAsia"/>
          <w:color w:val="auto"/>
          <w:highlight w:val="none"/>
          <w:lang w:val="en-US" w:eastAsia="zh-CN"/>
        </w:rPr>
      </w:pPr>
    </w:p>
    <w:p w14:paraId="7D597C7E">
      <w:pPr>
        <w:rPr>
          <w:rFonts w:hint="eastAsia"/>
          <w:color w:val="auto"/>
          <w:highlight w:val="none"/>
          <w:lang w:val="en-US" w:eastAsia="zh-CN"/>
        </w:rPr>
      </w:pPr>
    </w:p>
    <w:p w14:paraId="3CAC2EC6">
      <w:pPr>
        <w:rPr>
          <w:rFonts w:hint="eastAsia"/>
          <w:color w:val="auto"/>
          <w:highlight w:val="none"/>
          <w:lang w:val="en-US" w:eastAsia="zh-CN"/>
        </w:rPr>
      </w:pPr>
    </w:p>
    <w:p w14:paraId="2BE29282">
      <w:pPr>
        <w:rPr>
          <w:rFonts w:hint="eastAsia"/>
          <w:color w:val="auto"/>
          <w:highlight w:val="none"/>
          <w:lang w:val="en-US" w:eastAsia="zh-CN"/>
        </w:rPr>
      </w:pPr>
    </w:p>
    <w:p w14:paraId="0490579E">
      <w:pPr>
        <w:rPr>
          <w:rFonts w:hint="eastAsia"/>
          <w:color w:val="auto"/>
          <w:highlight w:val="none"/>
          <w:lang w:val="en-US" w:eastAsia="zh-CN"/>
        </w:rPr>
      </w:pPr>
    </w:p>
    <w:p w14:paraId="0EEFA826">
      <w:pPr>
        <w:pStyle w:val="2"/>
        <w:bidi w:val="0"/>
        <w:rPr>
          <w:rFonts w:hint="eastAsia" w:ascii="Times New Roman" w:hAnsi="Times New Roman" w:eastAsia="黑体" w:cs="Times New Roman"/>
          <w:b/>
          <w:bCs/>
          <w:color w:val="auto"/>
          <w:kern w:val="44"/>
          <w:sz w:val="30"/>
          <w:szCs w:val="30"/>
          <w:highlight w:val="none"/>
          <w:lang w:val="en-US" w:eastAsia="zh-CN" w:bidi="ar-SA"/>
        </w:rPr>
        <w:sectPr>
          <w:pgSz w:w="11906" w:h="16838"/>
          <w:pgMar w:top="1077" w:right="1191" w:bottom="1077" w:left="1191" w:header="851" w:footer="850" w:gutter="0"/>
          <w:pgNumType w:fmt="decimal"/>
          <w:cols w:space="425" w:num="1"/>
          <w:docGrid w:type="linesAndChars" w:linePitch="326" w:charSpace="0"/>
        </w:sectPr>
      </w:pPr>
    </w:p>
    <w:p w14:paraId="68D5AC16">
      <w:pPr>
        <w:pStyle w:val="2"/>
        <w:bidi w:val="0"/>
        <w:rPr>
          <w:rFonts w:hint="default" w:ascii="Times New Roman" w:hAnsi="Times New Roman" w:eastAsia="黑体" w:cs="Times New Roman"/>
          <w:b/>
          <w:bCs/>
          <w:color w:val="auto"/>
          <w:kern w:val="44"/>
          <w:sz w:val="30"/>
          <w:szCs w:val="30"/>
          <w:highlight w:val="none"/>
          <w:lang w:val="en-US" w:eastAsia="zh-CN" w:bidi="ar-SA"/>
        </w:rPr>
      </w:pPr>
      <w:r>
        <w:rPr>
          <w:rFonts w:hint="eastAsia" w:ascii="Times New Roman" w:hAnsi="Times New Roman" w:eastAsia="黑体" w:cs="Times New Roman"/>
          <w:b/>
          <w:bCs/>
          <w:color w:val="auto"/>
          <w:kern w:val="44"/>
          <w:sz w:val="30"/>
          <w:szCs w:val="30"/>
          <w:highlight w:val="none"/>
          <w:lang w:val="en-US" w:eastAsia="zh-CN" w:bidi="ar-SA"/>
        </w:rPr>
        <w:t>3</w:t>
      </w:r>
      <w:r>
        <w:rPr>
          <w:rFonts w:hint="default" w:ascii="Times New Roman" w:hAnsi="Times New Roman" w:eastAsia="黑体" w:cs="Times New Roman"/>
          <w:b/>
          <w:bCs/>
          <w:color w:val="auto"/>
          <w:kern w:val="44"/>
          <w:sz w:val="30"/>
          <w:szCs w:val="30"/>
          <w:highlight w:val="none"/>
          <w:lang w:val="zh-CN" w:eastAsia="zh-CN" w:bidi="ar-SA"/>
        </w:rPr>
        <w:t xml:space="preserve"> </w:t>
      </w:r>
      <w:r>
        <w:rPr>
          <w:rFonts w:hint="eastAsia" w:eastAsia="黑体" w:cs="Times New Roman"/>
          <w:b/>
          <w:bCs/>
          <w:color w:val="auto"/>
          <w:kern w:val="44"/>
          <w:sz w:val="30"/>
          <w:szCs w:val="30"/>
          <w:highlight w:val="none"/>
          <w:lang w:val="en-US" w:eastAsia="zh-CN" w:bidi="ar-SA"/>
        </w:rPr>
        <w:t xml:space="preserve"> </w:t>
      </w:r>
      <w:r>
        <w:rPr>
          <w:rFonts w:hint="eastAsia" w:eastAsia="黑体" w:cs="Times New Roman"/>
          <w:b w:val="0"/>
          <w:bCs w:val="0"/>
          <w:color w:val="auto"/>
          <w:kern w:val="44"/>
          <w:sz w:val="30"/>
          <w:szCs w:val="30"/>
          <w:highlight w:val="none"/>
          <w:lang w:val="en-US" w:eastAsia="zh-CN" w:bidi="ar-SA"/>
        </w:rPr>
        <w:t>基本规定</w:t>
      </w:r>
      <w:bookmarkEnd w:id="517"/>
      <w:bookmarkEnd w:id="518"/>
    </w:p>
    <w:p w14:paraId="61C6D269">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cs="Times New Roman"/>
          <w:color w:val="auto"/>
          <w:kern w:val="0"/>
          <w:szCs w:val="24"/>
          <w:highlight w:val="none"/>
        </w:rPr>
      </w:pPr>
      <w:r>
        <w:rPr>
          <w:rFonts w:hint="eastAsia" w:ascii="Times New Roman" w:hAnsi="Times New Roman" w:eastAsia="宋体" w:cs="Times New Roman"/>
          <w:b/>
          <w:bCs/>
          <w:snapToGrid w:val="0"/>
          <w:color w:val="auto"/>
          <w:kern w:val="0"/>
          <w:sz w:val="20"/>
          <w:szCs w:val="20"/>
          <w:highlight w:val="none"/>
          <w:lang w:val="en-US" w:eastAsia="zh-CN" w:bidi="ar-SA"/>
        </w:rPr>
        <w:t>3.0.1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lang w:eastAsia="zh-CN"/>
        </w:rPr>
        <w:t>模块化建筑</w:t>
      </w:r>
      <w:r>
        <w:rPr>
          <w:rFonts w:hint="eastAsia" w:cs="Times New Roman"/>
          <w:color w:val="auto"/>
          <w:kern w:val="0"/>
          <w:szCs w:val="24"/>
          <w:highlight w:val="none"/>
        </w:rPr>
        <w:t>具有高度工业化和系统集成特征，主体结构、外围护、设备管线及内装系统需在工厂内完成预制与集成，后期现场调整空间有限。因此，</w:t>
      </w:r>
      <w:r>
        <w:rPr>
          <w:rFonts w:hint="eastAsia" w:cs="Times New Roman"/>
          <w:color w:val="auto"/>
          <w:kern w:val="0"/>
          <w:szCs w:val="24"/>
          <w:highlight w:val="none"/>
          <w:lang w:val="en-US" w:eastAsia="zh-CN"/>
        </w:rPr>
        <w:t>需要</w:t>
      </w:r>
      <w:r>
        <w:rPr>
          <w:rFonts w:hint="eastAsia" w:cs="Times New Roman"/>
          <w:color w:val="auto"/>
          <w:kern w:val="0"/>
          <w:szCs w:val="24"/>
          <w:highlight w:val="none"/>
        </w:rPr>
        <w:t>在方案设计阶段</w:t>
      </w:r>
      <w:r>
        <w:rPr>
          <w:rFonts w:hint="eastAsia" w:cs="Times New Roman"/>
          <w:color w:val="auto"/>
          <w:kern w:val="0"/>
          <w:szCs w:val="24"/>
          <w:highlight w:val="none"/>
          <w:lang w:val="en-US" w:eastAsia="zh-CN"/>
        </w:rPr>
        <w:t>就</w:t>
      </w:r>
      <w:r>
        <w:rPr>
          <w:rFonts w:hint="eastAsia" w:cs="Times New Roman"/>
          <w:color w:val="auto"/>
          <w:kern w:val="0"/>
          <w:szCs w:val="24"/>
          <w:highlight w:val="none"/>
        </w:rPr>
        <w:t>开展多专业协同设计，前置统筹模块划分、建筑功能、结构体系、设备管线布置及主要接口条件，避免在深化设计及施工阶段出现专业冲突和返工问题。</w:t>
      </w:r>
    </w:p>
    <w:p w14:paraId="240F62EB">
      <w:pPr>
        <w:wordWrap/>
        <w:overflowPunct/>
        <w:topLinePunct w:val="0"/>
        <w:bidi w:val="0"/>
        <w:spacing w:line="300" w:lineRule="auto"/>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3.0.</w:t>
      </w:r>
      <w:r>
        <w:rPr>
          <w:rFonts w:hint="eastAsia" w:cs="Times New Roman"/>
          <w:b/>
          <w:bCs/>
          <w:snapToGrid w:val="0"/>
          <w:color w:val="auto"/>
          <w:kern w:val="0"/>
          <w:sz w:val="20"/>
          <w:szCs w:val="20"/>
          <w:highlight w:val="none"/>
          <w:lang w:val="en-US" w:eastAsia="zh-CN" w:bidi="ar-SA"/>
        </w:rPr>
        <w:t>2</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通过在设计过程中统一统筹各专业的空间布局、结构构造、设备管线布置及内装做法，系统协调各类接口关系，来确保各系统之间协同一致、功能完整。将模块生产工艺、运输条件、堆放方式及现场施工要求纳入设计统筹，可以实现设计与生产、施工的有效衔接，减少现场二次作业，提高建造效率和工程质量。</w:t>
      </w:r>
    </w:p>
    <w:p w14:paraId="3F1CFB35">
      <w:pPr>
        <w:keepNext w:val="0"/>
        <w:keepLines w:val="0"/>
        <w:pageBreakBefore w:val="0"/>
        <w:widowControl w:val="0"/>
        <w:kinsoku/>
        <w:wordWrap/>
        <w:overflowPunct/>
        <w:topLinePunct w:val="0"/>
        <w:autoSpaceDE/>
        <w:autoSpaceDN/>
        <w:bidi w:val="0"/>
        <w:adjustRightInd/>
        <w:snapToGrid w:val="0"/>
        <w:spacing w:before="164" w:beforeLines="50" w:line="300" w:lineRule="auto"/>
        <w:ind w:left="0" w:leftChars="0" w:firstLine="480" w:firstLineChars="200"/>
        <w:textAlignment w:val="auto"/>
        <w:rPr>
          <w:rFonts w:hint="eastAsia" w:cs="Times New Roman"/>
          <w:color w:val="auto"/>
          <w:kern w:val="0"/>
          <w:szCs w:val="24"/>
          <w:highlight w:val="none"/>
        </w:rPr>
      </w:pPr>
      <w:r>
        <w:rPr>
          <w:rFonts w:hint="eastAsia" w:cs="Times New Roman"/>
          <w:color w:val="auto"/>
          <w:kern w:val="0"/>
          <w:szCs w:val="24"/>
          <w:highlight w:val="none"/>
        </w:rPr>
        <w:t>对农村自建房代建、应急安置和抢险救灾等项目，</w:t>
      </w:r>
      <w:r>
        <w:rPr>
          <w:rFonts w:hint="eastAsia" w:cs="Times New Roman"/>
          <w:color w:val="auto"/>
          <w:kern w:val="0"/>
          <w:szCs w:val="24"/>
          <w:highlight w:val="none"/>
          <w:lang w:val="en-US" w:eastAsia="zh-CN"/>
        </w:rPr>
        <w:t>需要</w:t>
      </w:r>
      <w:r>
        <w:rPr>
          <w:rFonts w:hint="eastAsia" w:cs="Times New Roman"/>
          <w:color w:val="auto"/>
          <w:kern w:val="0"/>
          <w:szCs w:val="24"/>
          <w:highlight w:val="none"/>
        </w:rPr>
        <w:t>在方案设计阶段明确标准化模块选型、构造做法和装配流程，以适应</w:t>
      </w:r>
      <w:r>
        <w:rPr>
          <w:rFonts w:hint="eastAsia" w:cs="Times New Roman"/>
          <w:color w:val="auto"/>
          <w:kern w:val="0"/>
          <w:szCs w:val="24"/>
          <w:highlight w:val="none"/>
          <w:lang w:val="en-US" w:eastAsia="zh-CN"/>
        </w:rPr>
        <w:t>建设条件相对简化</w:t>
      </w:r>
      <w:r>
        <w:rPr>
          <w:rFonts w:hint="eastAsia" w:cs="Times New Roman"/>
          <w:color w:val="auto"/>
          <w:kern w:val="0"/>
          <w:szCs w:val="24"/>
          <w:highlight w:val="none"/>
          <w:lang w:eastAsia="zh-CN"/>
        </w:rPr>
        <w:t>、</w:t>
      </w:r>
      <w:r>
        <w:rPr>
          <w:rFonts w:hint="eastAsia" w:cs="Times New Roman"/>
          <w:color w:val="auto"/>
          <w:kern w:val="0"/>
          <w:szCs w:val="24"/>
          <w:highlight w:val="none"/>
        </w:rPr>
        <w:t>建设周期紧张</w:t>
      </w:r>
      <w:r>
        <w:rPr>
          <w:rFonts w:hint="eastAsia" w:cs="Times New Roman"/>
          <w:color w:val="auto"/>
          <w:kern w:val="0"/>
          <w:szCs w:val="24"/>
          <w:highlight w:val="none"/>
          <w:lang w:val="en-US" w:eastAsia="zh-CN"/>
        </w:rPr>
        <w:t>等实际需求</w:t>
      </w:r>
      <w:r>
        <w:rPr>
          <w:rFonts w:hint="eastAsia" w:cs="Times New Roman"/>
          <w:color w:val="auto"/>
          <w:kern w:val="0"/>
          <w:szCs w:val="24"/>
          <w:highlight w:val="none"/>
        </w:rPr>
        <w:t>。</w:t>
      </w:r>
    </w:p>
    <w:p w14:paraId="7B9C9D33">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3.0.</w:t>
      </w:r>
      <w:r>
        <w:rPr>
          <w:rFonts w:hint="eastAsia" w:cs="Times New Roman"/>
          <w:b/>
          <w:bCs/>
          <w:snapToGrid w:val="0"/>
          <w:color w:val="auto"/>
          <w:kern w:val="0"/>
          <w:sz w:val="20"/>
          <w:szCs w:val="20"/>
          <w:highlight w:val="none"/>
          <w:lang w:val="en-US" w:eastAsia="zh-CN" w:bidi="ar-SA"/>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“少规格、多组合”是模块化建筑标准化设计的核心原则。</w:t>
      </w:r>
    </w:p>
    <w:p w14:paraId="5F903B46">
      <w:pPr>
        <w:wordWrap/>
        <w:overflowPunct/>
        <w:topLinePunct w:val="0"/>
        <w:bidi w:val="0"/>
        <w:spacing w:line="240" w:lineRule="auto"/>
        <w:rPr>
          <w:rFonts w:hint="default" w:cs="Times New Roman"/>
          <w:color w:val="auto"/>
          <w:kern w:val="0"/>
          <w:sz w:val="24"/>
          <w:szCs w:val="24"/>
          <w:highlight w:val="none"/>
          <w:lang w:val="en-US" w:eastAsia="zh-CN" w:bidi="ar-SA"/>
        </w:rPr>
      </w:pPr>
      <w:r>
        <w:rPr>
          <w:rFonts w:hint="default" w:cs="Times New Roman"/>
          <w:color w:val="auto"/>
          <w:kern w:val="0"/>
          <w:sz w:val="24"/>
          <w:szCs w:val="24"/>
          <w:highlight w:val="none"/>
          <w:lang w:val="en-US" w:eastAsia="zh-CN" w:bidi="ar-SA"/>
        </w:rPr>
        <w:br w:type="page"/>
      </w:r>
    </w:p>
    <w:p w14:paraId="433A4AF9">
      <w:pPr>
        <w:pStyle w:val="2"/>
        <w:bidi w:val="0"/>
        <w:rPr>
          <w:rFonts w:ascii="宋体" w:hAnsi="宋体" w:cs="Times New Roman"/>
          <w:color w:val="auto"/>
          <w:kern w:val="44"/>
          <w:szCs w:val="24"/>
          <w:highlight w:val="none"/>
          <w:lang w:val="zh-CN"/>
        </w:rPr>
      </w:pPr>
      <w:bookmarkStart w:id="519" w:name="_Toc200"/>
      <w:bookmarkStart w:id="520" w:name="_Toc5895"/>
      <w:r>
        <w:rPr>
          <w:rFonts w:hint="default" w:ascii="Times New Roman" w:hAnsi="Times New Roman" w:eastAsia="黑体" w:cs="Times New Roman"/>
          <w:b/>
          <w:bCs/>
          <w:color w:val="auto"/>
          <w:kern w:val="44"/>
          <w:sz w:val="30"/>
          <w:szCs w:val="30"/>
          <w:highlight w:val="none"/>
          <w:lang w:val="zh-CN" w:eastAsia="zh-CN" w:bidi="ar-SA"/>
        </w:rPr>
        <w:t>4</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zh-CN"/>
        </w:rPr>
        <w:t>材料</w:t>
      </w:r>
      <w:bookmarkEnd w:id="519"/>
      <w:bookmarkEnd w:id="520"/>
    </w:p>
    <w:p w14:paraId="301ED609">
      <w:pPr>
        <w:pStyle w:val="3"/>
        <w:bidi w:val="0"/>
        <w:rPr>
          <w:rFonts w:hint="default" w:ascii="宋体" w:hAnsi="宋体" w:cs="Times New Roman"/>
          <w:color w:val="auto"/>
          <w:sz w:val="21"/>
          <w:szCs w:val="21"/>
          <w:highlight w:val="none"/>
          <w:lang w:val="en-US"/>
        </w:rPr>
      </w:pPr>
      <w:bookmarkStart w:id="521" w:name="_Toc14500"/>
      <w:bookmarkStart w:id="522" w:name="_Toc16415"/>
      <w:r>
        <w:rPr>
          <w:rFonts w:hint="default" w:ascii="Times New Roman" w:hAnsi="Times New Roman" w:eastAsia="黑体" w:cs="Times New Roman"/>
          <w:b/>
          <w:bCs/>
          <w:color w:val="auto"/>
          <w:kern w:val="44"/>
          <w:sz w:val="28"/>
          <w:szCs w:val="28"/>
          <w:highlight w:val="none"/>
          <w:lang w:val="zh-CN" w:eastAsia="zh-CN" w:bidi="ar-SA"/>
        </w:rPr>
        <w:t>4.1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cs="Times New Roman"/>
          <w:b w:val="0"/>
          <w:bCs w:val="0"/>
          <w:color w:val="auto"/>
          <w:kern w:val="44"/>
          <w:sz w:val="28"/>
          <w:szCs w:val="28"/>
          <w:highlight w:val="none"/>
          <w:lang w:val="en-US" w:eastAsia="zh-CN" w:bidi="ar-SA"/>
        </w:rPr>
        <w:t>结构材料</w:t>
      </w:r>
      <w:bookmarkEnd w:id="521"/>
      <w:bookmarkEnd w:id="522"/>
    </w:p>
    <w:p w14:paraId="3CAEA6E0">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4.1.2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混凝土模块尺寸大、重量高，为避免构件在脱模和运输时发生损坏，对混凝土的最低强度等级进行了规定。</w:t>
      </w:r>
    </w:p>
    <w:p w14:paraId="43D15BBC">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4.1.5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为提高混凝土模块生产的工业化水平，鼓励在预制构件中采用钢筋焊接网。</w:t>
      </w:r>
    </w:p>
    <w:p w14:paraId="34B09B67">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4.1.</w:t>
      </w:r>
      <w:r>
        <w:rPr>
          <w:rFonts w:hint="eastAsia" w:cs="Times New Roman"/>
          <w:b/>
          <w:bCs/>
          <w:snapToGrid w:val="0"/>
          <w:color w:val="auto"/>
          <w:kern w:val="0"/>
          <w:sz w:val="20"/>
          <w:szCs w:val="20"/>
          <w:highlight w:val="none"/>
          <w:lang w:val="en-US" w:eastAsia="zh-CN" w:bidi="ar-SA"/>
        </w:rPr>
        <w:t>6</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吊环周围设置深度不小于5mm的凹槽，以便于现场割除吊环外露部分。</w:t>
      </w:r>
    </w:p>
    <w:p w14:paraId="50D994B0">
      <w:pPr>
        <w:wordWrap/>
        <w:overflowPunct/>
        <w:topLinePunct w:val="0"/>
        <w:bidi w:val="0"/>
        <w:snapToGrid w:val="0"/>
        <w:spacing w:line="300" w:lineRule="auto"/>
        <w:ind w:firstLine="480" w:firstLineChars="200"/>
        <w:jc w:val="center"/>
        <w:outlineLvl w:val="0"/>
        <w:rPr>
          <w:rFonts w:ascii="宋体" w:hAnsi="宋体" w:cs="Times New Roman"/>
          <w:color w:val="auto"/>
          <w:szCs w:val="24"/>
          <w:highlight w:val="none"/>
        </w:rPr>
        <w:sectPr>
          <w:footerReference r:id="rId12" w:type="default"/>
          <w:pgSz w:w="11906" w:h="16838"/>
          <w:pgMar w:top="1077" w:right="1191" w:bottom="1077" w:left="1191" w:header="851" w:footer="850" w:gutter="0"/>
          <w:pgNumType w:fmt="decimal"/>
          <w:cols w:space="425" w:num="1"/>
          <w:docGrid w:type="linesAndChars" w:linePitch="326" w:charSpace="0"/>
        </w:sectPr>
      </w:pPr>
    </w:p>
    <w:p w14:paraId="4C6D4F7C">
      <w:pPr>
        <w:pStyle w:val="2"/>
        <w:bidi w:val="0"/>
        <w:rPr>
          <w:rFonts w:ascii="宋体" w:hAnsi="宋体" w:cs="Times New Roman"/>
          <w:color w:val="auto"/>
          <w:kern w:val="44"/>
          <w:szCs w:val="24"/>
          <w:highlight w:val="none"/>
          <w:lang w:val="zh-CN"/>
        </w:rPr>
      </w:pPr>
      <w:bookmarkStart w:id="523" w:name="_Toc3323"/>
      <w:bookmarkStart w:id="524" w:name="_Toc24010"/>
      <w:r>
        <w:rPr>
          <w:rFonts w:hint="default" w:ascii="Times New Roman" w:hAnsi="Times New Roman" w:eastAsia="黑体" w:cs="Times New Roman"/>
          <w:b/>
          <w:bCs/>
          <w:color w:val="auto"/>
          <w:kern w:val="44"/>
          <w:sz w:val="30"/>
          <w:szCs w:val="30"/>
          <w:highlight w:val="none"/>
          <w:lang w:val="zh-CN" w:eastAsia="zh-CN" w:bidi="ar-SA"/>
        </w:rPr>
        <w:t>5</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zh-CN"/>
        </w:rPr>
        <w:t>建筑设计</w:t>
      </w:r>
      <w:bookmarkEnd w:id="523"/>
      <w:bookmarkEnd w:id="524"/>
    </w:p>
    <w:p w14:paraId="10F84E4E">
      <w:pPr>
        <w:pStyle w:val="3"/>
        <w:bidi w:val="0"/>
        <w:rPr>
          <w:rFonts w:ascii="宋体" w:hAnsi="宋体" w:cs="Times New Roman"/>
          <w:color w:val="auto"/>
          <w:sz w:val="21"/>
          <w:szCs w:val="21"/>
          <w:highlight w:val="none"/>
        </w:rPr>
      </w:pPr>
      <w:bookmarkStart w:id="525" w:name="_Toc662"/>
      <w:bookmarkStart w:id="526" w:name="_Toc27355"/>
      <w:r>
        <w:rPr>
          <w:rFonts w:hint="default" w:ascii="Times New Roman" w:hAnsi="Times New Roman" w:eastAsia="黑体" w:cs="Times New Roman"/>
          <w:b/>
          <w:bCs/>
          <w:color w:val="auto"/>
          <w:kern w:val="44"/>
          <w:sz w:val="28"/>
          <w:szCs w:val="28"/>
          <w:highlight w:val="none"/>
          <w:lang w:val="zh-CN" w:eastAsia="zh-CN" w:bidi="ar-SA"/>
        </w:rPr>
        <w:t>5.1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一般规定</w:t>
      </w:r>
      <w:bookmarkEnd w:id="525"/>
      <w:bookmarkEnd w:id="526"/>
    </w:p>
    <w:p w14:paraId="5B128F6B">
      <w:pPr>
        <w:wordWrap/>
        <w:overflowPunct/>
        <w:topLinePunct w:val="0"/>
        <w:bidi w:val="0"/>
        <w:snapToGrid w:val="0"/>
        <w:spacing w:line="300" w:lineRule="auto"/>
        <w:ind w:left="0" w:leftChars="0" w:firstLine="0" w:firstLineChars="0"/>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5.1.</w:t>
      </w:r>
      <w:r>
        <w:rPr>
          <w:rFonts w:hint="eastAsia" w:cs="Times New Roman"/>
          <w:b/>
          <w:bCs/>
          <w:snapToGrid w:val="0"/>
          <w:color w:val="auto"/>
          <w:kern w:val="0"/>
          <w:sz w:val="20"/>
          <w:szCs w:val="20"/>
          <w:highlight w:val="none"/>
          <w:lang w:val="en-US" w:eastAsia="zh-CN" w:bidi="ar-SA"/>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本条强调在模块化建筑中的非主体结构部位采用符合模数协调原则的标准化部品部件。通过统一部品部件的尺寸接口和构造做法，可实现部件的通用性和互换性，适应不同模块组合方式，减少非标准设计和现场调整。</w:t>
      </w:r>
    </w:p>
    <w:p w14:paraId="20F56405">
      <w:pPr>
        <w:wordWrap/>
        <w:overflowPunct/>
        <w:topLinePunct w:val="0"/>
        <w:bidi w:val="0"/>
        <w:snapToGrid w:val="0"/>
        <w:spacing w:line="300" w:lineRule="auto"/>
        <w:ind w:left="0" w:leftChars="0"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采用标准化部品部件，有利于推动部品部件的工厂化、规模化生产，稳定产品质量，降低综合建造成本，并提升模块化建筑的整体建造效率和产业化水平。</w:t>
      </w:r>
    </w:p>
    <w:p w14:paraId="38F09AA2">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 xml:space="preserve">5.1.3  </w:t>
      </w:r>
      <w:r>
        <w:rPr>
          <w:rFonts w:hint="eastAsia" w:cs="Times New Roman"/>
          <w:color w:val="auto"/>
          <w:kern w:val="0"/>
          <w:sz w:val="24"/>
          <w:szCs w:val="24"/>
          <w:highlight w:val="none"/>
          <w:lang w:val="en-US" w:eastAsia="zh-CN" w:bidi="ar-SA"/>
        </w:rPr>
        <w:t>在进行混凝土模块方案策划时，需要对模块的运输路线进行了解，掌握道路限宽和限高情况，避免出现混凝土模块无法运输的情况。</w:t>
      </w:r>
    </w:p>
    <w:p w14:paraId="216CE0D8">
      <w:pPr>
        <w:pStyle w:val="3"/>
        <w:bidi w:val="0"/>
        <w:rPr>
          <w:rFonts w:ascii="宋体" w:hAnsi="宋体" w:cs="Times New Roman"/>
          <w:color w:val="auto"/>
          <w:sz w:val="21"/>
          <w:szCs w:val="21"/>
          <w:highlight w:val="none"/>
        </w:rPr>
      </w:pPr>
      <w:bookmarkStart w:id="527" w:name="_Toc11330"/>
      <w:bookmarkStart w:id="528" w:name="_Toc20250"/>
      <w:r>
        <w:rPr>
          <w:rFonts w:hint="default" w:ascii="Times New Roman" w:hAnsi="Times New Roman" w:eastAsia="黑体" w:cs="Times New Roman"/>
          <w:b/>
          <w:bCs/>
          <w:color w:val="auto"/>
          <w:kern w:val="44"/>
          <w:sz w:val="28"/>
          <w:szCs w:val="28"/>
          <w:highlight w:val="none"/>
          <w:lang w:val="zh-CN" w:eastAsia="zh-CN" w:bidi="ar-SA"/>
        </w:rPr>
        <w:t xml:space="preserve">5.2 </w:t>
      </w:r>
      <w:r>
        <w:rPr>
          <w:rFonts w:hint="eastAsia" w:cs="Times New Roman"/>
          <w:b/>
          <w:bCs/>
          <w:color w:val="auto"/>
          <w:kern w:val="44"/>
          <w:sz w:val="28"/>
          <w:szCs w:val="28"/>
          <w:highlight w:val="none"/>
          <w:lang w:val="en-US" w:eastAsia="zh-CN" w:bidi="ar-SA"/>
        </w:rPr>
        <w:t xml:space="preserve"> </w:t>
      </w:r>
      <w:r>
        <w:rPr>
          <w:rFonts w:hint="eastAsia" w:ascii="黑体" w:hAnsi="黑体" w:eastAsia="黑体" w:cs="Times New Roman"/>
          <w:b w:val="0"/>
          <w:bCs w:val="0"/>
          <w:color w:val="auto"/>
          <w:kern w:val="44"/>
          <w:sz w:val="28"/>
          <w:szCs w:val="28"/>
          <w:highlight w:val="none"/>
          <w:lang w:val="zh-CN" w:eastAsia="zh-CN" w:bidi="ar-SA"/>
        </w:rPr>
        <w:t>平面设计</w:t>
      </w:r>
      <w:bookmarkEnd w:id="527"/>
      <w:bookmarkEnd w:id="528"/>
    </w:p>
    <w:p w14:paraId="2CE5C3B8">
      <w:pPr>
        <w:keepNext w:val="0"/>
        <w:keepLines w:val="0"/>
        <w:pageBreakBefore w:val="0"/>
        <w:widowControl/>
        <w:kinsoku/>
        <w:wordWrap/>
        <w:overflowPunct/>
        <w:topLinePunct w:val="0"/>
        <w:autoSpaceDE/>
        <w:autoSpaceDN/>
        <w:bidi w:val="0"/>
        <w:adjustRightInd/>
        <w:snapToGrid/>
        <w:spacing w:before="0" w:beforeLines="-2147483648" w:line="240" w:lineRule="auto"/>
        <w:jc w:val="left"/>
        <w:textAlignment w:val="auto"/>
        <w:rPr>
          <w:rFonts w:hint="eastAsia" w:ascii="Segoe UI" w:hAnsi="Segoe UI" w:eastAsia="宋体" w:cs="Segoe UI"/>
          <w:i w:val="0"/>
          <w:iCs w:val="0"/>
          <w:caps w:val="0"/>
          <w:color w:val="auto"/>
          <w:spacing w:val="0"/>
          <w:sz w:val="24"/>
          <w:szCs w:val="24"/>
          <w:highlight w:val="none"/>
          <w:shd w:val="clear" w:fill="FFFFFF"/>
          <w:lang w:eastAsia="zh-CN"/>
        </w:rPr>
      </w:pPr>
      <w:r>
        <w:rPr>
          <w:rFonts w:hint="eastAsia" w:ascii="Times New Roman" w:hAnsi="Times New Roman" w:eastAsia="宋体" w:cs="Times New Roman"/>
          <w:b/>
          <w:bCs/>
          <w:snapToGrid w:val="0"/>
          <w:color w:val="auto"/>
          <w:kern w:val="0"/>
          <w:sz w:val="20"/>
          <w:szCs w:val="20"/>
          <w:highlight w:val="none"/>
          <w:lang w:val="en-US" w:eastAsia="zh-CN" w:bidi="ar-SA"/>
        </w:rPr>
        <w:t>5.2.1</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悬挑式组合通常在并列式模块组合基础上通过局部外挑形成。为避免悬挑模块在根部节点产生较大的拉应力，应合理控制悬挑尺寸。</w:t>
      </w:r>
    </w:p>
    <w:p w14:paraId="40F4F4A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p>
    <w:p w14:paraId="2DC18E46">
      <w:pPr>
        <w:widowControl/>
        <w:wordWrap/>
        <w:overflowPunct/>
        <w:topLinePunct w:val="0"/>
        <w:bidi w:val="0"/>
        <w:snapToGrid w:val="0"/>
        <w:spacing w:line="300" w:lineRule="auto"/>
        <w:ind w:firstLine="420" w:firstLineChars="200"/>
        <w:jc w:val="left"/>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73128E69">
      <w:pPr>
        <w:pStyle w:val="2"/>
        <w:rPr>
          <w:rFonts w:ascii="宋体" w:hAnsi="宋体"/>
          <w:color w:val="auto"/>
          <w:szCs w:val="24"/>
          <w:highlight w:val="none"/>
        </w:rPr>
      </w:pPr>
      <w:bookmarkStart w:id="529" w:name="_Toc13381"/>
      <w:bookmarkStart w:id="530" w:name="_Toc29796"/>
      <w:r>
        <w:rPr>
          <w:rFonts w:eastAsia="黑体"/>
          <w:color w:val="auto"/>
          <w:sz w:val="30"/>
          <w:szCs w:val="30"/>
          <w:highlight w:val="none"/>
        </w:rPr>
        <w:t>6</w:t>
      </w:r>
      <w:r>
        <w:rPr>
          <w:rFonts w:ascii="宋体" w:hAnsi="宋体"/>
          <w:color w:val="auto"/>
          <w:szCs w:val="24"/>
          <w:highlight w:val="none"/>
        </w:rPr>
        <w:t xml:space="preserve"> </w:t>
      </w:r>
      <w:r>
        <w:rPr>
          <w:rFonts w:hint="eastAsia" w:ascii="宋体" w:hAnsi="宋体" w:eastAsia="宋体"/>
          <w:color w:val="auto"/>
          <w:szCs w:val="24"/>
          <w:highlight w:val="none"/>
          <w:lang w:val="en-US" w:eastAsia="zh-CN"/>
        </w:rPr>
        <w:t xml:space="preserve"> </w:t>
      </w:r>
      <w:r>
        <w:rPr>
          <w:rFonts w:hint="eastAsia" w:ascii="黑体" w:hAnsi="黑体" w:eastAsia="黑体" w:cs="黑体"/>
          <w:b w:val="0"/>
          <w:bCs w:val="0"/>
          <w:color w:val="auto"/>
          <w:sz w:val="30"/>
          <w:szCs w:val="30"/>
          <w:highlight w:val="none"/>
        </w:rPr>
        <w:t>结构设计</w:t>
      </w:r>
      <w:bookmarkEnd w:id="529"/>
      <w:bookmarkEnd w:id="530"/>
    </w:p>
    <w:p w14:paraId="4BC82E43">
      <w:pPr>
        <w:pStyle w:val="3"/>
        <w:rPr>
          <w:rFonts w:ascii="黑体" w:hAnsi="黑体" w:cs="Times New Roman"/>
          <w:b w:val="0"/>
          <w:color w:val="auto"/>
          <w:kern w:val="44"/>
          <w:szCs w:val="28"/>
          <w:highlight w:val="none"/>
          <w:lang w:val="zh-CN"/>
        </w:rPr>
      </w:pPr>
      <w:bookmarkStart w:id="531" w:name="_Toc29260"/>
      <w:bookmarkStart w:id="532" w:name="_Toc24237"/>
      <w:r>
        <w:rPr>
          <w:rFonts w:cs="Times New Roman"/>
          <w:bCs/>
          <w:color w:val="auto"/>
          <w:kern w:val="44"/>
          <w:szCs w:val="28"/>
          <w:highlight w:val="none"/>
          <w:lang w:val="zh-CN"/>
        </w:rPr>
        <w:t xml:space="preserve">6.1 </w:t>
      </w:r>
      <w:r>
        <w:rPr>
          <w:rFonts w:hint="eastAsia" w:cs="Times New Roman"/>
          <w:bCs/>
          <w:color w:val="auto"/>
          <w:kern w:val="44"/>
          <w:szCs w:val="28"/>
          <w:highlight w:val="none"/>
          <w:lang w:val="en-US" w:eastAsia="zh-CN"/>
        </w:rPr>
        <w:t xml:space="preserve"> </w:t>
      </w:r>
      <w:r>
        <w:rPr>
          <w:rFonts w:ascii="黑体" w:hAnsi="黑体" w:cs="Times New Roman"/>
          <w:b w:val="0"/>
          <w:color w:val="auto"/>
          <w:kern w:val="44"/>
          <w:szCs w:val="28"/>
          <w:highlight w:val="none"/>
          <w:lang w:val="zh-CN"/>
        </w:rPr>
        <w:t>一般</w:t>
      </w:r>
      <w:r>
        <w:rPr>
          <w:rFonts w:hint="eastAsia" w:ascii="黑体" w:hAnsi="黑体" w:cs="Times New Roman"/>
          <w:b w:val="0"/>
          <w:color w:val="auto"/>
          <w:kern w:val="44"/>
          <w:szCs w:val="28"/>
          <w:highlight w:val="none"/>
          <w:lang w:val="zh-CN"/>
        </w:rPr>
        <w:t>规定</w:t>
      </w:r>
      <w:bookmarkEnd w:id="531"/>
      <w:bookmarkEnd w:id="532"/>
    </w:p>
    <w:p w14:paraId="4DC83883">
      <w:pPr>
        <w:snapToGrid w:val="0"/>
        <w:spacing w:before="163" w:beforeLines="50"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6.1.1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为提高</w:t>
      </w:r>
      <w:r>
        <w:rPr>
          <w:rFonts w:hint="eastAsia" w:cs="Times New Roman"/>
          <w:color w:val="auto"/>
          <w:kern w:val="0"/>
          <w:szCs w:val="24"/>
          <w:highlight w:val="none"/>
          <w:lang w:val="en-US" w:eastAsia="zh-CN"/>
        </w:rPr>
        <w:t>建造</w:t>
      </w:r>
      <w:r>
        <w:rPr>
          <w:rFonts w:hint="eastAsia" w:cs="Times New Roman"/>
          <w:color w:val="auto"/>
          <w:kern w:val="0"/>
          <w:szCs w:val="24"/>
          <w:highlight w:val="none"/>
        </w:rPr>
        <w:t>效率，简化施工，模块化建筑可采用</w:t>
      </w:r>
      <w:r>
        <w:rPr>
          <w:rFonts w:hint="eastAsia" w:cs="Times New Roman"/>
          <w:color w:val="auto"/>
          <w:kern w:val="0"/>
          <w:szCs w:val="24"/>
          <w:highlight w:val="none"/>
          <w:lang w:val="en-US" w:eastAsia="zh-CN"/>
        </w:rPr>
        <w:t>多种</w:t>
      </w:r>
      <w:r>
        <w:rPr>
          <w:rFonts w:hint="eastAsia" w:cs="Times New Roman"/>
          <w:color w:val="auto"/>
          <w:kern w:val="0"/>
          <w:szCs w:val="24"/>
          <w:highlight w:val="none"/>
        </w:rPr>
        <w:t>构件连接形式，构件之间可采</w:t>
      </w:r>
      <w:r>
        <w:rPr>
          <w:rFonts w:hint="eastAsia" w:cs="Times New Roman"/>
          <w:color w:val="auto"/>
          <w:kern w:val="0"/>
          <w:szCs w:val="24"/>
          <w:highlight w:val="none"/>
          <w:lang w:val="en-US" w:eastAsia="zh-CN"/>
        </w:rPr>
        <w:t>用</w:t>
      </w:r>
      <w:r>
        <w:rPr>
          <w:rFonts w:hint="eastAsia" w:cs="Times New Roman"/>
          <w:color w:val="auto"/>
          <w:kern w:val="0"/>
          <w:szCs w:val="24"/>
          <w:highlight w:val="none"/>
        </w:rPr>
        <w:t>螺栓连接、焊接、钢筋套筒灌浆连接和浆锚连接</w:t>
      </w:r>
      <w:r>
        <w:rPr>
          <w:rFonts w:hint="eastAsia" w:cs="Times New Roman"/>
          <w:color w:val="auto"/>
          <w:kern w:val="0"/>
          <w:szCs w:val="24"/>
          <w:highlight w:val="none"/>
          <w:lang w:val="en-US" w:eastAsia="zh-CN"/>
        </w:rPr>
        <w:t>等连接</w:t>
      </w:r>
      <w:r>
        <w:rPr>
          <w:rFonts w:hint="eastAsia" w:cs="Times New Roman"/>
          <w:color w:val="auto"/>
          <w:kern w:val="0"/>
          <w:szCs w:val="24"/>
          <w:highlight w:val="none"/>
        </w:rPr>
        <w:t>方式，并采用对应的设计方法。本标准中给出了剪力墙结构形式的规定。</w:t>
      </w:r>
    </w:p>
    <w:p w14:paraId="6E0FBFB9">
      <w:pPr>
        <w:snapToGrid w:val="0"/>
        <w:spacing w:line="300" w:lineRule="auto"/>
        <w:rPr>
          <w:rFonts w:hint="eastAsia"/>
          <w:color w:val="auto"/>
          <w:highlight w:val="none"/>
        </w:rPr>
      </w:pPr>
      <w:r>
        <w:rPr>
          <w:rFonts w:hint="eastAsia" w:cs="Times New Roman"/>
          <w:b/>
          <w:bCs/>
          <w:snapToGrid w:val="0"/>
          <w:color w:val="auto"/>
          <w:kern w:val="0"/>
          <w:sz w:val="20"/>
          <w:szCs w:val="20"/>
          <w:highlight w:val="none"/>
        </w:rPr>
        <w:t xml:space="preserve">6.1.2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对模块化建筑进行承载力极限状态和正常使用极限状态验算时，荷载和地震作用的取值及其组合按国家现行相关标准执行。</w:t>
      </w:r>
      <w:r>
        <w:rPr>
          <w:rFonts w:hint="eastAsia"/>
          <w:color w:val="auto"/>
          <w:highlight w:val="none"/>
        </w:rPr>
        <w:t>当连接节点与接缝构造措施的性能达不到现浇结构的要求时，其最大适用高度应适当降低。</w:t>
      </w:r>
    </w:p>
    <w:p w14:paraId="2075B457">
      <w:pPr>
        <w:pStyle w:val="3"/>
        <w:rPr>
          <w:rFonts w:hint="default" w:ascii="宋体" w:hAnsi="宋体" w:eastAsia="黑体" w:cs="Times New Roman"/>
          <w:color w:val="auto"/>
          <w:sz w:val="21"/>
          <w:szCs w:val="21"/>
          <w:highlight w:val="none"/>
          <w:lang w:val="en-US" w:eastAsia="zh-CN"/>
        </w:rPr>
      </w:pPr>
      <w:bookmarkStart w:id="533" w:name="_Toc24761"/>
      <w:bookmarkStart w:id="534" w:name="_Toc18061"/>
      <w:r>
        <w:rPr>
          <w:rFonts w:cs="Times New Roman"/>
          <w:bCs/>
          <w:color w:val="auto"/>
          <w:kern w:val="44"/>
          <w:szCs w:val="28"/>
          <w:highlight w:val="none"/>
          <w:lang w:val="zh-CN"/>
        </w:rPr>
        <w:t>6.2</w:t>
      </w:r>
      <w:r>
        <w:rPr>
          <w:rFonts w:ascii="黑体" w:hAnsi="黑体" w:cs="Times New Roman"/>
          <w:b w:val="0"/>
          <w:color w:val="auto"/>
          <w:kern w:val="44"/>
          <w:szCs w:val="28"/>
          <w:highlight w:val="none"/>
          <w:lang w:val="zh-CN"/>
        </w:rPr>
        <w:t xml:space="preserve"> </w:t>
      </w:r>
      <w:r>
        <w:rPr>
          <w:rFonts w:hint="eastAsia" w:ascii="黑体" w:hAnsi="黑体" w:cs="Times New Roman"/>
          <w:b w:val="0"/>
          <w:color w:val="auto"/>
          <w:kern w:val="44"/>
          <w:szCs w:val="28"/>
          <w:highlight w:val="none"/>
          <w:lang w:val="en-US" w:eastAsia="zh-CN"/>
        </w:rPr>
        <w:t xml:space="preserve"> 结构分析</w:t>
      </w:r>
      <w:bookmarkEnd w:id="533"/>
      <w:bookmarkEnd w:id="534"/>
    </w:p>
    <w:p w14:paraId="7757F076">
      <w:pPr>
        <w:snapToGrid w:val="0"/>
        <w:spacing w:before="163" w:beforeLines="50"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6.2.1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进行多遇地震、设防地震分析时，在小震作用下，无论是等同现浇或者非等同现浇的结构，为了满足小震不坏的要求，结构构件和节点均应处于弹性状态，可采用线弹性分析方法。在设防地震作用下，预设接缝的性能目标为结构不屈服，可采用线弹性分析方法。</w:t>
      </w:r>
    </w:p>
    <w:p w14:paraId="301E2E72">
      <w:pPr>
        <w:snapToGrid w:val="0"/>
        <w:spacing w:line="300" w:lineRule="auto"/>
        <w:rPr>
          <w:rFonts w:hint="eastAsia" w:cs="Times New Roman"/>
          <w:color w:val="auto"/>
          <w:kern w:val="0"/>
          <w:szCs w:val="24"/>
          <w:highlight w:val="none"/>
        </w:rPr>
      </w:pPr>
      <w:r>
        <w:rPr>
          <w:rFonts w:hint="eastAsia" w:cs="Times New Roman"/>
          <w:b/>
          <w:bCs/>
          <w:snapToGrid w:val="0"/>
          <w:color w:val="auto"/>
          <w:kern w:val="0"/>
          <w:sz w:val="20"/>
          <w:szCs w:val="20"/>
          <w:highlight w:val="none"/>
        </w:rPr>
        <w:t>6.2.</w:t>
      </w:r>
      <w:r>
        <w:rPr>
          <w:rFonts w:cs="Times New Roman"/>
          <w:b/>
          <w:bCs/>
          <w:snapToGrid w:val="0"/>
          <w:color w:val="auto"/>
          <w:kern w:val="0"/>
          <w:sz w:val="20"/>
          <w:szCs w:val="20"/>
          <w:highlight w:val="none"/>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本条规定了</w:t>
      </w:r>
      <w:r>
        <w:rPr>
          <w:rFonts w:hint="eastAsia" w:cs="Times New Roman"/>
          <w:color w:val="auto"/>
          <w:kern w:val="0"/>
          <w:szCs w:val="24"/>
          <w:highlight w:val="none"/>
          <w:lang w:eastAsia="zh-CN"/>
        </w:rPr>
        <w:t>模块化建筑</w:t>
      </w:r>
      <w:r>
        <w:rPr>
          <w:rFonts w:hint="eastAsia" w:cs="Times New Roman"/>
          <w:color w:val="auto"/>
          <w:kern w:val="0"/>
          <w:szCs w:val="24"/>
          <w:highlight w:val="none"/>
        </w:rPr>
        <w:t>在非地震控制作用效应下结构分析方法的选取原则。非地震控制的作用效应主要包括重力荷载、活荷载、风荷载、雪荷载等直接作用，以及混凝土收缩、徐变和温度作用等间接作用。</w:t>
      </w:r>
    </w:p>
    <w:p w14:paraId="664716E0">
      <w:pPr>
        <w:snapToGrid w:val="0"/>
        <w:spacing w:line="300" w:lineRule="auto"/>
        <w:ind w:left="0" w:leftChars="0" w:firstLine="480" w:firstLineChars="200"/>
        <w:rPr>
          <w:rFonts w:cs="Times New Roman"/>
          <w:color w:val="auto"/>
          <w:kern w:val="0"/>
          <w:szCs w:val="24"/>
          <w:highlight w:val="none"/>
        </w:rPr>
      </w:pPr>
      <w:r>
        <w:rPr>
          <w:rFonts w:hint="eastAsia" w:cs="Times New Roman"/>
          <w:color w:val="auto"/>
          <w:kern w:val="0"/>
          <w:szCs w:val="24"/>
          <w:highlight w:val="none"/>
        </w:rPr>
        <w:t>在上述作用效应下，结构整体及主要受力体系通常处于以弹性工作为主的状态，采用线性分析方法能够合理反映结构整体内力和变形响应，满足工程设计精度要求。</w:t>
      </w:r>
    </w:p>
    <w:p w14:paraId="5B1208F7">
      <w:pPr>
        <w:snapToGrid w:val="0"/>
        <w:spacing w:line="300" w:lineRule="auto"/>
        <w:ind w:left="0" w:leftChars="0" w:firstLine="0" w:firstLineChars="0"/>
        <w:rPr>
          <w:rFonts w:hint="eastAsia" w:cs="Times New Roman"/>
          <w:color w:val="auto"/>
          <w:kern w:val="0"/>
          <w:szCs w:val="24"/>
          <w:highlight w:val="none"/>
        </w:rPr>
      </w:pPr>
      <w:r>
        <w:rPr>
          <w:rFonts w:hint="eastAsia" w:cs="Times New Roman"/>
          <w:b/>
          <w:bCs/>
          <w:snapToGrid w:val="0"/>
          <w:color w:val="auto"/>
          <w:kern w:val="0"/>
          <w:sz w:val="20"/>
          <w:szCs w:val="20"/>
          <w:highlight w:val="none"/>
        </w:rPr>
        <w:t>6.2.</w:t>
      </w:r>
      <w:r>
        <w:rPr>
          <w:rFonts w:cs="Times New Roman"/>
          <w:b/>
          <w:bCs/>
          <w:snapToGrid w:val="0"/>
          <w:color w:val="auto"/>
          <w:kern w:val="0"/>
          <w:sz w:val="20"/>
          <w:szCs w:val="20"/>
          <w:highlight w:val="none"/>
        </w:rPr>
        <w:t>3</w:t>
      </w:r>
      <w:r>
        <w:rPr>
          <w:rFonts w:hint="eastAsia"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模块化建筑结构连接节点可分为湿式连接节点和干式连接节点。湿式连接节点在满足等同现浇性能要求时，可按连续现浇混凝土结构考虑。对已通过充分试验研究证明且其连接接缝构造与性能满足等同现浇要求的湿式连接接缝，进行弹性分析时可按连续现浇混凝土结构进行整体模拟。对干式连接节点，</w:t>
      </w:r>
      <w:r>
        <w:rPr>
          <w:rFonts w:hint="eastAsia" w:cs="Times New Roman"/>
          <w:color w:val="auto"/>
          <w:kern w:val="0"/>
          <w:szCs w:val="24"/>
          <w:highlight w:val="none"/>
          <w:lang w:val="en-US" w:eastAsia="zh-CN"/>
        </w:rPr>
        <w:t>通常</w:t>
      </w:r>
      <w:r>
        <w:rPr>
          <w:rFonts w:hint="eastAsia" w:cs="Times New Roman"/>
          <w:color w:val="auto"/>
          <w:kern w:val="0"/>
          <w:szCs w:val="24"/>
          <w:highlight w:val="none"/>
        </w:rPr>
        <w:t>根据其实际受力特征与转动约束条件，采用刚接、铰接或半刚接进行模拟；必要时可采用等效刚度参数反映节点变形与传力特性。计算模型中显式考虑节点时，可获得节点内力，并对节点连接件及预埋件进行承载力复核。</w:t>
      </w:r>
    </w:p>
    <w:p w14:paraId="21EF1914">
      <w:pPr>
        <w:snapToGrid w:val="0"/>
        <w:spacing w:line="300" w:lineRule="auto"/>
        <w:ind w:left="0" w:leftChars="0" w:firstLine="480" w:firstLineChars="200"/>
        <w:rPr>
          <w:rFonts w:hint="eastAsia" w:cs="Times New Roman"/>
          <w:color w:val="auto"/>
          <w:kern w:val="0"/>
          <w:szCs w:val="24"/>
          <w:highlight w:val="none"/>
        </w:rPr>
      </w:pPr>
      <w:r>
        <w:rPr>
          <w:rFonts w:hint="eastAsia" w:cs="Times New Roman"/>
          <w:color w:val="auto"/>
          <w:kern w:val="0"/>
          <w:szCs w:val="24"/>
          <w:highlight w:val="none"/>
        </w:rPr>
        <w:t>箱体之间的水平接缝对结构整体受力与安全性能具有重要影响。水平接缝通常可通过间隔布置连接节点、接缝座浆或灌浆等措施实现剪力、轴力及弯矩的传递。结构设计</w:t>
      </w:r>
      <w:r>
        <w:rPr>
          <w:rFonts w:hint="eastAsia" w:cs="Times New Roman"/>
          <w:color w:val="auto"/>
          <w:kern w:val="0"/>
          <w:szCs w:val="24"/>
          <w:highlight w:val="none"/>
          <w:lang w:val="en-US" w:eastAsia="zh-CN"/>
        </w:rPr>
        <w:t>要</w:t>
      </w:r>
      <w:r>
        <w:rPr>
          <w:rFonts w:hint="eastAsia" w:cs="Times New Roman"/>
          <w:color w:val="auto"/>
          <w:kern w:val="0"/>
          <w:szCs w:val="24"/>
          <w:highlight w:val="none"/>
        </w:rPr>
        <w:t>满足小震作用下接缝不开裂或开裂可控，大震作用下接缝及连接构造不超过其极限承载力并满足延性要求。满足等同现浇条件或经等效验算证明接缝对整体刚度与承载力影响可忽略时，结构分析可采用整体连续模型进行简化计算；不满足上述条件时，</w:t>
      </w:r>
      <w:r>
        <w:rPr>
          <w:rFonts w:hint="eastAsia" w:cs="Times New Roman"/>
          <w:color w:val="auto"/>
          <w:kern w:val="0"/>
          <w:szCs w:val="24"/>
          <w:highlight w:val="none"/>
          <w:lang w:val="en-US" w:eastAsia="zh-CN"/>
        </w:rPr>
        <w:t>需要</w:t>
      </w:r>
      <w:r>
        <w:rPr>
          <w:rFonts w:hint="eastAsia" w:cs="Times New Roman"/>
          <w:color w:val="auto"/>
          <w:kern w:val="0"/>
          <w:szCs w:val="24"/>
          <w:highlight w:val="none"/>
        </w:rPr>
        <w:t>在模型中考虑接缝影响或采用等效连接单元进行模拟。</w:t>
      </w:r>
    </w:p>
    <w:p w14:paraId="3E1EB5AF">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6.2.</w:t>
      </w:r>
      <w:r>
        <w:rPr>
          <w:rFonts w:cs="Times New Roman"/>
          <w:b/>
          <w:bCs/>
          <w:snapToGrid w:val="0"/>
          <w:color w:val="auto"/>
          <w:kern w:val="0"/>
          <w:sz w:val="20"/>
          <w:szCs w:val="20"/>
          <w:highlight w:val="none"/>
        </w:rPr>
        <w:t>4</w:t>
      </w:r>
      <w:r>
        <w:rPr>
          <w:rFonts w:hint="eastAsia" w:cs="Times New Roman"/>
          <w:b/>
          <w:bCs/>
          <w:snapToGrid w:val="0"/>
          <w:color w:val="auto"/>
          <w:kern w:val="0"/>
          <w:sz w:val="20"/>
          <w:szCs w:val="20"/>
          <w:highlight w:val="none"/>
        </w:rPr>
        <w:t xml:space="preserve">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箱体之间楼盖的连接较弱，对整个楼盖采用弹性楼盖进行模拟，以便得到箱体之间连接的内力。</w:t>
      </w:r>
    </w:p>
    <w:p w14:paraId="18AC2533">
      <w:pPr>
        <w:snapToGrid w:val="0"/>
        <w:spacing w:line="300" w:lineRule="auto"/>
        <w:rPr>
          <w:rFonts w:hint="eastAsia" w:cs="Times New Roman"/>
          <w:color w:val="auto"/>
          <w:kern w:val="0"/>
          <w:szCs w:val="24"/>
          <w:highlight w:val="none"/>
        </w:rPr>
      </w:pPr>
      <w:r>
        <w:rPr>
          <w:rFonts w:hint="eastAsia" w:cs="Times New Roman"/>
          <w:b/>
          <w:bCs/>
          <w:snapToGrid w:val="0"/>
          <w:color w:val="auto"/>
          <w:kern w:val="0"/>
          <w:sz w:val="20"/>
          <w:szCs w:val="20"/>
          <w:highlight w:val="none"/>
        </w:rPr>
        <w:t xml:space="preserve">6.2.5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在多遇地震作用下进行结构弹性分析时，结构阻尼比的取值</w:t>
      </w:r>
      <w:r>
        <w:rPr>
          <w:rFonts w:hint="eastAsia" w:cs="Times New Roman"/>
          <w:color w:val="auto"/>
          <w:kern w:val="0"/>
          <w:szCs w:val="24"/>
          <w:highlight w:val="none"/>
          <w:lang w:val="en-US" w:eastAsia="zh-CN"/>
        </w:rPr>
        <w:t>需要</w:t>
      </w:r>
      <w:r>
        <w:rPr>
          <w:rFonts w:hint="eastAsia" w:cs="Times New Roman"/>
          <w:color w:val="auto"/>
          <w:kern w:val="0"/>
          <w:szCs w:val="24"/>
          <w:highlight w:val="none"/>
        </w:rPr>
        <w:t>与结构体系及其连接性能相一致。当模块之间采用湿式连接，且连接节点性能满足等同现浇混凝土结构要求时，结构整体受力性能及变形特性可按现浇钢筋混凝土结构考虑。</w:t>
      </w:r>
    </w:p>
    <w:p w14:paraId="04128749">
      <w:pPr>
        <w:snapToGrid w:val="0"/>
        <w:spacing w:line="300" w:lineRule="auto"/>
        <w:rPr>
          <w:color w:val="auto"/>
          <w:highlight w:val="none"/>
        </w:rPr>
      </w:pPr>
      <w:r>
        <w:rPr>
          <w:rFonts w:hint="eastAsia" w:cs="Times New Roman"/>
          <w:color w:val="auto"/>
          <w:kern w:val="0"/>
          <w:szCs w:val="24"/>
          <w:highlight w:val="none"/>
        </w:rPr>
        <w:t>《建筑</w:t>
      </w:r>
      <w:r>
        <w:rPr>
          <w:rFonts w:hint="eastAsia" w:cs="Times New Roman"/>
          <w:color w:val="auto"/>
          <w:kern w:val="0"/>
          <w:szCs w:val="24"/>
          <w:highlight w:val="none"/>
          <w:lang w:eastAsia="zh-CN"/>
        </w:rPr>
        <w:t>抗震设计标准</w:t>
      </w:r>
      <w:r>
        <w:rPr>
          <w:rFonts w:hint="eastAsia" w:cs="Times New Roman"/>
          <w:color w:val="auto"/>
          <w:kern w:val="0"/>
          <w:szCs w:val="24"/>
          <w:highlight w:val="none"/>
        </w:rPr>
        <w:t>》GB</w:t>
      </w:r>
      <w:r>
        <w:rPr>
          <w:rFonts w:hint="eastAsia" w:cs="Times New Roman"/>
          <w:color w:val="auto"/>
          <w:kern w:val="0"/>
          <w:szCs w:val="24"/>
          <w:highlight w:val="none"/>
          <w:lang w:val="en-US" w:eastAsia="zh-CN"/>
        </w:rPr>
        <w:t>/T</w:t>
      </w:r>
      <w:r>
        <w:rPr>
          <w:rFonts w:hint="eastAsia" w:cs="Times New Roman"/>
          <w:color w:val="auto"/>
          <w:kern w:val="0"/>
          <w:szCs w:val="24"/>
          <w:highlight w:val="none"/>
        </w:rPr>
        <w:t xml:space="preserve"> 50011</w:t>
      </w:r>
      <w:r>
        <w:rPr>
          <w:rFonts w:hint="eastAsia" w:cs="Times New Roman"/>
          <w:color w:val="auto"/>
          <w:kern w:val="0"/>
          <w:szCs w:val="24"/>
          <w:highlight w:val="none"/>
          <w:lang w:eastAsia="zh-CN"/>
        </w:rPr>
        <w:t>中，</w:t>
      </w:r>
      <w:r>
        <w:rPr>
          <w:rFonts w:hint="eastAsia" w:cs="Times New Roman"/>
          <w:color w:val="auto"/>
          <w:kern w:val="0"/>
          <w:szCs w:val="24"/>
          <w:highlight w:val="none"/>
        </w:rPr>
        <w:t>钢筋混凝土结构弹性分析时阻尼比通常取0.05，本条在连接节点满足等同现浇性能条件下采用该取值。</w:t>
      </w:r>
    </w:p>
    <w:p w14:paraId="047F793D">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6.2.6</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模块化建筑结构主要依据剪力墙的变形控制要求，参照现行国家标准《建筑</w:t>
      </w:r>
      <w:r>
        <w:rPr>
          <w:rFonts w:hint="eastAsia" w:cs="Times New Roman"/>
          <w:color w:val="auto"/>
          <w:kern w:val="0"/>
          <w:szCs w:val="24"/>
          <w:highlight w:val="none"/>
          <w:lang w:eastAsia="zh-CN"/>
        </w:rPr>
        <w:t>抗震设计标准</w:t>
      </w:r>
      <w:r>
        <w:rPr>
          <w:rFonts w:hint="eastAsia" w:cs="Times New Roman"/>
          <w:color w:val="auto"/>
          <w:kern w:val="0"/>
          <w:szCs w:val="24"/>
          <w:highlight w:val="none"/>
        </w:rPr>
        <w:t>》</w:t>
      </w:r>
      <w:r>
        <w:rPr>
          <w:rFonts w:hint="eastAsia" w:cs="Times New Roman"/>
          <w:color w:val="auto"/>
          <w:kern w:val="0"/>
          <w:szCs w:val="24"/>
          <w:highlight w:val="none"/>
          <w:lang w:eastAsia="zh-CN"/>
        </w:rPr>
        <w:t>GB/T 50011</w:t>
      </w:r>
      <w:r>
        <w:rPr>
          <w:rFonts w:hint="eastAsia" w:cs="Times New Roman"/>
          <w:color w:val="auto"/>
          <w:kern w:val="0"/>
          <w:szCs w:val="24"/>
          <w:highlight w:val="none"/>
        </w:rPr>
        <w:t>确定层间位移角限值。</w:t>
      </w:r>
    </w:p>
    <w:p w14:paraId="5993EF22">
      <w:pPr>
        <w:snapToGrid w:val="0"/>
        <w:spacing w:line="300" w:lineRule="auto"/>
        <w:rPr>
          <w:rFonts w:cs="Times New Roman"/>
          <w:color w:val="auto"/>
          <w:kern w:val="0"/>
          <w:szCs w:val="24"/>
          <w:highlight w:val="none"/>
        </w:rPr>
      </w:pPr>
    </w:p>
    <w:p w14:paraId="052B74EB">
      <w:pPr>
        <w:pStyle w:val="3"/>
        <w:rPr>
          <w:rFonts w:ascii="黑体" w:hAnsi="黑体" w:cs="Times New Roman"/>
          <w:b w:val="0"/>
          <w:color w:val="auto"/>
          <w:kern w:val="44"/>
          <w:szCs w:val="28"/>
          <w:highlight w:val="none"/>
          <w:lang w:val="zh-CN"/>
        </w:rPr>
      </w:pPr>
      <w:bookmarkStart w:id="535" w:name="_Toc15630"/>
      <w:bookmarkStart w:id="536" w:name="_Toc23034"/>
      <w:r>
        <w:rPr>
          <w:rFonts w:cs="Times New Roman"/>
          <w:bCs/>
          <w:color w:val="auto"/>
          <w:kern w:val="44"/>
          <w:szCs w:val="28"/>
          <w:highlight w:val="none"/>
          <w:lang w:val="zh-CN"/>
        </w:rPr>
        <w:t>6.3</w:t>
      </w:r>
      <w:r>
        <w:rPr>
          <w:rFonts w:hint="eastAsia" w:cs="Times New Roman"/>
          <w:bCs/>
          <w:color w:val="auto"/>
          <w:kern w:val="44"/>
          <w:szCs w:val="28"/>
          <w:highlight w:val="none"/>
          <w:lang w:val="en-US" w:eastAsia="zh-CN"/>
        </w:rPr>
        <w:t xml:space="preserve">  </w:t>
      </w:r>
      <w:r>
        <w:rPr>
          <w:rFonts w:hint="eastAsia" w:ascii="黑体" w:hAnsi="黑体" w:cs="Times New Roman"/>
          <w:b w:val="0"/>
          <w:color w:val="auto"/>
          <w:kern w:val="44"/>
          <w:szCs w:val="28"/>
          <w:highlight w:val="none"/>
          <w:lang w:val="zh-CN"/>
        </w:rPr>
        <w:t>结构设计</w:t>
      </w:r>
      <w:bookmarkEnd w:id="535"/>
      <w:bookmarkEnd w:id="536"/>
    </w:p>
    <w:p w14:paraId="0C1DE5C2">
      <w:pPr>
        <w:snapToGrid w:val="0"/>
        <w:spacing w:before="163" w:beforeLines="50"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规定了模块化建筑结构的梁、剪力墙及连梁截面承载力验算方法。</w:t>
      </w:r>
    </w:p>
    <w:p w14:paraId="26FDBB79">
      <w:pPr>
        <w:snapToGrid w:val="0"/>
        <w:spacing w:line="300" w:lineRule="auto"/>
        <w:ind w:firstLine="0" w:firstLineChars="0"/>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本条参照现行行业标准《装配式混凝土结构技术规程》JGJ 1并考虑安全性制定上述截面规格尺寸要求。</w:t>
      </w:r>
    </w:p>
    <w:p w14:paraId="373ACEB4">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6.3.</w:t>
      </w:r>
      <w:r>
        <w:rPr>
          <w:rFonts w:hint="eastAsia" w:cs="Times New Roman"/>
          <w:b/>
          <w:bCs/>
          <w:snapToGrid w:val="0"/>
          <w:color w:val="auto"/>
          <w:kern w:val="0"/>
          <w:sz w:val="20"/>
          <w:szCs w:val="20"/>
          <w:highlight w:val="none"/>
          <w:lang w:val="en-US" w:eastAsia="zh-CN"/>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本条参照现行行业标准《装配式混凝土结构技术规程》JGJ 1和《装配式混凝土建筑技术标准》GB/T 51231中的规定</w:t>
      </w:r>
      <w:r>
        <w:rPr>
          <w:rFonts w:hint="eastAsia" w:cs="Times New Roman"/>
          <w:color w:val="auto"/>
          <w:kern w:val="0"/>
          <w:szCs w:val="24"/>
          <w:highlight w:val="none"/>
          <w:lang w:val="en-US" w:eastAsia="zh-CN"/>
        </w:rPr>
        <w:t>制定</w:t>
      </w:r>
      <w:r>
        <w:rPr>
          <w:rFonts w:hint="eastAsia" w:cs="Times New Roman"/>
          <w:color w:val="auto"/>
          <w:kern w:val="0"/>
          <w:szCs w:val="24"/>
          <w:highlight w:val="none"/>
        </w:rPr>
        <w:t>。</w:t>
      </w:r>
    </w:p>
    <w:p w14:paraId="132EBBC3">
      <w:pPr>
        <w:pStyle w:val="3"/>
        <w:rPr>
          <w:rFonts w:ascii="黑体" w:hAnsi="黑体" w:cs="Times New Roman"/>
          <w:b w:val="0"/>
          <w:color w:val="auto"/>
          <w:kern w:val="44"/>
          <w:szCs w:val="28"/>
          <w:highlight w:val="none"/>
          <w:lang w:val="zh-CN"/>
        </w:rPr>
      </w:pPr>
      <w:bookmarkStart w:id="537" w:name="_Toc32145"/>
      <w:bookmarkStart w:id="538" w:name="_Toc20756"/>
      <w:r>
        <w:rPr>
          <w:rFonts w:cs="Times New Roman"/>
          <w:bCs/>
          <w:color w:val="auto"/>
          <w:kern w:val="44"/>
          <w:szCs w:val="28"/>
          <w:highlight w:val="none"/>
          <w:lang w:val="zh-CN"/>
        </w:rPr>
        <w:t>6.4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cs="Times New Roman"/>
          <w:b w:val="0"/>
          <w:color w:val="auto"/>
          <w:kern w:val="44"/>
          <w:szCs w:val="28"/>
          <w:highlight w:val="none"/>
          <w:lang w:val="zh-CN"/>
        </w:rPr>
        <w:t>连接设计</w:t>
      </w:r>
      <w:bookmarkEnd w:id="537"/>
      <w:bookmarkEnd w:id="538"/>
    </w:p>
    <w:p w14:paraId="4DE409EB">
      <w:pPr>
        <w:snapToGrid w:val="0"/>
        <w:spacing w:line="300" w:lineRule="auto"/>
        <w:rPr>
          <w:rFonts w:cs="Times New Roman"/>
          <w:color w:val="auto"/>
          <w:kern w:val="0"/>
          <w:szCs w:val="24"/>
          <w:highlight w:val="none"/>
        </w:rPr>
      </w:pPr>
      <w:r>
        <w:rPr>
          <w:rFonts w:hint="eastAsia" w:cs="Times New Roman"/>
          <w:b/>
          <w:bCs/>
          <w:snapToGrid w:val="0"/>
          <w:color w:val="auto"/>
          <w:kern w:val="0"/>
          <w:sz w:val="20"/>
          <w:szCs w:val="20"/>
          <w:highlight w:val="none"/>
        </w:rPr>
        <w:t xml:space="preserve">6.4.1 </w:t>
      </w:r>
      <w:r>
        <w:rPr>
          <w:rFonts w:hint="eastAsia" w:cs="Times New Roman"/>
          <w:b/>
          <w:bCs/>
          <w:snapToGrid w:val="0"/>
          <w:color w:val="auto"/>
          <w:kern w:val="0"/>
          <w:sz w:val="20"/>
          <w:szCs w:val="20"/>
          <w:highlight w:val="none"/>
          <w:lang w:val="en-US" w:eastAsia="zh-CN"/>
        </w:rPr>
        <w:t xml:space="preserve"> </w:t>
      </w:r>
      <w:r>
        <w:rPr>
          <w:rFonts w:hint="eastAsia" w:cs="Times New Roman"/>
          <w:color w:val="auto"/>
          <w:kern w:val="0"/>
          <w:szCs w:val="24"/>
          <w:highlight w:val="none"/>
        </w:rPr>
        <w:t>模块化建筑结构中，水平接缝连接节点可采用各种形式并结合接缝的灌浆或者座浆形成整体式拼缝。墙体端部的边缘构件主要承担弯矩，因此对应于边缘构件位置应设置连接节点以传递边缘构件的拉力、剪力或压力。连接节点采用较粗钢筋、连接板或者螺栓集中布置的形式，便于</w:t>
      </w:r>
      <w:r>
        <w:rPr>
          <w:rFonts w:hint="eastAsia" w:cs="Times New Roman"/>
          <w:color w:val="auto"/>
          <w:kern w:val="0"/>
          <w:szCs w:val="24"/>
          <w:highlight w:val="none"/>
          <w:lang w:eastAsia="zh-CN"/>
        </w:rPr>
        <w:t>模块生产</w:t>
      </w:r>
      <w:r>
        <w:rPr>
          <w:rFonts w:hint="eastAsia" w:cs="Times New Roman"/>
          <w:color w:val="auto"/>
          <w:kern w:val="0"/>
          <w:szCs w:val="24"/>
          <w:highlight w:val="none"/>
        </w:rPr>
        <w:t>及安装。连接节点也可采用在构件内预埋螺纹套筒、预埋波纹管等现场螺栓连接、钢筋连接的形式，可避免预制构件预埋螺杆、预留钢筋。</w:t>
      </w:r>
    </w:p>
    <w:p w14:paraId="7A092F1C">
      <w:pPr>
        <w:snapToGrid w:val="0"/>
        <w:spacing w:line="300" w:lineRule="auto"/>
        <w:ind w:left="0" w:leftChars="0" w:firstLine="0" w:firstLineChars="0"/>
        <w:rPr>
          <w:rFonts w:cs="Times New Roman"/>
          <w:color w:val="auto"/>
          <w:kern w:val="0"/>
          <w:szCs w:val="24"/>
          <w:highlight w:val="none"/>
        </w:rPr>
      </w:pPr>
      <w:r>
        <w:rPr>
          <w:rFonts w:hint="eastAsia" w:cs="Times New Roman"/>
          <w:b/>
          <w:bCs/>
          <w:snapToGrid w:val="0"/>
          <w:color w:val="auto"/>
          <w:kern w:val="0"/>
          <w:sz w:val="20"/>
          <w:szCs w:val="20"/>
          <w:highlight w:val="none"/>
        </w:rPr>
        <w:t>6.4.2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本条承载力计算公式参照现行行业标准《装配式混凝土结构技术规程》JGJ 1中的规定。</w:t>
      </w:r>
    </w:p>
    <w:p w14:paraId="1D736529">
      <w:pPr>
        <w:widowControl/>
        <w:wordWrap/>
        <w:overflowPunct/>
        <w:topLinePunct w:val="0"/>
        <w:bidi w:val="0"/>
        <w:snapToGrid w:val="0"/>
        <w:spacing w:line="300" w:lineRule="auto"/>
        <w:ind w:firstLine="420" w:firstLineChars="200"/>
        <w:jc w:val="left"/>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1746FF4A">
      <w:pPr>
        <w:pStyle w:val="2"/>
        <w:bidi w:val="0"/>
        <w:rPr>
          <w:rFonts w:ascii="宋体" w:hAnsi="宋体" w:cs="Times New Roman"/>
          <w:color w:val="auto"/>
          <w:kern w:val="44"/>
          <w:szCs w:val="24"/>
          <w:highlight w:val="none"/>
          <w:lang w:val="zh-CN"/>
        </w:rPr>
      </w:pPr>
      <w:bookmarkStart w:id="539" w:name="_Toc3558"/>
      <w:bookmarkStart w:id="540" w:name="_Toc26790"/>
      <w:r>
        <w:rPr>
          <w:rFonts w:hint="eastAsia" w:ascii="Times New Roman" w:hAnsi="Times New Roman" w:eastAsia="黑体" w:cs="Times New Roman"/>
          <w:b/>
          <w:bCs/>
          <w:color w:val="auto"/>
          <w:kern w:val="44"/>
          <w:sz w:val="30"/>
          <w:szCs w:val="30"/>
          <w:highlight w:val="none"/>
          <w:lang w:val="zh-CN" w:eastAsia="zh-CN" w:bidi="ar-SA"/>
        </w:rPr>
        <w:t>8</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en-US" w:eastAsia="zh-CN"/>
        </w:rPr>
        <w:t>模块</w:t>
      </w:r>
      <w:r>
        <w:rPr>
          <w:rFonts w:hint="eastAsia" w:ascii="黑体" w:hAnsi="黑体" w:eastAsia="黑体" w:cs="黑体"/>
          <w:b w:val="0"/>
          <w:bCs w:val="0"/>
          <w:color w:val="auto"/>
          <w:kern w:val="44"/>
          <w:sz w:val="30"/>
          <w:szCs w:val="30"/>
          <w:highlight w:val="none"/>
          <w:lang w:val="zh-CN"/>
        </w:rPr>
        <w:t>生产与运输</w:t>
      </w:r>
      <w:bookmarkEnd w:id="539"/>
      <w:bookmarkEnd w:id="540"/>
    </w:p>
    <w:p w14:paraId="6C8A2D96">
      <w:pPr>
        <w:pStyle w:val="3"/>
        <w:bidi w:val="0"/>
        <w:rPr>
          <w:rFonts w:ascii="宋体" w:hAnsi="宋体" w:cs="Times New Roman"/>
          <w:color w:val="auto"/>
          <w:sz w:val="21"/>
          <w:szCs w:val="21"/>
          <w:highlight w:val="none"/>
        </w:rPr>
      </w:pPr>
      <w:bookmarkStart w:id="541" w:name="_Toc31473"/>
      <w:bookmarkStart w:id="542" w:name="_Toc28046"/>
      <w:r>
        <w:rPr>
          <w:rFonts w:hint="eastAsia" w:ascii="Times New Roman" w:hAnsi="Times New Roman" w:eastAsia="黑体" w:cs="Times New Roman"/>
          <w:b/>
          <w:bCs/>
          <w:color w:val="auto"/>
          <w:kern w:val="44"/>
          <w:sz w:val="28"/>
          <w:szCs w:val="28"/>
          <w:highlight w:val="none"/>
          <w:lang w:val="zh-CN" w:eastAsia="zh-CN" w:bidi="ar-SA"/>
        </w:rPr>
        <w:t>8</w:t>
      </w:r>
      <w:r>
        <w:rPr>
          <w:rFonts w:hint="default" w:ascii="Times New Roman" w:hAnsi="Times New Roman" w:eastAsia="黑体" w:cs="Times New Roman"/>
          <w:b/>
          <w:bCs/>
          <w:color w:val="auto"/>
          <w:kern w:val="44"/>
          <w:sz w:val="28"/>
          <w:szCs w:val="28"/>
          <w:highlight w:val="none"/>
          <w:lang w:val="zh-CN" w:eastAsia="zh-CN" w:bidi="ar-SA"/>
        </w:rPr>
        <w:t>.1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一般规定</w:t>
      </w:r>
      <w:bookmarkEnd w:id="541"/>
      <w:bookmarkEnd w:id="542"/>
    </w:p>
    <w:p w14:paraId="5FBB63A7">
      <w:pPr>
        <w:wordWrap/>
        <w:overflowPunct/>
        <w:topLinePunct w:val="0"/>
        <w:bidi w:val="0"/>
        <w:snapToGrid w:val="0"/>
        <w:spacing w:line="300" w:lineRule="auto"/>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8.1.</w:t>
      </w:r>
      <w:r>
        <w:rPr>
          <w:rFonts w:hint="eastAsia" w:cs="Times New Roman"/>
          <w:b/>
          <w:bCs/>
          <w:snapToGrid w:val="0"/>
          <w:color w:val="auto"/>
          <w:kern w:val="0"/>
          <w:sz w:val="20"/>
          <w:szCs w:val="20"/>
          <w:highlight w:val="none"/>
          <w:lang w:val="en-US" w:eastAsia="zh-CN" w:bidi="ar-SA"/>
        </w:rPr>
        <w:t>4</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模块化建筑结构体系中，模块间连接节点是保证结构整体性、承载力和抗震性能的关键环节。螺栓连接、焊接连接、钢筋浆锚搭接连接及钢筋套筒灌浆连接等连接方式，其受力性能不仅与连接构造形式有关，还与材料性能、加工精度及施工工艺质量密切相关。为确保连接节点满足设计要求并保证工程质量安全可靠，本条规定上述连接方式在模块生产前进行连接性能检验。</w:t>
      </w:r>
    </w:p>
    <w:p w14:paraId="52E37AF4">
      <w:pPr>
        <w:wordWrap/>
        <w:overflowPunct/>
        <w:topLinePunct w:val="0"/>
        <w:bidi w:val="0"/>
        <w:snapToGrid w:val="0"/>
        <w:spacing w:line="300" w:lineRule="auto"/>
        <w:ind w:left="0" w:leftChars="0"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螺栓连接的受力性能主要取决于螺栓、连接件及预埋件的材质、规格、加工质量和配套性能，因此要求提供产品出厂合格证及相关质量证明文件，并按现行国家标准《钢结构工程施工质量验收规范》GB 50205的有关规定进行复验；必要时可通过节点承载力验证试验确认连接性能，以满足工程安全性要求。</w:t>
      </w:r>
    </w:p>
    <w:p w14:paraId="1C3C2629">
      <w:pPr>
        <w:wordWrap/>
        <w:overflowPunct/>
        <w:topLinePunct w:val="0"/>
        <w:bidi w:val="0"/>
        <w:snapToGrid w:val="0"/>
        <w:spacing w:line="300" w:lineRule="auto"/>
        <w:ind w:left="0" w:leftChars="0"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焊接连接的质量受焊接工艺参数、焊材性能、焊接操作及构造细部影响较大，且焊接热影响可能对混凝土构件局部产生不利影响，因此规定焊接连接节点在生产前进行焊接工艺评定，并按现行国家标准《钢结构焊接规范》GB 50661及《钢结构工程施工质量验收规范》GB 50205的规定进行焊缝质量检验；必要时制作焊接试件进行力学性能试验，以保证焊接质量稳定可靠。</w:t>
      </w:r>
    </w:p>
    <w:p w14:paraId="39DB7518">
      <w:pPr>
        <w:wordWrap/>
        <w:overflowPunct/>
        <w:topLinePunct w:val="0"/>
        <w:bidi w:val="0"/>
        <w:snapToGrid w:val="0"/>
        <w:spacing w:line="300" w:lineRule="auto"/>
        <w:ind w:left="0" w:leftChars="0" w:firstLine="480" w:firstLineChars="200"/>
        <w:rPr>
          <w:rFonts w:hint="eastAsia"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钢筋浆锚搭接连接的性能受钢筋锚固长度、孔道构造、灌浆料性能及灌浆工艺影响较大，为保证连接可靠性，本条规定浆锚搭接连接接头按设计要求进行工艺评定，并宜制作平行试件进行抗拉强度试验，用于验证其连接性能满足设计要求。</w:t>
      </w:r>
    </w:p>
    <w:p w14:paraId="3D544D26">
      <w:pPr>
        <w:wordWrap/>
        <w:overflowPunct/>
        <w:topLinePunct w:val="0"/>
        <w:bidi w:val="0"/>
        <w:snapToGrid w:val="0"/>
        <w:spacing w:line="300" w:lineRule="auto"/>
        <w:ind w:left="0" w:leftChars="0"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钢筋套筒灌浆连接接头的连接性能与套筒产品质量、灌浆料性能、施工工艺及养护条件密切相关。为确保其连接性能满足工程应用要求，本条规定按现行行业标准《钢筋套筒灌浆连接应用技术规程》JGJ/T 355进行验证性试验，试验合格后方可用于模块生产，从源头控制连接质量风险，确保工程安全和耐久性。</w:t>
      </w:r>
    </w:p>
    <w:p w14:paraId="1F7BB6E3">
      <w:pPr>
        <w:pStyle w:val="3"/>
        <w:bidi w:val="0"/>
        <w:rPr>
          <w:rFonts w:hint="eastAsia" w:ascii="Times New Roman" w:hAnsi="Times New Roman" w:eastAsia="黑体" w:cs="Times New Roman"/>
          <w:b/>
          <w:bCs/>
          <w:color w:val="auto"/>
          <w:kern w:val="44"/>
          <w:sz w:val="28"/>
          <w:szCs w:val="28"/>
          <w:highlight w:val="none"/>
          <w:lang w:val="zh-CN" w:eastAsia="zh-CN" w:bidi="ar-SA"/>
        </w:rPr>
      </w:pPr>
      <w:bookmarkStart w:id="543" w:name="_Toc22220"/>
      <w:bookmarkStart w:id="544" w:name="_Toc32056"/>
      <w:r>
        <w:rPr>
          <w:rFonts w:hint="eastAsia" w:ascii="Times New Roman" w:hAnsi="Times New Roman" w:eastAsia="黑体" w:cs="Times New Roman"/>
          <w:b/>
          <w:bCs/>
          <w:color w:val="auto"/>
          <w:kern w:val="44"/>
          <w:sz w:val="28"/>
          <w:szCs w:val="28"/>
          <w:highlight w:val="none"/>
          <w:lang w:val="zh-CN" w:eastAsia="zh-CN" w:bidi="ar-SA"/>
        </w:rPr>
        <w:t>8</w:t>
      </w:r>
      <w:r>
        <w:rPr>
          <w:rFonts w:hint="default" w:ascii="Times New Roman" w:hAnsi="Times New Roman" w:eastAsia="黑体" w:cs="Times New Roman"/>
          <w:b/>
          <w:bCs/>
          <w:color w:val="auto"/>
          <w:kern w:val="44"/>
          <w:sz w:val="28"/>
          <w:szCs w:val="28"/>
          <w:highlight w:val="none"/>
          <w:lang w:val="zh-CN" w:eastAsia="zh-CN" w:bidi="ar-SA"/>
        </w:rPr>
        <w:t>.2</w:t>
      </w:r>
      <w:r>
        <w:rPr>
          <w:rFonts w:hint="eastAsia" w:ascii="Times New Roman" w:hAnsi="Times New Roman" w:eastAsia="黑体" w:cs="Times New Roman"/>
          <w:b/>
          <w:bCs/>
          <w:color w:val="auto"/>
          <w:kern w:val="44"/>
          <w:sz w:val="28"/>
          <w:szCs w:val="28"/>
          <w:highlight w:val="none"/>
          <w:lang w:val="zh-CN" w:eastAsia="zh-CN" w:bidi="ar-SA"/>
        </w:rPr>
        <w:t xml:space="preserve"> </w:t>
      </w:r>
      <w:r>
        <w:rPr>
          <w:rFonts w:hint="eastAsia" w:cs="Times New Roman"/>
          <w:b/>
          <w:bCs/>
          <w:color w:val="auto"/>
          <w:kern w:val="44"/>
          <w:sz w:val="28"/>
          <w:szCs w:val="28"/>
          <w:highlight w:val="none"/>
          <w:lang w:val="en-US" w:eastAsia="zh-CN" w:bidi="ar-SA"/>
        </w:rPr>
        <w:t xml:space="preserve"> </w:t>
      </w:r>
      <w:r>
        <w:rPr>
          <w:rFonts w:hint="eastAsia" w:cs="Times New Roman"/>
          <w:b w:val="0"/>
          <w:bCs w:val="0"/>
          <w:color w:val="auto"/>
          <w:kern w:val="44"/>
          <w:sz w:val="28"/>
          <w:szCs w:val="28"/>
          <w:highlight w:val="none"/>
          <w:lang w:val="zh-CN" w:eastAsia="zh-CN" w:bidi="ar-SA"/>
        </w:rPr>
        <w:t>生产</w:t>
      </w:r>
      <w:r>
        <w:rPr>
          <w:rFonts w:hint="eastAsia" w:ascii="Times New Roman" w:hAnsi="Times New Roman" w:eastAsia="黑体" w:cs="Times New Roman"/>
          <w:b w:val="0"/>
          <w:bCs w:val="0"/>
          <w:color w:val="auto"/>
          <w:kern w:val="44"/>
          <w:sz w:val="28"/>
          <w:szCs w:val="28"/>
          <w:highlight w:val="none"/>
          <w:lang w:val="zh-CN" w:eastAsia="zh-CN" w:bidi="ar-SA"/>
        </w:rPr>
        <w:t>准备</w:t>
      </w:r>
      <w:bookmarkEnd w:id="543"/>
      <w:bookmarkEnd w:id="544"/>
    </w:p>
    <w:p w14:paraId="77BA5AB1">
      <w:pPr>
        <w:wordWrap/>
        <w:overflowPunct/>
        <w:topLinePunct w:val="0"/>
        <w:bidi w:val="0"/>
        <w:snapToGrid w:val="0"/>
        <w:spacing w:line="300" w:lineRule="auto"/>
        <w:ind w:left="0" w:leftChars="0" w:firstLine="0" w:firstLineChars="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8.2.1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形状较为复杂，对模具的承载能力、刚度、整体稳定性及安装精度要求较高。模具的装拆便利性直接影响生产效率和周转使用效果，配套工具的适配性也会影响组装、拆卸和维护作业。生产过程中如操作不当，易造成模具变形、损伤，进而影响模块尺寸精度和表观质量。采用尺寸可调的模具，有利于适应不同规格模块的生产需求，减少模具配置数量，降低模具投入成本。</w:t>
      </w:r>
    </w:p>
    <w:p w14:paraId="0DDEDB3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8.2.2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混凝土模块采用定型钢模加工，模具的生产质量标准要求较高。模具精度是保证模块生产质量的关键，对于新制、改制或生产数量超过一定数量的模具，生产前按要求进行尺寸偏差检验，合格后投入使用。</w:t>
      </w:r>
    </w:p>
    <w:p w14:paraId="772E00B7">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8.2.4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预埋件及预留孔洞的形状尺寸和中心定位偏差是影响构件质量的关键指标，因此要求生产时按要求进行抽样检验。</w:t>
      </w:r>
    </w:p>
    <w:p w14:paraId="06C4DDCB">
      <w:pPr>
        <w:pStyle w:val="3"/>
        <w:bidi w:val="0"/>
        <w:rPr>
          <w:rFonts w:ascii="宋体" w:hAnsi="宋体" w:cs="Times New Roman"/>
          <w:color w:val="auto"/>
          <w:sz w:val="21"/>
          <w:szCs w:val="21"/>
          <w:highlight w:val="none"/>
        </w:rPr>
      </w:pPr>
      <w:bookmarkStart w:id="545" w:name="_Toc5090"/>
      <w:bookmarkStart w:id="546" w:name="_Toc15969"/>
      <w:r>
        <w:rPr>
          <w:rFonts w:hint="default" w:ascii="Times New Roman" w:hAnsi="Times New Roman" w:eastAsia="黑体" w:cs="Times New Roman"/>
          <w:b/>
          <w:bCs/>
          <w:color w:val="auto"/>
          <w:kern w:val="44"/>
          <w:sz w:val="28"/>
          <w:szCs w:val="28"/>
          <w:highlight w:val="none"/>
          <w:lang w:val="zh-CN" w:eastAsia="zh-CN" w:bidi="ar-SA"/>
        </w:rPr>
        <w:t>8.3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cs="Times New Roman"/>
          <w:b w:val="0"/>
          <w:bCs w:val="0"/>
          <w:color w:val="auto"/>
          <w:kern w:val="44"/>
          <w:sz w:val="28"/>
          <w:szCs w:val="28"/>
          <w:highlight w:val="none"/>
          <w:lang w:val="en-US" w:eastAsia="zh-CN" w:bidi="ar-SA"/>
        </w:rPr>
        <w:t>混凝土模块</w:t>
      </w:r>
      <w:r>
        <w:rPr>
          <w:rFonts w:hint="eastAsia" w:ascii="黑体" w:hAnsi="黑体" w:cs="Times New Roman"/>
          <w:b w:val="0"/>
          <w:bCs w:val="0"/>
          <w:color w:val="auto"/>
          <w:kern w:val="44"/>
          <w:sz w:val="28"/>
          <w:szCs w:val="28"/>
          <w:highlight w:val="none"/>
          <w:lang w:val="zh-CN" w:eastAsia="zh-CN" w:bidi="ar-SA"/>
        </w:rPr>
        <w:t>生产</w:t>
      </w:r>
      <w:bookmarkEnd w:id="545"/>
      <w:bookmarkEnd w:id="546"/>
    </w:p>
    <w:p w14:paraId="4C55CA9B">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8.3.1</w:t>
      </w:r>
      <w:r>
        <w:rPr>
          <w:rFonts w:hint="eastAsia" w:ascii="Times New Roman" w:hAnsi="Times New Roman" w:eastAsia="宋体" w:cs="Times New Roman"/>
          <w:color w:val="auto"/>
          <w:kern w:val="0"/>
          <w:sz w:val="24"/>
          <w:szCs w:val="24"/>
          <w:highlight w:val="none"/>
          <w:lang w:val="en-US" w:eastAsia="zh-CN" w:bidi="ar-SA"/>
        </w:rPr>
        <w:t xml:space="preserve"> </w:t>
      </w:r>
      <w:r>
        <w:rPr>
          <w:rFonts w:hint="eastAsia" w:cs="Times New Roman"/>
          <w:color w:val="auto"/>
          <w:kern w:val="0"/>
          <w:sz w:val="24"/>
          <w:szCs w:val="24"/>
          <w:highlight w:val="none"/>
          <w:lang w:val="en-US" w:eastAsia="zh-CN" w:bidi="ar-SA"/>
        </w:rPr>
        <w:t xml:space="preserve"> 混凝土模块的墙体和顶板整体浇筑，有利于避免因冷缝造成的开裂影响构件使用功能。</w:t>
      </w:r>
    </w:p>
    <w:p w14:paraId="43B5FFFF">
      <w:pPr>
        <w:wordWrap/>
        <w:overflowPunct/>
        <w:topLinePunct w:val="0"/>
        <w:bidi w:val="0"/>
        <w:snapToGrid w:val="0"/>
        <w:spacing w:line="300" w:lineRule="auto"/>
        <w:ind w:left="0" w:leftChars="0" w:firstLine="0" w:firstLineChars="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8.3.2</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在混凝土浇筑前，应按要求对混凝土模块的钢筋以及各种预埋部件进行隐蔽工程检查，这是保证混凝土模块满足结构性能的关键质量控制环节。</w:t>
      </w:r>
    </w:p>
    <w:p w14:paraId="0806B247">
      <w:pPr>
        <w:wordWrap/>
        <w:overflowPunct/>
        <w:topLinePunct w:val="0"/>
        <w:bidi w:val="0"/>
        <w:snapToGrid w:val="0"/>
        <w:spacing w:line="300" w:lineRule="auto"/>
        <w:ind w:left="0" w:leftChars="0" w:firstLine="0" w:firstLineChars="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w:t>
      </w:r>
      <w:r>
        <w:rPr>
          <w:rFonts w:hint="eastAsia" w:cs="Times New Roman"/>
          <w:b/>
          <w:bCs/>
          <w:snapToGrid w:val="0"/>
          <w:color w:val="auto"/>
          <w:kern w:val="0"/>
          <w:sz w:val="20"/>
          <w:szCs w:val="20"/>
          <w:highlight w:val="none"/>
          <w:lang w:val="en-US" w:eastAsia="zh-CN" w:bidi="ar-SA"/>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蒸汽养护主要是为了加速混凝土凝结硬化，缩短脱模时间，加快模板的周转，提高生产效率。养护时按照养护制度的规定进行控制，这对于有效避免构件的温差收缩裂缝，保证产品质量非常关键。如果条件许可，构件也可以采用常温养护。</w:t>
      </w:r>
    </w:p>
    <w:p w14:paraId="52088877">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8.3.</w:t>
      </w:r>
      <w:r>
        <w:rPr>
          <w:rFonts w:hint="eastAsia" w:cs="Times New Roman"/>
          <w:b/>
          <w:bCs/>
          <w:snapToGrid w:val="0"/>
          <w:color w:val="auto"/>
          <w:kern w:val="0"/>
          <w:sz w:val="20"/>
          <w:szCs w:val="20"/>
          <w:highlight w:val="none"/>
          <w:lang w:val="en-US" w:eastAsia="zh-CN" w:bidi="ar-SA"/>
        </w:rPr>
        <w:t>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混凝土模块脱模强度要根据构件的类型和设计要求决定，为防止过早脱模造成构件出现过大变形或开裂，本规定提出构件脱模的最低要求。</w:t>
      </w:r>
    </w:p>
    <w:p w14:paraId="421B6C9C">
      <w:pPr>
        <w:pStyle w:val="3"/>
        <w:bidi w:val="0"/>
        <w:rPr>
          <w:rFonts w:hint="eastAsia" w:ascii="黑体" w:hAnsi="黑体" w:eastAsia="黑体" w:cs="Times New Roman"/>
          <w:b w:val="0"/>
          <w:bCs w:val="0"/>
          <w:color w:val="auto"/>
          <w:kern w:val="44"/>
          <w:sz w:val="28"/>
          <w:szCs w:val="28"/>
          <w:highlight w:val="none"/>
          <w:lang w:val="zh-CN" w:eastAsia="zh-CN" w:bidi="ar-SA"/>
        </w:rPr>
      </w:pPr>
      <w:bookmarkStart w:id="547" w:name="_Toc32226"/>
      <w:bookmarkStart w:id="548" w:name="_Toc2203"/>
      <w:r>
        <w:rPr>
          <w:rFonts w:hint="eastAsia" w:ascii="Times New Roman" w:hAnsi="Times New Roman" w:eastAsia="黑体" w:cs="Times New Roman"/>
          <w:b/>
          <w:bCs/>
          <w:color w:val="auto"/>
          <w:kern w:val="44"/>
          <w:sz w:val="28"/>
          <w:szCs w:val="28"/>
          <w:highlight w:val="none"/>
          <w:lang w:val="zh-CN" w:eastAsia="zh-CN" w:bidi="ar-SA"/>
        </w:rPr>
        <w:t>8.4</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装修与机电集成</w:t>
      </w:r>
      <w:bookmarkEnd w:id="547"/>
      <w:bookmarkEnd w:id="548"/>
    </w:p>
    <w:p w14:paraId="1E0406F2">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混凝土模块在工厂内集成内装及机电管线是模块化建筑的重要特征，以深化设计文件为依据，确保结构、装修与机电接口一致，避免现场二次拆改。</w:t>
      </w:r>
    </w:p>
    <w:p w14:paraId="7E2CC7EE">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lang w:val="en-US" w:eastAsia="zh-CN"/>
        </w:rPr>
        <w:t>混凝土</w:t>
      </w:r>
      <w:r>
        <w:rPr>
          <w:rFonts w:hint="eastAsia" w:cs="Times New Roman"/>
          <w:color w:val="auto"/>
          <w:kern w:val="0"/>
          <w:szCs w:val="24"/>
          <w:highlight w:val="none"/>
        </w:rPr>
        <w:t>模块内装和机电系统安装对预留预埋精度要求较高，安装前复核可有效减少返工，避免接口偏差影响现场拼接和系统功能。</w:t>
      </w:r>
    </w:p>
    <w:p w14:paraId="11A703AE">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采用标准化部品部件有利于工厂批量生产和质量控制，并可提高现场快速安装的适配性。</w:t>
      </w:r>
    </w:p>
    <w:p w14:paraId="30580288">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 xml:space="preserve">.4  </w:t>
      </w:r>
      <w:r>
        <w:rPr>
          <w:rFonts w:hint="eastAsia" w:cs="Times New Roman"/>
          <w:color w:val="auto"/>
          <w:kern w:val="0"/>
          <w:szCs w:val="24"/>
          <w:highlight w:val="none"/>
        </w:rPr>
        <w:t>模块化建筑工厂内集成度高，部分管线及节点在出厂后难以检查或维修，因此</w:t>
      </w:r>
      <w:r>
        <w:rPr>
          <w:rFonts w:hint="eastAsia" w:cs="Times New Roman"/>
          <w:color w:val="auto"/>
          <w:kern w:val="0"/>
          <w:szCs w:val="24"/>
          <w:highlight w:val="none"/>
          <w:lang w:val="en-US" w:eastAsia="zh-CN"/>
        </w:rPr>
        <w:t>需要</w:t>
      </w:r>
      <w:r>
        <w:rPr>
          <w:rFonts w:hint="eastAsia" w:cs="Times New Roman"/>
          <w:color w:val="auto"/>
          <w:kern w:val="0"/>
          <w:szCs w:val="24"/>
          <w:highlight w:val="none"/>
        </w:rPr>
        <w:t>加强隐蔽验收和过程记录，确保质量可追溯。</w:t>
      </w:r>
    </w:p>
    <w:p w14:paraId="2EE4F594">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 xml:space="preserve">.5  </w:t>
      </w:r>
      <w:r>
        <w:rPr>
          <w:rFonts w:hint="eastAsia" w:cs="Times New Roman"/>
          <w:color w:val="auto"/>
          <w:kern w:val="0"/>
          <w:szCs w:val="24"/>
          <w:highlight w:val="none"/>
        </w:rPr>
        <w:t>模块运输和吊装过程中振动冲击较大，接口封堵和成品保护可避免管线堵塞、污染及部品损坏，保证现场安装质量。</w:t>
      </w:r>
    </w:p>
    <w:p w14:paraId="55415D41">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8.4</w:t>
      </w:r>
      <w:r>
        <w:rPr>
          <w:rFonts w:hint="eastAsia" w:cs="Times New Roman"/>
          <w:b/>
          <w:bCs/>
          <w:snapToGrid w:val="0"/>
          <w:color w:val="auto"/>
          <w:kern w:val="0"/>
          <w:sz w:val="20"/>
          <w:szCs w:val="20"/>
          <w:highlight w:val="none"/>
          <w:lang w:val="en-US" w:eastAsia="zh-CN" w:bidi="ar-SA"/>
        </w:rPr>
        <w:t xml:space="preserve">.6  </w:t>
      </w:r>
      <w:r>
        <w:rPr>
          <w:rFonts w:hint="eastAsia" w:cs="Times New Roman"/>
          <w:color w:val="auto"/>
          <w:kern w:val="0"/>
          <w:szCs w:val="24"/>
          <w:highlight w:val="none"/>
        </w:rPr>
        <w:t>模块运输吊装过程中振动较大，部品固定不足易造成松动、脱落或破坏，影响现场安装和使用安全。</w:t>
      </w:r>
    </w:p>
    <w:p w14:paraId="00CBE75C">
      <w:pPr>
        <w:pStyle w:val="3"/>
        <w:bidi w:val="0"/>
        <w:rPr>
          <w:rFonts w:hint="eastAsia" w:ascii="黑体" w:hAnsi="黑体" w:eastAsia="黑体" w:cs="Times New Roman"/>
          <w:b w:val="0"/>
          <w:bCs w:val="0"/>
          <w:color w:val="auto"/>
          <w:kern w:val="44"/>
          <w:sz w:val="28"/>
          <w:szCs w:val="28"/>
          <w:highlight w:val="none"/>
          <w:lang w:val="zh-CN" w:eastAsia="zh-CN" w:bidi="ar-SA"/>
        </w:rPr>
      </w:pPr>
      <w:bookmarkStart w:id="549" w:name="_Toc4024"/>
      <w:bookmarkStart w:id="550" w:name="_Toc30986"/>
      <w:r>
        <w:rPr>
          <w:rFonts w:hint="eastAsia" w:cs="Times New Roman"/>
          <w:b/>
          <w:bCs/>
          <w:color w:val="auto"/>
          <w:kern w:val="44"/>
          <w:sz w:val="28"/>
          <w:szCs w:val="28"/>
          <w:highlight w:val="none"/>
          <w:lang w:val="zh-CN" w:eastAsia="zh-CN" w:bidi="ar-SA"/>
        </w:rPr>
        <w:t>8.5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运输与堆放</w:t>
      </w:r>
      <w:bookmarkEnd w:id="549"/>
      <w:bookmarkEnd w:id="550"/>
    </w:p>
    <w:p w14:paraId="25334DDA">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8.5</w:t>
      </w:r>
      <w:r>
        <w:rPr>
          <w:rFonts w:hint="eastAsia" w:ascii="Times New Roman" w:hAnsi="Times New Roman" w:eastAsia="宋体" w:cs="Times New Roman"/>
          <w:b/>
          <w:bCs/>
          <w:snapToGrid w:val="0"/>
          <w:color w:val="auto"/>
          <w:kern w:val="0"/>
          <w:sz w:val="20"/>
          <w:szCs w:val="20"/>
          <w:highlight w:val="none"/>
          <w:lang w:val="en-US" w:eastAsia="zh-CN" w:bidi="ar-SA"/>
        </w:rPr>
        <w:t>.1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Cs w:val="24"/>
          <w:highlight w:val="none"/>
        </w:rPr>
        <w:t>混凝土模块体量大、重量高，且在出厂后需经历运输、装卸、临时堆放等多个环节，其质量和安全风险主要集中在运输组织、固定方式、起重设备选型及成品保护等方面。本条要求在运输和堆放前统一编制运输与堆放方案，对运输时间与次序、运输线路、堆放场地条件、起重设备规格、固定措施及成品保护要求等进行统筹策划，为后续运输和现场作业提供技术依据，避免因组织不当导致构件损坏或安全事故</w:t>
      </w:r>
      <w:r>
        <w:rPr>
          <w:rFonts w:hint="eastAsia" w:cs="Times New Roman"/>
          <w:color w:val="auto"/>
          <w:kern w:val="0"/>
          <w:sz w:val="24"/>
          <w:szCs w:val="24"/>
          <w:highlight w:val="none"/>
          <w:lang w:val="en-US" w:eastAsia="zh-CN" w:bidi="ar-SA"/>
        </w:rPr>
        <w:t>。</w:t>
      </w:r>
    </w:p>
    <w:p w14:paraId="4F70400F">
      <w:pPr>
        <w:wordWrap/>
        <w:overflowPunct/>
        <w:topLinePunct w:val="0"/>
        <w:bidi w:val="0"/>
        <w:snapToGrid w:val="0"/>
        <w:spacing w:line="300" w:lineRule="auto"/>
        <w:ind w:firstLine="0" w:firstLineChars="0"/>
        <w:rPr>
          <w:rFonts w:hint="eastAsia" w:ascii="Times New Roman" w:hAnsi="Times New Roman" w:eastAsia="宋体" w:cs="Times New Roman"/>
          <w:color w:val="auto"/>
          <w:kern w:val="0"/>
          <w:sz w:val="24"/>
          <w:szCs w:val="24"/>
          <w:highlight w:val="none"/>
          <w:lang w:val="en-US" w:eastAsia="zh-CN" w:bidi="ar-SA"/>
        </w:rPr>
      </w:pPr>
      <w:r>
        <w:rPr>
          <w:rFonts w:hint="eastAsia" w:cs="Times New Roman"/>
          <w:b/>
          <w:bCs/>
          <w:snapToGrid w:val="0"/>
          <w:color w:val="auto"/>
          <w:kern w:val="0"/>
          <w:sz w:val="20"/>
          <w:szCs w:val="20"/>
          <w:highlight w:val="none"/>
          <w:lang w:val="en-US" w:eastAsia="zh-CN" w:bidi="ar-SA"/>
        </w:rPr>
        <w:t>8.5</w:t>
      </w:r>
      <w:r>
        <w:rPr>
          <w:rFonts w:hint="eastAsia" w:ascii="Times New Roman" w:hAnsi="Times New Roman" w:eastAsia="宋体" w:cs="Times New Roman"/>
          <w:b/>
          <w:bCs/>
          <w:snapToGrid w:val="0"/>
          <w:color w:val="auto"/>
          <w:kern w:val="0"/>
          <w:sz w:val="20"/>
          <w:szCs w:val="20"/>
          <w:highlight w:val="none"/>
          <w:lang w:val="en-US" w:eastAsia="zh-CN" w:bidi="ar-SA"/>
        </w:rPr>
        <w:t xml:space="preserve">.2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Cs w:val="24"/>
          <w:highlight w:val="none"/>
        </w:rPr>
        <w:t>由于模块重量大、重心高、局部构造复杂，在装卸和运输过程中易受车辆加速、制动、转弯等工况影响而产生不利作用，因此对车辆承载能力、装卸稳定性、运输固定措施及成品保护提出明确要求。通过采取平衡控制、可靠固定、防护衬垫及安全防护等措施，可有效防止构件滑移、倾倒、开裂和边角损伤，保障构件质量和作业人员安全。</w:t>
      </w:r>
    </w:p>
    <w:p w14:paraId="4CE92F57">
      <w:pPr>
        <w:wordWrap/>
        <w:overflowPunct/>
        <w:topLinePunct w:val="0"/>
        <w:bidi w:val="0"/>
        <w:snapToGrid w:val="0"/>
        <w:spacing w:line="300" w:lineRule="auto"/>
        <w:ind w:firstLine="420" w:firstLineChars="200"/>
        <w:rPr>
          <w:rFonts w:ascii="宋体" w:hAnsi="宋体" w:cs="Times New Roman"/>
          <w:color w:val="auto"/>
          <w:sz w:val="21"/>
          <w:szCs w:val="21"/>
          <w:highlight w:val="none"/>
        </w:rPr>
      </w:pPr>
      <w:r>
        <w:rPr>
          <w:rFonts w:ascii="宋体" w:hAnsi="宋体" w:cs="Times New Roman"/>
          <w:color w:val="auto"/>
          <w:sz w:val="21"/>
          <w:szCs w:val="21"/>
          <w:highlight w:val="none"/>
        </w:rPr>
        <w:br w:type="page"/>
      </w:r>
    </w:p>
    <w:p w14:paraId="5554DB5D">
      <w:pPr>
        <w:pStyle w:val="2"/>
        <w:bidi w:val="0"/>
        <w:rPr>
          <w:rFonts w:hint="eastAsia" w:ascii="黑体" w:hAnsi="黑体" w:eastAsia="黑体" w:cs="黑体"/>
          <w:color w:val="auto"/>
          <w:kern w:val="44"/>
          <w:sz w:val="30"/>
          <w:szCs w:val="30"/>
          <w:highlight w:val="none"/>
          <w:lang w:val="zh-CN"/>
        </w:rPr>
      </w:pPr>
      <w:bookmarkStart w:id="551" w:name="_Toc23600"/>
      <w:bookmarkStart w:id="552" w:name="_Toc17737"/>
      <w:r>
        <w:rPr>
          <w:rFonts w:hint="eastAsia" w:ascii="Times New Roman" w:hAnsi="Times New Roman" w:eastAsia="黑体" w:cs="Times New Roman"/>
          <w:b/>
          <w:bCs/>
          <w:color w:val="auto"/>
          <w:kern w:val="44"/>
          <w:sz w:val="30"/>
          <w:szCs w:val="30"/>
          <w:highlight w:val="none"/>
          <w:lang w:val="zh-CN" w:eastAsia="zh-CN" w:bidi="ar-SA"/>
        </w:rPr>
        <w:t>9</w:t>
      </w:r>
      <w:r>
        <w:rPr>
          <w:rFonts w:ascii="宋体" w:hAnsi="宋体" w:cs="Times New Roman"/>
          <w:color w:val="auto"/>
          <w:kern w:val="44"/>
          <w:szCs w:val="24"/>
          <w:highlight w:val="none"/>
          <w:lang w:val="zh-CN"/>
        </w:rPr>
        <w:t xml:space="preserve"> </w:t>
      </w:r>
      <w:r>
        <w:rPr>
          <w:rFonts w:hint="eastAsia" w:ascii="宋体" w:hAnsi="宋体" w:eastAsia="宋体" w:cs="Times New Roman"/>
          <w:color w:val="auto"/>
          <w:kern w:val="44"/>
          <w:szCs w:val="24"/>
          <w:highlight w:val="none"/>
          <w:lang w:val="en-US" w:eastAsia="zh-CN"/>
        </w:rPr>
        <w:t xml:space="preserve"> </w:t>
      </w:r>
      <w:r>
        <w:rPr>
          <w:rFonts w:hint="eastAsia" w:ascii="黑体" w:hAnsi="黑体" w:eastAsia="黑体" w:cs="黑体"/>
          <w:b w:val="0"/>
          <w:bCs w:val="0"/>
          <w:color w:val="auto"/>
          <w:kern w:val="44"/>
          <w:sz w:val="30"/>
          <w:szCs w:val="30"/>
          <w:highlight w:val="none"/>
          <w:lang w:val="zh-CN"/>
        </w:rPr>
        <w:t>施工安装</w:t>
      </w:r>
      <w:bookmarkEnd w:id="551"/>
      <w:bookmarkEnd w:id="552"/>
    </w:p>
    <w:p w14:paraId="12393001">
      <w:pPr>
        <w:pStyle w:val="3"/>
        <w:bidi w:val="0"/>
        <w:rPr>
          <w:rFonts w:ascii="宋体" w:hAnsi="宋体" w:cs="Times New Roman"/>
          <w:color w:val="auto"/>
          <w:sz w:val="21"/>
          <w:szCs w:val="21"/>
          <w:highlight w:val="none"/>
        </w:rPr>
      </w:pPr>
      <w:bookmarkStart w:id="553" w:name="_Toc11225"/>
      <w:bookmarkStart w:id="554" w:name="_Toc22476"/>
      <w:r>
        <w:rPr>
          <w:rFonts w:hint="eastAsia" w:ascii="Times New Roman" w:hAnsi="Times New Roman" w:eastAsia="黑体" w:cs="Times New Roman"/>
          <w:b/>
          <w:bCs/>
          <w:color w:val="auto"/>
          <w:kern w:val="44"/>
          <w:sz w:val="28"/>
          <w:szCs w:val="28"/>
          <w:highlight w:val="none"/>
          <w:lang w:val="zh-CN" w:eastAsia="zh-CN" w:bidi="ar-SA"/>
        </w:rPr>
        <w:t>9.1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一般规定</w:t>
      </w:r>
      <w:bookmarkEnd w:id="553"/>
      <w:bookmarkEnd w:id="554"/>
    </w:p>
    <w:p w14:paraId="4FF9E1E1">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9.1.</w:t>
      </w:r>
      <w:r>
        <w:rPr>
          <w:rFonts w:hint="eastAsia" w:cs="Times New Roman"/>
          <w:b/>
          <w:bCs/>
          <w:snapToGrid w:val="0"/>
          <w:color w:val="auto"/>
          <w:kern w:val="0"/>
          <w:sz w:val="20"/>
          <w:szCs w:val="20"/>
          <w:highlight w:val="none"/>
          <w:lang w:val="en-US" w:eastAsia="zh-CN" w:bidi="ar-SA"/>
        </w:rPr>
        <w:t>4</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工装系统是指安装过程中所用的模数化、标准化吊具、支撑架体等产品，包括模数化通用吊梁、框式吊梁、起吊装置、吊钩吊具、外围护体系、系列操作工具等产品。</w:t>
      </w:r>
    </w:p>
    <w:p w14:paraId="1D2437BE">
      <w:pPr>
        <w:wordWrap/>
        <w:overflowPunct/>
        <w:topLinePunct w:val="0"/>
        <w:bidi w:val="0"/>
        <w:snapToGrid w:val="0"/>
        <w:spacing w:line="300" w:lineRule="auto"/>
        <w:ind w:left="0" w:leftChars="0" w:firstLine="0" w:firstLineChars="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9.1.</w:t>
      </w:r>
      <w:r>
        <w:rPr>
          <w:rFonts w:hint="eastAsia" w:cs="Times New Roman"/>
          <w:b/>
          <w:bCs/>
          <w:snapToGrid w:val="0"/>
          <w:color w:val="auto"/>
          <w:kern w:val="0"/>
          <w:sz w:val="20"/>
          <w:szCs w:val="20"/>
          <w:highlight w:val="none"/>
          <w:lang w:val="en-US" w:eastAsia="zh-CN" w:bidi="ar-SA"/>
        </w:rPr>
        <w:t>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吊具选用按起重安装工程的技术和安全要求执行。为提高施工效率，可以采用多功能专用吊具，以适应不同类型的模块安装。施工验算可参照相关技术标准，特殊情况无参考依据时，需进行专项设计计算分析或必要试验研究。</w:t>
      </w:r>
    </w:p>
    <w:p w14:paraId="445ECB65">
      <w:pPr>
        <w:pStyle w:val="3"/>
        <w:bidi w:val="0"/>
        <w:rPr>
          <w:rFonts w:hint="eastAsia" w:ascii="黑体" w:hAnsi="黑体" w:eastAsia="黑体" w:cs="Times New Roman"/>
          <w:b w:val="0"/>
          <w:bCs w:val="0"/>
          <w:color w:val="auto"/>
          <w:kern w:val="44"/>
          <w:sz w:val="28"/>
          <w:szCs w:val="28"/>
          <w:highlight w:val="none"/>
          <w:lang w:val="zh-CN" w:eastAsia="zh-CN" w:bidi="ar-SA"/>
        </w:rPr>
      </w:pPr>
      <w:bookmarkStart w:id="555" w:name="_Toc18672"/>
      <w:bookmarkStart w:id="556" w:name="_Toc28317"/>
      <w:r>
        <w:rPr>
          <w:rFonts w:hint="eastAsia" w:ascii="Times New Roman" w:hAnsi="Times New Roman" w:eastAsia="黑体" w:cs="Times New Roman"/>
          <w:b/>
          <w:bCs/>
          <w:color w:val="auto"/>
          <w:kern w:val="44"/>
          <w:sz w:val="28"/>
          <w:szCs w:val="28"/>
          <w:highlight w:val="none"/>
          <w:lang w:val="zh-CN" w:eastAsia="zh-CN" w:bidi="ar-SA"/>
        </w:rPr>
        <w:t>9</w:t>
      </w:r>
      <w:r>
        <w:rPr>
          <w:rFonts w:hint="default" w:ascii="Times New Roman" w:hAnsi="Times New Roman" w:eastAsia="黑体" w:cs="Times New Roman"/>
          <w:b/>
          <w:bCs/>
          <w:color w:val="auto"/>
          <w:kern w:val="44"/>
          <w:sz w:val="28"/>
          <w:szCs w:val="28"/>
          <w:highlight w:val="none"/>
          <w:lang w:val="zh-CN" w:eastAsia="zh-CN" w:bidi="ar-SA"/>
        </w:rPr>
        <w:t>.2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安装准备</w:t>
      </w:r>
      <w:bookmarkEnd w:id="555"/>
      <w:bookmarkEnd w:id="556"/>
    </w:p>
    <w:p w14:paraId="59097B75">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9.2.1</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为避免由于设计或施工缺乏经验造成工程实施障碍或损失，保证模块化建筑施工质量，特提出应通过试生产和试安装进行验证性试验。样板试安装，对于没有经验的项目团队非常必要，不但可以验证设计和施工方案存在的缺陷，还可以培训人员，调试设备，完善方案，这对于体系的定型和推广使用，是十分重要的。</w:t>
      </w:r>
    </w:p>
    <w:p w14:paraId="289F122D">
      <w:pPr>
        <w:wordWrap/>
        <w:overflowPunct/>
        <w:topLinePunct w:val="0"/>
        <w:bidi w:val="0"/>
        <w:snapToGrid w:val="0"/>
        <w:spacing w:line="300" w:lineRule="auto"/>
        <w:rPr>
          <w:rFonts w:hint="eastAsia"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9.2.</w:t>
      </w:r>
      <w:r>
        <w:rPr>
          <w:rFonts w:hint="eastAsia" w:cs="Times New Roman"/>
          <w:b/>
          <w:bCs/>
          <w:snapToGrid w:val="0"/>
          <w:color w:val="auto"/>
          <w:kern w:val="0"/>
          <w:sz w:val="20"/>
          <w:szCs w:val="20"/>
          <w:highlight w:val="none"/>
          <w:lang w:val="en-US" w:eastAsia="zh-CN" w:bidi="ar-SA"/>
        </w:rPr>
        <w:t>2</w:t>
      </w:r>
      <w:r>
        <w:rPr>
          <w:rFonts w:hint="eastAsia" w:ascii="Times New Roman" w:hAnsi="Times New Roman" w:eastAsia="宋体" w:cs="Times New Roman"/>
          <w:b/>
          <w:bCs/>
          <w:snapToGrid w:val="0"/>
          <w:color w:val="auto"/>
          <w:kern w:val="0"/>
          <w:sz w:val="20"/>
          <w:szCs w:val="20"/>
          <w:highlight w:val="none"/>
          <w:lang w:val="en-US" w:eastAsia="zh-CN" w:bidi="ar-SA"/>
        </w:rPr>
        <w:t xml:space="preserve">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目前，模块化建筑项目较少，为避免因设计或施工缺乏经验造成损失，保证模块化建筑施工质量，并不断摸索和积累经验，提出通过试生产和试安装进行验证性试验。</w:t>
      </w:r>
    </w:p>
    <w:p w14:paraId="6C23B94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施工前的试安装，对于没有经验的项目团队非常必要，不但可以验证设计和施工方案存在的问题，还可以培训人员，调试设备和完善方案，这对于体系的定型和推广使用是十分重要的。</w:t>
      </w:r>
    </w:p>
    <w:p w14:paraId="0408128D">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9.2.</w:t>
      </w:r>
      <w:r>
        <w:rPr>
          <w:rFonts w:hint="eastAsia" w:cs="Times New Roman"/>
          <w:b/>
          <w:bCs/>
          <w:snapToGrid w:val="0"/>
          <w:color w:val="auto"/>
          <w:kern w:val="0"/>
          <w:sz w:val="20"/>
          <w:szCs w:val="20"/>
          <w:highlight w:val="none"/>
          <w:lang w:val="en-US" w:eastAsia="zh-CN" w:bidi="ar-SA"/>
        </w:rPr>
        <w:t>5</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钢筋套筒灌浆连接接头和浆锚搭接连接接头的施工质量是保证预制构件连接性能的关键控制点，因此施工安装前需要进行重点检查。</w:t>
      </w:r>
    </w:p>
    <w:p w14:paraId="40F59C52">
      <w:pPr>
        <w:pStyle w:val="3"/>
        <w:bidi w:val="0"/>
        <w:rPr>
          <w:rFonts w:ascii="宋体" w:hAnsi="宋体" w:cs="Times New Roman"/>
          <w:color w:val="auto"/>
          <w:sz w:val="21"/>
          <w:szCs w:val="21"/>
          <w:highlight w:val="none"/>
        </w:rPr>
      </w:pPr>
      <w:bookmarkStart w:id="557" w:name="_Toc18218"/>
      <w:bookmarkStart w:id="558" w:name="_Toc10048"/>
      <w:r>
        <w:rPr>
          <w:rFonts w:hint="eastAsia" w:ascii="Times New Roman" w:hAnsi="Times New Roman" w:eastAsia="黑体" w:cs="Times New Roman"/>
          <w:b/>
          <w:bCs/>
          <w:color w:val="auto"/>
          <w:kern w:val="44"/>
          <w:sz w:val="28"/>
          <w:szCs w:val="28"/>
          <w:highlight w:val="none"/>
          <w:lang w:val="zh-CN" w:eastAsia="zh-CN" w:bidi="ar-SA"/>
        </w:rPr>
        <w:t>9</w:t>
      </w:r>
      <w:r>
        <w:rPr>
          <w:rFonts w:hint="default" w:ascii="Times New Roman" w:hAnsi="Times New Roman" w:eastAsia="黑体" w:cs="Times New Roman"/>
          <w:b/>
          <w:bCs/>
          <w:color w:val="auto"/>
          <w:kern w:val="44"/>
          <w:sz w:val="28"/>
          <w:szCs w:val="28"/>
          <w:highlight w:val="none"/>
          <w:lang w:val="zh-CN" w:eastAsia="zh-CN" w:bidi="ar-SA"/>
        </w:rPr>
        <w:t>.3</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ascii="黑体" w:hAnsi="黑体" w:eastAsia="黑体" w:cs="Times New Roman"/>
          <w:b w:val="0"/>
          <w:bCs w:val="0"/>
          <w:color w:val="auto"/>
          <w:kern w:val="44"/>
          <w:sz w:val="28"/>
          <w:szCs w:val="28"/>
          <w:highlight w:val="none"/>
          <w:lang w:val="zh-CN" w:eastAsia="zh-CN" w:bidi="ar-SA"/>
        </w:rPr>
        <w:t>安装与连接</w:t>
      </w:r>
      <w:bookmarkEnd w:id="557"/>
      <w:bookmarkEnd w:id="558"/>
      <w:r>
        <w:rPr>
          <w:rFonts w:hint="eastAsia" w:ascii="宋体" w:hAnsi="宋体" w:cs="Times New Roman"/>
          <w:color w:val="auto"/>
          <w:sz w:val="21"/>
          <w:szCs w:val="21"/>
          <w:highlight w:val="none"/>
        </w:rPr>
        <w:t xml:space="preserve"> </w:t>
      </w:r>
    </w:p>
    <w:p w14:paraId="34D1CB69">
      <w:pPr>
        <w:keepNext w:val="0"/>
        <w:keepLines w:val="0"/>
        <w:pageBreakBefore w:val="0"/>
        <w:widowControl w:val="0"/>
        <w:kinsoku/>
        <w:wordWrap/>
        <w:overflowPunct/>
        <w:topLinePunct w:val="0"/>
        <w:autoSpaceDE/>
        <w:autoSpaceDN/>
        <w:bidi w:val="0"/>
        <w:adjustRightInd/>
        <w:snapToGrid w:val="0"/>
        <w:spacing w:before="164" w:beforeLines="50" w:line="300" w:lineRule="auto"/>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9.3.1 </w:t>
      </w:r>
      <w:r>
        <w:rPr>
          <w:rFonts w:hint="eastAsia" w:cs="Times New Roman"/>
          <w:b/>
          <w:bCs/>
          <w:snapToGrid w:val="0"/>
          <w:color w:val="auto"/>
          <w:kern w:val="0"/>
          <w:sz w:val="20"/>
          <w:szCs w:val="20"/>
          <w:highlight w:val="none"/>
          <w:lang w:val="en-US" w:eastAsia="zh-CN" w:bidi="ar-SA"/>
        </w:rPr>
        <w:t xml:space="preserve"> </w:t>
      </w:r>
      <w:r>
        <w:rPr>
          <w:rFonts w:hint="eastAsia" w:cs="Times New Roman"/>
          <w:color w:val="auto"/>
          <w:kern w:val="0"/>
          <w:sz w:val="24"/>
          <w:szCs w:val="24"/>
          <w:highlight w:val="none"/>
          <w:lang w:val="en-US" w:eastAsia="zh-CN" w:bidi="ar-SA"/>
        </w:rPr>
        <w:t>为避免安装预制模块时对基础与拉梁或基础梁的连接节点造成扰动，影响连接节点受力性能，对后浇混凝土的强度进行了规定。</w:t>
      </w:r>
    </w:p>
    <w:p w14:paraId="519BB560">
      <w:pPr>
        <w:wordWrap/>
        <w:overflowPunct/>
        <w:topLinePunct w:val="0"/>
        <w:bidi w:val="0"/>
        <w:snapToGrid w:val="0"/>
        <w:spacing w:line="300" w:lineRule="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9.3.2</w:t>
      </w:r>
      <w:r>
        <w:rPr>
          <w:rFonts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当混凝土模块的连接采取焊接或螺栓连接时，应做好质量检查和防护措施。</w:t>
      </w:r>
    </w:p>
    <w:p w14:paraId="5F8E2975">
      <w:pPr>
        <w:wordWrap/>
        <w:overflowPunct/>
        <w:topLinePunct w:val="0"/>
        <w:bidi w:val="0"/>
        <w:snapToGrid w:val="0"/>
        <w:spacing w:line="300" w:lineRule="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9.3.3</w:t>
      </w:r>
      <w:r>
        <w:rPr>
          <w:rFonts w:hint="eastAsia" w:ascii="宋体" w:hAnsi="宋体" w:cs="Times New Roman"/>
          <w:color w:val="auto"/>
          <w:sz w:val="21"/>
          <w:szCs w:val="21"/>
          <w:highlight w:val="none"/>
        </w:rPr>
        <w:t xml:space="preserve"> </w:t>
      </w:r>
      <w:r>
        <w:rPr>
          <w:rFonts w:hint="eastAsia" w:ascii="宋体" w:hAnsi="宋体" w:cs="Times New Roman"/>
          <w:color w:val="auto"/>
          <w:sz w:val="21"/>
          <w:szCs w:val="21"/>
          <w:highlight w:val="none"/>
          <w:lang w:val="en-US" w:eastAsia="zh-CN"/>
        </w:rPr>
        <w:t xml:space="preserve"> </w:t>
      </w:r>
      <w:r>
        <w:rPr>
          <w:rFonts w:hint="eastAsia" w:cs="Times New Roman"/>
          <w:color w:val="auto"/>
          <w:kern w:val="0"/>
          <w:sz w:val="24"/>
          <w:szCs w:val="24"/>
          <w:highlight w:val="none"/>
          <w:lang w:val="en-US" w:eastAsia="zh-CN" w:bidi="ar-SA"/>
        </w:rPr>
        <w:t>混凝土模块的安装顺序、校准定位及固定措施是装配式结构施工的关键，应在施工方案中明确规定并付诸实施。</w:t>
      </w:r>
    </w:p>
    <w:p w14:paraId="11004CF0">
      <w:pPr>
        <w:wordWrap/>
        <w:overflowPunct/>
        <w:topLinePunct w:val="0"/>
        <w:bidi w:val="0"/>
        <w:snapToGrid w:val="0"/>
        <w:spacing w:line="300" w:lineRule="auto"/>
        <w:ind w:left="0" w:leftChars="0" w:firstLine="0" w:firstLineChars="0"/>
        <w:rPr>
          <w:rFonts w:hint="default" w:cs="Times New Roman"/>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0"/>
          <w:szCs w:val="20"/>
          <w:highlight w:val="none"/>
          <w:lang w:val="en-US" w:eastAsia="zh-CN" w:bidi="ar-SA"/>
        </w:rPr>
        <w:t xml:space="preserve">9.3.5 </w:t>
      </w:r>
      <w:r>
        <w:rPr>
          <w:rFonts w:hint="eastAsia" w:cs="Times New Roman"/>
          <w:color w:val="auto"/>
          <w:kern w:val="0"/>
          <w:sz w:val="24"/>
          <w:szCs w:val="24"/>
          <w:highlight w:val="none"/>
          <w:lang w:val="en-US" w:eastAsia="zh-CN" w:bidi="ar-SA"/>
        </w:rPr>
        <w:t>钢筋套筒灌浆连接接头和浆锚搭接接头灌浆作业是装配整体式结构工程施工质量控制的关键环节之一。实际工程中这两种连接的质量很大程度取决于施工过程控制，因此要求对作业人员进行培训考核，并持证上岗，同时要求有专职检验人员对灌浆操作进行全过程监督。专项方案根据施工时间所处季节分别制定，包括常温灌浆施工方案及低温灌浆施工方案。</w:t>
      </w:r>
    </w:p>
    <w:p w14:paraId="57F5886A">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宋体" w:hAnsi="宋体" w:eastAsia="宋体" w:cs="Times New Roman"/>
          <w:color w:val="auto"/>
          <w:sz w:val="24"/>
          <w:szCs w:val="24"/>
          <w:highlight w:val="none"/>
          <w:lang w:val="en-US" w:eastAsia="zh-CN"/>
        </w:rPr>
      </w:pPr>
    </w:p>
    <w:p w14:paraId="54134747">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宋体" w:hAnsi="宋体" w:eastAsia="宋体" w:cs="Times New Roman"/>
          <w:color w:val="auto"/>
          <w:sz w:val="24"/>
          <w:szCs w:val="24"/>
          <w:highlight w:val="none"/>
          <w:lang w:val="en-US" w:eastAsia="zh-CN"/>
        </w:rPr>
      </w:pPr>
    </w:p>
    <w:p w14:paraId="4D5AD186">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宋体" w:hAnsi="宋体" w:eastAsia="宋体" w:cs="Times New Roman"/>
          <w:color w:val="auto"/>
          <w:sz w:val="24"/>
          <w:szCs w:val="24"/>
          <w:highlight w:val="none"/>
          <w:lang w:val="en-US" w:eastAsia="zh-CN"/>
        </w:rPr>
      </w:pPr>
    </w:p>
    <w:sectPr>
      <w:headerReference r:id="rId13" w:type="default"/>
      <w:footerReference r:id="rId14" w:type="default"/>
      <w:pgSz w:w="11906" w:h="16838"/>
      <w:pgMar w:top="1077" w:right="1191" w:bottom="1077" w:left="1191" w:header="851" w:footer="850" w:gutter="0"/>
      <w:pgNumType w:fmt="decimal"/>
      <w:cols w:space="425" w:num="1"/>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CDAF24-87A8-4E99-886D-734440E8972F}"/>
  </w:font>
  <w:font w:name="Courier New">
    <w:panose1 w:val="02070309020205020404"/>
    <w:charset w:val="01"/>
    <w:family w:val="modern"/>
    <w:pitch w:val="default"/>
    <w:sig w:usb0="E0002EFF" w:usb1="C0007843" w:usb2="00000009" w:usb3="00000000" w:csb0="400001FF" w:csb1="FFFF0000"/>
    <w:embedRegular r:id="rId2" w:fontKey="{A24410F6-279F-4B67-AE86-44739D1BB98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28AD24C-1135-4245-8F8B-0BAB4E04CD29}"/>
  </w:font>
  <w:font w:name="Garamond">
    <w:panose1 w:val="02020404030301010803"/>
    <w:charset w:val="00"/>
    <w:family w:val="roman"/>
    <w:pitch w:val="default"/>
    <w:sig w:usb0="00000287" w:usb1="00000000" w:usb2="00000000" w:usb3="00000000" w:csb0="0000009F" w:csb1="DFD7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MT">
    <w:altName w:val="Times New Roman"/>
    <w:panose1 w:val="02020503050405090304"/>
    <w:charset w:val="00"/>
    <w:family w:val="roman"/>
    <w:pitch w:val="default"/>
    <w:sig w:usb0="00000000" w:usb1="00000000" w:usb2="00000001" w:usb3="00000000" w:csb0="400001BF" w:csb1="DFF70000"/>
    <w:embedRegular r:id="rId4" w:fontKey="{B03DF647-F45D-4BC8-B682-8314C379D24A}"/>
  </w:font>
  <w:font w:name="方正黑体_GBK">
    <w:panose1 w:val="02000000000000000000"/>
    <w:charset w:val="86"/>
    <w:family w:val="auto"/>
    <w:pitch w:val="default"/>
    <w:sig w:usb0="A00002BF" w:usb1="38CF7CFA" w:usb2="00082016" w:usb3="00000000" w:csb0="00040001" w:csb1="00000000"/>
    <w:embedRegular r:id="rId5" w:fontKey="{71048578-8F25-420F-8D22-7ACD10908A39}"/>
  </w:font>
  <w:font w:name="仿宋_GB2312">
    <w:panose1 w:val="02010609030101010101"/>
    <w:charset w:val="86"/>
    <w:family w:val="modern"/>
    <w:pitch w:val="default"/>
    <w:sig w:usb0="00000001" w:usb1="080E0000" w:usb2="00000000" w:usb3="00000000" w:csb0="00040000" w:csb1="00000000"/>
    <w:embedRegular r:id="rId6" w:fontKey="{69A8CBA7-968A-4F61-98A9-8FCFBB729348}"/>
  </w:font>
  <w:font w:name="Segoe UI">
    <w:panose1 w:val="020B0502040204020203"/>
    <w:charset w:val="00"/>
    <w:family w:val="auto"/>
    <w:pitch w:val="default"/>
    <w:sig w:usb0="E4002EFF" w:usb1="C000E47F" w:usb2="00000009" w:usb3="00000000" w:csb0="200001FF" w:csb1="00000000"/>
    <w:embedRegular r:id="rId7" w:fontKey="{071507F1-E23D-4F94-9BA5-002878956C7C}"/>
  </w:font>
  <w:font w:name="Cambria">
    <w:panose1 w:val="02040503050406030204"/>
    <w:charset w:val="00"/>
    <w:family w:val="roman"/>
    <w:pitch w:val="default"/>
    <w:sig w:usb0="E00006FF" w:usb1="420024FF" w:usb2="02000000" w:usb3="00000000" w:csb0="2000019F" w:csb1="00000000"/>
    <w:embedRegular r:id="rId8" w:fontKey="{9D733A0F-1AD3-423E-B21F-2DA71F580CCF}"/>
  </w:font>
  <w:font w:name="微软雅黑">
    <w:panose1 w:val="020B0503020204020204"/>
    <w:charset w:val="86"/>
    <w:family w:val="auto"/>
    <w:pitch w:val="default"/>
    <w:sig w:usb0="80000287" w:usb1="2ACF3C50" w:usb2="00000016" w:usb3="00000000" w:csb0="0004001F" w:csb1="00000000"/>
    <w:embedRegular r:id="rId9" w:fontKey="{EBB32046-F856-474A-AD48-B645C35B0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71494">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490B1">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CA6E">
    <w:pPr>
      <w:pStyle w:val="1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40C00">
                          <w:pPr>
                            <w:pStyle w:val="10"/>
                            <w:jc w:val="right"/>
                          </w:pPr>
                          <w:r>
                            <w:fldChar w:fldCharType="begin"/>
                          </w:r>
                          <w:r>
                            <w:instrText xml:space="preserve">PAGE   \* MERGEFORMAT</w:instrText>
                          </w:r>
                          <w:r>
                            <w:fldChar w:fldCharType="separate"/>
                          </w:r>
                          <w:r>
                            <w:rPr>
                              <w:lang w:val="zh-CN"/>
                            </w:rP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4440C00">
                    <w:pPr>
                      <w:pStyle w:val="10"/>
                      <w:jc w:val="right"/>
                    </w:pPr>
                    <w:r>
                      <w:fldChar w:fldCharType="begin"/>
                    </w:r>
                    <w:r>
                      <w:instrText xml:space="preserve">PAGE   \* MERGEFORMAT</w:instrText>
                    </w:r>
                    <w:r>
                      <w:fldChar w:fldCharType="separate"/>
                    </w:r>
                    <w:r>
                      <w:rPr>
                        <w:lang w:val="zh-CN"/>
                      </w:rPr>
                      <w:t>III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558AA">
    <w:pPr>
      <w:pStyle w:val="10"/>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AD0E7">
                          <w:pPr>
                            <w:pStyle w:val="10"/>
                            <w:jc w:val="right"/>
                          </w:pPr>
                          <w:r>
                            <w:fldChar w:fldCharType="begin"/>
                          </w:r>
                          <w:r>
                            <w:instrText xml:space="preserve">PAGE   \* MERGEFORMAT</w:instrText>
                          </w:r>
                          <w:r>
                            <w:fldChar w:fldCharType="separate"/>
                          </w:r>
                          <w:r>
                            <w:rPr>
                              <w:lang w:val="zh-CN"/>
                            </w:rP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0AD0E7">
                    <w:pPr>
                      <w:pStyle w:val="10"/>
                      <w:jc w:val="right"/>
                    </w:pPr>
                    <w:r>
                      <w:fldChar w:fldCharType="begin"/>
                    </w:r>
                    <w:r>
                      <w:instrText xml:space="preserve">PAGE   \* MERGEFORMAT</w:instrText>
                    </w:r>
                    <w:r>
                      <w:fldChar w:fldCharType="separate"/>
                    </w:r>
                    <w:r>
                      <w:rPr>
                        <w:lang w:val="zh-CN"/>
                      </w:rP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40D2A">
    <w:pPr>
      <w:pStyle w:val="10"/>
      <w:ind w:right="360"/>
    </w:pPr>
    <w:r>
      <w:fldChar w:fldCharType="begin"/>
    </w:r>
    <w:r>
      <w:instrText xml:space="preserve">PAGE   \* MERGEFORMAT</w:instrText>
    </w:r>
    <w:r>
      <w:fldChar w:fldCharType="separate"/>
    </w:r>
    <w:r>
      <w:rPr>
        <w:lang w:val="zh-CN"/>
      </w:rPr>
      <w:t>24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68463">
    <w:pPr>
      <w:pStyle w:val="10"/>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5CB8D">
                          <w:pPr>
                            <w:pStyle w:val="10"/>
                            <w:jc w:val="right"/>
                          </w:pPr>
                          <w:r>
                            <w:fldChar w:fldCharType="begin"/>
                          </w:r>
                          <w:r>
                            <w:instrText xml:space="preserve">PAGE   \* MERGEFORMAT</w:instrText>
                          </w:r>
                          <w:r>
                            <w:fldChar w:fldCharType="separate"/>
                          </w:r>
                          <w:r>
                            <w:rPr>
                              <w:lang w:val="zh-CN"/>
                            </w:rP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C95CB8D">
                    <w:pPr>
                      <w:pStyle w:val="10"/>
                      <w:jc w:val="right"/>
                    </w:pPr>
                    <w:r>
                      <w:fldChar w:fldCharType="begin"/>
                    </w:r>
                    <w:r>
                      <w:instrText xml:space="preserve">PAGE   \* MERGEFORMAT</w:instrText>
                    </w:r>
                    <w:r>
                      <w:fldChar w:fldCharType="separate"/>
                    </w:r>
                    <w:r>
                      <w:rPr>
                        <w:lang w:val="zh-CN"/>
                      </w:rPr>
                      <w:t>23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071B8">
    <w:pPr>
      <w:pStyle w:val="10"/>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B4DA6">
                          <w:pPr>
                            <w:pStyle w:val="10"/>
                            <w:jc w:val="right"/>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4BB4DA6">
                    <w:pPr>
                      <w:pStyle w:val="10"/>
                      <w:jc w:val="right"/>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5807F">
    <w:pPr>
      <w:pStyle w:val="11"/>
      <w:numPr>
        <w:ilvl w:val="2"/>
        <w:numId w:val="3"/>
      </w:num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320D5">
    <w:pPr>
      <w:pStyle w:val="11"/>
      <w:numPr>
        <w:ilvl w:val="2"/>
        <w:numId w:val="3"/>
      </w:numP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45C0B">
    <w:pPr>
      <w:pStyle w:val="11"/>
      <w:pBdr>
        <w:bottom w:val="none" w:color="auto" w:sz="0" w:space="1"/>
      </w:pBdr>
      <w:jc w:val="right"/>
      <w:rPr>
        <w:rFonts w:ascii="黑体" w:hAnsi="黑体" w:eastAsia="黑体"/>
        <w:sz w:val="13"/>
        <w:szCs w:val="1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CD9A7">
    <w:pPr>
      <w:pStyle w:val="1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53F27">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BA103C"/>
    <w:multiLevelType w:val="multilevel"/>
    <w:tmpl w:val="30BA103C"/>
    <w:lvl w:ilvl="0" w:tentative="0">
      <w:start w:val="1"/>
      <w:numFmt w:val="decimal"/>
      <w:suff w:val="space"/>
      <w:lvlText w:val="%1 "/>
      <w:lvlJc w:val="center"/>
      <w:pPr>
        <w:ind w:left="0" w:firstLine="0"/>
      </w:pPr>
      <w:rPr>
        <w:rFonts w:hint="default" w:ascii="Times New Roman" w:hAnsi="Times New Roman" w:eastAsia="宋体"/>
        <w:b/>
        <w:i w:val="0"/>
        <w:sz w:val="30"/>
        <w:szCs w:val="18"/>
      </w:rPr>
    </w:lvl>
    <w:lvl w:ilvl="1" w:tentative="0">
      <w:start w:val="1"/>
      <w:numFmt w:val="lowerLetter"/>
      <w:lvlText w:val="（%2）"/>
      <w:lvlJc w:val="left"/>
      <w:pPr>
        <w:ind w:left="720" w:hanging="720"/>
      </w:pPr>
      <w:rPr>
        <w:rFonts w:hint="default"/>
      </w:rPr>
    </w:lvl>
    <w:lvl w:ilvl="2" w:tentative="0">
      <w:start w:val="1"/>
      <w:numFmt w:val="decimal"/>
      <w:suff w:val="space"/>
      <w:lvlText w:val="%1.0.%3 "/>
      <w:lvlJc w:val="left"/>
      <w:pPr>
        <w:ind w:left="0" w:firstLine="0"/>
      </w:pPr>
      <w:rPr>
        <w:rFonts w:hint="default" w:ascii="Times New Roman" w:hAnsi="Times New Roman"/>
        <w:b/>
        <w:i w:val="0"/>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661909BA"/>
    <w:multiLevelType w:val="multilevel"/>
    <w:tmpl w:val="661909BA"/>
    <w:lvl w:ilvl="0" w:tentative="0">
      <w:start w:val="1"/>
      <w:numFmt w:val="decimal"/>
      <w:pStyle w:val="54"/>
      <w:suff w:val="space"/>
      <w:lvlText w:val="%1 "/>
      <w:lvlJc w:val="center"/>
      <w:pPr>
        <w:ind w:left="0" w:firstLine="0"/>
      </w:pPr>
      <w:rPr>
        <w:rFonts w:hint="default" w:ascii="Times New Roman" w:hAnsi="Times New Roman" w:eastAsia="宋体"/>
        <w:b/>
        <w:i w:val="0"/>
        <w:sz w:val="30"/>
        <w:szCs w:val="18"/>
      </w:rPr>
    </w:lvl>
    <w:lvl w:ilvl="1" w:tentative="0">
      <w:start w:val="1"/>
      <w:numFmt w:val="decimal"/>
      <w:pStyle w:val="59"/>
      <w:suff w:val="space"/>
      <w:lvlText w:val="%1.%2 "/>
      <w:lvlJc w:val="center"/>
      <w:pPr>
        <w:ind w:left="0" w:firstLine="0"/>
      </w:pPr>
      <w:rPr>
        <w:rFonts w:hint="default" w:ascii="Times New Roman" w:hAnsi="Times New Roman" w:eastAsia="宋体"/>
        <w:b/>
        <w:i w:val="0"/>
        <w:sz w:val="28"/>
      </w:rPr>
    </w:lvl>
    <w:lvl w:ilvl="2" w:tentative="0">
      <w:start w:val="1"/>
      <w:numFmt w:val="decimal"/>
      <w:pStyle w:val="58"/>
      <w:suff w:val="space"/>
      <w:lvlText w:val="%1.%2.%3 "/>
      <w:lvlJc w:val="left"/>
      <w:pPr>
        <w:ind w:left="710" w:firstLine="0"/>
      </w:pPr>
      <w:rPr>
        <w:rFonts w:hint="default" w:ascii="Times New Roman" w:hAnsi="Times New Roman"/>
        <w:b/>
        <w:bCs/>
        <w:i w:val="0"/>
      </w:rPr>
    </w:lvl>
    <w:lvl w:ilvl="3" w:tentative="0">
      <w:start w:val="1"/>
      <w:numFmt w:val="decimal"/>
      <w:suff w:val="space"/>
      <w:lvlText w:val="%4 "/>
      <w:lvlJc w:val="left"/>
      <w:pPr>
        <w:ind w:left="681" w:firstLine="454"/>
      </w:pPr>
      <w:rPr>
        <w:b/>
        <w:bCs/>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72463745"/>
    <w:multiLevelType w:val="multilevel"/>
    <w:tmpl w:val="72463745"/>
    <w:lvl w:ilvl="0" w:tentative="0">
      <w:start w:val="11"/>
      <w:numFmt w:val="decimal"/>
      <w:suff w:val="space"/>
      <w:lvlText w:val="%1  "/>
      <w:lvlJc w:val="left"/>
      <w:pPr>
        <w:ind w:left="0" w:firstLine="0"/>
      </w:pPr>
      <w:rPr>
        <w:rFonts w:hint="eastAsia"/>
      </w:rPr>
    </w:lvl>
    <w:lvl w:ilvl="1" w:tentative="0">
      <w:start w:val="1"/>
      <w:numFmt w:val="decimal"/>
      <w:suff w:val="space"/>
      <w:lvlText w:val="%1．%2　"/>
      <w:lvlJc w:val="left"/>
      <w:pPr>
        <w:ind w:left="0" w:firstLine="0"/>
      </w:pPr>
      <w:rPr>
        <w:rFonts w:hint="eastAsia"/>
      </w:rPr>
    </w:lvl>
    <w:lvl w:ilvl="2" w:tentative="0">
      <w:start w:val="1"/>
      <w:numFmt w:val="decimal"/>
      <w:suff w:val="space"/>
      <w:lvlText w:val="%1.%2.%3 "/>
      <w:lvlJc w:val="left"/>
      <w:pPr>
        <w:ind w:left="0" w:firstLine="0"/>
      </w:pPr>
      <w:rPr>
        <w:rFonts w:hint="eastAsia"/>
      </w:rPr>
    </w:lvl>
    <w:lvl w:ilvl="3" w:tentative="0">
      <w:start w:val="1"/>
      <w:numFmt w:val="decimal"/>
      <w:suff w:val="space"/>
      <w:lvlText w:val="%2.%3.%4 "/>
      <w:lvlJc w:val="left"/>
      <w:pPr>
        <w:ind w:left="0" w:firstLine="0"/>
      </w:pPr>
      <w:rPr>
        <w:rFonts w:hint="eastAsia"/>
      </w:rPr>
    </w:lvl>
    <w:lvl w:ilvl="4" w:tentative="0">
      <w:start w:val="1"/>
      <w:numFmt w:val="decimal"/>
      <w:lvlText w:val="%1.%2.%3.%4.%5."/>
      <w:lvlJc w:val="left"/>
      <w:pPr>
        <w:tabs>
          <w:tab w:val="left" w:pos="1111"/>
        </w:tabs>
        <w:ind w:left="1111" w:hanging="992"/>
      </w:pPr>
      <w:rPr>
        <w:rFonts w:hint="eastAsia"/>
      </w:rPr>
    </w:lvl>
    <w:lvl w:ilvl="5" w:tentative="0">
      <w:start w:val="1"/>
      <w:numFmt w:val="decimal"/>
      <w:lvlText w:val="%1.%2.%3.%4.%5.%6."/>
      <w:lvlJc w:val="left"/>
      <w:pPr>
        <w:tabs>
          <w:tab w:val="left" w:pos="1253"/>
        </w:tabs>
        <w:ind w:left="1253" w:hanging="1134"/>
      </w:pPr>
      <w:rPr>
        <w:rFonts w:hint="eastAsia"/>
      </w:rPr>
    </w:lvl>
    <w:lvl w:ilvl="6" w:tentative="0">
      <w:start w:val="1"/>
      <w:numFmt w:val="decimal"/>
      <w:lvlText w:val="%1.%2.%3.%4.%5.%6.%7."/>
      <w:lvlJc w:val="left"/>
      <w:pPr>
        <w:tabs>
          <w:tab w:val="left" w:pos="1395"/>
        </w:tabs>
        <w:ind w:left="1395" w:hanging="1276"/>
      </w:pPr>
      <w:rPr>
        <w:rFonts w:hint="eastAsia"/>
      </w:rPr>
    </w:lvl>
    <w:lvl w:ilvl="7" w:tentative="0">
      <w:start w:val="1"/>
      <w:numFmt w:val="decimal"/>
      <w:lvlText w:val="%1.%2.%3.%4.%5.%6.%7.%8."/>
      <w:lvlJc w:val="left"/>
      <w:pPr>
        <w:tabs>
          <w:tab w:val="left" w:pos="1537"/>
        </w:tabs>
        <w:ind w:left="1537" w:hanging="1418"/>
      </w:pPr>
      <w:rPr>
        <w:rFonts w:hint="eastAsia"/>
      </w:rPr>
    </w:lvl>
    <w:lvl w:ilvl="8" w:tentative="0">
      <w:start w:val="1"/>
      <w:numFmt w:val="decimal"/>
      <w:lvlText w:val="%1.%2.%3.%4.%5.%6.%7.%8.%9."/>
      <w:lvlJc w:val="left"/>
      <w:pPr>
        <w:tabs>
          <w:tab w:val="left" w:pos="1678"/>
        </w:tabs>
        <w:ind w:left="1678" w:hanging="1559"/>
      </w:pPr>
      <w:rPr>
        <w:rFonts w:hint="eastAsia"/>
      </w:rPr>
    </w:lvl>
  </w:abstractNum>
  <w:num w:numId="1">
    <w:abstractNumId w:val="1"/>
  </w:num>
  <w:num w:numId="2">
    <w:abstractNumId w:val="0"/>
    <w:lvlOverride w:ilvl="0">
      <w:lvl w:ilvl="0" w:tentative="1">
        <w:start w:val="1"/>
        <w:numFmt w:val="decimal"/>
        <w:suff w:val="space"/>
        <w:lvlText w:val="%1 "/>
        <w:lvlJc w:val="center"/>
        <w:pPr>
          <w:ind w:left="0" w:firstLine="0"/>
        </w:pPr>
        <w:rPr>
          <w:rFonts w:hint="default" w:ascii="Times New Roman" w:hAnsi="Times New Roman" w:eastAsia="宋体"/>
          <w:b/>
          <w:i w:val="0"/>
          <w:sz w:val="30"/>
          <w:szCs w:val="18"/>
        </w:rPr>
      </w:lvl>
    </w:lvlOverride>
    <w:lvlOverride w:ilvl="1">
      <w:lvl w:ilvl="1" w:tentative="1">
        <w:start w:val="1"/>
        <w:numFmt w:val="decimal"/>
        <w:lvlRestart w:val="0"/>
        <w:suff w:val="space"/>
        <w:lvlText w:val="%1.%2 "/>
        <w:lvlJc w:val="center"/>
        <w:pPr>
          <w:ind w:left="0" w:firstLine="0"/>
        </w:pPr>
        <w:rPr>
          <w:rFonts w:hint="default" w:ascii="Times New Roman" w:hAnsi="Times New Roman" w:eastAsia="宋体"/>
          <w:b/>
          <w:i w:val="0"/>
          <w:sz w:val="28"/>
        </w:rPr>
      </w:lvl>
    </w:lvlOverride>
    <w:lvlOverride w:ilvl="2">
      <w:lvl w:ilvl="2" w:tentative="1">
        <w:start w:val="1"/>
        <w:numFmt w:val="decimal"/>
        <w:lvlRestart w:val="1"/>
        <w:pStyle w:val="55"/>
        <w:suff w:val="space"/>
        <w:lvlText w:val="%1.0.%3 "/>
        <w:lvlJc w:val="left"/>
        <w:pPr>
          <w:ind w:left="0" w:firstLine="0"/>
        </w:pPr>
        <w:rPr>
          <w:rFonts w:hint="default" w:ascii="Times New Roman" w:hAnsi="Times New Roman"/>
          <w:b/>
          <w:i w:val="0"/>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trackRevisions w:val="1"/>
  <w:documentProtection w:enforcement="0"/>
  <w:defaultTabStop w:val="0"/>
  <w:drawingGridHorizontalSpacing w:val="120"/>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2NmU4ODVmMmEwMmYwMGZkNDcxYWEwNWEzMWY2M2QifQ=="/>
  </w:docVars>
  <w:rsids>
    <w:rsidRoot w:val="00F2569E"/>
    <w:rsid w:val="00000FE6"/>
    <w:rsid w:val="0000112E"/>
    <w:rsid w:val="00002486"/>
    <w:rsid w:val="00002B4A"/>
    <w:rsid w:val="00002DE7"/>
    <w:rsid w:val="00002F95"/>
    <w:rsid w:val="0000375F"/>
    <w:rsid w:val="00003C34"/>
    <w:rsid w:val="0000544F"/>
    <w:rsid w:val="00005911"/>
    <w:rsid w:val="000063E3"/>
    <w:rsid w:val="00006A0E"/>
    <w:rsid w:val="00006A89"/>
    <w:rsid w:val="00006B3C"/>
    <w:rsid w:val="000073AA"/>
    <w:rsid w:val="0000741F"/>
    <w:rsid w:val="00007D00"/>
    <w:rsid w:val="00010A8C"/>
    <w:rsid w:val="00010C06"/>
    <w:rsid w:val="00011731"/>
    <w:rsid w:val="00011A45"/>
    <w:rsid w:val="00012BD4"/>
    <w:rsid w:val="0001331E"/>
    <w:rsid w:val="00013371"/>
    <w:rsid w:val="00013565"/>
    <w:rsid w:val="000142AC"/>
    <w:rsid w:val="000151FE"/>
    <w:rsid w:val="0001521F"/>
    <w:rsid w:val="00017BCA"/>
    <w:rsid w:val="00017BFC"/>
    <w:rsid w:val="0002065F"/>
    <w:rsid w:val="000223C9"/>
    <w:rsid w:val="000230F4"/>
    <w:rsid w:val="00023A50"/>
    <w:rsid w:val="00023CC8"/>
    <w:rsid w:val="000240F9"/>
    <w:rsid w:val="0002595C"/>
    <w:rsid w:val="00026074"/>
    <w:rsid w:val="0003128B"/>
    <w:rsid w:val="00032503"/>
    <w:rsid w:val="00032D88"/>
    <w:rsid w:val="00032DCC"/>
    <w:rsid w:val="0003444C"/>
    <w:rsid w:val="00037BB1"/>
    <w:rsid w:val="0004288B"/>
    <w:rsid w:val="00042A1D"/>
    <w:rsid w:val="00042F01"/>
    <w:rsid w:val="0004373E"/>
    <w:rsid w:val="00043B2C"/>
    <w:rsid w:val="0004413C"/>
    <w:rsid w:val="00045D27"/>
    <w:rsid w:val="00046EC4"/>
    <w:rsid w:val="000520E6"/>
    <w:rsid w:val="0005211E"/>
    <w:rsid w:val="00052874"/>
    <w:rsid w:val="00053441"/>
    <w:rsid w:val="00053A33"/>
    <w:rsid w:val="00053BB5"/>
    <w:rsid w:val="0005412E"/>
    <w:rsid w:val="00054265"/>
    <w:rsid w:val="00054BDC"/>
    <w:rsid w:val="00055202"/>
    <w:rsid w:val="00057973"/>
    <w:rsid w:val="00060946"/>
    <w:rsid w:val="00061C1F"/>
    <w:rsid w:val="00062036"/>
    <w:rsid w:val="00065F04"/>
    <w:rsid w:val="0006719C"/>
    <w:rsid w:val="000679C2"/>
    <w:rsid w:val="00070796"/>
    <w:rsid w:val="00071406"/>
    <w:rsid w:val="00071A9E"/>
    <w:rsid w:val="00071EFF"/>
    <w:rsid w:val="00071FEB"/>
    <w:rsid w:val="00073FC3"/>
    <w:rsid w:val="000743E0"/>
    <w:rsid w:val="000744A6"/>
    <w:rsid w:val="00075058"/>
    <w:rsid w:val="00075EB2"/>
    <w:rsid w:val="000766B4"/>
    <w:rsid w:val="00076BA9"/>
    <w:rsid w:val="00077F25"/>
    <w:rsid w:val="00080429"/>
    <w:rsid w:val="00080A35"/>
    <w:rsid w:val="000813FF"/>
    <w:rsid w:val="00081AC8"/>
    <w:rsid w:val="00082087"/>
    <w:rsid w:val="000820D6"/>
    <w:rsid w:val="00082F82"/>
    <w:rsid w:val="00083D60"/>
    <w:rsid w:val="000848AC"/>
    <w:rsid w:val="0008504E"/>
    <w:rsid w:val="00085F45"/>
    <w:rsid w:val="000863FA"/>
    <w:rsid w:val="00086D01"/>
    <w:rsid w:val="00090904"/>
    <w:rsid w:val="00090CE1"/>
    <w:rsid w:val="000911DC"/>
    <w:rsid w:val="000923AB"/>
    <w:rsid w:val="00092426"/>
    <w:rsid w:val="00092854"/>
    <w:rsid w:val="0009288A"/>
    <w:rsid w:val="0009346A"/>
    <w:rsid w:val="00094C02"/>
    <w:rsid w:val="00094D23"/>
    <w:rsid w:val="00094EB0"/>
    <w:rsid w:val="00095079"/>
    <w:rsid w:val="00095BB5"/>
    <w:rsid w:val="000964EA"/>
    <w:rsid w:val="00096EBE"/>
    <w:rsid w:val="000970A0"/>
    <w:rsid w:val="000A05F0"/>
    <w:rsid w:val="000A074C"/>
    <w:rsid w:val="000A1116"/>
    <w:rsid w:val="000A1317"/>
    <w:rsid w:val="000A1C6C"/>
    <w:rsid w:val="000A239F"/>
    <w:rsid w:val="000A347A"/>
    <w:rsid w:val="000A363C"/>
    <w:rsid w:val="000A3E31"/>
    <w:rsid w:val="000A64D7"/>
    <w:rsid w:val="000B0270"/>
    <w:rsid w:val="000B0CA6"/>
    <w:rsid w:val="000B1349"/>
    <w:rsid w:val="000B13E0"/>
    <w:rsid w:val="000B1CC7"/>
    <w:rsid w:val="000B3118"/>
    <w:rsid w:val="000B41D0"/>
    <w:rsid w:val="000B43FA"/>
    <w:rsid w:val="000B457C"/>
    <w:rsid w:val="000B49C2"/>
    <w:rsid w:val="000B53AD"/>
    <w:rsid w:val="000B5539"/>
    <w:rsid w:val="000B5E83"/>
    <w:rsid w:val="000B6C67"/>
    <w:rsid w:val="000B7CC7"/>
    <w:rsid w:val="000C069A"/>
    <w:rsid w:val="000C0DB6"/>
    <w:rsid w:val="000C3E93"/>
    <w:rsid w:val="000C51FD"/>
    <w:rsid w:val="000C7B81"/>
    <w:rsid w:val="000D2133"/>
    <w:rsid w:val="000D5B65"/>
    <w:rsid w:val="000D635B"/>
    <w:rsid w:val="000E1549"/>
    <w:rsid w:val="000E15E3"/>
    <w:rsid w:val="000E162D"/>
    <w:rsid w:val="000E3C19"/>
    <w:rsid w:val="000E452B"/>
    <w:rsid w:val="000E4BB0"/>
    <w:rsid w:val="000E4CC0"/>
    <w:rsid w:val="000E6E4D"/>
    <w:rsid w:val="000E758F"/>
    <w:rsid w:val="000F00CB"/>
    <w:rsid w:val="000F0393"/>
    <w:rsid w:val="000F0670"/>
    <w:rsid w:val="000F067D"/>
    <w:rsid w:val="000F1216"/>
    <w:rsid w:val="000F1A83"/>
    <w:rsid w:val="000F3262"/>
    <w:rsid w:val="000F33F0"/>
    <w:rsid w:val="000F49E9"/>
    <w:rsid w:val="000F4FF9"/>
    <w:rsid w:val="000F5238"/>
    <w:rsid w:val="000F527F"/>
    <w:rsid w:val="000F58E1"/>
    <w:rsid w:val="000F6D61"/>
    <w:rsid w:val="00103822"/>
    <w:rsid w:val="00105622"/>
    <w:rsid w:val="001064BB"/>
    <w:rsid w:val="00107833"/>
    <w:rsid w:val="00110AA1"/>
    <w:rsid w:val="001113BD"/>
    <w:rsid w:val="001114F4"/>
    <w:rsid w:val="001119F5"/>
    <w:rsid w:val="001131D8"/>
    <w:rsid w:val="00113E1C"/>
    <w:rsid w:val="00115C30"/>
    <w:rsid w:val="00117E62"/>
    <w:rsid w:val="00117EB3"/>
    <w:rsid w:val="00117F85"/>
    <w:rsid w:val="001204BC"/>
    <w:rsid w:val="00121001"/>
    <w:rsid w:val="001212EC"/>
    <w:rsid w:val="00122467"/>
    <w:rsid w:val="00123623"/>
    <w:rsid w:val="001237A6"/>
    <w:rsid w:val="00124811"/>
    <w:rsid w:val="001260DD"/>
    <w:rsid w:val="0012712D"/>
    <w:rsid w:val="0012758C"/>
    <w:rsid w:val="00130080"/>
    <w:rsid w:val="00130718"/>
    <w:rsid w:val="001315A0"/>
    <w:rsid w:val="001319E7"/>
    <w:rsid w:val="00132E9F"/>
    <w:rsid w:val="0013426E"/>
    <w:rsid w:val="00135831"/>
    <w:rsid w:val="00137789"/>
    <w:rsid w:val="0013783D"/>
    <w:rsid w:val="00137EAE"/>
    <w:rsid w:val="00140F60"/>
    <w:rsid w:val="001419E1"/>
    <w:rsid w:val="00143164"/>
    <w:rsid w:val="00144006"/>
    <w:rsid w:val="001452E0"/>
    <w:rsid w:val="00146926"/>
    <w:rsid w:val="00146AB5"/>
    <w:rsid w:val="00147354"/>
    <w:rsid w:val="001510D1"/>
    <w:rsid w:val="00151E8A"/>
    <w:rsid w:val="00152732"/>
    <w:rsid w:val="00152D67"/>
    <w:rsid w:val="00153A31"/>
    <w:rsid w:val="001540E0"/>
    <w:rsid w:val="00156A99"/>
    <w:rsid w:val="00156E6B"/>
    <w:rsid w:val="001614E1"/>
    <w:rsid w:val="00161C5E"/>
    <w:rsid w:val="00162905"/>
    <w:rsid w:val="001629BC"/>
    <w:rsid w:val="00163398"/>
    <w:rsid w:val="00164EA6"/>
    <w:rsid w:val="00165E8A"/>
    <w:rsid w:val="00166AE6"/>
    <w:rsid w:val="00167348"/>
    <w:rsid w:val="00170C12"/>
    <w:rsid w:val="001717E5"/>
    <w:rsid w:val="001718F2"/>
    <w:rsid w:val="00172232"/>
    <w:rsid w:val="00172BE6"/>
    <w:rsid w:val="00172CE2"/>
    <w:rsid w:val="00175E22"/>
    <w:rsid w:val="00175EFC"/>
    <w:rsid w:val="00176DEE"/>
    <w:rsid w:val="001814ED"/>
    <w:rsid w:val="00181759"/>
    <w:rsid w:val="00182210"/>
    <w:rsid w:val="001834AF"/>
    <w:rsid w:val="00183976"/>
    <w:rsid w:val="00183BF4"/>
    <w:rsid w:val="00184C77"/>
    <w:rsid w:val="0018579E"/>
    <w:rsid w:val="00185926"/>
    <w:rsid w:val="00185BCF"/>
    <w:rsid w:val="0018680A"/>
    <w:rsid w:val="00187704"/>
    <w:rsid w:val="00190493"/>
    <w:rsid w:val="001905C2"/>
    <w:rsid w:val="001912FE"/>
    <w:rsid w:val="00192A76"/>
    <w:rsid w:val="0019354C"/>
    <w:rsid w:val="00193B4E"/>
    <w:rsid w:val="00194257"/>
    <w:rsid w:val="001966D3"/>
    <w:rsid w:val="00197305"/>
    <w:rsid w:val="001A0B17"/>
    <w:rsid w:val="001A1B3C"/>
    <w:rsid w:val="001A1C18"/>
    <w:rsid w:val="001A2A21"/>
    <w:rsid w:val="001A2CCD"/>
    <w:rsid w:val="001A3748"/>
    <w:rsid w:val="001A6078"/>
    <w:rsid w:val="001A696B"/>
    <w:rsid w:val="001A697B"/>
    <w:rsid w:val="001A6EE0"/>
    <w:rsid w:val="001B3F85"/>
    <w:rsid w:val="001B4931"/>
    <w:rsid w:val="001B6062"/>
    <w:rsid w:val="001B691A"/>
    <w:rsid w:val="001B7D12"/>
    <w:rsid w:val="001C0748"/>
    <w:rsid w:val="001C0A90"/>
    <w:rsid w:val="001C0EB4"/>
    <w:rsid w:val="001C2D53"/>
    <w:rsid w:val="001C3C34"/>
    <w:rsid w:val="001C3CAA"/>
    <w:rsid w:val="001C6351"/>
    <w:rsid w:val="001C64F5"/>
    <w:rsid w:val="001D04D5"/>
    <w:rsid w:val="001D071C"/>
    <w:rsid w:val="001D12E0"/>
    <w:rsid w:val="001D1509"/>
    <w:rsid w:val="001D1F3F"/>
    <w:rsid w:val="001D20F9"/>
    <w:rsid w:val="001D42CA"/>
    <w:rsid w:val="001D4EA9"/>
    <w:rsid w:val="001D4F20"/>
    <w:rsid w:val="001D503E"/>
    <w:rsid w:val="001D5FF7"/>
    <w:rsid w:val="001E0FB5"/>
    <w:rsid w:val="001E1AFC"/>
    <w:rsid w:val="001E34CE"/>
    <w:rsid w:val="001E38A2"/>
    <w:rsid w:val="001E455B"/>
    <w:rsid w:val="001E4D2C"/>
    <w:rsid w:val="001E4DE0"/>
    <w:rsid w:val="001E58AC"/>
    <w:rsid w:val="001E79E2"/>
    <w:rsid w:val="001F01D5"/>
    <w:rsid w:val="001F059D"/>
    <w:rsid w:val="001F065C"/>
    <w:rsid w:val="001F11BA"/>
    <w:rsid w:val="001F59B3"/>
    <w:rsid w:val="001F7243"/>
    <w:rsid w:val="0020079B"/>
    <w:rsid w:val="00202E93"/>
    <w:rsid w:val="00204913"/>
    <w:rsid w:val="00206969"/>
    <w:rsid w:val="00207852"/>
    <w:rsid w:val="00207BDC"/>
    <w:rsid w:val="00207C45"/>
    <w:rsid w:val="00210D91"/>
    <w:rsid w:val="00212361"/>
    <w:rsid w:val="00216000"/>
    <w:rsid w:val="00216B52"/>
    <w:rsid w:val="00217CD0"/>
    <w:rsid w:val="00220A05"/>
    <w:rsid w:val="00220B89"/>
    <w:rsid w:val="00220F69"/>
    <w:rsid w:val="002216A4"/>
    <w:rsid w:val="0022175B"/>
    <w:rsid w:val="002219D4"/>
    <w:rsid w:val="00221BA9"/>
    <w:rsid w:val="00222330"/>
    <w:rsid w:val="00222627"/>
    <w:rsid w:val="00222634"/>
    <w:rsid w:val="002228B6"/>
    <w:rsid w:val="002231EF"/>
    <w:rsid w:val="00224190"/>
    <w:rsid w:val="00225FBF"/>
    <w:rsid w:val="00226557"/>
    <w:rsid w:val="00227850"/>
    <w:rsid w:val="00230D85"/>
    <w:rsid w:val="00230F60"/>
    <w:rsid w:val="002311B3"/>
    <w:rsid w:val="00232284"/>
    <w:rsid w:val="00232A3B"/>
    <w:rsid w:val="00233A2C"/>
    <w:rsid w:val="002340E0"/>
    <w:rsid w:val="002400D2"/>
    <w:rsid w:val="0024157F"/>
    <w:rsid w:val="00241987"/>
    <w:rsid w:val="00242EA5"/>
    <w:rsid w:val="00244162"/>
    <w:rsid w:val="002446A0"/>
    <w:rsid w:val="002448D4"/>
    <w:rsid w:val="00244F46"/>
    <w:rsid w:val="002476FB"/>
    <w:rsid w:val="00247A0F"/>
    <w:rsid w:val="00250E49"/>
    <w:rsid w:val="002518E7"/>
    <w:rsid w:val="00254421"/>
    <w:rsid w:val="00254B7F"/>
    <w:rsid w:val="002575C0"/>
    <w:rsid w:val="00257637"/>
    <w:rsid w:val="00257BEE"/>
    <w:rsid w:val="002605D7"/>
    <w:rsid w:val="00262243"/>
    <w:rsid w:val="00264CD6"/>
    <w:rsid w:val="00264FA4"/>
    <w:rsid w:val="002660DF"/>
    <w:rsid w:val="00267154"/>
    <w:rsid w:val="002703EC"/>
    <w:rsid w:val="00271075"/>
    <w:rsid w:val="0027115A"/>
    <w:rsid w:val="00271BEA"/>
    <w:rsid w:val="00271C8F"/>
    <w:rsid w:val="002729AA"/>
    <w:rsid w:val="00272DE0"/>
    <w:rsid w:val="00275446"/>
    <w:rsid w:val="00275608"/>
    <w:rsid w:val="00275C01"/>
    <w:rsid w:val="0027756C"/>
    <w:rsid w:val="00277CA4"/>
    <w:rsid w:val="00277F61"/>
    <w:rsid w:val="00280525"/>
    <w:rsid w:val="00280D57"/>
    <w:rsid w:val="00280EDD"/>
    <w:rsid w:val="0028119E"/>
    <w:rsid w:val="00281735"/>
    <w:rsid w:val="0028331F"/>
    <w:rsid w:val="00284608"/>
    <w:rsid w:val="0028573B"/>
    <w:rsid w:val="002876A4"/>
    <w:rsid w:val="00287E90"/>
    <w:rsid w:val="0029005B"/>
    <w:rsid w:val="00290718"/>
    <w:rsid w:val="002912E5"/>
    <w:rsid w:val="00291340"/>
    <w:rsid w:val="0029148B"/>
    <w:rsid w:val="00291FF7"/>
    <w:rsid w:val="00292C49"/>
    <w:rsid w:val="00293767"/>
    <w:rsid w:val="00294B7A"/>
    <w:rsid w:val="00294CE2"/>
    <w:rsid w:val="002955A0"/>
    <w:rsid w:val="002976BB"/>
    <w:rsid w:val="002A0080"/>
    <w:rsid w:val="002A0AD9"/>
    <w:rsid w:val="002A1AC9"/>
    <w:rsid w:val="002A1ACF"/>
    <w:rsid w:val="002A1F71"/>
    <w:rsid w:val="002A233F"/>
    <w:rsid w:val="002A39D9"/>
    <w:rsid w:val="002A55BF"/>
    <w:rsid w:val="002A6C7C"/>
    <w:rsid w:val="002A7960"/>
    <w:rsid w:val="002B0CC1"/>
    <w:rsid w:val="002B1928"/>
    <w:rsid w:val="002B19FC"/>
    <w:rsid w:val="002B2974"/>
    <w:rsid w:val="002B2A21"/>
    <w:rsid w:val="002B322E"/>
    <w:rsid w:val="002B494B"/>
    <w:rsid w:val="002B57A6"/>
    <w:rsid w:val="002B73F6"/>
    <w:rsid w:val="002B7BB5"/>
    <w:rsid w:val="002B7BCF"/>
    <w:rsid w:val="002C057B"/>
    <w:rsid w:val="002C0A9A"/>
    <w:rsid w:val="002C0AEB"/>
    <w:rsid w:val="002C13FC"/>
    <w:rsid w:val="002C263B"/>
    <w:rsid w:val="002C273D"/>
    <w:rsid w:val="002C319D"/>
    <w:rsid w:val="002C3A73"/>
    <w:rsid w:val="002C58AF"/>
    <w:rsid w:val="002C637D"/>
    <w:rsid w:val="002C6E6E"/>
    <w:rsid w:val="002C7062"/>
    <w:rsid w:val="002C732E"/>
    <w:rsid w:val="002D0D13"/>
    <w:rsid w:val="002D1680"/>
    <w:rsid w:val="002D3886"/>
    <w:rsid w:val="002D4A55"/>
    <w:rsid w:val="002D58D8"/>
    <w:rsid w:val="002D6F52"/>
    <w:rsid w:val="002D7C94"/>
    <w:rsid w:val="002E0484"/>
    <w:rsid w:val="002E3767"/>
    <w:rsid w:val="002E3ED8"/>
    <w:rsid w:val="002E52B0"/>
    <w:rsid w:val="002E5D78"/>
    <w:rsid w:val="002E5F78"/>
    <w:rsid w:val="002E62DD"/>
    <w:rsid w:val="002E648F"/>
    <w:rsid w:val="002E72F2"/>
    <w:rsid w:val="002F02CB"/>
    <w:rsid w:val="002F2B4E"/>
    <w:rsid w:val="002F314C"/>
    <w:rsid w:val="002F3348"/>
    <w:rsid w:val="002F3B67"/>
    <w:rsid w:val="002F49FE"/>
    <w:rsid w:val="002F4B3E"/>
    <w:rsid w:val="002F4D52"/>
    <w:rsid w:val="002F61AB"/>
    <w:rsid w:val="002F61E2"/>
    <w:rsid w:val="002F6834"/>
    <w:rsid w:val="002F78D8"/>
    <w:rsid w:val="002F79BD"/>
    <w:rsid w:val="002F7C52"/>
    <w:rsid w:val="003012CB"/>
    <w:rsid w:val="00301AC1"/>
    <w:rsid w:val="00302018"/>
    <w:rsid w:val="00302069"/>
    <w:rsid w:val="0030259F"/>
    <w:rsid w:val="00303E8C"/>
    <w:rsid w:val="00304C38"/>
    <w:rsid w:val="00305BAD"/>
    <w:rsid w:val="003072E1"/>
    <w:rsid w:val="00307DDB"/>
    <w:rsid w:val="00310CFE"/>
    <w:rsid w:val="00312513"/>
    <w:rsid w:val="00314F26"/>
    <w:rsid w:val="00317806"/>
    <w:rsid w:val="00317BB7"/>
    <w:rsid w:val="00320E2C"/>
    <w:rsid w:val="003212A8"/>
    <w:rsid w:val="00321631"/>
    <w:rsid w:val="00321DD1"/>
    <w:rsid w:val="00321F41"/>
    <w:rsid w:val="00323518"/>
    <w:rsid w:val="00323545"/>
    <w:rsid w:val="00323964"/>
    <w:rsid w:val="00323A5B"/>
    <w:rsid w:val="0032552E"/>
    <w:rsid w:val="003255B5"/>
    <w:rsid w:val="003276FE"/>
    <w:rsid w:val="00331A48"/>
    <w:rsid w:val="00332247"/>
    <w:rsid w:val="00332355"/>
    <w:rsid w:val="00332898"/>
    <w:rsid w:val="00332FB2"/>
    <w:rsid w:val="003332A9"/>
    <w:rsid w:val="0033351C"/>
    <w:rsid w:val="003338A4"/>
    <w:rsid w:val="003343EC"/>
    <w:rsid w:val="003345A5"/>
    <w:rsid w:val="003347EE"/>
    <w:rsid w:val="00334964"/>
    <w:rsid w:val="00334994"/>
    <w:rsid w:val="0033588D"/>
    <w:rsid w:val="003364AD"/>
    <w:rsid w:val="00337052"/>
    <w:rsid w:val="0033740A"/>
    <w:rsid w:val="00341503"/>
    <w:rsid w:val="003422A6"/>
    <w:rsid w:val="0034273E"/>
    <w:rsid w:val="003434D6"/>
    <w:rsid w:val="003444F7"/>
    <w:rsid w:val="00344556"/>
    <w:rsid w:val="00345FEC"/>
    <w:rsid w:val="003465DA"/>
    <w:rsid w:val="00346903"/>
    <w:rsid w:val="0035046D"/>
    <w:rsid w:val="00351C2A"/>
    <w:rsid w:val="00352BD8"/>
    <w:rsid w:val="00352F52"/>
    <w:rsid w:val="00353234"/>
    <w:rsid w:val="00355144"/>
    <w:rsid w:val="00355287"/>
    <w:rsid w:val="003555B9"/>
    <w:rsid w:val="003559F9"/>
    <w:rsid w:val="00355B17"/>
    <w:rsid w:val="00355BE3"/>
    <w:rsid w:val="003567F0"/>
    <w:rsid w:val="00357340"/>
    <w:rsid w:val="00357F5D"/>
    <w:rsid w:val="00360397"/>
    <w:rsid w:val="00361DCF"/>
    <w:rsid w:val="00361E6E"/>
    <w:rsid w:val="003624B3"/>
    <w:rsid w:val="00362E41"/>
    <w:rsid w:val="00362F3B"/>
    <w:rsid w:val="00363372"/>
    <w:rsid w:val="00364118"/>
    <w:rsid w:val="00364457"/>
    <w:rsid w:val="00365DC1"/>
    <w:rsid w:val="00367E18"/>
    <w:rsid w:val="0037020B"/>
    <w:rsid w:val="00370F71"/>
    <w:rsid w:val="00371CED"/>
    <w:rsid w:val="00372721"/>
    <w:rsid w:val="00373E69"/>
    <w:rsid w:val="0037416B"/>
    <w:rsid w:val="003743D0"/>
    <w:rsid w:val="00374AC4"/>
    <w:rsid w:val="0037539F"/>
    <w:rsid w:val="0037646A"/>
    <w:rsid w:val="00377A04"/>
    <w:rsid w:val="00380E67"/>
    <w:rsid w:val="00380FDD"/>
    <w:rsid w:val="003815B0"/>
    <w:rsid w:val="0038161F"/>
    <w:rsid w:val="0038185B"/>
    <w:rsid w:val="00382F49"/>
    <w:rsid w:val="00383ECE"/>
    <w:rsid w:val="00383EE1"/>
    <w:rsid w:val="00384A56"/>
    <w:rsid w:val="00384FD4"/>
    <w:rsid w:val="00387272"/>
    <w:rsid w:val="00387765"/>
    <w:rsid w:val="00387A93"/>
    <w:rsid w:val="00391C35"/>
    <w:rsid w:val="00391DF4"/>
    <w:rsid w:val="00391F2D"/>
    <w:rsid w:val="00392BC2"/>
    <w:rsid w:val="00394C79"/>
    <w:rsid w:val="0039523A"/>
    <w:rsid w:val="003962B1"/>
    <w:rsid w:val="003A0361"/>
    <w:rsid w:val="003A0594"/>
    <w:rsid w:val="003A072B"/>
    <w:rsid w:val="003A14A9"/>
    <w:rsid w:val="003A1572"/>
    <w:rsid w:val="003A1788"/>
    <w:rsid w:val="003A190A"/>
    <w:rsid w:val="003A2A30"/>
    <w:rsid w:val="003A422C"/>
    <w:rsid w:val="003A5372"/>
    <w:rsid w:val="003A5400"/>
    <w:rsid w:val="003A5F89"/>
    <w:rsid w:val="003A72A8"/>
    <w:rsid w:val="003B0A54"/>
    <w:rsid w:val="003B21A4"/>
    <w:rsid w:val="003B3F74"/>
    <w:rsid w:val="003B4B37"/>
    <w:rsid w:val="003B5701"/>
    <w:rsid w:val="003B709E"/>
    <w:rsid w:val="003B7194"/>
    <w:rsid w:val="003C0A48"/>
    <w:rsid w:val="003C1459"/>
    <w:rsid w:val="003C3072"/>
    <w:rsid w:val="003C521E"/>
    <w:rsid w:val="003C57A1"/>
    <w:rsid w:val="003C6AB4"/>
    <w:rsid w:val="003C6D17"/>
    <w:rsid w:val="003D04AF"/>
    <w:rsid w:val="003D1397"/>
    <w:rsid w:val="003D1AC3"/>
    <w:rsid w:val="003D1DD0"/>
    <w:rsid w:val="003D24B2"/>
    <w:rsid w:val="003D29FD"/>
    <w:rsid w:val="003D3182"/>
    <w:rsid w:val="003D39AF"/>
    <w:rsid w:val="003D46A5"/>
    <w:rsid w:val="003D4722"/>
    <w:rsid w:val="003D5752"/>
    <w:rsid w:val="003D5FF3"/>
    <w:rsid w:val="003D6EC8"/>
    <w:rsid w:val="003E0235"/>
    <w:rsid w:val="003E0BEC"/>
    <w:rsid w:val="003E181B"/>
    <w:rsid w:val="003E18B0"/>
    <w:rsid w:val="003E1CE9"/>
    <w:rsid w:val="003E2498"/>
    <w:rsid w:val="003E3FD8"/>
    <w:rsid w:val="003E48C1"/>
    <w:rsid w:val="003E48DD"/>
    <w:rsid w:val="003E56A0"/>
    <w:rsid w:val="003E583F"/>
    <w:rsid w:val="003E5C46"/>
    <w:rsid w:val="003E6B5F"/>
    <w:rsid w:val="003E7828"/>
    <w:rsid w:val="003E7841"/>
    <w:rsid w:val="003E7E90"/>
    <w:rsid w:val="003F1A3A"/>
    <w:rsid w:val="003F1D42"/>
    <w:rsid w:val="003F2C48"/>
    <w:rsid w:val="003F32FB"/>
    <w:rsid w:val="003F403C"/>
    <w:rsid w:val="003F42D7"/>
    <w:rsid w:val="003F44E3"/>
    <w:rsid w:val="003F4FF4"/>
    <w:rsid w:val="003F5B98"/>
    <w:rsid w:val="003F6C66"/>
    <w:rsid w:val="003F6DD9"/>
    <w:rsid w:val="003F704B"/>
    <w:rsid w:val="004001DE"/>
    <w:rsid w:val="004031DC"/>
    <w:rsid w:val="00404402"/>
    <w:rsid w:val="00404CEA"/>
    <w:rsid w:val="00405D24"/>
    <w:rsid w:val="00405EC1"/>
    <w:rsid w:val="00406039"/>
    <w:rsid w:val="0040660A"/>
    <w:rsid w:val="00406BEE"/>
    <w:rsid w:val="00410885"/>
    <w:rsid w:val="00415C19"/>
    <w:rsid w:val="004174D2"/>
    <w:rsid w:val="0042002A"/>
    <w:rsid w:val="00420170"/>
    <w:rsid w:val="00420472"/>
    <w:rsid w:val="00420894"/>
    <w:rsid w:val="00420CD7"/>
    <w:rsid w:val="00423D4A"/>
    <w:rsid w:val="00424BA5"/>
    <w:rsid w:val="0042582A"/>
    <w:rsid w:val="00427D69"/>
    <w:rsid w:val="00433444"/>
    <w:rsid w:val="0043353B"/>
    <w:rsid w:val="00433F8E"/>
    <w:rsid w:val="0043575E"/>
    <w:rsid w:val="00436F7E"/>
    <w:rsid w:val="004405CF"/>
    <w:rsid w:val="00440F8A"/>
    <w:rsid w:val="00441AD2"/>
    <w:rsid w:val="00441DD2"/>
    <w:rsid w:val="00443A52"/>
    <w:rsid w:val="00445A33"/>
    <w:rsid w:val="00445B82"/>
    <w:rsid w:val="00445C20"/>
    <w:rsid w:val="00447CD2"/>
    <w:rsid w:val="004506FF"/>
    <w:rsid w:val="00451589"/>
    <w:rsid w:val="004526C4"/>
    <w:rsid w:val="004527ED"/>
    <w:rsid w:val="004542BA"/>
    <w:rsid w:val="00454395"/>
    <w:rsid w:val="00454A33"/>
    <w:rsid w:val="004556A6"/>
    <w:rsid w:val="00456062"/>
    <w:rsid w:val="00456F64"/>
    <w:rsid w:val="00457315"/>
    <w:rsid w:val="00460A78"/>
    <w:rsid w:val="004624A1"/>
    <w:rsid w:val="00463D03"/>
    <w:rsid w:val="00464D27"/>
    <w:rsid w:val="00464F9C"/>
    <w:rsid w:val="004666FA"/>
    <w:rsid w:val="00466C1E"/>
    <w:rsid w:val="00466EAF"/>
    <w:rsid w:val="0047128B"/>
    <w:rsid w:val="004718E4"/>
    <w:rsid w:val="00471F49"/>
    <w:rsid w:val="00472C87"/>
    <w:rsid w:val="0047385D"/>
    <w:rsid w:val="00474288"/>
    <w:rsid w:val="004749FC"/>
    <w:rsid w:val="00476598"/>
    <w:rsid w:val="00477FE8"/>
    <w:rsid w:val="00481155"/>
    <w:rsid w:val="00483ACE"/>
    <w:rsid w:val="00483C0C"/>
    <w:rsid w:val="004841CA"/>
    <w:rsid w:val="00484313"/>
    <w:rsid w:val="00484C29"/>
    <w:rsid w:val="004859BC"/>
    <w:rsid w:val="00485AEC"/>
    <w:rsid w:val="00485BFC"/>
    <w:rsid w:val="004860ED"/>
    <w:rsid w:val="00487024"/>
    <w:rsid w:val="0048734A"/>
    <w:rsid w:val="0048763F"/>
    <w:rsid w:val="00490B8B"/>
    <w:rsid w:val="00490D6A"/>
    <w:rsid w:val="00491E62"/>
    <w:rsid w:val="00493263"/>
    <w:rsid w:val="00493428"/>
    <w:rsid w:val="00494FFB"/>
    <w:rsid w:val="004952C0"/>
    <w:rsid w:val="004956A5"/>
    <w:rsid w:val="0049726A"/>
    <w:rsid w:val="004A06D2"/>
    <w:rsid w:val="004A0BE9"/>
    <w:rsid w:val="004A0E64"/>
    <w:rsid w:val="004A1E35"/>
    <w:rsid w:val="004A3F28"/>
    <w:rsid w:val="004A51BA"/>
    <w:rsid w:val="004A58BB"/>
    <w:rsid w:val="004A6166"/>
    <w:rsid w:val="004A64FE"/>
    <w:rsid w:val="004A70A0"/>
    <w:rsid w:val="004B0EDE"/>
    <w:rsid w:val="004B28C5"/>
    <w:rsid w:val="004B3981"/>
    <w:rsid w:val="004B524A"/>
    <w:rsid w:val="004B60DF"/>
    <w:rsid w:val="004B63DD"/>
    <w:rsid w:val="004B685F"/>
    <w:rsid w:val="004B6BB3"/>
    <w:rsid w:val="004B6FF7"/>
    <w:rsid w:val="004C03E4"/>
    <w:rsid w:val="004C1124"/>
    <w:rsid w:val="004C194D"/>
    <w:rsid w:val="004C1B18"/>
    <w:rsid w:val="004C3073"/>
    <w:rsid w:val="004C30D9"/>
    <w:rsid w:val="004C3C3E"/>
    <w:rsid w:val="004C4663"/>
    <w:rsid w:val="004C4B0A"/>
    <w:rsid w:val="004C4C90"/>
    <w:rsid w:val="004C4D0D"/>
    <w:rsid w:val="004C612D"/>
    <w:rsid w:val="004C7471"/>
    <w:rsid w:val="004D00CE"/>
    <w:rsid w:val="004D153F"/>
    <w:rsid w:val="004D1ABB"/>
    <w:rsid w:val="004D225D"/>
    <w:rsid w:val="004D3007"/>
    <w:rsid w:val="004D31B2"/>
    <w:rsid w:val="004D3536"/>
    <w:rsid w:val="004D3AE8"/>
    <w:rsid w:val="004D3B28"/>
    <w:rsid w:val="004D4071"/>
    <w:rsid w:val="004D4D17"/>
    <w:rsid w:val="004D5CC8"/>
    <w:rsid w:val="004D60CD"/>
    <w:rsid w:val="004D63FB"/>
    <w:rsid w:val="004D6951"/>
    <w:rsid w:val="004D79AA"/>
    <w:rsid w:val="004D79C1"/>
    <w:rsid w:val="004D7BCF"/>
    <w:rsid w:val="004E43BF"/>
    <w:rsid w:val="004E4889"/>
    <w:rsid w:val="004E4D28"/>
    <w:rsid w:val="004E513B"/>
    <w:rsid w:val="004E5FCF"/>
    <w:rsid w:val="004E6155"/>
    <w:rsid w:val="004E77DD"/>
    <w:rsid w:val="004E7850"/>
    <w:rsid w:val="004E7D71"/>
    <w:rsid w:val="004F2FFA"/>
    <w:rsid w:val="004F4B2F"/>
    <w:rsid w:val="004F4C0E"/>
    <w:rsid w:val="004F5984"/>
    <w:rsid w:val="004F64FA"/>
    <w:rsid w:val="004F6A7A"/>
    <w:rsid w:val="004F6D15"/>
    <w:rsid w:val="004F6D2A"/>
    <w:rsid w:val="00500973"/>
    <w:rsid w:val="00501F5B"/>
    <w:rsid w:val="005030C1"/>
    <w:rsid w:val="00503362"/>
    <w:rsid w:val="00504363"/>
    <w:rsid w:val="0050477F"/>
    <w:rsid w:val="00504A2C"/>
    <w:rsid w:val="00505249"/>
    <w:rsid w:val="005062F5"/>
    <w:rsid w:val="00506F36"/>
    <w:rsid w:val="005117C9"/>
    <w:rsid w:val="00512500"/>
    <w:rsid w:val="00512759"/>
    <w:rsid w:val="00512CA6"/>
    <w:rsid w:val="00515517"/>
    <w:rsid w:val="005157C7"/>
    <w:rsid w:val="00515901"/>
    <w:rsid w:val="00516E19"/>
    <w:rsid w:val="005174E3"/>
    <w:rsid w:val="005177C4"/>
    <w:rsid w:val="00520D14"/>
    <w:rsid w:val="00521E1D"/>
    <w:rsid w:val="0052209A"/>
    <w:rsid w:val="00522ED6"/>
    <w:rsid w:val="005239BA"/>
    <w:rsid w:val="00523A82"/>
    <w:rsid w:val="00523F44"/>
    <w:rsid w:val="0052498F"/>
    <w:rsid w:val="005254B8"/>
    <w:rsid w:val="00527299"/>
    <w:rsid w:val="005312DD"/>
    <w:rsid w:val="0053146A"/>
    <w:rsid w:val="00532A20"/>
    <w:rsid w:val="00532B05"/>
    <w:rsid w:val="00536B42"/>
    <w:rsid w:val="00536B50"/>
    <w:rsid w:val="00544A93"/>
    <w:rsid w:val="0054588E"/>
    <w:rsid w:val="00545D48"/>
    <w:rsid w:val="00546308"/>
    <w:rsid w:val="0054717A"/>
    <w:rsid w:val="005504DD"/>
    <w:rsid w:val="00550F09"/>
    <w:rsid w:val="00553A7F"/>
    <w:rsid w:val="00554DCE"/>
    <w:rsid w:val="005552D0"/>
    <w:rsid w:val="00555892"/>
    <w:rsid w:val="00555F3D"/>
    <w:rsid w:val="005569B5"/>
    <w:rsid w:val="00556D6D"/>
    <w:rsid w:val="0055724C"/>
    <w:rsid w:val="0055797B"/>
    <w:rsid w:val="005623CA"/>
    <w:rsid w:val="005628B4"/>
    <w:rsid w:val="005628CF"/>
    <w:rsid w:val="005638A0"/>
    <w:rsid w:val="00564CE4"/>
    <w:rsid w:val="00566000"/>
    <w:rsid w:val="005666B1"/>
    <w:rsid w:val="0056711F"/>
    <w:rsid w:val="00567760"/>
    <w:rsid w:val="00570C91"/>
    <w:rsid w:val="00570FE1"/>
    <w:rsid w:val="00571B6C"/>
    <w:rsid w:val="005730B5"/>
    <w:rsid w:val="0057373D"/>
    <w:rsid w:val="00573CF2"/>
    <w:rsid w:val="00574631"/>
    <w:rsid w:val="00575C19"/>
    <w:rsid w:val="00575D85"/>
    <w:rsid w:val="00576271"/>
    <w:rsid w:val="005768A5"/>
    <w:rsid w:val="005804D4"/>
    <w:rsid w:val="00581207"/>
    <w:rsid w:val="00581AA2"/>
    <w:rsid w:val="005824CC"/>
    <w:rsid w:val="005829D1"/>
    <w:rsid w:val="005836C4"/>
    <w:rsid w:val="00584283"/>
    <w:rsid w:val="00587A7C"/>
    <w:rsid w:val="005919DD"/>
    <w:rsid w:val="005920D5"/>
    <w:rsid w:val="0059452D"/>
    <w:rsid w:val="00594597"/>
    <w:rsid w:val="0059556C"/>
    <w:rsid w:val="00596D2E"/>
    <w:rsid w:val="00597234"/>
    <w:rsid w:val="00597BE2"/>
    <w:rsid w:val="005A00CD"/>
    <w:rsid w:val="005A037D"/>
    <w:rsid w:val="005A04F6"/>
    <w:rsid w:val="005A0AB6"/>
    <w:rsid w:val="005A1D84"/>
    <w:rsid w:val="005A20E4"/>
    <w:rsid w:val="005A2909"/>
    <w:rsid w:val="005A3F8D"/>
    <w:rsid w:val="005A685E"/>
    <w:rsid w:val="005B04F8"/>
    <w:rsid w:val="005B0AE4"/>
    <w:rsid w:val="005B182D"/>
    <w:rsid w:val="005B2259"/>
    <w:rsid w:val="005B2407"/>
    <w:rsid w:val="005B259B"/>
    <w:rsid w:val="005B260F"/>
    <w:rsid w:val="005B444E"/>
    <w:rsid w:val="005B49E1"/>
    <w:rsid w:val="005B4B60"/>
    <w:rsid w:val="005B55EB"/>
    <w:rsid w:val="005B63BA"/>
    <w:rsid w:val="005B63E5"/>
    <w:rsid w:val="005B7257"/>
    <w:rsid w:val="005B7290"/>
    <w:rsid w:val="005B7A01"/>
    <w:rsid w:val="005C13E7"/>
    <w:rsid w:val="005C1958"/>
    <w:rsid w:val="005C1CB9"/>
    <w:rsid w:val="005C24CA"/>
    <w:rsid w:val="005C28B4"/>
    <w:rsid w:val="005C371E"/>
    <w:rsid w:val="005C5330"/>
    <w:rsid w:val="005C713A"/>
    <w:rsid w:val="005C749A"/>
    <w:rsid w:val="005C7CFE"/>
    <w:rsid w:val="005D2549"/>
    <w:rsid w:val="005D4365"/>
    <w:rsid w:val="005D60F6"/>
    <w:rsid w:val="005D62DB"/>
    <w:rsid w:val="005E0087"/>
    <w:rsid w:val="005E0C0D"/>
    <w:rsid w:val="005E25EF"/>
    <w:rsid w:val="005E4593"/>
    <w:rsid w:val="005E55F7"/>
    <w:rsid w:val="005E782F"/>
    <w:rsid w:val="005F178C"/>
    <w:rsid w:val="005F1A5F"/>
    <w:rsid w:val="005F1DEF"/>
    <w:rsid w:val="005F32FC"/>
    <w:rsid w:val="005F3744"/>
    <w:rsid w:val="005F3806"/>
    <w:rsid w:val="005F53E2"/>
    <w:rsid w:val="005F6F6F"/>
    <w:rsid w:val="005F7964"/>
    <w:rsid w:val="00600269"/>
    <w:rsid w:val="00600310"/>
    <w:rsid w:val="006009FE"/>
    <w:rsid w:val="00600E3D"/>
    <w:rsid w:val="0060141A"/>
    <w:rsid w:val="00601810"/>
    <w:rsid w:val="006031E0"/>
    <w:rsid w:val="0060385B"/>
    <w:rsid w:val="0060477E"/>
    <w:rsid w:val="00605547"/>
    <w:rsid w:val="00605A71"/>
    <w:rsid w:val="00605BFC"/>
    <w:rsid w:val="006065CA"/>
    <w:rsid w:val="00610AB0"/>
    <w:rsid w:val="0061142C"/>
    <w:rsid w:val="00611764"/>
    <w:rsid w:val="00613307"/>
    <w:rsid w:val="0061468A"/>
    <w:rsid w:val="006149F3"/>
    <w:rsid w:val="006208F4"/>
    <w:rsid w:val="00620C76"/>
    <w:rsid w:val="0062235F"/>
    <w:rsid w:val="006237DC"/>
    <w:rsid w:val="00626583"/>
    <w:rsid w:val="00626949"/>
    <w:rsid w:val="00627FDA"/>
    <w:rsid w:val="0063036B"/>
    <w:rsid w:val="006309E6"/>
    <w:rsid w:val="00631E2D"/>
    <w:rsid w:val="006337FB"/>
    <w:rsid w:val="00634966"/>
    <w:rsid w:val="00634B56"/>
    <w:rsid w:val="00635A86"/>
    <w:rsid w:val="00636DC5"/>
    <w:rsid w:val="006376E1"/>
    <w:rsid w:val="00640CDE"/>
    <w:rsid w:val="00640F76"/>
    <w:rsid w:val="00641ECA"/>
    <w:rsid w:val="00646FA8"/>
    <w:rsid w:val="00647915"/>
    <w:rsid w:val="00647AE1"/>
    <w:rsid w:val="00650896"/>
    <w:rsid w:val="006510BE"/>
    <w:rsid w:val="006516D6"/>
    <w:rsid w:val="006521A5"/>
    <w:rsid w:val="00652D4E"/>
    <w:rsid w:val="006533E8"/>
    <w:rsid w:val="00653536"/>
    <w:rsid w:val="0065354D"/>
    <w:rsid w:val="00654175"/>
    <w:rsid w:val="006547A9"/>
    <w:rsid w:val="0065669F"/>
    <w:rsid w:val="00656CB7"/>
    <w:rsid w:val="00657C0C"/>
    <w:rsid w:val="00657F41"/>
    <w:rsid w:val="00662458"/>
    <w:rsid w:val="0066309F"/>
    <w:rsid w:val="00663CE8"/>
    <w:rsid w:val="00666D2D"/>
    <w:rsid w:val="0066774D"/>
    <w:rsid w:val="006700CD"/>
    <w:rsid w:val="006715D4"/>
    <w:rsid w:val="00673272"/>
    <w:rsid w:val="0067332B"/>
    <w:rsid w:val="006748BF"/>
    <w:rsid w:val="00676969"/>
    <w:rsid w:val="00676F98"/>
    <w:rsid w:val="006778BE"/>
    <w:rsid w:val="00677929"/>
    <w:rsid w:val="00677B44"/>
    <w:rsid w:val="00682584"/>
    <w:rsid w:val="00683048"/>
    <w:rsid w:val="006837D8"/>
    <w:rsid w:val="00683E5E"/>
    <w:rsid w:val="00684175"/>
    <w:rsid w:val="006866D3"/>
    <w:rsid w:val="006866F2"/>
    <w:rsid w:val="00687348"/>
    <w:rsid w:val="00687CBB"/>
    <w:rsid w:val="00690AA5"/>
    <w:rsid w:val="00692DB4"/>
    <w:rsid w:val="0069399B"/>
    <w:rsid w:val="00693B05"/>
    <w:rsid w:val="00693FFF"/>
    <w:rsid w:val="00694639"/>
    <w:rsid w:val="006971B9"/>
    <w:rsid w:val="00697906"/>
    <w:rsid w:val="00697E6E"/>
    <w:rsid w:val="006A1ED8"/>
    <w:rsid w:val="006A2DBF"/>
    <w:rsid w:val="006A3012"/>
    <w:rsid w:val="006A325F"/>
    <w:rsid w:val="006A419B"/>
    <w:rsid w:val="006A5426"/>
    <w:rsid w:val="006A5581"/>
    <w:rsid w:val="006A629A"/>
    <w:rsid w:val="006A62E6"/>
    <w:rsid w:val="006A6E6A"/>
    <w:rsid w:val="006B002C"/>
    <w:rsid w:val="006B1D8C"/>
    <w:rsid w:val="006B24DD"/>
    <w:rsid w:val="006B2B09"/>
    <w:rsid w:val="006B3195"/>
    <w:rsid w:val="006B3922"/>
    <w:rsid w:val="006B3F59"/>
    <w:rsid w:val="006B4571"/>
    <w:rsid w:val="006B4577"/>
    <w:rsid w:val="006B503E"/>
    <w:rsid w:val="006B56CA"/>
    <w:rsid w:val="006B6C9D"/>
    <w:rsid w:val="006B6D40"/>
    <w:rsid w:val="006B7CA7"/>
    <w:rsid w:val="006C2564"/>
    <w:rsid w:val="006C2690"/>
    <w:rsid w:val="006C2927"/>
    <w:rsid w:val="006C2CF5"/>
    <w:rsid w:val="006C2F96"/>
    <w:rsid w:val="006C48EF"/>
    <w:rsid w:val="006C4915"/>
    <w:rsid w:val="006C4F1E"/>
    <w:rsid w:val="006C665B"/>
    <w:rsid w:val="006C7191"/>
    <w:rsid w:val="006C7736"/>
    <w:rsid w:val="006D004E"/>
    <w:rsid w:val="006D0FAA"/>
    <w:rsid w:val="006D21F1"/>
    <w:rsid w:val="006D2A77"/>
    <w:rsid w:val="006D3672"/>
    <w:rsid w:val="006D413B"/>
    <w:rsid w:val="006D4985"/>
    <w:rsid w:val="006D5312"/>
    <w:rsid w:val="006D5433"/>
    <w:rsid w:val="006D6112"/>
    <w:rsid w:val="006E0F0F"/>
    <w:rsid w:val="006E1853"/>
    <w:rsid w:val="006E2046"/>
    <w:rsid w:val="006E2525"/>
    <w:rsid w:val="006E2E1E"/>
    <w:rsid w:val="006E5B9C"/>
    <w:rsid w:val="006E5DF0"/>
    <w:rsid w:val="006E6661"/>
    <w:rsid w:val="006F0003"/>
    <w:rsid w:val="006F0C74"/>
    <w:rsid w:val="006F11F0"/>
    <w:rsid w:val="006F2151"/>
    <w:rsid w:val="006F285B"/>
    <w:rsid w:val="006F47A9"/>
    <w:rsid w:val="006F4EEE"/>
    <w:rsid w:val="006F56A7"/>
    <w:rsid w:val="006F7861"/>
    <w:rsid w:val="006F7F6B"/>
    <w:rsid w:val="007005EE"/>
    <w:rsid w:val="0070397E"/>
    <w:rsid w:val="00707385"/>
    <w:rsid w:val="00710934"/>
    <w:rsid w:val="00710D8D"/>
    <w:rsid w:val="00713B61"/>
    <w:rsid w:val="007141AD"/>
    <w:rsid w:val="00714F70"/>
    <w:rsid w:val="00715D02"/>
    <w:rsid w:val="0071608D"/>
    <w:rsid w:val="00716337"/>
    <w:rsid w:val="007171AA"/>
    <w:rsid w:val="00717544"/>
    <w:rsid w:val="007204C6"/>
    <w:rsid w:val="007209C4"/>
    <w:rsid w:val="007225E1"/>
    <w:rsid w:val="007249A7"/>
    <w:rsid w:val="00725C14"/>
    <w:rsid w:val="00725D51"/>
    <w:rsid w:val="0072715E"/>
    <w:rsid w:val="00727C04"/>
    <w:rsid w:val="00730E86"/>
    <w:rsid w:val="00731848"/>
    <w:rsid w:val="007324B6"/>
    <w:rsid w:val="00732A98"/>
    <w:rsid w:val="00733529"/>
    <w:rsid w:val="007335B7"/>
    <w:rsid w:val="0073384F"/>
    <w:rsid w:val="00733932"/>
    <w:rsid w:val="0073450D"/>
    <w:rsid w:val="00735C74"/>
    <w:rsid w:val="007365A9"/>
    <w:rsid w:val="00737A19"/>
    <w:rsid w:val="00741951"/>
    <w:rsid w:val="00741E89"/>
    <w:rsid w:val="0074352D"/>
    <w:rsid w:val="00743ED3"/>
    <w:rsid w:val="00745AAF"/>
    <w:rsid w:val="007473C0"/>
    <w:rsid w:val="00750639"/>
    <w:rsid w:val="00750E45"/>
    <w:rsid w:val="00751593"/>
    <w:rsid w:val="00752FE7"/>
    <w:rsid w:val="007549A5"/>
    <w:rsid w:val="007550A3"/>
    <w:rsid w:val="00756532"/>
    <w:rsid w:val="007610F4"/>
    <w:rsid w:val="0076110D"/>
    <w:rsid w:val="00761199"/>
    <w:rsid w:val="007613A0"/>
    <w:rsid w:val="00762244"/>
    <w:rsid w:val="00762E1E"/>
    <w:rsid w:val="007644E5"/>
    <w:rsid w:val="00764B8D"/>
    <w:rsid w:val="00765258"/>
    <w:rsid w:val="00765BAB"/>
    <w:rsid w:val="00765FD8"/>
    <w:rsid w:val="00766BCE"/>
    <w:rsid w:val="007673FD"/>
    <w:rsid w:val="0077117C"/>
    <w:rsid w:val="0077138E"/>
    <w:rsid w:val="00772206"/>
    <w:rsid w:val="0077223B"/>
    <w:rsid w:val="0077310D"/>
    <w:rsid w:val="00773623"/>
    <w:rsid w:val="00773E10"/>
    <w:rsid w:val="00773E33"/>
    <w:rsid w:val="007760D6"/>
    <w:rsid w:val="00777FBE"/>
    <w:rsid w:val="007805F0"/>
    <w:rsid w:val="007819E2"/>
    <w:rsid w:val="00781D79"/>
    <w:rsid w:val="007832B3"/>
    <w:rsid w:val="0078456B"/>
    <w:rsid w:val="00784B06"/>
    <w:rsid w:val="007860CB"/>
    <w:rsid w:val="00786133"/>
    <w:rsid w:val="007866CE"/>
    <w:rsid w:val="00786F45"/>
    <w:rsid w:val="00791A98"/>
    <w:rsid w:val="0079244C"/>
    <w:rsid w:val="0079279C"/>
    <w:rsid w:val="00792FED"/>
    <w:rsid w:val="00793644"/>
    <w:rsid w:val="00793A99"/>
    <w:rsid w:val="007949F1"/>
    <w:rsid w:val="00795C27"/>
    <w:rsid w:val="00795FF5"/>
    <w:rsid w:val="00796374"/>
    <w:rsid w:val="00796EE9"/>
    <w:rsid w:val="00796F82"/>
    <w:rsid w:val="007976E2"/>
    <w:rsid w:val="00797A6C"/>
    <w:rsid w:val="007A04D3"/>
    <w:rsid w:val="007A0CC1"/>
    <w:rsid w:val="007A1307"/>
    <w:rsid w:val="007A429B"/>
    <w:rsid w:val="007A434B"/>
    <w:rsid w:val="007A4415"/>
    <w:rsid w:val="007A7515"/>
    <w:rsid w:val="007A796D"/>
    <w:rsid w:val="007B0837"/>
    <w:rsid w:val="007B1759"/>
    <w:rsid w:val="007B1D7B"/>
    <w:rsid w:val="007B20A7"/>
    <w:rsid w:val="007B28FB"/>
    <w:rsid w:val="007B2A77"/>
    <w:rsid w:val="007B3004"/>
    <w:rsid w:val="007B3E4E"/>
    <w:rsid w:val="007C04FF"/>
    <w:rsid w:val="007C0ED5"/>
    <w:rsid w:val="007C27F1"/>
    <w:rsid w:val="007C4195"/>
    <w:rsid w:val="007C45D4"/>
    <w:rsid w:val="007C5EF6"/>
    <w:rsid w:val="007C6294"/>
    <w:rsid w:val="007C6EA1"/>
    <w:rsid w:val="007C6FB2"/>
    <w:rsid w:val="007C7006"/>
    <w:rsid w:val="007C7871"/>
    <w:rsid w:val="007C7934"/>
    <w:rsid w:val="007D0086"/>
    <w:rsid w:val="007D0B0E"/>
    <w:rsid w:val="007D0B43"/>
    <w:rsid w:val="007D10F6"/>
    <w:rsid w:val="007D12AA"/>
    <w:rsid w:val="007D1707"/>
    <w:rsid w:val="007D1BA2"/>
    <w:rsid w:val="007D28F7"/>
    <w:rsid w:val="007D31AA"/>
    <w:rsid w:val="007D3908"/>
    <w:rsid w:val="007D4231"/>
    <w:rsid w:val="007D4972"/>
    <w:rsid w:val="007D5B15"/>
    <w:rsid w:val="007D6A1F"/>
    <w:rsid w:val="007E0993"/>
    <w:rsid w:val="007E0F63"/>
    <w:rsid w:val="007E2869"/>
    <w:rsid w:val="007E2930"/>
    <w:rsid w:val="007E30F9"/>
    <w:rsid w:val="007E35E9"/>
    <w:rsid w:val="007E365A"/>
    <w:rsid w:val="007E376C"/>
    <w:rsid w:val="007E671F"/>
    <w:rsid w:val="007F1792"/>
    <w:rsid w:val="007F1AAC"/>
    <w:rsid w:val="007F1F57"/>
    <w:rsid w:val="007F32A4"/>
    <w:rsid w:val="007F3591"/>
    <w:rsid w:val="007F4E5C"/>
    <w:rsid w:val="007F52E4"/>
    <w:rsid w:val="007F56A4"/>
    <w:rsid w:val="007F6E0C"/>
    <w:rsid w:val="008013DE"/>
    <w:rsid w:val="00801885"/>
    <w:rsid w:val="00801910"/>
    <w:rsid w:val="00801AD8"/>
    <w:rsid w:val="00803063"/>
    <w:rsid w:val="008037C6"/>
    <w:rsid w:val="00803C95"/>
    <w:rsid w:val="0080461F"/>
    <w:rsid w:val="008047F0"/>
    <w:rsid w:val="00804D16"/>
    <w:rsid w:val="00805233"/>
    <w:rsid w:val="00806DE9"/>
    <w:rsid w:val="00810830"/>
    <w:rsid w:val="008111E1"/>
    <w:rsid w:val="00811CB8"/>
    <w:rsid w:val="008139E7"/>
    <w:rsid w:val="00813A86"/>
    <w:rsid w:val="00814879"/>
    <w:rsid w:val="00814B5A"/>
    <w:rsid w:val="00815189"/>
    <w:rsid w:val="0081683B"/>
    <w:rsid w:val="0081683E"/>
    <w:rsid w:val="00817123"/>
    <w:rsid w:val="00820150"/>
    <w:rsid w:val="008203FD"/>
    <w:rsid w:val="00820479"/>
    <w:rsid w:val="00822238"/>
    <w:rsid w:val="00822DEC"/>
    <w:rsid w:val="00823363"/>
    <w:rsid w:val="00824900"/>
    <w:rsid w:val="008273D1"/>
    <w:rsid w:val="008276DF"/>
    <w:rsid w:val="00827D92"/>
    <w:rsid w:val="00830814"/>
    <w:rsid w:val="008318B5"/>
    <w:rsid w:val="00831C83"/>
    <w:rsid w:val="00832991"/>
    <w:rsid w:val="00832DE1"/>
    <w:rsid w:val="008332E9"/>
    <w:rsid w:val="0083406B"/>
    <w:rsid w:val="008357C7"/>
    <w:rsid w:val="00835C49"/>
    <w:rsid w:val="00835FE7"/>
    <w:rsid w:val="00836E3B"/>
    <w:rsid w:val="00837B27"/>
    <w:rsid w:val="008409EC"/>
    <w:rsid w:val="00840A04"/>
    <w:rsid w:val="00843B9A"/>
    <w:rsid w:val="00843D39"/>
    <w:rsid w:val="0084406B"/>
    <w:rsid w:val="0084450D"/>
    <w:rsid w:val="00844C69"/>
    <w:rsid w:val="0084544E"/>
    <w:rsid w:val="00845AFA"/>
    <w:rsid w:val="008461DD"/>
    <w:rsid w:val="0085125E"/>
    <w:rsid w:val="008513E2"/>
    <w:rsid w:val="00851A2D"/>
    <w:rsid w:val="00852846"/>
    <w:rsid w:val="00852DDC"/>
    <w:rsid w:val="008531D2"/>
    <w:rsid w:val="0085378F"/>
    <w:rsid w:val="008546CC"/>
    <w:rsid w:val="00854C76"/>
    <w:rsid w:val="00854D20"/>
    <w:rsid w:val="00854EF0"/>
    <w:rsid w:val="00855D78"/>
    <w:rsid w:val="00860E56"/>
    <w:rsid w:val="008616B5"/>
    <w:rsid w:val="00862F70"/>
    <w:rsid w:val="0086381A"/>
    <w:rsid w:val="00864011"/>
    <w:rsid w:val="008648D9"/>
    <w:rsid w:val="00865945"/>
    <w:rsid w:val="00867B81"/>
    <w:rsid w:val="00867D7F"/>
    <w:rsid w:val="00870A98"/>
    <w:rsid w:val="00870F11"/>
    <w:rsid w:val="008727C7"/>
    <w:rsid w:val="008727CD"/>
    <w:rsid w:val="008733F6"/>
    <w:rsid w:val="0087411F"/>
    <w:rsid w:val="00874AF5"/>
    <w:rsid w:val="00874ED0"/>
    <w:rsid w:val="00875047"/>
    <w:rsid w:val="00875232"/>
    <w:rsid w:val="00875E98"/>
    <w:rsid w:val="008761BA"/>
    <w:rsid w:val="0087650B"/>
    <w:rsid w:val="00876650"/>
    <w:rsid w:val="008767CC"/>
    <w:rsid w:val="008771AE"/>
    <w:rsid w:val="008818F0"/>
    <w:rsid w:val="00882D2F"/>
    <w:rsid w:val="008834FD"/>
    <w:rsid w:val="0088352D"/>
    <w:rsid w:val="00884CE1"/>
    <w:rsid w:val="00884D2F"/>
    <w:rsid w:val="00884F42"/>
    <w:rsid w:val="00885213"/>
    <w:rsid w:val="008859F5"/>
    <w:rsid w:val="00885A7C"/>
    <w:rsid w:val="00885C78"/>
    <w:rsid w:val="00887D28"/>
    <w:rsid w:val="0089065D"/>
    <w:rsid w:val="0089096A"/>
    <w:rsid w:val="00890EB0"/>
    <w:rsid w:val="0089179E"/>
    <w:rsid w:val="00891853"/>
    <w:rsid w:val="00892443"/>
    <w:rsid w:val="008931F2"/>
    <w:rsid w:val="00894456"/>
    <w:rsid w:val="0089454D"/>
    <w:rsid w:val="008A21F8"/>
    <w:rsid w:val="008A4143"/>
    <w:rsid w:val="008A4EF5"/>
    <w:rsid w:val="008A55B0"/>
    <w:rsid w:val="008A5D88"/>
    <w:rsid w:val="008A7639"/>
    <w:rsid w:val="008A7660"/>
    <w:rsid w:val="008B1458"/>
    <w:rsid w:val="008B1C00"/>
    <w:rsid w:val="008B26E5"/>
    <w:rsid w:val="008B60AC"/>
    <w:rsid w:val="008B7AA8"/>
    <w:rsid w:val="008B7F29"/>
    <w:rsid w:val="008B7F3A"/>
    <w:rsid w:val="008C02D4"/>
    <w:rsid w:val="008C07CE"/>
    <w:rsid w:val="008C1665"/>
    <w:rsid w:val="008C1F2B"/>
    <w:rsid w:val="008C210F"/>
    <w:rsid w:val="008C246F"/>
    <w:rsid w:val="008C3E77"/>
    <w:rsid w:val="008C51D4"/>
    <w:rsid w:val="008C5EDC"/>
    <w:rsid w:val="008C5FFB"/>
    <w:rsid w:val="008C6403"/>
    <w:rsid w:val="008D070F"/>
    <w:rsid w:val="008D077D"/>
    <w:rsid w:val="008D0ACC"/>
    <w:rsid w:val="008D2DAB"/>
    <w:rsid w:val="008D349E"/>
    <w:rsid w:val="008D3FF7"/>
    <w:rsid w:val="008D4952"/>
    <w:rsid w:val="008D4BFF"/>
    <w:rsid w:val="008D4F5E"/>
    <w:rsid w:val="008D5E79"/>
    <w:rsid w:val="008D7069"/>
    <w:rsid w:val="008D7190"/>
    <w:rsid w:val="008E12D4"/>
    <w:rsid w:val="008E3A0E"/>
    <w:rsid w:val="008E78DE"/>
    <w:rsid w:val="008F3273"/>
    <w:rsid w:val="008F4083"/>
    <w:rsid w:val="008F607F"/>
    <w:rsid w:val="00901570"/>
    <w:rsid w:val="0090262C"/>
    <w:rsid w:val="00903174"/>
    <w:rsid w:val="00903C20"/>
    <w:rsid w:val="009040EF"/>
    <w:rsid w:val="0090463E"/>
    <w:rsid w:val="00904D03"/>
    <w:rsid w:val="00904F89"/>
    <w:rsid w:val="00906DAE"/>
    <w:rsid w:val="009070FA"/>
    <w:rsid w:val="0091017A"/>
    <w:rsid w:val="009103F2"/>
    <w:rsid w:val="009135A0"/>
    <w:rsid w:val="00913B5D"/>
    <w:rsid w:val="00913B97"/>
    <w:rsid w:val="00915850"/>
    <w:rsid w:val="00915882"/>
    <w:rsid w:val="00920A32"/>
    <w:rsid w:val="00925B1D"/>
    <w:rsid w:val="00926856"/>
    <w:rsid w:val="00927397"/>
    <w:rsid w:val="0093028A"/>
    <w:rsid w:val="009304AD"/>
    <w:rsid w:val="0093200F"/>
    <w:rsid w:val="009323FD"/>
    <w:rsid w:val="00932CD3"/>
    <w:rsid w:val="00932E60"/>
    <w:rsid w:val="00933898"/>
    <w:rsid w:val="009403B9"/>
    <w:rsid w:val="00940414"/>
    <w:rsid w:val="009406CE"/>
    <w:rsid w:val="00941680"/>
    <w:rsid w:val="00941D6F"/>
    <w:rsid w:val="009431AC"/>
    <w:rsid w:val="0094736C"/>
    <w:rsid w:val="00950665"/>
    <w:rsid w:val="009510BE"/>
    <w:rsid w:val="00951F84"/>
    <w:rsid w:val="00952093"/>
    <w:rsid w:val="0095231C"/>
    <w:rsid w:val="00953932"/>
    <w:rsid w:val="00953BFC"/>
    <w:rsid w:val="00954F63"/>
    <w:rsid w:val="00955FE7"/>
    <w:rsid w:val="009565BB"/>
    <w:rsid w:val="00957242"/>
    <w:rsid w:val="0096100C"/>
    <w:rsid w:val="0096129C"/>
    <w:rsid w:val="00962950"/>
    <w:rsid w:val="009647B9"/>
    <w:rsid w:val="00965786"/>
    <w:rsid w:val="00966B15"/>
    <w:rsid w:val="00967441"/>
    <w:rsid w:val="009706AF"/>
    <w:rsid w:val="00970C64"/>
    <w:rsid w:val="009712FF"/>
    <w:rsid w:val="00973463"/>
    <w:rsid w:val="009735F5"/>
    <w:rsid w:val="00973B67"/>
    <w:rsid w:val="00974B5A"/>
    <w:rsid w:val="009750A9"/>
    <w:rsid w:val="009759ED"/>
    <w:rsid w:val="00975D1C"/>
    <w:rsid w:val="00975E15"/>
    <w:rsid w:val="00976FA9"/>
    <w:rsid w:val="00977762"/>
    <w:rsid w:val="00977E49"/>
    <w:rsid w:val="00981278"/>
    <w:rsid w:val="0098249C"/>
    <w:rsid w:val="009833F7"/>
    <w:rsid w:val="00983450"/>
    <w:rsid w:val="00983492"/>
    <w:rsid w:val="0098356A"/>
    <w:rsid w:val="00984E71"/>
    <w:rsid w:val="009859D2"/>
    <w:rsid w:val="0098672C"/>
    <w:rsid w:val="00987484"/>
    <w:rsid w:val="00987D95"/>
    <w:rsid w:val="00987DD8"/>
    <w:rsid w:val="00987DEB"/>
    <w:rsid w:val="00990661"/>
    <w:rsid w:val="0099155E"/>
    <w:rsid w:val="0099172F"/>
    <w:rsid w:val="00991E42"/>
    <w:rsid w:val="009922A2"/>
    <w:rsid w:val="00992892"/>
    <w:rsid w:val="0099358F"/>
    <w:rsid w:val="009936E2"/>
    <w:rsid w:val="00994232"/>
    <w:rsid w:val="009948A7"/>
    <w:rsid w:val="00995858"/>
    <w:rsid w:val="009969CF"/>
    <w:rsid w:val="009A189E"/>
    <w:rsid w:val="009A2A5C"/>
    <w:rsid w:val="009A2AAA"/>
    <w:rsid w:val="009A2D92"/>
    <w:rsid w:val="009A2E9D"/>
    <w:rsid w:val="009A4682"/>
    <w:rsid w:val="009B0B16"/>
    <w:rsid w:val="009B1333"/>
    <w:rsid w:val="009B2EC3"/>
    <w:rsid w:val="009B3889"/>
    <w:rsid w:val="009B3BA5"/>
    <w:rsid w:val="009B4311"/>
    <w:rsid w:val="009B69B2"/>
    <w:rsid w:val="009B6E03"/>
    <w:rsid w:val="009B6FBE"/>
    <w:rsid w:val="009B729A"/>
    <w:rsid w:val="009B7603"/>
    <w:rsid w:val="009B7EFF"/>
    <w:rsid w:val="009C0C8C"/>
    <w:rsid w:val="009C1DE1"/>
    <w:rsid w:val="009C2187"/>
    <w:rsid w:val="009C32F2"/>
    <w:rsid w:val="009C436B"/>
    <w:rsid w:val="009C486E"/>
    <w:rsid w:val="009C537A"/>
    <w:rsid w:val="009C64F6"/>
    <w:rsid w:val="009D0A27"/>
    <w:rsid w:val="009D0B34"/>
    <w:rsid w:val="009D4210"/>
    <w:rsid w:val="009D50DB"/>
    <w:rsid w:val="009D53C4"/>
    <w:rsid w:val="009D5C37"/>
    <w:rsid w:val="009D7FD7"/>
    <w:rsid w:val="009E06FE"/>
    <w:rsid w:val="009E0BBF"/>
    <w:rsid w:val="009E2947"/>
    <w:rsid w:val="009E2C06"/>
    <w:rsid w:val="009E3077"/>
    <w:rsid w:val="009E34B3"/>
    <w:rsid w:val="009E5664"/>
    <w:rsid w:val="009E6534"/>
    <w:rsid w:val="009E74BE"/>
    <w:rsid w:val="009E767C"/>
    <w:rsid w:val="009F14D0"/>
    <w:rsid w:val="009F3262"/>
    <w:rsid w:val="009F3419"/>
    <w:rsid w:val="009F591C"/>
    <w:rsid w:val="009F6260"/>
    <w:rsid w:val="009F629B"/>
    <w:rsid w:val="009F73A0"/>
    <w:rsid w:val="009F7BE9"/>
    <w:rsid w:val="009F7D97"/>
    <w:rsid w:val="00A00F59"/>
    <w:rsid w:val="00A01C84"/>
    <w:rsid w:val="00A02CD1"/>
    <w:rsid w:val="00A047DD"/>
    <w:rsid w:val="00A05A1B"/>
    <w:rsid w:val="00A1154A"/>
    <w:rsid w:val="00A116FE"/>
    <w:rsid w:val="00A11EE0"/>
    <w:rsid w:val="00A12414"/>
    <w:rsid w:val="00A12953"/>
    <w:rsid w:val="00A13728"/>
    <w:rsid w:val="00A13868"/>
    <w:rsid w:val="00A14296"/>
    <w:rsid w:val="00A14590"/>
    <w:rsid w:val="00A14DCF"/>
    <w:rsid w:val="00A15A29"/>
    <w:rsid w:val="00A2095B"/>
    <w:rsid w:val="00A20CC7"/>
    <w:rsid w:val="00A20CE7"/>
    <w:rsid w:val="00A20FAD"/>
    <w:rsid w:val="00A23B21"/>
    <w:rsid w:val="00A25366"/>
    <w:rsid w:val="00A257FE"/>
    <w:rsid w:val="00A25C33"/>
    <w:rsid w:val="00A2755D"/>
    <w:rsid w:val="00A3054C"/>
    <w:rsid w:val="00A3165A"/>
    <w:rsid w:val="00A330D6"/>
    <w:rsid w:val="00A33725"/>
    <w:rsid w:val="00A34818"/>
    <w:rsid w:val="00A351D1"/>
    <w:rsid w:val="00A3568B"/>
    <w:rsid w:val="00A35C61"/>
    <w:rsid w:val="00A375F7"/>
    <w:rsid w:val="00A40685"/>
    <w:rsid w:val="00A407C3"/>
    <w:rsid w:val="00A41BAF"/>
    <w:rsid w:val="00A43685"/>
    <w:rsid w:val="00A4395B"/>
    <w:rsid w:val="00A44050"/>
    <w:rsid w:val="00A44476"/>
    <w:rsid w:val="00A44C6D"/>
    <w:rsid w:val="00A450F0"/>
    <w:rsid w:val="00A45813"/>
    <w:rsid w:val="00A45C6F"/>
    <w:rsid w:val="00A51222"/>
    <w:rsid w:val="00A5221C"/>
    <w:rsid w:val="00A56994"/>
    <w:rsid w:val="00A56AD9"/>
    <w:rsid w:val="00A56D77"/>
    <w:rsid w:val="00A56EE7"/>
    <w:rsid w:val="00A57113"/>
    <w:rsid w:val="00A57511"/>
    <w:rsid w:val="00A6150C"/>
    <w:rsid w:val="00A61A1B"/>
    <w:rsid w:val="00A62B13"/>
    <w:rsid w:val="00A633B8"/>
    <w:rsid w:val="00A63A7E"/>
    <w:rsid w:val="00A64C8A"/>
    <w:rsid w:val="00A64FC3"/>
    <w:rsid w:val="00A66B8A"/>
    <w:rsid w:val="00A67E8C"/>
    <w:rsid w:val="00A708B9"/>
    <w:rsid w:val="00A72BB1"/>
    <w:rsid w:val="00A77355"/>
    <w:rsid w:val="00A82579"/>
    <w:rsid w:val="00A827B5"/>
    <w:rsid w:val="00A82BE8"/>
    <w:rsid w:val="00A835C6"/>
    <w:rsid w:val="00A83FCF"/>
    <w:rsid w:val="00A84742"/>
    <w:rsid w:val="00A84A0F"/>
    <w:rsid w:val="00A861EE"/>
    <w:rsid w:val="00A87681"/>
    <w:rsid w:val="00A87BD3"/>
    <w:rsid w:val="00A907B4"/>
    <w:rsid w:val="00A9186B"/>
    <w:rsid w:val="00A91878"/>
    <w:rsid w:val="00A918BE"/>
    <w:rsid w:val="00A91AA5"/>
    <w:rsid w:val="00A920AC"/>
    <w:rsid w:val="00A928BC"/>
    <w:rsid w:val="00A939C4"/>
    <w:rsid w:val="00A9462E"/>
    <w:rsid w:val="00A95D2B"/>
    <w:rsid w:val="00A95E7A"/>
    <w:rsid w:val="00A95FAE"/>
    <w:rsid w:val="00A96B54"/>
    <w:rsid w:val="00A97F57"/>
    <w:rsid w:val="00A97FC4"/>
    <w:rsid w:val="00AA0CCD"/>
    <w:rsid w:val="00AA138E"/>
    <w:rsid w:val="00AA139E"/>
    <w:rsid w:val="00AA1852"/>
    <w:rsid w:val="00AA2F8B"/>
    <w:rsid w:val="00AA60CE"/>
    <w:rsid w:val="00AA66A7"/>
    <w:rsid w:val="00AA68A5"/>
    <w:rsid w:val="00AA6F72"/>
    <w:rsid w:val="00AB0F24"/>
    <w:rsid w:val="00AB1C7B"/>
    <w:rsid w:val="00AB2934"/>
    <w:rsid w:val="00AB2A06"/>
    <w:rsid w:val="00AB44F8"/>
    <w:rsid w:val="00AB6F47"/>
    <w:rsid w:val="00AB70B9"/>
    <w:rsid w:val="00AB7923"/>
    <w:rsid w:val="00AC0773"/>
    <w:rsid w:val="00AC1239"/>
    <w:rsid w:val="00AC12BD"/>
    <w:rsid w:val="00AC29B6"/>
    <w:rsid w:val="00AC353E"/>
    <w:rsid w:val="00AC380A"/>
    <w:rsid w:val="00AC4A0A"/>
    <w:rsid w:val="00AC647F"/>
    <w:rsid w:val="00AC6C85"/>
    <w:rsid w:val="00AC6DCA"/>
    <w:rsid w:val="00AC7FEE"/>
    <w:rsid w:val="00AD108C"/>
    <w:rsid w:val="00AD22B8"/>
    <w:rsid w:val="00AD32F7"/>
    <w:rsid w:val="00AD3FF9"/>
    <w:rsid w:val="00AD4305"/>
    <w:rsid w:val="00AD6DA0"/>
    <w:rsid w:val="00AE2534"/>
    <w:rsid w:val="00AE3F27"/>
    <w:rsid w:val="00AE4280"/>
    <w:rsid w:val="00AE42E1"/>
    <w:rsid w:val="00AE5375"/>
    <w:rsid w:val="00AE53A1"/>
    <w:rsid w:val="00AE72D0"/>
    <w:rsid w:val="00AF0B19"/>
    <w:rsid w:val="00AF2FCD"/>
    <w:rsid w:val="00AF2FFA"/>
    <w:rsid w:val="00AF4184"/>
    <w:rsid w:val="00AF4B8A"/>
    <w:rsid w:val="00AF4C85"/>
    <w:rsid w:val="00AF6DD9"/>
    <w:rsid w:val="00AF7F28"/>
    <w:rsid w:val="00B0040B"/>
    <w:rsid w:val="00B00B41"/>
    <w:rsid w:val="00B01F40"/>
    <w:rsid w:val="00B024D5"/>
    <w:rsid w:val="00B0275C"/>
    <w:rsid w:val="00B04265"/>
    <w:rsid w:val="00B04B8A"/>
    <w:rsid w:val="00B05784"/>
    <w:rsid w:val="00B05DB0"/>
    <w:rsid w:val="00B064A6"/>
    <w:rsid w:val="00B10BCC"/>
    <w:rsid w:val="00B12C82"/>
    <w:rsid w:val="00B168C3"/>
    <w:rsid w:val="00B1755D"/>
    <w:rsid w:val="00B204C4"/>
    <w:rsid w:val="00B20B2D"/>
    <w:rsid w:val="00B20DCA"/>
    <w:rsid w:val="00B21134"/>
    <w:rsid w:val="00B222EE"/>
    <w:rsid w:val="00B23142"/>
    <w:rsid w:val="00B23FD2"/>
    <w:rsid w:val="00B24C9C"/>
    <w:rsid w:val="00B256B4"/>
    <w:rsid w:val="00B25CF5"/>
    <w:rsid w:val="00B260AF"/>
    <w:rsid w:val="00B2641F"/>
    <w:rsid w:val="00B27366"/>
    <w:rsid w:val="00B27641"/>
    <w:rsid w:val="00B30A29"/>
    <w:rsid w:val="00B30FE8"/>
    <w:rsid w:val="00B31BBD"/>
    <w:rsid w:val="00B31EE4"/>
    <w:rsid w:val="00B3237D"/>
    <w:rsid w:val="00B33372"/>
    <w:rsid w:val="00B339B8"/>
    <w:rsid w:val="00B33FBA"/>
    <w:rsid w:val="00B3494A"/>
    <w:rsid w:val="00B35B13"/>
    <w:rsid w:val="00B360A4"/>
    <w:rsid w:val="00B36129"/>
    <w:rsid w:val="00B363B3"/>
    <w:rsid w:val="00B36A85"/>
    <w:rsid w:val="00B37903"/>
    <w:rsid w:val="00B37FFC"/>
    <w:rsid w:val="00B409A2"/>
    <w:rsid w:val="00B40E72"/>
    <w:rsid w:val="00B410EE"/>
    <w:rsid w:val="00B45EAE"/>
    <w:rsid w:val="00B4608C"/>
    <w:rsid w:val="00B46360"/>
    <w:rsid w:val="00B46B7A"/>
    <w:rsid w:val="00B511F5"/>
    <w:rsid w:val="00B515B4"/>
    <w:rsid w:val="00B52E0F"/>
    <w:rsid w:val="00B52F42"/>
    <w:rsid w:val="00B5355C"/>
    <w:rsid w:val="00B542CF"/>
    <w:rsid w:val="00B56000"/>
    <w:rsid w:val="00B57933"/>
    <w:rsid w:val="00B60A3B"/>
    <w:rsid w:val="00B61260"/>
    <w:rsid w:val="00B629B9"/>
    <w:rsid w:val="00B63E9C"/>
    <w:rsid w:val="00B64128"/>
    <w:rsid w:val="00B641EF"/>
    <w:rsid w:val="00B664FB"/>
    <w:rsid w:val="00B704C8"/>
    <w:rsid w:val="00B71F97"/>
    <w:rsid w:val="00B72195"/>
    <w:rsid w:val="00B73479"/>
    <w:rsid w:val="00B73545"/>
    <w:rsid w:val="00B7396F"/>
    <w:rsid w:val="00B73C40"/>
    <w:rsid w:val="00B741F6"/>
    <w:rsid w:val="00B742EE"/>
    <w:rsid w:val="00B74537"/>
    <w:rsid w:val="00B757A6"/>
    <w:rsid w:val="00B7595A"/>
    <w:rsid w:val="00B75A5A"/>
    <w:rsid w:val="00B80271"/>
    <w:rsid w:val="00B80756"/>
    <w:rsid w:val="00B8094F"/>
    <w:rsid w:val="00B854AA"/>
    <w:rsid w:val="00B85CE1"/>
    <w:rsid w:val="00B85DD3"/>
    <w:rsid w:val="00B86BBA"/>
    <w:rsid w:val="00B90844"/>
    <w:rsid w:val="00B91AF8"/>
    <w:rsid w:val="00B939AB"/>
    <w:rsid w:val="00B94B46"/>
    <w:rsid w:val="00B951DB"/>
    <w:rsid w:val="00B95601"/>
    <w:rsid w:val="00B96230"/>
    <w:rsid w:val="00B970D4"/>
    <w:rsid w:val="00BA1664"/>
    <w:rsid w:val="00BA1A06"/>
    <w:rsid w:val="00BA2ECF"/>
    <w:rsid w:val="00BA3EC9"/>
    <w:rsid w:val="00BA3F4E"/>
    <w:rsid w:val="00BA4942"/>
    <w:rsid w:val="00BA5568"/>
    <w:rsid w:val="00BA5759"/>
    <w:rsid w:val="00BA6009"/>
    <w:rsid w:val="00BA6975"/>
    <w:rsid w:val="00BB03AE"/>
    <w:rsid w:val="00BB1243"/>
    <w:rsid w:val="00BB21D6"/>
    <w:rsid w:val="00BB492F"/>
    <w:rsid w:val="00BB4EBB"/>
    <w:rsid w:val="00BB797E"/>
    <w:rsid w:val="00BB7D97"/>
    <w:rsid w:val="00BC06E5"/>
    <w:rsid w:val="00BC098E"/>
    <w:rsid w:val="00BC1032"/>
    <w:rsid w:val="00BC196D"/>
    <w:rsid w:val="00BC225B"/>
    <w:rsid w:val="00BC2F9D"/>
    <w:rsid w:val="00BC33EA"/>
    <w:rsid w:val="00BC38DE"/>
    <w:rsid w:val="00BC4AB5"/>
    <w:rsid w:val="00BC5865"/>
    <w:rsid w:val="00BC5DB9"/>
    <w:rsid w:val="00BC7FED"/>
    <w:rsid w:val="00BD1784"/>
    <w:rsid w:val="00BD3A97"/>
    <w:rsid w:val="00BD53A9"/>
    <w:rsid w:val="00BD6C24"/>
    <w:rsid w:val="00BD7894"/>
    <w:rsid w:val="00BE0591"/>
    <w:rsid w:val="00BE0B8E"/>
    <w:rsid w:val="00BE11C0"/>
    <w:rsid w:val="00BE2221"/>
    <w:rsid w:val="00BE2B81"/>
    <w:rsid w:val="00BE33E5"/>
    <w:rsid w:val="00BE3711"/>
    <w:rsid w:val="00BE40A0"/>
    <w:rsid w:val="00BE41A2"/>
    <w:rsid w:val="00BE4429"/>
    <w:rsid w:val="00BE55A9"/>
    <w:rsid w:val="00BE642C"/>
    <w:rsid w:val="00BE6D08"/>
    <w:rsid w:val="00BE7168"/>
    <w:rsid w:val="00BE77F9"/>
    <w:rsid w:val="00BF0268"/>
    <w:rsid w:val="00BF0F79"/>
    <w:rsid w:val="00BF1096"/>
    <w:rsid w:val="00BF12F4"/>
    <w:rsid w:val="00BF1385"/>
    <w:rsid w:val="00BF13E0"/>
    <w:rsid w:val="00BF2CD5"/>
    <w:rsid w:val="00BF473D"/>
    <w:rsid w:val="00BF5197"/>
    <w:rsid w:val="00BF54E8"/>
    <w:rsid w:val="00C00295"/>
    <w:rsid w:val="00C01617"/>
    <w:rsid w:val="00C01A66"/>
    <w:rsid w:val="00C01CCD"/>
    <w:rsid w:val="00C020A1"/>
    <w:rsid w:val="00C02592"/>
    <w:rsid w:val="00C02CB9"/>
    <w:rsid w:val="00C02DAE"/>
    <w:rsid w:val="00C03534"/>
    <w:rsid w:val="00C03601"/>
    <w:rsid w:val="00C03D70"/>
    <w:rsid w:val="00C04248"/>
    <w:rsid w:val="00C04422"/>
    <w:rsid w:val="00C05224"/>
    <w:rsid w:val="00C05E1B"/>
    <w:rsid w:val="00C066D3"/>
    <w:rsid w:val="00C11DBE"/>
    <w:rsid w:val="00C11E36"/>
    <w:rsid w:val="00C12BB5"/>
    <w:rsid w:val="00C134F6"/>
    <w:rsid w:val="00C13D3C"/>
    <w:rsid w:val="00C14581"/>
    <w:rsid w:val="00C15376"/>
    <w:rsid w:val="00C15729"/>
    <w:rsid w:val="00C15A02"/>
    <w:rsid w:val="00C17462"/>
    <w:rsid w:val="00C179D4"/>
    <w:rsid w:val="00C2074A"/>
    <w:rsid w:val="00C21A8F"/>
    <w:rsid w:val="00C248F7"/>
    <w:rsid w:val="00C263BB"/>
    <w:rsid w:val="00C26862"/>
    <w:rsid w:val="00C26F19"/>
    <w:rsid w:val="00C2765D"/>
    <w:rsid w:val="00C279FE"/>
    <w:rsid w:val="00C3207D"/>
    <w:rsid w:val="00C32119"/>
    <w:rsid w:val="00C329C0"/>
    <w:rsid w:val="00C33D94"/>
    <w:rsid w:val="00C341A6"/>
    <w:rsid w:val="00C36F03"/>
    <w:rsid w:val="00C407C3"/>
    <w:rsid w:val="00C41072"/>
    <w:rsid w:val="00C41E4D"/>
    <w:rsid w:val="00C41F89"/>
    <w:rsid w:val="00C4301B"/>
    <w:rsid w:val="00C4395B"/>
    <w:rsid w:val="00C43BD6"/>
    <w:rsid w:val="00C4512C"/>
    <w:rsid w:val="00C45905"/>
    <w:rsid w:val="00C46721"/>
    <w:rsid w:val="00C46A73"/>
    <w:rsid w:val="00C503BA"/>
    <w:rsid w:val="00C504F8"/>
    <w:rsid w:val="00C5053C"/>
    <w:rsid w:val="00C50E62"/>
    <w:rsid w:val="00C515AF"/>
    <w:rsid w:val="00C51C9F"/>
    <w:rsid w:val="00C53149"/>
    <w:rsid w:val="00C53262"/>
    <w:rsid w:val="00C53754"/>
    <w:rsid w:val="00C5393E"/>
    <w:rsid w:val="00C5408E"/>
    <w:rsid w:val="00C54B06"/>
    <w:rsid w:val="00C55AA8"/>
    <w:rsid w:val="00C5667E"/>
    <w:rsid w:val="00C56AFC"/>
    <w:rsid w:val="00C56D95"/>
    <w:rsid w:val="00C5716F"/>
    <w:rsid w:val="00C57B22"/>
    <w:rsid w:val="00C60236"/>
    <w:rsid w:val="00C61985"/>
    <w:rsid w:val="00C62121"/>
    <w:rsid w:val="00C62A23"/>
    <w:rsid w:val="00C62AB8"/>
    <w:rsid w:val="00C62DBF"/>
    <w:rsid w:val="00C6393E"/>
    <w:rsid w:val="00C64828"/>
    <w:rsid w:val="00C66287"/>
    <w:rsid w:val="00C665C6"/>
    <w:rsid w:val="00C66678"/>
    <w:rsid w:val="00C67C5C"/>
    <w:rsid w:val="00C7013F"/>
    <w:rsid w:val="00C70C4B"/>
    <w:rsid w:val="00C72125"/>
    <w:rsid w:val="00C73FF5"/>
    <w:rsid w:val="00C74680"/>
    <w:rsid w:val="00C74D96"/>
    <w:rsid w:val="00C76560"/>
    <w:rsid w:val="00C76F6F"/>
    <w:rsid w:val="00C778A4"/>
    <w:rsid w:val="00C802B3"/>
    <w:rsid w:val="00C80CA9"/>
    <w:rsid w:val="00C81EF5"/>
    <w:rsid w:val="00C8267B"/>
    <w:rsid w:val="00C82831"/>
    <w:rsid w:val="00C83202"/>
    <w:rsid w:val="00C83620"/>
    <w:rsid w:val="00C83D6C"/>
    <w:rsid w:val="00C845FC"/>
    <w:rsid w:val="00C846FA"/>
    <w:rsid w:val="00C8492E"/>
    <w:rsid w:val="00C8532E"/>
    <w:rsid w:val="00C85C98"/>
    <w:rsid w:val="00C8707B"/>
    <w:rsid w:val="00C873D4"/>
    <w:rsid w:val="00C87D9C"/>
    <w:rsid w:val="00C907E0"/>
    <w:rsid w:val="00C91917"/>
    <w:rsid w:val="00C92AF3"/>
    <w:rsid w:val="00C93396"/>
    <w:rsid w:val="00C93AA0"/>
    <w:rsid w:val="00C93E62"/>
    <w:rsid w:val="00C965A2"/>
    <w:rsid w:val="00C96CA2"/>
    <w:rsid w:val="00CA010B"/>
    <w:rsid w:val="00CA19A1"/>
    <w:rsid w:val="00CA3575"/>
    <w:rsid w:val="00CA58FC"/>
    <w:rsid w:val="00CA5B52"/>
    <w:rsid w:val="00CA7E5B"/>
    <w:rsid w:val="00CB01AF"/>
    <w:rsid w:val="00CB06DF"/>
    <w:rsid w:val="00CB1365"/>
    <w:rsid w:val="00CB1482"/>
    <w:rsid w:val="00CB4246"/>
    <w:rsid w:val="00CB4A22"/>
    <w:rsid w:val="00CB520E"/>
    <w:rsid w:val="00CB5CB2"/>
    <w:rsid w:val="00CB7056"/>
    <w:rsid w:val="00CB7B37"/>
    <w:rsid w:val="00CC1A80"/>
    <w:rsid w:val="00CC1BA4"/>
    <w:rsid w:val="00CC52DE"/>
    <w:rsid w:val="00CD042C"/>
    <w:rsid w:val="00CD1788"/>
    <w:rsid w:val="00CD1BFC"/>
    <w:rsid w:val="00CD249C"/>
    <w:rsid w:val="00CD2DB9"/>
    <w:rsid w:val="00CD3C36"/>
    <w:rsid w:val="00CD45AA"/>
    <w:rsid w:val="00CD50B5"/>
    <w:rsid w:val="00CD5341"/>
    <w:rsid w:val="00CD6A02"/>
    <w:rsid w:val="00CD7DB6"/>
    <w:rsid w:val="00CE2133"/>
    <w:rsid w:val="00CE252D"/>
    <w:rsid w:val="00CE33F7"/>
    <w:rsid w:val="00CE38A1"/>
    <w:rsid w:val="00CE6D17"/>
    <w:rsid w:val="00CE6E5C"/>
    <w:rsid w:val="00CE7F58"/>
    <w:rsid w:val="00CE7F99"/>
    <w:rsid w:val="00CF0519"/>
    <w:rsid w:val="00CF07BE"/>
    <w:rsid w:val="00CF0C99"/>
    <w:rsid w:val="00CF0D62"/>
    <w:rsid w:val="00CF191B"/>
    <w:rsid w:val="00CF3012"/>
    <w:rsid w:val="00CF39D2"/>
    <w:rsid w:val="00CF3BD0"/>
    <w:rsid w:val="00CF5F58"/>
    <w:rsid w:val="00CF5FA5"/>
    <w:rsid w:val="00CF6189"/>
    <w:rsid w:val="00CF7025"/>
    <w:rsid w:val="00CF7122"/>
    <w:rsid w:val="00CF7ACC"/>
    <w:rsid w:val="00D00BE4"/>
    <w:rsid w:val="00D01422"/>
    <w:rsid w:val="00D01669"/>
    <w:rsid w:val="00D048F3"/>
    <w:rsid w:val="00D054E5"/>
    <w:rsid w:val="00D06ECE"/>
    <w:rsid w:val="00D07660"/>
    <w:rsid w:val="00D1597C"/>
    <w:rsid w:val="00D15CD8"/>
    <w:rsid w:val="00D22CC0"/>
    <w:rsid w:val="00D22E0F"/>
    <w:rsid w:val="00D23C4D"/>
    <w:rsid w:val="00D254A9"/>
    <w:rsid w:val="00D257ED"/>
    <w:rsid w:val="00D25898"/>
    <w:rsid w:val="00D25B82"/>
    <w:rsid w:val="00D2651A"/>
    <w:rsid w:val="00D27060"/>
    <w:rsid w:val="00D27459"/>
    <w:rsid w:val="00D31CD3"/>
    <w:rsid w:val="00D31FCC"/>
    <w:rsid w:val="00D321B2"/>
    <w:rsid w:val="00D32A64"/>
    <w:rsid w:val="00D334F2"/>
    <w:rsid w:val="00D34ADD"/>
    <w:rsid w:val="00D40C6B"/>
    <w:rsid w:val="00D410D5"/>
    <w:rsid w:val="00D410D8"/>
    <w:rsid w:val="00D42357"/>
    <w:rsid w:val="00D4312A"/>
    <w:rsid w:val="00D43559"/>
    <w:rsid w:val="00D43707"/>
    <w:rsid w:val="00D438B2"/>
    <w:rsid w:val="00D43B83"/>
    <w:rsid w:val="00D43E73"/>
    <w:rsid w:val="00D441E3"/>
    <w:rsid w:val="00D4496B"/>
    <w:rsid w:val="00D44991"/>
    <w:rsid w:val="00D452E2"/>
    <w:rsid w:val="00D4573A"/>
    <w:rsid w:val="00D459F5"/>
    <w:rsid w:val="00D47DE0"/>
    <w:rsid w:val="00D47E11"/>
    <w:rsid w:val="00D509FF"/>
    <w:rsid w:val="00D50F17"/>
    <w:rsid w:val="00D522B5"/>
    <w:rsid w:val="00D523FB"/>
    <w:rsid w:val="00D53613"/>
    <w:rsid w:val="00D547E6"/>
    <w:rsid w:val="00D54974"/>
    <w:rsid w:val="00D54F3C"/>
    <w:rsid w:val="00D56651"/>
    <w:rsid w:val="00D577B5"/>
    <w:rsid w:val="00D57DAB"/>
    <w:rsid w:val="00D600FD"/>
    <w:rsid w:val="00D6191E"/>
    <w:rsid w:val="00D6247D"/>
    <w:rsid w:val="00D62577"/>
    <w:rsid w:val="00D64662"/>
    <w:rsid w:val="00D64F04"/>
    <w:rsid w:val="00D66246"/>
    <w:rsid w:val="00D6632D"/>
    <w:rsid w:val="00D66437"/>
    <w:rsid w:val="00D66D60"/>
    <w:rsid w:val="00D67C22"/>
    <w:rsid w:val="00D70531"/>
    <w:rsid w:val="00D7345C"/>
    <w:rsid w:val="00D75812"/>
    <w:rsid w:val="00D75D1B"/>
    <w:rsid w:val="00D804E6"/>
    <w:rsid w:val="00D809F4"/>
    <w:rsid w:val="00D81A89"/>
    <w:rsid w:val="00D81B8D"/>
    <w:rsid w:val="00D82B12"/>
    <w:rsid w:val="00D83D67"/>
    <w:rsid w:val="00D83D8D"/>
    <w:rsid w:val="00D83EBD"/>
    <w:rsid w:val="00D83FF4"/>
    <w:rsid w:val="00D85541"/>
    <w:rsid w:val="00D8557B"/>
    <w:rsid w:val="00D90240"/>
    <w:rsid w:val="00D90F78"/>
    <w:rsid w:val="00D91FF8"/>
    <w:rsid w:val="00D922B6"/>
    <w:rsid w:val="00D9237F"/>
    <w:rsid w:val="00D945EA"/>
    <w:rsid w:val="00D9492F"/>
    <w:rsid w:val="00D959E3"/>
    <w:rsid w:val="00D95D7F"/>
    <w:rsid w:val="00D969AD"/>
    <w:rsid w:val="00D972C3"/>
    <w:rsid w:val="00DA0771"/>
    <w:rsid w:val="00DA0CB3"/>
    <w:rsid w:val="00DA0DF4"/>
    <w:rsid w:val="00DA1F3C"/>
    <w:rsid w:val="00DA33A1"/>
    <w:rsid w:val="00DA3C37"/>
    <w:rsid w:val="00DA573C"/>
    <w:rsid w:val="00DA5A3F"/>
    <w:rsid w:val="00DA6052"/>
    <w:rsid w:val="00DA6058"/>
    <w:rsid w:val="00DA6449"/>
    <w:rsid w:val="00DA652B"/>
    <w:rsid w:val="00DA7BDD"/>
    <w:rsid w:val="00DB12B2"/>
    <w:rsid w:val="00DB1A3F"/>
    <w:rsid w:val="00DB36FA"/>
    <w:rsid w:val="00DB6CEF"/>
    <w:rsid w:val="00DC0060"/>
    <w:rsid w:val="00DC311F"/>
    <w:rsid w:val="00DC3BF3"/>
    <w:rsid w:val="00DC3F1D"/>
    <w:rsid w:val="00DC4141"/>
    <w:rsid w:val="00DC5CA6"/>
    <w:rsid w:val="00DC5FF9"/>
    <w:rsid w:val="00DC69A3"/>
    <w:rsid w:val="00DC6B17"/>
    <w:rsid w:val="00DC7331"/>
    <w:rsid w:val="00DC75EF"/>
    <w:rsid w:val="00DD0AE4"/>
    <w:rsid w:val="00DD2EEB"/>
    <w:rsid w:val="00DD46AA"/>
    <w:rsid w:val="00DD5DC8"/>
    <w:rsid w:val="00DD5FFE"/>
    <w:rsid w:val="00DD7C3B"/>
    <w:rsid w:val="00DE0C42"/>
    <w:rsid w:val="00DE1ACE"/>
    <w:rsid w:val="00DE3CD3"/>
    <w:rsid w:val="00DE3EA9"/>
    <w:rsid w:val="00DE512A"/>
    <w:rsid w:val="00DE70C4"/>
    <w:rsid w:val="00DE76A5"/>
    <w:rsid w:val="00DE77D0"/>
    <w:rsid w:val="00DE7EEE"/>
    <w:rsid w:val="00DF0DDD"/>
    <w:rsid w:val="00DF10BF"/>
    <w:rsid w:val="00DF328A"/>
    <w:rsid w:val="00DF3377"/>
    <w:rsid w:val="00DF3C41"/>
    <w:rsid w:val="00DF4916"/>
    <w:rsid w:val="00DF4AD0"/>
    <w:rsid w:val="00DF4DD4"/>
    <w:rsid w:val="00DF657A"/>
    <w:rsid w:val="00DF6AB9"/>
    <w:rsid w:val="00DF7316"/>
    <w:rsid w:val="00DF7E91"/>
    <w:rsid w:val="00E00495"/>
    <w:rsid w:val="00E007A2"/>
    <w:rsid w:val="00E011D5"/>
    <w:rsid w:val="00E01A27"/>
    <w:rsid w:val="00E02E8C"/>
    <w:rsid w:val="00E04084"/>
    <w:rsid w:val="00E04F3C"/>
    <w:rsid w:val="00E05558"/>
    <w:rsid w:val="00E07B25"/>
    <w:rsid w:val="00E108FB"/>
    <w:rsid w:val="00E11AF0"/>
    <w:rsid w:val="00E123A9"/>
    <w:rsid w:val="00E127F9"/>
    <w:rsid w:val="00E1317F"/>
    <w:rsid w:val="00E13365"/>
    <w:rsid w:val="00E145A1"/>
    <w:rsid w:val="00E16001"/>
    <w:rsid w:val="00E161D7"/>
    <w:rsid w:val="00E16D18"/>
    <w:rsid w:val="00E17287"/>
    <w:rsid w:val="00E23D4C"/>
    <w:rsid w:val="00E2402C"/>
    <w:rsid w:val="00E244C3"/>
    <w:rsid w:val="00E24E74"/>
    <w:rsid w:val="00E25979"/>
    <w:rsid w:val="00E27069"/>
    <w:rsid w:val="00E272B3"/>
    <w:rsid w:val="00E2788C"/>
    <w:rsid w:val="00E3011A"/>
    <w:rsid w:val="00E32052"/>
    <w:rsid w:val="00E321A9"/>
    <w:rsid w:val="00E329E1"/>
    <w:rsid w:val="00E33383"/>
    <w:rsid w:val="00E34060"/>
    <w:rsid w:val="00E34517"/>
    <w:rsid w:val="00E417B9"/>
    <w:rsid w:val="00E41B93"/>
    <w:rsid w:val="00E4360D"/>
    <w:rsid w:val="00E4439A"/>
    <w:rsid w:val="00E50730"/>
    <w:rsid w:val="00E51AE7"/>
    <w:rsid w:val="00E51C51"/>
    <w:rsid w:val="00E52DAE"/>
    <w:rsid w:val="00E55041"/>
    <w:rsid w:val="00E55EAA"/>
    <w:rsid w:val="00E5686E"/>
    <w:rsid w:val="00E61BBB"/>
    <w:rsid w:val="00E62C6C"/>
    <w:rsid w:val="00E63DDF"/>
    <w:rsid w:val="00E645EB"/>
    <w:rsid w:val="00E670EA"/>
    <w:rsid w:val="00E67B57"/>
    <w:rsid w:val="00E70661"/>
    <w:rsid w:val="00E72A32"/>
    <w:rsid w:val="00E72DED"/>
    <w:rsid w:val="00E736D9"/>
    <w:rsid w:val="00E743CE"/>
    <w:rsid w:val="00E7609F"/>
    <w:rsid w:val="00E76157"/>
    <w:rsid w:val="00E76342"/>
    <w:rsid w:val="00E76554"/>
    <w:rsid w:val="00E775A4"/>
    <w:rsid w:val="00E77954"/>
    <w:rsid w:val="00E8076D"/>
    <w:rsid w:val="00E816FC"/>
    <w:rsid w:val="00E8229B"/>
    <w:rsid w:val="00E82FFD"/>
    <w:rsid w:val="00E84707"/>
    <w:rsid w:val="00E85534"/>
    <w:rsid w:val="00E8569C"/>
    <w:rsid w:val="00E863BD"/>
    <w:rsid w:val="00E8715E"/>
    <w:rsid w:val="00E90D9A"/>
    <w:rsid w:val="00E914EA"/>
    <w:rsid w:val="00E923CB"/>
    <w:rsid w:val="00E93752"/>
    <w:rsid w:val="00E93766"/>
    <w:rsid w:val="00E94399"/>
    <w:rsid w:val="00E943B9"/>
    <w:rsid w:val="00E94565"/>
    <w:rsid w:val="00E94F6B"/>
    <w:rsid w:val="00E9584F"/>
    <w:rsid w:val="00E95957"/>
    <w:rsid w:val="00E96039"/>
    <w:rsid w:val="00E9647C"/>
    <w:rsid w:val="00E97000"/>
    <w:rsid w:val="00E97D7A"/>
    <w:rsid w:val="00EA0154"/>
    <w:rsid w:val="00EA1ADF"/>
    <w:rsid w:val="00EA2669"/>
    <w:rsid w:val="00EA365C"/>
    <w:rsid w:val="00EA37D9"/>
    <w:rsid w:val="00EA3B40"/>
    <w:rsid w:val="00EA3E63"/>
    <w:rsid w:val="00EA507B"/>
    <w:rsid w:val="00EA56FF"/>
    <w:rsid w:val="00EA5D7D"/>
    <w:rsid w:val="00EB0B66"/>
    <w:rsid w:val="00EB105E"/>
    <w:rsid w:val="00EB1102"/>
    <w:rsid w:val="00EB130E"/>
    <w:rsid w:val="00EB1DFC"/>
    <w:rsid w:val="00EB2616"/>
    <w:rsid w:val="00EB2866"/>
    <w:rsid w:val="00EB2FD8"/>
    <w:rsid w:val="00EB307C"/>
    <w:rsid w:val="00EB38D1"/>
    <w:rsid w:val="00EB39C7"/>
    <w:rsid w:val="00EB3AD5"/>
    <w:rsid w:val="00EB4394"/>
    <w:rsid w:val="00EB457E"/>
    <w:rsid w:val="00EB475D"/>
    <w:rsid w:val="00EB4C92"/>
    <w:rsid w:val="00EB4F0E"/>
    <w:rsid w:val="00EB5C00"/>
    <w:rsid w:val="00EC08D6"/>
    <w:rsid w:val="00EC12FF"/>
    <w:rsid w:val="00EC21EB"/>
    <w:rsid w:val="00EC2296"/>
    <w:rsid w:val="00EC2ADF"/>
    <w:rsid w:val="00EC2AF2"/>
    <w:rsid w:val="00EC32FC"/>
    <w:rsid w:val="00EC3BAB"/>
    <w:rsid w:val="00EC5A53"/>
    <w:rsid w:val="00EC5EAD"/>
    <w:rsid w:val="00EC656E"/>
    <w:rsid w:val="00ED04EF"/>
    <w:rsid w:val="00ED0AEB"/>
    <w:rsid w:val="00ED1802"/>
    <w:rsid w:val="00ED1EBB"/>
    <w:rsid w:val="00ED21DF"/>
    <w:rsid w:val="00ED330C"/>
    <w:rsid w:val="00ED5AC5"/>
    <w:rsid w:val="00ED5E36"/>
    <w:rsid w:val="00ED6E0D"/>
    <w:rsid w:val="00ED7667"/>
    <w:rsid w:val="00ED7722"/>
    <w:rsid w:val="00ED78B4"/>
    <w:rsid w:val="00ED7DED"/>
    <w:rsid w:val="00EE05EC"/>
    <w:rsid w:val="00EE07A5"/>
    <w:rsid w:val="00EE1DF6"/>
    <w:rsid w:val="00EE29D8"/>
    <w:rsid w:val="00EE4CC6"/>
    <w:rsid w:val="00EE53C3"/>
    <w:rsid w:val="00EE55E9"/>
    <w:rsid w:val="00EE635E"/>
    <w:rsid w:val="00EE6862"/>
    <w:rsid w:val="00EF1976"/>
    <w:rsid w:val="00EF44B2"/>
    <w:rsid w:val="00EF5FA1"/>
    <w:rsid w:val="00EF68DB"/>
    <w:rsid w:val="00F00399"/>
    <w:rsid w:val="00F00DED"/>
    <w:rsid w:val="00F01DD4"/>
    <w:rsid w:val="00F0227E"/>
    <w:rsid w:val="00F0293A"/>
    <w:rsid w:val="00F054E5"/>
    <w:rsid w:val="00F05D86"/>
    <w:rsid w:val="00F05E01"/>
    <w:rsid w:val="00F06952"/>
    <w:rsid w:val="00F06A71"/>
    <w:rsid w:val="00F07C2A"/>
    <w:rsid w:val="00F10909"/>
    <w:rsid w:val="00F1093D"/>
    <w:rsid w:val="00F11188"/>
    <w:rsid w:val="00F11EF2"/>
    <w:rsid w:val="00F12258"/>
    <w:rsid w:val="00F12616"/>
    <w:rsid w:val="00F13A1C"/>
    <w:rsid w:val="00F151AF"/>
    <w:rsid w:val="00F15935"/>
    <w:rsid w:val="00F17406"/>
    <w:rsid w:val="00F179C0"/>
    <w:rsid w:val="00F20770"/>
    <w:rsid w:val="00F217B4"/>
    <w:rsid w:val="00F226D9"/>
    <w:rsid w:val="00F2293E"/>
    <w:rsid w:val="00F22F6F"/>
    <w:rsid w:val="00F241F5"/>
    <w:rsid w:val="00F24385"/>
    <w:rsid w:val="00F24468"/>
    <w:rsid w:val="00F24AE9"/>
    <w:rsid w:val="00F2569E"/>
    <w:rsid w:val="00F25A3E"/>
    <w:rsid w:val="00F25E87"/>
    <w:rsid w:val="00F2600B"/>
    <w:rsid w:val="00F26569"/>
    <w:rsid w:val="00F27B38"/>
    <w:rsid w:val="00F300CC"/>
    <w:rsid w:val="00F31547"/>
    <w:rsid w:val="00F31AA5"/>
    <w:rsid w:val="00F32CDD"/>
    <w:rsid w:val="00F35554"/>
    <w:rsid w:val="00F359FD"/>
    <w:rsid w:val="00F3712D"/>
    <w:rsid w:val="00F3754A"/>
    <w:rsid w:val="00F4021F"/>
    <w:rsid w:val="00F40266"/>
    <w:rsid w:val="00F407DD"/>
    <w:rsid w:val="00F416C4"/>
    <w:rsid w:val="00F419CB"/>
    <w:rsid w:val="00F41D87"/>
    <w:rsid w:val="00F41FB9"/>
    <w:rsid w:val="00F4246C"/>
    <w:rsid w:val="00F43BF9"/>
    <w:rsid w:val="00F44F08"/>
    <w:rsid w:val="00F45ADB"/>
    <w:rsid w:val="00F46394"/>
    <w:rsid w:val="00F464C2"/>
    <w:rsid w:val="00F4677C"/>
    <w:rsid w:val="00F50823"/>
    <w:rsid w:val="00F5137A"/>
    <w:rsid w:val="00F5288D"/>
    <w:rsid w:val="00F52D42"/>
    <w:rsid w:val="00F53206"/>
    <w:rsid w:val="00F56F97"/>
    <w:rsid w:val="00F60F7B"/>
    <w:rsid w:val="00F61323"/>
    <w:rsid w:val="00F6178B"/>
    <w:rsid w:val="00F621B4"/>
    <w:rsid w:val="00F6322B"/>
    <w:rsid w:val="00F63FD2"/>
    <w:rsid w:val="00F65723"/>
    <w:rsid w:val="00F67713"/>
    <w:rsid w:val="00F67C2C"/>
    <w:rsid w:val="00F67EFC"/>
    <w:rsid w:val="00F70163"/>
    <w:rsid w:val="00F7072A"/>
    <w:rsid w:val="00F71809"/>
    <w:rsid w:val="00F743C5"/>
    <w:rsid w:val="00F749E6"/>
    <w:rsid w:val="00F75DC3"/>
    <w:rsid w:val="00F7604B"/>
    <w:rsid w:val="00F7712D"/>
    <w:rsid w:val="00F779A5"/>
    <w:rsid w:val="00F77BA7"/>
    <w:rsid w:val="00F80A96"/>
    <w:rsid w:val="00F812FD"/>
    <w:rsid w:val="00F82176"/>
    <w:rsid w:val="00F82C0B"/>
    <w:rsid w:val="00F84349"/>
    <w:rsid w:val="00F86A61"/>
    <w:rsid w:val="00F90113"/>
    <w:rsid w:val="00F91C18"/>
    <w:rsid w:val="00F91FF5"/>
    <w:rsid w:val="00F92156"/>
    <w:rsid w:val="00F9257B"/>
    <w:rsid w:val="00F92A55"/>
    <w:rsid w:val="00F939AC"/>
    <w:rsid w:val="00F93FD9"/>
    <w:rsid w:val="00F94934"/>
    <w:rsid w:val="00F9624C"/>
    <w:rsid w:val="00F967ED"/>
    <w:rsid w:val="00FA15FC"/>
    <w:rsid w:val="00FA165A"/>
    <w:rsid w:val="00FA1ECD"/>
    <w:rsid w:val="00FA27E5"/>
    <w:rsid w:val="00FA2DB4"/>
    <w:rsid w:val="00FA34A9"/>
    <w:rsid w:val="00FA3B68"/>
    <w:rsid w:val="00FA4FCD"/>
    <w:rsid w:val="00FA7C1A"/>
    <w:rsid w:val="00FB081F"/>
    <w:rsid w:val="00FB0883"/>
    <w:rsid w:val="00FB0FDB"/>
    <w:rsid w:val="00FB154B"/>
    <w:rsid w:val="00FB161F"/>
    <w:rsid w:val="00FB1CB2"/>
    <w:rsid w:val="00FB37D2"/>
    <w:rsid w:val="00FB69B0"/>
    <w:rsid w:val="00FC3C06"/>
    <w:rsid w:val="00FC4133"/>
    <w:rsid w:val="00FC47F5"/>
    <w:rsid w:val="00FC53F1"/>
    <w:rsid w:val="00FC62CA"/>
    <w:rsid w:val="00FC7510"/>
    <w:rsid w:val="00FD0099"/>
    <w:rsid w:val="00FD08F6"/>
    <w:rsid w:val="00FD0BBA"/>
    <w:rsid w:val="00FD2796"/>
    <w:rsid w:val="00FD30DA"/>
    <w:rsid w:val="00FD3C87"/>
    <w:rsid w:val="00FD46FF"/>
    <w:rsid w:val="00FD622B"/>
    <w:rsid w:val="00FD6E61"/>
    <w:rsid w:val="00FD7792"/>
    <w:rsid w:val="00FD77E7"/>
    <w:rsid w:val="00FE1917"/>
    <w:rsid w:val="00FE23E7"/>
    <w:rsid w:val="00FE3DA2"/>
    <w:rsid w:val="00FE454C"/>
    <w:rsid w:val="00FE4E6F"/>
    <w:rsid w:val="00FE51F8"/>
    <w:rsid w:val="00FE62B3"/>
    <w:rsid w:val="00FE6EED"/>
    <w:rsid w:val="00FE7F31"/>
    <w:rsid w:val="00FF0E6F"/>
    <w:rsid w:val="00FF13B4"/>
    <w:rsid w:val="00FF4ED3"/>
    <w:rsid w:val="00FF6709"/>
    <w:rsid w:val="0112363F"/>
    <w:rsid w:val="014F4893"/>
    <w:rsid w:val="01504263"/>
    <w:rsid w:val="018A5329"/>
    <w:rsid w:val="018A7679"/>
    <w:rsid w:val="019C3A9C"/>
    <w:rsid w:val="019E2F78"/>
    <w:rsid w:val="01AC7D88"/>
    <w:rsid w:val="01B73BF6"/>
    <w:rsid w:val="01B97F5E"/>
    <w:rsid w:val="01C62F2B"/>
    <w:rsid w:val="01ED2198"/>
    <w:rsid w:val="0254033B"/>
    <w:rsid w:val="025739FF"/>
    <w:rsid w:val="02587777"/>
    <w:rsid w:val="02671768"/>
    <w:rsid w:val="027812C0"/>
    <w:rsid w:val="02AC526C"/>
    <w:rsid w:val="02D368D7"/>
    <w:rsid w:val="02E05800"/>
    <w:rsid w:val="02E66B31"/>
    <w:rsid w:val="02EB05EB"/>
    <w:rsid w:val="030516AD"/>
    <w:rsid w:val="03065425"/>
    <w:rsid w:val="03102D69"/>
    <w:rsid w:val="03217B69"/>
    <w:rsid w:val="03563569"/>
    <w:rsid w:val="035717DD"/>
    <w:rsid w:val="037203C5"/>
    <w:rsid w:val="03944318"/>
    <w:rsid w:val="03990047"/>
    <w:rsid w:val="03AE265E"/>
    <w:rsid w:val="03B44E81"/>
    <w:rsid w:val="03C74BB5"/>
    <w:rsid w:val="04185410"/>
    <w:rsid w:val="04545D1C"/>
    <w:rsid w:val="045C69BC"/>
    <w:rsid w:val="046540D3"/>
    <w:rsid w:val="04811285"/>
    <w:rsid w:val="04877EA0"/>
    <w:rsid w:val="048F7B35"/>
    <w:rsid w:val="04936845"/>
    <w:rsid w:val="04956A61"/>
    <w:rsid w:val="04D63E97"/>
    <w:rsid w:val="04DB1902"/>
    <w:rsid w:val="04F20870"/>
    <w:rsid w:val="04FC4254"/>
    <w:rsid w:val="051B35AD"/>
    <w:rsid w:val="05243941"/>
    <w:rsid w:val="05257400"/>
    <w:rsid w:val="052C01A3"/>
    <w:rsid w:val="053C7F28"/>
    <w:rsid w:val="054C72A4"/>
    <w:rsid w:val="054D5A1C"/>
    <w:rsid w:val="05800EBE"/>
    <w:rsid w:val="05863F97"/>
    <w:rsid w:val="059846BC"/>
    <w:rsid w:val="05B41169"/>
    <w:rsid w:val="05C70E9C"/>
    <w:rsid w:val="05D13AC9"/>
    <w:rsid w:val="05F250AD"/>
    <w:rsid w:val="06231E4A"/>
    <w:rsid w:val="063C444A"/>
    <w:rsid w:val="063D38B4"/>
    <w:rsid w:val="06587D46"/>
    <w:rsid w:val="06622973"/>
    <w:rsid w:val="06626D7F"/>
    <w:rsid w:val="06860AD4"/>
    <w:rsid w:val="068C77DD"/>
    <w:rsid w:val="069E4717"/>
    <w:rsid w:val="06A56093"/>
    <w:rsid w:val="06AF0733"/>
    <w:rsid w:val="06C1551D"/>
    <w:rsid w:val="06C971AA"/>
    <w:rsid w:val="06CA61A3"/>
    <w:rsid w:val="06D3383B"/>
    <w:rsid w:val="06D57890"/>
    <w:rsid w:val="06D81917"/>
    <w:rsid w:val="06E23BEE"/>
    <w:rsid w:val="070C38EF"/>
    <w:rsid w:val="072145DC"/>
    <w:rsid w:val="07273378"/>
    <w:rsid w:val="07277ED7"/>
    <w:rsid w:val="07283BBC"/>
    <w:rsid w:val="072E563C"/>
    <w:rsid w:val="073450C3"/>
    <w:rsid w:val="073A4FED"/>
    <w:rsid w:val="073F40B8"/>
    <w:rsid w:val="07470439"/>
    <w:rsid w:val="076A2860"/>
    <w:rsid w:val="07702E6D"/>
    <w:rsid w:val="077B0B47"/>
    <w:rsid w:val="07802AD4"/>
    <w:rsid w:val="07C03F9F"/>
    <w:rsid w:val="07D16F59"/>
    <w:rsid w:val="07DD6CA4"/>
    <w:rsid w:val="07E81525"/>
    <w:rsid w:val="08111B06"/>
    <w:rsid w:val="082219A2"/>
    <w:rsid w:val="08246246"/>
    <w:rsid w:val="082E6B42"/>
    <w:rsid w:val="08303A92"/>
    <w:rsid w:val="08313A02"/>
    <w:rsid w:val="0849203C"/>
    <w:rsid w:val="084D5692"/>
    <w:rsid w:val="08535187"/>
    <w:rsid w:val="085602B5"/>
    <w:rsid w:val="086F1377"/>
    <w:rsid w:val="08733E40"/>
    <w:rsid w:val="0878647D"/>
    <w:rsid w:val="087D3B8F"/>
    <w:rsid w:val="088A4403"/>
    <w:rsid w:val="08987BE8"/>
    <w:rsid w:val="089A161A"/>
    <w:rsid w:val="089D7C92"/>
    <w:rsid w:val="08B83DCC"/>
    <w:rsid w:val="08C3028D"/>
    <w:rsid w:val="08C33C53"/>
    <w:rsid w:val="08E02AE5"/>
    <w:rsid w:val="08E63C2A"/>
    <w:rsid w:val="08EE3131"/>
    <w:rsid w:val="08FA50E4"/>
    <w:rsid w:val="08FD6983"/>
    <w:rsid w:val="090441B5"/>
    <w:rsid w:val="090E49D3"/>
    <w:rsid w:val="094A5227"/>
    <w:rsid w:val="094C3466"/>
    <w:rsid w:val="09575C4D"/>
    <w:rsid w:val="09677088"/>
    <w:rsid w:val="0969226A"/>
    <w:rsid w:val="096D3B08"/>
    <w:rsid w:val="09AF138D"/>
    <w:rsid w:val="09FE2877"/>
    <w:rsid w:val="0A016095"/>
    <w:rsid w:val="0A045DA9"/>
    <w:rsid w:val="0A0C6A88"/>
    <w:rsid w:val="0A0C73A3"/>
    <w:rsid w:val="0A2D5128"/>
    <w:rsid w:val="0A3665F0"/>
    <w:rsid w:val="0A3B55BC"/>
    <w:rsid w:val="0A595E3B"/>
    <w:rsid w:val="0A7964DD"/>
    <w:rsid w:val="0A821835"/>
    <w:rsid w:val="0A8D3B7C"/>
    <w:rsid w:val="0A9D21CB"/>
    <w:rsid w:val="0A9D47E0"/>
    <w:rsid w:val="0ADF34EF"/>
    <w:rsid w:val="0ADF7009"/>
    <w:rsid w:val="0AFC15E8"/>
    <w:rsid w:val="0B246449"/>
    <w:rsid w:val="0B247F12"/>
    <w:rsid w:val="0B28531B"/>
    <w:rsid w:val="0B59285E"/>
    <w:rsid w:val="0B7D4B31"/>
    <w:rsid w:val="0B955598"/>
    <w:rsid w:val="0B99238E"/>
    <w:rsid w:val="0BAA3813"/>
    <w:rsid w:val="0BBD20A3"/>
    <w:rsid w:val="0BD5665C"/>
    <w:rsid w:val="0BD87416"/>
    <w:rsid w:val="0BE83C57"/>
    <w:rsid w:val="0C1F6741"/>
    <w:rsid w:val="0C254A1B"/>
    <w:rsid w:val="0C3628D7"/>
    <w:rsid w:val="0C5321FE"/>
    <w:rsid w:val="0C550F33"/>
    <w:rsid w:val="0C5723A3"/>
    <w:rsid w:val="0C831DFB"/>
    <w:rsid w:val="0C870EAF"/>
    <w:rsid w:val="0CB6239A"/>
    <w:rsid w:val="0CD520F0"/>
    <w:rsid w:val="0CD83AA7"/>
    <w:rsid w:val="0CE340E1"/>
    <w:rsid w:val="0CE9443E"/>
    <w:rsid w:val="0CEC74C9"/>
    <w:rsid w:val="0D0C02C0"/>
    <w:rsid w:val="0D1A4DCB"/>
    <w:rsid w:val="0D222E5C"/>
    <w:rsid w:val="0D272220"/>
    <w:rsid w:val="0D291939"/>
    <w:rsid w:val="0D2C7836"/>
    <w:rsid w:val="0D42705A"/>
    <w:rsid w:val="0D510495"/>
    <w:rsid w:val="0D5C7CE3"/>
    <w:rsid w:val="0D921D8F"/>
    <w:rsid w:val="0DC057B0"/>
    <w:rsid w:val="0DD57671"/>
    <w:rsid w:val="0DD822F9"/>
    <w:rsid w:val="0DE429A9"/>
    <w:rsid w:val="0E1C490A"/>
    <w:rsid w:val="0E214EC1"/>
    <w:rsid w:val="0E4C5BF6"/>
    <w:rsid w:val="0E6F60C6"/>
    <w:rsid w:val="0E8164AD"/>
    <w:rsid w:val="0E980D59"/>
    <w:rsid w:val="0EB21FBD"/>
    <w:rsid w:val="0EB51B35"/>
    <w:rsid w:val="0EC20452"/>
    <w:rsid w:val="0EC57F43"/>
    <w:rsid w:val="0EE8376D"/>
    <w:rsid w:val="0EE839D6"/>
    <w:rsid w:val="0EEC1973"/>
    <w:rsid w:val="0EEC4C7F"/>
    <w:rsid w:val="0F083209"/>
    <w:rsid w:val="0F0C14FB"/>
    <w:rsid w:val="0F1B6879"/>
    <w:rsid w:val="0F1D3123"/>
    <w:rsid w:val="0F570191"/>
    <w:rsid w:val="0F5B2655"/>
    <w:rsid w:val="0F6E4136"/>
    <w:rsid w:val="0F73799F"/>
    <w:rsid w:val="0FA20284"/>
    <w:rsid w:val="0FA90662"/>
    <w:rsid w:val="0FB32491"/>
    <w:rsid w:val="0FBA18EF"/>
    <w:rsid w:val="0FD20B69"/>
    <w:rsid w:val="0FF839DC"/>
    <w:rsid w:val="10122B27"/>
    <w:rsid w:val="103001F2"/>
    <w:rsid w:val="104D16B2"/>
    <w:rsid w:val="104D6442"/>
    <w:rsid w:val="104F21BA"/>
    <w:rsid w:val="105C3E76"/>
    <w:rsid w:val="108270E6"/>
    <w:rsid w:val="108F25B6"/>
    <w:rsid w:val="10C15746"/>
    <w:rsid w:val="10D31135"/>
    <w:rsid w:val="10DB3A4D"/>
    <w:rsid w:val="10E16B8A"/>
    <w:rsid w:val="10F83127"/>
    <w:rsid w:val="11036B00"/>
    <w:rsid w:val="11162ACA"/>
    <w:rsid w:val="112847B9"/>
    <w:rsid w:val="113A6FE7"/>
    <w:rsid w:val="114379D9"/>
    <w:rsid w:val="114864A3"/>
    <w:rsid w:val="114E1B88"/>
    <w:rsid w:val="11587FF4"/>
    <w:rsid w:val="11625F1D"/>
    <w:rsid w:val="116611DD"/>
    <w:rsid w:val="11691059"/>
    <w:rsid w:val="11744113"/>
    <w:rsid w:val="118C75C8"/>
    <w:rsid w:val="11915011"/>
    <w:rsid w:val="119A6A2F"/>
    <w:rsid w:val="11A41EA7"/>
    <w:rsid w:val="11A804F4"/>
    <w:rsid w:val="11B64AD6"/>
    <w:rsid w:val="11C91AF8"/>
    <w:rsid w:val="11D42F6F"/>
    <w:rsid w:val="11DA0592"/>
    <w:rsid w:val="11E31C64"/>
    <w:rsid w:val="11F06824"/>
    <w:rsid w:val="12062D4C"/>
    <w:rsid w:val="121006B0"/>
    <w:rsid w:val="1211650A"/>
    <w:rsid w:val="121D78EF"/>
    <w:rsid w:val="122C1176"/>
    <w:rsid w:val="1230531A"/>
    <w:rsid w:val="124648D5"/>
    <w:rsid w:val="125C0BBE"/>
    <w:rsid w:val="125E66E4"/>
    <w:rsid w:val="12751C80"/>
    <w:rsid w:val="12BC165D"/>
    <w:rsid w:val="12D31F47"/>
    <w:rsid w:val="12DB7D35"/>
    <w:rsid w:val="12E82F6C"/>
    <w:rsid w:val="131B6383"/>
    <w:rsid w:val="13225800"/>
    <w:rsid w:val="1328481A"/>
    <w:rsid w:val="132D62C4"/>
    <w:rsid w:val="13577FA6"/>
    <w:rsid w:val="13627C61"/>
    <w:rsid w:val="136E6DFB"/>
    <w:rsid w:val="138265B3"/>
    <w:rsid w:val="138B4A0E"/>
    <w:rsid w:val="13954F80"/>
    <w:rsid w:val="139A348A"/>
    <w:rsid w:val="139A3BA8"/>
    <w:rsid w:val="13AB6E65"/>
    <w:rsid w:val="13B36E2B"/>
    <w:rsid w:val="13BD16BF"/>
    <w:rsid w:val="13BE2EE9"/>
    <w:rsid w:val="13C75AC6"/>
    <w:rsid w:val="13F5182A"/>
    <w:rsid w:val="141E3599"/>
    <w:rsid w:val="142F1F9C"/>
    <w:rsid w:val="14486C06"/>
    <w:rsid w:val="144A11CB"/>
    <w:rsid w:val="144A29C2"/>
    <w:rsid w:val="1451276E"/>
    <w:rsid w:val="14AF76CB"/>
    <w:rsid w:val="14BE790E"/>
    <w:rsid w:val="14C50C9C"/>
    <w:rsid w:val="14C87C74"/>
    <w:rsid w:val="14D8176E"/>
    <w:rsid w:val="14DB04C0"/>
    <w:rsid w:val="14E564F4"/>
    <w:rsid w:val="14EA24B1"/>
    <w:rsid w:val="14F11BBF"/>
    <w:rsid w:val="151306D7"/>
    <w:rsid w:val="1528122B"/>
    <w:rsid w:val="152B128F"/>
    <w:rsid w:val="153876C0"/>
    <w:rsid w:val="1540013C"/>
    <w:rsid w:val="15436065"/>
    <w:rsid w:val="15487A1C"/>
    <w:rsid w:val="15501C99"/>
    <w:rsid w:val="155344FA"/>
    <w:rsid w:val="155F44D6"/>
    <w:rsid w:val="156C55BC"/>
    <w:rsid w:val="1578117E"/>
    <w:rsid w:val="158D5FCC"/>
    <w:rsid w:val="15A73768"/>
    <w:rsid w:val="15BD7BC5"/>
    <w:rsid w:val="15C91D29"/>
    <w:rsid w:val="15D625E1"/>
    <w:rsid w:val="15E20E8C"/>
    <w:rsid w:val="15F70C86"/>
    <w:rsid w:val="16077093"/>
    <w:rsid w:val="16247563"/>
    <w:rsid w:val="164125A5"/>
    <w:rsid w:val="16461969"/>
    <w:rsid w:val="165B5EF7"/>
    <w:rsid w:val="166F60D8"/>
    <w:rsid w:val="167F131F"/>
    <w:rsid w:val="168F66FB"/>
    <w:rsid w:val="16F21F39"/>
    <w:rsid w:val="17026045"/>
    <w:rsid w:val="170610F8"/>
    <w:rsid w:val="171C6B6E"/>
    <w:rsid w:val="173E21FF"/>
    <w:rsid w:val="17606A5A"/>
    <w:rsid w:val="17637FF2"/>
    <w:rsid w:val="17787B07"/>
    <w:rsid w:val="1783099B"/>
    <w:rsid w:val="178D1819"/>
    <w:rsid w:val="1798567C"/>
    <w:rsid w:val="17BD4612"/>
    <w:rsid w:val="17C92852"/>
    <w:rsid w:val="17DA1E3E"/>
    <w:rsid w:val="17E72CD8"/>
    <w:rsid w:val="17E7717C"/>
    <w:rsid w:val="17E8444C"/>
    <w:rsid w:val="17FC737D"/>
    <w:rsid w:val="17FD693B"/>
    <w:rsid w:val="180209CF"/>
    <w:rsid w:val="180E64B6"/>
    <w:rsid w:val="182D0669"/>
    <w:rsid w:val="18337073"/>
    <w:rsid w:val="18463EA2"/>
    <w:rsid w:val="18567317"/>
    <w:rsid w:val="18581E27"/>
    <w:rsid w:val="18666715"/>
    <w:rsid w:val="18733205"/>
    <w:rsid w:val="1881312C"/>
    <w:rsid w:val="18993FFE"/>
    <w:rsid w:val="189B3125"/>
    <w:rsid w:val="189C48A9"/>
    <w:rsid w:val="18B22E3A"/>
    <w:rsid w:val="18EE787D"/>
    <w:rsid w:val="19063631"/>
    <w:rsid w:val="190E2DD7"/>
    <w:rsid w:val="1912797C"/>
    <w:rsid w:val="191A306D"/>
    <w:rsid w:val="191B3E18"/>
    <w:rsid w:val="19510D51"/>
    <w:rsid w:val="19590855"/>
    <w:rsid w:val="1977452F"/>
    <w:rsid w:val="19882298"/>
    <w:rsid w:val="199C7504"/>
    <w:rsid w:val="19AE061C"/>
    <w:rsid w:val="19C73298"/>
    <w:rsid w:val="19E33973"/>
    <w:rsid w:val="1A01018F"/>
    <w:rsid w:val="1A037B71"/>
    <w:rsid w:val="1A38275E"/>
    <w:rsid w:val="1A417938"/>
    <w:rsid w:val="1A450189"/>
    <w:rsid w:val="1A58610F"/>
    <w:rsid w:val="1A586692"/>
    <w:rsid w:val="1A665DC2"/>
    <w:rsid w:val="1A747163"/>
    <w:rsid w:val="1A8E1B30"/>
    <w:rsid w:val="1A937147"/>
    <w:rsid w:val="1AC3055A"/>
    <w:rsid w:val="1AF4303D"/>
    <w:rsid w:val="1B094FAB"/>
    <w:rsid w:val="1B1115F9"/>
    <w:rsid w:val="1B154000"/>
    <w:rsid w:val="1B254995"/>
    <w:rsid w:val="1B2B104C"/>
    <w:rsid w:val="1B3908D5"/>
    <w:rsid w:val="1B4F7512"/>
    <w:rsid w:val="1B531275"/>
    <w:rsid w:val="1B6603B7"/>
    <w:rsid w:val="1B6967D9"/>
    <w:rsid w:val="1B6F46A3"/>
    <w:rsid w:val="1BA7068E"/>
    <w:rsid w:val="1BC97D3B"/>
    <w:rsid w:val="1BF754B3"/>
    <w:rsid w:val="1BFB4FA4"/>
    <w:rsid w:val="1C0F0A4F"/>
    <w:rsid w:val="1C2F4C4D"/>
    <w:rsid w:val="1C4B4FD5"/>
    <w:rsid w:val="1C576A9C"/>
    <w:rsid w:val="1C5D1849"/>
    <w:rsid w:val="1C600690"/>
    <w:rsid w:val="1C6E5146"/>
    <w:rsid w:val="1C6E7E6B"/>
    <w:rsid w:val="1C760A08"/>
    <w:rsid w:val="1C883DA6"/>
    <w:rsid w:val="1C931680"/>
    <w:rsid w:val="1CA965B6"/>
    <w:rsid w:val="1CBD1EDB"/>
    <w:rsid w:val="1CE26164"/>
    <w:rsid w:val="1CF61A23"/>
    <w:rsid w:val="1CFF6D16"/>
    <w:rsid w:val="1D104A7F"/>
    <w:rsid w:val="1D7E7C3A"/>
    <w:rsid w:val="1D8B47E6"/>
    <w:rsid w:val="1D9873A5"/>
    <w:rsid w:val="1D9911C4"/>
    <w:rsid w:val="1D9E02DC"/>
    <w:rsid w:val="1DC37D43"/>
    <w:rsid w:val="1DC70F59"/>
    <w:rsid w:val="1DD619C5"/>
    <w:rsid w:val="1DEF28E6"/>
    <w:rsid w:val="1DEF6D8A"/>
    <w:rsid w:val="1DFD648D"/>
    <w:rsid w:val="1E05035C"/>
    <w:rsid w:val="1E087E4C"/>
    <w:rsid w:val="1E0B5246"/>
    <w:rsid w:val="1E193E07"/>
    <w:rsid w:val="1E214EF6"/>
    <w:rsid w:val="1E2F362A"/>
    <w:rsid w:val="1E321A63"/>
    <w:rsid w:val="1E4B0A1C"/>
    <w:rsid w:val="1E5B61CE"/>
    <w:rsid w:val="1E82375A"/>
    <w:rsid w:val="1E8F6C7E"/>
    <w:rsid w:val="1E8F7C25"/>
    <w:rsid w:val="1E9D2342"/>
    <w:rsid w:val="1EA35AC9"/>
    <w:rsid w:val="1EA9518B"/>
    <w:rsid w:val="1EAB15D6"/>
    <w:rsid w:val="1EC73863"/>
    <w:rsid w:val="1EE066D3"/>
    <w:rsid w:val="1EE249ED"/>
    <w:rsid w:val="1EE95587"/>
    <w:rsid w:val="1EEF62CD"/>
    <w:rsid w:val="1F0B2DDD"/>
    <w:rsid w:val="1F2D7B6A"/>
    <w:rsid w:val="1F330EF8"/>
    <w:rsid w:val="1F352014"/>
    <w:rsid w:val="1F380266"/>
    <w:rsid w:val="1F3A0988"/>
    <w:rsid w:val="1F4A00D2"/>
    <w:rsid w:val="1F511C17"/>
    <w:rsid w:val="1F6C421D"/>
    <w:rsid w:val="1F7676E6"/>
    <w:rsid w:val="1F777037"/>
    <w:rsid w:val="1FA31B8D"/>
    <w:rsid w:val="1FA53BA4"/>
    <w:rsid w:val="1FC2324F"/>
    <w:rsid w:val="1FCF4287"/>
    <w:rsid w:val="1FD052D0"/>
    <w:rsid w:val="20052895"/>
    <w:rsid w:val="204428E5"/>
    <w:rsid w:val="204C2272"/>
    <w:rsid w:val="204D03D0"/>
    <w:rsid w:val="20596B25"/>
    <w:rsid w:val="20945FD9"/>
    <w:rsid w:val="20A06C94"/>
    <w:rsid w:val="20A51982"/>
    <w:rsid w:val="20B47FFE"/>
    <w:rsid w:val="20BC398C"/>
    <w:rsid w:val="20C55B80"/>
    <w:rsid w:val="20CA3197"/>
    <w:rsid w:val="20ED23BF"/>
    <w:rsid w:val="20F4151F"/>
    <w:rsid w:val="20F621DE"/>
    <w:rsid w:val="21010CC8"/>
    <w:rsid w:val="210B2EE2"/>
    <w:rsid w:val="212935F6"/>
    <w:rsid w:val="212A62DC"/>
    <w:rsid w:val="21366A1D"/>
    <w:rsid w:val="21480EF8"/>
    <w:rsid w:val="216545B9"/>
    <w:rsid w:val="21666272"/>
    <w:rsid w:val="21680314"/>
    <w:rsid w:val="216B5207"/>
    <w:rsid w:val="217420CD"/>
    <w:rsid w:val="2179024E"/>
    <w:rsid w:val="217C4CC4"/>
    <w:rsid w:val="21B339C7"/>
    <w:rsid w:val="21BA76AF"/>
    <w:rsid w:val="21CF1302"/>
    <w:rsid w:val="22032269"/>
    <w:rsid w:val="2206397D"/>
    <w:rsid w:val="220E79FB"/>
    <w:rsid w:val="22113E8E"/>
    <w:rsid w:val="2212312B"/>
    <w:rsid w:val="2215388A"/>
    <w:rsid w:val="22246E85"/>
    <w:rsid w:val="224F1BA5"/>
    <w:rsid w:val="22665141"/>
    <w:rsid w:val="2269350B"/>
    <w:rsid w:val="22792CA9"/>
    <w:rsid w:val="22A53EBB"/>
    <w:rsid w:val="22B440FE"/>
    <w:rsid w:val="22BD681A"/>
    <w:rsid w:val="22C54BDC"/>
    <w:rsid w:val="22CF603A"/>
    <w:rsid w:val="22D154DE"/>
    <w:rsid w:val="22D463A9"/>
    <w:rsid w:val="22EB5832"/>
    <w:rsid w:val="22EC5646"/>
    <w:rsid w:val="22F67105"/>
    <w:rsid w:val="23021586"/>
    <w:rsid w:val="23076924"/>
    <w:rsid w:val="231345F2"/>
    <w:rsid w:val="2328540E"/>
    <w:rsid w:val="233660B1"/>
    <w:rsid w:val="23570347"/>
    <w:rsid w:val="236D5C8B"/>
    <w:rsid w:val="23785A7E"/>
    <w:rsid w:val="237A1EFE"/>
    <w:rsid w:val="23C1314A"/>
    <w:rsid w:val="23EB6BEB"/>
    <w:rsid w:val="24003A9F"/>
    <w:rsid w:val="24050B82"/>
    <w:rsid w:val="240566F3"/>
    <w:rsid w:val="24066BDB"/>
    <w:rsid w:val="241412B9"/>
    <w:rsid w:val="2418246B"/>
    <w:rsid w:val="24271600"/>
    <w:rsid w:val="242D5F16"/>
    <w:rsid w:val="243674C1"/>
    <w:rsid w:val="24442F8E"/>
    <w:rsid w:val="245454E4"/>
    <w:rsid w:val="246D708B"/>
    <w:rsid w:val="24831710"/>
    <w:rsid w:val="24897DB5"/>
    <w:rsid w:val="24947236"/>
    <w:rsid w:val="249E5066"/>
    <w:rsid w:val="24B120B1"/>
    <w:rsid w:val="24CA7C09"/>
    <w:rsid w:val="24D35C2C"/>
    <w:rsid w:val="24D757B6"/>
    <w:rsid w:val="24EE1B49"/>
    <w:rsid w:val="24EF141E"/>
    <w:rsid w:val="25091FEC"/>
    <w:rsid w:val="252950A3"/>
    <w:rsid w:val="254554E2"/>
    <w:rsid w:val="254F010E"/>
    <w:rsid w:val="25585215"/>
    <w:rsid w:val="257B5C80"/>
    <w:rsid w:val="258B7371"/>
    <w:rsid w:val="25A14E0E"/>
    <w:rsid w:val="25A16BBC"/>
    <w:rsid w:val="25FC33D9"/>
    <w:rsid w:val="26192BF6"/>
    <w:rsid w:val="26204A2F"/>
    <w:rsid w:val="262B09B7"/>
    <w:rsid w:val="264D0AF2"/>
    <w:rsid w:val="26555BF8"/>
    <w:rsid w:val="266B21A9"/>
    <w:rsid w:val="269C5060"/>
    <w:rsid w:val="26A56C46"/>
    <w:rsid w:val="26AD3375"/>
    <w:rsid w:val="26BC17D3"/>
    <w:rsid w:val="26D61A38"/>
    <w:rsid w:val="26E66850"/>
    <w:rsid w:val="26F176CF"/>
    <w:rsid w:val="26FD2518"/>
    <w:rsid w:val="270C3D0B"/>
    <w:rsid w:val="270E1222"/>
    <w:rsid w:val="2717101B"/>
    <w:rsid w:val="272C11E6"/>
    <w:rsid w:val="275F7F76"/>
    <w:rsid w:val="27644345"/>
    <w:rsid w:val="2780438B"/>
    <w:rsid w:val="278542BB"/>
    <w:rsid w:val="27D74B17"/>
    <w:rsid w:val="27D906FA"/>
    <w:rsid w:val="27F6442E"/>
    <w:rsid w:val="27F76F67"/>
    <w:rsid w:val="281178FD"/>
    <w:rsid w:val="282835C4"/>
    <w:rsid w:val="28304227"/>
    <w:rsid w:val="28357A8F"/>
    <w:rsid w:val="283B29E2"/>
    <w:rsid w:val="2848654A"/>
    <w:rsid w:val="2852419D"/>
    <w:rsid w:val="28685136"/>
    <w:rsid w:val="28940C5A"/>
    <w:rsid w:val="28942551"/>
    <w:rsid w:val="28945419"/>
    <w:rsid w:val="28B60F25"/>
    <w:rsid w:val="28C05593"/>
    <w:rsid w:val="28C92AC2"/>
    <w:rsid w:val="28CC3A7A"/>
    <w:rsid w:val="28CE3A92"/>
    <w:rsid w:val="28D9041B"/>
    <w:rsid w:val="28F23013"/>
    <w:rsid w:val="290635B4"/>
    <w:rsid w:val="290B1692"/>
    <w:rsid w:val="29114058"/>
    <w:rsid w:val="291B385B"/>
    <w:rsid w:val="292606E9"/>
    <w:rsid w:val="292E2DBA"/>
    <w:rsid w:val="293A0CDE"/>
    <w:rsid w:val="294B6F92"/>
    <w:rsid w:val="295756F7"/>
    <w:rsid w:val="296543A4"/>
    <w:rsid w:val="29746395"/>
    <w:rsid w:val="297E0FC2"/>
    <w:rsid w:val="29910CF5"/>
    <w:rsid w:val="29923267"/>
    <w:rsid w:val="299568C8"/>
    <w:rsid w:val="29A31216"/>
    <w:rsid w:val="29BA21F4"/>
    <w:rsid w:val="29CC7188"/>
    <w:rsid w:val="29CD2C7C"/>
    <w:rsid w:val="29D23EA6"/>
    <w:rsid w:val="29D87B6B"/>
    <w:rsid w:val="29FF65A7"/>
    <w:rsid w:val="2A06146B"/>
    <w:rsid w:val="2A1466A1"/>
    <w:rsid w:val="2A2049DE"/>
    <w:rsid w:val="2A2E29E8"/>
    <w:rsid w:val="2A3049B2"/>
    <w:rsid w:val="2A4E1E0C"/>
    <w:rsid w:val="2A797103"/>
    <w:rsid w:val="2A7C0D79"/>
    <w:rsid w:val="2A8E27EE"/>
    <w:rsid w:val="2A9B352D"/>
    <w:rsid w:val="2AA9041E"/>
    <w:rsid w:val="2AC40F6A"/>
    <w:rsid w:val="2AE632C3"/>
    <w:rsid w:val="2AF14141"/>
    <w:rsid w:val="2B0913F0"/>
    <w:rsid w:val="2B172B28"/>
    <w:rsid w:val="2B457B6F"/>
    <w:rsid w:val="2B6552E7"/>
    <w:rsid w:val="2B6F6391"/>
    <w:rsid w:val="2B715282"/>
    <w:rsid w:val="2B77216D"/>
    <w:rsid w:val="2B8530EF"/>
    <w:rsid w:val="2B8A0195"/>
    <w:rsid w:val="2B943469"/>
    <w:rsid w:val="2BA2543C"/>
    <w:rsid w:val="2BA705F6"/>
    <w:rsid w:val="2BAD0639"/>
    <w:rsid w:val="2BC730F4"/>
    <w:rsid w:val="2BEF4EFD"/>
    <w:rsid w:val="2BF765C0"/>
    <w:rsid w:val="2BFF0BA5"/>
    <w:rsid w:val="2C136D64"/>
    <w:rsid w:val="2C1A6EB7"/>
    <w:rsid w:val="2C377FEB"/>
    <w:rsid w:val="2C4147AB"/>
    <w:rsid w:val="2C5000EA"/>
    <w:rsid w:val="2C5138D8"/>
    <w:rsid w:val="2C5D5807"/>
    <w:rsid w:val="2C6D5A4A"/>
    <w:rsid w:val="2C703E60"/>
    <w:rsid w:val="2C854B18"/>
    <w:rsid w:val="2CA51A63"/>
    <w:rsid w:val="2CB65D15"/>
    <w:rsid w:val="2CB74F17"/>
    <w:rsid w:val="2CE41F2E"/>
    <w:rsid w:val="2CF86877"/>
    <w:rsid w:val="2D0004F6"/>
    <w:rsid w:val="2D073942"/>
    <w:rsid w:val="2D225F8B"/>
    <w:rsid w:val="2D2D348C"/>
    <w:rsid w:val="2D352EF4"/>
    <w:rsid w:val="2D483DC1"/>
    <w:rsid w:val="2D5D4B83"/>
    <w:rsid w:val="2D60735C"/>
    <w:rsid w:val="2D627B0B"/>
    <w:rsid w:val="2D7C025A"/>
    <w:rsid w:val="2D886B7B"/>
    <w:rsid w:val="2D8C0151"/>
    <w:rsid w:val="2D8E211C"/>
    <w:rsid w:val="2DAC0F4D"/>
    <w:rsid w:val="2DB453E7"/>
    <w:rsid w:val="2DBB27E5"/>
    <w:rsid w:val="2DC65AC1"/>
    <w:rsid w:val="2DCC054E"/>
    <w:rsid w:val="2DD16827"/>
    <w:rsid w:val="2DEE6B16"/>
    <w:rsid w:val="2DF61A6F"/>
    <w:rsid w:val="2E1317AC"/>
    <w:rsid w:val="2E150842"/>
    <w:rsid w:val="2E18390F"/>
    <w:rsid w:val="2E222284"/>
    <w:rsid w:val="2E226D95"/>
    <w:rsid w:val="2E5D4CF4"/>
    <w:rsid w:val="2E6A0183"/>
    <w:rsid w:val="2E6D142C"/>
    <w:rsid w:val="2E960B5C"/>
    <w:rsid w:val="2EA65243"/>
    <w:rsid w:val="2EB76CAF"/>
    <w:rsid w:val="2ECA2B5C"/>
    <w:rsid w:val="2EFE6E2D"/>
    <w:rsid w:val="2F363610"/>
    <w:rsid w:val="2F475ACE"/>
    <w:rsid w:val="2F6662D1"/>
    <w:rsid w:val="2F6977B3"/>
    <w:rsid w:val="2F7B66D0"/>
    <w:rsid w:val="2F89199F"/>
    <w:rsid w:val="2F935DD9"/>
    <w:rsid w:val="2FC83556"/>
    <w:rsid w:val="2FDA4513"/>
    <w:rsid w:val="2FEF195E"/>
    <w:rsid w:val="2FF93563"/>
    <w:rsid w:val="2FFE2E5D"/>
    <w:rsid w:val="300541EB"/>
    <w:rsid w:val="301937F3"/>
    <w:rsid w:val="30336FAA"/>
    <w:rsid w:val="30565ED6"/>
    <w:rsid w:val="305958D2"/>
    <w:rsid w:val="305D51D4"/>
    <w:rsid w:val="306C7DC6"/>
    <w:rsid w:val="3083092C"/>
    <w:rsid w:val="309335A5"/>
    <w:rsid w:val="30A734F4"/>
    <w:rsid w:val="30A93B79"/>
    <w:rsid w:val="30F85BE1"/>
    <w:rsid w:val="30FC114A"/>
    <w:rsid w:val="30FC76FD"/>
    <w:rsid w:val="31016938"/>
    <w:rsid w:val="31094A74"/>
    <w:rsid w:val="310A3527"/>
    <w:rsid w:val="311A1269"/>
    <w:rsid w:val="311A6C35"/>
    <w:rsid w:val="31205BDC"/>
    <w:rsid w:val="31332454"/>
    <w:rsid w:val="3137168F"/>
    <w:rsid w:val="31411253"/>
    <w:rsid w:val="3186135C"/>
    <w:rsid w:val="318C2702"/>
    <w:rsid w:val="319771BC"/>
    <w:rsid w:val="319926AE"/>
    <w:rsid w:val="31C64860"/>
    <w:rsid w:val="31C86565"/>
    <w:rsid w:val="31F64758"/>
    <w:rsid w:val="3254683D"/>
    <w:rsid w:val="325D229C"/>
    <w:rsid w:val="327B02A1"/>
    <w:rsid w:val="32944E37"/>
    <w:rsid w:val="32A00F04"/>
    <w:rsid w:val="32A24DBD"/>
    <w:rsid w:val="32B02B08"/>
    <w:rsid w:val="32B37F2E"/>
    <w:rsid w:val="32C06C25"/>
    <w:rsid w:val="32C173B7"/>
    <w:rsid w:val="32C9272A"/>
    <w:rsid w:val="32D37E41"/>
    <w:rsid w:val="32E65CF1"/>
    <w:rsid w:val="32E751E1"/>
    <w:rsid w:val="32F96799"/>
    <w:rsid w:val="330A5188"/>
    <w:rsid w:val="330F7364"/>
    <w:rsid w:val="33256EA6"/>
    <w:rsid w:val="33423060"/>
    <w:rsid w:val="335039CF"/>
    <w:rsid w:val="33525999"/>
    <w:rsid w:val="33525C7E"/>
    <w:rsid w:val="33775400"/>
    <w:rsid w:val="337B4EF0"/>
    <w:rsid w:val="338D69D1"/>
    <w:rsid w:val="33947D60"/>
    <w:rsid w:val="339C6D2A"/>
    <w:rsid w:val="33BB017F"/>
    <w:rsid w:val="33D12D62"/>
    <w:rsid w:val="33D26F22"/>
    <w:rsid w:val="33EA0CB0"/>
    <w:rsid w:val="33F151B2"/>
    <w:rsid w:val="341C5E30"/>
    <w:rsid w:val="34274DC3"/>
    <w:rsid w:val="344C1C80"/>
    <w:rsid w:val="34565015"/>
    <w:rsid w:val="345968B4"/>
    <w:rsid w:val="34624864"/>
    <w:rsid w:val="346A408E"/>
    <w:rsid w:val="34774B00"/>
    <w:rsid w:val="34776038"/>
    <w:rsid w:val="348E47AF"/>
    <w:rsid w:val="349C6E7A"/>
    <w:rsid w:val="34E169EB"/>
    <w:rsid w:val="350B4752"/>
    <w:rsid w:val="35135D6B"/>
    <w:rsid w:val="3519075E"/>
    <w:rsid w:val="3531125E"/>
    <w:rsid w:val="3535216B"/>
    <w:rsid w:val="357417D7"/>
    <w:rsid w:val="3579793F"/>
    <w:rsid w:val="357F67EE"/>
    <w:rsid w:val="35804C17"/>
    <w:rsid w:val="35845033"/>
    <w:rsid w:val="359B692C"/>
    <w:rsid w:val="35E508A6"/>
    <w:rsid w:val="36002FEF"/>
    <w:rsid w:val="360B4516"/>
    <w:rsid w:val="360D204B"/>
    <w:rsid w:val="36131B57"/>
    <w:rsid w:val="362A49AB"/>
    <w:rsid w:val="364E148A"/>
    <w:rsid w:val="3652180C"/>
    <w:rsid w:val="36547C93"/>
    <w:rsid w:val="36552BDC"/>
    <w:rsid w:val="366A2FFA"/>
    <w:rsid w:val="36745C27"/>
    <w:rsid w:val="36E061C9"/>
    <w:rsid w:val="36EA3182"/>
    <w:rsid w:val="36EE4479"/>
    <w:rsid w:val="370101CD"/>
    <w:rsid w:val="37126AB2"/>
    <w:rsid w:val="37176879"/>
    <w:rsid w:val="37291F4E"/>
    <w:rsid w:val="372A2C4A"/>
    <w:rsid w:val="372F1056"/>
    <w:rsid w:val="373C4996"/>
    <w:rsid w:val="374455F9"/>
    <w:rsid w:val="374970B3"/>
    <w:rsid w:val="37561BC7"/>
    <w:rsid w:val="375D66BB"/>
    <w:rsid w:val="37690338"/>
    <w:rsid w:val="377657B0"/>
    <w:rsid w:val="37767740"/>
    <w:rsid w:val="37955E55"/>
    <w:rsid w:val="37A65C80"/>
    <w:rsid w:val="37A75B88"/>
    <w:rsid w:val="37AB74C2"/>
    <w:rsid w:val="37DA41AF"/>
    <w:rsid w:val="38277A17"/>
    <w:rsid w:val="382B0567"/>
    <w:rsid w:val="383C3143"/>
    <w:rsid w:val="38464E27"/>
    <w:rsid w:val="38477753"/>
    <w:rsid w:val="384827F8"/>
    <w:rsid w:val="385F2084"/>
    <w:rsid w:val="38742E2E"/>
    <w:rsid w:val="38860739"/>
    <w:rsid w:val="38A7328F"/>
    <w:rsid w:val="38B13162"/>
    <w:rsid w:val="38B34D9B"/>
    <w:rsid w:val="38CE7781"/>
    <w:rsid w:val="38CF35E8"/>
    <w:rsid w:val="38D42663"/>
    <w:rsid w:val="38E928FC"/>
    <w:rsid w:val="38F1355F"/>
    <w:rsid w:val="39194863"/>
    <w:rsid w:val="39207B97"/>
    <w:rsid w:val="39212075"/>
    <w:rsid w:val="392755EE"/>
    <w:rsid w:val="39296CF1"/>
    <w:rsid w:val="3963301E"/>
    <w:rsid w:val="398F4E06"/>
    <w:rsid w:val="39900FC9"/>
    <w:rsid w:val="39901D63"/>
    <w:rsid w:val="39C01DC1"/>
    <w:rsid w:val="39C90037"/>
    <w:rsid w:val="39D25C95"/>
    <w:rsid w:val="39E735A6"/>
    <w:rsid w:val="39F90755"/>
    <w:rsid w:val="3A00614F"/>
    <w:rsid w:val="3A011A33"/>
    <w:rsid w:val="3A1F40FB"/>
    <w:rsid w:val="3A212AC9"/>
    <w:rsid w:val="3A241712"/>
    <w:rsid w:val="3A2D3016"/>
    <w:rsid w:val="3A3E4582"/>
    <w:rsid w:val="3A60099C"/>
    <w:rsid w:val="3A7C154E"/>
    <w:rsid w:val="3A7C1D49"/>
    <w:rsid w:val="3A7F4D05"/>
    <w:rsid w:val="3AD44EE6"/>
    <w:rsid w:val="3AD46C94"/>
    <w:rsid w:val="3AD82C28"/>
    <w:rsid w:val="3ADF51CF"/>
    <w:rsid w:val="3B003F1F"/>
    <w:rsid w:val="3B070E17"/>
    <w:rsid w:val="3B0721F8"/>
    <w:rsid w:val="3B2F7F79"/>
    <w:rsid w:val="3B35295C"/>
    <w:rsid w:val="3B824942"/>
    <w:rsid w:val="3B855DC3"/>
    <w:rsid w:val="3BBC3628"/>
    <w:rsid w:val="3BDB176D"/>
    <w:rsid w:val="3BE74DFB"/>
    <w:rsid w:val="3BE86E9B"/>
    <w:rsid w:val="3BEC281F"/>
    <w:rsid w:val="3BEE0229"/>
    <w:rsid w:val="3C0D345A"/>
    <w:rsid w:val="3C1557B6"/>
    <w:rsid w:val="3C1F6635"/>
    <w:rsid w:val="3C2C0654"/>
    <w:rsid w:val="3C6D114E"/>
    <w:rsid w:val="3C7E3E5C"/>
    <w:rsid w:val="3C9A5CBB"/>
    <w:rsid w:val="3CAF1767"/>
    <w:rsid w:val="3CDF6727"/>
    <w:rsid w:val="3D005F59"/>
    <w:rsid w:val="3D0777F5"/>
    <w:rsid w:val="3D332398"/>
    <w:rsid w:val="3D5B369C"/>
    <w:rsid w:val="3D6025A1"/>
    <w:rsid w:val="3D6D72DE"/>
    <w:rsid w:val="3D7350FF"/>
    <w:rsid w:val="3D801355"/>
    <w:rsid w:val="3D814A15"/>
    <w:rsid w:val="3DA2751D"/>
    <w:rsid w:val="3DCC6348"/>
    <w:rsid w:val="3DD5344F"/>
    <w:rsid w:val="3DE2791A"/>
    <w:rsid w:val="3E1D6F32"/>
    <w:rsid w:val="3E247F32"/>
    <w:rsid w:val="3E381132"/>
    <w:rsid w:val="3E3E7246"/>
    <w:rsid w:val="3E4812C4"/>
    <w:rsid w:val="3E7D559B"/>
    <w:rsid w:val="3E802EAC"/>
    <w:rsid w:val="3E8862B7"/>
    <w:rsid w:val="3E8C2EB7"/>
    <w:rsid w:val="3E9A01F4"/>
    <w:rsid w:val="3EB31E17"/>
    <w:rsid w:val="3EEE177D"/>
    <w:rsid w:val="3F082F14"/>
    <w:rsid w:val="3F261A88"/>
    <w:rsid w:val="3F2D4B92"/>
    <w:rsid w:val="3F412196"/>
    <w:rsid w:val="3F4C4930"/>
    <w:rsid w:val="3F6902F3"/>
    <w:rsid w:val="3F6F342F"/>
    <w:rsid w:val="3F8124B4"/>
    <w:rsid w:val="3F935E11"/>
    <w:rsid w:val="3F9D125E"/>
    <w:rsid w:val="3FAF7F92"/>
    <w:rsid w:val="3FBF3F13"/>
    <w:rsid w:val="3FBF43B6"/>
    <w:rsid w:val="3FC20213"/>
    <w:rsid w:val="3FD85478"/>
    <w:rsid w:val="3FF16A34"/>
    <w:rsid w:val="401152F0"/>
    <w:rsid w:val="4067248A"/>
    <w:rsid w:val="407E7DCE"/>
    <w:rsid w:val="40844CB8"/>
    <w:rsid w:val="40857CF4"/>
    <w:rsid w:val="40881C13"/>
    <w:rsid w:val="40A47F63"/>
    <w:rsid w:val="40A90F58"/>
    <w:rsid w:val="40BE7759"/>
    <w:rsid w:val="40C0575F"/>
    <w:rsid w:val="40C11DC9"/>
    <w:rsid w:val="40D01E35"/>
    <w:rsid w:val="40DF5585"/>
    <w:rsid w:val="40F77B80"/>
    <w:rsid w:val="410F4ECA"/>
    <w:rsid w:val="41200E9D"/>
    <w:rsid w:val="41381EE1"/>
    <w:rsid w:val="414253E2"/>
    <w:rsid w:val="414C1C7A"/>
    <w:rsid w:val="41630D72"/>
    <w:rsid w:val="41756F60"/>
    <w:rsid w:val="419A6502"/>
    <w:rsid w:val="419D4283"/>
    <w:rsid w:val="41B1178F"/>
    <w:rsid w:val="41B94C86"/>
    <w:rsid w:val="41C73A51"/>
    <w:rsid w:val="41C95079"/>
    <w:rsid w:val="420A743F"/>
    <w:rsid w:val="421729DE"/>
    <w:rsid w:val="421A58D4"/>
    <w:rsid w:val="422757DA"/>
    <w:rsid w:val="42327C77"/>
    <w:rsid w:val="425C29D9"/>
    <w:rsid w:val="4262727B"/>
    <w:rsid w:val="427B20EB"/>
    <w:rsid w:val="42816189"/>
    <w:rsid w:val="428C788C"/>
    <w:rsid w:val="42BB2600"/>
    <w:rsid w:val="42EA67C4"/>
    <w:rsid w:val="42FF47A3"/>
    <w:rsid w:val="43041806"/>
    <w:rsid w:val="43081BD1"/>
    <w:rsid w:val="43086074"/>
    <w:rsid w:val="43353114"/>
    <w:rsid w:val="434C41B3"/>
    <w:rsid w:val="435830D7"/>
    <w:rsid w:val="435F56D7"/>
    <w:rsid w:val="436A2C23"/>
    <w:rsid w:val="43B95ACB"/>
    <w:rsid w:val="43C053BC"/>
    <w:rsid w:val="43DB380E"/>
    <w:rsid w:val="43E26BB9"/>
    <w:rsid w:val="43E91A32"/>
    <w:rsid w:val="43EB2023"/>
    <w:rsid w:val="44003B21"/>
    <w:rsid w:val="44010D9C"/>
    <w:rsid w:val="4404721B"/>
    <w:rsid w:val="44111BB5"/>
    <w:rsid w:val="44150A49"/>
    <w:rsid w:val="443618C3"/>
    <w:rsid w:val="443811EB"/>
    <w:rsid w:val="4475502E"/>
    <w:rsid w:val="44960EAC"/>
    <w:rsid w:val="44A771C7"/>
    <w:rsid w:val="44BA4882"/>
    <w:rsid w:val="44C240EA"/>
    <w:rsid w:val="44CE29A6"/>
    <w:rsid w:val="44D94BC1"/>
    <w:rsid w:val="44E93C84"/>
    <w:rsid w:val="44FC0B99"/>
    <w:rsid w:val="45052782"/>
    <w:rsid w:val="451D572D"/>
    <w:rsid w:val="453613B9"/>
    <w:rsid w:val="45554736"/>
    <w:rsid w:val="456433AF"/>
    <w:rsid w:val="456926CF"/>
    <w:rsid w:val="456B6447"/>
    <w:rsid w:val="458920E2"/>
    <w:rsid w:val="45AB325F"/>
    <w:rsid w:val="45AE4881"/>
    <w:rsid w:val="45AF4C29"/>
    <w:rsid w:val="45B47DEE"/>
    <w:rsid w:val="45BE0C6C"/>
    <w:rsid w:val="45F460EC"/>
    <w:rsid w:val="466E61EE"/>
    <w:rsid w:val="4685178A"/>
    <w:rsid w:val="4686308E"/>
    <w:rsid w:val="46865808"/>
    <w:rsid w:val="46A854DD"/>
    <w:rsid w:val="46A958B9"/>
    <w:rsid w:val="46AC6D17"/>
    <w:rsid w:val="46BD1BAF"/>
    <w:rsid w:val="46CE04FB"/>
    <w:rsid w:val="46EB783F"/>
    <w:rsid w:val="470248DE"/>
    <w:rsid w:val="471C5C4A"/>
    <w:rsid w:val="473E5621"/>
    <w:rsid w:val="47780A43"/>
    <w:rsid w:val="47787B56"/>
    <w:rsid w:val="477F442B"/>
    <w:rsid w:val="47A32644"/>
    <w:rsid w:val="47B56720"/>
    <w:rsid w:val="47BA22EE"/>
    <w:rsid w:val="47DA1495"/>
    <w:rsid w:val="47E960C2"/>
    <w:rsid w:val="47F24BFD"/>
    <w:rsid w:val="47F758FB"/>
    <w:rsid w:val="47FD3CCE"/>
    <w:rsid w:val="48246790"/>
    <w:rsid w:val="48266030"/>
    <w:rsid w:val="482E25FC"/>
    <w:rsid w:val="48335942"/>
    <w:rsid w:val="48427933"/>
    <w:rsid w:val="484B3F8F"/>
    <w:rsid w:val="484D68B3"/>
    <w:rsid w:val="488036D1"/>
    <w:rsid w:val="48852991"/>
    <w:rsid w:val="48AA5526"/>
    <w:rsid w:val="48AB570C"/>
    <w:rsid w:val="48AF7E4F"/>
    <w:rsid w:val="48B325DE"/>
    <w:rsid w:val="48B84931"/>
    <w:rsid w:val="48BF2D31"/>
    <w:rsid w:val="48E861DE"/>
    <w:rsid w:val="48FF3FE4"/>
    <w:rsid w:val="490A3A59"/>
    <w:rsid w:val="490D7DE5"/>
    <w:rsid w:val="49117305"/>
    <w:rsid w:val="491A08B0"/>
    <w:rsid w:val="49277496"/>
    <w:rsid w:val="492A748E"/>
    <w:rsid w:val="49357C6E"/>
    <w:rsid w:val="496833C9"/>
    <w:rsid w:val="49751537"/>
    <w:rsid w:val="49763B64"/>
    <w:rsid w:val="49820A42"/>
    <w:rsid w:val="49917692"/>
    <w:rsid w:val="499454EA"/>
    <w:rsid w:val="4996788A"/>
    <w:rsid w:val="49A81A17"/>
    <w:rsid w:val="49BE65F2"/>
    <w:rsid w:val="49C379E7"/>
    <w:rsid w:val="49CC6127"/>
    <w:rsid w:val="49D44A8F"/>
    <w:rsid w:val="49FF684C"/>
    <w:rsid w:val="4A0112AD"/>
    <w:rsid w:val="4A1C5B6E"/>
    <w:rsid w:val="4A3F33E2"/>
    <w:rsid w:val="4A4060F4"/>
    <w:rsid w:val="4A8B004B"/>
    <w:rsid w:val="4A972171"/>
    <w:rsid w:val="4AFD5D93"/>
    <w:rsid w:val="4B1E0B96"/>
    <w:rsid w:val="4B3A6FE7"/>
    <w:rsid w:val="4B4C491A"/>
    <w:rsid w:val="4B751DCD"/>
    <w:rsid w:val="4B7A1451"/>
    <w:rsid w:val="4B840CAF"/>
    <w:rsid w:val="4B9D69B9"/>
    <w:rsid w:val="4BC4224B"/>
    <w:rsid w:val="4BE1285E"/>
    <w:rsid w:val="4C4452E4"/>
    <w:rsid w:val="4C5F4B74"/>
    <w:rsid w:val="4C650094"/>
    <w:rsid w:val="4C661AB8"/>
    <w:rsid w:val="4CB54211"/>
    <w:rsid w:val="4CC208D3"/>
    <w:rsid w:val="4CC90623"/>
    <w:rsid w:val="4CCE5C39"/>
    <w:rsid w:val="4CE216E4"/>
    <w:rsid w:val="4CF64E7A"/>
    <w:rsid w:val="4CFA4C80"/>
    <w:rsid w:val="4D090A1F"/>
    <w:rsid w:val="4D1D77E4"/>
    <w:rsid w:val="4D2E157C"/>
    <w:rsid w:val="4D3006A2"/>
    <w:rsid w:val="4D3D4B6D"/>
    <w:rsid w:val="4D5622A0"/>
    <w:rsid w:val="4D5A3970"/>
    <w:rsid w:val="4D5E3359"/>
    <w:rsid w:val="4D97427D"/>
    <w:rsid w:val="4DB71FA2"/>
    <w:rsid w:val="4DE746CD"/>
    <w:rsid w:val="4DE97CB5"/>
    <w:rsid w:val="4E217FEA"/>
    <w:rsid w:val="4E25628E"/>
    <w:rsid w:val="4E52289A"/>
    <w:rsid w:val="4E925506"/>
    <w:rsid w:val="4EA147C6"/>
    <w:rsid w:val="4EA43AC4"/>
    <w:rsid w:val="4EB71C16"/>
    <w:rsid w:val="4EE56483"/>
    <w:rsid w:val="4F010748"/>
    <w:rsid w:val="4F074715"/>
    <w:rsid w:val="4F50502B"/>
    <w:rsid w:val="4F553384"/>
    <w:rsid w:val="4F560168"/>
    <w:rsid w:val="4F8627FB"/>
    <w:rsid w:val="4FA233AD"/>
    <w:rsid w:val="4FAB04B3"/>
    <w:rsid w:val="4FDF015D"/>
    <w:rsid w:val="4FDF4F91"/>
    <w:rsid w:val="50016325"/>
    <w:rsid w:val="50487AB0"/>
    <w:rsid w:val="507938D1"/>
    <w:rsid w:val="508D1967"/>
    <w:rsid w:val="508F3931"/>
    <w:rsid w:val="509A433A"/>
    <w:rsid w:val="50B162B1"/>
    <w:rsid w:val="50DB3F55"/>
    <w:rsid w:val="50DC2AD2"/>
    <w:rsid w:val="50FC6799"/>
    <w:rsid w:val="5120121E"/>
    <w:rsid w:val="513F7105"/>
    <w:rsid w:val="51464F1B"/>
    <w:rsid w:val="514F16EF"/>
    <w:rsid w:val="516A7314"/>
    <w:rsid w:val="51756BBB"/>
    <w:rsid w:val="517B4CCE"/>
    <w:rsid w:val="51A37E3F"/>
    <w:rsid w:val="51A6159B"/>
    <w:rsid w:val="51BF62F0"/>
    <w:rsid w:val="51C4585C"/>
    <w:rsid w:val="51D3784E"/>
    <w:rsid w:val="51D418D7"/>
    <w:rsid w:val="51D60053"/>
    <w:rsid w:val="51E01D1C"/>
    <w:rsid w:val="51E25CE3"/>
    <w:rsid w:val="5216686C"/>
    <w:rsid w:val="5245504A"/>
    <w:rsid w:val="526B217C"/>
    <w:rsid w:val="526C7FE5"/>
    <w:rsid w:val="526D1A50"/>
    <w:rsid w:val="528B1ED6"/>
    <w:rsid w:val="52E73CE8"/>
    <w:rsid w:val="530103EA"/>
    <w:rsid w:val="53177C0E"/>
    <w:rsid w:val="53194140"/>
    <w:rsid w:val="531D44C0"/>
    <w:rsid w:val="532A7D0B"/>
    <w:rsid w:val="533E33EC"/>
    <w:rsid w:val="535722C9"/>
    <w:rsid w:val="53615C83"/>
    <w:rsid w:val="53690833"/>
    <w:rsid w:val="539052D5"/>
    <w:rsid w:val="53937719"/>
    <w:rsid w:val="5394300C"/>
    <w:rsid w:val="53A476F3"/>
    <w:rsid w:val="53C41B44"/>
    <w:rsid w:val="53E421E6"/>
    <w:rsid w:val="53F00397"/>
    <w:rsid w:val="54063F0A"/>
    <w:rsid w:val="540C0DF1"/>
    <w:rsid w:val="541303D5"/>
    <w:rsid w:val="54195205"/>
    <w:rsid w:val="542B3066"/>
    <w:rsid w:val="54413194"/>
    <w:rsid w:val="544C781F"/>
    <w:rsid w:val="544F3BE0"/>
    <w:rsid w:val="54600AF5"/>
    <w:rsid w:val="547340E3"/>
    <w:rsid w:val="54880212"/>
    <w:rsid w:val="54B41BB8"/>
    <w:rsid w:val="54B43966"/>
    <w:rsid w:val="54B92D4A"/>
    <w:rsid w:val="54B971CF"/>
    <w:rsid w:val="54C74C42"/>
    <w:rsid w:val="54EA382C"/>
    <w:rsid w:val="54F63F7F"/>
    <w:rsid w:val="551F7493"/>
    <w:rsid w:val="55472CA4"/>
    <w:rsid w:val="55483B21"/>
    <w:rsid w:val="555B2034"/>
    <w:rsid w:val="55B54831"/>
    <w:rsid w:val="55C027DF"/>
    <w:rsid w:val="55C533BC"/>
    <w:rsid w:val="55DB4FB2"/>
    <w:rsid w:val="55EE2EA8"/>
    <w:rsid w:val="560F139F"/>
    <w:rsid w:val="56137312"/>
    <w:rsid w:val="561B7A15"/>
    <w:rsid w:val="5632548A"/>
    <w:rsid w:val="563D3E2F"/>
    <w:rsid w:val="564928C4"/>
    <w:rsid w:val="569C1A6D"/>
    <w:rsid w:val="569E7C80"/>
    <w:rsid w:val="56AB6FEB"/>
    <w:rsid w:val="56AD6F24"/>
    <w:rsid w:val="56C36BA5"/>
    <w:rsid w:val="56D35BDC"/>
    <w:rsid w:val="56DC79DB"/>
    <w:rsid w:val="57052D28"/>
    <w:rsid w:val="57076DFB"/>
    <w:rsid w:val="57160908"/>
    <w:rsid w:val="5721105B"/>
    <w:rsid w:val="572A6162"/>
    <w:rsid w:val="573214BA"/>
    <w:rsid w:val="57460AC2"/>
    <w:rsid w:val="579218A2"/>
    <w:rsid w:val="57B976AF"/>
    <w:rsid w:val="57DE622F"/>
    <w:rsid w:val="57EE6D5B"/>
    <w:rsid w:val="57F30C49"/>
    <w:rsid w:val="57FC029D"/>
    <w:rsid w:val="57FE69BB"/>
    <w:rsid w:val="5800082C"/>
    <w:rsid w:val="581B1EFE"/>
    <w:rsid w:val="581F1113"/>
    <w:rsid w:val="58214A53"/>
    <w:rsid w:val="5821512A"/>
    <w:rsid w:val="58332729"/>
    <w:rsid w:val="583A23D4"/>
    <w:rsid w:val="58676F42"/>
    <w:rsid w:val="589917F1"/>
    <w:rsid w:val="58A00076"/>
    <w:rsid w:val="58A2241F"/>
    <w:rsid w:val="58B76099"/>
    <w:rsid w:val="58BA72DA"/>
    <w:rsid w:val="58BB7B9D"/>
    <w:rsid w:val="58ED1A83"/>
    <w:rsid w:val="58F6292F"/>
    <w:rsid w:val="59125592"/>
    <w:rsid w:val="591506A3"/>
    <w:rsid w:val="59350DEE"/>
    <w:rsid w:val="59462E09"/>
    <w:rsid w:val="59613991"/>
    <w:rsid w:val="596D17CF"/>
    <w:rsid w:val="5976568E"/>
    <w:rsid w:val="597B4402"/>
    <w:rsid w:val="598A14B5"/>
    <w:rsid w:val="59F36B5D"/>
    <w:rsid w:val="59F667CF"/>
    <w:rsid w:val="5A0129C8"/>
    <w:rsid w:val="5A3A15EA"/>
    <w:rsid w:val="5A3C5BEF"/>
    <w:rsid w:val="5A655703"/>
    <w:rsid w:val="5A7345C5"/>
    <w:rsid w:val="5A7476F4"/>
    <w:rsid w:val="5A955FE8"/>
    <w:rsid w:val="5A9D30EE"/>
    <w:rsid w:val="5ABF0394"/>
    <w:rsid w:val="5AC93EE4"/>
    <w:rsid w:val="5AE9090F"/>
    <w:rsid w:val="5AF20524"/>
    <w:rsid w:val="5B044F1C"/>
    <w:rsid w:val="5B14169C"/>
    <w:rsid w:val="5B305D11"/>
    <w:rsid w:val="5B411399"/>
    <w:rsid w:val="5B4B3BC3"/>
    <w:rsid w:val="5B564BFC"/>
    <w:rsid w:val="5B8F34D0"/>
    <w:rsid w:val="5B914A01"/>
    <w:rsid w:val="5BA06A7F"/>
    <w:rsid w:val="5BAF6C35"/>
    <w:rsid w:val="5BB65099"/>
    <w:rsid w:val="5BB76C95"/>
    <w:rsid w:val="5BCC5A39"/>
    <w:rsid w:val="5BDB5C7C"/>
    <w:rsid w:val="5BF9099D"/>
    <w:rsid w:val="5BFF2AD8"/>
    <w:rsid w:val="5C0B4A28"/>
    <w:rsid w:val="5C103C8D"/>
    <w:rsid w:val="5C1967A5"/>
    <w:rsid w:val="5C1A7F01"/>
    <w:rsid w:val="5C1B42CB"/>
    <w:rsid w:val="5C3B2BBF"/>
    <w:rsid w:val="5C441A74"/>
    <w:rsid w:val="5C755CF7"/>
    <w:rsid w:val="5C7A5495"/>
    <w:rsid w:val="5C82773C"/>
    <w:rsid w:val="5CA73DB1"/>
    <w:rsid w:val="5CB07109"/>
    <w:rsid w:val="5CBF2D50"/>
    <w:rsid w:val="5CBF3C55"/>
    <w:rsid w:val="5CBF7D98"/>
    <w:rsid w:val="5D0543A9"/>
    <w:rsid w:val="5D276544"/>
    <w:rsid w:val="5D304E08"/>
    <w:rsid w:val="5D5757D7"/>
    <w:rsid w:val="5D790B6E"/>
    <w:rsid w:val="5D9012E3"/>
    <w:rsid w:val="5D9E7743"/>
    <w:rsid w:val="5DA019DD"/>
    <w:rsid w:val="5DBA085B"/>
    <w:rsid w:val="5DC866D4"/>
    <w:rsid w:val="5DD02C46"/>
    <w:rsid w:val="5DD808A2"/>
    <w:rsid w:val="5DF247AE"/>
    <w:rsid w:val="5E1820D4"/>
    <w:rsid w:val="5E216722"/>
    <w:rsid w:val="5E2A7F38"/>
    <w:rsid w:val="5E2D2C9F"/>
    <w:rsid w:val="5E4664D2"/>
    <w:rsid w:val="5E60690D"/>
    <w:rsid w:val="5E63381F"/>
    <w:rsid w:val="5E710B1A"/>
    <w:rsid w:val="5E7F2BC2"/>
    <w:rsid w:val="5E8048B9"/>
    <w:rsid w:val="5E822663"/>
    <w:rsid w:val="5E83582A"/>
    <w:rsid w:val="5EAB5ACC"/>
    <w:rsid w:val="5EB92CC1"/>
    <w:rsid w:val="5EC831A0"/>
    <w:rsid w:val="5EE069B1"/>
    <w:rsid w:val="5EE325AD"/>
    <w:rsid w:val="5EE47A2C"/>
    <w:rsid w:val="5EF07C91"/>
    <w:rsid w:val="5EF20499"/>
    <w:rsid w:val="5EFB03E4"/>
    <w:rsid w:val="5F024CDD"/>
    <w:rsid w:val="5F14370C"/>
    <w:rsid w:val="5F2D1B75"/>
    <w:rsid w:val="5F427DC1"/>
    <w:rsid w:val="5F513FE0"/>
    <w:rsid w:val="5F5875E4"/>
    <w:rsid w:val="5FA02DB5"/>
    <w:rsid w:val="5FC0142A"/>
    <w:rsid w:val="5FD945CF"/>
    <w:rsid w:val="5FE96556"/>
    <w:rsid w:val="5FF53F8B"/>
    <w:rsid w:val="600215CD"/>
    <w:rsid w:val="600F4147"/>
    <w:rsid w:val="6014175D"/>
    <w:rsid w:val="60327E35"/>
    <w:rsid w:val="603A0266"/>
    <w:rsid w:val="603A43FD"/>
    <w:rsid w:val="603D24F7"/>
    <w:rsid w:val="60805044"/>
    <w:rsid w:val="60CE2F05"/>
    <w:rsid w:val="60DB2D6E"/>
    <w:rsid w:val="61204131"/>
    <w:rsid w:val="614A183F"/>
    <w:rsid w:val="614E0501"/>
    <w:rsid w:val="61574F47"/>
    <w:rsid w:val="616243F6"/>
    <w:rsid w:val="616B7AA3"/>
    <w:rsid w:val="6170190B"/>
    <w:rsid w:val="617036E2"/>
    <w:rsid w:val="617050B9"/>
    <w:rsid w:val="617134CC"/>
    <w:rsid w:val="61844BF3"/>
    <w:rsid w:val="619743F4"/>
    <w:rsid w:val="61BF3279"/>
    <w:rsid w:val="61C3343B"/>
    <w:rsid w:val="61E64A77"/>
    <w:rsid w:val="620C75F6"/>
    <w:rsid w:val="623B0F57"/>
    <w:rsid w:val="623B7475"/>
    <w:rsid w:val="62404A8B"/>
    <w:rsid w:val="62775FD3"/>
    <w:rsid w:val="62821E71"/>
    <w:rsid w:val="629D7F1F"/>
    <w:rsid w:val="62E95123"/>
    <w:rsid w:val="62EC7A48"/>
    <w:rsid w:val="62FF5D06"/>
    <w:rsid w:val="63001EB3"/>
    <w:rsid w:val="63086B35"/>
    <w:rsid w:val="630933A6"/>
    <w:rsid w:val="63193AEE"/>
    <w:rsid w:val="63316ACA"/>
    <w:rsid w:val="63495BC1"/>
    <w:rsid w:val="635673F9"/>
    <w:rsid w:val="635E4B91"/>
    <w:rsid w:val="63700796"/>
    <w:rsid w:val="63770981"/>
    <w:rsid w:val="637C10B3"/>
    <w:rsid w:val="639332E1"/>
    <w:rsid w:val="6397625C"/>
    <w:rsid w:val="639E348C"/>
    <w:rsid w:val="63A365C7"/>
    <w:rsid w:val="63A469EA"/>
    <w:rsid w:val="63B53257"/>
    <w:rsid w:val="63D74F7B"/>
    <w:rsid w:val="63FC741F"/>
    <w:rsid w:val="63FE0DD2"/>
    <w:rsid w:val="63FF0976"/>
    <w:rsid w:val="6401649C"/>
    <w:rsid w:val="640D4E39"/>
    <w:rsid w:val="64306D81"/>
    <w:rsid w:val="64540CC2"/>
    <w:rsid w:val="64787BDF"/>
    <w:rsid w:val="648110E3"/>
    <w:rsid w:val="648F5856"/>
    <w:rsid w:val="64A23BFA"/>
    <w:rsid w:val="64A63683"/>
    <w:rsid w:val="64A7463B"/>
    <w:rsid w:val="64AF5EF8"/>
    <w:rsid w:val="64BB0CFE"/>
    <w:rsid w:val="64BB489D"/>
    <w:rsid w:val="64DE058B"/>
    <w:rsid w:val="64E57B6C"/>
    <w:rsid w:val="64ED5013"/>
    <w:rsid w:val="64F74327"/>
    <w:rsid w:val="64FC41D1"/>
    <w:rsid w:val="650A1380"/>
    <w:rsid w:val="65145F88"/>
    <w:rsid w:val="65235556"/>
    <w:rsid w:val="653F54CE"/>
    <w:rsid w:val="65654809"/>
    <w:rsid w:val="6588399E"/>
    <w:rsid w:val="65896749"/>
    <w:rsid w:val="65BE3F63"/>
    <w:rsid w:val="65C818E6"/>
    <w:rsid w:val="65CE2AA4"/>
    <w:rsid w:val="65E0586F"/>
    <w:rsid w:val="65EB1684"/>
    <w:rsid w:val="65EC0A86"/>
    <w:rsid w:val="65F70320"/>
    <w:rsid w:val="660C160E"/>
    <w:rsid w:val="664C48EB"/>
    <w:rsid w:val="66884C53"/>
    <w:rsid w:val="66BE6F1A"/>
    <w:rsid w:val="66DE0D17"/>
    <w:rsid w:val="66F919D1"/>
    <w:rsid w:val="67026397"/>
    <w:rsid w:val="670B180C"/>
    <w:rsid w:val="670D0E9E"/>
    <w:rsid w:val="671C06E4"/>
    <w:rsid w:val="6724229C"/>
    <w:rsid w:val="672C55DE"/>
    <w:rsid w:val="67300E5E"/>
    <w:rsid w:val="674522B1"/>
    <w:rsid w:val="67AE693B"/>
    <w:rsid w:val="67CB3049"/>
    <w:rsid w:val="67D863A3"/>
    <w:rsid w:val="67E91D1D"/>
    <w:rsid w:val="67F84501"/>
    <w:rsid w:val="68061E48"/>
    <w:rsid w:val="68070B84"/>
    <w:rsid w:val="68070CD7"/>
    <w:rsid w:val="680B0E10"/>
    <w:rsid w:val="681C6DDC"/>
    <w:rsid w:val="684B5F38"/>
    <w:rsid w:val="684C2ACE"/>
    <w:rsid w:val="685727D9"/>
    <w:rsid w:val="685E2658"/>
    <w:rsid w:val="68633281"/>
    <w:rsid w:val="687306F3"/>
    <w:rsid w:val="68764228"/>
    <w:rsid w:val="68A32A1B"/>
    <w:rsid w:val="68D44E07"/>
    <w:rsid w:val="68DC071A"/>
    <w:rsid w:val="68DE1D7B"/>
    <w:rsid w:val="69052508"/>
    <w:rsid w:val="691C4C7F"/>
    <w:rsid w:val="695864A1"/>
    <w:rsid w:val="696E3BB1"/>
    <w:rsid w:val="6971715A"/>
    <w:rsid w:val="69733973"/>
    <w:rsid w:val="6989589F"/>
    <w:rsid w:val="699A555D"/>
    <w:rsid w:val="69A24DB9"/>
    <w:rsid w:val="69A37B71"/>
    <w:rsid w:val="69A47686"/>
    <w:rsid w:val="69CD7E78"/>
    <w:rsid w:val="69E36EDB"/>
    <w:rsid w:val="6A0C4CF5"/>
    <w:rsid w:val="6A242EE4"/>
    <w:rsid w:val="6A486BD3"/>
    <w:rsid w:val="6A5B6E0D"/>
    <w:rsid w:val="6A7A75D7"/>
    <w:rsid w:val="6A891990"/>
    <w:rsid w:val="6ABC4088"/>
    <w:rsid w:val="6AC818B0"/>
    <w:rsid w:val="6AD04F15"/>
    <w:rsid w:val="6AE6604A"/>
    <w:rsid w:val="6AF5284F"/>
    <w:rsid w:val="6B20545A"/>
    <w:rsid w:val="6B282560"/>
    <w:rsid w:val="6B2D49D0"/>
    <w:rsid w:val="6B2F087D"/>
    <w:rsid w:val="6B5A4EA4"/>
    <w:rsid w:val="6B6317EA"/>
    <w:rsid w:val="6B6844EE"/>
    <w:rsid w:val="6B8143A2"/>
    <w:rsid w:val="6B833C3B"/>
    <w:rsid w:val="6B9674E3"/>
    <w:rsid w:val="6BAD7B4E"/>
    <w:rsid w:val="6BAE1C71"/>
    <w:rsid w:val="6BD3071E"/>
    <w:rsid w:val="6BD7028F"/>
    <w:rsid w:val="6BDB3A77"/>
    <w:rsid w:val="6BF94DB3"/>
    <w:rsid w:val="6C2B3654"/>
    <w:rsid w:val="6C3B62C3"/>
    <w:rsid w:val="6C67530A"/>
    <w:rsid w:val="6C841A18"/>
    <w:rsid w:val="6C9003BD"/>
    <w:rsid w:val="6CB85165"/>
    <w:rsid w:val="6CDF5534"/>
    <w:rsid w:val="6CE801F9"/>
    <w:rsid w:val="6CEB1A97"/>
    <w:rsid w:val="6CF52916"/>
    <w:rsid w:val="6D087672"/>
    <w:rsid w:val="6D301BA0"/>
    <w:rsid w:val="6D3D5F38"/>
    <w:rsid w:val="6D4052F9"/>
    <w:rsid w:val="6D6C2BD8"/>
    <w:rsid w:val="6D7E0B5E"/>
    <w:rsid w:val="6DB31506"/>
    <w:rsid w:val="6DD43355"/>
    <w:rsid w:val="6DE12054"/>
    <w:rsid w:val="6DE406B7"/>
    <w:rsid w:val="6E0A23F1"/>
    <w:rsid w:val="6E1740BE"/>
    <w:rsid w:val="6E4362DB"/>
    <w:rsid w:val="6E476018"/>
    <w:rsid w:val="6E4C1C73"/>
    <w:rsid w:val="6E63628A"/>
    <w:rsid w:val="6E7541E6"/>
    <w:rsid w:val="6E82340B"/>
    <w:rsid w:val="6E9435E7"/>
    <w:rsid w:val="6EB654D9"/>
    <w:rsid w:val="6EBD3347"/>
    <w:rsid w:val="6EC97AC6"/>
    <w:rsid w:val="6EE036BB"/>
    <w:rsid w:val="6EE079F1"/>
    <w:rsid w:val="6EEA7239"/>
    <w:rsid w:val="6F125A01"/>
    <w:rsid w:val="6F12689C"/>
    <w:rsid w:val="6F322F49"/>
    <w:rsid w:val="6F3C108A"/>
    <w:rsid w:val="6F3D1479"/>
    <w:rsid w:val="6F48408F"/>
    <w:rsid w:val="6F787C25"/>
    <w:rsid w:val="6F7A7BBB"/>
    <w:rsid w:val="6F7C10CD"/>
    <w:rsid w:val="6F8666F2"/>
    <w:rsid w:val="6F8F3157"/>
    <w:rsid w:val="6FAA5C3A"/>
    <w:rsid w:val="6FC373A7"/>
    <w:rsid w:val="6FC75525"/>
    <w:rsid w:val="6FCB7AF7"/>
    <w:rsid w:val="6FD902CD"/>
    <w:rsid w:val="6FE96616"/>
    <w:rsid w:val="6FEA4288"/>
    <w:rsid w:val="6FED5B27"/>
    <w:rsid w:val="6FED6CAD"/>
    <w:rsid w:val="7025081F"/>
    <w:rsid w:val="702A28D7"/>
    <w:rsid w:val="70841E79"/>
    <w:rsid w:val="70872E08"/>
    <w:rsid w:val="70887D85"/>
    <w:rsid w:val="708F2B0E"/>
    <w:rsid w:val="70A01267"/>
    <w:rsid w:val="70B328CC"/>
    <w:rsid w:val="70BD7BEF"/>
    <w:rsid w:val="70E707C8"/>
    <w:rsid w:val="70F84C8D"/>
    <w:rsid w:val="71213CDA"/>
    <w:rsid w:val="71451725"/>
    <w:rsid w:val="714B51FB"/>
    <w:rsid w:val="714B6FA9"/>
    <w:rsid w:val="715518C8"/>
    <w:rsid w:val="716E2AAF"/>
    <w:rsid w:val="71701CB6"/>
    <w:rsid w:val="717845C7"/>
    <w:rsid w:val="719C0973"/>
    <w:rsid w:val="71AF00B3"/>
    <w:rsid w:val="71B33332"/>
    <w:rsid w:val="71C31235"/>
    <w:rsid w:val="71D606FC"/>
    <w:rsid w:val="71D62D16"/>
    <w:rsid w:val="71E847F7"/>
    <w:rsid w:val="71F55750"/>
    <w:rsid w:val="71F8555F"/>
    <w:rsid w:val="722C0B88"/>
    <w:rsid w:val="72320B40"/>
    <w:rsid w:val="723D2D95"/>
    <w:rsid w:val="725A286D"/>
    <w:rsid w:val="728564EA"/>
    <w:rsid w:val="7289740F"/>
    <w:rsid w:val="72986DF5"/>
    <w:rsid w:val="729B16D5"/>
    <w:rsid w:val="72AA7CFF"/>
    <w:rsid w:val="72B400B1"/>
    <w:rsid w:val="72D07765"/>
    <w:rsid w:val="72E651DB"/>
    <w:rsid w:val="72FD13FD"/>
    <w:rsid w:val="73335F46"/>
    <w:rsid w:val="734939BC"/>
    <w:rsid w:val="735D5637"/>
    <w:rsid w:val="73614861"/>
    <w:rsid w:val="736E484F"/>
    <w:rsid w:val="7376390A"/>
    <w:rsid w:val="7392667F"/>
    <w:rsid w:val="7394780C"/>
    <w:rsid w:val="73B95A3C"/>
    <w:rsid w:val="73C85B40"/>
    <w:rsid w:val="73D33F7F"/>
    <w:rsid w:val="73D7234C"/>
    <w:rsid w:val="73EA06EE"/>
    <w:rsid w:val="73F96853"/>
    <w:rsid w:val="73FF1594"/>
    <w:rsid w:val="74411FF5"/>
    <w:rsid w:val="74433B4D"/>
    <w:rsid w:val="74594E06"/>
    <w:rsid w:val="74664BA8"/>
    <w:rsid w:val="747A4AAE"/>
    <w:rsid w:val="747D56CB"/>
    <w:rsid w:val="748702F8"/>
    <w:rsid w:val="748D0494"/>
    <w:rsid w:val="749B0E50"/>
    <w:rsid w:val="74B544FA"/>
    <w:rsid w:val="74BC2C75"/>
    <w:rsid w:val="74CB4140"/>
    <w:rsid w:val="74CD5A22"/>
    <w:rsid w:val="74D57112"/>
    <w:rsid w:val="74DE15BF"/>
    <w:rsid w:val="74F4003C"/>
    <w:rsid w:val="75164D94"/>
    <w:rsid w:val="751D6EAE"/>
    <w:rsid w:val="753F731F"/>
    <w:rsid w:val="75423AB6"/>
    <w:rsid w:val="75504B8E"/>
    <w:rsid w:val="7595440D"/>
    <w:rsid w:val="75A0002E"/>
    <w:rsid w:val="75AD178F"/>
    <w:rsid w:val="75C01AFE"/>
    <w:rsid w:val="75C55D62"/>
    <w:rsid w:val="75D128EC"/>
    <w:rsid w:val="75DD6FE8"/>
    <w:rsid w:val="75FA330F"/>
    <w:rsid w:val="75FE283B"/>
    <w:rsid w:val="76015B58"/>
    <w:rsid w:val="76141CB8"/>
    <w:rsid w:val="764B35A7"/>
    <w:rsid w:val="76650B0D"/>
    <w:rsid w:val="76716F2F"/>
    <w:rsid w:val="767B3E8C"/>
    <w:rsid w:val="767B6D29"/>
    <w:rsid w:val="768D3C87"/>
    <w:rsid w:val="76926EF3"/>
    <w:rsid w:val="76931859"/>
    <w:rsid w:val="76A16E7A"/>
    <w:rsid w:val="76B50BC0"/>
    <w:rsid w:val="76B67356"/>
    <w:rsid w:val="76C7782A"/>
    <w:rsid w:val="76CF5F86"/>
    <w:rsid w:val="76F5479D"/>
    <w:rsid w:val="77A02E51"/>
    <w:rsid w:val="77B07B65"/>
    <w:rsid w:val="77C70812"/>
    <w:rsid w:val="77E41981"/>
    <w:rsid w:val="77F11A4A"/>
    <w:rsid w:val="77F263D0"/>
    <w:rsid w:val="780D5627"/>
    <w:rsid w:val="783472CB"/>
    <w:rsid w:val="784148C4"/>
    <w:rsid w:val="784D3606"/>
    <w:rsid w:val="785715FC"/>
    <w:rsid w:val="78624631"/>
    <w:rsid w:val="786637C6"/>
    <w:rsid w:val="78755B75"/>
    <w:rsid w:val="789F2A5D"/>
    <w:rsid w:val="78A51694"/>
    <w:rsid w:val="78AA0A59"/>
    <w:rsid w:val="78B72BA6"/>
    <w:rsid w:val="78D8474A"/>
    <w:rsid w:val="78E139A5"/>
    <w:rsid w:val="78ED3F27"/>
    <w:rsid w:val="790243F1"/>
    <w:rsid w:val="790C1713"/>
    <w:rsid w:val="791C49B4"/>
    <w:rsid w:val="79211761"/>
    <w:rsid w:val="79333A86"/>
    <w:rsid w:val="79350634"/>
    <w:rsid w:val="79355A99"/>
    <w:rsid w:val="79466B93"/>
    <w:rsid w:val="79584B55"/>
    <w:rsid w:val="795F7A95"/>
    <w:rsid w:val="79670132"/>
    <w:rsid w:val="796C4DDB"/>
    <w:rsid w:val="796D71CD"/>
    <w:rsid w:val="79701CA2"/>
    <w:rsid w:val="798968C0"/>
    <w:rsid w:val="798E3ED6"/>
    <w:rsid w:val="79B25E17"/>
    <w:rsid w:val="79BA116F"/>
    <w:rsid w:val="79BE0C60"/>
    <w:rsid w:val="79D75F65"/>
    <w:rsid w:val="79DC6531"/>
    <w:rsid w:val="79FF6F80"/>
    <w:rsid w:val="7A0B7BCF"/>
    <w:rsid w:val="7A2B3E1B"/>
    <w:rsid w:val="7A563B39"/>
    <w:rsid w:val="7A6E0399"/>
    <w:rsid w:val="7A9032B8"/>
    <w:rsid w:val="7A9C1B1B"/>
    <w:rsid w:val="7A9D3347"/>
    <w:rsid w:val="7A9D6AC7"/>
    <w:rsid w:val="7AB45BBF"/>
    <w:rsid w:val="7AD973D3"/>
    <w:rsid w:val="7ADF7718"/>
    <w:rsid w:val="7AEC5358"/>
    <w:rsid w:val="7B2014A6"/>
    <w:rsid w:val="7B3E6DD6"/>
    <w:rsid w:val="7B4707E1"/>
    <w:rsid w:val="7B4B2B46"/>
    <w:rsid w:val="7B5932AF"/>
    <w:rsid w:val="7B6A44CF"/>
    <w:rsid w:val="7B6E4B32"/>
    <w:rsid w:val="7B731804"/>
    <w:rsid w:val="7B777075"/>
    <w:rsid w:val="7B8D7658"/>
    <w:rsid w:val="7BA479E1"/>
    <w:rsid w:val="7BAC4E2E"/>
    <w:rsid w:val="7BBD4F47"/>
    <w:rsid w:val="7C127041"/>
    <w:rsid w:val="7C4D3302"/>
    <w:rsid w:val="7C8D07A1"/>
    <w:rsid w:val="7C907F65"/>
    <w:rsid w:val="7C984A62"/>
    <w:rsid w:val="7C990F55"/>
    <w:rsid w:val="7CC307E0"/>
    <w:rsid w:val="7CF67C1E"/>
    <w:rsid w:val="7CF90248"/>
    <w:rsid w:val="7D0346DC"/>
    <w:rsid w:val="7D0664BF"/>
    <w:rsid w:val="7D136827"/>
    <w:rsid w:val="7D162B61"/>
    <w:rsid w:val="7D28155C"/>
    <w:rsid w:val="7D2B4BFF"/>
    <w:rsid w:val="7D5D42EC"/>
    <w:rsid w:val="7D9373AE"/>
    <w:rsid w:val="7DAA4B72"/>
    <w:rsid w:val="7DD1161D"/>
    <w:rsid w:val="7DEC1D8E"/>
    <w:rsid w:val="7E156974"/>
    <w:rsid w:val="7E2F6E92"/>
    <w:rsid w:val="7E484F9C"/>
    <w:rsid w:val="7E505BFE"/>
    <w:rsid w:val="7E645155"/>
    <w:rsid w:val="7E7C3DCA"/>
    <w:rsid w:val="7E867872"/>
    <w:rsid w:val="7E971A7F"/>
    <w:rsid w:val="7EA90DDD"/>
    <w:rsid w:val="7EB55C51"/>
    <w:rsid w:val="7EC42148"/>
    <w:rsid w:val="7EC8497D"/>
    <w:rsid w:val="7ED24865"/>
    <w:rsid w:val="7EE25949"/>
    <w:rsid w:val="7EEB5927"/>
    <w:rsid w:val="7EF4BA65"/>
    <w:rsid w:val="7EFDE006"/>
    <w:rsid w:val="7F0B3AE8"/>
    <w:rsid w:val="7F1663C6"/>
    <w:rsid w:val="7F271C6A"/>
    <w:rsid w:val="7F2900D7"/>
    <w:rsid w:val="7F3472CE"/>
    <w:rsid w:val="7F3E014D"/>
    <w:rsid w:val="7F4F1DA3"/>
    <w:rsid w:val="7F5A4633"/>
    <w:rsid w:val="7F6243A9"/>
    <w:rsid w:val="7F634CAE"/>
    <w:rsid w:val="7F7C6631"/>
    <w:rsid w:val="7FA701FE"/>
    <w:rsid w:val="7FB53489"/>
    <w:rsid w:val="7FBF2258"/>
    <w:rsid w:val="7FD304AA"/>
    <w:rsid w:val="7FD50AB1"/>
    <w:rsid w:val="7FD75F49"/>
    <w:rsid w:val="7FDA6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3"/>
    <w:qFormat/>
    <w:uiPriority w:val="0"/>
    <w:pPr>
      <w:keepNext/>
      <w:keepLines/>
      <w:spacing w:before="120" w:after="120" w:line="360" w:lineRule="auto"/>
      <w:jc w:val="center"/>
      <w:outlineLvl w:val="0"/>
    </w:pPr>
    <w:rPr>
      <w:rFonts w:eastAsia="Garamond" w:cs="Times New Roman"/>
      <w:b/>
      <w:bCs/>
      <w:kern w:val="44"/>
      <w:sz w:val="28"/>
      <w:szCs w:val="44"/>
      <w:lang w:val="zh-CN"/>
    </w:rPr>
  </w:style>
  <w:style w:type="paragraph" w:styleId="3">
    <w:name w:val="heading 2"/>
    <w:basedOn w:val="1"/>
    <w:next w:val="1"/>
    <w:unhideWhenUsed/>
    <w:qFormat/>
    <w:uiPriority w:val="9"/>
    <w:pPr>
      <w:keepNext/>
      <w:keepLines/>
      <w:spacing w:beforeLines="0" w:beforeAutospacing="0" w:afterLines="0" w:afterAutospacing="0" w:line="360" w:lineRule="auto"/>
      <w:jc w:val="center"/>
      <w:outlineLvl w:val="1"/>
    </w:pPr>
    <w:rPr>
      <w:rFonts w:ascii="Times New Roman" w:hAnsi="Times New Roman" w:eastAsia="黑体"/>
      <w:b/>
      <w:sz w:val="28"/>
    </w:rPr>
  </w:style>
  <w:style w:type="paragraph" w:styleId="4">
    <w:name w:val="heading 3"/>
    <w:basedOn w:val="1"/>
    <w:next w:val="1"/>
    <w:unhideWhenUsed/>
    <w:qFormat/>
    <w:uiPriority w:val="9"/>
    <w:pPr>
      <w:keepNext/>
      <w:keepLines/>
      <w:spacing w:beforeLines="0" w:beforeAutospacing="0" w:afterLines="0" w:afterAutospacing="0" w:line="240" w:lineRule="auto"/>
      <w:jc w:val="center"/>
      <w:outlineLvl w:val="2"/>
    </w:pPr>
    <w:rPr>
      <w:rFonts w:ascii="Times New Roman" w:hAnsi="Times New Roman" w:eastAsia="黑体"/>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unhideWhenUsed/>
    <w:qFormat/>
    <w:uiPriority w:val="0"/>
    <w:pPr>
      <w:jc w:val="left"/>
    </w:pPr>
  </w:style>
  <w:style w:type="paragraph" w:styleId="6">
    <w:name w:val="toc 3"/>
    <w:basedOn w:val="1"/>
    <w:next w:val="1"/>
    <w:unhideWhenUsed/>
    <w:qFormat/>
    <w:uiPriority w:val="39"/>
    <w:pPr>
      <w:ind w:left="840" w:leftChars="400"/>
    </w:pPr>
  </w:style>
  <w:style w:type="paragraph" w:styleId="7">
    <w:name w:val="Plain Text"/>
    <w:basedOn w:val="1"/>
    <w:qFormat/>
    <w:uiPriority w:val="0"/>
    <w:rPr>
      <w:rFonts w:ascii="宋体" w:hAnsi="Courier New" w:cs="Courier New"/>
      <w:szCs w:val="21"/>
    </w:rPr>
  </w:style>
  <w:style w:type="paragraph" w:styleId="8">
    <w:name w:val="Date"/>
    <w:basedOn w:val="1"/>
    <w:next w:val="1"/>
    <w:link w:val="23"/>
    <w:semiHidden/>
    <w:unhideWhenUsed/>
    <w:qFormat/>
    <w:uiPriority w:val="99"/>
    <w:pPr>
      <w:ind w:left="100" w:leftChars="2500"/>
    </w:pPr>
  </w:style>
  <w:style w:type="paragraph" w:styleId="9">
    <w:name w:val="Balloon Text"/>
    <w:basedOn w:val="1"/>
    <w:link w:val="4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pPr>
  </w:style>
  <w:style w:type="paragraph" w:styleId="13">
    <w:name w:val="toc 2"/>
    <w:basedOn w:val="1"/>
    <w:next w:val="1"/>
    <w:unhideWhenUsed/>
    <w:qFormat/>
    <w:uiPriority w:val="39"/>
    <w:pPr>
      <w:tabs>
        <w:tab w:val="right" w:leader="dot" w:pos="6000"/>
      </w:tabs>
      <w:ind w:left="240" w:leftChars="100"/>
    </w:pPr>
    <w:rPr>
      <w:rFonts w:ascii="宋体" w:hAnsi="宋体" w:cs="宋体"/>
      <w:color w:val="auto"/>
      <w:szCs w:val="24"/>
      <w:highlight w:val="none"/>
    </w:rPr>
  </w:style>
  <w:style w:type="paragraph" w:styleId="14">
    <w:name w:val="Normal (Web)"/>
    <w:basedOn w:val="1"/>
    <w:semiHidden/>
    <w:unhideWhenUsed/>
    <w:qFormat/>
    <w:uiPriority w:val="99"/>
    <w:pPr>
      <w:spacing w:beforeAutospacing="1" w:afterAutospacing="1"/>
      <w:jc w:val="left"/>
    </w:pPr>
    <w:rPr>
      <w:rFonts w:cs="Times New Roman"/>
      <w:kern w:val="0"/>
    </w:rPr>
  </w:style>
  <w:style w:type="paragraph" w:styleId="15">
    <w:name w:val="annotation subject"/>
    <w:basedOn w:val="5"/>
    <w:next w:val="5"/>
    <w:link w:val="31"/>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b/>
    </w:rPr>
  </w:style>
  <w:style w:type="character" w:styleId="20">
    <w:name w:val="page number"/>
    <w:basedOn w:val="18"/>
    <w:semiHidden/>
    <w:qFormat/>
    <w:uiPriority w:val="0"/>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annotation reference"/>
    <w:basedOn w:val="18"/>
    <w:unhideWhenUsed/>
    <w:qFormat/>
    <w:uiPriority w:val="0"/>
    <w:rPr>
      <w:sz w:val="21"/>
      <w:szCs w:val="21"/>
    </w:rPr>
  </w:style>
  <w:style w:type="character" w:customStyle="1" w:styleId="23">
    <w:name w:val="日期 Char"/>
    <w:basedOn w:val="18"/>
    <w:link w:val="8"/>
    <w:semiHidden/>
    <w:qFormat/>
    <w:uiPriority w:val="99"/>
  </w:style>
  <w:style w:type="character" w:customStyle="1" w:styleId="24">
    <w:name w:val="列出段落 Char1"/>
    <w:link w:val="25"/>
    <w:qFormat/>
    <w:uiPriority w:val="34"/>
    <w:rPr>
      <w:rFonts w:ascii="Times New Roman" w:hAnsi="Times New Roman"/>
      <w:kern w:val="2"/>
      <w:sz w:val="21"/>
    </w:rPr>
  </w:style>
  <w:style w:type="paragraph" w:styleId="25">
    <w:name w:val="List Paragraph"/>
    <w:basedOn w:val="1"/>
    <w:link w:val="24"/>
    <w:qFormat/>
    <w:uiPriority w:val="34"/>
    <w:pPr>
      <w:ind w:firstLine="420" w:firstLineChars="200"/>
    </w:pPr>
    <w:rPr>
      <w:sz w:val="21"/>
    </w:rPr>
  </w:style>
  <w:style w:type="paragraph" w:customStyle="1" w:styleId="26">
    <w:name w:val="_Style 8"/>
    <w:basedOn w:val="1"/>
    <w:next w:val="25"/>
    <w:qFormat/>
    <w:uiPriority w:val="34"/>
    <w:pPr>
      <w:ind w:firstLine="420" w:firstLineChars="200"/>
    </w:pPr>
    <w:rPr>
      <w:rFonts w:eastAsia="等线" w:cs="Times New Roman"/>
      <w:sz w:val="21"/>
      <w:szCs w:val="20"/>
      <w:lang w:val="zh-CN"/>
    </w:rPr>
  </w:style>
  <w:style w:type="paragraph" w:customStyle="1" w:styleId="27">
    <w:name w:val="二级条标题"/>
    <w:basedOn w:val="1"/>
    <w:next w:val="1"/>
    <w:qFormat/>
    <w:uiPriority w:val="0"/>
    <w:pPr>
      <w:widowControl/>
      <w:spacing w:before="50" w:beforeLines="50" w:after="50" w:afterLines="50"/>
      <w:jc w:val="left"/>
      <w:outlineLvl w:val="3"/>
    </w:pPr>
    <w:rPr>
      <w:rFonts w:ascii="Garamond" w:eastAsia="Garamond" w:cs="Times New Roman"/>
      <w:kern w:val="0"/>
      <w:sz w:val="21"/>
      <w:szCs w:val="21"/>
    </w:rPr>
  </w:style>
  <w:style w:type="character" w:customStyle="1" w:styleId="28">
    <w:name w:val="页眉 Char"/>
    <w:basedOn w:val="18"/>
    <w:link w:val="11"/>
    <w:qFormat/>
    <w:uiPriority w:val="99"/>
    <w:rPr>
      <w:sz w:val="18"/>
      <w:szCs w:val="18"/>
    </w:rPr>
  </w:style>
  <w:style w:type="character" w:customStyle="1" w:styleId="29">
    <w:name w:val="页脚 Char"/>
    <w:basedOn w:val="18"/>
    <w:link w:val="10"/>
    <w:qFormat/>
    <w:uiPriority w:val="99"/>
    <w:rPr>
      <w:sz w:val="18"/>
      <w:szCs w:val="18"/>
    </w:rPr>
  </w:style>
  <w:style w:type="character" w:customStyle="1" w:styleId="30">
    <w:name w:val="批注文字 Char"/>
    <w:basedOn w:val="18"/>
    <w:link w:val="5"/>
    <w:qFormat/>
    <w:uiPriority w:val="0"/>
  </w:style>
  <w:style w:type="character" w:customStyle="1" w:styleId="31">
    <w:name w:val="批注主题 Char"/>
    <w:basedOn w:val="30"/>
    <w:link w:val="15"/>
    <w:semiHidden/>
    <w:qFormat/>
    <w:uiPriority w:val="99"/>
    <w:rPr>
      <w:b/>
      <w:bCs/>
    </w:rPr>
  </w:style>
  <w:style w:type="character" w:customStyle="1" w:styleId="32">
    <w:name w:val="标题 1 字符"/>
    <w:basedOn w:val="18"/>
    <w:qFormat/>
    <w:uiPriority w:val="9"/>
    <w:rPr>
      <w:b/>
      <w:bCs/>
      <w:kern w:val="44"/>
      <w:sz w:val="44"/>
      <w:szCs w:val="44"/>
    </w:rPr>
  </w:style>
  <w:style w:type="character" w:customStyle="1" w:styleId="33">
    <w:name w:val="标题 1 Char"/>
    <w:link w:val="2"/>
    <w:qFormat/>
    <w:uiPriority w:val="0"/>
    <w:rPr>
      <w:rFonts w:eastAsia="Garamond" w:cs="Times New Roman"/>
      <w:b/>
      <w:bCs/>
      <w:kern w:val="44"/>
      <w:sz w:val="28"/>
      <w:szCs w:val="44"/>
      <w:lang w:val="zh-CN" w:eastAsia="zh-CN"/>
    </w:rPr>
  </w:style>
  <w:style w:type="paragraph" w:customStyle="1" w:styleId="3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lang w:val="en-US"/>
    </w:rPr>
  </w:style>
  <w:style w:type="character" w:customStyle="1" w:styleId="35">
    <w:name w:val="列出段落 Char"/>
    <w:link w:val="36"/>
    <w:qFormat/>
    <w:uiPriority w:val="34"/>
    <w:rPr>
      <w:rFonts w:ascii="Times New Roman" w:hAnsi="Times New Roman"/>
      <w:kern w:val="2"/>
      <w:sz w:val="21"/>
    </w:rPr>
  </w:style>
  <w:style w:type="paragraph" w:customStyle="1" w:styleId="36">
    <w:name w:val="_Style 27"/>
    <w:basedOn w:val="1"/>
    <w:next w:val="25"/>
    <w:link w:val="35"/>
    <w:qFormat/>
    <w:uiPriority w:val="34"/>
    <w:pPr>
      <w:ind w:firstLine="420" w:firstLineChars="200"/>
    </w:pPr>
    <w:rPr>
      <w:sz w:val="21"/>
    </w:rPr>
  </w:style>
  <w:style w:type="paragraph" w:customStyle="1" w:styleId="37">
    <w:name w:val="章标题"/>
    <w:next w:val="1"/>
    <w:qFormat/>
    <w:uiPriority w:val="0"/>
    <w:pPr>
      <w:spacing w:beforeLines="100" w:afterLines="100"/>
      <w:jc w:val="both"/>
      <w:outlineLvl w:val="1"/>
    </w:pPr>
    <w:rPr>
      <w:rFonts w:ascii="Garamond" w:hAnsi="Times New Roman" w:eastAsia="Garamond" w:cs="Times New Roman"/>
      <w:sz w:val="21"/>
      <w:szCs w:val="24"/>
      <w:lang w:val="en-US" w:eastAsia="zh-CN" w:bidi="ar-SA"/>
    </w:rPr>
  </w:style>
  <w:style w:type="paragraph" w:customStyle="1" w:styleId="38">
    <w:name w:val="修订1"/>
    <w:hidden/>
    <w:semiHidden/>
    <w:qFormat/>
    <w:uiPriority w:val="99"/>
    <w:rPr>
      <w:rFonts w:ascii="Times New Roman" w:hAnsi="Times New Roman" w:eastAsia="宋体" w:cstheme="minorBidi"/>
      <w:kern w:val="2"/>
      <w:sz w:val="24"/>
      <w:szCs w:val="22"/>
      <w:lang w:val="en-US" w:eastAsia="zh-CN" w:bidi="ar-SA"/>
    </w:rPr>
  </w:style>
  <w:style w:type="paragraph" w:customStyle="1" w:styleId="39">
    <w:name w:val="Table Text"/>
    <w:basedOn w:val="1"/>
    <w:semiHidden/>
    <w:qFormat/>
    <w:uiPriority w:val="0"/>
    <w:pPr>
      <w:widowControl/>
      <w:kinsoku w:val="0"/>
      <w:autoSpaceDE w:val="0"/>
      <w:autoSpaceDN w:val="0"/>
      <w:adjustRightInd w:val="0"/>
      <w:snapToGrid w:val="0"/>
      <w:jc w:val="left"/>
      <w:textAlignment w:val="baseline"/>
    </w:pPr>
    <w:rPr>
      <w:rFonts w:eastAsia="Times New Roman" w:cs="Times New Roman"/>
      <w:snapToGrid w:val="0"/>
      <w:color w:val="000000"/>
      <w:kern w:val="0"/>
      <w:sz w:val="21"/>
      <w:szCs w:val="21"/>
      <w:lang w:eastAsia="en-US"/>
    </w:rPr>
  </w:style>
  <w:style w:type="character" w:customStyle="1" w:styleId="40">
    <w:name w:val="fontstyle01"/>
    <w:basedOn w:val="18"/>
    <w:qFormat/>
    <w:uiPriority w:val="0"/>
    <w:rPr>
      <w:rFonts w:hint="eastAsia" w:ascii="宋体" w:hAnsi="宋体" w:eastAsia="宋体"/>
      <w:color w:val="000000"/>
      <w:sz w:val="20"/>
      <w:szCs w:val="20"/>
    </w:rPr>
  </w:style>
  <w:style w:type="character" w:customStyle="1" w:styleId="41">
    <w:name w:val="fontstyle21"/>
    <w:basedOn w:val="18"/>
    <w:qFormat/>
    <w:uiPriority w:val="0"/>
    <w:rPr>
      <w:rFonts w:hint="default" w:ascii="TimesNewRomanPSMT" w:hAnsi="TimesNewRomanPSMT"/>
      <w:color w:val="000000"/>
      <w:sz w:val="20"/>
      <w:szCs w:val="20"/>
    </w:rPr>
  </w:style>
  <w:style w:type="paragraph" w:customStyle="1" w:styleId="42">
    <w:name w:val="修订2"/>
    <w:hidden/>
    <w:unhideWhenUsed/>
    <w:qFormat/>
    <w:uiPriority w:val="99"/>
    <w:rPr>
      <w:rFonts w:ascii="Times New Roman" w:hAnsi="Times New Roman" w:eastAsia="宋体" w:cstheme="minorBidi"/>
      <w:kern w:val="2"/>
      <w:sz w:val="24"/>
      <w:szCs w:val="22"/>
      <w:lang w:val="en-US" w:eastAsia="zh-CN" w:bidi="ar-SA"/>
    </w:rPr>
  </w:style>
  <w:style w:type="paragraph" w:customStyle="1" w:styleId="43">
    <w:name w:val="修订3"/>
    <w:hidden/>
    <w:unhideWhenUsed/>
    <w:qFormat/>
    <w:uiPriority w:val="99"/>
    <w:rPr>
      <w:rFonts w:ascii="Times New Roman" w:hAnsi="Times New Roman" w:eastAsia="宋体" w:cstheme="minorBidi"/>
      <w:kern w:val="2"/>
      <w:sz w:val="24"/>
      <w:szCs w:val="22"/>
      <w:lang w:val="en-US" w:eastAsia="zh-CN" w:bidi="ar-SA"/>
    </w:rPr>
  </w:style>
  <w:style w:type="character" w:customStyle="1" w:styleId="44">
    <w:name w:val="批注框文本 Char"/>
    <w:basedOn w:val="18"/>
    <w:link w:val="9"/>
    <w:semiHidden/>
    <w:qFormat/>
    <w:uiPriority w:val="99"/>
    <w:rPr>
      <w:rFonts w:cstheme="minorBidi"/>
      <w:kern w:val="2"/>
      <w:sz w:val="18"/>
      <w:szCs w:val="18"/>
    </w:rPr>
  </w:style>
  <w:style w:type="paragraph" w:customStyle="1" w:styleId="45">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6">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47">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4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4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0">
    <w:name w:val="发布日期"/>
    <w:qFormat/>
    <w:uiPriority w:val="0"/>
    <w:rPr>
      <w:rFonts w:ascii="Times New Roman" w:hAnsi="Times New Roman" w:eastAsia="黑体" w:cs="Times New Roman"/>
      <w:sz w:val="28"/>
      <w:lang w:val="en-US" w:eastAsia="zh-CN" w:bidi="ar-SA"/>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2">
    <w:name w:val="发布"/>
    <w:qFormat/>
    <w:uiPriority w:val="0"/>
    <w:rPr>
      <w:rFonts w:ascii="黑体" w:eastAsia="黑体"/>
      <w:spacing w:val="22"/>
      <w:w w:val="100"/>
      <w:position w:val="3"/>
      <w:sz w:val="28"/>
    </w:rPr>
  </w:style>
  <w:style w:type="paragraph" w:customStyle="1" w:styleId="53">
    <w:name w:val="实施日期"/>
    <w:basedOn w:val="50"/>
    <w:qFormat/>
    <w:uiPriority w:val="0"/>
    <w:pPr>
      <w:jc w:val="right"/>
    </w:pPr>
  </w:style>
  <w:style w:type="paragraph" w:customStyle="1" w:styleId="54">
    <w:name w:val="标准1级标题章"/>
    <w:basedOn w:val="2"/>
    <w:next w:val="1"/>
    <w:qFormat/>
    <w:uiPriority w:val="0"/>
    <w:pPr>
      <w:keepLines/>
      <w:widowControl/>
      <w:numPr>
        <w:ilvl w:val="0"/>
        <w:numId w:val="1"/>
      </w:numPr>
      <w:snapToGrid w:val="0"/>
      <w:spacing w:before="156" w:beforeLines="50" w:after="120" w:line="300" w:lineRule="auto"/>
    </w:pPr>
    <w:rPr>
      <w:rFonts w:ascii="黑体" w:hAnsi="黑体" w:eastAsia="黑体"/>
      <w:b w:val="0"/>
      <w:sz w:val="30"/>
      <w:szCs w:val="30"/>
    </w:rPr>
  </w:style>
  <w:style w:type="paragraph" w:customStyle="1" w:styleId="55">
    <w:name w:val="标准3级无节条"/>
    <w:basedOn w:val="56"/>
    <w:qFormat/>
    <w:uiPriority w:val="0"/>
    <w:pPr>
      <w:widowControl/>
      <w:numPr>
        <w:ilvl w:val="2"/>
        <w:numId w:val="2"/>
      </w:numPr>
      <w:snapToGrid w:val="0"/>
      <w:spacing w:before="156" w:beforeLines="50" w:line="300" w:lineRule="auto"/>
      <w:ind w:firstLineChars="0"/>
      <w:outlineLvl w:val="2"/>
    </w:pPr>
    <w:rPr>
      <w:kern w:val="0"/>
      <w:sz w:val="24"/>
    </w:rPr>
  </w:style>
  <w:style w:type="paragraph" w:customStyle="1" w:styleId="56">
    <w:name w:val="列出段落"/>
    <w:basedOn w:val="1"/>
    <w:qFormat/>
    <w:uiPriority w:val="34"/>
    <w:pPr>
      <w:ind w:firstLine="420" w:firstLineChars="200"/>
    </w:pPr>
  </w:style>
  <w:style w:type="paragraph" w:customStyle="1" w:styleId="57">
    <w:name w:val="标准5级段落"/>
    <w:basedOn w:val="1"/>
    <w:qFormat/>
    <w:uiPriority w:val="0"/>
    <w:pPr>
      <w:widowControl/>
      <w:adjustRightInd w:val="0"/>
      <w:snapToGrid w:val="0"/>
      <w:spacing w:before="156" w:beforeLines="50" w:line="300" w:lineRule="auto"/>
      <w:ind w:firstLine="567"/>
    </w:pPr>
    <w:rPr>
      <w:snapToGrid w:val="0"/>
      <w:color w:val="000000"/>
      <w:kern w:val="0"/>
      <w:sz w:val="24"/>
    </w:rPr>
  </w:style>
  <w:style w:type="paragraph" w:customStyle="1" w:styleId="58">
    <w:name w:val="标准3级条"/>
    <w:basedOn w:val="56"/>
    <w:qFormat/>
    <w:uiPriority w:val="0"/>
    <w:pPr>
      <w:widowControl/>
      <w:numPr>
        <w:ilvl w:val="2"/>
        <w:numId w:val="1"/>
      </w:numPr>
      <w:snapToGrid w:val="0"/>
      <w:spacing w:before="156" w:beforeLines="50" w:line="300" w:lineRule="auto"/>
      <w:ind w:left="0" w:firstLineChars="0"/>
      <w:outlineLvl w:val="2"/>
    </w:pPr>
    <w:rPr>
      <w:bCs/>
      <w:snapToGrid w:val="0"/>
      <w:kern w:val="0"/>
      <w:sz w:val="24"/>
    </w:rPr>
  </w:style>
  <w:style w:type="paragraph" w:customStyle="1" w:styleId="59">
    <w:name w:val="标准2级标题节"/>
    <w:basedOn w:val="1"/>
    <w:next w:val="1"/>
    <w:qFormat/>
    <w:uiPriority w:val="0"/>
    <w:pPr>
      <w:widowControl/>
      <w:numPr>
        <w:ilvl w:val="1"/>
        <w:numId w:val="1"/>
      </w:numPr>
      <w:adjustRightInd w:val="0"/>
      <w:snapToGrid w:val="0"/>
      <w:spacing w:before="156" w:beforeLines="50" w:after="156" w:afterLines="50" w:line="300" w:lineRule="auto"/>
      <w:jc w:val="center"/>
      <w:outlineLvl w:val="1"/>
    </w:pPr>
    <w:rPr>
      <w:rFonts w:ascii="黑体" w:hAnsi="黑体" w:eastAsia="黑体"/>
      <w:color w:val="000000"/>
      <w:sz w:val="28"/>
      <w:szCs w:val="28"/>
    </w:rPr>
  </w:style>
  <w:style w:type="paragraph" w:customStyle="1" w:styleId="60">
    <w:name w:val="目录 11"/>
    <w:basedOn w:val="1"/>
    <w:next w:val="1"/>
    <w:unhideWhenUsed/>
    <w:qFormat/>
    <w:uiPriority w:val="39"/>
    <w:pPr>
      <w:tabs>
        <w:tab w:val="right" w:leader="dot" w:pos="8777"/>
      </w:tabs>
      <w:jc w:val="left"/>
    </w:pPr>
    <w:rPr>
      <w:bCs/>
      <w:kern w:val="44"/>
      <w:sz w:val="24"/>
    </w:rPr>
  </w:style>
  <w:style w:type="paragraph" w:customStyle="1" w:styleId="61">
    <w:name w:val="标准1级无编号章"/>
    <w:basedOn w:val="54"/>
    <w:qFormat/>
    <w:uiPriority w:val="0"/>
    <w:pPr>
      <w:numPr>
        <w:numId w:val="0"/>
      </w:numPr>
    </w:pPr>
  </w:style>
  <w:style w:type="paragraph" w:customStyle="1" w:styleId="62">
    <w:name w:val="列表段落1"/>
    <w:basedOn w:val="1"/>
    <w:qFormat/>
    <w:uiPriority w:val="0"/>
    <w:pPr>
      <w:adjustRightInd w:val="0"/>
      <w:spacing w:line="400" w:lineRule="exact"/>
      <w:ind w:firstLine="420" w:firstLineChars="200"/>
    </w:pPr>
    <w:rPr>
      <w:rFonts w:ascii="Calibri"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wmf"/><Relationship Id="rId4" Type="http://schemas.openxmlformats.org/officeDocument/2006/relationships/header" Target="header2.xml"/><Relationship Id="rId39" Type="http://schemas.openxmlformats.org/officeDocument/2006/relationships/oleObject" Target="embeddings/oleObject10.bin"/><Relationship Id="rId38" Type="http://schemas.openxmlformats.org/officeDocument/2006/relationships/image" Target="media/image14.wmf"/><Relationship Id="rId37" Type="http://schemas.openxmlformats.org/officeDocument/2006/relationships/oleObject" Target="embeddings/oleObject9.bin"/><Relationship Id="rId36" Type="http://schemas.openxmlformats.org/officeDocument/2006/relationships/image" Target="media/image13.wmf"/><Relationship Id="rId35" Type="http://schemas.openxmlformats.org/officeDocument/2006/relationships/oleObject" Target="embeddings/oleObject8.bin"/><Relationship Id="rId34" Type="http://schemas.openxmlformats.org/officeDocument/2006/relationships/image" Target="media/image12.wmf"/><Relationship Id="rId33" Type="http://schemas.openxmlformats.org/officeDocument/2006/relationships/oleObject" Target="embeddings/oleObject7.bin"/><Relationship Id="rId32" Type="http://schemas.openxmlformats.org/officeDocument/2006/relationships/image" Target="media/image11.wmf"/><Relationship Id="rId31" Type="http://schemas.openxmlformats.org/officeDocument/2006/relationships/oleObject" Target="embeddings/oleObject6.bin"/><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wmf"/><Relationship Id="rId28" Type="http://schemas.openxmlformats.org/officeDocument/2006/relationships/oleObject" Target="embeddings/oleObject5.bin"/><Relationship Id="rId27" Type="http://schemas.openxmlformats.org/officeDocument/2006/relationships/image" Target="media/image8.wmf"/><Relationship Id="rId26" Type="http://schemas.openxmlformats.org/officeDocument/2006/relationships/oleObject" Target="embeddings/oleObject4.bin"/><Relationship Id="rId25" Type="http://schemas.openxmlformats.org/officeDocument/2006/relationships/image" Target="media/image7.wmf"/><Relationship Id="rId24" Type="http://schemas.openxmlformats.org/officeDocument/2006/relationships/oleObject" Target="embeddings/oleObject3.bin"/><Relationship Id="rId23" Type="http://schemas.openxmlformats.org/officeDocument/2006/relationships/image" Target="media/image6.wmf"/><Relationship Id="rId22" Type="http://schemas.openxmlformats.org/officeDocument/2006/relationships/oleObject" Target="embeddings/oleObject2.bin"/><Relationship Id="rId21" Type="http://schemas.openxmlformats.org/officeDocument/2006/relationships/image" Target="media/image5.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Company>
  <Pages>44</Pages>
  <Words>2533</Words>
  <Characters>3757</Characters>
  <Lines>252</Lines>
  <Paragraphs>71</Paragraphs>
  <TotalTime>7</TotalTime>
  <ScaleCrop>false</ScaleCrop>
  <LinksUpToDate>false</LinksUpToDate>
  <CharactersWithSpaces>4281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2024-10-17T17:41:00Z</dcterms:created>
  <dc:creator>YBQ</dc:creator>
  <cp:lastModifiedBy>张惠丽</cp:lastModifiedBy>
  <cp:lastPrinted>2026-04-09T18:27:00Z</cp:lastPrinted>
  <dcterms:modified xsi:type="dcterms:W3CDTF">2026-05-08T03:32:41Z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BB9FDF8E2AAF4CACBC043454C85392C9_13</vt:lpwstr>
  </property>
  <property fmtid="{D5CDD505-2E9C-101B-9397-08002B2CF9AE}" pid="4" name="KSOTemplateDocerSaveRecord">
    <vt:lpwstr>eyJoZGlkIjoiZDlmODY0NmVkMTU2MTY1MmY1YjdiOTZhMzhhMDU3M2YiLCJ1c2VySWQiOiIxNTQ2MDMxOTE3In0=</vt:lpwstr>
  </property>
</Properties>
</file>